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95DB3" w14:textId="77777777" w:rsidR="00EE648A" w:rsidRPr="00EE648A" w:rsidRDefault="00EE648A" w:rsidP="00EE648A">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14:paraId="0CAC9364" w14:textId="14CC0F93" w:rsidR="00EE648A" w:rsidRPr="00A8225A" w:rsidRDefault="00EE648A" w:rsidP="00EE648A">
      <w:pPr>
        <w:autoSpaceDE w:val="0"/>
        <w:autoSpaceDN w:val="0"/>
        <w:adjustRightInd w:val="0"/>
        <w:spacing w:after="0" w:line="240" w:lineRule="auto"/>
        <w:jc w:val="center"/>
        <w:rPr>
          <w:rFonts w:cstheme="minorHAnsi"/>
          <w:b/>
          <w:bCs/>
          <w:color w:val="000000"/>
          <w:sz w:val="36"/>
          <w:szCs w:val="36"/>
        </w:rPr>
      </w:pPr>
      <w:r w:rsidRPr="00EE648A">
        <w:rPr>
          <w:rFonts w:cstheme="minorHAnsi"/>
          <w:b/>
          <w:bCs/>
          <w:color w:val="000000"/>
          <w:sz w:val="36"/>
          <w:szCs w:val="36"/>
        </w:rPr>
        <w:t>Human Rights-Compatible International Investment Agreements</w:t>
      </w:r>
    </w:p>
    <w:p w14:paraId="737E26E8" w14:textId="77777777" w:rsidR="00A8225A" w:rsidRPr="00EE648A" w:rsidRDefault="00A8225A" w:rsidP="00EE648A">
      <w:pPr>
        <w:autoSpaceDE w:val="0"/>
        <w:autoSpaceDN w:val="0"/>
        <w:adjustRightInd w:val="0"/>
        <w:spacing w:after="0" w:line="240" w:lineRule="auto"/>
        <w:jc w:val="center"/>
        <w:rPr>
          <w:rFonts w:cstheme="minorHAnsi"/>
          <w:color w:val="000000"/>
          <w:sz w:val="16"/>
          <w:szCs w:val="16"/>
        </w:rPr>
      </w:pPr>
    </w:p>
    <w:p w14:paraId="75184DA9" w14:textId="259438AE" w:rsidR="00EE648A" w:rsidRPr="00EE648A" w:rsidRDefault="00EE648A" w:rsidP="00EE648A">
      <w:pPr>
        <w:jc w:val="center"/>
        <w:rPr>
          <w:rFonts w:cstheme="minorHAnsi"/>
          <w:b/>
          <w:bCs/>
          <w:sz w:val="32"/>
          <w:szCs w:val="32"/>
        </w:rPr>
      </w:pPr>
      <w:r w:rsidRPr="00EE648A">
        <w:rPr>
          <w:rFonts w:cstheme="minorHAnsi"/>
          <w:i/>
          <w:iCs/>
          <w:color w:val="000000"/>
          <w:sz w:val="32"/>
          <w:szCs w:val="32"/>
        </w:rPr>
        <w:t>Virtual Consultation for Asia and the Pacific, 14 June 2021</w:t>
      </w:r>
    </w:p>
    <w:p w14:paraId="006B8DD2" w14:textId="77777777" w:rsidR="00302348" w:rsidRDefault="00302348" w:rsidP="00EE648A">
      <w:pPr>
        <w:jc w:val="center"/>
        <w:rPr>
          <w:rFonts w:cstheme="minorHAnsi"/>
          <w:b/>
          <w:bCs/>
          <w:sz w:val="32"/>
          <w:szCs w:val="32"/>
        </w:rPr>
      </w:pPr>
    </w:p>
    <w:p w14:paraId="279A041B" w14:textId="05359E32" w:rsidR="00302348" w:rsidRDefault="00EE648A" w:rsidP="00EE648A">
      <w:pPr>
        <w:jc w:val="center"/>
        <w:rPr>
          <w:rFonts w:cstheme="minorHAnsi"/>
          <w:b/>
          <w:bCs/>
          <w:sz w:val="32"/>
          <w:szCs w:val="32"/>
        </w:rPr>
      </w:pPr>
      <w:r w:rsidRPr="00EE648A">
        <w:rPr>
          <w:rFonts w:cstheme="minorHAnsi"/>
          <w:b/>
          <w:bCs/>
          <w:sz w:val="32"/>
          <w:szCs w:val="32"/>
        </w:rPr>
        <w:t xml:space="preserve">Submission </w:t>
      </w:r>
      <w:r w:rsidR="00302348">
        <w:rPr>
          <w:rFonts w:cstheme="minorHAnsi"/>
          <w:b/>
          <w:bCs/>
          <w:sz w:val="32"/>
          <w:szCs w:val="32"/>
        </w:rPr>
        <w:t>on Stabilization Clauses</w:t>
      </w:r>
      <w:r w:rsidR="00995984">
        <w:rPr>
          <w:rFonts w:cstheme="minorHAnsi"/>
          <w:b/>
          <w:bCs/>
          <w:sz w:val="32"/>
          <w:szCs w:val="32"/>
        </w:rPr>
        <w:t>, developing countries</w:t>
      </w:r>
      <w:r w:rsidR="00302348">
        <w:rPr>
          <w:rFonts w:cstheme="minorHAnsi"/>
          <w:b/>
          <w:bCs/>
          <w:sz w:val="32"/>
          <w:szCs w:val="32"/>
        </w:rPr>
        <w:t xml:space="preserve"> and Human Rights</w:t>
      </w:r>
    </w:p>
    <w:p w14:paraId="7C1B9DA7" w14:textId="45C651DC" w:rsidR="00EE648A" w:rsidRPr="00302348" w:rsidRDefault="00EE648A" w:rsidP="00EE648A">
      <w:pPr>
        <w:jc w:val="center"/>
        <w:rPr>
          <w:rFonts w:cstheme="minorHAnsi"/>
          <w:b/>
          <w:bCs/>
          <w:sz w:val="28"/>
          <w:szCs w:val="28"/>
        </w:rPr>
      </w:pPr>
      <w:r w:rsidRPr="00302348">
        <w:rPr>
          <w:rFonts w:cstheme="minorHAnsi"/>
          <w:b/>
          <w:bCs/>
          <w:sz w:val="28"/>
          <w:szCs w:val="28"/>
        </w:rPr>
        <w:t>by Gillian Moon</w:t>
      </w:r>
      <w:r w:rsidR="00302348" w:rsidRPr="00302348">
        <w:rPr>
          <w:rStyle w:val="FootnoteReference"/>
          <w:rFonts w:cstheme="minorHAnsi"/>
          <w:b/>
          <w:bCs/>
          <w:sz w:val="28"/>
          <w:szCs w:val="28"/>
        </w:rPr>
        <w:footnoteReference w:id="1"/>
      </w:r>
    </w:p>
    <w:p w14:paraId="5F9F4EA1" w14:textId="741787EC" w:rsidR="00EE648A" w:rsidRPr="00EE648A" w:rsidRDefault="00EE648A" w:rsidP="00EE648A">
      <w:pPr>
        <w:jc w:val="center"/>
        <w:rPr>
          <w:rFonts w:cstheme="minorHAnsi"/>
          <w:sz w:val="24"/>
          <w:szCs w:val="24"/>
        </w:rPr>
      </w:pPr>
      <w:r w:rsidRPr="00EE648A">
        <w:rPr>
          <w:rFonts w:cstheme="minorHAnsi"/>
          <w:sz w:val="24"/>
          <w:szCs w:val="24"/>
        </w:rPr>
        <w:t>2</w:t>
      </w:r>
      <w:r w:rsidR="00302348">
        <w:rPr>
          <w:rFonts w:cstheme="minorHAnsi"/>
          <w:sz w:val="24"/>
          <w:szCs w:val="24"/>
        </w:rPr>
        <w:t>1</w:t>
      </w:r>
      <w:r w:rsidRPr="00EE648A">
        <w:rPr>
          <w:rFonts w:cstheme="minorHAnsi"/>
          <w:sz w:val="24"/>
          <w:szCs w:val="24"/>
        </w:rPr>
        <w:t xml:space="preserve"> June 2021</w:t>
      </w:r>
    </w:p>
    <w:p w14:paraId="00C68100" w14:textId="40684B40" w:rsidR="000F5009" w:rsidRPr="00884802" w:rsidRDefault="00A277CA" w:rsidP="000F5009">
      <w:pPr>
        <w:rPr>
          <w:b/>
          <w:bCs/>
          <w:sz w:val="28"/>
          <w:szCs w:val="28"/>
        </w:rPr>
      </w:pPr>
      <w:r w:rsidRPr="00884802">
        <w:rPr>
          <w:b/>
          <w:bCs/>
          <w:sz w:val="28"/>
          <w:szCs w:val="28"/>
        </w:rPr>
        <w:t>Summary</w:t>
      </w:r>
    </w:p>
    <w:p w14:paraId="58F76F49" w14:textId="5F8E01FA" w:rsidR="00D65832" w:rsidRPr="00884802" w:rsidRDefault="00A8225A" w:rsidP="00D65832">
      <w:pPr>
        <w:rPr>
          <w:sz w:val="24"/>
          <w:szCs w:val="24"/>
        </w:rPr>
      </w:pPr>
      <w:bookmarkStart w:id="1" w:name="_Hlk74817901"/>
      <w:bookmarkStart w:id="2" w:name="_Hlk64567198"/>
      <w:r>
        <w:rPr>
          <w:sz w:val="24"/>
          <w:szCs w:val="24"/>
        </w:rPr>
        <w:t>In addition to investor protections in international investment agreements</w:t>
      </w:r>
      <w:r w:rsidR="00302348">
        <w:rPr>
          <w:sz w:val="24"/>
          <w:szCs w:val="24"/>
        </w:rPr>
        <w:t xml:space="preserve"> (IIAs)</w:t>
      </w:r>
      <w:r>
        <w:rPr>
          <w:sz w:val="24"/>
          <w:szCs w:val="24"/>
        </w:rPr>
        <w:t>, b</w:t>
      </w:r>
      <w:r w:rsidR="0084549B" w:rsidRPr="00884802">
        <w:rPr>
          <w:sz w:val="24"/>
          <w:szCs w:val="24"/>
        </w:rPr>
        <w:t xml:space="preserve">road </w:t>
      </w:r>
      <w:r w:rsidR="00302348">
        <w:rPr>
          <w:sz w:val="24"/>
          <w:szCs w:val="24"/>
        </w:rPr>
        <w:t xml:space="preserve">legal </w:t>
      </w:r>
      <w:r w:rsidR="0084549B" w:rsidRPr="00884802">
        <w:rPr>
          <w:sz w:val="24"/>
          <w:szCs w:val="24"/>
        </w:rPr>
        <w:t>rights</w:t>
      </w:r>
      <w:r w:rsidR="0084549B">
        <w:rPr>
          <w:sz w:val="24"/>
          <w:szCs w:val="24"/>
        </w:rPr>
        <w:t xml:space="preserve"> may be granted to foreign investors</w:t>
      </w:r>
      <w:r w:rsidR="0084549B" w:rsidRPr="00884802">
        <w:rPr>
          <w:sz w:val="24"/>
          <w:szCs w:val="24"/>
        </w:rPr>
        <w:t xml:space="preserve"> </w:t>
      </w:r>
      <w:r w:rsidR="0084549B">
        <w:rPr>
          <w:sz w:val="24"/>
          <w:szCs w:val="24"/>
        </w:rPr>
        <w:t>through</w:t>
      </w:r>
      <w:r w:rsidR="0084549B" w:rsidRPr="00884802">
        <w:rPr>
          <w:sz w:val="24"/>
          <w:szCs w:val="24"/>
        </w:rPr>
        <w:t xml:space="preserve"> ‘stabilization clauses’ in investment project contracts with host states. </w:t>
      </w:r>
      <w:r w:rsidR="0084549B">
        <w:rPr>
          <w:sz w:val="24"/>
          <w:szCs w:val="24"/>
        </w:rPr>
        <w:t>The clauses may enable foreign investors to claim</w:t>
      </w:r>
      <w:r w:rsidR="00302348">
        <w:rPr>
          <w:sz w:val="24"/>
          <w:szCs w:val="24"/>
        </w:rPr>
        <w:t xml:space="preserve"> compensation, through international arbitration (ISDS),</w:t>
      </w:r>
      <w:r w:rsidR="0084549B">
        <w:rPr>
          <w:sz w:val="24"/>
          <w:szCs w:val="24"/>
        </w:rPr>
        <w:t xml:space="preserve"> from host s</w:t>
      </w:r>
      <w:r w:rsidR="00D65832" w:rsidRPr="00884802">
        <w:rPr>
          <w:sz w:val="24"/>
          <w:szCs w:val="24"/>
        </w:rPr>
        <w:t>tates</w:t>
      </w:r>
      <w:r w:rsidR="00302348">
        <w:rPr>
          <w:sz w:val="24"/>
          <w:szCs w:val="24"/>
        </w:rPr>
        <w:t xml:space="preserve"> </w:t>
      </w:r>
      <w:r w:rsidR="0084549B">
        <w:rPr>
          <w:sz w:val="24"/>
          <w:szCs w:val="24"/>
        </w:rPr>
        <w:t xml:space="preserve">for </w:t>
      </w:r>
      <w:r w:rsidR="00302348">
        <w:rPr>
          <w:sz w:val="24"/>
          <w:szCs w:val="24"/>
        </w:rPr>
        <w:t>the effects of new</w:t>
      </w:r>
      <w:r w:rsidR="00D65832" w:rsidRPr="00884802">
        <w:rPr>
          <w:sz w:val="24"/>
          <w:szCs w:val="24"/>
        </w:rPr>
        <w:t xml:space="preserve"> </w:t>
      </w:r>
      <w:r w:rsidR="00A277CA" w:rsidRPr="00884802">
        <w:rPr>
          <w:sz w:val="24"/>
          <w:szCs w:val="24"/>
        </w:rPr>
        <w:t>human rights</w:t>
      </w:r>
      <w:r w:rsidR="00302348">
        <w:rPr>
          <w:sz w:val="24"/>
          <w:szCs w:val="24"/>
        </w:rPr>
        <w:t xml:space="preserve"> </w:t>
      </w:r>
      <w:r w:rsidR="00D65832" w:rsidRPr="00884802">
        <w:rPr>
          <w:sz w:val="24"/>
          <w:szCs w:val="24"/>
        </w:rPr>
        <w:t>measures</w:t>
      </w:r>
      <w:r w:rsidR="0084549B">
        <w:rPr>
          <w:sz w:val="24"/>
          <w:szCs w:val="24"/>
        </w:rPr>
        <w:t xml:space="preserve">. </w:t>
      </w:r>
      <w:r w:rsidR="00A277CA" w:rsidRPr="00884802">
        <w:rPr>
          <w:sz w:val="24"/>
          <w:szCs w:val="24"/>
        </w:rPr>
        <w:t xml:space="preserve">The Virtual Consultation should extend </w:t>
      </w:r>
      <w:r w:rsidR="0084549B">
        <w:rPr>
          <w:sz w:val="24"/>
          <w:szCs w:val="24"/>
        </w:rPr>
        <w:t xml:space="preserve">its inquiry </w:t>
      </w:r>
      <w:r w:rsidR="00A277CA" w:rsidRPr="00884802">
        <w:rPr>
          <w:sz w:val="24"/>
          <w:szCs w:val="24"/>
        </w:rPr>
        <w:t xml:space="preserve">to cover these clauses, as reformed IIAs will not protect human rights </w:t>
      </w:r>
      <w:r w:rsidR="0084549B">
        <w:rPr>
          <w:sz w:val="24"/>
          <w:szCs w:val="24"/>
        </w:rPr>
        <w:t>and</w:t>
      </w:r>
      <w:r w:rsidR="00302348">
        <w:rPr>
          <w:sz w:val="24"/>
          <w:szCs w:val="24"/>
        </w:rPr>
        <w:t xml:space="preserve"> related</w:t>
      </w:r>
      <w:r w:rsidR="0084549B">
        <w:rPr>
          <w:sz w:val="24"/>
          <w:szCs w:val="24"/>
        </w:rPr>
        <w:t xml:space="preserve"> policy space </w:t>
      </w:r>
      <w:r w:rsidR="00302348">
        <w:rPr>
          <w:sz w:val="24"/>
          <w:szCs w:val="24"/>
        </w:rPr>
        <w:t xml:space="preserve">adequately </w:t>
      </w:r>
      <w:r w:rsidR="00A277CA" w:rsidRPr="00884802">
        <w:rPr>
          <w:sz w:val="24"/>
          <w:szCs w:val="24"/>
        </w:rPr>
        <w:t>where project contract</w:t>
      </w:r>
      <w:r w:rsidR="0084549B">
        <w:rPr>
          <w:sz w:val="24"/>
          <w:szCs w:val="24"/>
        </w:rPr>
        <w:t>s continue to contain these</w:t>
      </w:r>
      <w:r w:rsidR="00A277CA" w:rsidRPr="00884802">
        <w:rPr>
          <w:sz w:val="24"/>
          <w:szCs w:val="24"/>
        </w:rPr>
        <w:t xml:space="preserve"> clauses</w:t>
      </w:r>
      <w:bookmarkEnd w:id="1"/>
      <w:r w:rsidR="0084549B">
        <w:rPr>
          <w:sz w:val="24"/>
          <w:szCs w:val="24"/>
        </w:rPr>
        <w:t>.</w:t>
      </w:r>
    </w:p>
    <w:bookmarkEnd w:id="2"/>
    <w:p w14:paraId="683D8D8D" w14:textId="44FE4901" w:rsidR="00D6667E" w:rsidRPr="00D6667E" w:rsidRDefault="00D6667E" w:rsidP="002D0FE7">
      <w:pPr>
        <w:rPr>
          <w:b/>
          <w:bCs/>
          <w:sz w:val="28"/>
          <w:szCs w:val="28"/>
        </w:rPr>
      </w:pPr>
      <w:r w:rsidRPr="00D6667E">
        <w:rPr>
          <w:b/>
          <w:bCs/>
          <w:sz w:val="28"/>
          <w:szCs w:val="28"/>
        </w:rPr>
        <w:t>About stabilization clauses</w:t>
      </w:r>
    </w:p>
    <w:p w14:paraId="2C09D863" w14:textId="3DB0BE6C" w:rsidR="00D55FCA" w:rsidRDefault="002D0FE7" w:rsidP="00D6667E">
      <w:pPr>
        <w:rPr>
          <w:sz w:val="24"/>
          <w:szCs w:val="24"/>
        </w:rPr>
      </w:pPr>
      <w:r>
        <w:rPr>
          <w:sz w:val="24"/>
          <w:szCs w:val="24"/>
        </w:rPr>
        <w:t>Stabilization clauses are intended to protect the stability (profitability) of long</w:t>
      </w:r>
      <w:r w:rsidR="00DD1E79">
        <w:rPr>
          <w:sz w:val="24"/>
          <w:szCs w:val="24"/>
        </w:rPr>
        <w:t>-</w:t>
      </w:r>
      <w:r>
        <w:rPr>
          <w:sz w:val="24"/>
          <w:szCs w:val="24"/>
        </w:rPr>
        <w:t>term, capital</w:t>
      </w:r>
      <w:r w:rsidR="00DD1E79">
        <w:rPr>
          <w:sz w:val="24"/>
          <w:szCs w:val="24"/>
        </w:rPr>
        <w:t>-</w:t>
      </w:r>
      <w:r>
        <w:rPr>
          <w:sz w:val="24"/>
          <w:szCs w:val="24"/>
        </w:rPr>
        <w:t>intensive, foreign investments against subsequent, non-commercial changes to the investment environment.</w:t>
      </w:r>
      <w:r>
        <w:rPr>
          <w:rStyle w:val="FootnoteReference"/>
          <w:sz w:val="24"/>
          <w:szCs w:val="24"/>
        </w:rPr>
        <w:footnoteReference w:id="2"/>
      </w:r>
      <w:r w:rsidR="00621FCE">
        <w:rPr>
          <w:sz w:val="24"/>
          <w:szCs w:val="24"/>
        </w:rPr>
        <w:t xml:space="preserve"> </w:t>
      </w:r>
      <w:r w:rsidR="00D55FCA">
        <w:rPr>
          <w:sz w:val="24"/>
          <w:szCs w:val="24"/>
        </w:rPr>
        <w:t xml:space="preserve">Developing countries may agree to stabilization clauses in project contracts with foreign investors in the belief that the clauses </w:t>
      </w:r>
      <w:r w:rsidR="00D55FCA" w:rsidRPr="00D9242E">
        <w:rPr>
          <w:sz w:val="24"/>
          <w:szCs w:val="24"/>
        </w:rPr>
        <w:t>encourage inward foreign investment</w:t>
      </w:r>
      <w:r w:rsidR="00D55FCA">
        <w:rPr>
          <w:sz w:val="24"/>
          <w:szCs w:val="24"/>
        </w:rPr>
        <w:t xml:space="preserve"> (for which claim there is no sound evidence) or because they have little effective choice, given</w:t>
      </w:r>
      <w:r w:rsidR="00D55FCA" w:rsidRPr="00573DC9">
        <w:rPr>
          <w:sz w:val="24"/>
          <w:szCs w:val="24"/>
        </w:rPr>
        <w:t xml:space="preserve"> that some </w:t>
      </w:r>
      <w:r w:rsidR="00D55FCA" w:rsidRPr="003667B9">
        <w:rPr>
          <w:sz w:val="24"/>
          <w:szCs w:val="24"/>
        </w:rPr>
        <w:t xml:space="preserve">lenders and political risk insurers </w:t>
      </w:r>
      <w:r w:rsidR="00D55FCA">
        <w:rPr>
          <w:sz w:val="24"/>
          <w:szCs w:val="24"/>
        </w:rPr>
        <w:t xml:space="preserve">have </w:t>
      </w:r>
      <w:r w:rsidR="00D55FCA" w:rsidRPr="003667B9">
        <w:rPr>
          <w:sz w:val="24"/>
          <w:szCs w:val="24"/>
        </w:rPr>
        <w:t>insist</w:t>
      </w:r>
      <w:r w:rsidR="00D55FCA">
        <w:rPr>
          <w:sz w:val="24"/>
          <w:szCs w:val="24"/>
        </w:rPr>
        <w:t>ed</w:t>
      </w:r>
      <w:r w:rsidR="00D55FCA" w:rsidRPr="003667B9">
        <w:rPr>
          <w:sz w:val="24"/>
          <w:szCs w:val="24"/>
        </w:rPr>
        <w:t xml:space="preserve"> upon the</w:t>
      </w:r>
      <w:r w:rsidR="00D55FCA">
        <w:rPr>
          <w:sz w:val="24"/>
          <w:szCs w:val="24"/>
        </w:rPr>
        <w:t>ir</w:t>
      </w:r>
      <w:r w:rsidR="00D55FCA" w:rsidRPr="003667B9">
        <w:rPr>
          <w:sz w:val="24"/>
          <w:szCs w:val="24"/>
        </w:rPr>
        <w:t xml:space="preserve"> presence for projects in developing countries</w:t>
      </w:r>
      <w:r w:rsidR="00D55FCA">
        <w:rPr>
          <w:sz w:val="24"/>
          <w:szCs w:val="24"/>
        </w:rPr>
        <w:t>.</w:t>
      </w:r>
    </w:p>
    <w:p w14:paraId="57E44927" w14:textId="7C3FECA1" w:rsidR="00995984" w:rsidRDefault="00FA25A9" w:rsidP="00D6667E">
      <w:pPr>
        <w:rPr>
          <w:sz w:val="24"/>
          <w:szCs w:val="24"/>
        </w:rPr>
      </w:pPr>
      <w:r w:rsidRPr="00BD502C">
        <w:rPr>
          <w:sz w:val="24"/>
          <w:szCs w:val="24"/>
        </w:rPr>
        <w:t xml:space="preserve">While earlier stabilization clauses </w:t>
      </w:r>
      <w:r>
        <w:rPr>
          <w:sz w:val="24"/>
          <w:szCs w:val="24"/>
        </w:rPr>
        <w:t xml:space="preserve">involving developing host states </w:t>
      </w:r>
      <w:r w:rsidRPr="00BD502C">
        <w:rPr>
          <w:sz w:val="24"/>
          <w:szCs w:val="24"/>
        </w:rPr>
        <w:t>addressed the risk of nationalization, later clauses ‘have evolved into diverse and sophisticated tools to manage non-commercial risk associated with the investment project.’</w:t>
      </w:r>
      <w:r w:rsidRPr="00BD502C">
        <w:rPr>
          <w:sz w:val="24"/>
          <w:szCs w:val="24"/>
          <w:vertAlign w:val="superscript"/>
        </w:rPr>
        <w:footnoteReference w:id="3"/>
      </w:r>
      <w:r w:rsidRPr="00BD502C">
        <w:rPr>
          <w:sz w:val="24"/>
          <w:szCs w:val="24"/>
        </w:rPr>
        <w:t xml:space="preserve"> </w:t>
      </w:r>
      <w:r w:rsidR="00995984" w:rsidRPr="00BD502C">
        <w:rPr>
          <w:sz w:val="24"/>
          <w:szCs w:val="24"/>
        </w:rPr>
        <w:t>Stability might be incorporated into the conditions of a</w:t>
      </w:r>
      <w:r w:rsidR="00995984">
        <w:rPr>
          <w:sz w:val="24"/>
          <w:szCs w:val="24"/>
        </w:rPr>
        <w:t xml:space="preserve"> foreign</w:t>
      </w:r>
      <w:r w:rsidR="00995984" w:rsidRPr="00BD502C">
        <w:rPr>
          <w:sz w:val="24"/>
          <w:szCs w:val="24"/>
        </w:rPr>
        <w:t xml:space="preserve"> investment project through an </w:t>
      </w:r>
      <w:r w:rsidR="00995984">
        <w:rPr>
          <w:sz w:val="24"/>
          <w:szCs w:val="24"/>
        </w:rPr>
        <w:t>IIA</w:t>
      </w:r>
      <w:r w:rsidR="00995984" w:rsidRPr="00BD502C">
        <w:rPr>
          <w:sz w:val="24"/>
          <w:szCs w:val="24"/>
        </w:rPr>
        <w:t>, a stand-alone stability agreement, a special treaty or legislation but</w:t>
      </w:r>
      <w:r w:rsidR="00995984">
        <w:rPr>
          <w:sz w:val="24"/>
          <w:szCs w:val="24"/>
        </w:rPr>
        <w:t xml:space="preserve"> is</w:t>
      </w:r>
      <w:r w:rsidR="00995984" w:rsidRPr="00BD502C">
        <w:rPr>
          <w:sz w:val="24"/>
          <w:szCs w:val="24"/>
        </w:rPr>
        <w:t xml:space="preserve"> most commonly incorporated </w:t>
      </w:r>
      <w:r w:rsidR="00995984" w:rsidRPr="00BD502C">
        <w:rPr>
          <w:sz w:val="24"/>
          <w:szCs w:val="24"/>
        </w:rPr>
        <w:lastRenderedPageBreak/>
        <w:t xml:space="preserve">through a </w:t>
      </w:r>
      <w:r w:rsidR="00995984">
        <w:rPr>
          <w:sz w:val="24"/>
          <w:szCs w:val="24"/>
        </w:rPr>
        <w:t xml:space="preserve">stabilization clause in the private </w:t>
      </w:r>
      <w:r w:rsidR="00995984" w:rsidRPr="00BD502C">
        <w:rPr>
          <w:sz w:val="24"/>
          <w:szCs w:val="24"/>
        </w:rPr>
        <w:t>project contract</w:t>
      </w:r>
      <w:r w:rsidR="00995984">
        <w:rPr>
          <w:sz w:val="24"/>
          <w:szCs w:val="24"/>
        </w:rPr>
        <w:t xml:space="preserve"> between a foreign investor and a host state.</w:t>
      </w:r>
      <w:r w:rsidR="00995984" w:rsidRPr="00BD502C">
        <w:rPr>
          <w:sz w:val="24"/>
          <w:szCs w:val="24"/>
          <w:vertAlign w:val="superscript"/>
        </w:rPr>
        <w:footnoteReference w:id="4"/>
      </w:r>
      <w:r w:rsidR="00995984" w:rsidRPr="00BD502C">
        <w:rPr>
          <w:sz w:val="24"/>
          <w:szCs w:val="24"/>
        </w:rPr>
        <w:t xml:space="preserve"> </w:t>
      </w:r>
      <w:r w:rsidR="002D0FE7">
        <w:rPr>
          <w:sz w:val="24"/>
          <w:szCs w:val="24"/>
        </w:rPr>
        <w:t>Through the clauses</w:t>
      </w:r>
      <w:r w:rsidR="00775B94">
        <w:rPr>
          <w:sz w:val="24"/>
          <w:szCs w:val="24"/>
        </w:rPr>
        <w:t xml:space="preserve">, </w:t>
      </w:r>
      <w:r w:rsidR="002D0FE7">
        <w:rPr>
          <w:sz w:val="24"/>
          <w:szCs w:val="24"/>
        </w:rPr>
        <w:t>a host state gives a foreign investor what is essentially a guarantee</w:t>
      </w:r>
      <w:r w:rsidR="00F8013E">
        <w:rPr>
          <w:sz w:val="24"/>
          <w:szCs w:val="24"/>
        </w:rPr>
        <w:t xml:space="preserve"> </w:t>
      </w:r>
      <w:r w:rsidR="002D0FE7">
        <w:rPr>
          <w:sz w:val="24"/>
          <w:szCs w:val="24"/>
        </w:rPr>
        <w:t xml:space="preserve">relating to regulatory or fiscal changes which would adversely affect the profitability of all or part of the investment. </w:t>
      </w:r>
    </w:p>
    <w:p w14:paraId="179EC95D" w14:textId="15AE6E16" w:rsidR="007D5FB6" w:rsidRDefault="003F4CD0" w:rsidP="00D54F98">
      <w:pPr>
        <w:rPr>
          <w:sz w:val="24"/>
          <w:szCs w:val="24"/>
        </w:rPr>
      </w:pPr>
      <w:r>
        <w:rPr>
          <w:sz w:val="24"/>
          <w:szCs w:val="24"/>
        </w:rPr>
        <w:t>Stabilization clauses have been broken down into three types: freezing clauses (which may be full or limited in their scope); economic equilibrium clauses (which also may be full or limited); and clauses which are hybrids of these two types. Freezing clauses are the most restrictive</w:t>
      </w:r>
      <w:r w:rsidR="007D5FB6">
        <w:rPr>
          <w:sz w:val="24"/>
          <w:szCs w:val="24"/>
        </w:rPr>
        <w:t xml:space="preserve"> type of stabilization clause</w:t>
      </w:r>
      <w:r>
        <w:rPr>
          <w:sz w:val="24"/>
          <w:szCs w:val="24"/>
        </w:rPr>
        <w:t xml:space="preserve"> for host states</w:t>
      </w:r>
      <w:r w:rsidR="007D5FB6">
        <w:rPr>
          <w:sz w:val="24"/>
          <w:szCs w:val="24"/>
        </w:rPr>
        <w:t>, render</w:t>
      </w:r>
      <w:r>
        <w:rPr>
          <w:sz w:val="24"/>
          <w:szCs w:val="24"/>
        </w:rPr>
        <w:t>ing</w:t>
      </w:r>
      <w:r w:rsidR="007D5FB6" w:rsidRPr="00577074">
        <w:rPr>
          <w:sz w:val="24"/>
          <w:szCs w:val="24"/>
        </w:rPr>
        <w:t xml:space="preserve"> new laws inapplicable to an investment. They aim to </w:t>
      </w:r>
      <w:r w:rsidR="007D5FB6" w:rsidRPr="00577074">
        <w:rPr>
          <w:i/>
          <w:iCs/>
          <w:sz w:val="24"/>
          <w:szCs w:val="24"/>
        </w:rPr>
        <w:t xml:space="preserve">freeze </w:t>
      </w:r>
      <w:r w:rsidR="007D5FB6" w:rsidRPr="00577074">
        <w:rPr>
          <w:sz w:val="24"/>
          <w:szCs w:val="24"/>
        </w:rPr>
        <w:t>the law of the host state</w:t>
      </w:r>
      <w:r w:rsidR="007D5FB6">
        <w:rPr>
          <w:sz w:val="24"/>
          <w:szCs w:val="24"/>
        </w:rPr>
        <w:t xml:space="preserve"> at the time the contract is entered in to, potentially including human rights or related law,</w:t>
      </w:r>
      <w:r w:rsidR="007D5FB6" w:rsidRPr="00577074">
        <w:rPr>
          <w:sz w:val="24"/>
          <w:szCs w:val="24"/>
        </w:rPr>
        <w:t xml:space="preserve"> with respect to the </w:t>
      </w:r>
      <w:r w:rsidR="007D5FB6">
        <w:rPr>
          <w:sz w:val="24"/>
          <w:szCs w:val="24"/>
        </w:rPr>
        <w:t xml:space="preserve">foreign </w:t>
      </w:r>
      <w:r w:rsidR="007D5FB6" w:rsidRPr="00577074">
        <w:rPr>
          <w:sz w:val="24"/>
          <w:szCs w:val="24"/>
        </w:rPr>
        <w:t>investment project.</w:t>
      </w:r>
      <w:r w:rsidR="007D5FB6">
        <w:rPr>
          <w:sz w:val="24"/>
          <w:szCs w:val="24"/>
        </w:rPr>
        <w:t xml:space="preserve"> The least </w:t>
      </w:r>
      <w:r>
        <w:rPr>
          <w:sz w:val="24"/>
          <w:szCs w:val="24"/>
        </w:rPr>
        <w:t>restrictive for host states</w:t>
      </w:r>
      <w:r w:rsidR="007D5FB6">
        <w:rPr>
          <w:sz w:val="24"/>
          <w:szCs w:val="24"/>
        </w:rPr>
        <w:t xml:space="preserve"> of the types of stabilisation clause are limited economic equilibrium clauses</w:t>
      </w:r>
      <w:r w:rsidR="00D54F98">
        <w:rPr>
          <w:sz w:val="24"/>
          <w:szCs w:val="24"/>
        </w:rPr>
        <w:t xml:space="preserve">. </w:t>
      </w:r>
      <w:r>
        <w:rPr>
          <w:sz w:val="24"/>
          <w:szCs w:val="24"/>
        </w:rPr>
        <w:t>It is important to note that broadly framed c</w:t>
      </w:r>
      <w:r w:rsidR="007D5FB6" w:rsidRPr="00C40861">
        <w:rPr>
          <w:sz w:val="24"/>
          <w:szCs w:val="24"/>
        </w:rPr>
        <w:t>hange</w:t>
      </w:r>
      <w:r>
        <w:rPr>
          <w:sz w:val="24"/>
          <w:szCs w:val="24"/>
        </w:rPr>
        <w:t>-</w:t>
      </w:r>
      <w:r w:rsidR="007D5FB6" w:rsidRPr="00C40861">
        <w:rPr>
          <w:sz w:val="24"/>
          <w:szCs w:val="24"/>
        </w:rPr>
        <w:t>in</w:t>
      </w:r>
      <w:r>
        <w:rPr>
          <w:sz w:val="24"/>
          <w:szCs w:val="24"/>
        </w:rPr>
        <w:t>-</w:t>
      </w:r>
      <w:r w:rsidR="007D5FB6" w:rsidRPr="00C40861">
        <w:rPr>
          <w:sz w:val="24"/>
          <w:szCs w:val="24"/>
        </w:rPr>
        <w:t xml:space="preserve">law </w:t>
      </w:r>
      <w:r w:rsidR="007D5FB6">
        <w:rPr>
          <w:sz w:val="24"/>
          <w:szCs w:val="24"/>
        </w:rPr>
        <w:t xml:space="preserve">stabilization </w:t>
      </w:r>
      <w:r w:rsidR="007D5FB6" w:rsidRPr="00C40861">
        <w:rPr>
          <w:sz w:val="24"/>
          <w:szCs w:val="24"/>
        </w:rPr>
        <w:t>clause</w:t>
      </w:r>
      <w:r w:rsidR="007D5FB6">
        <w:rPr>
          <w:sz w:val="24"/>
          <w:szCs w:val="24"/>
        </w:rPr>
        <w:t>s</w:t>
      </w:r>
      <w:r w:rsidR="007D5FB6" w:rsidRPr="00C40861">
        <w:rPr>
          <w:sz w:val="24"/>
          <w:szCs w:val="24"/>
        </w:rPr>
        <w:t xml:space="preserve"> may be expressed to include </w:t>
      </w:r>
      <w:r w:rsidR="007D5FB6">
        <w:rPr>
          <w:sz w:val="24"/>
          <w:szCs w:val="24"/>
        </w:rPr>
        <w:t xml:space="preserve">not only </w:t>
      </w:r>
      <w:r w:rsidR="007D5FB6" w:rsidRPr="00C40861">
        <w:rPr>
          <w:sz w:val="24"/>
          <w:szCs w:val="24"/>
        </w:rPr>
        <w:t xml:space="preserve">changes made through </w:t>
      </w:r>
      <w:r w:rsidR="007D5FB6" w:rsidRPr="00715242">
        <w:rPr>
          <w:sz w:val="24"/>
          <w:szCs w:val="24"/>
        </w:rPr>
        <w:t>legislati</w:t>
      </w:r>
      <w:r w:rsidR="007D5FB6">
        <w:rPr>
          <w:sz w:val="24"/>
          <w:szCs w:val="24"/>
        </w:rPr>
        <w:t>ve measures</w:t>
      </w:r>
      <w:r w:rsidR="007D5FB6" w:rsidRPr="00715242">
        <w:rPr>
          <w:sz w:val="24"/>
          <w:szCs w:val="24"/>
        </w:rPr>
        <w:t xml:space="preserve"> </w:t>
      </w:r>
      <w:r w:rsidR="007D5FB6">
        <w:rPr>
          <w:sz w:val="24"/>
          <w:szCs w:val="24"/>
        </w:rPr>
        <w:t>but also</w:t>
      </w:r>
      <w:r w:rsidR="007D5FB6" w:rsidRPr="00715242">
        <w:rPr>
          <w:sz w:val="24"/>
          <w:szCs w:val="24"/>
        </w:rPr>
        <w:t xml:space="preserve"> </w:t>
      </w:r>
      <w:r w:rsidR="007D5FB6">
        <w:rPr>
          <w:sz w:val="24"/>
          <w:szCs w:val="24"/>
        </w:rPr>
        <w:t xml:space="preserve">those made through </w:t>
      </w:r>
      <w:r w:rsidR="007D5FB6" w:rsidRPr="00715242">
        <w:rPr>
          <w:sz w:val="24"/>
          <w:szCs w:val="24"/>
        </w:rPr>
        <w:t>executive</w:t>
      </w:r>
      <w:r w:rsidR="007D5FB6">
        <w:rPr>
          <w:sz w:val="24"/>
          <w:szCs w:val="24"/>
        </w:rPr>
        <w:t xml:space="preserve"> action</w:t>
      </w:r>
      <w:r w:rsidR="007D5FB6" w:rsidRPr="00715242">
        <w:rPr>
          <w:sz w:val="24"/>
          <w:szCs w:val="24"/>
        </w:rPr>
        <w:t xml:space="preserve"> </w:t>
      </w:r>
      <w:r w:rsidR="007D5FB6">
        <w:rPr>
          <w:sz w:val="24"/>
          <w:szCs w:val="24"/>
        </w:rPr>
        <w:t xml:space="preserve">(regulations) </w:t>
      </w:r>
      <w:r w:rsidR="007D5FB6" w:rsidRPr="00715242">
        <w:rPr>
          <w:sz w:val="24"/>
          <w:szCs w:val="24"/>
        </w:rPr>
        <w:t>and judicial</w:t>
      </w:r>
      <w:r w:rsidR="007D5FB6">
        <w:rPr>
          <w:sz w:val="24"/>
          <w:szCs w:val="24"/>
        </w:rPr>
        <w:t xml:space="preserve"> decisions,</w:t>
      </w:r>
      <w:r w:rsidR="007D5FB6" w:rsidRPr="00FE46F2">
        <w:rPr>
          <w:rStyle w:val="FootnoteReference"/>
          <w:sz w:val="24"/>
          <w:szCs w:val="24"/>
        </w:rPr>
        <w:footnoteReference w:id="5"/>
      </w:r>
      <w:r w:rsidR="007D5FB6">
        <w:rPr>
          <w:sz w:val="24"/>
          <w:szCs w:val="24"/>
        </w:rPr>
        <w:t xml:space="preserve"> changes in host state policy and changes brought about by the host state’s entering a new international treaty.</w:t>
      </w:r>
    </w:p>
    <w:p w14:paraId="718EE0BE" w14:textId="25C42022" w:rsidR="00D6667E" w:rsidRDefault="00D6667E" w:rsidP="00D6667E">
      <w:pPr>
        <w:rPr>
          <w:sz w:val="24"/>
          <w:szCs w:val="24"/>
          <w:vertAlign w:val="superscript"/>
        </w:rPr>
      </w:pPr>
      <w:r w:rsidRPr="00BD502C">
        <w:rPr>
          <w:sz w:val="24"/>
          <w:szCs w:val="24"/>
        </w:rPr>
        <w:t>Importantly, ‘</w:t>
      </w:r>
      <w:r>
        <w:rPr>
          <w:sz w:val="24"/>
          <w:szCs w:val="24"/>
        </w:rPr>
        <w:t xml:space="preserve">umbrella </w:t>
      </w:r>
      <w:r w:rsidRPr="00BD502C">
        <w:rPr>
          <w:sz w:val="24"/>
          <w:szCs w:val="24"/>
        </w:rPr>
        <w:t>clauses’</w:t>
      </w:r>
      <w:r>
        <w:rPr>
          <w:sz w:val="24"/>
          <w:szCs w:val="24"/>
        </w:rPr>
        <w:t xml:space="preserve"> exist in many </w:t>
      </w:r>
      <w:r w:rsidR="00995984">
        <w:rPr>
          <w:sz w:val="24"/>
          <w:szCs w:val="24"/>
        </w:rPr>
        <w:t>IIAs</w:t>
      </w:r>
      <w:r>
        <w:rPr>
          <w:sz w:val="24"/>
          <w:szCs w:val="24"/>
        </w:rPr>
        <w:t xml:space="preserve"> and have been interpreted to give</w:t>
      </w:r>
      <w:r w:rsidRPr="00BD502C">
        <w:rPr>
          <w:sz w:val="24"/>
          <w:szCs w:val="24"/>
        </w:rPr>
        <w:t xml:space="preserve"> investors the right to take a claimed violation of a stabilization clause</w:t>
      </w:r>
      <w:r w:rsidR="001C441E">
        <w:rPr>
          <w:sz w:val="24"/>
          <w:szCs w:val="24"/>
        </w:rPr>
        <w:t xml:space="preserve"> in a project contract</w:t>
      </w:r>
      <w:r w:rsidRPr="00BD502C">
        <w:rPr>
          <w:sz w:val="24"/>
          <w:szCs w:val="24"/>
        </w:rPr>
        <w:t xml:space="preserve"> to ISDS arbitration, as though </w:t>
      </w:r>
      <w:r w:rsidR="00995984">
        <w:rPr>
          <w:sz w:val="24"/>
          <w:szCs w:val="24"/>
        </w:rPr>
        <w:t>the clause</w:t>
      </w:r>
      <w:r w:rsidRPr="00BD502C">
        <w:rPr>
          <w:sz w:val="24"/>
          <w:szCs w:val="24"/>
        </w:rPr>
        <w:t xml:space="preserve"> were a term of the </w:t>
      </w:r>
      <w:r w:rsidR="00995984">
        <w:rPr>
          <w:sz w:val="24"/>
          <w:szCs w:val="24"/>
        </w:rPr>
        <w:t>IIA</w:t>
      </w:r>
      <w:r w:rsidRPr="00BD502C">
        <w:rPr>
          <w:sz w:val="24"/>
          <w:szCs w:val="24"/>
        </w:rPr>
        <w:t xml:space="preserve"> itself.</w:t>
      </w:r>
      <w:r w:rsidRPr="00BD502C">
        <w:rPr>
          <w:sz w:val="24"/>
          <w:szCs w:val="24"/>
          <w:vertAlign w:val="superscript"/>
        </w:rPr>
        <w:footnoteReference w:id="6"/>
      </w:r>
      <w:r w:rsidRPr="00BD502C">
        <w:rPr>
          <w:sz w:val="24"/>
          <w:szCs w:val="24"/>
          <w:vertAlign w:val="superscript"/>
        </w:rPr>
        <w:t xml:space="preserve"> </w:t>
      </w:r>
    </w:p>
    <w:p w14:paraId="70117EA2" w14:textId="59EE2950" w:rsidR="00783118" w:rsidRPr="00783118" w:rsidRDefault="00783118" w:rsidP="00783118">
      <w:pPr>
        <w:rPr>
          <w:b/>
          <w:bCs/>
          <w:sz w:val="28"/>
          <w:szCs w:val="28"/>
        </w:rPr>
      </w:pPr>
      <w:r w:rsidRPr="00783118">
        <w:rPr>
          <w:b/>
          <w:bCs/>
          <w:sz w:val="28"/>
          <w:szCs w:val="28"/>
        </w:rPr>
        <w:t>Stabilization clauses and human rights</w:t>
      </w:r>
    </w:p>
    <w:p w14:paraId="7D49E1BC" w14:textId="1FC3AF98" w:rsidR="00FF7F39" w:rsidRPr="00FF7F39" w:rsidRDefault="00FF7F39" w:rsidP="00FF7F39">
      <w:pPr>
        <w:pStyle w:val="Default"/>
        <w:rPr>
          <w:rFonts w:asciiTheme="minorHAnsi" w:hAnsiTheme="minorHAnsi" w:cstheme="minorHAnsi"/>
        </w:rPr>
      </w:pPr>
      <w:r w:rsidRPr="00FF7F39">
        <w:rPr>
          <w:rFonts w:asciiTheme="minorHAnsi" w:hAnsiTheme="minorHAnsi" w:cstheme="minorHAnsi"/>
        </w:rPr>
        <w:t>In 2009, a research project was conducted by Andrea Shemburg for the International Finance Corporation and the United Nations Special Representative of the Secretary-General on Business and Human Rights. The project was</w:t>
      </w:r>
      <w:r w:rsidR="00783118" w:rsidRPr="00FF7F39">
        <w:rPr>
          <w:rFonts w:asciiTheme="minorHAnsi" w:hAnsiTheme="minorHAnsi" w:cstheme="minorHAnsi"/>
        </w:rPr>
        <w:t xml:space="preserve"> to examine whether stabilization clauses</w:t>
      </w:r>
      <w:r w:rsidRPr="00FF7F39">
        <w:rPr>
          <w:rFonts w:asciiTheme="minorHAnsi" w:hAnsiTheme="minorHAnsi" w:cstheme="minorHAnsi"/>
        </w:rPr>
        <w:t xml:space="preserve"> </w:t>
      </w:r>
      <w:r w:rsidR="00783118" w:rsidRPr="00FF7F39">
        <w:rPr>
          <w:rFonts w:asciiTheme="minorHAnsi" w:hAnsiTheme="minorHAnsi" w:cstheme="minorHAnsi"/>
        </w:rPr>
        <w:t xml:space="preserve">may affect a </w:t>
      </w:r>
      <w:r w:rsidRPr="00FF7F39">
        <w:rPr>
          <w:rFonts w:asciiTheme="minorHAnsi" w:hAnsiTheme="minorHAnsi" w:cstheme="minorHAnsi"/>
        </w:rPr>
        <w:t xml:space="preserve">host </w:t>
      </w:r>
      <w:r w:rsidR="00783118" w:rsidRPr="00FF7F39">
        <w:rPr>
          <w:rFonts w:asciiTheme="minorHAnsi" w:hAnsiTheme="minorHAnsi" w:cstheme="minorHAnsi"/>
        </w:rPr>
        <w:t>state’s action to implement its international human rights obligations.</w:t>
      </w:r>
      <w:r w:rsidRPr="00FF7F39">
        <w:rPr>
          <w:rStyle w:val="FootnoteReference"/>
          <w:rFonts w:asciiTheme="minorHAnsi" w:hAnsiTheme="minorHAnsi" w:cstheme="minorHAnsi"/>
        </w:rPr>
        <w:footnoteReference w:id="7"/>
      </w:r>
      <w:r w:rsidR="00783118" w:rsidRPr="00FF7F39">
        <w:rPr>
          <w:rFonts w:asciiTheme="minorHAnsi" w:hAnsiTheme="minorHAnsi" w:cstheme="minorHAnsi"/>
        </w:rPr>
        <w:t xml:space="preserve"> </w:t>
      </w:r>
      <w:r w:rsidRPr="00FF7F39">
        <w:rPr>
          <w:rFonts w:asciiTheme="minorHAnsi" w:hAnsiTheme="minorHAnsi" w:cstheme="minorHAnsi"/>
        </w:rPr>
        <w:t>Shemberg explains</w:t>
      </w:r>
      <w:r w:rsidR="009C1B1A">
        <w:rPr>
          <w:rFonts w:asciiTheme="minorHAnsi" w:hAnsiTheme="minorHAnsi" w:cstheme="minorHAnsi"/>
        </w:rPr>
        <w:t xml:space="preserve"> in the Abstract</w:t>
      </w:r>
      <w:r w:rsidRPr="00FF7F39">
        <w:rPr>
          <w:rFonts w:asciiTheme="minorHAnsi" w:hAnsiTheme="minorHAnsi" w:cstheme="minorHAnsi"/>
        </w:rPr>
        <w:t xml:space="preserve"> that the</w:t>
      </w:r>
      <w:r w:rsidR="00783118" w:rsidRPr="00FF7F39">
        <w:rPr>
          <w:rFonts w:asciiTheme="minorHAnsi" w:hAnsiTheme="minorHAnsi" w:cstheme="minorHAnsi"/>
        </w:rPr>
        <w:t xml:space="preserve"> study</w:t>
      </w:r>
      <w:r w:rsidRPr="00FF7F39">
        <w:rPr>
          <w:rFonts w:asciiTheme="minorHAnsi" w:hAnsiTheme="minorHAnsi" w:cstheme="minorHAnsi"/>
        </w:rPr>
        <w:t xml:space="preserve">, </w:t>
      </w:r>
    </w:p>
    <w:p w14:paraId="5D4E9598" w14:textId="77777777" w:rsidR="00FF7F39" w:rsidRPr="00FF7F39" w:rsidRDefault="00FF7F39" w:rsidP="00FF7F39">
      <w:pPr>
        <w:pStyle w:val="Default"/>
        <w:rPr>
          <w:rFonts w:asciiTheme="minorHAnsi" w:hAnsiTheme="minorHAnsi" w:cstheme="minorHAnsi"/>
        </w:rPr>
      </w:pPr>
    </w:p>
    <w:p w14:paraId="5B3BC0EE" w14:textId="77777777" w:rsidR="003A117C" w:rsidRDefault="00783118" w:rsidP="00FF7F39">
      <w:pPr>
        <w:pStyle w:val="Default"/>
        <w:ind w:left="720"/>
        <w:rPr>
          <w:rFonts w:asciiTheme="minorHAnsi" w:hAnsiTheme="minorHAnsi" w:cstheme="minorHAnsi"/>
        </w:rPr>
      </w:pPr>
      <w:r w:rsidRPr="00FF7F39">
        <w:rPr>
          <w:rFonts w:asciiTheme="minorHAnsi" w:hAnsiTheme="minorHAnsi" w:cstheme="minorHAnsi"/>
        </w:rPr>
        <w:t xml:space="preserve">examined whether stabilization clauses can limit the application of new social and environmental regulations to investment activities over the life of the investment, or to obtain compensation from host states for the costs of compliance with such new laws. This study used social and environmental laws (such as nondiscrimination, health and safety, labor and employment rights, and the protection of the environment and cultural heritage) as a surrogate for human rights obligations, because </w:t>
      </w:r>
      <w:r w:rsidR="00FF7F39" w:rsidRPr="00FF7F39">
        <w:rPr>
          <w:rFonts w:asciiTheme="minorHAnsi" w:hAnsiTheme="minorHAnsi" w:cstheme="minorHAnsi"/>
        </w:rPr>
        <w:t xml:space="preserve">[these laws] </w:t>
      </w:r>
      <w:r w:rsidRPr="00FF7F39">
        <w:rPr>
          <w:rFonts w:asciiTheme="minorHAnsi" w:hAnsiTheme="minorHAnsi" w:cstheme="minorHAnsi"/>
        </w:rPr>
        <w:t>are some of the more easily identifiable legislative areas that can both protect rights and impact investors.</w:t>
      </w:r>
      <w:r w:rsidR="00FF7F39" w:rsidRPr="00FF7F39">
        <w:rPr>
          <w:rFonts w:asciiTheme="minorHAnsi" w:hAnsiTheme="minorHAnsi" w:cstheme="minorHAnsi"/>
        </w:rPr>
        <w:t xml:space="preserve"> </w:t>
      </w:r>
    </w:p>
    <w:p w14:paraId="31EB0241" w14:textId="77777777" w:rsidR="003A117C" w:rsidRDefault="003A117C" w:rsidP="00FF7F39">
      <w:pPr>
        <w:pStyle w:val="Default"/>
        <w:ind w:left="720"/>
        <w:rPr>
          <w:rFonts w:asciiTheme="minorHAnsi" w:hAnsiTheme="minorHAnsi" w:cstheme="minorHAnsi"/>
        </w:rPr>
      </w:pPr>
    </w:p>
    <w:p w14:paraId="20B3DB13" w14:textId="543C7882" w:rsidR="00783118" w:rsidRDefault="00FF7F39" w:rsidP="003A117C">
      <w:pPr>
        <w:pStyle w:val="Default"/>
        <w:rPr>
          <w:rFonts w:asciiTheme="minorHAnsi" w:hAnsiTheme="minorHAnsi" w:cstheme="minorHAnsi"/>
        </w:rPr>
      </w:pPr>
      <w:r w:rsidRPr="00FF7F39">
        <w:rPr>
          <w:rFonts w:asciiTheme="minorHAnsi" w:hAnsiTheme="minorHAnsi" w:cstheme="minorHAnsi"/>
        </w:rPr>
        <w:lastRenderedPageBreak/>
        <w:t>Th</w:t>
      </w:r>
      <w:r w:rsidR="003A117C">
        <w:rPr>
          <w:rFonts w:asciiTheme="minorHAnsi" w:hAnsiTheme="minorHAnsi" w:cstheme="minorHAnsi"/>
        </w:rPr>
        <w:t xml:space="preserve">e Shemberg </w:t>
      </w:r>
      <w:r w:rsidR="00AD0D91">
        <w:rPr>
          <w:rFonts w:asciiTheme="minorHAnsi" w:hAnsiTheme="minorHAnsi" w:cstheme="minorHAnsi"/>
        </w:rPr>
        <w:t>study</w:t>
      </w:r>
      <w:r w:rsidR="003A117C">
        <w:rPr>
          <w:rFonts w:asciiTheme="minorHAnsi" w:hAnsiTheme="minorHAnsi" w:cstheme="minorHAnsi"/>
        </w:rPr>
        <w:t xml:space="preserve">, together with a study </w:t>
      </w:r>
      <w:r w:rsidR="00AD0D91">
        <w:rPr>
          <w:rFonts w:asciiTheme="minorHAnsi" w:hAnsiTheme="minorHAnsi" w:cstheme="minorHAnsi"/>
        </w:rPr>
        <w:t xml:space="preserve">in Africa </w:t>
      </w:r>
      <w:r w:rsidR="003A117C">
        <w:rPr>
          <w:rFonts w:asciiTheme="minorHAnsi" w:hAnsiTheme="minorHAnsi" w:cstheme="minorHAnsi"/>
        </w:rPr>
        <w:t>by Frank (both discussed below), provides concrete evidence th</w:t>
      </w:r>
      <w:r w:rsidRPr="00FF7F39">
        <w:rPr>
          <w:rFonts w:asciiTheme="minorHAnsi" w:hAnsiTheme="minorHAnsi" w:cstheme="minorHAnsi"/>
        </w:rPr>
        <w:t xml:space="preserve">at stabilization clauses </w:t>
      </w:r>
      <w:r w:rsidR="003A117C">
        <w:rPr>
          <w:rFonts w:asciiTheme="minorHAnsi" w:hAnsiTheme="minorHAnsi" w:cstheme="minorHAnsi"/>
        </w:rPr>
        <w:t>with non-</w:t>
      </w:r>
      <w:r w:rsidRPr="00FF7F39">
        <w:rPr>
          <w:rFonts w:asciiTheme="minorHAnsi" w:hAnsiTheme="minorHAnsi" w:cstheme="minorHAnsi"/>
        </w:rPr>
        <w:t>OECD</w:t>
      </w:r>
      <w:r w:rsidR="003A117C">
        <w:rPr>
          <w:rFonts w:asciiTheme="minorHAnsi" w:hAnsiTheme="minorHAnsi" w:cstheme="minorHAnsi"/>
        </w:rPr>
        <w:t xml:space="preserve"> and African host states</w:t>
      </w:r>
      <w:r w:rsidRPr="00FF7F39">
        <w:rPr>
          <w:rFonts w:asciiTheme="minorHAnsi" w:hAnsiTheme="minorHAnsi" w:cstheme="minorHAnsi"/>
        </w:rPr>
        <w:t xml:space="preserve"> </w:t>
      </w:r>
      <w:r w:rsidR="003A117C">
        <w:rPr>
          <w:rFonts w:asciiTheme="minorHAnsi" w:hAnsiTheme="minorHAnsi" w:cstheme="minorHAnsi"/>
        </w:rPr>
        <w:t>have been</w:t>
      </w:r>
      <w:r w:rsidRPr="00FF7F39">
        <w:rPr>
          <w:rFonts w:asciiTheme="minorHAnsi" w:hAnsiTheme="minorHAnsi" w:cstheme="minorHAnsi"/>
        </w:rPr>
        <w:t xml:space="preserve"> drafted in way</w:t>
      </w:r>
      <w:r w:rsidR="003A117C">
        <w:rPr>
          <w:rFonts w:asciiTheme="minorHAnsi" w:hAnsiTheme="minorHAnsi" w:cstheme="minorHAnsi"/>
        </w:rPr>
        <w:t>s</w:t>
      </w:r>
      <w:r w:rsidRPr="00FF7F39">
        <w:rPr>
          <w:rFonts w:asciiTheme="minorHAnsi" w:hAnsiTheme="minorHAnsi" w:cstheme="minorHAnsi"/>
        </w:rPr>
        <w:t xml:space="preserve"> </w:t>
      </w:r>
      <w:r w:rsidR="003A117C">
        <w:rPr>
          <w:rFonts w:asciiTheme="minorHAnsi" w:hAnsiTheme="minorHAnsi" w:cstheme="minorHAnsi"/>
        </w:rPr>
        <w:t xml:space="preserve">which may </w:t>
      </w:r>
      <w:r w:rsidRPr="00FF7F39">
        <w:rPr>
          <w:rFonts w:asciiTheme="minorHAnsi" w:hAnsiTheme="minorHAnsi" w:cstheme="minorHAnsi"/>
        </w:rPr>
        <w:t xml:space="preserve">insulate </w:t>
      </w:r>
      <w:r w:rsidR="003A117C">
        <w:rPr>
          <w:rFonts w:asciiTheme="minorHAnsi" w:hAnsiTheme="minorHAnsi" w:cstheme="minorHAnsi"/>
        </w:rPr>
        <w:t xml:space="preserve">foreign </w:t>
      </w:r>
      <w:r w:rsidRPr="00FF7F39">
        <w:rPr>
          <w:rFonts w:asciiTheme="minorHAnsi" w:hAnsiTheme="minorHAnsi" w:cstheme="minorHAnsi"/>
        </w:rPr>
        <w:t xml:space="preserve">investors from having to implement new environmental and social laws </w:t>
      </w:r>
      <w:r w:rsidR="003A117C">
        <w:rPr>
          <w:rFonts w:asciiTheme="minorHAnsi" w:hAnsiTheme="minorHAnsi" w:cstheme="minorHAnsi"/>
        </w:rPr>
        <w:t>or may</w:t>
      </w:r>
      <w:r w:rsidRPr="00FF7F39">
        <w:rPr>
          <w:rFonts w:asciiTheme="minorHAnsi" w:hAnsiTheme="minorHAnsi" w:cstheme="minorHAnsi"/>
        </w:rPr>
        <w:t xml:space="preserve"> provide </w:t>
      </w:r>
      <w:r w:rsidR="003A117C">
        <w:rPr>
          <w:rFonts w:asciiTheme="minorHAnsi" w:hAnsiTheme="minorHAnsi" w:cstheme="minorHAnsi"/>
        </w:rPr>
        <w:t xml:space="preserve">foreign </w:t>
      </w:r>
      <w:r w:rsidRPr="00FF7F39">
        <w:rPr>
          <w:rFonts w:asciiTheme="minorHAnsi" w:hAnsiTheme="minorHAnsi" w:cstheme="minorHAnsi"/>
        </w:rPr>
        <w:t xml:space="preserve">investors with </w:t>
      </w:r>
      <w:r w:rsidR="003A117C">
        <w:rPr>
          <w:rFonts w:asciiTheme="minorHAnsi" w:hAnsiTheme="minorHAnsi" w:cstheme="minorHAnsi"/>
        </w:rPr>
        <w:t xml:space="preserve">the rights and avenues for claiming </w:t>
      </w:r>
      <w:r w:rsidRPr="00FF7F39">
        <w:rPr>
          <w:rFonts w:asciiTheme="minorHAnsi" w:hAnsiTheme="minorHAnsi" w:cstheme="minorHAnsi"/>
        </w:rPr>
        <w:t>compensat</w:t>
      </w:r>
      <w:r w:rsidR="003A117C">
        <w:rPr>
          <w:rFonts w:asciiTheme="minorHAnsi" w:hAnsiTheme="minorHAnsi" w:cstheme="minorHAnsi"/>
        </w:rPr>
        <w:t>ion</w:t>
      </w:r>
      <w:r w:rsidRPr="00FF7F39">
        <w:rPr>
          <w:rFonts w:asciiTheme="minorHAnsi" w:hAnsiTheme="minorHAnsi" w:cstheme="minorHAnsi"/>
        </w:rPr>
        <w:t xml:space="preserve"> for compliance with such laws.</w:t>
      </w:r>
    </w:p>
    <w:p w14:paraId="6ECC2D62" w14:textId="77777777" w:rsidR="003A117C" w:rsidRPr="00FF7F39" w:rsidRDefault="003A117C" w:rsidP="00FF7F39">
      <w:pPr>
        <w:pStyle w:val="Default"/>
        <w:ind w:left="720"/>
        <w:rPr>
          <w:rFonts w:asciiTheme="minorHAnsi" w:hAnsiTheme="minorHAnsi" w:cstheme="minorHAnsi"/>
        </w:rPr>
      </w:pPr>
    </w:p>
    <w:p w14:paraId="68CBCEDD" w14:textId="01745BBD" w:rsidR="00D6667E" w:rsidRPr="00D6667E" w:rsidRDefault="00D6667E" w:rsidP="001E26A6">
      <w:pPr>
        <w:rPr>
          <w:b/>
          <w:bCs/>
          <w:sz w:val="28"/>
          <w:szCs w:val="28"/>
        </w:rPr>
      </w:pPr>
      <w:r w:rsidRPr="00D6667E">
        <w:rPr>
          <w:b/>
          <w:bCs/>
          <w:sz w:val="28"/>
          <w:szCs w:val="28"/>
        </w:rPr>
        <w:t>The scope and extent of stabilization clauses</w:t>
      </w:r>
    </w:p>
    <w:p w14:paraId="23DBDB89" w14:textId="3F9B7F8A" w:rsidR="0028053E" w:rsidRDefault="001C441E" w:rsidP="00D5760D">
      <w:pPr>
        <w:rPr>
          <w:sz w:val="24"/>
          <w:szCs w:val="24"/>
        </w:rPr>
      </w:pPr>
      <w:r>
        <w:rPr>
          <w:sz w:val="24"/>
          <w:szCs w:val="24"/>
        </w:rPr>
        <w:t xml:space="preserve">Not </w:t>
      </w:r>
      <w:r w:rsidR="005A5692">
        <w:rPr>
          <w:sz w:val="24"/>
          <w:szCs w:val="24"/>
        </w:rPr>
        <w:t>enough</w:t>
      </w:r>
      <w:r w:rsidR="00D6667E">
        <w:rPr>
          <w:sz w:val="24"/>
          <w:szCs w:val="24"/>
        </w:rPr>
        <w:t xml:space="preserve"> is known about the extent and scope of stabilization clauses</w:t>
      </w:r>
      <w:r>
        <w:rPr>
          <w:sz w:val="24"/>
          <w:szCs w:val="24"/>
        </w:rPr>
        <w:t>, largely because</w:t>
      </w:r>
      <w:r w:rsidR="00D6667E">
        <w:rPr>
          <w:sz w:val="24"/>
          <w:szCs w:val="24"/>
        </w:rPr>
        <w:t xml:space="preserve"> the terms of project contracts</w:t>
      </w:r>
      <w:r>
        <w:rPr>
          <w:sz w:val="24"/>
          <w:szCs w:val="24"/>
        </w:rPr>
        <w:t xml:space="preserve"> are</w:t>
      </w:r>
      <w:r w:rsidR="00D6667E">
        <w:rPr>
          <w:sz w:val="24"/>
          <w:szCs w:val="24"/>
        </w:rPr>
        <w:t xml:space="preserve"> typically confidential</w:t>
      </w:r>
      <w:r>
        <w:rPr>
          <w:sz w:val="24"/>
          <w:szCs w:val="24"/>
        </w:rPr>
        <w:t xml:space="preserve"> and</w:t>
      </w:r>
      <w:r w:rsidR="00D6667E">
        <w:rPr>
          <w:sz w:val="24"/>
          <w:szCs w:val="24"/>
        </w:rPr>
        <w:t xml:space="preserve"> arbitrations of disputes between host states and foreign investors are not ordinarily fully reported. </w:t>
      </w:r>
      <w:r w:rsidR="005A5692">
        <w:rPr>
          <w:sz w:val="24"/>
          <w:szCs w:val="24"/>
        </w:rPr>
        <w:t>However,</w:t>
      </w:r>
      <w:r>
        <w:rPr>
          <w:sz w:val="24"/>
          <w:szCs w:val="24"/>
        </w:rPr>
        <w:t xml:space="preserve"> two recent studies have shed </w:t>
      </w:r>
      <w:r w:rsidR="005A5692">
        <w:rPr>
          <w:sz w:val="24"/>
          <w:szCs w:val="24"/>
        </w:rPr>
        <w:t>important</w:t>
      </w:r>
      <w:r>
        <w:rPr>
          <w:sz w:val="24"/>
          <w:szCs w:val="24"/>
        </w:rPr>
        <w:t xml:space="preserve"> light on the subject. </w:t>
      </w:r>
    </w:p>
    <w:p w14:paraId="34D9B524" w14:textId="6DB610F1" w:rsidR="005A5692" w:rsidRDefault="00783118" w:rsidP="001C441E">
      <w:pPr>
        <w:rPr>
          <w:sz w:val="24"/>
          <w:szCs w:val="24"/>
        </w:rPr>
      </w:pPr>
      <w:r>
        <w:rPr>
          <w:sz w:val="24"/>
          <w:szCs w:val="24"/>
        </w:rPr>
        <w:t>The</w:t>
      </w:r>
      <w:r w:rsidR="001C441E">
        <w:rPr>
          <w:sz w:val="24"/>
          <w:szCs w:val="24"/>
        </w:rPr>
        <w:t xml:space="preserve"> Shemberg </w:t>
      </w:r>
      <w:r>
        <w:rPr>
          <w:sz w:val="24"/>
          <w:szCs w:val="24"/>
        </w:rPr>
        <w:t xml:space="preserve">study </w:t>
      </w:r>
      <w:r w:rsidR="001C441E">
        <w:rPr>
          <w:sz w:val="24"/>
          <w:szCs w:val="24"/>
        </w:rPr>
        <w:t>analysed stabilization clauses in 76 contracts and 12 contract models across a number of industries and most regions.</w:t>
      </w:r>
      <w:r w:rsidR="00F8013E">
        <w:rPr>
          <w:rStyle w:val="FootnoteReference"/>
          <w:sz w:val="24"/>
          <w:szCs w:val="24"/>
        </w:rPr>
        <w:footnoteReference w:id="8"/>
      </w:r>
      <w:r w:rsidR="001C441E">
        <w:rPr>
          <w:sz w:val="24"/>
          <w:szCs w:val="24"/>
        </w:rPr>
        <w:t xml:space="preserve"> The study differentiated between project contracts with OECD and non-OECD host states, rather than between develop</w:t>
      </w:r>
      <w:r w:rsidR="005A5692">
        <w:rPr>
          <w:sz w:val="24"/>
          <w:szCs w:val="24"/>
        </w:rPr>
        <w:t>ed</w:t>
      </w:r>
      <w:r w:rsidR="001C441E">
        <w:rPr>
          <w:sz w:val="24"/>
          <w:szCs w:val="24"/>
        </w:rPr>
        <w:t xml:space="preserve"> and develop</w:t>
      </w:r>
      <w:r w:rsidR="005A5692">
        <w:rPr>
          <w:sz w:val="24"/>
          <w:szCs w:val="24"/>
        </w:rPr>
        <w:t>ing</w:t>
      </w:r>
      <w:r w:rsidR="001C441E">
        <w:rPr>
          <w:sz w:val="24"/>
          <w:szCs w:val="24"/>
        </w:rPr>
        <w:t xml:space="preserve"> states. Shemberg found that </w:t>
      </w:r>
      <w:r w:rsidR="00B41BF9">
        <w:rPr>
          <w:sz w:val="24"/>
          <w:szCs w:val="24"/>
        </w:rPr>
        <w:t xml:space="preserve">stabilization clauses in project contracts </w:t>
      </w:r>
      <w:r w:rsidR="00E13015">
        <w:rPr>
          <w:sz w:val="24"/>
          <w:szCs w:val="24"/>
        </w:rPr>
        <w:t xml:space="preserve">(and other sources) </w:t>
      </w:r>
      <w:r w:rsidR="00B41BF9">
        <w:rPr>
          <w:sz w:val="24"/>
          <w:szCs w:val="24"/>
        </w:rPr>
        <w:t xml:space="preserve">with non-OECD host states were common. She also found that </w:t>
      </w:r>
      <w:r w:rsidR="001C441E">
        <w:rPr>
          <w:sz w:val="24"/>
          <w:szCs w:val="24"/>
        </w:rPr>
        <w:t xml:space="preserve">the more broadly framed </w:t>
      </w:r>
      <w:r w:rsidR="00F8013E">
        <w:rPr>
          <w:sz w:val="24"/>
          <w:szCs w:val="24"/>
        </w:rPr>
        <w:t xml:space="preserve">and onerous </w:t>
      </w:r>
      <w:r w:rsidR="001C441E">
        <w:rPr>
          <w:sz w:val="24"/>
          <w:szCs w:val="24"/>
        </w:rPr>
        <w:t xml:space="preserve">types of </w:t>
      </w:r>
      <w:r w:rsidR="005A5692">
        <w:rPr>
          <w:sz w:val="24"/>
          <w:szCs w:val="24"/>
        </w:rPr>
        <w:t xml:space="preserve">stabilization </w:t>
      </w:r>
      <w:r w:rsidR="001C441E">
        <w:rPr>
          <w:sz w:val="24"/>
          <w:szCs w:val="24"/>
        </w:rPr>
        <w:t>clause were included far more frequently and widely with non-OECD than with OECD states, although the sample included only a small number of contracts and models with OECD host states (13 of the 88).</w:t>
      </w:r>
      <w:r w:rsidR="00AD18EE">
        <w:rPr>
          <w:sz w:val="24"/>
          <w:szCs w:val="24"/>
        </w:rPr>
        <w:t xml:space="preserve"> </w:t>
      </w:r>
    </w:p>
    <w:p w14:paraId="2AAF5679" w14:textId="639937AB" w:rsidR="001C441E" w:rsidRPr="00577074" w:rsidRDefault="00AD18EE" w:rsidP="001C441E">
      <w:pPr>
        <w:rPr>
          <w:sz w:val="24"/>
          <w:szCs w:val="24"/>
        </w:rPr>
      </w:pPr>
      <w:r>
        <w:rPr>
          <w:sz w:val="24"/>
          <w:szCs w:val="24"/>
        </w:rPr>
        <w:t>Shemberg reports that</w:t>
      </w:r>
      <w:r w:rsidR="001C441E">
        <w:rPr>
          <w:sz w:val="24"/>
          <w:szCs w:val="24"/>
        </w:rPr>
        <w:t xml:space="preserve"> p</w:t>
      </w:r>
      <w:r w:rsidR="001C441E" w:rsidRPr="00077CEB">
        <w:rPr>
          <w:sz w:val="24"/>
          <w:szCs w:val="24"/>
        </w:rPr>
        <w:t xml:space="preserve">ractitioners interviewed </w:t>
      </w:r>
      <w:r w:rsidR="001C441E">
        <w:rPr>
          <w:sz w:val="24"/>
          <w:szCs w:val="24"/>
        </w:rPr>
        <w:t xml:space="preserve">during the study </w:t>
      </w:r>
      <w:r w:rsidR="001C441E" w:rsidRPr="00077CEB">
        <w:rPr>
          <w:sz w:val="24"/>
          <w:szCs w:val="24"/>
        </w:rPr>
        <w:t xml:space="preserve">expressed the view that modern investment </w:t>
      </w:r>
      <w:r w:rsidR="001C441E">
        <w:rPr>
          <w:sz w:val="24"/>
          <w:szCs w:val="24"/>
        </w:rPr>
        <w:t xml:space="preserve">project </w:t>
      </w:r>
      <w:r w:rsidR="001C441E" w:rsidRPr="00077CEB">
        <w:rPr>
          <w:sz w:val="24"/>
          <w:szCs w:val="24"/>
        </w:rPr>
        <w:t>contracts generally do not contain</w:t>
      </w:r>
      <w:r>
        <w:rPr>
          <w:sz w:val="24"/>
          <w:szCs w:val="24"/>
        </w:rPr>
        <w:t xml:space="preserve"> freezing clauses, yet her</w:t>
      </w:r>
      <w:r w:rsidR="001C441E" w:rsidRPr="00077CEB">
        <w:rPr>
          <w:sz w:val="24"/>
          <w:szCs w:val="24"/>
        </w:rPr>
        <w:t xml:space="preserve"> research demonstrates that</w:t>
      </w:r>
      <w:r w:rsidR="005A5692">
        <w:rPr>
          <w:sz w:val="24"/>
          <w:szCs w:val="24"/>
        </w:rPr>
        <w:t>, on the contrary,</w:t>
      </w:r>
      <w:r w:rsidR="001C441E" w:rsidRPr="00077CEB">
        <w:rPr>
          <w:sz w:val="24"/>
          <w:szCs w:val="24"/>
        </w:rPr>
        <w:t xml:space="preserve"> they are</w:t>
      </w:r>
      <w:r w:rsidR="005A5692">
        <w:rPr>
          <w:sz w:val="24"/>
          <w:szCs w:val="24"/>
        </w:rPr>
        <w:t xml:space="preserve"> still</w:t>
      </w:r>
      <w:r w:rsidR="001C441E" w:rsidRPr="00077CEB">
        <w:rPr>
          <w:sz w:val="24"/>
          <w:szCs w:val="24"/>
        </w:rPr>
        <w:t xml:space="preserve"> </w:t>
      </w:r>
      <w:r w:rsidR="001C441E">
        <w:rPr>
          <w:sz w:val="24"/>
          <w:szCs w:val="24"/>
        </w:rPr>
        <w:t xml:space="preserve">very much </w:t>
      </w:r>
      <w:r w:rsidR="001C441E" w:rsidRPr="00077CEB">
        <w:rPr>
          <w:sz w:val="24"/>
          <w:szCs w:val="24"/>
        </w:rPr>
        <w:t xml:space="preserve">in use. </w:t>
      </w:r>
      <w:r w:rsidR="001C441E">
        <w:rPr>
          <w:sz w:val="24"/>
          <w:szCs w:val="24"/>
        </w:rPr>
        <w:t xml:space="preserve">Equally significantly, the study found that even where the </w:t>
      </w:r>
      <w:r w:rsidR="00F8013E">
        <w:rPr>
          <w:sz w:val="24"/>
          <w:szCs w:val="24"/>
        </w:rPr>
        <w:t xml:space="preserve">least </w:t>
      </w:r>
      <w:r w:rsidR="00B41BF9">
        <w:rPr>
          <w:sz w:val="24"/>
          <w:szCs w:val="24"/>
        </w:rPr>
        <w:t>restrictive</w:t>
      </w:r>
      <w:r w:rsidR="001C441E">
        <w:rPr>
          <w:sz w:val="24"/>
          <w:szCs w:val="24"/>
        </w:rPr>
        <w:t xml:space="preserve"> of the</w:t>
      </w:r>
      <w:r w:rsidR="005D64B7">
        <w:rPr>
          <w:sz w:val="24"/>
          <w:szCs w:val="24"/>
        </w:rPr>
        <w:t xml:space="preserve"> types of stabilisation</w:t>
      </w:r>
      <w:r w:rsidR="001C441E">
        <w:rPr>
          <w:sz w:val="24"/>
          <w:szCs w:val="24"/>
        </w:rPr>
        <w:t xml:space="preserve"> clause used with non-OECD host states</w:t>
      </w:r>
      <w:r w:rsidR="001C441E" w:rsidRPr="00077CEB">
        <w:rPr>
          <w:sz w:val="24"/>
          <w:szCs w:val="24"/>
        </w:rPr>
        <w:t xml:space="preserve">, their terms were more burdensome </w:t>
      </w:r>
      <w:r w:rsidR="001C441E">
        <w:rPr>
          <w:sz w:val="24"/>
          <w:szCs w:val="24"/>
        </w:rPr>
        <w:t xml:space="preserve">than for </w:t>
      </w:r>
      <w:r w:rsidR="00ED12E5">
        <w:rPr>
          <w:sz w:val="24"/>
          <w:szCs w:val="24"/>
        </w:rPr>
        <w:t xml:space="preserve">project contracts involving </w:t>
      </w:r>
      <w:r w:rsidR="001C441E">
        <w:rPr>
          <w:sz w:val="24"/>
          <w:szCs w:val="24"/>
        </w:rPr>
        <w:t>OECD hosts states.</w:t>
      </w:r>
      <w:r>
        <w:rPr>
          <w:rStyle w:val="FootnoteReference"/>
          <w:sz w:val="24"/>
          <w:szCs w:val="24"/>
        </w:rPr>
        <w:footnoteReference w:id="9"/>
      </w:r>
    </w:p>
    <w:p w14:paraId="23951EF9" w14:textId="6049E6B8" w:rsidR="001C441E" w:rsidRDefault="00AD0D91" w:rsidP="001C441E">
      <w:pPr>
        <w:rPr>
          <w:sz w:val="24"/>
          <w:szCs w:val="24"/>
        </w:rPr>
      </w:pPr>
      <w:r>
        <w:rPr>
          <w:sz w:val="24"/>
          <w:szCs w:val="24"/>
        </w:rPr>
        <w:t>The</w:t>
      </w:r>
      <w:r w:rsidR="001C441E">
        <w:rPr>
          <w:sz w:val="24"/>
          <w:szCs w:val="24"/>
        </w:rPr>
        <w:t xml:space="preserve"> more recent study by Frank, investigating stabilization clauses in project contracts with African host states, confirmed that ‘full freezing clauses and full economic equilibrium clauses constitute the bulk of the stabilization clauses currently in use’ in Africa and that ‘the stringent nature of these full stabilization clauses gives investors extensive bargaining powers’.</w:t>
      </w:r>
      <w:r w:rsidR="001C441E">
        <w:rPr>
          <w:rStyle w:val="FootnoteReference"/>
          <w:sz w:val="24"/>
          <w:szCs w:val="24"/>
        </w:rPr>
        <w:footnoteReference w:id="10"/>
      </w:r>
      <w:r w:rsidR="001C441E">
        <w:rPr>
          <w:sz w:val="24"/>
          <w:szCs w:val="24"/>
        </w:rPr>
        <w:t xml:space="preserve"> </w:t>
      </w:r>
      <w:r w:rsidR="005D64B7">
        <w:rPr>
          <w:sz w:val="24"/>
          <w:szCs w:val="24"/>
        </w:rPr>
        <w:t xml:space="preserve">However, Frank also found a remarkable lack </w:t>
      </w:r>
      <w:r w:rsidR="001C441E">
        <w:rPr>
          <w:sz w:val="24"/>
          <w:szCs w:val="24"/>
        </w:rPr>
        <w:t>of uniformity among stabilization clauses in Af</w:t>
      </w:r>
      <w:r w:rsidR="005D64B7">
        <w:rPr>
          <w:sz w:val="24"/>
          <w:szCs w:val="24"/>
        </w:rPr>
        <w:t xml:space="preserve">rica and that </w:t>
      </w:r>
      <w:r w:rsidR="00ED12E5">
        <w:rPr>
          <w:sz w:val="24"/>
          <w:szCs w:val="24"/>
        </w:rPr>
        <w:t xml:space="preserve">some African states have been pushing back strongly. For example, </w:t>
      </w:r>
      <w:r w:rsidR="001C441E">
        <w:rPr>
          <w:sz w:val="24"/>
          <w:szCs w:val="24"/>
        </w:rPr>
        <w:t>the more resource-rich African states have been pressing for ‘double edged’ stabilization clauses, in which a change in law which improves the financial position of an investor will trigger an adjustment to the contract in favour of the host state.</w:t>
      </w:r>
      <w:r w:rsidR="001C441E">
        <w:rPr>
          <w:rStyle w:val="FootnoteReference"/>
          <w:sz w:val="24"/>
          <w:szCs w:val="24"/>
        </w:rPr>
        <w:footnoteReference w:id="11"/>
      </w:r>
    </w:p>
    <w:p w14:paraId="2B42D3A9" w14:textId="4DE462DF" w:rsidR="005D64B7" w:rsidRDefault="001C441E" w:rsidP="00D5760D">
      <w:pPr>
        <w:rPr>
          <w:sz w:val="24"/>
          <w:szCs w:val="24"/>
        </w:rPr>
      </w:pPr>
      <w:r w:rsidRPr="00A70A7F">
        <w:rPr>
          <w:sz w:val="24"/>
          <w:szCs w:val="24"/>
        </w:rPr>
        <w:t>T</w:t>
      </w:r>
      <w:r>
        <w:rPr>
          <w:sz w:val="24"/>
          <w:szCs w:val="24"/>
        </w:rPr>
        <w:t>aken together, t</w:t>
      </w:r>
      <w:r w:rsidRPr="00A70A7F">
        <w:rPr>
          <w:sz w:val="24"/>
          <w:szCs w:val="24"/>
        </w:rPr>
        <w:t xml:space="preserve">he Shemberg and </w:t>
      </w:r>
      <w:r>
        <w:rPr>
          <w:sz w:val="24"/>
          <w:szCs w:val="24"/>
        </w:rPr>
        <w:t>Frank</w:t>
      </w:r>
      <w:r w:rsidRPr="00A70A7F">
        <w:rPr>
          <w:sz w:val="24"/>
          <w:szCs w:val="24"/>
        </w:rPr>
        <w:t xml:space="preserve"> studies </w:t>
      </w:r>
      <w:r>
        <w:rPr>
          <w:sz w:val="24"/>
          <w:szCs w:val="24"/>
        </w:rPr>
        <w:t>provide concrete evidence</w:t>
      </w:r>
      <w:r w:rsidRPr="00A70A7F">
        <w:rPr>
          <w:sz w:val="24"/>
          <w:szCs w:val="24"/>
        </w:rPr>
        <w:t xml:space="preserve"> that stabilization clauses</w:t>
      </w:r>
      <w:r>
        <w:rPr>
          <w:sz w:val="24"/>
          <w:szCs w:val="24"/>
        </w:rPr>
        <w:t xml:space="preserve"> are indeed present in</w:t>
      </w:r>
      <w:r w:rsidRPr="00A70A7F">
        <w:rPr>
          <w:sz w:val="24"/>
          <w:szCs w:val="24"/>
        </w:rPr>
        <w:t xml:space="preserve"> </w:t>
      </w:r>
      <w:r>
        <w:rPr>
          <w:sz w:val="24"/>
          <w:szCs w:val="24"/>
        </w:rPr>
        <w:t xml:space="preserve">current </w:t>
      </w:r>
      <w:r w:rsidR="005D64B7">
        <w:rPr>
          <w:sz w:val="24"/>
          <w:szCs w:val="24"/>
        </w:rPr>
        <w:t>investment project contracts with</w:t>
      </w:r>
      <w:r w:rsidRPr="00A70A7F">
        <w:rPr>
          <w:sz w:val="24"/>
          <w:szCs w:val="24"/>
        </w:rPr>
        <w:t xml:space="preserve"> developing</w:t>
      </w:r>
      <w:r w:rsidR="00373F63">
        <w:rPr>
          <w:sz w:val="24"/>
          <w:szCs w:val="24"/>
        </w:rPr>
        <w:t xml:space="preserve"> country</w:t>
      </w:r>
      <w:r w:rsidRPr="00A70A7F">
        <w:rPr>
          <w:sz w:val="24"/>
          <w:szCs w:val="24"/>
        </w:rPr>
        <w:t xml:space="preserve"> </w:t>
      </w:r>
      <w:r w:rsidR="005D64B7">
        <w:rPr>
          <w:sz w:val="24"/>
          <w:szCs w:val="24"/>
        </w:rPr>
        <w:t xml:space="preserve">host </w:t>
      </w:r>
      <w:r w:rsidR="00373F63">
        <w:rPr>
          <w:sz w:val="24"/>
          <w:szCs w:val="24"/>
        </w:rPr>
        <w:t>states</w:t>
      </w:r>
      <w:r w:rsidR="005D64B7">
        <w:rPr>
          <w:sz w:val="24"/>
          <w:szCs w:val="24"/>
        </w:rPr>
        <w:t xml:space="preserve"> and that </w:t>
      </w:r>
      <w:r>
        <w:rPr>
          <w:sz w:val="24"/>
          <w:szCs w:val="24"/>
        </w:rPr>
        <w:t xml:space="preserve">the stabilization clauses included in </w:t>
      </w:r>
      <w:r w:rsidRPr="00B9011D">
        <w:rPr>
          <w:sz w:val="24"/>
          <w:szCs w:val="24"/>
        </w:rPr>
        <w:t>project</w:t>
      </w:r>
      <w:r>
        <w:rPr>
          <w:sz w:val="24"/>
          <w:szCs w:val="24"/>
        </w:rPr>
        <w:t xml:space="preserve"> </w:t>
      </w:r>
      <w:r>
        <w:rPr>
          <w:sz w:val="24"/>
          <w:szCs w:val="24"/>
        </w:rPr>
        <w:lastRenderedPageBreak/>
        <w:t xml:space="preserve">contracts with non-OECD </w:t>
      </w:r>
      <w:r w:rsidR="00373F63">
        <w:rPr>
          <w:sz w:val="24"/>
          <w:szCs w:val="24"/>
        </w:rPr>
        <w:t xml:space="preserve">and African </w:t>
      </w:r>
      <w:r>
        <w:rPr>
          <w:sz w:val="24"/>
          <w:szCs w:val="24"/>
        </w:rPr>
        <w:t>countries tend to be of the more</w:t>
      </w:r>
      <w:r w:rsidR="00AD18EE">
        <w:rPr>
          <w:sz w:val="24"/>
          <w:szCs w:val="24"/>
        </w:rPr>
        <w:t xml:space="preserve"> </w:t>
      </w:r>
      <w:r w:rsidR="001B06A5">
        <w:rPr>
          <w:sz w:val="24"/>
          <w:szCs w:val="24"/>
        </w:rPr>
        <w:t>restrictive</w:t>
      </w:r>
      <w:r w:rsidR="00AD18EE">
        <w:rPr>
          <w:sz w:val="24"/>
          <w:szCs w:val="24"/>
        </w:rPr>
        <w:t xml:space="preserve"> and</w:t>
      </w:r>
      <w:r>
        <w:rPr>
          <w:sz w:val="24"/>
          <w:szCs w:val="24"/>
        </w:rPr>
        <w:t xml:space="preserve"> more onerous type for host states</w:t>
      </w:r>
      <w:r w:rsidR="00373F63">
        <w:rPr>
          <w:sz w:val="24"/>
          <w:szCs w:val="24"/>
        </w:rPr>
        <w:t>.</w:t>
      </w:r>
      <w:r w:rsidR="005D64B7">
        <w:rPr>
          <w:sz w:val="24"/>
          <w:szCs w:val="24"/>
        </w:rPr>
        <w:t xml:space="preserve"> </w:t>
      </w:r>
    </w:p>
    <w:p w14:paraId="5E0ECF43" w14:textId="09077D95" w:rsidR="00C4648A" w:rsidRPr="0028053E" w:rsidRDefault="00EC1FC2" w:rsidP="00B05968">
      <w:pPr>
        <w:rPr>
          <w:rFonts w:cstheme="minorHAnsi"/>
          <w:b/>
          <w:bCs/>
          <w:sz w:val="28"/>
          <w:szCs w:val="28"/>
        </w:rPr>
      </w:pPr>
      <w:r w:rsidRPr="0028053E">
        <w:rPr>
          <w:rFonts w:cstheme="minorHAnsi"/>
          <w:b/>
          <w:bCs/>
          <w:sz w:val="28"/>
          <w:szCs w:val="28"/>
        </w:rPr>
        <w:t>The legal effects of</w:t>
      </w:r>
      <w:r w:rsidR="00C4648A" w:rsidRPr="0028053E">
        <w:rPr>
          <w:rFonts w:cstheme="minorHAnsi"/>
          <w:b/>
          <w:bCs/>
          <w:sz w:val="28"/>
          <w:szCs w:val="28"/>
        </w:rPr>
        <w:t xml:space="preserve"> stabilization clauses</w:t>
      </w:r>
    </w:p>
    <w:p w14:paraId="7787F255" w14:textId="63A97CA4" w:rsidR="001C441E" w:rsidRDefault="001C441E" w:rsidP="00984AA2">
      <w:pPr>
        <w:rPr>
          <w:sz w:val="24"/>
          <w:szCs w:val="24"/>
        </w:rPr>
      </w:pPr>
      <w:r>
        <w:rPr>
          <w:sz w:val="24"/>
          <w:szCs w:val="24"/>
        </w:rPr>
        <w:t>S</w:t>
      </w:r>
      <w:r w:rsidR="00914FA4">
        <w:rPr>
          <w:sz w:val="24"/>
          <w:szCs w:val="24"/>
        </w:rPr>
        <w:t xml:space="preserve">tabilization clauses may take investor protection far beyond the level available ordinarily under investment </w:t>
      </w:r>
      <w:r w:rsidR="00B96909">
        <w:rPr>
          <w:sz w:val="24"/>
          <w:szCs w:val="24"/>
        </w:rPr>
        <w:t>treaties</w:t>
      </w:r>
      <w:r w:rsidR="00914FA4">
        <w:rPr>
          <w:sz w:val="24"/>
          <w:szCs w:val="24"/>
        </w:rPr>
        <w:t>.</w:t>
      </w:r>
      <w:r w:rsidR="00AD18EE">
        <w:rPr>
          <w:sz w:val="24"/>
          <w:szCs w:val="24"/>
        </w:rPr>
        <w:t xml:space="preserve"> </w:t>
      </w:r>
      <w:r w:rsidR="00914FA4">
        <w:rPr>
          <w:sz w:val="24"/>
          <w:szCs w:val="24"/>
        </w:rPr>
        <w:t>I</w:t>
      </w:r>
      <w:r w:rsidR="0006629B">
        <w:rPr>
          <w:sz w:val="24"/>
          <w:szCs w:val="24"/>
        </w:rPr>
        <w:t xml:space="preserve">nvestor protections in investment treaties are typically framed in relatively broad terms which </w:t>
      </w:r>
      <w:r w:rsidR="00373F63">
        <w:rPr>
          <w:sz w:val="24"/>
          <w:szCs w:val="24"/>
        </w:rPr>
        <w:t xml:space="preserve">at least </w:t>
      </w:r>
      <w:r w:rsidR="0006629B">
        <w:rPr>
          <w:sz w:val="24"/>
          <w:szCs w:val="24"/>
        </w:rPr>
        <w:t>allow for conflicting purposes (investors</w:t>
      </w:r>
      <w:r w:rsidR="00D846C8">
        <w:rPr>
          <w:sz w:val="24"/>
          <w:szCs w:val="24"/>
        </w:rPr>
        <w:t>’</w:t>
      </w:r>
      <w:r w:rsidR="0006629B">
        <w:rPr>
          <w:sz w:val="24"/>
          <w:szCs w:val="24"/>
        </w:rPr>
        <w:t xml:space="preserve"> interests and the public interest) to be reconciled, even if arbitral tribunals have been inconsistent in </w:t>
      </w:r>
      <w:r w:rsidR="007F7DA0">
        <w:rPr>
          <w:sz w:val="24"/>
          <w:szCs w:val="24"/>
        </w:rPr>
        <w:t>their approach</w:t>
      </w:r>
      <w:r w:rsidR="000637F7">
        <w:rPr>
          <w:sz w:val="24"/>
          <w:szCs w:val="24"/>
        </w:rPr>
        <w:t>es</w:t>
      </w:r>
      <w:r w:rsidR="007F7DA0">
        <w:rPr>
          <w:sz w:val="24"/>
          <w:szCs w:val="24"/>
        </w:rPr>
        <w:t xml:space="preserve"> to</w:t>
      </w:r>
      <w:r w:rsidR="0006629B">
        <w:rPr>
          <w:sz w:val="24"/>
          <w:szCs w:val="24"/>
        </w:rPr>
        <w:t xml:space="preserve"> this. </w:t>
      </w:r>
      <w:r w:rsidR="00195F64">
        <w:rPr>
          <w:sz w:val="24"/>
          <w:szCs w:val="24"/>
        </w:rPr>
        <w:t>Stabilization clauses are more specific in their terms and more restrictive of host states</w:t>
      </w:r>
      <w:r w:rsidR="000F3F27">
        <w:rPr>
          <w:sz w:val="24"/>
          <w:szCs w:val="24"/>
        </w:rPr>
        <w:t xml:space="preserve">, </w:t>
      </w:r>
      <w:r w:rsidR="00D404B0">
        <w:rPr>
          <w:sz w:val="24"/>
          <w:szCs w:val="24"/>
        </w:rPr>
        <w:t xml:space="preserve">and may even </w:t>
      </w:r>
      <w:r w:rsidR="0015594F">
        <w:rPr>
          <w:sz w:val="24"/>
          <w:szCs w:val="24"/>
        </w:rPr>
        <w:t>enjoy the legal status of exceptions to the general presumption of the state’s right to regulate in a non-discriminatory manner for a public purpose.</w:t>
      </w:r>
      <w:r w:rsidR="0015594F">
        <w:rPr>
          <w:rStyle w:val="FootnoteReference"/>
          <w:sz w:val="24"/>
          <w:szCs w:val="24"/>
        </w:rPr>
        <w:footnoteReference w:id="12"/>
      </w:r>
      <w:r>
        <w:rPr>
          <w:sz w:val="24"/>
          <w:szCs w:val="24"/>
        </w:rPr>
        <w:t xml:space="preserve"> </w:t>
      </w:r>
      <w:r w:rsidR="00EC1FC2">
        <w:rPr>
          <w:sz w:val="24"/>
          <w:szCs w:val="24"/>
        </w:rPr>
        <w:t>Traditionally, tribunals have accepted the legal validity and effects of stabilization clauses, and later tribunals have not disturbed this</w:t>
      </w:r>
      <w:r w:rsidR="00373F63">
        <w:rPr>
          <w:sz w:val="24"/>
          <w:szCs w:val="24"/>
        </w:rPr>
        <w:t>.</w:t>
      </w:r>
      <w:r w:rsidR="00373F63">
        <w:rPr>
          <w:rStyle w:val="FootnoteReference"/>
          <w:sz w:val="24"/>
          <w:szCs w:val="24"/>
        </w:rPr>
        <w:footnoteReference w:id="13"/>
      </w:r>
    </w:p>
    <w:p w14:paraId="78E31D3D" w14:textId="77777777" w:rsidR="007D5FB6" w:rsidRDefault="00FF708C" w:rsidP="007D5FB6">
      <w:pPr>
        <w:autoSpaceDE w:val="0"/>
        <w:autoSpaceDN w:val="0"/>
        <w:adjustRightInd w:val="0"/>
        <w:spacing w:after="0" w:line="240" w:lineRule="auto"/>
        <w:rPr>
          <w:sz w:val="24"/>
          <w:szCs w:val="24"/>
        </w:rPr>
      </w:pPr>
      <w:r>
        <w:rPr>
          <w:sz w:val="24"/>
          <w:szCs w:val="24"/>
        </w:rPr>
        <w:t xml:space="preserve">As </w:t>
      </w:r>
      <w:r w:rsidR="007F4164">
        <w:rPr>
          <w:sz w:val="24"/>
          <w:szCs w:val="24"/>
        </w:rPr>
        <w:t>mentioned</w:t>
      </w:r>
      <w:r>
        <w:rPr>
          <w:sz w:val="24"/>
          <w:szCs w:val="24"/>
        </w:rPr>
        <w:t xml:space="preserve"> </w:t>
      </w:r>
      <w:r w:rsidR="00EC63CB">
        <w:rPr>
          <w:sz w:val="24"/>
          <w:szCs w:val="24"/>
        </w:rPr>
        <w:t>earlier</w:t>
      </w:r>
      <w:r w:rsidR="0042752C">
        <w:rPr>
          <w:sz w:val="24"/>
          <w:szCs w:val="24"/>
        </w:rPr>
        <w:t>,</w:t>
      </w:r>
      <w:r w:rsidR="0085338A">
        <w:rPr>
          <w:sz w:val="24"/>
          <w:szCs w:val="24"/>
        </w:rPr>
        <w:t xml:space="preserve"> </w:t>
      </w:r>
      <w:r w:rsidR="00EE48C1">
        <w:rPr>
          <w:sz w:val="24"/>
          <w:szCs w:val="24"/>
        </w:rPr>
        <w:t>many</w:t>
      </w:r>
      <w:r w:rsidR="007F7DA0">
        <w:rPr>
          <w:sz w:val="24"/>
          <w:szCs w:val="24"/>
        </w:rPr>
        <w:t xml:space="preserve"> investment agreements contain umbrella clauses</w:t>
      </w:r>
      <w:r w:rsidR="00266938">
        <w:rPr>
          <w:sz w:val="24"/>
          <w:szCs w:val="24"/>
        </w:rPr>
        <w:t>.</w:t>
      </w:r>
      <w:r w:rsidR="00B36B2F">
        <w:rPr>
          <w:sz w:val="24"/>
          <w:szCs w:val="24"/>
        </w:rPr>
        <w:t xml:space="preserve"> </w:t>
      </w:r>
      <w:r w:rsidR="00266001">
        <w:rPr>
          <w:sz w:val="24"/>
          <w:szCs w:val="24"/>
        </w:rPr>
        <w:t>A</w:t>
      </w:r>
      <w:r w:rsidR="007F7DA0">
        <w:rPr>
          <w:sz w:val="24"/>
          <w:szCs w:val="24"/>
        </w:rPr>
        <w:t>llow</w:t>
      </w:r>
      <w:r w:rsidR="00266001">
        <w:rPr>
          <w:sz w:val="24"/>
          <w:szCs w:val="24"/>
        </w:rPr>
        <w:t>ing access to the ISDS procedure to address violation of a stabilization clause in a project contract</w:t>
      </w:r>
      <w:r w:rsidR="00B36B2F" w:rsidRPr="00B36B2F">
        <w:rPr>
          <w:sz w:val="24"/>
          <w:szCs w:val="24"/>
        </w:rPr>
        <w:t xml:space="preserve"> </w:t>
      </w:r>
      <w:r w:rsidR="00266001">
        <w:rPr>
          <w:sz w:val="24"/>
          <w:szCs w:val="24"/>
        </w:rPr>
        <w:t xml:space="preserve">reinforces </w:t>
      </w:r>
      <w:r w:rsidR="00A72DDA">
        <w:rPr>
          <w:sz w:val="24"/>
          <w:szCs w:val="24"/>
        </w:rPr>
        <w:t xml:space="preserve">its </w:t>
      </w:r>
      <w:r w:rsidR="00266001">
        <w:rPr>
          <w:sz w:val="24"/>
          <w:szCs w:val="24"/>
        </w:rPr>
        <w:t>legal value.</w:t>
      </w:r>
      <w:r w:rsidR="00266001">
        <w:rPr>
          <w:rStyle w:val="FootnoteReference"/>
          <w:sz w:val="24"/>
          <w:szCs w:val="24"/>
        </w:rPr>
        <w:footnoteReference w:id="14"/>
      </w:r>
      <w:r w:rsidR="00266001" w:rsidRPr="00B36B2F">
        <w:rPr>
          <w:sz w:val="24"/>
          <w:szCs w:val="24"/>
        </w:rPr>
        <w:t xml:space="preserve"> </w:t>
      </w:r>
      <w:r w:rsidR="00B36B2F" w:rsidRPr="00B36B2F">
        <w:rPr>
          <w:sz w:val="24"/>
          <w:szCs w:val="24"/>
        </w:rPr>
        <w:t>However,</w:t>
      </w:r>
      <w:r w:rsidR="00FD6976">
        <w:rPr>
          <w:color w:val="000000" w:themeColor="text1"/>
          <w:sz w:val="24"/>
          <w:szCs w:val="24"/>
        </w:rPr>
        <w:t xml:space="preserve"> </w:t>
      </w:r>
      <w:r w:rsidR="007D5FB6">
        <w:rPr>
          <w:color w:val="000000" w:themeColor="text1"/>
          <w:sz w:val="24"/>
          <w:szCs w:val="24"/>
        </w:rPr>
        <w:t xml:space="preserve">there is </w:t>
      </w:r>
      <w:r w:rsidR="0092658F">
        <w:rPr>
          <w:sz w:val="24"/>
          <w:szCs w:val="24"/>
        </w:rPr>
        <w:t>considerable</w:t>
      </w:r>
      <w:r w:rsidR="0041455B" w:rsidRPr="00B36B2F">
        <w:rPr>
          <w:sz w:val="24"/>
          <w:szCs w:val="24"/>
        </w:rPr>
        <w:t xml:space="preserve"> diversity in the interpretation by arbitral tribunals </w:t>
      </w:r>
      <w:r w:rsidR="0092658F">
        <w:rPr>
          <w:sz w:val="24"/>
          <w:szCs w:val="24"/>
        </w:rPr>
        <w:t>of</w:t>
      </w:r>
      <w:r w:rsidR="0041455B" w:rsidRPr="00B36B2F">
        <w:rPr>
          <w:sz w:val="24"/>
          <w:szCs w:val="24"/>
        </w:rPr>
        <w:t xml:space="preserve"> umbrella clauses </w:t>
      </w:r>
      <w:r w:rsidR="0041455B">
        <w:rPr>
          <w:sz w:val="24"/>
          <w:szCs w:val="24"/>
        </w:rPr>
        <w:t>a</w:t>
      </w:r>
      <w:r w:rsidR="0092658F">
        <w:rPr>
          <w:sz w:val="24"/>
          <w:szCs w:val="24"/>
        </w:rPr>
        <w:t>nd</w:t>
      </w:r>
      <w:r w:rsidR="0041455B" w:rsidRPr="00B36B2F">
        <w:rPr>
          <w:sz w:val="24"/>
          <w:szCs w:val="24"/>
        </w:rPr>
        <w:t xml:space="preserve"> in the wording of the clauses</w:t>
      </w:r>
      <w:r w:rsidR="0092658F">
        <w:rPr>
          <w:sz w:val="24"/>
          <w:szCs w:val="24"/>
        </w:rPr>
        <w:t>,</w:t>
      </w:r>
      <w:r w:rsidR="007D5FB6" w:rsidRPr="00EC74DB">
        <w:rPr>
          <w:rStyle w:val="FootnoteReference"/>
          <w:sz w:val="24"/>
          <w:szCs w:val="24"/>
        </w:rPr>
        <w:footnoteReference w:id="15"/>
      </w:r>
      <w:r w:rsidR="0092658F">
        <w:rPr>
          <w:sz w:val="24"/>
          <w:szCs w:val="24"/>
        </w:rPr>
        <w:t xml:space="preserve"> but t</w:t>
      </w:r>
      <w:r w:rsidR="00355261">
        <w:rPr>
          <w:sz w:val="24"/>
          <w:szCs w:val="24"/>
        </w:rPr>
        <w:t>his does not</w:t>
      </w:r>
      <w:r w:rsidR="00A72DDA">
        <w:rPr>
          <w:sz w:val="24"/>
          <w:szCs w:val="24"/>
        </w:rPr>
        <w:t xml:space="preserve"> </w:t>
      </w:r>
      <w:r w:rsidR="00355261">
        <w:rPr>
          <w:sz w:val="24"/>
          <w:szCs w:val="24"/>
        </w:rPr>
        <w:t>prevent</w:t>
      </w:r>
      <w:r w:rsidR="00B36B2F">
        <w:t xml:space="preserve"> t</w:t>
      </w:r>
      <w:r w:rsidR="008E176E">
        <w:rPr>
          <w:sz w:val="24"/>
          <w:szCs w:val="24"/>
        </w:rPr>
        <w:t xml:space="preserve">he </w:t>
      </w:r>
      <w:r w:rsidR="00444747">
        <w:rPr>
          <w:sz w:val="24"/>
          <w:szCs w:val="24"/>
        </w:rPr>
        <w:t>risk</w:t>
      </w:r>
      <w:r w:rsidR="008E176E">
        <w:rPr>
          <w:sz w:val="24"/>
          <w:szCs w:val="24"/>
        </w:rPr>
        <w:t xml:space="preserve"> </w:t>
      </w:r>
      <w:r w:rsidR="00355261">
        <w:rPr>
          <w:sz w:val="24"/>
          <w:szCs w:val="24"/>
        </w:rPr>
        <w:t>of</w:t>
      </w:r>
      <w:r w:rsidR="008E176E">
        <w:rPr>
          <w:sz w:val="24"/>
          <w:szCs w:val="24"/>
        </w:rPr>
        <w:t xml:space="preserve"> </w:t>
      </w:r>
      <w:r w:rsidR="00444747">
        <w:rPr>
          <w:sz w:val="24"/>
          <w:szCs w:val="24"/>
        </w:rPr>
        <w:t>enforce</w:t>
      </w:r>
      <w:r w:rsidR="006F73F2">
        <w:rPr>
          <w:sz w:val="24"/>
          <w:szCs w:val="24"/>
        </w:rPr>
        <w:t>ment of</w:t>
      </w:r>
      <w:r w:rsidR="00444747">
        <w:rPr>
          <w:sz w:val="24"/>
          <w:szCs w:val="24"/>
        </w:rPr>
        <w:t xml:space="preserve"> a stabilization clause </w:t>
      </w:r>
      <w:r w:rsidR="00355261">
        <w:rPr>
          <w:sz w:val="24"/>
          <w:szCs w:val="24"/>
        </w:rPr>
        <w:t>having</w:t>
      </w:r>
      <w:r w:rsidR="008E176E">
        <w:rPr>
          <w:sz w:val="24"/>
          <w:szCs w:val="24"/>
        </w:rPr>
        <w:t xml:space="preserve"> a powerfully deterring effect on </w:t>
      </w:r>
      <w:r w:rsidR="00804DAE">
        <w:rPr>
          <w:sz w:val="24"/>
          <w:szCs w:val="24"/>
        </w:rPr>
        <w:t xml:space="preserve">a </w:t>
      </w:r>
      <w:r w:rsidR="008E176E">
        <w:rPr>
          <w:sz w:val="24"/>
          <w:szCs w:val="24"/>
        </w:rPr>
        <w:t xml:space="preserve">host state considering </w:t>
      </w:r>
      <w:r w:rsidR="001C441E">
        <w:rPr>
          <w:sz w:val="24"/>
          <w:szCs w:val="24"/>
        </w:rPr>
        <w:t>human rights measures</w:t>
      </w:r>
      <w:r w:rsidR="00465D29">
        <w:rPr>
          <w:sz w:val="24"/>
          <w:szCs w:val="24"/>
        </w:rPr>
        <w:t xml:space="preserve">. The deterrent effect will be magnified by </w:t>
      </w:r>
      <w:r w:rsidR="008E176E">
        <w:rPr>
          <w:sz w:val="24"/>
          <w:szCs w:val="24"/>
        </w:rPr>
        <w:t>the size of compensation awards which have been made by</w:t>
      </w:r>
      <w:r w:rsidR="00804DAE">
        <w:rPr>
          <w:sz w:val="24"/>
          <w:szCs w:val="24"/>
        </w:rPr>
        <w:t xml:space="preserve"> some</w:t>
      </w:r>
      <w:r w:rsidR="008E176E">
        <w:rPr>
          <w:sz w:val="24"/>
          <w:szCs w:val="24"/>
        </w:rPr>
        <w:t xml:space="preserve"> tribunals</w:t>
      </w:r>
      <w:r w:rsidR="002A5261">
        <w:rPr>
          <w:sz w:val="24"/>
          <w:szCs w:val="24"/>
        </w:rPr>
        <w:t xml:space="preserve"> or claimed by investors threatening to initiate ISDS proceedings</w:t>
      </w:r>
      <w:r w:rsidR="008E176E">
        <w:rPr>
          <w:sz w:val="24"/>
          <w:szCs w:val="24"/>
        </w:rPr>
        <w:t>.</w:t>
      </w:r>
      <w:bookmarkStart w:id="3" w:name="_Hlk57192642"/>
      <w:r w:rsidR="007D5FB6">
        <w:rPr>
          <w:sz w:val="24"/>
          <w:szCs w:val="24"/>
        </w:rPr>
        <w:t xml:space="preserve"> </w:t>
      </w:r>
    </w:p>
    <w:p w14:paraId="74E53E5B" w14:textId="77777777" w:rsidR="007D5FB6" w:rsidRDefault="007D5FB6" w:rsidP="007D5FB6">
      <w:pPr>
        <w:autoSpaceDE w:val="0"/>
        <w:autoSpaceDN w:val="0"/>
        <w:adjustRightInd w:val="0"/>
        <w:spacing w:after="0" w:line="240" w:lineRule="auto"/>
        <w:rPr>
          <w:sz w:val="24"/>
          <w:szCs w:val="24"/>
        </w:rPr>
      </w:pPr>
    </w:p>
    <w:bookmarkEnd w:id="3"/>
    <w:p w14:paraId="7A44DADB" w14:textId="2C8F6F09" w:rsidR="005D64B7" w:rsidRPr="005D64B7" w:rsidRDefault="005D64B7" w:rsidP="002112A2">
      <w:pPr>
        <w:rPr>
          <w:b/>
          <w:bCs/>
          <w:sz w:val="28"/>
          <w:szCs w:val="28"/>
        </w:rPr>
      </w:pPr>
      <w:r w:rsidRPr="005D64B7">
        <w:rPr>
          <w:b/>
          <w:bCs/>
          <w:sz w:val="28"/>
          <w:szCs w:val="28"/>
        </w:rPr>
        <w:t>Suggested steps</w:t>
      </w:r>
      <w:r w:rsidR="00032FF9">
        <w:rPr>
          <w:b/>
          <w:bCs/>
          <w:sz w:val="28"/>
          <w:szCs w:val="28"/>
        </w:rPr>
        <w:t xml:space="preserve"> to protect human rights policy space</w:t>
      </w:r>
    </w:p>
    <w:p w14:paraId="55E1377A" w14:textId="67C9B06F" w:rsidR="000914AC" w:rsidRDefault="000F66B4" w:rsidP="002112A2">
      <w:pPr>
        <w:rPr>
          <w:sz w:val="24"/>
          <w:szCs w:val="24"/>
        </w:rPr>
      </w:pPr>
      <w:r>
        <w:rPr>
          <w:sz w:val="24"/>
          <w:szCs w:val="24"/>
        </w:rPr>
        <w:t>S</w:t>
      </w:r>
      <w:r w:rsidR="00595038" w:rsidRPr="0057404C">
        <w:rPr>
          <w:sz w:val="24"/>
          <w:szCs w:val="24"/>
        </w:rPr>
        <w:t xml:space="preserve">ome steps </w:t>
      </w:r>
      <w:r w:rsidR="00D66CC3">
        <w:rPr>
          <w:sz w:val="24"/>
          <w:szCs w:val="24"/>
        </w:rPr>
        <w:t>have been suggested</w:t>
      </w:r>
      <w:r w:rsidR="00946FB1" w:rsidRPr="0057404C">
        <w:rPr>
          <w:sz w:val="24"/>
          <w:szCs w:val="24"/>
        </w:rPr>
        <w:t xml:space="preserve"> </w:t>
      </w:r>
      <w:r w:rsidR="00D01C06">
        <w:rPr>
          <w:sz w:val="24"/>
          <w:szCs w:val="24"/>
        </w:rPr>
        <w:t xml:space="preserve">for </w:t>
      </w:r>
      <w:r w:rsidR="00D66CC3">
        <w:rPr>
          <w:sz w:val="24"/>
          <w:szCs w:val="24"/>
        </w:rPr>
        <w:t>reduc</w:t>
      </w:r>
      <w:r w:rsidR="00D01C06">
        <w:rPr>
          <w:sz w:val="24"/>
          <w:szCs w:val="24"/>
        </w:rPr>
        <w:t>ing</w:t>
      </w:r>
      <w:r w:rsidR="00595038" w:rsidRPr="0057404C">
        <w:rPr>
          <w:sz w:val="24"/>
          <w:szCs w:val="24"/>
        </w:rPr>
        <w:t xml:space="preserve"> the </w:t>
      </w:r>
      <w:r w:rsidR="00946FB1" w:rsidRPr="0057404C">
        <w:rPr>
          <w:sz w:val="24"/>
          <w:szCs w:val="24"/>
        </w:rPr>
        <w:t xml:space="preserve">risk that </w:t>
      </w:r>
      <w:r w:rsidR="00946FB1">
        <w:rPr>
          <w:sz w:val="24"/>
          <w:szCs w:val="24"/>
        </w:rPr>
        <w:t xml:space="preserve">stabilization clauses will </w:t>
      </w:r>
      <w:r w:rsidR="005D64B7">
        <w:rPr>
          <w:sz w:val="24"/>
          <w:szCs w:val="24"/>
        </w:rPr>
        <w:t xml:space="preserve">act to prevent, or throw a ‘regulatory chill’ over, stronger human rights measures in </w:t>
      </w:r>
      <w:r w:rsidR="00946FB1">
        <w:rPr>
          <w:sz w:val="24"/>
          <w:szCs w:val="24"/>
        </w:rPr>
        <w:t>developing countries</w:t>
      </w:r>
      <w:r w:rsidR="00821C6D">
        <w:rPr>
          <w:sz w:val="24"/>
          <w:szCs w:val="24"/>
        </w:rPr>
        <w:t xml:space="preserve">. </w:t>
      </w:r>
      <w:r w:rsidR="007C393E">
        <w:rPr>
          <w:sz w:val="24"/>
          <w:szCs w:val="24"/>
        </w:rPr>
        <w:t xml:space="preserve">One </w:t>
      </w:r>
      <w:r w:rsidR="005722A8">
        <w:rPr>
          <w:sz w:val="24"/>
          <w:szCs w:val="24"/>
        </w:rPr>
        <w:t>focuses on ISDS a</w:t>
      </w:r>
      <w:r w:rsidR="0092658F">
        <w:rPr>
          <w:sz w:val="24"/>
          <w:szCs w:val="24"/>
        </w:rPr>
        <w:t xml:space="preserve">nd </w:t>
      </w:r>
      <w:r w:rsidR="003F646D">
        <w:rPr>
          <w:sz w:val="24"/>
          <w:szCs w:val="24"/>
        </w:rPr>
        <w:t xml:space="preserve">on </w:t>
      </w:r>
      <w:r w:rsidR="0092658F">
        <w:rPr>
          <w:sz w:val="24"/>
          <w:szCs w:val="24"/>
        </w:rPr>
        <w:t xml:space="preserve">developing </w:t>
      </w:r>
      <w:r w:rsidR="007C393E">
        <w:rPr>
          <w:sz w:val="24"/>
          <w:szCs w:val="24"/>
        </w:rPr>
        <w:t>explicit provisions for forthcoming multilateral, regional and plurilateral treaties to address the regulatory chill thrown by ISDS</w:t>
      </w:r>
      <w:r w:rsidR="00C54C87">
        <w:rPr>
          <w:sz w:val="24"/>
          <w:szCs w:val="24"/>
        </w:rPr>
        <w:t>, including</w:t>
      </w:r>
      <w:r w:rsidR="007C393E">
        <w:rPr>
          <w:sz w:val="24"/>
          <w:szCs w:val="24"/>
        </w:rPr>
        <w:t xml:space="preserve"> over </w:t>
      </w:r>
      <w:r w:rsidR="005D64B7">
        <w:rPr>
          <w:sz w:val="24"/>
          <w:szCs w:val="24"/>
        </w:rPr>
        <w:t>human rights</w:t>
      </w:r>
      <w:r w:rsidR="007C393E">
        <w:rPr>
          <w:sz w:val="24"/>
          <w:szCs w:val="24"/>
        </w:rPr>
        <w:t xml:space="preserve"> action. </w:t>
      </w:r>
      <w:r w:rsidR="0001130C">
        <w:rPr>
          <w:sz w:val="24"/>
          <w:szCs w:val="24"/>
        </w:rPr>
        <w:t>A</w:t>
      </w:r>
      <w:r w:rsidR="00D01C06">
        <w:rPr>
          <w:sz w:val="24"/>
          <w:szCs w:val="24"/>
        </w:rPr>
        <w:t>nother</w:t>
      </w:r>
      <w:r w:rsidR="00B252C0">
        <w:rPr>
          <w:sz w:val="24"/>
          <w:szCs w:val="24"/>
        </w:rPr>
        <w:t xml:space="preserve"> </w:t>
      </w:r>
      <w:r w:rsidR="00595038">
        <w:rPr>
          <w:sz w:val="24"/>
          <w:szCs w:val="24"/>
        </w:rPr>
        <w:t xml:space="preserve">is for states to terminate their </w:t>
      </w:r>
      <w:r w:rsidR="00C46657">
        <w:rPr>
          <w:sz w:val="24"/>
          <w:szCs w:val="24"/>
        </w:rPr>
        <w:t xml:space="preserve">bilateral </w:t>
      </w:r>
      <w:r w:rsidR="00595038">
        <w:rPr>
          <w:sz w:val="24"/>
          <w:szCs w:val="24"/>
        </w:rPr>
        <w:t>investment treaties which contain ISDS provisions.</w:t>
      </w:r>
      <w:r w:rsidR="00595038">
        <w:rPr>
          <w:rStyle w:val="FootnoteReference"/>
          <w:sz w:val="24"/>
          <w:szCs w:val="24"/>
        </w:rPr>
        <w:footnoteReference w:id="16"/>
      </w:r>
      <w:r w:rsidR="00595038">
        <w:rPr>
          <w:sz w:val="24"/>
          <w:szCs w:val="24"/>
        </w:rPr>
        <w:t xml:space="preserve"> </w:t>
      </w:r>
      <w:r w:rsidR="00B252C0">
        <w:rPr>
          <w:sz w:val="24"/>
          <w:szCs w:val="24"/>
        </w:rPr>
        <w:t>T</w:t>
      </w:r>
      <w:r w:rsidR="00595038">
        <w:rPr>
          <w:sz w:val="24"/>
          <w:szCs w:val="24"/>
        </w:rPr>
        <w:t>here are precedents for developing countries</w:t>
      </w:r>
      <w:r w:rsidR="005A6BB2">
        <w:rPr>
          <w:sz w:val="24"/>
          <w:szCs w:val="24"/>
        </w:rPr>
        <w:t xml:space="preserve"> making this change</w:t>
      </w:r>
      <w:r w:rsidR="00C46657">
        <w:rPr>
          <w:sz w:val="24"/>
          <w:szCs w:val="24"/>
        </w:rPr>
        <w:t>,</w:t>
      </w:r>
      <w:r w:rsidR="00595038">
        <w:rPr>
          <w:sz w:val="24"/>
          <w:szCs w:val="24"/>
        </w:rPr>
        <w:t xml:space="preserve"> </w:t>
      </w:r>
      <w:r w:rsidR="00C46657">
        <w:rPr>
          <w:sz w:val="24"/>
          <w:szCs w:val="24"/>
        </w:rPr>
        <w:t xml:space="preserve">including </w:t>
      </w:r>
      <w:r w:rsidR="005A6BB2">
        <w:rPr>
          <w:sz w:val="24"/>
          <w:szCs w:val="24"/>
        </w:rPr>
        <w:t xml:space="preserve">by </w:t>
      </w:r>
      <w:r w:rsidR="00C46657">
        <w:rPr>
          <w:sz w:val="24"/>
          <w:szCs w:val="24"/>
        </w:rPr>
        <w:t>South Africa, Bolivia</w:t>
      </w:r>
      <w:r w:rsidR="00E95D6B">
        <w:rPr>
          <w:sz w:val="24"/>
          <w:szCs w:val="24"/>
        </w:rPr>
        <w:t>, India</w:t>
      </w:r>
      <w:r w:rsidR="00C46657">
        <w:rPr>
          <w:sz w:val="24"/>
          <w:szCs w:val="24"/>
        </w:rPr>
        <w:t xml:space="preserve"> and Indonesia.</w:t>
      </w:r>
      <w:r w:rsidR="00C54C87">
        <w:rPr>
          <w:sz w:val="24"/>
          <w:szCs w:val="24"/>
        </w:rPr>
        <w:t xml:space="preserve"> </w:t>
      </w:r>
      <w:r w:rsidR="00BE0248">
        <w:rPr>
          <w:sz w:val="24"/>
          <w:szCs w:val="24"/>
        </w:rPr>
        <w:t xml:space="preserve">The </w:t>
      </w:r>
      <w:r w:rsidR="00553002">
        <w:rPr>
          <w:sz w:val="24"/>
          <w:szCs w:val="24"/>
        </w:rPr>
        <w:t xml:space="preserve">particular benefit of this </w:t>
      </w:r>
      <w:r w:rsidR="00595038">
        <w:rPr>
          <w:sz w:val="24"/>
          <w:szCs w:val="24"/>
        </w:rPr>
        <w:t xml:space="preserve">change </w:t>
      </w:r>
      <w:r w:rsidR="00553002">
        <w:rPr>
          <w:sz w:val="24"/>
          <w:szCs w:val="24"/>
        </w:rPr>
        <w:t xml:space="preserve">is that it </w:t>
      </w:r>
      <w:r w:rsidR="00595038">
        <w:rPr>
          <w:sz w:val="24"/>
          <w:szCs w:val="24"/>
        </w:rPr>
        <w:t xml:space="preserve">would have the effect of removing ISDS as an </w:t>
      </w:r>
      <w:r w:rsidR="00595038">
        <w:rPr>
          <w:sz w:val="24"/>
          <w:szCs w:val="24"/>
        </w:rPr>
        <w:lastRenderedPageBreak/>
        <w:t xml:space="preserve">avenue </w:t>
      </w:r>
      <w:r w:rsidR="00BE0248">
        <w:rPr>
          <w:sz w:val="24"/>
          <w:szCs w:val="24"/>
        </w:rPr>
        <w:t xml:space="preserve">not only </w:t>
      </w:r>
      <w:r w:rsidR="00595038">
        <w:rPr>
          <w:sz w:val="24"/>
          <w:szCs w:val="24"/>
        </w:rPr>
        <w:t>for</w:t>
      </w:r>
      <w:r w:rsidR="00BE0248">
        <w:rPr>
          <w:sz w:val="24"/>
          <w:szCs w:val="24"/>
        </w:rPr>
        <w:t xml:space="preserve"> claims under investment agreement</w:t>
      </w:r>
      <w:r w:rsidR="00C54C87">
        <w:rPr>
          <w:sz w:val="24"/>
          <w:szCs w:val="24"/>
        </w:rPr>
        <w:t>s</w:t>
      </w:r>
      <w:r w:rsidR="00BE0248">
        <w:rPr>
          <w:sz w:val="24"/>
          <w:szCs w:val="24"/>
        </w:rPr>
        <w:t xml:space="preserve"> but also for</w:t>
      </w:r>
      <w:r w:rsidR="00595038">
        <w:rPr>
          <w:sz w:val="24"/>
          <w:szCs w:val="24"/>
        </w:rPr>
        <w:t xml:space="preserve"> claims </w:t>
      </w:r>
      <w:r w:rsidR="00BE0248">
        <w:rPr>
          <w:sz w:val="24"/>
          <w:szCs w:val="24"/>
        </w:rPr>
        <w:t>under</w:t>
      </w:r>
      <w:r w:rsidR="00946FB1">
        <w:rPr>
          <w:sz w:val="24"/>
          <w:szCs w:val="24"/>
        </w:rPr>
        <w:t xml:space="preserve"> </w:t>
      </w:r>
      <w:r w:rsidR="00595038">
        <w:rPr>
          <w:sz w:val="24"/>
          <w:szCs w:val="24"/>
        </w:rPr>
        <w:t xml:space="preserve">stabilization clauses in </w:t>
      </w:r>
      <w:r w:rsidR="00BE0248">
        <w:rPr>
          <w:sz w:val="24"/>
          <w:szCs w:val="24"/>
        </w:rPr>
        <w:t xml:space="preserve">relevant </w:t>
      </w:r>
      <w:r w:rsidR="00595038">
        <w:rPr>
          <w:sz w:val="24"/>
          <w:szCs w:val="24"/>
        </w:rPr>
        <w:t>project contracts.</w:t>
      </w:r>
      <w:r w:rsidR="00960F32">
        <w:rPr>
          <w:rStyle w:val="FootnoteReference"/>
          <w:sz w:val="24"/>
          <w:szCs w:val="24"/>
        </w:rPr>
        <w:footnoteReference w:id="17"/>
      </w:r>
      <w:r w:rsidR="00595038">
        <w:rPr>
          <w:sz w:val="24"/>
          <w:szCs w:val="24"/>
        </w:rPr>
        <w:t xml:space="preserve"> </w:t>
      </w:r>
      <w:r w:rsidR="000914AC">
        <w:rPr>
          <w:sz w:val="24"/>
          <w:szCs w:val="24"/>
        </w:rPr>
        <w:t>ClientEarth recommends</w:t>
      </w:r>
      <w:r w:rsidR="009F1885">
        <w:rPr>
          <w:sz w:val="24"/>
          <w:szCs w:val="24"/>
        </w:rPr>
        <w:t xml:space="preserve"> </w:t>
      </w:r>
      <w:r w:rsidR="000914AC">
        <w:rPr>
          <w:sz w:val="24"/>
          <w:szCs w:val="24"/>
        </w:rPr>
        <w:t xml:space="preserve">that a multilateral mechanism be developed through UNCITRAL to allow </w:t>
      </w:r>
      <w:r w:rsidR="009F1885">
        <w:rPr>
          <w:sz w:val="24"/>
          <w:szCs w:val="24"/>
        </w:rPr>
        <w:t>for a coordinated withdrawal from investment agreements or, at least, from consent to ISDS.</w:t>
      </w:r>
      <w:r w:rsidR="009F1885">
        <w:rPr>
          <w:rStyle w:val="FootnoteReference"/>
          <w:sz w:val="24"/>
          <w:szCs w:val="24"/>
        </w:rPr>
        <w:footnoteReference w:id="18"/>
      </w:r>
      <w:r w:rsidR="009F1885">
        <w:rPr>
          <w:sz w:val="24"/>
          <w:szCs w:val="24"/>
        </w:rPr>
        <w:t xml:space="preserve"> </w:t>
      </w:r>
    </w:p>
    <w:p w14:paraId="13F70958" w14:textId="6E19BB68" w:rsidR="00DA2CBA" w:rsidRDefault="00D01C06" w:rsidP="008D31A6">
      <w:pPr>
        <w:rPr>
          <w:sz w:val="24"/>
          <w:szCs w:val="24"/>
        </w:rPr>
      </w:pPr>
      <w:r>
        <w:rPr>
          <w:sz w:val="24"/>
          <w:szCs w:val="24"/>
        </w:rPr>
        <w:t xml:space="preserve">A further step, </w:t>
      </w:r>
      <w:r w:rsidR="00553002">
        <w:rPr>
          <w:sz w:val="24"/>
          <w:szCs w:val="24"/>
        </w:rPr>
        <w:t>which directly addresses the problem of historical stabilization clauses</w:t>
      </w:r>
      <w:r>
        <w:rPr>
          <w:sz w:val="24"/>
          <w:szCs w:val="24"/>
        </w:rPr>
        <w:t>,</w:t>
      </w:r>
      <w:r w:rsidR="00553002">
        <w:rPr>
          <w:sz w:val="24"/>
          <w:szCs w:val="24"/>
        </w:rPr>
        <w:t xml:space="preserve"> is</w:t>
      </w:r>
      <w:r w:rsidR="00054EC5">
        <w:rPr>
          <w:sz w:val="24"/>
          <w:szCs w:val="24"/>
        </w:rPr>
        <w:t xml:space="preserve"> for developing country host states to seek </w:t>
      </w:r>
      <w:r w:rsidR="00BE0248">
        <w:rPr>
          <w:sz w:val="24"/>
          <w:szCs w:val="24"/>
        </w:rPr>
        <w:t>to renegotiate</w:t>
      </w:r>
      <w:r w:rsidR="00553002">
        <w:rPr>
          <w:sz w:val="24"/>
          <w:szCs w:val="24"/>
        </w:rPr>
        <w:t xml:space="preserve"> </w:t>
      </w:r>
      <w:r w:rsidR="00BE0248">
        <w:rPr>
          <w:sz w:val="24"/>
          <w:szCs w:val="24"/>
        </w:rPr>
        <w:t>the terms of</w:t>
      </w:r>
      <w:r w:rsidR="00054EC5">
        <w:rPr>
          <w:sz w:val="24"/>
          <w:szCs w:val="24"/>
        </w:rPr>
        <w:t xml:space="preserve"> </w:t>
      </w:r>
      <w:r w:rsidR="00BE0248">
        <w:rPr>
          <w:sz w:val="24"/>
          <w:szCs w:val="24"/>
        </w:rPr>
        <w:t>their</w:t>
      </w:r>
      <w:r w:rsidR="00054EC5">
        <w:rPr>
          <w:sz w:val="24"/>
          <w:szCs w:val="24"/>
        </w:rPr>
        <w:t xml:space="preserve"> project contracts with foreign investors. </w:t>
      </w:r>
      <w:r w:rsidR="00550CD9">
        <w:rPr>
          <w:sz w:val="24"/>
          <w:szCs w:val="24"/>
        </w:rPr>
        <w:t>The renegotiation could perhaps be undertaken on a regional basis, for strength in numbers</w:t>
      </w:r>
      <w:r w:rsidR="00A46093">
        <w:rPr>
          <w:sz w:val="24"/>
          <w:szCs w:val="24"/>
        </w:rPr>
        <w:t xml:space="preserve">. </w:t>
      </w:r>
    </w:p>
    <w:p w14:paraId="76AFF01E" w14:textId="6FF4C4E9" w:rsidR="00603382" w:rsidRDefault="000F66B4" w:rsidP="008D31A6">
      <w:pPr>
        <w:rPr>
          <w:sz w:val="24"/>
          <w:szCs w:val="24"/>
        </w:rPr>
      </w:pPr>
      <w:r>
        <w:rPr>
          <w:sz w:val="24"/>
          <w:szCs w:val="24"/>
        </w:rPr>
        <w:t xml:space="preserve">In the meantime, </w:t>
      </w:r>
      <w:r w:rsidR="004821A8">
        <w:rPr>
          <w:sz w:val="24"/>
          <w:szCs w:val="24"/>
        </w:rPr>
        <w:t xml:space="preserve">more </w:t>
      </w:r>
      <w:r w:rsidR="00281E31">
        <w:rPr>
          <w:sz w:val="24"/>
          <w:szCs w:val="24"/>
        </w:rPr>
        <w:t xml:space="preserve">information </w:t>
      </w:r>
      <w:r w:rsidR="00FC3936">
        <w:rPr>
          <w:sz w:val="24"/>
          <w:szCs w:val="24"/>
        </w:rPr>
        <w:t>needs to</w:t>
      </w:r>
      <w:r w:rsidR="00281E31">
        <w:rPr>
          <w:sz w:val="24"/>
          <w:szCs w:val="24"/>
        </w:rPr>
        <w:t xml:space="preserve"> be gathered</w:t>
      </w:r>
      <w:r w:rsidR="004821A8">
        <w:rPr>
          <w:sz w:val="24"/>
          <w:szCs w:val="24"/>
        </w:rPr>
        <w:t xml:space="preserve"> about the </w:t>
      </w:r>
      <w:r w:rsidR="00281E31">
        <w:rPr>
          <w:sz w:val="24"/>
          <w:szCs w:val="24"/>
        </w:rPr>
        <w:t>ISDS risks</w:t>
      </w:r>
      <w:r w:rsidR="00FC3936">
        <w:rPr>
          <w:sz w:val="24"/>
          <w:szCs w:val="24"/>
        </w:rPr>
        <w:t xml:space="preserve"> </w:t>
      </w:r>
      <w:r w:rsidR="00281E31">
        <w:rPr>
          <w:sz w:val="24"/>
          <w:szCs w:val="24"/>
        </w:rPr>
        <w:t>posed by</w:t>
      </w:r>
      <w:r w:rsidR="004821A8">
        <w:rPr>
          <w:sz w:val="24"/>
          <w:szCs w:val="24"/>
        </w:rPr>
        <w:t xml:space="preserve"> stabilization clauses</w:t>
      </w:r>
      <w:r w:rsidR="00281E31">
        <w:rPr>
          <w:sz w:val="24"/>
          <w:szCs w:val="24"/>
        </w:rPr>
        <w:t xml:space="preserve"> in project contracts</w:t>
      </w:r>
      <w:r w:rsidR="00A20751">
        <w:rPr>
          <w:sz w:val="24"/>
          <w:szCs w:val="24"/>
        </w:rPr>
        <w:t xml:space="preserve"> </w:t>
      </w:r>
      <w:r w:rsidR="00C54C87">
        <w:rPr>
          <w:sz w:val="24"/>
          <w:szCs w:val="24"/>
        </w:rPr>
        <w:t>(</w:t>
      </w:r>
      <w:r w:rsidR="00A20751">
        <w:rPr>
          <w:sz w:val="24"/>
          <w:szCs w:val="24"/>
        </w:rPr>
        <w:t xml:space="preserve">or </w:t>
      </w:r>
      <w:r>
        <w:rPr>
          <w:sz w:val="24"/>
          <w:szCs w:val="24"/>
        </w:rPr>
        <w:t>in other instruments</w:t>
      </w:r>
      <w:r w:rsidR="00C54C87">
        <w:rPr>
          <w:sz w:val="24"/>
          <w:szCs w:val="24"/>
        </w:rPr>
        <w:t>)</w:t>
      </w:r>
      <w:r w:rsidR="003F646D">
        <w:rPr>
          <w:sz w:val="24"/>
          <w:szCs w:val="24"/>
        </w:rPr>
        <w:t>, particularly for human rights in developing country host states</w:t>
      </w:r>
      <w:r w:rsidR="00281E31">
        <w:rPr>
          <w:sz w:val="24"/>
          <w:szCs w:val="24"/>
        </w:rPr>
        <w:t>.</w:t>
      </w:r>
      <w:r w:rsidR="000A46E4">
        <w:rPr>
          <w:sz w:val="24"/>
          <w:szCs w:val="24"/>
        </w:rPr>
        <w:t xml:space="preserve"> </w:t>
      </w:r>
      <w:r w:rsidR="00AD18EE">
        <w:rPr>
          <w:sz w:val="24"/>
          <w:szCs w:val="24"/>
        </w:rPr>
        <w:t>Despite the valuable information from the</w:t>
      </w:r>
      <w:r w:rsidR="00C54C87">
        <w:rPr>
          <w:sz w:val="24"/>
          <w:szCs w:val="24"/>
        </w:rPr>
        <w:t xml:space="preserve"> two</w:t>
      </w:r>
      <w:r w:rsidR="00AD18EE">
        <w:rPr>
          <w:sz w:val="24"/>
          <w:szCs w:val="24"/>
        </w:rPr>
        <w:t xml:space="preserve"> studies</w:t>
      </w:r>
      <w:r w:rsidR="00C54C87">
        <w:rPr>
          <w:sz w:val="24"/>
          <w:szCs w:val="24"/>
        </w:rPr>
        <w:t xml:space="preserve"> mentioned</w:t>
      </w:r>
      <w:r w:rsidR="00AD18EE">
        <w:rPr>
          <w:sz w:val="24"/>
          <w:szCs w:val="24"/>
        </w:rPr>
        <w:t>, the full extent, nature and scope of</w:t>
      </w:r>
      <w:r w:rsidR="00AD18EE" w:rsidRPr="0068119B">
        <w:rPr>
          <w:sz w:val="24"/>
          <w:szCs w:val="24"/>
        </w:rPr>
        <w:t xml:space="preserve"> stabilization clauses </w:t>
      </w:r>
      <w:r w:rsidR="00AD18EE">
        <w:rPr>
          <w:sz w:val="24"/>
          <w:szCs w:val="24"/>
        </w:rPr>
        <w:t>applying to</w:t>
      </w:r>
      <w:r w:rsidR="00AD18EE" w:rsidRPr="0068119B">
        <w:rPr>
          <w:sz w:val="24"/>
          <w:szCs w:val="24"/>
        </w:rPr>
        <w:t xml:space="preserve"> host developing countries </w:t>
      </w:r>
      <w:r w:rsidR="00AD18EE">
        <w:rPr>
          <w:sz w:val="24"/>
          <w:szCs w:val="24"/>
        </w:rPr>
        <w:t>are simply not known at present</w:t>
      </w:r>
      <w:r w:rsidR="00AD18EE" w:rsidRPr="0068119B">
        <w:rPr>
          <w:sz w:val="24"/>
          <w:szCs w:val="24"/>
        </w:rPr>
        <w:t xml:space="preserve">. </w:t>
      </w:r>
      <w:r w:rsidR="00AD18EE">
        <w:rPr>
          <w:sz w:val="24"/>
          <w:szCs w:val="24"/>
        </w:rPr>
        <w:t>Gathering the necessary information</w:t>
      </w:r>
      <w:r w:rsidR="0010016C">
        <w:rPr>
          <w:sz w:val="24"/>
          <w:szCs w:val="24"/>
        </w:rPr>
        <w:t xml:space="preserve"> will require greater transparency by host states as to the terms on which they have agreed to</w:t>
      </w:r>
      <w:r w:rsidR="00BE0845">
        <w:rPr>
          <w:sz w:val="24"/>
          <w:szCs w:val="24"/>
        </w:rPr>
        <w:t xml:space="preserve"> such</w:t>
      </w:r>
      <w:r w:rsidR="0010016C">
        <w:rPr>
          <w:sz w:val="24"/>
          <w:szCs w:val="24"/>
        </w:rPr>
        <w:t xml:space="preserve"> projects.</w:t>
      </w:r>
    </w:p>
    <w:p w14:paraId="4C7776B8" w14:textId="00DEDEB8" w:rsidR="00C900F6" w:rsidRPr="00997289" w:rsidRDefault="00C900F6" w:rsidP="002112A2">
      <w:pPr>
        <w:rPr>
          <w:sz w:val="24"/>
          <w:szCs w:val="24"/>
        </w:rPr>
      </w:pPr>
    </w:p>
    <w:sectPr w:rsidR="00C900F6" w:rsidRPr="0099728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91DE4" w14:textId="77777777" w:rsidR="009B686F" w:rsidRDefault="009B686F" w:rsidP="005A1558">
      <w:pPr>
        <w:spacing w:after="0" w:line="240" w:lineRule="auto"/>
      </w:pPr>
      <w:r>
        <w:separator/>
      </w:r>
    </w:p>
  </w:endnote>
  <w:endnote w:type="continuationSeparator" w:id="0">
    <w:p w14:paraId="0417C9E4" w14:textId="77777777" w:rsidR="009B686F" w:rsidRDefault="009B686F" w:rsidP="005A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ntin MT Pro">
    <w:altName w:val="Cambria"/>
    <w:panose1 w:val="00000000000000000000"/>
    <w:charset w:val="00"/>
    <w:family w:val="roman"/>
    <w:notTrueType/>
    <w:pitch w:val="default"/>
    <w:sig w:usb0="00000003" w:usb1="00000000" w:usb2="00000000" w:usb3="00000000" w:csb0="00000001" w:csb1="00000000"/>
  </w:font>
  <w:font w:name="Campton Sem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E67D3" w14:textId="77777777" w:rsidR="009B686F" w:rsidRDefault="009B686F" w:rsidP="005A1558">
      <w:pPr>
        <w:spacing w:after="0" w:line="240" w:lineRule="auto"/>
      </w:pPr>
      <w:r>
        <w:separator/>
      </w:r>
    </w:p>
  </w:footnote>
  <w:footnote w:type="continuationSeparator" w:id="0">
    <w:p w14:paraId="458FBFB6" w14:textId="77777777" w:rsidR="009B686F" w:rsidRDefault="009B686F" w:rsidP="005A1558">
      <w:pPr>
        <w:spacing w:after="0" w:line="240" w:lineRule="auto"/>
      </w:pPr>
      <w:r>
        <w:continuationSeparator/>
      </w:r>
    </w:p>
  </w:footnote>
  <w:footnote w:id="1">
    <w:p w14:paraId="643F38C4" w14:textId="40EEDF1F" w:rsidR="00302348" w:rsidRPr="00C71331" w:rsidRDefault="00302348" w:rsidP="00C71331">
      <w:pPr>
        <w:pStyle w:val="NoSpacing"/>
        <w:rPr>
          <w:rFonts w:cstheme="minorHAnsi"/>
          <w:sz w:val="20"/>
          <w:szCs w:val="20"/>
        </w:rPr>
      </w:pPr>
      <w:r>
        <w:rPr>
          <w:rStyle w:val="FootnoteReference"/>
        </w:rPr>
        <w:footnoteRef/>
      </w:r>
      <w:r>
        <w:t xml:space="preserve"> </w:t>
      </w:r>
      <w:r w:rsidR="00C71331" w:rsidRPr="00C71331">
        <w:rPr>
          <w:rFonts w:cstheme="minorHAnsi"/>
          <w:sz w:val="20"/>
          <w:szCs w:val="20"/>
          <w:bdr w:val="none" w:sz="0" w:space="0" w:color="auto" w:frame="1"/>
        </w:rPr>
        <w:t>Gillian Moon * Senior Visiting Fellow, </w:t>
      </w:r>
      <w:r w:rsidR="00C71331" w:rsidRPr="00C71331">
        <w:rPr>
          <w:rFonts w:cstheme="minorHAnsi"/>
          <w:i/>
          <w:iCs/>
          <w:sz w:val="20"/>
          <w:szCs w:val="20"/>
          <w:bdr w:val="none" w:sz="0" w:space="0" w:color="auto" w:frame="1"/>
        </w:rPr>
        <w:t>Trade, Human Rights and Climate Change Project * </w:t>
      </w:r>
      <w:r w:rsidR="00C71331" w:rsidRPr="00C71331">
        <w:rPr>
          <w:rFonts w:cstheme="minorHAnsi"/>
          <w:sz w:val="20"/>
          <w:szCs w:val="20"/>
          <w:bdr w:val="none" w:sz="0" w:space="0" w:color="auto" w:frame="1"/>
        </w:rPr>
        <w:t>Faculty of Law &amp; Justice, UNSW * </w:t>
      </w:r>
      <w:hyperlink r:id="rId1" w:history="1">
        <w:r w:rsidR="00C71331" w:rsidRPr="00C71331">
          <w:rPr>
            <w:rStyle w:val="Hyperlink"/>
            <w:rFonts w:cstheme="minorHAnsi"/>
            <w:color w:val="auto"/>
            <w:sz w:val="20"/>
            <w:szCs w:val="20"/>
            <w:bdr w:val="none" w:sz="0" w:space="0" w:color="auto" w:frame="1"/>
          </w:rPr>
          <w:t>g.moon@unsw.edu.au</w:t>
        </w:r>
      </w:hyperlink>
      <w:r w:rsidR="00C71331" w:rsidRPr="00C71331">
        <w:rPr>
          <w:rFonts w:cstheme="minorHAnsi"/>
          <w:sz w:val="20"/>
          <w:szCs w:val="20"/>
          <w:bdr w:val="none" w:sz="0" w:space="0" w:color="auto" w:frame="1"/>
        </w:rPr>
        <w:t> * Room 361, Level 3, Law Building, University Mall, SYDNEY 2052 AUSTRALIA</w:t>
      </w:r>
      <w:r w:rsidR="00C71331">
        <w:rPr>
          <w:rFonts w:cstheme="minorHAnsi"/>
          <w:sz w:val="20"/>
          <w:szCs w:val="20"/>
        </w:rPr>
        <w:t xml:space="preserve">    </w:t>
      </w:r>
      <w:hyperlink r:id="rId2" w:history="1">
        <w:r w:rsidR="004E5A1F" w:rsidRPr="00772E38">
          <w:rPr>
            <w:rStyle w:val="Hyperlink"/>
            <w:rFonts w:cstheme="minorHAnsi"/>
            <w:sz w:val="20"/>
            <w:szCs w:val="20"/>
            <w:bdr w:val="none" w:sz="0" w:space="0" w:color="auto" w:frame="1"/>
          </w:rPr>
          <w:t>https://www.law.unsw.edu.au/staff/gillian-moon</w:t>
        </w:r>
      </w:hyperlink>
    </w:p>
  </w:footnote>
  <w:footnote w:id="2">
    <w:p w14:paraId="47027BB5" w14:textId="67E772AB" w:rsidR="00785B42" w:rsidRPr="00D17DD7" w:rsidRDefault="00785B42" w:rsidP="002D0FE7">
      <w:pPr>
        <w:pStyle w:val="FootnoteText"/>
      </w:pPr>
      <w:r w:rsidRPr="00D17DD7">
        <w:rPr>
          <w:rStyle w:val="FootnoteReference"/>
        </w:rPr>
        <w:footnoteRef/>
      </w:r>
      <w:r>
        <w:t xml:space="preserve"> </w:t>
      </w:r>
      <w:r w:rsidRPr="00D17DD7">
        <w:t>S Frank, ‘Stabilization clauses in long-term investment contracts in the energy sector in Africa’ in K Miles (ed), Research Handbook on Environment and Investment Law (Edward Elgar 2019) 351.</w:t>
      </w:r>
      <w:r>
        <w:t xml:space="preserve"> </w:t>
      </w:r>
    </w:p>
  </w:footnote>
  <w:footnote w:id="3">
    <w:p w14:paraId="3B65CDDB" w14:textId="77777777" w:rsidR="00FA25A9" w:rsidRDefault="00FA25A9" w:rsidP="00FA25A9">
      <w:pPr>
        <w:pStyle w:val="FootnoteText"/>
      </w:pPr>
      <w:r>
        <w:rPr>
          <w:rStyle w:val="FootnoteReference"/>
        </w:rPr>
        <w:footnoteRef/>
      </w:r>
      <w:r>
        <w:t xml:space="preserve"> L Cotula, ‘Reconciling Regulatory Stability and Evolution of Environmental Standards in Investment Contracts: Towards a Rethink of Stabilization Clauses’ (2008) 1(2) Journal of World Energy Law and Business 160.</w:t>
      </w:r>
    </w:p>
  </w:footnote>
  <w:footnote w:id="4">
    <w:p w14:paraId="3C9CA745" w14:textId="31BE381F" w:rsidR="00995984" w:rsidRDefault="00995984" w:rsidP="00995984">
      <w:pPr>
        <w:pStyle w:val="FootnoteText"/>
      </w:pPr>
      <w:r>
        <w:rPr>
          <w:rStyle w:val="FootnoteReference"/>
        </w:rPr>
        <w:footnoteRef/>
      </w:r>
      <w:r>
        <w:t xml:space="preserve"> Ibid.</w:t>
      </w:r>
    </w:p>
  </w:footnote>
  <w:footnote w:id="5">
    <w:p w14:paraId="419FABB5" w14:textId="77777777" w:rsidR="007D5FB6" w:rsidRPr="00D17DD7" w:rsidRDefault="007D5FB6" w:rsidP="007D5FB6">
      <w:pPr>
        <w:pStyle w:val="FootnoteText"/>
      </w:pPr>
      <w:r w:rsidRPr="00D17DD7">
        <w:rPr>
          <w:rStyle w:val="FootnoteReference"/>
        </w:rPr>
        <w:footnoteRef/>
      </w:r>
      <w:r w:rsidRPr="00D17DD7">
        <w:t xml:space="preserve"> See, for example, </w:t>
      </w:r>
      <w:r w:rsidRPr="00D17DD7">
        <w:rPr>
          <w:i/>
          <w:iCs/>
        </w:rPr>
        <w:t>Duke Energy International Peru Investments No. 1 v. Peru</w:t>
      </w:r>
      <w:r w:rsidRPr="00D17DD7">
        <w:t>, ICSID Case No. ARB/03/28, 25 Jul. 2008.</w:t>
      </w:r>
    </w:p>
  </w:footnote>
  <w:footnote w:id="6">
    <w:p w14:paraId="546D8A56" w14:textId="77777777" w:rsidR="00D6667E" w:rsidRPr="00D17DD7" w:rsidRDefault="00D6667E" w:rsidP="00D6667E">
      <w:pPr>
        <w:pStyle w:val="FootnoteText"/>
      </w:pPr>
      <w:r w:rsidRPr="00D17DD7">
        <w:rPr>
          <w:rStyle w:val="FootnoteReference"/>
        </w:rPr>
        <w:footnoteRef/>
      </w:r>
      <w:r w:rsidRPr="00D17DD7">
        <w:t xml:space="preserve"> UN Committee on Trade and Development (UNCTAD), ‘Mapping of IIA Clauses’, Figure 10 (Investment </w:t>
      </w:r>
      <w:r w:rsidRPr="00175829">
        <w:t xml:space="preserve">Policy Hub) </w:t>
      </w:r>
      <w:hyperlink r:id="rId3" w:history="1">
        <w:r w:rsidRPr="00175829">
          <w:rPr>
            <w:rStyle w:val="Hyperlink"/>
            <w:color w:val="auto"/>
          </w:rPr>
          <w:t>https://investmentpolicy.unctad.org/pages/1031/mapping-of-iia</w:t>
        </w:r>
        <w:r w:rsidRPr="0067162B">
          <w:rPr>
            <w:rStyle w:val="Hyperlink"/>
            <w:color w:val="auto"/>
          </w:rPr>
          <w:t>-clauses</w:t>
        </w:r>
      </w:hyperlink>
      <w:r w:rsidRPr="00175829">
        <w:t xml:space="preserve">. Note that umbrella </w:t>
      </w:r>
      <w:r w:rsidRPr="00D17DD7">
        <w:t>clauses occur less commonly in ‘new generation’ investment agreements.</w:t>
      </w:r>
    </w:p>
  </w:footnote>
  <w:footnote w:id="7">
    <w:p w14:paraId="63375213" w14:textId="77777777" w:rsidR="00FF7F39" w:rsidRDefault="00FF7F39" w:rsidP="00FF7F39">
      <w:pPr>
        <w:pStyle w:val="FootnoteText"/>
      </w:pPr>
      <w:r>
        <w:rPr>
          <w:rStyle w:val="FootnoteReference"/>
        </w:rPr>
        <w:footnoteRef/>
      </w:r>
      <w:r>
        <w:t xml:space="preserve"> </w:t>
      </w:r>
      <w:r w:rsidRPr="00D17DD7">
        <w:t xml:space="preserve">A Shemberg, Stabilization Clauses and Human Rights: A Research Project Conducted for the IFC and the </w:t>
      </w:r>
      <w:r w:rsidRPr="00D17DD7">
        <w:rPr>
          <w:rFonts w:cstheme="minorHAnsi"/>
        </w:rPr>
        <w:t>United Nations Special Representative of the Secretary-General on Business and Human Rights (</w:t>
      </w:r>
      <w:r w:rsidRPr="00D17DD7">
        <w:rPr>
          <w:rFonts w:cstheme="minorHAnsi"/>
          <w:shd w:val="clear" w:color="auto" w:fill="FFFFFF"/>
        </w:rPr>
        <w:t>United Nations Office of the High Commissioner for Human Rights, 2008</w:t>
      </w:r>
      <w:r w:rsidRPr="00D17DD7">
        <w:rPr>
          <w:rFonts w:cstheme="minorHAnsi"/>
        </w:rPr>
        <w:t>)</w:t>
      </w:r>
      <w:r>
        <w:rPr>
          <w:rFonts w:cstheme="minorHAnsi"/>
        </w:rPr>
        <w:t>.</w:t>
      </w:r>
    </w:p>
  </w:footnote>
  <w:footnote w:id="8">
    <w:p w14:paraId="098EDA41" w14:textId="206A1E79" w:rsidR="00F8013E" w:rsidRDefault="00F8013E">
      <w:pPr>
        <w:pStyle w:val="FootnoteText"/>
      </w:pPr>
      <w:r>
        <w:rPr>
          <w:rStyle w:val="FootnoteReference"/>
        </w:rPr>
        <w:footnoteRef/>
      </w:r>
      <w:r>
        <w:t xml:space="preserve"> </w:t>
      </w:r>
      <w:r w:rsidR="00783118">
        <w:t xml:space="preserve">Ibid., </w:t>
      </w:r>
      <w:r w:rsidRPr="00D17DD7">
        <w:rPr>
          <w:rFonts w:cstheme="minorHAnsi"/>
        </w:rPr>
        <w:t>5.</w:t>
      </w:r>
    </w:p>
  </w:footnote>
  <w:footnote w:id="9">
    <w:p w14:paraId="4964F404" w14:textId="12D549EC" w:rsidR="00AD18EE" w:rsidRDefault="00AD18EE">
      <w:pPr>
        <w:pStyle w:val="FootnoteText"/>
      </w:pPr>
      <w:r>
        <w:rPr>
          <w:rStyle w:val="FootnoteReference"/>
        </w:rPr>
        <w:footnoteRef/>
      </w:r>
      <w:r>
        <w:t xml:space="preserve"> Note</w:t>
      </w:r>
      <w:r w:rsidRPr="00AD18EE">
        <w:t xml:space="preserve"> that the non-OECD countries referred to in the Shemberg study </w:t>
      </w:r>
      <w:r>
        <w:t>may not all have been</w:t>
      </w:r>
      <w:r w:rsidRPr="00AD18EE">
        <w:t xml:space="preserve"> low- or middle-income developing countries.</w:t>
      </w:r>
    </w:p>
  </w:footnote>
  <w:footnote w:id="10">
    <w:p w14:paraId="3A9AB65C" w14:textId="156F84EF" w:rsidR="001C441E" w:rsidRPr="00D17DD7" w:rsidRDefault="001C441E" w:rsidP="001C441E">
      <w:pPr>
        <w:pStyle w:val="FootnoteText"/>
      </w:pPr>
      <w:r w:rsidRPr="00D17DD7">
        <w:rPr>
          <w:rStyle w:val="FootnoteReference"/>
        </w:rPr>
        <w:footnoteRef/>
      </w:r>
      <w:r w:rsidRPr="00D17DD7">
        <w:t xml:space="preserve"> </w:t>
      </w:r>
      <w:r w:rsidRPr="00A71755">
        <w:t>Frank</w:t>
      </w:r>
      <w:r w:rsidR="00AD18EE">
        <w:t xml:space="preserve">, note </w:t>
      </w:r>
      <w:r w:rsidR="004E5A1F">
        <w:t>2</w:t>
      </w:r>
      <w:r w:rsidR="00AD18EE">
        <w:t>,</w:t>
      </w:r>
      <w:r w:rsidRPr="00A71755">
        <w:t xml:space="preserve"> 356</w:t>
      </w:r>
      <w:r>
        <w:t>.</w:t>
      </w:r>
    </w:p>
  </w:footnote>
  <w:footnote w:id="11">
    <w:p w14:paraId="43B0BB2A" w14:textId="77777777" w:rsidR="001C441E" w:rsidRPr="00D17DD7" w:rsidRDefault="001C441E" w:rsidP="001C441E">
      <w:pPr>
        <w:pStyle w:val="FootnoteText"/>
      </w:pPr>
      <w:r w:rsidRPr="00D17DD7">
        <w:rPr>
          <w:rStyle w:val="FootnoteReference"/>
        </w:rPr>
        <w:footnoteRef/>
      </w:r>
      <w:r w:rsidRPr="00D17DD7">
        <w:t xml:space="preserve"> Ibid 362.</w:t>
      </w:r>
    </w:p>
  </w:footnote>
  <w:footnote w:id="12">
    <w:p w14:paraId="44DB4591" w14:textId="436D64CA" w:rsidR="00785B42" w:rsidRPr="00C25600" w:rsidRDefault="00785B42" w:rsidP="0015594F">
      <w:pPr>
        <w:pStyle w:val="FootnoteText"/>
      </w:pPr>
      <w:r w:rsidRPr="00C25600">
        <w:rPr>
          <w:rStyle w:val="FootnoteReference"/>
        </w:rPr>
        <w:footnoteRef/>
      </w:r>
      <w:r w:rsidRPr="00C25600">
        <w:t xml:space="preserve"> See </w:t>
      </w:r>
      <w:r w:rsidRPr="00C25600">
        <w:rPr>
          <w:i/>
          <w:iCs/>
        </w:rPr>
        <w:t>Methanex v. United States of America</w:t>
      </w:r>
      <w:r w:rsidRPr="00C25600">
        <w:t>.</w:t>
      </w:r>
    </w:p>
  </w:footnote>
  <w:footnote w:id="13">
    <w:p w14:paraId="6486D097" w14:textId="579D2DC0" w:rsidR="00373F63" w:rsidRDefault="00373F63" w:rsidP="00373F63">
      <w:pPr>
        <w:pStyle w:val="FootnoteText"/>
      </w:pPr>
      <w:r>
        <w:rPr>
          <w:rStyle w:val="FootnoteReference"/>
        </w:rPr>
        <w:footnoteRef/>
      </w:r>
      <w:r>
        <w:t xml:space="preserve"> Cotula, note </w:t>
      </w:r>
      <w:r w:rsidR="004E5A1F">
        <w:t>3</w:t>
      </w:r>
      <w:r>
        <w:t>, 160, 162-163.</w:t>
      </w:r>
    </w:p>
  </w:footnote>
  <w:footnote w:id="14">
    <w:p w14:paraId="5B76CF43" w14:textId="3E79529D" w:rsidR="00266001" w:rsidRPr="00D17DD7" w:rsidRDefault="00266001" w:rsidP="00266001">
      <w:pPr>
        <w:pStyle w:val="FootnoteText"/>
      </w:pPr>
      <w:r w:rsidRPr="00D17DD7">
        <w:rPr>
          <w:rStyle w:val="FootnoteReference"/>
        </w:rPr>
        <w:footnoteRef/>
      </w:r>
      <w:r w:rsidRPr="00D17DD7">
        <w:t xml:space="preserve"> </w:t>
      </w:r>
      <w:r w:rsidR="0092658F">
        <w:t>S</w:t>
      </w:r>
      <w:r w:rsidRPr="00D17DD7">
        <w:t xml:space="preserve">ee </w:t>
      </w:r>
      <w:r w:rsidRPr="00D17DD7">
        <w:rPr>
          <w:i/>
          <w:iCs/>
        </w:rPr>
        <w:t>El Paso Energy International Company v. The Argentine Republic</w:t>
      </w:r>
      <w:r w:rsidRPr="00D17DD7">
        <w:t xml:space="preserve">, ICSID Case No. ARB/03/15, 27 Apr. 2006; </w:t>
      </w:r>
      <w:r w:rsidRPr="00D17DD7">
        <w:rPr>
          <w:i/>
          <w:iCs/>
        </w:rPr>
        <w:t>CMS Gas v. Argentina</w:t>
      </w:r>
      <w:r>
        <w:t xml:space="preserve">, </w:t>
      </w:r>
      <w:r w:rsidRPr="00D17DD7">
        <w:t>especially para 302</w:t>
      </w:r>
      <w:r w:rsidR="0092658F">
        <w:t>.</w:t>
      </w:r>
      <w:r w:rsidRPr="00D17DD7">
        <w:t xml:space="preserve"> Treaty status will only be conferred where the wording of the umbrella clause is sufficiently specific</w:t>
      </w:r>
      <w:r w:rsidR="0092658F">
        <w:t>.</w:t>
      </w:r>
    </w:p>
  </w:footnote>
  <w:footnote w:id="15">
    <w:p w14:paraId="6C03C69F" w14:textId="77777777" w:rsidR="007D5FB6" w:rsidRPr="00D17DD7" w:rsidRDefault="007D5FB6" w:rsidP="007D5FB6">
      <w:pPr>
        <w:pStyle w:val="FootnoteText"/>
      </w:pPr>
      <w:r w:rsidRPr="00D17DD7">
        <w:rPr>
          <w:rStyle w:val="FootnoteReference"/>
        </w:rPr>
        <w:footnoteRef/>
      </w:r>
      <w:r w:rsidRPr="00D17DD7">
        <w:t xml:space="preserve"> Some clauses, for example, require a particular kind or level of impact on an investment to trigger their operation.</w:t>
      </w:r>
    </w:p>
  </w:footnote>
  <w:footnote w:id="16">
    <w:p w14:paraId="361BF593" w14:textId="69443DD2" w:rsidR="00785B42" w:rsidRPr="00CB4804" w:rsidRDefault="00785B42">
      <w:pPr>
        <w:pStyle w:val="FootnoteText"/>
      </w:pPr>
      <w:r w:rsidRPr="00CB4804">
        <w:rPr>
          <w:rStyle w:val="FootnoteReference"/>
        </w:rPr>
        <w:footnoteRef/>
      </w:r>
      <w:r w:rsidRPr="00CB4804">
        <w:t xml:space="preserve"> UNCTAD, UNCTAD’s Reform Package for the International Investment Regime (UNCTAD, 2018) 27.  UNCTAD notes that ‘African countries are actively engaged in IIA reform at the regional level through parallel negotiations of, and amendments to, various “new generation” international investment instruments. These include, among others, the Pan-African Investment Code, Phase II of the Tripartite FTA between the Common Market for Eastern and Southern Africa (COMESA), the East African Community (EAC) and the Southern African Development Community (SADC), the Continental Free Trade Area, the COMESA Common Investment Area and the SADC Finance and Investment Protocol</w:t>
      </w:r>
      <w:r>
        <w:t>’: 27.</w:t>
      </w:r>
    </w:p>
  </w:footnote>
  <w:footnote w:id="17">
    <w:p w14:paraId="66056451" w14:textId="1930176F" w:rsidR="00960F32" w:rsidRDefault="00960F32">
      <w:pPr>
        <w:pStyle w:val="FootnoteText"/>
      </w:pPr>
      <w:r>
        <w:rPr>
          <w:rStyle w:val="FootnoteReference"/>
        </w:rPr>
        <w:footnoteRef/>
      </w:r>
      <w:r>
        <w:t xml:space="preserve"> However, ‘survival clauses’ in investment agreements may keep investor protections in place for many years following termination. See, for example, the India-Netherlands BIT 1995, terminated by India in 2016 but with protections for existing investors nevertheless continuing until 2031: </w:t>
      </w:r>
      <w:r w:rsidRPr="00960F32">
        <w:rPr>
          <w:i/>
          <w:iCs/>
        </w:rPr>
        <w:t>Agreement between the Republic of India and the Kingdom of the Netherlands for the promotion and protection of investments</w:t>
      </w:r>
      <w:r>
        <w:rPr>
          <w:i/>
          <w:iCs/>
        </w:rPr>
        <w:t xml:space="preserve"> 1995</w:t>
      </w:r>
      <w:r>
        <w:t>, Article 16(1).</w:t>
      </w:r>
    </w:p>
  </w:footnote>
  <w:footnote w:id="18">
    <w:p w14:paraId="1646E2C5" w14:textId="02AE22D3" w:rsidR="00785B42" w:rsidRDefault="00785B42">
      <w:pPr>
        <w:pStyle w:val="FootnoteText"/>
      </w:pPr>
      <w:r>
        <w:rPr>
          <w:rStyle w:val="FootnoteReference"/>
        </w:rPr>
        <w:footnoteRef/>
      </w:r>
      <w:r>
        <w:t xml:space="preserve"> </w:t>
      </w:r>
      <w:r w:rsidR="00B252C0" w:rsidRPr="00B01090">
        <w:t xml:space="preserve">ClientEarth, Potential Solutions </w:t>
      </w:r>
      <w:r w:rsidR="00B252C0">
        <w:t>f</w:t>
      </w:r>
      <w:r w:rsidR="00B252C0" w:rsidRPr="00B01090">
        <w:t xml:space="preserve">or Phase 3: Aligning </w:t>
      </w:r>
      <w:r w:rsidR="00B252C0">
        <w:t>t</w:t>
      </w:r>
      <w:r w:rsidR="00B252C0" w:rsidRPr="00B01090">
        <w:t xml:space="preserve">he Objectives </w:t>
      </w:r>
      <w:r w:rsidR="00B252C0">
        <w:t>o</w:t>
      </w:r>
      <w:r w:rsidR="00B252C0" w:rsidRPr="00B01090">
        <w:t xml:space="preserve">f UNCITRAL Working Group III </w:t>
      </w:r>
      <w:r w:rsidR="00B252C0">
        <w:t>w</w:t>
      </w:r>
      <w:r w:rsidR="00B252C0" w:rsidRPr="00B01090">
        <w:t xml:space="preserve">ith States’ International Obligations </w:t>
      </w:r>
      <w:r w:rsidR="00B252C0">
        <w:t>t</w:t>
      </w:r>
      <w:r w:rsidR="00B252C0" w:rsidRPr="00B01090">
        <w:t>o Combat Climate Change, Submission to UNCITRAL Working Group III, 2019</w:t>
      </w:r>
      <w:r w:rsidR="00B252C0">
        <w:t xml:space="preserve">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321FC" w14:textId="27AB2385" w:rsidR="00785B42" w:rsidRDefault="009B686F">
    <w:pPr>
      <w:pStyle w:val="Header"/>
      <w:jc w:val="right"/>
    </w:pPr>
    <w:sdt>
      <w:sdtPr>
        <w:id w:val="1243687617"/>
        <w:docPartObj>
          <w:docPartGallery w:val="Page Numbers (Top of Page)"/>
          <w:docPartUnique/>
        </w:docPartObj>
      </w:sdtPr>
      <w:sdtEndPr>
        <w:rPr>
          <w:noProof/>
        </w:rPr>
      </w:sdtEndPr>
      <w:sdtContent>
        <w:r w:rsidR="00785B42">
          <w:fldChar w:fldCharType="begin"/>
        </w:r>
        <w:r w:rsidR="00785B42">
          <w:instrText xml:space="preserve"> PAGE   \* MERGEFORMAT </w:instrText>
        </w:r>
        <w:r w:rsidR="00785B42">
          <w:fldChar w:fldCharType="separate"/>
        </w:r>
        <w:r w:rsidR="00BE4534">
          <w:rPr>
            <w:noProof/>
          </w:rPr>
          <w:t>1</w:t>
        </w:r>
        <w:r w:rsidR="00785B42">
          <w:rPr>
            <w:noProof/>
          </w:rPr>
          <w:fldChar w:fldCharType="end"/>
        </w:r>
      </w:sdtContent>
    </w:sdt>
  </w:p>
  <w:p w14:paraId="2400EE37" w14:textId="77777777" w:rsidR="00785B42" w:rsidRDefault="00785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C1CF6C"/>
    <w:multiLevelType w:val="hybridMultilevel"/>
    <w:tmpl w:val="DF41FEB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27AFA"/>
    <w:multiLevelType w:val="hybridMultilevel"/>
    <w:tmpl w:val="4790E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1615F"/>
    <w:multiLevelType w:val="hybridMultilevel"/>
    <w:tmpl w:val="907EB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556B75"/>
    <w:multiLevelType w:val="hybridMultilevel"/>
    <w:tmpl w:val="DAB4C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B59"/>
    <w:multiLevelType w:val="hybridMultilevel"/>
    <w:tmpl w:val="86804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A718D0"/>
    <w:multiLevelType w:val="hybridMultilevel"/>
    <w:tmpl w:val="1114AF92"/>
    <w:lvl w:ilvl="0" w:tplc="9EA00D1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AD7165"/>
    <w:multiLevelType w:val="hybridMultilevel"/>
    <w:tmpl w:val="C340F3DC"/>
    <w:lvl w:ilvl="0" w:tplc="54AA96D4">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FB3933"/>
    <w:multiLevelType w:val="hybridMultilevel"/>
    <w:tmpl w:val="51360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A27E9"/>
    <w:multiLevelType w:val="hybridMultilevel"/>
    <w:tmpl w:val="13F0503A"/>
    <w:lvl w:ilvl="0" w:tplc="F40E6160">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E084A47"/>
    <w:multiLevelType w:val="hybridMultilevel"/>
    <w:tmpl w:val="9A4C0142"/>
    <w:lvl w:ilvl="0" w:tplc="788AA94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A2533F"/>
    <w:multiLevelType w:val="multilevel"/>
    <w:tmpl w:val="DB1EB2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C7543F"/>
    <w:multiLevelType w:val="multilevel"/>
    <w:tmpl w:val="8F30C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10A71"/>
    <w:multiLevelType w:val="multilevel"/>
    <w:tmpl w:val="8C9A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B4C04"/>
    <w:multiLevelType w:val="multilevel"/>
    <w:tmpl w:val="E8C095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746DB8"/>
    <w:multiLevelType w:val="multilevel"/>
    <w:tmpl w:val="DE0E493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327223"/>
    <w:multiLevelType w:val="hybridMultilevel"/>
    <w:tmpl w:val="FB3CB928"/>
    <w:lvl w:ilvl="0" w:tplc="788AA94A">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1941A54"/>
    <w:multiLevelType w:val="hybridMultilevel"/>
    <w:tmpl w:val="79367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340CA5"/>
    <w:multiLevelType w:val="multilevel"/>
    <w:tmpl w:val="6EC8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13641"/>
    <w:multiLevelType w:val="hybridMultilevel"/>
    <w:tmpl w:val="3668835E"/>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E1931D2"/>
    <w:multiLevelType w:val="hybridMultilevel"/>
    <w:tmpl w:val="088C1F8A"/>
    <w:lvl w:ilvl="0" w:tplc="788AA94A">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5303149"/>
    <w:multiLevelType w:val="hybridMultilevel"/>
    <w:tmpl w:val="35FEBCD2"/>
    <w:lvl w:ilvl="0" w:tplc="34DEAF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550A3A"/>
    <w:multiLevelType w:val="multilevel"/>
    <w:tmpl w:val="93827006"/>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6E93B03"/>
    <w:multiLevelType w:val="hybridMultilevel"/>
    <w:tmpl w:val="8DC401EE"/>
    <w:lvl w:ilvl="0" w:tplc="E6F2766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257007"/>
    <w:multiLevelType w:val="hybridMultilevel"/>
    <w:tmpl w:val="3B56C082"/>
    <w:lvl w:ilvl="0" w:tplc="2738025E">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E4C26F9"/>
    <w:multiLevelType w:val="multilevel"/>
    <w:tmpl w:val="D3CCEB3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DC78BE"/>
    <w:multiLevelType w:val="hybridMultilevel"/>
    <w:tmpl w:val="D680917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5165AD"/>
    <w:multiLevelType w:val="hybridMultilevel"/>
    <w:tmpl w:val="35FEBCD2"/>
    <w:lvl w:ilvl="0" w:tplc="34DEAF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685E96"/>
    <w:multiLevelType w:val="multilevel"/>
    <w:tmpl w:val="4186207C"/>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94B0A2A"/>
    <w:multiLevelType w:val="multilevel"/>
    <w:tmpl w:val="69C0722E"/>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955006F"/>
    <w:multiLevelType w:val="hybridMultilevel"/>
    <w:tmpl w:val="13A29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376604"/>
    <w:multiLevelType w:val="hybridMultilevel"/>
    <w:tmpl w:val="DFDC9384"/>
    <w:lvl w:ilvl="0" w:tplc="F2F66F44">
      <w:start w:val="1"/>
      <w:numFmt w:val="lowerRoman"/>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
  </w:num>
  <w:num w:numId="3">
    <w:abstractNumId w:val="27"/>
  </w:num>
  <w:num w:numId="4">
    <w:abstractNumId w:val="7"/>
  </w:num>
  <w:num w:numId="5">
    <w:abstractNumId w:val="4"/>
  </w:num>
  <w:num w:numId="6">
    <w:abstractNumId w:val="5"/>
  </w:num>
  <w:num w:numId="7">
    <w:abstractNumId w:val="29"/>
  </w:num>
  <w:num w:numId="8">
    <w:abstractNumId w:val="9"/>
  </w:num>
  <w:num w:numId="9">
    <w:abstractNumId w:val="15"/>
  </w:num>
  <w:num w:numId="10">
    <w:abstractNumId w:val="19"/>
  </w:num>
  <w:num w:numId="11">
    <w:abstractNumId w:val="25"/>
  </w:num>
  <w:num w:numId="12">
    <w:abstractNumId w:val="8"/>
  </w:num>
  <w:num w:numId="13">
    <w:abstractNumId w:val="6"/>
  </w:num>
  <w:num w:numId="14">
    <w:abstractNumId w:val="23"/>
  </w:num>
  <w:num w:numId="15">
    <w:abstractNumId w:val="0"/>
  </w:num>
  <w:num w:numId="16">
    <w:abstractNumId w:val="2"/>
  </w:num>
  <w:num w:numId="17">
    <w:abstractNumId w:val="1"/>
  </w:num>
  <w:num w:numId="18">
    <w:abstractNumId w:val="24"/>
  </w:num>
  <w:num w:numId="19">
    <w:abstractNumId w:val="13"/>
  </w:num>
  <w:num w:numId="20">
    <w:abstractNumId w:val="18"/>
  </w:num>
  <w:num w:numId="21">
    <w:abstractNumId w:val="17"/>
  </w:num>
  <w:num w:numId="22">
    <w:abstractNumId w:val="21"/>
  </w:num>
  <w:num w:numId="23">
    <w:abstractNumId w:val="28"/>
  </w:num>
  <w:num w:numId="24">
    <w:abstractNumId w:val="10"/>
  </w:num>
  <w:num w:numId="25">
    <w:abstractNumId w:val="14"/>
  </w:num>
  <w:num w:numId="26">
    <w:abstractNumId w:val="30"/>
  </w:num>
  <w:num w:numId="27">
    <w:abstractNumId w:val="12"/>
  </w:num>
  <w:num w:numId="28">
    <w:abstractNumId w:val="22"/>
  </w:num>
  <w:num w:numId="29">
    <w:abstractNumId w:val="26"/>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CF"/>
    <w:rsid w:val="00000B19"/>
    <w:rsid w:val="00000B1A"/>
    <w:rsid w:val="00000DA5"/>
    <w:rsid w:val="00001CE6"/>
    <w:rsid w:val="00001D49"/>
    <w:rsid w:val="000026C0"/>
    <w:rsid w:val="00002991"/>
    <w:rsid w:val="00003391"/>
    <w:rsid w:val="00005EB2"/>
    <w:rsid w:val="00005FBB"/>
    <w:rsid w:val="00006625"/>
    <w:rsid w:val="00006DB2"/>
    <w:rsid w:val="00006DB6"/>
    <w:rsid w:val="0000710B"/>
    <w:rsid w:val="00007679"/>
    <w:rsid w:val="0001053C"/>
    <w:rsid w:val="000110E6"/>
    <w:rsid w:val="0001130C"/>
    <w:rsid w:val="00011AD6"/>
    <w:rsid w:val="00012489"/>
    <w:rsid w:val="000127B2"/>
    <w:rsid w:val="00013014"/>
    <w:rsid w:val="000137D0"/>
    <w:rsid w:val="00013B66"/>
    <w:rsid w:val="00013BE0"/>
    <w:rsid w:val="00015808"/>
    <w:rsid w:val="00016430"/>
    <w:rsid w:val="000208EE"/>
    <w:rsid w:val="00020B4F"/>
    <w:rsid w:val="00020DA5"/>
    <w:rsid w:val="000217A0"/>
    <w:rsid w:val="00021E2C"/>
    <w:rsid w:val="000223EB"/>
    <w:rsid w:val="000224E0"/>
    <w:rsid w:val="00023C6F"/>
    <w:rsid w:val="000242DC"/>
    <w:rsid w:val="00025EC1"/>
    <w:rsid w:val="0002638F"/>
    <w:rsid w:val="00026966"/>
    <w:rsid w:val="000271C5"/>
    <w:rsid w:val="000307E3"/>
    <w:rsid w:val="00030A3C"/>
    <w:rsid w:val="00031980"/>
    <w:rsid w:val="000323F2"/>
    <w:rsid w:val="00032FF9"/>
    <w:rsid w:val="0003364B"/>
    <w:rsid w:val="00033750"/>
    <w:rsid w:val="000348B8"/>
    <w:rsid w:val="00035D57"/>
    <w:rsid w:val="00036259"/>
    <w:rsid w:val="000366EB"/>
    <w:rsid w:val="00036CC6"/>
    <w:rsid w:val="00037FA8"/>
    <w:rsid w:val="00040230"/>
    <w:rsid w:val="000402E3"/>
    <w:rsid w:val="00040C72"/>
    <w:rsid w:val="00040F0B"/>
    <w:rsid w:val="0004174E"/>
    <w:rsid w:val="000444E7"/>
    <w:rsid w:val="00044907"/>
    <w:rsid w:val="00045282"/>
    <w:rsid w:val="00047F70"/>
    <w:rsid w:val="0005016B"/>
    <w:rsid w:val="00050687"/>
    <w:rsid w:val="0005117D"/>
    <w:rsid w:val="00051499"/>
    <w:rsid w:val="000514BD"/>
    <w:rsid w:val="000514E7"/>
    <w:rsid w:val="00051A66"/>
    <w:rsid w:val="000524A5"/>
    <w:rsid w:val="000528E7"/>
    <w:rsid w:val="00052FC7"/>
    <w:rsid w:val="00053497"/>
    <w:rsid w:val="0005351A"/>
    <w:rsid w:val="00054158"/>
    <w:rsid w:val="00054EC5"/>
    <w:rsid w:val="00054F7C"/>
    <w:rsid w:val="000550FE"/>
    <w:rsid w:val="00055F7B"/>
    <w:rsid w:val="00056C2C"/>
    <w:rsid w:val="00061914"/>
    <w:rsid w:val="0006196E"/>
    <w:rsid w:val="00062C38"/>
    <w:rsid w:val="00062FDA"/>
    <w:rsid w:val="000634C2"/>
    <w:rsid w:val="000637F7"/>
    <w:rsid w:val="00063AD7"/>
    <w:rsid w:val="00064910"/>
    <w:rsid w:val="00065368"/>
    <w:rsid w:val="0006609F"/>
    <w:rsid w:val="0006629B"/>
    <w:rsid w:val="00066F1B"/>
    <w:rsid w:val="00067661"/>
    <w:rsid w:val="00070DF4"/>
    <w:rsid w:val="0007143F"/>
    <w:rsid w:val="000717F2"/>
    <w:rsid w:val="00073FBE"/>
    <w:rsid w:val="00076BB6"/>
    <w:rsid w:val="00076CBD"/>
    <w:rsid w:val="00077427"/>
    <w:rsid w:val="0007789C"/>
    <w:rsid w:val="00077ACC"/>
    <w:rsid w:val="00077CEB"/>
    <w:rsid w:val="00080F83"/>
    <w:rsid w:val="00082960"/>
    <w:rsid w:val="00083481"/>
    <w:rsid w:val="00084364"/>
    <w:rsid w:val="00084938"/>
    <w:rsid w:val="0008495E"/>
    <w:rsid w:val="00084B10"/>
    <w:rsid w:val="00084F55"/>
    <w:rsid w:val="000859D2"/>
    <w:rsid w:val="00086248"/>
    <w:rsid w:val="00086269"/>
    <w:rsid w:val="0008652E"/>
    <w:rsid w:val="00086B26"/>
    <w:rsid w:val="00086FD0"/>
    <w:rsid w:val="00090299"/>
    <w:rsid w:val="00090C1F"/>
    <w:rsid w:val="000911BF"/>
    <w:rsid w:val="000913E1"/>
    <w:rsid w:val="000914AC"/>
    <w:rsid w:val="00091A24"/>
    <w:rsid w:val="00093219"/>
    <w:rsid w:val="00094EB0"/>
    <w:rsid w:val="00096525"/>
    <w:rsid w:val="00096A45"/>
    <w:rsid w:val="00096E28"/>
    <w:rsid w:val="00097ABB"/>
    <w:rsid w:val="00097C6C"/>
    <w:rsid w:val="000A06BA"/>
    <w:rsid w:val="000A0DA1"/>
    <w:rsid w:val="000A132A"/>
    <w:rsid w:val="000A1E0D"/>
    <w:rsid w:val="000A2408"/>
    <w:rsid w:val="000A2B80"/>
    <w:rsid w:val="000A375F"/>
    <w:rsid w:val="000A3B28"/>
    <w:rsid w:val="000A4223"/>
    <w:rsid w:val="000A46E4"/>
    <w:rsid w:val="000A4ECD"/>
    <w:rsid w:val="000A56B8"/>
    <w:rsid w:val="000A5B30"/>
    <w:rsid w:val="000A7B27"/>
    <w:rsid w:val="000B0A23"/>
    <w:rsid w:val="000B1AA9"/>
    <w:rsid w:val="000B2E01"/>
    <w:rsid w:val="000B3CF7"/>
    <w:rsid w:val="000B4D69"/>
    <w:rsid w:val="000B5579"/>
    <w:rsid w:val="000B59F0"/>
    <w:rsid w:val="000B5B94"/>
    <w:rsid w:val="000B604E"/>
    <w:rsid w:val="000B6118"/>
    <w:rsid w:val="000B6135"/>
    <w:rsid w:val="000B68D7"/>
    <w:rsid w:val="000B79A3"/>
    <w:rsid w:val="000C06B4"/>
    <w:rsid w:val="000C0B2D"/>
    <w:rsid w:val="000C0D87"/>
    <w:rsid w:val="000C0F05"/>
    <w:rsid w:val="000C1DFA"/>
    <w:rsid w:val="000C2A9D"/>
    <w:rsid w:val="000C328F"/>
    <w:rsid w:val="000C39D4"/>
    <w:rsid w:val="000C41CD"/>
    <w:rsid w:val="000C44C7"/>
    <w:rsid w:val="000C4A37"/>
    <w:rsid w:val="000C7619"/>
    <w:rsid w:val="000C7ED1"/>
    <w:rsid w:val="000D0402"/>
    <w:rsid w:val="000D1F4E"/>
    <w:rsid w:val="000D36B1"/>
    <w:rsid w:val="000D560C"/>
    <w:rsid w:val="000D5DDE"/>
    <w:rsid w:val="000D6A52"/>
    <w:rsid w:val="000D6ED1"/>
    <w:rsid w:val="000D77D4"/>
    <w:rsid w:val="000E0356"/>
    <w:rsid w:val="000E04F0"/>
    <w:rsid w:val="000E1CB6"/>
    <w:rsid w:val="000E1CBB"/>
    <w:rsid w:val="000E2BDB"/>
    <w:rsid w:val="000E3813"/>
    <w:rsid w:val="000E478B"/>
    <w:rsid w:val="000E48F8"/>
    <w:rsid w:val="000E4E85"/>
    <w:rsid w:val="000E53D7"/>
    <w:rsid w:val="000E55D9"/>
    <w:rsid w:val="000E5BC4"/>
    <w:rsid w:val="000E5CD6"/>
    <w:rsid w:val="000E653B"/>
    <w:rsid w:val="000F0705"/>
    <w:rsid w:val="000F1253"/>
    <w:rsid w:val="000F140E"/>
    <w:rsid w:val="000F14B1"/>
    <w:rsid w:val="000F2703"/>
    <w:rsid w:val="000F3F27"/>
    <w:rsid w:val="000F4C7D"/>
    <w:rsid w:val="000F5009"/>
    <w:rsid w:val="000F5CEC"/>
    <w:rsid w:val="000F66B4"/>
    <w:rsid w:val="000F687E"/>
    <w:rsid w:val="000F6E7C"/>
    <w:rsid w:val="000F711D"/>
    <w:rsid w:val="000F7FC9"/>
    <w:rsid w:val="0010014F"/>
    <w:rsid w:val="0010016C"/>
    <w:rsid w:val="001001DA"/>
    <w:rsid w:val="001002CA"/>
    <w:rsid w:val="00100E62"/>
    <w:rsid w:val="00100F8D"/>
    <w:rsid w:val="00101E31"/>
    <w:rsid w:val="00102018"/>
    <w:rsid w:val="001024A8"/>
    <w:rsid w:val="001027E8"/>
    <w:rsid w:val="001031F6"/>
    <w:rsid w:val="00103AF3"/>
    <w:rsid w:val="00104EE7"/>
    <w:rsid w:val="00105736"/>
    <w:rsid w:val="00105920"/>
    <w:rsid w:val="0010593B"/>
    <w:rsid w:val="00106099"/>
    <w:rsid w:val="0010642C"/>
    <w:rsid w:val="00106AE7"/>
    <w:rsid w:val="001070EF"/>
    <w:rsid w:val="00107AF9"/>
    <w:rsid w:val="0011017D"/>
    <w:rsid w:val="001115CB"/>
    <w:rsid w:val="0011272B"/>
    <w:rsid w:val="00113752"/>
    <w:rsid w:val="00114BD5"/>
    <w:rsid w:val="001152E7"/>
    <w:rsid w:val="001163A5"/>
    <w:rsid w:val="001166F2"/>
    <w:rsid w:val="0012088C"/>
    <w:rsid w:val="00121F6D"/>
    <w:rsid w:val="00122B22"/>
    <w:rsid w:val="00122E31"/>
    <w:rsid w:val="0012367A"/>
    <w:rsid w:val="0012409A"/>
    <w:rsid w:val="00125D54"/>
    <w:rsid w:val="00125EE0"/>
    <w:rsid w:val="0012644B"/>
    <w:rsid w:val="00126AE5"/>
    <w:rsid w:val="00127D96"/>
    <w:rsid w:val="00131478"/>
    <w:rsid w:val="0013198A"/>
    <w:rsid w:val="00133FF8"/>
    <w:rsid w:val="0013430B"/>
    <w:rsid w:val="0013489A"/>
    <w:rsid w:val="00134E3D"/>
    <w:rsid w:val="00135345"/>
    <w:rsid w:val="001358F0"/>
    <w:rsid w:val="00135FE1"/>
    <w:rsid w:val="001364EF"/>
    <w:rsid w:val="00136875"/>
    <w:rsid w:val="00136AC5"/>
    <w:rsid w:val="00140C89"/>
    <w:rsid w:val="00141F18"/>
    <w:rsid w:val="00142190"/>
    <w:rsid w:val="00144D91"/>
    <w:rsid w:val="00144EC1"/>
    <w:rsid w:val="00146031"/>
    <w:rsid w:val="00146C7C"/>
    <w:rsid w:val="001476B2"/>
    <w:rsid w:val="00147C50"/>
    <w:rsid w:val="00147C9B"/>
    <w:rsid w:val="001507B7"/>
    <w:rsid w:val="00150EBC"/>
    <w:rsid w:val="00150EC1"/>
    <w:rsid w:val="00150F67"/>
    <w:rsid w:val="0015191A"/>
    <w:rsid w:val="00152044"/>
    <w:rsid w:val="00152DED"/>
    <w:rsid w:val="00153DD6"/>
    <w:rsid w:val="001542B2"/>
    <w:rsid w:val="00154442"/>
    <w:rsid w:val="00154526"/>
    <w:rsid w:val="00154D5E"/>
    <w:rsid w:val="00155398"/>
    <w:rsid w:val="0015594F"/>
    <w:rsid w:val="00155A62"/>
    <w:rsid w:val="00155B73"/>
    <w:rsid w:val="001560C0"/>
    <w:rsid w:val="001574B2"/>
    <w:rsid w:val="00157560"/>
    <w:rsid w:val="00161722"/>
    <w:rsid w:val="00161971"/>
    <w:rsid w:val="0016240A"/>
    <w:rsid w:val="00163099"/>
    <w:rsid w:val="00163D15"/>
    <w:rsid w:val="00163E86"/>
    <w:rsid w:val="00165FEB"/>
    <w:rsid w:val="00166104"/>
    <w:rsid w:val="001662C6"/>
    <w:rsid w:val="00166449"/>
    <w:rsid w:val="00166772"/>
    <w:rsid w:val="00166DFF"/>
    <w:rsid w:val="001672E0"/>
    <w:rsid w:val="00167FAB"/>
    <w:rsid w:val="001701A4"/>
    <w:rsid w:val="00170545"/>
    <w:rsid w:val="00172FDC"/>
    <w:rsid w:val="00173355"/>
    <w:rsid w:val="0017362C"/>
    <w:rsid w:val="00173C41"/>
    <w:rsid w:val="00173EB1"/>
    <w:rsid w:val="00174280"/>
    <w:rsid w:val="0017440F"/>
    <w:rsid w:val="00174DD1"/>
    <w:rsid w:val="00175829"/>
    <w:rsid w:val="00175A60"/>
    <w:rsid w:val="00175E5B"/>
    <w:rsid w:val="001776DD"/>
    <w:rsid w:val="0018042E"/>
    <w:rsid w:val="00180B1B"/>
    <w:rsid w:val="00182430"/>
    <w:rsid w:val="001832A0"/>
    <w:rsid w:val="00183642"/>
    <w:rsid w:val="0018367A"/>
    <w:rsid w:val="0018379A"/>
    <w:rsid w:val="0018568E"/>
    <w:rsid w:val="00185997"/>
    <w:rsid w:val="00187D29"/>
    <w:rsid w:val="00190108"/>
    <w:rsid w:val="00190D3D"/>
    <w:rsid w:val="00191C9F"/>
    <w:rsid w:val="00193060"/>
    <w:rsid w:val="00193772"/>
    <w:rsid w:val="001948D9"/>
    <w:rsid w:val="00194C54"/>
    <w:rsid w:val="00194EEC"/>
    <w:rsid w:val="001956D2"/>
    <w:rsid w:val="00195779"/>
    <w:rsid w:val="00195A39"/>
    <w:rsid w:val="00195F64"/>
    <w:rsid w:val="00196A56"/>
    <w:rsid w:val="00196BDD"/>
    <w:rsid w:val="00196E73"/>
    <w:rsid w:val="00197257"/>
    <w:rsid w:val="0019767A"/>
    <w:rsid w:val="001A1923"/>
    <w:rsid w:val="001A21C4"/>
    <w:rsid w:val="001A2DED"/>
    <w:rsid w:val="001A2E59"/>
    <w:rsid w:val="001A3231"/>
    <w:rsid w:val="001A3DFF"/>
    <w:rsid w:val="001A48CD"/>
    <w:rsid w:val="001A55AE"/>
    <w:rsid w:val="001A63D5"/>
    <w:rsid w:val="001B06A5"/>
    <w:rsid w:val="001B19CB"/>
    <w:rsid w:val="001B1C2F"/>
    <w:rsid w:val="001B3804"/>
    <w:rsid w:val="001B3E47"/>
    <w:rsid w:val="001B3FD5"/>
    <w:rsid w:val="001B4202"/>
    <w:rsid w:val="001B4564"/>
    <w:rsid w:val="001B4814"/>
    <w:rsid w:val="001B51F8"/>
    <w:rsid w:val="001B57BA"/>
    <w:rsid w:val="001B595D"/>
    <w:rsid w:val="001B5B41"/>
    <w:rsid w:val="001B7024"/>
    <w:rsid w:val="001B7BC5"/>
    <w:rsid w:val="001C015C"/>
    <w:rsid w:val="001C0999"/>
    <w:rsid w:val="001C134F"/>
    <w:rsid w:val="001C1485"/>
    <w:rsid w:val="001C14A1"/>
    <w:rsid w:val="001C1535"/>
    <w:rsid w:val="001C19CB"/>
    <w:rsid w:val="001C1CB4"/>
    <w:rsid w:val="001C2D45"/>
    <w:rsid w:val="001C441E"/>
    <w:rsid w:val="001C4459"/>
    <w:rsid w:val="001C4D34"/>
    <w:rsid w:val="001C5658"/>
    <w:rsid w:val="001C5DB7"/>
    <w:rsid w:val="001C6D7B"/>
    <w:rsid w:val="001C77BD"/>
    <w:rsid w:val="001D0B23"/>
    <w:rsid w:val="001D0CC3"/>
    <w:rsid w:val="001D0EC7"/>
    <w:rsid w:val="001D0EFF"/>
    <w:rsid w:val="001D208F"/>
    <w:rsid w:val="001D3061"/>
    <w:rsid w:val="001D3601"/>
    <w:rsid w:val="001D40EF"/>
    <w:rsid w:val="001D45D6"/>
    <w:rsid w:val="001D4FEE"/>
    <w:rsid w:val="001D5186"/>
    <w:rsid w:val="001D6D11"/>
    <w:rsid w:val="001D725F"/>
    <w:rsid w:val="001E05AC"/>
    <w:rsid w:val="001E0A3E"/>
    <w:rsid w:val="001E1828"/>
    <w:rsid w:val="001E1993"/>
    <w:rsid w:val="001E1BB7"/>
    <w:rsid w:val="001E1FDE"/>
    <w:rsid w:val="001E214A"/>
    <w:rsid w:val="001E26A6"/>
    <w:rsid w:val="001E2C99"/>
    <w:rsid w:val="001E2D82"/>
    <w:rsid w:val="001E2F4B"/>
    <w:rsid w:val="001E3F9C"/>
    <w:rsid w:val="001E4092"/>
    <w:rsid w:val="001E47F6"/>
    <w:rsid w:val="001E4DC3"/>
    <w:rsid w:val="001E54FD"/>
    <w:rsid w:val="001E572E"/>
    <w:rsid w:val="001E5960"/>
    <w:rsid w:val="001E5CB4"/>
    <w:rsid w:val="001E6147"/>
    <w:rsid w:val="001E65FC"/>
    <w:rsid w:val="001E6906"/>
    <w:rsid w:val="001E6A28"/>
    <w:rsid w:val="001E6B14"/>
    <w:rsid w:val="001E7300"/>
    <w:rsid w:val="001E7BE5"/>
    <w:rsid w:val="001F00F4"/>
    <w:rsid w:val="001F10AA"/>
    <w:rsid w:val="001F3156"/>
    <w:rsid w:val="001F3C11"/>
    <w:rsid w:val="001F4327"/>
    <w:rsid w:val="001F4B66"/>
    <w:rsid w:val="001F5A1B"/>
    <w:rsid w:val="001F6454"/>
    <w:rsid w:val="001F6A36"/>
    <w:rsid w:val="001F76B3"/>
    <w:rsid w:val="001F7E3C"/>
    <w:rsid w:val="00201344"/>
    <w:rsid w:val="00202A5C"/>
    <w:rsid w:val="002031A1"/>
    <w:rsid w:val="0020373F"/>
    <w:rsid w:val="00205CE3"/>
    <w:rsid w:val="00207482"/>
    <w:rsid w:val="002079F6"/>
    <w:rsid w:val="00210327"/>
    <w:rsid w:val="0021038E"/>
    <w:rsid w:val="00210EF7"/>
    <w:rsid w:val="002112A2"/>
    <w:rsid w:val="00212857"/>
    <w:rsid w:val="00213F19"/>
    <w:rsid w:val="0021448A"/>
    <w:rsid w:val="002149DD"/>
    <w:rsid w:val="00214CAF"/>
    <w:rsid w:val="00214F2F"/>
    <w:rsid w:val="00214F8E"/>
    <w:rsid w:val="0021625B"/>
    <w:rsid w:val="002163AF"/>
    <w:rsid w:val="002167B2"/>
    <w:rsid w:val="00216D50"/>
    <w:rsid w:val="00216DCD"/>
    <w:rsid w:val="002174CF"/>
    <w:rsid w:val="00217C62"/>
    <w:rsid w:val="0022098C"/>
    <w:rsid w:val="00222310"/>
    <w:rsid w:val="00222B35"/>
    <w:rsid w:val="0022475B"/>
    <w:rsid w:val="002254CC"/>
    <w:rsid w:val="002261F9"/>
    <w:rsid w:val="0022678C"/>
    <w:rsid w:val="00227360"/>
    <w:rsid w:val="0022773C"/>
    <w:rsid w:val="00230033"/>
    <w:rsid w:val="002310D5"/>
    <w:rsid w:val="00232324"/>
    <w:rsid w:val="0023262D"/>
    <w:rsid w:val="002329B8"/>
    <w:rsid w:val="00232D69"/>
    <w:rsid w:val="002334BC"/>
    <w:rsid w:val="002336A3"/>
    <w:rsid w:val="00235539"/>
    <w:rsid w:val="00235CDA"/>
    <w:rsid w:val="00235D38"/>
    <w:rsid w:val="002366C7"/>
    <w:rsid w:val="00236888"/>
    <w:rsid w:val="00236899"/>
    <w:rsid w:val="00236A13"/>
    <w:rsid w:val="00236BD2"/>
    <w:rsid w:val="00236C82"/>
    <w:rsid w:val="00236CF0"/>
    <w:rsid w:val="00240460"/>
    <w:rsid w:val="0024118D"/>
    <w:rsid w:val="00241677"/>
    <w:rsid w:val="0024273D"/>
    <w:rsid w:val="002429D8"/>
    <w:rsid w:val="002430D1"/>
    <w:rsid w:val="00243DCC"/>
    <w:rsid w:val="00245183"/>
    <w:rsid w:val="002451BB"/>
    <w:rsid w:val="0024569C"/>
    <w:rsid w:val="0024752F"/>
    <w:rsid w:val="002507FD"/>
    <w:rsid w:val="002508E2"/>
    <w:rsid w:val="0025112F"/>
    <w:rsid w:val="002512DF"/>
    <w:rsid w:val="002514FB"/>
    <w:rsid w:val="00251E02"/>
    <w:rsid w:val="00252EF9"/>
    <w:rsid w:val="00255FA6"/>
    <w:rsid w:val="002561E1"/>
    <w:rsid w:val="00256576"/>
    <w:rsid w:val="00256741"/>
    <w:rsid w:val="0025689C"/>
    <w:rsid w:val="00257B37"/>
    <w:rsid w:val="0026099E"/>
    <w:rsid w:val="00260A68"/>
    <w:rsid w:val="002613CE"/>
    <w:rsid w:val="00261518"/>
    <w:rsid w:val="00261F05"/>
    <w:rsid w:val="00262165"/>
    <w:rsid w:val="00262D13"/>
    <w:rsid w:val="00263F6B"/>
    <w:rsid w:val="002648EF"/>
    <w:rsid w:val="00264A84"/>
    <w:rsid w:val="00264CF6"/>
    <w:rsid w:val="0026585B"/>
    <w:rsid w:val="00265B02"/>
    <w:rsid w:val="00266001"/>
    <w:rsid w:val="00266552"/>
    <w:rsid w:val="002668C9"/>
    <w:rsid w:val="00266938"/>
    <w:rsid w:val="00270403"/>
    <w:rsid w:val="00272991"/>
    <w:rsid w:val="00273539"/>
    <w:rsid w:val="002740AB"/>
    <w:rsid w:val="0027506C"/>
    <w:rsid w:val="002750D7"/>
    <w:rsid w:val="0027634E"/>
    <w:rsid w:val="0027746F"/>
    <w:rsid w:val="00277B24"/>
    <w:rsid w:val="00277D74"/>
    <w:rsid w:val="00280061"/>
    <w:rsid w:val="0028023D"/>
    <w:rsid w:val="0028053E"/>
    <w:rsid w:val="002808C3"/>
    <w:rsid w:val="002808D4"/>
    <w:rsid w:val="0028162D"/>
    <w:rsid w:val="00281A7D"/>
    <w:rsid w:val="00281E31"/>
    <w:rsid w:val="00281EF1"/>
    <w:rsid w:val="002825B7"/>
    <w:rsid w:val="00282662"/>
    <w:rsid w:val="00282F83"/>
    <w:rsid w:val="0028408C"/>
    <w:rsid w:val="0028578C"/>
    <w:rsid w:val="00286174"/>
    <w:rsid w:val="00286707"/>
    <w:rsid w:val="00286C40"/>
    <w:rsid w:val="002871BB"/>
    <w:rsid w:val="002877DD"/>
    <w:rsid w:val="00287A93"/>
    <w:rsid w:val="00287EAC"/>
    <w:rsid w:val="00291D81"/>
    <w:rsid w:val="00291E71"/>
    <w:rsid w:val="002930B0"/>
    <w:rsid w:val="00294258"/>
    <w:rsid w:val="00295812"/>
    <w:rsid w:val="00297D98"/>
    <w:rsid w:val="002A0030"/>
    <w:rsid w:val="002A0BAF"/>
    <w:rsid w:val="002A12B6"/>
    <w:rsid w:val="002A1B02"/>
    <w:rsid w:val="002A1BCC"/>
    <w:rsid w:val="002A2DB7"/>
    <w:rsid w:val="002A2FE9"/>
    <w:rsid w:val="002A351D"/>
    <w:rsid w:val="002A3864"/>
    <w:rsid w:val="002A3B53"/>
    <w:rsid w:val="002A4630"/>
    <w:rsid w:val="002A4AB0"/>
    <w:rsid w:val="002A4DD9"/>
    <w:rsid w:val="002A4F46"/>
    <w:rsid w:val="002A5261"/>
    <w:rsid w:val="002A565C"/>
    <w:rsid w:val="002A5BD3"/>
    <w:rsid w:val="002A7219"/>
    <w:rsid w:val="002A745A"/>
    <w:rsid w:val="002A7C12"/>
    <w:rsid w:val="002B1967"/>
    <w:rsid w:val="002B1A9C"/>
    <w:rsid w:val="002B1ED5"/>
    <w:rsid w:val="002B25EE"/>
    <w:rsid w:val="002B28FB"/>
    <w:rsid w:val="002B2C50"/>
    <w:rsid w:val="002B35AC"/>
    <w:rsid w:val="002B4737"/>
    <w:rsid w:val="002B5522"/>
    <w:rsid w:val="002B57CB"/>
    <w:rsid w:val="002B59F0"/>
    <w:rsid w:val="002B5A23"/>
    <w:rsid w:val="002B6488"/>
    <w:rsid w:val="002B7689"/>
    <w:rsid w:val="002B7AD6"/>
    <w:rsid w:val="002C04AB"/>
    <w:rsid w:val="002C0BA0"/>
    <w:rsid w:val="002C100F"/>
    <w:rsid w:val="002C1826"/>
    <w:rsid w:val="002C3CC4"/>
    <w:rsid w:val="002C3EB4"/>
    <w:rsid w:val="002C4623"/>
    <w:rsid w:val="002C4A80"/>
    <w:rsid w:val="002C4B89"/>
    <w:rsid w:val="002C5B8C"/>
    <w:rsid w:val="002C6307"/>
    <w:rsid w:val="002C6A5F"/>
    <w:rsid w:val="002C6BC7"/>
    <w:rsid w:val="002C7755"/>
    <w:rsid w:val="002D0FE7"/>
    <w:rsid w:val="002D1AE5"/>
    <w:rsid w:val="002D27D6"/>
    <w:rsid w:val="002D30D1"/>
    <w:rsid w:val="002D39B7"/>
    <w:rsid w:val="002D4232"/>
    <w:rsid w:val="002D48D6"/>
    <w:rsid w:val="002D4B00"/>
    <w:rsid w:val="002D5050"/>
    <w:rsid w:val="002D5A3B"/>
    <w:rsid w:val="002D7982"/>
    <w:rsid w:val="002E0063"/>
    <w:rsid w:val="002E080D"/>
    <w:rsid w:val="002E1F8A"/>
    <w:rsid w:val="002E249F"/>
    <w:rsid w:val="002E27AC"/>
    <w:rsid w:val="002E2D68"/>
    <w:rsid w:val="002E37C6"/>
    <w:rsid w:val="002E57A3"/>
    <w:rsid w:val="002E5CC4"/>
    <w:rsid w:val="002E7BE2"/>
    <w:rsid w:val="002F0780"/>
    <w:rsid w:val="002F09F8"/>
    <w:rsid w:val="002F168C"/>
    <w:rsid w:val="002F194A"/>
    <w:rsid w:val="002F50DA"/>
    <w:rsid w:val="002F59C4"/>
    <w:rsid w:val="002F79B4"/>
    <w:rsid w:val="00300817"/>
    <w:rsid w:val="00300B0A"/>
    <w:rsid w:val="003014B0"/>
    <w:rsid w:val="00302348"/>
    <w:rsid w:val="0030258C"/>
    <w:rsid w:val="003028A8"/>
    <w:rsid w:val="003028B6"/>
    <w:rsid w:val="00303441"/>
    <w:rsid w:val="003036D9"/>
    <w:rsid w:val="0030422D"/>
    <w:rsid w:val="00304AD2"/>
    <w:rsid w:val="003057DE"/>
    <w:rsid w:val="00306B5E"/>
    <w:rsid w:val="003073DD"/>
    <w:rsid w:val="00307853"/>
    <w:rsid w:val="0031055A"/>
    <w:rsid w:val="00310679"/>
    <w:rsid w:val="00311727"/>
    <w:rsid w:val="0031198F"/>
    <w:rsid w:val="00311A47"/>
    <w:rsid w:val="003121C6"/>
    <w:rsid w:val="0031301B"/>
    <w:rsid w:val="0031321B"/>
    <w:rsid w:val="00314016"/>
    <w:rsid w:val="0031418B"/>
    <w:rsid w:val="00316320"/>
    <w:rsid w:val="00316480"/>
    <w:rsid w:val="003171DD"/>
    <w:rsid w:val="00317721"/>
    <w:rsid w:val="0032119A"/>
    <w:rsid w:val="00321F3B"/>
    <w:rsid w:val="00322D41"/>
    <w:rsid w:val="00323348"/>
    <w:rsid w:val="0032384E"/>
    <w:rsid w:val="00323EE0"/>
    <w:rsid w:val="00324B08"/>
    <w:rsid w:val="00324B16"/>
    <w:rsid w:val="00324C2B"/>
    <w:rsid w:val="00324E84"/>
    <w:rsid w:val="00326973"/>
    <w:rsid w:val="0032792D"/>
    <w:rsid w:val="00327E88"/>
    <w:rsid w:val="00327FA3"/>
    <w:rsid w:val="00330676"/>
    <w:rsid w:val="0033075B"/>
    <w:rsid w:val="003309B1"/>
    <w:rsid w:val="0033176C"/>
    <w:rsid w:val="00332011"/>
    <w:rsid w:val="00332E6B"/>
    <w:rsid w:val="00332FFF"/>
    <w:rsid w:val="003332D9"/>
    <w:rsid w:val="00333B59"/>
    <w:rsid w:val="00333D89"/>
    <w:rsid w:val="00334377"/>
    <w:rsid w:val="00334D7C"/>
    <w:rsid w:val="00335056"/>
    <w:rsid w:val="003352B7"/>
    <w:rsid w:val="00335370"/>
    <w:rsid w:val="00335D92"/>
    <w:rsid w:val="003368AD"/>
    <w:rsid w:val="00337B0E"/>
    <w:rsid w:val="00340A35"/>
    <w:rsid w:val="00341786"/>
    <w:rsid w:val="003417F5"/>
    <w:rsid w:val="0034310E"/>
    <w:rsid w:val="0034345B"/>
    <w:rsid w:val="00343554"/>
    <w:rsid w:val="00343FF7"/>
    <w:rsid w:val="00344CB3"/>
    <w:rsid w:val="00344F4C"/>
    <w:rsid w:val="00345CF0"/>
    <w:rsid w:val="00345F42"/>
    <w:rsid w:val="0034607E"/>
    <w:rsid w:val="003467A8"/>
    <w:rsid w:val="003467E6"/>
    <w:rsid w:val="00347D1B"/>
    <w:rsid w:val="003513D4"/>
    <w:rsid w:val="0035185F"/>
    <w:rsid w:val="00351DC2"/>
    <w:rsid w:val="003520B0"/>
    <w:rsid w:val="00352965"/>
    <w:rsid w:val="00352D12"/>
    <w:rsid w:val="00353677"/>
    <w:rsid w:val="003547EE"/>
    <w:rsid w:val="00355261"/>
    <w:rsid w:val="003553F1"/>
    <w:rsid w:val="003559D6"/>
    <w:rsid w:val="003562BA"/>
    <w:rsid w:val="00356361"/>
    <w:rsid w:val="00357400"/>
    <w:rsid w:val="00357996"/>
    <w:rsid w:val="0036065C"/>
    <w:rsid w:val="00360992"/>
    <w:rsid w:val="00360B11"/>
    <w:rsid w:val="00362208"/>
    <w:rsid w:val="00362DF4"/>
    <w:rsid w:val="00363127"/>
    <w:rsid w:val="00363692"/>
    <w:rsid w:val="003653C6"/>
    <w:rsid w:val="00365E5B"/>
    <w:rsid w:val="00366062"/>
    <w:rsid w:val="003662C2"/>
    <w:rsid w:val="003667B9"/>
    <w:rsid w:val="00366BFB"/>
    <w:rsid w:val="0036714A"/>
    <w:rsid w:val="00367355"/>
    <w:rsid w:val="00367A7F"/>
    <w:rsid w:val="003705A6"/>
    <w:rsid w:val="0037074E"/>
    <w:rsid w:val="003708B8"/>
    <w:rsid w:val="00370C98"/>
    <w:rsid w:val="00372D20"/>
    <w:rsid w:val="003733A3"/>
    <w:rsid w:val="00373F63"/>
    <w:rsid w:val="00373FAE"/>
    <w:rsid w:val="00375E32"/>
    <w:rsid w:val="00375F67"/>
    <w:rsid w:val="00376341"/>
    <w:rsid w:val="00376CB6"/>
    <w:rsid w:val="003772FD"/>
    <w:rsid w:val="00377DBA"/>
    <w:rsid w:val="00382312"/>
    <w:rsid w:val="0038367D"/>
    <w:rsid w:val="00383F0F"/>
    <w:rsid w:val="00384193"/>
    <w:rsid w:val="00384416"/>
    <w:rsid w:val="003849D0"/>
    <w:rsid w:val="0038520B"/>
    <w:rsid w:val="00386346"/>
    <w:rsid w:val="003863D8"/>
    <w:rsid w:val="00386757"/>
    <w:rsid w:val="00386CA9"/>
    <w:rsid w:val="003871CA"/>
    <w:rsid w:val="00387E36"/>
    <w:rsid w:val="00391372"/>
    <w:rsid w:val="00391F11"/>
    <w:rsid w:val="003943A6"/>
    <w:rsid w:val="003944DB"/>
    <w:rsid w:val="00394918"/>
    <w:rsid w:val="0039519B"/>
    <w:rsid w:val="00395BFF"/>
    <w:rsid w:val="00395E24"/>
    <w:rsid w:val="00396AF8"/>
    <w:rsid w:val="00396DFA"/>
    <w:rsid w:val="00396E2B"/>
    <w:rsid w:val="0039731B"/>
    <w:rsid w:val="00397370"/>
    <w:rsid w:val="003975AA"/>
    <w:rsid w:val="003975D8"/>
    <w:rsid w:val="003978A1"/>
    <w:rsid w:val="00397B29"/>
    <w:rsid w:val="00397EBE"/>
    <w:rsid w:val="003A0FE7"/>
    <w:rsid w:val="003A117C"/>
    <w:rsid w:val="003A2A39"/>
    <w:rsid w:val="003A2B8B"/>
    <w:rsid w:val="003A4998"/>
    <w:rsid w:val="003A4A2B"/>
    <w:rsid w:val="003A4BAF"/>
    <w:rsid w:val="003A5CA4"/>
    <w:rsid w:val="003A6922"/>
    <w:rsid w:val="003A71D6"/>
    <w:rsid w:val="003A76B8"/>
    <w:rsid w:val="003B08C9"/>
    <w:rsid w:val="003B08D1"/>
    <w:rsid w:val="003B1AED"/>
    <w:rsid w:val="003B239F"/>
    <w:rsid w:val="003B431A"/>
    <w:rsid w:val="003B5353"/>
    <w:rsid w:val="003B5C5A"/>
    <w:rsid w:val="003B606A"/>
    <w:rsid w:val="003B6AEF"/>
    <w:rsid w:val="003B704F"/>
    <w:rsid w:val="003B7A04"/>
    <w:rsid w:val="003B7B1B"/>
    <w:rsid w:val="003B7EE4"/>
    <w:rsid w:val="003C043B"/>
    <w:rsid w:val="003C0834"/>
    <w:rsid w:val="003C1052"/>
    <w:rsid w:val="003C2137"/>
    <w:rsid w:val="003C2248"/>
    <w:rsid w:val="003C3273"/>
    <w:rsid w:val="003C38B4"/>
    <w:rsid w:val="003C46A5"/>
    <w:rsid w:val="003C52D9"/>
    <w:rsid w:val="003C55D7"/>
    <w:rsid w:val="003C5D75"/>
    <w:rsid w:val="003C64B6"/>
    <w:rsid w:val="003C6788"/>
    <w:rsid w:val="003C6A10"/>
    <w:rsid w:val="003D0091"/>
    <w:rsid w:val="003D0663"/>
    <w:rsid w:val="003D1051"/>
    <w:rsid w:val="003D1245"/>
    <w:rsid w:val="003D167E"/>
    <w:rsid w:val="003D1B25"/>
    <w:rsid w:val="003D229D"/>
    <w:rsid w:val="003D2322"/>
    <w:rsid w:val="003D25F8"/>
    <w:rsid w:val="003D2B0B"/>
    <w:rsid w:val="003D2DFF"/>
    <w:rsid w:val="003D5054"/>
    <w:rsid w:val="003D5823"/>
    <w:rsid w:val="003E0363"/>
    <w:rsid w:val="003E0A9C"/>
    <w:rsid w:val="003E1D16"/>
    <w:rsid w:val="003E267A"/>
    <w:rsid w:val="003E27BE"/>
    <w:rsid w:val="003E2B79"/>
    <w:rsid w:val="003E2F9D"/>
    <w:rsid w:val="003E3203"/>
    <w:rsid w:val="003E38AA"/>
    <w:rsid w:val="003E404B"/>
    <w:rsid w:val="003E582F"/>
    <w:rsid w:val="003E5AB0"/>
    <w:rsid w:val="003E6831"/>
    <w:rsid w:val="003E75DA"/>
    <w:rsid w:val="003E7FCF"/>
    <w:rsid w:val="003F05FF"/>
    <w:rsid w:val="003F14D4"/>
    <w:rsid w:val="003F16E9"/>
    <w:rsid w:val="003F17A2"/>
    <w:rsid w:val="003F2CCB"/>
    <w:rsid w:val="003F3B85"/>
    <w:rsid w:val="003F3C8B"/>
    <w:rsid w:val="003F421F"/>
    <w:rsid w:val="003F48C5"/>
    <w:rsid w:val="003F4CD0"/>
    <w:rsid w:val="003F646D"/>
    <w:rsid w:val="003F6CED"/>
    <w:rsid w:val="003F712D"/>
    <w:rsid w:val="003F78BF"/>
    <w:rsid w:val="00400211"/>
    <w:rsid w:val="004009CA"/>
    <w:rsid w:val="00401426"/>
    <w:rsid w:val="004014F1"/>
    <w:rsid w:val="00401757"/>
    <w:rsid w:val="004021BF"/>
    <w:rsid w:val="00403034"/>
    <w:rsid w:val="00403311"/>
    <w:rsid w:val="004035C7"/>
    <w:rsid w:val="00404E74"/>
    <w:rsid w:val="00404EE4"/>
    <w:rsid w:val="00405618"/>
    <w:rsid w:val="00405E8A"/>
    <w:rsid w:val="004068BE"/>
    <w:rsid w:val="00407312"/>
    <w:rsid w:val="00407D9A"/>
    <w:rsid w:val="00407DB9"/>
    <w:rsid w:val="00410496"/>
    <w:rsid w:val="00412509"/>
    <w:rsid w:val="0041259B"/>
    <w:rsid w:val="00412A2D"/>
    <w:rsid w:val="00413503"/>
    <w:rsid w:val="00413B7E"/>
    <w:rsid w:val="00413BCC"/>
    <w:rsid w:val="004143A1"/>
    <w:rsid w:val="0041455B"/>
    <w:rsid w:val="004146BE"/>
    <w:rsid w:val="004153C6"/>
    <w:rsid w:val="00415C07"/>
    <w:rsid w:val="00415CCF"/>
    <w:rsid w:val="004160B3"/>
    <w:rsid w:val="0041618C"/>
    <w:rsid w:val="00416722"/>
    <w:rsid w:val="00416F4D"/>
    <w:rsid w:val="00417099"/>
    <w:rsid w:val="00417A83"/>
    <w:rsid w:val="00417EB7"/>
    <w:rsid w:val="004205BC"/>
    <w:rsid w:val="00420A99"/>
    <w:rsid w:val="00420B83"/>
    <w:rsid w:val="00421369"/>
    <w:rsid w:val="004213DF"/>
    <w:rsid w:val="00421E07"/>
    <w:rsid w:val="004237AD"/>
    <w:rsid w:val="00424363"/>
    <w:rsid w:val="00424E8A"/>
    <w:rsid w:val="00424ED6"/>
    <w:rsid w:val="00424F07"/>
    <w:rsid w:val="00425257"/>
    <w:rsid w:val="0042567A"/>
    <w:rsid w:val="0042692D"/>
    <w:rsid w:val="004270C3"/>
    <w:rsid w:val="004274CA"/>
    <w:rsid w:val="0042752C"/>
    <w:rsid w:val="004279B7"/>
    <w:rsid w:val="004307C7"/>
    <w:rsid w:val="00430D2C"/>
    <w:rsid w:val="00431632"/>
    <w:rsid w:val="004317AA"/>
    <w:rsid w:val="0043219C"/>
    <w:rsid w:val="0043300C"/>
    <w:rsid w:val="004334BB"/>
    <w:rsid w:val="0043361A"/>
    <w:rsid w:val="004345E3"/>
    <w:rsid w:val="00435F89"/>
    <w:rsid w:val="004363AD"/>
    <w:rsid w:val="00436709"/>
    <w:rsid w:val="00436AE4"/>
    <w:rsid w:val="00437363"/>
    <w:rsid w:val="00437487"/>
    <w:rsid w:val="0044411E"/>
    <w:rsid w:val="004445D9"/>
    <w:rsid w:val="00444747"/>
    <w:rsid w:val="00444D8E"/>
    <w:rsid w:val="00444FA1"/>
    <w:rsid w:val="00446F37"/>
    <w:rsid w:val="00447000"/>
    <w:rsid w:val="00450360"/>
    <w:rsid w:val="00451A3E"/>
    <w:rsid w:val="00451B94"/>
    <w:rsid w:val="004556EC"/>
    <w:rsid w:val="00456654"/>
    <w:rsid w:val="0045781A"/>
    <w:rsid w:val="00460D70"/>
    <w:rsid w:val="00460D80"/>
    <w:rsid w:val="004611C6"/>
    <w:rsid w:val="00461895"/>
    <w:rsid w:val="00461DC5"/>
    <w:rsid w:val="0046204D"/>
    <w:rsid w:val="004623F9"/>
    <w:rsid w:val="004627DC"/>
    <w:rsid w:val="00462975"/>
    <w:rsid w:val="00463981"/>
    <w:rsid w:val="00464FA9"/>
    <w:rsid w:val="00465783"/>
    <w:rsid w:val="0046593B"/>
    <w:rsid w:val="00465B9E"/>
    <w:rsid w:val="00465D29"/>
    <w:rsid w:val="00465EA7"/>
    <w:rsid w:val="00466105"/>
    <w:rsid w:val="00467111"/>
    <w:rsid w:val="0046729B"/>
    <w:rsid w:val="004703EC"/>
    <w:rsid w:val="004704A3"/>
    <w:rsid w:val="00470B59"/>
    <w:rsid w:val="00470BD9"/>
    <w:rsid w:val="004712D8"/>
    <w:rsid w:val="004732A7"/>
    <w:rsid w:val="004736C4"/>
    <w:rsid w:val="00473A3A"/>
    <w:rsid w:val="00473EC1"/>
    <w:rsid w:val="0047420E"/>
    <w:rsid w:val="00474C0B"/>
    <w:rsid w:val="00477BC0"/>
    <w:rsid w:val="0048087C"/>
    <w:rsid w:val="00480F73"/>
    <w:rsid w:val="00481196"/>
    <w:rsid w:val="00481205"/>
    <w:rsid w:val="004821A8"/>
    <w:rsid w:val="004825C7"/>
    <w:rsid w:val="00482951"/>
    <w:rsid w:val="0048348A"/>
    <w:rsid w:val="00483701"/>
    <w:rsid w:val="00485A22"/>
    <w:rsid w:val="00485B5B"/>
    <w:rsid w:val="00485BAF"/>
    <w:rsid w:val="00486185"/>
    <w:rsid w:val="0048651D"/>
    <w:rsid w:val="00486A92"/>
    <w:rsid w:val="00487CAE"/>
    <w:rsid w:val="0049074C"/>
    <w:rsid w:val="004908BA"/>
    <w:rsid w:val="00490BE7"/>
    <w:rsid w:val="00491892"/>
    <w:rsid w:val="004926E1"/>
    <w:rsid w:val="00492A4C"/>
    <w:rsid w:val="0049340B"/>
    <w:rsid w:val="004954FF"/>
    <w:rsid w:val="0049568C"/>
    <w:rsid w:val="00495D93"/>
    <w:rsid w:val="004961B5"/>
    <w:rsid w:val="004961E0"/>
    <w:rsid w:val="0049620A"/>
    <w:rsid w:val="004969A3"/>
    <w:rsid w:val="004A0437"/>
    <w:rsid w:val="004A0778"/>
    <w:rsid w:val="004A0BDF"/>
    <w:rsid w:val="004A0FFD"/>
    <w:rsid w:val="004A14F6"/>
    <w:rsid w:val="004A16F6"/>
    <w:rsid w:val="004A1D79"/>
    <w:rsid w:val="004A2B7D"/>
    <w:rsid w:val="004A3162"/>
    <w:rsid w:val="004A50FE"/>
    <w:rsid w:val="004A65E9"/>
    <w:rsid w:val="004A7A40"/>
    <w:rsid w:val="004B0728"/>
    <w:rsid w:val="004B3429"/>
    <w:rsid w:val="004B4651"/>
    <w:rsid w:val="004B46B2"/>
    <w:rsid w:val="004B6436"/>
    <w:rsid w:val="004B7128"/>
    <w:rsid w:val="004C02D0"/>
    <w:rsid w:val="004C11F9"/>
    <w:rsid w:val="004C18D4"/>
    <w:rsid w:val="004C19FD"/>
    <w:rsid w:val="004C2E1D"/>
    <w:rsid w:val="004C3B44"/>
    <w:rsid w:val="004C4684"/>
    <w:rsid w:val="004C46EB"/>
    <w:rsid w:val="004C4932"/>
    <w:rsid w:val="004C4B08"/>
    <w:rsid w:val="004C5089"/>
    <w:rsid w:val="004C5BB5"/>
    <w:rsid w:val="004C5C03"/>
    <w:rsid w:val="004C6B45"/>
    <w:rsid w:val="004C6CE3"/>
    <w:rsid w:val="004D08F4"/>
    <w:rsid w:val="004D1DDD"/>
    <w:rsid w:val="004D207E"/>
    <w:rsid w:val="004D21ED"/>
    <w:rsid w:val="004D256B"/>
    <w:rsid w:val="004D323B"/>
    <w:rsid w:val="004D3BBC"/>
    <w:rsid w:val="004D445F"/>
    <w:rsid w:val="004D5059"/>
    <w:rsid w:val="004D6F41"/>
    <w:rsid w:val="004D7484"/>
    <w:rsid w:val="004D74EB"/>
    <w:rsid w:val="004E0978"/>
    <w:rsid w:val="004E097C"/>
    <w:rsid w:val="004E0D38"/>
    <w:rsid w:val="004E1082"/>
    <w:rsid w:val="004E10AD"/>
    <w:rsid w:val="004E1E17"/>
    <w:rsid w:val="004E2947"/>
    <w:rsid w:val="004E2DCE"/>
    <w:rsid w:val="004E3164"/>
    <w:rsid w:val="004E332B"/>
    <w:rsid w:val="004E3D16"/>
    <w:rsid w:val="004E43D3"/>
    <w:rsid w:val="004E4771"/>
    <w:rsid w:val="004E4B45"/>
    <w:rsid w:val="004E5A1F"/>
    <w:rsid w:val="004E6899"/>
    <w:rsid w:val="004E7251"/>
    <w:rsid w:val="004E7614"/>
    <w:rsid w:val="004F00C1"/>
    <w:rsid w:val="004F06CD"/>
    <w:rsid w:val="004F0865"/>
    <w:rsid w:val="004F1145"/>
    <w:rsid w:val="004F16F2"/>
    <w:rsid w:val="004F1D5F"/>
    <w:rsid w:val="004F2A60"/>
    <w:rsid w:val="004F3D6E"/>
    <w:rsid w:val="004F4AE6"/>
    <w:rsid w:val="004F4C90"/>
    <w:rsid w:val="004F4D2E"/>
    <w:rsid w:val="004F4FD4"/>
    <w:rsid w:val="004F5DCD"/>
    <w:rsid w:val="004F634F"/>
    <w:rsid w:val="004F74CB"/>
    <w:rsid w:val="004F7602"/>
    <w:rsid w:val="005003BD"/>
    <w:rsid w:val="00500705"/>
    <w:rsid w:val="0050087F"/>
    <w:rsid w:val="00502A3A"/>
    <w:rsid w:val="00503726"/>
    <w:rsid w:val="00503C12"/>
    <w:rsid w:val="00504310"/>
    <w:rsid w:val="005060FA"/>
    <w:rsid w:val="00506336"/>
    <w:rsid w:val="00510933"/>
    <w:rsid w:val="005117E2"/>
    <w:rsid w:val="005125A9"/>
    <w:rsid w:val="00513117"/>
    <w:rsid w:val="00514219"/>
    <w:rsid w:val="00514EEB"/>
    <w:rsid w:val="00515150"/>
    <w:rsid w:val="00515A42"/>
    <w:rsid w:val="00516300"/>
    <w:rsid w:val="00516969"/>
    <w:rsid w:val="005176C0"/>
    <w:rsid w:val="00517C3D"/>
    <w:rsid w:val="00520827"/>
    <w:rsid w:val="00520BB3"/>
    <w:rsid w:val="00521488"/>
    <w:rsid w:val="00523C14"/>
    <w:rsid w:val="00524BC3"/>
    <w:rsid w:val="0052622C"/>
    <w:rsid w:val="00526372"/>
    <w:rsid w:val="00526682"/>
    <w:rsid w:val="005274FF"/>
    <w:rsid w:val="005275B7"/>
    <w:rsid w:val="00527ABC"/>
    <w:rsid w:val="005308AE"/>
    <w:rsid w:val="005309A0"/>
    <w:rsid w:val="00530D92"/>
    <w:rsid w:val="00530F78"/>
    <w:rsid w:val="005314C4"/>
    <w:rsid w:val="00531DEF"/>
    <w:rsid w:val="00532295"/>
    <w:rsid w:val="005325BF"/>
    <w:rsid w:val="00532674"/>
    <w:rsid w:val="005327C0"/>
    <w:rsid w:val="00533291"/>
    <w:rsid w:val="0053376A"/>
    <w:rsid w:val="00533B5B"/>
    <w:rsid w:val="00533C13"/>
    <w:rsid w:val="0053538A"/>
    <w:rsid w:val="005354BE"/>
    <w:rsid w:val="005359F0"/>
    <w:rsid w:val="00535BF6"/>
    <w:rsid w:val="0053758B"/>
    <w:rsid w:val="005379B9"/>
    <w:rsid w:val="00540943"/>
    <w:rsid w:val="0054111C"/>
    <w:rsid w:val="00541160"/>
    <w:rsid w:val="00541B91"/>
    <w:rsid w:val="0054204D"/>
    <w:rsid w:val="00542209"/>
    <w:rsid w:val="0054325C"/>
    <w:rsid w:val="0054330F"/>
    <w:rsid w:val="00543513"/>
    <w:rsid w:val="00546437"/>
    <w:rsid w:val="00547AC8"/>
    <w:rsid w:val="00550376"/>
    <w:rsid w:val="00550677"/>
    <w:rsid w:val="005507E0"/>
    <w:rsid w:val="00550ADF"/>
    <w:rsid w:val="00550C1F"/>
    <w:rsid w:val="00550CD9"/>
    <w:rsid w:val="005514EC"/>
    <w:rsid w:val="00553002"/>
    <w:rsid w:val="0055313B"/>
    <w:rsid w:val="005531DC"/>
    <w:rsid w:val="00553FC1"/>
    <w:rsid w:val="00553FD2"/>
    <w:rsid w:val="005541ED"/>
    <w:rsid w:val="00554A17"/>
    <w:rsid w:val="00555633"/>
    <w:rsid w:val="0055589D"/>
    <w:rsid w:val="0055632B"/>
    <w:rsid w:val="00556656"/>
    <w:rsid w:val="0055666D"/>
    <w:rsid w:val="00556B3D"/>
    <w:rsid w:val="00557174"/>
    <w:rsid w:val="00557710"/>
    <w:rsid w:val="005577E0"/>
    <w:rsid w:val="00557B7F"/>
    <w:rsid w:val="00557D99"/>
    <w:rsid w:val="00560E1F"/>
    <w:rsid w:val="00561A57"/>
    <w:rsid w:val="00562396"/>
    <w:rsid w:val="00562493"/>
    <w:rsid w:val="005626D9"/>
    <w:rsid w:val="00562DD0"/>
    <w:rsid w:val="005640CE"/>
    <w:rsid w:val="005644D0"/>
    <w:rsid w:val="00564CEA"/>
    <w:rsid w:val="0056507C"/>
    <w:rsid w:val="00565633"/>
    <w:rsid w:val="005666D2"/>
    <w:rsid w:val="00566750"/>
    <w:rsid w:val="00566AF7"/>
    <w:rsid w:val="00567356"/>
    <w:rsid w:val="0056739E"/>
    <w:rsid w:val="0056786D"/>
    <w:rsid w:val="005700F6"/>
    <w:rsid w:val="00570D7F"/>
    <w:rsid w:val="00571110"/>
    <w:rsid w:val="005716DF"/>
    <w:rsid w:val="005722A8"/>
    <w:rsid w:val="00572AFE"/>
    <w:rsid w:val="00573BDF"/>
    <w:rsid w:val="00573DC9"/>
    <w:rsid w:val="0057404C"/>
    <w:rsid w:val="00574EBE"/>
    <w:rsid w:val="00575177"/>
    <w:rsid w:val="00575ECB"/>
    <w:rsid w:val="00576BE1"/>
    <w:rsid w:val="00576F31"/>
    <w:rsid w:val="00576F5B"/>
    <w:rsid w:val="00577074"/>
    <w:rsid w:val="00577E22"/>
    <w:rsid w:val="00580459"/>
    <w:rsid w:val="00580EC0"/>
    <w:rsid w:val="00581146"/>
    <w:rsid w:val="005815B3"/>
    <w:rsid w:val="00583C52"/>
    <w:rsid w:val="0058469C"/>
    <w:rsid w:val="005869ED"/>
    <w:rsid w:val="00586C79"/>
    <w:rsid w:val="00587833"/>
    <w:rsid w:val="005903CC"/>
    <w:rsid w:val="00590913"/>
    <w:rsid w:val="005909D8"/>
    <w:rsid w:val="00590BEE"/>
    <w:rsid w:val="00590D78"/>
    <w:rsid w:val="0059103C"/>
    <w:rsid w:val="00591512"/>
    <w:rsid w:val="005919DE"/>
    <w:rsid w:val="00591A00"/>
    <w:rsid w:val="00592103"/>
    <w:rsid w:val="0059267A"/>
    <w:rsid w:val="00594202"/>
    <w:rsid w:val="00594BD2"/>
    <w:rsid w:val="00595038"/>
    <w:rsid w:val="00595A7F"/>
    <w:rsid w:val="00596A7B"/>
    <w:rsid w:val="00596A9F"/>
    <w:rsid w:val="00596E2C"/>
    <w:rsid w:val="00596EEC"/>
    <w:rsid w:val="00597480"/>
    <w:rsid w:val="00597A04"/>
    <w:rsid w:val="00597EA7"/>
    <w:rsid w:val="005A02EE"/>
    <w:rsid w:val="005A10E8"/>
    <w:rsid w:val="005A1558"/>
    <w:rsid w:val="005A4D16"/>
    <w:rsid w:val="005A5692"/>
    <w:rsid w:val="005A6732"/>
    <w:rsid w:val="005A67D0"/>
    <w:rsid w:val="005A6BB2"/>
    <w:rsid w:val="005A71D9"/>
    <w:rsid w:val="005A7F4B"/>
    <w:rsid w:val="005B20A2"/>
    <w:rsid w:val="005B2138"/>
    <w:rsid w:val="005B24F4"/>
    <w:rsid w:val="005B26B7"/>
    <w:rsid w:val="005B29C9"/>
    <w:rsid w:val="005B3879"/>
    <w:rsid w:val="005B397B"/>
    <w:rsid w:val="005B4404"/>
    <w:rsid w:val="005B4C63"/>
    <w:rsid w:val="005B5693"/>
    <w:rsid w:val="005B5AC8"/>
    <w:rsid w:val="005B6BA0"/>
    <w:rsid w:val="005B7079"/>
    <w:rsid w:val="005B7209"/>
    <w:rsid w:val="005C00BC"/>
    <w:rsid w:val="005C0723"/>
    <w:rsid w:val="005C14D9"/>
    <w:rsid w:val="005C16AC"/>
    <w:rsid w:val="005C17E9"/>
    <w:rsid w:val="005C1C25"/>
    <w:rsid w:val="005C2BCA"/>
    <w:rsid w:val="005C60CF"/>
    <w:rsid w:val="005C6D57"/>
    <w:rsid w:val="005C7524"/>
    <w:rsid w:val="005D0AC0"/>
    <w:rsid w:val="005D0B0D"/>
    <w:rsid w:val="005D1531"/>
    <w:rsid w:val="005D29BD"/>
    <w:rsid w:val="005D29F7"/>
    <w:rsid w:val="005D2F93"/>
    <w:rsid w:val="005D30C1"/>
    <w:rsid w:val="005D46AB"/>
    <w:rsid w:val="005D4776"/>
    <w:rsid w:val="005D496B"/>
    <w:rsid w:val="005D5352"/>
    <w:rsid w:val="005D640B"/>
    <w:rsid w:val="005D64B7"/>
    <w:rsid w:val="005D6B41"/>
    <w:rsid w:val="005D70E6"/>
    <w:rsid w:val="005D767F"/>
    <w:rsid w:val="005E054D"/>
    <w:rsid w:val="005E0676"/>
    <w:rsid w:val="005E14DE"/>
    <w:rsid w:val="005E1B12"/>
    <w:rsid w:val="005E1C3D"/>
    <w:rsid w:val="005E1CCB"/>
    <w:rsid w:val="005E34A0"/>
    <w:rsid w:val="005E3659"/>
    <w:rsid w:val="005E36E0"/>
    <w:rsid w:val="005E3C6D"/>
    <w:rsid w:val="005E3FA2"/>
    <w:rsid w:val="005E402A"/>
    <w:rsid w:val="005E4162"/>
    <w:rsid w:val="005E4AEA"/>
    <w:rsid w:val="005E4F3C"/>
    <w:rsid w:val="005E511D"/>
    <w:rsid w:val="005E6278"/>
    <w:rsid w:val="005E6678"/>
    <w:rsid w:val="005E701D"/>
    <w:rsid w:val="005E7F0C"/>
    <w:rsid w:val="005F0176"/>
    <w:rsid w:val="005F07A1"/>
    <w:rsid w:val="005F1C5D"/>
    <w:rsid w:val="005F36D9"/>
    <w:rsid w:val="005F3CD9"/>
    <w:rsid w:val="005F568E"/>
    <w:rsid w:val="005F64EC"/>
    <w:rsid w:val="005F6994"/>
    <w:rsid w:val="005F7F84"/>
    <w:rsid w:val="00600C57"/>
    <w:rsid w:val="00600DFD"/>
    <w:rsid w:val="00600F4D"/>
    <w:rsid w:val="00601021"/>
    <w:rsid w:val="00601136"/>
    <w:rsid w:val="0060151F"/>
    <w:rsid w:val="00602AAA"/>
    <w:rsid w:val="00603382"/>
    <w:rsid w:val="00603E24"/>
    <w:rsid w:val="006046BF"/>
    <w:rsid w:val="006046DB"/>
    <w:rsid w:val="00606DC0"/>
    <w:rsid w:val="00606F89"/>
    <w:rsid w:val="00607033"/>
    <w:rsid w:val="006072CE"/>
    <w:rsid w:val="006072EA"/>
    <w:rsid w:val="0060774D"/>
    <w:rsid w:val="00607EC0"/>
    <w:rsid w:val="00607EFF"/>
    <w:rsid w:val="006103F0"/>
    <w:rsid w:val="00610775"/>
    <w:rsid w:val="00610926"/>
    <w:rsid w:val="00610992"/>
    <w:rsid w:val="00611735"/>
    <w:rsid w:val="00612679"/>
    <w:rsid w:val="0061423A"/>
    <w:rsid w:val="00614C79"/>
    <w:rsid w:val="00614D74"/>
    <w:rsid w:val="0061558E"/>
    <w:rsid w:val="006161DB"/>
    <w:rsid w:val="00616C0C"/>
    <w:rsid w:val="00616E22"/>
    <w:rsid w:val="00616F4C"/>
    <w:rsid w:val="006176CD"/>
    <w:rsid w:val="006176EA"/>
    <w:rsid w:val="00617B18"/>
    <w:rsid w:val="00617DA8"/>
    <w:rsid w:val="006201EF"/>
    <w:rsid w:val="006209B9"/>
    <w:rsid w:val="006210EA"/>
    <w:rsid w:val="00621D9D"/>
    <w:rsid w:val="00621E08"/>
    <w:rsid w:val="00621FCE"/>
    <w:rsid w:val="00622E2F"/>
    <w:rsid w:val="006242F9"/>
    <w:rsid w:val="00624375"/>
    <w:rsid w:val="006250F8"/>
    <w:rsid w:val="006258D3"/>
    <w:rsid w:val="00625C54"/>
    <w:rsid w:val="006264D1"/>
    <w:rsid w:val="00626BF3"/>
    <w:rsid w:val="00627A69"/>
    <w:rsid w:val="00630268"/>
    <w:rsid w:val="00630790"/>
    <w:rsid w:val="00630814"/>
    <w:rsid w:val="00630C0B"/>
    <w:rsid w:val="00630F05"/>
    <w:rsid w:val="00631116"/>
    <w:rsid w:val="00631CB8"/>
    <w:rsid w:val="00632A57"/>
    <w:rsid w:val="006331C3"/>
    <w:rsid w:val="00636E5C"/>
    <w:rsid w:val="006375B7"/>
    <w:rsid w:val="00637D06"/>
    <w:rsid w:val="00640280"/>
    <w:rsid w:val="006403B9"/>
    <w:rsid w:val="00640AF4"/>
    <w:rsid w:val="00640F16"/>
    <w:rsid w:val="00641448"/>
    <w:rsid w:val="00641C2B"/>
    <w:rsid w:val="006420C4"/>
    <w:rsid w:val="00642826"/>
    <w:rsid w:val="00642BBB"/>
    <w:rsid w:val="00642E24"/>
    <w:rsid w:val="006430C9"/>
    <w:rsid w:val="0064389E"/>
    <w:rsid w:val="00643A80"/>
    <w:rsid w:val="00644777"/>
    <w:rsid w:val="00645141"/>
    <w:rsid w:val="00645287"/>
    <w:rsid w:val="00645E99"/>
    <w:rsid w:val="006462FC"/>
    <w:rsid w:val="0064634D"/>
    <w:rsid w:val="00646624"/>
    <w:rsid w:val="00647396"/>
    <w:rsid w:val="00647A5E"/>
    <w:rsid w:val="00650E3A"/>
    <w:rsid w:val="0065186C"/>
    <w:rsid w:val="00653615"/>
    <w:rsid w:val="00653C92"/>
    <w:rsid w:val="0065481A"/>
    <w:rsid w:val="00655561"/>
    <w:rsid w:val="0065566E"/>
    <w:rsid w:val="00655BE8"/>
    <w:rsid w:val="00656ACB"/>
    <w:rsid w:val="00656C53"/>
    <w:rsid w:val="00656D12"/>
    <w:rsid w:val="0065744B"/>
    <w:rsid w:val="006574B6"/>
    <w:rsid w:val="0066130E"/>
    <w:rsid w:val="00661376"/>
    <w:rsid w:val="00661864"/>
    <w:rsid w:val="00662293"/>
    <w:rsid w:val="00662E4B"/>
    <w:rsid w:val="00662F93"/>
    <w:rsid w:val="006637D4"/>
    <w:rsid w:val="0066492B"/>
    <w:rsid w:val="0066493D"/>
    <w:rsid w:val="00664ED6"/>
    <w:rsid w:val="006656C7"/>
    <w:rsid w:val="00665930"/>
    <w:rsid w:val="00665DDC"/>
    <w:rsid w:val="0066656F"/>
    <w:rsid w:val="00666C76"/>
    <w:rsid w:val="00667521"/>
    <w:rsid w:val="00667C37"/>
    <w:rsid w:val="0067016B"/>
    <w:rsid w:val="00670297"/>
    <w:rsid w:val="00670525"/>
    <w:rsid w:val="0067162B"/>
    <w:rsid w:val="00671D48"/>
    <w:rsid w:val="00672C19"/>
    <w:rsid w:val="00673719"/>
    <w:rsid w:val="00674058"/>
    <w:rsid w:val="00674710"/>
    <w:rsid w:val="00674871"/>
    <w:rsid w:val="00674EDB"/>
    <w:rsid w:val="00675561"/>
    <w:rsid w:val="00676B74"/>
    <w:rsid w:val="00676CBF"/>
    <w:rsid w:val="00677CA6"/>
    <w:rsid w:val="006810CF"/>
    <w:rsid w:val="0068119B"/>
    <w:rsid w:val="006812C2"/>
    <w:rsid w:val="00682353"/>
    <w:rsid w:val="006826C7"/>
    <w:rsid w:val="00682CF0"/>
    <w:rsid w:val="00684A9D"/>
    <w:rsid w:val="00684EA4"/>
    <w:rsid w:val="00685A1B"/>
    <w:rsid w:val="00685EB6"/>
    <w:rsid w:val="0068657F"/>
    <w:rsid w:val="00686734"/>
    <w:rsid w:val="00687473"/>
    <w:rsid w:val="00687BDE"/>
    <w:rsid w:val="00687D25"/>
    <w:rsid w:val="006919C9"/>
    <w:rsid w:val="00691FA7"/>
    <w:rsid w:val="00692181"/>
    <w:rsid w:val="00692D93"/>
    <w:rsid w:val="006932E3"/>
    <w:rsid w:val="00693D7F"/>
    <w:rsid w:val="00693F10"/>
    <w:rsid w:val="0069534F"/>
    <w:rsid w:val="0069611A"/>
    <w:rsid w:val="006962F1"/>
    <w:rsid w:val="00696A10"/>
    <w:rsid w:val="006976F6"/>
    <w:rsid w:val="00697D59"/>
    <w:rsid w:val="006A08EF"/>
    <w:rsid w:val="006A0A6D"/>
    <w:rsid w:val="006A1AA0"/>
    <w:rsid w:val="006A1FE2"/>
    <w:rsid w:val="006A209A"/>
    <w:rsid w:val="006A2C31"/>
    <w:rsid w:val="006A36D0"/>
    <w:rsid w:val="006A4B08"/>
    <w:rsid w:val="006A50FD"/>
    <w:rsid w:val="006A5208"/>
    <w:rsid w:val="006A6346"/>
    <w:rsid w:val="006A6747"/>
    <w:rsid w:val="006B166D"/>
    <w:rsid w:val="006B18EB"/>
    <w:rsid w:val="006B2A46"/>
    <w:rsid w:val="006B327A"/>
    <w:rsid w:val="006B3BBB"/>
    <w:rsid w:val="006B3D11"/>
    <w:rsid w:val="006B4A49"/>
    <w:rsid w:val="006B4EA5"/>
    <w:rsid w:val="006B5F03"/>
    <w:rsid w:val="006B6CD2"/>
    <w:rsid w:val="006B6FE5"/>
    <w:rsid w:val="006B72EA"/>
    <w:rsid w:val="006C32F3"/>
    <w:rsid w:val="006C44E2"/>
    <w:rsid w:val="006C52D1"/>
    <w:rsid w:val="006C5FD9"/>
    <w:rsid w:val="006C6CF3"/>
    <w:rsid w:val="006C7451"/>
    <w:rsid w:val="006C7762"/>
    <w:rsid w:val="006C7B97"/>
    <w:rsid w:val="006D139C"/>
    <w:rsid w:val="006D1A0D"/>
    <w:rsid w:val="006D23AC"/>
    <w:rsid w:val="006D2A6E"/>
    <w:rsid w:val="006D4290"/>
    <w:rsid w:val="006D4768"/>
    <w:rsid w:val="006D5081"/>
    <w:rsid w:val="006D5456"/>
    <w:rsid w:val="006D6CD8"/>
    <w:rsid w:val="006E011A"/>
    <w:rsid w:val="006E093B"/>
    <w:rsid w:val="006E15BB"/>
    <w:rsid w:val="006E164E"/>
    <w:rsid w:val="006E216C"/>
    <w:rsid w:val="006E3EFE"/>
    <w:rsid w:val="006E49DE"/>
    <w:rsid w:val="006E50E2"/>
    <w:rsid w:val="006E5651"/>
    <w:rsid w:val="006E5EF5"/>
    <w:rsid w:val="006E7A2D"/>
    <w:rsid w:val="006E7BE8"/>
    <w:rsid w:val="006F0523"/>
    <w:rsid w:val="006F06E9"/>
    <w:rsid w:val="006F124B"/>
    <w:rsid w:val="006F25D5"/>
    <w:rsid w:val="006F25FD"/>
    <w:rsid w:val="006F268E"/>
    <w:rsid w:val="006F30CB"/>
    <w:rsid w:val="006F41DC"/>
    <w:rsid w:val="006F4EA4"/>
    <w:rsid w:val="006F607B"/>
    <w:rsid w:val="006F63D3"/>
    <w:rsid w:val="006F672A"/>
    <w:rsid w:val="006F73F2"/>
    <w:rsid w:val="006F77D8"/>
    <w:rsid w:val="006F7A16"/>
    <w:rsid w:val="007003AF"/>
    <w:rsid w:val="007019A5"/>
    <w:rsid w:val="00702AE7"/>
    <w:rsid w:val="00703BD5"/>
    <w:rsid w:val="00704A64"/>
    <w:rsid w:val="00704AB4"/>
    <w:rsid w:val="00707711"/>
    <w:rsid w:val="00707822"/>
    <w:rsid w:val="007100F2"/>
    <w:rsid w:val="00710E79"/>
    <w:rsid w:val="007125B8"/>
    <w:rsid w:val="00712B65"/>
    <w:rsid w:val="00713DFC"/>
    <w:rsid w:val="00713E0C"/>
    <w:rsid w:val="00714FEE"/>
    <w:rsid w:val="00715242"/>
    <w:rsid w:val="00716A7B"/>
    <w:rsid w:val="007170CA"/>
    <w:rsid w:val="00717440"/>
    <w:rsid w:val="00720C83"/>
    <w:rsid w:val="00721CFA"/>
    <w:rsid w:val="007227D1"/>
    <w:rsid w:val="00722872"/>
    <w:rsid w:val="00724636"/>
    <w:rsid w:val="00727120"/>
    <w:rsid w:val="00727572"/>
    <w:rsid w:val="00730A91"/>
    <w:rsid w:val="00730DD6"/>
    <w:rsid w:val="00733385"/>
    <w:rsid w:val="007340A3"/>
    <w:rsid w:val="0073445D"/>
    <w:rsid w:val="00734BEB"/>
    <w:rsid w:val="00735398"/>
    <w:rsid w:val="00735D00"/>
    <w:rsid w:val="00736EA3"/>
    <w:rsid w:val="00736FB5"/>
    <w:rsid w:val="00737502"/>
    <w:rsid w:val="00737AB4"/>
    <w:rsid w:val="00737C38"/>
    <w:rsid w:val="00741544"/>
    <w:rsid w:val="00741C3B"/>
    <w:rsid w:val="0074306E"/>
    <w:rsid w:val="007430E5"/>
    <w:rsid w:val="007432ED"/>
    <w:rsid w:val="00743629"/>
    <w:rsid w:val="00744273"/>
    <w:rsid w:val="007443D6"/>
    <w:rsid w:val="0074649D"/>
    <w:rsid w:val="007466FD"/>
    <w:rsid w:val="007475D1"/>
    <w:rsid w:val="007476C7"/>
    <w:rsid w:val="00750D77"/>
    <w:rsid w:val="0075103E"/>
    <w:rsid w:val="007513A2"/>
    <w:rsid w:val="00751406"/>
    <w:rsid w:val="00751B73"/>
    <w:rsid w:val="00752843"/>
    <w:rsid w:val="00752C64"/>
    <w:rsid w:val="00752C7E"/>
    <w:rsid w:val="00752F09"/>
    <w:rsid w:val="0075360F"/>
    <w:rsid w:val="007541BB"/>
    <w:rsid w:val="00754937"/>
    <w:rsid w:val="00754CE8"/>
    <w:rsid w:val="00754DB4"/>
    <w:rsid w:val="00754EB8"/>
    <w:rsid w:val="00755A2D"/>
    <w:rsid w:val="00755B16"/>
    <w:rsid w:val="007563F4"/>
    <w:rsid w:val="0075758A"/>
    <w:rsid w:val="00760A06"/>
    <w:rsid w:val="007611A5"/>
    <w:rsid w:val="00761224"/>
    <w:rsid w:val="007631D6"/>
    <w:rsid w:val="0076366C"/>
    <w:rsid w:val="00763909"/>
    <w:rsid w:val="00763996"/>
    <w:rsid w:val="007639FC"/>
    <w:rsid w:val="00763C96"/>
    <w:rsid w:val="007643D2"/>
    <w:rsid w:val="00764E3B"/>
    <w:rsid w:val="007678F2"/>
    <w:rsid w:val="00770B6B"/>
    <w:rsid w:val="007715D9"/>
    <w:rsid w:val="00771E5B"/>
    <w:rsid w:val="0077277A"/>
    <w:rsid w:val="007728DF"/>
    <w:rsid w:val="007739E2"/>
    <w:rsid w:val="0077497A"/>
    <w:rsid w:val="0077509B"/>
    <w:rsid w:val="00775925"/>
    <w:rsid w:val="00775B94"/>
    <w:rsid w:val="00780363"/>
    <w:rsid w:val="0078052F"/>
    <w:rsid w:val="007805D1"/>
    <w:rsid w:val="00780B93"/>
    <w:rsid w:val="00781979"/>
    <w:rsid w:val="00781F16"/>
    <w:rsid w:val="00783118"/>
    <w:rsid w:val="007838B9"/>
    <w:rsid w:val="00783AB2"/>
    <w:rsid w:val="007848FA"/>
    <w:rsid w:val="00785A92"/>
    <w:rsid w:val="00785B42"/>
    <w:rsid w:val="00785B74"/>
    <w:rsid w:val="00785E0D"/>
    <w:rsid w:val="007861D0"/>
    <w:rsid w:val="0078621B"/>
    <w:rsid w:val="007863C3"/>
    <w:rsid w:val="00786A8F"/>
    <w:rsid w:val="00786B6C"/>
    <w:rsid w:val="007870A5"/>
    <w:rsid w:val="00787114"/>
    <w:rsid w:val="00787672"/>
    <w:rsid w:val="00787ABA"/>
    <w:rsid w:val="00787BAC"/>
    <w:rsid w:val="00790D6D"/>
    <w:rsid w:val="00791F40"/>
    <w:rsid w:val="00792ACB"/>
    <w:rsid w:val="0079329F"/>
    <w:rsid w:val="007934CA"/>
    <w:rsid w:val="007937D6"/>
    <w:rsid w:val="00793A20"/>
    <w:rsid w:val="00794278"/>
    <w:rsid w:val="00794E78"/>
    <w:rsid w:val="007957FD"/>
    <w:rsid w:val="00795E5D"/>
    <w:rsid w:val="0079616B"/>
    <w:rsid w:val="007969E7"/>
    <w:rsid w:val="00797020"/>
    <w:rsid w:val="00797123"/>
    <w:rsid w:val="00797186"/>
    <w:rsid w:val="007A0132"/>
    <w:rsid w:val="007A050F"/>
    <w:rsid w:val="007A066D"/>
    <w:rsid w:val="007A0803"/>
    <w:rsid w:val="007A0A07"/>
    <w:rsid w:val="007A222C"/>
    <w:rsid w:val="007A22CA"/>
    <w:rsid w:val="007A2A2C"/>
    <w:rsid w:val="007A351A"/>
    <w:rsid w:val="007A3799"/>
    <w:rsid w:val="007A4491"/>
    <w:rsid w:val="007A5632"/>
    <w:rsid w:val="007A593B"/>
    <w:rsid w:val="007A6638"/>
    <w:rsid w:val="007A6950"/>
    <w:rsid w:val="007A6D62"/>
    <w:rsid w:val="007B001B"/>
    <w:rsid w:val="007B05DD"/>
    <w:rsid w:val="007B0D75"/>
    <w:rsid w:val="007B1ADC"/>
    <w:rsid w:val="007B1EB2"/>
    <w:rsid w:val="007B252E"/>
    <w:rsid w:val="007B291F"/>
    <w:rsid w:val="007B298D"/>
    <w:rsid w:val="007B3163"/>
    <w:rsid w:val="007B37E8"/>
    <w:rsid w:val="007B3C54"/>
    <w:rsid w:val="007B3C9A"/>
    <w:rsid w:val="007B5053"/>
    <w:rsid w:val="007B5898"/>
    <w:rsid w:val="007B5AF3"/>
    <w:rsid w:val="007B6863"/>
    <w:rsid w:val="007B70CF"/>
    <w:rsid w:val="007B7CB2"/>
    <w:rsid w:val="007C036A"/>
    <w:rsid w:val="007C07A9"/>
    <w:rsid w:val="007C0C67"/>
    <w:rsid w:val="007C2D46"/>
    <w:rsid w:val="007C337F"/>
    <w:rsid w:val="007C3466"/>
    <w:rsid w:val="007C353F"/>
    <w:rsid w:val="007C393E"/>
    <w:rsid w:val="007C550B"/>
    <w:rsid w:val="007C58C9"/>
    <w:rsid w:val="007C6D3A"/>
    <w:rsid w:val="007D003B"/>
    <w:rsid w:val="007D2BC1"/>
    <w:rsid w:val="007D2CEA"/>
    <w:rsid w:val="007D39C0"/>
    <w:rsid w:val="007D41EA"/>
    <w:rsid w:val="007D4317"/>
    <w:rsid w:val="007D442F"/>
    <w:rsid w:val="007D487D"/>
    <w:rsid w:val="007D5E3E"/>
    <w:rsid w:val="007D5FB6"/>
    <w:rsid w:val="007D6A09"/>
    <w:rsid w:val="007D765B"/>
    <w:rsid w:val="007D7DF6"/>
    <w:rsid w:val="007E0C9E"/>
    <w:rsid w:val="007E1A7F"/>
    <w:rsid w:val="007E1BB8"/>
    <w:rsid w:val="007E2238"/>
    <w:rsid w:val="007E2DAC"/>
    <w:rsid w:val="007E47F1"/>
    <w:rsid w:val="007E5117"/>
    <w:rsid w:val="007E5686"/>
    <w:rsid w:val="007E583F"/>
    <w:rsid w:val="007E5924"/>
    <w:rsid w:val="007E6455"/>
    <w:rsid w:val="007E6498"/>
    <w:rsid w:val="007E6666"/>
    <w:rsid w:val="007E75AB"/>
    <w:rsid w:val="007E7A2B"/>
    <w:rsid w:val="007F02F2"/>
    <w:rsid w:val="007F0739"/>
    <w:rsid w:val="007F0ACC"/>
    <w:rsid w:val="007F0B8E"/>
    <w:rsid w:val="007F30F2"/>
    <w:rsid w:val="007F3219"/>
    <w:rsid w:val="007F351B"/>
    <w:rsid w:val="007F38F7"/>
    <w:rsid w:val="007F4164"/>
    <w:rsid w:val="007F4189"/>
    <w:rsid w:val="007F48C2"/>
    <w:rsid w:val="007F4E21"/>
    <w:rsid w:val="007F58A1"/>
    <w:rsid w:val="007F5F6A"/>
    <w:rsid w:val="007F61E2"/>
    <w:rsid w:val="007F661B"/>
    <w:rsid w:val="007F7500"/>
    <w:rsid w:val="007F768C"/>
    <w:rsid w:val="007F7DA0"/>
    <w:rsid w:val="007F7E60"/>
    <w:rsid w:val="008001B2"/>
    <w:rsid w:val="00800662"/>
    <w:rsid w:val="00800CA8"/>
    <w:rsid w:val="00801E47"/>
    <w:rsid w:val="00802715"/>
    <w:rsid w:val="00802761"/>
    <w:rsid w:val="00802B88"/>
    <w:rsid w:val="00802E62"/>
    <w:rsid w:val="00802EB5"/>
    <w:rsid w:val="0080414A"/>
    <w:rsid w:val="0080448C"/>
    <w:rsid w:val="00804595"/>
    <w:rsid w:val="00804DAE"/>
    <w:rsid w:val="00805398"/>
    <w:rsid w:val="00805D13"/>
    <w:rsid w:val="00806DC7"/>
    <w:rsid w:val="00806F93"/>
    <w:rsid w:val="00807564"/>
    <w:rsid w:val="008075B6"/>
    <w:rsid w:val="008077E7"/>
    <w:rsid w:val="00810334"/>
    <w:rsid w:val="008113FA"/>
    <w:rsid w:val="00812B79"/>
    <w:rsid w:val="00812C4F"/>
    <w:rsid w:val="00813AC4"/>
    <w:rsid w:val="008144FF"/>
    <w:rsid w:val="00816488"/>
    <w:rsid w:val="00816F22"/>
    <w:rsid w:val="00817091"/>
    <w:rsid w:val="008172E5"/>
    <w:rsid w:val="008174EE"/>
    <w:rsid w:val="008201C2"/>
    <w:rsid w:val="00821634"/>
    <w:rsid w:val="008216EF"/>
    <w:rsid w:val="00821C6D"/>
    <w:rsid w:val="008227A3"/>
    <w:rsid w:val="00825539"/>
    <w:rsid w:val="0082601D"/>
    <w:rsid w:val="008274CB"/>
    <w:rsid w:val="00827652"/>
    <w:rsid w:val="00830430"/>
    <w:rsid w:val="00830893"/>
    <w:rsid w:val="00830C10"/>
    <w:rsid w:val="00830C96"/>
    <w:rsid w:val="00831D50"/>
    <w:rsid w:val="0083278A"/>
    <w:rsid w:val="00832796"/>
    <w:rsid w:val="0083396D"/>
    <w:rsid w:val="00833C74"/>
    <w:rsid w:val="008344DA"/>
    <w:rsid w:val="00834788"/>
    <w:rsid w:val="00834872"/>
    <w:rsid w:val="00834CE0"/>
    <w:rsid w:val="00835A49"/>
    <w:rsid w:val="0083683A"/>
    <w:rsid w:val="00836ABC"/>
    <w:rsid w:val="008370C3"/>
    <w:rsid w:val="008379F1"/>
    <w:rsid w:val="00837AB0"/>
    <w:rsid w:val="00837BE2"/>
    <w:rsid w:val="0084067F"/>
    <w:rsid w:val="0084134F"/>
    <w:rsid w:val="00841DD3"/>
    <w:rsid w:val="00841DF1"/>
    <w:rsid w:val="0084221D"/>
    <w:rsid w:val="00842553"/>
    <w:rsid w:val="00842B73"/>
    <w:rsid w:val="00844555"/>
    <w:rsid w:val="0084519B"/>
    <w:rsid w:val="0084549B"/>
    <w:rsid w:val="0084549F"/>
    <w:rsid w:val="00845771"/>
    <w:rsid w:val="008461E1"/>
    <w:rsid w:val="008467BB"/>
    <w:rsid w:val="00846A76"/>
    <w:rsid w:val="0084701E"/>
    <w:rsid w:val="00847B9C"/>
    <w:rsid w:val="00847E3E"/>
    <w:rsid w:val="00851780"/>
    <w:rsid w:val="00851DF7"/>
    <w:rsid w:val="00852715"/>
    <w:rsid w:val="0085338A"/>
    <w:rsid w:val="00853AC5"/>
    <w:rsid w:val="00853ACE"/>
    <w:rsid w:val="0085418B"/>
    <w:rsid w:val="00854263"/>
    <w:rsid w:val="00855814"/>
    <w:rsid w:val="0085625F"/>
    <w:rsid w:val="008602D4"/>
    <w:rsid w:val="00860DA8"/>
    <w:rsid w:val="0086191E"/>
    <w:rsid w:val="00863352"/>
    <w:rsid w:val="00864345"/>
    <w:rsid w:val="00865096"/>
    <w:rsid w:val="00865158"/>
    <w:rsid w:val="0086569F"/>
    <w:rsid w:val="00865D96"/>
    <w:rsid w:val="00867FE3"/>
    <w:rsid w:val="00871782"/>
    <w:rsid w:val="0087197D"/>
    <w:rsid w:val="00872814"/>
    <w:rsid w:val="00872E8C"/>
    <w:rsid w:val="00872FB0"/>
    <w:rsid w:val="00873537"/>
    <w:rsid w:val="00874600"/>
    <w:rsid w:val="00875038"/>
    <w:rsid w:val="00876E95"/>
    <w:rsid w:val="008771C9"/>
    <w:rsid w:val="0087748C"/>
    <w:rsid w:val="00877D63"/>
    <w:rsid w:val="00877EDF"/>
    <w:rsid w:val="008801D9"/>
    <w:rsid w:val="00880247"/>
    <w:rsid w:val="008809F2"/>
    <w:rsid w:val="00880E52"/>
    <w:rsid w:val="008815F1"/>
    <w:rsid w:val="008819A5"/>
    <w:rsid w:val="00881B12"/>
    <w:rsid w:val="00883561"/>
    <w:rsid w:val="00883673"/>
    <w:rsid w:val="00883785"/>
    <w:rsid w:val="00883C63"/>
    <w:rsid w:val="00883D96"/>
    <w:rsid w:val="008843A9"/>
    <w:rsid w:val="00884802"/>
    <w:rsid w:val="00884A06"/>
    <w:rsid w:val="00885115"/>
    <w:rsid w:val="00885A03"/>
    <w:rsid w:val="00885D4D"/>
    <w:rsid w:val="00886A2C"/>
    <w:rsid w:val="00887496"/>
    <w:rsid w:val="00887FEB"/>
    <w:rsid w:val="00890124"/>
    <w:rsid w:val="008901F6"/>
    <w:rsid w:val="00892222"/>
    <w:rsid w:val="0089229B"/>
    <w:rsid w:val="0089261D"/>
    <w:rsid w:val="00892EFD"/>
    <w:rsid w:val="0089390C"/>
    <w:rsid w:val="00893DD3"/>
    <w:rsid w:val="0089413B"/>
    <w:rsid w:val="00894645"/>
    <w:rsid w:val="008955F7"/>
    <w:rsid w:val="00896348"/>
    <w:rsid w:val="00896420"/>
    <w:rsid w:val="008966DE"/>
    <w:rsid w:val="00896A85"/>
    <w:rsid w:val="00896C5D"/>
    <w:rsid w:val="00896FDB"/>
    <w:rsid w:val="00897299"/>
    <w:rsid w:val="008975EB"/>
    <w:rsid w:val="008976B1"/>
    <w:rsid w:val="00897BC1"/>
    <w:rsid w:val="008A02C8"/>
    <w:rsid w:val="008A16DD"/>
    <w:rsid w:val="008A17F3"/>
    <w:rsid w:val="008A199B"/>
    <w:rsid w:val="008A24C0"/>
    <w:rsid w:val="008A29C5"/>
    <w:rsid w:val="008A2BB7"/>
    <w:rsid w:val="008A3032"/>
    <w:rsid w:val="008A35C7"/>
    <w:rsid w:val="008A36DD"/>
    <w:rsid w:val="008A39A5"/>
    <w:rsid w:val="008A39C7"/>
    <w:rsid w:val="008A3F5A"/>
    <w:rsid w:val="008A4136"/>
    <w:rsid w:val="008A4671"/>
    <w:rsid w:val="008A4E63"/>
    <w:rsid w:val="008A5178"/>
    <w:rsid w:val="008A51C2"/>
    <w:rsid w:val="008A5F33"/>
    <w:rsid w:val="008A5FF5"/>
    <w:rsid w:val="008B1697"/>
    <w:rsid w:val="008B1BCE"/>
    <w:rsid w:val="008B2C74"/>
    <w:rsid w:val="008B2E66"/>
    <w:rsid w:val="008B40A2"/>
    <w:rsid w:val="008B4241"/>
    <w:rsid w:val="008B4E8E"/>
    <w:rsid w:val="008C0251"/>
    <w:rsid w:val="008C0FA4"/>
    <w:rsid w:val="008C1C8A"/>
    <w:rsid w:val="008C1D8A"/>
    <w:rsid w:val="008C21BB"/>
    <w:rsid w:val="008C23BC"/>
    <w:rsid w:val="008C2BC5"/>
    <w:rsid w:val="008C310A"/>
    <w:rsid w:val="008C39F4"/>
    <w:rsid w:val="008C3D60"/>
    <w:rsid w:val="008C4844"/>
    <w:rsid w:val="008C5089"/>
    <w:rsid w:val="008C5EC4"/>
    <w:rsid w:val="008C60AC"/>
    <w:rsid w:val="008C641E"/>
    <w:rsid w:val="008C7213"/>
    <w:rsid w:val="008C74C9"/>
    <w:rsid w:val="008D02A7"/>
    <w:rsid w:val="008D103D"/>
    <w:rsid w:val="008D1400"/>
    <w:rsid w:val="008D1FD7"/>
    <w:rsid w:val="008D2423"/>
    <w:rsid w:val="008D2FB2"/>
    <w:rsid w:val="008D31A6"/>
    <w:rsid w:val="008D3BBB"/>
    <w:rsid w:val="008D4B85"/>
    <w:rsid w:val="008D5353"/>
    <w:rsid w:val="008D54A3"/>
    <w:rsid w:val="008D6193"/>
    <w:rsid w:val="008D65DE"/>
    <w:rsid w:val="008D77A2"/>
    <w:rsid w:val="008D7B38"/>
    <w:rsid w:val="008D7DBD"/>
    <w:rsid w:val="008E02CE"/>
    <w:rsid w:val="008E0542"/>
    <w:rsid w:val="008E0DDA"/>
    <w:rsid w:val="008E10FD"/>
    <w:rsid w:val="008E176E"/>
    <w:rsid w:val="008E21D4"/>
    <w:rsid w:val="008E35BD"/>
    <w:rsid w:val="008E450D"/>
    <w:rsid w:val="008E620A"/>
    <w:rsid w:val="008E6990"/>
    <w:rsid w:val="008F00F3"/>
    <w:rsid w:val="008F0BD1"/>
    <w:rsid w:val="008F1F3C"/>
    <w:rsid w:val="008F2C70"/>
    <w:rsid w:val="008F2CD8"/>
    <w:rsid w:val="008F3158"/>
    <w:rsid w:val="008F3409"/>
    <w:rsid w:val="008F492D"/>
    <w:rsid w:val="008F4CD7"/>
    <w:rsid w:val="008F4D2C"/>
    <w:rsid w:val="008F4D5D"/>
    <w:rsid w:val="008F4EC1"/>
    <w:rsid w:val="008F586B"/>
    <w:rsid w:val="008F6F02"/>
    <w:rsid w:val="008F772C"/>
    <w:rsid w:val="0090005F"/>
    <w:rsid w:val="009024D0"/>
    <w:rsid w:val="0090389B"/>
    <w:rsid w:val="00903A96"/>
    <w:rsid w:val="00904B2A"/>
    <w:rsid w:val="00907592"/>
    <w:rsid w:val="00907DEE"/>
    <w:rsid w:val="0091073D"/>
    <w:rsid w:val="009109B6"/>
    <w:rsid w:val="00910B7B"/>
    <w:rsid w:val="00911E24"/>
    <w:rsid w:val="009121D3"/>
    <w:rsid w:val="0091236E"/>
    <w:rsid w:val="00912A6C"/>
    <w:rsid w:val="00912CC5"/>
    <w:rsid w:val="00914068"/>
    <w:rsid w:val="00914B25"/>
    <w:rsid w:val="00914FA4"/>
    <w:rsid w:val="00915796"/>
    <w:rsid w:val="00915C77"/>
    <w:rsid w:val="009164C3"/>
    <w:rsid w:val="009166EB"/>
    <w:rsid w:val="00917EF8"/>
    <w:rsid w:val="00920474"/>
    <w:rsid w:val="00920F66"/>
    <w:rsid w:val="0092127C"/>
    <w:rsid w:val="0092213C"/>
    <w:rsid w:val="00922305"/>
    <w:rsid w:val="009223BB"/>
    <w:rsid w:val="009227C3"/>
    <w:rsid w:val="0092292F"/>
    <w:rsid w:val="00922FF0"/>
    <w:rsid w:val="009233BB"/>
    <w:rsid w:val="009239EF"/>
    <w:rsid w:val="00923BDF"/>
    <w:rsid w:val="00923F69"/>
    <w:rsid w:val="00925096"/>
    <w:rsid w:val="0092587F"/>
    <w:rsid w:val="00925937"/>
    <w:rsid w:val="0092658F"/>
    <w:rsid w:val="00930620"/>
    <w:rsid w:val="00930873"/>
    <w:rsid w:val="009308A1"/>
    <w:rsid w:val="00930F9A"/>
    <w:rsid w:val="009324A6"/>
    <w:rsid w:val="009335B7"/>
    <w:rsid w:val="00933686"/>
    <w:rsid w:val="0093379A"/>
    <w:rsid w:val="009337F1"/>
    <w:rsid w:val="00933C28"/>
    <w:rsid w:val="0093444B"/>
    <w:rsid w:val="00934D9A"/>
    <w:rsid w:val="009355ED"/>
    <w:rsid w:val="0093649B"/>
    <w:rsid w:val="00937038"/>
    <w:rsid w:val="00940396"/>
    <w:rsid w:val="00940AFA"/>
    <w:rsid w:val="00941226"/>
    <w:rsid w:val="009416B4"/>
    <w:rsid w:val="00941C65"/>
    <w:rsid w:val="00941F5D"/>
    <w:rsid w:val="0094307A"/>
    <w:rsid w:val="009433E7"/>
    <w:rsid w:val="0094366E"/>
    <w:rsid w:val="009437DA"/>
    <w:rsid w:val="00943D41"/>
    <w:rsid w:val="0094423D"/>
    <w:rsid w:val="00944A82"/>
    <w:rsid w:val="00944C9A"/>
    <w:rsid w:val="00945325"/>
    <w:rsid w:val="009461DA"/>
    <w:rsid w:val="00946764"/>
    <w:rsid w:val="00946FB1"/>
    <w:rsid w:val="00950100"/>
    <w:rsid w:val="00950453"/>
    <w:rsid w:val="00951652"/>
    <w:rsid w:val="00951725"/>
    <w:rsid w:val="00951EF6"/>
    <w:rsid w:val="00952D97"/>
    <w:rsid w:val="009537CB"/>
    <w:rsid w:val="0095573D"/>
    <w:rsid w:val="00956596"/>
    <w:rsid w:val="00957567"/>
    <w:rsid w:val="009600A7"/>
    <w:rsid w:val="00960B2E"/>
    <w:rsid w:val="00960F32"/>
    <w:rsid w:val="009621D1"/>
    <w:rsid w:val="009631BD"/>
    <w:rsid w:val="00963421"/>
    <w:rsid w:val="00963643"/>
    <w:rsid w:val="00964DB4"/>
    <w:rsid w:val="009667BA"/>
    <w:rsid w:val="009668E7"/>
    <w:rsid w:val="00966C29"/>
    <w:rsid w:val="009675ED"/>
    <w:rsid w:val="00967ADC"/>
    <w:rsid w:val="00967F02"/>
    <w:rsid w:val="00970C48"/>
    <w:rsid w:val="00971B8A"/>
    <w:rsid w:val="00971C51"/>
    <w:rsid w:val="00971E2E"/>
    <w:rsid w:val="00972090"/>
    <w:rsid w:val="009724A8"/>
    <w:rsid w:val="00972D17"/>
    <w:rsid w:val="00973480"/>
    <w:rsid w:val="00974C11"/>
    <w:rsid w:val="00974DEC"/>
    <w:rsid w:val="009753CA"/>
    <w:rsid w:val="00976060"/>
    <w:rsid w:val="009769B2"/>
    <w:rsid w:val="00976AD8"/>
    <w:rsid w:val="00977341"/>
    <w:rsid w:val="0097772D"/>
    <w:rsid w:val="00977AEC"/>
    <w:rsid w:val="00977F8F"/>
    <w:rsid w:val="00980134"/>
    <w:rsid w:val="0098123A"/>
    <w:rsid w:val="0098148D"/>
    <w:rsid w:val="0098217A"/>
    <w:rsid w:val="009822D6"/>
    <w:rsid w:val="0098285C"/>
    <w:rsid w:val="00982CFB"/>
    <w:rsid w:val="009842A0"/>
    <w:rsid w:val="00984AA2"/>
    <w:rsid w:val="00985D46"/>
    <w:rsid w:val="00986773"/>
    <w:rsid w:val="00986D69"/>
    <w:rsid w:val="0098705F"/>
    <w:rsid w:val="009874F9"/>
    <w:rsid w:val="00990DE3"/>
    <w:rsid w:val="00991B31"/>
    <w:rsid w:val="00991EA7"/>
    <w:rsid w:val="009924C0"/>
    <w:rsid w:val="009937E0"/>
    <w:rsid w:val="0099388A"/>
    <w:rsid w:val="00993B62"/>
    <w:rsid w:val="0099408D"/>
    <w:rsid w:val="009947BE"/>
    <w:rsid w:val="00994E03"/>
    <w:rsid w:val="009950F5"/>
    <w:rsid w:val="00995984"/>
    <w:rsid w:val="00997289"/>
    <w:rsid w:val="009A0C26"/>
    <w:rsid w:val="009A259C"/>
    <w:rsid w:val="009A2627"/>
    <w:rsid w:val="009A349A"/>
    <w:rsid w:val="009A3D7F"/>
    <w:rsid w:val="009A4659"/>
    <w:rsid w:val="009A4D4D"/>
    <w:rsid w:val="009A4DFB"/>
    <w:rsid w:val="009A5163"/>
    <w:rsid w:val="009A58A1"/>
    <w:rsid w:val="009A6538"/>
    <w:rsid w:val="009A6694"/>
    <w:rsid w:val="009A69F3"/>
    <w:rsid w:val="009A7F00"/>
    <w:rsid w:val="009B2971"/>
    <w:rsid w:val="009B2B06"/>
    <w:rsid w:val="009B2D87"/>
    <w:rsid w:val="009B33EA"/>
    <w:rsid w:val="009B3CD3"/>
    <w:rsid w:val="009B4016"/>
    <w:rsid w:val="009B4BEB"/>
    <w:rsid w:val="009B4D53"/>
    <w:rsid w:val="009B551E"/>
    <w:rsid w:val="009B5EC9"/>
    <w:rsid w:val="009B66A4"/>
    <w:rsid w:val="009B686F"/>
    <w:rsid w:val="009B6DAA"/>
    <w:rsid w:val="009B6FAD"/>
    <w:rsid w:val="009B7361"/>
    <w:rsid w:val="009B7C0B"/>
    <w:rsid w:val="009C0A52"/>
    <w:rsid w:val="009C1B1A"/>
    <w:rsid w:val="009C1B93"/>
    <w:rsid w:val="009C25E3"/>
    <w:rsid w:val="009C297B"/>
    <w:rsid w:val="009C2ABF"/>
    <w:rsid w:val="009C2EF0"/>
    <w:rsid w:val="009C34C7"/>
    <w:rsid w:val="009C3D22"/>
    <w:rsid w:val="009C3E03"/>
    <w:rsid w:val="009C4563"/>
    <w:rsid w:val="009C4B5A"/>
    <w:rsid w:val="009C4D24"/>
    <w:rsid w:val="009C5110"/>
    <w:rsid w:val="009C52E8"/>
    <w:rsid w:val="009C5314"/>
    <w:rsid w:val="009C5557"/>
    <w:rsid w:val="009C5616"/>
    <w:rsid w:val="009C56FD"/>
    <w:rsid w:val="009C5EFD"/>
    <w:rsid w:val="009C6CF5"/>
    <w:rsid w:val="009C7D1D"/>
    <w:rsid w:val="009D067A"/>
    <w:rsid w:val="009D08DA"/>
    <w:rsid w:val="009D1653"/>
    <w:rsid w:val="009D1FF2"/>
    <w:rsid w:val="009D2293"/>
    <w:rsid w:val="009D22CF"/>
    <w:rsid w:val="009D35D9"/>
    <w:rsid w:val="009D4C3A"/>
    <w:rsid w:val="009D4C7E"/>
    <w:rsid w:val="009D4FB3"/>
    <w:rsid w:val="009D5476"/>
    <w:rsid w:val="009D6B6B"/>
    <w:rsid w:val="009D7AE4"/>
    <w:rsid w:val="009D7CE4"/>
    <w:rsid w:val="009D7E97"/>
    <w:rsid w:val="009E158A"/>
    <w:rsid w:val="009E1ABF"/>
    <w:rsid w:val="009E1FEA"/>
    <w:rsid w:val="009E28F4"/>
    <w:rsid w:val="009E38F7"/>
    <w:rsid w:val="009E3D37"/>
    <w:rsid w:val="009E40FB"/>
    <w:rsid w:val="009E4BCF"/>
    <w:rsid w:val="009E4CA4"/>
    <w:rsid w:val="009E50B3"/>
    <w:rsid w:val="009E58B0"/>
    <w:rsid w:val="009E6399"/>
    <w:rsid w:val="009E6BA2"/>
    <w:rsid w:val="009E7004"/>
    <w:rsid w:val="009E738F"/>
    <w:rsid w:val="009F0712"/>
    <w:rsid w:val="009F1885"/>
    <w:rsid w:val="009F18E6"/>
    <w:rsid w:val="009F1FB6"/>
    <w:rsid w:val="009F22FE"/>
    <w:rsid w:val="009F27E9"/>
    <w:rsid w:val="009F362D"/>
    <w:rsid w:val="009F4549"/>
    <w:rsid w:val="009F6011"/>
    <w:rsid w:val="009F6454"/>
    <w:rsid w:val="009F702F"/>
    <w:rsid w:val="00A00113"/>
    <w:rsid w:val="00A007A3"/>
    <w:rsid w:val="00A007CE"/>
    <w:rsid w:val="00A00A7B"/>
    <w:rsid w:val="00A0203E"/>
    <w:rsid w:val="00A051A6"/>
    <w:rsid w:val="00A0706C"/>
    <w:rsid w:val="00A070B5"/>
    <w:rsid w:val="00A07778"/>
    <w:rsid w:val="00A105BB"/>
    <w:rsid w:val="00A122B9"/>
    <w:rsid w:val="00A129CF"/>
    <w:rsid w:val="00A132B7"/>
    <w:rsid w:val="00A134C2"/>
    <w:rsid w:val="00A1363C"/>
    <w:rsid w:val="00A13EFD"/>
    <w:rsid w:val="00A1407B"/>
    <w:rsid w:val="00A141BE"/>
    <w:rsid w:val="00A14595"/>
    <w:rsid w:val="00A15375"/>
    <w:rsid w:val="00A156A3"/>
    <w:rsid w:val="00A15ECB"/>
    <w:rsid w:val="00A15EDC"/>
    <w:rsid w:val="00A16533"/>
    <w:rsid w:val="00A16A10"/>
    <w:rsid w:val="00A17542"/>
    <w:rsid w:val="00A1796A"/>
    <w:rsid w:val="00A20321"/>
    <w:rsid w:val="00A20751"/>
    <w:rsid w:val="00A2212B"/>
    <w:rsid w:val="00A22FFA"/>
    <w:rsid w:val="00A23262"/>
    <w:rsid w:val="00A23B8D"/>
    <w:rsid w:val="00A23C40"/>
    <w:rsid w:val="00A2582B"/>
    <w:rsid w:val="00A25B2F"/>
    <w:rsid w:val="00A25F05"/>
    <w:rsid w:val="00A26835"/>
    <w:rsid w:val="00A268B4"/>
    <w:rsid w:val="00A268FF"/>
    <w:rsid w:val="00A274AD"/>
    <w:rsid w:val="00A27716"/>
    <w:rsid w:val="00A277CA"/>
    <w:rsid w:val="00A27E0A"/>
    <w:rsid w:val="00A308B2"/>
    <w:rsid w:val="00A30CDA"/>
    <w:rsid w:val="00A30E01"/>
    <w:rsid w:val="00A30F8C"/>
    <w:rsid w:val="00A317CC"/>
    <w:rsid w:val="00A32542"/>
    <w:rsid w:val="00A32644"/>
    <w:rsid w:val="00A3357C"/>
    <w:rsid w:val="00A3432A"/>
    <w:rsid w:val="00A349C3"/>
    <w:rsid w:val="00A358C3"/>
    <w:rsid w:val="00A35E7F"/>
    <w:rsid w:val="00A368D3"/>
    <w:rsid w:val="00A374F4"/>
    <w:rsid w:val="00A37EE4"/>
    <w:rsid w:val="00A406AE"/>
    <w:rsid w:val="00A40BBB"/>
    <w:rsid w:val="00A411B8"/>
    <w:rsid w:val="00A41364"/>
    <w:rsid w:val="00A413D0"/>
    <w:rsid w:val="00A413E8"/>
    <w:rsid w:val="00A41420"/>
    <w:rsid w:val="00A420B0"/>
    <w:rsid w:val="00A4234F"/>
    <w:rsid w:val="00A43DF4"/>
    <w:rsid w:val="00A43DF7"/>
    <w:rsid w:val="00A449A0"/>
    <w:rsid w:val="00A45490"/>
    <w:rsid w:val="00A456B7"/>
    <w:rsid w:val="00A46093"/>
    <w:rsid w:val="00A5042D"/>
    <w:rsid w:val="00A50874"/>
    <w:rsid w:val="00A50E00"/>
    <w:rsid w:val="00A51483"/>
    <w:rsid w:val="00A51C2A"/>
    <w:rsid w:val="00A51D69"/>
    <w:rsid w:val="00A5258D"/>
    <w:rsid w:val="00A52922"/>
    <w:rsid w:val="00A53022"/>
    <w:rsid w:val="00A53337"/>
    <w:rsid w:val="00A548D6"/>
    <w:rsid w:val="00A550D7"/>
    <w:rsid w:val="00A55CB0"/>
    <w:rsid w:val="00A56684"/>
    <w:rsid w:val="00A6053D"/>
    <w:rsid w:val="00A6068C"/>
    <w:rsid w:val="00A60F3A"/>
    <w:rsid w:val="00A61638"/>
    <w:rsid w:val="00A617DA"/>
    <w:rsid w:val="00A61CA8"/>
    <w:rsid w:val="00A6223B"/>
    <w:rsid w:val="00A622A9"/>
    <w:rsid w:val="00A62986"/>
    <w:rsid w:val="00A62ACB"/>
    <w:rsid w:val="00A62F66"/>
    <w:rsid w:val="00A63384"/>
    <w:rsid w:val="00A6396B"/>
    <w:rsid w:val="00A63B71"/>
    <w:rsid w:val="00A63BC8"/>
    <w:rsid w:val="00A64089"/>
    <w:rsid w:val="00A65320"/>
    <w:rsid w:val="00A65895"/>
    <w:rsid w:val="00A659EA"/>
    <w:rsid w:val="00A670F4"/>
    <w:rsid w:val="00A67133"/>
    <w:rsid w:val="00A6739F"/>
    <w:rsid w:val="00A674BD"/>
    <w:rsid w:val="00A676AC"/>
    <w:rsid w:val="00A67BA5"/>
    <w:rsid w:val="00A70410"/>
    <w:rsid w:val="00A70A7F"/>
    <w:rsid w:val="00A7121E"/>
    <w:rsid w:val="00A71755"/>
    <w:rsid w:val="00A720CB"/>
    <w:rsid w:val="00A72160"/>
    <w:rsid w:val="00A72380"/>
    <w:rsid w:val="00A729C0"/>
    <w:rsid w:val="00A72DDA"/>
    <w:rsid w:val="00A744C2"/>
    <w:rsid w:val="00A75C03"/>
    <w:rsid w:val="00A76FFD"/>
    <w:rsid w:val="00A772D5"/>
    <w:rsid w:val="00A77F45"/>
    <w:rsid w:val="00A80E65"/>
    <w:rsid w:val="00A81C7B"/>
    <w:rsid w:val="00A8225A"/>
    <w:rsid w:val="00A83082"/>
    <w:rsid w:val="00A83166"/>
    <w:rsid w:val="00A866BA"/>
    <w:rsid w:val="00A87135"/>
    <w:rsid w:val="00A87ABB"/>
    <w:rsid w:val="00A900FF"/>
    <w:rsid w:val="00A90224"/>
    <w:rsid w:val="00A902F8"/>
    <w:rsid w:val="00A90F51"/>
    <w:rsid w:val="00A92883"/>
    <w:rsid w:val="00A931BF"/>
    <w:rsid w:val="00A93920"/>
    <w:rsid w:val="00A93AE6"/>
    <w:rsid w:val="00A940DF"/>
    <w:rsid w:val="00A95408"/>
    <w:rsid w:val="00A95515"/>
    <w:rsid w:val="00A96DE9"/>
    <w:rsid w:val="00AA105B"/>
    <w:rsid w:val="00AA1975"/>
    <w:rsid w:val="00AA1BF6"/>
    <w:rsid w:val="00AA20ED"/>
    <w:rsid w:val="00AA25EF"/>
    <w:rsid w:val="00AA343A"/>
    <w:rsid w:val="00AA3CC2"/>
    <w:rsid w:val="00AA3DB8"/>
    <w:rsid w:val="00AA443A"/>
    <w:rsid w:val="00AA4A00"/>
    <w:rsid w:val="00AA5738"/>
    <w:rsid w:val="00AA5910"/>
    <w:rsid w:val="00AA6615"/>
    <w:rsid w:val="00AB0046"/>
    <w:rsid w:val="00AB0CA4"/>
    <w:rsid w:val="00AB233E"/>
    <w:rsid w:val="00AB3626"/>
    <w:rsid w:val="00AB52A9"/>
    <w:rsid w:val="00AB533C"/>
    <w:rsid w:val="00AB578F"/>
    <w:rsid w:val="00AB5FC0"/>
    <w:rsid w:val="00AB642A"/>
    <w:rsid w:val="00AB6D7D"/>
    <w:rsid w:val="00AC0505"/>
    <w:rsid w:val="00AC06F6"/>
    <w:rsid w:val="00AC129B"/>
    <w:rsid w:val="00AC3238"/>
    <w:rsid w:val="00AC395E"/>
    <w:rsid w:val="00AC63A1"/>
    <w:rsid w:val="00AC66FC"/>
    <w:rsid w:val="00AC6BD6"/>
    <w:rsid w:val="00AC704C"/>
    <w:rsid w:val="00AC7589"/>
    <w:rsid w:val="00AD0062"/>
    <w:rsid w:val="00AD0D91"/>
    <w:rsid w:val="00AD0DDB"/>
    <w:rsid w:val="00AD180B"/>
    <w:rsid w:val="00AD18EE"/>
    <w:rsid w:val="00AD1904"/>
    <w:rsid w:val="00AD24CD"/>
    <w:rsid w:val="00AD255D"/>
    <w:rsid w:val="00AD2C25"/>
    <w:rsid w:val="00AD4333"/>
    <w:rsid w:val="00AD449C"/>
    <w:rsid w:val="00AD4F40"/>
    <w:rsid w:val="00AD55AF"/>
    <w:rsid w:val="00AD5D86"/>
    <w:rsid w:val="00AD66ED"/>
    <w:rsid w:val="00AD6AD8"/>
    <w:rsid w:val="00AD6D63"/>
    <w:rsid w:val="00AD7550"/>
    <w:rsid w:val="00AD7649"/>
    <w:rsid w:val="00AD7662"/>
    <w:rsid w:val="00AE0241"/>
    <w:rsid w:val="00AE18B3"/>
    <w:rsid w:val="00AE2746"/>
    <w:rsid w:val="00AE2AE8"/>
    <w:rsid w:val="00AE2F18"/>
    <w:rsid w:val="00AE3599"/>
    <w:rsid w:val="00AE3EF1"/>
    <w:rsid w:val="00AE4734"/>
    <w:rsid w:val="00AE4ACD"/>
    <w:rsid w:val="00AE57DD"/>
    <w:rsid w:val="00AE5DD7"/>
    <w:rsid w:val="00AE5E7F"/>
    <w:rsid w:val="00AE5F43"/>
    <w:rsid w:val="00AE7B6A"/>
    <w:rsid w:val="00AF0005"/>
    <w:rsid w:val="00AF02E7"/>
    <w:rsid w:val="00AF05FA"/>
    <w:rsid w:val="00AF0965"/>
    <w:rsid w:val="00AF27A9"/>
    <w:rsid w:val="00AF2A2C"/>
    <w:rsid w:val="00AF2F4C"/>
    <w:rsid w:val="00AF3ADC"/>
    <w:rsid w:val="00AF3CD2"/>
    <w:rsid w:val="00AF409B"/>
    <w:rsid w:val="00AF46B7"/>
    <w:rsid w:val="00AF5E5F"/>
    <w:rsid w:val="00AF6C6D"/>
    <w:rsid w:val="00AF7D15"/>
    <w:rsid w:val="00B0014E"/>
    <w:rsid w:val="00B004F0"/>
    <w:rsid w:val="00B008F4"/>
    <w:rsid w:val="00B01271"/>
    <w:rsid w:val="00B02297"/>
    <w:rsid w:val="00B03D3D"/>
    <w:rsid w:val="00B0425E"/>
    <w:rsid w:val="00B05968"/>
    <w:rsid w:val="00B060A7"/>
    <w:rsid w:val="00B06E77"/>
    <w:rsid w:val="00B07AFB"/>
    <w:rsid w:val="00B10F36"/>
    <w:rsid w:val="00B12700"/>
    <w:rsid w:val="00B147A7"/>
    <w:rsid w:val="00B161B1"/>
    <w:rsid w:val="00B174BF"/>
    <w:rsid w:val="00B214FD"/>
    <w:rsid w:val="00B21656"/>
    <w:rsid w:val="00B21F68"/>
    <w:rsid w:val="00B22C94"/>
    <w:rsid w:val="00B23162"/>
    <w:rsid w:val="00B23793"/>
    <w:rsid w:val="00B241D9"/>
    <w:rsid w:val="00B2456F"/>
    <w:rsid w:val="00B245A7"/>
    <w:rsid w:val="00B24F5E"/>
    <w:rsid w:val="00B252C0"/>
    <w:rsid w:val="00B258D2"/>
    <w:rsid w:val="00B263AF"/>
    <w:rsid w:val="00B26910"/>
    <w:rsid w:val="00B26DD0"/>
    <w:rsid w:val="00B304BB"/>
    <w:rsid w:val="00B30979"/>
    <w:rsid w:val="00B32915"/>
    <w:rsid w:val="00B348BD"/>
    <w:rsid w:val="00B35E3A"/>
    <w:rsid w:val="00B36B2F"/>
    <w:rsid w:val="00B36E5A"/>
    <w:rsid w:val="00B3733C"/>
    <w:rsid w:val="00B37E2C"/>
    <w:rsid w:val="00B41BF9"/>
    <w:rsid w:val="00B42AD1"/>
    <w:rsid w:val="00B43A28"/>
    <w:rsid w:val="00B4441B"/>
    <w:rsid w:val="00B44670"/>
    <w:rsid w:val="00B446AD"/>
    <w:rsid w:val="00B44925"/>
    <w:rsid w:val="00B44CEA"/>
    <w:rsid w:val="00B45051"/>
    <w:rsid w:val="00B45069"/>
    <w:rsid w:val="00B4559F"/>
    <w:rsid w:val="00B4569A"/>
    <w:rsid w:val="00B46EDD"/>
    <w:rsid w:val="00B46F46"/>
    <w:rsid w:val="00B5055C"/>
    <w:rsid w:val="00B5059B"/>
    <w:rsid w:val="00B5072A"/>
    <w:rsid w:val="00B517B3"/>
    <w:rsid w:val="00B51E83"/>
    <w:rsid w:val="00B527A6"/>
    <w:rsid w:val="00B532D7"/>
    <w:rsid w:val="00B533E3"/>
    <w:rsid w:val="00B53582"/>
    <w:rsid w:val="00B54D58"/>
    <w:rsid w:val="00B55E39"/>
    <w:rsid w:val="00B56DC8"/>
    <w:rsid w:val="00B5730F"/>
    <w:rsid w:val="00B576C4"/>
    <w:rsid w:val="00B601A3"/>
    <w:rsid w:val="00B601C7"/>
    <w:rsid w:val="00B60BE5"/>
    <w:rsid w:val="00B6140B"/>
    <w:rsid w:val="00B619B5"/>
    <w:rsid w:val="00B631BE"/>
    <w:rsid w:val="00B63DE7"/>
    <w:rsid w:val="00B63F22"/>
    <w:rsid w:val="00B64424"/>
    <w:rsid w:val="00B701E9"/>
    <w:rsid w:val="00B7146B"/>
    <w:rsid w:val="00B715BE"/>
    <w:rsid w:val="00B717B4"/>
    <w:rsid w:val="00B7190B"/>
    <w:rsid w:val="00B721C4"/>
    <w:rsid w:val="00B73261"/>
    <w:rsid w:val="00B73C10"/>
    <w:rsid w:val="00B747EF"/>
    <w:rsid w:val="00B74B69"/>
    <w:rsid w:val="00B74BB6"/>
    <w:rsid w:val="00B74C2E"/>
    <w:rsid w:val="00B76099"/>
    <w:rsid w:val="00B7626E"/>
    <w:rsid w:val="00B76333"/>
    <w:rsid w:val="00B76392"/>
    <w:rsid w:val="00B76F7A"/>
    <w:rsid w:val="00B77C0D"/>
    <w:rsid w:val="00B77D8C"/>
    <w:rsid w:val="00B80B12"/>
    <w:rsid w:val="00B80FC9"/>
    <w:rsid w:val="00B81034"/>
    <w:rsid w:val="00B82ADB"/>
    <w:rsid w:val="00B84039"/>
    <w:rsid w:val="00B84477"/>
    <w:rsid w:val="00B84671"/>
    <w:rsid w:val="00B85EFE"/>
    <w:rsid w:val="00B861A2"/>
    <w:rsid w:val="00B86857"/>
    <w:rsid w:val="00B868B0"/>
    <w:rsid w:val="00B86E86"/>
    <w:rsid w:val="00B86F8E"/>
    <w:rsid w:val="00B8731F"/>
    <w:rsid w:val="00B87C00"/>
    <w:rsid w:val="00B9011D"/>
    <w:rsid w:val="00B901C2"/>
    <w:rsid w:val="00B91006"/>
    <w:rsid w:val="00B91690"/>
    <w:rsid w:val="00B91B61"/>
    <w:rsid w:val="00B91D96"/>
    <w:rsid w:val="00B930F3"/>
    <w:rsid w:val="00B93660"/>
    <w:rsid w:val="00B94074"/>
    <w:rsid w:val="00B94594"/>
    <w:rsid w:val="00B959AA"/>
    <w:rsid w:val="00B96909"/>
    <w:rsid w:val="00B9713D"/>
    <w:rsid w:val="00B97CAD"/>
    <w:rsid w:val="00BA0740"/>
    <w:rsid w:val="00BA2B9F"/>
    <w:rsid w:val="00BA38F1"/>
    <w:rsid w:val="00BA3D92"/>
    <w:rsid w:val="00BA4711"/>
    <w:rsid w:val="00BA6A68"/>
    <w:rsid w:val="00BA75FE"/>
    <w:rsid w:val="00BB0174"/>
    <w:rsid w:val="00BB11A2"/>
    <w:rsid w:val="00BB1ABC"/>
    <w:rsid w:val="00BB2143"/>
    <w:rsid w:val="00BB239C"/>
    <w:rsid w:val="00BB2A48"/>
    <w:rsid w:val="00BB438D"/>
    <w:rsid w:val="00BB4F15"/>
    <w:rsid w:val="00BB58DE"/>
    <w:rsid w:val="00BB5E18"/>
    <w:rsid w:val="00BB663B"/>
    <w:rsid w:val="00BB693D"/>
    <w:rsid w:val="00BB6A6A"/>
    <w:rsid w:val="00BB6F12"/>
    <w:rsid w:val="00BB7011"/>
    <w:rsid w:val="00BB7531"/>
    <w:rsid w:val="00BB75DE"/>
    <w:rsid w:val="00BC0517"/>
    <w:rsid w:val="00BC1754"/>
    <w:rsid w:val="00BC19B4"/>
    <w:rsid w:val="00BC1D71"/>
    <w:rsid w:val="00BC26FB"/>
    <w:rsid w:val="00BC2BE3"/>
    <w:rsid w:val="00BC3C27"/>
    <w:rsid w:val="00BC3C52"/>
    <w:rsid w:val="00BC3F35"/>
    <w:rsid w:val="00BC4561"/>
    <w:rsid w:val="00BC4857"/>
    <w:rsid w:val="00BC654E"/>
    <w:rsid w:val="00BC69CA"/>
    <w:rsid w:val="00BC6B37"/>
    <w:rsid w:val="00BC6D05"/>
    <w:rsid w:val="00BC6FC7"/>
    <w:rsid w:val="00BC71A4"/>
    <w:rsid w:val="00BD084B"/>
    <w:rsid w:val="00BD10C0"/>
    <w:rsid w:val="00BD1296"/>
    <w:rsid w:val="00BD30E5"/>
    <w:rsid w:val="00BD38B2"/>
    <w:rsid w:val="00BD4E11"/>
    <w:rsid w:val="00BD502C"/>
    <w:rsid w:val="00BD517C"/>
    <w:rsid w:val="00BD5A10"/>
    <w:rsid w:val="00BD5B9C"/>
    <w:rsid w:val="00BD666C"/>
    <w:rsid w:val="00BD7C56"/>
    <w:rsid w:val="00BD7F02"/>
    <w:rsid w:val="00BE007D"/>
    <w:rsid w:val="00BE01BE"/>
    <w:rsid w:val="00BE0248"/>
    <w:rsid w:val="00BE0845"/>
    <w:rsid w:val="00BE08AB"/>
    <w:rsid w:val="00BE17DB"/>
    <w:rsid w:val="00BE1D7D"/>
    <w:rsid w:val="00BE1DAF"/>
    <w:rsid w:val="00BE20BC"/>
    <w:rsid w:val="00BE286F"/>
    <w:rsid w:val="00BE2959"/>
    <w:rsid w:val="00BE2C9D"/>
    <w:rsid w:val="00BE4534"/>
    <w:rsid w:val="00BE4654"/>
    <w:rsid w:val="00BE4A82"/>
    <w:rsid w:val="00BE4E10"/>
    <w:rsid w:val="00BE4FFB"/>
    <w:rsid w:val="00BE517D"/>
    <w:rsid w:val="00BE59ED"/>
    <w:rsid w:val="00BE5BC3"/>
    <w:rsid w:val="00BE609B"/>
    <w:rsid w:val="00BE776E"/>
    <w:rsid w:val="00BF056E"/>
    <w:rsid w:val="00BF0B18"/>
    <w:rsid w:val="00BF0E47"/>
    <w:rsid w:val="00BF1436"/>
    <w:rsid w:val="00BF159D"/>
    <w:rsid w:val="00BF1912"/>
    <w:rsid w:val="00BF198A"/>
    <w:rsid w:val="00BF1BA0"/>
    <w:rsid w:val="00BF1F63"/>
    <w:rsid w:val="00BF373D"/>
    <w:rsid w:val="00BF3ACF"/>
    <w:rsid w:val="00BF3D59"/>
    <w:rsid w:val="00BF48C9"/>
    <w:rsid w:val="00BF4CF2"/>
    <w:rsid w:val="00BF4F9F"/>
    <w:rsid w:val="00BF5A3A"/>
    <w:rsid w:val="00BF69EC"/>
    <w:rsid w:val="00BF6F1B"/>
    <w:rsid w:val="00C00BC4"/>
    <w:rsid w:val="00C01564"/>
    <w:rsid w:val="00C01D5F"/>
    <w:rsid w:val="00C03EC4"/>
    <w:rsid w:val="00C03F8F"/>
    <w:rsid w:val="00C04DA9"/>
    <w:rsid w:val="00C0513C"/>
    <w:rsid w:val="00C053B7"/>
    <w:rsid w:val="00C05431"/>
    <w:rsid w:val="00C05938"/>
    <w:rsid w:val="00C06220"/>
    <w:rsid w:val="00C06B98"/>
    <w:rsid w:val="00C07343"/>
    <w:rsid w:val="00C075AC"/>
    <w:rsid w:val="00C07927"/>
    <w:rsid w:val="00C07A61"/>
    <w:rsid w:val="00C07D50"/>
    <w:rsid w:val="00C10CE1"/>
    <w:rsid w:val="00C10DA3"/>
    <w:rsid w:val="00C11C63"/>
    <w:rsid w:val="00C13B12"/>
    <w:rsid w:val="00C14754"/>
    <w:rsid w:val="00C147FB"/>
    <w:rsid w:val="00C1480A"/>
    <w:rsid w:val="00C14A90"/>
    <w:rsid w:val="00C1563D"/>
    <w:rsid w:val="00C15D13"/>
    <w:rsid w:val="00C1647C"/>
    <w:rsid w:val="00C16E1F"/>
    <w:rsid w:val="00C17639"/>
    <w:rsid w:val="00C1771D"/>
    <w:rsid w:val="00C17C1B"/>
    <w:rsid w:val="00C21398"/>
    <w:rsid w:val="00C228A4"/>
    <w:rsid w:val="00C22989"/>
    <w:rsid w:val="00C22F3E"/>
    <w:rsid w:val="00C2346A"/>
    <w:rsid w:val="00C2378A"/>
    <w:rsid w:val="00C25600"/>
    <w:rsid w:val="00C256B7"/>
    <w:rsid w:val="00C25EF0"/>
    <w:rsid w:val="00C2635A"/>
    <w:rsid w:val="00C2663C"/>
    <w:rsid w:val="00C26867"/>
    <w:rsid w:val="00C26A7D"/>
    <w:rsid w:val="00C27039"/>
    <w:rsid w:val="00C27395"/>
    <w:rsid w:val="00C305CD"/>
    <w:rsid w:val="00C30A58"/>
    <w:rsid w:val="00C31733"/>
    <w:rsid w:val="00C31780"/>
    <w:rsid w:val="00C31851"/>
    <w:rsid w:val="00C33B54"/>
    <w:rsid w:val="00C352FE"/>
    <w:rsid w:val="00C35A33"/>
    <w:rsid w:val="00C362CF"/>
    <w:rsid w:val="00C36443"/>
    <w:rsid w:val="00C36F14"/>
    <w:rsid w:val="00C37E09"/>
    <w:rsid w:val="00C402F8"/>
    <w:rsid w:val="00C40318"/>
    <w:rsid w:val="00C40861"/>
    <w:rsid w:val="00C411D4"/>
    <w:rsid w:val="00C41431"/>
    <w:rsid w:val="00C41B4C"/>
    <w:rsid w:val="00C434F8"/>
    <w:rsid w:val="00C4356F"/>
    <w:rsid w:val="00C43E4F"/>
    <w:rsid w:val="00C44377"/>
    <w:rsid w:val="00C454D0"/>
    <w:rsid w:val="00C4648A"/>
    <w:rsid w:val="00C46657"/>
    <w:rsid w:val="00C46BAD"/>
    <w:rsid w:val="00C47BB6"/>
    <w:rsid w:val="00C5064A"/>
    <w:rsid w:val="00C50692"/>
    <w:rsid w:val="00C51037"/>
    <w:rsid w:val="00C5131F"/>
    <w:rsid w:val="00C51A00"/>
    <w:rsid w:val="00C52BCA"/>
    <w:rsid w:val="00C52F08"/>
    <w:rsid w:val="00C53217"/>
    <w:rsid w:val="00C53714"/>
    <w:rsid w:val="00C53B27"/>
    <w:rsid w:val="00C53B89"/>
    <w:rsid w:val="00C5441B"/>
    <w:rsid w:val="00C54C87"/>
    <w:rsid w:val="00C54F35"/>
    <w:rsid w:val="00C54F93"/>
    <w:rsid w:val="00C55045"/>
    <w:rsid w:val="00C56024"/>
    <w:rsid w:val="00C56111"/>
    <w:rsid w:val="00C562D0"/>
    <w:rsid w:val="00C57408"/>
    <w:rsid w:val="00C57DD2"/>
    <w:rsid w:val="00C6028B"/>
    <w:rsid w:val="00C60D18"/>
    <w:rsid w:val="00C61271"/>
    <w:rsid w:val="00C61782"/>
    <w:rsid w:val="00C62D1F"/>
    <w:rsid w:val="00C637B0"/>
    <w:rsid w:val="00C63EB5"/>
    <w:rsid w:val="00C6421B"/>
    <w:rsid w:val="00C64382"/>
    <w:rsid w:val="00C64ECC"/>
    <w:rsid w:val="00C65334"/>
    <w:rsid w:val="00C65409"/>
    <w:rsid w:val="00C656E4"/>
    <w:rsid w:val="00C659B6"/>
    <w:rsid w:val="00C66B8E"/>
    <w:rsid w:val="00C6728D"/>
    <w:rsid w:val="00C6730D"/>
    <w:rsid w:val="00C67CA5"/>
    <w:rsid w:val="00C71331"/>
    <w:rsid w:val="00C71921"/>
    <w:rsid w:val="00C71B02"/>
    <w:rsid w:val="00C73193"/>
    <w:rsid w:val="00C736C0"/>
    <w:rsid w:val="00C73D28"/>
    <w:rsid w:val="00C74036"/>
    <w:rsid w:val="00C74242"/>
    <w:rsid w:val="00C75E22"/>
    <w:rsid w:val="00C7619B"/>
    <w:rsid w:val="00C76258"/>
    <w:rsid w:val="00C769F4"/>
    <w:rsid w:val="00C76AF4"/>
    <w:rsid w:val="00C76C4D"/>
    <w:rsid w:val="00C76CFD"/>
    <w:rsid w:val="00C772DF"/>
    <w:rsid w:val="00C779D0"/>
    <w:rsid w:val="00C8021E"/>
    <w:rsid w:val="00C80250"/>
    <w:rsid w:val="00C80264"/>
    <w:rsid w:val="00C80B73"/>
    <w:rsid w:val="00C822DF"/>
    <w:rsid w:val="00C827ED"/>
    <w:rsid w:val="00C829EA"/>
    <w:rsid w:val="00C838F6"/>
    <w:rsid w:val="00C850BD"/>
    <w:rsid w:val="00C857C5"/>
    <w:rsid w:val="00C85AE1"/>
    <w:rsid w:val="00C85CED"/>
    <w:rsid w:val="00C866A8"/>
    <w:rsid w:val="00C87502"/>
    <w:rsid w:val="00C8774E"/>
    <w:rsid w:val="00C900F6"/>
    <w:rsid w:val="00C90B61"/>
    <w:rsid w:val="00C91829"/>
    <w:rsid w:val="00C92501"/>
    <w:rsid w:val="00C928F3"/>
    <w:rsid w:val="00C92A6C"/>
    <w:rsid w:val="00C92EE0"/>
    <w:rsid w:val="00C934A4"/>
    <w:rsid w:val="00C93D7A"/>
    <w:rsid w:val="00C94276"/>
    <w:rsid w:val="00C94B94"/>
    <w:rsid w:val="00C9643C"/>
    <w:rsid w:val="00C97523"/>
    <w:rsid w:val="00CA0DD7"/>
    <w:rsid w:val="00CA0F44"/>
    <w:rsid w:val="00CA1223"/>
    <w:rsid w:val="00CA1EC5"/>
    <w:rsid w:val="00CA3076"/>
    <w:rsid w:val="00CA42A2"/>
    <w:rsid w:val="00CA502E"/>
    <w:rsid w:val="00CA6740"/>
    <w:rsid w:val="00CA7124"/>
    <w:rsid w:val="00CA7BB0"/>
    <w:rsid w:val="00CB01C4"/>
    <w:rsid w:val="00CB025B"/>
    <w:rsid w:val="00CB19B2"/>
    <w:rsid w:val="00CB1E80"/>
    <w:rsid w:val="00CB1FC9"/>
    <w:rsid w:val="00CB2634"/>
    <w:rsid w:val="00CB2D0D"/>
    <w:rsid w:val="00CB43B8"/>
    <w:rsid w:val="00CB47CF"/>
    <w:rsid w:val="00CB4804"/>
    <w:rsid w:val="00CB5DFB"/>
    <w:rsid w:val="00CB5EBF"/>
    <w:rsid w:val="00CB691D"/>
    <w:rsid w:val="00CB6A05"/>
    <w:rsid w:val="00CB7553"/>
    <w:rsid w:val="00CB7911"/>
    <w:rsid w:val="00CC01FB"/>
    <w:rsid w:val="00CC0793"/>
    <w:rsid w:val="00CC1B86"/>
    <w:rsid w:val="00CC2491"/>
    <w:rsid w:val="00CC26AE"/>
    <w:rsid w:val="00CC2C05"/>
    <w:rsid w:val="00CC2CFA"/>
    <w:rsid w:val="00CC2F21"/>
    <w:rsid w:val="00CC4AC7"/>
    <w:rsid w:val="00CC4E97"/>
    <w:rsid w:val="00CC5087"/>
    <w:rsid w:val="00CC528B"/>
    <w:rsid w:val="00CC52C3"/>
    <w:rsid w:val="00CC5490"/>
    <w:rsid w:val="00CC621F"/>
    <w:rsid w:val="00CC62D5"/>
    <w:rsid w:val="00CC676D"/>
    <w:rsid w:val="00CD01EE"/>
    <w:rsid w:val="00CD04C1"/>
    <w:rsid w:val="00CD11C2"/>
    <w:rsid w:val="00CD1D19"/>
    <w:rsid w:val="00CD327F"/>
    <w:rsid w:val="00CD380E"/>
    <w:rsid w:val="00CD3999"/>
    <w:rsid w:val="00CD3BC6"/>
    <w:rsid w:val="00CD5013"/>
    <w:rsid w:val="00CD5714"/>
    <w:rsid w:val="00CD582B"/>
    <w:rsid w:val="00CD67E3"/>
    <w:rsid w:val="00CD6AB1"/>
    <w:rsid w:val="00CD6F2C"/>
    <w:rsid w:val="00CD739B"/>
    <w:rsid w:val="00CD7CFC"/>
    <w:rsid w:val="00CE0152"/>
    <w:rsid w:val="00CE2B8E"/>
    <w:rsid w:val="00CE2C39"/>
    <w:rsid w:val="00CE3A83"/>
    <w:rsid w:val="00CE3C66"/>
    <w:rsid w:val="00CE3D5A"/>
    <w:rsid w:val="00CE438B"/>
    <w:rsid w:val="00CE5C69"/>
    <w:rsid w:val="00CE6778"/>
    <w:rsid w:val="00CE6FED"/>
    <w:rsid w:val="00CE758B"/>
    <w:rsid w:val="00CF0AED"/>
    <w:rsid w:val="00CF1415"/>
    <w:rsid w:val="00CF1816"/>
    <w:rsid w:val="00CF1F5B"/>
    <w:rsid w:val="00CF367E"/>
    <w:rsid w:val="00CF38E2"/>
    <w:rsid w:val="00CF3B50"/>
    <w:rsid w:val="00CF3E8B"/>
    <w:rsid w:val="00CF4667"/>
    <w:rsid w:val="00CF4814"/>
    <w:rsid w:val="00CF4A5B"/>
    <w:rsid w:val="00CF4B78"/>
    <w:rsid w:val="00CF4D80"/>
    <w:rsid w:val="00CF4E75"/>
    <w:rsid w:val="00CF51DF"/>
    <w:rsid w:val="00CF5A0E"/>
    <w:rsid w:val="00CF5A2F"/>
    <w:rsid w:val="00CF5D81"/>
    <w:rsid w:val="00CF5E83"/>
    <w:rsid w:val="00CF7159"/>
    <w:rsid w:val="00CF758D"/>
    <w:rsid w:val="00CF7829"/>
    <w:rsid w:val="00CF795C"/>
    <w:rsid w:val="00CF7A9E"/>
    <w:rsid w:val="00D000E5"/>
    <w:rsid w:val="00D003CC"/>
    <w:rsid w:val="00D005A8"/>
    <w:rsid w:val="00D007B9"/>
    <w:rsid w:val="00D00D31"/>
    <w:rsid w:val="00D01C06"/>
    <w:rsid w:val="00D02ABD"/>
    <w:rsid w:val="00D03CC2"/>
    <w:rsid w:val="00D03E63"/>
    <w:rsid w:val="00D03FBF"/>
    <w:rsid w:val="00D0460F"/>
    <w:rsid w:val="00D04CDD"/>
    <w:rsid w:val="00D0601A"/>
    <w:rsid w:val="00D0629B"/>
    <w:rsid w:val="00D07989"/>
    <w:rsid w:val="00D104B2"/>
    <w:rsid w:val="00D1129E"/>
    <w:rsid w:val="00D11A0F"/>
    <w:rsid w:val="00D11D9F"/>
    <w:rsid w:val="00D12C05"/>
    <w:rsid w:val="00D12DDD"/>
    <w:rsid w:val="00D12E6A"/>
    <w:rsid w:val="00D135E4"/>
    <w:rsid w:val="00D14A97"/>
    <w:rsid w:val="00D15B36"/>
    <w:rsid w:val="00D16EF9"/>
    <w:rsid w:val="00D179ED"/>
    <w:rsid w:val="00D17DD7"/>
    <w:rsid w:val="00D2007A"/>
    <w:rsid w:val="00D210B4"/>
    <w:rsid w:val="00D216ED"/>
    <w:rsid w:val="00D21892"/>
    <w:rsid w:val="00D21BDE"/>
    <w:rsid w:val="00D21BE3"/>
    <w:rsid w:val="00D23500"/>
    <w:rsid w:val="00D24E99"/>
    <w:rsid w:val="00D24F7C"/>
    <w:rsid w:val="00D25B84"/>
    <w:rsid w:val="00D26D8B"/>
    <w:rsid w:val="00D30A26"/>
    <w:rsid w:val="00D31948"/>
    <w:rsid w:val="00D321A7"/>
    <w:rsid w:val="00D321F9"/>
    <w:rsid w:val="00D32BED"/>
    <w:rsid w:val="00D32F00"/>
    <w:rsid w:val="00D335B4"/>
    <w:rsid w:val="00D3407E"/>
    <w:rsid w:val="00D34ADA"/>
    <w:rsid w:val="00D34E4C"/>
    <w:rsid w:val="00D361C3"/>
    <w:rsid w:val="00D36DB0"/>
    <w:rsid w:val="00D37A0B"/>
    <w:rsid w:val="00D4048E"/>
    <w:rsid w:val="00D404B0"/>
    <w:rsid w:val="00D40EC7"/>
    <w:rsid w:val="00D412CD"/>
    <w:rsid w:val="00D41BFD"/>
    <w:rsid w:val="00D42ACF"/>
    <w:rsid w:val="00D4443C"/>
    <w:rsid w:val="00D448B9"/>
    <w:rsid w:val="00D450FD"/>
    <w:rsid w:val="00D45383"/>
    <w:rsid w:val="00D46F27"/>
    <w:rsid w:val="00D4741B"/>
    <w:rsid w:val="00D47B37"/>
    <w:rsid w:val="00D50095"/>
    <w:rsid w:val="00D503BA"/>
    <w:rsid w:val="00D51D31"/>
    <w:rsid w:val="00D52370"/>
    <w:rsid w:val="00D525C4"/>
    <w:rsid w:val="00D52DA0"/>
    <w:rsid w:val="00D548AE"/>
    <w:rsid w:val="00D54F98"/>
    <w:rsid w:val="00D55163"/>
    <w:rsid w:val="00D55353"/>
    <w:rsid w:val="00D55388"/>
    <w:rsid w:val="00D5539D"/>
    <w:rsid w:val="00D558FE"/>
    <w:rsid w:val="00D55D01"/>
    <w:rsid w:val="00D55E51"/>
    <w:rsid w:val="00D55FCA"/>
    <w:rsid w:val="00D574C1"/>
    <w:rsid w:val="00D5760D"/>
    <w:rsid w:val="00D57635"/>
    <w:rsid w:val="00D57DE4"/>
    <w:rsid w:val="00D60064"/>
    <w:rsid w:val="00D60414"/>
    <w:rsid w:val="00D60CA7"/>
    <w:rsid w:val="00D62716"/>
    <w:rsid w:val="00D6370E"/>
    <w:rsid w:val="00D63C4D"/>
    <w:rsid w:val="00D65812"/>
    <w:rsid w:val="00D65832"/>
    <w:rsid w:val="00D6667E"/>
    <w:rsid w:val="00D66912"/>
    <w:rsid w:val="00D66967"/>
    <w:rsid w:val="00D66CC3"/>
    <w:rsid w:val="00D66E9D"/>
    <w:rsid w:val="00D70AF2"/>
    <w:rsid w:val="00D70E1F"/>
    <w:rsid w:val="00D71114"/>
    <w:rsid w:val="00D71421"/>
    <w:rsid w:val="00D7157A"/>
    <w:rsid w:val="00D71816"/>
    <w:rsid w:val="00D71871"/>
    <w:rsid w:val="00D71B76"/>
    <w:rsid w:val="00D72BF9"/>
    <w:rsid w:val="00D734A7"/>
    <w:rsid w:val="00D745E7"/>
    <w:rsid w:val="00D74B2E"/>
    <w:rsid w:val="00D75B11"/>
    <w:rsid w:val="00D75E05"/>
    <w:rsid w:val="00D761E1"/>
    <w:rsid w:val="00D763FC"/>
    <w:rsid w:val="00D7768C"/>
    <w:rsid w:val="00D77A48"/>
    <w:rsid w:val="00D77F40"/>
    <w:rsid w:val="00D8043F"/>
    <w:rsid w:val="00D80DD1"/>
    <w:rsid w:val="00D81125"/>
    <w:rsid w:val="00D81678"/>
    <w:rsid w:val="00D816DC"/>
    <w:rsid w:val="00D823C3"/>
    <w:rsid w:val="00D846C8"/>
    <w:rsid w:val="00D84F65"/>
    <w:rsid w:val="00D851C0"/>
    <w:rsid w:val="00D8653B"/>
    <w:rsid w:val="00D86AEE"/>
    <w:rsid w:val="00D87406"/>
    <w:rsid w:val="00D903B5"/>
    <w:rsid w:val="00D90878"/>
    <w:rsid w:val="00D91264"/>
    <w:rsid w:val="00D92191"/>
    <w:rsid w:val="00D922E3"/>
    <w:rsid w:val="00D9242E"/>
    <w:rsid w:val="00D9243D"/>
    <w:rsid w:val="00D92822"/>
    <w:rsid w:val="00D93D44"/>
    <w:rsid w:val="00D93DD0"/>
    <w:rsid w:val="00D942B3"/>
    <w:rsid w:val="00D94543"/>
    <w:rsid w:val="00D9613A"/>
    <w:rsid w:val="00D9616A"/>
    <w:rsid w:val="00D962B1"/>
    <w:rsid w:val="00D96417"/>
    <w:rsid w:val="00D966EB"/>
    <w:rsid w:val="00D967CA"/>
    <w:rsid w:val="00DA0D61"/>
    <w:rsid w:val="00DA1C33"/>
    <w:rsid w:val="00DA2CBA"/>
    <w:rsid w:val="00DA32A9"/>
    <w:rsid w:val="00DA3843"/>
    <w:rsid w:val="00DA53E3"/>
    <w:rsid w:val="00DA64A6"/>
    <w:rsid w:val="00DA6AC2"/>
    <w:rsid w:val="00DA6B3B"/>
    <w:rsid w:val="00DB064D"/>
    <w:rsid w:val="00DB0C9C"/>
    <w:rsid w:val="00DB0D5C"/>
    <w:rsid w:val="00DB20A2"/>
    <w:rsid w:val="00DB20ED"/>
    <w:rsid w:val="00DB2A01"/>
    <w:rsid w:val="00DB2FA9"/>
    <w:rsid w:val="00DB3C4A"/>
    <w:rsid w:val="00DB3D31"/>
    <w:rsid w:val="00DB3E86"/>
    <w:rsid w:val="00DB4208"/>
    <w:rsid w:val="00DB427C"/>
    <w:rsid w:val="00DB4450"/>
    <w:rsid w:val="00DB4C95"/>
    <w:rsid w:val="00DB4E78"/>
    <w:rsid w:val="00DB5E77"/>
    <w:rsid w:val="00DB6866"/>
    <w:rsid w:val="00DB68A6"/>
    <w:rsid w:val="00DB7235"/>
    <w:rsid w:val="00DB7D31"/>
    <w:rsid w:val="00DC1472"/>
    <w:rsid w:val="00DC1F3E"/>
    <w:rsid w:val="00DC2C6A"/>
    <w:rsid w:val="00DC2CAD"/>
    <w:rsid w:val="00DC3C1F"/>
    <w:rsid w:val="00DC4163"/>
    <w:rsid w:val="00DC4864"/>
    <w:rsid w:val="00DD0BC1"/>
    <w:rsid w:val="00DD0FF9"/>
    <w:rsid w:val="00DD1381"/>
    <w:rsid w:val="00DD1E79"/>
    <w:rsid w:val="00DD22B4"/>
    <w:rsid w:val="00DD2D3A"/>
    <w:rsid w:val="00DD2E8E"/>
    <w:rsid w:val="00DD4186"/>
    <w:rsid w:val="00DD7857"/>
    <w:rsid w:val="00DD7B6B"/>
    <w:rsid w:val="00DE01EA"/>
    <w:rsid w:val="00DE028E"/>
    <w:rsid w:val="00DE0B0F"/>
    <w:rsid w:val="00DE0B45"/>
    <w:rsid w:val="00DE1548"/>
    <w:rsid w:val="00DE16AD"/>
    <w:rsid w:val="00DE3523"/>
    <w:rsid w:val="00DE37DE"/>
    <w:rsid w:val="00DE37F1"/>
    <w:rsid w:val="00DE3AFA"/>
    <w:rsid w:val="00DE5169"/>
    <w:rsid w:val="00DE617A"/>
    <w:rsid w:val="00DE65DF"/>
    <w:rsid w:val="00DE6AAA"/>
    <w:rsid w:val="00DE7186"/>
    <w:rsid w:val="00DE73CD"/>
    <w:rsid w:val="00DF087B"/>
    <w:rsid w:val="00DF18B7"/>
    <w:rsid w:val="00DF2B61"/>
    <w:rsid w:val="00DF308B"/>
    <w:rsid w:val="00DF41D6"/>
    <w:rsid w:val="00DF5019"/>
    <w:rsid w:val="00DF5125"/>
    <w:rsid w:val="00DF5182"/>
    <w:rsid w:val="00DF5795"/>
    <w:rsid w:val="00DF6B8A"/>
    <w:rsid w:val="00E00371"/>
    <w:rsid w:val="00E00DDF"/>
    <w:rsid w:val="00E00EA4"/>
    <w:rsid w:val="00E01F72"/>
    <w:rsid w:val="00E0245A"/>
    <w:rsid w:val="00E02C4A"/>
    <w:rsid w:val="00E02D01"/>
    <w:rsid w:val="00E02F01"/>
    <w:rsid w:val="00E02F8D"/>
    <w:rsid w:val="00E0377C"/>
    <w:rsid w:val="00E03B08"/>
    <w:rsid w:val="00E04398"/>
    <w:rsid w:val="00E044C7"/>
    <w:rsid w:val="00E04A1F"/>
    <w:rsid w:val="00E04D97"/>
    <w:rsid w:val="00E0526B"/>
    <w:rsid w:val="00E0588A"/>
    <w:rsid w:val="00E05BAD"/>
    <w:rsid w:val="00E0645B"/>
    <w:rsid w:val="00E06AF8"/>
    <w:rsid w:val="00E0708A"/>
    <w:rsid w:val="00E070F3"/>
    <w:rsid w:val="00E07817"/>
    <w:rsid w:val="00E102E3"/>
    <w:rsid w:val="00E10503"/>
    <w:rsid w:val="00E1085F"/>
    <w:rsid w:val="00E109A3"/>
    <w:rsid w:val="00E11501"/>
    <w:rsid w:val="00E11936"/>
    <w:rsid w:val="00E124E9"/>
    <w:rsid w:val="00E12AC1"/>
    <w:rsid w:val="00E12B9B"/>
    <w:rsid w:val="00E12E18"/>
    <w:rsid w:val="00E13015"/>
    <w:rsid w:val="00E13E72"/>
    <w:rsid w:val="00E14670"/>
    <w:rsid w:val="00E14892"/>
    <w:rsid w:val="00E149A4"/>
    <w:rsid w:val="00E14B01"/>
    <w:rsid w:val="00E14EC6"/>
    <w:rsid w:val="00E1532C"/>
    <w:rsid w:val="00E17252"/>
    <w:rsid w:val="00E17ECA"/>
    <w:rsid w:val="00E21B0B"/>
    <w:rsid w:val="00E22B61"/>
    <w:rsid w:val="00E22BC6"/>
    <w:rsid w:val="00E22D1C"/>
    <w:rsid w:val="00E22F96"/>
    <w:rsid w:val="00E242F6"/>
    <w:rsid w:val="00E247F6"/>
    <w:rsid w:val="00E2504A"/>
    <w:rsid w:val="00E259CC"/>
    <w:rsid w:val="00E276A9"/>
    <w:rsid w:val="00E279B0"/>
    <w:rsid w:val="00E27F75"/>
    <w:rsid w:val="00E3058C"/>
    <w:rsid w:val="00E30E87"/>
    <w:rsid w:val="00E317EF"/>
    <w:rsid w:val="00E3192B"/>
    <w:rsid w:val="00E31D3F"/>
    <w:rsid w:val="00E32340"/>
    <w:rsid w:val="00E324D0"/>
    <w:rsid w:val="00E326D0"/>
    <w:rsid w:val="00E32B14"/>
    <w:rsid w:val="00E32C82"/>
    <w:rsid w:val="00E32D27"/>
    <w:rsid w:val="00E32D61"/>
    <w:rsid w:val="00E33A77"/>
    <w:rsid w:val="00E3438A"/>
    <w:rsid w:val="00E34E91"/>
    <w:rsid w:val="00E358C1"/>
    <w:rsid w:val="00E35985"/>
    <w:rsid w:val="00E35FDD"/>
    <w:rsid w:val="00E366BD"/>
    <w:rsid w:val="00E401C2"/>
    <w:rsid w:val="00E41652"/>
    <w:rsid w:val="00E4193D"/>
    <w:rsid w:val="00E42276"/>
    <w:rsid w:val="00E42529"/>
    <w:rsid w:val="00E428FF"/>
    <w:rsid w:val="00E42BB1"/>
    <w:rsid w:val="00E42CB1"/>
    <w:rsid w:val="00E4395C"/>
    <w:rsid w:val="00E43C2E"/>
    <w:rsid w:val="00E43CA8"/>
    <w:rsid w:val="00E46056"/>
    <w:rsid w:val="00E509E3"/>
    <w:rsid w:val="00E528D6"/>
    <w:rsid w:val="00E5362D"/>
    <w:rsid w:val="00E549C9"/>
    <w:rsid w:val="00E5596F"/>
    <w:rsid w:val="00E56965"/>
    <w:rsid w:val="00E5696D"/>
    <w:rsid w:val="00E56DA9"/>
    <w:rsid w:val="00E61438"/>
    <w:rsid w:val="00E630DB"/>
    <w:rsid w:val="00E631BC"/>
    <w:rsid w:val="00E642CB"/>
    <w:rsid w:val="00E65161"/>
    <w:rsid w:val="00E659C8"/>
    <w:rsid w:val="00E666B1"/>
    <w:rsid w:val="00E668C2"/>
    <w:rsid w:val="00E66A9B"/>
    <w:rsid w:val="00E66AE5"/>
    <w:rsid w:val="00E66C15"/>
    <w:rsid w:val="00E66F30"/>
    <w:rsid w:val="00E6759E"/>
    <w:rsid w:val="00E67E98"/>
    <w:rsid w:val="00E7193E"/>
    <w:rsid w:val="00E71BB7"/>
    <w:rsid w:val="00E71C48"/>
    <w:rsid w:val="00E7225D"/>
    <w:rsid w:val="00E7250D"/>
    <w:rsid w:val="00E73967"/>
    <w:rsid w:val="00E7411C"/>
    <w:rsid w:val="00E74813"/>
    <w:rsid w:val="00E7590B"/>
    <w:rsid w:val="00E76002"/>
    <w:rsid w:val="00E76D48"/>
    <w:rsid w:val="00E76E6D"/>
    <w:rsid w:val="00E77C80"/>
    <w:rsid w:val="00E77D73"/>
    <w:rsid w:val="00E80D1C"/>
    <w:rsid w:val="00E81850"/>
    <w:rsid w:val="00E81E43"/>
    <w:rsid w:val="00E81F51"/>
    <w:rsid w:val="00E81FD5"/>
    <w:rsid w:val="00E83CEE"/>
    <w:rsid w:val="00E8404C"/>
    <w:rsid w:val="00E841AF"/>
    <w:rsid w:val="00E8474F"/>
    <w:rsid w:val="00E85218"/>
    <w:rsid w:val="00E85604"/>
    <w:rsid w:val="00E85CE5"/>
    <w:rsid w:val="00E865E5"/>
    <w:rsid w:val="00E86F61"/>
    <w:rsid w:val="00E870D2"/>
    <w:rsid w:val="00E87825"/>
    <w:rsid w:val="00E87E2D"/>
    <w:rsid w:val="00E90286"/>
    <w:rsid w:val="00E905DD"/>
    <w:rsid w:val="00E91A23"/>
    <w:rsid w:val="00E92DFA"/>
    <w:rsid w:val="00E93F16"/>
    <w:rsid w:val="00E94746"/>
    <w:rsid w:val="00E94F59"/>
    <w:rsid w:val="00E95D6B"/>
    <w:rsid w:val="00EA0759"/>
    <w:rsid w:val="00EA09F3"/>
    <w:rsid w:val="00EA0D73"/>
    <w:rsid w:val="00EA17D9"/>
    <w:rsid w:val="00EA2404"/>
    <w:rsid w:val="00EA3A40"/>
    <w:rsid w:val="00EA3D7D"/>
    <w:rsid w:val="00EA43DB"/>
    <w:rsid w:val="00EA4501"/>
    <w:rsid w:val="00EA461D"/>
    <w:rsid w:val="00EA48E3"/>
    <w:rsid w:val="00EA51C1"/>
    <w:rsid w:val="00EA5212"/>
    <w:rsid w:val="00EA5323"/>
    <w:rsid w:val="00EA5578"/>
    <w:rsid w:val="00EA647D"/>
    <w:rsid w:val="00EA6E57"/>
    <w:rsid w:val="00EB0012"/>
    <w:rsid w:val="00EB082C"/>
    <w:rsid w:val="00EB08B0"/>
    <w:rsid w:val="00EB172E"/>
    <w:rsid w:val="00EB1D90"/>
    <w:rsid w:val="00EB2F47"/>
    <w:rsid w:val="00EB32A8"/>
    <w:rsid w:val="00EB36D9"/>
    <w:rsid w:val="00EB3BBF"/>
    <w:rsid w:val="00EB452E"/>
    <w:rsid w:val="00EB4FB8"/>
    <w:rsid w:val="00EB56AA"/>
    <w:rsid w:val="00EB6792"/>
    <w:rsid w:val="00EB6C55"/>
    <w:rsid w:val="00EB6FDA"/>
    <w:rsid w:val="00EB763D"/>
    <w:rsid w:val="00EB776F"/>
    <w:rsid w:val="00EB7A13"/>
    <w:rsid w:val="00EB7F52"/>
    <w:rsid w:val="00EC1005"/>
    <w:rsid w:val="00EC1FC2"/>
    <w:rsid w:val="00EC239A"/>
    <w:rsid w:val="00EC3BD2"/>
    <w:rsid w:val="00EC48AC"/>
    <w:rsid w:val="00EC5872"/>
    <w:rsid w:val="00EC63CB"/>
    <w:rsid w:val="00EC677B"/>
    <w:rsid w:val="00EC721A"/>
    <w:rsid w:val="00EC74DB"/>
    <w:rsid w:val="00ED0F5B"/>
    <w:rsid w:val="00ED12E5"/>
    <w:rsid w:val="00ED1BCC"/>
    <w:rsid w:val="00ED2509"/>
    <w:rsid w:val="00ED26C7"/>
    <w:rsid w:val="00ED4843"/>
    <w:rsid w:val="00ED4906"/>
    <w:rsid w:val="00ED4EBF"/>
    <w:rsid w:val="00ED7BEE"/>
    <w:rsid w:val="00ED7D2C"/>
    <w:rsid w:val="00EE015C"/>
    <w:rsid w:val="00EE02D2"/>
    <w:rsid w:val="00EE035D"/>
    <w:rsid w:val="00EE03A3"/>
    <w:rsid w:val="00EE09C3"/>
    <w:rsid w:val="00EE12D7"/>
    <w:rsid w:val="00EE1334"/>
    <w:rsid w:val="00EE19AA"/>
    <w:rsid w:val="00EE1C19"/>
    <w:rsid w:val="00EE218C"/>
    <w:rsid w:val="00EE24BB"/>
    <w:rsid w:val="00EE344A"/>
    <w:rsid w:val="00EE413F"/>
    <w:rsid w:val="00EE48C1"/>
    <w:rsid w:val="00EE4AFC"/>
    <w:rsid w:val="00EE648A"/>
    <w:rsid w:val="00EE72A4"/>
    <w:rsid w:val="00EE7405"/>
    <w:rsid w:val="00EE794A"/>
    <w:rsid w:val="00EF09B6"/>
    <w:rsid w:val="00EF0A0C"/>
    <w:rsid w:val="00EF0B8D"/>
    <w:rsid w:val="00EF1E8A"/>
    <w:rsid w:val="00EF3456"/>
    <w:rsid w:val="00EF393D"/>
    <w:rsid w:val="00EF5149"/>
    <w:rsid w:val="00EF561D"/>
    <w:rsid w:val="00EF61BE"/>
    <w:rsid w:val="00EF6551"/>
    <w:rsid w:val="00F00103"/>
    <w:rsid w:val="00F0188F"/>
    <w:rsid w:val="00F01D19"/>
    <w:rsid w:val="00F023E6"/>
    <w:rsid w:val="00F02A78"/>
    <w:rsid w:val="00F039DE"/>
    <w:rsid w:val="00F047CA"/>
    <w:rsid w:val="00F05011"/>
    <w:rsid w:val="00F059FD"/>
    <w:rsid w:val="00F05A8D"/>
    <w:rsid w:val="00F05B39"/>
    <w:rsid w:val="00F065E6"/>
    <w:rsid w:val="00F07712"/>
    <w:rsid w:val="00F1053B"/>
    <w:rsid w:val="00F1058F"/>
    <w:rsid w:val="00F10795"/>
    <w:rsid w:val="00F10E0F"/>
    <w:rsid w:val="00F11EBA"/>
    <w:rsid w:val="00F12215"/>
    <w:rsid w:val="00F13051"/>
    <w:rsid w:val="00F133A2"/>
    <w:rsid w:val="00F1358C"/>
    <w:rsid w:val="00F164DA"/>
    <w:rsid w:val="00F174A4"/>
    <w:rsid w:val="00F20CBE"/>
    <w:rsid w:val="00F21EE9"/>
    <w:rsid w:val="00F2227A"/>
    <w:rsid w:val="00F228D1"/>
    <w:rsid w:val="00F229C1"/>
    <w:rsid w:val="00F24A4B"/>
    <w:rsid w:val="00F2509E"/>
    <w:rsid w:val="00F25D2E"/>
    <w:rsid w:val="00F27EF0"/>
    <w:rsid w:val="00F3019B"/>
    <w:rsid w:val="00F312D8"/>
    <w:rsid w:val="00F31D9D"/>
    <w:rsid w:val="00F3282A"/>
    <w:rsid w:val="00F34519"/>
    <w:rsid w:val="00F35253"/>
    <w:rsid w:val="00F35651"/>
    <w:rsid w:val="00F3659B"/>
    <w:rsid w:val="00F36705"/>
    <w:rsid w:val="00F368F7"/>
    <w:rsid w:val="00F409FD"/>
    <w:rsid w:val="00F40AC0"/>
    <w:rsid w:val="00F413B4"/>
    <w:rsid w:val="00F41509"/>
    <w:rsid w:val="00F41785"/>
    <w:rsid w:val="00F41C71"/>
    <w:rsid w:val="00F41EDC"/>
    <w:rsid w:val="00F42E3E"/>
    <w:rsid w:val="00F43678"/>
    <w:rsid w:val="00F448C0"/>
    <w:rsid w:val="00F45107"/>
    <w:rsid w:val="00F45413"/>
    <w:rsid w:val="00F45527"/>
    <w:rsid w:val="00F460F6"/>
    <w:rsid w:val="00F472FD"/>
    <w:rsid w:val="00F503FB"/>
    <w:rsid w:val="00F50966"/>
    <w:rsid w:val="00F50EE9"/>
    <w:rsid w:val="00F510EA"/>
    <w:rsid w:val="00F5194A"/>
    <w:rsid w:val="00F51C14"/>
    <w:rsid w:val="00F51FDB"/>
    <w:rsid w:val="00F52412"/>
    <w:rsid w:val="00F5250A"/>
    <w:rsid w:val="00F52D8F"/>
    <w:rsid w:val="00F53956"/>
    <w:rsid w:val="00F547F5"/>
    <w:rsid w:val="00F553EC"/>
    <w:rsid w:val="00F55915"/>
    <w:rsid w:val="00F55D6F"/>
    <w:rsid w:val="00F56ED3"/>
    <w:rsid w:val="00F57676"/>
    <w:rsid w:val="00F5772E"/>
    <w:rsid w:val="00F57761"/>
    <w:rsid w:val="00F579D8"/>
    <w:rsid w:val="00F60205"/>
    <w:rsid w:val="00F607F9"/>
    <w:rsid w:val="00F60B49"/>
    <w:rsid w:val="00F6233A"/>
    <w:rsid w:val="00F62E68"/>
    <w:rsid w:val="00F631F7"/>
    <w:rsid w:val="00F634B4"/>
    <w:rsid w:val="00F638A5"/>
    <w:rsid w:val="00F6459D"/>
    <w:rsid w:val="00F645D5"/>
    <w:rsid w:val="00F65114"/>
    <w:rsid w:val="00F654EB"/>
    <w:rsid w:val="00F66233"/>
    <w:rsid w:val="00F66C41"/>
    <w:rsid w:val="00F6739B"/>
    <w:rsid w:val="00F70C1F"/>
    <w:rsid w:val="00F72B25"/>
    <w:rsid w:val="00F7326D"/>
    <w:rsid w:val="00F73C1C"/>
    <w:rsid w:val="00F7419C"/>
    <w:rsid w:val="00F74C57"/>
    <w:rsid w:val="00F755CE"/>
    <w:rsid w:val="00F76608"/>
    <w:rsid w:val="00F76CC7"/>
    <w:rsid w:val="00F77739"/>
    <w:rsid w:val="00F8013E"/>
    <w:rsid w:val="00F80549"/>
    <w:rsid w:val="00F81B27"/>
    <w:rsid w:val="00F82398"/>
    <w:rsid w:val="00F82760"/>
    <w:rsid w:val="00F82CAF"/>
    <w:rsid w:val="00F8463B"/>
    <w:rsid w:val="00F84A92"/>
    <w:rsid w:val="00F84D0D"/>
    <w:rsid w:val="00F900A6"/>
    <w:rsid w:val="00F925A1"/>
    <w:rsid w:val="00F927F9"/>
    <w:rsid w:val="00F9283C"/>
    <w:rsid w:val="00F932C6"/>
    <w:rsid w:val="00F93F6D"/>
    <w:rsid w:val="00F96DD6"/>
    <w:rsid w:val="00F96FF4"/>
    <w:rsid w:val="00F9714D"/>
    <w:rsid w:val="00F97456"/>
    <w:rsid w:val="00F97871"/>
    <w:rsid w:val="00F97EA4"/>
    <w:rsid w:val="00FA06E0"/>
    <w:rsid w:val="00FA07D9"/>
    <w:rsid w:val="00FA0BBC"/>
    <w:rsid w:val="00FA11B6"/>
    <w:rsid w:val="00FA20DB"/>
    <w:rsid w:val="00FA25A9"/>
    <w:rsid w:val="00FA27D5"/>
    <w:rsid w:val="00FA2B56"/>
    <w:rsid w:val="00FA39F1"/>
    <w:rsid w:val="00FA3FB3"/>
    <w:rsid w:val="00FA42B9"/>
    <w:rsid w:val="00FA44B4"/>
    <w:rsid w:val="00FA4B73"/>
    <w:rsid w:val="00FA4E4D"/>
    <w:rsid w:val="00FA526E"/>
    <w:rsid w:val="00FA5701"/>
    <w:rsid w:val="00FA5AF4"/>
    <w:rsid w:val="00FA5C69"/>
    <w:rsid w:val="00FA639C"/>
    <w:rsid w:val="00FA675C"/>
    <w:rsid w:val="00FA6E21"/>
    <w:rsid w:val="00FA6F55"/>
    <w:rsid w:val="00FA7408"/>
    <w:rsid w:val="00FA75EA"/>
    <w:rsid w:val="00FB008F"/>
    <w:rsid w:val="00FB060E"/>
    <w:rsid w:val="00FB165C"/>
    <w:rsid w:val="00FB1715"/>
    <w:rsid w:val="00FB199B"/>
    <w:rsid w:val="00FB246B"/>
    <w:rsid w:val="00FB2CBD"/>
    <w:rsid w:val="00FB3BA0"/>
    <w:rsid w:val="00FB52F5"/>
    <w:rsid w:val="00FB5624"/>
    <w:rsid w:val="00FB57A4"/>
    <w:rsid w:val="00FB7D69"/>
    <w:rsid w:val="00FB7EB5"/>
    <w:rsid w:val="00FC1082"/>
    <w:rsid w:val="00FC124C"/>
    <w:rsid w:val="00FC133B"/>
    <w:rsid w:val="00FC226A"/>
    <w:rsid w:val="00FC26C3"/>
    <w:rsid w:val="00FC294C"/>
    <w:rsid w:val="00FC2F61"/>
    <w:rsid w:val="00FC31FC"/>
    <w:rsid w:val="00FC3586"/>
    <w:rsid w:val="00FC3936"/>
    <w:rsid w:val="00FC3A33"/>
    <w:rsid w:val="00FC3D9C"/>
    <w:rsid w:val="00FC46A6"/>
    <w:rsid w:val="00FC5196"/>
    <w:rsid w:val="00FC51E6"/>
    <w:rsid w:val="00FC54EA"/>
    <w:rsid w:val="00FD102B"/>
    <w:rsid w:val="00FD1581"/>
    <w:rsid w:val="00FD17D0"/>
    <w:rsid w:val="00FD1C23"/>
    <w:rsid w:val="00FD2FC3"/>
    <w:rsid w:val="00FD36DB"/>
    <w:rsid w:val="00FD3E11"/>
    <w:rsid w:val="00FD4174"/>
    <w:rsid w:val="00FD4F73"/>
    <w:rsid w:val="00FD4F81"/>
    <w:rsid w:val="00FD5830"/>
    <w:rsid w:val="00FD599B"/>
    <w:rsid w:val="00FD6976"/>
    <w:rsid w:val="00FD6FAD"/>
    <w:rsid w:val="00FD78D8"/>
    <w:rsid w:val="00FE04CB"/>
    <w:rsid w:val="00FE1A9F"/>
    <w:rsid w:val="00FE22AD"/>
    <w:rsid w:val="00FE31BB"/>
    <w:rsid w:val="00FE385E"/>
    <w:rsid w:val="00FE3C7B"/>
    <w:rsid w:val="00FE4028"/>
    <w:rsid w:val="00FE46CA"/>
    <w:rsid w:val="00FE46F2"/>
    <w:rsid w:val="00FE4D0C"/>
    <w:rsid w:val="00FE5A6E"/>
    <w:rsid w:val="00FE5B71"/>
    <w:rsid w:val="00FE65CF"/>
    <w:rsid w:val="00FE6744"/>
    <w:rsid w:val="00FE7A9A"/>
    <w:rsid w:val="00FF022B"/>
    <w:rsid w:val="00FF0A2F"/>
    <w:rsid w:val="00FF0B84"/>
    <w:rsid w:val="00FF1CD8"/>
    <w:rsid w:val="00FF3056"/>
    <w:rsid w:val="00FF326E"/>
    <w:rsid w:val="00FF3700"/>
    <w:rsid w:val="00FF3C46"/>
    <w:rsid w:val="00FF4143"/>
    <w:rsid w:val="00FF4A4E"/>
    <w:rsid w:val="00FF5AB7"/>
    <w:rsid w:val="00FF5E38"/>
    <w:rsid w:val="00FF6394"/>
    <w:rsid w:val="00FF6B31"/>
    <w:rsid w:val="00FF708C"/>
    <w:rsid w:val="00FF7603"/>
    <w:rsid w:val="00FF7E11"/>
    <w:rsid w:val="00FF7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FDB6D"/>
  <w15:chartTrackingRefBased/>
  <w15:docId w15:val="{85E4B0CD-1563-412E-9D52-CC37A0EE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71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40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4F00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558"/>
  </w:style>
  <w:style w:type="paragraph" w:styleId="Footer">
    <w:name w:val="footer"/>
    <w:basedOn w:val="Normal"/>
    <w:link w:val="FooterChar"/>
    <w:uiPriority w:val="99"/>
    <w:unhideWhenUsed/>
    <w:rsid w:val="005A1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558"/>
  </w:style>
  <w:style w:type="paragraph" w:styleId="ListParagraph">
    <w:name w:val="List Paragraph"/>
    <w:basedOn w:val="Normal"/>
    <w:uiPriority w:val="34"/>
    <w:qFormat/>
    <w:rsid w:val="00F13051"/>
    <w:pPr>
      <w:ind w:left="720"/>
      <w:contextualSpacing/>
    </w:pPr>
  </w:style>
  <w:style w:type="paragraph" w:styleId="FootnoteText">
    <w:name w:val="footnote text"/>
    <w:aliases w:val="fn,footnote text,Footnotes,Footnote ak,Footnote Text Char1,Footnote Text Char Char,fn Char Char,footnote text Char Char,Footnotes Char Char,Footnote ak Char Char,fn Char1,footnote text Char1,Footnotes Char1,Footnote ak Char1,ft,fn cafc,f"/>
    <w:basedOn w:val="Normal"/>
    <w:link w:val="FootnoteTextChar"/>
    <w:uiPriority w:val="99"/>
    <w:unhideWhenUsed/>
    <w:qFormat/>
    <w:rsid w:val="0069534F"/>
    <w:pPr>
      <w:spacing w:after="0" w:line="240" w:lineRule="auto"/>
    </w:pPr>
    <w:rPr>
      <w:sz w:val="20"/>
      <w:szCs w:val="20"/>
    </w:rPr>
  </w:style>
  <w:style w:type="character" w:customStyle="1" w:styleId="FootnoteTextChar">
    <w:name w:val="Footnote Text Char"/>
    <w:aliases w:val="fn Char,footnote text Char,Footnotes Char,Footnote ak Char,Footnote Text Char1 Char,Footnote Text Char Char Char,fn Char Char Char,footnote text Char Char Char,Footnotes Char Char Char,Footnote ak Char Char Char,fn Char1 Char,ft Char"/>
    <w:basedOn w:val="DefaultParagraphFont"/>
    <w:link w:val="FootnoteText"/>
    <w:uiPriority w:val="99"/>
    <w:rsid w:val="0069534F"/>
    <w:rPr>
      <w:sz w:val="20"/>
      <w:szCs w:val="20"/>
    </w:rPr>
  </w:style>
  <w:style w:type="character" w:styleId="FootnoteReference">
    <w:name w:val="footnote reference"/>
    <w:aliases w:val="Ref,de nota al pie,註腳內容,de nota al pie + (Asian) MS Mincho,11 pt,????,Footnote Reference1,Ref1,de nota al pie1,-E Fußnotenzeichen,註?腳Ò®é»,11 p,註?腳內—e,16 Point,Superscript 6 Point,-E Fuﬂnotenzeichen,註?腳內Ñe,-E Fu§notenzeichen,註??腳內—e"/>
    <w:basedOn w:val="DefaultParagraphFont"/>
    <w:uiPriority w:val="99"/>
    <w:unhideWhenUsed/>
    <w:rsid w:val="0069534F"/>
    <w:rPr>
      <w:vertAlign w:val="superscript"/>
    </w:rPr>
  </w:style>
  <w:style w:type="paragraph" w:styleId="BalloonText">
    <w:name w:val="Balloon Text"/>
    <w:basedOn w:val="Normal"/>
    <w:link w:val="BalloonTextChar"/>
    <w:uiPriority w:val="99"/>
    <w:semiHidden/>
    <w:unhideWhenUsed/>
    <w:rsid w:val="00887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496"/>
    <w:rPr>
      <w:rFonts w:ascii="Segoe UI" w:hAnsi="Segoe UI" w:cs="Segoe UI"/>
      <w:sz w:val="18"/>
      <w:szCs w:val="18"/>
    </w:rPr>
  </w:style>
  <w:style w:type="paragraph" w:customStyle="1" w:styleId="Default">
    <w:name w:val="Default"/>
    <w:rsid w:val="005A4D1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510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51037"/>
    <w:rPr>
      <w:color w:val="0000FF"/>
      <w:u w:val="single"/>
    </w:rPr>
  </w:style>
  <w:style w:type="paragraph" w:customStyle="1" w:styleId="text-justify">
    <w:name w:val="text-justify"/>
    <w:basedOn w:val="Normal"/>
    <w:rsid w:val="00A931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
    <w:name w:val="author"/>
    <w:basedOn w:val="DefaultParagraphFont"/>
    <w:rsid w:val="001D40EF"/>
  </w:style>
  <w:style w:type="character" w:customStyle="1" w:styleId="Heading2Char">
    <w:name w:val="Heading 2 Char"/>
    <w:basedOn w:val="DefaultParagraphFont"/>
    <w:link w:val="Heading2"/>
    <w:uiPriority w:val="9"/>
    <w:rsid w:val="001D40EF"/>
    <w:rPr>
      <w:rFonts w:ascii="Times New Roman" w:eastAsia="Times New Roman" w:hAnsi="Times New Roman" w:cs="Times New Roman"/>
      <w:b/>
      <w:bCs/>
      <w:sz w:val="36"/>
      <w:szCs w:val="36"/>
      <w:lang w:eastAsia="en-AU"/>
    </w:rPr>
  </w:style>
  <w:style w:type="paragraph" w:styleId="NoSpacing">
    <w:name w:val="No Spacing"/>
    <w:uiPriority w:val="1"/>
    <w:qFormat/>
    <w:rsid w:val="001D40EF"/>
    <w:pPr>
      <w:spacing w:after="0" w:line="240" w:lineRule="auto"/>
    </w:pPr>
  </w:style>
  <w:style w:type="character" w:customStyle="1" w:styleId="UnresolvedMention">
    <w:name w:val="Unresolved Mention"/>
    <w:basedOn w:val="DefaultParagraphFont"/>
    <w:uiPriority w:val="99"/>
    <w:semiHidden/>
    <w:unhideWhenUsed/>
    <w:rsid w:val="00EB6792"/>
    <w:rPr>
      <w:color w:val="605E5C"/>
      <w:shd w:val="clear" w:color="auto" w:fill="E1DFDD"/>
    </w:rPr>
  </w:style>
  <w:style w:type="character" w:customStyle="1" w:styleId="Heading3Char">
    <w:name w:val="Heading 3 Char"/>
    <w:basedOn w:val="DefaultParagraphFont"/>
    <w:link w:val="Heading3"/>
    <w:uiPriority w:val="9"/>
    <w:rsid w:val="004F00C1"/>
    <w:rPr>
      <w:rFonts w:asciiTheme="majorHAnsi" w:eastAsiaTheme="majorEastAsia" w:hAnsiTheme="majorHAnsi" w:cstheme="majorBidi"/>
      <w:color w:val="1F3763" w:themeColor="accent1" w:themeShade="7F"/>
      <w:sz w:val="24"/>
      <w:szCs w:val="24"/>
    </w:rPr>
  </w:style>
  <w:style w:type="character" w:customStyle="1" w:styleId="media-delimiter">
    <w:name w:val="media-delimiter"/>
    <w:basedOn w:val="DefaultParagraphFont"/>
    <w:rsid w:val="004F00C1"/>
  </w:style>
  <w:style w:type="paragraph" w:customStyle="1" w:styleId="Pa1">
    <w:name w:val="Pa1"/>
    <w:basedOn w:val="Default"/>
    <w:next w:val="Default"/>
    <w:uiPriority w:val="99"/>
    <w:rsid w:val="00750D77"/>
    <w:pPr>
      <w:spacing w:line="241" w:lineRule="atLeast"/>
    </w:pPr>
    <w:rPr>
      <w:color w:val="auto"/>
    </w:rPr>
  </w:style>
  <w:style w:type="character" w:customStyle="1" w:styleId="A1">
    <w:name w:val="A1"/>
    <w:uiPriority w:val="99"/>
    <w:rsid w:val="00750D77"/>
    <w:rPr>
      <w:b/>
      <w:bCs/>
      <w:color w:val="000000"/>
      <w:sz w:val="62"/>
      <w:szCs w:val="62"/>
    </w:rPr>
  </w:style>
  <w:style w:type="character" w:styleId="FollowedHyperlink">
    <w:name w:val="FollowedHyperlink"/>
    <w:basedOn w:val="DefaultParagraphFont"/>
    <w:uiPriority w:val="99"/>
    <w:semiHidden/>
    <w:unhideWhenUsed/>
    <w:rsid w:val="002648EF"/>
    <w:rPr>
      <w:color w:val="954F72" w:themeColor="followedHyperlink"/>
      <w:u w:val="single"/>
    </w:rPr>
  </w:style>
  <w:style w:type="paragraph" w:customStyle="1" w:styleId="Pa5">
    <w:name w:val="Pa5"/>
    <w:basedOn w:val="Default"/>
    <w:next w:val="Default"/>
    <w:uiPriority w:val="99"/>
    <w:rsid w:val="00A90224"/>
    <w:pPr>
      <w:spacing w:line="221" w:lineRule="atLeast"/>
    </w:pPr>
    <w:rPr>
      <w:rFonts w:ascii="Plantin MT Pro" w:hAnsi="Plantin MT Pro" w:cstheme="minorBidi"/>
      <w:color w:val="auto"/>
    </w:rPr>
  </w:style>
  <w:style w:type="character" w:customStyle="1" w:styleId="A8">
    <w:name w:val="A8"/>
    <w:uiPriority w:val="99"/>
    <w:rsid w:val="00A90224"/>
    <w:rPr>
      <w:rFonts w:cs="Plantin MT Pro"/>
      <w:color w:val="000000"/>
      <w:sz w:val="12"/>
      <w:szCs w:val="12"/>
    </w:rPr>
  </w:style>
  <w:style w:type="character" w:customStyle="1" w:styleId="A9">
    <w:name w:val="A9"/>
    <w:uiPriority w:val="99"/>
    <w:rsid w:val="00A90224"/>
    <w:rPr>
      <w:rFonts w:cs="Plantin MT Pro"/>
      <w:color w:val="000000"/>
      <w:sz w:val="9"/>
      <w:szCs w:val="9"/>
    </w:rPr>
  </w:style>
  <w:style w:type="character" w:customStyle="1" w:styleId="A10">
    <w:name w:val="A10"/>
    <w:uiPriority w:val="99"/>
    <w:rsid w:val="00A90224"/>
    <w:rPr>
      <w:rFonts w:cs="Plantin MT Pro"/>
      <w:color w:val="000000"/>
      <w:sz w:val="16"/>
      <w:szCs w:val="16"/>
      <w:u w:val="single"/>
    </w:rPr>
  </w:style>
  <w:style w:type="paragraph" w:customStyle="1" w:styleId="Pa13">
    <w:name w:val="Pa13"/>
    <w:basedOn w:val="Default"/>
    <w:next w:val="Default"/>
    <w:uiPriority w:val="99"/>
    <w:rsid w:val="00B77C0D"/>
    <w:pPr>
      <w:spacing w:line="241" w:lineRule="atLeast"/>
    </w:pPr>
    <w:rPr>
      <w:rFonts w:ascii="Campton SemiBold" w:hAnsi="Campton SemiBold" w:cstheme="minorBidi"/>
      <w:color w:val="auto"/>
    </w:rPr>
  </w:style>
  <w:style w:type="character" w:styleId="Strong">
    <w:name w:val="Strong"/>
    <w:basedOn w:val="DefaultParagraphFont"/>
    <w:uiPriority w:val="22"/>
    <w:qFormat/>
    <w:rsid w:val="00755A2D"/>
    <w:rPr>
      <w:b/>
      <w:bCs/>
    </w:rPr>
  </w:style>
  <w:style w:type="character" w:customStyle="1" w:styleId="Heading1Char">
    <w:name w:val="Heading 1 Char"/>
    <w:basedOn w:val="DefaultParagraphFont"/>
    <w:link w:val="Heading1"/>
    <w:uiPriority w:val="9"/>
    <w:rsid w:val="0036714A"/>
    <w:rPr>
      <w:rFonts w:asciiTheme="majorHAnsi" w:eastAsiaTheme="majorEastAsia" w:hAnsiTheme="majorHAnsi" w:cstheme="majorBidi"/>
      <w:color w:val="2F5496" w:themeColor="accent1" w:themeShade="BF"/>
      <w:sz w:val="32"/>
      <w:szCs w:val="32"/>
    </w:rPr>
  </w:style>
  <w:style w:type="character" w:customStyle="1" w:styleId="tdb-author-by">
    <w:name w:val="tdb-author-by"/>
    <w:basedOn w:val="DefaultParagraphFont"/>
    <w:rsid w:val="00210EF7"/>
  </w:style>
  <w:style w:type="paragraph" w:customStyle="1" w:styleId="nova-e-listitem">
    <w:name w:val="nova-e-list__item"/>
    <w:basedOn w:val="Normal"/>
    <w:rsid w:val="00261F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text">
    <w:name w:val="title-text"/>
    <w:basedOn w:val="DefaultParagraphFont"/>
    <w:rsid w:val="006F77D8"/>
  </w:style>
  <w:style w:type="character" w:styleId="CommentReference">
    <w:name w:val="annotation reference"/>
    <w:basedOn w:val="DefaultParagraphFont"/>
    <w:uiPriority w:val="99"/>
    <w:semiHidden/>
    <w:unhideWhenUsed/>
    <w:rsid w:val="00645287"/>
    <w:rPr>
      <w:sz w:val="16"/>
      <w:szCs w:val="16"/>
    </w:rPr>
  </w:style>
  <w:style w:type="paragraph" w:styleId="CommentText">
    <w:name w:val="annotation text"/>
    <w:basedOn w:val="Normal"/>
    <w:link w:val="CommentTextChar"/>
    <w:uiPriority w:val="99"/>
    <w:semiHidden/>
    <w:unhideWhenUsed/>
    <w:rsid w:val="00645287"/>
    <w:pPr>
      <w:spacing w:line="240" w:lineRule="auto"/>
    </w:pPr>
    <w:rPr>
      <w:sz w:val="20"/>
      <w:szCs w:val="20"/>
    </w:rPr>
  </w:style>
  <w:style w:type="character" w:customStyle="1" w:styleId="CommentTextChar">
    <w:name w:val="Comment Text Char"/>
    <w:basedOn w:val="DefaultParagraphFont"/>
    <w:link w:val="CommentText"/>
    <w:uiPriority w:val="99"/>
    <w:semiHidden/>
    <w:rsid w:val="00645287"/>
    <w:rPr>
      <w:sz w:val="20"/>
      <w:szCs w:val="20"/>
    </w:rPr>
  </w:style>
  <w:style w:type="paragraph" w:styleId="CommentSubject">
    <w:name w:val="annotation subject"/>
    <w:basedOn w:val="CommentText"/>
    <w:next w:val="CommentText"/>
    <w:link w:val="CommentSubjectChar"/>
    <w:uiPriority w:val="99"/>
    <w:semiHidden/>
    <w:unhideWhenUsed/>
    <w:rsid w:val="00645287"/>
    <w:rPr>
      <w:b/>
      <w:bCs/>
    </w:rPr>
  </w:style>
  <w:style w:type="character" w:customStyle="1" w:styleId="CommentSubjectChar">
    <w:name w:val="Comment Subject Char"/>
    <w:basedOn w:val="CommentTextChar"/>
    <w:link w:val="CommentSubject"/>
    <w:uiPriority w:val="99"/>
    <w:semiHidden/>
    <w:rsid w:val="00645287"/>
    <w:rPr>
      <w:b/>
      <w:bCs/>
      <w:sz w:val="20"/>
      <w:szCs w:val="20"/>
    </w:rPr>
  </w:style>
  <w:style w:type="character" w:customStyle="1" w:styleId="bi">
    <w:name w:val="bi"/>
    <w:basedOn w:val="DefaultParagraphFont"/>
    <w:rsid w:val="004E2947"/>
  </w:style>
  <w:style w:type="character" w:styleId="Emphasis">
    <w:name w:val="Emphasis"/>
    <w:basedOn w:val="DefaultParagraphFont"/>
    <w:uiPriority w:val="20"/>
    <w:qFormat/>
    <w:rsid w:val="003943A6"/>
    <w:rPr>
      <w:i/>
      <w:iCs/>
    </w:rPr>
  </w:style>
  <w:style w:type="character" w:customStyle="1" w:styleId="tooltipsall">
    <w:name w:val="tooltipsall"/>
    <w:basedOn w:val="DefaultParagraphFont"/>
    <w:rsid w:val="003943A6"/>
  </w:style>
  <w:style w:type="character" w:customStyle="1" w:styleId="position-relative">
    <w:name w:val="position-relative"/>
    <w:basedOn w:val="DefaultParagraphFont"/>
    <w:rsid w:val="00601136"/>
  </w:style>
  <w:style w:type="character" w:customStyle="1" w:styleId="source-link">
    <w:name w:val="source-link"/>
    <w:basedOn w:val="DefaultParagraphFont"/>
    <w:rsid w:val="00040C72"/>
  </w:style>
  <w:style w:type="character" w:customStyle="1" w:styleId="creator-type-label">
    <w:name w:val="creator-type-label"/>
    <w:basedOn w:val="DefaultParagraphFont"/>
    <w:rsid w:val="00040C72"/>
  </w:style>
  <w:style w:type="character" w:customStyle="1" w:styleId="xmsofootnotereference">
    <w:name w:val="x_msofootnotereference"/>
    <w:basedOn w:val="DefaultParagraphFont"/>
    <w:rsid w:val="00CB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5630">
      <w:bodyDiv w:val="1"/>
      <w:marLeft w:val="0"/>
      <w:marRight w:val="0"/>
      <w:marTop w:val="0"/>
      <w:marBottom w:val="0"/>
      <w:divBdr>
        <w:top w:val="none" w:sz="0" w:space="0" w:color="auto"/>
        <w:left w:val="none" w:sz="0" w:space="0" w:color="auto"/>
        <w:bottom w:val="none" w:sz="0" w:space="0" w:color="auto"/>
        <w:right w:val="none" w:sz="0" w:space="0" w:color="auto"/>
      </w:divBdr>
    </w:div>
    <w:div w:id="189150845">
      <w:bodyDiv w:val="1"/>
      <w:marLeft w:val="0"/>
      <w:marRight w:val="0"/>
      <w:marTop w:val="0"/>
      <w:marBottom w:val="0"/>
      <w:divBdr>
        <w:top w:val="none" w:sz="0" w:space="0" w:color="auto"/>
        <w:left w:val="none" w:sz="0" w:space="0" w:color="auto"/>
        <w:bottom w:val="none" w:sz="0" w:space="0" w:color="auto"/>
        <w:right w:val="none" w:sz="0" w:space="0" w:color="auto"/>
      </w:divBdr>
    </w:div>
    <w:div w:id="241725307">
      <w:bodyDiv w:val="1"/>
      <w:marLeft w:val="0"/>
      <w:marRight w:val="0"/>
      <w:marTop w:val="0"/>
      <w:marBottom w:val="0"/>
      <w:divBdr>
        <w:top w:val="none" w:sz="0" w:space="0" w:color="auto"/>
        <w:left w:val="none" w:sz="0" w:space="0" w:color="auto"/>
        <w:bottom w:val="none" w:sz="0" w:space="0" w:color="auto"/>
        <w:right w:val="none" w:sz="0" w:space="0" w:color="auto"/>
      </w:divBdr>
    </w:div>
    <w:div w:id="444814553">
      <w:bodyDiv w:val="1"/>
      <w:marLeft w:val="0"/>
      <w:marRight w:val="0"/>
      <w:marTop w:val="0"/>
      <w:marBottom w:val="0"/>
      <w:divBdr>
        <w:top w:val="none" w:sz="0" w:space="0" w:color="auto"/>
        <w:left w:val="none" w:sz="0" w:space="0" w:color="auto"/>
        <w:bottom w:val="none" w:sz="0" w:space="0" w:color="auto"/>
        <w:right w:val="none" w:sz="0" w:space="0" w:color="auto"/>
      </w:divBdr>
    </w:div>
    <w:div w:id="453015221">
      <w:bodyDiv w:val="1"/>
      <w:marLeft w:val="0"/>
      <w:marRight w:val="0"/>
      <w:marTop w:val="0"/>
      <w:marBottom w:val="0"/>
      <w:divBdr>
        <w:top w:val="none" w:sz="0" w:space="0" w:color="auto"/>
        <w:left w:val="none" w:sz="0" w:space="0" w:color="auto"/>
        <w:bottom w:val="none" w:sz="0" w:space="0" w:color="auto"/>
        <w:right w:val="none" w:sz="0" w:space="0" w:color="auto"/>
      </w:divBdr>
      <w:divsChild>
        <w:div w:id="412095765">
          <w:marLeft w:val="0"/>
          <w:marRight w:val="0"/>
          <w:marTop w:val="0"/>
          <w:marBottom w:val="0"/>
          <w:divBdr>
            <w:top w:val="none" w:sz="0" w:space="0" w:color="auto"/>
            <w:left w:val="none" w:sz="0" w:space="0" w:color="auto"/>
            <w:bottom w:val="none" w:sz="0" w:space="0" w:color="auto"/>
            <w:right w:val="none" w:sz="0" w:space="0" w:color="auto"/>
          </w:divBdr>
        </w:div>
        <w:div w:id="1736859562">
          <w:marLeft w:val="0"/>
          <w:marRight w:val="0"/>
          <w:marTop w:val="0"/>
          <w:marBottom w:val="0"/>
          <w:divBdr>
            <w:top w:val="none" w:sz="0" w:space="0" w:color="auto"/>
            <w:left w:val="none" w:sz="0" w:space="0" w:color="auto"/>
            <w:bottom w:val="none" w:sz="0" w:space="0" w:color="auto"/>
            <w:right w:val="none" w:sz="0" w:space="0" w:color="auto"/>
          </w:divBdr>
          <w:divsChild>
            <w:div w:id="1899396161">
              <w:marLeft w:val="0"/>
              <w:marRight w:val="0"/>
              <w:marTop w:val="0"/>
              <w:marBottom w:val="0"/>
              <w:divBdr>
                <w:top w:val="none" w:sz="0" w:space="0" w:color="auto"/>
                <w:left w:val="none" w:sz="0" w:space="0" w:color="auto"/>
                <w:bottom w:val="none" w:sz="0" w:space="0" w:color="auto"/>
                <w:right w:val="none" w:sz="0" w:space="0" w:color="auto"/>
              </w:divBdr>
              <w:divsChild>
                <w:div w:id="833228087">
                  <w:marLeft w:val="0"/>
                  <w:marRight w:val="0"/>
                  <w:marTop w:val="0"/>
                  <w:marBottom w:val="0"/>
                  <w:divBdr>
                    <w:top w:val="none" w:sz="0" w:space="0" w:color="auto"/>
                    <w:left w:val="none" w:sz="0" w:space="0" w:color="auto"/>
                    <w:bottom w:val="none" w:sz="0" w:space="0" w:color="auto"/>
                    <w:right w:val="none" w:sz="0" w:space="0" w:color="auto"/>
                  </w:divBdr>
                  <w:divsChild>
                    <w:div w:id="1034232522">
                      <w:marLeft w:val="0"/>
                      <w:marRight w:val="0"/>
                      <w:marTop w:val="0"/>
                      <w:marBottom w:val="0"/>
                      <w:divBdr>
                        <w:top w:val="none" w:sz="0" w:space="0" w:color="auto"/>
                        <w:left w:val="none" w:sz="0" w:space="0" w:color="auto"/>
                        <w:bottom w:val="none" w:sz="0" w:space="0" w:color="auto"/>
                        <w:right w:val="none" w:sz="0" w:space="0" w:color="auto"/>
                      </w:divBdr>
                      <w:divsChild>
                        <w:div w:id="1356690698">
                          <w:marLeft w:val="0"/>
                          <w:marRight w:val="0"/>
                          <w:marTop w:val="0"/>
                          <w:marBottom w:val="0"/>
                          <w:divBdr>
                            <w:top w:val="none" w:sz="0" w:space="0" w:color="auto"/>
                            <w:left w:val="none" w:sz="0" w:space="0" w:color="auto"/>
                            <w:bottom w:val="none" w:sz="0" w:space="0" w:color="auto"/>
                            <w:right w:val="none" w:sz="0" w:space="0" w:color="auto"/>
                          </w:divBdr>
                          <w:divsChild>
                            <w:div w:id="982975463">
                              <w:marLeft w:val="0"/>
                              <w:marRight w:val="0"/>
                              <w:marTop w:val="0"/>
                              <w:marBottom w:val="0"/>
                              <w:divBdr>
                                <w:top w:val="none" w:sz="0" w:space="0" w:color="auto"/>
                                <w:left w:val="none" w:sz="0" w:space="0" w:color="auto"/>
                                <w:bottom w:val="none" w:sz="0" w:space="0" w:color="auto"/>
                                <w:right w:val="none" w:sz="0" w:space="0" w:color="auto"/>
                              </w:divBdr>
                              <w:divsChild>
                                <w:div w:id="16711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57984">
                          <w:marLeft w:val="0"/>
                          <w:marRight w:val="0"/>
                          <w:marTop w:val="0"/>
                          <w:marBottom w:val="0"/>
                          <w:divBdr>
                            <w:top w:val="none" w:sz="0" w:space="0" w:color="auto"/>
                            <w:left w:val="none" w:sz="0" w:space="0" w:color="auto"/>
                            <w:bottom w:val="none" w:sz="0" w:space="0" w:color="auto"/>
                            <w:right w:val="none" w:sz="0" w:space="0" w:color="auto"/>
                          </w:divBdr>
                          <w:divsChild>
                            <w:div w:id="476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635505">
      <w:bodyDiv w:val="1"/>
      <w:marLeft w:val="0"/>
      <w:marRight w:val="0"/>
      <w:marTop w:val="0"/>
      <w:marBottom w:val="0"/>
      <w:divBdr>
        <w:top w:val="none" w:sz="0" w:space="0" w:color="auto"/>
        <w:left w:val="none" w:sz="0" w:space="0" w:color="auto"/>
        <w:bottom w:val="none" w:sz="0" w:space="0" w:color="auto"/>
        <w:right w:val="none" w:sz="0" w:space="0" w:color="auto"/>
      </w:divBdr>
    </w:div>
    <w:div w:id="586694034">
      <w:bodyDiv w:val="1"/>
      <w:marLeft w:val="0"/>
      <w:marRight w:val="0"/>
      <w:marTop w:val="0"/>
      <w:marBottom w:val="0"/>
      <w:divBdr>
        <w:top w:val="none" w:sz="0" w:space="0" w:color="auto"/>
        <w:left w:val="none" w:sz="0" w:space="0" w:color="auto"/>
        <w:bottom w:val="none" w:sz="0" w:space="0" w:color="auto"/>
        <w:right w:val="none" w:sz="0" w:space="0" w:color="auto"/>
      </w:divBdr>
      <w:divsChild>
        <w:div w:id="1026911240">
          <w:marLeft w:val="0"/>
          <w:marRight w:val="0"/>
          <w:marTop w:val="0"/>
          <w:marBottom w:val="480"/>
          <w:divBdr>
            <w:top w:val="none" w:sz="0" w:space="0" w:color="auto"/>
            <w:left w:val="none" w:sz="0" w:space="0" w:color="auto"/>
            <w:bottom w:val="none" w:sz="0" w:space="0" w:color="auto"/>
            <w:right w:val="none" w:sz="0" w:space="0" w:color="auto"/>
          </w:divBdr>
        </w:div>
      </w:divsChild>
    </w:div>
    <w:div w:id="662317881">
      <w:bodyDiv w:val="1"/>
      <w:marLeft w:val="0"/>
      <w:marRight w:val="0"/>
      <w:marTop w:val="0"/>
      <w:marBottom w:val="0"/>
      <w:divBdr>
        <w:top w:val="none" w:sz="0" w:space="0" w:color="auto"/>
        <w:left w:val="none" w:sz="0" w:space="0" w:color="auto"/>
        <w:bottom w:val="none" w:sz="0" w:space="0" w:color="auto"/>
        <w:right w:val="none" w:sz="0" w:space="0" w:color="auto"/>
      </w:divBdr>
    </w:div>
    <w:div w:id="687096273">
      <w:bodyDiv w:val="1"/>
      <w:marLeft w:val="0"/>
      <w:marRight w:val="0"/>
      <w:marTop w:val="0"/>
      <w:marBottom w:val="0"/>
      <w:divBdr>
        <w:top w:val="none" w:sz="0" w:space="0" w:color="auto"/>
        <w:left w:val="none" w:sz="0" w:space="0" w:color="auto"/>
        <w:bottom w:val="none" w:sz="0" w:space="0" w:color="auto"/>
        <w:right w:val="none" w:sz="0" w:space="0" w:color="auto"/>
      </w:divBdr>
    </w:div>
    <w:div w:id="694037027">
      <w:bodyDiv w:val="1"/>
      <w:marLeft w:val="0"/>
      <w:marRight w:val="0"/>
      <w:marTop w:val="0"/>
      <w:marBottom w:val="0"/>
      <w:divBdr>
        <w:top w:val="none" w:sz="0" w:space="0" w:color="auto"/>
        <w:left w:val="none" w:sz="0" w:space="0" w:color="auto"/>
        <w:bottom w:val="none" w:sz="0" w:space="0" w:color="auto"/>
        <w:right w:val="none" w:sz="0" w:space="0" w:color="auto"/>
      </w:divBdr>
    </w:div>
    <w:div w:id="705830377">
      <w:bodyDiv w:val="1"/>
      <w:marLeft w:val="0"/>
      <w:marRight w:val="0"/>
      <w:marTop w:val="0"/>
      <w:marBottom w:val="0"/>
      <w:divBdr>
        <w:top w:val="none" w:sz="0" w:space="0" w:color="auto"/>
        <w:left w:val="none" w:sz="0" w:space="0" w:color="auto"/>
        <w:bottom w:val="none" w:sz="0" w:space="0" w:color="auto"/>
        <w:right w:val="none" w:sz="0" w:space="0" w:color="auto"/>
      </w:divBdr>
    </w:div>
    <w:div w:id="734478203">
      <w:bodyDiv w:val="1"/>
      <w:marLeft w:val="0"/>
      <w:marRight w:val="0"/>
      <w:marTop w:val="0"/>
      <w:marBottom w:val="0"/>
      <w:divBdr>
        <w:top w:val="none" w:sz="0" w:space="0" w:color="auto"/>
        <w:left w:val="none" w:sz="0" w:space="0" w:color="auto"/>
        <w:bottom w:val="none" w:sz="0" w:space="0" w:color="auto"/>
        <w:right w:val="none" w:sz="0" w:space="0" w:color="auto"/>
      </w:divBdr>
    </w:div>
    <w:div w:id="861751082">
      <w:bodyDiv w:val="1"/>
      <w:marLeft w:val="0"/>
      <w:marRight w:val="0"/>
      <w:marTop w:val="0"/>
      <w:marBottom w:val="0"/>
      <w:divBdr>
        <w:top w:val="none" w:sz="0" w:space="0" w:color="auto"/>
        <w:left w:val="none" w:sz="0" w:space="0" w:color="auto"/>
        <w:bottom w:val="none" w:sz="0" w:space="0" w:color="auto"/>
        <w:right w:val="none" w:sz="0" w:space="0" w:color="auto"/>
      </w:divBdr>
    </w:div>
    <w:div w:id="1015690610">
      <w:bodyDiv w:val="1"/>
      <w:marLeft w:val="0"/>
      <w:marRight w:val="0"/>
      <w:marTop w:val="0"/>
      <w:marBottom w:val="0"/>
      <w:divBdr>
        <w:top w:val="none" w:sz="0" w:space="0" w:color="auto"/>
        <w:left w:val="none" w:sz="0" w:space="0" w:color="auto"/>
        <w:bottom w:val="none" w:sz="0" w:space="0" w:color="auto"/>
        <w:right w:val="none" w:sz="0" w:space="0" w:color="auto"/>
      </w:divBdr>
    </w:div>
    <w:div w:id="1074746181">
      <w:bodyDiv w:val="1"/>
      <w:marLeft w:val="0"/>
      <w:marRight w:val="0"/>
      <w:marTop w:val="0"/>
      <w:marBottom w:val="0"/>
      <w:divBdr>
        <w:top w:val="none" w:sz="0" w:space="0" w:color="auto"/>
        <w:left w:val="none" w:sz="0" w:space="0" w:color="auto"/>
        <w:bottom w:val="none" w:sz="0" w:space="0" w:color="auto"/>
        <w:right w:val="none" w:sz="0" w:space="0" w:color="auto"/>
      </w:divBdr>
    </w:div>
    <w:div w:id="1148470804">
      <w:bodyDiv w:val="1"/>
      <w:marLeft w:val="0"/>
      <w:marRight w:val="0"/>
      <w:marTop w:val="0"/>
      <w:marBottom w:val="0"/>
      <w:divBdr>
        <w:top w:val="none" w:sz="0" w:space="0" w:color="auto"/>
        <w:left w:val="none" w:sz="0" w:space="0" w:color="auto"/>
        <w:bottom w:val="none" w:sz="0" w:space="0" w:color="auto"/>
        <w:right w:val="none" w:sz="0" w:space="0" w:color="auto"/>
      </w:divBdr>
    </w:div>
    <w:div w:id="1218592645">
      <w:bodyDiv w:val="1"/>
      <w:marLeft w:val="0"/>
      <w:marRight w:val="0"/>
      <w:marTop w:val="0"/>
      <w:marBottom w:val="0"/>
      <w:divBdr>
        <w:top w:val="none" w:sz="0" w:space="0" w:color="auto"/>
        <w:left w:val="none" w:sz="0" w:space="0" w:color="auto"/>
        <w:bottom w:val="none" w:sz="0" w:space="0" w:color="auto"/>
        <w:right w:val="none" w:sz="0" w:space="0" w:color="auto"/>
      </w:divBdr>
    </w:div>
    <w:div w:id="1311055252">
      <w:bodyDiv w:val="1"/>
      <w:marLeft w:val="0"/>
      <w:marRight w:val="0"/>
      <w:marTop w:val="0"/>
      <w:marBottom w:val="0"/>
      <w:divBdr>
        <w:top w:val="none" w:sz="0" w:space="0" w:color="auto"/>
        <w:left w:val="none" w:sz="0" w:space="0" w:color="auto"/>
        <w:bottom w:val="none" w:sz="0" w:space="0" w:color="auto"/>
        <w:right w:val="none" w:sz="0" w:space="0" w:color="auto"/>
      </w:divBdr>
      <w:divsChild>
        <w:div w:id="933127644">
          <w:marLeft w:val="0"/>
          <w:marRight w:val="0"/>
          <w:marTop w:val="150"/>
          <w:marBottom w:val="150"/>
          <w:divBdr>
            <w:top w:val="none" w:sz="0" w:space="0" w:color="auto"/>
            <w:left w:val="none" w:sz="0" w:space="0" w:color="auto"/>
            <w:bottom w:val="none" w:sz="0" w:space="0" w:color="auto"/>
            <w:right w:val="none" w:sz="0" w:space="0" w:color="auto"/>
          </w:divBdr>
        </w:div>
      </w:divsChild>
    </w:div>
    <w:div w:id="1329945890">
      <w:bodyDiv w:val="1"/>
      <w:marLeft w:val="0"/>
      <w:marRight w:val="0"/>
      <w:marTop w:val="0"/>
      <w:marBottom w:val="0"/>
      <w:divBdr>
        <w:top w:val="none" w:sz="0" w:space="0" w:color="auto"/>
        <w:left w:val="none" w:sz="0" w:space="0" w:color="auto"/>
        <w:bottom w:val="none" w:sz="0" w:space="0" w:color="auto"/>
        <w:right w:val="none" w:sz="0" w:space="0" w:color="auto"/>
      </w:divBdr>
    </w:div>
    <w:div w:id="1391222120">
      <w:bodyDiv w:val="1"/>
      <w:marLeft w:val="0"/>
      <w:marRight w:val="0"/>
      <w:marTop w:val="0"/>
      <w:marBottom w:val="0"/>
      <w:divBdr>
        <w:top w:val="none" w:sz="0" w:space="0" w:color="auto"/>
        <w:left w:val="none" w:sz="0" w:space="0" w:color="auto"/>
        <w:bottom w:val="none" w:sz="0" w:space="0" w:color="auto"/>
        <w:right w:val="none" w:sz="0" w:space="0" w:color="auto"/>
      </w:divBdr>
      <w:divsChild>
        <w:div w:id="1942182343">
          <w:marLeft w:val="0"/>
          <w:marRight w:val="0"/>
          <w:marTop w:val="0"/>
          <w:marBottom w:val="0"/>
          <w:divBdr>
            <w:top w:val="none" w:sz="0" w:space="0" w:color="auto"/>
            <w:left w:val="none" w:sz="0" w:space="0" w:color="auto"/>
            <w:bottom w:val="none" w:sz="0" w:space="0" w:color="auto"/>
            <w:right w:val="none" w:sz="0" w:space="0" w:color="auto"/>
          </w:divBdr>
        </w:div>
      </w:divsChild>
    </w:div>
    <w:div w:id="1452751296">
      <w:bodyDiv w:val="1"/>
      <w:marLeft w:val="0"/>
      <w:marRight w:val="0"/>
      <w:marTop w:val="0"/>
      <w:marBottom w:val="0"/>
      <w:divBdr>
        <w:top w:val="none" w:sz="0" w:space="0" w:color="auto"/>
        <w:left w:val="none" w:sz="0" w:space="0" w:color="auto"/>
        <w:bottom w:val="none" w:sz="0" w:space="0" w:color="auto"/>
        <w:right w:val="none" w:sz="0" w:space="0" w:color="auto"/>
      </w:divBdr>
    </w:div>
    <w:div w:id="1461337254">
      <w:bodyDiv w:val="1"/>
      <w:marLeft w:val="0"/>
      <w:marRight w:val="0"/>
      <w:marTop w:val="0"/>
      <w:marBottom w:val="0"/>
      <w:divBdr>
        <w:top w:val="none" w:sz="0" w:space="0" w:color="auto"/>
        <w:left w:val="none" w:sz="0" w:space="0" w:color="auto"/>
        <w:bottom w:val="none" w:sz="0" w:space="0" w:color="auto"/>
        <w:right w:val="none" w:sz="0" w:space="0" w:color="auto"/>
      </w:divBdr>
    </w:div>
    <w:div w:id="161940955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93">
          <w:marLeft w:val="0"/>
          <w:marRight w:val="0"/>
          <w:marTop w:val="0"/>
          <w:marBottom w:val="0"/>
          <w:divBdr>
            <w:top w:val="none" w:sz="0" w:space="0" w:color="auto"/>
            <w:left w:val="none" w:sz="0" w:space="0" w:color="auto"/>
            <w:bottom w:val="none" w:sz="0" w:space="0" w:color="auto"/>
            <w:right w:val="none" w:sz="0" w:space="0" w:color="auto"/>
          </w:divBdr>
        </w:div>
        <w:div w:id="1456829230">
          <w:marLeft w:val="0"/>
          <w:marRight w:val="0"/>
          <w:marTop w:val="0"/>
          <w:marBottom w:val="0"/>
          <w:divBdr>
            <w:top w:val="none" w:sz="0" w:space="0" w:color="auto"/>
            <w:left w:val="none" w:sz="0" w:space="0" w:color="auto"/>
            <w:bottom w:val="none" w:sz="0" w:space="0" w:color="auto"/>
            <w:right w:val="none" w:sz="0" w:space="0" w:color="auto"/>
          </w:divBdr>
        </w:div>
      </w:divsChild>
    </w:div>
    <w:div w:id="1654480859">
      <w:bodyDiv w:val="1"/>
      <w:marLeft w:val="0"/>
      <w:marRight w:val="0"/>
      <w:marTop w:val="0"/>
      <w:marBottom w:val="0"/>
      <w:divBdr>
        <w:top w:val="none" w:sz="0" w:space="0" w:color="auto"/>
        <w:left w:val="none" w:sz="0" w:space="0" w:color="auto"/>
        <w:bottom w:val="none" w:sz="0" w:space="0" w:color="auto"/>
        <w:right w:val="none" w:sz="0" w:space="0" w:color="auto"/>
      </w:divBdr>
    </w:div>
    <w:div w:id="1676493683">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725719954">
      <w:bodyDiv w:val="1"/>
      <w:marLeft w:val="0"/>
      <w:marRight w:val="0"/>
      <w:marTop w:val="0"/>
      <w:marBottom w:val="0"/>
      <w:divBdr>
        <w:top w:val="none" w:sz="0" w:space="0" w:color="auto"/>
        <w:left w:val="none" w:sz="0" w:space="0" w:color="auto"/>
        <w:bottom w:val="none" w:sz="0" w:space="0" w:color="auto"/>
        <w:right w:val="none" w:sz="0" w:space="0" w:color="auto"/>
      </w:divBdr>
      <w:divsChild>
        <w:div w:id="1824152529">
          <w:marLeft w:val="0"/>
          <w:marRight w:val="0"/>
          <w:marTop w:val="0"/>
          <w:marBottom w:val="240"/>
          <w:divBdr>
            <w:top w:val="none" w:sz="0" w:space="0" w:color="auto"/>
            <w:left w:val="none" w:sz="0" w:space="0" w:color="auto"/>
            <w:bottom w:val="none" w:sz="0" w:space="0" w:color="auto"/>
            <w:right w:val="none" w:sz="0" w:space="0" w:color="auto"/>
          </w:divBdr>
          <w:divsChild>
            <w:div w:id="917592710">
              <w:marLeft w:val="0"/>
              <w:marRight w:val="0"/>
              <w:marTop w:val="0"/>
              <w:marBottom w:val="0"/>
              <w:divBdr>
                <w:top w:val="none" w:sz="0" w:space="0" w:color="auto"/>
                <w:left w:val="none" w:sz="0" w:space="0" w:color="auto"/>
                <w:bottom w:val="none" w:sz="0" w:space="0" w:color="auto"/>
                <w:right w:val="none" w:sz="0" w:space="0" w:color="auto"/>
              </w:divBdr>
              <w:divsChild>
                <w:div w:id="20845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0959">
          <w:marLeft w:val="0"/>
          <w:marRight w:val="0"/>
          <w:marTop w:val="0"/>
          <w:marBottom w:val="240"/>
          <w:divBdr>
            <w:top w:val="none" w:sz="0" w:space="0" w:color="auto"/>
            <w:left w:val="none" w:sz="0" w:space="0" w:color="auto"/>
            <w:bottom w:val="none" w:sz="0" w:space="0" w:color="auto"/>
            <w:right w:val="none" w:sz="0" w:space="0" w:color="auto"/>
          </w:divBdr>
          <w:divsChild>
            <w:div w:id="1642034960">
              <w:marLeft w:val="0"/>
              <w:marRight w:val="0"/>
              <w:marTop w:val="0"/>
              <w:marBottom w:val="0"/>
              <w:divBdr>
                <w:top w:val="none" w:sz="0" w:space="0" w:color="auto"/>
                <w:left w:val="none" w:sz="0" w:space="0" w:color="auto"/>
                <w:bottom w:val="none" w:sz="0" w:space="0" w:color="auto"/>
                <w:right w:val="none" w:sz="0" w:space="0" w:color="auto"/>
              </w:divBdr>
              <w:divsChild>
                <w:div w:id="479617280">
                  <w:marLeft w:val="0"/>
                  <w:marRight w:val="0"/>
                  <w:marTop w:val="0"/>
                  <w:marBottom w:val="0"/>
                  <w:divBdr>
                    <w:top w:val="none" w:sz="0" w:space="0" w:color="auto"/>
                    <w:left w:val="none" w:sz="0" w:space="0" w:color="auto"/>
                    <w:bottom w:val="none" w:sz="0" w:space="0" w:color="auto"/>
                    <w:right w:val="none" w:sz="0" w:space="0" w:color="auto"/>
                  </w:divBdr>
                  <w:divsChild>
                    <w:div w:id="58134253">
                      <w:marLeft w:val="0"/>
                      <w:marRight w:val="0"/>
                      <w:marTop w:val="0"/>
                      <w:marBottom w:val="0"/>
                      <w:divBdr>
                        <w:top w:val="none" w:sz="0" w:space="0" w:color="auto"/>
                        <w:left w:val="none" w:sz="0" w:space="0" w:color="auto"/>
                        <w:bottom w:val="none" w:sz="0" w:space="0" w:color="auto"/>
                        <w:right w:val="none" w:sz="0" w:space="0" w:color="auto"/>
                      </w:divBdr>
                      <w:divsChild>
                        <w:div w:id="10146363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3787">
      <w:bodyDiv w:val="1"/>
      <w:marLeft w:val="0"/>
      <w:marRight w:val="0"/>
      <w:marTop w:val="0"/>
      <w:marBottom w:val="0"/>
      <w:divBdr>
        <w:top w:val="none" w:sz="0" w:space="0" w:color="auto"/>
        <w:left w:val="none" w:sz="0" w:space="0" w:color="auto"/>
        <w:bottom w:val="none" w:sz="0" w:space="0" w:color="auto"/>
        <w:right w:val="none" w:sz="0" w:space="0" w:color="auto"/>
      </w:divBdr>
    </w:div>
    <w:div w:id="1823233426">
      <w:bodyDiv w:val="1"/>
      <w:marLeft w:val="0"/>
      <w:marRight w:val="0"/>
      <w:marTop w:val="0"/>
      <w:marBottom w:val="0"/>
      <w:divBdr>
        <w:top w:val="none" w:sz="0" w:space="0" w:color="auto"/>
        <w:left w:val="none" w:sz="0" w:space="0" w:color="auto"/>
        <w:bottom w:val="none" w:sz="0" w:space="0" w:color="auto"/>
        <w:right w:val="none" w:sz="0" w:space="0" w:color="auto"/>
      </w:divBdr>
      <w:divsChild>
        <w:div w:id="1224828480">
          <w:marLeft w:val="0"/>
          <w:marRight w:val="0"/>
          <w:marTop w:val="0"/>
          <w:marBottom w:val="150"/>
          <w:divBdr>
            <w:top w:val="none" w:sz="0" w:space="0" w:color="auto"/>
            <w:left w:val="none" w:sz="0" w:space="0" w:color="auto"/>
            <w:bottom w:val="none" w:sz="0" w:space="0" w:color="auto"/>
            <w:right w:val="none" w:sz="0" w:space="0" w:color="auto"/>
          </w:divBdr>
        </w:div>
        <w:div w:id="2139257307">
          <w:marLeft w:val="0"/>
          <w:marRight w:val="0"/>
          <w:marTop w:val="0"/>
          <w:marBottom w:val="225"/>
          <w:divBdr>
            <w:top w:val="none" w:sz="0" w:space="0" w:color="auto"/>
            <w:left w:val="none" w:sz="0" w:space="0" w:color="auto"/>
            <w:bottom w:val="none" w:sz="0" w:space="0" w:color="auto"/>
            <w:right w:val="none" w:sz="0" w:space="0" w:color="auto"/>
          </w:divBdr>
          <w:divsChild>
            <w:div w:id="865172862">
              <w:marLeft w:val="0"/>
              <w:marRight w:val="0"/>
              <w:marTop w:val="0"/>
              <w:marBottom w:val="0"/>
              <w:divBdr>
                <w:top w:val="none" w:sz="0" w:space="0" w:color="auto"/>
                <w:left w:val="none" w:sz="0" w:space="0" w:color="auto"/>
                <w:bottom w:val="none" w:sz="0" w:space="0" w:color="auto"/>
                <w:right w:val="none" w:sz="0" w:space="0" w:color="auto"/>
              </w:divBdr>
              <w:divsChild>
                <w:div w:id="20836029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3057941">
      <w:bodyDiv w:val="1"/>
      <w:marLeft w:val="0"/>
      <w:marRight w:val="0"/>
      <w:marTop w:val="0"/>
      <w:marBottom w:val="0"/>
      <w:divBdr>
        <w:top w:val="none" w:sz="0" w:space="0" w:color="auto"/>
        <w:left w:val="none" w:sz="0" w:space="0" w:color="auto"/>
        <w:bottom w:val="none" w:sz="0" w:space="0" w:color="auto"/>
        <w:right w:val="none" w:sz="0" w:space="0" w:color="auto"/>
      </w:divBdr>
    </w:div>
    <w:div w:id="2056269492">
      <w:bodyDiv w:val="1"/>
      <w:marLeft w:val="0"/>
      <w:marRight w:val="0"/>
      <w:marTop w:val="0"/>
      <w:marBottom w:val="0"/>
      <w:divBdr>
        <w:top w:val="none" w:sz="0" w:space="0" w:color="auto"/>
        <w:left w:val="none" w:sz="0" w:space="0" w:color="auto"/>
        <w:bottom w:val="none" w:sz="0" w:space="0" w:color="auto"/>
        <w:right w:val="none" w:sz="0" w:space="0" w:color="auto"/>
      </w:divBdr>
      <w:divsChild>
        <w:div w:id="63996465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vestmentpolicy.unctad.org/pages/1031/mapping-of-iia-clauses" TargetMode="External"/><Relationship Id="rId2" Type="http://schemas.openxmlformats.org/officeDocument/2006/relationships/hyperlink" Target="https://www.law.unsw.edu.au/staff/gillian-moon" TargetMode="External"/><Relationship Id="rId1" Type="http://schemas.openxmlformats.org/officeDocument/2006/relationships/hyperlink" Target="mailto:g.moon@unsw.edu.au%20Teleph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ACBCAC-B5DB-44B9-9A1B-8489F39E2C8A}">
  <ds:schemaRefs>
    <ds:schemaRef ds:uri="http://schemas.openxmlformats.org/officeDocument/2006/bibliography"/>
  </ds:schemaRefs>
</ds:datastoreItem>
</file>

<file path=customXml/itemProps2.xml><?xml version="1.0" encoding="utf-8"?>
<ds:datastoreItem xmlns:ds="http://schemas.openxmlformats.org/officeDocument/2006/customXml" ds:itemID="{A0C9B677-725E-4406-9488-500F8AB2DA17}"/>
</file>

<file path=customXml/itemProps3.xml><?xml version="1.0" encoding="utf-8"?>
<ds:datastoreItem xmlns:ds="http://schemas.openxmlformats.org/officeDocument/2006/customXml" ds:itemID="{58E515D4-26E1-4600-A2FB-694280840C55}"/>
</file>

<file path=customXml/itemProps4.xml><?xml version="1.0" encoding="utf-8"?>
<ds:datastoreItem xmlns:ds="http://schemas.openxmlformats.org/officeDocument/2006/customXml" ds:itemID="{96497788-E160-4BC8-BB85-5E4AB847A1C3}"/>
</file>

<file path=docProps/app.xml><?xml version="1.0" encoding="utf-8"?>
<Properties xmlns="http://schemas.openxmlformats.org/officeDocument/2006/extended-properties" xmlns:vt="http://schemas.openxmlformats.org/officeDocument/2006/docPropsVTypes">
  <Template>Normal.dotm</Template>
  <TotalTime>1</TotalTime>
  <Pages>5</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Moon</dc:creator>
  <cp:keywords/>
  <dc:description/>
  <cp:lastModifiedBy>FOPPIANO Francesca</cp:lastModifiedBy>
  <cp:revision>2</cp:revision>
  <cp:lastPrinted>2021-02-21T20:43:00Z</cp:lastPrinted>
  <dcterms:created xsi:type="dcterms:W3CDTF">2021-06-28T15:42:00Z</dcterms:created>
  <dcterms:modified xsi:type="dcterms:W3CDTF">2021-06-28T15:42:00Z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