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5F" w:rsidRPr="005F55A0" w:rsidRDefault="001C57D9">
      <w:pPr>
        <w:tabs>
          <w:tab w:val="left" w:pos="567"/>
        </w:tabs>
        <w:spacing w:after="0" w:line="240" w:lineRule="exact"/>
        <w:jc w:val="both"/>
        <w:rPr>
          <w:lang w:val="es-ES"/>
        </w:rPr>
      </w:pPr>
      <w:r>
        <w:rPr>
          <w:rFonts w:ascii="Times New Roman" w:hAnsi="Times New Roman" w:cs="Times New Roman"/>
          <w:sz w:val="24"/>
          <w:szCs w:val="24"/>
          <w:lang w:val="es-AR"/>
        </w:rPr>
        <w:t>CMH/</w:t>
      </w:r>
      <w:proofErr w:type="spellStart"/>
      <w:r>
        <w:rPr>
          <w:rFonts w:ascii="Times New Roman" w:hAnsi="Times New Roman" w:cs="Times New Roman"/>
          <w:sz w:val="24"/>
          <w:szCs w:val="24"/>
          <w:lang w:val="es-AR"/>
        </w:rPr>
        <w:t>vzp</w:t>
      </w:r>
      <w:proofErr w:type="spellEnd"/>
    </w:p>
    <w:p w:rsidR="003C0F5F" w:rsidRPr="005F55A0" w:rsidRDefault="001C57D9">
      <w:pPr>
        <w:tabs>
          <w:tab w:val="left" w:pos="567"/>
        </w:tabs>
        <w:spacing w:after="0" w:line="240" w:lineRule="exact"/>
        <w:jc w:val="both"/>
        <w:rPr>
          <w:lang w:val="es-ES"/>
        </w:rPr>
      </w:pPr>
      <w:r>
        <w:rPr>
          <w:rFonts w:ascii="Times New Roman" w:hAnsi="Times New Roman" w:cs="Times New Roman"/>
          <w:sz w:val="24"/>
          <w:szCs w:val="24"/>
          <w:lang w:val="es-AR"/>
        </w:rPr>
        <w:t>IV/100-8</w:t>
      </w:r>
    </w:p>
    <w:p w:rsidR="003C0F5F" w:rsidRPr="005F55A0" w:rsidRDefault="001C57D9">
      <w:pPr>
        <w:tabs>
          <w:tab w:val="left" w:pos="567"/>
        </w:tabs>
        <w:spacing w:after="0" w:line="240" w:lineRule="exact"/>
        <w:jc w:val="both"/>
        <w:rPr>
          <w:lang w:val="es-ES"/>
        </w:rPr>
      </w:pPr>
      <w:r>
        <w:rPr>
          <w:rFonts w:ascii="Times New Roman" w:hAnsi="Times New Roman" w:cs="Times New Roman"/>
          <w:sz w:val="24"/>
          <w:szCs w:val="24"/>
          <w:lang w:val="es-AR"/>
        </w:rPr>
        <w:t>No.</w:t>
      </w:r>
      <w:r>
        <w:rPr>
          <w:rFonts w:ascii="Times New Roman" w:hAnsi="Times New Roman" w:cs="Times New Roman"/>
          <w:sz w:val="24"/>
          <w:szCs w:val="24"/>
          <w:lang w:val="es-ES"/>
        </w:rPr>
        <w:t xml:space="preserve"> </w:t>
      </w:r>
      <w:r w:rsidR="00874D46">
        <w:rPr>
          <w:rFonts w:ascii="Times New Roman" w:hAnsi="Times New Roman" w:cs="Times New Roman"/>
          <w:sz w:val="24"/>
          <w:szCs w:val="24"/>
          <w:lang w:val="es-ES"/>
        </w:rPr>
        <w:t>61</w:t>
      </w:r>
      <w:r>
        <w:rPr>
          <w:rFonts w:ascii="Times New Roman" w:hAnsi="Times New Roman" w:cs="Times New Roman"/>
          <w:sz w:val="24"/>
          <w:szCs w:val="24"/>
          <w:lang w:val="es-AR"/>
        </w:rPr>
        <w:t>/2021</w:t>
      </w:r>
    </w:p>
    <w:p w:rsidR="003C0F5F" w:rsidRDefault="003C0F5F">
      <w:pPr>
        <w:spacing w:after="0" w:line="240" w:lineRule="auto"/>
        <w:ind w:firstLine="708"/>
        <w:jc w:val="both"/>
        <w:rPr>
          <w:rFonts w:ascii="Times New Roman" w:hAnsi="Times New Roman"/>
          <w:sz w:val="24"/>
          <w:szCs w:val="24"/>
          <w:lang w:val="es-AR"/>
        </w:rPr>
      </w:pPr>
    </w:p>
    <w:p w:rsidR="003C0F5F" w:rsidRDefault="003C0F5F">
      <w:pPr>
        <w:spacing w:after="0" w:line="240" w:lineRule="auto"/>
        <w:ind w:firstLine="708"/>
        <w:jc w:val="both"/>
        <w:rPr>
          <w:rFonts w:ascii="Times New Roman" w:hAnsi="Times New Roman"/>
          <w:sz w:val="24"/>
          <w:szCs w:val="24"/>
          <w:lang w:val="es-AR"/>
        </w:rPr>
      </w:pPr>
    </w:p>
    <w:p w:rsidR="00404C26" w:rsidRDefault="001C57D9" w:rsidP="00874D46">
      <w:pPr>
        <w:spacing w:after="0" w:line="240" w:lineRule="auto"/>
        <w:ind w:firstLine="708"/>
        <w:jc w:val="both"/>
        <w:rPr>
          <w:rFonts w:ascii="Times New Roman" w:hAnsi="Times New Roman"/>
          <w:sz w:val="24"/>
          <w:szCs w:val="24"/>
          <w:lang w:val="es-AR"/>
        </w:rPr>
      </w:pPr>
      <w:r>
        <w:rPr>
          <w:rFonts w:ascii="Times New Roman" w:hAnsi="Times New Roman"/>
          <w:sz w:val="24"/>
          <w:szCs w:val="24"/>
          <w:lang w:val="es-AR"/>
        </w:rPr>
        <w:t xml:space="preserve">La Misión Permanente de la República Argentina ante los Organismos Internacionales en Ginebra presenta sus atentos saludos a la Oficina del Alto Comisionado de las Naciones Unidas para los Derechos Humanos </w:t>
      </w:r>
      <w:bookmarkStart w:id="0" w:name="__DdeLink__4454_125810254"/>
      <w:r w:rsidRPr="00874D46">
        <w:rPr>
          <w:rFonts w:ascii="Times New Roman" w:hAnsi="Times New Roman"/>
          <w:i/>
          <w:iCs/>
          <w:sz w:val="24"/>
          <w:szCs w:val="24"/>
          <w:lang w:val="es-AR"/>
        </w:rPr>
        <w:t>-</w:t>
      </w:r>
      <w:r w:rsidR="005F55A0" w:rsidRPr="00874D46">
        <w:rPr>
          <w:rFonts w:ascii="Times New Roman" w:hAnsi="Times New Roman"/>
          <w:i/>
          <w:iCs/>
          <w:sz w:val="24"/>
          <w:szCs w:val="24"/>
          <w:lang w:val="es-AR"/>
        </w:rPr>
        <w:t xml:space="preserve"> </w:t>
      </w:r>
      <w:r w:rsidR="00404C26" w:rsidRPr="00874D46">
        <w:rPr>
          <w:rFonts w:ascii="Times New Roman" w:hAnsi="Times New Roman"/>
          <w:i/>
          <w:sz w:val="24"/>
          <w:szCs w:val="24"/>
          <w:lang w:val="es-AR"/>
        </w:rPr>
        <w:t xml:space="preserve">Grupo de Trabajo sobre la cuestión de los derechos humanos y las empresas transnacionales y otras empresas </w:t>
      </w:r>
      <w:r w:rsidRPr="00874D46">
        <w:rPr>
          <w:rFonts w:ascii="Times New Roman" w:hAnsi="Times New Roman"/>
          <w:i/>
          <w:iCs/>
          <w:sz w:val="24"/>
          <w:szCs w:val="24"/>
          <w:lang w:val="es-ES"/>
        </w:rPr>
        <w:t>-</w:t>
      </w:r>
      <w:bookmarkEnd w:id="0"/>
      <w:r w:rsidR="00A8611F" w:rsidRPr="00874D46">
        <w:rPr>
          <w:rFonts w:ascii="Times New Roman" w:hAnsi="Times New Roman"/>
          <w:i/>
          <w:sz w:val="24"/>
          <w:szCs w:val="24"/>
          <w:lang w:val="es-AR"/>
        </w:rPr>
        <w:t>,</w:t>
      </w:r>
      <w:r w:rsidR="00A8611F">
        <w:rPr>
          <w:rFonts w:ascii="Times New Roman" w:hAnsi="Times New Roman"/>
          <w:sz w:val="24"/>
          <w:szCs w:val="24"/>
          <w:lang w:val="es-AR"/>
        </w:rPr>
        <w:t xml:space="preserve"> y </w:t>
      </w:r>
      <w:r w:rsidR="00FE1E60">
        <w:rPr>
          <w:rFonts w:ascii="Times New Roman" w:hAnsi="Times New Roman"/>
          <w:sz w:val="24"/>
          <w:szCs w:val="24"/>
          <w:lang w:val="es-AR"/>
        </w:rPr>
        <w:t xml:space="preserve">con relación a su solicitud de insumos relativa a los Acuerdos Internacionales de Inversión (AII) compatibles con los derechos humanos, de fecha 3 de febrero de 2021, </w:t>
      </w:r>
      <w:r w:rsidR="00A8611F">
        <w:rPr>
          <w:rFonts w:ascii="Times New Roman" w:hAnsi="Times New Roman"/>
          <w:sz w:val="24"/>
          <w:szCs w:val="24"/>
          <w:lang w:val="es-AR"/>
        </w:rPr>
        <w:t xml:space="preserve">tiene el agrado de remitir </w:t>
      </w:r>
      <w:r w:rsidR="00404C26">
        <w:rPr>
          <w:rFonts w:ascii="Times New Roman" w:hAnsi="Times New Roman"/>
          <w:sz w:val="24"/>
          <w:szCs w:val="24"/>
          <w:lang w:val="es-AR"/>
        </w:rPr>
        <w:t xml:space="preserve">la siguiente </w:t>
      </w:r>
      <w:r w:rsidR="00404C26" w:rsidRPr="00404C26">
        <w:rPr>
          <w:rFonts w:ascii="Times New Roman" w:hAnsi="Times New Roman"/>
          <w:sz w:val="24"/>
          <w:szCs w:val="24"/>
          <w:lang w:val="es-AR"/>
        </w:rPr>
        <w:t>información</w:t>
      </w:r>
      <w:r w:rsidR="00404C26">
        <w:rPr>
          <w:rFonts w:ascii="Times New Roman" w:hAnsi="Times New Roman"/>
          <w:sz w:val="24"/>
          <w:szCs w:val="24"/>
          <w:lang w:val="es-AR"/>
        </w:rPr>
        <w:t xml:space="preserve"> enviada por la Dirección General de Derechos Humanos del Ministerio de Relaciones Exteriores, Comercio Internacional y Culto de la Nación: </w:t>
      </w:r>
    </w:p>
    <w:p w:rsidR="00404C26" w:rsidRPr="00404C26" w:rsidRDefault="00404C26" w:rsidP="00404C26">
      <w:pPr>
        <w:spacing w:after="0" w:line="240" w:lineRule="auto"/>
        <w:jc w:val="both"/>
        <w:rPr>
          <w:rFonts w:ascii="Times New Roman" w:hAnsi="Times New Roman"/>
          <w:sz w:val="24"/>
          <w:szCs w:val="24"/>
          <w:lang w:val="es-AR"/>
        </w:rPr>
      </w:pPr>
    </w:p>
    <w:p w:rsidR="00874D46" w:rsidRPr="00874D46" w:rsidRDefault="00874D46" w:rsidP="00874D46">
      <w:pPr>
        <w:numPr>
          <w:ilvl w:val="0"/>
          <w:numId w:val="2"/>
        </w:numPr>
        <w:spacing w:after="0" w:line="240" w:lineRule="auto"/>
        <w:jc w:val="both"/>
        <w:rPr>
          <w:rFonts w:ascii="Times New Roman" w:hAnsi="Times New Roman"/>
          <w:sz w:val="24"/>
          <w:szCs w:val="24"/>
          <w:lang w:val="es-AR"/>
        </w:rPr>
      </w:pPr>
      <w:r w:rsidRPr="00874D46">
        <w:rPr>
          <w:rFonts w:ascii="Times New Roman" w:hAnsi="Times New Roman"/>
          <w:sz w:val="24"/>
          <w:szCs w:val="24"/>
          <w:lang w:val="es-AR"/>
        </w:rPr>
        <w:t>Actualmente, la República Argentina negocia acuerdos comerciales con capítulos de inversión bilateralmente o como socia del MERCOSUR. Estos acuerdos reemplazarán a los tratados bilaterales de inversión (TBI) de primera generación con dichos Estados, los cuales contienen únicamente derechos para los inversores. En estos nuevos esquemas la finalidad es introducir disposiciones que otorguen un equilibrio entre las obligaciones del Estado y las de los inversores extranjeros, y brinden protección a inversores e inversiones que cumplan con la legislación interna del Estado receptor de la inversión. Ello incluye los derechos humanos, la igualdad de género, la protección del medio ambiente, entre otros objetivos de desarrollo sostenible.</w:t>
      </w:r>
    </w:p>
    <w:p w:rsidR="00874D46" w:rsidRPr="00874D46" w:rsidRDefault="00874D46" w:rsidP="00874D46">
      <w:pPr>
        <w:spacing w:after="0" w:line="240" w:lineRule="auto"/>
        <w:jc w:val="both"/>
        <w:rPr>
          <w:rFonts w:ascii="Times New Roman" w:hAnsi="Times New Roman"/>
          <w:sz w:val="24"/>
          <w:szCs w:val="24"/>
          <w:lang w:val="es-AR"/>
        </w:rPr>
      </w:pPr>
    </w:p>
    <w:p w:rsidR="00874D46" w:rsidRPr="00874D46" w:rsidRDefault="00874D46" w:rsidP="00874D46">
      <w:pPr>
        <w:numPr>
          <w:ilvl w:val="0"/>
          <w:numId w:val="2"/>
        </w:numPr>
        <w:spacing w:after="0" w:line="240" w:lineRule="auto"/>
        <w:jc w:val="both"/>
        <w:rPr>
          <w:rFonts w:ascii="Times New Roman" w:hAnsi="Times New Roman"/>
          <w:sz w:val="24"/>
          <w:szCs w:val="24"/>
          <w:lang w:val="es-AR"/>
        </w:rPr>
      </w:pPr>
      <w:r w:rsidRPr="00874D46">
        <w:rPr>
          <w:rFonts w:ascii="Times New Roman" w:hAnsi="Times New Roman"/>
          <w:sz w:val="24"/>
          <w:szCs w:val="24"/>
          <w:lang w:val="es-AR"/>
        </w:rPr>
        <w:t xml:space="preserve">En virtud de ello, en los últimos acuerdos y capítulos de inversión negociados por la Argentina, tales como el </w:t>
      </w:r>
      <w:hyperlink r:id="rId8" w:history="1">
        <w:r w:rsidRPr="00874D46">
          <w:rPr>
            <w:rStyle w:val="Hipervnculo"/>
            <w:rFonts w:ascii="Times New Roman" w:hAnsi="Times New Roman"/>
            <w:sz w:val="24"/>
            <w:szCs w:val="24"/>
            <w:lang w:val="es-ES"/>
          </w:rPr>
          <w:t xml:space="preserve">Protocolo de Cooperación y Facilitación de Inversiones </w:t>
        </w:r>
        <w:proofErr w:type="spellStart"/>
        <w:r w:rsidRPr="00874D46">
          <w:rPr>
            <w:rStyle w:val="Hipervnculo"/>
            <w:rFonts w:ascii="Times New Roman" w:hAnsi="Times New Roman"/>
            <w:sz w:val="24"/>
            <w:szCs w:val="24"/>
            <w:lang w:val="es-ES"/>
          </w:rPr>
          <w:t>Intra</w:t>
        </w:r>
        <w:proofErr w:type="spellEnd"/>
        <w:r w:rsidRPr="00874D46">
          <w:rPr>
            <w:rStyle w:val="Hipervnculo"/>
            <w:rFonts w:ascii="Times New Roman" w:hAnsi="Times New Roman"/>
            <w:sz w:val="24"/>
            <w:szCs w:val="24"/>
            <w:lang w:val="es-ES"/>
          </w:rPr>
          <w:t>-MERCOSUR</w:t>
        </w:r>
      </w:hyperlink>
      <w:r w:rsidRPr="00874D46">
        <w:rPr>
          <w:rFonts w:ascii="Times New Roman" w:hAnsi="Times New Roman"/>
          <w:sz w:val="24"/>
          <w:szCs w:val="24"/>
          <w:lang w:val="es-ES"/>
        </w:rPr>
        <w:t xml:space="preserve"> (2017) </w:t>
      </w:r>
      <w:r w:rsidRPr="00874D46">
        <w:rPr>
          <w:rFonts w:ascii="Times New Roman" w:hAnsi="Times New Roman"/>
          <w:sz w:val="24"/>
          <w:szCs w:val="24"/>
          <w:lang w:val="es-AR"/>
        </w:rPr>
        <w:t>(</w:t>
      </w:r>
      <w:r w:rsidRPr="00874D46">
        <w:rPr>
          <w:rFonts w:ascii="Times New Roman" w:hAnsi="Times New Roman"/>
          <w:sz w:val="24"/>
          <w:szCs w:val="24"/>
          <w:lang w:val="es-ES"/>
        </w:rPr>
        <w:t xml:space="preserve">en adelante, Protocolo </w:t>
      </w:r>
      <w:proofErr w:type="spellStart"/>
      <w:r w:rsidRPr="00874D46">
        <w:rPr>
          <w:rFonts w:ascii="Times New Roman" w:hAnsi="Times New Roman"/>
          <w:sz w:val="24"/>
          <w:szCs w:val="24"/>
          <w:lang w:val="es-ES"/>
        </w:rPr>
        <w:t>intra</w:t>
      </w:r>
      <w:proofErr w:type="spellEnd"/>
      <w:r w:rsidRPr="00874D46">
        <w:rPr>
          <w:rFonts w:ascii="Times New Roman" w:hAnsi="Times New Roman"/>
          <w:sz w:val="24"/>
          <w:szCs w:val="24"/>
          <w:lang w:val="es-ES"/>
        </w:rPr>
        <w:t xml:space="preserve">-MERCOSUR), el </w:t>
      </w:r>
      <w:hyperlink r:id="rId9" w:tooltip="https://investmentpolicy.unctad.org/international-investment-agreements/treaty-files/5661/download" w:history="1">
        <w:r w:rsidRPr="00874D46">
          <w:rPr>
            <w:rStyle w:val="Hipervnculo"/>
            <w:rFonts w:ascii="Times New Roman" w:hAnsi="Times New Roman"/>
            <w:sz w:val="24"/>
            <w:szCs w:val="24"/>
            <w:lang w:val="es-ES"/>
          </w:rPr>
          <w:t>Acuerdo Comercial Argentina-Chile</w:t>
        </w:r>
      </w:hyperlink>
      <w:r w:rsidRPr="00874D46">
        <w:rPr>
          <w:rFonts w:ascii="Times New Roman" w:hAnsi="Times New Roman"/>
          <w:sz w:val="24"/>
          <w:szCs w:val="24"/>
          <w:lang w:val="es-ES"/>
        </w:rPr>
        <w:t xml:space="preserve"> (2017) y el </w:t>
      </w:r>
      <w:hyperlink r:id="rId10" w:history="1">
        <w:r w:rsidRPr="00874D46">
          <w:rPr>
            <w:rStyle w:val="Hipervnculo"/>
            <w:rFonts w:ascii="Times New Roman" w:hAnsi="Times New Roman"/>
            <w:sz w:val="24"/>
            <w:szCs w:val="24"/>
            <w:lang w:val="es-ES"/>
          </w:rPr>
          <w:t>TBI Argentina-Emiratos Árabes</w:t>
        </w:r>
      </w:hyperlink>
      <w:r w:rsidRPr="00874D46">
        <w:rPr>
          <w:rFonts w:ascii="Times New Roman" w:hAnsi="Times New Roman"/>
          <w:sz w:val="24"/>
          <w:szCs w:val="24"/>
          <w:lang w:val="es-ES"/>
        </w:rPr>
        <w:t xml:space="preserve"> (2018), </w:t>
      </w:r>
      <w:r w:rsidRPr="00874D46">
        <w:rPr>
          <w:rFonts w:ascii="Times New Roman" w:hAnsi="Times New Roman"/>
          <w:sz w:val="24"/>
          <w:szCs w:val="24"/>
          <w:lang w:val="es-AR"/>
        </w:rPr>
        <w:t>se introdujeron disposiciones sobre las siguientes cuestiones:</w:t>
      </w:r>
    </w:p>
    <w:p w:rsidR="00874D46" w:rsidRPr="00874D46" w:rsidRDefault="00874D46" w:rsidP="00874D46">
      <w:pPr>
        <w:spacing w:after="0" w:line="240" w:lineRule="auto"/>
        <w:jc w:val="both"/>
        <w:rPr>
          <w:rFonts w:ascii="Times New Roman" w:hAnsi="Times New Roman"/>
          <w:sz w:val="24"/>
          <w:szCs w:val="24"/>
          <w:lang w:val="es-AR"/>
        </w:rPr>
      </w:pPr>
    </w:p>
    <w:p w:rsidR="00874D46" w:rsidRPr="00874D46" w:rsidRDefault="00874D46" w:rsidP="00874D46">
      <w:pPr>
        <w:spacing w:after="0" w:line="240" w:lineRule="auto"/>
        <w:jc w:val="both"/>
        <w:rPr>
          <w:rFonts w:ascii="Times New Roman" w:hAnsi="Times New Roman"/>
          <w:sz w:val="24"/>
          <w:szCs w:val="24"/>
          <w:lang w:val="es-ES"/>
        </w:rPr>
      </w:pPr>
      <w:r w:rsidRPr="00874D46">
        <w:rPr>
          <w:rFonts w:ascii="Times New Roman" w:hAnsi="Times New Roman"/>
          <w:b/>
          <w:bCs/>
          <w:sz w:val="24"/>
          <w:szCs w:val="24"/>
          <w:lang w:val="es-AR"/>
        </w:rPr>
        <w:t>a) Inversión protegida:</w:t>
      </w:r>
      <w:r w:rsidRPr="00874D46">
        <w:rPr>
          <w:rFonts w:ascii="Times New Roman" w:hAnsi="Times New Roman"/>
          <w:sz w:val="24"/>
          <w:szCs w:val="24"/>
          <w:lang w:val="es-AR"/>
        </w:rPr>
        <w:t xml:space="preserve"> se trata de disposiciones que prevén que la inversión protegida tenga carácter productivo, se realice </w:t>
      </w:r>
      <w:r w:rsidRPr="00874D46">
        <w:rPr>
          <w:rFonts w:ascii="Times New Roman" w:hAnsi="Times New Roman"/>
          <w:sz w:val="24"/>
          <w:szCs w:val="24"/>
          <w:lang w:val="es-ES"/>
        </w:rPr>
        <w:t xml:space="preserve">de conformidad con el derecho interno y contribuya al desarrollo económico o sustentable del Estado. Por ejemplo, el TBI Argentina-Emiratos Árabes, art. 1 (definición de inversión) y el Protocolo </w:t>
      </w:r>
      <w:proofErr w:type="spellStart"/>
      <w:r w:rsidRPr="00874D46">
        <w:rPr>
          <w:rFonts w:ascii="Times New Roman" w:hAnsi="Times New Roman"/>
          <w:sz w:val="24"/>
          <w:szCs w:val="24"/>
          <w:lang w:val="es-ES"/>
        </w:rPr>
        <w:t>Intra</w:t>
      </w:r>
      <w:proofErr w:type="spellEnd"/>
      <w:r w:rsidRPr="00874D46">
        <w:rPr>
          <w:rFonts w:ascii="Times New Roman" w:hAnsi="Times New Roman"/>
          <w:sz w:val="24"/>
          <w:szCs w:val="24"/>
          <w:lang w:val="es-ES"/>
        </w:rPr>
        <w:t>-MERCOSUR, art. 1 (Objeto).</w:t>
      </w:r>
    </w:p>
    <w:p w:rsidR="00874D46" w:rsidRPr="00874D46" w:rsidRDefault="00874D46" w:rsidP="00874D46">
      <w:pPr>
        <w:spacing w:after="0" w:line="240" w:lineRule="auto"/>
        <w:jc w:val="both"/>
        <w:rPr>
          <w:rFonts w:ascii="Times New Roman" w:hAnsi="Times New Roman"/>
          <w:sz w:val="24"/>
          <w:szCs w:val="24"/>
          <w:lang w:val="es-ES"/>
        </w:rPr>
      </w:pPr>
    </w:p>
    <w:p w:rsidR="00874D46" w:rsidRDefault="00874D46" w:rsidP="00E2419B">
      <w:pPr>
        <w:spacing w:after="0" w:line="240" w:lineRule="auto"/>
        <w:jc w:val="right"/>
        <w:rPr>
          <w:rFonts w:ascii="Times New Roman" w:hAnsi="Times New Roman"/>
          <w:sz w:val="24"/>
          <w:szCs w:val="24"/>
          <w:lang w:val="es-AR"/>
        </w:rPr>
      </w:pPr>
    </w:p>
    <w:p w:rsidR="00874D46" w:rsidRDefault="00E2419B" w:rsidP="00E2419B">
      <w:pPr>
        <w:spacing w:after="0" w:line="240" w:lineRule="auto"/>
        <w:jc w:val="right"/>
        <w:rPr>
          <w:rFonts w:ascii="Times New Roman" w:hAnsi="Times New Roman"/>
          <w:sz w:val="24"/>
          <w:szCs w:val="24"/>
          <w:lang w:val="es-AR"/>
        </w:rPr>
      </w:pPr>
      <w:r>
        <w:rPr>
          <w:rFonts w:ascii="Times New Roman" w:hAnsi="Times New Roman"/>
          <w:sz w:val="24"/>
          <w:szCs w:val="24"/>
          <w:lang w:val="es-AR"/>
        </w:rPr>
        <w:t>1/4</w:t>
      </w:r>
    </w:p>
    <w:p w:rsidR="00E2419B" w:rsidRDefault="00E2419B" w:rsidP="00874D46">
      <w:pPr>
        <w:spacing w:after="0" w:line="240" w:lineRule="auto"/>
        <w:rPr>
          <w:rFonts w:ascii="Times New Roman" w:hAnsi="Times New Roman"/>
          <w:sz w:val="24"/>
          <w:szCs w:val="24"/>
          <w:lang w:val="es-AR"/>
        </w:rPr>
      </w:pPr>
    </w:p>
    <w:p w:rsidR="00874D46" w:rsidRPr="005F55A0" w:rsidRDefault="00874D46" w:rsidP="00874D46">
      <w:pPr>
        <w:spacing w:after="0" w:line="240" w:lineRule="auto"/>
        <w:rPr>
          <w:lang w:val="es-ES"/>
        </w:rPr>
      </w:pPr>
      <w:r>
        <w:rPr>
          <w:rFonts w:ascii="Times New Roman" w:hAnsi="Times New Roman"/>
          <w:sz w:val="24"/>
          <w:szCs w:val="24"/>
          <w:lang w:val="es-AR"/>
        </w:rPr>
        <w:t>A la Oficina del Alto Comisionado de las Naciones Unidas</w:t>
      </w:r>
    </w:p>
    <w:p w:rsidR="00874D46" w:rsidRPr="005F55A0" w:rsidRDefault="00874D46" w:rsidP="00874D46">
      <w:pPr>
        <w:spacing w:after="0" w:line="240" w:lineRule="auto"/>
        <w:rPr>
          <w:lang w:val="es-ES"/>
        </w:rPr>
      </w:pPr>
      <w:proofErr w:type="gramStart"/>
      <w:r>
        <w:rPr>
          <w:rFonts w:ascii="Times New Roman" w:hAnsi="Times New Roman"/>
          <w:sz w:val="24"/>
          <w:szCs w:val="24"/>
          <w:lang w:val="es-AR"/>
        </w:rPr>
        <w:t>para</w:t>
      </w:r>
      <w:proofErr w:type="gramEnd"/>
      <w:r>
        <w:rPr>
          <w:rFonts w:ascii="Times New Roman" w:hAnsi="Times New Roman"/>
          <w:sz w:val="24"/>
          <w:szCs w:val="24"/>
          <w:lang w:val="es-AR"/>
        </w:rPr>
        <w:t xml:space="preserve"> los Derechos Humanos</w:t>
      </w:r>
    </w:p>
    <w:p w:rsidR="00874D46" w:rsidRPr="00874D46" w:rsidRDefault="00874D46" w:rsidP="00874D46">
      <w:pPr>
        <w:spacing w:after="0" w:line="240" w:lineRule="auto"/>
        <w:rPr>
          <w:lang w:val="es-ES"/>
        </w:rPr>
      </w:pPr>
      <w:r>
        <w:rPr>
          <w:rFonts w:ascii="Times New Roman" w:hAnsi="Times New Roman"/>
          <w:i/>
          <w:iCs/>
          <w:sz w:val="24"/>
          <w:szCs w:val="24"/>
          <w:lang w:val="es-ES"/>
        </w:rPr>
        <w:t xml:space="preserve">- </w:t>
      </w:r>
      <w:r w:rsidRPr="00874D46">
        <w:rPr>
          <w:rFonts w:ascii="Times New Roman" w:hAnsi="Times New Roman"/>
          <w:i/>
          <w:iCs/>
          <w:sz w:val="24"/>
          <w:szCs w:val="24"/>
          <w:lang w:val="es-ES"/>
        </w:rPr>
        <w:t xml:space="preserve">Grupo de Trabajo sobre la cuestión de los derechos humanos y las empresas transnacionales y otras empresas  </w:t>
      </w:r>
      <w:r w:rsidRPr="00874D46">
        <w:rPr>
          <w:rFonts w:ascii="Times New Roman" w:hAnsi="Times New Roman"/>
          <w:i/>
          <w:iCs/>
          <w:sz w:val="24"/>
          <w:szCs w:val="24"/>
          <w:lang w:val="es-AR"/>
        </w:rPr>
        <w:t>-</w:t>
      </w:r>
    </w:p>
    <w:p w:rsidR="00874D46" w:rsidRPr="00874D46" w:rsidRDefault="00874D46" w:rsidP="00874D46">
      <w:pPr>
        <w:tabs>
          <w:tab w:val="left" w:pos="567"/>
        </w:tabs>
        <w:spacing w:after="0" w:line="240" w:lineRule="auto"/>
        <w:jc w:val="both"/>
        <w:rPr>
          <w:lang w:val="es-ES"/>
        </w:rPr>
      </w:pPr>
      <w:r>
        <w:rPr>
          <w:rFonts w:ascii="Times New Roman" w:hAnsi="Times New Roman" w:cs="Times New Roman"/>
          <w:sz w:val="24"/>
          <w:szCs w:val="24"/>
          <w:u w:val="single"/>
          <w:lang w:val="es-AR"/>
        </w:rPr>
        <w:t>Ginebra</w:t>
      </w:r>
    </w:p>
    <w:p w:rsidR="00874D46" w:rsidRPr="00874D46" w:rsidRDefault="00874D46" w:rsidP="00874D46">
      <w:pPr>
        <w:spacing w:after="0" w:line="240" w:lineRule="auto"/>
        <w:jc w:val="both"/>
        <w:rPr>
          <w:rFonts w:ascii="Times New Roman" w:hAnsi="Times New Roman"/>
          <w:sz w:val="24"/>
          <w:szCs w:val="24"/>
          <w:lang w:val="es-ES"/>
        </w:rPr>
      </w:pPr>
    </w:p>
    <w:p w:rsidR="00874D46" w:rsidRPr="00874D46" w:rsidRDefault="00874D46" w:rsidP="00874D46">
      <w:pPr>
        <w:spacing w:after="0" w:line="240" w:lineRule="auto"/>
        <w:jc w:val="both"/>
        <w:rPr>
          <w:rFonts w:ascii="Times New Roman" w:hAnsi="Times New Roman"/>
          <w:sz w:val="24"/>
          <w:szCs w:val="24"/>
          <w:lang w:val="es-AR"/>
        </w:rPr>
      </w:pPr>
    </w:p>
    <w:p w:rsidR="00E2419B" w:rsidRPr="00874D46" w:rsidRDefault="00E2419B" w:rsidP="00E2419B">
      <w:pPr>
        <w:spacing w:after="0" w:line="240" w:lineRule="auto"/>
        <w:jc w:val="both"/>
        <w:rPr>
          <w:rFonts w:ascii="Times New Roman" w:hAnsi="Times New Roman"/>
          <w:sz w:val="24"/>
          <w:szCs w:val="24"/>
          <w:lang w:val="es-AR"/>
        </w:rPr>
      </w:pPr>
      <w:r w:rsidRPr="00874D46">
        <w:rPr>
          <w:rFonts w:ascii="Times New Roman" w:hAnsi="Times New Roman"/>
          <w:b/>
          <w:bCs/>
          <w:sz w:val="24"/>
          <w:szCs w:val="24"/>
          <w:lang w:val="es-AR"/>
        </w:rPr>
        <w:lastRenderedPageBreak/>
        <w:t>b) Derecho a regular:</w:t>
      </w:r>
      <w:r w:rsidRPr="00874D46">
        <w:rPr>
          <w:rFonts w:ascii="Times New Roman" w:hAnsi="Times New Roman"/>
          <w:sz w:val="24"/>
          <w:szCs w:val="24"/>
          <w:lang w:val="es-AR"/>
        </w:rPr>
        <w:t xml:space="preserve"> cláusula en la que se reafirma el derecho a regular del Estado para cumplir con objetivos de política pública, tales como la protección de la salud, la moral pública, la seguridad, el medio ambiente, la diversidad cultural, protección social y de los consumidores, etc. Por ejemplo, el </w:t>
      </w:r>
      <w:r w:rsidRPr="00874D46">
        <w:rPr>
          <w:rFonts w:ascii="Times New Roman" w:hAnsi="Times New Roman"/>
          <w:sz w:val="24"/>
          <w:szCs w:val="24"/>
          <w:lang w:val="es-ES"/>
        </w:rPr>
        <w:t>Acuerdo Comercial Argentina-Chile</w:t>
      </w:r>
      <w:r w:rsidRPr="00874D46">
        <w:rPr>
          <w:rFonts w:ascii="Times New Roman" w:hAnsi="Times New Roman"/>
          <w:sz w:val="24"/>
          <w:szCs w:val="24"/>
          <w:lang w:val="es-AR"/>
        </w:rPr>
        <w:t>, art. 8.4 (Derecho a regular).</w:t>
      </w:r>
    </w:p>
    <w:p w:rsidR="00E2419B" w:rsidRDefault="00E2419B" w:rsidP="00874D46">
      <w:pPr>
        <w:spacing w:after="0" w:line="240" w:lineRule="auto"/>
        <w:jc w:val="both"/>
        <w:rPr>
          <w:rFonts w:ascii="Times New Roman" w:hAnsi="Times New Roman"/>
          <w:b/>
          <w:bCs/>
          <w:sz w:val="24"/>
          <w:szCs w:val="24"/>
          <w:lang w:val="es-AR"/>
        </w:rPr>
      </w:pPr>
    </w:p>
    <w:p w:rsidR="00874D46" w:rsidRPr="00874D46" w:rsidRDefault="00874D46" w:rsidP="00874D46">
      <w:pPr>
        <w:spacing w:after="0" w:line="240" w:lineRule="auto"/>
        <w:jc w:val="both"/>
        <w:rPr>
          <w:rFonts w:ascii="Times New Roman" w:hAnsi="Times New Roman"/>
          <w:sz w:val="24"/>
          <w:szCs w:val="24"/>
          <w:lang w:val="es-AR"/>
        </w:rPr>
      </w:pPr>
      <w:r w:rsidRPr="00874D46">
        <w:rPr>
          <w:rFonts w:ascii="Times New Roman" w:hAnsi="Times New Roman"/>
          <w:b/>
          <w:bCs/>
          <w:sz w:val="24"/>
          <w:szCs w:val="24"/>
          <w:lang w:val="es-AR"/>
        </w:rPr>
        <w:t>c) Cumplimiento del derecho interno:</w:t>
      </w:r>
      <w:r w:rsidRPr="00874D46">
        <w:rPr>
          <w:rFonts w:ascii="Times New Roman" w:hAnsi="Times New Roman"/>
          <w:sz w:val="24"/>
          <w:szCs w:val="24"/>
          <w:lang w:val="es-AR"/>
        </w:rPr>
        <w:t xml:space="preserve"> norma donde se establece que el inversor está obligado a cumplir con las leyes domésticas, no solo al momento de invertir, sino a lo largo de su inversión. A través de esta obligación quedan incorporadas todas aquellas en materia de diligencia debida, como las evaluaciones de impacto ambiental, o en materia de derechos humanos que estén previstas en la legislación interna del Estado receptor de la inversión.</w:t>
      </w:r>
    </w:p>
    <w:p w:rsidR="00874D46" w:rsidRPr="00874D46" w:rsidRDefault="00874D46" w:rsidP="00874D46">
      <w:pPr>
        <w:spacing w:after="0" w:line="240" w:lineRule="auto"/>
        <w:jc w:val="both"/>
        <w:rPr>
          <w:rFonts w:ascii="Times New Roman" w:hAnsi="Times New Roman"/>
          <w:sz w:val="24"/>
          <w:szCs w:val="24"/>
          <w:lang w:val="es-AR"/>
        </w:rPr>
      </w:pPr>
      <w:r w:rsidRPr="00874D46">
        <w:rPr>
          <w:rFonts w:ascii="Times New Roman" w:hAnsi="Times New Roman"/>
          <w:sz w:val="24"/>
          <w:szCs w:val="24"/>
          <w:lang w:val="es-AR"/>
        </w:rPr>
        <w:t xml:space="preserve">Por ejemplo, Protocolo </w:t>
      </w:r>
      <w:proofErr w:type="spellStart"/>
      <w:r w:rsidRPr="00874D46">
        <w:rPr>
          <w:rFonts w:ascii="Times New Roman" w:hAnsi="Times New Roman"/>
          <w:sz w:val="24"/>
          <w:szCs w:val="24"/>
          <w:lang w:val="es-AR"/>
        </w:rPr>
        <w:t>intra</w:t>
      </w:r>
      <w:proofErr w:type="spellEnd"/>
      <w:r w:rsidRPr="00874D46">
        <w:rPr>
          <w:rFonts w:ascii="Times New Roman" w:hAnsi="Times New Roman"/>
          <w:sz w:val="24"/>
          <w:szCs w:val="24"/>
          <w:lang w:val="es-AR"/>
        </w:rPr>
        <w:t>-MERCOSUR, art. 13, inc. 1 (Obligaciones de los Inversionistas).</w:t>
      </w:r>
    </w:p>
    <w:p w:rsidR="00874D46" w:rsidRPr="00874D46" w:rsidRDefault="00874D46" w:rsidP="00874D46">
      <w:pPr>
        <w:spacing w:after="0" w:line="240" w:lineRule="auto"/>
        <w:jc w:val="both"/>
        <w:rPr>
          <w:rFonts w:ascii="Times New Roman" w:hAnsi="Times New Roman"/>
          <w:sz w:val="24"/>
          <w:szCs w:val="24"/>
          <w:lang w:val="es-AR"/>
        </w:rPr>
      </w:pPr>
    </w:p>
    <w:p w:rsidR="00874D46" w:rsidRPr="00874D46" w:rsidRDefault="00874D46" w:rsidP="00874D46">
      <w:pPr>
        <w:spacing w:after="0" w:line="240" w:lineRule="auto"/>
        <w:jc w:val="both"/>
        <w:rPr>
          <w:rFonts w:ascii="Times New Roman" w:hAnsi="Times New Roman"/>
          <w:sz w:val="24"/>
          <w:szCs w:val="24"/>
          <w:lang w:val="es-AR"/>
        </w:rPr>
      </w:pPr>
      <w:r w:rsidRPr="00874D46">
        <w:rPr>
          <w:rFonts w:ascii="Times New Roman" w:hAnsi="Times New Roman"/>
          <w:b/>
          <w:bCs/>
          <w:sz w:val="24"/>
          <w:szCs w:val="24"/>
          <w:lang w:val="es-AR"/>
        </w:rPr>
        <w:t>d) No flexibilización de objetivos regulatorios:</w:t>
      </w:r>
      <w:r w:rsidRPr="00874D46">
        <w:rPr>
          <w:rFonts w:ascii="Times New Roman" w:hAnsi="Times New Roman"/>
          <w:sz w:val="24"/>
          <w:szCs w:val="24"/>
          <w:lang w:val="es-AR"/>
        </w:rPr>
        <w:t xml:space="preserve"> disposiciones donde se prevé que no se flexibilicen estándares medioambientales o de salud, entre otros, con el fin de alentar a las inversiones extranjeras.</w:t>
      </w:r>
    </w:p>
    <w:p w:rsidR="00874D46" w:rsidRPr="00874D46" w:rsidRDefault="00874D46" w:rsidP="00874D46">
      <w:pPr>
        <w:spacing w:after="0" w:line="240" w:lineRule="auto"/>
        <w:jc w:val="both"/>
        <w:rPr>
          <w:rFonts w:ascii="Times New Roman" w:hAnsi="Times New Roman"/>
          <w:sz w:val="24"/>
          <w:szCs w:val="24"/>
          <w:lang w:val="es-AR"/>
        </w:rPr>
      </w:pPr>
      <w:r w:rsidRPr="00874D46">
        <w:rPr>
          <w:rFonts w:ascii="Times New Roman" w:hAnsi="Times New Roman"/>
          <w:sz w:val="24"/>
          <w:szCs w:val="24"/>
          <w:lang w:val="es-AR"/>
        </w:rPr>
        <w:t xml:space="preserve">Por ejemplo, Acuerdo Comercial Argentina-Chile, art. 8.14 (Inversión y objetivos de medio ambiente, salud y otros objetivos regulatorios). </w:t>
      </w:r>
    </w:p>
    <w:p w:rsidR="00874D46" w:rsidRPr="00874D46" w:rsidRDefault="00874D46" w:rsidP="00874D46">
      <w:pPr>
        <w:spacing w:after="0" w:line="240" w:lineRule="auto"/>
        <w:jc w:val="both"/>
        <w:rPr>
          <w:rFonts w:ascii="Times New Roman" w:hAnsi="Times New Roman"/>
          <w:sz w:val="24"/>
          <w:szCs w:val="24"/>
          <w:lang w:val="es-AR"/>
        </w:rPr>
      </w:pPr>
    </w:p>
    <w:p w:rsidR="00874D46" w:rsidRPr="00874D46" w:rsidRDefault="00874D46" w:rsidP="00874D46">
      <w:pPr>
        <w:spacing w:after="0" w:line="240" w:lineRule="auto"/>
        <w:jc w:val="both"/>
        <w:rPr>
          <w:rFonts w:ascii="Times New Roman" w:hAnsi="Times New Roman"/>
          <w:sz w:val="24"/>
          <w:szCs w:val="24"/>
          <w:lang w:val="es-AR"/>
        </w:rPr>
      </w:pPr>
      <w:r w:rsidRPr="00874D46">
        <w:rPr>
          <w:rFonts w:ascii="Times New Roman" w:hAnsi="Times New Roman"/>
          <w:b/>
          <w:bCs/>
          <w:sz w:val="24"/>
          <w:szCs w:val="24"/>
          <w:lang w:val="es-AR"/>
        </w:rPr>
        <w:t>e) Medidas para combatir la corrupción, el lavado de dinero o el terrorismo:</w:t>
      </w:r>
      <w:r w:rsidRPr="00874D46">
        <w:rPr>
          <w:rFonts w:ascii="Times New Roman" w:hAnsi="Times New Roman"/>
          <w:sz w:val="24"/>
          <w:szCs w:val="24"/>
          <w:lang w:val="es-AR"/>
        </w:rPr>
        <w:t xml:space="preserve"> normas donde se establecen obligaciones para prevenir y combatir estos delitos.</w:t>
      </w:r>
    </w:p>
    <w:p w:rsidR="00874D46" w:rsidRPr="00874D46" w:rsidRDefault="00874D46" w:rsidP="00874D46">
      <w:pPr>
        <w:spacing w:after="0" w:line="240" w:lineRule="auto"/>
        <w:jc w:val="both"/>
        <w:rPr>
          <w:rFonts w:ascii="Times New Roman" w:hAnsi="Times New Roman"/>
          <w:sz w:val="24"/>
          <w:szCs w:val="24"/>
          <w:lang w:val="es-AR"/>
        </w:rPr>
      </w:pPr>
      <w:r w:rsidRPr="00874D46">
        <w:rPr>
          <w:rFonts w:ascii="Times New Roman" w:hAnsi="Times New Roman"/>
          <w:sz w:val="24"/>
          <w:szCs w:val="24"/>
          <w:lang w:val="es-AR"/>
        </w:rPr>
        <w:t>Por ejemplo, Acuerdo Comercial Argentina-Chile (2017), art. 8.16 (Cumplimiento de la legislación de las Partes), inc. 2.</w:t>
      </w:r>
    </w:p>
    <w:p w:rsidR="00874D46" w:rsidRPr="00874D46" w:rsidRDefault="00874D46" w:rsidP="00874D46">
      <w:pPr>
        <w:spacing w:after="0" w:line="240" w:lineRule="auto"/>
        <w:jc w:val="both"/>
        <w:rPr>
          <w:rFonts w:ascii="Times New Roman" w:hAnsi="Times New Roman"/>
          <w:sz w:val="24"/>
          <w:szCs w:val="24"/>
          <w:lang w:val="es-AR"/>
        </w:rPr>
      </w:pPr>
      <w:r w:rsidRPr="00874D46">
        <w:rPr>
          <w:rFonts w:ascii="Times New Roman" w:hAnsi="Times New Roman"/>
          <w:sz w:val="24"/>
          <w:szCs w:val="24"/>
          <w:lang w:val="es-AR"/>
        </w:rPr>
        <w:t xml:space="preserve">También el Protocolo </w:t>
      </w:r>
      <w:proofErr w:type="spellStart"/>
      <w:r w:rsidRPr="00874D46">
        <w:rPr>
          <w:rFonts w:ascii="Times New Roman" w:hAnsi="Times New Roman"/>
          <w:sz w:val="24"/>
          <w:szCs w:val="24"/>
          <w:lang w:val="es-AR"/>
        </w:rPr>
        <w:t>intra</w:t>
      </w:r>
      <w:proofErr w:type="spellEnd"/>
      <w:r w:rsidRPr="00874D46">
        <w:rPr>
          <w:rFonts w:ascii="Times New Roman" w:hAnsi="Times New Roman"/>
          <w:sz w:val="24"/>
          <w:szCs w:val="24"/>
          <w:lang w:val="es-AR"/>
        </w:rPr>
        <w:t>-MERCOSUR (2017), art. 13 (Obligaciones de los inversionistas), inciso 1 ("Los inversionistas no deberán incurrir en actos de corrupción") y art.</w:t>
      </w:r>
      <w:r w:rsidRPr="00874D46">
        <w:rPr>
          <w:rFonts w:ascii="Times New Roman" w:hAnsi="Times New Roman"/>
          <w:sz w:val="24"/>
          <w:szCs w:val="24"/>
          <w:lang w:val="es-ES"/>
        </w:rPr>
        <w:t xml:space="preserve"> </w:t>
      </w:r>
      <w:r w:rsidRPr="00874D46">
        <w:rPr>
          <w:rFonts w:ascii="Times New Roman" w:hAnsi="Times New Roman"/>
          <w:sz w:val="24"/>
          <w:szCs w:val="24"/>
          <w:lang w:val="es-AR"/>
        </w:rPr>
        <w:t>15 (Medidas sobre Inversiones y Lucha contra la Corrupción y la Ilegalidad).</w:t>
      </w:r>
    </w:p>
    <w:p w:rsidR="00874D46" w:rsidRPr="00874D46" w:rsidRDefault="00874D46" w:rsidP="00874D46">
      <w:pPr>
        <w:spacing w:after="0" w:line="240" w:lineRule="auto"/>
        <w:jc w:val="both"/>
        <w:rPr>
          <w:rFonts w:ascii="Times New Roman" w:hAnsi="Times New Roman"/>
          <w:sz w:val="24"/>
          <w:szCs w:val="24"/>
          <w:lang w:val="es-AR"/>
        </w:rPr>
      </w:pPr>
    </w:p>
    <w:p w:rsidR="00874D46" w:rsidRPr="00874D46" w:rsidRDefault="00874D46" w:rsidP="00874D46">
      <w:pPr>
        <w:spacing w:after="0" w:line="240" w:lineRule="auto"/>
        <w:jc w:val="both"/>
        <w:rPr>
          <w:rFonts w:ascii="Times New Roman" w:hAnsi="Times New Roman"/>
          <w:sz w:val="24"/>
          <w:szCs w:val="24"/>
          <w:lang w:val="es-AR"/>
        </w:rPr>
      </w:pPr>
      <w:r w:rsidRPr="00874D46">
        <w:rPr>
          <w:rFonts w:ascii="Times New Roman" w:hAnsi="Times New Roman"/>
          <w:b/>
          <w:bCs/>
          <w:sz w:val="24"/>
          <w:szCs w:val="24"/>
          <w:lang w:val="es-AR"/>
        </w:rPr>
        <w:t>f) Responsabilidad social empresarial:</w:t>
      </w:r>
      <w:r w:rsidRPr="00874D46">
        <w:rPr>
          <w:rFonts w:ascii="Times New Roman" w:hAnsi="Times New Roman"/>
          <w:sz w:val="24"/>
          <w:szCs w:val="24"/>
          <w:lang w:val="es-AR"/>
        </w:rPr>
        <w:t xml:space="preserve"> cláusulas que alientan a los inversores a cumplir voluntariamente con directrices y estándares internacionales de responsabilidad social corporativa, referidos al respeto del medio ambiente, los derechos humanos, los derechos laborales, la igualdad de género, entre otros.</w:t>
      </w:r>
    </w:p>
    <w:p w:rsidR="00874D46" w:rsidRPr="00874D46" w:rsidRDefault="00874D46" w:rsidP="00874D46">
      <w:pPr>
        <w:spacing w:after="0" w:line="240" w:lineRule="auto"/>
        <w:jc w:val="both"/>
        <w:rPr>
          <w:rFonts w:ascii="Times New Roman" w:hAnsi="Times New Roman"/>
          <w:sz w:val="24"/>
          <w:szCs w:val="24"/>
          <w:lang w:val="es-AR"/>
        </w:rPr>
      </w:pPr>
      <w:r w:rsidRPr="00874D46">
        <w:rPr>
          <w:rFonts w:ascii="Times New Roman" w:hAnsi="Times New Roman"/>
          <w:sz w:val="24"/>
          <w:szCs w:val="24"/>
          <w:lang w:val="es-AR"/>
        </w:rPr>
        <w:t>Por ejemplo, Acuerdo Comercial Argentina-Chile, art. 8.17 (Responsabilidad social corporativa).</w:t>
      </w:r>
    </w:p>
    <w:p w:rsidR="00874D46" w:rsidRPr="00874D46" w:rsidRDefault="00874D46" w:rsidP="00874D46">
      <w:pPr>
        <w:spacing w:after="0" w:line="240" w:lineRule="auto"/>
        <w:jc w:val="both"/>
        <w:rPr>
          <w:rFonts w:ascii="Times New Roman" w:hAnsi="Times New Roman"/>
          <w:sz w:val="24"/>
          <w:szCs w:val="24"/>
          <w:lang w:val="es-AR"/>
        </w:rPr>
      </w:pPr>
    </w:p>
    <w:p w:rsidR="00874D46" w:rsidRPr="00874D46" w:rsidRDefault="00874D46" w:rsidP="00874D46">
      <w:pPr>
        <w:spacing w:after="0" w:line="240" w:lineRule="auto"/>
        <w:jc w:val="both"/>
        <w:rPr>
          <w:rFonts w:ascii="Times New Roman" w:hAnsi="Times New Roman"/>
          <w:sz w:val="24"/>
          <w:szCs w:val="24"/>
          <w:lang w:val="es-AR"/>
        </w:rPr>
      </w:pPr>
      <w:r w:rsidRPr="00874D46">
        <w:rPr>
          <w:rFonts w:ascii="Times New Roman" w:hAnsi="Times New Roman"/>
          <w:b/>
          <w:bCs/>
          <w:sz w:val="24"/>
          <w:szCs w:val="24"/>
          <w:lang w:val="es-AR"/>
        </w:rPr>
        <w:t>g) Excepciones generales:</w:t>
      </w:r>
      <w:r w:rsidRPr="00874D46">
        <w:rPr>
          <w:rFonts w:ascii="Times New Roman" w:hAnsi="Times New Roman"/>
          <w:sz w:val="24"/>
          <w:szCs w:val="24"/>
          <w:lang w:val="es-AR"/>
        </w:rPr>
        <w:t xml:space="preserve"> se consisten en excepciones que se aplican a todos los estándares de trato previstos en el tratado, con el fin de salvaguardar las medidas que sean necesarias para el mantenimiento del orden público, la protección de intereses esenciales de seguridad, de la vida humana o del medio ambiente, entre otras. </w:t>
      </w:r>
      <w:r w:rsidRPr="00874D46">
        <w:rPr>
          <w:rFonts w:ascii="Times New Roman" w:hAnsi="Times New Roman"/>
          <w:sz w:val="24"/>
          <w:szCs w:val="24"/>
          <w:lang w:val="es-ES"/>
        </w:rPr>
        <w:t>Por ejemplo, TBI Argentina-Emiratos Árabes, a</w:t>
      </w:r>
      <w:proofErr w:type="spellStart"/>
      <w:r w:rsidRPr="00874D46">
        <w:rPr>
          <w:rFonts w:ascii="Times New Roman" w:hAnsi="Times New Roman"/>
          <w:sz w:val="24"/>
          <w:szCs w:val="24"/>
          <w:lang w:val="es-AR"/>
        </w:rPr>
        <w:t>rt</w:t>
      </w:r>
      <w:proofErr w:type="spellEnd"/>
      <w:r w:rsidRPr="00874D46">
        <w:rPr>
          <w:rFonts w:ascii="Times New Roman" w:hAnsi="Times New Roman"/>
          <w:sz w:val="24"/>
          <w:szCs w:val="24"/>
          <w:lang w:val="es-AR"/>
        </w:rPr>
        <w:t>. 18 (Medidas generales no prohibidas).</w:t>
      </w:r>
    </w:p>
    <w:p w:rsidR="00874D46" w:rsidRPr="00874D46" w:rsidRDefault="00874D46" w:rsidP="00874D46">
      <w:pPr>
        <w:spacing w:after="0" w:line="240" w:lineRule="auto"/>
        <w:jc w:val="both"/>
        <w:rPr>
          <w:rFonts w:ascii="Times New Roman" w:hAnsi="Times New Roman"/>
          <w:sz w:val="24"/>
          <w:szCs w:val="24"/>
          <w:lang w:val="es-AR"/>
        </w:rPr>
      </w:pPr>
      <w:r w:rsidRPr="00874D46">
        <w:rPr>
          <w:rFonts w:ascii="Times New Roman" w:hAnsi="Times New Roman"/>
          <w:sz w:val="24"/>
          <w:szCs w:val="24"/>
          <w:lang w:val="es-AR"/>
        </w:rPr>
        <w:t xml:space="preserve">Cabe señalar que una disposición de este tipo contenida en el TBI Argentina-Estados Unidos (art. XI) fue invocada por la Argentina en varios arbitrajes de inversión, siendo efectivamente aplicada por los tribunales en </w:t>
      </w:r>
      <w:r w:rsidRPr="00874D46">
        <w:rPr>
          <w:rFonts w:ascii="Times New Roman" w:hAnsi="Times New Roman"/>
          <w:i/>
          <w:iCs/>
          <w:sz w:val="24"/>
          <w:szCs w:val="24"/>
          <w:lang w:val="es-AR"/>
        </w:rPr>
        <w:t>Continental</w:t>
      </w:r>
      <w:r w:rsidRPr="00874D46">
        <w:rPr>
          <w:rFonts w:ascii="Times New Roman" w:hAnsi="Times New Roman"/>
          <w:sz w:val="24"/>
          <w:szCs w:val="24"/>
          <w:lang w:val="es-AR"/>
        </w:rPr>
        <w:t xml:space="preserve">, Caso CIADI No. ARB/03/9, </w:t>
      </w:r>
      <w:hyperlink r:id="rId11" w:history="1">
        <w:r w:rsidRPr="00874D46">
          <w:rPr>
            <w:rStyle w:val="Hipervnculo"/>
            <w:rFonts w:ascii="Times New Roman" w:hAnsi="Times New Roman"/>
            <w:sz w:val="24"/>
            <w:szCs w:val="24"/>
            <w:lang w:val="es-AR"/>
          </w:rPr>
          <w:t>Laudo</w:t>
        </w:r>
      </w:hyperlink>
      <w:r w:rsidRPr="00874D46">
        <w:rPr>
          <w:rFonts w:ascii="Times New Roman" w:hAnsi="Times New Roman"/>
          <w:sz w:val="24"/>
          <w:szCs w:val="24"/>
          <w:lang w:val="es-AR"/>
        </w:rPr>
        <w:t xml:space="preserve"> (párr. 162 y </w:t>
      </w:r>
      <w:proofErr w:type="spellStart"/>
      <w:r w:rsidRPr="00874D46">
        <w:rPr>
          <w:rFonts w:ascii="Times New Roman" w:hAnsi="Times New Roman"/>
          <w:sz w:val="24"/>
          <w:szCs w:val="24"/>
          <w:lang w:val="es-AR"/>
        </w:rPr>
        <w:t>ss</w:t>
      </w:r>
      <w:proofErr w:type="spellEnd"/>
      <w:r w:rsidRPr="00874D46">
        <w:rPr>
          <w:rFonts w:ascii="Times New Roman" w:hAnsi="Times New Roman"/>
          <w:sz w:val="24"/>
          <w:szCs w:val="24"/>
          <w:lang w:val="es-AR"/>
        </w:rPr>
        <w:t xml:space="preserve">) y </w:t>
      </w:r>
      <w:r w:rsidRPr="00874D46">
        <w:rPr>
          <w:rFonts w:ascii="Times New Roman" w:hAnsi="Times New Roman"/>
          <w:i/>
          <w:iCs/>
          <w:sz w:val="24"/>
          <w:szCs w:val="24"/>
          <w:lang w:val="es-AR"/>
        </w:rPr>
        <w:t>LG&amp;E</w:t>
      </w:r>
      <w:r w:rsidRPr="00874D46">
        <w:rPr>
          <w:rFonts w:ascii="Times New Roman" w:hAnsi="Times New Roman"/>
          <w:sz w:val="24"/>
          <w:szCs w:val="24"/>
          <w:lang w:val="es-AR"/>
        </w:rPr>
        <w:t xml:space="preserve">, Caso CIADI No. ARB/02/1, </w:t>
      </w:r>
      <w:hyperlink r:id="rId12" w:history="1">
        <w:r w:rsidRPr="00874D46">
          <w:rPr>
            <w:rStyle w:val="Hipervnculo"/>
            <w:rFonts w:ascii="Times New Roman" w:hAnsi="Times New Roman"/>
            <w:sz w:val="24"/>
            <w:szCs w:val="24"/>
            <w:lang w:val="es-AR"/>
          </w:rPr>
          <w:t>Decisión sobre responsabilidad</w:t>
        </w:r>
      </w:hyperlink>
      <w:r w:rsidRPr="00874D46">
        <w:rPr>
          <w:rFonts w:ascii="Times New Roman" w:hAnsi="Times New Roman"/>
          <w:sz w:val="24"/>
          <w:szCs w:val="24"/>
          <w:lang w:val="es-AR"/>
        </w:rPr>
        <w:t xml:space="preserve"> (párr. 204 y ss.).</w:t>
      </w:r>
    </w:p>
    <w:p w:rsidR="00874D46" w:rsidRPr="00874D46" w:rsidRDefault="00E2419B" w:rsidP="00E2419B">
      <w:pPr>
        <w:spacing w:after="0" w:line="240" w:lineRule="auto"/>
        <w:jc w:val="right"/>
        <w:rPr>
          <w:rFonts w:ascii="Times New Roman" w:hAnsi="Times New Roman"/>
          <w:sz w:val="24"/>
          <w:szCs w:val="24"/>
          <w:lang w:val="es-AR"/>
        </w:rPr>
      </w:pPr>
      <w:r>
        <w:rPr>
          <w:rFonts w:ascii="Times New Roman" w:hAnsi="Times New Roman"/>
          <w:sz w:val="24"/>
          <w:szCs w:val="24"/>
          <w:lang w:val="es-AR"/>
        </w:rPr>
        <w:t>2/4</w:t>
      </w:r>
    </w:p>
    <w:p w:rsidR="00874D46" w:rsidRPr="00874D46" w:rsidRDefault="00874D46" w:rsidP="00874D46">
      <w:pPr>
        <w:numPr>
          <w:ilvl w:val="0"/>
          <w:numId w:val="2"/>
        </w:numPr>
        <w:spacing w:after="0" w:line="240" w:lineRule="auto"/>
        <w:jc w:val="both"/>
        <w:rPr>
          <w:rFonts w:ascii="Times New Roman" w:hAnsi="Times New Roman"/>
          <w:sz w:val="24"/>
          <w:szCs w:val="24"/>
          <w:lang w:val="es-AR"/>
        </w:rPr>
      </w:pPr>
      <w:r w:rsidRPr="00874D46">
        <w:rPr>
          <w:rFonts w:ascii="Times New Roman" w:hAnsi="Times New Roman"/>
          <w:sz w:val="24"/>
          <w:szCs w:val="24"/>
          <w:lang w:val="es-AR"/>
        </w:rPr>
        <w:lastRenderedPageBreak/>
        <w:t xml:space="preserve">Otros ámbitos donde suelen aparecer cláusulas relacionadas con los derechos humanos y las inversiones son los de las situaciones de conflicto armado u otros tipos de emergencia. En estos casos, los acuerdos de inversión contemplan dos tipos de cláusulas. Por un lado, excepciones de seguridad (como el art. 18 del TBI Argentina-Emiratos Árabes). Por otro lado, cláusulas específicas sobre situaciones de emergencia, en las cuales se establece como única obligación, la de no discriminar respecto de otros inversores nacionales o extranjeros en cuanto a cualquier medida que se adopte con relación a las pérdidas sufridas. Por ejemplo, TBI Argentina-Emiratos Árabes, art. 8 (Trato en caso de conflicto armado o civil). </w:t>
      </w:r>
    </w:p>
    <w:p w:rsidR="00874D46" w:rsidRPr="00874D46" w:rsidRDefault="00874D46" w:rsidP="00874D46">
      <w:pPr>
        <w:spacing w:after="0" w:line="240" w:lineRule="auto"/>
        <w:jc w:val="both"/>
        <w:rPr>
          <w:rFonts w:ascii="Times New Roman" w:hAnsi="Times New Roman"/>
          <w:sz w:val="24"/>
          <w:szCs w:val="24"/>
          <w:lang w:val="es-AR"/>
        </w:rPr>
      </w:pPr>
    </w:p>
    <w:p w:rsidR="00874D46" w:rsidRPr="00874D46" w:rsidRDefault="00874D46" w:rsidP="00874D46">
      <w:pPr>
        <w:numPr>
          <w:ilvl w:val="0"/>
          <w:numId w:val="2"/>
        </w:numPr>
        <w:spacing w:after="0" w:line="240" w:lineRule="auto"/>
        <w:jc w:val="both"/>
        <w:rPr>
          <w:rFonts w:ascii="Times New Roman" w:hAnsi="Times New Roman"/>
          <w:sz w:val="24"/>
          <w:szCs w:val="24"/>
          <w:lang w:val="es-AR"/>
        </w:rPr>
      </w:pPr>
      <w:r w:rsidRPr="00874D46">
        <w:rPr>
          <w:rFonts w:ascii="Times New Roman" w:hAnsi="Times New Roman"/>
          <w:sz w:val="24"/>
          <w:szCs w:val="24"/>
          <w:lang w:val="es-AR"/>
        </w:rPr>
        <w:t>En el contexto de la pandemia por el COVID-19, las negociaciones de los tratados se han desacelerado y, por el momento, no se visualizan nuevos enfoques en los acuerdos de inversión o en los mecanismos de solución de controversias. Previo a la pandemia, se negociaban disposiciones que dejaran a salvo las medidas que pudiera adoptar el Estado receptor de la inversión en materia de salud pública. A título de ejemplo, el Acuerdo Comercial Argentina-Chile, art. 8.8 (Expropiación e indemnización), inciso 2.d.</w:t>
      </w:r>
    </w:p>
    <w:p w:rsidR="00874D46" w:rsidRPr="00874D46" w:rsidRDefault="00874D46" w:rsidP="00874D46">
      <w:pPr>
        <w:spacing w:after="0" w:line="240" w:lineRule="auto"/>
        <w:jc w:val="both"/>
        <w:rPr>
          <w:rFonts w:ascii="Times New Roman" w:hAnsi="Times New Roman"/>
          <w:sz w:val="24"/>
          <w:szCs w:val="24"/>
          <w:lang w:val="es-AR"/>
        </w:rPr>
      </w:pPr>
    </w:p>
    <w:p w:rsidR="00874D46" w:rsidRPr="00874D46" w:rsidRDefault="00874D46" w:rsidP="00874D46">
      <w:pPr>
        <w:numPr>
          <w:ilvl w:val="0"/>
          <w:numId w:val="2"/>
        </w:numPr>
        <w:spacing w:after="0" w:line="240" w:lineRule="auto"/>
        <w:jc w:val="both"/>
        <w:rPr>
          <w:rFonts w:ascii="Times New Roman" w:hAnsi="Times New Roman"/>
          <w:sz w:val="24"/>
          <w:szCs w:val="24"/>
          <w:lang w:val="es-ES"/>
        </w:rPr>
      </w:pPr>
      <w:r w:rsidRPr="00874D46">
        <w:rPr>
          <w:rFonts w:ascii="Times New Roman" w:hAnsi="Times New Roman"/>
          <w:sz w:val="24"/>
          <w:szCs w:val="24"/>
          <w:lang w:val="es-AR"/>
        </w:rPr>
        <w:t xml:space="preserve">En el marco del mecanismo de solución de controversias inversor-Estado, el arbitraje </w:t>
      </w:r>
      <w:proofErr w:type="spellStart"/>
      <w:r w:rsidRPr="00874D46">
        <w:rPr>
          <w:rFonts w:ascii="Times New Roman" w:hAnsi="Times New Roman"/>
          <w:i/>
          <w:sz w:val="24"/>
          <w:szCs w:val="24"/>
          <w:lang w:val="es-ES"/>
        </w:rPr>
        <w:t>Urbaser</w:t>
      </w:r>
      <w:proofErr w:type="spellEnd"/>
      <w:r w:rsidRPr="00874D46">
        <w:rPr>
          <w:rFonts w:ascii="Times New Roman" w:hAnsi="Times New Roman"/>
          <w:sz w:val="24"/>
          <w:szCs w:val="24"/>
          <w:lang w:val="es-ES"/>
        </w:rPr>
        <w:t>, caso CIADI No. ARB/07/26, en el que la</w:t>
      </w:r>
      <w:r w:rsidRPr="00874D46">
        <w:rPr>
          <w:rFonts w:ascii="Times New Roman" w:hAnsi="Times New Roman"/>
          <w:sz w:val="24"/>
          <w:szCs w:val="24"/>
          <w:lang w:val="es-AR"/>
        </w:rPr>
        <w:t xml:space="preserve"> República Argentina presentó una reconvención vinculada a derechos humanos, representa un precedente en la materia</w:t>
      </w:r>
      <w:r w:rsidRPr="00874D46">
        <w:rPr>
          <w:rFonts w:ascii="Times New Roman" w:hAnsi="Times New Roman"/>
          <w:sz w:val="24"/>
          <w:szCs w:val="24"/>
          <w:lang w:val="es-ES"/>
        </w:rPr>
        <w:t>. La Argentina alegó que la empresa extranjera, al no realizar las inversiones a las que se había obligado, afectó no solo disposiciones contractuales, sino derechos humanos básicos, tales como la salud y el medio ambiente de miles de personas que, en su mayoría, vivían en la extrema pobreza. El tribunal arbitral admitió formalmente la recusación y reconoció que los inversores podían tener obligaciones en materia de derechos humanos. Incluso reconoció que "el derecho internacional acepta la responsabilidad social de las empresas como un estándar de vital importancia para aquellas empresas que operan en el ámbito del comercio internacional. Dicho estándar incluye obligaciones de cumplir con los derechos humanos en el marco de las operaciones de tales empresas en países distintos a su país de origen o registro" (</w:t>
      </w:r>
      <w:hyperlink r:id="rId13" w:history="1">
        <w:r w:rsidRPr="00874D46">
          <w:rPr>
            <w:rStyle w:val="Hipervnculo"/>
            <w:rFonts w:ascii="Times New Roman" w:hAnsi="Times New Roman"/>
            <w:sz w:val="24"/>
            <w:szCs w:val="24"/>
            <w:lang w:val="es-ES"/>
          </w:rPr>
          <w:t>Laudo</w:t>
        </w:r>
      </w:hyperlink>
      <w:r w:rsidRPr="00874D46">
        <w:rPr>
          <w:rFonts w:ascii="Times New Roman" w:hAnsi="Times New Roman"/>
          <w:sz w:val="24"/>
          <w:szCs w:val="24"/>
          <w:u w:val="single"/>
          <w:lang w:val="es-ES"/>
        </w:rPr>
        <w:t xml:space="preserve">, </w:t>
      </w:r>
      <w:r w:rsidRPr="00874D46">
        <w:rPr>
          <w:rFonts w:ascii="Times New Roman" w:hAnsi="Times New Roman"/>
          <w:sz w:val="24"/>
          <w:szCs w:val="24"/>
          <w:lang w:val="es-ES"/>
        </w:rPr>
        <w:t>párr. 1195). Sin embargo, de acuerdo con el tribunal, la empresa concesionaria no tenía ninguna obligación contractual de garantizar a la población el derecho humano al agua. En sus palabras, "garantizar el derecho humano al agua representa una obligación de hacer. Esa obligación recae en los Estados y no es posible imponerla a una empresa conocedora del ámbito del suministro de servicios de agua y saneamiento. Para que esa obligación de hacer sea aplicable a un inversor particular, es necesario un contrato o una relación jurídica similar de derecho civil y comercial. En ese caso, la fuente de la obligación de hacer del inversor es el derecho local y no el derecho internacional general" (</w:t>
      </w:r>
      <w:hyperlink r:id="rId14" w:history="1">
        <w:r w:rsidRPr="00874D46">
          <w:rPr>
            <w:rStyle w:val="Hipervnculo"/>
            <w:rFonts w:ascii="Times New Roman" w:hAnsi="Times New Roman"/>
            <w:sz w:val="24"/>
            <w:szCs w:val="24"/>
            <w:lang w:val="es-ES"/>
          </w:rPr>
          <w:t>Laudo</w:t>
        </w:r>
      </w:hyperlink>
      <w:r w:rsidRPr="00874D46">
        <w:rPr>
          <w:rFonts w:ascii="Times New Roman" w:hAnsi="Times New Roman"/>
          <w:sz w:val="24"/>
          <w:szCs w:val="24"/>
          <w:u w:val="single"/>
          <w:lang w:val="es-ES"/>
        </w:rPr>
        <w:t>,</w:t>
      </w:r>
      <w:r w:rsidRPr="00874D46">
        <w:rPr>
          <w:rFonts w:ascii="Times New Roman" w:hAnsi="Times New Roman"/>
          <w:sz w:val="24"/>
          <w:szCs w:val="24"/>
          <w:lang w:val="es-ES"/>
        </w:rPr>
        <w:t xml:space="preserve"> párr. 1210). Por ello, la reconvención en cuanto al fondo fue rechazada. </w:t>
      </w:r>
    </w:p>
    <w:p w:rsidR="00874D46" w:rsidRPr="00874D46" w:rsidRDefault="00874D46" w:rsidP="00874D46">
      <w:pPr>
        <w:spacing w:after="0" w:line="240" w:lineRule="auto"/>
        <w:jc w:val="both"/>
        <w:rPr>
          <w:rFonts w:ascii="Times New Roman" w:hAnsi="Times New Roman"/>
          <w:sz w:val="24"/>
          <w:szCs w:val="24"/>
          <w:lang w:val="es-ES"/>
        </w:rPr>
      </w:pPr>
    </w:p>
    <w:p w:rsidR="00874D46" w:rsidRDefault="00874D46" w:rsidP="00874D46">
      <w:pPr>
        <w:numPr>
          <w:ilvl w:val="0"/>
          <w:numId w:val="2"/>
        </w:numPr>
        <w:spacing w:after="0" w:line="240" w:lineRule="auto"/>
        <w:jc w:val="both"/>
        <w:rPr>
          <w:rFonts w:ascii="Times New Roman" w:hAnsi="Times New Roman"/>
          <w:sz w:val="24"/>
          <w:szCs w:val="24"/>
          <w:lang w:val="es-ES"/>
        </w:rPr>
      </w:pPr>
      <w:r w:rsidRPr="00874D46">
        <w:rPr>
          <w:rFonts w:ascii="Times New Roman" w:hAnsi="Times New Roman"/>
          <w:sz w:val="24"/>
          <w:szCs w:val="24"/>
          <w:lang w:val="es-ES"/>
        </w:rPr>
        <w:t xml:space="preserve">Por otra parte, la República Argentina invocó obligaciones en materia de derechos humanos en numerosos arbitrajes de inversión. Ello llevó a los tribunales a analizar la relación entre los derechos humanos y los tratados de inversión. A título de ejemplo, se citan las decisiones adoptadas en algunos de estos procedimientos arbitrales: </w:t>
      </w:r>
    </w:p>
    <w:p w:rsidR="00E2419B" w:rsidRDefault="00E2419B" w:rsidP="00E2419B">
      <w:pPr>
        <w:pStyle w:val="Prrafodelista"/>
        <w:jc w:val="right"/>
        <w:rPr>
          <w:rFonts w:ascii="Times New Roman" w:hAnsi="Times New Roman"/>
          <w:sz w:val="24"/>
          <w:szCs w:val="24"/>
          <w:lang w:val="es-ES"/>
        </w:rPr>
      </w:pPr>
      <w:r>
        <w:rPr>
          <w:rFonts w:ascii="Times New Roman" w:hAnsi="Times New Roman"/>
          <w:sz w:val="24"/>
          <w:szCs w:val="24"/>
          <w:lang w:val="es-ES"/>
        </w:rPr>
        <w:t>3/4</w:t>
      </w:r>
    </w:p>
    <w:p w:rsidR="00E2419B" w:rsidRPr="00874D46" w:rsidRDefault="00E2419B" w:rsidP="00E2419B">
      <w:pPr>
        <w:spacing w:after="0" w:line="240" w:lineRule="auto"/>
        <w:ind w:left="360"/>
        <w:jc w:val="both"/>
        <w:rPr>
          <w:rFonts w:ascii="Times New Roman" w:hAnsi="Times New Roman"/>
          <w:sz w:val="24"/>
          <w:szCs w:val="24"/>
          <w:lang w:val="es-ES"/>
        </w:rPr>
      </w:pPr>
    </w:p>
    <w:p w:rsidR="00874D46" w:rsidRPr="00874D46" w:rsidRDefault="00874D46" w:rsidP="00874D46">
      <w:pPr>
        <w:spacing w:after="0" w:line="240" w:lineRule="auto"/>
        <w:jc w:val="both"/>
        <w:rPr>
          <w:rFonts w:ascii="Times New Roman" w:hAnsi="Times New Roman"/>
          <w:sz w:val="24"/>
          <w:szCs w:val="24"/>
          <w:lang w:val="es-ES"/>
        </w:rPr>
      </w:pPr>
      <w:r w:rsidRPr="00874D46">
        <w:rPr>
          <w:rFonts w:ascii="Times New Roman" w:hAnsi="Times New Roman"/>
          <w:sz w:val="24"/>
          <w:szCs w:val="24"/>
          <w:lang w:val="es-AR"/>
        </w:rPr>
        <w:t xml:space="preserve">- </w:t>
      </w:r>
      <w:r w:rsidRPr="00874D46">
        <w:rPr>
          <w:rFonts w:ascii="Times New Roman" w:hAnsi="Times New Roman"/>
          <w:i/>
          <w:iCs/>
          <w:sz w:val="24"/>
          <w:szCs w:val="24"/>
          <w:lang w:val="es-ES"/>
        </w:rPr>
        <w:t>CMS</w:t>
      </w:r>
      <w:r w:rsidRPr="00874D46">
        <w:rPr>
          <w:rFonts w:ascii="Times New Roman" w:hAnsi="Times New Roman"/>
          <w:sz w:val="24"/>
          <w:szCs w:val="24"/>
          <w:lang w:val="es-ES"/>
        </w:rPr>
        <w:t xml:space="preserve">, caso CIADI No. ARB/01/8, </w:t>
      </w:r>
      <w:hyperlink r:id="rId15" w:history="1">
        <w:r w:rsidRPr="00874D46">
          <w:rPr>
            <w:rStyle w:val="Hipervnculo"/>
            <w:rFonts w:ascii="Times New Roman" w:hAnsi="Times New Roman"/>
            <w:sz w:val="24"/>
            <w:szCs w:val="24"/>
            <w:lang w:val="es-ES"/>
          </w:rPr>
          <w:t>Laudo</w:t>
        </w:r>
      </w:hyperlink>
      <w:r w:rsidRPr="00874D46">
        <w:rPr>
          <w:rFonts w:ascii="Times New Roman" w:hAnsi="Times New Roman"/>
          <w:sz w:val="24"/>
          <w:szCs w:val="24"/>
          <w:lang w:val="es-ES"/>
        </w:rPr>
        <w:t xml:space="preserve"> (párr. 114 y </w:t>
      </w:r>
      <w:proofErr w:type="spellStart"/>
      <w:r w:rsidRPr="00874D46">
        <w:rPr>
          <w:rFonts w:ascii="Times New Roman" w:hAnsi="Times New Roman"/>
          <w:sz w:val="24"/>
          <w:szCs w:val="24"/>
          <w:lang w:val="es-ES"/>
        </w:rPr>
        <w:t>ss</w:t>
      </w:r>
      <w:proofErr w:type="spellEnd"/>
      <w:r w:rsidRPr="00874D46">
        <w:rPr>
          <w:rFonts w:ascii="Times New Roman" w:hAnsi="Times New Roman"/>
          <w:sz w:val="24"/>
          <w:szCs w:val="24"/>
          <w:lang w:val="es-ES"/>
        </w:rPr>
        <w:t>)</w:t>
      </w:r>
    </w:p>
    <w:p w:rsidR="00874D46" w:rsidRPr="00874D46" w:rsidRDefault="00874D46" w:rsidP="00874D46">
      <w:pPr>
        <w:spacing w:after="0" w:line="240" w:lineRule="auto"/>
        <w:jc w:val="both"/>
        <w:rPr>
          <w:rFonts w:ascii="Times New Roman" w:hAnsi="Times New Roman"/>
          <w:sz w:val="24"/>
          <w:szCs w:val="24"/>
          <w:lang w:val="es-AR"/>
        </w:rPr>
      </w:pPr>
      <w:r w:rsidRPr="00874D46">
        <w:rPr>
          <w:rFonts w:ascii="Times New Roman" w:hAnsi="Times New Roman"/>
          <w:sz w:val="24"/>
          <w:szCs w:val="24"/>
          <w:lang w:val="es-AR"/>
        </w:rPr>
        <w:t xml:space="preserve">- </w:t>
      </w:r>
      <w:proofErr w:type="spellStart"/>
      <w:r w:rsidRPr="00874D46">
        <w:rPr>
          <w:rFonts w:ascii="Times New Roman" w:hAnsi="Times New Roman"/>
          <w:i/>
          <w:iCs/>
          <w:sz w:val="24"/>
          <w:szCs w:val="24"/>
          <w:lang w:val="es-ES"/>
        </w:rPr>
        <w:t>Azurix</w:t>
      </w:r>
      <w:proofErr w:type="spellEnd"/>
      <w:r w:rsidRPr="00874D46">
        <w:rPr>
          <w:rFonts w:ascii="Times New Roman" w:hAnsi="Times New Roman"/>
          <w:sz w:val="24"/>
          <w:szCs w:val="24"/>
          <w:lang w:val="es-AR"/>
        </w:rPr>
        <w:t xml:space="preserve">, </w:t>
      </w:r>
      <w:r w:rsidRPr="00874D46">
        <w:rPr>
          <w:rFonts w:ascii="Times New Roman" w:hAnsi="Times New Roman"/>
          <w:sz w:val="24"/>
          <w:szCs w:val="24"/>
          <w:lang w:val="es-ES"/>
        </w:rPr>
        <w:t>caso CIADI No. ARB/01/12</w:t>
      </w:r>
      <w:r w:rsidRPr="00874D46">
        <w:rPr>
          <w:rFonts w:ascii="Times New Roman" w:hAnsi="Times New Roman"/>
          <w:sz w:val="24"/>
          <w:szCs w:val="24"/>
          <w:lang w:val="es-AR"/>
        </w:rPr>
        <w:t xml:space="preserve">, </w:t>
      </w:r>
      <w:hyperlink r:id="rId16" w:history="1">
        <w:r w:rsidRPr="00874D46">
          <w:rPr>
            <w:rStyle w:val="Hipervnculo"/>
            <w:rFonts w:ascii="Times New Roman" w:hAnsi="Times New Roman"/>
            <w:sz w:val="24"/>
            <w:szCs w:val="24"/>
            <w:lang w:val="es-AR"/>
          </w:rPr>
          <w:t>Laudo</w:t>
        </w:r>
      </w:hyperlink>
      <w:r w:rsidRPr="00874D46">
        <w:rPr>
          <w:rFonts w:ascii="Times New Roman" w:hAnsi="Times New Roman"/>
          <w:sz w:val="24"/>
          <w:szCs w:val="24"/>
          <w:lang w:val="es-AR"/>
        </w:rPr>
        <w:t xml:space="preserve"> (párr. 254 y </w:t>
      </w:r>
      <w:proofErr w:type="spellStart"/>
      <w:r w:rsidRPr="00874D46">
        <w:rPr>
          <w:rFonts w:ascii="Times New Roman" w:hAnsi="Times New Roman"/>
          <w:sz w:val="24"/>
          <w:szCs w:val="24"/>
          <w:lang w:val="es-AR"/>
        </w:rPr>
        <w:t>ss</w:t>
      </w:r>
      <w:proofErr w:type="spellEnd"/>
      <w:r w:rsidRPr="00874D46">
        <w:rPr>
          <w:rFonts w:ascii="Times New Roman" w:hAnsi="Times New Roman"/>
          <w:sz w:val="24"/>
          <w:szCs w:val="24"/>
          <w:lang w:val="es-AR"/>
        </w:rPr>
        <w:t>)</w:t>
      </w:r>
    </w:p>
    <w:p w:rsidR="00874D46" w:rsidRPr="00874D46" w:rsidRDefault="00874D46" w:rsidP="00874D46">
      <w:pPr>
        <w:spacing w:after="0" w:line="240" w:lineRule="auto"/>
        <w:jc w:val="both"/>
        <w:rPr>
          <w:rFonts w:ascii="Times New Roman" w:hAnsi="Times New Roman"/>
          <w:sz w:val="24"/>
          <w:szCs w:val="24"/>
          <w:lang w:val="es-ES"/>
        </w:rPr>
      </w:pPr>
      <w:r w:rsidRPr="00874D46">
        <w:rPr>
          <w:rFonts w:ascii="Times New Roman" w:hAnsi="Times New Roman"/>
          <w:sz w:val="24"/>
          <w:szCs w:val="24"/>
          <w:lang w:val="es-AR"/>
        </w:rPr>
        <w:t xml:space="preserve">- </w:t>
      </w:r>
      <w:proofErr w:type="spellStart"/>
      <w:r w:rsidRPr="00874D46">
        <w:rPr>
          <w:rFonts w:ascii="Times New Roman" w:hAnsi="Times New Roman"/>
          <w:i/>
          <w:iCs/>
          <w:sz w:val="24"/>
          <w:szCs w:val="24"/>
          <w:lang w:val="es-ES"/>
        </w:rPr>
        <w:t>Saur</w:t>
      </w:r>
      <w:proofErr w:type="spellEnd"/>
      <w:r w:rsidRPr="00874D46">
        <w:rPr>
          <w:rFonts w:ascii="Times New Roman" w:hAnsi="Times New Roman"/>
          <w:sz w:val="24"/>
          <w:szCs w:val="24"/>
          <w:lang w:val="es-AR"/>
        </w:rPr>
        <w:t xml:space="preserve">, </w:t>
      </w:r>
      <w:r w:rsidRPr="00874D46">
        <w:rPr>
          <w:rFonts w:ascii="Times New Roman" w:hAnsi="Times New Roman"/>
          <w:sz w:val="24"/>
          <w:szCs w:val="24"/>
          <w:lang w:val="es-ES"/>
        </w:rPr>
        <w:t xml:space="preserve">caso CIADI No. ARB/04/4, </w:t>
      </w:r>
      <w:hyperlink r:id="rId17" w:history="1">
        <w:r w:rsidRPr="00874D46">
          <w:rPr>
            <w:rStyle w:val="Hipervnculo"/>
            <w:rFonts w:ascii="Times New Roman" w:hAnsi="Times New Roman"/>
            <w:sz w:val="24"/>
            <w:szCs w:val="24"/>
            <w:lang w:val="es-ES"/>
          </w:rPr>
          <w:t>Decisión sobre jurisdicción y responsabilidad</w:t>
        </w:r>
      </w:hyperlink>
      <w:r w:rsidRPr="00874D46">
        <w:rPr>
          <w:rFonts w:ascii="Times New Roman" w:hAnsi="Times New Roman"/>
          <w:sz w:val="24"/>
          <w:szCs w:val="24"/>
          <w:lang w:val="es-ES"/>
        </w:rPr>
        <w:t xml:space="preserve"> (párr. 328 y </w:t>
      </w:r>
      <w:proofErr w:type="spellStart"/>
      <w:r w:rsidRPr="00874D46">
        <w:rPr>
          <w:rFonts w:ascii="Times New Roman" w:hAnsi="Times New Roman"/>
          <w:sz w:val="24"/>
          <w:szCs w:val="24"/>
          <w:lang w:val="es-ES"/>
        </w:rPr>
        <w:t>ss</w:t>
      </w:r>
      <w:proofErr w:type="spellEnd"/>
      <w:r w:rsidRPr="00874D46">
        <w:rPr>
          <w:rFonts w:ascii="Times New Roman" w:hAnsi="Times New Roman"/>
          <w:sz w:val="24"/>
          <w:szCs w:val="24"/>
          <w:lang w:val="es-ES"/>
        </w:rPr>
        <w:t xml:space="preserve">) </w:t>
      </w:r>
    </w:p>
    <w:p w:rsidR="00874D46" w:rsidRPr="00874D46" w:rsidRDefault="00874D46" w:rsidP="00874D46">
      <w:pPr>
        <w:spacing w:after="0" w:line="240" w:lineRule="auto"/>
        <w:jc w:val="both"/>
        <w:rPr>
          <w:rFonts w:ascii="Times New Roman" w:hAnsi="Times New Roman"/>
          <w:sz w:val="24"/>
          <w:szCs w:val="24"/>
          <w:lang w:val="es-AR"/>
        </w:rPr>
      </w:pPr>
      <w:r w:rsidRPr="00874D46">
        <w:rPr>
          <w:rFonts w:ascii="Times New Roman" w:hAnsi="Times New Roman"/>
          <w:sz w:val="24"/>
          <w:szCs w:val="24"/>
          <w:lang w:val="es-AR"/>
        </w:rPr>
        <w:t xml:space="preserve">- </w:t>
      </w:r>
      <w:r w:rsidRPr="00874D46">
        <w:rPr>
          <w:rFonts w:ascii="Times New Roman" w:hAnsi="Times New Roman"/>
          <w:i/>
          <w:iCs/>
          <w:sz w:val="24"/>
          <w:szCs w:val="24"/>
          <w:lang w:val="es-ES"/>
        </w:rPr>
        <w:t>EDF</w:t>
      </w:r>
      <w:r w:rsidRPr="00874D46">
        <w:rPr>
          <w:rFonts w:ascii="Times New Roman" w:hAnsi="Times New Roman"/>
          <w:sz w:val="24"/>
          <w:szCs w:val="24"/>
          <w:lang w:val="es-AR"/>
        </w:rPr>
        <w:t>,</w:t>
      </w:r>
      <w:r w:rsidRPr="00874D46">
        <w:rPr>
          <w:rFonts w:ascii="Times New Roman" w:hAnsi="Times New Roman"/>
          <w:sz w:val="24"/>
          <w:szCs w:val="24"/>
          <w:lang w:val="es-ES"/>
        </w:rPr>
        <w:t xml:space="preserve"> caso CIADI No. ARB/</w:t>
      </w:r>
      <w:r w:rsidRPr="00874D46">
        <w:rPr>
          <w:rFonts w:ascii="Times New Roman" w:hAnsi="Times New Roman"/>
          <w:sz w:val="24"/>
          <w:szCs w:val="24"/>
          <w:lang w:val="es-AR"/>
        </w:rPr>
        <w:t xml:space="preserve">03/23, </w:t>
      </w:r>
      <w:hyperlink r:id="rId18" w:history="1">
        <w:r w:rsidRPr="00874D46">
          <w:rPr>
            <w:rStyle w:val="Hipervnculo"/>
            <w:rFonts w:ascii="Times New Roman" w:hAnsi="Times New Roman"/>
            <w:sz w:val="24"/>
            <w:szCs w:val="24"/>
            <w:lang w:val="es-AR"/>
          </w:rPr>
          <w:t>Laudo</w:t>
        </w:r>
      </w:hyperlink>
      <w:r w:rsidRPr="00874D46">
        <w:rPr>
          <w:rFonts w:ascii="Times New Roman" w:hAnsi="Times New Roman"/>
          <w:sz w:val="24"/>
          <w:szCs w:val="24"/>
          <w:lang w:val="es-AR"/>
        </w:rPr>
        <w:t xml:space="preserve"> (párr. 909-914)</w:t>
      </w:r>
    </w:p>
    <w:p w:rsidR="00874D46" w:rsidRPr="00874D46" w:rsidRDefault="00874D46" w:rsidP="00874D46">
      <w:pPr>
        <w:spacing w:after="0" w:line="240" w:lineRule="auto"/>
        <w:jc w:val="both"/>
        <w:rPr>
          <w:rFonts w:ascii="Times New Roman" w:hAnsi="Times New Roman"/>
          <w:sz w:val="24"/>
          <w:szCs w:val="24"/>
          <w:lang w:val="es-ES"/>
        </w:rPr>
      </w:pPr>
      <w:r w:rsidRPr="00874D46">
        <w:rPr>
          <w:rFonts w:ascii="Times New Roman" w:hAnsi="Times New Roman"/>
          <w:sz w:val="24"/>
          <w:szCs w:val="24"/>
          <w:lang w:val="es-AR"/>
        </w:rPr>
        <w:t xml:space="preserve">En varios de estos casos la República Argentina ha presentado informes de expertos en derechos humanos, por ejemplo, en </w:t>
      </w:r>
      <w:proofErr w:type="spellStart"/>
      <w:r w:rsidRPr="00874D46">
        <w:rPr>
          <w:rFonts w:ascii="Times New Roman" w:hAnsi="Times New Roman"/>
          <w:i/>
          <w:iCs/>
          <w:sz w:val="24"/>
          <w:szCs w:val="24"/>
          <w:lang w:val="es-ES"/>
        </w:rPr>
        <w:t>Saur</w:t>
      </w:r>
      <w:proofErr w:type="spellEnd"/>
      <w:r w:rsidRPr="00874D46">
        <w:rPr>
          <w:rFonts w:ascii="Times New Roman" w:hAnsi="Times New Roman"/>
          <w:sz w:val="24"/>
          <w:szCs w:val="24"/>
          <w:lang w:val="es-AR"/>
        </w:rPr>
        <w:t xml:space="preserve"> (párr. 330) y </w:t>
      </w:r>
      <w:r w:rsidRPr="00874D46">
        <w:rPr>
          <w:rFonts w:ascii="Times New Roman" w:hAnsi="Times New Roman"/>
          <w:i/>
          <w:iCs/>
          <w:sz w:val="24"/>
          <w:szCs w:val="24"/>
          <w:lang w:val="es-ES"/>
        </w:rPr>
        <w:t>EDF</w:t>
      </w:r>
      <w:r w:rsidRPr="00874D46">
        <w:rPr>
          <w:rFonts w:ascii="Times New Roman" w:hAnsi="Times New Roman"/>
          <w:sz w:val="24"/>
          <w:szCs w:val="24"/>
          <w:lang w:val="es-AR"/>
        </w:rPr>
        <w:t xml:space="preserve"> (párr. 194), entre otros.</w:t>
      </w:r>
    </w:p>
    <w:p w:rsidR="00874D46" w:rsidRPr="00874D46" w:rsidRDefault="00874D46" w:rsidP="00874D46">
      <w:pPr>
        <w:spacing w:after="0" w:line="240" w:lineRule="auto"/>
        <w:jc w:val="both"/>
        <w:rPr>
          <w:rFonts w:ascii="Times New Roman" w:hAnsi="Times New Roman"/>
          <w:sz w:val="24"/>
          <w:szCs w:val="24"/>
          <w:lang w:val="es-ES"/>
        </w:rPr>
      </w:pPr>
    </w:p>
    <w:p w:rsidR="00874D46" w:rsidRPr="00874D46" w:rsidRDefault="00874D46" w:rsidP="00874D46">
      <w:pPr>
        <w:numPr>
          <w:ilvl w:val="0"/>
          <w:numId w:val="2"/>
        </w:numPr>
        <w:spacing w:after="0" w:line="240" w:lineRule="auto"/>
        <w:jc w:val="both"/>
        <w:rPr>
          <w:rFonts w:ascii="Times New Roman" w:hAnsi="Times New Roman"/>
          <w:sz w:val="24"/>
          <w:szCs w:val="24"/>
          <w:lang w:val="es-AR"/>
        </w:rPr>
      </w:pPr>
      <w:r w:rsidRPr="00874D46">
        <w:rPr>
          <w:rFonts w:ascii="Times New Roman" w:hAnsi="Times New Roman"/>
          <w:sz w:val="24"/>
          <w:szCs w:val="24"/>
          <w:lang w:val="es-ES"/>
        </w:rPr>
        <w:t xml:space="preserve">En </w:t>
      </w:r>
      <w:r w:rsidRPr="00874D46">
        <w:rPr>
          <w:rFonts w:ascii="Times New Roman" w:hAnsi="Times New Roman"/>
          <w:i/>
          <w:iCs/>
          <w:sz w:val="24"/>
          <w:szCs w:val="24"/>
          <w:lang w:val="es-ES"/>
        </w:rPr>
        <w:t>Suez</w:t>
      </w:r>
      <w:r w:rsidRPr="00874D46">
        <w:rPr>
          <w:rFonts w:ascii="Times New Roman" w:hAnsi="Times New Roman"/>
          <w:sz w:val="24"/>
          <w:szCs w:val="24"/>
          <w:lang w:val="es-AR"/>
        </w:rPr>
        <w:t>,</w:t>
      </w:r>
      <w:r w:rsidRPr="00874D46">
        <w:rPr>
          <w:rFonts w:ascii="Times New Roman" w:hAnsi="Times New Roman"/>
          <w:sz w:val="24"/>
          <w:szCs w:val="24"/>
          <w:lang w:val="es-ES"/>
        </w:rPr>
        <w:t xml:space="preserve"> caso CIADI No. ARB/03/19, </w:t>
      </w:r>
      <w:hyperlink r:id="rId19" w:history="1">
        <w:r w:rsidRPr="00874D46">
          <w:rPr>
            <w:rStyle w:val="Hipervnculo"/>
            <w:rFonts w:ascii="Times New Roman" w:hAnsi="Times New Roman"/>
            <w:sz w:val="24"/>
            <w:szCs w:val="24"/>
            <w:lang w:val="es-ES"/>
          </w:rPr>
          <w:t>Decisión sobre responsabilidad</w:t>
        </w:r>
      </w:hyperlink>
      <w:r w:rsidRPr="00874D46">
        <w:rPr>
          <w:rFonts w:ascii="Times New Roman" w:hAnsi="Times New Roman"/>
          <w:sz w:val="24"/>
          <w:szCs w:val="24"/>
          <w:lang w:val="es-ES"/>
        </w:rPr>
        <w:t>, donde se invocó el derecho humano al agua potable (párr. 250 y ss.), hubo</w:t>
      </w:r>
      <w:r w:rsidRPr="00874D46">
        <w:rPr>
          <w:rFonts w:ascii="Times New Roman" w:hAnsi="Times New Roman"/>
          <w:sz w:val="24"/>
          <w:szCs w:val="24"/>
          <w:lang w:val="es-AR"/>
        </w:rPr>
        <w:t xml:space="preserve"> presentaciones en carácter de </w:t>
      </w:r>
      <w:proofErr w:type="spellStart"/>
      <w:r w:rsidRPr="00874D46">
        <w:rPr>
          <w:rFonts w:ascii="Times New Roman" w:hAnsi="Times New Roman"/>
          <w:i/>
          <w:iCs/>
          <w:sz w:val="24"/>
          <w:szCs w:val="24"/>
          <w:lang w:val="es-AR"/>
        </w:rPr>
        <w:t>amicus</w:t>
      </w:r>
      <w:proofErr w:type="spellEnd"/>
      <w:r w:rsidRPr="00874D46">
        <w:rPr>
          <w:rFonts w:ascii="Times New Roman" w:hAnsi="Times New Roman"/>
          <w:i/>
          <w:iCs/>
          <w:sz w:val="24"/>
          <w:szCs w:val="24"/>
          <w:lang w:val="es-AR"/>
        </w:rPr>
        <w:t xml:space="preserve"> </w:t>
      </w:r>
      <w:proofErr w:type="spellStart"/>
      <w:r w:rsidRPr="00874D46">
        <w:rPr>
          <w:rFonts w:ascii="Times New Roman" w:hAnsi="Times New Roman"/>
          <w:i/>
          <w:iCs/>
          <w:sz w:val="24"/>
          <w:szCs w:val="24"/>
          <w:lang w:val="es-AR"/>
        </w:rPr>
        <w:t>curiae</w:t>
      </w:r>
      <w:proofErr w:type="spellEnd"/>
      <w:r w:rsidRPr="00874D46">
        <w:rPr>
          <w:rFonts w:ascii="Times New Roman" w:hAnsi="Times New Roman"/>
          <w:sz w:val="24"/>
          <w:szCs w:val="24"/>
          <w:lang w:val="es-AR"/>
        </w:rPr>
        <w:t xml:space="preserve"> (</w:t>
      </w:r>
      <w:hyperlink r:id="rId20" w:history="1">
        <w:r w:rsidRPr="00874D46">
          <w:rPr>
            <w:rStyle w:val="Hipervnculo"/>
            <w:rFonts w:ascii="Times New Roman" w:hAnsi="Times New Roman"/>
            <w:sz w:val="24"/>
            <w:szCs w:val="24"/>
            <w:lang w:val="es-ES"/>
          </w:rPr>
          <w:t>Resolución</w:t>
        </w:r>
      </w:hyperlink>
      <w:r w:rsidRPr="00874D46">
        <w:rPr>
          <w:rFonts w:ascii="Times New Roman" w:hAnsi="Times New Roman"/>
          <w:sz w:val="24"/>
          <w:szCs w:val="24"/>
          <w:lang w:val="es-ES"/>
        </w:rPr>
        <w:t xml:space="preserve">, 19 de mayo de 2005 y </w:t>
      </w:r>
      <w:hyperlink r:id="rId21" w:history="1">
        <w:r w:rsidRPr="00874D46">
          <w:rPr>
            <w:rStyle w:val="Hipervnculo"/>
            <w:rFonts w:ascii="Times New Roman" w:hAnsi="Times New Roman"/>
            <w:sz w:val="24"/>
            <w:szCs w:val="24"/>
            <w:lang w:val="es-ES"/>
          </w:rPr>
          <w:t>Resolución</w:t>
        </w:r>
      </w:hyperlink>
      <w:r w:rsidRPr="00874D46">
        <w:rPr>
          <w:rFonts w:ascii="Times New Roman" w:hAnsi="Times New Roman"/>
          <w:sz w:val="24"/>
          <w:szCs w:val="24"/>
          <w:lang w:val="es-ES"/>
        </w:rPr>
        <w:t xml:space="preserve">, 12 de febrero de 2007). </w:t>
      </w:r>
    </w:p>
    <w:p w:rsidR="00404C26" w:rsidRPr="00404C26" w:rsidRDefault="00404C26" w:rsidP="00404C26">
      <w:pPr>
        <w:spacing w:after="0" w:line="240" w:lineRule="auto"/>
        <w:jc w:val="both"/>
        <w:rPr>
          <w:rFonts w:ascii="Times New Roman" w:hAnsi="Times New Roman"/>
          <w:sz w:val="24"/>
          <w:szCs w:val="24"/>
          <w:lang w:val="es-AR"/>
        </w:rPr>
      </w:pPr>
    </w:p>
    <w:p w:rsidR="00874D46" w:rsidRDefault="00874D46" w:rsidP="00404C26">
      <w:pPr>
        <w:spacing w:after="0" w:line="240" w:lineRule="auto"/>
        <w:jc w:val="both"/>
        <w:rPr>
          <w:rFonts w:ascii="Times New Roman" w:hAnsi="Times New Roman"/>
          <w:b/>
          <w:sz w:val="24"/>
          <w:szCs w:val="24"/>
          <w:lang w:val="es-AR"/>
        </w:rPr>
      </w:pPr>
    </w:p>
    <w:p w:rsidR="00874D46" w:rsidRPr="00874D46" w:rsidRDefault="00874D46" w:rsidP="00874D46">
      <w:pPr>
        <w:spacing w:after="0" w:line="240" w:lineRule="auto"/>
        <w:ind w:firstLine="708"/>
        <w:jc w:val="both"/>
        <w:rPr>
          <w:rFonts w:ascii="Times New Roman" w:hAnsi="Times New Roman"/>
          <w:sz w:val="24"/>
          <w:szCs w:val="24"/>
          <w:lang w:val="es-AR"/>
        </w:rPr>
      </w:pPr>
      <w:r w:rsidRPr="00874D46">
        <w:rPr>
          <w:rFonts w:ascii="Times New Roman" w:hAnsi="Times New Roman"/>
          <w:sz w:val="24"/>
          <w:szCs w:val="24"/>
          <w:lang w:val="es-AR"/>
        </w:rPr>
        <w:t>La Misión Permanente de la República Argentina ante los Organismos Internacionales en Ginebra hace propicia la oportunidad para reiterar a la Oficina del Alto Comisionado de las Naciones Unidas para los Derechos Humanos -</w:t>
      </w:r>
      <w:r w:rsidRPr="00874D46">
        <w:rPr>
          <w:rFonts w:ascii="Times New Roman" w:hAnsi="Times New Roman"/>
          <w:i/>
          <w:sz w:val="24"/>
          <w:szCs w:val="24"/>
          <w:lang w:val="es-AR"/>
        </w:rPr>
        <w:t xml:space="preserve"> Grupo de Trabajo sobre la cuestión de los derechos humanos y las empresas transnacionales y otras empresas</w:t>
      </w:r>
      <w:r w:rsidRPr="00874D46">
        <w:rPr>
          <w:rFonts w:ascii="Times New Roman" w:hAnsi="Times New Roman"/>
          <w:sz w:val="24"/>
          <w:szCs w:val="24"/>
          <w:lang w:val="es-AR"/>
        </w:rPr>
        <w:t xml:space="preserve"> - las seguridades de su más alta y d</w:t>
      </w:r>
      <w:bookmarkStart w:id="1" w:name="_GoBack"/>
      <w:bookmarkEnd w:id="1"/>
      <w:r w:rsidRPr="00874D46">
        <w:rPr>
          <w:rFonts w:ascii="Times New Roman" w:hAnsi="Times New Roman"/>
          <w:sz w:val="24"/>
          <w:szCs w:val="24"/>
          <w:lang w:val="es-AR"/>
        </w:rPr>
        <w:t>istinguida consideración.</w:t>
      </w:r>
    </w:p>
    <w:p w:rsidR="00874D46" w:rsidRPr="00874D46" w:rsidRDefault="00874D46" w:rsidP="00404C26">
      <w:pPr>
        <w:spacing w:after="0" w:line="240" w:lineRule="auto"/>
        <w:jc w:val="both"/>
        <w:rPr>
          <w:rFonts w:ascii="Times New Roman" w:hAnsi="Times New Roman"/>
          <w:sz w:val="24"/>
          <w:szCs w:val="24"/>
          <w:lang w:val="es-ES"/>
        </w:rPr>
      </w:pPr>
    </w:p>
    <w:p w:rsidR="00874D46" w:rsidRPr="00404C26" w:rsidRDefault="00874D46" w:rsidP="00404C26">
      <w:pPr>
        <w:spacing w:after="0" w:line="240" w:lineRule="auto"/>
        <w:jc w:val="both"/>
        <w:rPr>
          <w:rFonts w:ascii="Times New Roman" w:hAnsi="Times New Roman"/>
          <w:sz w:val="24"/>
          <w:szCs w:val="24"/>
          <w:lang w:val="es-AR"/>
        </w:rPr>
      </w:pPr>
    </w:p>
    <w:p w:rsidR="003C0F5F" w:rsidRDefault="00E2419B" w:rsidP="00E2419B">
      <w:pPr>
        <w:spacing w:after="0" w:line="240" w:lineRule="auto"/>
        <w:ind w:firstLine="1843"/>
        <w:jc w:val="right"/>
        <w:rPr>
          <w:rFonts w:ascii="Times New Roman" w:hAnsi="Times New Roman"/>
          <w:sz w:val="24"/>
          <w:szCs w:val="24"/>
          <w:lang w:val="es-AR"/>
        </w:rPr>
      </w:pPr>
      <w:r>
        <w:rPr>
          <w:rFonts w:ascii="Times New Roman" w:hAnsi="Times New Roman"/>
          <w:sz w:val="24"/>
          <w:szCs w:val="24"/>
          <w:lang w:val="es-AR"/>
        </w:rPr>
        <w:t>4/4</w:t>
      </w:r>
    </w:p>
    <w:p w:rsidR="00E2419B" w:rsidRDefault="00E2419B" w:rsidP="00E2419B">
      <w:pPr>
        <w:spacing w:after="0" w:line="240" w:lineRule="auto"/>
        <w:ind w:firstLine="1843"/>
        <w:jc w:val="right"/>
        <w:rPr>
          <w:rFonts w:ascii="Times New Roman" w:hAnsi="Times New Roman"/>
          <w:sz w:val="24"/>
          <w:szCs w:val="24"/>
          <w:lang w:val="es-AR"/>
        </w:rPr>
      </w:pPr>
    </w:p>
    <w:p w:rsidR="003C0F5F" w:rsidRDefault="003C0F5F">
      <w:pPr>
        <w:spacing w:after="0" w:line="240" w:lineRule="auto"/>
        <w:ind w:firstLine="1843"/>
        <w:jc w:val="right"/>
        <w:rPr>
          <w:rFonts w:ascii="Times New Roman" w:hAnsi="Times New Roman"/>
          <w:sz w:val="24"/>
          <w:szCs w:val="24"/>
          <w:lang w:val="es-AR"/>
        </w:rPr>
      </w:pPr>
    </w:p>
    <w:p w:rsidR="003C0F5F" w:rsidRDefault="001C57D9">
      <w:pPr>
        <w:spacing w:after="0" w:line="240" w:lineRule="auto"/>
        <w:ind w:firstLine="1843"/>
        <w:jc w:val="right"/>
      </w:pPr>
      <w:r>
        <w:rPr>
          <w:rFonts w:ascii="Times New Roman" w:hAnsi="Times New Roman"/>
          <w:sz w:val="24"/>
          <w:szCs w:val="24"/>
          <w:lang w:val="es-AR"/>
        </w:rPr>
        <w:t>Ginebra,</w:t>
      </w:r>
      <w:r>
        <w:rPr>
          <w:rFonts w:ascii="Times New Roman" w:hAnsi="Times New Roman"/>
          <w:sz w:val="24"/>
          <w:szCs w:val="24"/>
          <w:lang w:val="es-ES"/>
        </w:rPr>
        <w:t xml:space="preserve"> </w:t>
      </w:r>
      <w:r>
        <w:rPr>
          <w:rFonts w:ascii="Times New Roman" w:hAnsi="Times New Roman"/>
          <w:sz w:val="24"/>
          <w:szCs w:val="24"/>
          <w:lang w:val="es-AR"/>
        </w:rPr>
        <w:t xml:space="preserve"> </w:t>
      </w:r>
      <w:r w:rsidR="00874D46">
        <w:rPr>
          <w:rFonts w:ascii="Times New Roman" w:hAnsi="Times New Roman"/>
          <w:sz w:val="24"/>
          <w:szCs w:val="24"/>
          <w:lang w:val="es-AR"/>
        </w:rPr>
        <w:t xml:space="preserve">19 </w:t>
      </w:r>
      <w:r>
        <w:rPr>
          <w:rFonts w:ascii="Times New Roman" w:hAnsi="Times New Roman"/>
          <w:sz w:val="24"/>
          <w:szCs w:val="24"/>
          <w:lang w:val="es-AR"/>
        </w:rPr>
        <w:t xml:space="preserve">de </w:t>
      </w:r>
      <w:r w:rsidR="00874D46">
        <w:rPr>
          <w:rFonts w:ascii="Times New Roman" w:hAnsi="Times New Roman"/>
          <w:sz w:val="24"/>
          <w:szCs w:val="24"/>
          <w:lang w:val="es-AR"/>
        </w:rPr>
        <w:t>marzo</w:t>
      </w:r>
      <w:r>
        <w:rPr>
          <w:rFonts w:ascii="Times New Roman" w:hAnsi="Times New Roman"/>
          <w:sz w:val="24"/>
          <w:szCs w:val="24"/>
          <w:lang w:val="es-AR"/>
        </w:rPr>
        <w:t xml:space="preserve"> de 2021</w:t>
      </w:r>
    </w:p>
    <w:p w:rsidR="003C0F5F" w:rsidRDefault="003C0F5F">
      <w:pPr>
        <w:spacing w:after="0" w:line="240" w:lineRule="auto"/>
        <w:ind w:firstLine="1843"/>
        <w:jc w:val="right"/>
        <w:rPr>
          <w:rFonts w:ascii="Times New Roman" w:hAnsi="Times New Roman"/>
          <w:sz w:val="24"/>
          <w:szCs w:val="24"/>
          <w:lang w:val="es-AR"/>
        </w:rPr>
      </w:pPr>
    </w:p>
    <w:p w:rsidR="003C0F5F" w:rsidRDefault="001C57D9">
      <w:pPr>
        <w:spacing w:after="0" w:line="240" w:lineRule="auto"/>
        <w:jc w:val="center"/>
        <w:rPr>
          <w:rFonts w:ascii="Times New Roman" w:hAnsi="Times New Roman"/>
          <w:sz w:val="24"/>
          <w:szCs w:val="24"/>
          <w:lang w:val="es-AR"/>
        </w:rPr>
      </w:pPr>
      <w:r>
        <w:rPr>
          <w:noProof/>
          <w:lang w:val="es-ES" w:eastAsia="es-ES"/>
        </w:rPr>
        <w:drawing>
          <wp:inline distT="0" distB="0" distL="0" distR="0">
            <wp:extent cx="1508760" cy="17329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22"/>
                    <a:stretch>
                      <a:fillRect/>
                    </a:stretch>
                  </pic:blipFill>
                  <pic:spPr bwMode="auto">
                    <a:xfrm>
                      <a:off x="0" y="0"/>
                      <a:ext cx="1508760" cy="1732915"/>
                    </a:xfrm>
                    <a:prstGeom prst="rect">
                      <a:avLst/>
                    </a:prstGeom>
                  </pic:spPr>
                </pic:pic>
              </a:graphicData>
            </a:graphic>
          </wp:inline>
        </w:drawing>
      </w:r>
    </w:p>
    <w:p w:rsidR="003C0F5F" w:rsidRDefault="003C0F5F">
      <w:pPr>
        <w:spacing w:after="0" w:line="240" w:lineRule="auto"/>
        <w:rPr>
          <w:rFonts w:ascii="Times New Roman" w:hAnsi="Times New Roman"/>
          <w:sz w:val="24"/>
          <w:szCs w:val="24"/>
          <w:lang w:val="es-AR"/>
        </w:rPr>
      </w:pPr>
    </w:p>
    <w:p w:rsidR="003C0F5F" w:rsidRDefault="003C0F5F">
      <w:pPr>
        <w:spacing w:after="0" w:line="240" w:lineRule="auto"/>
        <w:ind w:firstLine="1843"/>
        <w:jc w:val="right"/>
        <w:rPr>
          <w:lang w:val="es-AR"/>
        </w:rPr>
      </w:pPr>
    </w:p>
    <w:p w:rsidR="003C0F5F" w:rsidRDefault="003C0F5F">
      <w:pPr>
        <w:spacing w:after="0" w:line="240" w:lineRule="auto"/>
        <w:ind w:firstLine="1843"/>
        <w:jc w:val="right"/>
      </w:pPr>
    </w:p>
    <w:sectPr w:rsidR="003C0F5F">
      <w:headerReference w:type="default" r:id="rId23"/>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B0D" w:rsidRDefault="00A61B0D">
      <w:pPr>
        <w:spacing w:after="0" w:line="240" w:lineRule="auto"/>
      </w:pPr>
      <w:r>
        <w:separator/>
      </w:r>
    </w:p>
  </w:endnote>
  <w:endnote w:type="continuationSeparator" w:id="0">
    <w:p w:rsidR="00A61B0D" w:rsidRDefault="00A6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B0D" w:rsidRDefault="00A61B0D">
      <w:pPr>
        <w:spacing w:after="0" w:line="240" w:lineRule="auto"/>
      </w:pPr>
      <w:r>
        <w:separator/>
      </w:r>
    </w:p>
  </w:footnote>
  <w:footnote w:type="continuationSeparator" w:id="0">
    <w:p w:rsidR="00A61B0D" w:rsidRDefault="00A61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5F" w:rsidRPr="00CC6903" w:rsidRDefault="001C57D9">
    <w:pPr>
      <w:jc w:val="right"/>
      <w:rPr>
        <w:lang w:val="es-ES"/>
      </w:rPr>
    </w:pPr>
    <w:r>
      <w:rPr>
        <w:rFonts w:ascii="Arial" w:hAnsi="Arial" w:cs="Arial"/>
        <w:i/>
        <w:sz w:val="16"/>
        <w:szCs w:val="16"/>
        <w:lang w:val="es-AR"/>
      </w:rPr>
      <w:t>“2021 – AÑO DE HOMENAJE AL PREMIO NOBEL DE MEDICINA DR. CÉSAR MILSTEIN”</w:t>
    </w:r>
  </w:p>
  <w:p w:rsidR="003C0F5F" w:rsidRDefault="001C57D9">
    <w:pPr>
      <w:spacing w:line="360" w:lineRule="auto"/>
      <w:rPr>
        <w:i/>
        <w:sz w:val="12"/>
        <w:szCs w:val="12"/>
        <w:lang w:val="es-AR"/>
      </w:rPr>
    </w:pPr>
    <w:r>
      <w:rPr>
        <w:noProof/>
        <w:lang w:val="es-ES" w:eastAsia="es-ES"/>
      </w:rPr>
      <w:drawing>
        <wp:inline distT="0" distB="0" distL="0" distR="0">
          <wp:extent cx="2524760" cy="801370"/>
          <wp:effectExtent l="0" t="0" r="0" b="0"/>
          <wp:docPr id="2" name="Imagen 2" descr="EOIR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EOIRS_01"/>
                  <pic:cNvPicPr>
                    <a:picLocks noChangeAspect="1" noChangeArrowheads="1"/>
                  </pic:cNvPicPr>
                </pic:nvPicPr>
                <pic:blipFill>
                  <a:blip r:embed="rId1"/>
                  <a:stretch>
                    <a:fillRect/>
                  </a:stretch>
                </pic:blipFill>
                <pic:spPr bwMode="auto">
                  <a:xfrm>
                    <a:off x="0" y="0"/>
                    <a:ext cx="2524760" cy="801370"/>
                  </a:xfrm>
                  <a:prstGeom prst="rect">
                    <a:avLst/>
                  </a:prstGeom>
                </pic:spPr>
              </pic:pic>
            </a:graphicData>
          </a:graphic>
        </wp:inline>
      </w:drawing>
    </w:r>
  </w:p>
  <w:p w:rsidR="003C0F5F" w:rsidRDefault="003C0F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6157"/>
    <w:multiLevelType w:val="hybridMultilevel"/>
    <w:tmpl w:val="EEF00F6A"/>
    <w:lvl w:ilvl="0" w:tplc="C0643588">
      <w:start w:val="8"/>
      <w:numFmt w:val="bullet"/>
      <w:lvlText w:val="-"/>
      <w:lvlJc w:val="left"/>
      <w:pPr>
        <w:ind w:left="720" w:hanging="360"/>
      </w:pPr>
      <w:rPr>
        <w:rFonts w:ascii="Times New Roman" w:eastAsiaTheme="minorHAnsi" w:hAnsi="Times New Roman" w:cs="Times New Roman" w:hint="default"/>
        <w:i/>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00D120D"/>
    <w:multiLevelType w:val="hybridMultilevel"/>
    <w:tmpl w:val="1422D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5F"/>
    <w:rsid w:val="001509E6"/>
    <w:rsid w:val="00150B9A"/>
    <w:rsid w:val="001C57D9"/>
    <w:rsid w:val="003C0F5F"/>
    <w:rsid w:val="00404C26"/>
    <w:rsid w:val="00544DB3"/>
    <w:rsid w:val="005F55A0"/>
    <w:rsid w:val="0073429C"/>
    <w:rsid w:val="00792F15"/>
    <w:rsid w:val="00801DB7"/>
    <w:rsid w:val="00874D46"/>
    <w:rsid w:val="008D242F"/>
    <w:rsid w:val="00A55FA4"/>
    <w:rsid w:val="00A61B0D"/>
    <w:rsid w:val="00A8611F"/>
    <w:rsid w:val="00AC77EA"/>
    <w:rsid w:val="00CC6903"/>
    <w:rsid w:val="00CF5B94"/>
    <w:rsid w:val="00E2419B"/>
    <w:rsid w:val="00FE1E60"/>
  </w:rsids>
  <m:mathPr>
    <m:mathFont m:val="Cambria Math"/>
    <m:brkBin m:val="before"/>
    <m:brkBinSub m:val="--"/>
    <m:smallFrac m:val="0"/>
    <m:dispDef/>
    <m:lMargin m:val="0"/>
    <m:rMargin m:val="0"/>
    <m:defJc m:val="centerGroup"/>
    <m:wrapIndent m:val="1440"/>
    <m:intLim m:val="subSup"/>
    <m:naryLim m:val="undOvr"/>
  </m:mathPr>
  <w:themeFontLang w:val="fr-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paragraph" w:styleId="Ttulo2">
    <w:name w:val="heading 2"/>
    <w:basedOn w:val="Heading"/>
    <w:next w:val="Textoindependiente"/>
    <w:qFormat/>
    <w:pPr>
      <w:spacing w:before="200"/>
      <w:outlineLvl w:val="1"/>
    </w:pPr>
    <w:rPr>
      <w:rFonts w:ascii="Liberation Serif" w:eastAsia="Segoe UI" w:hAnsi="Liberation Serif" w:cs="Tahoma"/>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unhideWhenUsed/>
    <w:rsid w:val="003E20F5"/>
    <w:rPr>
      <w:color w:val="0000FF" w:themeColor="hyperlink"/>
      <w:u w:val="single"/>
    </w:rPr>
  </w:style>
  <w:style w:type="character" w:customStyle="1" w:styleId="EncabezadoCar">
    <w:name w:val="Encabezado Car"/>
    <w:basedOn w:val="Fuentedeprrafopredeter"/>
    <w:link w:val="Encabezado"/>
    <w:uiPriority w:val="99"/>
    <w:qFormat/>
    <w:rsid w:val="001524F7"/>
  </w:style>
  <w:style w:type="character" w:customStyle="1" w:styleId="PiedepginaCar">
    <w:name w:val="Pie de página Car"/>
    <w:basedOn w:val="Fuentedeprrafopredeter"/>
    <w:link w:val="Piedepgina"/>
    <w:uiPriority w:val="99"/>
    <w:qFormat/>
    <w:rsid w:val="001524F7"/>
  </w:style>
  <w:style w:type="character" w:customStyle="1" w:styleId="TextodegloboCar">
    <w:name w:val="Texto de globo Car"/>
    <w:basedOn w:val="Fuentedeprrafopredeter"/>
    <w:link w:val="Textodeglobo"/>
    <w:uiPriority w:val="99"/>
    <w:semiHidden/>
    <w:qFormat/>
    <w:rsid w:val="001524F7"/>
    <w:rPr>
      <w:rFonts w:ascii="Tahoma" w:hAnsi="Tahoma" w:cs="Tahoma"/>
      <w:sz w:val="16"/>
      <w:szCs w:val="16"/>
    </w:rPr>
  </w:style>
  <w:style w:type="character" w:customStyle="1" w:styleId="apple-converted-space">
    <w:name w:val="apple-converted-space"/>
    <w:basedOn w:val="Fuentedeprrafopredeter"/>
    <w:qFormat/>
    <w:rsid w:val="00AC1206"/>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paragraph" w:customStyle="1" w:styleId="Heading">
    <w:name w:val="Heading"/>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rrafodelista">
    <w:name w:val="List Paragraph"/>
    <w:basedOn w:val="Normal"/>
    <w:uiPriority w:val="34"/>
    <w:qFormat/>
    <w:rsid w:val="003E20F5"/>
    <w:pPr>
      <w:ind w:left="720"/>
      <w:contextualSpacing/>
    </w:pPr>
  </w:style>
  <w:style w:type="paragraph" w:styleId="Encabezado">
    <w:name w:val="header"/>
    <w:basedOn w:val="Normal"/>
    <w:link w:val="EncabezadoCar"/>
    <w:uiPriority w:val="99"/>
    <w:unhideWhenUsed/>
    <w:rsid w:val="001524F7"/>
    <w:pPr>
      <w:tabs>
        <w:tab w:val="center" w:pos="4536"/>
        <w:tab w:val="right" w:pos="9072"/>
      </w:tabs>
      <w:spacing w:after="0" w:line="240" w:lineRule="auto"/>
    </w:pPr>
  </w:style>
  <w:style w:type="paragraph" w:styleId="Piedepgina">
    <w:name w:val="footer"/>
    <w:basedOn w:val="Normal"/>
    <w:link w:val="PiedepginaCar"/>
    <w:uiPriority w:val="99"/>
    <w:unhideWhenUsed/>
    <w:rsid w:val="001524F7"/>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1524F7"/>
    <w:pPr>
      <w:spacing w:after="0" w:line="240" w:lineRule="auto"/>
    </w:pPr>
    <w:rPr>
      <w:rFonts w:ascii="Tahoma" w:hAnsi="Tahoma" w:cs="Tahoma"/>
      <w:sz w:val="16"/>
      <w:szCs w:val="16"/>
    </w:rPr>
  </w:style>
  <w:style w:type="character" w:styleId="Hipervnculo">
    <w:name w:val="Hyperlink"/>
    <w:basedOn w:val="Fuentedeprrafopredeter"/>
    <w:uiPriority w:val="99"/>
    <w:unhideWhenUsed/>
    <w:rsid w:val="00874D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rPr>
  </w:style>
  <w:style w:type="paragraph" w:styleId="Ttulo2">
    <w:name w:val="heading 2"/>
    <w:basedOn w:val="Heading"/>
    <w:next w:val="Textoindependiente"/>
    <w:qFormat/>
    <w:pPr>
      <w:spacing w:before="200"/>
      <w:outlineLvl w:val="1"/>
    </w:pPr>
    <w:rPr>
      <w:rFonts w:ascii="Liberation Serif" w:eastAsia="Segoe UI" w:hAnsi="Liberation Serif" w:cs="Tahoma"/>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uiPriority w:val="99"/>
    <w:unhideWhenUsed/>
    <w:rsid w:val="003E20F5"/>
    <w:rPr>
      <w:color w:val="0000FF" w:themeColor="hyperlink"/>
      <w:u w:val="single"/>
    </w:rPr>
  </w:style>
  <w:style w:type="character" w:customStyle="1" w:styleId="EncabezadoCar">
    <w:name w:val="Encabezado Car"/>
    <w:basedOn w:val="Fuentedeprrafopredeter"/>
    <w:link w:val="Encabezado"/>
    <w:uiPriority w:val="99"/>
    <w:qFormat/>
    <w:rsid w:val="001524F7"/>
  </w:style>
  <w:style w:type="character" w:customStyle="1" w:styleId="PiedepginaCar">
    <w:name w:val="Pie de página Car"/>
    <w:basedOn w:val="Fuentedeprrafopredeter"/>
    <w:link w:val="Piedepgina"/>
    <w:uiPriority w:val="99"/>
    <w:qFormat/>
    <w:rsid w:val="001524F7"/>
  </w:style>
  <w:style w:type="character" w:customStyle="1" w:styleId="TextodegloboCar">
    <w:name w:val="Texto de globo Car"/>
    <w:basedOn w:val="Fuentedeprrafopredeter"/>
    <w:link w:val="Textodeglobo"/>
    <w:uiPriority w:val="99"/>
    <w:semiHidden/>
    <w:qFormat/>
    <w:rsid w:val="001524F7"/>
    <w:rPr>
      <w:rFonts w:ascii="Tahoma" w:hAnsi="Tahoma" w:cs="Tahoma"/>
      <w:sz w:val="16"/>
      <w:szCs w:val="16"/>
    </w:rPr>
  </w:style>
  <w:style w:type="character" w:customStyle="1" w:styleId="apple-converted-space">
    <w:name w:val="apple-converted-space"/>
    <w:basedOn w:val="Fuentedeprrafopredeter"/>
    <w:qFormat/>
    <w:rsid w:val="00AC1206"/>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paragraph" w:customStyle="1" w:styleId="Heading">
    <w:name w:val="Heading"/>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rrafodelista">
    <w:name w:val="List Paragraph"/>
    <w:basedOn w:val="Normal"/>
    <w:uiPriority w:val="34"/>
    <w:qFormat/>
    <w:rsid w:val="003E20F5"/>
    <w:pPr>
      <w:ind w:left="720"/>
      <w:contextualSpacing/>
    </w:pPr>
  </w:style>
  <w:style w:type="paragraph" w:styleId="Encabezado">
    <w:name w:val="header"/>
    <w:basedOn w:val="Normal"/>
    <w:link w:val="EncabezadoCar"/>
    <w:uiPriority w:val="99"/>
    <w:unhideWhenUsed/>
    <w:rsid w:val="001524F7"/>
    <w:pPr>
      <w:tabs>
        <w:tab w:val="center" w:pos="4536"/>
        <w:tab w:val="right" w:pos="9072"/>
      </w:tabs>
      <w:spacing w:after="0" w:line="240" w:lineRule="auto"/>
    </w:pPr>
  </w:style>
  <w:style w:type="paragraph" w:styleId="Piedepgina">
    <w:name w:val="footer"/>
    <w:basedOn w:val="Normal"/>
    <w:link w:val="PiedepginaCar"/>
    <w:uiPriority w:val="99"/>
    <w:unhideWhenUsed/>
    <w:rsid w:val="001524F7"/>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1524F7"/>
    <w:pPr>
      <w:spacing w:after="0" w:line="240" w:lineRule="auto"/>
    </w:pPr>
    <w:rPr>
      <w:rFonts w:ascii="Tahoma" w:hAnsi="Tahoma" w:cs="Tahoma"/>
      <w:sz w:val="16"/>
      <w:szCs w:val="16"/>
    </w:rPr>
  </w:style>
  <w:style w:type="character" w:styleId="Hipervnculo">
    <w:name w:val="Hyperlink"/>
    <w:basedOn w:val="Fuentedeprrafopredeter"/>
    <w:uiPriority w:val="99"/>
    <w:unhideWhenUsed/>
    <w:rsid w:val="00874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investmentpolicy.unctad.org/international-investment-agreements/treaty-files/5548/download" TargetMode="External"/><Relationship Id="rId13" Type="http://schemas.openxmlformats.org/officeDocument/2006/relationships/hyperlink" Target="https://www.italaw.com/sites/default/files/case-documents/italaw9627.pdf" TargetMode="External"/><Relationship Id="rId18" Type="http://schemas.openxmlformats.org/officeDocument/2006/relationships/hyperlink" Target="https://www.italaw.com/sites/default/files/case-documents/ita1069.pdf" TargetMode="Externa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icsidfiles.worldbank.org/icsid/ICSIDBLOBS/OnlineAwards/C19/DC519_Sp.pdf" TargetMode="External"/><Relationship Id="rId7" Type="http://schemas.openxmlformats.org/officeDocument/2006/relationships/endnotes" Target="endnotes.xml"/><Relationship Id="rId12" Type="http://schemas.openxmlformats.org/officeDocument/2006/relationships/hyperlink" Target="http://icsidfiles.worldbank.org/icsid/ICSIDBLOBS/OnlineAwards/C208/DC627_Sp.pdf" TargetMode="External"/><Relationship Id="rId17" Type="http://schemas.openxmlformats.org/officeDocument/2006/relationships/hyperlink" Target="https://www.italaw.com/sites/default/files/case-documents/ita1016.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csidfiles.worldbank.org/icsid/ICSIDBLOBS/OnlineAwards/C5/DC507_Sp.pdf" TargetMode="External"/><Relationship Id="rId20" Type="http://schemas.openxmlformats.org/officeDocument/2006/relationships/hyperlink" Target="http://icsidfiles.worldbank.org/icsid/ICSIDBLOBS/OnlineAwards/C19/DC516_Sp.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talaw.com/sites/default/files/case-documents/ita022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csidfiles.worldbank.org/icsid/ICSIDBLOBS/OnlineAwards/C4/DC504_Sp.pdf"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s://investmentpolicy.unctad.org/international-investment-agreements/treaty-files/5762/download" TargetMode="External"/><Relationship Id="rId19" Type="http://schemas.openxmlformats.org/officeDocument/2006/relationships/hyperlink" Target="https://www.italaw.com/sites/default/files/case-documents/ita0826.pdf" TargetMode="External"/><Relationship Id="rId4" Type="http://schemas.openxmlformats.org/officeDocument/2006/relationships/settings" Target="settings.xml"/><Relationship Id="rId9" Type="http://schemas.openxmlformats.org/officeDocument/2006/relationships/hyperlink" Target="https://investmentpolicy.unctad.org/international-investment-agreements/treaty-files/5661/download" TargetMode="External"/><Relationship Id="rId14" Type="http://schemas.openxmlformats.org/officeDocument/2006/relationships/hyperlink" Target="https://www.italaw.com/sites/default/files/case-documents/italaw9627.pdf" TargetMode="External"/><Relationship Id="rId22" Type="http://schemas.openxmlformats.org/officeDocument/2006/relationships/image" Target="media/image1.png"/><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B13602-EA24-429C-9AFC-AA3379458785}"/>
</file>

<file path=customXml/itemProps2.xml><?xml version="1.0" encoding="utf-8"?>
<ds:datastoreItem xmlns:ds="http://schemas.openxmlformats.org/officeDocument/2006/customXml" ds:itemID="{EF587C40-B6E8-4048-9F2D-50DE57D38D14}"/>
</file>

<file path=customXml/itemProps3.xml><?xml version="1.0" encoding="utf-8"?>
<ds:datastoreItem xmlns:ds="http://schemas.openxmlformats.org/officeDocument/2006/customXml" ds:itemID="{62CFEE8E-4C50-49AE-A778-965C081A7659}"/>
</file>

<file path=docProps/app.xml><?xml version="1.0" encoding="utf-8"?>
<Properties xmlns="http://schemas.openxmlformats.org/officeDocument/2006/extended-properties" xmlns:vt="http://schemas.openxmlformats.org/officeDocument/2006/docPropsVTypes">
  <Template>Normal</Template>
  <TotalTime>30</TotalTime>
  <Pages>4</Pages>
  <Words>1752</Words>
  <Characters>9636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Fabian Saez</dc:creator>
  <cp:lastModifiedBy>María Eugenia Vazquez Pol</cp:lastModifiedBy>
  <cp:revision>5</cp:revision>
  <cp:lastPrinted>2018-08-03T08:44:00Z</cp:lastPrinted>
  <dcterms:created xsi:type="dcterms:W3CDTF">2021-03-22T08:30:00Z</dcterms:created>
  <dcterms:modified xsi:type="dcterms:W3CDTF">2021-03-22T09:01:00Z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MREC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