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BE5" w:rsidRDefault="00083CB2" w:rsidP="00083CB2">
      <w:pPr>
        <w:spacing w:after="85"/>
        <w:ind w:left="120"/>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Submission from the Europ</w:t>
      </w:r>
      <w:r w:rsidR="00265BE5">
        <w:rPr>
          <w:rFonts w:ascii="Times New Roman" w:hAnsi="Times New Roman" w:cs="Times New Roman"/>
          <w:sz w:val="24"/>
          <w:szCs w:val="24"/>
          <w:lang w:val="en-US"/>
        </w:rPr>
        <w:t>ean Union and its Member States, completed with input from Hungary</w:t>
      </w:r>
    </w:p>
    <w:p w:rsidR="00265BE5" w:rsidRDefault="00265BE5" w:rsidP="00083CB2">
      <w:pPr>
        <w:spacing w:after="85"/>
        <w:ind w:left="120"/>
        <w:jc w:val="both"/>
        <w:rPr>
          <w:rFonts w:ascii="Times New Roman" w:hAnsi="Times New Roman" w:cs="Times New Roman"/>
          <w:sz w:val="24"/>
          <w:szCs w:val="24"/>
          <w:lang w:val="en-US"/>
        </w:rPr>
      </w:pPr>
    </w:p>
    <w:p w:rsidR="00083CB2" w:rsidRPr="00083CB2" w:rsidRDefault="00083CB2" w:rsidP="00265BE5">
      <w:pPr>
        <w:spacing w:after="85"/>
        <w:ind w:left="120"/>
        <w:jc w:val="center"/>
        <w:rPr>
          <w:rFonts w:ascii="Times New Roman" w:hAnsi="Times New Roman" w:cs="Times New Roman"/>
          <w:sz w:val="24"/>
          <w:szCs w:val="24"/>
          <w:u w:val="single"/>
          <w:lang w:val="en-US"/>
        </w:rPr>
      </w:pPr>
      <w:r w:rsidRPr="00083CB2">
        <w:rPr>
          <w:rFonts w:ascii="Times New Roman" w:eastAsia="Times New Roman" w:hAnsi="Times New Roman" w:cs="Times New Roman"/>
          <w:b/>
          <w:sz w:val="24"/>
          <w:szCs w:val="24"/>
          <w:u w:val="single"/>
          <w:lang w:val="en-US"/>
        </w:rPr>
        <w:t>Questionnaire</w:t>
      </w:r>
    </w:p>
    <w:p w:rsidR="00083CB2" w:rsidRPr="00083CB2" w:rsidRDefault="00083CB2" w:rsidP="00083CB2">
      <w:pPr>
        <w:spacing w:after="1" w:line="258" w:lineRule="auto"/>
        <w:ind w:left="120"/>
        <w:jc w:val="both"/>
        <w:rPr>
          <w:rFonts w:ascii="Times New Roman" w:hAnsi="Times New Roman" w:cs="Times New Roman"/>
          <w:sz w:val="24"/>
          <w:szCs w:val="24"/>
          <w:u w:val="single"/>
          <w:lang w:val="en-US"/>
        </w:rPr>
      </w:pPr>
      <w:r w:rsidRPr="00083CB2">
        <w:rPr>
          <w:rFonts w:ascii="Times New Roman" w:eastAsia="Times New Roman" w:hAnsi="Times New Roman" w:cs="Times New Roman"/>
          <w:b/>
          <w:sz w:val="24"/>
          <w:szCs w:val="24"/>
          <w:u w:val="single"/>
          <w:lang w:val="en-US"/>
        </w:rPr>
        <w:t xml:space="preserve">State duty to protect human rights  </w:t>
      </w:r>
    </w:p>
    <w:p w:rsidR="00083CB2" w:rsidRPr="00083CB2" w:rsidRDefault="00083CB2" w:rsidP="00083CB2">
      <w:pPr>
        <w:spacing w:after="17"/>
        <w:ind w:left="1032"/>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 </w:t>
      </w:r>
    </w:p>
    <w:p w:rsidR="00083CB2" w:rsidRDefault="00083CB2" w:rsidP="00083CB2">
      <w:pPr>
        <w:spacing w:after="1" w:line="258" w:lineRule="auto"/>
        <w:ind w:left="835" w:hanging="370"/>
        <w:jc w:val="both"/>
        <w:rPr>
          <w:rFonts w:ascii="Times New Roman" w:eastAsia="Times New Roman" w:hAnsi="Times New Roman" w:cs="Times New Roman"/>
          <w:b/>
          <w:sz w:val="24"/>
          <w:szCs w:val="24"/>
          <w:lang w:val="en-US"/>
        </w:rPr>
      </w:pPr>
      <w:r w:rsidRPr="00083CB2">
        <w:rPr>
          <w:rFonts w:ascii="Times New Roman" w:eastAsia="Times New Roman" w:hAnsi="Times New Roman" w:cs="Times New Roman"/>
          <w:b/>
          <w:sz w:val="24"/>
          <w:szCs w:val="24"/>
          <w:lang w:val="en-US"/>
        </w:rPr>
        <w:t>1.</w:t>
      </w:r>
      <w:r w:rsidRPr="00083CB2">
        <w:rPr>
          <w:rFonts w:ascii="Times New Roman" w:eastAsia="Arial" w:hAnsi="Times New Roman" w:cs="Times New Roman"/>
          <w:b/>
          <w:sz w:val="24"/>
          <w:szCs w:val="24"/>
          <w:lang w:val="en-US"/>
        </w:rPr>
        <w:t xml:space="preserve"> </w:t>
      </w:r>
      <w:r w:rsidRPr="00083CB2">
        <w:rPr>
          <w:rFonts w:ascii="Times New Roman" w:eastAsia="Times New Roman" w:hAnsi="Times New Roman" w:cs="Times New Roman"/>
          <w:b/>
          <w:sz w:val="24"/>
          <w:szCs w:val="24"/>
          <w:lang w:val="en-US"/>
        </w:rPr>
        <w:t xml:space="preserve">Does your State’s constitution, laws or national action plan on business and human rights require the integration of human rights provisions in IIAs concluded by your government?  </w:t>
      </w:r>
    </w:p>
    <w:p w:rsidR="00EB3644" w:rsidRPr="00083CB2" w:rsidRDefault="00EB3644" w:rsidP="00083CB2">
      <w:pPr>
        <w:spacing w:after="1" w:line="258" w:lineRule="auto"/>
        <w:ind w:left="835" w:hanging="370"/>
        <w:jc w:val="both"/>
        <w:rPr>
          <w:rFonts w:ascii="Times New Roman" w:hAnsi="Times New Roman" w:cs="Times New Roman"/>
          <w:sz w:val="24"/>
          <w:szCs w:val="24"/>
          <w:lang w:val="en-US"/>
        </w:rPr>
      </w:pPr>
    </w:p>
    <w:p w:rsidR="00083CB2" w:rsidRPr="00083CB2" w:rsidRDefault="00083CB2" w:rsidP="00083CB2">
      <w:pPr>
        <w:ind w:left="115"/>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The respect for human rights is one of the founding values of the European Union (Article 2 of the Treaty on the European Union (TEU)) and underpins all aspects of </w:t>
      </w:r>
      <w:r w:rsidRPr="00083CB2">
        <w:rPr>
          <w:rFonts w:ascii="Times New Roman" w:eastAsia="Times New Roman" w:hAnsi="Times New Roman" w:cs="Times New Roman"/>
          <w:sz w:val="24"/>
          <w:szCs w:val="24"/>
          <w:lang w:val="en-US"/>
        </w:rPr>
        <w:t xml:space="preserve">the EU’s </w:t>
      </w:r>
      <w:r w:rsidRPr="00083CB2">
        <w:rPr>
          <w:rFonts w:ascii="Times New Roman" w:hAnsi="Times New Roman" w:cs="Times New Roman"/>
          <w:sz w:val="24"/>
          <w:szCs w:val="24"/>
          <w:lang w:val="en-US"/>
        </w:rPr>
        <w:t xml:space="preserve">internal and external policies. The Charter of Fundamental Rights of the European Union (Charter), originally proclaimed on 7 December 2000, was given binding legal effect equal to that of the Treaties following the entry into force of the Lisbon Treaty on 1 December 2009, thus strengthening the </w:t>
      </w:r>
      <w:r w:rsidRPr="00083CB2">
        <w:rPr>
          <w:rFonts w:ascii="Times New Roman" w:eastAsia="Times New Roman" w:hAnsi="Times New Roman" w:cs="Times New Roman"/>
          <w:sz w:val="24"/>
          <w:szCs w:val="24"/>
          <w:lang w:val="en-US"/>
        </w:rPr>
        <w:t xml:space="preserve">EU’s commitment to human rights. </w:t>
      </w:r>
      <w:r w:rsidRPr="00083CB2">
        <w:rPr>
          <w:rFonts w:ascii="Times New Roman" w:hAnsi="Times New Roman" w:cs="Times New Roman"/>
          <w:sz w:val="24"/>
          <w:szCs w:val="24"/>
          <w:lang w:val="en-US"/>
        </w:rPr>
        <w:t xml:space="preserve"> </w:t>
      </w:r>
    </w:p>
    <w:p w:rsidR="00083CB2" w:rsidRPr="00083CB2" w:rsidRDefault="00083CB2" w:rsidP="00083CB2">
      <w:pPr>
        <w:ind w:left="115"/>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In its external relations, the EU upholds its values, promotes sustainable development and the protection of human rights (Article 3 TEU). The EU has developed a broad range of policy instruments and guidelines to put its commitment to human rights and democracy into practice in its external action, working together with EU Member States and the European Parliament, as well as civil society. These include for instance human rights dialogues and consultations with partner countries, human rights country strategies and human rights guidelines.  </w:t>
      </w:r>
    </w:p>
    <w:p w:rsidR="00083CB2" w:rsidRPr="00083CB2" w:rsidRDefault="00083CB2" w:rsidP="00083CB2">
      <w:pPr>
        <w:ind w:left="115"/>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The EU is committed to promoting human rights in all areas of its external action, including in trade and investment. Article 21(1) of the TEU establishes human rights considerations as one of </w:t>
      </w:r>
      <w:r w:rsidRPr="00083CB2">
        <w:rPr>
          <w:rFonts w:ascii="Times New Roman" w:eastAsia="Times New Roman" w:hAnsi="Times New Roman" w:cs="Times New Roman"/>
          <w:sz w:val="24"/>
          <w:szCs w:val="24"/>
          <w:lang w:val="en-US"/>
        </w:rPr>
        <w:t xml:space="preserve">the principles guiding the Union’s external action, </w:t>
      </w:r>
      <w:r w:rsidRPr="00083CB2">
        <w:rPr>
          <w:rFonts w:ascii="Times New Roman" w:hAnsi="Times New Roman" w:cs="Times New Roman"/>
          <w:sz w:val="24"/>
          <w:szCs w:val="24"/>
          <w:lang w:val="en-US"/>
        </w:rPr>
        <w:t>including in the context of the negotiations and conclusion of international trade and investment agreements (Article 207(1) Treaty on the Functioning of the European Union (TFEU)). The EU Action Plan on Human Rights and Democracy 2020-2024 includes as a priority to strengthen the implementation of human rights provisions in EU trade policy.</w:t>
      </w:r>
      <w:r w:rsidRPr="00083CB2">
        <w:rPr>
          <w:rFonts w:ascii="Times New Roman" w:hAnsi="Times New Roman" w:cs="Times New Roman"/>
          <w:sz w:val="24"/>
          <w:szCs w:val="24"/>
          <w:vertAlign w:val="superscript"/>
          <w:lang w:val="en-US"/>
        </w:rPr>
        <w:footnoteReference w:id="1"/>
      </w:r>
      <w:r w:rsidRPr="00083CB2">
        <w:rPr>
          <w:rFonts w:ascii="Times New Roman" w:hAnsi="Times New Roman" w:cs="Times New Roman"/>
          <w:sz w:val="24"/>
          <w:szCs w:val="24"/>
          <w:lang w:val="en-US"/>
        </w:rPr>
        <w:t xml:space="preserve">  </w:t>
      </w:r>
    </w:p>
    <w:p w:rsidR="00083CB2" w:rsidRPr="00083CB2" w:rsidRDefault="00083CB2" w:rsidP="00083CB2">
      <w:pPr>
        <w:ind w:left="115"/>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The European Commission, representing the EU except for the common foreign and security policy</w:t>
      </w:r>
      <w:r w:rsidRPr="00083CB2">
        <w:rPr>
          <w:rFonts w:ascii="Times New Roman" w:eastAsia="Times New Roman" w:hAnsi="Times New Roman" w:cs="Times New Roman"/>
          <w:sz w:val="24"/>
          <w:szCs w:val="24"/>
          <w:lang w:val="en-US"/>
        </w:rPr>
        <w:t xml:space="preserve">, has adopted a number of Communications over time laying out the EU’s </w:t>
      </w:r>
      <w:r w:rsidRPr="00083CB2">
        <w:rPr>
          <w:rFonts w:ascii="Times New Roman" w:hAnsi="Times New Roman" w:cs="Times New Roman"/>
          <w:sz w:val="24"/>
          <w:szCs w:val="24"/>
          <w:lang w:val="en-US"/>
        </w:rPr>
        <w:t>policies and priorities relating to human rights.</w:t>
      </w:r>
      <w:r w:rsidRPr="00083CB2">
        <w:rPr>
          <w:rFonts w:ascii="Times New Roman" w:hAnsi="Times New Roman" w:cs="Times New Roman"/>
          <w:sz w:val="24"/>
          <w:szCs w:val="24"/>
          <w:vertAlign w:val="superscript"/>
          <w:lang w:val="en-US"/>
        </w:rPr>
        <w:footnoteReference w:id="2"/>
      </w:r>
      <w:r w:rsidRPr="00083CB2">
        <w:rPr>
          <w:rFonts w:ascii="Times New Roman" w:hAnsi="Times New Roman" w:cs="Times New Roman"/>
          <w:sz w:val="24"/>
          <w:szCs w:val="24"/>
          <w:lang w:val="en-US"/>
        </w:rPr>
        <w:t xml:space="preserve"> The Commission assesses the human rights impact of </w:t>
      </w:r>
      <w:proofErr w:type="spellStart"/>
      <w:r w:rsidRPr="00083CB2">
        <w:rPr>
          <w:rFonts w:ascii="Times New Roman" w:hAnsi="Times New Roman" w:cs="Times New Roman"/>
          <w:sz w:val="24"/>
          <w:szCs w:val="24"/>
          <w:lang w:val="en-US"/>
        </w:rPr>
        <w:t>traderelated</w:t>
      </w:r>
      <w:proofErr w:type="spellEnd"/>
      <w:r w:rsidRPr="00083CB2">
        <w:rPr>
          <w:rFonts w:ascii="Times New Roman" w:hAnsi="Times New Roman" w:cs="Times New Roman"/>
          <w:sz w:val="24"/>
          <w:szCs w:val="24"/>
          <w:lang w:val="en-US"/>
        </w:rPr>
        <w:t xml:space="preserve"> initiatives against the human rights obligations set out in the Charter of Fundamental Rights as well as other international sources such as UN human </w:t>
      </w:r>
      <w:r>
        <w:rPr>
          <w:rFonts w:ascii="Times New Roman" w:hAnsi="Times New Roman" w:cs="Times New Roman"/>
          <w:sz w:val="24"/>
          <w:szCs w:val="24"/>
          <w:lang w:val="en-US"/>
        </w:rPr>
        <w:t xml:space="preserve">rights </w:t>
      </w:r>
      <w:r w:rsidRPr="00083CB2">
        <w:rPr>
          <w:rFonts w:ascii="Times New Roman" w:hAnsi="Times New Roman" w:cs="Times New Roman"/>
          <w:sz w:val="24"/>
          <w:szCs w:val="24"/>
          <w:lang w:val="en-US"/>
        </w:rPr>
        <w:lastRenderedPageBreak/>
        <w:t xml:space="preserve">conventions, the European Convention on Human Rights and other regional human rights conventions. </w:t>
      </w:r>
      <w:r w:rsidRPr="00083CB2">
        <w:rPr>
          <w:rFonts w:ascii="Times New Roman" w:hAnsi="Times New Roman" w:cs="Times New Roman"/>
          <w:sz w:val="24"/>
          <w:szCs w:val="24"/>
          <w:vertAlign w:val="superscript"/>
          <w:lang w:val="en-US"/>
        </w:rPr>
        <w:footnoteReference w:id="3"/>
      </w:r>
      <w:r w:rsidRPr="00083CB2">
        <w:rPr>
          <w:rFonts w:ascii="Times New Roman" w:hAnsi="Times New Roman" w:cs="Times New Roman"/>
          <w:sz w:val="24"/>
          <w:szCs w:val="24"/>
          <w:lang w:val="en-US"/>
        </w:rPr>
        <w:t xml:space="preserve"> </w:t>
      </w:r>
    </w:p>
    <w:p w:rsidR="00083CB2" w:rsidRPr="00083CB2" w:rsidRDefault="00083CB2" w:rsidP="00083CB2">
      <w:pPr>
        <w:ind w:left="115"/>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International investment agreements are routinely part of comprehensive Free Trade Agreements (FTA). These FTAs feature a chapter on trade and sustainable development, which includes binding obligations on the parties to ratify and effectively implement fundamental International </w:t>
      </w:r>
      <w:proofErr w:type="spellStart"/>
      <w:r w:rsidRPr="00083CB2">
        <w:rPr>
          <w:rFonts w:ascii="Times New Roman" w:hAnsi="Times New Roman" w:cs="Times New Roman"/>
          <w:sz w:val="24"/>
          <w:szCs w:val="24"/>
          <w:lang w:val="en-US"/>
        </w:rPr>
        <w:t>Labour</w:t>
      </w:r>
      <w:proofErr w:type="spellEnd"/>
      <w:r w:rsidRPr="00083CB2">
        <w:rPr>
          <w:rFonts w:ascii="Times New Roman" w:hAnsi="Times New Roman" w:cs="Times New Roman"/>
          <w:sz w:val="24"/>
          <w:szCs w:val="24"/>
          <w:lang w:val="en-US"/>
        </w:rPr>
        <w:t xml:space="preserve"> </w:t>
      </w:r>
      <w:proofErr w:type="spellStart"/>
      <w:r w:rsidRPr="00083CB2">
        <w:rPr>
          <w:rFonts w:ascii="Times New Roman" w:hAnsi="Times New Roman" w:cs="Times New Roman"/>
          <w:sz w:val="24"/>
          <w:szCs w:val="24"/>
          <w:lang w:val="en-US"/>
        </w:rPr>
        <w:t>Organisation</w:t>
      </w:r>
      <w:proofErr w:type="spellEnd"/>
      <w:r w:rsidRPr="00083CB2">
        <w:rPr>
          <w:rFonts w:ascii="Times New Roman" w:hAnsi="Times New Roman" w:cs="Times New Roman"/>
          <w:sz w:val="24"/>
          <w:szCs w:val="24"/>
          <w:lang w:val="en-US"/>
        </w:rPr>
        <w:t xml:space="preserve"> (ILO) conventions. In case of standalone investment </w:t>
      </w:r>
      <w:proofErr w:type="gramStart"/>
      <w:r w:rsidRPr="00083CB2">
        <w:rPr>
          <w:rFonts w:ascii="Times New Roman" w:hAnsi="Times New Roman" w:cs="Times New Roman"/>
          <w:sz w:val="24"/>
          <w:szCs w:val="24"/>
          <w:lang w:val="en-US"/>
        </w:rPr>
        <w:t>agreements</w:t>
      </w:r>
      <w:proofErr w:type="gramEnd"/>
      <w:r w:rsidRPr="00083CB2">
        <w:rPr>
          <w:rFonts w:ascii="Times New Roman" w:hAnsi="Times New Roman" w:cs="Times New Roman"/>
          <w:sz w:val="24"/>
          <w:szCs w:val="24"/>
          <w:lang w:val="en-US"/>
        </w:rPr>
        <w:t xml:space="preserve"> (e.g. the not yet concluded EU-China CAI), there is a separate section on investmen</w:t>
      </w:r>
      <w:r>
        <w:rPr>
          <w:rFonts w:ascii="Times New Roman" w:hAnsi="Times New Roman" w:cs="Times New Roman"/>
          <w:sz w:val="24"/>
          <w:szCs w:val="24"/>
          <w:lang w:val="en-US"/>
        </w:rPr>
        <w:t xml:space="preserve">t and sustainable development. </w:t>
      </w:r>
    </w:p>
    <w:p w:rsidR="00083CB2" w:rsidRPr="00083CB2" w:rsidRDefault="00083CB2" w:rsidP="00083CB2">
      <w:pPr>
        <w:ind w:left="115"/>
        <w:jc w:val="both"/>
        <w:rPr>
          <w:rFonts w:ascii="Times New Roman" w:hAnsi="Times New Roman" w:cs="Times New Roman"/>
          <w:sz w:val="24"/>
          <w:szCs w:val="24"/>
          <w:lang w:val="en-US"/>
        </w:rPr>
      </w:pPr>
      <w:r w:rsidRPr="00083CB2">
        <w:rPr>
          <w:rFonts w:ascii="Times New Roman" w:eastAsia="Times New Roman" w:hAnsi="Times New Roman" w:cs="Times New Roman"/>
          <w:sz w:val="24"/>
          <w:szCs w:val="24"/>
          <w:lang w:val="en-US"/>
        </w:rPr>
        <w:t xml:space="preserve">Furthermore, the EU’s </w:t>
      </w:r>
      <w:r w:rsidRPr="00083CB2">
        <w:rPr>
          <w:rFonts w:ascii="Times New Roman" w:hAnsi="Times New Roman" w:cs="Times New Roman"/>
          <w:sz w:val="24"/>
          <w:szCs w:val="24"/>
          <w:lang w:val="en-US"/>
        </w:rPr>
        <w:t xml:space="preserve">bilateral agreements contain a clause on the protection of human rights as an essential element. This clause </w:t>
      </w:r>
      <w:proofErr w:type="gramStart"/>
      <w:r w:rsidRPr="00083CB2">
        <w:rPr>
          <w:rFonts w:ascii="Times New Roman" w:hAnsi="Times New Roman" w:cs="Times New Roman"/>
          <w:sz w:val="24"/>
          <w:szCs w:val="24"/>
          <w:lang w:val="en-US"/>
        </w:rPr>
        <w:t>is either integrated into the FTA or made applicable to it through a reference to another agreement with the country concerned</w:t>
      </w:r>
      <w:proofErr w:type="gramEnd"/>
      <w:r w:rsidRPr="00083CB2">
        <w:rPr>
          <w:rFonts w:ascii="Times New Roman" w:hAnsi="Times New Roman" w:cs="Times New Roman"/>
          <w:sz w:val="24"/>
          <w:szCs w:val="24"/>
          <w:lang w:val="en-US"/>
        </w:rPr>
        <w:t xml:space="preserve">. A breach of such clause would allow the parties, pursuant to Article 60(1) of the Vienna Convention on the Law of Treaties, to suspend or terminate the agreement.  </w:t>
      </w:r>
    </w:p>
    <w:p w:rsidR="00083CB2" w:rsidRPr="00083CB2" w:rsidRDefault="00083CB2" w:rsidP="00083CB2">
      <w:pPr>
        <w:ind w:left="115"/>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With a view to developing a more sustainable growth model, </w:t>
      </w:r>
      <w:r w:rsidRPr="00083CB2">
        <w:rPr>
          <w:rFonts w:ascii="Times New Roman" w:eastAsia="Times New Roman" w:hAnsi="Times New Roman" w:cs="Times New Roman"/>
          <w:sz w:val="24"/>
          <w:szCs w:val="24"/>
          <w:lang w:val="en-US"/>
        </w:rPr>
        <w:t xml:space="preserve">the Commission’s resolve for the </w:t>
      </w:r>
      <w:r w:rsidRPr="00083CB2">
        <w:rPr>
          <w:rFonts w:ascii="Times New Roman" w:hAnsi="Times New Roman" w:cs="Times New Roman"/>
          <w:sz w:val="24"/>
          <w:szCs w:val="24"/>
          <w:lang w:val="en-US"/>
        </w:rPr>
        <w:t xml:space="preserve">next decade is to ensure that trade tools accompany and support a global transition towards a climate neutral economy, including accelerating investments in clean energy, and promote value chains that are circular, responsible and sustainable. This includes promoting responsible business conduct and the respect of environmental, human rights and </w:t>
      </w:r>
      <w:proofErr w:type="spellStart"/>
      <w:r w:rsidRPr="00083CB2">
        <w:rPr>
          <w:rFonts w:ascii="Times New Roman" w:hAnsi="Times New Roman" w:cs="Times New Roman"/>
          <w:sz w:val="24"/>
          <w:szCs w:val="24"/>
          <w:lang w:val="en-US"/>
        </w:rPr>
        <w:t>labour</w:t>
      </w:r>
      <w:proofErr w:type="spellEnd"/>
      <w:r w:rsidRPr="00083CB2">
        <w:rPr>
          <w:rFonts w:ascii="Times New Roman" w:hAnsi="Times New Roman" w:cs="Times New Roman"/>
          <w:sz w:val="24"/>
          <w:szCs w:val="24"/>
          <w:lang w:val="en-US"/>
        </w:rPr>
        <w:t xml:space="preserve"> standards.</w:t>
      </w:r>
      <w:r w:rsidRPr="00083CB2">
        <w:rPr>
          <w:rFonts w:ascii="Times New Roman" w:hAnsi="Times New Roman" w:cs="Times New Roman"/>
          <w:sz w:val="24"/>
          <w:szCs w:val="24"/>
          <w:vertAlign w:val="superscript"/>
          <w:lang w:val="en-US"/>
        </w:rPr>
        <w:footnoteReference w:id="4"/>
      </w:r>
      <w:r w:rsidRPr="00083CB2">
        <w:rPr>
          <w:rFonts w:ascii="Times New Roman" w:hAnsi="Times New Roman" w:cs="Times New Roman"/>
          <w:sz w:val="24"/>
          <w:szCs w:val="24"/>
          <w:lang w:val="en-US"/>
        </w:rPr>
        <w:t xml:space="preserve"> For the EU, negotiating trade and investment agreements is an important tool, not only for the creation of economic opportunities, but also for the promotion of its core values and objectives. This translates </w:t>
      </w:r>
      <w:r w:rsidRPr="00083CB2">
        <w:rPr>
          <w:rFonts w:ascii="Times New Roman" w:eastAsia="Times New Roman" w:hAnsi="Times New Roman" w:cs="Times New Roman"/>
          <w:sz w:val="24"/>
          <w:szCs w:val="24"/>
          <w:lang w:val="en-US"/>
        </w:rPr>
        <w:t>into concrete provisions on, among others, the state’s right to regulate in in</w:t>
      </w:r>
      <w:r w:rsidRPr="00083CB2">
        <w:rPr>
          <w:rFonts w:ascii="Times New Roman" w:hAnsi="Times New Roman" w:cs="Times New Roman"/>
          <w:sz w:val="24"/>
          <w:szCs w:val="24"/>
          <w:lang w:val="en-US"/>
        </w:rPr>
        <w:t xml:space="preserve">vestment agreements, trade and sustainable development chapters, human rights clauses and other elements.  </w:t>
      </w:r>
    </w:p>
    <w:p w:rsidR="00083CB2" w:rsidRDefault="00083CB2" w:rsidP="00083CB2">
      <w:pPr>
        <w:ind w:left="115"/>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Finally, it is worth noting that the integration of human rights and sustainability in external actions </w:t>
      </w:r>
      <w:r w:rsidRPr="00083CB2">
        <w:rPr>
          <w:rFonts w:ascii="Times New Roman" w:eastAsia="Times New Roman" w:hAnsi="Times New Roman" w:cs="Times New Roman"/>
          <w:sz w:val="24"/>
          <w:szCs w:val="24"/>
          <w:lang w:val="en-US"/>
        </w:rPr>
        <w:t>goes hand in hand with the EU’s priorities i</w:t>
      </w:r>
      <w:r w:rsidRPr="00083CB2">
        <w:rPr>
          <w:rFonts w:ascii="Times New Roman" w:hAnsi="Times New Roman" w:cs="Times New Roman"/>
          <w:sz w:val="24"/>
          <w:szCs w:val="24"/>
          <w:lang w:val="en-US"/>
        </w:rPr>
        <w:t xml:space="preserve">nternally.  Drawing on the principles of sustainability enshrined in the EU Treaties, the current Commission (2020-2025) has promulgated the European </w:t>
      </w:r>
      <w:r w:rsidRPr="00083CB2">
        <w:rPr>
          <w:rFonts w:ascii="Times New Roman" w:eastAsia="Times New Roman" w:hAnsi="Times New Roman" w:cs="Times New Roman"/>
          <w:sz w:val="24"/>
          <w:szCs w:val="24"/>
          <w:lang w:val="en-US"/>
        </w:rPr>
        <w:t xml:space="preserve">Green Deal, which </w:t>
      </w:r>
      <w:proofErr w:type="gramStart"/>
      <w:r w:rsidRPr="00083CB2">
        <w:rPr>
          <w:rFonts w:ascii="Times New Roman" w:eastAsia="Times New Roman" w:hAnsi="Times New Roman" w:cs="Times New Roman"/>
          <w:sz w:val="24"/>
          <w:szCs w:val="24"/>
          <w:lang w:val="en-US"/>
        </w:rPr>
        <w:t>is aimed</w:t>
      </w:r>
      <w:proofErr w:type="gramEnd"/>
      <w:r w:rsidRPr="00083CB2">
        <w:rPr>
          <w:rFonts w:ascii="Times New Roman" w:eastAsia="Times New Roman" w:hAnsi="Times New Roman" w:cs="Times New Roman"/>
          <w:sz w:val="24"/>
          <w:szCs w:val="24"/>
          <w:lang w:val="en-US"/>
        </w:rPr>
        <w:t xml:space="preserve"> at reducing the footprint of the EU’s economy by 2050.</w:t>
      </w:r>
      <w:r w:rsidRPr="00083CB2">
        <w:rPr>
          <w:rFonts w:ascii="Times New Roman" w:hAnsi="Times New Roman" w:cs="Times New Roman"/>
          <w:sz w:val="24"/>
          <w:szCs w:val="24"/>
          <w:vertAlign w:val="superscript"/>
          <w:lang w:val="en-US"/>
        </w:rPr>
        <w:footnoteReference w:id="5"/>
      </w:r>
      <w:r w:rsidRPr="00083CB2">
        <w:rPr>
          <w:rFonts w:ascii="Times New Roman" w:hAnsi="Times New Roman" w:cs="Times New Roman"/>
          <w:sz w:val="24"/>
          <w:szCs w:val="24"/>
          <w:lang w:val="en-US"/>
        </w:rPr>
        <w:t xml:space="preserve"> A safe, clean, healthy and sustainable environment is integral to the full enjoyment of a wide range of human rights, including the rights to life, health, food, water and sanitation. Additionally, the EU Action Plan on Human Rights and Democracy 2020-2024</w:t>
      </w:r>
      <w:r w:rsidRPr="00083CB2">
        <w:rPr>
          <w:rFonts w:ascii="Times New Roman" w:hAnsi="Times New Roman" w:cs="Times New Roman"/>
          <w:sz w:val="24"/>
          <w:szCs w:val="24"/>
          <w:vertAlign w:val="superscript"/>
          <w:lang w:val="en-US"/>
        </w:rPr>
        <w:footnoteReference w:id="6"/>
      </w:r>
      <w:r w:rsidRPr="00083CB2">
        <w:rPr>
          <w:rFonts w:ascii="Times New Roman" w:hAnsi="Times New Roman" w:cs="Times New Roman"/>
          <w:sz w:val="24"/>
          <w:szCs w:val="24"/>
          <w:lang w:val="en-US"/>
        </w:rPr>
        <w:t xml:space="preserve"> commits the EU to engage with the business sector on upholding and promoting human rights and best practices on Responsible Business Conduct (RBC), Corporate Social Responsibility (CSR), due diligence, accountability and access to remedies in a participative manner. It also provides for the </w:t>
      </w:r>
      <w:r w:rsidRPr="00083CB2">
        <w:rPr>
          <w:rFonts w:ascii="Times New Roman" w:eastAsia="Times New Roman" w:hAnsi="Times New Roman" w:cs="Times New Roman"/>
          <w:sz w:val="24"/>
          <w:szCs w:val="24"/>
          <w:lang w:val="en-US"/>
        </w:rPr>
        <w:t xml:space="preserve">EU’s commitment to work on a new </w:t>
      </w:r>
      <w:r w:rsidRPr="00083CB2">
        <w:rPr>
          <w:rFonts w:ascii="Times New Roman" w:hAnsi="Times New Roman" w:cs="Times New Roman"/>
          <w:sz w:val="24"/>
          <w:szCs w:val="24"/>
          <w:lang w:val="en-US"/>
        </w:rPr>
        <w:t xml:space="preserve">comprehensive EU framework for a coherent implementation of the UN Guiding Principles on Business and Human Rights, including through national action plans and relevant due diligence guidelines. </w:t>
      </w:r>
    </w:p>
    <w:p w:rsidR="00083CB2" w:rsidRPr="00083CB2" w:rsidRDefault="00083CB2" w:rsidP="00083CB2">
      <w:pPr>
        <w:spacing w:after="0"/>
        <w:ind w:left="120"/>
        <w:jc w:val="both"/>
        <w:rPr>
          <w:rFonts w:ascii="Times New Roman" w:hAnsi="Times New Roman" w:cs="Times New Roman"/>
          <w:sz w:val="24"/>
          <w:szCs w:val="24"/>
          <w:lang w:val="en-US"/>
        </w:rPr>
      </w:pPr>
    </w:p>
    <w:p w:rsidR="00083CB2" w:rsidRPr="00083CB2" w:rsidRDefault="00083CB2" w:rsidP="00083CB2">
      <w:pPr>
        <w:spacing w:after="14"/>
        <w:ind w:left="120"/>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 </w:t>
      </w:r>
    </w:p>
    <w:p w:rsidR="00083CB2" w:rsidRPr="00083CB2" w:rsidRDefault="00083CB2" w:rsidP="00083CB2">
      <w:pPr>
        <w:spacing w:after="1" w:line="258" w:lineRule="auto"/>
        <w:ind w:left="835" w:hanging="370"/>
        <w:jc w:val="both"/>
        <w:rPr>
          <w:rFonts w:ascii="Times New Roman" w:hAnsi="Times New Roman" w:cs="Times New Roman"/>
          <w:sz w:val="24"/>
          <w:szCs w:val="24"/>
          <w:lang w:val="en-US"/>
        </w:rPr>
      </w:pPr>
      <w:r w:rsidRPr="00083CB2">
        <w:rPr>
          <w:rFonts w:ascii="Times New Roman" w:eastAsia="Times New Roman" w:hAnsi="Times New Roman" w:cs="Times New Roman"/>
          <w:b/>
          <w:sz w:val="24"/>
          <w:szCs w:val="24"/>
          <w:lang w:val="en-US"/>
        </w:rPr>
        <w:t>2.</w:t>
      </w:r>
      <w:r w:rsidRPr="00083CB2">
        <w:rPr>
          <w:rFonts w:ascii="Times New Roman" w:eastAsia="Arial" w:hAnsi="Times New Roman" w:cs="Times New Roman"/>
          <w:b/>
          <w:sz w:val="24"/>
          <w:szCs w:val="24"/>
          <w:lang w:val="en-US"/>
        </w:rPr>
        <w:t xml:space="preserve"> </w:t>
      </w:r>
      <w:r w:rsidRPr="00083CB2">
        <w:rPr>
          <w:rFonts w:ascii="Times New Roman" w:eastAsia="Times New Roman" w:hAnsi="Times New Roman" w:cs="Times New Roman"/>
          <w:b/>
          <w:sz w:val="24"/>
          <w:szCs w:val="24"/>
          <w:lang w:val="en-US"/>
        </w:rPr>
        <w:t xml:space="preserve">Are there any mechanisms or processes (e.g., inter-ministerial committee, ex ante human rights impact assessment) to assess and ensure that IIAs are compatible with international human rights obligations of your country?  </w:t>
      </w:r>
    </w:p>
    <w:p w:rsidR="007A16A4" w:rsidRDefault="007A16A4" w:rsidP="00083CB2">
      <w:pPr>
        <w:spacing w:after="0"/>
        <w:jc w:val="both"/>
        <w:rPr>
          <w:rFonts w:ascii="Times New Roman" w:hAnsi="Times New Roman" w:cs="Times New Roman"/>
          <w:sz w:val="24"/>
          <w:szCs w:val="24"/>
          <w:lang w:val="en-US"/>
        </w:rPr>
      </w:pPr>
    </w:p>
    <w:p w:rsidR="00083CB2" w:rsidRPr="00083CB2" w:rsidRDefault="00083CB2" w:rsidP="00083CB2">
      <w:pPr>
        <w:spacing w:after="0"/>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The European Commission conducts four types of formal, published policy analyses during the life cycle (i.e., negotiation and implementation) of trade and investment agreements. Three of these </w:t>
      </w:r>
      <w:r w:rsidRPr="00083CB2">
        <w:rPr>
          <w:rFonts w:ascii="Times New Roman" w:eastAsia="Times New Roman" w:hAnsi="Times New Roman" w:cs="Times New Roman"/>
          <w:sz w:val="24"/>
          <w:szCs w:val="24"/>
          <w:lang w:val="en-US"/>
        </w:rPr>
        <w:t xml:space="preserve">are “integrated” assessments: that is to say, they aim to identify and </w:t>
      </w:r>
      <w:proofErr w:type="spellStart"/>
      <w:r w:rsidRPr="00083CB2">
        <w:rPr>
          <w:rFonts w:ascii="Times New Roman" w:eastAsia="Times New Roman" w:hAnsi="Times New Roman" w:cs="Times New Roman"/>
          <w:sz w:val="24"/>
          <w:szCs w:val="24"/>
          <w:lang w:val="en-US"/>
        </w:rPr>
        <w:t>analyse</w:t>
      </w:r>
      <w:proofErr w:type="spellEnd"/>
      <w:r w:rsidRPr="00083CB2">
        <w:rPr>
          <w:rFonts w:ascii="Times New Roman" w:eastAsia="Times New Roman" w:hAnsi="Times New Roman" w:cs="Times New Roman"/>
          <w:sz w:val="24"/>
          <w:szCs w:val="24"/>
          <w:lang w:val="en-US"/>
        </w:rPr>
        <w:t xml:space="preserve"> all the signific</w:t>
      </w:r>
      <w:r w:rsidRPr="00083CB2">
        <w:rPr>
          <w:rFonts w:ascii="Times New Roman" w:hAnsi="Times New Roman" w:cs="Times New Roman"/>
          <w:sz w:val="24"/>
          <w:szCs w:val="24"/>
          <w:lang w:val="en-US"/>
        </w:rPr>
        <w:t>ant potential impacts of a proposed agreement (i.e. whether economic, social, human rights, or environmental), or all the significant actual impacts in the case of an agreement that is actually in force.</w:t>
      </w:r>
      <w:r w:rsidRPr="00083CB2">
        <w:rPr>
          <w:rFonts w:ascii="Times New Roman" w:hAnsi="Times New Roman" w:cs="Times New Roman"/>
          <w:sz w:val="24"/>
          <w:szCs w:val="24"/>
          <w:vertAlign w:val="superscript"/>
          <w:lang w:val="en-US"/>
        </w:rPr>
        <w:footnoteReference w:id="7"/>
      </w:r>
      <w:r w:rsidRPr="00083CB2">
        <w:rPr>
          <w:rFonts w:ascii="Times New Roman" w:hAnsi="Times New Roman" w:cs="Times New Roman"/>
          <w:sz w:val="24"/>
          <w:szCs w:val="24"/>
          <w:lang w:val="en-US"/>
        </w:rPr>
        <w:t xml:space="preserve">  </w:t>
      </w:r>
    </w:p>
    <w:p w:rsidR="00083CB2" w:rsidRPr="00083CB2" w:rsidRDefault="00083CB2" w:rsidP="00083CB2">
      <w:pPr>
        <w:spacing w:after="0"/>
        <w:ind w:left="120"/>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 </w:t>
      </w:r>
    </w:p>
    <w:p w:rsidR="00083CB2" w:rsidRPr="00083CB2" w:rsidRDefault="00083CB2" w:rsidP="00083CB2">
      <w:pPr>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In the lead-up to negotiations of an EU trade or investment agreement, the Commission conducts an Impact Assessment (IA) that seeks to identify and provide an initial assessment of significant potential impacts of a proposed agreement </w:t>
      </w:r>
      <w:r w:rsidRPr="00083CB2">
        <w:rPr>
          <w:rFonts w:ascii="Times New Roman" w:eastAsia="Times New Roman" w:hAnsi="Times New Roman" w:cs="Times New Roman"/>
          <w:sz w:val="24"/>
          <w:szCs w:val="24"/>
          <w:lang w:val="en-US"/>
        </w:rPr>
        <w:t>–</w:t>
      </w:r>
      <w:r w:rsidRPr="00083CB2">
        <w:rPr>
          <w:rFonts w:ascii="Times New Roman" w:hAnsi="Times New Roman" w:cs="Times New Roman"/>
          <w:sz w:val="24"/>
          <w:szCs w:val="24"/>
          <w:lang w:val="en-US"/>
        </w:rPr>
        <w:t xml:space="preserve"> including any significant potential impacts on human rights. This informs the EU </w:t>
      </w:r>
      <w:r w:rsidRPr="00083CB2">
        <w:rPr>
          <w:rFonts w:ascii="Times New Roman" w:eastAsia="Times New Roman" w:hAnsi="Times New Roman" w:cs="Times New Roman"/>
          <w:sz w:val="24"/>
          <w:szCs w:val="24"/>
          <w:lang w:val="en-US"/>
        </w:rPr>
        <w:t>Council of Ministers’</w:t>
      </w:r>
      <w:r w:rsidRPr="00083CB2">
        <w:rPr>
          <w:rFonts w:ascii="Times New Roman" w:hAnsi="Times New Roman" w:cs="Times New Roman"/>
          <w:sz w:val="24"/>
          <w:szCs w:val="24"/>
          <w:lang w:val="en-US"/>
        </w:rPr>
        <w:t xml:space="preserve"> decision on whether to approve the launch of a new trade negotiation, to </w:t>
      </w:r>
      <w:proofErr w:type="gramStart"/>
      <w:r w:rsidRPr="00083CB2">
        <w:rPr>
          <w:rFonts w:ascii="Times New Roman" w:hAnsi="Times New Roman" w:cs="Times New Roman"/>
          <w:sz w:val="24"/>
          <w:szCs w:val="24"/>
          <w:lang w:val="en-US"/>
        </w:rPr>
        <w:t>be conducted</w:t>
      </w:r>
      <w:proofErr w:type="gramEnd"/>
      <w:r w:rsidRPr="00083CB2">
        <w:rPr>
          <w:rFonts w:ascii="Times New Roman" w:hAnsi="Times New Roman" w:cs="Times New Roman"/>
          <w:sz w:val="24"/>
          <w:szCs w:val="24"/>
          <w:lang w:val="en-US"/>
        </w:rPr>
        <w:t xml:space="preserve"> by the Commission. </w:t>
      </w:r>
    </w:p>
    <w:p w:rsidR="00083CB2" w:rsidRPr="00083CB2" w:rsidRDefault="00083CB2" w:rsidP="00083CB2">
      <w:pPr>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During the negotiations, a Sustainability Impact Assessment (SIA) </w:t>
      </w:r>
      <w:proofErr w:type="gramStart"/>
      <w:r w:rsidRPr="00083CB2">
        <w:rPr>
          <w:rFonts w:ascii="Times New Roman" w:hAnsi="Times New Roman" w:cs="Times New Roman"/>
          <w:sz w:val="24"/>
          <w:szCs w:val="24"/>
          <w:lang w:val="en-US"/>
        </w:rPr>
        <w:t>is carried out</w:t>
      </w:r>
      <w:proofErr w:type="gramEnd"/>
      <w:r w:rsidRPr="00083CB2">
        <w:rPr>
          <w:rFonts w:ascii="Times New Roman" w:hAnsi="Times New Roman" w:cs="Times New Roman"/>
          <w:sz w:val="24"/>
          <w:szCs w:val="24"/>
          <w:lang w:val="en-US"/>
        </w:rPr>
        <w:t xml:space="preserve">. This provides the Commission with a more in-depth analysis of the potential economic, social, human rights, and environmental impacts of the agreement under negotiation, together with extensive stakeholder consultation. </w:t>
      </w:r>
    </w:p>
    <w:p w:rsidR="00083CB2" w:rsidRDefault="00083CB2" w:rsidP="00083CB2">
      <w:pPr>
        <w:spacing w:after="0"/>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Once negotiations of the quantifiable elements of the agreement are </w:t>
      </w:r>
      <w:proofErr w:type="spellStart"/>
      <w:r w:rsidRPr="00083CB2">
        <w:rPr>
          <w:rFonts w:ascii="Times New Roman" w:hAnsi="Times New Roman" w:cs="Times New Roman"/>
          <w:sz w:val="24"/>
          <w:szCs w:val="24"/>
          <w:lang w:val="en-US"/>
        </w:rPr>
        <w:t>finalised</w:t>
      </w:r>
      <w:proofErr w:type="spellEnd"/>
      <w:r w:rsidRPr="00083CB2">
        <w:rPr>
          <w:rFonts w:ascii="Times New Roman" w:hAnsi="Times New Roman" w:cs="Times New Roman"/>
          <w:sz w:val="24"/>
          <w:szCs w:val="24"/>
          <w:lang w:val="en-US"/>
        </w:rPr>
        <w:t xml:space="preserve">, the Commission carries out an Economic Analysis of the Negotiated Outcome (EANO). The EANO helps the Council, the European Parliament and eventually legislative bodies in EU Member States in their subsequent approval processes. However, the scope of the analysis is strictly economic; it does not include further analysis of human rights aspects. </w:t>
      </w:r>
    </w:p>
    <w:p w:rsidR="00083CB2" w:rsidRDefault="00083CB2" w:rsidP="00083CB2">
      <w:pPr>
        <w:spacing w:after="0"/>
        <w:jc w:val="both"/>
        <w:rPr>
          <w:rFonts w:ascii="Times New Roman" w:hAnsi="Times New Roman" w:cs="Times New Roman"/>
          <w:sz w:val="24"/>
          <w:szCs w:val="24"/>
          <w:lang w:val="en-US"/>
        </w:rPr>
      </w:pPr>
    </w:p>
    <w:p w:rsidR="00083CB2" w:rsidRDefault="00083CB2" w:rsidP="00083CB2">
      <w:pPr>
        <w:spacing w:after="0"/>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After the trade deal has been implemented and enough time has passed to gather sufficient evidence, the Commission conducts an ex post evaluation into the effects of the agreement between the EU and the partner country or region. Once again, this is an integrated policy analysis: it aims to identify and </w:t>
      </w:r>
      <w:proofErr w:type="spellStart"/>
      <w:r w:rsidRPr="00083CB2">
        <w:rPr>
          <w:rFonts w:ascii="Times New Roman" w:hAnsi="Times New Roman" w:cs="Times New Roman"/>
          <w:sz w:val="24"/>
          <w:szCs w:val="24"/>
          <w:lang w:val="en-US"/>
        </w:rPr>
        <w:t>analyse</w:t>
      </w:r>
      <w:proofErr w:type="spellEnd"/>
      <w:r w:rsidRPr="00083CB2">
        <w:rPr>
          <w:rFonts w:ascii="Times New Roman" w:hAnsi="Times New Roman" w:cs="Times New Roman"/>
          <w:sz w:val="24"/>
          <w:szCs w:val="24"/>
          <w:lang w:val="en-US"/>
        </w:rPr>
        <w:t xml:space="preserve"> all the significant actual impacts (i.e. economic, social, human rights, or environmental) of the agreement since its entry into force. The results of this evaluation allow the Commission to understand whether trade and investment agreements have worked as expected in achieving their objectives. This evaluation </w:t>
      </w:r>
      <w:proofErr w:type="gramStart"/>
      <w:r w:rsidRPr="00083CB2">
        <w:rPr>
          <w:rFonts w:ascii="Times New Roman" w:hAnsi="Times New Roman" w:cs="Times New Roman"/>
          <w:sz w:val="24"/>
          <w:szCs w:val="24"/>
          <w:lang w:val="en-US"/>
        </w:rPr>
        <w:t>can then be used</w:t>
      </w:r>
      <w:proofErr w:type="gramEnd"/>
      <w:r w:rsidRPr="00083CB2">
        <w:rPr>
          <w:rFonts w:ascii="Times New Roman" w:hAnsi="Times New Roman" w:cs="Times New Roman"/>
          <w:sz w:val="24"/>
          <w:szCs w:val="24"/>
          <w:lang w:val="en-US"/>
        </w:rPr>
        <w:t xml:space="preserve"> to improve future t</w:t>
      </w:r>
      <w:r>
        <w:rPr>
          <w:rFonts w:ascii="Times New Roman" w:hAnsi="Times New Roman" w:cs="Times New Roman"/>
          <w:sz w:val="24"/>
          <w:szCs w:val="24"/>
          <w:lang w:val="en-US"/>
        </w:rPr>
        <w:t>rade and investment agreements.</w:t>
      </w:r>
    </w:p>
    <w:p w:rsidR="00083CB2" w:rsidRDefault="00083CB2" w:rsidP="00083CB2">
      <w:pPr>
        <w:spacing w:after="0"/>
        <w:jc w:val="both"/>
        <w:rPr>
          <w:rFonts w:ascii="Times New Roman" w:hAnsi="Times New Roman" w:cs="Times New Roman"/>
          <w:sz w:val="24"/>
          <w:szCs w:val="24"/>
          <w:lang w:val="en-US"/>
        </w:rPr>
      </w:pPr>
    </w:p>
    <w:p w:rsidR="00083CB2" w:rsidRDefault="00083CB2" w:rsidP="00083CB2">
      <w:pPr>
        <w:spacing w:after="0"/>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Besides those evaluation tools, </w:t>
      </w:r>
      <w:r w:rsidRPr="00083CB2">
        <w:rPr>
          <w:rFonts w:ascii="Times New Roman" w:eastAsia="Times New Roman" w:hAnsi="Times New Roman" w:cs="Times New Roman"/>
          <w:sz w:val="24"/>
          <w:szCs w:val="24"/>
          <w:lang w:val="en-US"/>
        </w:rPr>
        <w:t>the compliance of the EU’s trade</w:t>
      </w:r>
      <w:r w:rsidRPr="00083CB2">
        <w:rPr>
          <w:rFonts w:ascii="Times New Roman" w:hAnsi="Times New Roman" w:cs="Times New Roman"/>
          <w:sz w:val="24"/>
          <w:szCs w:val="24"/>
          <w:lang w:val="en-US"/>
        </w:rPr>
        <w:t xml:space="preserve"> and investment agreements with human rights is also achieved through other mechanisms, notably the checks performed by the EU legislative bodies. </w:t>
      </w:r>
      <w:proofErr w:type="gramStart"/>
      <w:r w:rsidRPr="00083CB2">
        <w:rPr>
          <w:rFonts w:ascii="Times New Roman" w:hAnsi="Times New Roman" w:cs="Times New Roman"/>
          <w:sz w:val="24"/>
          <w:szCs w:val="24"/>
          <w:lang w:val="en-US"/>
        </w:rPr>
        <w:t xml:space="preserve">For instance, the inclusion of human rights related provisions, usually as part of the Trade and Sustainable Development chapters of a free trade agreement (FTA), or the respect </w:t>
      </w:r>
      <w:r w:rsidRPr="00083CB2">
        <w:rPr>
          <w:rFonts w:ascii="Times New Roman" w:eastAsia="Times New Roman" w:hAnsi="Times New Roman" w:cs="Times New Roman"/>
          <w:sz w:val="24"/>
          <w:szCs w:val="24"/>
          <w:lang w:val="en-US"/>
        </w:rPr>
        <w:t>of a state’s right to regulate in the public interest</w:t>
      </w:r>
      <w:r w:rsidRPr="00083CB2">
        <w:rPr>
          <w:rFonts w:ascii="Times New Roman" w:hAnsi="Times New Roman" w:cs="Times New Roman"/>
          <w:sz w:val="24"/>
          <w:szCs w:val="24"/>
          <w:lang w:val="en-US"/>
        </w:rPr>
        <w:t xml:space="preserve"> in investment agreements form ordinarily part of the negotiating directives that the Council gives to the Commission for the negotiation of trade and investment agreements.</w:t>
      </w:r>
      <w:proofErr w:type="gramEnd"/>
      <w:r w:rsidRPr="00083CB2">
        <w:rPr>
          <w:rFonts w:ascii="Times New Roman" w:hAnsi="Times New Roman" w:cs="Times New Roman"/>
          <w:sz w:val="24"/>
          <w:szCs w:val="24"/>
          <w:lang w:val="en-US"/>
        </w:rPr>
        <w:t xml:space="preserve"> Similarly, the European Parliament often </w:t>
      </w:r>
      <w:r w:rsidRPr="00083CB2">
        <w:rPr>
          <w:rFonts w:ascii="Times New Roman" w:hAnsi="Times New Roman" w:cs="Times New Roman"/>
          <w:sz w:val="24"/>
          <w:szCs w:val="24"/>
          <w:lang w:val="en-US"/>
        </w:rPr>
        <w:lastRenderedPageBreak/>
        <w:t>adopts resolutions that indicate the desirable c</w:t>
      </w:r>
      <w:r w:rsidRPr="00083CB2">
        <w:rPr>
          <w:rFonts w:ascii="Times New Roman" w:eastAsia="Times New Roman" w:hAnsi="Times New Roman" w:cs="Times New Roman"/>
          <w:sz w:val="24"/>
          <w:szCs w:val="24"/>
          <w:lang w:val="en-US"/>
        </w:rPr>
        <w:t xml:space="preserve">ontent of the EU’s agreements. </w:t>
      </w:r>
      <w:r w:rsidRPr="00083CB2">
        <w:rPr>
          <w:rFonts w:ascii="Times New Roman" w:hAnsi="Times New Roman" w:cs="Times New Roman"/>
          <w:sz w:val="24"/>
          <w:szCs w:val="24"/>
          <w:lang w:val="en-US"/>
        </w:rPr>
        <w:t xml:space="preserve">In many instances, the European Parliament has supported the inclusion of robust and ambitious trade and sustainable development chapters in the </w:t>
      </w:r>
      <w:r w:rsidRPr="00083CB2">
        <w:rPr>
          <w:rFonts w:ascii="Times New Roman" w:eastAsia="Times New Roman" w:hAnsi="Times New Roman" w:cs="Times New Roman"/>
          <w:sz w:val="24"/>
          <w:szCs w:val="24"/>
          <w:lang w:val="en-US"/>
        </w:rPr>
        <w:t xml:space="preserve">EU’s agreements. </w:t>
      </w:r>
      <w:r w:rsidRPr="00083CB2">
        <w:rPr>
          <w:rFonts w:ascii="Times New Roman" w:hAnsi="Times New Roman" w:cs="Times New Roman"/>
          <w:sz w:val="24"/>
          <w:szCs w:val="24"/>
          <w:lang w:val="en-US"/>
        </w:rPr>
        <w:t>In this regard, t</w:t>
      </w:r>
      <w:r w:rsidRPr="00083CB2">
        <w:rPr>
          <w:rFonts w:ascii="Times New Roman" w:eastAsia="Times New Roman" w:hAnsi="Times New Roman" w:cs="Times New Roman"/>
          <w:sz w:val="24"/>
          <w:szCs w:val="24"/>
          <w:lang w:val="en-US"/>
        </w:rPr>
        <w:t xml:space="preserve">he compliance of the EU’s trade </w:t>
      </w:r>
      <w:r w:rsidRPr="00083CB2">
        <w:rPr>
          <w:rFonts w:ascii="Times New Roman" w:hAnsi="Times New Roman" w:cs="Times New Roman"/>
          <w:sz w:val="24"/>
          <w:szCs w:val="24"/>
          <w:lang w:val="en-US"/>
        </w:rPr>
        <w:t xml:space="preserve">and investment agreements with human rights is </w:t>
      </w:r>
      <w:r w:rsidRPr="00083CB2">
        <w:rPr>
          <w:rFonts w:ascii="Times New Roman" w:eastAsia="Times New Roman" w:hAnsi="Times New Roman" w:cs="Times New Roman"/>
          <w:i/>
          <w:sz w:val="24"/>
          <w:szCs w:val="24"/>
          <w:lang w:val="en-US"/>
        </w:rPr>
        <w:t>de facto</w:t>
      </w:r>
      <w:r w:rsidRPr="00083CB2">
        <w:rPr>
          <w:rFonts w:ascii="Times New Roman" w:hAnsi="Times New Roman" w:cs="Times New Roman"/>
          <w:sz w:val="24"/>
          <w:szCs w:val="24"/>
          <w:lang w:val="en-US"/>
        </w:rPr>
        <w:t xml:space="preserve"> assessed throughout the negotiation process and, importantly, at the approval stage.</w:t>
      </w:r>
    </w:p>
    <w:p w:rsidR="000F618B" w:rsidRDefault="000F618B" w:rsidP="00083CB2">
      <w:pPr>
        <w:spacing w:after="0"/>
        <w:jc w:val="both"/>
        <w:rPr>
          <w:rFonts w:ascii="Times New Roman" w:hAnsi="Times New Roman" w:cs="Times New Roman"/>
          <w:sz w:val="24"/>
          <w:szCs w:val="24"/>
          <w:lang w:val="en-US"/>
        </w:rPr>
      </w:pPr>
    </w:p>
    <w:p w:rsidR="00083CB2" w:rsidRPr="00083CB2" w:rsidRDefault="00083CB2" w:rsidP="00083CB2">
      <w:pPr>
        <w:spacing w:after="14"/>
        <w:ind w:left="840"/>
        <w:jc w:val="both"/>
        <w:rPr>
          <w:rFonts w:ascii="Times New Roman" w:hAnsi="Times New Roman" w:cs="Times New Roman"/>
          <w:sz w:val="24"/>
          <w:szCs w:val="24"/>
          <w:lang w:val="en-US"/>
        </w:rPr>
      </w:pPr>
    </w:p>
    <w:p w:rsidR="00083CB2" w:rsidRPr="00083CB2" w:rsidRDefault="00083CB2" w:rsidP="00083CB2">
      <w:pPr>
        <w:spacing w:after="1" w:line="258" w:lineRule="auto"/>
        <w:ind w:left="835" w:hanging="370"/>
        <w:jc w:val="both"/>
        <w:rPr>
          <w:rFonts w:ascii="Times New Roman" w:hAnsi="Times New Roman" w:cs="Times New Roman"/>
          <w:sz w:val="24"/>
          <w:szCs w:val="24"/>
          <w:lang w:val="en-US"/>
        </w:rPr>
      </w:pPr>
      <w:r w:rsidRPr="00083CB2">
        <w:rPr>
          <w:rFonts w:ascii="Times New Roman" w:eastAsia="Times New Roman" w:hAnsi="Times New Roman" w:cs="Times New Roman"/>
          <w:b/>
          <w:sz w:val="24"/>
          <w:szCs w:val="24"/>
          <w:lang w:val="en-US"/>
        </w:rPr>
        <w:t>3.</w:t>
      </w:r>
      <w:r w:rsidRPr="00083CB2">
        <w:rPr>
          <w:rFonts w:ascii="Times New Roman" w:eastAsia="Arial" w:hAnsi="Times New Roman" w:cs="Times New Roman"/>
          <w:b/>
          <w:sz w:val="24"/>
          <w:szCs w:val="24"/>
          <w:lang w:val="en-US"/>
        </w:rPr>
        <w:t xml:space="preserve"> </w:t>
      </w:r>
      <w:r w:rsidRPr="00083CB2">
        <w:rPr>
          <w:rFonts w:ascii="Times New Roman" w:eastAsia="Times New Roman" w:hAnsi="Times New Roman" w:cs="Times New Roman"/>
          <w:b/>
          <w:sz w:val="24"/>
          <w:szCs w:val="24"/>
          <w:lang w:val="en-US"/>
        </w:rPr>
        <w:t xml:space="preserve">How does your Government ensure that IIAs do not </w:t>
      </w:r>
      <w:proofErr w:type="gramStart"/>
      <w:r w:rsidRPr="00083CB2">
        <w:rPr>
          <w:rFonts w:ascii="Times New Roman" w:eastAsia="Times New Roman" w:hAnsi="Times New Roman" w:cs="Times New Roman"/>
          <w:b/>
          <w:sz w:val="24"/>
          <w:szCs w:val="24"/>
          <w:lang w:val="en-US"/>
        </w:rPr>
        <w:t>impact</w:t>
      </w:r>
      <w:proofErr w:type="gramEnd"/>
      <w:r w:rsidRPr="00083CB2">
        <w:rPr>
          <w:rFonts w:ascii="Times New Roman" w:eastAsia="Times New Roman" w:hAnsi="Times New Roman" w:cs="Times New Roman"/>
          <w:b/>
          <w:sz w:val="24"/>
          <w:szCs w:val="24"/>
          <w:lang w:val="en-US"/>
        </w:rPr>
        <w:t xml:space="preserve"> negatively on the realization of other important policy objectives such as achieving gender equality, protection of the environment, mitigation of climate change and implementation of the Sustainable Development Goals.  </w:t>
      </w:r>
    </w:p>
    <w:p w:rsidR="00083CB2" w:rsidRDefault="00083CB2" w:rsidP="00083CB2">
      <w:pPr>
        <w:spacing w:after="0"/>
        <w:jc w:val="both"/>
        <w:rPr>
          <w:rFonts w:ascii="Times New Roman" w:eastAsia="Times New Roman" w:hAnsi="Times New Roman" w:cs="Times New Roman"/>
          <w:b/>
          <w:sz w:val="24"/>
          <w:szCs w:val="24"/>
          <w:lang w:val="en-US"/>
        </w:rPr>
      </w:pPr>
    </w:p>
    <w:p w:rsidR="00083CB2" w:rsidRDefault="00083CB2" w:rsidP="00083CB2">
      <w:pPr>
        <w:spacing w:after="0"/>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As explained in our reply to Q2, the EU resorts to a wide range of evaluation tools to assess the human rights and environmental impact of EU trade and investment agreements with a view to </w:t>
      </w:r>
      <w:proofErr w:type="spellStart"/>
      <w:r w:rsidRPr="00083CB2">
        <w:rPr>
          <w:rFonts w:ascii="Times New Roman" w:hAnsi="Times New Roman" w:cs="Times New Roman"/>
          <w:sz w:val="24"/>
          <w:szCs w:val="24"/>
          <w:lang w:val="en-US"/>
        </w:rPr>
        <w:t>minimising</w:t>
      </w:r>
      <w:proofErr w:type="spellEnd"/>
      <w:r w:rsidRPr="00083CB2">
        <w:rPr>
          <w:rFonts w:ascii="Times New Roman" w:hAnsi="Times New Roman" w:cs="Times New Roman"/>
          <w:sz w:val="24"/>
          <w:szCs w:val="24"/>
          <w:lang w:val="en-US"/>
        </w:rPr>
        <w:t xml:space="preserve"> any negative effects of those agreements on other important policy objectives. These evaluation tools are deployed throughout the life of the trade and investment negotiations and </w:t>
      </w:r>
      <w:proofErr w:type="gramStart"/>
      <w:r w:rsidRPr="00083CB2">
        <w:rPr>
          <w:rFonts w:ascii="Times New Roman" w:hAnsi="Times New Roman" w:cs="Times New Roman"/>
          <w:sz w:val="24"/>
          <w:szCs w:val="24"/>
          <w:lang w:val="en-US"/>
        </w:rPr>
        <w:t>apply also</w:t>
      </w:r>
      <w:proofErr w:type="gramEnd"/>
      <w:r w:rsidRPr="00083CB2">
        <w:rPr>
          <w:rFonts w:ascii="Times New Roman" w:hAnsi="Times New Roman" w:cs="Times New Roman"/>
          <w:sz w:val="24"/>
          <w:szCs w:val="24"/>
          <w:lang w:val="en-US"/>
        </w:rPr>
        <w:t xml:space="preserve"> after the entry into force of the agreements, during the implementation stage.  </w:t>
      </w:r>
    </w:p>
    <w:p w:rsidR="00083CB2" w:rsidRDefault="00083CB2" w:rsidP="00083CB2">
      <w:pPr>
        <w:spacing w:after="0"/>
        <w:jc w:val="both"/>
        <w:rPr>
          <w:rFonts w:ascii="Times New Roman" w:hAnsi="Times New Roman" w:cs="Times New Roman"/>
          <w:sz w:val="24"/>
          <w:szCs w:val="24"/>
          <w:lang w:val="en-US"/>
        </w:rPr>
      </w:pPr>
    </w:p>
    <w:p w:rsidR="00083CB2" w:rsidRPr="00083CB2" w:rsidRDefault="00083CB2" w:rsidP="00083CB2">
      <w:pPr>
        <w:spacing w:after="0"/>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Importantly, </w:t>
      </w:r>
      <w:r w:rsidRPr="00083CB2">
        <w:rPr>
          <w:rFonts w:ascii="Times New Roman" w:eastAsia="Times New Roman" w:hAnsi="Times New Roman" w:cs="Times New Roman"/>
          <w:sz w:val="24"/>
          <w:szCs w:val="24"/>
          <w:lang w:val="en-US"/>
        </w:rPr>
        <w:t xml:space="preserve">the EU’s investment agreements contain a number of safeguards that ensure that </w:t>
      </w:r>
      <w:r w:rsidRPr="00083CB2">
        <w:rPr>
          <w:rFonts w:ascii="Times New Roman" w:hAnsi="Times New Roman" w:cs="Times New Roman"/>
          <w:sz w:val="24"/>
          <w:szCs w:val="24"/>
          <w:lang w:val="en-US"/>
        </w:rPr>
        <w:t>public authorities can pursue their public policy objectives, including the protection of human rights and of the environment. In addition to references to international human rights in the preamble, EU investment agreements reaffirm, by means of a standalone clause, the right to regulate in the public interest, which informs the content of the investment protection standards. A non-</w:t>
      </w:r>
      <w:proofErr w:type="spellStart"/>
      <w:r w:rsidRPr="00083CB2">
        <w:rPr>
          <w:rFonts w:ascii="Times New Roman" w:hAnsi="Times New Roman" w:cs="Times New Roman"/>
          <w:sz w:val="24"/>
          <w:szCs w:val="24"/>
          <w:lang w:val="en-US"/>
        </w:rPr>
        <w:t>stabilisation</w:t>
      </w:r>
      <w:proofErr w:type="spellEnd"/>
      <w:r w:rsidRPr="00083CB2">
        <w:rPr>
          <w:rFonts w:ascii="Times New Roman" w:hAnsi="Times New Roman" w:cs="Times New Roman"/>
          <w:sz w:val="24"/>
          <w:szCs w:val="24"/>
          <w:lang w:val="en-US"/>
        </w:rPr>
        <w:t xml:space="preserve"> clause, that clarifies that investment protection should not be understood as a commitment that the regulatory environment for investment would not change, ensures that the necessary policy space for human rights and other policy actions is further preserved. Additionally, the investment protection standards </w:t>
      </w:r>
      <w:proofErr w:type="gramStart"/>
      <w:r w:rsidRPr="00083CB2">
        <w:rPr>
          <w:rFonts w:ascii="Times New Roman" w:hAnsi="Times New Roman" w:cs="Times New Roman"/>
          <w:sz w:val="24"/>
          <w:szCs w:val="24"/>
          <w:lang w:val="en-US"/>
        </w:rPr>
        <w:t>are drafted</w:t>
      </w:r>
      <w:proofErr w:type="gramEnd"/>
      <w:r w:rsidRPr="00083CB2">
        <w:rPr>
          <w:rFonts w:ascii="Times New Roman" w:hAnsi="Times New Roman" w:cs="Times New Roman"/>
          <w:sz w:val="24"/>
          <w:szCs w:val="24"/>
          <w:lang w:val="en-US"/>
        </w:rPr>
        <w:t xml:space="preserve"> in a way that ensures the incorporation of public policy considerations. For instance, the provision on expropriation provides that a government would normally not have to pay compensation if it took non-discriminatory measures in the public interest, except where a measure is manifestly excessive. Moreover, a security exception clause that applies horizontally ensures that Parties cannot be prevented from taking actions for the fulfilment of their international obligations under the UN Charter </w:t>
      </w:r>
      <w:proofErr w:type="gramStart"/>
      <w:r w:rsidRPr="00083CB2">
        <w:rPr>
          <w:rFonts w:ascii="Times New Roman" w:hAnsi="Times New Roman" w:cs="Times New Roman"/>
          <w:sz w:val="24"/>
          <w:szCs w:val="24"/>
          <w:lang w:val="en-US"/>
        </w:rPr>
        <w:t>for the purpose of</w:t>
      </w:r>
      <w:proofErr w:type="gramEnd"/>
      <w:r w:rsidRPr="00083CB2">
        <w:rPr>
          <w:rFonts w:ascii="Times New Roman" w:hAnsi="Times New Roman" w:cs="Times New Roman"/>
          <w:sz w:val="24"/>
          <w:szCs w:val="24"/>
          <w:lang w:val="en-US"/>
        </w:rPr>
        <w:t xml:space="preserve"> maintaining international peace and security, including UN sanctions on human rights. Additionally, nondiscrimination obligations (national treatment and most-</w:t>
      </w:r>
      <w:proofErr w:type="spellStart"/>
      <w:r w:rsidRPr="00083CB2">
        <w:rPr>
          <w:rFonts w:ascii="Times New Roman" w:hAnsi="Times New Roman" w:cs="Times New Roman"/>
          <w:sz w:val="24"/>
          <w:szCs w:val="24"/>
          <w:lang w:val="en-US"/>
        </w:rPr>
        <w:t>favoured</w:t>
      </w:r>
      <w:proofErr w:type="spellEnd"/>
      <w:r w:rsidRPr="00083CB2">
        <w:rPr>
          <w:rFonts w:ascii="Times New Roman" w:hAnsi="Times New Roman" w:cs="Times New Roman"/>
          <w:sz w:val="24"/>
          <w:szCs w:val="24"/>
          <w:lang w:val="en-US"/>
        </w:rPr>
        <w:t xml:space="preserve"> nation treatment) are subject to GATT-style general exceptions that cover, among others, environmental measures that are necessary to protect human, animal or plant life or health and measures for the conservation of living and non-living exhaustible natural resources.  </w:t>
      </w:r>
    </w:p>
    <w:p w:rsidR="00083CB2" w:rsidRDefault="00083CB2" w:rsidP="00083CB2">
      <w:pPr>
        <w:spacing w:after="0"/>
        <w:jc w:val="both"/>
        <w:rPr>
          <w:rFonts w:ascii="Times New Roman" w:hAnsi="Times New Roman" w:cs="Times New Roman"/>
          <w:sz w:val="24"/>
          <w:szCs w:val="24"/>
          <w:lang w:val="en-US"/>
        </w:rPr>
      </w:pPr>
    </w:p>
    <w:p w:rsidR="00083CB2" w:rsidRPr="00083CB2" w:rsidRDefault="00083CB2" w:rsidP="00083CB2">
      <w:pPr>
        <w:spacing w:after="0"/>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The inclusion of robust Trade and Sustainable Development Chapters in the E</w:t>
      </w:r>
      <w:r w:rsidRPr="00083CB2">
        <w:rPr>
          <w:rFonts w:ascii="Times New Roman" w:eastAsia="Times New Roman" w:hAnsi="Times New Roman" w:cs="Times New Roman"/>
          <w:sz w:val="24"/>
          <w:szCs w:val="24"/>
          <w:lang w:val="en-US"/>
        </w:rPr>
        <w:t xml:space="preserve">U’s trade </w:t>
      </w:r>
      <w:r w:rsidRPr="00083CB2">
        <w:rPr>
          <w:rFonts w:ascii="Times New Roman" w:hAnsi="Times New Roman" w:cs="Times New Roman"/>
          <w:sz w:val="24"/>
          <w:szCs w:val="24"/>
          <w:lang w:val="en-US"/>
        </w:rPr>
        <w:t xml:space="preserve">agreements, of which investment agreements normally form part, further ensures that sustainability </w:t>
      </w:r>
      <w:r w:rsidRPr="00083CB2">
        <w:rPr>
          <w:rFonts w:ascii="Times New Roman" w:eastAsia="Times New Roman" w:hAnsi="Times New Roman" w:cs="Times New Roman"/>
          <w:sz w:val="24"/>
          <w:szCs w:val="24"/>
          <w:lang w:val="en-US"/>
        </w:rPr>
        <w:t xml:space="preserve">considerations </w:t>
      </w:r>
      <w:proofErr w:type="gramStart"/>
      <w:r w:rsidRPr="00083CB2">
        <w:rPr>
          <w:rFonts w:ascii="Times New Roman" w:eastAsia="Times New Roman" w:hAnsi="Times New Roman" w:cs="Times New Roman"/>
          <w:sz w:val="24"/>
          <w:szCs w:val="24"/>
          <w:lang w:val="en-US"/>
        </w:rPr>
        <w:t>are embedded</w:t>
      </w:r>
      <w:proofErr w:type="gramEnd"/>
      <w:r w:rsidRPr="00083CB2">
        <w:rPr>
          <w:rFonts w:ascii="Times New Roman" w:eastAsia="Times New Roman" w:hAnsi="Times New Roman" w:cs="Times New Roman"/>
          <w:sz w:val="24"/>
          <w:szCs w:val="24"/>
          <w:lang w:val="en-US"/>
        </w:rPr>
        <w:t xml:space="preserve"> in the EU’s trade and investment policy. </w:t>
      </w:r>
      <w:proofErr w:type="gramStart"/>
      <w:r w:rsidRPr="00083CB2">
        <w:rPr>
          <w:rFonts w:ascii="Times New Roman" w:eastAsia="Times New Roman" w:hAnsi="Times New Roman" w:cs="Times New Roman"/>
          <w:sz w:val="24"/>
          <w:szCs w:val="24"/>
          <w:lang w:val="en-US"/>
        </w:rPr>
        <w:t xml:space="preserve">These chapters contain rules </w:t>
      </w:r>
      <w:r w:rsidRPr="00083CB2">
        <w:rPr>
          <w:rFonts w:ascii="Times New Roman" w:hAnsi="Times New Roman" w:cs="Times New Roman"/>
          <w:sz w:val="24"/>
          <w:szCs w:val="24"/>
          <w:lang w:val="en-US"/>
        </w:rPr>
        <w:t xml:space="preserve">that require the Parties to follow international </w:t>
      </w:r>
      <w:proofErr w:type="spellStart"/>
      <w:r w:rsidRPr="00083CB2">
        <w:rPr>
          <w:rFonts w:ascii="Times New Roman" w:hAnsi="Times New Roman" w:cs="Times New Roman"/>
          <w:sz w:val="24"/>
          <w:szCs w:val="24"/>
          <w:lang w:val="en-US"/>
        </w:rPr>
        <w:t>labour</w:t>
      </w:r>
      <w:proofErr w:type="spellEnd"/>
      <w:r w:rsidRPr="00083CB2">
        <w:rPr>
          <w:rFonts w:ascii="Times New Roman" w:hAnsi="Times New Roman" w:cs="Times New Roman"/>
          <w:sz w:val="24"/>
          <w:szCs w:val="24"/>
          <w:lang w:val="en-US"/>
        </w:rPr>
        <w:t xml:space="preserve"> and environment standards and agreements; to effectively enforce environmental and </w:t>
      </w:r>
      <w:proofErr w:type="spellStart"/>
      <w:r w:rsidRPr="00083CB2">
        <w:rPr>
          <w:rFonts w:ascii="Times New Roman" w:hAnsi="Times New Roman" w:cs="Times New Roman"/>
          <w:sz w:val="24"/>
          <w:szCs w:val="24"/>
          <w:lang w:val="en-US"/>
        </w:rPr>
        <w:t>labour</w:t>
      </w:r>
      <w:proofErr w:type="spellEnd"/>
      <w:r w:rsidRPr="00083CB2">
        <w:rPr>
          <w:rFonts w:ascii="Times New Roman" w:hAnsi="Times New Roman" w:cs="Times New Roman"/>
          <w:sz w:val="24"/>
          <w:szCs w:val="24"/>
          <w:lang w:val="en-US"/>
        </w:rPr>
        <w:t xml:space="preserve"> laws; to not deviate from environmental or </w:t>
      </w:r>
      <w:proofErr w:type="spellStart"/>
      <w:r w:rsidRPr="00083CB2">
        <w:rPr>
          <w:rFonts w:ascii="Times New Roman" w:hAnsi="Times New Roman" w:cs="Times New Roman"/>
          <w:sz w:val="24"/>
          <w:szCs w:val="24"/>
          <w:lang w:val="en-US"/>
        </w:rPr>
        <w:t>labour</w:t>
      </w:r>
      <w:proofErr w:type="spellEnd"/>
      <w:r w:rsidRPr="00083CB2">
        <w:rPr>
          <w:rFonts w:ascii="Times New Roman" w:hAnsi="Times New Roman" w:cs="Times New Roman"/>
          <w:sz w:val="24"/>
          <w:szCs w:val="24"/>
          <w:lang w:val="en-US"/>
        </w:rPr>
        <w:t xml:space="preserve"> laws in order to encourage trade or investment, thereby preventing a </w:t>
      </w:r>
      <w:r w:rsidRPr="00083CB2">
        <w:rPr>
          <w:rFonts w:ascii="Times New Roman" w:eastAsia="Times New Roman" w:hAnsi="Times New Roman" w:cs="Times New Roman"/>
          <w:sz w:val="24"/>
          <w:szCs w:val="24"/>
          <w:lang w:val="en-US"/>
        </w:rPr>
        <w:t>‘</w:t>
      </w:r>
      <w:r w:rsidRPr="00083CB2">
        <w:rPr>
          <w:rFonts w:ascii="Times New Roman" w:hAnsi="Times New Roman" w:cs="Times New Roman"/>
          <w:sz w:val="24"/>
          <w:szCs w:val="24"/>
          <w:lang w:val="en-US"/>
        </w:rPr>
        <w:t>race to the bottom</w:t>
      </w:r>
      <w:r w:rsidRPr="00083CB2">
        <w:rPr>
          <w:rFonts w:ascii="Times New Roman" w:eastAsia="Times New Roman" w:hAnsi="Times New Roman" w:cs="Times New Roman"/>
          <w:sz w:val="24"/>
          <w:szCs w:val="24"/>
          <w:lang w:val="en-US"/>
        </w:rPr>
        <w:t>’</w:t>
      </w:r>
      <w:r w:rsidRPr="00083CB2">
        <w:rPr>
          <w:rFonts w:ascii="Times New Roman" w:hAnsi="Times New Roman" w:cs="Times New Roman"/>
          <w:sz w:val="24"/>
          <w:szCs w:val="24"/>
          <w:lang w:val="en-US"/>
        </w:rPr>
        <w:t xml:space="preserve">; to sustainably trade natural resources, such as timber and fish; to combat illegal trade in threatened and endangered species of fauna and flora; to encourage trade that supports tackling climate change; and to promote practices such as corporate social </w:t>
      </w:r>
      <w:r w:rsidRPr="00083CB2">
        <w:rPr>
          <w:rFonts w:ascii="Times New Roman" w:hAnsi="Times New Roman" w:cs="Times New Roman"/>
          <w:sz w:val="24"/>
          <w:szCs w:val="24"/>
          <w:lang w:val="en-US"/>
        </w:rPr>
        <w:lastRenderedPageBreak/>
        <w:t>responsibility.</w:t>
      </w:r>
      <w:proofErr w:type="gramEnd"/>
      <w:r w:rsidRPr="00083CB2">
        <w:rPr>
          <w:rFonts w:ascii="Times New Roman" w:hAnsi="Times New Roman" w:cs="Times New Roman"/>
          <w:sz w:val="24"/>
          <w:szCs w:val="24"/>
          <w:lang w:val="en-US"/>
        </w:rPr>
        <w:t xml:space="preserve"> On gender equality, the Trade and Sustainable Development chapters include binding commitments to ratify and effectively implement the fundamental Conventions of the International </w:t>
      </w:r>
      <w:proofErr w:type="spellStart"/>
      <w:r w:rsidRPr="00083CB2">
        <w:rPr>
          <w:rFonts w:ascii="Times New Roman" w:hAnsi="Times New Roman" w:cs="Times New Roman"/>
          <w:sz w:val="24"/>
          <w:szCs w:val="24"/>
          <w:lang w:val="en-US"/>
        </w:rPr>
        <w:t>Labour</w:t>
      </w:r>
      <w:proofErr w:type="spellEnd"/>
      <w:r w:rsidRPr="00083CB2">
        <w:rPr>
          <w:rFonts w:ascii="Times New Roman" w:hAnsi="Times New Roman" w:cs="Times New Roman"/>
          <w:sz w:val="24"/>
          <w:szCs w:val="24"/>
          <w:lang w:val="en-US"/>
        </w:rPr>
        <w:t xml:space="preserve"> </w:t>
      </w:r>
      <w:proofErr w:type="spellStart"/>
      <w:r w:rsidRPr="00083CB2">
        <w:rPr>
          <w:rFonts w:ascii="Times New Roman" w:hAnsi="Times New Roman" w:cs="Times New Roman"/>
          <w:sz w:val="24"/>
          <w:szCs w:val="24"/>
          <w:lang w:val="en-US"/>
        </w:rPr>
        <w:t>Organisation</w:t>
      </w:r>
      <w:proofErr w:type="spellEnd"/>
      <w:r w:rsidRPr="00083CB2">
        <w:rPr>
          <w:rFonts w:ascii="Times New Roman" w:hAnsi="Times New Roman" w:cs="Times New Roman"/>
          <w:sz w:val="24"/>
          <w:szCs w:val="24"/>
          <w:lang w:val="en-US"/>
        </w:rPr>
        <w:t xml:space="preserve">, including the Conventions on equal remuneration (No 100) and discrimination (No 111).  </w:t>
      </w:r>
    </w:p>
    <w:p w:rsidR="00083CB2" w:rsidRDefault="00083CB2" w:rsidP="00083CB2">
      <w:pPr>
        <w:spacing w:after="0"/>
        <w:jc w:val="both"/>
        <w:rPr>
          <w:rFonts w:ascii="Times New Roman" w:hAnsi="Times New Roman" w:cs="Times New Roman"/>
          <w:sz w:val="24"/>
          <w:szCs w:val="24"/>
          <w:lang w:val="en-US"/>
        </w:rPr>
      </w:pPr>
    </w:p>
    <w:p w:rsidR="00083CB2" w:rsidRDefault="00083CB2" w:rsidP="00083CB2">
      <w:pPr>
        <w:spacing w:after="0"/>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The </w:t>
      </w:r>
      <w:r w:rsidRPr="00083CB2">
        <w:rPr>
          <w:rFonts w:ascii="Times New Roman" w:eastAsia="Times New Roman" w:hAnsi="Times New Roman" w:cs="Times New Roman"/>
          <w:sz w:val="24"/>
          <w:szCs w:val="24"/>
          <w:lang w:val="en-US"/>
        </w:rPr>
        <w:t xml:space="preserve">EU’s </w:t>
      </w:r>
      <w:r w:rsidRPr="00083CB2">
        <w:rPr>
          <w:rFonts w:ascii="Times New Roman" w:hAnsi="Times New Roman" w:cs="Times New Roman"/>
          <w:sz w:val="24"/>
          <w:szCs w:val="24"/>
          <w:lang w:val="en-US"/>
        </w:rPr>
        <w:t xml:space="preserve">agreements further </w:t>
      </w:r>
      <w:proofErr w:type="spellStart"/>
      <w:r w:rsidRPr="00083CB2">
        <w:rPr>
          <w:rFonts w:ascii="Times New Roman" w:hAnsi="Times New Roman" w:cs="Times New Roman"/>
          <w:sz w:val="24"/>
          <w:szCs w:val="24"/>
          <w:lang w:val="en-US"/>
        </w:rPr>
        <w:t>institutionalise</w:t>
      </w:r>
      <w:proofErr w:type="spellEnd"/>
      <w:r w:rsidRPr="00083CB2">
        <w:rPr>
          <w:rFonts w:ascii="Times New Roman" w:hAnsi="Times New Roman" w:cs="Times New Roman"/>
          <w:sz w:val="24"/>
          <w:szCs w:val="24"/>
          <w:lang w:val="en-US"/>
        </w:rPr>
        <w:t xml:space="preserve"> Domestic Advisory Groups (DAGs) and joint civil society </w:t>
      </w:r>
      <w:proofErr w:type="gramStart"/>
      <w:r w:rsidRPr="00083CB2">
        <w:rPr>
          <w:rFonts w:ascii="Times New Roman" w:hAnsi="Times New Roman" w:cs="Times New Roman"/>
          <w:sz w:val="24"/>
          <w:szCs w:val="24"/>
          <w:lang w:val="en-US"/>
        </w:rPr>
        <w:t>meetings which</w:t>
      </w:r>
      <w:proofErr w:type="gramEnd"/>
      <w:r w:rsidRPr="00083CB2">
        <w:rPr>
          <w:rFonts w:ascii="Times New Roman" w:hAnsi="Times New Roman" w:cs="Times New Roman"/>
          <w:sz w:val="24"/>
          <w:szCs w:val="24"/>
          <w:lang w:val="en-US"/>
        </w:rPr>
        <w:t xml:space="preserve"> enable civil society actors to contribute to the monitoring and implementation of trade and investment agreements. Disputes arising from the implementation of those chapters are subject to a specifically tailored enforcement mechanism that involves an independent panel of experts and a high degree of transparency, including the participation of civil society (open hearings, amicus curiae submissions). </w:t>
      </w:r>
    </w:p>
    <w:p w:rsidR="00083CB2" w:rsidRDefault="00083CB2" w:rsidP="00083CB2">
      <w:pPr>
        <w:spacing w:after="0"/>
        <w:jc w:val="both"/>
        <w:rPr>
          <w:rFonts w:ascii="Times New Roman" w:hAnsi="Times New Roman" w:cs="Times New Roman"/>
          <w:sz w:val="24"/>
          <w:szCs w:val="24"/>
          <w:lang w:val="en-US"/>
        </w:rPr>
      </w:pPr>
    </w:p>
    <w:p w:rsidR="00083CB2" w:rsidRDefault="00083CB2" w:rsidP="00083CB2">
      <w:pPr>
        <w:spacing w:after="0"/>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Moreover, the EU trade and investment agreements contain transparency provisions whereby the Parties undertake to ensure that their laws, regulations, procedures and administrative rulings, including investment-related measures, are promptly published or made available in such a manner as to enable interested persons and the other Party to become acquainted with them. The Parties further undertake, to the extent possible, to publish in advance any proposed measures and provide interested persons and the other Party a reasonable opportunity to comment on such proposed measures. This ensures that those affected by measures, including such measures that may have an impact on human rights, can flag their concerns and input into the </w:t>
      </w:r>
      <w:proofErr w:type="gramStart"/>
      <w:r w:rsidRPr="00083CB2">
        <w:rPr>
          <w:rFonts w:ascii="Times New Roman" w:hAnsi="Times New Roman" w:cs="Times New Roman"/>
          <w:sz w:val="24"/>
          <w:szCs w:val="24"/>
          <w:lang w:val="en-US"/>
        </w:rPr>
        <w:t>policy making</w:t>
      </w:r>
      <w:proofErr w:type="gramEnd"/>
      <w:r w:rsidRPr="00083CB2">
        <w:rPr>
          <w:rFonts w:ascii="Times New Roman" w:hAnsi="Times New Roman" w:cs="Times New Roman"/>
          <w:sz w:val="24"/>
          <w:szCs w:val="24"/>
          <w:lang w:val="en-US"/>
        </w:rPr>
        <w:t xml:space="preserve">. </w:t>
      </w:r>
    </w:p>
    <w:p w:rsidR="00083CB2" w:rsidRDefault="00083CB2" w:rsidP="00083CB2">
      <w:pPr>
        <w:spacing w:after="0"/>
        <w:jc w:val="both"/>
        <w:rPr>
          <w:rFonts w:ascii="Times New Roman" w:hAnsi="Times New Roman" w:cs="Times New Roman"/>
          <w:sz w:val="24"/>
          <w:szCs w:val="24"/>
          <w:lang w:val="en-US"/>
        </w:rPr>
      </w:pPr>
    </w:p>
    <w:p w:rsidR="00083CB2" w:rsidRPr="00083CB2" w:rsidRDefault="00083CB2" w:rsidP="00083CB2">
      <w:pPr>
        <w:spacing w:after="0"/>
        <w:jc w:val="both"/>
        <w:rPr>
          <w:rFonts w:ascii="Times New Roman" w:hAnsi="Times New Roman" w:cs="Times New Roman"/>
          <w:sz w:val="24"/>
          <w:szCs w:val="24"/>
          <w:lang w:val="en-US"/>
        </w:rPr>
      </w:pPr>
      <w:proofErr w:type="gramStart"/>
      <w:r w:rsidRPr="00083CB2">
        <w:rPr>
          <w:rFonts w:ascii="Times New Roman" w:hAnsi="Times New Roman" w:cs="Times New Roman"/>
          <w:sz w:val="24"/>
          <w:szCs w:val="24"/>
          <w:lang w:val="en-US"/>
        </w:rPr>
        <w:t>Last but not least</w:t>
      </w:r>
      <w:proofErr w:type="gramEnd"/>
      <w:r w:rsidRPr="00083CB2">
        <w:rPr>
          <w:rFonts w:ascii="Times New Roman" w:hAnsi="Times New Roman" w:cs="Times New Roman"/>
          <w:sz w:val="24"/>
          <w:szCs w:val="24"/>
          <w:lang w:val="en-US"/>
        </w:rPr>
        <w:t xml:space="preserve">, the EU pursues the </w:t>
      </w:r>
      <w:proofErr w:type="spellStart"/>
      <w:r w:rsidRPr="00083CB2">
        <w:rPr>
          <w:rFonts w:ascii="Times New Roman" w:hAnsi="Times New Roman" w:cs="Times New Roman"/>
          <w:sz w:val="24"/>
          <w:szCs w:val="24"/>
          <w:lang w:val="en-US"/>
        </w:rPr>
        <w:t>realisation</w:t>
      </w:r>
      <w:proofErr w:type="spellEnd"/>
      <w:r w:rsidRPr="00083CB2">
        <w:rPr>
          <w:rFonts w:ascii="Times New Roman" w:hAnsi="Times New Roman" w:cs="Times New Roman"/>
          <w:sz w:val="24"/>
          <w:szCs w:val="24"/>
          <w:lang w:val="en-US"/>
        </w:rPr>
        <w:t xml:space="preserve"> of the trade-human rights nexus through the inclusion of human rights provisions in its international agreements, which are designated as essential elements of the agreements and hence allow the Parties to partially or fully suspend an agreement in case the provisions are breached. </w:t>
      </w:r>
    </w:p>
    <w:p w:rsidR="00083CB2" w:rsidRPr="00083CB2" w:rsidRDefault="00083CB2" w:rsidP="00083CB2">
      <w:pPr>
        <w:spacing w:after="9"/>
        <w:ind w:left="840"/>
        <w:jc w:val="both"/>
        <w:rPr>
          <w:rFonts w:ascii="Times New Roman" w:hAnsi="Times New Roman" w:cs="Times New Roman"/>
          <w:sz w:val="24"/>
          <w:szCs w:val="24"/>
          <w:lang w:val="en-US"/>
        </w:rPr>
      </w:pPr>
      <w:r w:rsidRPr="00083CB2">
        <w:rPr>
          <w:rFonts w:ascii="Times New Roman" w:eastAsia="Times New Roman" w:hAnsi="Times New Roman" w:cs="Times New Roman"/>
          <w:b/>
          <w:sz w:val="24"/>
          <w:szCs w:val="24"/>
          <w:lang w:val="en-US"/>
        </w:rPr>
        <w:t xml:space="preserve"> </w:t>
      </w:r>
    </w:p>
    <w:p w:rsidR="00083CB2" w:rsidRPr="00083CB2" w:rsidRDefault="00083CB2" w:rsidP="00083CB2">
      <w:pPr>
        <w:numPr>
          <w:ilvl w:val="0"/>
          <w:numId w:val="6"/>
        </w:numPr>
        <w:spacing w:after="1" w:line="258" w:lineRule="auto"/>
        <w:ind w:hanging="370"/>
        <w:jc w:val="both"/>
        <w:rPr>
          <w:rFonts w:ascii="Times New Roman" w:hAnsi="Times New Roman" w:cs="Times New Roman"/>
          <w:sz w:val="24"/>
          <w:szCs w:val="24"/>
          <w:lang w:val="en-US"/>
        </w:rPr>
      </w:pPr>
      <w:r w:rsidRPr="00083CB2">
        <w:rPr>
          <w:rFonts w:ascii="Times New Roman" w:eastAsia="Times New Roman" w:hAnsi="Times New Roman" w:cs="Times New Roman"/>
          <w:b/>
          <w:sz w:val="24"/>
          <w:szCs w:val="24"/>
          <w:lang w:val="en-US"/>
        </w:rPr>
        <w:t xml:space="preserve">How does your Government ensure that IIAs provide adequate human rights safeguards in cases where investments may take place in special economic zones or in conflict and post-conflict settings? </w:t>
      </w:r>
    </w:p>
    <w:p w:rsidR="00083CB2" w:rsidRDefault="00083CB2" w:rsidP="00083CB2">
      <w:pPr>
        <w:spacing w:after="0"/>
        <w:jc w:val="both"/>
        <w:rPr>
          <w:rFonts w:ascii="Times New Roman" w:eastAsia="Times New Roman" w:hAnsi="Times New Roman" w:cs="Times New Roman"/>
          <w:b/>
          <w:sz w:val="24"/>
          <w:szCs w:val="24"/>
          <w:lang w:val="en-US"/>
        </w:rPr>
      </w:pPr>
    </w:p>
    <w:p w:rsidR="00083CB2" w:rsidRDefault="00083CB2" w:rsidP="00083CB2">
      <w:pPr>
        <w:spacing w:after="0"/>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The EU takes a horizontal approach to investment protection in that it does not distinguish between investments in non-conflict or post-conflict settings, or in special economic zones, as adherence to human rights should apply in a universal manner and be of the highest level regardless of the circumstances. The EU embeds public policy considerations (including the protection of human rights) in its investment agreements, through a carefully crafted set of provisions that ensure the protection of investments from arbitrary or discriminatory state conduct while securing the necessary policy space for the pursuit of public policy objectives.  </w:t>
      </w:r>
    </w:p>
    <w:p w:rsidR="00083CB2" w:rsidRDefault="00083CB2" w:rsidP="00083CB2">
      <w:pPr>
        <w:spacing w:after="0"/>
        <w:jc w:val="both"/>
        <w:rPr>
          <w:rFonts w:ascii="Times New Roman" w:hAnsi="Times New Roman" w:cs="Times New Roman"/>
          <w:sz w:val="24"/>
          <w:szCs w:val="24"/>
          <w:lang w:val="en-US"/>
        </w:rPr>
      </w:pPr>
    </w:p>
    <w:p w:rsidR="00083CB2" w:rsidRDefault="00083CB2" w:rsidP="00083CB2">
      <w:pPr>
        <w:spacing w:after="0"/>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At the same time, the EU </w:t>
      </w:r>
      <w:proofErr w:type="spellStart"/>
      <w:r w:rsidRPr="00083CB2">
        <w:rPr>
          <w:rFonts w:ascii="Times New Roman" w:hAnsi="Times New Roman" w:cs="Times New Roman"/>
          <w:sz w:val="24"/>
          <w:szCs w:val="24"/>
          <w:lang w:val="en-US"/>
        </w:rPr>
        <w:t>recognises</w:t>
      </w:r>
      <w:proofErr w:type="spellEnd"/>
      <w:r w:rsidRPr="00083CB2">
        <w:rPr>
          <w:rFonts w:ascii="Times New Roman" w:hAnsi="Times New Roman" w:cs="Times New Roman"/>
          <w:sz w:val="24"/>
          <w:szCs w:val="24"/>
          <w:lang w:val="en-US"/>
        </w:rPr>
        <w:t xml:space="preserve"> that conflict zones may create challenges for businesses in respecting human </w:t>
      </w:r>
      <w:proofErr w:type="gramStart"/>
      <w:r w:rsidRPr="00083CB2">
        <w:rPr>
          <w:rFonts w:ascii="Times New Roman" w:hAnsi="Times New Roman" w:cs="Times New Roman"/>
          <w:sz w:val="24"/>
          <w:szCs w:val="24"/>
          <w:lang w:val="en-US"/>
        </w:rPr>
        <w:t>rights</w:t>
      </w:r>
      <w:proofErr w:type="gramEnd"/>
      <w:r w:rsidRPr="00083CB2">
        <w:rPr>
          <w:rFonts w:ascii="Times New Roman" w:hAnsi="Times New Roman" w:cs="Times New Roman"/>
          <w:sz w:val="24"/>
          <w:szCs w:val="24"/>
          <w:lang w:val="en-US"/>
        </w:rPr>
        <w:t xml:space="preserve"> as they have to operate in difficult environments. Conflict zones often host armed </w:t>
      </w:r>
      <w:proofErr w:type="gramStart"/>
      <w:r w:rsidRPr="00083CB2">
        <w:rPr>
          <w:rFonts w:ascii="Times New Roman" w:hAnsi="Times New Roman" w:cs="Times New Roman"/>
          <w:sz w:val="24"/>
          <w:szCs w:val="24"/>
          <w:lang w:val="en-US"/>
        </w:rPr>
        <w:t>groups,</w:t>
      </w:r>
      <w:proofErr w:type="gramEnd"/>
      <w:r w:rsidRPr="00083CB2">
        <w:rPr>
          <w:rFonts w:ascii="Times New Roman" w:hAnsi="Times New Roman" w:cs="Times New Roman"/>
          <w:sz w:val="24"/>
          <w:szCs w:val="24"/>
          <w:lang w:val="en-US"/>
        </w:rPr>
        <w:t xml:space="preserve"> fuel forced </w:t>
      </w:r>
      <w:proofErr w:type="spellStart"/>
      <w:r w:rsidRPr="00083CB2">
        <w:rPr>
          <w:rFonts w:ascii="Times New Roman" w:hAnsi="Times New Roman" w:cs="Times New Roman"/>
          <w:sz w:val="24"/>
          <w:szCs w:val="24"/>
          <w:lang w:val="en-US"/>
        </w:rPr>
        <w:t>labour</w:t>
      </w:r>
      <w:proofErr w:type="spellEnd"/>
      <w:r w:rsidRPr="00083CB2">
        <w:rPr>
          <w:rFonts w:ascii="Times New Roman" w:hAnsi="Times New Roman" w:cs="Times New Roman"/>
          <w:sz w:val="24"/>
          <w:szCs w:val="24"/>
          <w:lang w:val="en-US"/>
        </w:rPr>
        <w:t xml:space="preserve"> and other human rights abuses, and provide fertile ground for corruption and money laundering. Of note in this regard is Regulation (EU) 2017/821 on chain due diligence obligations for Union importers of tin, tantalum and tungsten, their ores, and gold originating from conflict-affected and high-risk areas (also known as </w:t>
      </w:r>
      <w:r w:rsidRPr="00083CB2">
        <w:rPr>
          <w:rFonts w:ascii="Times New Roman" w:eastAsia="Times New Roman" w:hAnsi="Times New Roman" w:cs="Times New Roman"/>
          <w:sz w:val="24"/>
          <w:szCs w:val="24"/>
          <w:lang w:val="en-US"/>
        </w:rPr>
        <w:t xml:space="preserve">‘Responsible </w:t>
      </w:r>
      <w:r w:rsidRPr="00083CB2">
        <w:rPr>
          <w:rFonts w:ascii="Times New Roman" w:eastAsia="Times New Roman" w:hAnsi="Times New Roman" w:cs="Times New Roman"/>
          <w:sz w:val="24"/>
          <w:szCs w:val="24"/>
          <w:lang w:val="en-US"/>
        </w:rPr>
        <w:lastRenderedPageBreak/>
        <w:t>Minerals Regulation’).</w:t>
      </w:r>
      <w:r w:rsidRPr="00083CB2">
        <w:rPr>
          <w:rFonts w:ascii="Times New Roman" w:hAnsi="Times New Roman" w:cs="Times New Roman"/>
          <w:sz w:val="24"/>
          <w:szCs w:val="24"/>
          <w:vertAlign w:val="superscript"/>
          <w:lang w:val="en-US"/>
        </w:rPr>
        <w:footnoteReference w:id="8"/>
      </w:r>
      <w:r w:rsidRPr="00083CB2">
        <w:rPr>
          <w:rFonts w:ascii="Times New Roman" w:hAnsi="Times New Roman" w:cs="Times New Roman"/>
          <w:sz w:val="24"/>
          <w:szCs w:val="24"/>
          <w:lang w:val="en-US"/>
        </w:rPr>
        <w:t xml:space="preserve"> </w:t>
      </w:r>
      <w:proofErr w:type="gramStart"/>
      <w:r w:rsidRPr="00083CB2">
        <w:rPr>
          <w:rFonts w:ascii="Times New Roman" w:hAnsi="Times New Roman" w:cs="Times New Roman"/>
          <w:sz w:val="24"/>
          <w:szCs w:val="24"/>
          <w:lang w:val="en-US"/>
        </w:rPr>
        <w:t>The Regulation aims to ensure that EU importers of 3TG (tin, tungsten, tantalum and gold) meet international responsible sourcing standards set by the OECD; ensure that global and EU smelters and refiners of 3TG source responsibly; help break the link between conflict and the illegal exploitation of minerals; and help put an end to the exploitation and abuse of local communities, including mine workers, and support local development.</w:t>
      </w:r>
      <w:proofErr w:type="gramEnd"/>
      <w:r w:rsidRPr="00083CB2">
        <w:rPr>
          <w:rFonts w:ascii="Times New Roman" w:hAnsi="Times New Roman" w:cs="Times New Roman"/>
          <w:sz w:val="24"/>
          <w:szCs w:val="24"/>
          <w:lang w:val="en-US"/>
        </w:rPr>
        <w:t xml:space="preserve"> While the Regulation only applies directly to EU-based importers of 3TG, it </w:t>
      </w:r>
      <w:proofErr w:type="gramStart"/>
      <w:r w:rsidRPr="00083CB2">
        <w:rPr>
          <w:rFonts w:ascii="Times New Roman" w:hAnsi="Times New Roman" w:cs="Times New Roman"/>
          <w:sz w:val="24"/>
          <w:szCs w:val="24"/>
          <w:lang w:val="en-US"/>
        </w:rPr>
        <w:t>is intended</w:t>
      </w:r>
      <w:proofErr w:type="gramEnd"/>
      <w:r w:rsidRPr="00083CB2">
        <w:rPr>
          <w:rFonts w:ascii="Times New Roman" w:hAnsi="Times New Roman" w:cs="Times New Roman"/>
          <w:sz w:val="24"/>
          <w:szCs w:val="24"/>
          <w:lang w:val="en-US"/>
        </w:rPr>
        <w:t xml:space="preserve"> to indirectly promote the responsible sourcing of smelters and refiners of the said minerals, and by extension the ethical mining of such minerals.  </w:t>
      </w:r>
    </w:p>
    <w:p w:rsidR="00083CB2" w:rsidRPr="00083CB2" w:rsidRDefault="00083CB2" w:rsidP="00083CB2">
      <w:pPr>
        <w:spacing w:after="0"/>
        <w:jc w:val="both"/>
        <w:rPr>
          <w:rFonts w:ascii="Times New Roman" w:hAnsi="Times New Roman" w:cs="Times New Roman"/>
          <w:sz w:val="24"/>
          <w:szCs w:val="24"/>
          <w:lang w:val="en-US"/>
        </w:rPr>
      </w:pPr>
    </w:p>
    <w:p w:rsidR="00083CB2" w:rsidRPr="00083CB2" w:rsidRDefault="00083CB2" w:rsidP="00083CB2">
      <w:pPr>
        <w:numPr>
          <w:ilvl w:val="0"/>
          <w:numId w:val="6"/>
        </w:numPr>
        <w:spacing w:after="1" w:line="258" w:lineRule="auto"/>
        <w:ind w:hanging="370"/>
        <w:jc w:val="both"/>
        <w:rPr>
          <w:rFonts w:ascii="Times New Roman" w:hAnsi="Times New Roman" w:cs="Times New Roman"/>
          <w:sz w:val="24"/>
          <w:szCs w:val="24"/>
          <w:lang w:val="en-US"/>
        </w:rPr>
      </w:pPr>
      <w:r w:rsidRPr="00083CB2">
        <w:rPr>
          <w:rFonts w:ascii="Times New Roman" w:eastAsia="Times New Roman" w:hAnsi="Times New Roman" w:cs="Times New Roman"/>
          <w:b/>
          <w:sz w:val="24"/>
          <w:szCs w:val="24"/>
          <w:lang w:val="en-US"/>
        </w:rPr>
        <w:t xml:space="preserve">Is your Government considering </w:t>
      </w:r>
      <w:proofErr w:type="gramStart"/>
      <w:r w:rsidRPr="00083CB2">
        <w:rPr>
          <w:rFonts w:ascii="Times New Roman" w:eastAsia="Times New Roman" w:hAnsi="Times New Roman" w:cs="Times New Roman"/>
          <w:b/>
          <w:sz w:val="24"/>
          <w:szCs w:val="24"/>
          <w:lang w:val="en-US"/>
        </w:rPr>
        <w:t>to reform or replace</w:t>
      </w:r>
      <w:proofErr w:type="gramEnd"/>
      <w:r w:rsidRPr="00083CB2">
        <w:rPr>
          <w:rFonts w:ascii="Times New Roman" w:eastAsia="Times New Roman" w:hAnsi="Times New Roman" w:cs="Times New Roman"/>
          <w:b/>
          <w:sz w:val="24"/>
          <w:szCs w:val="24"/>
          <w:lang w:val="en-US"/>
        </w:rPr>
        <w:t xml:space="preserve"> the Investor-State Dispute Settlement (ISDS) mechanism in your old or new IIAs? If so, please provide details about the proposed alternatives. </w:t>
      </w:r>
    </w:p>
    <w:p w:rsidR="00083CB2" w:rsidRDefault="00083CB2" w:rsidP="00083CB2">
      <w:pPr>
        <w:spacing w:after="0"/>
        <w:jc w:val="both"/>
        <w:rPr>
          <w:rFonts w:ascii="Times New Roman" w:hAnsi="Times New Roman" w:cs="Times New Roman"/>
          <w:sz w:val="24"/>
          <w:szCs w:val="24"/>
          <w:lang w:val="en-US"/>
        </w:rPr>
      </w:pPr>
    </w:p>
    <w:p w:rsidR="00083CB2" w:rsidRDefault="00083CB2" w:rsidP="00083CB2">
      <w:pPr>
        <w:spacing w:after="0"/>
        <w:jc w:val="both"/>
        <w:rPr>
          <w:rFonts w:ascii="Times New Roman" w:hAnsi="Times New Roman" w:cs="Times New Roman"/>
          <w:sz w:val="24"/>
          <w:szCs w:val="24"/>
          <w:lang w:val="en-US"/>
        </w:rPr>
      </w:pPr>
      <w:r w:rsidRPr="00083CB2">
        <w:rPr>
          <w:rFonts w:ascii="Times New Roman" w:eastAsia="Times New Roman" w:hAnsi="Times New Roman" w:cs="Times New Roman"/>
          <w:sz w:val="24"/>
          <w:szCs w:val="24"/>
          <w:lang w:val="en-US"/>
        </w:rPr>
        <w:t xml:space="preserve">Following the 2014 public consultation on the EU’s approach to investment protection and </w:t>
      </w:r>
      <w:r w:rsidR="00E04857">
        <w:rPr>
          <w:rFonts w:ascii="Times New Roman" w:hAnsi="Times New Roman" w:cs="Times New Roman"/>
          <w:sz w:val="24"/>
          <w:szCs w:val="24"/>
          <w:lang w:val="en-US"/>
        </w:rPr>
        <w:t>investment dispute settlement</w:t>
      </w:r>
      <w:r w:rsidR="00E04857">
        <w:rPr>
          <w:rFonts w:ascii="Times New Roman" w:hAnsi="Times New Roman" w:cs="Times New Roman"/>
          <w:sz w:val="24"/>
          <w:szCs w:val="24"/>
          <w:vertAlign w:val="superscript"/>
          <w:lang w:val="en-US"/>
        </w:rPr>
        <w:t xml:space="preserve"> </w:t>
      </w:r>
      <w:r w:rsidR="00E04857">
        <w:rPr>
          <w:rStyle w:val="Lbjegyzet-hivatkozs"/>
          <w:rFonts w:ascii="Times New Roman" w:hAnsi="Times New Roman" w:cs="Times New Roman"/>
          <w:sz w:val="24"/>
          <w:szCs w:val="24"/>
          <w:lang w:val="en-US"/>
        </w:rPr>
        <w:footnoteReference w:id="9"/>
      </w:r>
      <w:r w:rsidRPr="00083CB2">
        <w:rPr>
          <w:rFonts w:ascii="Times New Roman" w:hAnsi="Times New Roman" w:cs="Times New Roman"/>
          <w:sz w:val="24"/>
          <w:szCs w:val="24"/>
          <w:lang w:val="en-US"/>
        </w:rPr>
        <w:t xml:space="preserve"> the EU agreed in 2015 on a reformed bilateral approach on investment dispute settlement (Investment Court System) to be included in EU trade and investment agreements. The Investment Court System (ICS) has been so far included in the Comprehensive Economic and Trade Agreement between the EU and Canada (CETA), the EU</w:t>
      </w:r>
      <w:r>
        <w:rPr>
          <w:rFonts w:ascii="Times New Roman" w:hAnsi="Times New Roman" w:cs="Times New Roman"/>
          <w:sz w:val="24"/>
          <w:szCs w:val="24"/>
          <w:lang w:val="en-US"/>
        </w:rPr>
        <w:t xml:space="preserve"> </w:t>
      </w:r>
      <w:r w:rsidRPr="00083CB2">
        <w:rPr>
          <w:rFonts w:ascii="Times New Roman" w:hAnsi="Times New Roman" w:cs="Times New Roman"/>
          <w:sz w:val="24"/>
          <w:szCs w:val="24"/>
          <w:lang w:val="en-US"/>
        </w:rPr>
        <w:t xml:space="preserve">Singapore and the EU-Viet Nam Investment Protection Agreements and the EU-Mexico Agreement.  </w:t>
      </w:r>
    </w:p>
    <w:p w:rsidR="00083CB2" w:rsidRDefault="00083CB2" w:rsidP="00083CB2">
      <w:pPr>
        <w:spacing w:after="0"/>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 </w:t>
      </w:r>
    </w:p>
    <w:p w:rsidR="00083CB2" w:rsidRDefault="00083CB2" w:rsidP="00083CB2">
      <w:pPr>
        <w:spacing w:after="0"/>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The ICS </w:t>
      </w:r>
      <w:proofErr w:type="spellStart"/>
      <w:r w:rsidRPr="00083CB2">
        <w:rPr>
          <w:rFonts w:ascii="Times New Roman" w:hAnsi="Times New Roman" w:cs="Times New Roman"/>
          <w:sz w:val="24"/>
          <w:szCs w:val="24"/>
          <w:lang w:val="en-US"/>
        </w:rPr>
        <w:t>institutionalises</w:t>
      </w:r>
      <w:proofErr w:type="spellEnd"/>
      <w:r w:rsidRPr="00083CB2">
        <w:rPr>
          <w:rFonts w:ascii="Times New Roman" w:hAnsi="Times New Roman" w:cs="Times New Roman"/>
          <w:sz w:val="24"/>
          <w:szCs w:val="24"/>
          <w:lang w:val="en-US"/>
        </w:rPr>
        <w:t xml:space="preserve"> the resolution of disputes between investors and states in a given treaty and clarifies procedural aspects of the dispute. The ICS is composed of a First Instance Tribunal and an Appeal Tribunal composed by adjudicators who are appointed for long fixed terms of office by the Treaty Parties. ICS adjudicators </w:t>
      </w:r>
      <w:proofErr w:type="gramStart"/>
      <w:r w:rsidRPr="00083CB2">
        <w:rPr>
          <w:rFonts w:ascii="Times New Roman" w:hAnsi="Times New Roman" w:cs="Times New Roman"/>
          <w:sz w:val="24"/>
          <w:szCs w:val="24"/>
          <w:lang w:val="en-US"/>
        </w:rPr>
        <w:t xml:space="preserve">must either possess the qualifications required in their respective countries for appointment to high judicial offices or be jurists of </w:t>
      </w:r>
      <w:proofErr w:type="spellStart"/>
      <w:r w:rsidRPr="00083CB2">
        <w:rPr>
          <w:rFonts w:ascii="Times New Roman" w:hAnsi="Times New Roman" w:cs="Times New Roman"/>
          <w:sz w:val="24"/>
          <w:szCs w:val="24"/>
          <w:lang w:val="en-US"/>
        </w:rPr>
        <w:t>recognised</w:t>
      </w:r>
      <w:proofErr w:type="spellEnd"/>
      <w:r w:rsidRPr="00083CB2">
        <w:rPr>
          <w:rFonts w:ascii="Times New Roman" w:hAnsi="Times New Roman" w:cs="Times New Roman"/>
          <w:sz w:val="24"/>
          <w:szCs w:val="24"/>
          <w:lang w:val="en-US"/>
        </w:rPr>
        <w:t xml:space="preserve"> competence,</w:t>
      </w:r>
      <w:proofErr w:type="gramEnd"/>
      <w:r w:rsidRPr="00083CB2">
        <w:rPr>
          <w:rFonts w:ascii="Times New Roman" w:hAnsi="Times New Roman" w:cs="Times New Roman"/>
          <w:sz w:val="24"/>
          <w:szCs w:val="24"/>
          <w:lang w:val="en-US"/>
        </w:rPr>
        <w:t xml:space="preserve"> and have demonstrated expertise in public international law. EU IIAs provide for high standards of transparency in ICS proceedings and allow civil society transitions or affected individuals and communities to participate in the proceedings. </w:t>
      </w:r>
    </w:p>
    <w:p w:rsidR="00083CB2" w:rsidRDefault="00083CB2" w:rsidP="00083CB2">
      <w:pPr>
        <w:spacing w:after="0"/>
        <w:jc w:val="both"/>
        <w:rPr>
          <w:rFonts w:ascii="Times New Roman" w:hAnsi="Times New Roman" w:cs="Times New Roman"/>
          <w:sz w:val="24"/>
          <w:szCs w:val="24"/>
          <w:lang w:val="en-US"/>
        </w:rPr>
      </w:pPr>
    </w:p>
    <w:p w:rsidR="00083CB2" w:rsidRPr="00083CB2" w:rsidRDefault="00083CB2" w:rsidP="00083CB2">
      <w:pPr>
        <w:spacing w:after="0"/>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In parallel, the EU supports efforts towards a multilateral reform of ISDS by engaging in the ongoing negotiations in Working Group III of the United Nations Commission on International Trade Law (UNCITRAL). In these negotiations, the European Union and its Member States support the creation of a permanent Multilateral Investment Court, which would settle investment disputes under existing and future treaties and would, once operational, replace the Investment </w:t>
      </w:r>
      <w:r w:rsidRPr="00083CB2">
        <w:rPr>
          <w:rFonts w:ascii="Times New Roman" w:eastAsia="Times New Roman" w:hAnsi="Times New Roman" w:cs="Times New Roman"/>
          <w:sz w:val="24"/>
          <w:szCs w:val="24"/>
          <w:lang w:val="en-US"/>
        </w:rPr>
        <w:t xml:space="preserve">Court Systems included in the EU’s bilateral agreements and the ISDS mechanisms in EU Member </w:t>
      </w:r>
      <w:r w:rsidRPr="00083CB2">
        <w:rPr>
          <w:rFonts w:ascii="Times New Roman" w:hAnsi="Times New Roman" w:cs="Times New Roman"/>
          <w:sz w:val="24"/>
          <w:szCs w:val="24"/>
          <w:lang w:val="en-US"/>
        </w:rPr>
        <w:t>States bilateral investment treaties with third countries.</w:t>
      </w:r>
      <w:r w:rsidR="00E04857">
        <w:rPr>
          <w:rStyle w:val="Lbjegyzet-hivatkozs"/>
          <w:rFonts w:ascii="Times New Roman" w:hAnsi="Times New Roman" w:cs="Times New Roman"/>
          <w:sz w:val="24"/>
          <w:szCs w:val="24"/>
          <w:lang w:val="en-US"/>
        </w:rPr>
        <w:footnoteReference w:id="10"/>
      </w:r>
      <w:r w:rsidR="00E04857">
        <w:rPr>
          <w:rFonts w:ascii="Times New Roman" w:hAnsi="Times New Roman" w:cs="Times New Roman"/>
          <w:sz w:val="24"/>
          <w:szCs w:val="24"/>
          <w:lang w:val="en-US"/>
        </w:rPr>
        <w:t xml:space="preserve"> </w:t>
      </w:r>
      <w:r w:rsidRPr="00083CB2">
        <w:rPr>
          <w:rFonts w:ascii="Times New Roman" w:hAnsi="Times New Roman" w:cs="Times New Roman"/>
          <w:sz w:val="24"/>
          <w:szCs w:val="24"/>
          <w:lang w:val="en-US"/>
        </w:rPr>
        <w:t>The EU and its Member States will promote that the Multilateral Investment Court would also apply high transparency standards and allow third parties to make submissions.</w:t>
      </w:r>
      <w:r w:rsidRPr="00083CB2">
        <w:rPr>
          <w:rFonts w:ascii="Times New Roman" w:eastAsia="Times New Roman" w:hAnsi="Times New Roman" w:cs="Times New Roman"/>
          <w:b/>
          <w:sz w:val="24"/>
          <w:szCs w:val="24"/>
          <w:lang w:val="en-US"/>
        </w:rPr>
        <w:t xml:space="preserve"> </w:t>
      </w:r>
    </w:p>
    <w:p w:rsidR="00083CB2" w:rsidRPr="00083CB2" w:rsidRDefault="00083CB2" w:rsidP="00083CB2">
      <w:pPr>
        <w:spacing w:after="170"/>
        <w:ind w:left="840"/>
        <w:jc w:val="both"/>
        <w:rPr>
          <w:rFonts w:ascii="Times New Roman" w:hAnsi="Times New Roman" w:cs="Times New Roman"/>
          <w:sz w:val="24"/>
          <w:szCs w:val="24"/>
          <w:lang w:val="en-US"/>
        </w:rPr>
      </w:pPr>
      <w:r w:rsidRPr="00083CB2">
        <w:rPr>
          <w:rFonts w:ascii="Times New Roman" w:eastAsia="Times New Roman" w:hAnsi="Times New Roman" w:cs="Times New Roman"/>
          <w:b/>
          <w:sz w:val="24"/>
          <w:szCs w:val="24"/>
          <w:lang w:val="en-US"/>
        </w:rPr>
        <w:t xml:space="preserve"> </w:t>
      </w:r>
    </w:p>
    <w:p w:rsidR="00E93BD3" w:rsidRDefault="00083CB2" w:rsidP="00E93BD3">
      <w:pPr>
        <w:numPr>
          <w:ilvl w:val="0"/>
          <w:numId w:val="6"/>
        </w:numPr>
        <w:spacing w:after="2" w:line="257" w:lineRule="auto"/>
        <w:ind w:hanging="370"/>
        <w:jc w:val="both"/>
        <w:rPr>
          <w:rFonts w:ascii="Times New Roman" w:hAnsi="Times New Roman" w:cs="Times New Roman"/>
          <w:sz w:val="24"/>
          <w:szCs w:val="24"/>
          <w:lang w:val="en-US"/>
        </w:rPr>
      </w:pPr>
      <w:r w:rsidRPr="00083CB2">
        <w:rPr>
          <w:rFonts w:ascii="Times New Roman" w:eastAsia="Times New Roman" w:hAnsi="Times New Roman" w:cs="Times New Roman"/>
          <w:b/>
          <w:sz w:val="24"/>
          <w:szCs w:val="24"/>
          <w:lang w:val="en-US"/>
        </w:rPr>
        <w:lastRenderedPageBreak/>
        <w:t xml:space="preserve">Has the COVID-19 pandemic affected your Government’s approach to IIAs and/or ISDS? </w:t>
      </w:r>
    </w:p>
    <w:p w:rsidR="00E93BD3" w:rsidRDefault="00E93BD3" w:rsidP="00E93BD3">
      <w:pPr>
        <w:spacing w:after="2" w:line="257" w:lineRule="auto"/>
        <w:jc w:val="both"/>
        <w:rPr>
          <w:rFonts w:ascii="Times New Roman" w:hAnsi="Times New Roman" w:cs="Times New Roman"/>
          <w:sz w:val="24"/>
          <w:szCs w:val="24"/>
          <w:lang w:val="en-US"/>
        </w:rPr>
      </w:pPr>
    </w:p>
    <w:p w:rsidR="00E93BD3" w:rsidRDefault="00083CB2" w:rsidP="00E93BD3">
      <w:pPr>
        <w:spacing w:after="2" w:line="257" w:lineRule="auto"/>
        <w:jc w:val="both"/>
        <w:rPr>
          <w:rFonts w:ascii="Times New Roman" w:hAnsi="Times New Roman" w:cs="Times New Roman"/>
          <w:sz w:val="24"/>
          <w:szCs w:val="24"/>
          <w:lang w:val="en-US"/>
        </w:rPr>
      </w:pPr>
      <w:r w:rsidRPr="00E93BD3">
        <w:rPr>
          <w:rFonts w:ascii="Times New Roman" w:hAnsi="Times New Roman" w:cs="Times New Roman"/>
          <w:sz w:val="24"/>
          <w:szCs w:val="24"/>
          <w:lang w:val="en-US"/>
        </w:rPr>
        <w:t xml:space="preserve">The COVID-19 pandemic has brought unprecedented challenges to the economic and public health systems worldwide, including in the EU, and has threatened gains on gender equality. States had to take extensive measures to respond to the public health emergency and its economic consequences, such as shutting down or limiting economic activities, </w:t>
      </w:r>
      <w:proofErr w:type="spellStart"/>
      <w:r w:rsidRPr="00E93BD3">
        <w:rPr>
          <w:rFonts w:ascii="Times New Roman" w:hAnsi="Times New Roman" w:cs="Times New Roman"/>
          <w:sz w:val="24"/>
          <w:szCs w:val="24"/>
          <w:lang w:val="en-US"/>
        </w:rPr>
        <w:t>reorganising</w:t>
      </w:r>
      <w:proofErr w:type="spellEnd"/>
      <w:r w:rsidRPr="00E93BD3">
        <w:rPr>
          <w:rFonts w:ascii="Times New Roman" w:hAnsi="Times New Roman" w:cs="Times New Roman"/>
          <w:sz w:val="24"/>
          <w:szCs w:val="24"/>
          <w:lang w:val="en-US"/>
        </w:rPr>
        <w:t xml:space="preserve"> public health systems or restricting exports. The COVID-19 pandemic has highlighted the importance of maintaining the necessary policy space to adopt measures in the public interest, while making sure that the necessary protections are in place to guarantee against arbitrary or discriminatory state </w:t>
      </w:r>
      <w:r w:rsidRPr="00E93BD3">
        <w:rPr>
          <w:rFonts w:ascii="Times New Roman" w:eastAsia="Times New Roman" w:hAnsi="Times New Roman" w:cs="Times New Roman"/>
          <w:sz w:val="24"/>
          <w:szCs w:val="24"/>
          <w:lang w:val="en-US"/>
        </w:rPr>
        <w:t xml:space="preserve">conduct. The EU’s approach has always been that investment agreements should strike a balance </w:t>
      </w:r>
      <w:r w:rsidRPr="00E93BD3">
        <w:rPr>
          <w:rFonts w:ascii="Times New Roman" w:hAnsi="Times New Roman" w:cs="Times New Roman"/>
          <w:sz w:val="24"/>
          <w:szCs w:val="24"/>
          <w:lang w:val="en-US"/>
        </w:rPr>
        <w:t>between protecting investors and safegu</w:t>
      </w:r>
      <w:r w:rsidRPr="00E93BD3">
        <w:rPr>
          <w:rFonts w:ascii="Times New Roman" w:eastAsia="Times New Roman" w:hAnsi="Times New Roman" w:cs="Times New Roman"/>
          <w:sz w:val="24"/>
          <w:szCs w:val="24"/>
          <w:lang w:val="en-US"/>
        </w:rPr>
        <w:t>arding a state’s right to regulate in the public interest</w:t>
      </w:r>
      <w:r w:rsidRPr="00E93BD3">
        <w:rPr>
          <w:rFonts w:ascii="Times New Roman" w:hAnsi="Times New Roman" w:cs="Times New Roman"/>
          <w:sz w:val="24"/>
          <w:szCs w:val="24"/>
          <w:lang w:val="en-US"/>
        </w:rPr>
        <w:t xml:space="preserve">, including by taking measures to protect public health and safety or the environment as public good, and the suitability of this approach has been further evidenced by events such as the COVID-19 pandemic. </w:t>
      </w:r>
    </w:p>
    <w:p w:rsidR="00E93BD3" w:rsidRDefault="00E93BD3" w:rsidP="00E93BD3">
      <w:pPr>
        <w:spacing w:after="2" w:line="257" w:lineRule="auto"/>
        <w:jc w:val="both"/>
        <w:rPr>
          <w:rFonts w:ascii="Times New Roman" w:hAnsi="Times New Roman" w:cs="Times New Roman"/>
          <w:sz w:val="24"/>
          <w:szCs w:val="24"/>
          <w:lang w:val="en-US"/>
        </w:rPr>
      </w:pPr>
    </w:p>
    <w:p w:rsidR="00083CB2" w:rsidRPr="00083CB2" w:rsidRDefault="00083CB2" w:rsidP="00E93BD3">
      <w:pPr>
        <w:spacing w:after="2" w:line="257" w:lineRule="auto"/>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Importantly, the IIAs will have a role to play in enhancing investment in the post-COVID era. Their contribution will be key to help economies increase FDI flows, as these have been significantly curtailed during the pandemic, while allowing for the adoption of measures </w:t>
      </w:r>
      <w:r w:rsidRPr="00083CB2">
        <w:rPr>
          <w:rFonts w:ascii="Times New Roman" w:eastAsia="Times New Roman" w:hAnsi="Times New Roman" w:cs="Times New Roman"/>
          <w:sz w:val="24"/>
          <w:szCs w:val="24"/>
          <w:lang w:val="en-US"/>
        </w:rPr>
        <w:t>to  “build back better”</w:t>
      </w:r>
      <w:r w:rsidRPr="00083CB2">
        <w:rPr>
          <w:rFonts w:ascii="Times New Roman" w:hAnsi="Times New Roman" w:cs="Times New Roman"/>
          <w:sz w:val="24"/>
          <w:szCs w:val="24"/>
          <w:lang w:val="en-US"/>
        </w:rPr>
        <w:t xml:space="preserve"> towards a more inclusive, sustainable, just and resilient future for all.</w:t>
      </w:r>
      <w:r w:rsidRPr="00083CB2">
        <w:rPr>
          <w:rFonts w:ascii="Times New Roman" w:hAnsi="Times New Roman" w:cs="Times New Roman"/>
          <w:sz w:val="24"/>
          <w:szCs w:val="24"/>
          <w:vertAlign w:val="superscript"/>
          <w:lang w:val="en-US"/>
        </w:rPr>
        <w:footnoteReference w:id="11"/>
      </w:r>
      <w:r w:rsidRPr="00083CB2">
        <w:rPr>
          <w:rFonts w:ascii="Times New Roman" w:hAnsi="Times New Roman" w:cs="Times New Roman"/>
          <w:sz w:val="24"/>
          <w:szCs w:val="24"/>
          <w:lang w:val="en-US"/>
        </w:rPr>
        <w:t xml:space="preserve"> This means doing more than getting economies and livelihoods quickly back on their feet. Recovery policies should trigger investment and </w:t>
      </w:r>
      <w:proofErr w:type="spellStart"/>
      <w:r w:rsidRPr="00083CB2">
        <w:rPr>
          <w:rFonts w:ascii="Times New Roman" w:hAnsi="Times New Roman" w:cs="Times New Roman"/>
          <w:sz w:val="24"/>
          <w:szCs w:val="24"/>
          <w:lang w:val="en-US"/>
        </w:rPr>
        <w:t>behavioural</w:t>
      </w:r>
      <w:proofErr w:type="spellEnd"/>
      <w:r w:rsidRPr="00083CB2">
        <w:rPr>
          <w:rFonts w:ascii="Times New Roman" w:hAnsi="Times New Roman" w:cs="Times New Roman"/>
          <w:sz w:val="24"/>
          <w:szCs w:val="24"/>
          <w:lang w:val="en-US"/>
        </w:rPr>
        <w:t xml:space="preserve"> changes that will reduce the likelihood of future shocks </w:t>
      </w:r>
      <w:r w:rsidRPr="00083CB2">
        <w:rPr>
          <w:rFonts w:ascii="Times New Roman" w:eastAsia="Times New Roman" w:hAnsi="Times New Roman" w:cs="Times New Roman"/>
          <w:sz w:val="24"/>
          <w:szCs w:val="24"/>
          <w:lang w:val="en-US"/>
        </w:rPr>
        <w:t>and increase society’s resilience to them when they do occur.</w:t>
      </w:r>
      <w:r w:rsidRPr="00083CB2">
        <w:rPr>
          <w:rFonts w:ascii="Times New Roman" w:hAnsi="Times New Roman" w:cs="Times New Roman"/>
          <w:sz w:val="24"/>
          <w:szCs w:val="24"/>
          <w:vertAlign w:val="superscript"/>
          <w:lang w:val="en-US"/>
        </w:rPr>
        <w:footnoteReference w:id="12"/>
      </w:r>
      <w:r w:rsidRPr="00083CB2">
        <w:rPr>
          <w:rFonts w:ascii="Times New Roman" w:hAnsi="Times New Roman" w:cs="Times New Roman"/>
          <w:sz w:val="24"/>
          <w:szCs w:val="24"/>
          <w:lang w:val="en-US"/>
        </w:rPr>
        <w:t xml:space="preserve"> In this regard, the recovery plan that the European Commission, the European Parliament and the European Council have agreed to provides for a large stimulus package that will support </w:t>
      </w:r>
      <w:proofErr w:type="spellStart"/>
      <w:r w:rsidRPr="00083CB2">
        <w:rPr>
          <w:rFonts w:ascii="Times New Roman" w:hAnsi="Times New Roman" w:cs="Times New Roman"/>
          <w:sz w:val="24"/>
          <w:szCs w:val="24"/>
          <w:lang w:val="en-US"/>
        </w:rPr>
        <w:t>modernisation</w:t>
      </w:r>
      <w:proofErr w:type="spellEnd"/>
      <w:r w:rsidRPr="00083CB2">
        <w:rPr>
          <w:rFonts w:ascii="Times New Roman" w:hAnsi="Times New Roman" w:cs="Times New Roman"/>
          <w:sz w:val="24"/>
          <w:szCs w:val="24"/>
          <w:lang w:val="en-US"/>
        </w:rPr>
        <w:t xml:space="preserve"> through, among others, fair climate transitions, concrete steps to fight climate change and the protection of biodiversity and gender equality.</w:t>
      </w:r>
      <w:r w:rsidR="002B0BDD">
        <w:rPr>
          <w:rStyle w:val="Lbjegyzet-hivatkozs"/>
          <w:rFonts w:ascii="Times New Roman" w:hAnsi="Times New Roman" w:cs="Times New Roman"/>
          <w:sz w:val="24"/>
          <w:szCs w:val="24"/>
          <w:lang w:val="en-US"/>
        </w:rPr>
        <w:footnoteReference w:id="13"/>
      </w:r>
      <w:r w:rsidRPr="00083CB2">
        <w:rPr>
          <w:rFonts w:ascii="Times New Roman" w:hAnsi="Times New Roman" w:cs="Times New Roman"/>
          <w:sz w:val="24"/>
          <w:szCs w:val="24"/>
          <w:lang w:val="en-US"/>
        </w:rPr>
        <w:t xml:space="preserve">  </w:t>
      </w:r>
    </w:p>
    <w:p w:rsidR="00083CB2" w:rsidRPr="00083CB2" w:rsidRDefault="00083CB2" w:rsidP="00083CB2">
      <w:pPr>
        <w:ind w:left="840"/>
        <w:jc w:val="both"/>
        <w:rPr>
          <w:rFonts w:ascii="Times New Roman" w:hAnsi="Times New Roman" w:cs="Times New Roman"/>
          <w:sz w:val="24"/>
          <w:szCs w:val="24"/>
          <w:lang w:val="en-US"/>
        </w:rPr>
      </w:pPr>
      <w:r w:rsidRPr="00083CB2">
        <w:rPr>
          <w:rFonts w:ascii="Times New Roman" w:eastAsia="Times New Roman" w:hAnsi="Times New Roman" w:cs="Times New Roman"/>
          <w:b/>
          <w:sz w:val="24"/>
          <w:szCs w:val="24"/>
          <w:lang w:val="en-US"/>
        </w:rPr>
        <w:t xml:space="preserve"> </w:t>
      </w:r>
    </w:p>
    <w:p w:rsidR="00083CB2" w:rsidRPr="00083CB2" w:rsidRDefault="00083CB2" w:rsidP="00083CB2">
      <w:pPr>
        <w:spacing w:after="1" w:line="258" w:lineRule="auto"/>
        <w:ind w:left="120"/>
        <w:jc w:val="both"/>
        <w:rPr>
          <w:rFonts w:ascii="Times New Roman" w:hAnsi="Times New Roman" w:cs="Times New Roman"/>
          <w:sz w:val="24"/>
          <w:szCs w:val="24"/>
          <w:lang w:val="en-US"/>
        </w:rPr>
      </w:pPr>
      <w:r w:rsidRPr="00083CB2">
        <w:rPr>
          <w:rFonts w:ascii="Times New Roman" w:eastAsia="Times New Roman" w:hAnsi="Times New Roman" w:cs="Times New Roman"/>
          <w:b/>
          <w:sz w:val="24"/>
          <w:szCs w:val="24"/>
          <w:lang w:val="en-US"/>
        </w:rPr>
        <w:t xml:space="preserve">Investors Responsibility to respect Human Rights </w:t>
      </w:r>
    </w:p>
    <w:p w:rsidR="00083CB2" w:rsidRPr="00083CB2" w:rsidRDefault="00083CB2" w:rsidP="00083CB2">
      <w:pPr>
        <w:spacing w:after="14"/>
        <w:ind w:left="840"/>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 </w:t>
      </w:r>
    </w:p>
    <w:p w:rsidR="00E93BD3" w:rsidRPr="00E93BD3" w:rsidRDefault="00083CB2" w:rsidP="00E93BD3">
      <w:pPr>
        <w:numPr>
          <w:ilvl w:val="0"/>
          <w:numId w:val="6"/>
        </w:numPr>
        <w:spacing w:after="1" w:line="258" w:lineRule="auto"/>
        <w:ind w:hanging="370"/>
        <w:jc w:val="both"/>
        <w:rPr>
          <w:rFonts w:ascii="Times New Roman" w:hAnsi="Times New Roman" w:cs="Times New Roman"/>
          <w:sz w:val="24"/>
          <w:szCs w:val="24"/>
          <w:lang w:val="en-US"/>
        </w:rPr>
      </w:pPr>
      <w:r w:rsidRPr="00083CB2">
        <w:rPr>
          <w:rFonts w:ascii="Times New Roman" w:eastAsia="Times New Roman" w:hAnsi="Times New Roman" w:cs="Times New Roman"/>
          <w:b/>
          <w:sz w:val="24"/>
          <w:szCs w:val="24"/>
          <w:lang w:val="en-US"/>
        </w:rPr>
        <w:t xml:space="preserve">Do IIAs concluded by your Government (including your Model Bilateral Investment Treaty) include human rights provisions addressed directly to investors and their investments? Are these provisions soft law recommendations or legally binding?  </w:t>
      </w:r>
    </w:p>
    <w:p w:rsidR="00E93BD3" w:rsidRDefault="00E93BD3" w:rsidP="00E93BD3">
      <w:pPr>
        <w:spacing w:after="1" w:line="258" w:lineRule="auto"/>
        <w:jc w:val="both"/>
        <w:rPr>
          <w:rFonts w:ascii="Times New Roman" w:hAnsi="Times New Roman" w:cs="Times New Roman"/>
          <w:sz w:val="24"/>
          <w:szCs w:val="24"/>
          <w:lang w:val="en-US"/>
        </w:rPr>
      </w:pPr>
    </w:p>
    <w:p w:rsidR="00083CB2" w:rsidRPr="00083CB2" w:rsidRDefault="00083CB2" w:rsidP="00E93BD3">
      <w:pPr>
        <w:spacing w:after="1" w:line="258" w:lineRule="auto"/>
        <w:jc w:val="both"/>
        <w:rPr>
          <w:rFonts w:ascii="Times New Roman" w:hAnsi="Times New Roman" w:cs="Times New Roman"/>
          <w:sz w:val="24"/>
          <w:szCs w:val="24"/>
          <w:lang w:val="en-US"/>
        </w:rPr>
      </w:pPr>
      <w:r w:rsidRPr="00E93BD3">
        <w:rPr>
          <w:rFonts w:ascii="Times New Roman" w:hAnsi="Times New Roman" w:cs="Times New Roman"/>
          <w:sz w:val="24"/>
          <w:szCs w:val="24"/>
          <w:lang w:val="en-US"/>
        </w:rPr>
        <w:t xml:space="preserve">Specific corporate social responsibility provisions are included in the Trade and Sustainable Development provisions of EU free trade agreements or investment agreements. Therein, the Parties undertake to promote responsible business practices, including by encouraging the voluntary uptake of such practices by businesses. These chapters further contain a special dispute resolution mechanism that consists of a Panel of Experts to which a Party to the </w:t>
      </w:r>
      <w:r w:rsidRPr="00E93BD3">
        <w:rPr>
          <w:rFonts w:ascii="Times New Roman" w:hAnsi="Times New Roman" w:cs="Times New Roman"/>
          <w:sz w:val="24"/>
          <w:szCs w:val="24"/>
          <w:lang w:val="en-US"/>
        </w:rPr>
        <w:lastRenderedPageBreak/>
        <w:t xml:space="preserve">agreement may have recourse if there are disagreements on the interpretation or application of the chapter. While these obligations </w:t>
      </w:r>
      <w:proofErr w:type="gramStart"/>
      <w:r w:rsidRPr="00E93BD3">
        <w:rPr>
          <w:rFonts w:ascii="Times New Roman" w:hAnsi="Times New Roman" w:cs="Times New Roman"/>
          <w:sz w:val="24"/>
          <w:szCs w:val="24"/>
          <w:lang w:val="en-US"/>
        </w:rPr>
        <w:t>are not imposed</w:t>
      </w:r>
      <w:proofErr w:type="gramEnd"/>
      <w:r w:rsidRPr="00E93BD3">
        <w:rPr>
          <w:rFonts w:ascii="Times New Roman" w:hAnsi="Times New Roman" w:cs="Times New Roman"/>
          <w:sz w:val="24"/>
          <w:szCs w:val="24"/>
          <w:lang w:val="en-US"/>
        </w:rPr>
        <w:t xml:space="preserve"> on the investors per se, they purport to create the conditions for the development of relevant domestic legislation.  </w:t>
      </w:r>
      <w:r w:rsidRPr="00083CB2">
        <w:rPr>
          <w:rFonts w:ascii="Times New Roman" w:hAnsi="Times New Roman" w:cs="Times New Roman"/>
          <w:sz w:val="24"/>
          <w:szCs w:val="24"/>
          <w:lang w:val="en-US"/>
        </w:rPr>
        <w:t xml:space="preserve">Importantly, investment protection provisions in EU investment agreements only apply to investments made in accordance with the laws and regulations of the host country. This essentially creates an obligation on investors to comply with the relevant human rights legislation that is in place in the host state if they wish to benefit from the protection of the agreements.  </w:t>
      </w:r>
    </w:p>
    <w:p w:rsidR="00083CB2" w:rsidRPr="00083CB2" w:rsidRDefault="00083CB2" w:rsidP="00083CB2">
      <w:pPr>
        <w:spacing w:after="9"/>
        <w:ind w:left="840"/>
        <w:jc w:val="both"/>
        <w:rPr>
          <w:rFonts w:ascii="Times New Roman" w:hAnsi="Times New Roman" w:cs="Times New Roman"/>
          <w:sz w:val="24"/>
          <w:szCs w:val="24"/>
          <w:lang w:val="en-US"/>
        </w:rPr>
      </w:pPr>
      <w:r w:rsidRPr="00083CB2">
        <w:rPr>
          <w:rFonts w:ascii="Times New Roman" w:eastAsia="Times New Roman" w:hAnsi="Times New Roman" w:cs="Times New Roman"/>
          <w:b/>
          <w:sz w:val="24"/>
          <w:szCs w:val="24"/>
          <w:lang w:val="en-US"/>
        </w:rPr>
        <w:t xml:space="preserve"> </w:t>
      </w:r>
    </w:p>
    <w:p w:rsidR="00083CB2" w:rsidRPr="00E93BD3" w:rsidRDefault="00083CB2" w:rsidP="00083CB2">
      <w:pPr>
        <w:numPr>
          <w:ilvl w:val="0"/>
          <w:numId w:val="6"/>
        </w:numPr>
        <w:spacing w:after="1" w:line="258" w:lineRule="auto"/>
        <w:ind w:hanging="370"/>
        <w:jc w:val="both"/>
        <w:rPr>
          <w:rFonts w:ascii="Times New Roman" w:hAnsi="Times New Roman" w:cs="Times New Roman"/>
          <w:sz w:val="24"/>
          <w:szCs w:val="24"/>
          <w:lang w:val="en-US"/>
        </w:rPr>
      </w:pPr>
      <w:r w:rsidRPr="00083CB2">
        <w:rPr>
          <w:rFonts w:ascii="Times New Roman" w:eastAsia="Times New Roman" w:hAnsi="Times New Roman" w:cs="Times New Roman"/>
          <w:b/>
          <w:sz w:val="24"/>
          <w:szCs w:val="24"/>
          <w:lang w:val="en-US"/>
        </w:rPr>
        <w:t xml:space="preserve">Does IIAs concluded by your Government expressly require foreign investors to comply with domestic laws relating to human rights, </w:t>
      </w:r>
      <w:proofErr w:type="spellStart"/>
      <w:r w:rsidRPr="00083CB2">
        <w:rPr>
          <w:rFonts w:ascii="Times New Roman" w:eastAsia="Times New Roman" w:hAnsi="Times New Roman" w:cs="Times New Roman"/>
          <w:b/>
          <w:sz w:val="24"/>
          <w:szCs w:val="24"/>
          <w:lang w:val="en-US"/>
        </w:rPr>
        <w:t>labour</w:t>
      </w:r>
      <w:proofErr w:type="spellEnd"/>
      <w:r w:rsidRPr="00083CB2">
        <w:rPr>
          <w:rFonts w:ascii="Times New Roman" w:eastAsia="Times New Roman" w:hAnsi="Times New Roman" w:cs="Times New Roman"/>
          <w:b/>
          <w:sz w:val="24"/>
          <w:szCs w:val="24"/>
          <w:lang w:val="en-US"/>
        </w:rPr>
        <w:t xml:space="preserve"> rights and the environment?  </w:t>
      </w:r>
    </w:p>
    <w:p w:rsidR="00E93BD3" w:rsidRPr="00083CB2" w:rsidRDefault="00E93BD3" w:rsidP="00E93BD3">
      <w:pPr>
        <w:spacing w:after="1" w:line="258" w:lineRule="auto"/>
        <w:jc w:val="both"/>
        <w:rPr>
          <w:rFonts w:ascii="Times New Roman" w:hAnsi="Times New Roman" w:cs="Times New Roman"/>
          <w:sz w:val="24"/>
          <w:szCs w:val="24"/>
          <w:lang w:val="en-US"/>
        </w:rPr>
      </w:pPr>
    </w:p>
    <w:p w:rsidR="002B0BDD" w:rsidRDefault="00083CB2" w:rsidP="002B0BDD">
      <w:pPr>
        <w:spacing w:after="156"/>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As noted above, investment protection provisions in EU investment agreements only apply to investments made in accordance with the laws and regulations of the host country. EU Member </w:t>
      </w:r>
      <w:r w:rsidRPr="00083CB2">
        <w:rPr>
          <w:rFonts w:ascii="Times New Roman" w:eastAsia="Times New Roman" w:hAnsi="Times New Roman" w:cs="Times New Roman"/>
          <w:sz w:val="24"/>
          <w:szCs w:val="24"/>
          <w:lang w:val="en-US"/>
        </w:rPr>
        <w:t xml:space="preserve">States’ constitutions and domestic laws overwhelmingly provide for the protection of human </w:t>
      </w:r>
      <w:r w:rsidRPr="00083CB2">
        <w:rPr>
          <w:rFonts w:ascii="Times New Roman" w:hAnsi="Times New Roman" w:cs="Times New Roman"/>
          <w:sz w:val="24"/>
          <w:szCs w:val="24"/>
          <w:lang w:val="en-US"/>
        </w:rPr>
        <w:t xml:space="preserve">rights, </w:t>
      </w:r>
      <w:proofErr w:type="spellStart"/>
      <w:r w:rsidRPr="00083CB2">
        <w:rPr>
          <w:rFonts w:ascii="Times New Roman" w:hAnsi="Times New Roman" w:cs="Times New Roman"/>
          <w:sz w:val="24"/>
          <w:szCs w:val="24"/>
          <w:lang w:val="en-US"/>
        </w:rPr>
        <w:t>labour</w:t>
      </w:r>
      <w:proofErr w:type="spellEnd"/>
      <w:r w:rsidRPr="00083CB2">
        <w:rPr>
          <w:rFonts w:ascii="Times New Roman" w:hAnsi="Times New Roman" w:cs="Times New Roman"/>
          <w:sz w:val="24"/>
          <w:szCs w:val="24"/>
          <w:lang w:val="en-US"/>
        </w:rPr>
        <w:t xml:space="preserve"> rights and the environment. Such protections stem from international obligations that EU Member States incur due to them being members of international treaties on environment and human rights, by virtue of their Constitutions, civil and criminal laws, and, of course, by virtue of their membership to the EU. </w:t>
      </w:r>
    </w:p>
    <w:p w:rsidR="00083CB2" w:rsidRPr="00083CB2" w:rsidRDefault="00083CB2" w:rsidP="002B0BDD">
      <w:pPr>
        <w:spacing w:after="156"/>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For instance, there is EU legislation in place applicable to all Member States that requires the conduct of impact assessments for private or public projects that may have an adverse impact on the environment</w:t>
      </w:r>
      <w:proofErr w:type="gramStart"/>
      <w:r w:rsidRPr="00083CB2">
        <w:rPr>
          <w:rFonts w:ascii="Times New Roman" w:hAnsi="Times New Roman" w:cs="Times New Roman"/>
          <w:sz w:val="24"/>
          <w:szCs w:val="24"/>
          <w:lang w:val="en-US"/>
        </w:rPr>
        <w:t>..</w:t>
      </w:r>
      <w:proofErr w:type="gramEnd"/>
      <w:r w:rsidRPr="00083CB2">
        <w:rPr>
          <w:rFonts w:ascii="Times New Roman" w:hAnsi="Times New Roman" w:cs="Times New Roman"/>
          <w:sz w:val="24"/>
          <w:szCs w:val="24"/>
          <w:lang w:val="en-US"/>
        </w:rPr>
        <w:t xml:space="preserve"> When such laws </w:t>
      </w:r>
      <w:proofErr w:type="gramStart"/>
      <w:r w:rsidRPr="00083CB2">
        <w:rPr>
          <w:rFonts w:ascii="Times New Roman" w:hAnsi="Times New Roman" w:cs="Times New Roman"/>
          <w:sz w:val="24"/>
          <w:szCs w:val="24"/>
          <w:lang w:val="en-US"/>
        </w:rPr>
        <w:t>are not complied</w:t>
      </w:r>
      <w:proofErr w:type="gramEnd"/>
      <w:r w:rsidRPr="00083CB2">
        <w:rPr>
          <w:rFonts w:ascii="Times New Roman" w:hAnsi="Times New Roman" w:cs="Times New Roman"/>
          <w:sz w:val="24"/>
          <w:szCs w:val="24"/>
          <w:lang w:val="en-US"/>
        </w:rPr>
        <w:t xml:space="preserve"> with at the making of the investment, an investor may not benefit from the protection of the investment agreement, including from recourse to investment dispute settlement </w:t>
      </w:r>
      <w:r w:rsidRPr="00083CB2">
        <w:rPr>
          <w:rFonts w:ascii="Times New Roman" w:eastAsia="Times New Roman" w:hAnsi="Times New Roman" w:cs="Times New Roman"/>
          <w:sz w:val="24"/>
          <w:szCs w:val="24"/>
          <w:lang w:val="en-US"/>
        </w:rPr>
        <w:t xml:space="preserve">(the investment is not “covered” and </w:t>
      </w:r>
      <w:r w:rsidRPr="00083CB2">
        <w:rPr>
          <w:rFonts w:ascii="Times New Roman" w:hAnsi="Times New Roman" w:cs="Times New Roman"/>
          <w:sz w:val="24"/>
          <w:szCs w:val="24"/>
          <w:lang w:val="en-US"/>
        </w:rPr>
        <w:t xml:space="preserve">therefore it falls outside of the scope of the dispute settlement mechanism). Additionally, under EU IIAs, investors cannot submit to dispute settlement claims relating to investments made through corruptive, abusive or deceptive means.  </w:t>
      </w:r>
      <w:r w:rsidRPr="00083CB2">
        <w:rPr>
          <w:rFonts w:ascii="Times New Roman" w:eastAsia="Times New Roman" w:hAnsi="Times New Roman" w:cs="Times New Roman"/>
          <w:b/>
          <w:sz w:val="24"/>
          <w:szCs w:val="24"/>
          <w:lang w:val="en-US"/>
        </w:rPr>
        <w:t xml:space="preserve"> </w:t>
      </w:r>
    </w:p>
    <w:p w:rsidR="002B0BDD" w:rsidRPr="002B0BDD" w:rsidRDefault="00083CB2" w:rsidP="002B0BDD">
      <w:pPr>
        <w:pStyle w:val="Listaszerbekezds"/>
        <w:numPr>
          <w:ilvl w:val="0"/>
          <w:numId w:val="6"/>
        </w:numPr>
        <w:spacing w:after="1" w:line="258" w:lineRule="auto"/>
        <w:jc w:val="both"/>
        <w:rPr>
          <w:rFonts w:ascii="Times New Roman" w:hAnsi="Times New Roman" w:cs="Times New Roman"/>
          <w:sz w:val="24"/>
          <w:szCs w:val="24"/>
          <w:lang w:val="en-US"/>
        </w:rPr>
      </w:pPr>
      <w:r w:rsidRPr="002B0BDD">
        <w:rPr>
          <w:rFonts w:ascii="Times New Roman" w:eastAsia="Times New Roman" w:hAnsi="Times New Roman" w:cs="Times New Roman"/>
          <w:b/>
          <w:sz w:val="24"/>
          <w:szCs w:val="24"/>
          <w:lang w:val="en-US"/>
        </w:rPr>
        <w:t xml:space="preserve">Does your Government require – under IIAs or otherwise – investors to conduct human rights due diligence (HRDD) or environmental and human rights </w:t>
      </w:r>
      <w:proofErr w:type="gramStart"/>
      <w:r w:rsidRPr="002B0BDD">
        <w:rPr>
          <w:rFonts w:ascii="Times New Roman" w:eastAsia="Times New Roman" w:hAnsi="Times New Roman" w:cs="Times New Roman"/>
          <w:b/>
          <w:sz w:val="24"/>
          <w:szCs w:val="24"/>
          <w:lang w:val="en-US"/>
        </w:rPr>
        <w:t>impact</w:t>
      </w:r>
      <w:proofErr w:type="gramEnd"/>
      <w:r w:rsidRPr="002B0BDD">
        <w:rPr>
          <w:rFonts w:ascii="Times New Roman" w:eastAsia="Times New Roman" w:hAnsi="Times New Roman" w:cs="Times New Roman"/>
          <w:b/>
          <w:sz w:val="24"/>
          <w:szCs w:val="24"/>
          <w:lang w:val="en-US"/>
        </w:rPr>
        <w:t xml:space="preserve"> assessments prior to their investment? If so, what mechanisms exist to ensure that investors comply with this obligation? </w:t>
      </w:r>
    </w:p>
    <w:p w:rsidR="00083CB2" w:rsidRPr="002B0BDD" w:rsidRDefault="00083CB2" w:rsidP="002B0BDD">
      <w:pPr>
        <w:spacing w:after="1" w:line="258" w:lineRule="auto"/>
        <w:ind w:left="835"/>
        <w:jc w:val="both"/>
        <w:rPr>
          <w:rFonts w:ascii="Times New Roman" w:hAnsi="Times New Roman" w:cs="Times New Roman"/>
          <w:sz w:val="24"/>
          <w:szCs w:val="24"/>
          <w:lang w:val="en-US"/>
        </w:rPr>
      </w:pPr>
      <w:r w:rsidRPr="002B0BDD">
        <w:rPr>
          <w:rFonts w:ascii="Times New Roman" w:eastAsia="Times New Roman" w:hAnsi="Times New Roman" w:cs="Times New Roman"/>
          <w:b/>
          <w:sz w:val="24"/>
          <w:szCs w:val="24"/>
          <w:lang w:val="en-US"/>
        </w:rPr>
        <w:t xml:space="preserve"> </w:t>
      </w:r>
    </w:p>
    <w:p w:rsidR="00083CB2" w:rsidRPr="00083CB2" w:rsidRDefault="00083CB2" w:rsidP="002B0BDD">
      <w:pPr>
        <w:spacing w:after="167"/>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As noted above</w:t>
      </w:r>
      <w:r w:rsidRPr="00083CB2">
        <w:rPr>
          <w:rFonts w:ascii="Times New Roman" w:eastAsia="Times New Roman" w:hAnsi="Times New Roman" w:cs="Times New Roman"/>
          <w:sz w:val="24"/>
          <w:szCs w:val="24"/>
          <w:lang w:val="en-US"/>
        </w:rPr>
        <w:t>, the EU’s</w:t>
      </w:r>
      <w:r w:rsidRPr="00083CB2">
        <w:rPr>
          <w:rFonts w:ascii="Times New Roman" w:hAnsi="Times New Roman" w:cs="Times New Roman"/>
          <w:sz w:val="24"/>
          <w:szCs w:val="24"/>
          <w:lang w:val="en-US"/>
        </w:rPr>
        <w:t xml:space="preserve"> IIAs contain a requirement that investments </w:t>
      </w:r>
      <w:proofErr w:type="gramStart"/>
      <w:r w:rsidRPr="00083CB2">
        <w:rPr>
          <w:rFonts w:ascii="Times New Roman" w:hAnsi="Times New Roman" w:cs="Times New Roman"/>
          <w:sz w:val="24"/>
          <w:szCs w:val="24"/>
          <w:lang w:val="en-US"/>
        </w:rPr>
        <w:t>should be made</w:t>
      </w:r>
      <w:proofErr w:type="gramEnd"/>
      <w:r w:rsidRPr="00083CB2">
        <w:rPr>
          <w:rFonts w:ascii="Times New Roman" w:hAnsi="Times New Roman" w:cs="Times New Roman"/>
          <w:sz w:val="24"/>
          <w:szCs w:val="24"/>
          <w:lang w:val="en-US"/>
        </w:rPr>
        <w:t xml:space="preserve"> in accordance with domestic laws. Legislation that </w:t>
      </w:r>
      <w:proofErr w:type="gramStart"/>
      <w:r w:rsidRPr="00083CB2">
        <w:rPr>
          <w:rFonts w:ascii="Times New Roman" w:hAnsi="Times New Roman" w:cs="Times New Roman"/>
          <w:sz w:val="24"/>
          <w:szCs w:val="24"/>
          <w:lang w:val="en-US"/>
        </w:rPr>
        <w:t>has been enacted</w:t>
      </w:r>
      <w:proofErr w:type="gramEnd"/>
      <w:r w:rsidRPr="00083CB2">
        <w:rPr>
          <w:rFonts w:ascii="Times New Roman" w:hAnsi="Times New Roman" w:cs="Times New Roman"/>
          <w:sz w:val="24"/>
          <w:szCs w:val="24"/>
          <w:lang w:val="en-US"/>
        </w:rPr>
        <w:t xml:space="preserve"> at EU level and applies on Member States requires the conduct of impact assessments in a number of fields. For instance, Directive 2011/92/EU (known as the </w:t>
      </w:r>
      <w:r w:rsidRPr="00083CB2">
        <w:rPr>
          <w:rFonts w:ascii="Times New Roman" w:eastAsia="Times New Roman" w:hAnsi="Times New Roman" w:cs="Times New Roman"/>
          <w:sz w:val="24"/>
          <w:szCs w:val="24"/>
          <w:lang w:val="en-US"/>
        </w:rPr>
        <w:t>‘</w:t>
      </w:r>
      <w:r w:rsidRPr="00083CB2">
        <w:rPr>
          <w:rFonts w:ascii="Times New Roman" w:hAnsi="Times New Roman" w:cs="Times New Roman"/>
          <w:sz w:val="24"/>
          <w:szCs w:val="24"/>
          <w:lang w:val="en-US"/>
        </w:rPr>
        <w:t>Environmental Impact Assessment</w:t>
      </w:r>
      <w:r w:rsidRPr="00083CB2">
        <w:rPr>
          <w:rFonts w:ascii="Times New Roman" w:eastAsia="Times New Roman" w:hAnsi="Times New Roman" w:cs="Times New Roman"/>
          <w:sz w:val="24"/>
          <w:szCs w:val="24"/>
          <w:lang w:val="en-US"/>
        </w:rPr>
        <w:t>’</w:t>
      </w:r>
      <w:r w:rsidRPr="00083CB2">
        <w:rPr>
          <w:rFonts w:ascii="Times New Roman" w:hAnsi="Times New Roman" w:cs="Times New Roman"/>
          <w:sz w:val="24"/>
          <w:szCs w:val="24"/>
          <w:lang w:val="en-US"/>
        </w:rPr>
        <w:t xml:space="preserve"> (EIA) Directive) requires the assessment of the environmental effects of those public and private projects, which are likely to have significant effects on the environment. Similarly, Directive 2001/42/EC (known as the </w:t>
      </w:r>
      <w:r w:rsidRPr="00083CB2">
        <w:rPr>
          <w:rFonts w:ascii="Times New Roman" w:eastAsia="Times New Roman" w:hAnsi="Times New Roman" w:cs="Times New Roman"/>
          <w:sz w:val="24"/>
          <w:szCs w:val="24"/>
          <w:lang w:val="en-US"/>
        </w:rPr>
        <w:t>‘St</w:t>
      </w:r>
      <w:r w:rsidRPr="00083CB2">
        <w:rPr>
          <w:rFonts w:ascii="Times New Roman" w:hAnsi="Times New Roman" w:cs="Times New Roman"/>
          <w:sz w:val="24"/>
          <w:szCs w:val="24"/>
          <w:lang w:val="en-US"/>
        </w:rPr>
        <w:t>r</w:t>
      </w:r>
      <w:r w:rsidRPr="00083CB2">
        <w:rPr>
          <w:rFonts w:ascii="Times New Roman" w:eastAsia="Times New Roman" w:hAnsi="Times New Roman" w:cs="Times New Roman"/>
          <w:sz w:val="24"/>
          <w:szCs w:val="24"/>
          <w:lang w:val="en-US"/>
        </w:rPr>
        <w:t>ategic Environmental Assessment’ Directive) ensur</w:t>
      </w:r>
      <w:r w:rsidRPr="00083CB2">
        <w:rPr>
          <w:rFonts w:ascii="Times New Roman" w:hAnsi="Times New Roman" w:cs="Times New Roman"/>
          <w:sz w:val="24"/>
          <w:szCs w:val="24"/>
          <w:lang w:val="en-US"/>
        </w:rPr>
        <w:t xml:space="preserve">es that plans, </w:t>
      </w:r>
      <w:proofErr w:type="spellStart"/>
      <w:r w:rsidRPr="00083CB2">
        <w:rPr>
          <w:rFonts w:ascii="Times New Roman" w:hAnsi="Times New Roman" w:cs="Times New Roman"/>
          <w:sz w:val="24"/>
          <w:szCs w:val="24"/>
          <w:lang w:val="en-US"/>
        </w:rPr>
        <w:t>programmes</w:t>
      </w:r>
      <w:proofErr w:type="spellEnd"/>
      <w:r w:rsidRPr="00083CB2">
        <w:rPr>
          <w:rFonts w:ascii="Times New Roman" w:hAnsi="Times New Roman" w:cs="Times New Roman"/>
          <w:sz w:val="24"/>
          <w:szCs w:val="24"/>
          <w:lang w:val="en-US"/>
        </w:rPr>
        <w:t xml:space="preserve"> and projects likely to have significant effects on the environment are made subject to an environmental assessment, prior to their approval or </w:t>
      </w:r>
      <w:proofErr w:type="spellStart"/>
      <w:r w:rsidRPr="00083CB2">
        <w:rPr>
          <w:rFonts w:ascii="Times New Roman" w:hAnsi="Times New Roman" w:cs="Times New Roman"/>
          <w:sz w:val="24"/>
          <w:szCs w:val="24"/>
          <w:lang w:val="en-US"/>
        </w:rPr>
        <w:t>authorisation</w:t>
      </w:r>
      <w:proofErr w:type="spellEnd"/>
      <w:r w:rsidRPr="00083CB2">
        <w:rPr>
          <w:rFonts w:ascii="Times New Roman" w:hAnsi="Times New Roman" w:cs="Times New Roman"/>
          <w:sz w:val="24"/>
          <w:szCs w:val="24"/>
          <w:lang w:val="en-US"/>
        </w:rPr>
        <w:t xml:space="preserve">. Developers, under the directives, must provide information on the environmental impact (EIA report) and the environmental authorities and the public (including affected Member States where relevant) </w:t>
      </w:r>
      <w:proofErr w:type="gramStart"/>
      <w:r w:rsidRPr="00083CB2">
        <w:rPr>
          <w:rFonts w:ascii="Times New Roman" w:hAnsi="Times New Roman" w:cs="Times New Roman"/>
          <w:sz w:val="24"/>
          <w:szCs w:val="24"/>
          <w:lang w:val="en-US"/>
        </w:rPr>
        <w:t>must be informed and consulted</w:t>
      </w:r>
      <w:proofErr w:type="gramEnd"/>
      <w:r w:rsidRPr="00083CB2">
        <w:rPr>
          <w:rFonts w:ascii="Times New Roman" w:hAnsi="Times New Roman" w:cs="Times New Roman"/>
          <w:sz w:val="24"/>
          <w:szCs w:val="24"/>
          <w:lang w:val="en-US"/>
        </w:rPr>
        <w:t xml:space="preserve">. The competent authority decides after having taken into consideration the results of the consultations. The public </w:t>
      </w:r>
      <w:proofErr w:type="gramStart"/>
      <w:r w:rsidRPr="00083CB2">
        <w:rPr>
          <w:rFonts w:ascii="Times New Roman" w:hAnsi="Times New Roman" w:cs="Times New Roman"/>
          <w:sz w:val="24"/>
          <w:szCs w:val="24"/>
          <w:lang w:val="en-US"/>
        </w:rPr>
        <w:t>is informed</w:t>
      </w:r>
      <w:proofErr w:type="gramEnd"/>
      <w:r w:rsidRPr="00083CB2">
        <w:rPr>
          <w:rFonts w:ascii="Times New Roman" w:hAnsi="Times New Roman" w:cs="Times New Roman"/>
          <w:sz w:val="24"/>
          <w:szCs w:val="24"/>
          <w:lang w:val="en-US"/>
        </w:rPr>
        <w:t xml:space="preserve"> of the decision afterwards and can challenge the decision before the courts. </w:t>
      </w:r>
    </w:p>
    <w:p w:rsidR="002B0BDD" w:rsidRDefault="00083CB2" w:rsidP="002B0BDD">
      <w:pPr>
        <w:spacing w:after="167"/>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lastRenderedPageBreak/>
        <w:t xml:space="preserve">Additionally, the EU has adopted legislation on due diligence in supply chains in specific sectors. The EU Timber Regulation (Regulation (EU) No 995/2010) prohibits the placing on the EU market of illegal timber and requires operators to set up and implement a due diligence system to </w:t>
      </w:r>
      <w:proofErr w:type="spellStart"/>
      <w:r w:rsidRPr="00083CB2">
        <w:rPr>
          <w:rFonts w:ascii="Times New Roman" w:hAnsi="Times New Roman" w:cs="Times New Roman"/>
          <w:sz w:val="24"/>
          <w:szCs w:val="24"/>
          <w:lang w:val="en-US"/>
        </w:rPr>
        <w:t>minimise</w:t>
      </w:r>
      <w:proofErr w:type="spellEnd"/>
      <w:r w:rsidRPr="00083CB2">
        <w:rPr>
          <w:rFonts w:ascii="Times New Roman" w:hAnsi="Times New Roman" w:cs="Times New Roman"/>
          <w:sz w:val="24"/>
          <w:szCs w:val="24"/>
          <w:lang w:val="en-US"/>
        </w:rPr>
        <w:t xml:space="preserve"> the risk that the timber might have been harvested in violation of applicable laws. Moreover, the EU Responsible Minerals Regulation (Regulation (EU) 821/2017) lays down supply chain due diligence obligations for EU importers of tin, tantalum and tungsten, their ores, and gold originating from conflict-affected and high-risk areas with the aim to break the nexus between mineral trade, armed conflict and human rights abuses. </w:t>
      </w:r>
    </w:p>
    <w:p w:rsidR="00083CB2" w:rsidRPr="00083CB2" w:rsidRDefault="00083CB2" w:rsidP="002B0BDD">
      <w:pPr>
        <w:spacing w:after="167"/>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In order to ensure compliance, EU due diligence legislation requires the establishment of penalties in case of infringement. The EU Timber Regulation requires EU Member States to lay down rules to ensure that infringements </w:t>
      </w:r>
      <w:proofErr w:type="gramStart"/>
      <w:r w:rsidRPr="00083CB2">
        <w:rPr>
          <w:rFonts w:ascii="Times New Roman" w:hAnsi="Times New Roman" w:cs="Times New Roman"/>
          <w:sz w:val="24"/>
          <w:szCs w:val="24"/>
          <w:lang w:val="en-US"/>
        </w:rPr>
        <w:t>are sanctioned</w:t>
      </w:r>
      <w:proofErr w:type="gramEnd"/>
      <w:r w:rsidRPr="00083CB2">
        <w:rPr>
          <w:rFonts w:ascii="Times New Roman" w:hAnsi="Times New Roman" w:cs="Times New Roman"/>
          <w:sz w:val="24"/>
          <w:szCs w:val="24"/>
          <w:lang w:val="en-US"/>
        </w:rPr>
        <w:t xml:space="preserve"> by effective, proportionate and dissuasive penalties and to take all measures necessary to ensure that those sanctions are implemented.</w:t>
      </w:r>
      <w:r w:rsidRPr="00083CB2">
        <w:rPr>
          <w:rFonts w:ascii="Times New Roman" w:hAnsi="Times New Roman" w:cs="Times New Roman"/>
          <w:sz w:val="24"/>
          <w:szCs w:val="24"/>
          <w:vertAlign w:val="superscript"/>
          <w:lang w:val="en-US"/>
        </w:rPr>
        <w:footnoteReference w:id="14"/>
      </w:r>
      <w:r w:rsidRPr="00083CB2">
        <w:rPr>
          <w:rFonts w:ascii="Times New Roman" w:hAnsi="Times New Roman" w:cs="Times New Roman"/>
          <w:sz w:val="24"/>
          <w:szCs w:val="24"/>
          <w:lang w:val="en-US"/>
        </w:rPr>
        <w:t xml:space="preserve"> The EU Responsible Minerals Regulation provides that EU Member States must lay down the rules applicable to infringements and issue a notice describing the remedial action to </w:t>
      </w:r>
      <w:proofErr w:type="gramStart"/>
      <w:r w:rsidRPr="00083CB2">
        <w:rPr>
          <w:rFonts w:ascii="Times New Roman" w:hAnsi="Times New Roman" w:cs="Times New Roman"/>
          <w:sz w:val="24"/>
          <w:szCs w:val="24"/>
          <w:lang w:val="en-US"/>
        </w:rPr>
        <w:t>be adopted</w:t>
      </w:r>
      <w:proofErr w:type="gramEnd"/>
      <w:r w:rsidRPr="00083CB2">
        <w:rPr>
          <w:rFonts w:ascii="Times New Roman" w:hAnsi="Times New Roman" w:cs="Times New Roman"/>
          <w:sz w:val="24"/>
          <w:szCs w:val="24"/>
          <w:lang w:val="en-US"/>
        </w:rPr>
        <w:t xml:space="preserve"> by Union importers that commit the infringement.  </w:t>
      </w:r>
    </w:p>
    <w:p w:rsidR="00083CB2" w:rsidRPr="00083CB2" w:rsidRDefault="00083CB2" w:rsidP="002B0BDD">
      <w:pPr>
        <w:spacing w:after="167"/>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In the field of human rights due diligence, the EU-Directive on Non-Financial reporting 2014/95/EU  lays down the rules on disclosure of certain information on the way large companies (more than 500 employees) manage social and environmental challenges. While it does not create an obligation on business to conduct human rights due diligence, it indirectly encourages companies to develop a responsible approach to business as it allows investors, consumers, policy makers and other stakeholders to evaluate the non-financial performance of those companies. </w:t>
      </w:r>
    </w:p>
    <w:p w:rsidR="00083CB2" w:rsidRPr="00083CB2" w:rsidRDefault="00083CB2" w:rsidP="002B0BDD">
      <w:pPr>
        <w:spacing w:after="169"/>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Finally yet importantly, the European Commission is currently working on a legislative initiative on horizontal due diligence for European companies. The proposal could introduce mandatory human rights and environmental due diligence based on existing international due diligence standards and guidelines, such as the UN Guiding Principles on Business and Human Rights, the ILO Declaration of Principles concerning Multinational Enterprises and Social Policy (MNE Declaration), the OECD Guidelines for Multinational Enterprises and the OECD Due Diligence Guidance for Responsible Business Conduct. </w:t>
      </w:r>
    </w:p>
    <w:p w:rsidR="00083CB2" w:rsidRPr="00083CB2" w:rsidRDefault="00083CB2" w:rsidP="00083CB2">
      <w:pPr>
        <w:spacing w:after="158" w:line="258" w:lineRule="auto"/>
        <w:ind w:left="835" w:hanging="370"/>
        <w:jc w:val="both"/>
        <w:rPr>
          <w:rFonts w:ascii="Times New Roman" w:hAnsi="Times New Roman" w:cs="Times New Roman"/>
          <w:sz w:val="24"/>
          <w:szCs w:val="24"/>
          <w:lang w:val="en-US"/>
        </w:rPr>
      </w:pPr>
      <w:r w:rsidRPr="00083CB2">
        <w:rPr>
          <w:rFonts w:ascii="Times New Roman" w:eastAsia="Times New Roman" w:hAnsi="Times New Roman" w:cs="Times New Roman"/>
          <w:b/>
          <w:sz w:val="24"/>
          <w:szCs w:val="24"/>
          <w:lang w:val="en-US"/>
        </w:rPr>
        <w:t>10.</w:t>
      </w:r>
      <w:r w:rsidRPr="00083CB2">
        <w:rPr>
          <w:rFonts w:ascii="Times New Roman" w:eastAsia="Arial" w:hAnsi="Times New Roman" w:cs="Times New Roman"/>
          <w:b/>
          <w:sz w:val="24"/>
          <w:szCs w:val="24"/>
          <w:lang w:val="en-US"/>
        </w:rPr>
        <w:t xml:space="preserve"> </w:t>
      </w:r>
      <w:r w:rsidRPr="00083CB2">
        <w:rPr>
          <w:rFonts w:ascii="Times New Roman" w:eastAsia="Times New Roman" w:hAnsi="Times New Roman" w:cs="Times New Roman"/>
          <w:b/>
          <w:sz w:val="24"/>
          <w:szCs w:val="24"/>
          <w:lang w:val="en-US"/>
        </w:rPr>
        <w:t xml:space="preserve">What measures exist to ensure that HRDD or impact assessments conducted by investors are gender-responsive and involve a meaningful participation of impacted communities, particularly marginalized groups and individuals?  </w:t>
      </w:r>
    </w:p>
    <w:p w:rsidR="00083CB2" w:rsidRPr="00083CB2" w:rsidRDefault="00083CB2" w:rsidP="002B0BDD">
      <w:pPr>
        <w:spacing w:after="164"/>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As indicated in our reply to Q9, there is EU legislation in place applicable to all Member States that requires the conduct of impact assessments for private or public projects that may have an adverse impact on the environment. Under this legislation, such impact assessments should involve meaningful public participation. The requirement for public participation on environmental matters, which originates in the Aarhus Convention on Access to Information, Public Participation in Decision-making and Access to Justice in Environmental Matters, is implemented by Directive 2003/35/EC (</w:t>
      </w:r>
      <w:r w:rsidRPr="00083CB2">
        <w:rPr>
          <w:rFonts w:ascii="Times New Roman" w:eastAsia="Times New Roman" w:hAnsi="Times New Roman" w:cs="Times New Roman"/>
          <w:sz w:val="24"/>
          <w:szCs w:val="24"/>
          <w:lang w:val="en-US"/>
        </w:rPr>
        <w:t>known as “</w:t>
      </w:r>
      <w:r w:rsidRPr="00083CB2">
        <w:rPr>
          <w:rFonts w:ascii="Times New Roman" w:hAnsi="Times New Roman" w:cs="Times New Roman"/>
          <w:sz w:val="24"/>
          <w:szCs w:val="24"/>
          <w:lang w:val="en-US"/>
        </w:rPr>
        <w:t>the Public Participation Directive</w:t>
      </w:r>
      <w:r w:rsidRPr="00083CB2">
        <w:rPr>
          <w:rFonts w:ascii="Times New Roman" w:eastAsia="Times New Roman" w:hAnsi="Times New Roman" w:cs="Times New Roman"/>
          <w:sz w:val="24"/>
          <w:szCs w:val="24"/>
          <w:lang w:val="en-US"/>
        </w:rPr>
        <w:t>”</w:t>
      </w:r>
      <w:r w:rsidRPr="00083CB2">
        <w:rPr>
          <w:rFonts w:ascii="Times New Roman" w:hAnsi="Times New Roman" w:cs="Times New Roman"/>
          <w:sz w:val="24"/>
          <w:szCs w:val="24"/>
          <w:lang w:val="en-US"/>
        </w:rPr>
        <w:t xml:space="preserve">), which contains provisions for a general public participation procedure including access to information. It also amends the Environmental Impact Assessment (EIA) Directive and Integrated Pollution </w:t>
      </w:r>
      <w:r w:rsidRPr="00083CB2">
        <w:rPr>
          <w:rFonts w:ascii="Times New Roman" w:hAnsi="Times New Roman" w:cs="Times New Roman"/>
          <w:sz w:val="24"/>
          <w:szCs w:val="24"/>
          <w:lang w:val="en-US"/>
        </w:rPr>
        <w:lastRenderedPageBreak/>
        <w:t xml:space="preserve">Prevention and Control (IPPC) Directive in order to improve the public participation as part of those directives.  </w:t>
      </w:r>
    </w:p>
    <w:p w:rsidR="00083CB2" w:rsidRPr="00083CB2" w:rsidRDefault="00083CB2" w:rsidP="002B0BDD">
      <w:pPr>
        <w:spacing w:after="166"/>
        <w:jc w:val="both"/>
        <w:rPr>
          <w:rFonts w:ascii="Times New Roman" w:hAnsi="Times New Roman" w:cs="Times New Roman"/>
          <w:sz w:val="24"/>
          <w:szCs w:val="24"/>
          <w:lang w:val="en-US"/>
        </w:rPr>
      </w:pPr>
      <w:proofErr w:type="gramStart"/>
      <w:r w:rsidRPr="00083CB2">
        <w:rPr>
          <w:rFonts w:ascii="Times New Roman" w:hAnsi="Times New Roman" w:cs="Times New Roman"/>
          <w:sz w:val="24"/>
          <w:szCs w:val="24"/>
          <w:lang w:val="en-US"/>
        </w:rPr>
        <w:t xml:space="preserve">A series of plans and </w:t>
      </w:r>
      <w:proofErr w:type="spellStart"/>
      <w:r w:rsidRPr="00083CB2">
        <w:rPr>
          <w:rFonts w:ascii="Times New Roman" w:hAnsi="Times New Roman" w:cs="Times New Roman"/>
          <w:sz w:val="24"/>
          <w:szCs w:val="24"/>
          <w:lang w:val="en-US"/>
        </w:rPr>
        <w:t>programmes</w:t>
      </w:r>
      <w:proofErr w:type="spellEnd"/>
      <w:r w:rsidRPr="00083CB2">
        <w:rPr>
          <w:rFonts w:ascii="Times New Roman" w:hAnsi="Times New Roman" w:cs="Times New Roman"/>
          <w:sz w:val="24"/>
          <w:szCs w:val="24"/>
          <w:lang w:val="en-US"/>
        </w:rPr>
        <w:t xml:space="preserve"> are subject to the public participation requirement such as the Waste management plans and prevention </w:t>
      </w:r>
      <w:proofErr w:type="spellStart"/>
      <w:r w:rsidRPr="00083CB2">
        <w:rPr>
          <w:rFonts w:ascii="Times New Roman" w:hAnsi="Times New Roman" w:cs="Times New Roman"/>
          <w:sz w:val="24"/>
          <w:szCs w:val="24"/>
          <w:lang w:val="en-US"/>
        </w:rPr>
        <w:t>programmes</w:t>
      </w:r>
      <w:proofErr w:type="spellEnd"/>
      <w:r w:rsidRPr="00083CB2">
        <w:rPr>
          <w:rFonts w:ascii="Times New Roman" w:hAnsi="Times New Roman" w:cs="Times New Roman"/>
          <w:sz w:val="24"/>
          <w:szCs w:val="24"/>
          <w:lang w:val="en-US"/>
        </w:rPr>
        <w:t xml:space="preserve"> pursuant to the Waste Framework Directive (Article 31 of the Waste Framework Directive); the Packaging waste management plans pursuant to Article 14 of the Packaging Waste Directive 94/62/EC; the Air quality plans for zones where the air quality exceeds the limit values pursuant to Directive 2008/50/EC; </w:t>
      </w:r>
      <w:proofErr w:type="spellStart"/>
      <w:r w:rsidRPr="00083CB2">
        <w:rPr>
          <w:rFonts w:ascii="Times New Roman" w:hAnsi="Times New Roman" w:cs="Times New Roman"/>
          <w:sz w:val="24"/>
          <w:szCs w:val="24"/>
          <w:lang w:val="en-US"/>
        </w:rPr>
        <w:t>Programmes</w:t>
      </w:r>
      <w:proofErr w:type="spellEnd"/>
      <w:r w:rsidRPr="00083CB2">
        <w:rPr>
          <w:rFonts w:ascii="Times New Roman" w:hAnsi="Times New Roman" w:cs="Times New Roman"/>
          <w:sz w:val="24"/>
          <w:szCs w:val="24"/>
          <w:lang w:val="en-US"/>
        </w:rPr>
        <w:t xml:space="preserve"> for vulnerable zones pursuant to Article 5(1) the Nitrates Directive 91/676/EEC.</w:t>
      </w:r>
      <w:proofErr w:type="gramEnd"/>
      <w:r w:rsidRPr="00083CB2">
        <w:rPr>
          <w:rFonts w:ascii="Times New Roman" w:hAnsi="Times New Roman" w:cs="Times New Roman"/>
          <w:sz w:val="24"/>
          <w:szCs w:val="24"/>
          <w:lang w:val="en-US"/>
        </w:rPr>
        <w:t xml:space="preserve"> Provisions on public consultation </w:t>
      </w:r>
      <w:proofErr w:type="gramStart"/>
      <w:r w:rsidRPr="00083CB2">
        <w:rPr>
          <w:rFonts w:ascii="Times New Roman" w:hAnsi="Times New Roman" w:cs="Times New Roman"/>
          <w:sz w:val="24"/>
          <w:szCs w:val="24"/>
          <w:lang w:val="en-US"/>
        </w:rPr>
        <w:t>can also be found</w:t>
      </w:r>
      <w:proofErr w:type="gramEnd"/>
      <w:r w:rsidRPr="00083CB2">
        <w:rPr>
          <w:rFonts w:ascii="Times New Roman" w:hAnsi="Times New Roman" w:cs="Times New Roman"/>
          <w:sz w:val="24"/>
          <w:szCs w:val="24"/>
          <w:lang w:val="en-US"/>
        </w:rPr>
        <w:t xml:space="preserve"> in the field of genetically modified organism (GMO) legislation. </w:t>
      </w:r>
    </w:p>
    <w:p w:rsidR="00083CB2" w:rsidRPr="00083CB2" w:rsidRDefault="00083CB2" w:rsidP="002B0BDD">
      <w:pPr>
        <w:spacing w:after="167"/>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The obligation to allow for public participation applies only to natural and legal persons and, but only insofar as the national law allows for this, associations of groups of natural and legal persons (Article 2(1) of Directive 2003/35/EC). The first stage of public participation involves informing the public about the proposals and the possibility of participation (Article 2(2</w:t>
      </w:r>
      <w:proofErr w:type="gramStart"/>
      <w:r w:rsidRPr="00083CB2">
        <w:rPr>
          <w:rFonts w:ascii="Times New Roman" w:hAnsi="Times New Roman" w:cs="Times New Roman"/>
          <w:sz w:val="24"/>
          <w:szCs w:val="24"/>
          <w:lang w:val="en-US"/>
        </w:rPr>
        <w:t>)(</w:t>
      </w:r>
      <w:proofErr w:type="gramEnd"/>
      <w:r w:rsidRPr="00083CB2">
        <w:rPr>
          <w:rFonts w:ascii="Times New Roman" w:hAnsi="Times New Roman" w:cs="Times New Roman"/>
          <w:sz w:val="24"/>
          <w:szCs w:val="24"/>
          <w:lang w:val="en-US"/>
        </w:rPr>
        <w:t>a) of Directive 2003/35/EC). After this, there must be the possibility for effective participation, which refers to the stage in the decision-making process when the options are still open. The central obligation under Article 2(2</w:t>
      </w:r>
      <w:proofErr w:type="gramStart"/>
      <w:r w:rsidRPr="00083CB2">
        <w:rPr>
          <w:rFonts w:ascii="Times New Roman" w:hAnsi="Times New Roman" w:cs="Times New Roman"/>
          <w:sz w:val="24"/>
          <w:szCs w:val="24"/>
          <w:lang w:val="en-US"/>
        </w:rPr>
        <w:t>)(</w:t>
      </w:r>
      <w:proofErr w:type="gramEnd"/>
      <w:r w:rsidRPr="00083CB2">
        <w:rPr>
          <w:rFonts w:ascii="Times New Roman" w:hAnsi="Times New Roman" w:cs="Times New Roman"/>
          <w:sz w:val="24"/>
          <w:szCs w:val="24"/>
          <w:lang w:val="en-US"/>
        </w:rPr>
        <w:t>c) of Directive 2003/35/EC is to take due account of the views of the results of the public consultation. The public must be informed of the final decision and public participation process (Article 2(2</w:t>
      </w:r>
      <w:proofErr w:type="gramStart"/>
      <w:r w:rsidRPr="00083CB2">
        <w:rPr>
          <w:rFonts w:ascii="Times New Roman" w:hAnsi="Times New Roman" w:cs="Times New Roman"/>
          <w:sz w:val="24"/>
          <w:szCs w:val="24"/>
          <w:lang w:val="en-US"/>
        </w:rPr>
        <w:t>)(</w:t>
      </w:r>
      <w:proofErr w:type="gramEnd"/>
      <w:r w:rsidRPr="00083CB2">
        <w:rPr>
          <w:rFonts w:ascii="Times New Roman" w:hAnsi="Times New Roman" w:cs="Times New Roman"/>
          <w:sz w:val="24"/>
          <w:szCs w:val="24"/>
          <w:lang w:val="en-US"/>
        </w:rPr>
        <w:t xml:space="preserve">d) of Directive 2003/35/EC).  </w:t>
      </w:r>
    </w:p>
    <w:p w:rsidR="00083CB2" w:rsidRPr="00083CB2" w:rsidRDefault="00083CB2" w:rsidP="002B0BDD">
      <w:pPr>
        <w:spacing w:after="164"/>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The EIA and IPPC Directives further provide for cross-border public participation where the impact of a project is transboundary. They also provide that members of the public concerned having a sufficient interest, or maintaining the impairment of a right, have access to a review procedure before a court of law or another independent and impartial body established by law to challenge the substantive or procedural legality of decisions, acts or omissions. Such procedures must be fair, equitable, timely and not prohibitively expensive. </w:t>
      </w:r>
    </w:p>
    <w:p w:rsidR="00083CB2" w:rsidRPr="00083CB2" w:rsidRDefault="00083CB2" w:rsidP="00083CB2">
      <w:pPr>
        <w:numPr>
          <w:ilvl w:val="0"/>
          <w:numId w:val="7"/>
        </w:numPr>
        <w:spacing w:after="1" w:line="258" w:lineRule="auto"/>
        <w:ind w:right="640" w:hanging="720"/>
        <w:jc w:val="both"/>
        <w:rPr>
          <w:rFonts w:ascii="Times New Roman" w:hAnsi="Times New Roman" w:cs="Times New Roman"/>
          <w:sz w:val="24"/>
          <w:szCs w:val="24"/>
          <w:lang w:val="en-US"/>
        </w:rPr>
      </w:pPr>
      <w:r w:rsidRPr="00083CB2">
        <w:rPr>
          <w:rFonts w:ascii="Times New Roman" w:eastAsia="Times New Roman" w:hAnsi="Times New Roman" w:cs="Times New Roman"/>
          <w:b/>
          <w:sz w:val="24"/>
          <w:szCs w:val="24"/>
          <w:lang w:val="en-US"/>
        </w:rPr>
        <w:t xml:space="preserve">Do IIAs concluded by your Government include processes or mechanisms to allow affected individuals or communities to seek remedies, in host or home countries, against investors for human rights abuses linked to </w:t>
      </w:r>
      <w:proofErr w:type="spellStart"/>
      <w:r w:rsidRPr="00083CB2">
        <w:rPr>
          <w:rFonts w:ascii="Times New Roman" w:eastAsia="Times New Roman" w:hAnsi="Times New Roman" w:cs="Times New Roman"/>
          <w:b/>
          <w:sz w:val="24"/>
          <w:szCs w:val="24"/>
          <w:lang w:val="en-US"/>
        </w:rPr>
        <w:t>investmentrelated</w:t>
      </w:r>
      <w:proofErr w:type="spellEnd"/>
      <w:r w:rsidRPr="00083CB2">
        <w:rPr>
          <w:rFonts w:ascii="Times New Roman" w:eastAsia="Times New Roman" w:hAnsi="Times New Roman" w:cs="Times New Roman"/>
          <w:b/>
          <w:sz w:val="24"/>
          <w:szCs w:val="24"/>
          <w:lang w:val="en-US"/>
        </w:rPr>
        <w:t xml:space="preserve"> projects?  </w:t>
      </w:r>
    </w:p>
    <w:p w:rsidR="00083CB2" w:rsidRPr="00083CB2" w:rsidRDefault="00083CB2" w:rsidP="00083CB2">
      <w:pPr>
        <w:spacing w:after="0"/>
        <w:ind w:left="720"/>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 </w:t>
      </w:r>
    </w:p>
    <w:p w:rsidR="00083CB2" w:rsidRPr="00083CB2" w:rsidRDefault="00083CB2" w:rsidP="002B0BDD">
      <w:pPr>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The majority of EU Member States have set up National Contact Points under the OECD Guidelines for Multinational Enterprises (the MNEs Guidelines) that provide for a non-judicial grievance mechanism. This mechanism allows affected stakeholders to address and remedy adverse social and environmental impacts caused by corporate conduct. The MNE Guidelines contain concrete recommendations regarding the respect of human rights, environmental and consumer protection or anti-bribery rules. As noted above, the TSD chapters in the EU trade and investment agreements, provide that the Parties undertake to promote responsible business conduct, including by encouraging the voluntary uptake of responsible practices by businesses, taking into account relevant internationally recognized guidelines and principles including the MNE Guidelines. Parties also undertake to exchange information and experience with regard to methodologies and indicators for impact assessments on trade sustainability. </w:t>
      </w:r>
    </w:p>
    <w:p w:rsidR="00083CB2" w:rsidRPr="00083CB2" w:rsidRDefault="00083CB2" w:rsidP="002B0BDD">
      <w:pPr>
        <w:spacing w:after="0"/>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In recent years, the EU has been very active, in particular through the European Instrument for Democracy and Human Rights, in the field of development cooperation, notably by empowering vulnerable individuals, communities and civil society </w:t>
      </w:r>
      <w:proofErr w:type="spellStart"/>
      <w:r w:rsidRPr="00083CB2">
        <w:rPr>
          <w:rFonts w:ascii="Times New Roman" w:hAnsi="Times New Roman" w:cs="Times New Roman"/>
          <w:sz w:val="24"/>
          <w:szCs w:val="24"/>
          <w:lang w:val="en-US"/>
        </w:rPr>
        <w:t>organisations</w:t>
      </w:r>
      <w:proofErr w:type="spellEnd"/>
      <w:r w:rsidRPr="00083CB2">
        <w:rPr>
          <w:rFonts w:ascii="Times New Roman" w:hAnsi="Times New Roman" w:cs="Times New Roman"/>
          <w:sz w:val="24"/>
          <w:szCs w:val="24"/>
          <w:lang w:val="en-US"/>
        </w:rPr>
        <w:t xml:space="preserve"> to claim and </w:t>
      </w:r>
      <w:r w:rsidRPr="00083CB2">
        <w:rPr>
          <w:rFonts w:ascii="Times New Roman" w:hAnsi="Times New Roman" w:cs="Times New Roman"/>
          <w:sz w:val="24"/>
          <w:szCs w:val="24"/>
          <w:lang w:val="en-US"/>
        </w:rPr>
        <w:lastRenderedPageBreak/>
        <w:t xml:space="preserve">advocate for their rights when facing human rights abuses that emerge from particular investment-related projects. Actions on this front aim, </w:t>
      </w:r>
      <w:r w:rsidRPr="00083CB2">
        <w:rPr>
          <w:rFonts w:ascii="Times New Roman" w:eastAsia="Times New Roman" w:hAnsi="Times New Roman" w:cs="Times New Roman"/>
          <w:i/>
          <w:sz w:val="24"/>
          <w:szCs w:val="24"/>
          <w:lang w:val="en-US"/>
        </w:rPr>
        <w:t>inter alia</w:t>
      </w:r>
      <w:r w:rsidRPr="00083CB2">
        <w:rPr>
          <w:rFonts w:ascii="Times New Roman" w:hAnsi="Times New Roman" w:cs="Times New Roman"/>
          <w:sz w:val="24"/>
          <w:szCs w:val="24"/>
          <w:lang w:val="en-US"/>
        </w:rPr>
        <w:t xml:space="preserve">, to support active monitoring of abuses, help those affected to pursue legal claims and outreach to government with a view to improving access to remedies. </w:t>
      </w:r>
    </w:p>
    <w:p w:rsidR="002B0BDD" w:rsidRDefault="002B0BDD" w:rsidP="002B0BDD">
      <w:pPr>
        <w:spacing w:after="0"/>
        <w:jc w:val="both"/>
        <w:rPr>
          <w:rFonts w:ascii="Times New Roman" w:hAnsi="Times New Roman" w:cs="Times New Roman"/>
          <w:sz w:val="24"/>
          <w:szCs w:val="24"/>
          <w:lang w:val="en-US"/>
        </w:rPr>
      </w:pPr>
    </w:p>
    <w:p w:rsidR="002B0BDD" w:rsidRDefault="00083CB2" w:rsidP="002B0BDD">
      <w:pPr>
        <w:spacing w:after="0"/>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Of course, in case of unlawful or harmful activities, public bodies and affected third parties can also initiate legal proceedings against investors before the competent national courts.</w:t>
      </w:r>
      <w:r w:rsidRPr="00083CB2">
        <w:rPr>
          <w:rFonts w:ascii="Times New Roman" w:eastAsia="Times New Roman" w:hAnsi="Times New Roman" w:cs="Times New Roman"/>
          <w:b/>
          <w:sz w:val="24"/>
          <w:szCs w:val="24"/>
          <w:lang w:val="en-US"/>
        </w:rPr>
        <w:t xml:space="preserve"> </w:t>
      </w:r>
    </w:p>
    <w:p w:rsidR="00083CB2" w:rsidRPr="00083CB2" w:rsidRDefault="00083CB2" w:rsidP="002B0BDD">
      <w:pPr>
        <w:spacing w:after="0"/>
        <w:jc w:val="both"/>
        <w:rPr>
          <w:rFonts w:ascii="Times New Roman" w:hAnsi="Times New Roman" w:cs="Times New Roman"/>
          <w:sz w:val="24"/>
          <w:szCs w:val="24"/>
          <w:lang w:val="en-US"/>
        </w:rPr>
      </w:pPr>
      <w:r w:rsidRPr="00083CB2">
        <w:rPr>
          <w:rFonts w:ascii="Times New Roman" w:eastAsia="Times New Roman" w:hAnsi="Times New Roman" w:cs="Times New Roman"/>
          <w:b/>
          <w:sz w:val="24"/>
          <w:szCs w:val="24"/>
          <w:lang w:val="en-US"/>
        </w:rPr>
        <w:t xml:space="preserve"> </w:t>
      </w:r>
    </w:p>
    <w:p w:rsidR="00083CB2" w:rsidRPr="00083CB2" w:rsidRDefault="00083CB2" w:rsidP="00083CB2">
      <w:pPr>
        <w:numPr>
          <w:ilvl w:val="0"/>
          <w:numId w:val="7"/>
        </w:numPr>
        <w:spacing w:after="1" w:line="258" w:lineRule="auto"/>
        <w:ind w:right="640" w:hanging="720"/>
        <w:jc w:val="both"/>
        <w:rPr>
          <w:rFonts w:ascii="Times New Roman" w:hAnsi="Times New Roman" w:cs="Times New Roman"/>
          <w:sz w:val="24"/>
          <w:szCs w:val="24"/>
          <w:lang w:val="en-US"/>
        </w:rPr>
      </w:pPr>
      <w:r w:rsidRPr="00083CB2">
        <w:rPr>
          <w:rFonts w:ascii="Times New Roman" w:eastAsia="Times New Roman" w:hAnsi="Times New Roman" w:cs="Times New Roman"/>
          <w:b/>
          <w:sz w:val="24"/>
          <w:szCs w:val="24"/>
          <w:lang w:val="en-US"/>
        </w:rPr>
        <w:t xml:space="preserve">Has your Government pursed counterclaims against investors for human rights abuses linked to their investments? If yes, please provide details. </w:t>
      </w:r>
    </w:p>
    <w:p w:rsidR="00083CB2" w:rsidRPr="00083CB2" w:rsidRDefault="00083CB2" w:rsidP="00083CB2">
      <w:pPr>
        <w:spacing w:after="0"/>
        <w:ind w:left="120"/>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 </w:t>
      </w:r>
    </w:p>
    <w:p w:rsidR="00083CB2" w:rsidRPr="00083CB2" w:rsidRDefault="00083CB2" w:rsidP="002B0BDD">
      <w:pPr>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To date, the European Union has only acted as a respondent in one ISDS case and has so far not pursued any counterclaims against investors for human right abuses in an international investment dispute.  </w:t>
      </w:r>
    </w:p>
    <w:p w:rsidR="00083CB2" w:rsidRPr="00083CB2" w:rsidRDefault="00083CB2" w:rsidP="00083CB2">
      <w:pPr>
        <w:numPr>
          <w:ilvl w:val="0"/>
          <w:numId w:val="7"/>
        </w:numPr>
        <w:spacing w:after="1" w:line="258" w:lineRule="auto"/>
        <w:ind w:right="640" w:hanging="720"/>
        <w:jc w:val="both"/>
        <w:rPr>
          <w:rFonts w:ascii="Times New Roman" w:hAnsi="Times New Roman" w:cs="Times New Roman"/>
          <w:sz w:val="24"/>
          <w:szCs w:val="24"/>
          <w:lang w:val="en-US"/>
        </w:rPr>
      </w:pPr>
      <w:r w:rsidRPr="00083CB2">
        <w:rPr>
          <w:rFonts w:ascii="Times New Roman" w:eastAsia="Times New Roman" w:hAnsi="Times New Roman" w:cs="Times New Roman"/>
          <w:b/>
          <w:sz w:val="24"/>
          <w:szCs w:val="24"/>
          <w:lang w:val="en-US"/>
        </w:rPr>
        <w:t xml:space="preserve">Do IIAs concluded by your Government allow affected individuals or communities to file amicus briefs before ISDS or another dispute settlement process?  </w:t>
      </w:r>
    </w:p>
    <w:p w:rsidR="00083CB2" w:rsidRPr="00083CB2" w:rsidRDefault="00083CB2" w:rsidP="00083CB2">
      <w:pPr>
        <w:spacing w:after="0"/>
        <w:ind w:left="720"/>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 </w:t>
      </w:r>
    </w:p>
    <w:p w:rsidR="00083CB2" w:rsidRPr="00083CB2" w:rsidRDefault="00083CB2" w:rsidP="002B0BDD">
      <w:pPr>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Yes. All EU trade and investment agreements include high standards of transparency building on the UNCITRAL Rules on Transparency in Treaty-based Investor-State Arbitration (UNCITRAL Transparency Rules). These rules allow interested third persons (such as individuals, civil society </w:t>
      </w:r>
      <w:proofErr w:type="spellStart"/>
      <w:r w:rsidRPr="00083CB2">
        <w:rPr>
          <w:rFonts w:ascii="Times New Roman" w:hAnsi="Times New Roman" w:cs="Times New Roman"/>
          <w:sz w:val="24"/>
          <w:szCs w:val="24"/>
          <w:lang w:val="en-US"/>
        </w:rPr>
        <w:t>organisations</w:t>
      </w:r>
      <w:proofErr w:type="spellEnd"/>
      <w:r w:rsidRPr="00083CB2">
        <w:rPr>
          <w:rFonts w:ascii="Times New Roman" w:hAnsi="Times New Roman" w:cs="Times New Roman"/>
          <w:sz w:val="24"/>
          <w:szCs w:val="24"/>
          <w:lang w:val="en-US"/>
        </w:rPr>
        <w:t xml:space="preserve">, trade unions, consumer </w:t>
      </w:r>
      <w:proofErr w:type="spellStart"/>
      <w:r w:rsidRPr="00083CB2">
        <w:rPr>
          <w:rFonts w:ascii="Times New Roman" w:hAnsi="Times New Roman" w:cs="Times New Roman"/>
          <w:sz w:val="24"/>
          <w:szCs w:val="24"/>
          <w:lang w:val="en-US"/>
        </w:rPr>
        <w:t>organisations</w:t>
      </w:r>
      <w:proofErr w:type="spellEnd"/>
      <w:r w:rsidRPr="00083CB2">
        <w:rPr>
          <w:rFonts w:ascii="Times New Roman" w:hAnsi="Times New Roman" w:cs="Times New Roman"/>
          <w:sz w:val="24"/>
          <w:szCs w:val="24"/>
          <w:lang w:val="en-US"/>
        </w:rPr>
        <w:t xml:space="preserve"> and other types of affected communities) to intervene in investment dispute settlement proceedings before the Tribunal and the Appellate Tribunal. </w:t>
      </w:r>
    </w:p>
    <w:p w:rsidR="00083CB2" w:rsidRPr="00083CB2" w:rsidRDefault="00083CB2" w:rsidP="00083CB2">
      <w:pPr>
        <w:numPr>
          <w:ilvl w:val="0"/>
          <w:numId w:val="7"/>
        </w:numPr>
        <w:spacing w:after="1" w:line="258" w:lineRule="auto"/>
        <w:ind w:right="640" w:hanging="720"/>
        <w:jc w:val="both"/>
        <w:rPr>
          <w:rFonts w:ascii="Times New Roman" w:hAnsi="Times New Roman" w:cs="Times New Roman"/>
          <w:sz w:val="24"/>
          <w:szCs w:val="24"/>
          <w:lang w:val="en-US"/>
        </w:rPr>
      </w:pPr>
      <w:r w:rsidRPr="00083CB2">
        <w:rPr>
          <w:rFonts w:ascii="Times New Roman" w:eastAsia="Times New Roman" w:hAnsi="Times New Roman" w:cs="Times New Roman"/>
          <w:b/>
          <w:sz w:val="24"/>
          <w:szCs w:val="24"/>
          <w:lang w:val="en-US"/>
        </w:rPr>
        <w:t xml:space="preserve">Does your Government require – under IIAs or otherwise – investors to establish, in meaningful consultation with affected communities, operational level grievance mechanisms that are effective in terms of process and remedial outcomes? If so, please provide details.  </w:t>
      </w:r>
    </w:p>
    <w:p w:rsidR="002B0BDD" w:rsidRDefault="002B0BDD" w:rsidP="002B0BDD">
      <w:pPr>
        <w:spacing w:after="0"/>
        <w:jc w:val="both"/>
        <w:rPr>
          <w:rFonts w:ascii="Times New Roman" w:hAnsi="Times New Roman" w:cs="Times New Roman"/>
          <w:sz w:val="24"/>
          <w:szCs w:val="24"/>
          <w:lang w:val="en-US"/>
        </w:rPr>
      </w:pPr>
    </w:p>
    <w:p w:rsidR="00083CB2" w:rsidRPr="00083CB2" w:rsidRDefault="00083CB2" w:rsidP="002B0BDD">
      <w:pPr>
        <w:spacing w:after="0"/>
        <w:jc w:val="both"/>
        <w:rPr>
          <w:rFonts w:ascii="Times New Roman" w:hAnsi="Times New Roman" w:cs="Times New Roman"/>
          <w:sz w:val="24"/>
          <w:szCs w:val="24"/>
          <w:lang w:val="en-US"/>
        </w:rPr>
      </w:pPr>
      <w:proofErr w:type="gramStart"/>
      <w:r w:rsidRPr="00083CB2">
        <w:rPr>
          <w:rFonts w:ascii="Times New Roman" w:hAnsi="Times New Roman" w:cs="Times New Roman"/>
          <w:sz w:val="24"/>
          <w:szCs w:val="24"/>
          <w:lang w:val="en-US"/>
        </w:rPr>
        <w:t>As a general rule</w:t>
      </w:r>
      <w:proofErr w:type="gramEnd"/>
      <w:r w:rsidRPr="00083CB2">
        <w:rPr>
          <w:rFonts w:ascii="Times New Roman" w:hAnsi="Times New Roman" w:cs="Times New Roman"/>
          <w:sz w:val="24"/>
          <w:szCs w:val="24"/>
          <w:lang w:val="en-US"/>
        </w:rPr>
        <w:t xml:space="preserve">, grievance mechanisms for affected communities are foreseen in EU Member States legislation and in the OECD Guidelines for Multinational Enterprises, which provide for the set-up of National Contact Points (NCPs) whose core duty is to advance the effectiveness of the OECD Guidelines, including by providing for a non-judicial grievance mechanism. The EU promotes the OECD Due Diligence Guidance for Responsible Business Conduct, which provides practical support to enterprises on the implementation of the OECD Guidelines for Multinational Enterprises and recommends the establishment of grievance mechanisms by companies as a means of performing due diligence that helps them prevent or mitigate adverse impacts of their conduct on RBC issues. A number of European companies have put in place such mechanisms.  </w:t>
      </w:r>
    </w:p>
    <w:p w:rsidR="00083CB2" w:rsidRPr="00083CB2" w:rsidRDefault="00083CB2" w:rsidP="00083CB2">
      <w:pPr>
        <w:spacing w:after="0"/>
        <w:ind w:left="120"/>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 </w:t>
      </w:r>
    </w:p>
    <w:p w:rsidR="00083CB2" w:rsidRPr="00083CB2" w:rsidRDefault="00083CB2" w:rsidP="002B0BDD">
      <w:pPr>
        <w:spacing w:after="200"/>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In addition, the EU Responsible Minerals Regulation requires Union importers of minerals and metals covered under its scope to establish a grievance mechanism as an early-warning </w:t>
      </w:r>
      <w:proofErr w:type="spellStart"/>
      <w:r w:rsidRPr="00083CB2">
        <w:rPr>
          <w:rFonts w:ascii="Times New Roman" w:hAnsi="Times New Roman" w:cs="Times New Roman"/>
          <w:sz w:val="24"/>
          <w:szCs w:val="24"/>
          <w:lang w:val="en-US"/>
        </w:rPr>
        <w:t>riskawareness</w:t>
      </w:r>
      <w:proofErr w:type="spellEnd"/>
      <w:r w:rsidRPr="00083CB2">
        <w:rPr>
          <w:rFonts w:ascii="Times New Roman" w:hAnsi="Times New Roman" w:cs="Times New Roman"/>
          <w:sz w:val="24"/>
          <w:szCs w:val="24"/>
          <w:lang w:val="en-US"/>
        </w:rPr>
        <w:t xml:space="preserve"> system or provide such mechanism through collaborative arrangements with</w:t>
      </w:r>
      <w:r w:rsidR="002B0BDD">
        <w:rPr>
          <w:rFonts w:ascii="Times New Roman" w:hAnsi="Times New Roman" w:cs="Times New Roman"/>
          <w:sz w:val="24"/>
          <w:szCs w:val="24"/>
          <w:lang w:val="en-US"/>
        </w:rPr>
        <w:t xml:space="preserve"> </w:t>
      </w:r>
      <w:r w:rsidRPr="00083CB2">
        <w:rPr>
          <w:rFonts w:ascii="Times New Roman" w:hAnsi="Times New Roman" w:cs="Times New Roman"/>
          <w:sz w:val="24"/>
          <w:szCs w:val="24"/>
          <w:lang w:val="en-US"/>
        </w:rPr>
        <w:lastRenderedPageBreak/>
        <w:t xml:space="preserve">other economic operators or </w:t>
      </w:r>
      <w:proofErr w:type="spellStart"/>
      <w:r w:rsidRPr="00083CB2">
        <w:rPr>
          <w:rFonts w:ascii="Times New Roman" w:hAnsi="Times New Roman" w:cs="Times New Roman"/>
          <w:sz w:val="24"/>
          <w:szCs w:val="24"/>
          <w:lang w:val="en-US"/>
        </w:rPr>
        <w:t>organisations</w:t>
      </w:r>
      <w:proofErr w:type="spellEnd"/>
      <w:r w:rsidRPr="00083CB2">
        <w:rPr>
          <w:rFonts w:ascii="Times New Roman" w:hAnsi="Times New Roman" w:cs="Times New Roman"/>
          <w:sz w:val="24"/>
          <w:szCs w:val="24"/>
          <w:lang w:val="en-US"/>
        </w:rPr>
        <w:t>, or by facilitating recourse to an external expert or body, such as an ombudsman.</w:t>
      </w:r>
      <w:r w:rsidRPr="00083CB2">
        <w:rPr>
          <w:rFonts w:ascii="Times New Roman" w:hAnsi="Times New Roman" w:cs="Times New Roman"/>
          <w:sz w:val="24"/>
          <w:szCs w:val="24"/>
          <w:vertAlign w:val="superscript"/>
          <w:lang w:val="en-US"/>
        </w:rPr>
        <w:footnoteReference w:id="15"/>
      </w:r>
      <w:r w:rsidRPr="00083CB2">
        <w:rPr>
          <w:rFonts w:ascii="Times New Roman" w:hAnsi="Times New Roman" w:cs="Times New Roman"/>
          <w:sz w:val="24"/>
          <w:szCs w:val="24"/>
          <w:lang w:val="en-US"/>
        </w:rPr>
        <w:t xml:space="preserve"> </w:t>
      </w:r>
      <w:r w:rsidRPr="00083CB2">
        <w:rPr>
          <w:rFonts w:ascii="Times New Roman" w:eastAsia="Times New Roman" w:hAnsi="Times New Roman" w:cs="Times New Roman"/>
          <w:b/>
          <w:sz w:val="24"/>
          <w:szCs w:val="24"/>
          <w:lang w:val="en-US"/>
        </w:rPr>
        <w:t xml:space="preserve">  </w:t>
      </w:r>
    </w:p>
    <w:p w:rsidR="00083CB2" w:rsidRPr="00083CB2" w:rsidRDefault="00083CB2" w:rsidP="00083CB2">
      <w:pPr>
        <w:numPr>
          <w:ilvl w:val="0"/>
          <w:numId w:val="7"/>
        </w:numPr>
        <w:spacing w:after="158" w:line="258" w:lineRule="auto"/>
        <w:ind w:right="640" w:hanging="720"/>
        <w:jc w:val="both"/>
        <w:rPr>
          <w:rFonts w:ascii="Times New Roman" w:hAnsi="Times New Roman" w:cs="Times New Roman"/>
          <w:sz w:val="24"/>
          <w:szCs w:val="24"/>
          <w:lang w:val="en-US"/>
        </w:rPr>
      </w:pPr>
      <w:proofErr w:type="gramStart"/>
      <w:r w:rsidRPr="00083CB2">
        <w:rPr>
          <w:rFonts w:ascii="Times New Roman" w:eastAsia="Times New Roman" w:hAnsi="Times New Roman" w:cs="Times New Roman"/>
          <w:b/>
          <w:sz w:val="24"/>
          <w:szCs w:val="24"/>
          <w:lang w:val="en-US"/>
        </w:rPr>
        <w:t>Are there any good practices regarding the integration of human rights issues in IIAs that you would like to share with the Working Group?</w:t>
      </w:r>
      <w:proofErr w:type="gramEnd"/>
      <w:r w:rsidRPr="00083CB2">
        <w:rPr>
          <w:rFonts w:ascii="Times New Roman" w:eastAsia="Times New Roman" w:hAnsi="Times New Roman" w:cs="Times New Roman"/>
          <w:b/>
          <w:sz w:val="24"/>
          <w:szCs w:val="24"/>
          <w:lang w:val="en-US"/>
        </w:rPr>
        <w:t xml:space="preserve"> Any other comments or suggestions are also welcome.  </w:t>
      </w:r>
    </w:p>
    <w:p w:rsidR="00083CB2" w:rsidRPr="00083CB2" w:rsidRDefault="00083CB2" w:rsidP="002B0BDD">
      <w:pPr>
        <w:spacing w:after="167"/>
        <w:jc w:val="both"/>
        <w:rPr>
          <w:rFonts w:ascii="Times New Roman" w:hAnsi="Times New Roman" w:cs="Times New Roman"/>
          <w:sz w:val="24"/>
          <w:szCs w:val="24"/>
          <w:lang w:val="en-US"/>
        </w:rPr>
      </w:pPr>
      <w:r w:rsidRPr="00083CB2">
        <w:rPr>
          <w:rFonts w:ascii="Times New Roman" w:eastAsia="Times New Roman" w:hAnsi="Times New Roman" w:cs="Times New Roman"/>
          <w:sz w:val="24"/>
          <w:szCs w:val="24"/>
          <w:lang w:val="en-US"/>
        </w:rPr>
        <w:t>The EU’s investment policy aims to promote investment that suppo</w:t>
      </w:r>
      <w:r w:rsidRPr="00083CB2">
        <w:rPr>
          <w:rFonts w:ascii="Times New Roman" w:hAnsi="Times New Roman" w:cs="Times New Roman"/>
          <w:sz w:val="24"/>
          <w:szCs w:val="24"/>
          <w:lang w:val="en-US"/>
        </w:rPr>
        <w:t xml:space="preserve">rts sustainable development, respect for human rights and high </w:t>
      </w:r>
      <w:proofErr w:type="spellStart"/>
      <w:r w:rsidRPr="00083CB2">
        <w:rPr>
          <w:rFonts w:ascii="Times New Roman" w:hAnsi="Times New Roman" w:cs="Times New Roman"/>
          <w:sz w:val="24"/>
          <w:szCs w:val="24"/>
          <w:lang w:val="en-US"/>
        </w:rPr>
        <w:t>labour</w:t>
      </w:r>
      <w:proofErr w:type="spellEnd"/>
      <w:r w:rsidRPr="00083CB2">
        <w:rPr>
          <w:rFonts w:ascii="Times New Roman" w:hAnsi="Times New Roman" w:cs="Times New Roman"/>
          <w:sz w:val="24"/>
          <w:szCs w:val="24"/>
          <w:lang w:val="en-US"/>
        </w:rPr>
        <w:t xml:space="preserve"> and environmental standards. It does so by encouraging corporate social responsibility and responsible business practices and by preserving the policy space that is necessary to take measures in the public interest, including the protection of human rights.  </w:t>
      </w:r>
    </w:p>
    <w:p w:rsidR="00083CB2" w:rsidRPr="00083CB2" w:rsidRDefault="00083CB2" w:rsidP="002B0BDD">
      <w:pPr>
        <w:spacing w:after="167"/>
        <w:jc w:val="both"/>
        <w:rPr>
          <w:rFonts w:ascii="Times New Roman" w:hAnsi="Times New Roman" w:cs="Times New Roman"/>
          <w:sz w:val="24"/>
          <w:szCs w:val="24"/>
          <w:lang w:val="en-US"/>
        </w:rPr>
      </w:pPr>
      <w:proofErr w:type="gramStart"/>
      <w:r w:rsidRPr="00083CB2">
        <w:rPr>
          <w:rFonts w:ascii="Times New Roman" w:hAnsi="Times New Roman" w:cs="Times New Roman"/>
          <w:sz w:val="24"/>
          <w:szCs w:val="24"/>
          <w:lang w:val="en-US"/>
        </w:rPr>
        <w:t xml:space="preserve">The EU considers that the integration of human rights issues in investment agreements can be best achieved through provisions that ensure both a </w:t>
      </w:r>
      <w:r w:rsidRPr="00083CB2">
        <w:rPr>
          <w:rFonts w:ascii="Times New Roman" w:eastAsia="Times New Roman" w:hAnsi="Times New Roman" w:cs="Times New Roman"/>
          <w:sz w:val="24"/>
          <w:szCs w:val="24"/>
          <w:lang w:val="en-US"/>
        </w:rPr>
        <w:t xml:space="preserve">state’s </w:t>
      </w:r>
      <w:r w:rsidRPr="00083CB2">
        <w:rPr>
          <w:rFonts w:ascii="Times New Roman" w:hAnsi="Times New Roman" w:cs="Times New Roman"/>
          <w:sz w:val="24"/>
          <w:szCs w:val="24"/>
          <w:lang w:val="en-US"/>
        </w:rPr>
        <w:t>domestic policy space to regulate in the public interest and the protection of investments by arbitrary or discriminatory state conduct, notably by guaranteeing the rights to property and compensation in case of expropriation or access to effective remedy (which are also human rights enshrined in the EU Charter of Fundamental Rights and the European Convention of Human Rights).</w:t>
      </w:r>
      <w:proofErr w:type="gramEnd"/>
      <w:r w:rsidRPr="00083CB2">
        <w:rPr>
          <w:rFonts w:ascii="Times New Roman" w:hAnsi="Times New Roman" w:cs="Times New Roman"/>
          <w:sz w:val="24"/>
          <w:szCs w:val="24"/>
          <w:lang w:val="en-US"/>
        </w:rPr>
        <w:t xml:space="preserve">  </w:t>
      </w:r>
    </w:p>
    <w:p w:rsidR="00083CB2" w:rsidRPr="00083CB2" w:rsidRDefault="00083CB2" w:rsidP="002B0BDD">
      <w:pPr>
        <w:spacing w:after="164"/>
        <w:jc w:val="both"/>
        <w:rPr>
          <w:rFonts w:ascii="Times New Roman" w:hAnsi="Times New Roman" w:cs="Times New Roman"/>
          <w:sz w:val="24"/>
          <w:szCs w:val="24"/>
          <w:lang w:val="en-US"/>
        </w:rPr>
      </w:pPr>
      <w:r w:rsidRPr="00083CB2">
        <w:rPr>
          <w:rFonts w:ascii="Times New Roman" w:hAnsi="Times New Roman" w:cs="Times New Roman"/>
          <w:sz w:val="24"/>
          <w:szCs w:val="24"/>
          <w:lang w:val="en-US"/>
        </w:rPr>
        <w:t xml:space="preserve">Importantly, the EU considers that any efforts to address the likely impact of investments on human rights through investment agreements </w:t>
      </w:r>
      <w:proofErr w:type="gramStart"/>
      <w:r w:rsidRPr="00083CB2">
        <w:rPr>
          <w:rFonts w:ascii="Times New Roman" w:hAnsi="Times New Roman" w:cs="Times New Roman"/>
          <w:sz w:val="24"/>
          <w:szCs w:val="24"/>
          <w:lang w:val="en-US"/>
        </w:rPr>
        <w:t>should be supplemented</w:t>
      </w:r>
      <w:proofErr w:type="gramEnd"/>
      <w:r w:rsidRPr="00083CB2">
        <w:rPr>
          <w:rFonts w:ascii="Times New Roman" w:hAnsi="Times New Roman" w:cs="Times New Roman"/>
          <w:sz w:val="24"/>
          <w:szCs w:val="24"/>
          <w:lang w:val="en-US"/>
        </w:rPr>
        <w:t xml:space="preserve"> by robust domestic policies and laws that provide for effective protections, including impact assessments and effective public participation. To this effect, the EU is developing news tools and </w:t>
      </w:r>
      <w:proofErr w:type="spellStart"/>
      <w:r w:rsidRPr="00083CB2">
        <w:rPr>
          <w:rFonts w:ascii="Times New Roman" w:hAnsi="Times New Roman" w:cs="Times New Roman"/>
          <w:sz w:val="24"/>
          <w:szCs w:val="24"/>
          <w:lang w:val="en-US"/>
        </w:rPr>
        <w:t>modernises</w:t>
      </w:r>
      <w:proofErr w:type="spellEnd"/>
      <w:r w:rsidRPr="00083CB2">
        <w:rPr>
          <w:rFonts w:ascii="Times New Roman" w:hAnsi="Times New Roman" w:cs="Times New Roman"/>
          <w:sz w:val="24"/>
          <w:szCs w:val="24"/>
          <w:lang w:val="en-US"/>
        </w:rPr>
        <w:t xml:space="preserve"> the existing ones with a view to increasing their efficiency in light of the new issues that emerge from contemporary challenges (pandemics, environmental degradation etc.)  For instance, the European Commission is currently in the process of reviewing the Non-Financial Reporting Directive 2014/95/EU with a view to improving disclosure of the social and environmental impact of companies. This shall in turn allow investors to </w:t>
      </w:r>
      <w:proofErr w:type="gramStart"/>
      <w:r w:rsidRPr="00083CB2">
        <w:rPr>
          <w:rFonts w:ascii="Times New Roman" w:hAnsi="Times New Roman" w:cs="Times New Roman"/>
          <w:sz w:val="24"/>
          <w:szCs w:val="24"/>
          <w:lang w:val="en-US"/>
        </w:rPr>
        <w:t>be better informed</w:t>
      </w:r>
      <w:proofErr w:type="gramEnd"/>
      <w:r w:rsidRPr="00083CB2">
        <w:rPr>
          <w:rFonts w:ascii="Times New Roman" w:hAnsi="Times New Roman" w:cs="Times New Roman"/>
          <w:sz w:val="24"/>
          <w:szCs w:val="24"/>
          <w:lang w:val="en-US"/>
        </w:rPr>
        <w:t xml:space="preserve"> about the sustainability of their investments. Better access to data on the impact of such companies is not only important from a due diligence viewpoint, but also informs policy-making both in home and host countries as it allows to track the trends and adjust policies accordingly.  </w:t>
      </w:r>
    </w:p>
    <w:p w:rsidR="00083CB2" w:rsidRDefault="002B0BDD" w:rsidP="002B0BDD">
      <w:pPr>
        <w:spacing w:after="156"/>
        <w:jc w:val="center"/>
      </w:pPr>
      <w:r>
        <w:t>***</w:t>
      </w:r>
    </w:p>
    <w:p w:rsidR="001B49CA" w:rsidRDefault="00083CB2" w:rsidP="001B49CA">
      <w:pPr>
        <w:tabs>
          <w:tab w:val="left" w:pos="5760"/>
        </w:tabs>
        <w:spacing w:after="0"/>
        <w:ind w:left="120"/>
      </w:pPr>
      <w:r>
        <w:t xml:space="preserve"> </w:t>
      </w:r>
      <w:r w:rsidR="001B49CA">
        <w:tab/>
      </w:r>
    </w:p>
    <w:p w:rsidR="001B49CA" w:rsidRDefault="001B49CA">
      <w:r>
        <w:br w:type="page"/>
      </w:r>
    </w:p>
    <w:p w:rsidR="001B49CA" w:rsidRPr="00D92809" w:rsidRDefault="001B49CA" w:rsidP="001B49CA">
      <w:pPr>
        <w:spacing w:after="85"/>
        <w:jc w:val="both"/>
        <w:rPr>
          <w:rFonts w:ascii="Times New Roman" w:hAnsi="Times New Roman" w:cs="Times New Roman"/>
          <w:b/>
          <w:sz w:val="24"/>
          <w:szCs w:val="24"/>
          <w:u w:val="single"/>
          <w:lang w:val="en-US"/>
        </w:rPr>
      </w:pPr>
      <w:bookmarkStart w:id="0" w:name="_GoBack"/>
      <w:r w:rsidRPr="00D92809">
        <w:rPr>
          <w:rFonts w:ascii="Times New Roman" w:hAnsi="Times New Roman" w:cs="Times New Roman"/>
          <w:b/>
          <w:sz w:val="24"/>
          <w:szCs w:val="24"/>
          <w:u w:val="single"/>
          <w:lang w:val="en-US"/>
        </w:rPr>
        <w:lastRenderedPageBreak/>
        <w:t xml:space="preserve">Submission from Hungary </w:t>
      </w:r>
    </w:p>
    <w:bookmarkEnd w:id="0"/>
    <w:p w:rsidR="00856AE9" w:rsidRPr="009429D1" w:rsidRDefault="00856AE9" w:rsidP="004F6995">
      <w:pPr>
        <w:jc w:val="both"/>
        <w:rPr>
          <w:rFonts w:ascii="Times New Roman" w:hAnsi="Times New Roman" w:cs="Times New Roman"/>
          <w:sz w:val="24"/>
          <w:szCs w:val="24"/>
          <w:lang w:val="en-US"/>
        </w:rPr>
      </w:pPr>
      <w:r w:rsidRPr="009429D1">
        <w:rPr>
          <w:rFonts w:ascii="Times New Roman" w:hAnsi="Times New Roman" w:cs="Times New Roman"/>
          <w:sz w:val="24"/>
          <w:szCs w:val="24"/>
          <w:lang w:val="en-US"/>
        </w:rPr>
        <w:t>Hungary would like to provide some</w:t>
      </w:r>
      <w:r w:rsidR="004F6995" w:rsidRPr="009429D1">
        <w:rPr>
          <w:rFonts w:ascii="Times New Roman" w:hAnsi="Times New Roman" w:cs="Times New Roman"/>
          <w:sz w:val="24"/>
          <w:szCs w:val="24"/>
          <w:lang w:val="en-US"/>
        </w:rPr>
        <w:t xml:space="preserve"> additional</w:t>
      </w:r>
      <w:r w:rsidRPr="009429D1">
        <w:rPr>
          <w:rFonts w:ascii="Times New Roman" w:hAnsi="Times New Roman" w:cs="Times New Roman"/>
          <w:sz w:val="24"/>
          <w:szCs w:val="24"/>
          <w:lang w:val="en-US"/>
        </w:rPr>
        <w:t xml:space="preserve"> examples from its model agreement</w:t>
      </w:r>
      <w:r w:rsidR="004F6995" w:rsidRPr="009429D1">
        <w:rPr>
          <w:rFonts w:ascii="Times New Roman" w:hAnsi="Times New Roman" w:cs="Times New Roman"/>
          <w:sz w:val="24"/>
          <w:szCs w:val="24"/>
          <w:lang w:val="en-US"/>
        </w:rPr>
        <w:t xml:space="preserve">, national </w:t>
      </w:r>
      <w:r w:rsidR="007A16A4" w:rsidRPr="009429D1">
        <w:rPr>
          <w:rFonts w:ascii="Times New Roman" w:hAnsi="Times New Roman" w:cs="Times New Roman"/>
          <w:sz w:val="24"/>
          <w:szCs w:val="24"/>
          <w:lang w:val="en-US"/>
        </w:rPr>
        <w:t>legislation</w:t>
      </w:r>
      <w:r w:rsidR="004F6995" w:rsidRPr="009429D1">
        <w:rPr>
          <w:rFonts w:ascii="Times New Roman" w:hAnsi="Times New Roman" w:cs="Times New Roman"/>
          <w:sz w:val="24"/>
          <w:szCs w:val="24"/>
          <w:lang w:val="en-US"/>
        </w:rPr>
        <w:t xml:space="preserve"> and best practices, </w:t>
      </w:r>
      <w:r w:rsidRPr="009429D1">
        <w:rPr>
          <w:rFonts w:ascii="Times New Roman" w:hAnsi="Times New Roman" w:cs="Times New Roman"/>
          <w:sz w:val="24"/>
          <w:szCs w:val="24"/>
          <w:lang w:val="en-US"/>
        </w:rPr>
        <w:t xml:space="preserve">taking into consideration and acknowledging all the answers provided by the EU and its Member States. </w:t>
      </w:r>
    </w:p>
    <w:p w:rsidR="008375B3" w:rsidRPr="00C914E5" w:rsidRDefault="008375B3" w:rsidP="008375B3">
      <w:pPr>
        <w:pStyle w:val="Default"/>
        <w:numPr>
          <w:ilvl w:val="0"/>
          <w:numId w:val="2"/>
        </w:numPr>
        <w:rPr>
          <w:b/>
          <w:bCs/>
          <w:lang w:val="en-US"/>
        </w:rPr>
      </w:pPr>
      <w:r w:rsidRPr="009429D1">
        <w:rPr>
          <w:b/>
          <w:bCs/>
          <w:lang w:val="en-US"/>
        </w:rPr>
        <w:t xml:space="preserve">Does your State’s constitution, laws or national action plan on business and human rights require the integration of human rights provisions in IIAs concluded by your government? </w:t>
      </w:r>
    </w:p>
    <w:p w:rsidR="007A16A4" w:rsidRDefault="007A16A4" w:rsidP="00AD02CF">
      <w:pPr>
        <w:pStyle w:val="Default"/>
        <w:jc w:val="both"/>
        <w:rPr>
          <w:bCs/>
          <w:lang w:val="en-US"/>
        </w:rPr>
      </w:pPr>
    </w:p>
    <w:p w:rsidR="008375B3" w:rsidRPr="009429D1" w:rsidRDefault="006331BD" w:rsidP="00AD02CF">
      <w:pPr>
        <w:pStyle w:val="Default"/>
        <w:jc w:val="both"/>
        <w:rPr>
          <w:bCs/>
          <w:lang w:val="en-US"/>
        </w:rPr>
      </w:pPr>
      <w:r w:rsidRPr="009429D1">
        <w:rPr>
          <w:bCs/>
          <w:lang w:val="en-US"/>
        </w:rPr>
        <w:t xml:space="preserve">The Fundamental Law of Hungary </w:t>
      </w:r>
      <w:r w:rsidR="00AD02CF" w:rsidRPr="009429D1">
        <w:rPr>
          <w:bCs/>
          <w:lang w:val="en-US"/>
        </w:rPr>
        <w:t>promotes the protection of human rights. Furthermore, i</w:t>
      </w:r>
      <w:r w:rsidR="008375B3" w:rsidRPr="009429D1">
        <w:rPr>
          <w:bCs/>
          <w:lang w:val="en-US"/>
        </w:rPr>
        <w:t xml:space="preserve">n </w:t>
      </w:r>
      <w:r w:rsidR="008375B3" w:rsidRPr="009429D1">
        <w:rPr>
          <w:lang w:val="en-US"/>
        </w:rPr>
        <w:t xml:space="preserve">its resolution of </w:t>
      </w:r>
      <w:r w:rsidR="00AD02CF" w:rsidRPr="009429D1">
        <w:rPr>
          <w:color w:val="auto"/>
          <w:lang w:val="en-US"/>
        </w:rPr>
        <w:t xml:space="preserve">1039/2012, </w:t>
      </w:r>
      <w:r w:rsidR="008375B3" w:rsidRPr="009429D1">
        <w:rPr>
          <w:bCs/>
          <w:lang w:val="en-US"/>
        </w:rPr>
        <w:t xml:space="preserve">the Government </w:t>
      </w:r>
      <w:r w:rsidR="008375B3" w:rsidRPr="009429D1">
        <w:rPr>
          <w:lang w:val="en-US"/>
        </w:rPr>
        <w:t xml:space="preserve">of Hungary </w:t>
      </w:r>
      <w:r w:rsidR="008375B3" w:rsidRPr="009429D1">
        <w:rPr>
          <w:bCs/>
          <w:lang w:val="en-US"/>
        </w:rPr>
        <w:t>provided for the establishment o</w:t>
      </w:r>
      <w:r w:rsidR="009429D1" w:rsidRPr="009429D1">
        <w:rPr>
          <w:bCs/>
          <w:lang w:val="en-US"/>
        </w:rPr>
        <w:t xml:space="preserve">f a Human Rights Working Group. The main task of this Working Group is </w:t>
      </w:r>
      <w:r w:rsidR="008375B3" w:rsidRPr="009429D1">
        <w:rPr>
          <w:bCs/>
          <w:lang w:val="en-US"/>
        </w:rPr>
        <w:t xml:space="preserve">to monitor the implementation of human rights in Hungary, consult with non-governmental organizations, advocacy and professional organizations, and constitutional bodies, and </w:t>
      </w:r>
      <w:r w:rsidR="008375B3" w:rsidRPr="009429D1">
        <w:rPr>
          <w:lang w:val="en-US"/>
        </w:rPr>
        <w:t>in addition, to promote professional communication related to the enforcement of human rights in Hungary.</w:t>
      </w:r>
    </w:p>
    <w:p w:rsidR="006331BD" w:rsidRPr="009429D1" w:rsidRDefault="006331BD" w:rsidP="008375B3">
      <w:pPr>
        <w:pStyle w:val="Default"/>
        <w:jc w:val="both"/>
        <w:rPr>
          <w:lang w:val="en-US"/>
        </w:rPr>
      </w:pPr>
    </w:p>
    <w:p w:rsidR="006331BD" w:rsidRPr="009429D1" w:rsidRDefault="006331BD" w:rsidP="00313C15">
      <w:pPr>
        <w:jc w:val="both"/>
        <w:rPr>
          <w:rFonts w:ascii="Times New Roman" w:hAnsi="Times New Roman" w:cs="Times New Roman"/>
          <w:sz w:val="24"/>
          <w:szCs w:val="24"/>
          <w:lang w:val="en-US"/>
        </w:rPr>
      </w:pPr>
      <w:r w:rsidRPr="009429D1">
        <w:rPr>
          <w:rFonts w:ascii="Times New Roman" w:hAnsi="Times New Roman" w:cs="Times New Roman"/>
          <w:sz w:val="24"/>
          <w:szCs w:val="24"/>
          <w:lang w:val="en-US"/>
        </w:rPr>
        <w:t xml:space="preserve">The </w:t>
      </w:r>
      <w:r w:rsidR="00AD02CF" w:rsidRPr="009429D1">
        <w:rPr>
          <w:rFonts w:ascii="Times New Roman" w:hAnsi="Times New Roman" w:cs="Times New Roman"/>
          <w:sz w:val="24"/>
          <w:szCs w:val="24"/>
          <w:lang w:val="en-US"/>
        </w:rPr>
        <w:t>Preamble</w:t>
      </w:r>
      <w:r w:rsidR="00313C15" w:rsidRPr="009429D1">
        <w:rPr>
          <w:rFonts w:ascii="Times New Roman" w:hAnsi="Times New Roman" w:cs="Times New Roman"/>
          <w:sz w:val="24"/>
          <w:szCs w:val="24"/>
          <w:lang w:val="en-US"/>
        </w:rPr>
        <w:t xml:space="preserve"> of the </w:t>
      </w:r>
      <w:r w:rsidRPr="009429D1">
        <w:rPr>
          <w:rFonts w:ascii="Times New Roman" w:hAnsi="Times New Roman" w:cs="Times New Roman"/>
          <w:sz w:val="24"/>
          <w:szCs w:val="24"/>
          <w:lang w:val="en-US"/>
        </w:rPr>
        <w:t>Hun</w:t>
      </w:r>
      <w:r w:rsidR="00313C15" w:rsidRPr="009429D1">
        <w:rPr>
          <w:rFonts w:ascii="Times New Roman" w:hAnsi="Times New Roman" w:cs="Times New Roman"/>
          <w:sz w:val="24"/>
          <w:szCs w:val="24"/>
          <w:lang w:val="en-US"/>
        </w:rPr>
        <w:t xml:space="preserve">garian model agreement </w:t>
      </w:r>
      <w:r w:rsidRPr="009429D1">
        <w:rPr>
          <w:rFonts w:ascii="Times New Roman" w:hAnsi="Times New Roman" w:cs="Times New Roman"/>
          <w:sz w:val="24"/>
          <w:szCs w:val="24"/>
          <w:lang w:val="en-US"/>
        </w:rPr>
        <w:t xml:space="preserve">guarantees that the promotion of investments </w:t>
      </w:r>
      <w:r w:rsidR="00313C15" w:rsidRPr="009429D1">
        <w:rPr>
          <w:rFonts w:ascii="Times New Roman" w:hAnsi="Times New Roman" w:cs="Times New Roman"/>
          <w:sz w:val="24"/>
          <w:szCs w:val="24"/>
          <w:lang w:val="en-US"/>
        </w:rPr>
        <w:t xml:space="preserve">respects the protection of human rights: </w:t>
      </w:r>
    </w:p>
    <w:p w:rsidR="008375B3" w:rsidRPr="00357AF9" w:rsidRDefault="006331BD" w:rsidP="00357AF9">
      <w:pPr>
        <w:spacing w:after="3" w:line="248" w:lineRule="auto"/>
        <w:jc w:val="both"/>
        <w:rPr>
          <w:rFonts w:ascii="Times New Roman" w:hAnsi="Times New Roman" w:cs="Times New Roman"/>
          <w:b/>
          <w:i/>
          <w:color w:val="000000" w:themeColor="text1"/>
          <w:sz w:val="24"/>
          <w:szCs w:val="24"/>
          <w:lang w:val="en-US"/>
        </w:rPr>
      </w:pPr>
      <w:r w:rsidRPr="009429D1">
        <w:rPr>
          <w:rFonts w:ascii="Times New Roman" w:hAnsi="Times New Roman" w:cs="Times New Roman"/>
          <w:b/>
          <w:i/>
          <w:color w:val="000000" w:themeColor="text1"/>
          <w:sz w:val="24"/>
          <w:szCs w:val="24"/>
          <w:lang w:val="en-US"/>
        </w:rPr>
        <w:t>Seeking to ensure that investment is consistent with the protection of health, safety and the environment, the promotion and protection of internationally and domestical</w:t>
      </w:r>
      <w:r w:rsidR="00AD02CF" w:rsidRPr="009429D1">
        <w:rPr>
          <w:rFonts w:ascii="Times New Roman" w:hAnsi="Times New Roman" w:cs="Times New Roman"/>
          <w:b/>
          <w:i/>
          <w:color w:val="000000" w:themeColor="text1"/>
          <w:sz w:val="24"/>
          <w:szCs w:val="24"/>
          <w:lang w:val="en-US"/>
        </w:rPr>
        <w:t xml:space="preserve">ly </w:t>
      </w:r>
      <w:proofErr w:type="spellStart"/>
      <w:r w:rsidR="00AD02CF" w:rsidRPr="009429D1">
        <w:rPr>
          <w:rFonts w:ascii="Times New Roman" w:hAnsi="Times New Roman" w:cs="Times New Roman"/>
          <w:b/>
          <w:i/>
          <w:color w:val="000000" w:themeColor="text1"/>
          <w:sz w:val="24"/>
          <w:szCs w:val="24"/>
          <w:lang w:val="en-US"/>
        </w:rPr>
        <w:t>recognised</w:t>
      </w:r>
      <w:proofErr w:type="spellEnd"/>
      <w:r w:rsidR="00AD02CF" w:rsidRPr="009429D1">
        <w:rPr>
          <w:rFonts w:ascii="Times New Roman" w:hAnsi="Times New Roman" w:cs="Times New Roman"/>
          <w:b/>
          <w:i/>
          <w:color w:val="000000" w:themeColor="text1"/>
          <w:sz w:val="24"/>
          <w:szCs w:val="24"/>
          <w:lang w:val="en-US"/>
        </w:rPr>
        <w:t xml:space="preserve"> human rights, </w:t>
      </w:r>
      <w:proofErr w:type="spellStart"/>
      <w:r w:rsidRPr="009429D1">
        <w:rPr>
          <w:rFonts w:ascii="Times New Roman" w:hAnsi="Times New Roman" w:cs="Times New Roman"/>
          <w:b/>
          <w:i/>
          <w:color w:val="000000" w:themeColor="text1"/>
          <w:sz w:val="24"/>
          <w:szCs w:val="24"/>
          <w:lang w:val="en-US"/>
        </w:rPr>
        <w:t>labour</w:t>
      </w:r>
      <w:proofErr w:type="spellEnd"/>
      <w:r w:rsidRPr="009429D1">
        <w:rPr>
          <w:rFonts w:ascii="Times New Roman" w:hAnsi="Times New Roman" w:cs="Times New Roman"/>
          <w:b/>
          <w:i/>
          <w:color w:val="000000" w:themeColor="text1"/>
          <w:sz w:val="24"/>
          <w:szCs w:val="24"/>
          <w:lang w:val="en-US"/>
        </w:rPr>
        <w:t xml:space="preserve"> rights, and internationally </w:t>
      </w:r>
      <w:proofErr w:type="spellStart"/>
      <w:r w:rsidRPr="009429D1">
        <w:rPr>
          <w:rFonts w:ascii="Times New Roman" w:hAnsi="Times New Roman" w:cs="Times New Roman"/>
          <w:b/>
          <w:i/>
          <w:color w:val="000000" w:themeColor="text1"/>
          <w:sz w:val="24"/>
          <w:szCs w:val="24"/>
          <w:lang w:val="en-US"/>
        </w:rPr>
        <w:t>recognised</w:t>
      </w:r>
      <w:proofErr w:type="spellEnd"/>
      <w:r w:rsidRPr="009429D1">
        <w:rPr>
          <w:rFonts w:ascii="Times New Roman" w:hAnsi="Times New Roman" w:cs="Times New Roman"/>
          <w:b/>
          <w:i/>
          <w:color w:val="000000" w:themeColor="text1"/>
          <w:sz w:val="24"/>
          <w:szCs w:val="24"/>
          <w:lang w:val="en-US"/>
        </w:rPr>
        <w:t xml:space="preserve"> standards of corporate social responsibility</w:t>
      </w:r>
      <w:r w:rsidR="00313C15" w:rsidRPr="009429D1">
        <w:rPr>
          <w:rFonts w:ascii="Times New Roman" w:hAnsi="Times New Roman" w:cs="Times New Roman"/>
          <w:b/>
          <w:i/>
          <w:color w:val="000000" w:themeColor="text1"/>
          <w:sz w:val="24"/>
          <w:szCs w:val="24"/>
          <w:lang w:val="en-US"/>
        </w:rPr>
        <w:t xml:space="preserve">. </w:t>
      </w:r>
    </w:p>
    <w:p w:rsidR="008375B3" w:rsidRPr="009429D1" w:rsidRDefault="008375B3" w:rsidP="008375B3">
      <w:pPr>
        <w:pStyle w:val="Default"/>
        <w:rPr>
          <w:b/>
          <w:bCs/>
          <w:lang w:val="en-US"/>
        </w:rPr>
      </w:pPr>
    </w:p>
    <w:p w:rsidR="00DB4988" w:rsidRDefault="008375B3" w:rsidP="009429D1">
      <w:pPr>
        <w:pStyle w:val="Default"/>
        <w:numPr>
          <w:ilvl w:val="0"/>
          <w:numId w:val="2"/>
        </w:numPr>
        <w:jc w:val="both"/>
        <w:rPr>
          <w:b/>
          <w:bCs/>
          <w:lang w:val="en-US"/>
        </w:rPr>
      </w:pPr>
      <w:r w:rsidRPr="009429D1">
        <w:rPr>
          <w:b/>
          <w:bCs/>
          <w:lang w:val="en-US"/>
        </w:rPr>
        <w:t>Are there any mechanisms or processes (e.g., inter-ministerial committee, ex ante human rights impact assessment) to assess and ensure that IIAs are compatible with international human rights obligations of your country?</w:t>
      </w:r>
    </w:p>
    <w:p w:rsidR="00C914E5" w:rsidRDefault="00C914E5" w:rsidP="009429D1">
      <w:pPr>
        <w:pStyle w:val="Default"/>
        <w:jc w:val="both"/>
        <w:rPr>
          <w:b/>
          <w:bCs/>
          <w:lang w:val="en-US"/>
        </w:rPr>
      </w:pPr>
    </w:p>
    <w:p w:rsidR="009429D1" w:rsidRPr="002E0E02" w:rsidRDefault="009429D1" w:rsidP="009429D1">
      <w:pPr>
        <w:pStyle w:val="Default"/>
        <w:jc w:val="both"/>
        <w:rPr>
          <w:bCs/>
          <w:lang w:val="en-US"/>
        </w:rPr>
      </w:pPr>
      <w:r w:rsidRPr="002E0E02">
        <w:rPr>
          <w:bCs/>
          <w:lang w:val="en-US"/>
        </w:rPr>
        <w:t xml:space="preserve">The Human Rights Working Group </w:t>
      </w:r>
      <w:r w:rsidR="002E0E02" w:rsidRPr="002E0E02">
        <w:rPr>
          <w:bCs/>
          <w:lang w:val="en-US"/>
        </w:rPr>
        <w:t xml:space="preserve">makes </w:t>
      </w:r>
      <w:r w:rsidRPr="002E0E02">
        <w:rPr>
          <w:bCs/>
          <w:lang w:val="en-US"/>
        </w:rPr>
        <w:t>proposals to the Government and the relevant central state administration bodies for the regulation, operation and monitoring of the implementation of human rights in the field of legislation and law enforcement, and monitors their implementation.</w:t>
      </w:r>
      <w:r w:rsidR="002E0E02">
        <w:rPr>
          <w:bCs/>
          <w:lang w:val="en-US"/>
        </w:rPr>
        <w:t xml:space="preserve"> </w:t>
      </w:r>
    </w:p>
    <w:p w:rsidR="008375B3" w:rsidRPr="009429D1" w:rsidRDefault="008375B3" w:rsidP="008375B3">
      <w:pPr>
        <w:pStyle w:val="Default"/>
        <w:rPr>
          <w:b/>
          <w:bCs/>
        </w:rPr>
      </w:pPr>
    </w:p>
    <w:p w:rsidR="009429D1" w:rsidRPr="009429D1" w:rsidRDefault="009429D1" w:rsidP="00D42465">
      <w:pPr>
        <w:pStyle w:val="Default"/>
        <w:numPr>
          <w:ilvl w:val="0"/>
          <w:numId w:val="2"/>
        </w:numPr>
        <w:jc w:val="both"/>
        <w:rPr>
          <w:lang w:val="en-US"/>
        </w:rPr>
      </w:pPr>
      <w:r w:rsidRPr="009429D1">
        <w:rPr>
          <w:b/>
          <w:bCs/>
          <w:lang w:val="en-US"/>
        </w:rPr>
        <w:t xml:space="preserve">How does your Government ensure that IIAs do not </w:t>
      </w:r>
      <w:proofErr w:type="gramStart"/>
      <w:r w:rsidRPr="009429D1">
        <w:rPr>
          <w:b/>
          <w:bCs/>
          <w:lang w:val="en-US"/>
        </w:rPr>
        <w:t>impact</w:t>
      </w:r>
      <w:proofErr w:type="gramEnd"/>
      <w:r w:rsidRPr="009429D1">
        <w:rPr>
          <w:b/>
          <w:bCs/>
          <w:lang w:val="en-US"/>
        </w:rPr>
        <w:t xml:space="preserve"> negatively on the realization of other important policy objectives such as achieving gender equality, protection of the environment, mitigation of climate change and implementation of the Sustainable Development Goals?</w:t>
      </w:r>
    </w:p>
    <w:p w:rsidR="009429D1" w:rsidRDefault="009429D1" w:rsidP="009429D1">
      <w:pPr>
        <w:pStyle w:val="Default"/>
        <w:rPr>
          <w:sz w:val="23"/>
          <w:szCs w:val="23"/>
        </w:rPr>
      </w:pPr>
    </w:p>
    <w:p w:rsidR="00021A09" w:rsidRPr="009429D1" w:rsidRDefault="00021A09" w:rsidP="004F6995">
      <w:pPr>
        <w:jc w:val="both"/>
        <w:rPr>
          <w:rFonts w:ascii="Times New Roman" w:hAnsi="Times New Roman" w:cs="Times New Roman"/>
          <w:sz w:val="24"/>
          <w:szCs w:val="24"/>
          <w:lang w:val="en-US"/>
        </w:rPr>
      </w:pPr>
      <w:r w:rsidRPr="009429D1">
        <w:rPr>
          <w:rFonts w:ascii="Times New Roman" w:hAnsi="Times New Roman" w:cs="Times New Roman"/>
          <w:sz w:val="24"/>
          <w:szCs w:val="24"/>
          <w:lang w:val="en-US"/>
        </w:rPr>
        <w:t xml:space="preserve">The Hungarian model agreement includes </w:t>
      </w:r>
      <w:r w:rsidR="000F618B">
        <w:rPr>
          <w:rFonts w:ascii="Times New Roman" w:hAnsi="Times New Roman" w:cs="Times New Roman"/>
          <w:sz w:val="24"/>
          <w:szCs w:val="24"/>
          <w:lang w:val="en-US"/>
        </w:rPr>
        <w:t>a paragraph that</w:t>
      </w:r>
      <w:r w:rsidR="00D61F31" w:rsidRPr="009429D1">
        <w:rPr>
          <w:rFonts w:ascii="Times New Roman" w:hAnsi="Times New Roman" w:cs="Times New Roman"/>
          <w:sz w:val="24"/>
          <w:szCs w:val="24"/>
          <w:lang w:val="en-US"/>
        </w:rPr>
        <w:t xml:space="preserve"> guarantees that the promotion of investments does not lead to lowering domestic </w:t>
      </w:r>
      <w:proofErr w:type="spellStart"/>
      <w:r w:rsidR="00D61F31" w:rsidRPr="009429D1">
        <w:rPr>
          <w:rFonts w:ascii="Times New Roman" w:hAnsi="Times New Roman" w:cs="Times New Roman"/>
          <w:sz w:val="24"/>
          <w:szCs w:val="24"/>
          <w:lang w:val="en-US"/>
        </w:rPr>
        <w:t>lab</w:t>
      </w:r>
      <w:r w:rsidR="004F6995" w:rsidRPr="009429D1">
        <w:rPr>
          <w:rFonts w:ascii="Times New Roman" w:hAnsi="Times New Roman" w:cs="Times New Roman"/>
          <w:sz w:val="24"/>
          <w:szCs w:val="24"/>
          <w:lang w:val="en-US"/>
        </w:rPr>
        <w:t>our</w:t>
      </w:r>
      <w:proofErr w:type="spellEnd"/>
      <w:r w:rsidR="004F6995" w:rsidRPr="009429D1">
        <w:rPr>
          <w:rFonts w:ascii="Times New Roman" w:hAnsi="Times New Roman" w:cs="Times New Roman"/>
          <w:sz w:val="24"/>
          <w:szCs w:val="24"/>
          <w:lang w:val="en-US"/>
        </w:rPr>
        <w:t xml:space="preserve"> or environmental standards:</w:t>
      </w:r>
    </w:p>
    <w:p w:rsidR="00D61F31" w:rsidRPr="009429D1" w:rsidRDefault="00D61F31" w:rsidP="004F6995">
      <w:pPr>
        <w:spacing w:after="3" w:line="248" w:lineRule="auto"/>
        <w:jc w:val="both"/>
        <w:rPr>
          <w:rFonts w:ascii="Times New Roman" w:hAnsi="Times New Roman" w:cs="Times New Roman"/>
          <w:b/>
          <w:i/>
          <w:color w:val="000000" w:themeColor="text1"/>
          <w:sz w:val="24"/>
          <w:szCs w:val="24"/>
          <w:lang w:val="en-US"/>
        </w:rPr>
      </w:pPr>
      <w:r w:rsidRPr="009429D1">
        <w:rPr>
          <w:rFonts w:ascii="Times New Roman" w:hAnsi="Times New Roman" w:cs="Times New Roman"/>
          <w:b/>
          <w:i/>
          <w:color w:val="000000" w:themeColor="text1"/>
          <w:sz w:val="24"/>
          <w:szCs w:val="24"/>
          <w:lang w:val="en-US"/>
        </w:rPr>
        <w:t xml:space="preserve">The Contracting Party shall not encourage investment by lowering domestic environmental, </w:t>
      </w:r>
      <w:proofErr w:type="spellStart"/>
      <w:r w:rsidRPr="009429D1">
        <w:rPr>
          <w:rFonts w:ascii="Times New Roman" w:hAnsi="Times New Roman" w:cs="Times New Roman"/>
          <w:b/>
          <w:i/>
          <w:color w:val="000000" w:themeColor="text1"/>
          <w:sz w:val="24"/>
          <w:szCs w:val="24"/>
          <w:lang w:val="en-US"/>
        </w:rPr>
        <w:t>labour</w:t>
      </w:r>
      <w:proofErr w:type="spellEnd"/>
      <w:r w:rsidRPr="009429D1">
        <w:rPr>
          <w:rFonts w:ascii="Times New Roman" w:hAnsi="Times New Roman" w:cs="Times New Roman"/>
          <w:b/>
          <w:i/>
          <w:color w:val="000000" w:themeColor="text1"/>
          <w:sz w:val="24"/>
          <w:szCs w:val="24"/>
          <w:lang w:val="en-US"/>
        </w:rPr>
        <w:t xml:space="preserve"> or occupational health and safety legislation or by relaxing core </w:t>
      </w:r>
      <w:proofErr w:type="spellStart"/>
      <w:r w:rsidRPr="009429D1">
        <w:rPr>
          <w:rFonts w:ascii="Times New Roman" w:hAnsi="Times New Roman" w:cs="Times New Roman"/>
          <w:b/>
          <w:i/>
          <w:color w:val="000000" w:themeColor="text1"/>
          <w:sz w:val="24"/>
          <w:szCs w:val="24"/>
          <w:lang w:val="en-US"/>
        </w:rPr>
        <w:t>labour</w:t>
      </w:r>
      <w:proofErr w:type="spellEnd"/>
      <w:r w:rsidRPr="009429D1">
        <w:rPr>
          <w:rFonts w:ascii="Times New Roman" w:hAnsi="Times New Roman" w:cs="Times New Roman"/>
          <w:b/>
          <w:i/>
          <w:color w:val="000000" w:themeColor="text1"/>
          <w:sz w:val="24"/>
          <w:szCs w:val="24"/>
          <w:lang w:val="en-US"/>
        </w:rPr>
        <w:t xml:space="preserve"> standards. Where a Contracting Party considers that the other Contracting Party has offered such an encouragement, it may request consultations with the other Contracting Party and the two Contracting Parties shall consult with a view to avoiding any such encouragement. </w:t>
      </w:r>
    </w:p>
    <w:p w:rsidR="00D42465" w:rsidRDefault="00D42465" w:rsidP="00D42465">
      <w:pPr>
        <w:pStyle w:val="Default"/>
        <w:rPr>
          <w:color w:val="auto"/>
          <w:lang w:val="en-US"/>
        </w:rPr>
      </w:pPr>
    </w:p>
    <w:p w:rsidR="00103EB6" w:rsidRPr="00103EB6" w:rsidRDefault="00D42465" w:rsidP="00103EB6">
      <w:pPr>
        <w:pStyle w:val="Default"/>
        <w:numPr>
          <w:ilvl w:val="0"/>
          <w:numId w:val="2"/>
        </w:numPr>
        <w:jc w:val="both"/>
        <w:rPr>
          <w:b/>
          <w:bCs/>
          <w:lang w:val="en-US"/>
        </w:rPr>
      </w:pPr>
      <w:r w:rsidRPr="00D42465">
        <w:rPr>
          <w:b/>
          <w:bCs/>
          <w:lang w:val="en-US"/>
        </w:rPr>
        <w:t xml:space="preserve">How does your Government ensure that IIAs provide adequate human rights safeguards in cases where investments may take place in special economic zones or in conflict and post-conflict settings? </w:t>
      </w:r>
    </w:p>
    <w:p w:rsidR="00103EB6" w:rsidRDefault="00103EB6" w:rsidP="0011452F">
      <w:pPr>
        <w:pStyle w:val="Default"/>
        <w:jc w:val="both"/>
        <w:rPr>
          <w:sz w:val="23"/>
          <w:szCs w:val="23"/>
        </w:rPr>
      </w:pPr>
    </w:p>
    <w:p w:rsidR="00311BA8" w:rsidRPr="00103EB6" w:rsidRDefault="00103EB6" w:rsidP="0011452F">
      <w:pPr>
        <w:pStyle w:val="Default"/>
        <w:jc w:val="both"/>
        <w:rPr>
          <w:lang w:val="en-US"/>
        </w:rPr>
      </w:pPr>
      <w:r w:rsidRPr="00103EB6">
        <w:rPr>
          <w:lang w:val="en-US"/>
        </w:rPr>
        <w:t xml:space="preserve">Hungary </w:t>
      </w:r>
      <w:r>
        <w:rPr>
          <w:lang w:val="en-US"/>
        </w:rPr>
        <w:t>–</w:t>
      </w:r>
      <w:r w:rsidR="000F618B">
        <w:rPr>
          <w:lang w:val="en-US"/>
        </w:rPr>
        <w:t xml:space="preserve"> </w:t>
      </w:r>
      <w:r>
        <w:rPr>
          <w:lang w:val="en-US"/>
        </w:rPr>
        <w:t xml:space="preserve">in accordance with the EU’s approach </w:t>
      </w:r>
      <w:r w:rsidR="000F618B">
        <w:rPr>
          <w:lang w:val="en-US"/>
        </w:rPr>
        <w:t xml:space="preserve">– </w:t>
      </w:r>
      <w:r>
        <w:rPr>
          <w:lang w:val="en-US"/>
        </w:rPr>
        <w:t xml:space="preserve">does </w:t>
      </w:r>
      <w:r w:rsidR="0011452F" w:rsidRPr="00103EB6">
        <w:rPr>
          <w:lang w:val="en-US"/>
        </w:rPr>
        <w:t xml:space="preserve">not distinguish between investments in non-conflict or post-conflict settings, or in special economic zones, as adherence to human rights should apply in a universal manner and be of the highest level regardless of the circumstances. </w:t>
      </w:r>
    </w:p>
    <w:p w:rsidR="00103EB6" w:rsidRPr="00D42465" w:rsidRDefault="00103EB6" w:rsidP="0011452F">
      <w:pPr>
        <w:pStyle w:val="Default"/>
        <w:jc w:val="both"/>
        <w:rPr>
          <w:b/>
          <w:bCs/>
          <w:lang w:val="en-US"/>
        </w:rPr>
      </w:pPr>
    </w:p>
    <w:p w:rsidR="00D42465" w:rsidRDefault="00D42465" w:rsidP="00D42465">
      <w:pPr>
        <w:pStyle w:val="Default"/>
        <w:numPr>
          <w:ilvl w:val="0"/>
          <w:numId w:val="2"/>
        </w:numPr>
        <w:jc w:val="both"/>
        <w:rPr>
          <w:b/>
          <w:bCs/>
          <w:lang w:val="en-US"/>
        </w:rPr>
      </w:pPr>
      <w:r w:rsidRPr="00D42465">
        <w:rPr>
          <w:b/>
          <w:bCs/>
          <w:lang w:val="en-US"/>
        </w:rPr>
        <w:t xml:space="preserve">Is your Government considering to reform or replace the Investor-State Dispute </w:t>
      </w:r>
      <w:proofErr w:type="gramStart"/>
      <w:r w:rsidRPr="00D42465">
        <w:rPr>
          <w:b/>
          <w:bCs/>
          <w:lang w:val="en-US"/>
        </w:rPr>
        <w:t>Settlement )ISDS</w:t>
      </w:r>
      <w:proofErr w:type="gramEnd"/>
      <w:r w:rsidRPr="00D42465">
        <w:rPr>
          <w:b/>
          <w:bCs/>
          <w:lang w:val="en-US"/>
        </w:rPr>
        <w:t xml:space="preserve">_ mechanism in your old or new IIAs? If so, please provide details about the proposed alternatives. </w:t>
      </w:r>
    </w:p>
    <w:p w:rsidR="00C914E5" w:rsidRDefault="00C914E5" w:rsidP="00C914E5">
      <w:pPr>
        <w:pStyle w:val="Default"/>
        <w:jc w:val="both"/>
        <w:rPr>
          <w:b/>
          <w:bCs/>
          <w:lang w:val="en-US"/>
        </w:rPr>
      </w:pPr>
    </w:p>
    <w:p w:rsidR="00C914E5" w:rsidRPr="00C914E5" w:rsidRDefault="00C914E5" w:rsidP="00C914E5">
      <w:pPr>
        <w:spacing w:after="0"/>
        <w:jc w:val="both"/>
        <w:rPr>
          <w:rFonts w:ascii="Times New Roman" w:hAnsi="Times New Roman" w:cs="Times New Roman"/>
          <w:color w:val="000000"/>
          <w:sz w:val="24"/>
          <w:szCs w:val="24"/>
          <w:lang w:val="en-US"/>
        </w:rPr>
      </w:pPr>
      <w:r w:rsidRPr="00C914E5">
        <w:rPr>
          <w:rFonts w:ascii="Times New Roman" w:hAnsi="Times New Roman" w:cs="Times New Roman"/>
          <w:color w:val="000000"/>
          <w:sz w:val="24"/>
          <w:szCs w:val="24"/>
          <w:lang w:val="en-US"/>
        </w:rPr>
        <w:t>Yes, Hungary is committed to reform the current ISDS process, hence we are engaging in the ongoing negotiations in Working Group III of the UNCITRAL on the establishment of a permanent Multilateral Investment Court (MIC). Hungary also monitors the reform initiatives within the ICSID. The consultation launched in 2016 by the ICSID Secretariat identified similar problems as the UNCITRAL Working Group, such as the concerns related to the impartiality and diversity of arbitrators, the elongated and expensive process or the scarcity of transparency.</w:t>
      </w:r>
    </w:p>
    <w:p w:rsidR="00C914E5" w:rsidRPr="00C914E5" w:rsidRDefault="00C914E5" w:rsidP="00C914E5">
      <w:pPr>
        <w:spacing w:after="0"/>
        <w:jc w:val="both"/>
        <w:rPr>
          <w:rFonts w:ascii="Times New Roman" w:hAnsi="Times New Roman" w:cs="Times New Roman"/>
          <w:color w:val="000000"/>
          <w:sz w:val="24"/>
          <w:szCs w:val="24"/>
          <w:lang w:val="en-US"/>
        </w:rPr>
      </w:pPr>
    </w:p>
    <w:p w:rsidR="00D42465" w:rsidRDefault="00C914E5" w:rsidP="00C914E5">
      <w:pPr>
        <w:spacing w:after="0"/>
        <w:jc w:val="both"/>
        <w:rPr>
          <w:rFonts w:ascii="Times New Roman" w:hAnsi="Times New Roman" w:cs="Times New Roman"/>
          <w:color w:val="000000"/>
          <w:sz w:val="24"/>
          <w:szCs w:val="24"/>
          <w:lang w:val="en-US"/>
        </w:rPr>
      </w:pPr>
      <w:r w:rsidRPr="00C914E5">
        <w:rPr>
          <w:rFonts w:ascii="Times New Roman" w:hAnsi="Times New Roman" w:cs="Times New Roman"/>
          <w:color w:val="000000"/>
          <w:sz w:val="24"/>
          <w:szCs w:val="24"/>
          <w:lang w:val="en-US"/>
        </w:rPr>
        <w:t>Therefore, in the relevant article of our bilateral investment treaties (BIT) Hungary includes a paragraph, which provides that the ISDS rules set forth in the BIT will cease to apply upon the entry into force of an agreement creating a multilateral investment tribunal and / or a multilateral appellate mechanism between the contracting states</w:t>
      </w:r>
      <w:r>
        <w:rPr>
          <w:rFonts w:ascii="Times New Roman" w:hAnsi="Times New Roman" w:cs="Times New Roman"/>
          <w:color w:val="000000"/>
          <w:sz w:val="24"/>
          <w:szCs w:val="24"/>
          <w:lang w:val="en-US"/>
        </w:rPr>
        <w:t xml:space="preserve">. </w:t>
      </w:r>
    </w:p>
    <w:p w:rsidR="00C914E5" w:rsidRPr="00C914E5" w:rsidRDefault="00C914E5" w:rsidP="00C914E5">
      <w:pPr>
        <w:spacing w:after="0"/>
        <w:jc w:val="both"/>
        <w:rPr>
          <w:rFonts w:ascii="Times New Roman" w:hAnsi="Times New Roman" w:cs="Times New Roman"/>
          <w:color w:val="000000"/>
          <w:sz w:val="24"/>
          <w:szCs w:val="24"/>
          <w:lang w:val="en-US"/>
        </w:rPr>
      </w:pPr>
    </w:p>
    <w:p w:rsidR="00D42465" w:rsidRPr="00D42465" w:rsidRDefault="00D42465" w:rsidP="004F6995">
      <w:pPr>
        <w:pStyle w:val="Default"/>
        <w:numPr>
          <w:ilvl w:val="0"/>
          <w:numId w:val="2"/>
        </w:numPr>
        <w:jc w:val="both"/>
        <w:rPr>
          <w:b/>
          <w:bCs/>
          <w:lang w:val="en-US"/>
        </w:rPr>
      </w:pPr>
      <w:r w:rsidRPr="00D42465">
        <w:rPr>
          <w:b/>
          <w:bCs/>
          <w:lang w:val="en-US"/>
        </w:rPr>
        <w:t xml:space="preserve">Has the COVID-19 pandemic affected your Government’s approach to IIAs and/or ISDS? </w:t>
      </w:r>
    </w:p>
    <w:p w:rsidR="007A16A4" w:rsidRPr="007A16A4" w:rsidRDefault="007A16A4" w:rsidP="007A16A4">
      <w:pPr>
        <w:spacing w:after="0"/>
        <w:jc w:val="both"/>
        <w:rPr>
          <w:rFonts w:ascii="Times New Roman" w:hAnsi="Times New Roman" w:cs="Times New Roman"/>
          <w:color w:val="000000"/>
          <w:sz w:val="24"/>
          <w:szCs w:val="24"/>
          <w:lang w:val="en-US"/>
        </w:rPr>
      </w:pPr>
    </w:p>
    <w:p w:rsidR="00D42465" w:rsidRDefault="00D42465" w:rsidP="007A16A4">
      <w:pPr>
        <w:spacing w:after="0"/>
        <w:jc w:val="both"/>
        <w:rPr>
          <w:rFonts w:ascii="Times New Roman" w:hAnsi="Times New Roman" w:cs="Times New Roman"/>
          <w:color w:val="000000"/>
          <w:sz w:val="24"/>
          <w:szCs w:val="24"/>
          <w:lang w:val="en-US"/>
        </w:rPr>
      </w:pPr>
      <w:r w:rsidRPr="007A16A4">
        <w:rPr>
          <w:rFonts w:ascii="Times New Roman" w:hAnsi="Times New Roman" w:cs="Times New Roman"/>
          <w:color w:val="000000"/>
          <w:sz w:val="24"/>
          <w:szCs w:val="24"/>
          <w:lang w:val="en-US"/>
        </w:rPr>
        <w:t xml:space="preserve">No further comments. </w:t>
      </w:r>
    </w:p>
    <w:p w:rsidR="007A16A4" w:rsidRPr="007A16A4" w:rsidRDefault="007A16A4" w:rsidP="007A16A4">
      <w:pPr>
        <w:spacing w:after="0"/>
        <w:jc w:val="both"/>
        <w:rPr>
          <w:rFonts w:ascii="Times New Roman" w:hAnsi="Times New Roman" w:cs="Times New Roman"/>
          <w:color w:val="000000"/>
          <w:sz w:val="24"/>
          <w:szCs w:val="24"/>
          <w:lang w:val="en-US"/>
        </w:rPr>
      </w:pPr>
    </w:p>
    <w:p w:rsidR="00D42465" w:rsidRDefault="00D42465" w:rsidP="00D42465">
      <w:pPr>
        <w:pStyle w:val="Default"/>
        <w:numPr>
          <w:ilvl w:val="0"/>
          <w:numId w:val="2"/>
        </w:numPr>
        <w:jc w:val="both"/>
        <w:rPr>
          <w:b/>
          <w:bCs/>
          <w:lang w:val="en-US"/>
        </w:rPr>
      </w:pPr>
      <w:r w:rsidRPr="00D42465">
        <w:rPr>
          <w:b/>
          <w:bCs/>
          <w:lang w:val="en-US"/>
        </w:rPr>
        <w:t xml:space="preserve">Do IIAs concluded by your Government (including your Model Bilateral Investment Treaty) include human rights provisions addressed directly to investors and their investments? Are these provisions soft law recommendations or legally binding? </w:t>
      </w:r>
    </w:p>
    <w:p w:rsidR="00C914E5" w:rsidRDefault="00C914E5" w:rsidP="00C914E5">
      <w:pPr>
        <w:spacing w:after="0"/>
        <w:rPr>
          <w:lang w:val="en-US"/>
        </w:rPr>
      </w:pPr>
    </w:p>
    <w:p w:rsidR="00C914E5" w:rsidRPr="00C914E5" w:rsidRDefault="00C914E5" w:rsidP="00C914E5">
      <w:pPr>
        <w:spacing w:after="0"/>
        <w:jc w:val="both"/>
        <w:rPr>
          <w:rFonts w:ascii="Times New Roman" w:hAnsi="Times New Roman" w:cs="Times New Roman"/>
          <w:color w:val="000000"/>
          <w:sz w:val="24"/>
          <w:szCs w:val="24"/>
          <w:lang w:val="en-US"/>
        </w:rPr>
      </w:pPr>
      <w:r w:rsidRPr="00C914E5">
        <w:rPr>
          <w:rFonts w:ascii="Times New Roman" w:hAnsi="Times New Roman" w:cs="Times New Roman"/>
          <w:color w:val="000000"/>
          <w:sz w:val="24"/>
          <w:szCs w:val="24"/>
          <w:lang w:val="en-US"/>
        </w:rPr>
        <w:t>Among the objectives of the Hungarian model BIT’s Preamble we stress the importance of ensuring that investments are consistent with the protection of health, safety and the environment, the promotion and protection of internationally and domestically recognised human rights,  labour rights, and internationally recognised standards of corporate social responsibility.</w:t>
      </w:r>
    </w:p>
    <w:p w:rsidR="00C914E5" w:rsidRPr="00D42465" w:rsidRDefault="00C914E5" w:rsidP="00C914E5">
      <w:pPr>
        <w:pStyle w:val="Default"/>
        <w:jc w:val="both"/>
        <w:rPr>
          <w:b/>
          <w:bCs/>
          <w:lang w:val="en-US"/>
        </w:rPr>
      </w:pPr>
    </w:p>
    <w:p w:rsidR="00C914E5" w:rsidRDefault="00D42465" w:rsidP="00D42465">
      <w:pPr>
        <w:pStyle w:val="Default"/>
        <w:numPr>
          <w:ilvl w:val="0"/>
          <w:numId w:val="2"/>
        </w:numPr>
        <w:jc w:val="both"/>
        <w:rPr>
          <w:b/>
          <w:bCs/>
          <w:lang w:val="en-US"/>
        </w:rPr>
      </w:pPr>
      <w:r w:rsidRPr="00D42465">
        <w:rPr>
          <w:b/>
          <w:bCs/>
          <w:lang w:val="en-US"/>
        </w:rPr>
        <w:t xml:space="preserve">Does IIAs concluded by your Government expressly require foreign investors to comply with domestic laws relating to human rights, </w:t>
      </w:r>
      <w:proofErr w:type="spellStart"/>
      <w:r w:rsidRPr="00D42465">
        <w:rPr>
          <w:b/>
          <w:bCs/>
          <w:lang w:val="en-US"/>
        </w:rPr>
        <w:t>labour</w:t>
      </w:r>
      <w:proofErr w:type="spellEnd"/>
      <w:r w:rsidRPr="00D42465">
        <w:rPr>
          <w:b/>
          <w:bCs/>
          <w:lang w:val="en-US"/>
        </w:rPr>
        <w:t xml:space="preserve"> rights and the environment?</w:t>
      </w:r>
    </w:p>
    <w:p w:rsidR="00C914E5" w:rsidRDefault="00C914E5" w:rsidP="00C914E5">
      <w:pPr>
        <w:spacing w:after="0"/>
        <w:rPr>
          <w:lang w:val="en-US"/>
        </w:rPr>
      </w:pPr>
    </w:p>
    <w:p w:rsidR="00D42465" w:rsidRPr="00C914E5" w:rsidRDefault="00C914E5" w:rsidP="00C914E5">
      <w:pPr>
        <w:spacing w:after="0"/>
        <w:jc w:val="both"/>
        <w:rPr>
          <w:rFonts w:ascii="Times New Roman" w:hAnsi="Times New Roman" w:cs="Times New Roman"/>
          <w:color w:val="000000"/>
          <w:sz w:val="24"/>
          <w:szCs w:val="24"/>
          <w:lang w:val="en-US"/>
        </w:rPr>
      </w:pPr>
      <w:r w:rsidRPr="00C914E5">
        <w:rPr>
          <w:rFonts w:ascii="Times New Roman" w:hAnsi="Times New Roman" w:cs="Times New Roman"/>
          <w:color w:val="000000"/>
          <w:sz w:val="24"/>
          <w:szCs w:val="24"/>
          <w:lang w:val="en-US"/>
        </w:rPr>
        <w:t xml:space="preserve">In the Hungarian </w:t>
      </w:r>
      <w:proofErr w:type="gramStart"/>
      <w:r w:rsidRPr="00C914E5">
        <w:rPr>
          <w:rFonts w:ascii="Times New Roman" w:hAnsi="Times New Roman" w:cs="Times New Roman"/>
          <w:color w:val="000000"/>
          <w:sz w:val="24"/>
          <w:szCs w:val="24"/>
          <w:lang w:val="en-US"/>
        </w:rPr>
        <w:t>model</w:t>
      </w:r>
      <w:proofErr w:type="gramEnd"/>
      <w:r w:rsidRPr="00C914E5">
        <w:rPr>
          <w:rFonts w:ascii="Times New Roman" w:hAnsi="Times New Roman" w:cs="Times New Roman"/>
          <w:color w:val="000000"/>
          <w:sz w:val="24"/>
          <w:szCs w:val="24"/>
          <w:lang w:val="en-US"/>
        </w:rPr>
        <w:t xml:space="preserve"> BIT</w:t>
      </w:r>
      <w:r w:rsidR="000F618B">
        <w:rPr>
          <w:rFonts w:ascii="Times New Roman" w:hAnsi="Times New Roman" w:cs="Times New Roman"/>
          <w:color w:val="000000"/>
          <w:sz w:val="24"/>
          <w:szCs w:val="24"/>
          <w:lang w:val="en-US"/>
        </w:rPr>
        <w:t xml:space="preserve"> the very definition of</w:t>
      </w:r>
      <w:r w:rsidRPr="00C914E5">
        <w:rPr>
          <w:rFonts w:ascii="Times New Roman" w:hAnsi="Times New Roman" w:cs="Times New Roman"/>
          <w:color w:val="000000"/>
          <w:sz w:val="24"/>
          <w:szCs w:val="24"/>
          <w:lang w:val="en-US"/>
        </w:rPr>
        <w:t xml:space="preserve"> “investment”</w:t>
      </w:r>
      <w:r w:rsidR="000F618B">
        <w:rPr>
          <w:rFonts w:ascii="Times New Roman" w:hAnsi="Times New Roman" w:cs="Times New Roman"/>
          <w:color w:val="000000"/>
          <w:sz w:val="24"/>
          <w:szCs w:val="24"/>
          <w:lang w:val="en-US"/>
        </w:rPr>
        <w:t xml:space="preserve"> contains</w:t>
      </w:r>
      <w:r w:rsidRPr="00C914E5">
        <w:rPr>
          <w:rFonts w:ascii="Times New Roman" w:hAnsi="Times New Roman" w:cs="Times New Roman"/>
          <w:color w:val="000000"/>
          <w:sz w:val="24"/>
          <w:szCs w:val="24"/>
          <w:lang w:val="en-US"/>
        </w:rPr>
        <w:t xml:space="preserve"> that it shall be made in accordance with the laws and regulations of the host state. Therefore, investors have to comply with the domestic law of Hungary, which </w:t>
      </w:r>
      <w:r w:rsidR="000F618B">
        <w:rPr>
          <w:rFonts w:ascii="Times New Roman" w:hAnsi="Times New Roman" w:cs="Times New Roman"/>
          <w:color w:val="000000"/>
          <w:sz w:val="24"/>
          <w:szCs w:val="24"/>
          <w:lang w:val="en-US"/>
        </w:rPr>
        <w:t>in turn sets out high protection</w:t>
      </w:r>
      <w:r w:rsidRPr="00C914E5">
        <w:rPr>
          <w:rFonts w:ascii="Times New Roman" w:hAnsi="Times New Roman" w:cs="Times New Roman"/>
          <w:color w:val="000000"/>
          <w:sz w:val="24"/>
          <w:szCs w:val="24"/>
          <w:lang w:val="en-US"/>
        </w:rPr>
        <w:t xml:space="preserve"> standards of human rights</w:t>
      </w:r>
      <w:r w:rsidR="000F618B">
        <w:rPr>
          <w:rFonts w:ascii="Times New Roman" w:hAnsi="Times New Roman" w:cs="Times New Roman"/>
          <w:color w:val="000000"/>
          <w:sz w:val="24"/>
          <w:szCs w:val="24"/>
          <w:lang w:val="en-US"/>
        </w:rPr>
        <w:t xml:space="preserve">, </w:t>
      </w:r>
      <w:proofErr w:type="spellStart"/>
      <w:r w:rsidRPr="00C914E5">
        <w:rPr>
          <w:rFonts w:ascii="Times New Roman" w:hAnsi="Times New Roman" w:cs="Times New Roman"/>
          <w:color w:val="000000"/>
          <w:sz w:val="24"/>
          <w:szCs w:val="24"/>
          <w:lang w:val="en-US"/>
        </w:rPr>
        <w:t>labour</w:t>
      </w:r>
      <w:proofErr w:type="spellEnd"/>
      <w:r w:rsidRPr="00C914E5">
        <w:rPr>
          <w:rFonts w:ascii="Times New Roman" w:hAnsi="Times New Roman" w:cs="Times New Roman"/>
          <w:color w:val="000000"/>
          <w:sz w:val="24"/>
          <w:szCs w:val="24"/>
          <w:lang w:val="en-US"/>
        </w:rPr>
        <w:t xml:space="preserve"> rights</w:t>
      </w:r>
      <w:r w:rsidR="000F618B">
        <w:rPr>
          <w:rFonts w:ascii="Times New Roman" w:hAnsi="Times New Roman" w:cs="Times New Roman"/>
          <w:color w:val="000000"/>
          <w:sz w:val="24"/>
          <w:szCs w:val="24"/>
          <w:lang w:val="en-US"/>
        </w:rPr>
        <w:t xml:space="preserve"> and</w:t>
      </w:r>
      <w:r w:rsidRPr="00C914E5">
        <w:rPr>
          <w:rFonts w:ascii="Times New Roman" w:hAnsi="Times New Roman" w:cs="Times New Roman"/>
          <w:color w:val="000000"/>
          <w:sz w:val="24"/>
          <w:szCs w:val="24"/>
          <w:lang w:val="en-US"/>
        </w:rPr>
        <w:t xml:space="preserve"> of the environment.</w:t>
      </w:r>
    </w:p>
    <w:p w:rsidR="00D42465" w:rsidRDefault="00D42465" w:rsidP="00D42465">
      <w:pPr>
        <w:pStyle w:val="Default"/>
        <w:ind w:left="720"/>
        <w:jc w:val="both"/>
        <w:rPr>
          <w:b/>
          <w:bCs/>
          <w:lang w:val="en-US"/>
        </w:rPr>
      </w:pPr>
    </w:p>
    <w:p w:rsidR="00D42465" w:rsidRDefault="00D42465" w:rsidP="00D42465">
      <w:pPr>
        <w:pStyle w:val="Default"/>
        <w:numPr>
          <w:ilvl w:val="0"/>
          <w:numId w:val="2"/>
        </w:numPr>
        <w:jc w:val="both"/>
        <w:rPr>
          <w:b/>
          <w:bCs/>
          <w:lang w:val="en-US"/>
        </w:rPr>
      </w:pPr>
      <w:r w:rsidRPr="00D42465">
        <w:rPr>
          <w:b/>
          <w:bCs/>
          <w:lang w:val="en-US"/>
        </w:rPr>
        <w:lastRenderedPageBreak/>
        <w:t xml:space="preserve">Does your Government require – under IIAs or otherwise – investors to conduct human rights due diligence (HRDD) or environmental and human rights </w:t>
      </w:r>
      <w:proofErr w:type="gramStart"/>
      <w:r w:rsidRPr="00D42465">
        <w:rPr>
          <w:b/>
          <w:bCs/>
          <w:lang w:val="en-US"/>
        </w:rPr>
        <w:t>impact</w:t>
      </w:r>
      <w:proofErr w:type="gramEnd"/>
      <w:r w:rsidRPr="00D42465">
        <w:rPr>
          <w:b/>
          <w:bCs/>
          <w:lang w:val="en-US"/>
        </w:rPr>
        <w:t xml:space="preserve"> assessments prior to their investment? If so, what mechanisms exist to ensure that investors comply with this obligation? </w:t>
      </w:r>
    </w:p>
    <w:p w:rsidR="0016111D" w:rsidRDefault="0016111D" w:rsidP="0016111D">
      <w:pPr>
        <w:jc w:val="both"/>
        <w:rPr>
          <w:rFonts w:ascii="Times New Roman" w:hAnsi="Times New Roman" w:cs="Times New Roman"/>
          <w:sz w:val="24"/>
          <w:szCs w:val="24"/>
          <w:lang w:val="en-US"/>
        </w:rPr>
      </w:pPr>
    </w:p>
    <w:p w:rsidR="0016111D" w:rsidRPr="0016111D" w:rsidRDefault="0016111D" w:rsidP="008E44F0">
      <w:pPr>
        <w:spacing w:line="240" w:lineRule="auto"/>
        <w:jc w:val="both"/>
        <w:rPr>
          <w:rFonts w:ascii="Times New Roman" w:hAnsi="Times New Roman" w:cs="Times New Roman"/>
          <w:sz w:val="24"/>
          <w:szCs w:val="24"/>
          <w:lang w:val="en-US"/>
        </w:rPr>
      </w:pPr>
      <w:r w:rsidRPr="0016111D">
        <w:rPr>
          <w:rFonts w:ascii="Times New Roman" w:hAnsi="Times New Roman" w:cs="Times New Roman"/>
          <w:sz w:val="24"/>
          <w:szCs w:val="24"/>
          <w:lang w:val="en-US"/>
        </w:rPr>
        <w:t xml:space="preserve">The Hungarian model agreement guarantees that the promotion of investments does not lead to lowering domestic </w:t>
      </w:r>
      <w:proofErr w:type="spellStart"/>
      <w:r w:rsidRPr="0016111D">
        <w:rPr>
          <w:rFonts w:ascii="Times New Roman" w:hAnsi="Times New Roman" w:cs="Times New Roman"/>
          <w:sz w:val="24"/>
          <w:szCs w:val="24"/>
          <w:lang w:val="en-US"/>
        </w:rPr>
        <w:t>lab</w:t>
      </w:r>
      <w:r>
        <w:rPr>
          <w:rFonts w:ascii="Times New Roman" w:hAnsi="Times New Roman" w:cs="Times New Roman"/>
          <w:sz w:val="24"/>
          <w:szCs w:val="24"/>
          <w:lang w:val="en-US"/>
        </w:rPr>
        <w:t>our</w:t>
      </w:r>
      <w:proofErr w:type="spellEnd"/>
      <w:r>
        <w:rPr>
          <w:rFonts w:ascii="Times New Roman" w:hAnsi="Times New Roman" w:cs="Times New Roman"/>
          <w:sz w:val="24"/>
          <w:szCs w:val="24"/>
          <w:lang w:val="en-US"/>
        </w:rPr>
        <w:t xml:space="preserve"> or environmental standards. </w:t>
      </w:r>
      <w:r w:rsidR="0053172D">
        <w:rPr>
          <w:rFonts w:ascii="Times New Roman" w:hAnsi="Times New Roman" w:cs="Times New Roman"/>
          <w:sz w:val="24"/>
          <w:szCs w:val="24"/>
          <w:lang w:val="en-US"/>
        </w:rPr>
        <w:t xml:space="preserve">Moreover, </w:t>
      </w:r>
      <w:r>
        <w:rPr>
          <w:rFonts w:ascii="Times New Roman" w:hAnsi="Times New Roman" w:cs="Times New Roman"/>
          <w:sz w:val="24"/>
          <w:szCs w:val="24"/>
          <w:lang w:val="en-US"/>
        </w:rPr>
        <w:t xml:space="preserve">EU legislation that requires the conduct of impact assessments in a number of fields applies in Hungary.  </w:t>
      </w:r>
    </w:p>
    <w:p w:rsidR="00D42465" w:rsidRPr="00D42465" w:rsidRDefault="0016111D" w:rsidP="0016111D">
      <w:pPr>
        <w:pStyle w:val="Default"/>
        <w:jc w:val="both"/>
        <w:rPr>
          <w:b/>
          <w:bCs/>
          <w:lang w:val="en-US"/>
        </w:rPr>
      </w:pPr>
      <w:r w:rsidRPr="00D42465">
        <w:rPr>
          <w:b/>
          <w:bCs/>
          <w:lang w:val="en-US"/>
        </w:rPr>
        <w:t xml:space="preserve"> </w:t>
      </w:r>
    </w:p>
    <w:p w:rsidR="00D42465" w:rsidRDefault="00D42465" w:rsidP="00D42465">
      <w:pPr>
        <w:pStyle w:val="Default"/>
        <w:numPr>
          <w:ilvl w:val="0"/>
          <w:numId w:val="2"/>
        </w:numPr>
        <w:jc w:val="both"/>
        <w:rPr>
          <w:b/>
          <w:bCs/>
          <w:lang w:val="en-US"/>
        </w:rPr>
      </w:pPr>
      <w:r w:rsidRPr="00D42465">
        <w:rPr>
          <w:b/>
          <w:bCs/>
          <w:lang w:val="en-US"/>
        </w:rPr>
        <w:t xml:space="preserve">What measures exist to ensure that HRDD or impact assessments conducted by investors are gender-responsive and involve a meaningful participation of impacted communities, particularly marginalized groups and individuals? </w:t>
      </w:r>
    </w:p>
    <w:p w:rsidR="00FB68ED" w:rsidRDefault="00FB68ED" w:rsidP="00FB68ED">
      <w:pPr>
        <w:pStyle w:val="Default"/>
        <w:jc w:val="both"/>
        <w:rPr>
          <w:b/>
          <w:bCs/>
          <w:lang w:val="en-US"/>
        </w:rPr>
      </w:pPr>
    </w:p>
    <w:p w:rsidR="00E64F90" w:rsidRPr="00E64F90" w:rsidRDefault="00FB68ED" w:rsidP="00E64F90">
      <w:pPr>
        <w:pStyle w:val="Default"/>
        <w:jc w:val="both"/>
        <w:rPr>
          <w:lang w:val="en-US"/>
        </w:rPr>
      </w:pPr>
      <w:r w:rsidRPr="00FB68ED">
        <w:rPr>
          <w:lang w:val="en-US"/>
        </w:rPr>
        <w:t xml:space="preserve">The EU legislation in place requires the conduct of impact assessments for private or public projects that may have an adverse impact on the environment. Under this </w:t>
      </w:r>
      <w:r>
        <w:rPr>
          <w:lang w:val="en-US"/>
        </w:rPr>
        <w:t xml:space="preserve">EU </w:t>
      </w:r>
      <w:r w:rsidRPr="00FB68ED">
        <w:rPr>
          <w:lang w:val="en-US"/>
        </w:rPr>
        <w:t xml:space="preserve">legislation, such impact assessments should involve meaningful public participation. </w:t>
      </w:r>
      <w:r w:rsidR="00E64F90">
        <w:rPr>
          <w:bCs/>
          <w:lang w:val="en-US"/>
        </w:rPr>
        <w:t xml:space="preserve">Regarding national law, </w:t>
      </w:r>
      <w:r w:rsidR="00E64F90" w:rsidRPr="00E64F90">
        <w:rPr>
          <w:bCs/>
          <w:i/>
          <w:lang w:val="en-US"/>
        </w:rPr>
        <w:t>Act CXII of 2011 on the right to Informational Self-Determination and Freedom of Information</w:t>
      </w:r>
      <w:r w:rsidR="00E64F90" w:rsidRPr="00E64F90">
        <w:rPr>
          <w:bCs/>
          <w:lang w:val="en-US"/>
        </w:rPr>
        <w:t xml:space="preserve"> ensures the publicity of environmental data. </w:t>
      </w:r>
      <w:r w:rsidR="00E64F90" w:rsidRPr="00E64F90">
        <w:rPr>
          <w:bCs/>
          <w:i/>
          <w:lang w:val="en-US"/>
        </w:rPr>
        <w:t>Act LIII of 1995 on the General Rules of Environmental Protection</w:t>
      </w:r>
      <w:r w:rsidR="00E64F90">
        <w:rPr>
          <w:bCs/>
          <w:lang w:val="en-US"/>
        </w:rPr>
        <w:t xml:space="preserve"> </w:t>
      </w:r>
      <w:r w:rsidR="00E64F90" w:rsidRPr="00E64F90">
        <w:rPr>
          <w:bCs/>
          <w:lang w:val="en-US"/>
        </w:rPr>
        <w:t>recognized the right of environmental NGOs to participate in va</w:t>
      </w:r>
      <w:r w:rsidR="00E64F90">
        <w:rPr>
          <w:bCs/>
          <w:lang w:val="en-US"/>
        </w:rPr>
        <w:t>rious official proceedings. T</w:t>
      </w:r>
      <w:r w:rsidR="00E64F90" w:rsidRPr="00E64F90">
        <w:rPr>
          <w:bCs/>
          <w:lang w:val="en-US"/>
        </w:rPr>
        <w:t>he Hungarian Supreme Court</w:t>
      </w:r>
      <w:r w:rsidR="00E64F90">
        <w:rPr>
          <w:bCs/>
          <w:lang w:val="en-US"/>
        </w:rPr>
        <w:t>,</w:t>
      </w:r>
      <w:r w:rsidR="00E64F90" w:rsidRPr="00E64F90">
        <w:rPr>
          <w:bCs/>
          <w:lang w:val="en-US"/>
        </w:rPr>
        <w:t xml:space="preserve"> to eliminate differing interpretations of the right</w:t>
      </w:r>
      <w:r w:rsidR="00E64F90">
        <w:rPr>
          <w:bCs/>
          <w:lang w:val="en-US"/>
        </w:rPr>
        <w:t>s</w:t>
      </w:r>
      <w:r w:rsidR="00E64F90" w:rsidRPr="00E64F90">
        <w:rPr>
          <w:bCs/>
          <w:lang w:val="en-US"/>
        </w:rPr>
        <w:t xml:space="preserve"> to participate in environmental administrative authority matters, adopted a resolution on the legal status of non-governmental organizations (4/2010). </w:t>
      </w:r>
      <w:r w:rsidR="00E64F90">
        <w:rPr>
          <w:bCs/>
          <w:lang w:val="en-US"/>
        </w:rPr>
        <w:t xml:space="preserve"> </w:t>
      </w:r>
    </w:p>
    <w:p w:rsidR="00D42465" w:rsidRPr="00D42465" w:rsidRDefault="00D42465" w:rsidP="00D42465">
      <w:pPr>
        <w:pStyle w:val="Default"/>
        <w:ind w:left="360"/>
        <w:jc w:val="both"/>
        <w:rPr>
          <w:b/>
          <w:bCs/>
          <w:lang w:val="en-US"/>
        </w:rPr>
      </w:pPr>
    </w:p>
    <w:p w:rsidR="0073019E" w:rsidRDefault="00D42465" w:rsidP="004F6995">
      <w:pPr>
        <w:pStyle w:val="Default"/>
        <w:numPr>
          <w:ilvl w:val="0"/>
          <w:numId w:val="2"/>
        </w:numPr>
        <w:jc w:val="both"/>
        <w:rPr>
          <w:b/>
          <w:bCs/>
          <w:lang w:val="en-US"/>
        </w:rPr>
      </w:pPr>
      <w:r w:rsidRPr="00D42465">
        <w:rPr>
          <w:b/>
          <w:bCs/>
          <w:lang w:val="en-US"/>
        </w:rPr>
        <w:t xml:space="preserve">Do IIAs concluded by your Government include processes or mechanisms to allow affected individuals or communities to seek remedies, in host or home countries, against investors for human rights abuses linked to investment-related projects? </w:t>
      </w:r>
    </w:p>
    <w:p w:rsidR="00D42465" w:rsidRPr="00D42465" w:rsidRDefault="00D42465" w:rsidP="00D42465">
      <w:pPr>
        <w:pStyle w:val="Default"/>
        <w:ind w:left="720"/>
        <w:jc w:val="both"/>
        <w:rPr>
          <w:b/>
          <w:bCs/>
          <w:lang w:val="en-US"/>
        </w:rPr>
      </w:pPr>
    </w:p>
    <w:p w:rsidR="004F6995" w:rsidRPr="009429D1" w:rsidRDefault="0073019E" w:rsidP="0011452F">
      <w:pPr>
        <w:spacing w:line="240" w:lineRule="auto"/>
        <w:jc w:val="both"/>
        <w:rPr>
          <w:rFonts w:ascii="Times New Roman" w:hAnsi="Times New Roman" w:cs="Times New Roman"/>
          <w:sz w:val="24"/>
          <w:szCs w:val="24"/>
          <w:lang w:val="en-US"/>
        </w:rPr>
      </w:pPr>
      <w:r w:rsidRPr="009429D1">
        <w:rPr>
          <w:rFonts w:ascii="Times New Roman" w:hAnsi="Times New Roman" w:cs="Times New Roman"/>
          <w:sz w:val="24"/>
          <w:szCs w:val="24"/>
          <w:lang w:val="en-US"/>
        </w:rPr>
        <w:t>Hungary designated a National Contact Point under the OECD Guidelines for Multinational Enterprises (the MNEs Guidelines) that provide for a non-judicial grievance mechanism</w:t>
      </w:r>
      <w:r w:rsidR="004F6995" w:rsidRPr="009429D1">
        <w:rPr>
          <w:rFonts w:ascii="Times New Roman" w:hAnsi="Times New Roman" w:cs="Times New Roman"/>
          <w:sz w:val="24"/>
          <w:szCs w:val="24"/>
          <w:lang w:val="en-US"/>
        </w:rPr>
        <w:t>:</w:t>
      </w:r>
    </w:p>
    <w:p w:rsidR="004F6995" w:rsidRPr="009429D1" w:rsidRDefault="004F6995" w:rsidP="0011452F">
      <w:pPr>
        <w:spacing w:line="240" w:lineRule="auto"/>
        <w:jc w:val="both"/>
        <w:rPr>
          <w:rFonts w:ascii="Times New Roman" w:hAnsi="Times New Roman" w:cs="Times New Roman"/>
          <w:sz w:val="24"/>
          <w:szCs w:val="24"/>
          <w:lang w:val="en-US"/>
        </w:rPr>
      </w:pPr>
      <w:r w:rsidRPr="009429D1">
        <w:rPr>
          <w:rFonts w:ascii="Times New Roman" w:hAnsi="Times New Roman" w:cs="Times New Roman"/>
          <w:sz w:val="24"/>
          <w:szCs w:val="24"/>
          <w:lang w:val="en-US"/>
        </w:rPr>
        <w:t>Hungarian National Contact Point</w:t>
      </w:r>
    </w:p>
    <w:p w:rsidR="004F6995" w:rsidRPr="009429D1" w:rsidRDefault="004F6995" w:rsidP="0011452F">
      <w:pPr>
        <w:spacing w:line="240" w:lineRule="auto"/>
        <w:jc w:val="both"/>
        <w:rPr>
          <w:rFonts w:ascii="Times New Roman" w:hAnsi="Times New Roman" w:cs="Times New Roman"/>
          <w:sz w:val="24"/>
          <w:szCs w:val="24"/>
          <w:lang w:val="en-US"/>
        </w:rPr>
      </w:pPr>
      <w:r w:rsidRPr="009429D1">
        <w:rPr>
          <w:rFonts w:ascii="Times New Roman" w:hAnsi="Times New Roman" w:cs="Times New Roman"/>
          <w:sz w:val="24"/>
          <w:szCs w:val="24"/>
          <w:lang w:val="en-US"/>
        </w:rPr>
        <w:t>OECD G</w:t>
      </w:r>
      <w:r w:rsidR="00DB4988" w:rsidRPr="009429D1">
        <w:rPr>
          <w:rFonts w:ascii="Times New Roman" w:hAnsi="Times New Roman" w:cs="Times New Roman"/>
          <w:sz w:val="24"/>
          <w:szCs w:val="24"/>
          <w:lang w:val="en-US"/>
        </w:rPr>
        <w:t>uidelines for Multinational Ent</w:t>
      </w:r>
      <w:r w:rsidRPr="009429D1">
        <w:rPr>
          <w:rFonts w:ascii="Times New Roman" w:hAnsi="Times New Roman" w:cs="Times New Roman"/>
          <w:sz w:val="24"/>
          <w:szCs w:val="24"/>
          <w:lang w:val="en-US"/>
        </w:rPr>
        <w:t>erprises</w:t>
      </w:r>
    </w:p>
    <w:p w:rsidR="004F6995" w:rsidRPr="009429D1" w:rsidRDefault="004F6995" w:rsidP="0011452F">
      <w:pPr>
        <w:spacing w:line="240" w:lineRule="auto"/>
        <w:jc w:val="both"/>
        <w:rPr>
          <w:rFonts w:ascii="Times New Roman" w:hAnsi="Times New Roman" w:cs="Times New Roman"/>
          <w:sz w:val="24"/>
          <w:szCs w:val="24"/>
          <w:lang w:val="en-US"/>
        </w:rPr>
      </w:pPr>
      <w:r w:rsidRPr="009429D1">
        <w:rPr>
          <w:rFonts w:ascii="Times New Roman" w:hAnsi="Times New Roman" w:cs="Times New Roman"/>
          <w:sz w:val="24"/>
          <w:szCs w:val="24"/>
          <w:lang w:val="en-US"/>
        </w:rPr>
        <w:t>Ministry of Finance</w:t>
      </w:r>
    </w:p>
    <w:p w:rsidR="004F6995" w:rsidRPr="009429D1" w:rsidRDefault="004F6995" w:rsidP="0011452F">
      <w:pPr>
        <w:spacing w:line="240" w:lineRule="auto"/>
        <w:jc w:val="both"/>
        <w:rPr>
          <w:rFonts w:ascii="Times New Roman" w:hAnsi="Times New Roman" w:cs="Times New Roman"/>
          <w:sz w:val="24"/>
          <w:szCs w:val="24"/>
          <w:lang w:val="en-US"/>
        </w:rPr>
      </w:pPr>
      <w:r w:rsidRPr="009429D1">
        <w:rPr>
          <w:rFonts w:ascii="Times New Roman" w:hAnsi="Times New Roman" w:cs="Times New Roman"/>
          <w:sz w:val="24"/>
          <w:szCs w:val="24"/>
          <w:lang w:val="en-US"/>
        </w:rPr>
        <w:t>Strategy Department for EU Affairs</w:t>
      </w:r>
    </w:p>
    <w:p w:rsidR="004F6995" w:rsidRPr="009429D1" w:rsidRDefault="004F6995" w:rsidP="0011452F">
      <w:pPr>
        <w:spacing w:line="240" w:lineRule="auto"/>
        <w:jc w:val="both"/>
        <w:rPr>
          <w:rFonts w:ascii="Times New Roman" w:hAnsi="Times New Roman" w:cs="Times New Roman"/>
          <w:sz w:val="24"/>
          <w:szCs w:val="24"/>
          <w:lang w:val="en-US"/>
        </w:rPr>
      </w:pPr>
      <w:r w:rsidRPr="009429D1">
        <w:rPr>
          <w:rFonts w:ascii="Times New Roman" w:hAnsi="Times New Roman" w:cs="Times New Roman"/>
          <w:sz w:val="24"/>
          <w:szCs w:val="24"/>
          <w:lang w:val="en-US"/>
        </w:rPr>
        <w:t xml:space="preserve">1051 Budapest, József </w:t>
      </w:r>
      <w:proofErr w:type="spellStart"/>
      <w:r w:rsidRPr="009429D1">
        <w:rPr>
          <w:rFonts w:ascii="Times New Roman" w:hAnsi="Times New Roman" w:cs="Times New Roman"/>
          <w:sz w:val="24"/>
          <w:szCs w:val="24"/>
          <w:lang w:val="en-US"/>
        </w:rPr>
        <w:t>nádor</w:t>
      </w:r>
      <w:proofErr w:type="spellEnd"/>
      <w:r w:rsidRPr="009429D1">
        <w:rPr>
          <w:rFonts w:ascii="Times New Roman" w:hAnsi="Times New Roman" w:cs="Times New Roman"/>
          <w:sz w:val="24"/>
          <w:szCs w:val="24"/>
          <w:lang w:val="en-US"/>
        </w:rPr>
        <w:t xml:space="preserve"> </w:t>
      </w:r>
      <w:proofErr w:type="spellStart"/>
      <w:r w:rsidRPr="009429D1">
        <w:rPr>
          <w:rFonts w:ascii="Times New Roman" w:hAnsi="Times New Roman" w:cs="Times New Roman"/>
          <w:sz w:val="24"/>
          <w:szCs w:val="24"/>
          <w:lang w:val="en-US"/>
        </w:rPr>
        <w:t>tér</w:t>
      </w:r>
      <w:proofErr w:type="spellEnd"/>
      <w:r w:rsidRPr="009429D1">
        <w:rPr>
          <w:rFonts w:ascii="Times New Roman" w:hAnsi="Times New Roman" w:cs="Times New Roman"/>
          <w:sz w:val="24"/>
          <w:szCs w:val="24"/>
          <w:lang w:val="en-US"/>
        </w:rPr>
        <w:t xml:space="preserve"> 2-4.</w:t>
      </w:r>
    </w:p>
    <w:p w:rsidR="004F6995" w:rsidRPr="009429D1" w:rsidRDefault="004F6995" w:rsidP="0011452F">
      <w:pPr>
        <w:spacing w:line="240" w:lineRule="auto"/>
        <w:jc w:val="both"/>
        <w:rPr>
          <w:rFonts w:ascii="Times New Roman" w:hAnsi="Times New Roman" w:cs="Times New Roman"/>
          <w:sz w:val="24"/>
          <w:szCs w:val="24"/>
          <w:lang w:val="en-US"/>
        </w:rPr>
      </w:pPr>
      <w:r w:rsidRPr="009429D1">
        <w:rPr>
          <w:rFonts w:ascii="Times New Roman" w:hAnsi="Times New Roman" w:cs="Times New Roman"/>
          <w:sz w:val="24"/>
          <w:szCs w:val="24"/>
          <w:lang w:val="en-US"/>
        </w:rPr>
        <w:t xml:space="preserve">Email: </w:t>
      </w:r>
      <w:hyperlink r:id="rId8" w:history="1">
        <w:r w:rsidRPr="009429D1">
          <w:rPr>
            <w:rStyle w:val="Hiperhivatkozs"/>
            <w:rFonts w:ascii="Times New Roman" w:hAnsi="Times New Roman" w:cs="Times New Roman"/>
            <w:sz w:val="24"/>
            <w:szCs w:val="24"/>
            <w:lang w:val="en-US"/>
          </w:rPr>
          <w:t>nkp@pm.gov.hu</w:t>
        </w:r>
      </w:hyperlink>
    </w:p>
    <w:p w:rsidR="004F6995" w:rsidRPr="009429D1" w:rsidRDefault="004F6995" w:rsidP="0011452F">
      <w:pPr>
        <w:spacing w:line="240" w:lineRule="auto"/>
        <w:jc w:val="both"/>
        <w:rPr>
          <w:rFonts w:ascii="Times New Roman" w:hAnsi="Times New Roman" w:cs="Times New Roman"/>
          <w:sz w:val="24"/>
          <w:szCs w:val="24"/>
          <w:lang w:val="en-US"/>
        </w:rPr>
      </w:pPr>
      <w:r w:rsidRPr="009429D1">
        <w:rPr>
          <w:rFonts w:ascii="Times New Roman" w:hAnsi="Times New Roman" w:cs="Times New Roman"/>
          <w:sz w:val="24"/>
          <w:szCs w:val="24"/>
          <w:lang w:val="en-US"/>
        </w:rPr>
        <w:t xml:space="preserve">All of the information regarding the National Contact Point’s activities </w:t>
      </w:r>
      <w:proofErr w:type="gramStart"/>
      <w:r w:rsidRPr="009429D1">
        <w:rPr>
          <w:rFonts w:ascii="Times New Roman" w:hAnsi="Times New Roman" w:cs="Times New Roman"/>
          <w:sz w:val="24"/>
          <w:szCs w:val="24"/>
          <w:lang w:val="en-US"/>
        </w:rPr>
        <w:t>can be found</w:t>
      </w:r>
      <w:proofErr w:type="gramEnd"/>
      <w:r w:rsidRPr="009429D1">
        <w:rPr>
          <w:rFonts w:ascii="Times New Roman" w:hAnsi="Times New Roman" w:cs="Times New Roman"/>
          <w:sz w:val="24"/>
          <w:szCs w:val="24"/>
          <w:lang w:val="en-US"/>
        </w:rPr>
        <w:t xml:space="preserve"> in the following webpage: </w:t>
      </w:r>
      <w:hyperlink r:id="rId9" w:history="1">
        <w:r w:rsidRPr="009429D1">
          <w:rPr>
            <w:rStyle w:val="Hiperhivatkozs"/>
            <w:rFonts w:ascii="Times New Roman" w:hAnsi="Times New Roman" w:cs="Times New Roman"/>
            <w:sz w:val="24"/>
            <w:szCs w:val="24"/>
            <w:lang w:val="en-US"/>
          </w:rPr>
          <w:t>https://oecd.kormany.hu/a-magyar-nemzeti-kapcsolattarto-pont</w:t>
        </w:r>
      </w:hyperlink>
      <w:r w:rsidRPr="009429D1">
        <w:rPr>
          <w:rFonts w:ascii="Times New Roman" w:hAnsi="Times New Roman" w:cs="Times New Roman"/>
          <w:sz w:val="24"/>
          <w:szCs w:val="24"/>
          <w:lang w:val="en-US"/>
        </w:rPr>
        <w:t xml:space="preserve"> </w:t>
      </w:r>
    </w:p>
    <w:p w:rsidR="00EB669C" w:rsidRPr="009429D1" w:rsidRDefault="00EB669C" w:rsidP="0011452F">
      <w:pPr>
        <w:spacing w:line="240" w:lineRule="auto"/>
        <w:jc w:val="both"/>
        <w:rPr>
          <w:rFonts w:ascii="Times New Roman" w:hAnsi="Times New Roman" w:cs="Times New Roman"/>
          <w:sz w:val="24"/>
          <w:szCs w:val="24"/>
          <w:lang w:val="en-US"/>
        </w:rPr>
      </w:pPr>
      <w:r w:rsidRPr="009429D1">
        <w:rPr>
          <w:rFonts w:ascii="Times New Roman" w:hAnsi="Times New Roman" w:cs="Times New Roman"/>
          <w:sz w:val="24"/>
          <w:szCs w:val="24"/>
          <w:lang w:val="en-US"/>
        </w:rPr>
        <w:t>Additionally, in case of unlawful or harmful activities, public bodies and affected third parties can also initiate legal proceedings against investors before the competent Hungarian courts.</w:t>
      </w:r>
    </w:p>
    <w:p w:rsidR="00D42465" w:rsidRDefault="00D42465" w:rsidP="00D42465">
      <w:pPr>
        <w:pStyle w:val="Default"/>
        <w:numPr>
          <w:ilvl w:val="0"/>
          <w:numId w:val="2"/>
        </w:numPr>
        <w:jc w:val="both"/>
        <w:rPr>
          <w:b/>
          <w:bCs/>
          <w:lang w:val="en-US"/>
        </w:rPr>
      </w:pPr>
      <w:r w:rsidRPr="00D42465">
        <w:rPr>
          <w:b/>
          <w:bCs/>
          <w:lang w:val="en-US"/>
        </w:rPr>
        <w:t xml:space="preserve">Has your Government pursed counterclaims against investors for human rights abuses linked to their investments? If yes, please provide details. </w:t>
      </w:r>
    </w:p>
    <w:p w:rsidR="00D42465" w:rsidRDefault="00D42465" w:rsidP="00D42465">
      <w:pPr>
        <w:pStyle w:val="Default"/>
        <w:jc w:val="both"/>
        <w:rPr>
          <w:b/>
          <w:bCs/>
          <w:lang w:val="en-US"/>
        </w:rPr>
      </w:pPr>
    </w:p>
    <w:p w:rsidR="00D42465" w:rsidRPr="009429D1" w:rsidRDefault="00D42465" w:rsidP="00D42465">
      <w:pPr>
        <w:jc w:val="both"/>
        <w:rPr>
          <w:rFonts w:ascii="Times New Roman" w:hAnsi="Times New Roman" w:cs="Times New Roman"/>
          <w:sz w:val="24"/>
          <w:szCs w:val="24"/>
          <w:lang w:val="en-US"/>
        </w:rPr>
      </w:pPr>
      <w:r w:rsidRPr="009429D1">
        <w:rPr>
          <w:rFonts w:ascii="Times New Roman" w:hAnsi="Times New Roman" w:cs="Times New Roman"/>
          <w:sz w:val="24"/>
          <w:szCs w:val="24"/>
          <w:lang w:val="en-US"/>
        </w:rPr>
        <w:t>To date, Hungary has not pursued any counterclaims against investors for human right abuses in an international investment dispute.</w:t>
      </w:r>
    </w:p>
    <w:p w:rsidR="00D42465" w:rsidRPr="00D42465" w:rsidRDefault="00D42465" w:rsidP="00D42465">
      <w:pPr>
        <w:pStyle w:val="Default"/>
        <w:jc w:val="both"/>
        <w:rPr>
          <w:b/>
          <w:bCs/>
          <w:lang w:val="en-US"/>
        </w:rPr>
      </w:pPr>
    </w:p>
    <w:p w:rsidR="00C914E5" w:rsidRDefault="00D42465" w:rsidP="00C914E5">
      <w:pPr>
        <w:pStyle w:val="Default"/>
        <w:numPr>
          <w:ilvl w:val="0"/>
          <w:numId w:val="2"/>
        </w:numPr>
        <w:jc w:val="both"/>
        <w:rPr>
          <w:b/>
          <w:bCs/>
          <w:lang w:val="en-US"/>
        </w:rPr>
      </w:pPr>
      <w:r w:rsidRPr="00D42465">
        <w:rPr>
          <w:b/>
          <w:bCs/>
          <w:lang w:val="en-US"/>
        </w:rPr>
        <w:t xml:space="preserve">Do IIAs concluded by your Government allow affected individuals or communities to file amicus briefs before ISDS or another dispute settlement process? </w:t>
      </w:r>
    </w:p>
    <w:p w:rsidR="00C914E5" w:rsidRDefault="00C914E5" w:rsidP="00C914E5">
      <w:pPr>
        <w:pStyle w:val="Default"/>
        <w:jc w:val="both"/>
        <w:rPr>
          <w:b/>
          <w:bCs/>
          <w:lang w:val="en-US"/>
        </w:rPr>
      </w:pPr>
    </w:p>
    <w:p w:rsidR="00D42465" w:rsidRDefault="00C914E5" w:rsidP="00C914E5">
      <w:pPr>
        <w:pStyle w:val="Default"/>
        <w:jc w:val="both"/>
        <w:rPr>
          <w:lang w:val="en-US"/>
        </w:rPr>
      </w:pPr>
      <w:r w:rsidRPr="00C914E5">
        <w:rPr>
          <w:lang w:val="en-US"/>
        </w:rPr>
        <w:t>Yes. The current ISDS process set forth in the Hungarian model BIT entitles the investor to choose the forum before which it wishes to initiate dispute settlement. This forum can be the competent court of the host state, a tribunal constituted under the ICSID Convention, or an ad hoc tribunal established under the Arbitration Rules of UNCITRAL. Pursuant to the procedural laws of any of the three fora, third parties can file amicus curiae briefs.</w:t>
      </w:r>
    </w:p>
    <w:p w:rsidR="00C914E5" w:rsidRPr="00C914E5" w:rsidRDefault="00C914E5" w:rsidP="00C914E5">
      <w:pPr>
        <w:pStyle w:val="Default"/>
        <w:jc w:val="both"/>
        <w:rPr>
          <w:b/>
          <w:bCs/>
          <w:lang w:val="en-US"/>
        </w:rPr>
      </w:pPr>
    </w:p>
    <w:p w:rsidR="00D42465" w:rsidRDefault="00D42465" w:rsidP="00D42465">
      <w:pPr>
        <w:pStyle w:val="Default"/>
        <w:numPr>
          <w:ilvl w:val="0"/>
          <w:numId w:val="2"/>
        </w:numPr>
        <w:jc w:val="both"/>
        <w:rPr>
          <w:b/>
          <w:bCs/>
          <w:lang w:val="en-US"/>
        </w:rPr>
      </w:pPr>
      <w:r w:rsidRPr="00D42465">
        <w:rPr>
          <w:b/>
          <w:bCs/>
          <w:lang w:val="en-US"/>
        </w:rPr>
        <w:t xml:space="preserve">Does your Government require – under IIAs or otherwise – investors to establish, in meaningful consultation with affected communities, operational level grievance mechanisms that are effective in terms of process and remedial outcomes? If so, please provide details. </w:t>
      </w:r>
    </w:p>
    <w:p w:rsidR="00D42465" w:rsidRDefault="00D42465" w:rsidP="00D42465">
      <w:pPr>
        <w:rPr>
          <w:b/>
          <w:bCs/>
          <w:lang w:val="en-US"/>
        </w:rPr>
      </w:pPr>
    </w:p>
    <w:p w:rsidR="00D42465" w:rsidRPr="00D42465" w:rsidRDefault="00D42465" w:rsidP="00D42465">
      <w:pPr>
        <w:jc w:val="both"/>
        <w:rPr>
          <w:rFonts w:ascii="Times New Roman" w:hAnsi="Times New Roman" w:cs="Times New Roman"/>
          <w:sz w:val="24"/>
          <w:szCs w:val="24"/>
        </w:rPr>
      </w:pPr>
      <w:r w:rsidRPr="009429D1">
        <w:rPr>
          <w:rFonts w:ascii="Times New Roman" w:hAnsi="Times New Roman" w:cs="Times New Roman"/>
          <w:sz w:val="24"/>
          <w:szCs w:val="24"/>
          <w:lang w:val="en-US"/>
        </w:rPr>
        <w:t xml:space="preserve">The Hungarian National Contact Point of the OECD Guidelines for Multinational Enterprises plays an active role in implementing the OECD guidelines and provides a non-judicial grievance mechanism. The detailed rules of the Specific Instance Procedure of the Hungarian National Contact Point </w:t>
      </w:r>
      <w:proofErr w:type="gramStart"/>
      <w:r w:rsidRPr="009429D1">
        <w:rPr>
          <w:rFonts w:ascii="Times New Roman" w:hAnsi="Times New Roman" w:cs="Times New Roman"/>
          <w:sz w:val="24"/>
          <w:szCs w:val="24"/>
          <w:lang w:val="en-US"/>
        </w:rPr>
        <w:t>can be found</w:t>
      </w:r>
      <w:proofErr w:type="gramEnd"/>
      <w:r w:rsidRPr="009429D1">
        <w:rPr>
          <w:rFonts w:ascii="Times New Roman" w:hAnsi="Times New Roman" w:cs="Times New Roman"/>
          <w:sz w:val="24"/>
          <w:szCs w:val="24"/>
          <w:lang w:val="en-US"/>
        </w:rPr>
        <w:t xml:space="preserve"> on the following webpage:</w:t>
      </w:r>
      <w:r w:rsidRPr="009429D1">
        <w:rPr>
          <w:rFonts w:ascii="Times New Roman" w:hAnsi="Times New Roman" w:cs="Times New Roman"/>
          <w:sz w:val="24"/>
          <w:szCs w:val="24"/>
        </w:rPr>
        <w:t xml:space="preserve"> </w:t>
      </w:r>
      <w:hyperlink r:id="rId10" w:history="1">
        <w:r w:rsidRPr="009429D1">
          <w:rPr>
            <w:rStyle w:val="Hiperhivatkozs"/>
            <w:rFonts w:ascii="Times New Roman" w:hAnsi="Times New Roman" w:cs="Times New Roman"/>
            <w:sz w:val="24"/>
            <w:szCs w:val="24"/>
          </w:rPr>
          <w:t>https://oecd.kormany.hu/download/c/d6/00000/HNCP%20Specific%20instance%20procedure.pdf</w:t>
        </w:r>
      </w:hyperlink>
      <w:r w:rsidRPr="009429D1">
        <w:rPr>
          <w:rFonts w:ascii="Times New Roman" w:hAnsi="Times New Roman" w:cs="Times New Roman"/>
          <w:sz w:val="24"/>
          <w:szCs w:val="24"/>
        </w:rPr>
        <w:t xml:space="preserve"> </w:t>
      </w:r>
    </w:p>
    <w:p w:rsidR="00D42465" w:rsidRPr="00D42465" w:rsidRDefault="00D42465" w:rsidP="00D42465">
      <w:pPr>
        <w:pStyle w:val="Default"/>
        <w:jc w:val="both"/>
        <w:rPr>
          <w:b/>
          <w:bCs/>
          <w:lang w:val="en-US"/>
        </w:rPr>
      </w:pPr>
    </w:p>
    <w:p w:rsidR="00C914E5" w:rsidRDefault="00D42465" w:rsidP="00C914E5">
      <w:pPr>
        <w:pStyle w:val="Default"/>
        <w:numPr>
          <w:ilvl w:val="0"/>
          <w:numId w:val="2"/>
        </w:numPr>
        <w:jc w:val="both"/>
        <w:rPr>
          <w:b/>
          <w:bCs/>
          <w:lang w:val="en-US"/>
        </w:rPr>
      </w:pPr>
      <w:proofErr w:type="gramStart"/>
      <w:r w:rsidRPr="00D42465">
        <w:rPr>
          <w:b/>
          <w:bCs/>
          <w:lang w:val="en-US"/>
        </w:rPr>
        <w:t>Are there any good practices regarding the integration of human rights issues in IIAs that you would like to share with the Working Group?</w:t>
      </w:r>
      <w:proofErr w:type="gramEnd"/>
      <w:r w:rsidRPr="00D42465">
        <w:rPr>
          <w:b/>
          <w:bCs/>
          <w:lang w:val="en-US"/>
        </w:rPr>
        <w:t xml:space="preserve"> Any other comments or suggestions are also welcome.</w:t>
      </w:r>
    </w:p>
    <w:p w:rsidR="00C914E5" w:rsidRDefault="00C914E5" w:rsidP="00C914E5">
      <w:pPr>
        <w:pStyle w:val="Default"/>
        <w:jc w:val="both"/>
        <w:rPr>
          <w:b/>
          <w:bCs/>
          <w:lang w:val="en-US"/>
        </w:rPr>
      </w:pPr>
    </w:p>
    <w:p w:rsidR="00C914E5" w:rsidRPr="00C914E5" w:rsidRDefault="00C914E5" w:rsidP="00C914E5">
      <w:pPr>
        <w:pStyle w:val="Default"/>
        <w:jc w:val="both"/>
        <w:rPr>
          <w:b/>
          <w:bCs/>
          <w:lang w:val="en-US"/>
        </w:rPr>
      </w:pPr>
      <w:r w:rsidRPr="00C914E5">
        <w:rPr>
          <w:bCs/>
          <w:sz w:val="23"/>
          <w:szCs w:val="23"/>
          <w:lang w:val="en-US"/>
        </w:rPr>
        <w:t xml:space="preserve">Besides the aforementioned text in the Preamble, </w:t>
      </w:r>
      <w:r w:rsidRPr="00C914E5">
        <w:rPr>
          <w:lang w:val="en-US"/>
        </w:rPr>
        <w:t xml:space="preserve">a non-regression clause is also included in the Hungarian model BIT, which states that the host state cannot encourage investment by lowering domestic environmental, </w:t>
      </w:r>
      <w:proofErr w:type="spellStart"/>
      <w:r w:rsidRPr="00C914E5">
        <w:rPr>
          <w:lang w:val="en-US"/>
        </w:rPr>
        <w:t>labour</w:t>
      </w:r>
      <w:proofErr w:type="spellEnd"/>
      <w:r w:rsidRPr="00C914E5">
        <w:rPr>
          <w:lang w:val="en-US"/>
        </w:rPr>
        <w:t xml:space="preserve"> or occupational health and safety legislation or by relaxing core </w:t>
      </w:r>
      <w:proofErr w:type="spellStart"/>
      <w:r w:rsidRPr="00C914E5">
        <w:rPr>
          <w:lang w:val="en-US"/>
        </w:rPr>
        <w:t>labour</w:t>
      </w:r>
      <w:proofErr w:type="spellEnd"/>
      <w:r w:rsidRPr="00C914E5">
        <w:rPr>
          <w:lang w:val="en-US"/>
        </w:rPr>
        <w:t xml:space="preserve"> standards.</w:t>
      </w:r>
      <w:r w:rsidRPr="00C914E5">
        <w:rPr>
          <w:bCs/>
          <w:sz w:val="23"/>
          <w:szCs w:val="23"/>
          <w:lang w:val="en-US"/>
        </w:rPr>
        <w:t xml:space="preserve"> </w:t>
      </w:r>
      <w:r w:rsidRPr="00C914E5">
        <w:rPr>
          <w:lang w:val="en-US"/>
        </w:rPr>
        <w:t xml:space="preserve">In addition, the model BIT maintains the parties’ right to regulate to achieve legitimate policy objectives </w:t>
      </w:r>
      <w:r w:rsidRPr="00C914E5">
        <w:rPr>
          <w:lang w:val="en-GB"/>
        </w:rPr>
        <w:t>such as the protection of public health, safety, environment or public morals, social or consumer protection or promotion and protection of cultural diversity.</w:t>
      </w:r>
    </w:p>
    <w:p w:rsidR="0073019E" w:rsidRPr="00C914E5" w:rsidRDefault="0073019E" w:rsidP="004F6995">
      <w:pPr>
        <w:jc w:val="both"/>
        <w:rPr>
          <w:rFonts w:ascii="Times New Roman" w:hAnsi="Times New Roman" w:cs="Times New Roman"/>
          <w:sz w:val="24"/>
          <w:szCs w:val="24"/>
          <w:lang w:val="en-US"/>
        </w:rPr>
      </w:pPr>
    </w:p>
    <w:sectPr w:rsidR="0073019E" w:rsidRPr="00C914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3DE" w:rsidRDefault="008C33DE" w:rsidP="004F6995">
      <w:pPr>
        <w:spacing w:after="0" w:line="240" w:lineRule="auto"/>
      </w:pPr>
      <w:r>
        <w:separator/>
      </w:r>
    </w:p>
  </w:endnote>
  <w:endnote w:type="continuationSeparator" w:id="0">
    <w:p w:rsidR="008C33DE" w:rsidRDefault="008C33DE" w:rsidP="004F6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3DE" w:rsidRDefault="008C33DE" w:rsidP="004F6995">
      <w:pPr>
        <w:spacing w:after="0" w:line="240" w:lineRule="auto"/>
      </w:pPr>
      <w:r>
        <w:separator/>
      </w:r>
    </w:p>
  </w:footnote>
  <w:footnote w:type="continuationSeparator" w:id="0">
    <w:p w:rsidR="008C33DE" w:rsidRDefault="008C33DE" w:rsidP="004F6995">
      <w:pPr>
        <w:spacing w:after="0" w:line="240" w:lineRule="auto"/>
      </w:pPr>
      <w:r>
        <w:continuationSeparator/>
      </w:r>
    </w:p>
  </w:footnote>
  <w:footnote w:id="1">
    <w:p w:rsidR="00083CB2" w:rsidRPr="00083CB2" w:rsidRDefault="00083CB2" w:rsidP="00083CB2">
      <w:pPr>
        <w:pStyle w:val="footnotedescription"/>
        <w:rPr>
          <w:lang w:val="en-US"/>
        </w:rPr>
      </w:pPr>
      <w:r w:rsidRPr="00083CB2">
        <w:rPr>
          <w:rStyle w:val="footnotemark"/>
          <w:lang w:val="en-US"/>
        </w:rPr>
        <w:footnoteRef/>
      </w:r>
      <w:r w:rsidRPr="00083CB2">
        <w:rPr>
          <w:lang w:val="en-US"/>
        </w:rPr>
        <w:t xml:space="preserve"> </w:t>
      </w:r>
      <w:r w:rsidRPr="00083CB2">
        <w:rPr>
          <w:color w:val="000000"/>
          <w:u w:val="none" w:color="000000"/>
          <w:lang w:val="en-US"/>
        </w:rPr>
        <w:t xml:space="preserve">See </w:t>
      </w:r>
      <w:hyperlink r:id="rId1">
        <w:r w:rsidRPr="00083CB2">
          <w:rPr>
            <w:lang w:val="en-US"/>
          </w:rPr>
          <w:t>https://eur</w:t>
        </w:r>
      </w:hyperlink>
      <w:hyperlink r:id="rId2">
        <w:r w:rsidRPr="00083CB2">
          <w:rPr>
            <w:lang w:val="en-US"/>
          </w:rPr>
          <w:t>-</w:t>
        </w:r>
      </w:hyperlink>
      <w:hyperlink r:id="rId3">
        <w:r w:rsidRPr="00083CB2">
          <w:rPr>
            <w:lang w:val="en-US"/>
          </w:rPr>
          <w:t>lex.europa.eu/legal</w:t>
        </w:r>
      </w:hyperlink>
      <w:hyperlink r:id="rId4">
        <w:r w:rsidRPr="00083CB2">
          <w:rPr>
            <w:lang w:val="en-US"/>
          </w:rPr>
          <w:t>-</w:t>
        </w:r>
      </w:hyperlink>
      <w:hyperlink r:id="rId5">
        <w:r w:rsidRPr="00083CB2">
          <w:rPr>
            <w:lang w:val="en-US"/>
          </w:rPr>
          <w:t>content/EN/TXT/?uri=CELEX%3A52020JC0005</w:t>
        </w:r>
      </w:hyperlink>
      <w:hyperlink r:id="rId6">
        <w:r w:rsidRPr="00083CB2">
          <w:rPr>
            <w:color w:val="000000"/>
            <w:u w:val="none" w:color="000000"/>
            <w:lang w:val="en-US"/>
          </w:rPr>
          <w:t>.</w:t>
        </w:r>
      </w:hyperlink>
      <w:r w:rsidRPr="00083CB2">
        <w:rPr>
          <w:color w:val="000000"/>
          <w:u w:val="none" w:color="000000"/>
          <w:lang w:val="en-US"/>
        </w:rPr>
        <w:t xml:space="preserve">  </w:t>
      </w:r>
    </w:p>
  </w:footnote>
  <w:footnote w:id="2">
    <w:p w:rsidR="00083CB2" w:rsidRPr="00083CB2" w:rsidRDefault="00083CB2" w:rsidP="00083CB2">
      <w:pPr>
        <w:pStyle w:val="footnotedescription"/>
        <w:jc w:val="both"/>
        <w:rPr>
          <w:lang w:val="en-US"/>
        </w:rPr>
      </w:pPr>
      <w:r w:rsidRPr="00083CB2">
        <w:rPr>
          <w:rStyle w:val="footnotemark"/>
          <w:lang w:val="en-US"/>
        </w:rPr>
        <w:footnoteRef/>
      </w:r>
      <w:r w:rsidRPr="00083CB2">
        <w:rPr>
          <w:lang w:val="en-US"/>
        </w:rPr>
        <w:t xml:space="preserve"> </w:t>
      </w:r>
      <w:r w:rsidRPr="00083CB2">
        <w:rPr>
          <w:color w:val="000000"/>
          <w:u w:val="none" w:color="000000"/>
          <w:lang w:val="en-US"/>
        </w:rPr>
        <w:t xml:space="preserve">The European Union and the External Dimension of Human Rights Policy, COM (95) 567 final; The Inclusion of </w:t>
      </w:r>
    </w:p>
    <w:p w:rsidR="00083CB2" w:rsidRDefault="00083CB2" w:rsidP="00083CB2">
      <w:pPr>
        <w:pStyle w:val="footnotedescription"/>
        <w:spacing w:line="239" w:lineRule="auto"/>
        <w:ind w:right="9"/>
        <w:jc w:val="both"/>
      </w:pPr>
      <w:proofErr w:type="gramStart"/>
      <w:r w:rsidRPr="00083CB2">
        <w:rPr>
          <w:color w:val="000000"/>
          <w:u w:val="none" w:color="000000"/>
          <w:lang w:val="en-US"/>
        </w:rPr>
        <w:t xml:space="preserve">Respect for Democratic Principles and Human Rights in Agreements between the Community and Third Countries, COM (95) 216 final; </w:t>
      </w:r>
      <w:proofErr w:type="spellStart"/>
      <w:r w:rsidRPr="00083CB2">
        <w:rPr>
          <w:color w:val="000000"/>
          <w:u w:val="none" w:color="000000"/>
          <w:lang w:val="en-US"/>
        </w:rPr>
        <w:t>Democratisation</w:t>
      </w:r>
      <w:proofErr w:type="spellEnd"/>
      <w:r w:rsidRPr="00083CB2">
        <w:rPr>
          <w:color w:val="000000"/>
          <w:u w:val="none" w:color="000000"/>
          <w:lang w:val="en-US"/>
        </w:rPr>
        <w:t>, the Rule of Law, Respect for Human Rights and Good Governance: the Challenges of the Partnership between the European Union and the ACP States, COM (98) 146 final and Countering Racism, Xenophobia and Anti-Semitism in the Candidate Countries, COM (99) 256 final.</w:t>
      </w:r>
      <w:proofErr w:type="gramEnd"/>
      <w:r w:rsidRPr="00083CB2">
        <w:rPr>
          <w:color w:val="000000"/>
          <w:u w:val="none" w:color="000000"/>
          <w:lang w:val="en-US"/>
        </w:rPr>
        <w:t xml:space="preserve"> </w:t>
      </w:r>
      <w:proofErr w:type="gramStart"/>
      <w:r w:rsidRPr="00083CB2">
        <w:rPr>
          <w:color w:val="000000"/>
          <w:u w:val="none" w:color="000000"/>
          <w:lang w:val="en-US"/>
        </w:rPr>
        <w:t>Communication on EU Election Observation and Assistance COM (2000) 191 final; The European Union’s role in promoting human rights and democratization in third countries, COM (2001) 252 final; Human Rights and Democracy at the Heart of EU external action – towards a more effective approach COM(2011) 886 final; Action Plan on Human Rights and Democracy (2015-2019) “Keeping human rights at the heart of the EU agenda” JOIN(2015) 16 final; EU Action Plan on Human Rights and Democracy 2020-2024 JOIN(2020) 5 final.</w:t>
      </w:r>
      <w:proofErr w:type="gramEnd"/>
      <w:r w:rsidRPr="00083CB2">
        <w:rPr>
          <w:color w:val="000000"/>
          <w:u w:val="none" w:color="000000"/>
          <w:lang w:val="en-US"/>
        </w:rPr>
        <w:t xml:space="preserve"> </w:t>
      </w:r>
    </w:p>
  </w:footnote>
  <w:footnote w:id="3">
    <w:p w:rsidR="00083CB2" w:rsidRPr="00083CB2" w:rsidRDefault="00083CB2" w:rsidP="00083CB2">
      <w:pPr>
        <w:pStyle w:val="footnotedescription"/>
        <w:spacing w:line="258" w:lineRule="auto"/>
        <w:jc w:val="both"/>
        <w:rPr>
          <w:i/>
          <w:lang w:val="en-US"/>
        </w:rPr>
      </w:pPr>
      <w:r w:rsidRPr="00083CB2">
        <w:rPr>
          <w:rStyle w:val="footnotemark"/>
          <w:i/>
          <w:lang w:val="en-US"/>
        </w:rPr>
        <w:footnoteRef/>
      </w:r>
      <w:r w:rsidRPr="00083CB2">
        <w:rPr>
          <w:i/>
          <w:lang w:val="en-US"/>
        </w:rPr>
        <w:t xml:space="preserve"> </w:t>
      </w:r>
      <w:r w:rsidRPr="00083CB2">
        <w:rPr>
          <w:rFonts w:ascii="Calibri" w:eastAsia="Calibri" w:hAnsi="Calibri" w:cs="Calibri"/>
          <w:i/>
          <w:color w:val="000000"/>
          <w:u w:val="none" w:color="000000"/>
          <w:lang w:val="en-US"/>
        </w:rPr>
        <w:t xml:space="preserve">See </w:t>
      </w:r>
      <w:r w:rsidRPr="00083CB2">
        <w:rPr>
          <w:i/>
          <w:color w:val="000000"/>
          <w:u w:val="none" w:color="000000"/>
          <w:lang w:val="en-US"/>
        </w:rPr>
        <w:t xml:space="preserve">2015 Guidelines on the analysis of human rights impacts in impact assessments for trade-related policy initiatives at   </w:t>
      </w:r>
      <w:hyperlink r:id="rId7">
        <w:r w:rsidRPr="00083CB2">
          <w:rPr>
            <w:i/>
            <w:lang w:val="en-US"/>
          </w:rPr>
          <w:t>https://trade.ec.europa.eu/doclib/docs/2015/july/tradoc_153591.pdf</w:t>
        </w:r>
      </w:hyperlink>
      <w:hyperlink r:id="rId8">
        <w:r w:rsidRPr="00083CB2">
          <w:rPr>
            <w:i/>
            <w:color w:val="000000"/>
            <w:sz w:val="24"/>
            <w:u w:val="none" w:color="000000"/>
            <w:lang w:val="en-US"/>
          </w:rPr>
          <w:t xml:space="preserve"> </w:t>
        </w:r>
      </w:hyperlink>
      <w:r w:rsidRPr="00083CB2">
        <w:rPr>
          <w:rFonts w:ascii="Calibri" w:eastAsia="Calibri" w:hAnsi="Calibri" w:cs="Calibri"/>
          <w:i/>
          <w:color w:val="000000"/>
          <w:sz w:val="22"/>
          <w:u w:val="none" w:color="000000"/>
          <w:lang w:val="en-US"/>
        </w:rPr>
        <w:t xml:space="preserve"> </w:t>
      </w:r>
    </w:p>
  </w:footnote>
  <w:footnote w:id="4">
    <w:p w:rsidR="00083CB2" w:rsidRPr="00083CB2" w:rsidRDefault="00083CB2" w:rsidP="00083CB2">
      <w:pPr>
        <w:pStyle w:val="footnotedescription"/>
        <w:spacing w:after="3" w:line="252" w:lineRule="auto"/>
        <w:ind w:right="8"/>
        <w:jc w:val="both"/>
        <w:rPr>
          <w:i/>
          <w:lang w:val="en-US"/>
        </w:rPr>
      </w:pPr>
      <w:r w:rsidRPr="00083CB2">
        <w:rPr>
          <w:rStyle w:val="footnotemark"/>
          <w:i/>
          <w:lang w:val="en-US"/>
        </w:rPr>
        <w:footnoteRef/>
      </w:r>
      <w:r w:rsidRPr="00083CB2">
        <w:rPr>
          <w:i/>
          <w:lang w:val="en-US"/>
        </w:rPr>
        <w:t xml:space="preserve"> </w:t>
      </w:r>
      <w:r w:rsidRPr="00083CB2">
        <w:rPr>
          <w:i/>
          <w:color w:val="000000"/>
          <w:u w:val="none" w:color="000000"/>
          <w:lang w:val="en-US"/>
        </w:rPr>
        <w:t xml:space="preserve">See Communication from the Commission to the European Parliament, the Council, the European Economic and Social Committee and the Committee of the Regions, 18 February 2021 “Trade Policy Review – An Open, Sustainable and Assertive Trade Policy”, </w:t>
      </w:r>
      <w:hyperlink r:id="rId9">
        <w:r w:rsidRPr="00083CB2">
          <w:rPr>
            <w:i/>
            <w:lang w:val="en-US"/>
          </w:rPr>
          <w:t>https://trade.ec.europa.eu/doclib/docs/2021/february/tradoc_159438.pdf</w:t>
        </w:r>
      </w:hyperlink>
      <w:hyperlink r:id="rId10">
        <w:r w:rsidRPr="00083CB2">
          <w:rPr>
            <w:i/>
            <w:color w:val="000000"/>
            <w:u w:val="none" w:color="000000"/>
            <w:lang w:val="en-US"/>
          </w:rPr>
          <w:t>.</w:t>
        </w:r>
      </w:hyperlink>
      <w:r w:rsidRPr="00083CB2">
        <w:rPr>
          <w:i/>
          <w:color w:val="000000"/>
          <w:u w:val="none" w:color="000000"/>
          <w:lang w:val="en-US"/>
        </w:rPr>
        <w:t xml:space="preserve">  </w:t>
      </w:r>
    </w:p>
  </w:footnote>
  <w:footnote w:id="5">
    <w:p w:rsidR="00083CB2" w:rsidRPr="00083CB2" w:rsidRDefault="00083CB2" w:rsidP="00083CB2">
      <w:pPr>
        <w:pStyle w:val="footnotedescription"/>
        <w:spacing w:after="1"/>
        <w:rPr>
          <w:i/>
          <w:lang w:val="en-US"/>
        </w:rPr>
      </w:pPr>
      <w:r w:rsidRPr="00083CB2">
        <w:rPr>
          <w:rStyle w:val="footnotemark"/>
          <w:i/>
          <w:lang w:val="en-US"/>
        </w:rPr>
        <w:footnoteRef/>
      </w:r>
      <w:r w:rsidRPr="00083CB2">
        <w:rPr>
          <w:i/>
          <w:lang w:val="en-US"/>
        </w:rPr>
        <w:t xml:space="preserve"> </w:t>
      </w:r>
      <w:r w:rsidRPr="00083CB2">
        <w:rPr>
          <w:i/>
          <w:color w:val="000000"/>
          <w:u w:val="none" w:color="000000"/>
          <w:lang w:val="en-US"/>
        </w:rPr>
        <w:t xml:space="preserve">See </w:t>
      </w:r>
      <w:hyperlink r:id="rId11">
        <w:r w:rsidRPr="00083CB2">
          <w:rPr>
            <w:i/>
            <w:lang w:val="en-US"/>
          </w:rPr>
          <w:t>https://ec.europa.eu/info/strategy/priorities</w:t>
        </w:r>
      </w:hyperlink>
      <w:hyperlink r:id="rId12">
        <w:r w:rsidRPr="00083CB2">
          <w:rPr>
            <w:i/>
            <w:lang w:val="en-US"/>
          </w:rPr>
          <w:t>-</w:t>
        </w:r>
      </w:hyperlink>
      <w:hyperlink r:id="rId13">
        <w:r w:rsidRPr="00083CB2">
          <w:rPr>
            <w:i/>
            <w:lang w:val="en-US"/>
          </w:rPr>
          <w:t>2019</w:t>
        </w:r>
      </w:hyperlink>
      <w:hyperlink r:id="rId14">
        <w:r w:rsidRPr="00083CB2">
          <w:rPr>
            <w:i/>
            <w:lang w:val="en-US"/>
          </w:rPr>
          <w:t>-</w:t>
        </w:r>
      </w:hyperlink>
      <w:hyperlink r:id="rId15">
        <w:r w:rsidRPr="00083CB2">
          <w:rPr>
            <w:i/>
            <w:lang w:val="en-US"/>
          </w:rPr>
          <w:t>2024/european</w:t>
        </w:r>
      </w:hyperlink>
      <w:hyperlink r:id="rId16">
        <w:r w:rsidRPr="00083CB2">
          <w:rPr>
            <w:i/>
            <w:lang w:val="en-US"/>
          </w:rPr>
          <w:t>-</w:t>
        </w:r>
      </w:hyperlink>
      <w:hyperlink r:id="rId17">
        <w:r w:rsidRPr="00083CB2">
          <w:rPr>
            <w:i/>
            <w:lang w:val="en-US"/>
          </w:rPr>
          <w:t>green</w:t>
        </w:r>
      </w:hyperlink>
      <w:hyperlink r:id="rId18">
        <w:r w:rsidRPr="00083CB2">
          <w:rPr>
            <w:i/>
            <w:lang w:val="en-US"/>
          </w:rPr>
          <w:t>-</w:t>
        </w:r>
      </w:hyperlink>
      <w:hyperlink r:id="rId19">
        <w:r w:rsidRPr="00083CB2">
          <w:rPr>
            <w:i/>
            <w:lang w:val="en-US"/>
          </w:rPr>
          <w:t>deal_en</w:t>
        </w:r>
      </w:hyperlink>
      <w:hyperlink r:id="rId20">
        <w:r w:rsidRPr="00083CB2">
          <w:rPr>
            <w:i/>
            <w:color w:val="000000"/>
            <w:u w:val="none" w:color="000000"/>
            <w:lang w:val="en-US"/>
          </w:rPr>
          <w:t xml:space="preserve"> </w:t>
        </w:r>
      </w:hyperlink>
    </w:p>
  </w:footnote>
  <w:footnote w:id="6">
    <w:p w:rsidR="00083CB2" w:rsidRDefault="00083CB2" w:rsidP="00083CB2">
      <w:pPr>
        <w:pStyle w:val="footnotedescription"/>
      </w:pPr>
      <w:r w:rsidRPr="00083CB2">
        <w:rPr>
          <w:rStyle w:val="footnotemark"/>
          <w:i/>
          <w:lang w:val="en-US"/>
        </w:rPr>
        <w:footnoteRef/>
      </w:r>
      <w:r w:rsidRPr="00083CB2">
        <w:rPr>
          <w:i/>
          <w:lang w:val="en-US"/>
        </w:rPr>
        <w:t xml:space="preserve"> </w:t>
      </w:r>
      <w:r w:rsidRPr="00083CB2">
        <w:rPr>
          <w:i/>
          <w:color w:val="000000"/>
          <w:u w:val="none" w:color="000000"/>
          <w:lang w:val="en-US"/>
        </w:rPr>
        <w:t xml:space="preserve">See </w:t>
      </w:r>
      <w:hyperlink r:id="rId21">
        <w:r w:rsidRPr="00083CB2">
          <w:rPr>
            <w:i/>
            <w:lang w:val="en-US"/>
          </w:rPr>
          <w:t>https://eur</w:t>
        </w:r>
      </w:hyperlink>
      <w:hyperlink r:id="rId22">
        <w:r w:rsidRPr="00083CB2">
          <w:rPr>
            <w:i/>
            <w:lang w:val="en-US"/>
          </w:rPr>
          <w:t>-</w:t>
        </w:r>
      </w:hyperlink>
      <w:hyperlink r:id="rId23">
        <w:r w:rsidRPr="00083CB2">
          <w:rPr>
            <w:i/>
            <w:lang w:val="en-US"/>
          </w:rPr>
          <w:t>lex.europa.eu/legal</w:t>
        </w:r>
      </w:hyperlink>
      <w:hyperlink r:id="rId24">
        <w:r w:rsidRPr="00083CB2">
          <w:rPr>
            <w:i/>
            <w:lang w:val="en-US"/>
          </w:rPr>
          <w:t>-</w:t>
        </w:r>
      </w:hyperlink>
      <w:hyperlink r:id="rId25">
        <w:r w:rsidRPr="00083CB2">
          <w:rPr>
            <w:i/>
            <w:lang w:val="en-US"/>
          </w:rPr>
          <w:t>content/EN/TXT/?uri=CELEX%3A52020JC0005</w:t>
        </w:r>
      </w:hyperlink>
      <w:hyperlink r:id="rId26">
        <w:r w:rsidRPr="00083CB2">
          <w:rPr>
            <w:i/>
            <w:color w:val="000000"/>
            <w:u w:val="none" w:color="000000"/>
            <w:lang w:val="en-US"/>
          </w:rPr>
          <w:t xml:space="preserve"> </w:t>
        </w:r>
      </w:hyperlink>
      <w:r w:rsidRPr="00083CB2">
        <w:rPr>
          <w:i/>
          <w:color w:val="000000"/>
          <w:u w:val="none" w:color="000000"/>
          <w:lang w:val="en-US"/>
        </w:rPr>
        <w:t xml:space="preserve"> </w:t>
      </w:r>
    </w:p>
  </w:footnote>
  <w:footnote w:id="7">
    <w:p w:rsidR="00083CB2" w:rsidRPr="00083CB2" w:rsidRDefault="00083CB2" w:rsidP="00083CB2">
      <w:pPr>
        <w:pStyle w:val="footnotedescription"/>
        <w:rPr>
          <w:lang w:val="en-US"/>
        </w:rPr>
      </w:pPr>
      <w:r w:rsidRPr="00083CB2">
        <w:rPr>
          <w:rStyle w:val="footnotemark"/>
          <w:lang w:val="en-US"/>
        </w:rPr>
        <w:footnoteRef/>
      </w:r>
      <w:r w:rsidRPr="00083CB2">
        <w:rPr>
          <w:lang w:val="en-US"/>
        </w:rPr>
        <w:t xml:space="preserve"> </w:t>
      </w:r>
      <w:r w:rsidRPr="00083CB2">
        <w:rPr>
          <w:color w:val="000000"/>
          <w:u w:val="none" w:color="000000"/>
          <w:lang w:val="en-US"/>
        </w:rPr>
        <w:t xml:space="preserve">For more information see: </w:t>
      </w:r>
      <w:hyperlink r:id="rId27">
        <w:r w:rsidRPr="00083CB2">
          <w:rPr>
            <w:lang w:val="en-US"/>
          </w:rPr>
          <w:t>https://ec.europa.eu/trade/policy/policy</w:t>
        </w:r>
      </w:hyperlink>
      <w:hyperlink r:id="rId28">
        <w:r w:rsidRPr="00083CB2">
          <w:rPr>
            <w:lang w:val="en-US"/>
          </w:rPr>
          <w:t>-</w:t>
        </w:r>
      </w:hyperlink>
      <w:hyperlink r:id="rId29">
        <w:r w:rsidRPr="00083CB2">
          <w:rPr>
            <w:lang w:val="en-US"/>
          </w:rPr>
          <w:t>making/analysis/policy</w:t>
        </w:r>
      </w:hyperlink>
      <w:hyperlink r:id="rId30">
        <w:r w:rsidRPr="00083CB2">
          <w:rPr>
            <w:lang w:val="en-US"/>
          </w:rPr>
          <w:t>-</w:t>
        </w:r>
      </w:hyperlink>
      <w:hyperlink r:id="rId31">
        <w:r w:rsidRPr="00083CB2">
          <w:rPr>
            <w:lang w:val="en-US"/>
          </w:rPr>
          <w:t>evaluation/</w:t>
        </w:r>
      </w:hyperlink>
      <w:hyperlink r:id="rId32">
        <w:r w:rsidRPr="00083CB2">
          <w:rPr>
            <w:color w:val="000000"/>
            <w:u w:val="none" w:color="000000"/>
            <w:lang w:val="en-US"/>
          </w:rPr>
          <w:t>.</w:t>
        </w:r>
      </w:hyperlink>
      <w:r w:rsidRPr="00083CB2">
        <w:rPr>
          <w:color w:val="000000"/>
          <w:u w:val="none" w:color="000000"/>
          <w:lang w:val="en-US"/>
        </w:rPr>
        <w:t xml:space="preserve">  </w:t>
      </w:r>
    </w:p>
  </w:footnote>
  <w:footnote w:id="8">
    <w:p w:rsidR="00083CB2" w:rsidRPr="002B0BDD" w:rsidRDefault="00083CB2" w:rsidP="002B0BDD">
      <w:pPr>
        <w:pStyle w:val="footnotedescription"/>
        <w:spacing w:line="258" w:lineRule="auto"/>
        <w:ind w:right="2307"/>
        <w:rPr>
          <w:color w:val="000000"/>
          <w:u w:val="none" w:color="000000"/>
          <w:lang w:val="en-US"/>
        </w:rPr>
      </w:pPr>
      <w:r w:rsidRPr="00083CB2">
        <w:rPr>
          <w:rStyle w:val="footnotemark"/>
          <w:lang w:val="en-US"/>
        </w:rPr>
        <w:footnoteRef/>
      </w:r>
      <w:r w:rsidRPr="00083CB2">
        <w:rPr>
          <w:color w:val="000000"/>
          <w:u w:val="none" w:color="000000"/>
          <w:lang w:val="en-US"/>
        </w:rPr>
        <w:t>See</w:t>
      </w:r>
      <w:hyperlink r:id="rId33">
        <w:r w:rsidRPr="00083CB2">
          <w:rPr>
            <w:lang w:val="en-US"/>
          </w:rPr>
          <w:t>https://eur</w:t>
        </w:r>
      </w:hyperlink>
      <w:r w:rsidRPr="00083CB2">
        <w:rPr>
          <w:lang w:val="en-US"/>
        </w:rPr>
        <w:t>lex.europa.eu/legalcontent/EN/TXT/?uri=CELEX%3A32017R0821</w:t>
      </w:r>
    </w:p>
  </w:footnote>
  <w:footnote w:id="9">
    <w:p w:rsidR="00E04857" w:rsidRDefault="00E04857">
      <w:pPr>
        <w:pStyle w:val="Lbjegyzetszveg"/>
      </w:pPr>
      <w:r>
        <w:rPr>
          <w:rStyle w:val="Lbjegyzet-hivatkozs"/>
        </w:rPr>
        <w:footnoteRef/>
      </w:r>
      <w:r>
        <w:t xml:space="preserve"> </w:t>
      </w:r>
      <w:r w:rsidR="002B0BDD">
        <w:t xml:space="preserve"> </w:t>
      </w:r>
      <w:r w:rsidR="002B0BDD" w:rsidRPr="00083CB2">
        <w:rPr>
          <w:color w:val="000000"/>
          <w:u w:color="000000"/>
          <w:lang w:val="en-US"/>
        </w:rPr>
        <w:t xml:space="preserve">See </w:t>
      </w:r>
      <w:hyperlink r:id="rId34">
        <w:r w:rsidR="002B0BDD" w:rsidRPr="002B0BDD">
          <w:rPr>
            <w:rFonts w:ascii="Times New Roman" w:eastAsia="Times New Roman" w:hAnsi="Times New Roman" w:cs="Times New Roman"/>
            <w:color w:val="0563C1"/>
            <w:szCs w:val="22"/>
            <w:u w:val="single" w:color="0563C1"/>
            <w:lang w:val="en-US" w:eastAsia="hu-HU"/>
          </w:rPr>
          <w:t>http://trade.ec.europa.eu/consultations/index.cfm?consul_id=179</w:t>
        </w:r>
      </w:hyperlink>
    </w:p>
  </w:footnote>
  <w:footnote w:id="10">
    <w:p w:rsidR="00E04857" w:rsidRPr="002B0BDD" w:rsidRDefault="00E04857">
      <w:pPr>
        <w:pStyle w:val="Lbjegyzetszveg"/>
        <w:rPr>
          <w:lang w:val="en-US"/>
        </w:rPr>
      </w:pPr>
      <w:r w:rsidRPr="002B0BDD">
        <w:rPr>
          <w:rStyle w:val="Lbjegyzet-hivatkozs"/>
          <w:lang w:val="en-US"/>
        </w:rPr>
        <w:footnoteRef/>
      </w:r>
      <w:r w:rsidRPr="002B0BDD">
        <w:rPr>
          <w:lang w:val="en-US"/>
        </w:rPr>
        <w:t xml:space="preserve"> </w:t>
      </w:r>
      <w:r w:rsidR="002B0BDD" w:rsidRPr="002B0BDD">
        <w:rPr>
          <w:rFonts w:ascii="Times New Roman" w:hAnsi="Times New Roman" w:cs="Times New Roman"/>
          <w:lang w:val="en-US"/>
        </w:rPr>
        <w:t xml:space="preserve">For more details, see </w:t>
      </w:r>
      <w:r w:rsidR="002B0BDD" w:rsidRPr="002B0BDD">
        <w:rPr>
          <w:rFonts w:ascii="Times New Roman" w:eastAsia="Times New Roman" w:hAnsi="Times New Roman" w:cs="Times New Roman"/>
          <w:color w:val="0563C1"/>
          <w:szCs w:val="22"/>
          <w:u w:val="single" w:color="0563C1"/>
          <w:lang w:val="en-US" w:eastAsia="hu-HU"/>
        </w:rPr>
        <w:t>http://trade.ec.europa.eu/doclib/press/index.cfm?id=1608</w:t>
      </w:r>
      <w:r w:rsidR="002B0BDD" w:rsidRPr="002B0BDD">
        <w:rPr>
          <w:rFonts w:ascii="Times New Roman" w:hAnsi="Times New Roman" w:cs="Times New Roman"/>
          <w:lang w:val="en-US"/>
        </w:rPr>
        <w:t xml:space="preserve"> and the European Union and Member States’ submission to UNCITRAL </w:t>
      </w:r>
      <w:proofErr w:type="gramStart"/>
      <w:r w:rsidR="002B0BDD" w:rsidRPr="002B0BDD">
        <w:rPr>
          <w:rFonts w:ascii="Times New Roman" w:hAnsi="Times New Roman" w:cs="Times New Roman"/>
          <w:lang w:val="en-US"/>
        </w:rPr>
        <w:t>on a standing mechanisms</w:t>
      </w:r>
      <w:proofErr w:type="gramEnd"/>
      <w:r w:rsidR="002B0BDD" w:rsidRPr="002B0BDD">
        <w:rPr>
          <w:rFonts w:ascii="Times New Roman" w:hAnsi="Times New Roman" w:cs="Times New Roman"/>
          <w:lang w:val="en-US"/>
        </w:rPr>
        <w:t xml:space="preserve"> for the settlement of international investment disputes </w:t>
      </w:r>
      <w:r w:rsidR="002B0BDD" w:rsidRPr="002B0BDD">
        <w:rPr>
          <w:rFonts w:ascii="Times New Roman" w:eastAsia="Times New Roman" w:hAnsi="Times New Roman" w:cs="Times New Roman"/>
          <w:color w:val="0563C1"/>
          <w:szCs w:val="22"/>
          <w:u w:val="single" w:color="0563C1"/>
          <w:lang w:val="en-US" w:eastAsia="hu-HU"/>
        </w:rPr>
        <w:t xml:space="preserve">http://undocs.org/en/A/CN.9/WG.III/WP.159/Add.1.  </w:t>
      </w:r>
    </w:p>
  </w:footnote>
  <w:footnote w:id="11">
    <w:p w:rsidR="00083CB2" w:rsidRPr="002B0BDD" w:rsidRDefault="00083CB2" w:rsidP="002B0BDD">
      <w:pPr>
        <w:pStyle w:val="footnotedescription"/>
        <w:spacing w:after="3"/>
        <w:jc w:val="both"/>
        <w:rPr>
          <w:lang w:val="en-US"/>
        </w:rPr>
      </w:pPr>
      <w:r w:rsidRPr="002B0BDD">
        <w:rPr>
          <w:rStyle w:val="footnotemark"/>
          <w:lang w:val="en-US"/>
        </w:rPr>
        <w:footnoteRef/>
      </w:r>
      <w:r w:rsidRPr="002B0BDD">
        <w:rPr>
          <w:lang w:val="en-US"/>
        </w:rPr>
        <w:t xml:space="preserve"> </w:t>
      </w:r>
      <w:r w:rsidRPr="002B0BDD">
        <w:rPr>
          <w:color w:val="000000"/>
          <w:u w:val="none" w:color="000000"/>
          <w:lang w:val="en-US"/>
        </w:rPr>
        <w:t xml:space="preserve">See Delivering on the UN’s Sustainable Development Goals – A comprehensive approach </w:t>
      </w:r>
      <w:proofErr w:type="gramStart"/>
      <w:r w:rsidRPr="002B0BDD">
        <w:rPr>
          <w:color w:val="000000"/>
          <w:u w:val="none" w:color="000000"/>
          <w:lang w:val="en-US"/>
        </w:rPr>
        <w:t>SWD(</w:t>
      </w:r>
      <w:proofErr w:type="gramEnd"/>
      <w:r w:rsidRPr="002B0BDD">
        <w:rPr>
          <w:color w:val="000000"/>
          <w:u w:val="none" w:color="000000"/>
          <w:lang w:val="en-US"/>
        </w:rPr>
        <w:t xml:space="preserve">2020) 400 final.  </w:t>
      </w:r>
    </w:p>
  </w:footnote>
  <w:footnote w:id="12">
    <w:p w:rsidR="00083CB2" w:rsidRPr="002B0BDD" w:rsidRDefault="00083CB2" w:rsidP="002B0BDD">
      <w:pPr>
        <w:pStyle w:val="footnotedescription"/>
        <w:jc w:val="both"/>
        <w:rPr>
          <w:lang w:val="en-US"/>
        </w:rPr>
      </w:pPr>
      <w:r w:rsidRPr="002B0BDD">
        <w:rPr>
          <w:rStyle w:val="footnotemark"/>
          <w:lang w:val="en-US"/>
        </w:rPr>
        <w:footnoteRef/>
      </w:r>
      <w:r w:rsidRPr="002B0BDD">
        <w:rPr>
          <w:lang w:val="en-US"/>
        </w:rPr>
        <w:t xml:space="preserve"> </w:t>
      </w:r>
      <w:r w:rsidRPr="002B0BDD">
        <w:rPr>
          <w:color w:val="000000"/>
          <w:u w:val="none" w:color="000000"/>
          <w:lang w:val="en-US"/>
        </w:rPr>
        <w:t xml:space="preserve">See OECD Policy Responses to Coronavirus (COVID-19) Building back better: A sustainable, resilient recovery </w:t>
      </w:r>
      <w:r w:rsidR="002B0BDD" w:rsidRPr="002B0BDD">
        <w:rPr>
          <w:szCs w:val="20"/>
          <w:lang w:val="en-US"/>
        </w:rPr>
        <w:t xml:space="preserve">after COVID-19 https://www.oecd.org/coronavirus/policy-responses/building-back-better-a-sustainable-resilient-recovery-after-covid-19-52b869f5/. </w:t>
      </w:r>
      <w:r w:rsidR="002B0BDD" w:rsidRPr="002B0BDD">
        <w:rPr>
          <w:lang w:val="en-US"/>
        </w:rPr>
        <w:t xml:space="preserve"> </w:t>
      </w:r>
    </w:p>
  </w:footnote>
  <w:footnote w:id="13">
    <w:p w:rsidR="002B0BDD" w:rsidRDefault="002B0BDD" w:rsidP="002B0BDD">
      <w:pPr>
        <w:pStyle w:val="Lbjegyzetszveg"/>
        <w:jc w:val="both"/>
      </w:pPr>
      <w:r w:rsidRPr="002B0BDD">
        <w:rPr>
          <w:rStyle w:val="Lbjegyzet-hivatkozs"/>
          <w:rFonts w:ascii="Times New Roman" w:hAnsi="Times New Roman" w:cs="Times New Roman"/>
          <w:lang w:val="en-US"/>
        </w:rPr>
        <w:footnoteRef/>
      </w:r>
      <w:r w:rsidRPr="002B0BDD">
        <w:rPr>
          <w:rFonts w:ascii="Times New Roman" w:hAnsi="Times New Roman" w:cs="Times New Roman"/>
          <w:lang w:val="en-US"/>
        </w:rPr>
        <w:t xml:space="preserve"> See Recovery Plan for Europe available at:</w:t>
      </w:r>
      <w:r w:rsidRPr="002B0BDD">
        <w:rPr>
          <w:rFonts w:ascii="Times New Roman" w:eastAsia="Times New Roman" w:hAnsi="Times New Roman" w:cs="Times New Roman"/>
          <w:color w:val="0563C1"/>
          <w:u w:val="single" w:color="0563C1"/>
          <w:lang w:val="en-US" w:eastAsia="hu-HU"/>
        </w:rPr>
        <w:t xml:space="preserve"> https://ec.europa.eu/info/strategy/recovery-plan-europe_en#background</w:t>
      </w:r>
      <w:r>
        <w:t xml:space="preserve">  </w:t>
      </w:r>
    </w:p>
  </w:footnote>
  <w:footnote w:id="14">
    <w:p w:rsidR="00083CB2" w:rsidRPr="002B0BDD" w:rsidRDefault="00083CB2" w:rsidP="00083CB2">
      <w:pPr>
        <w:pStyle w:val="footnotedescription"/>
        <w:rPr>
          <w:lang w:val="en-US"/>
        </w:rPr>
      </w:pPr>
      <w:r w:rsidRPr="002B0BDD">
        <w:rPr>
          <w:rStyle w:val="footnotemark"/>
          <w:lang w:val="en-US"/>
        </w:rPr>
        <w:footnoteRef/>
      </w:r>
      <w:r w:rsidRPr="002B0BDD">
        <w:rPr>
          <w:lang w:val="en-US"/>
        </w:rPr>
        <w:t xml:space="preserve"> </w:t>
      </w:r>
      <w:r w:rsidRPr="002B0BDD">
        <w:rPr>
          <w:color w:val="000000"/>
          <w:u w:val="none" w:color="000000"/>
          <w:lang w:val="en-US"/>
        </w:rPr>
        <w:t xml:space="preserve">See Report on EU Timber Regulation </w:t>
      </w:r>
      <w:proofErr w:type="gramStart"/>
      <w:r w:rsidRPr="002B0BDD">
        <w:rPr>
          <w:color w:val="000000"/>
          <w:u w:val="none" w:color="000000"/>
          <w:lang w:val="en-US"/>
        </w:rPr>
        <w:t>COM(</w:t>
      </w:r>
      <w:proofErr w:type="gramEnd"/>
      <w:r w:rsidRPr="002B0BDD">
        <w:rPr>
          <w:color w:val="000000"/>
          <w:u w:val="none" w:color="000000"/>
          <w:lang w:val="en-US"/>
        </w:rPr>
        <w:t xml:space="preserve">2016) 74 final. </w:t>
      </w:r>
    </w:p>
  </w:footnote>
  <w:footnote w:id="15">
    <w:p w:rsidR="00083CB2" w:rsidRDefault="00083CB2" w:rsidP="001B49CA">
      <w:pPr>
        <w:pStyle w:val="footnotedescription"/>
        <w:spacing w:line="249" w:lineRule="auto"/>
      </w:pPr>
      <w:r>
        <w:rPr>
          <w:rStyle w:val="footnotemark"/>
        </w:rPr>
        <w:footnoteRef/>
      </w:r>
      <w:r>
        <w:t xml:space="preserve"> </w:t>
      </w:r>
      <w:proofErr w:type="spellStart"/>
      <w:r w:rsidR="001B49CA">
        <w:rPr>
          <w:color w:val="000000"/>
          <w:u w:val="none" w:color="000000"/>
        </w:rPr>
        <w:t>See</w:t>
      </w:r>
      <w:proofErr w:type="spellEnd"/>
      <w:r w:rsidR="001B49CA">
        <w:rPr>
          <w:color w:val="000000"/>
          <w:u w:val="none" w:color="000000"/>
        </w:rPr>
        <w:t xml:space="preserve"> </w:t>
      </w:r>
      <w:r w:rsidR="001B49CA">
        <w:rPr>
          <w:color w:val="000000"/>
          <w:u w:val="none" w:color="000000"/>
        </w:rPr>
        <w:tab/>
      </w:r>
      <w:proofErr w:type="spellStart"/>
      <w:r w:rsidR="001B49CA">
        <w:rPr>
          <w:color w:val="000000"/>
          <w:u w:val="none" w:color="000000"/>
        </w:rPr>
        <w:t>Article</w:t>
      </w:r>
      <w:proofErr w:type="spellEnd"/>
      <w:r w:rsidR="001B49CA">
        <w:rPr>
          <w:color w:val="000000"/>
          <w:u w:val="none" w:color="000000"/>
        </w:rPr>
        <w:t xml:space="preserve"> </w:t>
      </w:r>
      <w:r w:rsidR="001B49CA">
        <w:rPr>
          <w:color w:val="000000"/>
          <w:u w:val="none" w:color="000000"/>
        </w:rPr>
        <w:tab/>
      </w:r>
      <w:proofErr w:type="gramStart"/>
      <w:r w:rsidR="001B49CA">
        <w:rPr>
          <w:color w:val="000000"/>
          <w:u w:val="none" w:color="000000"/>
        </w:rPr>
        <w:t>4(</w:t>
      </w:r>
      <w:proofErr w:type="gramEnd"/>
      <w:r w:rsidR="001B49CA">
        <w:rPr>
          <w:color w:val="000000"/>
          <w:u w:val="none" w:color="000000"/>
        </w:rPr>
        <w:t xml:space="preserve">e) of </w:t>
      </w:r>
      <w:r w:rsidR="001B49CA">
        <w:rPr>
          <w:color w:val="000000"/>
          <w:u w:val="none" w:color="000000"/>
        </w:rPr>
        <w:tab/>
      </w:r>
      <w:proofErr w:type="spellStart"/>
      <w:r w:rsidR="001B49CA">
        <w:rPr>
          <w:color w:val="000000"/>
          <w:u w:val="none" w:color="000000"/>
        </w:rPr>
        <w:t>the</w:t>
      </w:r>
      <w:proofErr w:type="spellEnd"/>
      <w:r w:rsidR="001B49CA">
        <w:rPr>
          <w:color w:val="000000"/>
          <w:u w:val="none" w:color="000000"/>
        </w:rPr>
        <w:t xml:space="preserve"> EU </w:t>
      </w:r>
      <w:proofErr w:type="spellStart"/>
      <w:r>
        <w:rPr>
          <w:color w:val="000000"/>
          <w:u w:val="none" w:color="000000"/>
        </w:rPr>
        <w:t>Resp</w:t>
      </w:r>
      <w:r w:rsidR="001B49CA">
        <w:rPr>
          <w:color w:val="000000"/>
          <w:u w:val="none" w:color="000000"/>
        </w:rPr>
        <w:t>onsible</w:t>
      </w:r>
      <w:proofErr w:type="spellEnd"/>
      <w:r w:rsidR="001B49CA">
        <w:rPr>
          <w:color w:val="000000"/>
          <w:u w:val="none" w:color="000000"/>
        </w:rPr>
        <w:t xml:space="preserve"> </w:t>
      </w:r>
      <w:proofErr w:type="spellStart"/>
      <w:r w:rsidR="001B49CA">
        <w:rPr>
          <w:color w:val="000000"/>
          <w:u w:val="none" w:color="000000"/>
        </w:rPr>
        <w:t>Minerals</w:t>
      </w:r>
      <w:proofErr w:type="spellEnd"/>
      <w:r w:rsidR="001B49CA">
        <w:rPr>
          <w:color w:val="000000"/>
          <w:u w:val="none" w:color="000000"/>
        </w:rPr>
        <w:t xml:space="preserve"> </w:t>
      </w:r>
      <w:proofErr w:type="spellStart"/>
      <w:r w:rsidR="001B49CA">
        <w:rPr>
          <w:color w:val="000000"/>
          <w:u w:val="none" w:color="000000"/>
        </w:rPr>
        <w:t>Regulation</w:t>
      </w:r>
      <w:proofErr w:type="spellEnd"/>
      <w:r w:rsidR="001B49CA">
        <w:rPr>
          <w:color w:val="000000"/>
          <w:u w:val="none" w:color="000000"/>
        </w:rPr>
        <w:t xml:space="preserve">: </w:t>
      </w:r>
      <w:hyperlink r:id="rId35">
        <w:r>
          <w:t>https://eur</w:t>
        </w:r>
      </w:hyperlink>
      <w:r>
        <w:t>-</w:t>
      </w:r>
      <w:hyperlink r:id="rId36">
        <w:r>
          <w:t>lex.europa.eu/legal</w:t>
        </w:r>
      </w:hyperlink>
      <w:hyperlink r:id="rId37"/>
      <w:hyperlink r:id="rId38">
        <w:r>
          <w:t>content/EN/TXT/?uri=CELEX%3A32017R0821</w:t>
        </w:r>
      </w:hyperlink>
      <w:hyperlink r:id="rId39">
        <w:r>
          <w:rPr>
            <w:color w:val="000000"/>
            <w:u w:val="none" w:color="000000"/>
          </w:rPr>
          <w:t>.</w:t>
        </w:r>
      </w:hyperlink>
      <w:r>
        <w:rPr>
          <w:color w:val="000000"/>
          <w:u w:val="none" w:color="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65E53"/>
    <w:multiLevelType w:val="hybridMultilevel"/>
    <w:tmpl w:val="6DFE35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07160DF"/>
    <w:multiLevelType w:val="hybridMultilevel"/>
    <w:tmpl w:val="1F3ED45C"/>
    <w:lvl w:ilvl="0" w:tplc="599C3622">
      <w:start w:val="1"/>
      <w:numFmt w:val="decimal"/>
      <w:lvlText w:val="%1."/>
      <w:lvlJc w:val="left"/>
      <w:pPr>
        <w:ind w:left="105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1FAD112">
      <w:start w:val="1"/>
      <w:numFmt w:val="lowerLetter"/>
      <w:lvlText w:val="(%2.)"/>
      <w:lvlJc w:val="left"/>
      <w:pPr>
        <w:ind w:left="143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30CC5CA0">
      <w:start w:val="1"/>
      <w:numFmt w:val="lowerRoman"/>
      <w:lvlText w:val="%3"/>
      <w:lvlJc w:val="left"/>
      <w:pPr>
        <w:ind w:left="150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FC08D20">
      <w:start w:val="1"/>
      <w:numFmt w:val="decimal"/>
      <w:lvlText w:val="%4"/>
      <w:lvlJc w:val="left"/>
      <w:pPr>
        <w:ind w:left="222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A4F4CD9E">
      <w:start w:val="1"/>
      <w:numFmt w:val="lowerLetter"/>
      <w:lvlText w:val="%5"/>
      <w:lvlJc w:val="left"/>
      <w:pPr>
        <w:ind w:left="294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64652A8">
      <w:start w:val="1"/>
      <w:numFmt w:val="lowerRoman"/>
      <w:lvlText w:val="%6"/>
      <w:lvlJc w:val="left"/>
      <w:pPr>
        <w:ind w:left="366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7028130">
      <w:start w:val="1"/>
      <w:numFmt w:val="decimal"/>
      <w:lvlText w:val="%7"/>
      <w:lvlJc w:val="left"/>
      <w:pPr>
        <w:ind w:left="438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9488B9DC">
      <w:start w:val="1"/>
      <w:numFmt w:val="lowerLetter"/>
      <w:lvlText w:val="%8"/>
      <w:lvlJc w:val="left"/>
      <w:pPr>
        <w:ind w:left="510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E6C092E">
      <w:start w:val="1"/>
      <w:numFmt w:val="lowerRoman"/>
      <w:lvlText w:val="%9"/>
      <w:lvlJc w:val="left"/>
      <w:pPr>
        <w:ind w:left="582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8D3439"/>
    <w:multiLevelType w:val="hybridMultilevel"/>
    <w:tmpl w:val="6DFE35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B6721F5"/>
    <w:multiLevelType w:val="hybridMultilevel"/>
    <w:tmpl w:val="E624A028"/>
    <w:lvl w:ilvl="0" w:tplc="BED8FD9E">
      <w:start w:val="4"/>
      <w:numFmt w:val="decimal"/>
      <w:lvlText w:val="%1."/>
      <w:lvlJc w:val="left"/>
      <w:pPr>
        <w:ind w:left="8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ABCDA0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D66134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0D0D11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884C40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EE89FE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1EC318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AB6316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782437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893496"/>
    <w:multiLevelType w:val="hybridMultilevel"/>
    <w:tmpl w:val="6DFE35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3761E39"/>
    <w:multiLevelType w:val="hybridMultilevel"/>
    <w:tmpl w:val="30580C96"/>
    <w:lvl w:ilvl="0" w:tplc="36A85AFC">
      <w:start w:val="1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51E2BFC">
      <w:start w:val="1"/>
      <w:numFmt w:val="lowerLetter"/>
      <w:lvlText w:val="%2"/>
      <w:lvlJc w:val="left"/>
      <w:pPr>
        <w:ind w:left="1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4A81516">
      <w:start w:val="1"/>
      <w:numFmt w:val="lowerRoman"/>
      <w:lvlText w:val="%3"/>
      <w:lvlJc w:val="left"/>
      <w:pPr>
        <w:ind w:left="19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C7699E8">
      <w:start w:val="1"/>
      <w:numFmt w:val="decimal"/>
      <w:lvlText w:val="%4"/>
      <w:lvlJc w:val="left"/>
      <w:pPr>
        <w:ind w:left="2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E62CB96">
      <w:start w:val="1"/>
      <w:numFmt w:val="lowerLetter"/>
      <w:lvlText w:val="%5"/>
      <w:lvlJc w:val="left"/>
      <w:pPr>
        <w:ind w:left="33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BC2AE30">
      <w:start w:val="1"/>
      <w:numFmt w:val="lowerRoman"/>
      <w:lvlText w:val="%6"/>
      <w:lvlJc w:val="left"/>
      <w:pPr>
        <w:ind w:left="41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7C3DB0">
      <w:start w:val="1"/>
      <w:numFmt w:val="decimal"/>
      <w:lvlText w:val="%7"/>
      <w:lvlJc w:val="left"/>
      <w:pPr>
        <w:ind w:left="4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A4018E">
      <w:start w:val="1"/>
      <w:numFmt w:val="lowerLetter"/>
      <w:lvlText w:val="%8"/>
      <w:lvlJc w:val="left"/>
      <w:pPr>
        <w:ind w:left="55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A8EA18E">
      <w:start w:val="1"/>
      <w:numFmt w:val="lowerRoman"/>
      <w:lvlText w:val="%9"/>
      <w:lvlJc w:val="left"/>
      <w:pPr>
        <w:ind w:left="62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64F24FF"/>
    <w:multiLevelType w:val="hybridMultilevel"/>
    <w:tmpl w:val="6DFE35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81"/>
    <w:rsid w:val="00021A09"/>
    <w:rsid w:val="00083CB2"/>
    <w:rsid w:val="000F618B"/>
    <w:rsid w:val="00103EB6"/>
    <w:rsid w:val="0011452F"/>
    <w:rsid w:val="0016111D"/>
    <w:rsid w:val="001B49CA"/>
    <w:rsid w:val="00265BE5"/>
    <w:rsid w:val="002B0BDD"/>
    <w:rsid w:val="002D30DF"/>
    <w:rsid w:val="002E0E02"/>
    <w:rsid w:val="00311BA8"/>
    <w:rsid w:val="00313C15"/>
    <w:rsid w:val="00357AF9"/>
    <w:rsid w:val="00407D81"/>
    <w:rsid w:val="004F6995"/>
    <w:rsid w:val="0053172D"/>
    <w:rsid w:val="00546B1A"/>
    <w:rsid w:val="00556395"/>
    <w:rsid w:val="006331BD"/>
    <w:rsid w:val="006A3582"/>
    <w:rsid w:val="0073019E"/>
    <w:rsid w:val="007A16A4"/>
    <w:rsid w:val="008375B3"/>
    <w:rsid w:val="00856AE9"/>
    <w:rsid w:val="008C33DE"/>
    <w:rsid w:val="008E44F0"/>
    <w:rsid w:val="009429D1"/>
    <w:rsid w:val="009A3BD5"/>
    <w:rsid w:val="00AD02CF"/>
    <w:rsid w:val="00AD7AD3"/>
    <w:rsid w:val="00C16649"/>
    <w:rsid w:val="00C914E5"/>
    <w:rsid w:val="00CC3D4F"/>
    <w:rsid w:val="00D42465"/>
    <w:rsid w:val="00D61F31"/>
    <w:rsid w:val="00D91F01"/>
    <w:rsid w:val="00D92809"/>
    <w:rsid w:val="00DB4988"/>
    <w:rsid w:val="00E04857"/>
    <w:rsid w:val="00E64F90"/>
    <w:rsid w:val="00E93BD3"/>
    <w:rsid w:val="00EA0535"/>
    <w:rsid w:val="00EB3644"/>
    <w:rsid w:val="00EB669C"/>
    <w:rsid w:val="00F72910"/>
    <w:rsid w:val="00FB68ED"/>
    <w:rsid w:val="00FD79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7365"/>
  <w15:chartTrackingRefBased/>
  <w15:docId w15:val="{820F6D1C-304A-4C79-9098-9ACC8AAB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8375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3019E"/>
    <w:rPr>
      <w:color w:val="0563C1" w:themeColor="hyperlink"/>
      <w:u w:val="single"/>
    </w:rPr>
  </w:style>
  <w:style w:type="paragraph" w:customStyle="1" w:styleId="Default">
    <w:name w:val="Default"/>
    <w:rsid w:val="008375B3"/>
    <w:pPr>
      <w:autoSpaceDE w:val="0"/>
      <w:autoSpaceDN w:val="0"/>
      <w:adjustRightInd w:val="0"/>
      <w:spacing w:after="0" w:line="240" w:lineRule="auto"/>
    </w:pPr>
    <w:rPr>
      <w:rFonts w:ascii="Times New Roman" w:hAnsi="Times New Roman" w:cs="Times New Roman"/>
      <w:color w:val="000000"/>
      <w:sz w:val="24"/>
      <w:szCs w:val="24"/>
    </w:rPr>
  </w:style>
  <w:style w:type="paragraph" w:styleId="Listaszerbekezds">
    <w:name w:val="List Paragraph"/>
    <w:basedOn w:val="Norml"/>
    <w:uiPriority w:val="34"/>
    <w:qFormat/>
    <w:rsid w:val="008375B3"/>
    <w:pPr>
      <w:ind w:left="720"/>
      <w:contextualSpacing/>
    </w:pPr>
  </w:style>
  <w:style w:type="character" w:customStyle="1" w:styleId="Cmsor1Char">
    <w:name w:val="Címsor 1 Char"/>
    <w:basedOn w:val="Bekezdsalapbettpusa"/>
    <w:link w:val="Cmsor1"/>
    <w:uiPriority w:val="9"/>
    <w:rsid w:val="008375B3"/>
    <w:rPr>
      <w:rFonts w:ascii="Times New Roman" w:eastAsia="Times New Roman" w:hAnsi="Times New Roman" w:cs="Times New Roman"/>
      <w:b/>
      <w:bCs/>
      <w:kern w:val="36"/>
      <w:sz w:val="48"/>
      <w:szCs w:val="48"/>
      <w:lang w:eastAsia="hu-HU"/>
    </w:rPr>
  </w:style>
  <w:style w:type="paragraph" w:customStyle="1" w:styleId="footnotedescription">
    <w:name w:val="footnote description"/>
    <w:next w:val="Norml"/>
    <w:link w:val="footnotedescriptionChar"/>
    <w:hidden/>
    <w:rsid w:val="00083CB2"/>
    <w:pPr>
      <w:spacing w:after="0"/>
      <w:ind w:left="120"/>
    </w:pPr>
    <w:rPr>
      <w:rFonts w:ascii="Times New Roman" w:eastAsia="Times New Roman" w:hAnsi="Times New Roman" w:cs="Times New Roman"/>
      <w:color w:val="0563C1"/>
      <w:sz w:val="20"/>
      <w:u w:val="single" w:color="0563C1"/>
      <w:lang w:eastAsia="hu-HU"/>
    </w:rPr>
  </w:style>
  <w:style w:type="character" w:customStyle="1" w:styleId="footnotedescriptionChar">
    <w:name w:val="footnote description Char"/>
    <w:link w:val="footnotedescription"/>
    <w:rsid w:val="00083CB2"/>
    <w:rPr>
      <w:rFonts w:ascii="Times New Roman" w:eastAsia="Times New Roman" w:hAnsi="Times New Roman" w:cs="Times New Roman"/>
      <w:color w:val="0563C1"/>
      <w:sz w:val="20"/>
      <w:u w:val="single" w:color="0563C1"/>
      <w:lang w:eastAsia="hu-HU"/>
    </w:rPr>
  </w:style>
  <w:style w:type="character" w:customStyle="1" w:styleId="footnotemark">
    <w:name w:val="footnote mark"/>
    <w:hidden/>
    <w:rsid w:val="00083CB2"/>
    <w:rPr>
      <w:rFonts w:ascii="Times New Roman" w:eastAsia="Times New Roman" w:hAnsi="Times New Roman" w:cs="Times New Roman"/>
      <w:color w:val="000000"/>
      <w:sz w:val="20"/>
      <w:vertAlign w:val="superscript"/>
    </w:rPr>
  </w:style>
  <w:style w:type="paragraph" w:styleId="Lbjegyzetszveg">
    <w:name w:val="footnote text"/>
    <w:basedOn w:val="Norml"/>
    <w:link w:val="LbjegyzetszvegChar"/>
    <w:uiPriority w:val="99"/>
    <w:semiHidden/>
    <w:unhideWhenUsed/>
    <w:rsid w:val="00E0485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04857"/>
    <w:rPr>
      <w:sz w:val="20"/>
      <w:szCs w:val="20"/>
    </w:rPr>
  </w:style>
  <w:style w:type="character" w:styleId="Lbjegyzet-hivatkozs">
    <w:name w:val="footnote reference"/>
    <w:basedOn w:val="Bekezdsalapbettpusa"/>
    <w:uiPriority w:val="99"/>
    <w:semiHidden/>
    <w:unhideWhenUsed/>
    <w:rsid w:val="00E048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05100">
      <w:bodyDiv w:val="1"/>
      <w:marLeft w:val="0"/>
      <w:marRight w:val="0"/>
      <w:marTop w:val="0"/>
      <w:marBottom w:val="0"/>
      <w:divBdr>
        <w:top w:val="none" w:sz="0" w:space="0" w:color="auto"/>
        <w:left w:val="none" w:sz="0" w:space="0" w:color="auto"/>
        <w:bottom w:val="none" w:sz="0" w:space="0" w:color="auto"/>
        <w:right w:val="none" w:sz="0" w:space="0" w:color="auto"/>
      </w:divBdr>
    </w:div>
    <w:div w:id="707603342">
      <w:bodyDiv w:val="1"/>
      <w:marLeft w:val="0"/>
      <w:marRight w:val="0"/>
      <w:marTop w:val="0"/>
      <w:marBottom w:val="0"/>
      <w:divBdr>
        <w:top w:val="none" w:sz="0" w:space="0" w:color="auto"/>
        <w:left w:val="none" w:sz="0" w:space="0" w:color="auto"/>
        <w:bottom w:val="none" w:sz="0" w:space="0" w:color="auto"/>
        <w:right w:val="none" w:sz="0" w:space="0" w:color="auto"/>
      </w:divBdr>
    </w:div>
    <w:div w:id="1549686349">
      <w:bodyDiv w:val="1"/>
      <w:marLeft w:val="0"/>
      <w:marRight w:val="0"/>
      <w:marTop w:val="0"/>
      <w:marBottom w:val="0"/>
      <w:divBdr>
        <w:top w:val="none" w:sz="0" w:space="0" w:color="auto"/>
        <w:left w:val="none" w:sz="0" w:space="0" w:color="auto"/>
        <w:bottom w:val="none" w:sz="0" w:space="0" w:color="auto"/>
        <w:right w:val="none" w:sz="0" w:space="0" w:color="auto"/>
      </w:divBdr>
    </w:div>
    <w:div w:id="1566986585">
      <w:bodyDiv w:val="1"/>
      <w:marLeft w:val="0"/>
      <w:marRight w:val="0"/>
      <w:marTop w:val="0"/>
      <w:marBottom w:val="0"/>
      <w:divBdr>
        <w:top w:val="none" w:sz="0" w:space="0" w:color="auto"/>
        <w:left w:val="none" w:sz="0" w:space="0" w:color="auto"/>
        <w:bottom w:val="none" w:sz="0" w:space="0" w:color="auto"/>
        <w:right w:val="none" w:sz="0" w:space="0" w:color="auto"/>
      </w:divBdr>
    </w:div>
    <w:div w:id="1783959039">
      <w:bodyDiv w:val="1"/>
      <w:marLeft w:val="0"/>
      <w:marRight w:val="0"/>
      <w:marTop w:val="0"/>
      <w:marBottom w:val="0"/>
      <w:divBdr>
        <w:top w:val="none" w:sz="0" w:space="0" w:color="auto"/>
        <w:left w:val="none" w:sz="0" w:space="0" w:color="auto"/>
        <w:bottom w:val="none" w:sz="0" w:space="0" w:color="auto"/>
        <w:right w:val="none" w:sz="0" w:space="0" w:color="auto"/>
      </w:divBdr>
    </w:div>
    <w:div w:id="196072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p@pm.gov.hu"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oecd.kormany.hu/download/c/d6/00000/HNCP%20Specific%20instance%20procedure.pdf" TargetMode="External"/><Relationship Id="rId4" Type="http://schemas.openxmlformats.org/officeDocument/2006/relationships/settings" Target="settings.xml"/><Relationship Id="rId9" Type="http://schemas.openxmlformats.org/officeDocument/2006/relationships/hyperlink" Target="https://oecd.kormany.hu/a-magyar-nemzeti-kapcsolattarto-pont"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trade.ec.europa.eu/doclib/docs/2015/july/tradoc_153591.pdf" TargetMode="External"/><Relationship Id="rId13" Type="http://schemas.openxmlformats.org/officeDocument/2006/relationships/hyperlink" Target="https://ec.europa.eu/info/strategy/priorities-2019-2024/european-green-deal_en" TargetMode="External"/><Relationship Id="rId18" Type="http://schemas.openxmlformats.org/officeDocument/2006/relationships/hyperlink" Target="https://ec.europa.eu/info/strategy/priorities-2019-2024/european-green-deal_en" TargetMode="External"/><Relationship Id="rId26" Type="http://schemas.openxmlformats.org/officeDocument/2006/relationships/hyperlink" Target="https://eur-lex.europa.eu/legal-content/EN/TXT/?uri=CELEX%3A52020JC0005" TargetMode="External"/><Relationship Id="rId39" Type="http://schemas.openxmlformats.org/officeDocument/2006/relationships/hyperlink" Target="https://eur-lex.europa.eu/legal-content/EN/TXT/?uri=CELEX%3A32017R0821" TargetMode="External"/><Relationship Id="rId3" Type="http://schemas.openxmlformats.org/officeDocument/2006/relationships/hyperlink" Target="https://eur-lex.europa.eu/legal-content/EN/TXT/?uri=CELEX%3A52020JC0005" TargetMode="External"/><Relationship Id="rId21" Type="http://schemas.openxmlformats.org/officeDocument/2006/relationships/hyperlink" Target="https://eur-lex.europa.eu/legal-content/EN/TXT/?uri=CELEX%3A52020JC0005" TargetMode="External"/><Relationship Id="rId34" Type="http://schemas.openxmlformats.org/officeDocument/2006/relationships/hyperlink" Target="http://trade.ec.europa.eu/consultations/index.cfm?consul_id=179" TargetMode="External"/><Relationship Id="rId7" Type="http://schemas.openxmlformats.org/officeDocument/2006/relationships/hyperlink" Target="https://trade.ec.europa.eu/doclib/docs/2015/july/tradoc_153591.pdf" TargetMode="External"/><Relationship Id="rId12" Type="http://schemas.openxmlformats.org/officeDocument/2006/relationships/hyperlink" Target="https://ec.europa.eu/info/strategy/priorities-2019-2024/european-green-deal_en" TargetMode="External"/><Relationship Id="rId17" Type="http://schemas.openxmlformats.org/officeDocument/2006/relationships/hyperlink" Target="https://ec.europa.eu/info/strategy/priorities-2019-2024/european-green-deal_en" TargetMode="External"/><Relationship Id="rId25" Type="http://schemas.openxmlformats.org/officeDocument/2006/relationships/hyperlink" Target="https://eur-lex.europa.eu/legal-content/EN/TXT/?uri=CELEX%3A52020JC0005" TargetMode="External"/><Relationship Id="rId33" Type="http://schemas.openxmlformats.org/officeDocument/2006/relationships/hyperlink" Target="https://eur-lex.europa.eu/legal-content/EN/TXT/?uri=CELEX%3A32017R0821" TargetMode="External"/><Relationship Id="rId38" Type="http://schemas.openxmlformats.org/officeDocument/2006/relationships/hyperlink" Target="https://eur-lex.europa.eu/legal-content/EN/TXT/?uri=CELEX%3A32017R0821" TargetMode="External"/><Relationship Id="rId2" Type="http://schemas.openxmlformats.org/officeDocument/2006/relationships/hyperlink" Target="https://eur-lex.europa.eu/legal-content/EN/TXT/?uri=CELEX%3A52020JC0005" TargetMode="External"/><Relationship Id="rId16" Type="http://schemas.openxmlformats.org/officeDocument/2006/relationships/hyperlink" Target="https://ec.europa.eu/info/strategy/priorities-2019-2024/european-green-deal_en" TargetMode="External"/><Relationship Id="rId20" Type="http://schemas.openxmlformats.org/officeDocument/2006/relationships/hyperlink" Target="https://ec.europa.eu/info/strategy/priorities-2019-2024/european-green-deal_en" TargetMode="External"/><Relationship Id="rId29" Type="http://schemas.openxmlformats.org/officeDocument/2006/relationships/hyperlink" Target="https://ec.europa.eu/trade/policy/policy-making/analysis/policy-evaluation/" TargetMode="External"/><Relationship Id="rId1" Type="http://schemas.openxmlformats.org/officeDocument/2006/relationships/hyperlink" Target="https://eur-lex.europa.eu/legal-content/EN/TXT/?uri=CELEX%3A52020JC0005" TargetMode="External"/><Relationship Id="rId6" Type="http://schemas.openxmlformats.org/officeDocument/2006/relationships/hyperlink" Target="https://eur-lex.europa.eu/legal-content/EN/TXT/?uri=CELEX%3A52020JC0005" TargetMode="External"/><Relationship Id="rId11" Type="http://schemas.openxmlformats.org/officeDocument/2006/relationships/hyperlink" Target="https://ec.europa.eu/info/strategy/priorities-2019-2024/european-green-deal_en" TargetMode="External"/><Relationship Id="rId24" Type="http://schemas.openxmlformats.org/officeDocument/2006/relationships/hyperlink" Target="https://eur-lex.europa.eu/legal-content/EN/TXT/?uri=CELEX%3A52020JC0005" TargetMode="External"/><Relationship Id="rId32" Type="http://schemas.openxmlformats.org/officeDocument/2006/relationships/hyperlink" Target="https://ec.europa.eu/trade/policy/policy-making/analysis/policy-evaluation/" TargetMode="External"/><Relationship Id="rId37" Type="http://schemas.openxmlformats.org/officeDocument/2006/relationships/hyperlink" Target="https://eur-lex.europa.eu/legal-content/EN/TXT/?uri=CELEX%3A32017R0821" TargetMode="External"/><Relationship Id="rId5" Type="http://schemas.openxmlformats.org/officeDocument/2006/relationships/hyperlink" Target="https://eur-lex.europa.eu/legal-content/EN/TXT/?uri=CELEX%3A52020JC0005" TargetMode="External"/><Relationship Id="rId15" Type="http://schemas.openxmlformats.org/officeDocument/2006/relationships/hyperlink" Target="https://ec.europa.eu/info/strategy/priorities-2019-2024/european-green-deal_en" TargetMode="External"/><Relationship Id="rId23" Type="http://schemas.openxmlformats.org/officeDocument/2006/relationships/hyperlink" Target="https://eur-lex.europa.eu/legal-content/EN/TXT/?uri=CELEX%3A52020JC0005" TargetMode="External"/><Relationship Id="rId28" Type="http://schemas.openxmlformats.org/officeDocument/2006/relationships/hyperlink" Target="https://ec.europa.eu/trade/policy/policy-making/analysis/policy-evaluation/" TargetMode="External"/><Relationship Id="rId36" Type="http://schemas.openxmlformats.org/officeDocument/2006/relationships/hyperlink" Target="https://eur-lex.europa.eu/legal-content/EN/TXT/?uri=CELEX%3A32017R0821" TargetMode="External"/><Relationship Id="rId10" Type="http://schemas.openxmlformats.org/officeDocument/2006/relationships/hyperlink" Target="https://trade.ec.europa.eu/doclib/docs/2021/february/tradoc_159438.pdf" TargetMode="External"/><Relationship Id="rId19" Type="http://schemas.openxmlformats.org/officeDocument/2006/relationships/hyperlink" Target="https://ec.europa.eu/info/strategy/priorities-2019-2024/european-green-deal_en" TargetMode="External"/><Relationship Id="rId31" Type="http://schemas.openxmlformats.org/officeDocument/2006/relationships/hyperlink" Target="https://ec.europa.eu/trade/policy/policy-making/analysis/policy-evaluation/" TargetMode="External"/><Relationship Id="rId4" Type="http://schemas.openxmlformats.org/officeDocument/2006/relationships/hyperlink" Target="https://eur-lex.europa.eu/legal-content/EN/TXT/?uri=CELEX%3A52020JC0005" TargetMode="External"/><Relationship Id="rId9" Type="http://schemas.openxmlformats.org/officeDocument/2006/relationships/hyperlink" Target="https://trade.ec.europa.eu/doclib/docs/2021/february/tradoc_159438.pdf" TargetMode="External"/><Relationship Id="rId14" Type="http://schemas.openxmlformats.org/officeDocument/2006/relationships/hyperlink" Target="https://ec.europa.eu/info/strategy/priorities-2019-2024/european-green-deal_en" TargetMode="External"/><Relationship Id="rId22" Type="http://schemas.openxmlformats.org/officeDocument/2006/relationships/hyperlink" Target="https://eur-lex.europa.eu/legal-content/EN/TXT/?uri=CELEX%3A52020JC0005" TargetMode="External"/><Relationship Id="rId27" Type="http://schemas.openxmlformats.org/officeDocument/2006/relationships/hyperlink" Target="https://ec.europa.eu/trade/policy/policy-making/analysis/policy-evaluation/" TargetMode="External"/><Relationship Id="rId30" Type="http://schemas.openxmlformats.org/officeDocument/2006/relationships/hyperlink" Target="https://ec.europa.eu/trade/policy/policy-making/analysis/policy-evaluation/" TargetMode="External"/><Relationship Id="rId35" Type="http://schemas.openxmlformats.org/officeDocument/2006/relationships/hyperlink" Target="https://eur-lex.europa.eu/legal-content/EN/TXT/?uri=CELEX%3A32017R082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269D51-BDAD-4A9F-B650-BDF846E94AF9}">
  <ds:schemaRefs>
    <ds:schemaRef ds:uri="http://schemas.openxmlformats.org/officeDocument/2006/bibliography"/>
  </ds:schemaRefs>
</ds:datastoreItem>
</file>

<file path=customXml/itemProps2.xml><?xml version="1.0" encoding="utf-8"?>
<ds:datastoreItem xmlns:ds="http://schemas.openxmlformats.org/officeDocument/2006/customXml" ds:itemID="{CDB92BC6-48D1-4E72-9E1E-4414E1331682}"/>
</file>

<file path=customXml/itemProps3.xml><?xml version="1.0" encoding="utf-8"?>
<ds:datastoreItem xmlns:ds="http://schemas.openxmlformats.org/officeDocument/2006/customXml" ds:itemID="{C92EDF0D-C86E-4D34-B76E-9C3D031020D5}"/>
</file>

<file path=customXml/itemProps4.xml><?xml version="1.0" encoding="utf-8"?>
<ds:datastoreItem xmlns:ds="http://schemas.openxmlformats.org/officeDocument/2006/customXml" ds:itemID="{73A15271-7F16-4312-A1F4-75A4993D4B11}"/>
</file>

<file path=docProps/app.xml><?xml version="1.0" encoding="utf-8"?>
<Properties xmlns="http://schemas.openxmlformats.org/officeDocument/2006/extended-properties" xmlns:vt="http://schemas.openxmlformats.org/officeDocument/2006/docPropsVTypes">
  <Template>Normal</Template>
  <TotalTime>1</TotalTime>
  <Pages>16</Pages>
  <Words>6125</Words>
  <Characters>42265</Characters>
  <Application>Microsoft Office Word</Application>
  <DocSecurity>0</DocSecurity>
  <Lines>352</Lines>
  <Paragraphs>96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Fábián-Mayer Evelyn dr. - GVA</dc:creator>
  <cp:keywords/>
  <dc:description/>
  <cp:lastModifiedBy>Turbék Zoltán dr.</cp:lastModifiedBy>
  <cp:revision>2</cp:revision>
  <dcterms:created xsi:type="dcterms:W3CDTF">2021-03-23T15:36:00Z</dcterms:created>
  <dcterms:modified xsi:type="dcterms:W3CDTF">2021-03-23T15:36:00Z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