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09EE" w14:textId="6E0AA09F" w:rsidR="00CA0013" w:rsidRDefault="00CA0013" w:rsidP="00B17438">
      <w:pPr>
        <w:pStyle w:val="xmsonormal"/>
        <w:jc w:val="center"/>
        <w:rPr>
          <w:rFonts w:ascii="Garamond" w:hAnsi="Garamond"/>
          <w:b/>
          <w:sz w:val="28"/>
          <w:szCs w:val="28"/>
        </w:rPr>
      </w:pPr>
      <w:r w:rsidRPr="00EC5A28">
        <w:rPr>
          <w:rFonts w:ascii="Garamond" w:hAnsi="Garamond"/>
          <w:b/>
          <w:sz w:val="28"/>
          <w:szCs w:val="28"/>
        </w:rPr>
        <w:t xml:space="preserve">Submission to the Office of the High Commissioner </w:t>
      </w:r>
      <w:r w:rsidR="00DB525F">
        <w:rPr>
          <w:rFonts w:ascii="Garamond" w:hAnsi="Garamond"/>
          <w:b/>
          <w:sz w:val="28"/>
          <w:szCs w:val="28"/>
        </w:rPr>
        <w:t xml:space="preserve">for Human Rights (OHCHR) </w:t>
      </w:r>
      <w:r w:rsidRPr="00EC5A28">
        <w:rPr>
          <w:rFonts w:ascii="Garamond" w:hAnsi="Garamond"/>
          <w:b/>
          <w:sz w:val="28"/>
          <w:szCs w:val="28"/>
        </w:rPr>
        <w:t xml:space="preserve">on </w:t>
      </w:r>
      <w:r w:rsidR="00DB525F">
        <w:rPr>
          <w:rFonts w:ascii="Garamond" w:hAnsi="Garamond"/>
          <w:b/>
          <w:sz w:val="28"/>
          <w:szCs w:val="28"/>
        </w:rPr>
        <w:t>the implementation of the technical guidance on the application of a human rights-based approach on prevention of child mortality</w:t>
      </w:r>
    </w:p>
    <w:p w14:paraId="7BD20A51" w14:textId="78E058D5" w:rsidR="00B17438" w:rsidRPr="00EC5A28" w:rsidRDefault="0018103A" w:rsidP="00B17438">
      <w:pPr>
        <w:pStyle w:val="xmsonormal"/>
        <w:jc w:val="center"/>
        <w:rPr>
          <w:rFonts w:ascii="Garamond" w:hAnsi="Garamond"/>
          <w:b/>
          <w:sz w:val="28"/>
          <w:szCs w:val="28"/>
        </w:rPr>
      </w:pPr>
      <w:hyperlink r:id="rId8" w:history="1">
        <w:r w:rsidR="00B17438" w:rsidRPr="00F63BCB">
          <w:rPr>
            <w:rStyle w:val="Hyperlink"/>
            <w:rFonts w:ascii="Garamond" w:hAnsi="Garamond"/>
            <w:b/>
            <w:sz w:val="28"/>
            <w:szCs w:val="28"/>
          </w:rPr>
          <w:t>(A/HRC/RES/27/31)</w:t>
        </w:r>
      </w:hyperlink>
    </w:p>
    <w:p w14:paraId="0B59BD04" w14:textId="7E2C482C" w:rsidR="00873174" w:rsidRPr="00EC5A28" w:rsidRDefault="00DB525F" w:rsidP="00B17438">
      <w:pPr>
        <w:spacing w:line="240" w:lineRule="auto"/>
        <w:jc w:val="center"/>
        <w:rPr>
          <w:rFonts w:ascii="Garamond" w:hAnsi="Garamond"/>
          <w:b/>
          <w:sz w:val="28"/>
          <w:szCs w:val="28"/>
          <w:lang w:val="en-GB"/>
        </w:rPr>
      </w:pPr>
      <w:r>
        <w:rPr>
          <w:rFonts w:ascii="Garamond" w:hAnsi="Garamond"/>
          <w:b/>
          <w:sz w:val="28"/>
          <w:szCs w:val="28"/>
          <w:lang w:val="en-GB"/>
        </w:rPr>
        <w:t>April</w:t>
      </w:r>
      <w:r w:rsidR="00CA0013" w:rsidRPr="00EC5A28">
        <w:rPr>
          <w:rFonts w:ascii="Garamond" w:hAnsi="Garamond"/>
          <w:b/>
          <w:sz w:val="28"/>
          <w:szCs w:val="28"/>
          <w:lang w:val="en-GB"/>
        </w:rPr>
        <w:t xml:space="preserve"> 2016</w:t>
      </w:r>
    </w:p>
    <w:p w14:paraId="0CB4F5DB" w14:textId="77777777" w:rsidR="00CA0013" w:rsidRPr="00EC5A28" w:rsidRDefault="00CA0013" w:rsidP="00B17438">
      <w:pPr>
        <w:spacing w:line="240" w:lineRule="auto"/>
        <w:jc w:val="both"/>
        <w:rPr>
          <w:rFonts w:ascii="Garamond" w:hAnsi="Garamond"/>
          <w:b/>
          <w:sz w:val="28"/>
          <w:szCs w:val="28"/>
          <w:lang w:val="en-GB"/>
        </w:rPr>
      </w:pPr>
      <w:bookmarkStart w:id="0" w:name="_GoBack"/>
      <w:bookmarkEnd w:id="0"/>
    </w:p>
    <w:p w14:paraId="1DC5F0DA" w14:textId="77777777" w:rsidR="00CF0097" w:rsidRPr="000E4E2F" w:rsidRDefault="00CF0097" w:rsidP="00B17438">
      <w:pPr>
        <w:spacing w:line="240" w:lineRule="auto"/>
        <w:jc w:val="both"/>
        <w:rPr>
          <w:rFonts w:ascii="Garamond" w:hAnsi="Garamond"/>
          <w:sz w:val="28"/>
          <w:szCs w:val="28"/>
          <w:lang w:val="en-GB"/>
        </w:rPr>
      </w:pPr>
    </w:p>
    <w:p w14:paraId="4DB5A90C" w14:textId="77777777" w:rsidR="00CA0013" w:rsidRPr="000E4E2F" w:rsidRDefault="00CA0013" w:rsidP="00B17438">
      <w:pPr>
        <w:spacing w:line="240" w:lineRule="auto"/>
        <w:jc w:val="both"/>
        <w:rPr>
          <w:rFonts w:ascii="Garamond" w:hAnsi="Garamond"/>
          <w:sz w:val="28"/>
          <w:szCs w:val="28"/>
          <w:lang w:val="en-GB"/>
        </w:rPr>
      </w:pPr>
      <w:r w:rsidRPr="000E4E2F">
        <w:rPr>
          <w:rFonts w:ascii="Garamond" w:hAnsi="Garamond"/>
          <w:sz w:val="28"/>
          <w:szCs w:val="28"/>
          <w:lang w:val="en-GB"/>
        </w:rPr>
        <w:t>Save the Children is the world’s leading independent organisation for children, working in 120 countries through our members, programmes and partners. Our mission is to inspire breakthroughs in the way the world treats children and to achieve immediate and lasting change in their lives.</w:t>
      </w:r>
    </w:p>
    <w:p w14:paraId="4D2300A2" w14:textId="77777777" w:rsidR="00CA0013" w:rsidRPr="00EC5A28" w:rsidRDefault="00CA0013" w:rsidP="00B17438">
      <w:pPr>
        <w:pStyle w:val="xmsonormal"/>
        <w:jc w:val="both"/>
        <w:rPr>
          <w:rFonts w:ascii="Arial" w:hAnsi="Arial" w:cs="Arial"/>
          <w:b/>
          <w:sz w:val="28"/>
          <w:szCs w:val="28"/>
        </w:rPr>
      </w:pPr>
    </w:p>
    <w:p w14:paraId="7F28905D" w14:textId="125A7178" w:rsidR="00104CB9" w:rsidRPr="00145ABD" w:rsidRDefault="00CA0013" w:rsidP="00B17438">
      <w:pPr>
        <w:spacing w:line="240" w:lineRule="auto"/>
        <w:jc w:val="both"/>
        <w:rPr>
          <w:rFonts w:ascii="Garamond" w:hAnsi="Garamond"/>
          <w:sz w:val="28"/>
          <w:szCs w:val="28"/>
          <w:lang w:val="en-GB"/>
        </w:rPr>
      </w:pPr>
      <w:r w:rsidRPr="000E4E2F">
        <w:rPr>
          <w:rFonts w:ascii="Garamond" w:hAnsi="Garamond"/>
          <w:sz w:val="28"/>
          <w:szCs w:val="28"/>
          <w:lang w:val="en-GB"/>
        </w:rPr>
        <w:t xml:space="preserve">Save the Children has a dual mandate as a development and humanitarian agency, covering issues such as health and nutrition, education, </w:t>
      </w:r>
      <w:r w:rsidR="00EC5A28">
        <w:rPr>
          <w:rFonts w:ascii="Garamond" w:hAnsi="Garamond"/>
          <w:sz w:val="28"/>
          <w:szCs w:val="28"/>
          <w:lang w:val="en-GB"/>
        </w:rPr>
        <w:t xml:space="preserve">poverty, </w:t>
      </w:r>
      <w:r w:rsidRPr="000E4E2F">
        <w:rPr>
          <w:rFonts w:ascii="Garamond" w:hAnsi="Garamond"/>
          <w:sz w:val="28"/>
          <w:szCs w:val="28"/>
          <w:lang w:val="en-GB"/>
        </w:rPr>
        <w:t xml:space="preserve">child protection and child rights governance. </w:t>
      </w:r>
      <w:r w:rsidR="00104CB9" w:rsidRPr="00145ABD">
        <w:rPr>
          <w:rFonts w:ascii="Garamond" w:hAnsi="Garamond"/>
          <w:sz w:val="28"/>
          <w:szCs w:val="28"/>
          <w:lang w:val="en-GB"/>
        </w:rPr>
        <w:t xml:space="preserve">This submission </w:t>
      </w:r>
      <w:r w:rsidR="00D541F2">
        <w:rPr>
          <w:rFonts w:ascii="Garamond" w:hAnsi="Garamond"/>
          <w:sz w:val="28"/>
          <w:szCs w:val="28"/>
          <w:lang w:val="en-GB"/>
        </w:rPr>
        <w:t>contains</w:t>
      </w:r>
      <w:r w:rsidR="00D541F2">
        <w:rPr>
          <w:rFonts w:ascii="Garamond" w:hAnsi="Garamond"/>
          <w:sz w:val="28"/>
          <w:szCs w:val="28"/>
          <w:lang w:val="en-GB"/>
        </w:rPr>
        <w:t xml:space="preserve"> </w:t>
      </w:r>
      <w:r w:rsidR="00F46C6A">
        <w:rPr>
          <w:rFonts w:ascii="Garamond" w:hAnsi="Garamond"/>
          <w:sz w:val="28"/>
          <w:szCs w:val="28"/>
          <w:lang w:val="en-GB"/>
        </w:rPr>
        <w:t xml:space="preserve">practical examples and activities undertaken by Save the Children </w:t>
      </w:r>
      <w:r w:rsidR="00D541F2">
        <w:rPr>
          <w:rFonts w:ascii="Garamond" w:hAnsi="Garamond"/>
          <w:sz w:val="28"/>
          <w:szCs w:val="28"/>
          <w:lang w:val="en-GB"/>
        </w:rPr>
        <w:t>that relates to the application</w:t>
      </w:r>
      <w:r w:rsidR="00F46C6A">
        <w:rPr>
          <w:rFonts w:ascii="Garamond" w:hAnsi="Garamond"/>
          <w:sz w:val="28"/>
          <w:szCs w:val="28"/>
          <w:lang w:val="en-GB"/>
        </w:rPr>
        <w:t xml:space="preserve"> of </w:t>
      </w:r>
      <w:r w:rsidR="00D541F2">
        <w:rPr>
          <w:rFonts w:ascii="Garamond" w:hAnsi="Garamond"/>
          <w:sz w:val="28"/>
          <w:szCs w:val="28"/>
          <w:lang w:val="en-GB"/>
        </w:rPr>
        <w:t xml:space="preserve">a </w:t>
      </w:r>
      <w:r w:rsidR="00F46C6A">
        <w:rPr>
          <w:rFonts w:ascii="Garamond" w:hAnsi="Garamond"/>
          <w:sz w:val="28"/>
          <w:szCs w:val="28"/>
          <w:lang w:val="en-GB"/>
        </w:rPr>
        <w:t xml:space="preserve">human rights-based approach to the reduction and elimination of preventable mortality and morbidity of children under 5 years of age. </w:t>
      </w:r>
    </w:p>
    <w:p w14:paraId="60A6D4C4" w14:textId="77777777" w:rsidR="000E1685" w:rsidRPr="008C3B1C" w:rsidRDefault="000E1685" w:rsidP="00B17438">
      <w:pPr>
        <w:spacing w:line="240" w:lineRule="auto"/>
        <w:jc w:val="both"/>
        <w:rPr>
          <w:lang w:val="en-GB"/>
        </w:rPr>
      </w:pPr>
    </w:p>
    <w:p w14:paraId="2B7D9897" w14:textId="32BFCA62" w:rsidR="004A65EA" w:rsidRPr="003A66EE" w:rsidRDefault="0054417D" w:rsidP="004A65EA">
      <w:pPr>
        <w:pStyle w:val="Heading1"/>
        <w:spacing w:after="240" w:line="240" w:lineRule="auto"/>
        <w:jc w:val="both"/>
        <w:rPr>
          <w:rFonts w:ascii="Garamond" w:hAnsi="Garamond"/>
          <w:color w:val="FF0000"/>
          <w:lang w:val="en-GB"/>
        </w:rPr>
      </w:pPr>
      <w:r>
        <w:rPr>
          <w:rFonts w:ascii="Garamond" w:hAnsi="Garamond"/>
          <w:color w:val="FF0000"/>
          <w:lang w:val="en-GB"/>
        </w:rPr>
        <w:t>Rights-based efforts to reduce child mortality and morbidity</w:t>
      </w:r>
    </w:p>
    <w:p w14:paraId="58CA45DB" w14:textId="1732F05A" w:rsidR="004A65EA" w:rsidRPr="00D044F8" w:rsidRDefault="004A65EA" w:rsidP="004A65EA">
      <w:pPr>
        <w:jc w:val="both"/>
        <w:rPr>
          <w:rFonts w:ascii="Garamond" w:hAnsi="Garamond"/>
          <w:sz w:val="28"/>
          <w:szCs w:val="28"/>
          <w:lang w:val="da-DK"/>
        </w:rPr>
      </w:pPr>
      <w:r>
        <w:rPr>
          <w:rFonts w:ascii="Garamond" w:hAnsi="Garamond"/>
          <w:color w:val="000000"/>
          <w:sz w:val="28"/>
          <w:szCs w:val="28"/>
          <w:lang w:val="en-GB"/>
        </w:rPr>
        <w:t>Save the Children</w:t>
      </w:r>
      <w:r w:rsidR="00D541F2">
        <w:rPr>
          <w:rFonts w:ascii="Garamond" w:hAnsi="Garamond"/>
          <w:color w:val="000000"/>
          <w:sz w:val="28"/>
          <w:szCs w:val="28"/>
          <w:lang w:val="en-GB"/>
        </w:rPr>
        <w:t>’s</w:t>
      </w:r>
      <w:r>
        <w:rPr>
          <w:rFonts w:ascii="Garamond" w:hAnsi="Garamond"/>
          <w:color w:val="000000"/>
          <w:sz w:val="28"/>
          <w:szCs w:val="28"/>
          <w:lang w:val="en-GB"/>
        </w:rPr>
        <w:t xml:space="preserve"> </w:t>
      </w:r>
      <w:r w:rsidR="00D541F2">
        <w:rPr>
          <w:rFonts w:ascii="Garamond" w:hAnsi="Garamond"/>
          <w:color w:val="000000"/>
          <w:sz w:val="28"/>
          <w:szCs w:val="28"/>
          <w:lang w:val="en-GB"/>
        </w:rPr>
        <w:t>r</w:t>
      </w:r>
      <w:r w:rsidR="00D541F2" w:rsidRPr="00D541F2">
        <w:rPr>
          <w:rFonts w:ascii="Garamond" w:hAnsi="Garamond"/>
          <w:color w:val="000000"/>
          <w:sz w:val="28"/>
          <w:szCs w:val="28"/>
          <w:lang w:val="en-GB"/>
        </w:rPr>
        <w:t xml:space="preserve">ights-based efforts to reduce child mortality and morbidity </w:t>
      </w:r>
      <w:r w:rsidR="00D541F2">
        <w:rPr>
          <w:rFonts w:ascii="Garamond" w:hAnsi="Garamond"/>
          <w:color w:val="000000"/>
          <w:sz w:val="28"/>
          <w:szCs w:val="28"/>
          <w:lang w:val="en-GB"/>
        </w:rPr>
        <w:t>ha</w:t>
      </w:r>
      <w:r w:rsidR="00D541F2">
        <w:rPr>
          <w:rFonts w:ascii="Garamond" w:hAnsi="Garamond"/>
          <w:color w:val="000000"/>
          <w:sz w:val="28"/>
          <w:szCs w:val="28"/>
          <w:lang w:val="en-GB"/>
        </w:rPr>
        <w:t>ve</w:t>
      </w:r>
      <w:r w:rsidR="00D541F2">
        <w:rPr>
          <w:rFonts w:ascii="Garamond" w:hAnsi="Garamond"/>
          <w:color w:val="000000"/>
          <w:sz w:val="28"/>
          <w:szCs w:val="28"/>
          <w:lang w:val="en-GB"/>
        </w:rPr>
        <w:t xml:space="preserve"> </w:t>
      </w:r>
      <w:r w:rsidR="00D541F2">
        <w:rPr>
          <w:rFonts w:ascii="Garamond" w:hAnsi="Garamond"/>
          <w:color w:val="000000"/>
          <w:sz w:val="28"/>
          <w:szCs w:val="28"/>
          <w:lang w:val="en-GB"/>
        </w:rPr>
        <w:t>focused</w:t>
      </w:r>
      <w:r w:rsidR="00D541F2">
        <w:rPr>
          <w:rFonts w:ascii="Garamond" w:hAnsi="Garamond"/>
          <w:color w:val="000000"/>
          <w:sz w:val="28"/>
          <w:szCs w:val="28"/>
          <w:lang w:val="en-GB"/>
        </w:rPr>
        <w:t xml:space="preserve"> </w:t>
      </w:r>
      <w:r>
        <w:rPr>
          <w:rFonts w:ascii="Garamond" w:hAnsi="Garamond"/>
          <w:color w:val="000000"/>
          <w:sz w:val="28"/>
          <w:szCs w:val="28"/>
          <w:lang w:val="en-GB"/>
        </w:rPr>
        <w:t>on strengthening countries capacities to raise domestic resources that could then be allocated to address child mortality</w:t>
      </w:r>
      <w:r w:rsidR="0097423D">
        <w:rPr>
          <w:rFonts w:ascii="Garamond" w:hAnsi="Garamond"/>
          <w:color w:val="000000"/>
          <w:sz w:val="28"/>
          <w:szCs w:val="28"/>
          <w:lang w:val="en-GB"/>
        </w:rPr>
        <w:t xml:space="preserve">, as well as on opening spaces for children, adolescents and their caregivers to </w:t>
      </w:r>
      <w:r w:rsidR="004569C9">
        <w:rPr>
          <w:rFonts w:ascii="Garamond" w:hAnsi="Garamond"/>
          <w:color w:val="000000"/>
          <w:sz w:val="28"/>
          <w:szCs w:val="28"/>
          <w:lang w:val="en-GB"/>
        </w:rPr>
        <w:t xml:space="preserve">meaningfully participate </w:t>
      </w:r>
      <w:r w:rsidR="004569C9" w:rsidRPr="004569C9">
        <w:rPr>
          <w:rFonts w:ascii="Garamond" w:hAnsi="Garamond"/>
          <w:color w:val="000000"/>
          <w:sz w:val="28"/>
          <w:szCs w:val="28"/>
          <w:lang w:val="en-GB"/>
        </w:rPr>
        <w:t>in the decision-mak</w:t>
      </w:r>
      <w:r w:rsidR="004569C9">
        <w:rPr>
          <w:rFonts w:ascii="Garamond" w:hAnsi="Garamond"/>
          <w:color w:val="000000"/>
          <w:sz w:val="28"/>
          <w:szCs w:val="28"/>
          <w:lang w:val="en-GB"/>
        </w:rPr>
        <w:t xml:space="preserve">ing processes which affect </w:t>
      </w:r>
      <w:r w:rsidR="004569C9" w:rsidRPr="004569C9">
        <w:rPr>
          <w:rFonts w:ascii="Garamond" w:hAnsi="Garamond"/>
          <w:color w:val="000000"/>
          <w:sz w:val="28"/>
          <w:szCs w:val="28"/>
          <w:lang w:val="en-GB"/>
        </w:rPr>
        <w:t>children’s survival and health</w:t>
      </w:r>
      <w:r>
        <w:rPr>
          <w:rFonts w:ascii="Garamond" w:hAnsi="Garamond"/>
          <w:color w:val="000000"/>
          <w:sz w:val="28"/>
          <w:szCs w:val="28"/>
          <w:lang w:val="en-GB"/>
        </w:rPr>
        <w:t xml:space="preserve">. </w:t>
      </w:r>
    </w:p>
    <w:p w14:paraId="298BD5A2" w14:textId="77777777" w:rsidR="004A65EA" w:rsidRPr="00EC5A28" w:rsidRDefault="004A65EA" w:rsidP="004A65EA">
      <w:pPr>
        <w:pStyle w:val="Heading1"/>
        <w:spacing w:line="240" w:lineRule="auto"/>
        <w:jc w:val="both"/>
        <w:rPr>
          <w:rFonts w:ascii="Garamond" w:hAnsi="Garamond"/>
          <w:color w:val="FF0000"/>
          <w:lang w:val="en-GB"/>
        </w:rPr>
      </w:pPr>
      <w:r>
        <w:rPr>
          <w:rFonts w:ascii="Garamond" w:hAnsi="Garamond"/>
          <w:color w:val="FF0000"/>
          <w:lang w:val="en-GB"/>
        </w:rPr>
        <w:t>Budgeting</w:t>
      </w:r>
    </w:p>
    <w:p w14:paraId="52A5466E" w14:textId="77777777" w:rsidR="004A65EA" w:rsidRDefault="004A65EA" w:rsidP="0053724B">
      <w:pPr>
        <w:spacing w:after="120" w:line="240" w:lineRule="auto"/>
        <w:jc w:val="both"/>
        <w:rPr>
          <w:rFonts w:ascii="Garamond" w:hAnsi="Garamond"/>
          <w:sz w:val="28"/>
          <w:szCs w:val="28"/>
          <w:lang w:val="en-US"/>
        </w:rPr>
      </w:pPr>
    </w:p>
    <w:p w14:paraId="777C7C8F" w14:textId="32DF9D58" w:rsidR="0053724B" w:rsidRDefault="005743BB" w:rsidP="0053724B">
      <w:pPr>
        <w:spacing w:after="120" w:line="240" w:lineRule="auto"/>
        <w:jc w:val="both"/>
        <w:rPr>
          <w:rFonts w:ascii="Garamond" w:hAnsi="Garamond"/>
          <w:sz w:val="28"/>
          <w:szCs w:val="28"/>
          <w:lang w:val="en-GB"/>
        </w:rPr>
      </w:pPr>
      <w:r>
        <w:rPr>
          <w:rFonts w:ascii="Garamond" w:hAnsi="Garamond"/>
          <w:sz w:val="28"/>
          <w:szCs w:val="28"/>
          <w:lang w:val="en-GB"/>
        </w:rPr>
        <w:t>Working together with i</w:t>
      </w:r>
      <w:r w:rsidR="00464B2F">
        <w:rPr>
          <w:rFonts w:ascii="Garamond" w:hAnsi="Garamond"/>
          <w:sz w:val="28"/>
          <w:szCs w:val="28"/>
          <w:lang w:val="en-GB"/>
        </w:rPr>
        <w:t xml:space="preserve">nternational organizations, </w:t>
      </w:r>
      <w:r w:rsidR="0053724B">
        <w:rPr>
          <w:rFonts w:ascii="Garamond" w:hAnsi="Garamond"/>
          <w:sz w:val="28"/>
          <w:szCs w:val="28"/>
          <w:lang w:val="en-GB"/>
        </w:rPr>
        <w:t xml:space="preserve">civil society, </w:t>
      </w:r>
      <w:r w:rsidR="00464B2F">
        <w:rPr>
          <w:rFonts w:ascii="Garamond" w:hAnsi="Garamond"/>
          <w:sz w:val="28"/>
          <w:szCs w:val="28"/>
          <w:lang w:val="en-GB"/>
        </w:rPr>
        <w:t xml:space="preserve">children and communities, </w:t>
      </w:r>
      <w:r w:rsidR="0053724B">
        <w:rPr>
          <w:rFonts w:ascii="Garamond" w:hAnsi="Garamond"/>
          <w:sz w:val="28"/>
          <w:szCs w:val="28"/>
          <w:lang w:val="en-GB"/>
        </w:rPr>
        <w:t xml:space="preserve">Save the Children has undertaken several activities to </w:t>
      </w:r>
      <w:r w:rsidR="00464B2F">
        <w:rPr>
          <w:rFonts w:ascii="Garamond" w:hAnsi="Garamond"/>
          <w:sz w:val="28"/>
          <w:szCs w:val="28"/>
          <w:lang w:val="en-GB"/>
        </w:rPr>
        <w:t xml:space="preserve">improve policy commitments and to </w:t>
      </w:r>
      <w:r w:rsidR="0053724B">
        <w:rPr>
          <w:rFonts w:ascii="Garamond" w:hAnsi="Garamond"/>
          <w:sz w:val="28"/>
          <w:szCs w:val="28"/>
          <w:lang w:val="en-GB"/>
        </w:rPr>
        <w:t xml:space="preserve">monitor budget allocation to </w:t>
      </w:r>
      <w:r w:rsidR="00974413">
        <w:rPr>
          <w:rFonts w:ascii="Garamond" w:hAnsi="Garamond"/>
          <w:sz w:val="28"/>
          <w:szCs w:val="28"/>
          <w:lang w:val="en-GB"/>
        </w:rPr>
        <w:t>address ch</w:t>
      </w:r>
      <w:r w:rsidR="00464B2F">
        <w:rPr>
          <w:rFonts w:ascii="Garamond" w:hAnsi="Garamond"/>
          <w:sz w:val="28"/>
          <w:szCs w:val="28"/>
          <w:lang w:val="en-GB"/>
        </w:rPr>
        <w:t>ild mortality (paragraph 56).</w:t>
      </w:r>
    </w:p>
    <w:p w14:paraId="301E7AED" w14:textId="77777777" w:rsidR="00B17438" w:rsidRPr="00974413" w:rsidRDefault="00B17438" w:rsidP="00464B2F">
      <w:pPr>
        <w:pStyle w:val="ListParagraph"/>
        <w:numPr>
          <w:ilvl w:val="0"/>
          <w:numId w:val="14"/>
        </w:numPr>
        <w:spacing w:after="0" w:line="240" w:lineRule="auto"/>
        <w:ind w:left="426" w:hanging="426"/>
        <w:jc w:val="both"/>
        <w:rPr>
          <w:rFonts w:ascii="Garamond" w:hAnsi="Garamond"/>
          <w:sz w:val="28"/>
          <w:szCs w:val="28"/>
          <w:lang w:val="da-DK"/>
        </w:rPr>
      </w:pPr>
      <w:r w:rsidRPr="00974413">
        <w:rPr>
          <w:rFonts w:ascii="Garamond" w:hAnsi="Garamond"/>
          <w:sz w:val="28"/>
          <w:szCs w:val="28"/>
          <w:lang w:val="en-US"/>
        </w:rPr>
        <w:t xml:space="preserve">In </w:t>
      </w:r>
      <w:r w:rsidRPr="00CD6A95">
        <w:rPr>
          <w:rFonts w:ascii="Garamond" w:hAnsi="Garamond"/>
          <w:b/>
          <w:sz w:val="28"/>
          <w:szCs w:val="28"/>
          <w:lang w:val="en-US"/>
        </w:rPr>
        <w:t>Peru</w:t>
      </w:r>
      <w:r w:rsidRPr="00974413">
        <w:rPr>
          <w:rFonts w:ascii="Garamond" w:hAnsi="Garamond"/>
          <w:sz w:val="28"/>
          <w:szCs w:val="28"/>
          <w:lang w:val="en-US"/>
        </w:rPr>
        <w:t xml:space="preserve">, the provincial and regional government is working together with civil society to improve policy commitments and resource allocation to early childhood care and development (ECCD) in Ccasapata in Huancavelica. Based on regional commitments to children and adolescents and provincial plans for ECCD, government officials and civil society actors meet regularly to ensure the provision of resources and implementation of agreed plans. As a result, the regional government of Huancavelica has since 2010 allocated 10% of its budget </w:t>
      </w:r>
      <w:r w:rsidRPr="00974413">
        <w:rPr>
          <w:rFonts w:ascii="Garamond" w:hAnsi="Garamond"/>
          <w:sz w:val="28"/>
          <w:szCs w:val="28"/>
          <w:lang w:val="en-US"/>
        </w:rPr>
        <w:lastRenderedPageBreak/>
        <w:t>annually</w:t>
      </w:r>
      <w:r w:rsidRPr="00974413">
        <w:rPr>
          <w:rFonts w:ascii="Garamond" w:hAnsi="Garamond"/>
          <w:sz w:val="28"/>
          <w:szCs w:val="28"/>
          <w:vertAlign w:val="superscript"/>
          <w:lang w:val="da-DK"/>
        </w:rPr>
        <w:footnoteReference w:customMarkFollows="1" w:id="1"/>
        <w:t>[1]</w:t>
      </w:r>
      <w:r w:rsidRPr="00974413">
        <w:rPr>
          <w:rFonts w:ascii="Garamond" w:hAnsi="Garamond"/>
          <w:sz w:val="28"/>
          <w:szCs w:val="28"/>
          <w:lang w:val="en-US"/>
        </w:rPr>
        <w:t xml:space="preserve"> to the health of mothers and newborns and maternal mortality rates have been reduced</w:t>
      </w:r>
      <w:r w:rsidRPr="00974413">
        <w:rPr>
          <w:rFonts w:ascii="Garamond" w:hAnsi="Garamond"/>
          <w:color w:val="000000"/>
          <w:sz w:val="28"/>
          <w:szCs w:val="28"/>
          <w:lang w:val="en-US"/>
        </w:rPr>
        <w:t xml:space="preserve"> from </w:t>
      </w:r>
      <w:r w:rsidRPr="00974413">
        <w:rPr>
          <w:rFonts w:ascii="Garamond" w:hAnsi="Garamond"/>
          <w:sz w:val="28"/>
          <w:szCs w:val="28"/>
          <w:lang w:val="en-US"/>
        </w:rPr>
        <w:t>23 in 2010 to 5 in 2014.</w:t>
      </w:r>
    </w:p>
    <w:p w14:paraId="1C5EA47A" w14:textId="77777777" w:rsidR="00B17438" w:rsidRPr="00D044F8" w:rsidRDefault="00B17438" w:rsidP="00464B2F">
      <w:pPr>
        <w:numPr>
          <w:ilvl w:val="0"/>
          <w:numId w:val="11"/>
        </w:numPr>
        <w:spacing w:line="240" w:lineRule="auto"/>
        <w:jc w:val="both"/>
        <w:rPr>
          <w:rFonts w:ascii="Garamond" w:hAnsi="Garamond"/>
          <w:sz w:val="28"/>
          <w:szCs w:val="28"/>
          <w:lang w:val="da-DK"/>
        </w:rPr>
      </w:pPr>
      <w:r w:rsidRPr="00D044F8">
        <w:rPr>
          <w:rFonts w:ascii="Garamond" w:hAnsi="Garamond"/>
          <w:sz w:val="28"/>
          <w:szCs w:val="28"/>
          <w:lang w:val="en-US"/>
        </w:rPr>
        <w:t xml:space="preserve">Through the Child-Friendly Budget Initiative in </w:t>
      </w:r>
      <w:r w:rsidRPr="00CD6A95">
        <w:rPr>
          <w:rFonts w:ascii="Garamond" w:hAnsi="Garamond"/>
          <w:b/>
          <w:sz w:val="28"/>
          <w:szCs w:val="28"/>
          <w:lang w:val="en-US"/>
        </w:rPr>
        <w:t>Zimbabwe</w:t>
      </w:r>
      <w:r w:rsidRPr="00D044F8">
        <w:rPr>
          <w:rFonts w:ascii="Garamond" w:hAnsi="Garamond"/>
          <w:sz w:val="28"/>
          <w:szCs w:val="28"/>
          <w:lang w:val="en-US"/>
        </w:rPr>
        <w:t>, Save the Children, the National Association of Non-Governmental Organizations and UNICEF have supported child led groups in eight of Zimbabwe’s 10 provinces to engage in pre-budget consultations. Members of the child-led groups have been trained on children’s rights, legislative framework, the budget process, advocacy skills and project management. Children have then analyzed the budget and influenced national and local government on their budget priorities.  As a result, national and local governments have increased budget allocations to health and education and set aside budgets to support child participation at local level.</w:t>
      </w:r>
    </w:p>
    <w:p w14:paraId="243D4746" w14:textId="30C518D4" w:rsidR="00CD6A95" w:rsidRPr="003A66EE" w:rsidRDefault="00B17438" w:rsidP="003A66EE">
      <w:pPr>
        <w:numPr>
          <w:ilvl w:val="0"/>
          <w:numId w:val="11"/>
        </w:numPr>
        <w:spacing w:line="240" w:lineRule="auto"/>
        <w:jc w:val="both"/>
        <w:rPr>
          <w:rFonts w:ascii="Garamond" w:hAnsi="Garamond"/>
          <w:sz w:val="28"/>
          <w:szCs w:val="28"/>
          <w:lang w:val="da-DK"/>
        </w:rPr>
      </w:pPr>
      <w:r w:rsidRPr="00D044F8">
        <w:rPr>
          <w:rFonts w:ascii="Garamond" w:hAnsi="Garamond"/>
          <w:sz w:val="28"/>
          <w:szCs w:val="28"/>
          <w:lang w:val="en-PH"/>
        </w:rPr>
        <w:t xml:space="preserve">Save the Children, Social Watch and WomanHealth have been supporting children and young people in the </w:t>
      </w:r>
      <w:r w:rsidRPr="00CD6A95">
        <w:rPr>
          <w:rFonts w:ascii="Garamond" w:hAnsi="Garamond"/>
          <w:b/>
          <w:sz w:val="28"/>
          <w:szCs w:val="28"/>
          <w:lang w:val="en-PH"/>
        </w:rPr>
        <w:t>Philippines</w:t>
      </w:r>
      <w:r w:rsidRPr="00D044F8">
        <w:rPr>
          <w:rFonts w:ascii="Garamond" w:hAnsi="Garamond"/>
          <w:sz w:val="28"/>
          <w:szCs w:val="28"/>
          <w:lang w:val="en-PH"/>
        </w:rPr>
        <w:t xml:space="preserve"> to participate in the Health Cluster of the Alternative Budget Initiative (ABI). As part of this process, children and young people analyze the national health budget with the support of ABI Health Cluster members. The children’s analysis was published in the ABI’s 2015 Alternative Budget (</w:t>
      </w:r>
      <w:r w:rsidRPr="00D044F8">
        <w:rPr>
          <w:rFonts w:ascii="Garamond" w:hAnsi="Garamond"/>
          <w:i/>
          <w:iCs/>
          <w:sz w:val="28"/>
          <w:szCs w:val="28"/>
          <w:lang w:val="en-PH"/>
        </w:rPr>
        <w:t>Paggugol na Matuwid, Kaunlaran Para sa Naiwan</w:t>
      </w:r>
      <w:r w:rsidRPr="00D044F8">
        <w:rPr>
          <w:rFonts w:ascii="Garamond" w:hAnsi="Garamond"/>
          <w:sz w:val="28"/>
          <w:szCs w:val="28"/>
          <w:lang w:val="en-PH"/>
        </w:rPr>
        <w:t>)</w:t>
      </w:r>
      <w:r w:rsidRPr="00D044F8">
        <w:rPr>
          <w:rFonts w:ascii="Garamond" w:hAnsi="Garamond"/>
          <w:sz w:val="28"/>
          <w:szCs w:val="28"/>
          <w:vertAlign w:val="superscript"/>
          <w:lang w:val="en-PH" w:eastAsia="da-DK"/>
        </w:rPr>
        <w:footnoteReference w:customMarkFollows="1" w:id="2"/>
        <w:t>[2]</w:t>
      </w:r>
      <w:r w:rsidRPr="00D044F8">
        <w:rPr>
          <w:rFonts w:ascii="Garamond" w:hAnsi="Garamond"/>
          <w:sz w:val="28"/>
          <w:szCs w:val="28"/>
          <w:lang w:val="en-PH"/>
        </w:rPr>
        <w:t>, which has been a key reference of Congress and some government departments in making decisions related to the national budget. The Department of Health also held dialogues with the children and young people about the 2015 budget.</w:t>
      </w:r>
    </w:p>
    <w:p w14:paraId="5E98C46D" w14:textId="75D60FCD" w:rsidR="003A66EE" w:rsidRPr="003A66EE" w:rsidRDefault="003A66EE" w:rsidP="003A66EE">
      <w:pPr>
        <w:numPr>
          <w:ilvl w:val="0"/>
          <w:numId w:val="11"/>
        </w:numPr>
        <w:spacing w:line="240" w:lineRule="auto"/>
        <w:jc w:val="both"/>
        <w:rPr>
          <w:rFonts w:ascii="Garamond" w:hAnsi="Garamond"/>
          <w:sz w:val="28"/>
          <w:szCs w:val="28"/>
          <w:lang w:val="da-DK"/>
        </w:rPr>
      </w:pPr>
      <w:r w:rsidRPr="00D044F8">
        <w:rPr>
          <w:rFonts w:ascii="Garamond" w:hAnsi="Garamond"/>
          <w:color w:val="000000"/>
          <w:sz w:val="28"/>
          <w:szCs w:val="28"/>
          <w:lang w:val="en-US"/>
        </w:rPr>
        <w:t xml:space="preserve">In </w:t>
      </w:r>
      <w:r w:rsidRPr="003A66EE">
        <w:rPr>
          <w:rFonts w:ascii="Garamond" w:hAnsi="Garamond"/>
          <w:b/>
          <w:color w:val="000000"/>
          <w:sz w:val="28"/>
          <w:szCs w:val="28"/>
          <w:lang w:val="en-US"/>
        </w:rPr>
        <w:t>Tanzania</w:t>
      </w:r>
      <w:r w:rsidRPr="00D044F8">
        <w:rPr>
          <w:rFonts w:ascii="Garamond" w:hAnsi="Garamond"/>
          <w:color w:val="000000"/>
          <w:sz w:val="28"/>
          <w:szCs w:val="28"/>
          <w:lang w:val="en-US"/>
        </w:rPr>
        <w:t xml:space="preserve">, Save the Children supported children in seven districts to join more than 900 Children’s Councils. With improved understanding of children’s rights and the budget process, children from these Councils engaged with district officials to present their priorities. As a result, six out of the seven district councils planned for increased child focused resource allocation in the 2011/12 budgets, which improved school feeding programmes and resulted in the recruitment of additional teachers. Dialogue between children and local government officials also contributed to establishing mechanisms for children to influence local governance. </w:t>
      </w:r>
    </w:p>
    <w:p w14:paraId="0DC16B79" w14:textId="27A73911" w:rsidR="003A66EE" w:rsidRPr="003A66EE" w:rsidRDefault="003A66EE" w:rsidP="003A66EE">
      <w:pPr>
        <w:numPr>
          <w:ilvl w:val="0"/>
          <w:numId w:val="11"/>
        </w:numPr>
        <w:spacing w:line="240" w:lineRule="auto"/>
        <w:jc w:val="both"/>
        <w:rPr>
          <w:rFonts w:ascii="Garamond" w:hAnsi="Garamond"/>
          <w:sz w:val="28"/>
          <w:szCs w:val="28"/>
          <w:lang w:val="da-DK"/>
        </w:rPr>
      </w:pPr>
      <w:r w:rsidRPr="00D044F8">
        <w:rPr>
          <w:rFonts w:ascii="Garamond" w:hAnsi="Garamond"/>
          <w:sz w:val="28"/>
          <w:szCs w:val="28"/>
          <w:lang w:val="en-US"/>
        </w:rPr>
        <w:t xml:space="preserve">International policy commitments and human rights/child rights obligations together with civil society informed recommendations from human rights mechanisms can assist in spurring action and ensuring accountability for investment in the rights of the child. </w:t>
      </w:r>
      <w:r w:rsidRPr="00D044F8">
        <w:rPr>
          <w:rFonts w:ascii="Garamond" w:hAnsi="Garamond"/>
          <w:color w:val="000000"/>
          <w:sz w:val="28"/>
          <w:szCs w:val="28"/>
          <w:lang w:val="en-US"/>
        </w:rPr>
        <w:t xml:space="preserve">During the second UPR of </w:t>
      </w:r>
      <w:r w:rsidRPr="003A66EE">
        <w:rPr>
          <w:rFonts w:ascii="Garamond" w:hAnsi="Garamond"/>
          <w:b/>
          <w:color w:val="000000"/>
          <w:sz w:val="28"/>
          <w:szCs w:val="28"/>
          <w:lang w:val="en-US"/>
        </w:rPr>
        <w:t>Zambia</w:t>
      </w:r>
      <w:r w:rsidRPr="00D044F8">
        <w:rPr>
          <w:rFonts w:ascii="Garamond" w:hAnsi="Garamond"/>
          <w:color w:val="000000"/>
          <w:sz w:val="28"/>
          <w:szCs w:val="28"/>
          <w:lang w:val="en-US"/>
        </w:rPr>
        <w:t xml:space="preserve"> in 2012, the Government of Zambia accepted several recommendations relating to budget allocation for maternal and child health. </w:t>
      </w:r>
      <w:r w:rsidRPr="00D044F8">
        <w:rPr>
          <w:rFonts w:ascii="Garamond" w:hAnsi="Garamond"/>
          <w:sz w:val="28"/>
          <w:szCs w:val="28"/>
          <w:lang w:val="en-US"/>
        </w:rPr>
        <w:t>The UPR recommendations on the health budget have helped reinforce national advocacy efforts carried out by Save the Children and its partners, leading to an increase in the national budget for the health sector from 9.3% in 2012 to 11.3% in 2013.</w:t>
      </w:r>
      <w:r w:rsidRPr="00D044F8">
        <w:rPr>
          <w:rFonts w:ascii="Garamond" w:hAnsi="Garamond"/>
          <w:sz w:val="28"/>
          <w:szCs w:val="28"/>
          <w:vertAlign w:val="superscript"/>
          <w:lang w:val="da-DK"/>
        </w:rPr>
        <w:footnoteReference w:customMarkFollows="1" w:id="3"/>
        <w:t>[7]</w:t>
      </w:r>
    </w:p>
    <w:p w14:paraId="0ADA49CE" w14:textId="145A3B53" w:rsidR="00CD6A95" w:rsidRPr="00EC5A28" w:rsidRDefault="00CD6A95" w:rsidP="00CD6A95">
      <w:pPr>
        <w:pStyle w:val="Heading1"/>
        <w:spacing w:after="240" w:line="240" w:lineRule="auto"/>
        <w:jc w:val="both"/>
        <w:rPr>
          <w:rFonts w:ascii="Garamond" w:hAnsi="Garamond"/>
          <w:color w:val="FF0000"/>
          <w:lang w:val="en-GB"/>
        </w:rPr>
      </w:pPr>
      <w:r>
        <w:rPr>
          <w:rFonts w:ascii="Garamond" w:hAnsi="Garamond"/>
          <w:color w:val="FF0000"/>
          <w:lang w:val="en-GB"/>
        </w:rPr>
        <w:lastRenderedPageBreak/>
        <w:t>Monitoring and Evaluation</w:t>
      </w:r>
    </w:p>
    <w:p w14:paraId="64A2A9B4" w14:textId="183B6186" w:rsidR="00CD6A95" w:rsidRPr="00CD6A95" w:rsidRDefault="00CD6A95" w:rsidP="00876D96">
      <w:pPr>
        <w:spacing w:line="240" w:lineRule="auto"/>
        <w:jc w:val="both"/>
        <w:rPr>
          <w:rFonts w:ascii="Garamond" w:hAnsi="Garamond"/>
          <w:sz w:val="28"/>
          <w:szCs w:val="28"/>
          <w:lang w:val="da-DK"/>
        </w:rPr>
      </w:pPr>
      <w:r>
        <w:rPr>
          <w:rFonts w:ascii="Garamond" w:hAnsi="Garamond"/>
          <w:sz w:val="28"/>
          <w:szCs w:val="28"/>
          <w:lang w:val="da-DK"/>
        </w:rPr>
        <w:t xml:space="preserve">Save the Children has worked actively on involving citizens and children in monitoring and </w:t>
      </w:r>
      <w:r w:rsidR="00D541F2">
        <w:rPr>
          <w:rFonts w:ascii="Garamond" w:hAnsi="Garamond"/>
          <w:sz w:val="28"/>
          <w:szCs w:val="28"/>
          <w:lang w:val="da-DK"/>
        </w:rPr>
        <w:t>ev</w:t>
      </w:r>
      <w:r w:rsidR="00D541F2">
        <w:rPr>
          <w:rFonts w:ascii="Garamond" w:hAnsi="Garamond"/>
          <w:sz w:val="28"/>
          <w:szCs w:val="28"/>
          <w:lang w:val="da-DK"/>
        </w:rPr>
        <w:t>a</w:t>
      </w:r>
      <w:r w:rsidR="00D541F2">
        <w:rPr>
          <w:rFonts w:ascii="Garamond" w:hAnsi="Garamond"/>
          <w:sz w:val="28"/>
          <w:szCs w:val="28"/>
          <w:lang w:val="da-DK"/>
        </w:rPr>
        <w:t xml:space="preserve">luation </w:t>
      </w:r>
      <w:r>
        <w:rPr>
          <w:rFonts w:ascii="Garamond" w:hAnsi="Garamond"/>
          <w:sz w:val="28"/>
          <w:szCs w:val="28"/>
          <w:lang w:val="da-DK"/>
        </w:rPr>
        <w:t xml:space="preserve">processes </w:t>
      </w:r>
      <w:r w:rsidR="00876D96">
        <w:rPr>
          <w:rFonts w:ascii="Garamond" w:hAnsi="Garamond"/>
          <w:sz w:val="28"/>
          <w:szCs w:val="28"/>
          <w:lang w:val="da-DK"/>
        </w:rPr>
        <w:t>with the aim to improve efficiency, transparency and acco</w:t>
      </w:r>
      <w:r w:rsidR="002A5903">
        <w:rPr>
          <w:rFonts w:ascii="Garamond" w:hAnsi="Garamond"/>
          <w:sz w:val="28"/>
          <w:szCs w:val="28"/>
          <w:lang w:val="da-DK"/>
        </w:rPr>
        <w:t>unt</w:t>
      </w:r>
      <w:r w:rsidR="00FF40E4">
        <w:rPr>
          <w:rFonts w:ascii="Garamond" w:hAnsi="Garamond"/>
          <w:sz w:val="28"/>
          <w:szCs w:val="28"/>
          <w:lang w:val="da-DK"/>
        </w:rPr>
        <w:t>ability in service delivery.</w:t>
      </w:r>
    </w:p>
    <w:p w14:paraId="100B970B" w14:textId="77777777" w:rsidR="00B17438" w:rsidRPr="00D044F8" w:rsidRDefault="00B17438" w:rsidP="00876D96">
      <w:pPr>
        <w:numPr>
          <w:ilvl w:val="0"/>
          <w:numId w:val="11"/>
        </w:numPr>
        <w:spacing w:line="240" w:lineRule="auto"/>
        <w:jc w:val="both"/>
        <w:rPr>
          <w:rFonts w:ascii="Garamond" w:hAnsi="Garamond"/>
          <w:sz w:val="28"/>
          <w:szCs w:val="28"/>
          <w:lang w:val="da-DK"/>
        </w:rPr>
      </w:pPr>
      <w:r w:rsidRPr="00D044F8">
        <w:rPr>
          <w:rFonts w:ascii="Garamond" w:hAnsi="Garamond"/>
          <w:sz w:val="28"/>
          <w:szCs w:val="28"/>
          <w:lang w:val="en-US"/>
        </w:rPr>
        <w:t xml:space="preserve">Save the Children in </w:t>
      </w:r>
      <w:r w:rsidRPr="00CD6A95">
        <w:rPr>
          <w:rFonts w:ascii="Garamond" w:hAnsi="Garamond"/>
          <w:b/>
          <w:sz w:val="28"/>
          <w:szCs w:val="28"/>
          <w:lang w:val="en-US"/>
        </w:rPr>
        <w:t>Mozambique</w:t>
      </w:r>
      <w:r w:rsidRPr="00D044F8">
        <w:rPr>
          <w:rFonts w:ascii="Garamond" w:hAnsi="Garamond"/>
          <w:sz w:val="28"/>
          <w:szCs w:val="28"/>
          <w:lang w:val="en-US"/>
        </w:rPr>
        <w:t>, in collaboration with other local and international organizations, implements the Citizens’ Engagement Project (CEP) aimed at promoting public participation in monitoring health and education service delivery in four provinces. Children are actively involved in the project, especially in monitoring delivery of education services. Using the scorecard methodology, citizens monitor quality of health and education service delivery and hold public officials and service providers to account. Action plans to address issues and gaps identified are monitored by School Councils</w:t>
      </w:r>
      <w:r w:rsidRPr="00D044F8">
        <w:rPr>
          <w:rFonts w:ascii="Garamond" w:hAnsi="Garamond"/>
          <w:sz w:val="28"/>
          <w:szCs w:val="28"/>
          <w:vertAlign w:val="superscript"/>
          <w:lang w:val="da-DK"/>
        </w:rPr>
        <w:footnoteReference w:customMarkFollows="1" w:id="4"/>
        <w:t>[3]</w:t>
      </w:r>
      <w:r w:rsidRPr="00D044F8">
        <w:rPr>
          <w:rFonts w:ascii="Garamond" w:hAnsi="Garamond"/>
          <w:sz w:val="28"/>
          <w:szCs w:val="28"/>
          <w:lang w:val="en-US"/>
        </w:rPr>
        <w:t>, and the Health Facility Co-Management Committees</w:t>
      </w:r>
      <w:r w:rsidRPr="00D044F8">
        <w:rPr>
          <w:rFonts w:ascii="Garamond" w:hAnsi="Garamond"/>
          <w:sz w:val="28"/>
          <w:szCs w:val="28"/>
          <w:vertAlign w:val="superscript"/>
          <w:lang w:val="da-DK"/>
        </w:rPr>
        <w:footnoteReference w:customMarkFollows="1" w:id="5"/>
        <w:t>[4]</w:t>
      </w:r>
      <w:r w:rsidRPr="00D044F8">
        <w:rPr>
          <w:rFonts w:ascii="Garamond" w:hAnsi="Garamond"/>
          <w:sz w:val="28"/>
          <w:szCs w:val="28"/>
          <w:lang w:val="en-US"/>
        </w:rPr>
        <w:t>. Citizen participation in monitoring public services is supported by a specific law in Mozambique</w:t>
      </w:r>
      <w:r w:rsidRPr="00D044F8">
        <w:rPr>
          <w:rFonts w:ascii="Garamond" w:hAnsi="Garamond"/>
          <w:sz w:val="28"/>
          <w:szCs w:val="28"/>
          <w:vertAlign w:val="superscript"/>
          <w:lang w:val="da-DK"/>
        </w:rPr>
        <w:footnoteReference w:customMarkFollows="1" w:id="6"/>
        <w:t>[5]</w:t>
      </w:r>
      <w:r w:rsidRPr="00D044F8">
        <w:rPr>
          <w:rFonts w:ascii="Garamond" w:hAnsi="Garamond"/>
          <w:sz w:val="28"/>
          <w:szCs w:val="28"/>
          <w:lang w:val="en-US"/>
        </w:rPr>
        <w:t>. Preliminary results point to increased collaboration between citizens and public officials as well as improved efficiency, transparency and accountability in service delivery.</w:t>
      </w:r>
      <w:r w:rsidRPr="00D044F8">
        <w:rPr>
          <w:rFonts w:ascii="Garamond" w:hAnsi="Garamond"/>
          <w:sz w:val="28"/>
          <w:szCs w:val="28"/>
          <w:vertAlign w:val="superscript"/>
          <w:lang w:val="da-DK"/>
        </w:rPr>
        <w:footnoteReference w:customMarkFollows="1" w:id="7"/>
        <w:t>[6]</w:t>
      </w:r>
      <w:r w:rsidRPr="00D044F8">
        <w:rPr>
          <w:rFonts w:ascii="Garamond" w:hAnsi="Garamond"/>
          <w:sz w:val="28"/>
          <w:szCs w:val="28"/>
          <w:lang w:val="da-DK"/>
        </w:rPr>
        <w:t xml:space="preserve"> </w:t>
      </w:r>
    </w:p>
    <w:p w14:paraId="20814C7C" w14:textId="2854D872" w:rsidR="00332537" w:rsidRPr="00332537" w:rsidRDefault="00332537" w:rsidP="00332537">
      <w:pPr>
        <w:pStyle w:val="ListParagraph"/>
        <w:numPr>
          <w:ilvl w:val="0"/>
          <w:numId w:val="11"/>
        </w:numPr>
        <w:spacing w:line="240" w:lineRule="auto"/>
        <w:jc w:val="both"/>
        <w:rPr>
          <w:rFonts w:ascii="Garamond" w:eastAsia="Times New Roman" w:hAnsi="Garamond" w:cs="Times New Roman"/>
          <w:sz w:val="28"/>
          <w:szCs w:val="28"/>
          <w:lang w:val="en-GB"/>
        </w:rPr>
      </w:pPr>
      <w:r w:rsidRPr="00332537">
        <w:rPr>
          <w:rFonts w:ascii="Garamond" w:eastAsia="Times New Roman" w:hAnsi="Garamond" w:cs="Times New Roman"/>
          <w:sz w:val="28"/>
          <w:szCs w:val="28"/>
          <w:lang w:val="en-GB"/>
        </w:rPr>
        <w:t xml:space="preserve">In 2015, Save the Children </w:t>
      </w:r>
      <w:r w:rsidR="005743BB">
        <w:rPr>
          <w:rFonts w:ascii="Garamond" w:eastAsia="Times New Roman" w:hAnsi="Garamond" w:cs="Times New Roman"/>
          <w:sz w:val="28"/>
          <w:szCs w:val="28"/>
          <w:lang w:val="en-GB"/>
        </w:rPr>
        <w:t xml:space="preserve">with other civil society organisations organised the </w:t>
      </w:r>
      <w:r w:rsidRPr="00332537">
        <w:rPr>
          <w:rFonts w:ascii="Garamond" w:eastAsia="Times New Roman" w:hAnsi="Garamond" w:cs="Times New Roman"/>
          <w:sz w:val="28"/>
          <w:szCs w:val="28"/>
          <w:lang w:val="en-GB"/>
        </w:rPr>
        <w:t xml:space="preserve">Global Citizens’ Dialogue in Geneva. A key objective of the </w:t>
      </w:r>
      <w:hyperlink r:id="rId9" w:history="1">
        <w:r w:rsidRPr="00332537">
          <w:rPr>
            <w:rFonts w:ascii="Garamond" w:eastAsia="Times New Roman" w:hAnsi="Garamond" w:cs="Times New Roman"/>
            <w:sz w:val="28"/>
            <w:szCs w:val="28"/>
            <w:lang w:val="en-GB"/>
          </w:rPr>
          <w:t>Citizens’ Hearing</w:t>
        </w:r>
      </w:hyperlink>
      <w:r w:rsidRPr="00332537">
        <w:rPr>
          <w:rFonts w:ascii="Garamond" w:eastAsia="Times New Roman" w:hAnsi="Garamond" w:cs="Times New Roman"/>
          <w:sz w:val="28"/>
          <w:szCs w:val="28"/>
          <w:lang w:val="en-GB"/>
        </w:rPr>
        <w:t>s movement is to strengthen the feedback loop between global processes and local and national dec</w:t>
      </w:r>
      <w:r w:rsidR="005743BB">
        <w:rPr>
          <w:rFonts w:ascii="Garamond" w:eastAsia="Times New Roman" w:hAnsi="Garamond" w:cs="Times New Roman"/>
          <w:sz w:val="28"/>
          <w:szCs w:val="28"/>
          <w:lang w:val="en-GB"/>
        </w:rPr>
        <w:t>ision-making processes. A</w:t>
      </w:r>
      <w:r w:rsidRPr="00332537">
        <w:rPr>
          <w:rFonts w:ascii="Garamond" w:eastAsia="Times New Roman" w:hAnsi="Garamond" w:cs="Times New Roman"/>
          <w:sz w:val="28"/>
          <w:szCs w:val="28"/>
          <w:lang w:val="en-GB"/>
        </w:rPr>
        <w:t xml:space="preserve"> Youth Ambassador </w:t>
      </w:r>
      <w:r w:rsidR="005743BB">
        <w:rPr>
          <w:rFonts w:ascii="Garamond" w:eastAsia="Times New Roman" w:hAnsi="Garamond" w:cs="Times New Roman"/>
          <w:sz w:val="28"/>
          <w:szCs w:val="28"/>
          <w:lang w:val="en-GB"/>
        </w:rPr>
        <w:t xml:space="preserve">from Tanzania who </w:t>
      </w:r>
      <w:r w:rsidRPr="00332537">
        <w:rPr>
          <w:rFonts w:ascii="Garamond" w:eastAsia="Times New Roman" w:hAnsi="Garamond" w:cs="Times New Roman"/>
          <w:sz w:val="28"/>
          <w:szCs w:val="28"/>
          <w:lang w:val="en-GB"/>
        </w:rPr>
        <w:t xml:space="preserve">was part of the Children’s Council in Handeni, </w:t>
      </w:r>
      <w:r w:rsidRPr="00FF40E4">
        <w:rPr>
          <w:rFonts w:ascii="Garamond" w:eastAsia="Times New Roman" w:hAnsi="Garamond" w:cs="Times New Roman"/>
          <w:b/>
          <w:sz w:val="28"/>
          <w:szCs w:val="28"/>
          <w:lang w:val="en-GB"/>
        </w:rPr>
        <w:t>Tanzania</w:t>
      </w:r>
      <w:r w:rsidRPr="00332537">
        <w:rPr>
          <w:rFonts w:ascii="Garamond" w:eastAsia="Times New Roman" w:hAnsi="Garamond" w:cs="Times New Roman"/>
          <w:sz w:val="28"/>
          <w:szCs w:val="28"/>
          <w:lang w:val="en-GB"/>
        </w:rPr>
        <w:t>, where he lives, and was elected by the other children part of the Children’s Council to represent their voice</w:t>
      </w:r>
      <w:r w:rsidR="00FF40E4">
        <w:rPr>
          <w:rFonts w:ascii="Garamond" w:eastAsia="Times New Roman" w:hAnsi="Garamond" w:cs="Times New Roman"/>
          <w:sz w:val="28"/>
          <w:szCs w:val="28"/>
          <w:lang w:val="en-GB"/>
        </w:rPr>
        <w:t xml:space="preserve"> and</w:t>
      </w:r>
      <w:r w:rsidR="005743BB">
        <w:rPr>
          <w:rFonts w:ascii="Garamond" w:eastAsia="Times New Roman" w:hAnsi="Garamond" w:cs="Times New Roman"/>
          <w:sz w:val="28"/>
          <w:szCs w:val="28"/>
          <w:lang w:val="en-GB"/>
        </w:rPr>
        <w:t xml:space="preserve"> participated to this event in Geneva</w:t>
      </w:r>
      <w:r w:rsidRPr="00332537">
        <w:rPr>
          <w:rFonts w:ascii="Garamond" w:eastAsia="Times New Roman" w:hAnsi="Garamond" w:cs="Times New Roman"/>
          <w:sz w:val="28"/>
          <w:szCs w:val="28"/>
          <w:lang w:val="en-GB"/>
        </w:rPr>
        <w:t>. In the Global Citizens’ Dialogue the Youth Ambassador from Tanzania advocated for reduction of maternal and child mortality through better provision of maternal, newborn and child health services and elimination of child marriage The Citizens’ Hearings have provided a critical input in identifying priorities and in urging governments to respond to it. Involving children and youth was crucial to bring their voices to the attention of key stakeholders including communities, civil society, journalists and government representatives and to inform policies and implementation priorities at local, national and international levels.</w:t>
      </w:r>
      <w:r>
        <w:rPr>
          <w:rStyle w:val="FootnoteReference"/>
          <w:rFonts w:ascii="Garamond" w:eastAsia="Times New Roman" w:hAnsi="Garamond" w:cs="Times New Roman"/>
          <w:sz w:val="28"/>
          <w:szCs w:val="28"/>
          <w:lang w:val="en-GB"/>
        </w:rPr>
        <w:footnoteReference w:id="8"/>
      </w:r>
      <w:r w:rsidRPr="00332537">
        <w:rPr>
          <w:rFonts w:ascii="Garamond" w:eastAsia="Times New Roman" w:hAnsi="Garamond" w:cs="Times New Roman"/>
          <w:sz w:val="28"/>
          <w:szCs w:val="28"/>
          <w:lang w:val="en-GB"/>
        </w:rPr>
        <w:t xml:space="preserve"> </w:t>
      </w:r>
    </w:p>
    <w:p w14:paraId="536FCD03" w14:textId="51E1E6E4" w:rsidR="00332537" w:rsidRPr="00B17438" w:rsidRDefault="00332537" w:rsidP="00B17438">
      <w:pPr>
        <w:pStyle w:val="BodyCopy"/>
        <w:rPr>
          <w:lang w:val="da-DK"/>
        </w:rPr>
      </w:pPr>
    </w:p>
    <w:sectPr w:rsidR="00332537" w:rsidRPr="00B174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B07E" w14:textId="77777777" w:rsidR="00AA14CF" w:rsidRDefault="00AA14CF" w:rsidP="00CA0013">
      <w:pPr>
        <w:spacing w:line="240" w:lineRule="auto"/>
      </w:pPr>
      <w:r>
        <w:separator/>
      </w:r>
    </w:p>
  </w:endnote>
  <w:endnote w:type="continuationSeparator" w:id="0">
    <w:p w14:paraId="377FAD82" w14:textId="77777777" w:rsidR="00AA14CF" w:rsidRDefault="00AA14CF" w:rsidP="00CA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illSans">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7615"/>
      <w:docPartObj>
        <w:docPartGallery w:val="Page Numbers (Bottom of Page)"/>
        <w:docPartUnique/>
      </w:docPartObj>
    </w:sdtPr>
    <w:sdtEndPr>
      <w:rPr>
        <w:noProof/>
      </w:rPr>
    </w:sdtEndPr>
    <w:sdtContent>
      <w:p w14:paraId="321AFD74" w14:textId="744A0672" w:rsidR="00577BA6" w:rsidRDefault="00577BA6">
        <w:pPr>
          <w:pStyle w:val="Footer"/>
          <w:jc w:val="right"/>
        </w:pPr>
        <w:r>
          <w:fldChar w:fldCharType="begin"/>
        </w:r>
        <w:r>
          <w:instrText xml:space="preserve"> PAGE   \* MERGEFORMAT </w:instrText>
        </w:r>
        <w:r>
          <w:fldChar w:fldCharType="separate"/>
        </w:r>
        <w:r w:rsidR="0018103A">
          <w:rPr>
            <w:noProof/>
          </w:rPr>
          <w:t>1</w:t>
        </w:r>
        <w:r>
          <w:rPr>
            <w:noProof/>
          </w:rPr>
          <w:fldChar w:fldCharType="end"/>
        </w:r>
      </w:p>
    </w:sdtContent>
  </w:sdt>
  <w:p w14:paraId="507A273A" w14:textId="77777777" w:rsidR="00577BA6" w:rsidRDefault="0057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F3BA" w14:textId="77777777" w:rsidR="00AA14CF" w:rsidRDefault="00AA14CF" w:rsidP="00CA0013">
      <w:pPr>
        <w:spacing w:line="240" w:lineRule="auto"/>
      </w:pPr>
      <w:r>
        <w:separator/>
      </w:r>
    </w:p>
  </w:footnote>
  <w:footnote w:type="continuationSeparator" w:id="0">
    <w:p w14:paraId="21434423" w14:textId="77777777" w:rsidR="00AA14CF" w:rsidRDefault="00AA14CF" w:rsidP="00CA0013">
      <w:pPr>
        <w:spacing w:line="240" w:lineRule="auto"/>
      </w:pPr>
      <w:r>
        <w:continuationSeparator/>
      </w:r>
    </w:p>
  </w:footnote>
  <w:footnote w:id="1">
    <w:p w14:paraId="258104C6" w14:textId="77777777" w:rsidR="00B17438" w:rsidRDefault="00B17438" w:rsidP="00B17438">
      <w:pPr>
        <w:rPr>
          <w:lang w:val="da-DK"/>
        </w:rPr>
      </w:pPr>
      <w:r>
        <w:rPr>
          <w:rStyle w:val="FootnoteReference"/>
          <w:lang w:val="da-DK" w:eastAsia="da-DK"/>
        </w:rPr>
        <w:t>[1]</w:t>
      </w:r>
      <w:r>
        <w:rPr>
          <w:lang w:val="da-DK"/>
        </w:rPr>
        <w:t xml:space="preserve"> </w:t>
      </w:r>
      <w:r>
        <w:rPr>
          <w:rStyle w:val="hps"/>
          <w:sz w:val="18"/>
          <w:szCs w:val="18"/>
          <w:lang w:val="en"/>
        </w:rPr>
        <w:t>Ministry of Economy and Finances, SIAF (2014), Regional</w:t>
      </w:r>
      <w:r>
        <w:rPr>
          <w:sz w:val="18"/>
          <w:szCs w:val="18"/>
          <w:lang w:val="en"/>
        </w:rPr>
        <w:t xml:space="preserve"> </w:t>
      </w:r>
      <w:r>
        <w:rPr>
          <w:rStyle w:val="hps"/>
          <w:sz w:val="18"/>
          <w:szCs w:val="18"/>
          <w:lang w:val="en"/>
        </w:rPr>
        <w:t>budget</w:t>
      </w:r>
      <w:r>
        <w:rPr>
          <w:sz w:val="18"/>
          <w:szCs w:val="18"/>
          <w:lang w:val="en"/>
        </w:rPr>
        <w:t xml:space="preserve"> </w:t>
      </w:r>
      <w:r>
        <w:rPr>
          <w:rStyle w:val="hps"/>
          <w:sz w:val="18"/>
          <w:szCs w:val="18"/>
          <w:lang w:val="en"/>
        </w:rPr>
        <w:t>for</w:t>
      </w:r>
      <w:r>
        <w:rPr>
          <w:sz w:val="18"/>
          <w:szCs w:val="18"/>
          <w:lang w:val="en"/>
        </w:rPr>
        <w:t xml:space="preserve"> </w:t>
      </w:r>
      <w:r>
        <w:rPr>
          <w:rStyle w:val="hps"/>
          <w:sz w:val="18"/>
          <w:szCs w:val="18"/>
          <w:lang w:val="en"/>
        </w:rPr>
        <w:t>specific items</w:t>
      </w:r>
    </w:p>
  </w:footnote>
  <w:footnote w:id="2">
    <w:p w14:paraId="61A0EE61" w14:textId="77777777" w:rsidR="00B17438" w:rsidRDefault="00B17438" w:rsidP="00B17438">
      <w:pPr>
        <w:pStyle w:val="CommentText"/>
        <w:rPr>
          <w:lang w:val="da-DK"/>
        </w:rPr>
      </w:pPr>
      <w:r>
        <w:rPr>
          <w:rStyle w:val="FootnoteReference"/>
          <w:lang w:val="da-DK" w:eastAsia="da-DK"/>
        </w:rPr>
        <w:t>[2]</w:t>
      </w:r>
      <w:r>
        <w:rPr>
          <w:lang w:val="da-DK"/>
        </w:rPr>
        <w:t xml:space="preserve"> </w:t>
      </w:r>
      <w:r>
        <w:rPr>
          <w:sz w:val="18"/>
          <w:szCs w:val="18"/>
          <w:lang w:val="en-US"/>
        </w:rPr>
        <w:t xml:space="preserve">Alternative Budget Initiative and Social Watch Philippines (2015), </w:t>
      </w:r>
      <w:r>
        <w:rPr>
          <w:i/>
          <w:iCs/>
          <w:sz w:val="18"/>
          <w:szCs w:val="18"/>
          <w:lang w:val="en-US"/>
        </w:rPr>
        <w:t>Alternative Budget FY 2015: Paggugol na Matuwid, Kaunlaran Para sa Naiwan</w:t>
      </w:r>
    </w:p>
  </w:footnote>
  <w:footnote w:id="3">
    <w:p w14:paraId="765D9CE8" w14:textId="77777777" w:rsidR="003A66EE" w:rsidRDefault="003A66EE" w:rsidP="003A66EE">
      <w:pPr>
        <w:pStyle w:val="FootnoteText"/>
        <w:rPr>
          <w:lang w:val="da-DK"/>
        </w:rPr>
      </w:pPr>
      <w:r>
        <w:rPr>
          <w:rStyle w:val="FootnoteReference"/>
          <w:lang w:val="en-US" w:eastAsia="da-DK"/>
        </w:rPr>
        <w:t>[7]</w:t>
      </w:r>
      <w:r>
        <w:rPr>
          <w:lang w:val="en-US"/>
        </w:rPr>
        <w:t xml:space="preserve"> </w:t>
      </w:r>
      <w:r>
        <w:rPr>
          <w:sz w:val="18"/>
          <w:szCs w:val="18"/>
          <w:lang w:val="en-US"/>
        </w:rPr>
        <w:t xml:space="preserve">Save the Children (2014), </w:t>
      </w:r>
      <w:r>
        <w:rPr>
          <w:i/>
          <w:iCs/>
          <w:sz w:val="18"/>
          <w:szCs w:val="18"/>
          <w:lang w:val="en-US"/>
        </w:rPr>
        <w:t>Universal Periodic Review: Successful examples of child rights advocacy</w:t>
      </w:r>
      <w:r>
        <w:rPr>
          <w:sz w:val="18"/>
          <w:szCs w:val="18"/>
          <w:lang w:val="en-US"/>
        </w:rPr>
        <w:t xml:space="preserve">, </w:t>
      </w:r>
      <w:hyperlink r:id="rId1" w:history="1">
        <w:r>
          <w:rPr>
            <w:rStyle w:val="Hyperlink"/>
            <w:sz w:val="18"/>
            <w:szCs w:val="18"/>
            <w:lang w:val="en-US"/>
          </w:rPr>
          <w:t>http://resourcecentre.savethechildren.se/library/universal-periodic-review-successful-examples-child-rights-advocacy</w:t>
        </w:r>
      </w:hyperlink>
      <w:r>
        <w:rPr>
          <w:sz w:val="18"/>
          <w:szCs w:val="18"/>
          <w:lang w:val="en-US"/>
        </w:rPr>
        <w:t xml:space="preserve"> </w:t>
      </w:r>
    </w:p>
  </w:footnote>
  <w:footnote w:id="4">
    <w:p w14:paraId="75E5DFE5" w14:textId="77777777" w:rsidR="00B17438" w:rsidRDefault="00B17438" w:rsidP="00B17438">
      <w:pPr>
        <w:pStyle w:val="FootnoteText"/>
        <w:rPr>
          <w:lang w:val="da-DK"/>
        </w:rPr>
      </w:pPr>
      <w:r>
        <w:rPr>
          <w:rStyle w:val="FootnoteReference"/>
          <w:lang w:val="pt-BR" w:eastAsia="da-DK"/>
        </w:rPr>
        <w:t>[3]</w:t>
      </w:r>
      <w:r>
        <w:rPr>
          <w:lang w:val="pt-BR"/>
        </w:rPr>
        <w:t xml:space="preserve"> </w:t>
      </w:r>
      <w:r>
        <w:rPr>
          <w:sz w:val="18"/>
          <w:szCs w:val="18"/>
          <w:lang w:val="pt-BR"/>
        </w:rPr>
        <w:t>MINED (2008) Regulamento Geral do Ensino Básico (General norms for Basic Education)</w:t>
      </w:r>
    </w:p>
  </w:footnote>
  <w:footnote w:id="5">
    <w:p w14:paraId="0ECB3A2C" w14:textId="77777777" w:rsidR="00B17438" w:rsidRDefault="00B17438" w:rsidP="00B17438">
      <w:pPr>
        <w:pStyle w:val="FootnoteText"/>
        <w:rPr>
          <w:lang w:val="da-DK"/>
        </w:rPr>
      </w:pPr>
      <w:r>
        <w:rPr>
          <w:rStyle w:val="FootnoteReference"/>
          <w:lang w:val="en-US" w:eastAsia="da-DK"/>
        </w:rPr>
        <w:t>[4]</w:t>
      </w:r>
      <w:r>
        <w:rPr>
          <w:lang w:val="en-US"/>
        </w:rPr>
        <w:t xml:space="preserve"> </w:t>
      </w:r>
      <w:r>
        <w:rPr>
          <w:sz w:val="18"/>
          <w:szCs w:val="18"/>
          <w:lang w:val="en-US"/>
        </w:rPr>
        <w:t>MISAU (2012) Terms of Reference for Establishment and Management of Health Facility Co-Management Committees</w:t>
      </w:r>
    </w:p>
  </w:footnote>
  <w:footnote w:id="6">
    <w:p w14:paraId="258365B4" w14:textId="77777777" w:rsidR="00B17438" w:rsidRDefault="00B17438" w:rsidP="00B17438">
      <w:pPr>
        <w:pStyle w:val="FootnoteText"/>
        <w:rPr>
          <w:lang w:val="da-DK"/>
        </w:rPr>
      </w:pPr>
      <w:r>
        <w:rPr>
          <w:rStyle w:val="FootnoteReference"/>
          <w:lang w:val="en-US" w:eastAsia="da-DK"/>
        </w:rPr>
        <w:t>[5]</w:t>
      </w:r>
      <w:r>
        <w:rPr>
          <w:lang w:val="en-US"/>
        </w:rPr>
        <w:t xml:space="preserve"> </w:t>
      </w:r>
      <w:r>
        <w:rPr>
          <w:sz w:val="18"/>
          <w:szCs w:val="18"/>
          <w:lang w:val="en-US"/>
        </w:rPr>
        <w:t>Law 7/2012 – Basis for Organization and Functionality of State Entities</w:t>
      </w:r>
    </w:p>
  </w:footnote>
  <w:footnote w:id="7">
    <w:p w14:paraId="3CE17B50" w14:textId="77777777" w:rsidR="00B17438" w:rsidRDefault="00B17438" w:rsidP="00B17438">
      <w:pPr>
        <w:pStyle w:val="FootnoteText"/>
        <w:rPr>
          <w:lang w:val="da-DK"/>
        </w:rPr>
      </w:pPr>
      <w:r>
        <w:rPr>
          <w:rStyle w:val="FootnoteReference"/>
          <w:sz w:val="18"/>
          <w:szCs w:val="18"/>
          <w:lang w:val="en-US" w:eastAsia="da-DK"/>
        </w:rPr>
        <w:t>[6]</w:t>
      </w:r>
      <w:r>
        <w:rPr>
          <w:sz w:val="18"/>
          <w:szCs w:val="18"/>
          <w:lang w:val="en-US"/>
        </w:rPr>
        <w:t xml:space="preserve"> Save the Children (2015), </w:t>
      </w:r>
      <w:r>
        <w:rPr>
          <w:i/>
          <w:iCs/>
          <w:sz w:val="18"/>
          <w:szCs w:val="18"/>
          <w:lang w:val="en-US"/>
        </w:rPr>
        <w:t>Progress report for CEP</w:t>
      </w:r>
    </w:p>
  </w:footnote>
  <w:footnote w:id="8">
    <w:p w14:paraId="1B6006D8" w14:textId="77777777" w:rsidR="00332537" w:rsidRPr="00170DBA" w:rsidRDefault="00332537" w:rsidP="00332537">
      <w:pPr>
        <w:pStyle w:val="FootnoteText"/>
      </w:pPr>
      <w:r>
        <w:rPr>
          <w:rStyle w:val="FootnoteReference"/>
        </w:rPr>
        <w:footnoteRef/>
      </w:r>
      <w:r>
        <w:t xml:space="preserve"> </w:t>
      </w:r>
      <w:r w:rsidRPr="00170DBA">
        <w:rPr>
          <w:rFonts w:ascii="Garamond" w:hAnsi="Garamond"/>
          <w:i/>
          <w:sz w:val="24"/>
          <w:szCs w:val="24"/>
        </w:rPr>
        <w:t>Citizen’s Hearing Global report</w:t>
      </w:r>
      <w:r w:rsidRPr="00170DBA">
        <w:rPr>
          <w:rFonts w:ascii="Garamond" w:hAnsi="Garamond"/>
          <w:sz w:val="24"/>
          <w:szCs w:val="24"/>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7604" w14:textId="77777777" w:rsidR="00577BA6" w:rsidRDefault="00577BA6" w:rsidP="00CA0013">
    <w:pPr>
      <w:pStyle w:val="Header"/>
      <w:tabs>
        <w:tab w:val="clear" w:pos="4536"/>
        <w:tab w:val="clear" w:pos="9072"/>
        <w:tab w:val="left" w:pos="1755"/>
      </w:tabs>
    </w:pPr>
    <w:r>
      <w:rPr>
        <w:b/>
        <w:noProof/>
        <w:lang w:val="en-US"/>
      </w:rPr>
      <w:drawing>
        <wp:anchor distT="0" distB="0" distL="114300" distR="114300" simplePos="0" relativeHeight="251659264" behindDoc="0" locked="0" layoutInCell="1" allowOverlap="1" wp14:anchorId="774672A8" wp14:editId="64A9998E">
          <wp:simplePos x="0" y="0"/>
          <wp:positionH relativeFrom="margin">
            <wp:posOffset>3857625</wp:posOffset>
          </wp:positionH>
          <wp:positionV relativeFrom="margin">
            <wp:posOffset>-746125</wp:posOffset>
          </wp:positionV>
          <wp:extent cx="2417445" cy="492760"/>
          <wp:effectExtent l="0" t="0" r="1905" b="2540"/>
          <wp:wrapSquare wrapText="bothSides"/>
          <wp:docPr id="2" name="Picture 2" descr="C:\Users\Associate\Documents\Francesco_STC 2015\Meetings&amp;Events\Event WHS_2October\Logos\generic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ociate\Documents\Francesco_STC 2015\Meetings&amp;Events\Event WHS_2October\Logos\generic_logo (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6C7F6200" w14:textId="77777777" w:rsidR="00577BA6" w:rsidRDefault="00577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52C"/>
    <w:multiLevelType w:val="hybridMultilevel"/>
    <w:tmpl w:val="C67C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4439"/>
    <w:multiLevelType w:val="hybridMultilevel"/>
    <w:tmpl w:val="ACF00A66"/>
    <w:lvl w:ilvl="0" w:tplc="F6549228">
      <w:start w:val="1"/>
      <w:numFmt w:val="decimal"/>
      <w:lvlText w:val="%1."/>
      <w:lvlJc w:val="left"/>
      <w:pPr>
        <w:ind w:left="1080" w:hanging="360"/>
      </w:pPr>
      <w:rPr>
        <w:rFonts w:hint="default"/>
        <w:u w:val="single"/>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191D1780"/>
    <w:multiLevelType w:val="hybridMultilevel"/>
    <w:tmpl w:val="B650A344"/>
    <w:lvl w:ilvl="0" w:tplc="F28A2BF8">
      <w:start w:val="1"/>
      <w:numFmt w:val="upperLetter"/>
      <w:lvlText w:val="%1."/>
      <w:lvlJc w:val="left"/>
      <w:pPr>
        <w:ind w:left="360" w:hanging="360"/>
      </w:pPr>
      <w:rPr>
        <w:rFonts w:hint="default"/>
        <w:b/>
      </w:rPr>
    </w:lvl>
    <w:lvl w:ilvl="1" w:tplc="5590FEE8">
      <w:start w:val="1"/>
      <w:numFmt w:val="decimal"/>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16D6422"/>
    <w:multiLevelType w:val="hybridMultilevel"/>
    <w:tmpl w:val="8D464D5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A2A21C1"/>
    <w:multiLevelType w:val="hybridMultilevel"/>
    <w:tmpl w:val="E55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87B13"/>
    <w:multiLevelType w:val="hybridMultilevel"/>
    <w:tmpl w:val="A52AEF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6416D40"/>
    <w:multiLevelType w:val="hybridMultilevel"/>
    <w:tmpl w:val="AFAE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90DEE"/>
    <w:multiLevelType w:val="hybridMultilevel"/>
    <w:tmpl w:val="AA8ADF2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CA34767"/>
    <w:multiLevelType w:val="hybridMultilevel"/>
    <w:tmpl w:val="D6D8B37A"/>
    <w:lvl w:ilvl="0" w:tplc="040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66545"/>
    <w:multiLevelType w:val="hybridMultilevel"/>
    <w:tmpl w:val="ACF00A66"/>
    <w:lvl w:ilvl="0" w:tplc="F6549228">
      <w:start w:val="1"/>
      <w:numFmt w:val="decimal"/>
      <w:lvlText w:val="%1."/>
      <w:lvlJc w:val="left"/>
      <w:pPr>
        <w:ind w:left="1080" w:hanging="360"/>
      </w:pPr>
      <w:rPr>
        <w:rFonts w:hint="default"/>
        <w:u w:val="single"/>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15:restartNumberingAfterBreak="0">
    <w:nsid w:val="56F95FF9"/>
    <w:multiLevelType w:val="hybridMultilevel"/>
    <w:tmpl w:val="595A5F1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5A0F2FCC"/>
    <w:multiLevelType w:val="hybridMultilevel"/>
    <w:tmpl w:val="DD1E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C3AB2"/>
    <w:multiLevelType w:val="hybridMultilevel"/>
    <w:tmpl w:val="1ABE64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F444A2A"/>
    <w:multiLevelType w:val="hybridMultilevel"/>
    <w:tmpl w:val="F57C2A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4"/>
  </w:num>
  <w:num w:numId="6">
    <w:abstractNumId w:val="6"/>
  </w:num>
  <w:num w:numId="7">
    <w:abstractNumId w:val="1"/>
  </w:num>
  <w:num w:numId="8">
    <w:abstractNumId w:val="2"/>
  </w:num>
  <w:num w:numId="9">
    <w:abstractNumId w:val="7"/>
  </w:num>
  <w:num w:numId="10">
    <w:abstractNumId w:val="3"/>
  </w:num>
  <w:num w:numId="11">
    <w:abstractNumId w:val="12"/>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13"/>
    <w:rsid w:val="00025777"/>
    <w:rsid w:val="00043D55"/>
    <w:rsid w:val="00070A4A"/>
    <w:rsid w:val="000711EC"/>
    <w:rsid w:val="000730B9"/>
    <w:rsid w:val="000C1C1A"/>
    <w:rsid w:val="000E0107"/>
    <w:rsid w:val="000E1685"/>
    <w:rsid w:val="000E4E2F"/>
    <w:rsid w:val="000F2DFC"/>
    <w:rsid w:val="00104CB9"/>
    <w:rsid w:val="00121BDD"/>
    <w:rsid w:val="00121DFE"/>
    <w:rsid w:val="0012291E"/>
    <w:rsid w:val="00127D17"/>
    <w:rsid w:val="00132D34"/>
    <w:rsid w:val="001520C9"/>
    <w:rsid w:val="00170DBA"/>
    <w:rsid w:val="0017355C"/>
    <w:rsid w:val="00174BF7"/>
    <w:rsid w:val="0018103A"/>
    <w:rsid w:val="001921F0"/>
    <w:rsid w:val="001D094F"/>
    <w:rsid w:val="001D4203"/>
    <w:rsid w:val="001E60A6"/>
    <w:rsid w:val="001F299D"/>
    <w:rsid w:val="00221C70"/>
    <w:rsid w:val="00222E30"/>
    <w:rsid w:val="002368D7"/>
    <w:rsid w:val="00243F73"/>
    <w:rsid w:val="00252260"/>
    <w:rsid w:val="00261A9B"/>
    <w:rsid w:val="00270570"/>
    <w:rsid w:val="002A5903"/>
    <w:rsid w:val="002B39F2"/>
    <w:rsid w:val="002D4042"/>
    <w:rsid w:val="002D7615"/>
    <w:rsid w:val="002E6F00"/>
    <w:rsid w:val="003022FB"/>
    <w:rsid w:val="00312051"/>
    <w:rsid w:val="003151D6"/>
    <w:rsid w:val="00316EBF"/>
    <w:rsid w:val="003322C2"/>
    <w:rsid w:val="00332537"/>
    <w:rsid w:val="00350DC8"/>
    <w:rsid w:val="00363C9A"/>
    <w:rsid w:val="00382C74"/>
    <w:rsid w:val="0039643A"/>
    <w:rsid w:val="003A3423"/>
    <w:rsid w:val="003A47C6"/>
    <w:rsid w:val="003A66EE"/>
    <w:rsid w:val="003E3C52"/>
    <w:rsid w:val="00401810"/>
    <w:rsid w:val="00403A7D"/>
    <w:rsid w:val="00416A3D"/>
    <w:rsid w:val="00426051"/>
    <w:rsid w:val="004569C9"/>
    <w:rsid w:val="004629C7"/>
    <w:rsid w:val="00464B2F"/>
    <w:rsid w:val="004818A9"/>
    <w:rsid w:val="004929B1"/>
    <w:rsid w:val="004A3E47"/>
    <w:rsid w:val="004A5B02"/>
    <w:rsid w:val="004A65EA"/>
    <w:rsid w:val="004C1163"/>
    <w:rsid w:val="004C7AD3"/>
    <w:rsid w:val="004F4CD8"/>
    <w:rsid w:val="004F6A58"/>
    <w:rsid w:val="00513938"/>
    <w:rsid w:val="00515A20"/>
    <w:rsid w:val="005261C1"/>
    <w:rsid w:val="0053724B"/>
    <w:rsid w:val="0054417D"/>
    <w:rsid w:val="005743BB"/>
    <w:rsid w:val="005755C2"/>
    <w:rsid w:val="00577BA6"/>
    <w:rsid w:val="00591FB5"/>
    <w:rsid w:val="0059208C"/>
    <w:rsid w:val="00592D39"/>
    <w:rsid w:val="005944CB"/>
    <w:rsid w:val="005A698A"/>
    <w:rsid w:val="005D5E7E"/>
    <w:rsid w:val="005E05B6"/>
    <w:rsid w:val="005F5796"/>
    <w:rsid w:val="005F7443"/>
    <w:rsid w:val="0062646F"/>
    <w:rsid w:val="00634395"/>
    <w:rsid w:val="00640228"/>
    <w:rsid w:val="006806D8"/>
    <w:rsid w:val="006D347B"/>
    <w:rsid w:val="006E3BB9"/>
    <w:rsid w:val="006E6B06"/>
    <w:rsid w:val="006F3CC0"/>
    <w:rsid w:val="006F6D4C"/>
    <w:rsid w:val="00707551"/>
    <w:rsid w:val="00723292"/>
    <w:rsid w:val="007377B6"/>
    <w:rsid w:val="00751711"/>
    <w:rsid w:val="00761EEF"/>
    <w:rsid w:val="00773D96"/>
    <w:rsid w:val="007751C3"/>
    <w:rsid w:val="0078636D"/>
    <w:rsid w:val="007950BA"/>
    <w:rsid w:val="007C108A"/>
    <w:rsid w:val="007E5176"/>
    <w:rsid w:val="007F22FC"/>
    <w:rsid w:val="008039BC"/>
    <w:rsid w:val="00811467"/>
    <w:rsid w:val="008521B4"/>
    <w:rsid w:val="00860F0A"/>
    <w:rsid w:val="00860FCA"/>
    <w:rsid w:val="00864A0A"/>
    <w:rsid w:val="00873174"/>
    <w:rsid w:val="00875E74"/>
    <w:rsid w:val="00876D96"/>
    <w:rsid w:val="008839E9"/>
    <w:rsid w:val="008B5E1A"/>
    <w:rsid w:val="008C3B1C"/>
    <w:rsid w:val="008D5201"/>
    <w:rsid w:val="008F045B"/>
    <w:rsid w:val="008F0EAD"/>
    <w:rsid w:val="00901199"/>
    <w:rsid w:val="0092117E"/>
    <w:rsid w:val="00945206"/>
    <w:rsid w:val="0095784D"/>
    <w:rsid w:val="0096461F"/>
    <w:rsid w:val="0097423D"/>
    <w:rsid w:val="00974413"/>
    <w:rsid w:val="00987207"/>
    <w:rsid w:val="009900DE"/>
    <w:rsid w:val="009B018E"/>
    <w:rsid w:val="009B023C"/>
    <w:rsid w:val="009B310E"/>
    <w:rsid w:val="009C14E9"/>
    <w:rsid w:val="009C7095"/>
    <w:rsid w:val="009E1FA9"/>
    <w:rsid w:val="009F61DE"/>
    <w:rsid w:val="009F6C10"/>
    <w:rsid w:val="00A00556"/>
    <w:rsid w:val="00A37695"/>
    <w:rsid w:val="00A37FA6"/>
    <w:rsid w:val="00A77693"/>
    <w:rsid w:val="00AA14CF"/>
    <w:rsid w:val="00AA1CEC"/>
    <w:rsid w:val="00AA62E5"/>
    <w:rsid w:val="00AE0F28"/>
    <w:rsid w:val="00AE781B"/>
    <w:rsid w:val="00B1230D"/>
    <w:rsid w:val="00B17438"/>
    <w:rsid w:val="00B41B7A"/>
    <w:rsid w:val="00B63577"/>
    <w:rsid w:val="00B66FDA"/>
    <w:rsid w:val="00B80306"/>
    <w:rsid w:val="00B81714"/>
    <w:rsid w:val="00B86369"/>
    <w:rsid w:val="00B86B94"/>
    <w:rsid w:val="00B938DF"/>
    <w:rsid w:val="00B97B35"/>
    <w:rsid w:val="00BA68D2"/>
    <w:rsid w:val="00BB214B"/>
    <w:rsid w:val="00BE4FF2"/>
    <w:rsid w:val="00BE568B"/>
    <w:rsid w:val="00C26A24"/>
    <w:rsid w:val="00C3245B"/>
    <w:rsid w:val="00C351AF"/>
    <w:rsid w:val="00C35852"/>
    <w:rsid w:val="00C628F6"/>
    <w:rsid w:val="00C9679D"/>
    <w:rsid w:val="00CA0013"/>
    <w:rsid w:val="00CB29DC"/>
    <w:rsid w:val="00CC34C6"/>
    <w:rsid w:val="00CD6A95"/>
    <w:rsid w:val="00CD73C9"/>
    <w:rsid w:val="00CE5841"/>
    <w:rsid w:val="00CF0097"/>
    <w:rsid w:val="00CF70B3"/>
    <w:rsid w:val="00D26C3F"/>
    <w:rsid w:val="00D31D61"/>
    <w:rsid w:val="00D435C2"/>
    <w:rsid w:val="00D541F2"/>
    <w:rsid w:val="00D63593"/>
    <w:rsid w:val="00D67A58"/>
    <w:rsid w:val="00D709C3"/>
    <w:rsid w:val="00D72B70"/>
    <w:rsid w:val="00D7461F"/>
    <w:rsid w:val="00D854D4"/>
    <w:rsid w:val="00D87803"/>
    <w:rsid w:val="00D96E37"/>
    <w:rsid w:val="00DB525F"/>
    <w:rsid w:val="00DD0FE3"/>
    <w:rsid w:val="00DE7A60"/>
    <w:rsid w:val="00DF6485"/>
    <w:rsid w:val="00DF7CE2"/>
    <w:rsid w:val="00E0169B"/>
    <w:rsid w:val="00E1488E"/>
    <w:rsid w:val="00E1663B"/>
    <w:rsid w:val="00E33B22"/>
    <w:rsid w:val="00E7231C"/>
    <w:rsid w:val="00E76D8C"/>
    <w:rsid w:val="00E9412E"/>
    <w:rsid w:val="00EA4156"/>
    <w:rsid w:val="00EC5A28"/>
    <w:rsid w:val="00EC74B9"/>
    <w:rsid w:val="00ED35FF"/>
    <w:rsid w:val="00EF13E3"/>
    <w:rsid w:val="00F1095D"/>
    <w:rsid w:val="00F246AF"/>
    <w:rsid w:val="00F24D17"/>
    <w:rsid w:val="00F46C6A"/>
    <w:rsid w:val="00F6009F"/>
    <w:rsid w:val="00F63BCB"/>
    <w:rsid w:val="00FB0B2D"/>
    <w:rsid w:val="00FE3E74"/>
    <w:rsid w:val="00FE59E4"/>
    <w:rsid w:val="00FF40E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0B6F1"/>
  <w15:docId w15:val="{224E325D-18D9-4DF7-849A-AEAA89BC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0013"/>
    <w:pPr>
      <w:spacing w:after="0"/>
    </w:pPr>
    <w:rPr>
      <w:lang w:val="it-IT"/>
    </w:rPr>
  </w:style>
  <w:style w:type="paragraph" w:styleId="Heading1">
    <w:name w:val="heading 1"/>
    <w:basedOn w:val="Normal"/>
    <w:next w:val="Normal"/>
    <w:link w:val="Heading1Char"/>
    <w:uiPriority w:val="9"/>
    <w:qFormat/>
    <w:rsid w:val="000711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4D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013"/>
    <w:pPr>
      <w:tabs>
        <w:tab w:val="center" w:pos="4536"/>
        <w:tab w:val="right" w:pos="9072"/>
      </w:tabs>
      <w:spacing w:line="240" w:lineRule="auto"/>
    </w:pPr>
  </w:style>
  <w:style w:type="character" w:customStyle="1" w:styleId="HeaderChar">
    <w:name w:val="Header Char"/>
    <w:basedOn w:val="DefaultParagraphFont"/>
    <w:link w:val="Header"/>
    <w:uiPriority w:val="99"/>
    <w:rsid w:val="00CA0013"/>
  </w:style>
  <w:style w:type="paragraph" w:styleId="Footer">
    <w:name w:val="footer"/>
    <w:basedOn w:val="Normal"/>
    <w:link w:val="FooterChar"/>
    <w:uiPriority w:val="99"/>
    <w:unhideWhenUsed/>
    <w:rsid w:val="00CA0013"/>
    <w:pPr>
      <w:tabs>
        <w:tab w:val="center" w:pos="4536"/>
        <w:tab w:val="right" w:pos="9072"/>
      </w:tabs>
      <w:spacing w:line="240" w:lineRule="auto"/>
    </w:pPr>
  </w:style>
  <w:style w:type="character" w:customStyle="1" w:styleId="FooterChar">
    <w:name w:val="Footer Char"/>
    <w:basedOn w:val="DefaultParagraphFont"/>
    <w:link w:val="Footer"/>
    <w:uiPriority w:val="99"/>
    <w:rsid w:val="00CA0013"/>
  </w:style>
  <w:style w:type="paragraph" w:customStyle="1" w:styleId="xmsonormal">
    <w:name w:val="x_msonormal"/>
    <w:basedOn w:val="Normal"/>
    <w:uiPriority w:val="99"/>
    <w:semiHidden/>
    <w:rsid w:val="00CA0013"/>
    <w:pPr>
      <w:spacing w:line="240" w:lineRule="auto"/>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CA0013"/>
    <w:rPr>
      <w:color w:val="0000FF"/>
      <w:u w:val="single"/>
    </w:rPr>
  </w:style>
  <w:style w:type="paragraph" w:customStyle="1" w:styleId="BodyCopy">
    <w:name w:val="Body Copy"/>
    <w:autoRedefine/>
    <w:rsid w:val="00350DC8"/>
    <w:pPr>
      <w:spacing w:after="0" w:line="240" w:lineRule="auto"/>
      <w:jc w:val="both"/>
    </w:pPr>
    <w:rPr>
      <w:rFonts w:ascii="Garamond" w:eastAsia="Times New Roman" w:hAnsi="Garamond" w:cs="Times New Roman"/>
      <w:sz w:val="28"/>
      <w:szCs w:val="28"/>
      <w:lang w:val="en-US"/>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
    <w:basedOn w:val="Normal"/>
    <w:link w:val="FootnoteTextChar"/>
    <w:uiPriority w:val="99"/>
    <w:semiHidden/>
    <w:unhideWhenUsed/>
    <w:rsid w:val="004A3E47"/>
    <w:pPr>
      <w:spacing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
    <w:basedOn w:val="DefaultParagraphFont"/>
    <w:link w:val="FootnoteText"/>
    <w:uiPriority w:val="99"/>
    <w:semiHidden/>
    <w:rsid w:val="004A3E47"/>
    <w:rPr>
      <w:rFonts w:ascii="Times New Roman" w:eastAsia="Times New Roman" w:hAnsi="Times New Roman" w:cs="Times New Roman"/>
      <w:sz w:val="20"/>
      <w:szCs w:val="20"/>
      <w:lang w:val="en-GB"/>
    </w:rPr>
  </w:style>
  <w:style w:type="character" w:styleId="FootnoteReference">
    <w:name w:val="footnote reference"/>
    <w:aliases w:val="Ref,de nota al pie,16 Point,Superscript 6 Point,Appel note de bas de page,ftref,BVI fnr,Footnote Reference Number,Car Car Char Car Char Car Car Char Car Char Char,Heading 3 Char Char Char,Heading 3 Char Char Char Char"/>
    <w:link w:val="4GCharCharChar"/>
    <w:uiPriority w:val="99"/>
    <w:unhideWhenUsed/>
    <w:rsid w:val="004A3E47"/>
    <w:rPr>
      <w:vertAlign w:val="superscript"/>
    </w:rPr>
  </w:style>
  <w:style w:type="paragraph" w:styleId="BalloonText">
    <w:name w:val="Balloon Text"/>
    <w:basedOn w:val="Normal"/>
    <w:link w:val="BalloonTextChar"/>
    <w:uiPriority w:val="99"/>
    <w:semiHidden/>
    <w:unhideWhenUsed/>
    <w:rsid w:val="004A3E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47"/>
    <w:rPr>
      <w:rFonts w:ascii="Segoe UI" w:hAnsi="Segoe UI" w:cs="Segoe UI"/>
      <w:sz w:val="18"/>
      <w:szCs w:val="18"/>
      <w:lang w:val="it-IT"/>
    </w:rPr>
  </w:style>
  <w:style w:type="paragraph" w:styleId="ListParagraph">
    <w:name w:val="List Paragraph"/>
    <w:basedOn w:val="Normal"/>
    <w:uiPriority w:val="34"/>
    <w:qFormat/>
    <w:rsid w:val="007F22FC"/>
    <w:pPr>
      <w:spacing w:after="160"/>
      <w:ind w:left="720"/>
      <w:contextualSpacing/>
    </w:pPr>
    <w:rPr>
      <w:lang w:val="fr-CH"/>
    </w:rPr>
  </w:style>
  <w:style w:type="paragraph" w:customStyle="1" w:styleId="story-body-text">
    <w:name w:val="story-body-text"/>
    <w:basedOn w:val="Normal"/>
    <w:rsid w:val="000711EC"/>
    <w:pPr>
      <w:spacing w:before="100" w:beforeAutospacing="1" w:after="100" w:afterAutospacing="1" w:line="240" w:lineRule="auto"/>
    </w:pPr>
    <w:rPr>
      <w:rFonts w:ascii="Times New Roman" w:hAnsi="Times New Roman" w:cs="Times New Roman"/>
      <w:sz w:val="24"/>
      <w:szCs w:val="24"/>
      <w:lang w:val="fr-CH" w:eastAsia="fr-CH"/>
    </w:rPr>
  </w:style>
  <w:style w:type="paragraph" w:styleId="NormalWeb">
    <w:name w:val="Normal (Web)"/>
    <w:basedOn w:val="Normal"/>
    <w:uiPriority w:val="99"/>
    <w:unhideWhenUsed/>
    <w:rsid w:val="000711E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Strong">
    <w:name w:val="Strong"/>
    <w:basedOn w:val="DefaultParagraphFont"/>
    <w:uiPriority w:val="22"/>
    <w:qFormat/>
    <w:rsid w:val="000711EC"/>
    <w:rPr>
      <w:b/>
      <w:bCs/>
    </w:rPr>
  </w:style>
  <w:style w:type="character" w:customStyle="1" w:styleId="apple-converted-space">
    <w:name w:val="apple-converted-space"/>
    <w:basedOn w:val="DefaultParagraphFont"/>
    <w:rsid w:val="000711EC"/>
  </w:style>
  <w:style w:type="character" w:customStyle="1" w:styleId="Heading1Char">
    <w:name w:val="Heading 1 Char"/>
    <w:basedOn w:val="DefaultParagraphFont"/>
    <w:link w:val="Heading1"/>
    <w:uiPriority w:val="9"/>
    <w:rsid w:val="000711EC"/>
    <w:rPr>
      <w:rFonts w:asciiTheme="majorHAnsi" w:eastAsiaTheme="majorEastAsia" w:hAnsiTheme="majorHAnsi" w:cstheme="majorBidi"/>
      <w:color w:val="2E74B5" w:themeColor="accent1" w:themeShade="BF"/>
      <w:sz w:val="32"/>
      <w:szCs w:val="32"/>
      <w:lang w:val="it-IT"/>
    </w:rPr>
  </w:style>
  <w:style w:type="paragraph" w:styleId="CommentText">
    <w:name w:val="annotation text"/>
    <w:basedOn w:val="Normal"/>
    <w:link w:val="CommentTextChar"/>
    <w:uiPriority w:val="99"/>
    <w:semiHidden/>
    <w:unhideWhenUsed/>
    <w:rsid w:val="004F4CD8"/>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4F4CD8"/>
    <w:rPr>
      <w:rFonts w:ascii="Calibri" w:eastAsia="Calibri" w:hAnsi="Calibri" w:cs="Times New Roman"/>
      <w:sz w:val="20"/>
      <w:szCs w:val="20"/>
      <w:lang w:val="x-none"/>
    </w:rPr>
  </w:style>
  <w:style w:type="character" w:styleId="FollowedHyperlink">
    <w:name w:val="FollowedHyperlink"/>
    <w:basedOn w:val="DefaultParagraphFont"/>
    <w:uiPriority w:val="99"/>
    <w:semiHidden/>
    <w:unhideWhenUsed/>
    <w:rsid w:val="00426051"/>
    <w:rPr>
      <w:color w:val="954F72" w:themeColor="followedHyperlink"/>
      <w:u w:val="single"/>
    </w:rPr>
  </w:style>
  <w:style w:type="character" w:styleId="EndnoteReference">
    <w:name w:val="endnote reference"/>
    <w:basedOn w:val="DefaultParagraphFont"/>
    <w:uiPriority w:val="99"/>
    <w:semiHidden/>
    <w:unhideWhenUsed/>
    <w:rsid w:val="00A37FA6"/>
    <w:rPr>
      <w:vertAlign w:val="superscript"/>
    </w:rPr>
  </w:style>
  <w:style w:type="character" w:customStyle="1" w:styleId="Heading2Char">
    <w:name w:val="Heading 2 Char"/>
    <w:basedOn w:val="DefaultParagraphFont"/>
    <w:link w:val="Heading2"/>
    <w:uiPriority w:val="9"/>
    <w:rsid w:val="00F24D17"/>
    <w:rPr>
      <w:rFonts w:asciiTheme="majorHAnsi" w:eastAsiaTheme="majorEastAsia" w:hAnsiTheme="majorHAnsi" w:cstheme="majorBidi"/>
      <w:color w:val="2E74B5" w:themeColor="accent1" w:themeShade="BF"/>
      <w:sz w:val="26"/>
      <w:szCs w:val="26"/>
      <w:lang w:val="it-IT"/>
    </w:rPr>
  </w:style>
  <w:style w:type="paragraph" w:styleId="EndnoteText">
    <w:name w:val="endnote text"/>
    <w:basedOn w:val="Normal"/>
    <w:link w:val="EndnoteTextChar"/>
    <w:uiPriority w:val="99"/>
    <w:semiHidden/>
    <w:unhideWhenUsed/>
    <w:rsid w:val="00F24D17"/>
    <w:pPr>
      <w:spacing w:line="240" w:lineRule="auto"/>
    </w:pPr>
    <w:rPr>
      <w:sz w:val="20"/>
      <w:szCs w:val="20"/>
      <w:lang w:val="fr-CA"/>
    </w:rPr>
  </w:style>
  <w:style w:type="character" w:customStyle="1" w:styleId="EndnoteTextChar">
    <w:name w:val="Endnote Text Char"/>
    <w:basedOn w:val="DefaultParagraphFont"/>
    <w:link w:val="EndnoteText"/>
    <w:uiPriority w:val="99"/>
    <w:semiHidden/>
    <w:rsid w:val="00F24D17"/>
    <w:rPr>
      <w:sz w:val="20"/>
      <w:szCs w:val="20"/>
      <w:lang w:val="fr-CA"/>
    </w:rPr>
  </w:style>
  <w:style w:type="paragraph" w:customStyle="1" w:styleId="Pa13">
    <w:name w:val="Pa13"/>
    <w:basedOn w:val="Normal"/>
    <w:next w:val="Normal"/>
    <w:uiPriority w:val="99"/>
    <w:rsid w:val="00761EEF"/>
    <w:pPr>
      <w:autoSpaceDE w:val="0"/>
      <w:autoSpaceDN w:val="0"/>
      <w:adjustRightInd w:val="0"/>
      <w:spacing w:line="221" w:lineRule="atLeast"/>
    </w:pPr>
    <w:rPr>
      <w:rFonts w:ascii="GillSans" w:hAnsi="GillSans"/>
      <w:sz w:val="24"/>
      <w:szCs w:val="24"/>
      <w:lang w:val="fr-CH"/>
    </w:rPr>
  </w:style>
  <w:style w:type="paragraph" w:customStyle="1" w:styleId="Pa14">
    <w:name w:val="Pa14"/>
    <w:basedOn w:val="Normal"/>
    <w:next w:val="Normal"/>
    <w:uiPriority w:val="99"/>
    <w:rsid w:val="00761EEF"/>
    <w:pPr>
      <w:autoSpaceDE w:val="0"/>
      <w:autoSpaceDN w:val="0"/>
      <w:adjustRightInd w:val="0"/>
      <w:spacing w:line="221" w:lineRule="atLeast"/>
    </w:pPr>
    <w:rPr>
      <w:rFonts w:ascii="GillSans" w:hAnsi="GillSans"/>
      <w:sz w:val="24"/>
      <w:szCs w:val="24"/>
      <w:lang w:val="fr-CH"/>
    </w:rPr>
  </w:style>
  <w:style w:type="paragraph" w:customStyle="1" w:styleId="Pa1">
    <w:name w:val="Pa1"/>
    <w:basedOn w:val="Normal"/>
    <w:next w:val="Normal"/>
    <w:uiPriority w:val="99"/>
    <w:rsid w:val="00761EEF"/>
    <w:pPr>
      <w:autoSpaceDE w:val="0"/>
      <w:autoSpaceDN w:val="0"/>
      <w:adjustRightInd w:val="0"/>
      <w:spacing w:line="221" w:lineRule="atLeast"/>
    </w:pPr>
    <w:rPr>
      <w:rFonts w:ascii="GillSans" w:hAnsi="GillSans"/>
      <w:sz w:val="24"/>
      <w:szCs w:val="24"/>
      <w:lang w:val="fr-CH"/>
    </w:rPr>
  </w:style>
  <w:style w:type="character" w:styleId="CommentReference">
    <w:name w:val="annotation reference"/>
    <w:basedOn w:val="DefaultParagraphFont"/>
    <w:uiPriority w:val="99"/>
    <w:semiHidden/>
    <w:unhideWhenUsed/>
    <w:rsid w:val="005755C2"/>
    <w:rPr>
      <w:sz w:val="16"/>
      <w:szCs w:val="16"/>
    </w:rPr>
  </w:style>
  <w:style w:type="paragraph" w:styleId="CommentSubject">
    <w:name w:val="annotation subject"/>
    <w:basedOn w:val="CommentText"/>
    <w:next w:val="CommentText"/>
    <w:link w:val="CommentSubjectChar"/>
    <w:uiPriority w:val="99"/>
    <w:semiHidden/>
    <w:unhideWhenUsed/>
    <w:rsid w:val="005755C2"/>
    <w:pPr>
      <w:spacing w:after="0" w:line="240" w:lineRule="auto"/>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5755C2"/>
    <w:rPr>
      <w:rFonts w:ascii="Calibri" w:eastAsia="Calibri" w:hAnsi="Calibri" w:cs="Times New Roman"/>
      <w:b/>
      <w:bCs/>
      <w:sz w:val="20"/>
      <w:szCs w:val="20"/>
      <w:lang w:val="it-IT"/>
    </w:rPr>
  </w:style>
  <w:style w:type="paragraph" w:styleId="Revision">
    <w:name w:val="Revision"/>
    <w:hidden/>
    <w:uiPriority w:val="99"/>
    <w:semiHidden/>
    <w:rsid w:val="00D87803"/>
    <w:pPr>
      <w:spacing w:after="0" w:line="240" w:lineRule="auto"/>
    </w:pPr>
    <w:rPr>
      <w:lang w:val="it-IT"/>
    </w:rPr>
  </w:style>
  <w:style w:type="paragraph" w:customStyle="1" w:styleId="Default">
    <w:name w:val="Default"/>
    <w:rsid w:val="000730B9"/>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CE5841"/>
    <w:rPr>
      <w:rFonts w:cs="Gill Sans MT"/>
      <w:color w:val="000000"/>
      <w:sz w:val="22"/>
      <w:szCs w:val="22"/>
    </w:rPr>
  </w:style>
  <w:style w:type="character" w:customStyle="1" w:styleId="A4">
    <w:name w:val="A4"/>
    <w:uiPriority w:val="99"/>
    <w:rsid w:val="00CE5841"/>
    <w:rPr>
      <w:rFonts w:cs="Gill Sans MT"/>
      <w:color w:val="000000"/>
      <w:sz w:val="12"/>
      <w:szCs w:val="12"/>
    </w:rPr>
  </w:style>
  <w:style w:type="character" w:customStyle="1" w:styleId="A7">
    <w:name w:val="A7"/>
    <w:uiPriority w:val="99"/>
    <w:rsid w:val="00CE5841"/>
    <w:rPr>
      <w:rFonts w:cs="Gill Sans MT"/>
      <w:color w:val="000000"/>
      <w:sz w:val="12"/>
      <w:szCs w:val="1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17438"/>
    <w:pPr>
      <w:spacing w:after="160" w:line="240" w:lineRule="exact"/>
      <w:jc w:val="both"/>
    </w:pPr>
    <w:rPr>
      <w:vertAlign w:val="superscript"/>
      <w:lang w:val="fr-CH"/>
    </w:rPr>
  </w:style>
  <w:style w:type="character" w:customStyle="1" w:styleId="hps">
    <w:name w:val="hps"/>
    <w:basedOn w:val="DefaultParagraphFont"/>
    <w:rsid w:val="00B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180">
      <w:bodyDiv w:val="1"/>
      <w:marLeft w:val="0"/>
      <w:marRight w:val="0"/>
      <w:marTop w:val="0"/>
      <w:marBottom w:val="0"/>
      <w:divBdr>
        <w:top w:val="none" w:sz="0" w:space="0" w:color="auto"/>
        <w:left w:val="none" w:sz="0" w:space="0" w:color="auto"/>
        <w:bottom w:val="none" w:sz="0" w:space="0" w:color="auto"/>
        <w:right w:val="none" w:sz="0" w:space="0" w:color="auto"/>
      </w:divBdr>
    </w:div>
    <w:div w:id="556169154">
      <w:bodyDiv w:val="1"/>
      <w:marLeft w:val="0"/>
      <w:marRight w:val="0"/>
      <w:marTop w:val="0"/>
      <w:marBottom w:val="0"/>
      <w:divBdr>
        <w:top w:val="none" w:sz="0" w:space="0" w:color="auto"/>
        <w:left w:val="none" w:sz="0" w:space="0" w:color="auto"/>
        <w:bottom w:val="none" w:sz="0" w:space="0" w:color="auto"/>
        <w:right w:val="none" w:sz="0" w:space="0" w:color="auto"/>
      </w:divBdr>
    </w:div>
    <w:div w:id="984579337">
      <w:bodyDiv w:val="1"/>
      <w:marLeft w:val="0"/>
      <w:marRight w:val="0"/>
      <w:marTop w:val="0"/>
      <w:marBottom w:val="0"/>
      <w:divBdr>
        <w:top w:val="none" w:sz="0" w:space="0" w:color="auto"/>
        <w:left w:val="none" w:sz="0" w:space="0" w:color="auto"/>
        <w:bottom w:val="none" w:sz="0" w:space="0" w:color="auto"/>
        <w:right w:val="none" w:sz="0" w:space="0" w:color="auto"/>
      </w:divBdr>
      <w:divsChild>
        <w:div w:id="1500971542">
          <w:marLeft w:val="0"/>
          <w:marRight w:val="0"/>
          <w:marTop w:val="0"/>
          <w:marBottom w:val="0"/>
          <w:divBdr>
            <w:top w:val="none" w:sz="0" w:space="0" w:color="auto"/>
            <w:left w:val="none" w:sz="0" w:space="0" w:color="auto"/>
            <w:bottom w:val="none" w:sz="0" w:space="0" w:color="auto"/>
            <w:right w:val="none" w:sz="0" w:space="0" w:color="auto"/>
          </w:divBdr>
        </w:div>
        <w:div w:id="99372594">
          <w:marLeft w:val="0"/>
          <w:marRight w:val="0"/>
          <w:marTop w:val="0"/>
          <w:marBottom w:val="0"/>
          <w:divBdr>
            <w:top w:val="none" w:sz="0" w:space="0" w:color="auto"/>
            <w:left w:val="none" w:sz="0" w:space="0" w:color="auto"/>
            <w:bottom w:val="none" w:sz="0" w:space="0" w:color="auto"/>
            <w:right w:val="none" w:sz="0" w:space="0" w:color="auto"/>
          </w:divBdr>
        </w:div>
        <w:div w:id="2026667677">
          <w:marLeft w:val="0"/>
          <w:marRight w:val="0"/>
          <w:marTop w:val="0"/>
          <w:marBottom w:val="0"/>
          <w:divBdr>
            <w:top w:val="none" w:sz="0" w:space="0" w:color="auto"/>
            <w:left w:val="none" w:sz="0" w:space="0" w:color="auto"/>
            <w:bottom w:val="none" w:sz="0" w:space="0" w:color="auto"/>
            <w:right w:val="none" w:sz="0" w:space="0" w:color="auto"/>
          </w:divBdr>
        </w:div>
        <w:div w:id="2021003126">
          <w:marLeft w:val="0"/>
          <w:marRight w:val="0"/>
          <w:marTop w:val="0"/>
          <w:marBottom w:val="0"/>
          <w:divBdr>
            <w:top w:val="none" w:sz="0" w:space="0" w:color="auto"/>
            <w:left w:val="none" w:sz="0" w:space="0" w:color="auto"/>
            <w:bottom w:val="none" w:sz="0" w:space="0" w:color="auto"/>
            <w:right w:val="none" w:sz="0" w:space="0" w:color="auto"/>
          </w:divBdr>
        </w:div>
      </w:divsChild>
    </w:div>
    <w:div w:id="2081558436">
      <w:bodyDiv w:val="1"/>
      <w:marLeft w:val="0"/>
      <w:marRight w:val="0"/>
      <w:marTop w:val="0"/>
      <w:marBottom w:val="0"/>
      <w:divBdr>
        <w:top w:val="none" w:sz="0" w:space="0" w:color="auto"/>
        <w:left w:val="none" w:sz="0" w:space="0" w:color="auto"/>
        <w:bottom w:val="none" w:sz="0" w:space="0" w:color="auto"/>
        <w:right w:val="none" w:sz="0" w:space="0" w:color="auto"/>
      </w:divBdr>
      <w:divsChild>
        <w:div w:id="1332755370">
          <w:marLeft w:val="0"/>
          <w:marRight w:val="0"/>
          <w:marTop w:val="0"/>
          <w:marBottom w:val="0"/>
          <w:divBdr>
            <w:top w:val="none" w:sz="0" w:space="0" w:color="auto"/>
            <w:left w:val="none" w:sz="0" w:space="0" w:color="auto"/>
            <w:bottom w:val="none" w:sz="0" w:space="0" w:color="auto"/>
            <w:right w:val="none" w:sz="0" w:space="0" w:color="auto"/>
          </w:divBdr>
        </w:div>
        <w:div w:id="23543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e.aspx?si=A/HRC/27/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zens-post.org/global-citizens-hearing-report/"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resourcecentre.savethechildren.se/library/universal-periodic-review-successful-examples-child-rights-advoc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23EDF-2892-4D18-9269-AE3A94431417}"/>
</file>

<file path=customXml/itemProps2.xml><?xml version="1.0" encoding="utf-8"?>
<ds:datastoreItem xmlns:ds="http://schemas.openxmlformats.org/officeDocument/2006/customXml" ds:itemID="{79106D2F-EEA0-49D1-AD27-872E7067B233}"/>
</file>

<file path=customXml/itemProps3.xml><?xml version="1.0" encoding="utf-8"?>
<ds:datastoreItem xmlns:ds="http://schemas.openxmlformats.org/officeDocument/2006/customXml" ds:itemID="{6F824545-0742-48DA-A4D2-3D501CB5DCB7}"/>
</file>

<file path=customXml/itemProps4.xml><?xml version="1.0" encoding="utf-8"?>
<ds:datastoreItem xmlns:ds="http://schemas.openxmlformats.org/officeDocument/2006/customXml" ds:itemID="{9766E54A-5BBE-433B-B27E-F8689CBA6FE8}"/>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Associate2, Geneva</dc:creator>
  <cp:keywords/>
  <dc:description/>
  <cp:lastModifiedBy>Luchesi, Thiago</cp:lastModifiedBy>
  <cp:revision>2</cp:revision>
  <cp:lastPrinted>2016-02-03T14:43:00Z</cp:lastPrinted>
  <dcterms:created xsi:type="dcterms:W3CDTF">2016-04-08T15:38:00Z</dcterms:created>
  <dcterms:modified xsi:type="dcterms:W3CDTF">2016-04-08T15:38:00Z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3472500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