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3197B" w14:textId="77777777" w:rsidR="00876793" w:rsidRPr="00092B69" w:rsidRDefault="00876793" w:rsidP="00876793">
      <w:pPr>
        <w:jc w:val="both"/>
      </w:pPr>
      <w:proofErr w:type="spellStart"/>
      <w:r w:rsidRPr="00092B69">
        <w:rPr>
          <w:color w:val="000000"/>
        </w:rPr>
        <w:t>Imma</w:t>
      </w:r>
      <w:proofErr w:type="spellEnd"/>
      <w:r w:rsidRPr="00092B69">
        <w:rPr>
          <w:color w:val="000000"/>
        </w:rPr>
        <w:t xml:space="preserve"> </w:t>
      </w:r>
      <w:proofErr w:type="spellStart"/>
      <w:r w:rsidRPr="00092B69">
        <w:rPr>
          <w:color w:val="000000"/>
        </w:rPr>
        <w:t>Guerras</w:t>
      </w:r>
      <w:proofErr w:type="spellEnd"/>
      <w:r w:rsidRPr="00092B69">
        <w:rPr>
          <w:color w:val="000000"/>
        </w:rPr>
        <w:t>-Delgado</w:t>
      </w:r>
    </w:p>
    <w:p w14:paraId="69152433" w14:textId="77777777" w:rsidR="00876793" w:rsidRPr="00092B69" w:rsidRDefault="00876793" w:rsidP="00876793">
      <w:pPr>
        <w:jc w:val="both"/>
      </w:pPr>
      <w:r w:rsidRPr="00092B69">
        <w:t>Office of the High Commissioner for Human Rights (OHCHR)</w:t>
      </w:r>
    </w:p>
    <w:p w14:paraId="6B1AB249" w14:textId="77777777" w:rsidR="00876793" w:rsidRPr="00092B69" w:rsidRDefault="00876793" w:rsidP="00876793">
      <w:pPr>
        <w:jc w:val="both"/>
      </w:pPr>
      <w:proofErr w:type="spellStart"/>
      <w:r w:rsidRPr="00092B69">
        <w:t>Palais</w:t>
      </w:r>
      <w:proofErr w:type="spellEnd"/>
      <w:r w:rsidRPr="00092B69">
        <w:t xml:space="preserve"> Des Nations</w:t>
      </w:r>
    </w:p>
    <w:p w14:paraId="7A368630" w14:textId="77777777" w:rsidR="00876793" w:rsidRPr="00092B69" w:rsidRDefault="00876793" w:rsidP="00876793">
      <w:pPr>
        <w:jc w:val="both"/>
      </w:pPr>
      <w:r w:rsidRPr="00092B69">
        <w:t>1211 Geneva 10</w:t>
      </w:r>
    </w:p>
    <w:p w14:paraId="18C6E064" w14:textId="77777777" w:rsidR="00876793" w:rsidRPr="00092B69" w:rsidRDefault="00876793" w:rsidP="00876793">
      <w:pPr>
        <w:jc w:val="both"/>
      </w:pPr>
      <w:r w:rsidRPr="00092B69">
        <w:t>Switzerland</w:t>
      </w:r>
    </w:p>
    <w:p w14:paraId="209B2709" w14:textId="77777777" w:rsidR="00876793" w:rsidRPr="00092B69" w:rsidRDefault="00876793" w:rsidP="00876793">
      <w:pPr>
        <w:jc w:val="both"/>
      </w:pPr>
    </w:p>
    <w:p w14:paraId="7B353B6A" w14:textId="77777777" w:rsidR="00876793" w:rsidRPr="00092B69" w:rsidRDefault="00876793" w:rsidP="00876793">
      <w:pPr>
        <w:jc w:val="both"/>
      </w:pPr>
      <w:r w:rsidRPr="00092B69">
        <w:t xml:space="preserve">By e-mail: </w:t>
      </w:r>
      <w:hyperlink r:id="rId12" w:history="1">
        <w:r w:rsidRPr="00092B69">
          <w:rPr>
            <w:color w:val="000000"/>
          </w:rPr>
          <w:t>registry@ohchr.org</w:t>
        </w:r>
      </w:hyperlink>
      <w:r w:rsidRPr="00092B69">
        <w:rPr>
          <w:color w:val="000000"/>
        </w:rPr>
        <w:t xml:space="preserve">; cc: </w:t>
      </w:r>
      <w:hyperlink r:id="rId13" w:history="1">
        <w:r w:rsidRPr="00092B69">
          <w:rPr>
            <w:color w:val="000000"/>
          </w:rPr>
          <w:t>iguerras-delgado@ohchr.org</w:t>
        </w:r>
      </w:hyperlink>
    </w:p>
    <w:p w14:paraId="443545B9" w14:textId="77777777" w:rsidR="00876793" w:rsidRPr="00092B69" w:rsidRDefault="00876793" w:rsidP="00876793">
      <w:pPr>
        <w:jc w:val="both"/>
        <w:rPr>
          <w:highlight w:val="yellow"/>
        </w:rPr>
      </w:pPr>
    </w:p>
    <w:p w14:paraId="4AC0998E" w14:textId="6C57976D" w:rsidR="00876793" w:rsidRPr="00092B69" w:rsidRDefault="00876793" w:rsidP="00876793">
      <w:pPr>
        <w:ind w:left="5760" w:firstLine="720"/>
        <w:jc w:val="both"/>
      </w:pPr>
      <w:r>
        <w:t>30</w:t>
      </w:r>
      <w:r w:rsidRPr="00092B69">
        <w:t xml:space="preserve"> October 2017</w:t>
      </w:r>
    </w:p>
    <w:p w14:paraId="59CFC423" w14:textId="77777777" w:rsidR="00876793" w:rsidRPr="00092B69" w:rsidRDefault="00876793" w:rsidP="00876793">
      <w:pPr>
        <w:jc w:val="both"/>
        <w:rPr>
          <w:highlight w:val="yellow"/>
        </w:rPr>
      </w:pPr>
    </w:p>
    <w:p w14:paraId="12A44D9B" w14:textId="77777777" w:rsidR="00876793" w:rsidRPr="00092B69" w:rsidRDefault="00876793" w:rsidP="00876793">
      <w:pPr>
        <w:ind w:left="720" w:hanging="720"/>
        <w:jc w:val="both"/>
        <w:rPr>
          <w:b/>
        </w:rPr>
      </w:pPr>
      <w:r w:rsidRPr="00092B69">
        <w:rPr>
          <w:b/>
        </w:rPr>
        <w:t>Re:</w:t>
      </w:r>
      <w:r w:rsidRPr="00092B69">
        <w:rPr>
          <w:b/>
        </w:rPr>
        <w:tab/>
      </w:r>
      <w:r w:rsidRPr="00092B69">
        <w:rPr>
          <w:b/>
          <w:bCs/>
          <w:color w:val="000000"/>
          <w:u w:val="single"/>
        </w:rPr>
        <w:t>Report on best practices on birth registration</w:t>
      </w:r>
      <w:r w:rsidRPr="00092B69">
        <w:rPr>
          <w:b/>
        </w:rPr>
        <w:t xml:space="preserve"> – Input </w:t>
      </w:r>
    </w:p>
    <w:p w14:paraId="4441F373" w14:textId="77777777" w:rsidR="00876793" w:rsidRPr="00092B69" w:rsidRDefault="00876793" w:rsidP="00876793"/>
    <w:p w14:paraId="312548D6" w14:textId="77777777" w:rsidR="00876793" w:rsidRPr="00092B69" w:rsidRDefault="00876793" w:rsidP="00876793">
      <w:pPr>
        <w:jc w:val="both"/>
      </w:pPr>
      <w:r w:rsidRPr="00092B69">
        <w:t>D</w:t>
      </w:r>
      <w:r>
        <w:t>ear Office of the</w:t>
      </w:r>
      <w:r w:rsidRPr="00092B69">
        <w:t xml:space="preserve"> High Commissioner for Human Rights:</w:t>
      </w:r>
    </w:p>
    <w:p w14:paraId="7E680D35" w14:textId="77777777" w:rsidR="00876793" w:rsidRPr="00092B69" w:rsidRDefault="00876793" w:rsidP="00876793">
      <w:pPr>
        <w:jc w:val="both"/>
      </w:pPr>
    </w:p>
    <w:p w14:paraId="78CFB7CA" w14:textId="77777777" w:rsidR="00876793" w:rsidRDefault="00876793" w:rsidP="00876793">
      <w:pPr>
        <w:ind w:firstLine="720"/>
      </w:pPr>
      <w:r w:rsidRPr="00092B69">
        <w:t xml:space="preserve">In response to the call for inputs by the Office of the High Commissioner for Human Rights (OHCHR) on the report being prepared pursuant to Human Rights Council Resolution 34/15 of 11 April 2017, </w:t>
      </w:r>
      <w:r w:rsidRPr="00092B69">
        <w:rPr>
          <w:i/>
        </w:rPr>
        <w:t>Birth registration and the right of everyone to recognition everywhere as a person before the law</w:t>
      </w:r>
      <w:r w:rsidRPr="00092B69">
        <w:rPr>
          <w:rStyle w:val="FootnoteReference"/>
        </w:rPr>
        <w:footnoteReference w:id="1"/>
      </w:r>
      <w:r w:rsidRPr="00092B69">
        <w:rPr>
          <w:i/>
        </w:rPr>
        <w:t xml:space="preserve"> </w:t>
      </w:r>
      <w:r w:rsidRPr="00092B69">
        <w:t>(the Council’s Resolution), Equality Now submits this communication</w:t>
      </w:r>
      <w:r w:rsidRPr="00092B69">
        <w:rPr>
          <w:rStyle w:val="FootnoteReference"/>
        </w:rPr>
        <w:footnoteReference w:id="2"/>
      </w:r>
      <w:r w:rsidRPr="00092B69">
        <w:t xml:space="preserve"> on information relevant to the preparation of the report</w:t>
      </w:r>
      <w:r>
        <w:t>,</w:t>
      </w:r>
      <w:r w:rsidRPr="00092B69">
        <w:t xml:space="preserve"> including “best practices</w:t>
      </w:r>
      <w:r>
        <w:t xml:space="preserve"> and specific measures to ensure access to birth registration, particularly for those children most at risk</w:t>
      </w:r>
      <w:r w:rsidRPr="00092B69">
        <w:t xml:space="preserve">”. Equality Now is an international human rights organization with ECOSOC status founded in 1992 working to promote the equality of women and girls worldwide. </w:t>
      </w:r>
    </w:p>
    <w:p w14:paraId="7B3A1B5E" w14:textId="77777777" w:rsidR="006D4929" w:rsidRDefault="006D4929" w:rsidP="00876793">
      <w:pPr>
        <w:ind w:firstLine="720"/>
      </w:pPr>
    </w:p>
    <w:p w14:paraId="53CAC53B" w14:textId="77777777" w:rsidR="00876793" w:rsidRDefault="00876793" w:rsidP="00876793">
      <w:pPr>
        <w:ind w:firstLine="720"/>
        <w:rPr>
          <w:color w:val="000000"/>
        </w:rPr>
      </w:pPr>
      <w:r w:rsidRPr="00092B69">
        <w:t xml:space="preserve">In this submission, we </w:t>
      </w:r>
      <w:r>
        <w:t>wish to draw OHCHR’s attention to the impact of gender discrimination</w:t>
      </w:r>
      <w:r>
        <w:rPr>
          <w:color w:val="000000"/>
        </w:rPr>
        <w:t xml:space="preserve"> – </w:t>
      </w:r>
      <w:r>
        <w:t>specifically, sex discriminatory nationality laws and child, early and forced “marriage” (CEFM)</w:t>
      </w:r>
      <w:r>
        <w:rPr>
          <w:color w:val="000000"/>
        </w:rPr>
        <w:t xml:space="preserve"> – </w:t>
      </w:r>
      <w:r>
        <w:t xml:space="preserve">on access to birth registration. </w:t>
      </w:r>
      <w:r w:rsidRPr="00092B69">
        <w:t>The submission also highlights how sex discriminatory nationality laws</w:t>
      </w:r>
      <w:r>
        <w:t xml:space="preserve"> and minimum age of marriage laws below the age of 18 (that are also often lower for girls than for boys) undermine women and girls’ ability to enjoy their related human rights, including for example, the right not to be married off as a child and the right to education, even where access to birth registration is ensured by the government. In sum, we note that </w:t>
      </w:r>
      <w:r>
        <w:rPr>
          <w:color w:val="000000"/>
        </w:rPr>
        <w:t>d</w:t>
      </w:r>
      <w:r w:rsidRPr="00092B69">
        <w:rPr>
          <w:color w:val="000000"/>
        </w:rPr>
        <w:t xml:space="preserve">iscriminatory nationality laws </w:t>
      </w:r>
      <w:r>
        <w:rPr>
          <w:color w:val="000000"/>
        </w:rPr>
        <w:t>and CEFM</w:t>
      </w:r>
      <w:r w:rsidRPr="00092B69">
        <w:rPr>
          <w:color w:val="000000"/>
        </w:rPr>
        <w:t xml:space="preserve"> have a two-fo</w:t>
      </w:r>
      <w:r>
        <w:rPr>
          <w:color w:val="000000"/>
        </w:rPr>
        <w:t>ld impact, both exacerbating barriers to but also directly undermining the benefits of achieving improved access to birth registration.</w:t>
      </w:r>
    </w:p>
    <w:p w14:paraId="7F38DF5A" w14:textId="77777777" w:rsidR="006D4929" w:rsidRPr="00E977F3" w:rsidRDefault="006D4929" w:rsidP="00876793">
      <w:pPr>
        <w:ind w:firstLine="720"/>
      </w:pPr>
    </w:p>
    <w:p w14:paraId="24FD4439" w14:textId="77777777" w:rsidR="00876793" w:rsidRPr="00E977F3" w:rsidRDefault="00876793" w:rsidP="00876793">
      <w:pPr>
        <w:rPr>
          <w:i/>
          <w:color w:val="000000"/>
        </w:rPr>
      </w:pPr>
      <w:r>
        <w:rPr>
          <w:i/>
          <w:color w:val="000000"/>
        </w:rPr>
        <w:t>S</w:t>
      </w:r>
      <w:r w:rsidRPr="00E977F3">
        <w:rPr>
          <w:i/>
          <w:color w:val="000000"/>
        </w:rPr>
        <w:t xml:space="preserve">ex discriminatory nationality laws and child, early and forced </w:t>
      </w:r>
      <w:r>
        <w:rPr>
          <w:i/>
          <w:color w:val="000000"/>
        </w:rPr>
        <w:t>“</w:t>
      </w:r>
      <w:r w:rsidRPr="00E977F3">
        <w:rPr>
          <w:i/>
          <w:color w:val="000000"/>
        </w:rPr>
        <w:t>marriage</w:t>
      </w:r>
      <w:r>
        <w:rPr>
          <w:i/>
          <w:color w:val="000000"/>
        </w:rPr>
        <w:t>”</w:t>
      </w:r>
      <w:r w:rsidRPr="00E977F3">
        <w:rPr>
          <w:i/>
          <w:color w:val="000000"/>
        </w:rPr>
        <w:t xml:space="preserve"> (CEFM)</w:t>
      </w:r>
    </w:p>
    <w:p w14:paraId="232F05BE" w14:textId="35B60AE1" w:rsidR="00876793" w:rsidRDefault="00876793" w:rsidP="00876793">
      <w:pPr>
        <w:ind w:firstLine="720"/>
        <w:rPr>
          <w:color w:val="000000"/>
        </w:rPr>
      </w:pPr>
      <w:r w:rsidRPr="00092B69">
        <w:rPr>
          <w:color w:val="000000"/>
        </w:rPr>
        <w:t>Despite repeated commitments by governments around the world to promote women’s equality by repealing discriminatory laws, sex discrimination persists, including in citizenship and nationality laws.</w:t>
      </w:r>
      <w:r w:rsidRPr="00092B69">
        <w:rPr>
          <w:rStyle w:val="FootnoteReference"/>
          <w:rFonts w:eastAsia="Malgun Gothic"/>
          <w:color w:val="000000"/>
        </w:rPr>
        <w:footnoteReference w:id="3"/>
      </w:r>
      <w:r w:rsidRPr="00092B69">
        <w:rPr>
          <w:color w:val="000000"/>
        </w:rPr>
        <w:t xml:space="preserve"> Over 50 countries around the world</w:t>
      </w:r>
      <w:r w:rsidRPr="00092B69">
        <w:rPr>
          <w:rStyle w:val="FootnoteReference"/>
          <w:rFonts w:eastAsia="Malgun Gothic"/>
          <w:color w:val="000000"/>
        </w:rPr>
        <w:footnoteReference w:id="4"/>
      </w:r>
      <w:r w:rsidRPr="00092B69">
        <w:rPr>
          <w:color w:val="000000"/>
        </w:rPr>
        <w:t xml:space="preserve"> give a woman fewer rights than a </w:t>
      </w:r>
      <w:r w:rsidRPr="00092B69">
        <w:rPr>
          <w:color w:val="000000"/>
        </w:rPr>
        <w:lastRenderedPageBreak/>
        <w:t>man to pass on citizenship to children or a foreign spouse, or to acquire, change or keep her nationality. Gender-based stereotypes underscore these laws, including the notion that a woman, upon marriage, belongs to her husband, and the relate</w:t>
      </w:r>
      <w:bookmarkStart w:id="0" w:name="_GoBack"/>
      <w:bookmarkEnd w:id="0"/>
      <w:r w:rsidRPr="00092B69">
        <w:rPr>
          <w:color w:val="000000"/>
        </w:rPr>
        <w:t>d notion that children belong to their fathers, even if they reside in their mother’s different home country.</w:t>
      </w:r>
      <w:r w:rsidRPr="00092B69">
        <w:rPr>
          <w:rStyle w:val="FootnoteReference"/>
          <w:color w:val="000000"/>
        </w:rPr>
        <w:footnoteReference w:id="5"/>
      </w:r>
      <w:r w:rsidRPr="00092B69">
        <w:rPr>
          <w:color w:val="000000"/>
        </w:rPr>
        <w:t xml:space="preserve"> This latter view manifests itself in laws that prevent mothers from passing on their nationality to their children on an equal basis </w:t>
      </w:r>
      <w:r>
        <w:rPr>
          <w:color w:val="000000"/>
        </w:rPr>
        <w:t>with</w:t>
      </w:r>
      <w:r w:rsidRPr="00092B69">
        <w:rPr>
          <w:color w:val="000000"/>
        </w:rPr>
        <w:t xml:space="preserve"> </w:t>
      </w:r>
      <w:r w:rsidR="00846DCA">
        <w:rPr>
          <w:color w:val="000000"/>
        </w:rPr>
        <w:t>fathers. Such laws can a</w:t>
      </w:r>
      <w:r w:rsidRPr="00092B69">
        <w:rPr>
          <w:color w:val="000000"/>
        </w:rPr>
        <w:t xml:space="preserve">ffect both married and unmarried women, as well and children born in and out of country. For example, </w:t>
      </w:r>
      <w:r>
        <w:rPr>
          <w:color w:val="000000"/>
        </w:rPr>
        <w:t>many countries do not allow mothers to confer nationality to children except in very specific and often narrowly applied circumstances, such as where the father is unknown or stateless.</w:t>
      </w:r>
      <w:r>
        <w:rPr>
          <w:rStyle w:val="FootnoteReference"/>
          <w:color w:val="000000"/>
        </w:rPr>
        <w:footnoteReference w:id="6"/>
      </w:r>
      <w:r>
        <w:rPr>
          <w:color w:val="000000"/>
        </w:rPr>
        <w:t xml:space="preserve"> </w:t>
      </w:r>
      <w:r w:rsidRPr="00092B69">
        <w:rPr>
          <w:color w:val="000000"/>
        </w:rPr>
        <w:t xml:space="preserve">Yet other countries impose </w:t>
      </w:r>
      <w:r>
        <w:rPr>
          <w:color w:val="000000"/>
        </w:rPr>
        <w:t xml:space="preserve">procedural </w:t>
      </w:r>
      <w:r w:rsidRPr="00092B69">
        <w:rPr>
          <w:color w:val="000000"/>
        </w:rPr>
        <w:t>requirements for the conferral of citizenship on mothers that are not placed on fathers</w:t>
      </w:r>
      <w:r>
        <w:rPr>
          <w:color w:val="000000"/>
        </w:rPr>
        <w:t xml:space="preserve"> – </w:t>
      </w:r>
      <w:r w:rsidRPr="00092B69">
        <w:rPr>
          <w:color w:val="000000"/>
        </w:rPr>
        <w:t>for</w:t>
      </w:r>
      <w:r>
        <w:rPr>
          <w:color w:val="000000"/>
        </w:rPr>
        <w:t xml:space="preserve"> </w:t>
      </w:r>
      <w:r w:rsidRPr="00092B69">
        <w:rPr>
          <w:color w:val="000000"/>
        </w:rPr>
        <w:t xml:space="preserve">example, a Malaysian woman with a foreign spouse who gives birth abroad must apply to confer citizenship </w:t>
      </w:r>
      <w:r w:rsidRPr="0022327E">
        <w:rPr>
          <w:color w:val="000000"/>
        </w:rPr>
        <w:t>to her child, whereas conferral from a similarly situated father would be automatic.</w:t>
      </w:r>
      <w:r w:rsidRPr="0022327E">
        <w:rPr>
          <w:rStyle w:val="FootnoteReference"/>
          <w:color w:val="000000"/>
        </w:rPr>
        <w:footnoteReference w:id="7"/>
      </w:r>
    </w:p>
    <w:p w14:paraId="43DD89CA" w14:textId="77777777" w:rsidR="006D4929" w:rsidRPr="0022327E" w:rsidRDefault="006D4929" w:rsidP="00876793">
      <w:pPr>
        <w:ind w:firstLine="720"/>
        <w:rPr>
          <w:color w:val="000000"/>
        </w:rPr>
      </w:pPr>
    </w:p>
    <w:p w14:paraId="5DFC04FE" w14:textId="77777777" w:rsidR="00876793" w:rsidRDefault="00876793" w:rsidP="00876793">
      <w:pPr>
        <w:ind w:firstLine="720"/>
      </w:pPr>
      <w:r w:rsidRPr="0022327E">
        <w:rPr>
          <w:color w:val="000000"/>
        </w:rPr>
        <w:t xml:space="preserve">Child, early and forced </w:t>
      </w:r>
      <w:r>
        <w:rPr>
          <w:color w:val="000000"/>
        </w:rPr>
        <w:t>“</w:t>
      </w:r>
      <w:r w:rsidRPr="0022327E">
        <w:rPr>
          <w:color w:val="000000"/>
        </w:rPr>
        <w:t>marriage</w:t>
      </w:r>
      <w:r>
        <w:rPr>
          <w:color w:val="000000"/>
        </w:rPr>
        <w:t>”</w:t>
      </w:r>
      <w:r w:rsidRPr="0022327E">
        <w:rPr>
          <w:color w:val="000000"/>
        </w:rPr>
        <w:t xml:space="preserve"> is a human rights violation</w:t>
      </w:r>
      <w:r w:rsidRPr="0022327E">
        <w:t xml:space="preserve"> that follows from and leads to further human rights violations and occurs in both the developed and developing world.</w:t>
      </w:r>
      <w:r w:rsidRPr="0022327E">
        <w:rPr>
          <w:rStyle w:val="FootnoteReference"/>
        </w:rPr>
        <w:footnoteReference w:id="8"/>
      </w:r>
      <w:r w:rsidRPr="0022327E">
        <w:t xml:space="preserve"> The “practice” excludes girls from decisions regarding </w:t>
      </w:r>
      <w:r>
        <w:t>timing of marriage and</w:t>
      </w:r>
      <w:r w:rsidRPr="0022327E">
        <w:t xml:space="preserve"> choice of spouse and precipitates an abrupt and violent initiation into sexual relations.</w:t>
      </w:r>
    </w:p>
    <w:p w14:paraId="24FBDB3B" w14:textId="77777777" w:rsidR="006D4929" w:rsidRPr="00E977F3" w:rsidRDefault="006D4929" w:rsidP="00876793">
      <w:pPr>
        <w:ind w:firstLine="720"/>
        <w:rPr>
          <w:color w:val="000000"/>
        </w:rPr>
      </w:pPr>
    </w:p>
    <w:p w14:paraId="28585C3E" w14:textId="77777777" w:rsidR="00876793" w:rsidRPr="00E977F3" w:rsidRDefault="00876793" w:rsidP="00876793">
      <w:pPr>
        <w:rPr>
          <w:i/>
          <w:color w:val="000000"/>
        </w:rPr>
      </w:pPr>
      <w:r>
        <w:rPr>
          <w:i/>
          <w:color w:val="000000"/>
        </w:rPr>
        <w:t>The impact of discriminatory nationality law and CEFM on access to birth registration</w:t>
      </w:r>
    </w:p>
    <w:p w14:paraId="60D77370" w14:textId="3BC52871" w:rsidR="00876793" w:rsidRDefault="00876793" w:rsidP="00876793">
      <w:pPr>
        <w:ind w:firstLine="720"/>
      </w:pPr>
      <w:r>
        <w:rPr>
          <w:color w:val="000000"/>
        </w:rPr>
        <w:t>Both s</w:t>
      </w:r>
      <w:r w:rsidRPr="00092B69">
        <w:rPr>
          <w:color w:val="000000"/>
        </w:rPr>
        <w:t xml:space="preserve">ex discriminatory nationality laws </w:t>
      </w:r>
      <w:r>
        <w:rPr>
          <w:color w:val="000000"/>
        </w:rPr>
        <w:t>and CEFM exacerbate</w:t>
      </w:r>
      <w:r w:rsidRPr="00092B69">
        <w:rPr>
          <w:color w:val="000000"/>
        </w:rPr>
        <w:t xml:space="preserve"> barriers </w:t>
      </w:r>
      <w:r>
        <w:rPr>
          <w:color w:val="000000"/>
        </w:rPr>
        <w:t xml:space="preserve">to accessing </w:t>
      </w:r>
      <w:r w:rsidRPr="00092B69">
        <w:rPr>
          <w:color w:val="000000"/>
        </w:rPr>
        <w:t xml:space="preserve">birth </w:t>
      </w:r>
      <w:r>
        <w:rPr>
          <w:color w:val="000000"/>
        </w:rPr>
        <w:t>registration</w:t>
      </w:r>
      <w:r w:rsidRPr="00092B69">
        <w:rPr>
          <w:color w:val="000000"/>
        </w:rPr>
        <w:t xml:space="preserve">. </w:t>
      </w:r>
      <w:r>
        <w:t>O</w:t>
      </w:r>
      <w:r w:rsidRPr="00092B69">
        <w:t>ne of the consequences of discriminatory nationality laws is statel</w:t>
      </w:r>
      <w:r>
        <w:t>essness; a</w:t>
      </w:r>
      <w:r w:rsidRPr="00092B69">
        <w:t>s the United Nations High Commissioner for Refugees (UNHCR) has recognized, stateless persons “often face significant barriers with respect to registering the birth of their children”.</w:t>
      </w:r>
      <w:r w:rsidRPr="00092B69">
        <w:rPr>
          <w:rStyle w:val="FootnoteReference"/>
        </w:rPr>
        <w:footnoteReference w:id="9"/>
      </w:r>
      <w:r w:rsidRPr="00092B69">
        <w:t xml:space="preserve"> </w:t>
      </w:r>
      <w:r>
        <w:t xml:space="preserve">Consequently, in </w:t>
      </w:r>
      <w:r w:rsidRPr="009279AA">
        <w:t>addition to ensuring that birth regi</w:t>
      </w:r>
      <w:r w:rsidR="00DD37C5">
        <w:t xml:space="preserve">stration is implemented without </w:t>
      </w:r>
      <w:r w:rsidRPr="009279AA">
        <w:t>discrimination against stateless parents, States should also address the root causes of statelessness, including sex discriminatory nationality laws.</w:t>
      </w:r>
      <w:r>
        <w:t xml:space="preserve"> CEFM </w:t>
      </w:r>
      <w:r>
        <w:rPr>
          <w:color w:val="000000"/>
        </w:rPr>
        <w:t xml:space="preserve">– </w:t>
      </w:r>
      <w:r>
        <w:rPr>
          <w:shd w:val="clear" w:color="auto" w:fill="FFFFFF"/>
        </w:rPr>
        <w:t>increased prevalence of which, incid</w:t>
      </w:r>
      <w:r w:rsidRPr="009279AA">
        <w:rPr>
          <w:shd w:val="clear" w:color="auto" w:fill="FFFFFF"/>
        </w:rPr>
        <w:t xml:space="preserve">entally, </w:t>
      </w:r>
      <w:r>
        <w:rPr>
          <w:shd w:val="clear" w:color="auto" w:fill="FFFFFF"/>
        </w:rPr>
        <w:t xml:space="preserve">is </w:t>
      </w:r>
      <w:r w:rsidRPr="009279AA">
        <w:rPr>
          <w:shd w:val="clear" w:color="auto" w:fill="FFFFFF"/>
        </w:rPr>
        <w:t xml:space="preserve">also a consequence of </w:t>
      </w:r>
      <w:r>
        <w:rPr>
          <w:shd w:val="clear" w:color="auto" w:fill="FFFFFF"/>
        </w:rPr>
        <w:t xml:space="preserve">sex </w:t>
      </w:r>
      <w:r w:rsidRPr="009279AA">
        <w:rPr>
          <w:shd w:val="clear" w:color="auto" w:fill="FFFFFF"/>
        </w:rPr>
        <w:t>discriminatory nationality laws</w:t>
      </w:r>
      <w:r w:rsidRPr="009279AA">
        <w:rPr>
          <w:rStyle w:val="FootnoteReference"/>
        </w:rPr>
        <w:footnoteReference w:id="10"/>
      </w:r>
      <w:r>
        <w:rPr>
          <w:color w:val="000000"/>
        </w:rPr>
        <w:t xml:space="preserve"> – </w:t>
      </w:r>
      <w:r w:rsidRPr="009279AA">
        <w:rPr>
          <w:shd w:val="clear" w:color="auto" w:fill="FFFFFF"/>
        </w:rPr>
        <w:t xml:space="preserve">also </w:t>
      </w:r>
      <w:r w:rsidRPr="009279AA">
        <w:rPr>
          <w:shd w:val="clear" w:color="auto" w:fill="FFFFFF"/>
        </w:rPr>
        <w:lastRenderedPageBreak/>
        <w:t>exacerbates barriers to accessing birth registration.</w:t>
      </w:r>
      <w:r>
        <w:rPr>
          <w:rStyle w:val="FootnoteReference"/>
          <w:shd w:val="clear" w:color="auto" w:fill="FFFFFF"/>
        </w:rPr>
        <w:footnoteReference w:id="11"/>
      </w:r>
      <w:r w:rsidRPr="009279AA">
        <w:rPr>
          <w:shd w:val="clear" w:color="auto" w:fill="FFFFFF"/>
        </w:rPr>
        <w:t xml:space="preserve"> </w:t>
      </w:r>
      <w:r w:rsidRPr="009279AA">
        <w:t xml:space="preserve">CEFM exposes girls to early pregnancy; any barriers that already exist </w:t>
      </w:r>
      <w:r>
        <w:t>in a community that impede access to</w:t>
      </w:r>
      <w:r w:rsidRPr="009279AA">
        <w:t xml:space="preserve"> birth registration (</w:t>
      </w:r>
      <w:proofErr w:type="spellStart"/>
      <w:r w:rsidRPr="009279AA">
        <w:t>eg</w:t>
      </w:r>
      <w:proofErr w:type="spellEnd"/>
      <w:r w:rsidRPr="009279AA">
        <w:t xml:space="preserve"> lack of education)</w:t>
      </w:r>
      <w:r>
        <w:t xml:space="preserve"> become even greater hurdles for young mothers who are </w:t>
      </w:r>
      <w:r w:rsidRPr="00092B69">
        <w:t xml:space="preserve">already marginalized by </w:t>
      </w:r>
      <w:r>
        <w:t>the violation of their marriage. Indeed, as the Council’s Resolution notes, persons in vulnerable situations face barriers to birth registration.</w:t>
      </w:r>
      <w:r>
        <w:rPr>
          <w:rStyle w:val="FootnoteReference"/>
        </w:rPr>
        <w:footnoteReference w:id="12"/>
      </w:r>
      <w:r w:rsidRPr="00092B69">
        <w:t xml:space="preserve"> </w:t>
      </w:r>
      <w:r>
        <w:t>Moreover,</w:t>
      </w:r>
      <w:r w:rsidRPr="00092B69">
        <w:t xml:space="preserve"> </w:t>
      </w:r>
      <w:r>
        <w:t>CEFMs</w:t>
      </w:r>
      <w:r w:rsidRPr="00092B69">
        <w:t xml:space="preserve"> are less likely to be registered, which </w:t>
      </w:r>
      <w:r>
        <w:t xml:space="preserve">can be highly problematic in contexts where </w:t>
      </w:r>
      <w:r w:rsidRPr="00092B69">
        <w:t>marriage certificates are needed to register births.</w:t>
      </w:r>
      <w:r w:rsidRPr="00092B69">
        <w:rPr>
          <w:rStyle w:val="FootnoteReference"/>
        </w:rPr>
        <w:footnoteReference w:id="13"/>
      </w:r>
      <w:r>
        <w:t xml:space="preserve"> Consequently, both eliminating incidents of CEFM and instances of discrimination in nationality law must be addressed to best ensure access to birth registration.</w:t>
      </w:r>
    </w:p>
    <w:p w14:paraId="6D163FE5" w14:textId="77777777" w:rsidR="006D4929" w:rsidRPr="00092B69" w:rsidRDefault="006D4929" w:rsidP="00876793">
      <w:pPr>
        <w:ind w:firstLine="720"/>
      </w:pPr>
    </w:p>
    <w:p w14:paraId="44748360" w14:textId="77777777" w:rsidR="00876793" w:rsidRDefault="00876793" w:rsidP="00876793">
      <w:pPr>
        <w:ind w:firstLine="720"/>
      </w:pPr>
      <w:r>
        <w:t>It is also important to note here that the</w:t>
      </w:r>
      <w:r w:rsidRPr="00092B69">
        <w:t xml:space="preserve"> benefits achieved by securing access to birth registration for all are threatened so long as discriminatory nationality laws remain on the books</w:t>
      </w:r>
      <w:r>
        <w:t xml:space="preserve"> and CEFM persists</w:t>
      </w:r>
      <w:r w:rsidRPr="00092B69">
        <w:t>. As the Council’s Resolution recognizes, birth registration and recognition as a person before the law is “closely linked to the realization of all other human rights”</w:t>
      </w:r>
      <w:r>
        <w:t>,</w:t>
      </w:r>
      <w:r w:rsidRPr="00092B69">
        <w:t xml:space="preserve"> </w:t>
      </w:r>
      <w:r>
        <w:t>having “</w:t>
      </w:r>
      <w:r w:rsidRPr="00092B69">
        <w:t>direct and indirect impact on the achievement of other targets and goals, inter alia social protection, protection in emergencies, access to financial and economic resources, the elimination of all forms of discrimination and violence against women and children everywhere, a</w:t>
      </w:r>
      <w:r>
        <w:t>nd access to quality education”.</w:t>
      </w:r>
      <w:r>
        <w:rPr>
          <w:rStyle w:val="FootnoteReference"/>
        </w:rPr>
        <w:footnoteReference w:id="14"/>
      </w:r>
      <w:r>
        <w:t xml:space="preserve"> </w:t>
      </w:r>
      <w:r w:rsidRPr="00092B69">
        <w:t>Discriminatory nationality laws result in enormous hardship to women and their spouses and children and can result in</w:t>
      </w:r>
      <w:r w:rsidRPr="00092B69">
        <w:rPr>
          <w:color w:val="000000"/>
        </w:rPr>
        <w:t xml:space="preserve"> consequences including </w:t>
      </w:r>
      <w:r w:rsidRPr="00092B69">
        <w:t xml:space="preserve">statelessness, fear of deportation, additional vulnerability of girls to </w:t>
      </w:r>
      <w:r>
        <w:t>CEFM</w:t>
      </w:r>
      <w:r w:rsidRPr="00092B69">
        <w:t xml:space="preserve">, lack of access to </w:t>
      </w:r>
      <w:r>
        <w:t xml:space="preserve">social services including </w:t>
      </w:r>
      <w:r w:rsidRPr="00092B69">
        <w:t>publicly-fund</w:t>
      </w:r>
      <w:r>
        <w:t>ed education or medical services</w:t>
      </w:r>
      <w:r w:rsidRPr="00092B69">
        <w:t>, inability to register personal proper</w:t>
      </w:r>
      <w:r>
        <w:t>ty, limited freedom of movement</w:t>
      </w:r>
      <w:r w:rsidRPr="00092B69">
        <w:t xml:space="preserve"> </w:t>
      </w:r>
      <w:r>
        <w:t xml:space="preserve">and </w:t>
      </w:r>
      <w:r w:rsidRPr="00092B69">
        <w:t xml:space="preserve">limited access to jobs and </w:t>
      </w:r>
      <w:r>
        <w:t xml:space="preserve">other </w:t>
      </w:r>
      <w:r w:rsidRPr="00092B69">
        <w:t>economic opportunities.</w:t>
      </w:r>
      <w:r>
        <w:t xml:space="preserve"> A</w:t>
      </w:r>
      <w:r w:rsidRPr="00092B69">
        <w:t>ll of these consequences</w:t>
      </w:r>
      <w:r>
        <w:t xml:space="preserve"> </w:t>
      </w:r>
      <w:r w:rsidRPr="00092B69">
        <w:t xml:space="preserve">are exacerbated during times of conflict, emergency and other </w:t>
      </w:r>
      <w:r>
        <w:t xml:space="preserve">contexts of </w:t>
      </w:r>
      <w:r w:rsidRPr="00092B69">
        <w:t>vulnerability.</w:t>
      </w:r>
      <w:r w:rsidRPr="00092B69">
        <w:rPr>
          <w:rStyle w:val="FootnoteReference"/>
        </w:rPr>
        <w:footnoteReference w:id="15"/>
      </w:r>
      <w:r>
        <w:t xml:space="preserve"> </w:t>
      </w:r>
    </w:p>
    <w:p w14:paraId="099E2FC0" w14:textId="77777777" w:rsidR="006D4929" w:rsidRDefault="006D4929" w:rsidP="00876793">
      <w:pPr>
        <w:ind w:firstLine="720"/>
      </w:pPr>
    </w:p>
    <w:p w14:paraId="44E0E519" w14:textId="77777777" w:rsidR="00876793" w:rsidRDefault="00876793" w:rsidP="00876793">
      <w:pPr>
        <w:ind w:firstLine="720"/>
      </w:pPr>
      <w:r>
        <w:t xml:space="preserve">Likewise, CEFM, a </w:t>
      </w:r>
      <w:r w:rsidRPr="00CB3D33">
        <w:t>human rights violation in itself, can lead to other human rights violations such as female genital mutilation (FGM), domestic violence, trafficking, explo</w:t>
      </w:r>
      <w:r>
        <w:t>itation and curtailed education.</w:t>
      </w:r>
      <w:r w:rsidRPr="00CB3D33">
        <w:t xml:space="preserve"> All of the above-referenced consequences </w:t>
      </w:r>
      <w:r>
        <w:t>echo</w:t>
      </w:r>
      <w:r w:rsidRPr="00CB3D33">
        <w:t xml:space="preserve"> those noted by the </w:t>
      </w:r>
      <w:r w:rsidRPr="00CB3D33">
        <w:lastRenderedPageBreak/>
        <w:t xml:space="preserve">Council’s Resolution as </w:t>
      </w:r>
      <w:r>
        <w:t xml:space="preserve">human rights </w:t>
      </w:r>
      <w:r w:rsidRPr="00CB3D33">
        <w:t>abuses frequently faced by unregistered individuals.</w:t>
      </w:r>
      <w:r w:rsidRPr="00CB3D33">
        <w:rPr>
          <w:rStyle w:val="FootnoteReference"/>
        </w:rPr>
        <w:footnoteReference w:id="16"/>
      </w:r>
      <w:r w:rsidRPr="00CB3D33">
        <w:t xml:space="preserve"> </w:t>
      </w:r>
      <w:r>
        <w:t>So long as discriminatory nationality laws remain on the books and CEFM persists, the societal benefits from ensuring access to birth registration will be undermined.</w:t>
      </w:r>
    </w:p>
    <w:p w14:paraId="149AA076" w14:textId="77777777" w:rsidR="006D4929" w:rsidRPr="00CB3D33" w:rsidRDefault="006D4929" w:rsidP="00876793">
      <w:pPr>
        <w:ind w:firstLine="720"/>
      </w:pPr>
    </w:p>
    <w:p w14:paraId="02C1C727" w14:textId="77777777" w:rsidR="00876793" w:rsidRDefault="00876793" w:rsidP="00876793">
      <w:pPr>
        <w:ind w:firstLine="720"/>
      </w:pPr>
      <w:r>
        <w:t>Finally, w</w:t>
      </w:r>
      <w:r w:rsidRPr="00092B69">
        <w:t>e wish to note that while our present submission focuses on the impact of discriminatory nationality laws on access to birth registration</w:t>
      </w:r>
      <w:r>
        <w:t xml:space="preserve">, we recognize that there are many sex </w:t>
      </w:r>
      <w:r w:rsidRPr="00092B69">
        <w:t xml:space="preserve">discriminatory laws and practices </w:t>
      </w:r>
      <w:r>
        <w:t xml:space="preserve">that </w:t>
      </w:r>
      <w:r w:rsidRPr="00092B69">
        <w:t xml:space="preserve">prevent children from being registered. In addition to laws which </w:t>
      </w:r>
      <w:r>
        <w:t>explicitly</w:t>
      </w:r>
      <w:r w:rsidRPr="00092B69">
        <w:t xml:space="preserve"> disallow mothers from registering their children without male involvement, sex discrimination in other areas of </w:t>
      </w:r>
      <w:r>
        <w:t xml:space="preserve">law and </w:t>
      </w:r>
      <w:r w:rsidRPr="00092B69">
        <w:t xml:space="preserve">society present barriers to birth </w:t>
      </w:r>
      <w:r>
        <w:t>registration</w:t>
      </w:r>
      <w:r>
        <w:rPr>
          <w:color w:val="000000"/>
        </w:rPr>
        <w:t xml:space="preserve"> – </w:t>
      </w:r>
      <w:r w:rsidRPr="00092B69">
        <w:t>for</w:t>
      </w:r>
      <w:r>
        <w:t xml:space="preserve"> </w:t>
      </w:r>
      <w:r w:rsidRPr="00092B69">
        <w:t>example</w:t>
      </w:r>
      <w:r>
        <w:t>,</w:t>
      </w:r>
      <w:r w:rsidRPr="00092B69">
        <w:t xml:space="preserve"> </w:t>
      </w:r>
      <w:r>
        <w:t>birth registration officials being unaware of or not enforcing equality provisions in the law or unmarried mothers fearing stigma upon registration.</w:t>
      </w:r>
      <w:r w:rsidRPr="00092B69">
        <w:rPr>
          <w:rStyle w:val="FootnoteReference"/>
        </w:rPr>
        <w:footnoteReference w:id="17"/>
      </w:r>
      <w:r w:rsidRPr="00092B69">
        <w:t xml:space="preserve"> We respectively encourage OHCHR to continue to ensure that it takes a comprehensive gendered approach in its analysis of best practices to ensure </w:t>
      </w:r>
      <w:r>
        <w:t>access to</w:t>
      </w:r>
      <w:r w:rsidRPr="00092B69">
        <w:t xml:space="preserve"> birth registration. </w:t>
      </w:r>
    </w:p>
    <w:p w14:paraId="0B0A7BD4" w14:textId="77777777" w:rsidR="006D4929" w:rsidRPr="00092B69" w:rsidRDefault="006D4929" w:rsidP="00876793">
      <w:pPr>
        <w:ind w:firstLine="720"/>
      </w:pPr>
    </w:p>
    <w:p w14:paraId="5F01D931" w14:textId="77777777" w:rsidR="00876793" w:rsidRDefault="00876793" w:rsidP="00876793">
      <w:pPr>
        <w:ind w:firstLine="720"/>
      </w:pPr>
      <w:r>
        <w:t>In conclusion, i</w:t>
      </w:r>
      <w:r w:rsidRPr="00092B69">
        <w:t>n order to ensure</w:t>
      </w:r>
      <w:r>
        <w:t xml:space="preserve"> both</w:t>
      </w:r>
      <w:r w:rsidRPr="00092B69">
        <w:t xml:space="preserve"> ac</w:t>
      </w:r>
      <w:r>
        <w:t xml:space="preserve">cess to birth registration as well as the </w:t>
      </w:r>
      <w:r w:rsidRPr="00092B69">
        <w:t xml:space="preserve">realization of the human rights birth registration can help to promote, it is important for all </w:t>
      </w:r>
      <w:r>
        <w:t>States</w:t>
      </w:r>
      <w:r w:rsidRPr="00092B69">
        <w:t xml:space="preserve"> to ensure they have adopted and enforce non-discriminatory laws on nationality and marriage that align with international and regional human rights standards.  </w:t>
      </w:r>
    </w:p>
    <w:p w14:paraId="2C3D26E5" w14:textId="77777777" w:rsidR="006D4929" w:rsidRPr="00092B69" w:rsidRDefault="006D4929" w:rsidP="00876793">
      <w:pPr>
        <w:ind w:firstLine="720"/>
      </w:pPr>
    </w:p>
    <w:p w14:paraId="64F60537" w14:textId="77777777" w:rsidR="00876793" w:rsidRDefault="00876793" w:rsidP="00876793">
      <w:pPr>
        <w:ind w:firstLine="720"/>
      </w:pPr>
      <w:r w:rsidRPr="00092B69">
        <w:t xml:space="preserve">Accordingly, </w:t>
      </w:r>
    </w:p>
    <w:p w14:paraId="4109DF7B" w14:textId="77777777" w:rsidR="006D4929" w:rsidRDefault="006D4929" w:rsidP="00876793">
      <w:pPr>
        <w:ind w:firstLine="720"/>
      </w:pPr>
    </w:p>
    <w:p w14:paraId="4D330CB6" w14:textId="77777777" w:rsidR="00876793" w:rsidRPr="00092B69" w:rsidRDefault="00876793" w:rsidP="00876793">
      <w:r w:rsidRPr="00092B69">
        <w:t xml:space="preserve">States with sex discriminatory legal provisions on nationality should revise them: </w:t>
      </w:r>
    </w:p>
    <w:p w14:paraId="3A7B7404" w14:textId="77777777" w:rsidR="00876793" w:rsidRPr="00092B69" w:rsidRDefault="00876793" w:rsidP="00876793">
      <w:pPr>
        <w:pStyle w:val="ListParagraph"/>
        <w:numPr>
          <w:ilvl w:val="0"/>
          <w:numId w:val="9"/>
        </w:numPr>
        <w:spacing w:after="0" w:line="259" w:lineRule="auto"/>
        <w:jc w:val="both"/>
        <w:rPr>
          <w:rFonts w:ascii="Times New Roman" w:hAnsi="Times New Roman" w:cs="Times New Roman"/>
          <w:sz w:val="24"/>
          <w:szCs w:val="24"/>
        </w:rPr>
      </w:pPr>
      <w:r w:rsidRPr="00092B69">
        <w:rPr>
          <w:rFonts w:ascii="Times New Roman" w:hAnsi="Times New Roman" w:cs="Times New Roman"/>
          <w:sz w:val="24"/>
          <w:szCs w:val="24"/>
        </w:rPr>
        <w:t>so that women and men can equally confer citizenship on their children and spouses</w:t>
      </w:r>
    </w:p>
    <w:p w14:paraId="2D1E8563" w14:textId="77777777" w:rsidR="00876793" w:rsidRPr="00092B69" w:rsidRDefault="00876793" w:rsidP="00876793">
      <w:pPr>
        <w:pStyle w:val="ListParagraph"/>
        <w:numPr>
          <w:ilvl w:val="0"/>
          <w:numId w:val="9"/>
        </w:numPr>
        <w:spacing w:after="0" w:line="259" w:lineRule="auto"/>
        <w:jc w:val="both"/>
        <w:rPr>
          <w:rFonts w:ascii="Times New Roman" w:hAnsi="Times New Roman" w:cs="Times New Roman"/>
          <w:sz w:val="24"/>
          <w:szCs w:val="24"/>
        </w:rPr>
      </w:pPr>
      <w:r w:rsidRPr="00092B69">
        <w:rPr>
          <w:rFonts w:ascii="Times New Roman" w:hAnsi="Times New Roman" w:cs="Times New Roman"/>
          <w:sz w:val="24"/>
          <w:szCs w:val="24"/>
        </w:rPr>
        <w:t xml:space="preserve">so that foreign spouses do not automatically lose their new nationality on termination of the marriage </w:t>
      </w:r>
    </w:p>
    <w:p w14:paraId="06EFE8D5" w14:textId="77777777" w:rsidR="00876793" w:rsidRPr="00092B69" w:rsidRDefault="00876793" w:rsidP="00876793">
      <w:pPr>
        <w:pStyle w:val="ListParagraph"/>
        <w:numPr>
          <w:ilvl w:val="0"/>
          <w:numId w:val="9"/>
        </w:numPr>
        <w:spacing w:after="0" w:line="259" w:lineRule="auto"/>
        <w:jc w:val="both"/>
        <w:rPr>
          <w:rFonts w:ascii="Times New Roman" w:hAnsi="Times New Roman" w:cs="Times New Roman"/>
          <w:sz w:val="24"/>
          <w:szCs w:val="24"/>
        </w:rPr>
      </w:pPr>
      <w:r w:rsidRPr="00092B69">
        <w:rPr>
          <w:rFonts w:ascii="Times New Roman" w:hAnsi="Times New Roman" w:cs="Times New Roman"/>
          <w:sz w:val="24"/>
          <w:szCs w:val="24"/>
        </w:rPr>
        <w:t xml:space="preserve">so that women do not automatically </w:t>
      </w:r>
      <w:proofErr w:type="spellStart"/>
      <w:r w:rsidRPr="00092B69">
        <w:rPr>
          <w:rFonts w:ascii="Times New Roman" w:hAnsi="Times New Roman" w:cs="Times New Roman"/>
          <w:sz w:val="24"/>
          <w:szCs w:val="24"/>
        </w:rPr>
        <w:t>lose</w:t>
      </w:r>
      <w:proofErr w:type="spellEnd"/>
      <w:r w:rsidRPr="00092B69">
        <w:rPr>
          <w:rFonts w:ascii="Times New Roman" w:hAnsi="Times New Roman" w:cs="Times New Roman"/>
          <w:sz w:val="24"/>
          <w:szCs w:val="24"/>
        </w:rPr>
        <w:t xml:space="preserve"> or gain nationality on marriage to a spouse of another nationality without their active consent </w:t>
      </w:r>
    </w:p>
    <w:p w14:paraId="3CC3D9E4" w14:textId="77777777" w:rsidR="00876793" w:rsidRPr="00092B69" w:rsidRDefault="00876793" w:rsidP="00876793">
      <w:pPr>
        <w:pStyle w:val="ListParagraph"/>
        <w:numPr>
          <w:ilvl w:val="0"/>
          <w:numId w:val="9"/>
        </w:numPr>
        <w:spacing w:after="0" w:line="259" w:lineRule="auto"/>
        <w:jc w:val="both"/>
        <w:rPr>
          <w:rFonts w:ascii="Times New Roman" w:hAnsi="Times New Roman" w:cs="Times New Roman"/>
          <w:sz w:val="24"/>
          <w:szCs w:val="24"/>
        </w:rPr>
      </w:pPr>
      <w:r w:rsidRPr="00092B69">
        <w:rPr>
          <w:rFonts w:ascii="Times New Roman" w:hAnsi="Times New Roman" w:cs="Times New Roman"/>
          <w:sz w:val="24"/>
          <w:szCs w:val="24"/>
        </w:rPr>
        <w:lastRenderedPageBreak/>
        <w:t xml:space="preserve">so a change in the father’s nationality does not automatically mean loss of nationality for his wife and children </w:t>
      </w:r>
    </w:p>
    <w:p w14:paraId="408AE79B" w14:textId="77777777" w:rsidR="00876793" w:rsidRPr="00092B69" w:rsidRDefault="00876793" w:rsidP="00876793">
      <w:pPr>
        <w:pStyle w:val="ListParagraph"/>
        <w:numPr>
          <w:ilvl w:val="0"/>
          <w:numId w:val="9"/>
        </w:numPr>
        <w:spacing w:after="0" w:line="259" w:lineRule="auto"/>
        <w:jc w:val="both"/>
        <w:rPr>
          <w:rFonts w:ascii="Times New Roman" w:hAnsi="Times New Roman" w:cs="Times New Roman"/>
          <w:sz w:val="24"/>
          <w:szCs w:val="24"/>
        </w:rPr>
      </w:pPr>
      <w:r w:rsidRPr="00092B69">
        <w:rPr>
          <w:rFonts w:ascii="Times New Roman" w:hAnsi="Times New Roman" w:cs="Times New Roman"/>
          <w:sz w:val="24"/>
          <w:szCs w:val="24"/>
        </w:rPr>
        <w:t>to ensure that there is consistency between all laws and regulations laws are clear to both those wishing to take advantage of them and those implementing them</w:t>
      </w:r>
    </w:p>
    <w:p w14:paraId="2BE3EEBD" w14:textId="77777777" w:rsidR="00876793" w:rsidRDefault="00876793" w:rsidP="00876793">
      <w:r w:rsidRPr="00092B69">
        <w:t xml:space="preserve"> </w:t>
      </w:r>
    </w:p>
    <w:p w14:paraId="624AA2CC" w14:textId="77777777" w:rsidR="00876793" w:rsidRDefault="00876793" w:rsidP="00876793">
      <w:pPr>
        <w:jc w:val="both"/>
      </w:pPr>
      <w:r w:rsidRPr="00853FA2">
        <w:t>In</w:t>
      </w:r>
      <w:r>
        <w:t xml:space="preserve"> order to decrease the risk of </w:t>
      </w:r>
      <w:r w:rsidRPr="00853FA2">
        <w:t>child</w:t>
      </w:r>
      <w:r>
        <w:t>, early and forced</w:t>
      </w:r>
      <w:r w:rsidRPr="00853FA2">
        <w:t xml:space="preserve"> </w:t>
      </w:r>
      <w:r>
        <w:t>“</w:t>
      </w:r>
      <w:r w:rsidRPr="00853FA2">
        <w:t xml:space="preserve">marriage”, </w:t>
      </w:r>
      <w:r>
        <w:t>States</w:t>
      </w:r>
      <w:r w:rsidRPr="00853FA2">
        <w:t xml:space="preserve"> should:</w:t>
      </w:r>
    </w:p>
    <w:p w14:paraId="645459A7" w14:textId="77777777" w:rsidR="00876793" w:rsidRDefault="00876793" w:rsidP="00876793">
      <w:pPr>
        <w:pStyle w:val="ListParagraph"/>
        <w:numPr>
          <w:ilvl w:val="0"/>
          <w:numId w:val="11"/>
        </w:numPr>
        <w:spacing w:after="0" w:line="259" w:lineRule="auto"/>
        <w:jc w:val="both"/>
        <w:rPr>
          <w:rFonts w:ascii="Times New Roman" w:hAnsi="Times New Roman" w:cs="Times New Roman"/>
          <w:sz w:val="24"/>
          <w:szCs w:val="24"/>
        </w:rPr>
      </w:pPr>
      <w:proofErr w:type="gramStart"/>
      <w:r>
        <w:rPr>
          <w:rFonts w:ascii="Times New Roman" w:hAnsi="Times New Roman" w:cs="Times New Roman"/>
          <w:sz w:val="24"/>
          <w:szCs w:val="24"/>
        </w:rPr>
        <w:t>enact</w:t>
      </w:r>
      <w:proofErr w:type="gramEnd"/>
      <w:r>
        <w:rPr>
          <w:rFonts w:ascii="Times New Roman" w:hAnsi="Times New Roman" w:cs="Times New Roman"/>
          <w:sz w:val="24"/>
          <w:szCs w:val="24"/>
        </w:rPr>
        <w:t>, enforce</w:t>
      </w:r>
      <w:r w:rsidRPr="00CC7279">
        <w:rPr>
          <w:rFonts w:ascii="Times New Roman" w:hAnsi="Times New Roman" w:cs="Times New Roman"/>
          <w:sz w:val="24"/>
          <w:szCs w:val="24"/>
        </w:rPr>
        <w:t xml:space="preserve"> and raise public awareness of legislation that sets 18 as the minimum legal age for marriage, including by asserting the primacy of </w:t>
      </w:r>
      <w:r>
        <w:rPr>
          <w:rFonts w:ascii="Times New Roman" w:hAnsi="Times New Roman" w:cs="Times New Roman"/>
          <w:sz w:val="24"/>
          <w:szCs w:val="24"/>
        </w:rPr>
        <w:t xml:space="preserve">civil </w:t>
      </w:r>
      <w:r w:rsidRPr="00CC7279">
        <w:rPr>
          <w:rFonts w:ascii="Times New Roman" w:hAnsi="Times New Roman" w:cs="Times New Roman"/>
          <w:sz w:val="24"/>
          <w:szCs w:val="24"/>
        </w:rPr>
        <w:t>law over other forms of law such as religious or customary laws</w:t>
      </w:r>
      <w:r>
        <w:rPr>
          <w:rFonts w:ascii="Times New Roman" w:hAnsi="Times New Roman" w:cs="Times New Roman"/>
          <w:sz w:val="24"/>
          <w:szCs w:val="24"/>
        </w:rPr>
        <w:t>. In addition, repeal provisions in family laws that grant judges the right to marry girls before the age of 18.</w:t>
      </w:r>
    </w:p>
    <w:p w14:paraId="13004AF1" w14:textId="77777777" w:rsidR="00876793" w:rsidRDefault="00876793" w:rsidP="00876793">
      <w:pPr>
        <w:pStyle w:val="ListParagraph"/>
        <w:numPr>
          <w:ilvl w:val="0"/>
          <w:numId w:val="10"/>
        </w:numPr>
        <w:spacing w:after="0" w:line="259" w:lineRule="auto"/>
        <w:jc w:val="both"/>
        <w:rPr>
          <w:rFonts w:ascii="Times New Roman" w:hAnsi="Times New Roman" w:cs="Times New Roman"/>
          <w:sz w:val="24"/>
          <w:szCs w:val="24"/>
        </w:rPr>
      </w:pPr>
      <w:r w:rsidRPr="00CC7279">
        <w:rPr>
          <w:rFonts w:ascii="Times New Roman" w:hAnsi="Times New Roman" w:cs="Times New Roman"/>
          <w:sz w:val="24"/>
          <w:szCs w:val="24"/>
        </w:rPr>
        <w:t xml:space="preserve">include safeguards in the law and its implementation to ensure that ‘parental consent’ is not used to justify customary or religious practices that permit </w:t>
      </w:r>
      <w:r>
        <w:rPr>
          <w:rFonts w:ascii="Times New Roman" w:hAnsi="Times New Roman" w:cs="Times New Roman"/>
          <w:sz w:val="24"/>
          <w:szCs w:val="24"/>
        </w:rPr>
        <w:t>CEFMs</w:t>
      </w:r>
    </w:p>
    <w:p w14:paraId="0D47A8EA" w14:textId="77777777" w:rsidR="00876793" w:rsidRDefault="00876793" w:rsidP="00876793">
      <w:pPr>
        <w:pStyle w:val="ListParagraph"/>
        <w:numPr>
          <w:ilvl w:val="0"/>
          <w:numId w:val="10"/>
        </w:numPr>
        <w:spacing w:after="0" w:line="259" w:lineRule="auto"/>
        <w:jc w:val="both"/>
        <w:rPr>
          <w:rFonts w:ascii="Times New Roman" w:hAnsi="Times New Roman" w:cs="Times New Roman"/>
          <w:sz w:val="24"/>
          <w:szCs w:val="24"/>
        </w:rPr>
      </w:pPr>
      <w:r w:rsidRPr="00CC7279">
        <w:rPr>
          <w:rFonts w:ascii="Times New Roman" w:hAnsi="Times New Roman" w:cs="Times New Roman"/>
          <w:sz w:val="24"/>
          <w:szCs w:val="24"/>
        </w:rPr>
        <w:t xml:space="preserve">develop, support and implement comprehensive and integrated strategies to prevent </w:t>
      </w:r>
      <w:r>
        <w:rPr>
          <w:rFonts w:ascii="Times New Roman" w:hAnsi="Times New Roman" w:cs="Times New Roman"/>
          <w:sz w:val="24"/>
          <w:szCs w:val="24"/>
        </w:rPr>
        <w:t>CEFM</w:t>
      </w:r>
    </w:p>
    <w:p w14:paraId="1127D6AD" w14:textId="77777777" w:rsidR="00876793" w:rsidRDefault="00876793" w:rsidP="00876793">
      <w:pPr>
        <w:pStyle w:val="ListParagraph"/>
        <w:numPr>
          <w:ilvl w:val="0"/>
          <w:numId w:val="10"/>
        </w:numPr>
        <w:spacing w:after="0" w:line="259" w:lineRule="auto"/>
        <w:jc w:val="both"/>
        <w:rPr>
          <w:rFonts w:ascii="Times New Roman" w:hAnsi="Times New Roman" w:cs="Times New Roman"/>
          <w:sz w:val="24"/>
          <w:szCs w:val="24"/>
        </w:rPr>
      </w:pPr>
      <w:r w:rsidRPr="00CC7279">
        <w:rPr>
          <w:rFonts w:ascii="Times New Roman" w:hAnsi="Times New Roman" w:cs="Times New Roman"/>
          <w:sz w:val="24"/>
          <w:szCs w:val="24"/>
        </w:rPr>
        <w:t>strengthen civil registration systems including birth and marriage registration systems as well as by removing obstacles to gaining citizenship and raise awareness of the importance of birth and marriage registration at the national, regional and local levels</w:t>
      </w:r>
    </w:p>
    <w:p w14:paraId="40637121" w14:textId="77777777" w:rsidR="00876793" w:rsidRDefault="00876793" w:rsidP="00876793">
      <w:pPr>
        <w:pStyle w:val="ListParagraph"/>
        <w:numPr>
          <w:ilvl w:val="0"/>
          <w:numId w:val="10"/>
        </w:numPr>
        <w:spacing w:after="0" w:line="259" w:lineRule="auto"/>
        <w:jc w:val="both"/>
        <w:rPr>
          <w:rFonts w:ascii="Times New Roman" w:hAnsi="Times New Roman" w:cs="Times New Roman"/>
          <w:sz w:val="24"/>
          <w:szCs w:val="24"/>
        </w:rPr>
      </w:pPr>
      <w:r w:rsidRPr="00CC7279">
        <w:rPr>
          <w:rFonts w:ascii="Times New Roman" w:hAnsi="Times New Roman" w:cs="Times New Roman"/>
          <w:sz w:val="24"/>
          <w:szCs w:val="24"/>
        </w:rPr>
        <w:t xml:space="preserve">mainstream </w:t>
      </w:r>
      <w:r>
        <w:rPr>
          <w:rFonts w:ascii="Times New Roman" w:hAnsi="Times New Roman" w:cs="Times New Roman"/>
          <w:sz w:val="24"/>
          <w:szCs w:val="24"/>
        </w:rPr>
        <w:t>CEFM</w:t>
      </w:r>
      <w:r w:rsidRPr="00CC7279">
        <w:rPr>
          <w:rFonts w:ascii="Times New Roman" w:hAnsi="Times New Roman" w:cs="Times New Roman"/>
          <w:sz w:val="24"/>
          <w:szCs w:val="24"/>
        </w:rPr>
        <w:t xml:space="preserve"> prevention into emergency and humanitarian responses given the increased vulnerability of girls to </w:t>
      </w:r>
      <w:r>
        <w:rPr>
          <w:rFonts w:ascii="Times New Roman" w:hAnsi="Times New Roman" w:cs="Times New Roman"/>
          <w:sz w:val="24"/>
          <w:szCs w:val="24"/>
        </w:rPr>
        <w:t>CEFM</w:t>
      </w:r>
      <w:r w:rsidRPr="00CC7279">
        <w:rPr>
          <w:rFonts w:ascii="Times New Roman" w:hAnsi="Times New Roman" w:cs="Times New Roman"/>
          <w:sz w:val="24"/>
          <w:szCs w:val="24"/>
        </w:rPr>
        <w:t>, trafficking and abduction in situations of crisis and instability</w:t>
      </w:r>
    </w:p>
    <w:p w14:paraId="41F7E75D" w14:textId="77777777" w:rsidR="00876793" w:rsidRDefault="00876793" w:rsidP="00876793">
      <w:pPr>
        <w:autoSpaceDE w:val="0"/>
        <w:autoSpaceDN w:val="0"/>
        <w:adjustRightInd w:val="0"/>
        <w:ind w:firstLine="720"/>
        <w:jc w:val="both"/>
      </w:pPr>
    </w:p>
    <w:p w14:paraId="5E73B599" w14:textId="77777777" w:rsidR="00876793" w:rsidRDefault="00876793" w:rsidP="00876793">
      <w:pPr>
        <w:autoSpaceDE w:val="0"/>
        <w:autoSpaceDN w:val="0"/>
        <w:adjustRightInd w:val="0"/>
        <w:ind w:firstLine="720"/>
        <w:jc w:val="both"/>
      </w:pPr>
      <w:r w:rsidRPr="00CC7279">
        <w:t xml:space="preserve">Equality </w:t>
      </w:r>
      <w:proofErr w:type="gramStart"/>
      <w:r w:rsidRPr="00CC7279">
        <w:t>Now</w:t>
      </w:r>
      <w:proofErr w:type="gramEnd"/>
      <w:r w:rsidRPr="00CC7279">
        <w:t xml:space="preserve"> </w:t>
      </w:r>
      <w:r>
        <w:t xml:space="preserve">submits the forgoing information </w:t>
      </w:r>
      <w:r w:rsidRPr="00CC7279">
        <w:t xml:space="preserve">to provide </w:t>
      </w:r>
      <w:r>
        <w:t xml:space="preserve">OHCHR and </w:t>
      </w:r>
      <w:r w:rsidRPr="00CC7279">
        <w:t xml:space="preserve">the Human Rights Council with information that highlights </w:t>
      </w:r>
      <w:r>
        <w:t xml:space="preserve">the impact of </w:t>
      </w:r>
      <w:r w:rsidRPr="00092B69">
        <w:t>sex discriminatory nationality laws</w:t>
      </w:r>
      <w:r>
        <w:t xml:space="preserve"> and CEFM on access to birth registration. We</w:t>
      </w:r>
      <w:r w:rsidRPr="00CC7279">
        <w:t xml:space="preserve"> also request that the Council</w:t>
      </w:r>
      <w:r>
        <w:t xml:space="preserve"> continue to </w:t>
      </w:r>
      <w:r w:rsidRPr="00CC7279">
        <w:t xml:space="preserve">call upon </w:t>
      </w:r>
      <w:r>
        <w:t>member states</w:t>
      </w:r>
      <w:r w:rsidRPr="00CC7279">
        <w:t xml:space="preserve"> to adopt and enforce non-discriminato</w:t>
      </w:r>
      <w:r>
        <w:t xml:space="preserve">ry laws on </w:t>
      </w:r>
      <w:r w:rsidRPr="00203E25">
        <w:t>nationality and stronger minimum age of marriage and related laws to bring them in line with international and regional</w:t>
      </w:r>
      <w:r w:rsidRPr="00CC7279">
        <w:t xml:space="preserve"> human rights standards so as to better protect children during humanitarian situations.</w:t>
      </w:r>
    </w:p>
    <w:p w14:paraId="180A8E1E" w14:textId="77777777" w:rsidR="00876793" w:rsidRDefault="00876793" w:rsidP="00876793">
      <w:pPr>
        <w:autoSpaceDE w:val="0"/>
        <w:autoSpaceDN w:val="0"/>
        <w:adjustRightInd w:val="0"/>
        <w:jc w:val="both"/>
      </w:pPr>
    </w:p>
    <w:p w14:paraId="67FADF13" w14:textId="77777777" w:rsidR="00876793" w:rsidRDefault="00876793" w:rsidP="00876793">
      <w:pPr>
        <w:autoSpaceDE w:val="0"/>
        <w:autoSpaceDN w:val="0"/>
        <w:adjustRightInd w:val="0"/>
        <w:ind w:firstLine="720"/>
        <w:jc w:val="both"/>
      </w:pPr>
      <w:r>
        <w:t>Thank you for your attention and p</w:t>
      </w:r>
      <w:r w:rsidRPr="00CC7279">
        <w:t>lease feel free to contact us with any questions or clarifications on these issues.</w:t>
      </w:r>
    </w:p>
    <w:p w14:paraId="1E4CD55D" w14:textId="77777777" w:rsidR="00876793" w:rsidRDefault="00876793" w:rsidP="00876793"/>
    <w:p w14:paraId="60115A75" w14:textId="77777777" w:rsidR="00795289" w:rsidRDefault="00795289" w:rsidP="00876793"/>
    <w:p w14:paraId="04A21520" w14:textId="40F082AD" w:rsidR="00876793" w:rsidRPr="00795289" w:rsidRDefault="00D35F88" w:rsidP="00795289">
      <w:pPr>
        <w:ind w:left="6379"/>
      </w:pPr>
      <w:r>
        <w:rPr>
          <w:rFonts w:eastAsia="MS Mincho"/>
          <w:noProof/>
          <w:lang w:val="en-GB" w:eastAsia="en-GB"/>
        </w:rPr>
        <w:drawing>
          <wp:anchor distT="0" distB="0" distL="114300" distR="114300" simplePos="0" relativeHeight="251659264" behindDoc="1" locked="0" layoutInCell="1" allowOverlap="1" wp14:anchorId="5EA28D30" wp14:editId="4326A07B">
            <wp:simplePos x="0" y="0"/>
            <wp:positionH relativeFrom="column">
              <wp:posOffset>3699510</wp:posOffset>
            </wp:positionH>
            <wp:positionV relativeFrom="paragraph">
              <wp:posOffset>46990</wp:posOffset>
            </wp:positionV>
            <wp:extent cx="1375410" cy="922020"/>
            <wp:effectExtent l="0" t="0" r="0" b="0"/>
            <wp:wrapNone/>
            <wp:docPr id="2" name="Picture 2" descr="yasme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smeen signature"/>
                    <pic:cNvPicPr>
                      <a:picLocks noChangeAspect="1" noChangeArrowheads="1"/>
                    </pic:cNvPicPr>
                  </pic:nvPicPr>
                  <pic:blipFill>
                    <a:blip r:embed="rId14" cstate="print"/>
                    <a:srcRect/>
                    <a:stretch>
                      <a:fillRect/>
                    </a:stretch>
                  </pic:blipFill>
                  <pic:spPr bwMode="auto">
                    <a:xfrm>
                      <a:off x="0" y="0"/>
                      <a:ext cx="1375410" cy="922020"/>
                    </a:xfrm>
                    <a:prstGeom prst="rect">
                      <a:avLst/>
                    </a:prstGeom>
                    <a:noFill/>
                    <a:ln w="9525">
                      <a:noFill/>
                      <a:miter lim="800000"/>
                      <a:headEnd/>
                      <a:tailEnd/>
                    </a:ln>
                  </pic:spPr>
                </pic:pic>
              </a:graphicData>
            </a:graphic>
          </wp:anchor>
        </w:drawing>
      </w:r>
      <w:r w:rsidR="00876793" w:rsidRPr="00795289">
        <w:t>Sincerely,</w:t>
      </w:r>
    </w:p>
    <w:p w14:paraId="591112EA" w14:textId="3EBBAD34" w:rsidR="00876793" w:rsidRPr="00795289" w:rsidRDefault="00876793" w:rsidP="00795289">
      <w:pPr>
        <w:ind w:left="6379"/>
      </w:pPr>
    </w:p>
    <w:p w14:paraId="7F0F6DE0" w14:textId="77777777" w:rsidR="00876793" w:rsidRPr="00795289" w:rsidRDefault="00876793" w:rsidP="00795289">
      <w:pPr>
        <w:ind w:left="6379"/>
      </w:pPr>
    </w:p>
    <w:p w14:paraId="0DF72689" w14:textId="77777777" w:rsidR="00876793" w:rsidRPr="00CC7279" w:rsidRDefault="00876793" w:rsidP="00795289">
      <w:pPr>
        <w:ind w:left="6379"/>
      </w:pPr>
      <w:r w:rsidRPr="00CC7279">
        <w:t>Yasmeen Hassan</w:t>
      </w:r>
    </w:p>
    <w:p w14:paraId="5D8E087F" w14:textId="77777777" w:rsidR="00876793" w:rsidRPr="00CC7279" w:rsidRDefault="00876793" w:rsidP="00795289">
      <w:pPr>
        <w:ind w:left="6379"/>
      </w:pPr>
      <w:r w:rsidRPr="00CC7279">
        <w:t>Global Executive Director</w:t>
      </w:r>
    </w:p>
    <w:p w14:paraId="2CE8C8DA" w14:textId="77777777" w:rsidR="00876793" w:rsidRPr="00CC7279" w:rsidRDefault="00876793" w:rsidP="00795289">
      <w:pPr>
        <w:ind w:left="6379"/>
      </w:pPr>
      <w:r w:rsidRPr="00CC7279">
        <w:t>Equality Now</w:t>
      </w:r>
    </w:p>
    <w:p w14:paraId="796E2F6E" w14:textId="77777777" w:rsidR="00876793" w:rsidRPr="00092B69" w:rsidRDefault="00876793" w:rsidP="00876793"/>
    <w:p w14:paraId="00488180" w14:textId="3C239E7B" w:rsidR="00642F62" w:rsidRDefault="00642F62" w:rsidP="00642F62">
      <w:pPr>
        <w:rPr>
          <w:rFonts w:ascii="Geneva" w:hAnsi="Geneva"/>
          <w:sz w:val="18"/>
          <w:szCs w:val="18"/>
        </w:rPr>
      </w:pPr>
    </w:p>
    <w:p w14:paraId="3D83AD19" w14:textId="365B3F50" w:rsidR="00344F97" w:rsidRPr="00642F62" w:rsidRDefault="00344F97" w:rsidP="00642F62">
      <w:pPr>
        <w:tabs>
          <w:tab w:val="left" w:pos="7560"/>
        </w:tabs>
        <w:rPr>
          <w:rFonts w:ascii="Geneva" w:hAnsi="Geneva"/>
          <w:sz w:val="18"/>
          <w:szCs w:val="18"/>
        </w:rPr>
      </w:pPr>
    </w:p>
    <w:sectPr w:rsidR="00344F97" w:rsidRPr="00642F62" w:rsidSect="00E719A1">
      <w:headerReference w:type="default" r:id="rId15"/>
      <w:footerReference w:type="even" r:id="rId16"/>
      <w:footerReference w:type="default" r:id="rId17"/>
      <w:headerReference w:type="first" r:id="rId18"/>
      <w:footerReference w:type="first" r:id="rId19"/>
      <w:pgSz w:w="12240" w:h="15840" w:code="1"/>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C1DF8" w14:textId="77777777" w:rsidR="00D238E7" w:rsidRDefault="00D238E7">
      <w:r>
        <w:separator/>
      </w:r>
    </w:p>
  </w:endnote>
  <w:endnote w:type="continuationSeparator" w:id="0">
    <w:p w14:paraId="0A68A6D9" w14:textId="77777777" w:rsidR="00D238E7" w:rsidRDefault="00D2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embedBold r:id="rId1" w:fontKey="{8EE2FAFE-97CA-4E52-BBD0-43531C7A7595}"/>
  </w:font>
  <w:font w:name="Bell MT">
    <w:panose1 w:val="02020503060305020303"/>
    <w:charset w:val="00"/>
    <w:family w:val="roman"/>
    <w:pitch w:val="variable"/>
    <w:sig w:usb0="00000003" w:usb1="00000000" w:usb2="00000000" w:usb3="00000000" w:csb0="00000001" w:csb1="00000000"/>
    <w:embedRegular r:id="rId2" w:fontKey="{79EE449F-9132-44C6-B5E6-C959D0524B09}"/>
    <w:embedBold r:id="rId3" w:fontKey="{E438D8C4-FA61-4FE4-9147-0389D3E0EF97}"/>
  </w:font>
  <w:font w:name="Tahoma">
    <w:panose1 w:val="020B0604030504040204"/>
    <w:charset w:val="00"/>
    <w:family w:val="swiss"/>
    <w:pitch w:val="variable"/>
    <w:sig w:usb0="E1002EFF" w:usb1="C000605B" w:usb2="00000029" w:usb3="00000000" w:csb0="000101FF" w:csb1="00000000"/>
    <w:embedRegular r:id="rId4" w:fontKey="{AD01E053-D0D2-49D4-A603-00860673DAB5}"/>
  </w:font>
  <w:font w:name="Baskerville Old Face">
    <w:panose1 w:val="02020602080505020303"/>
    <w:charset w:val="00"/>
    <w:family w:val="roman"/>
    <w:pitch w:val="variable"/>
    <w:sig w:usb0="00000003" w:usb1="00000000" w:usb2="00000000" w:usb3="00000000" w:csb0="00000001" w:csb1="00000000"/>
    <w:embedRegular r:id="rId5" w:fontKey="{BBA1D3FB-E520-4C57-8273-6F0D92FEFED7}"/>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embedRegular r:id="rId6" w:fontKey="{ACF1C518-8FEB-486F-96E8-C6789EFEB02A}"/>
  </w:font>
  <w:font w:name="Calibri">
    <w:panose1 w:val="020F0502020204030204"/>
    <w:charset w:val="00"/>
    <w:family w:val="swiss"/>
    <w:pitch w:val="variable"/>
    <w:sig w:usb0="E0002AFF" w:usb1="C000247B" w:usb2="00000009" w:usb3="00000000" w:csb0="000001FF" w:csb1="00000000"/>
    <w:embedRegular r:id="rId7" w:fontKey="{F07ACA56-D460-4F13-9552-5DD5527F3F0B}"/>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auto"/>
    <w:pitch w:val="variable"/>
    <w:sig w:usb0="E00002FF" w:usb1="5200205F" w:usb2="00A0C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28F5571E-D042-4770-AC97-DA0E6CCA81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F56A8" w14:textId="77777777" w:rsidR="00760A47" w:rsidRDefault="00760A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5C36DC" w14:textId="77777777" w:rsidR="00760A47" w:rsidRDefault="00760A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579914"/>
      <w:docPartObj>
        <w:docPartGallery w:val="Page Numbers (Bottom of Page)"/>
        <w:docPartUnique/>
      </w:docPartObj>
    </w:sdtPr>
    <w:sdtEndPr>
      <w:rPr>
        <w:noProof/>
      </w:rPr>
    </w:sdtEndPr>
    <w:sdtContent>
      <w:p w14:paraId="54301E53" w14:textId="36459EFD" w:rsidR="00795289" w:rsidRDefault="00795289">
        <w:pPr>
          <w:pStyle w:val="Footer"/>
          <w:jc w:val="center"/>
        </w:pPr>
        <w:r>
          <w:fldChar w:fldCharType="begin"/>
        </w:r>
        <w:r>
          <w:instrText xml:space="preserve"> PAGE   \* MERGEFORMAT </w:instrText>
        </w:r>
        <w:r>
          <w:fldChar w:fldCharType="separate"/>
        </w:r>
        <w:r w:rsidR="00846DCA">
          <w:rPr>
            <w:noProof/>
          </w:rPr>
          <w:t>5</w:t>
        </w:r>
        <w:r>
          <w:rPr>
            <w:noProof/>
          </w:rPr>
          <w:fldChar w:fldCharType="end"/>
        </w:r>
      </w:p>
    </w:sdtContent>
  </w:sdt>
  <w:p w14:paraId="3F4A9D5A" w14:textId="50E79B6B" w:rsidR="25F9309B" w:rsidRDefault="25F9309B" w:rsidP="25F930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420"/>
      <w:gridCol w:w="2780"/>
    </w:tblGrid>
    <w:tr w:rsidR="00325028" w14:paraId="2FA4A29A" w14:textId="77777777" w:rsidTr="00325028">
      <w:tc>
        <w:tcPr>
          <w:tcW w:w="3150" w:type="dxa"/>
        </w:tcPr>
        <w:p w14:paraId="6854223C" w14:textId="77777777" w:rsidR="00325028" w:rsidRPr="00B779DE" w:rsidRDefault="00325028" w:rsidP="00325028">
          <w:pPr>
            <w:rPr>
              <w:rFonts w:ascii="Geneva" w:hAnsi="Geneva"/>
              <w:b/>
              <w:color w:val="FF0000"/>
              <w:sz w:val="14"/>
              <w:szCs w:val="14"/>
            </w:rPr>
          </w:pPr>
          <w:r w:rsidRPr="00B779DE">
            <w:rPr>
              <w:rFonts w:ascii="Geneva" w:hAnsi="Geneva"/>
              <w:b/>
              <w:color w:val="FF0000"/>
              <w:sz w:val="14"/>
              <w:szCs w:val="14"/>
            </w:rPr>
            <w:t>Europe</w:t>
          </w:r>
        </w:p>
        <w:p w14:paraId="7EB255D3" w14:textId="77777777" w:rsidR="00325028" w:rsidRPr="00325028" w:rsidRDefault="00325028" w:rsidP="00325028">
          <w:pPr>
            <w:rPr>
              <w:rFonts w:ascii="Geneva" w:hAnsi="Geneva"/>
              <w:b/>
              <w:color w:val="7F7F7F" w:themeColor="text1" w:themeTint="80"/>
              <w:sz w:val="12"/>
              <w:szCs w:val="12"/>
            </w:rPr>
          </w:pPr>
          <w:r w:rsidRPr="00325028">
            <w:rPr>
              <w:rFonts w:ascii="Geneva" w:hAnsi="Geneva"/>
              <w:b/>
              <w:color w:val="7F7F7F" w:themeColor="text1" w:themeTint="80"/>
              <w:sz w:val="12"/>
              <w:szCs w:val="12"/>
            </w:rPr>
            <w:t>1 Birdcage Walk, London, SW1H 9JJ, UK</w:t>
          </w:r>
        </w:p>
        <w:p w14:paraId="1A936D6D" w14:textId="77777777" w:rsidR="00325028" w:rsidRPr="00325028" w:rsidRDefault="00325028" w:rsidP="00325028">
          <w:pPr>
            <w:rPr>
              <w:rFonts w:ascii="Geneva" w:hAnsi="Geneva"/>
              <w:b/>
              <w:color w:val="7F7F7F" w:themeColor="text1" w:themeTint="80"/>
              <w:sz w:val="12"/>
              <w:szCs w:val="12"/>
            </w:rPr>
          </w:pPr>
          <w:r w:rsidRPr="00325028">
            <w:rPr>
              <w:rFonts w:ascii="Geneva" w:hAnsi="Geneva"/>
              <w:b/>
              <w:color w:val="7F7F7F" w:themeColor="text1" w:themeTint="80"/>
              <w:sz w:val="12"/>
              <w:szCs w:val="12"/>
            </w:rPr>
            <w:t xml:space="preserve">p. +44(0)20-7304-6902 | f. +44(0)20-7973-1292 </w:t>
          </w:r>
        </w:p>
        <w:p w14:paraId="336B8061" w14:textId="7F642AE2" w:rsidR="00325028" w:rsidRPr="00325028" w:rsidRDefault="00325028" w:rsidP="00325028">
          <w:pPr>
            <w:rPr>
              <w:b/>
              <w:color w:val="7F7F7F" w:themeColor="text1" w:themeTint="80"/>
              <w:sz w:val="14"/>
              <w:szCs w:val="14"/>
            </w:rPr>
          </w:pPr>
          <w:r w:rsidRPr="00325028">
            <w:rPr>
              <w:rFonts w:ascii="Geneva" w:hAnsi="Geneva"/>
              <w:b/>
              <w:color w:val="7F7F7F" w:themeColor="text1" w:themeTint="80"/>
              <w:sz w:val="12"/>
              <w:szCs w:val="12"/>
            </w:rPr>
            <w:t>ukinfo@equalitynow.org</w:t>
          </w:r>
        </w:p>
      </w:tc>
      <w:tc>
        <w:tcPr>
          <w:tcW w:w="3420" w:type="dxa"/>
        </w:tcPr>
        <w:p w14:paraId="0CD24067" w14:textId="77777777" w:rsidR="00325028" w:rsidRPr="00325028" w:rsidRDefault="00325028" w:rsidP="00325028">
          <w:pPr>
            <w:ind w:right="-972"/>
            <w:rPr>
              <w:rFonts w:ascii="Geneva" w:hAnsi="Geneva"/>
              <w:b/>
              <w:bCs/>
              <w:color w:val="FF0000"/>
              <w:sz w:val="16"/>
              <w:szCs w:val="16"/>
            </w:rPr>
          </w:pPr>
          <w:r w:rsidRPr="00325028">
            <w:rPr>
              <w:rFonts w:ascii="Geneva" w:hAnsi="Geneva"/>
              <w:b/>
              <w:bCs/>
              <w:color w:val="FF0000"/>
              <w:sz w:val="16"/>
              <w:szCs w:val="16"/>
            </w:rPr>
            <w:t>Americas</w:t>
          </w:r>
        </w:p>
        <w:p w14:paraId="78FD6EF4" w14:textId="77777777" w:rsidR="00325028" w:rsidRPr="00325028" w:rsidRDefault="00325028" w:rsidP="00325028">
          <w:pPr>
            <w:ind w:right="-972"/>
            <w:rPr>
              <w:rFonts w:ascii="Geneva" w:hAnsi="Geneva"/>
              <w:bCs/>
              <w:color w:val="7F7F7F" w:themeColor="text1" w:themeTint="80"/>
              <w:sz w:val="16"/>
              <w:szCs w:val="16"/>
            </w:rPr>
          </w:pPr>
          <w:r w:rsidRPr="00325028">
            <w:rPr>
              <w:rFonts w:ascii="Geneva" w:hAnsi="Geneva"/>
              <w:bCs/>
              <w:color w:val="7F7F7F" w:themeColor="text1" w:themeTint="80"/>
              <w:sz w:val="16"/>
              <w:szCs w:val="16"/>
            </w:rPr>
            <w:t>125 Maiden Lane, 9</w:t>
          </w:r>
          <w:r w:rsidRPr="00325028">
            <w:rPr>
              <w:rFonts w:ascii="Geneva" w:hAnsi="Geneva"/>
              <w:bCs/>
              <w:color w:val="7F7F7F" w:themeColor="text1" w:themeTint="80"/>
              <w:sz w:val="16"/>
              <w:szCs w:val="16"/>
              <w:vertAlign w:val="superscript"/>
            </w:rPr>
            <w:t>th</w:t>
          </w:r>
          <w:r w:rsidRPr="00325028">
            <w:rPr>
              <w:rFonts w:ascii="Geneva" w:hAnsi="Geneva"/>
              <w:bCs/>
              <w:color w:val="7F7F7F" w:themeColor="text1" w:themeTint="80"/>
              <w:sz w:val="16"/>
              <w:szCs w:val="16"/>
            </w:rPr>
            <w:t xml:space="preserve"> Floor, Suite B </w:t>
          </w:r>
          <w:r w:rsidRPr="00325028">
            <w:rPr>
              <w:rFonts w:ascii="Geneva" w:hAnsi="Geneva"/>
              <w:bCs/>
              <w:color w:val="7F7F7F" w:themeColor="text1" w:themeTint="80"/>
              <w:sz w:val="16"/>
              <w:szCs w:val="16"/>
            </w:rPr>
            <w:br/>
            <w:t>New York, NY 10038, USA</w:t>
          </w:r>
        </w:p>
        <w:p w14:paraId="2D96880B" w14:textId="77777777" w:rsidR="00325028" w:rsidRPr="00325028" w:rsidRDefault="00325028" w:rsidP="00325028">
          <w:pPr>
            <w:ind w:right="-972"/>
            <w:rPr>
              <w:rFonts w:ascii="Geneva" w:hAnsi="Geneva"/>
              <w:bCs/>
              <w:color w:val="7F7F7F" w:themeColor="text1" w:themeTint="80"/>
              <w:sz w:val="16"/>
              <w:szCs w:val="16"/>
            </w:rPr>
          </w:pPr>
          <w:r w:rsidRPr="00325028">
            <w:rPr>
              <w:rFonts w:ascii="Geneva" w:hAnsi="Geneva"/>
              <w:bCs/>
              <w:color w:val="7F7F7F" w:themeColor="text1" w:themeTint="80"/>
              <w:sz w:val="16"/>
              <w:szCs w:val="16"/>
            </w:rPr>
            <w:t>p. +1 212-586-0906 | f. +1 212-586-1611</w:t>
          </w:r>
        </w:p>
        <w:p w14:paraId="02EDDC26" w14:textId="77777777" w:rsidR="00325028" w:rsidRPr="00325028" w:rsidRDefault="00325028" w:rsidP="00325028">
          <w:pPr>
            <w:ind w:right="-972"/>
            <w:rPr>
              <w:rFonts w:ascii="Geneva" w:hAnsi="Geneva"/>
              <w:bCs/>
              <w:color w:val="7F7F7F" w:themeColor="text1" w:themeTint="80"/>
              <w:sz w:val="16"/>
              <w:szCs w:val="16"/>
            </w:rPr>
          </w:pPr>
          <w:r w:rsidRPr="00325028">
            <w:rPr>
              <w:rFonts w:ascii="Geneva" w:hAnsi="Geneva"/>
              <w:bCs/>
              <w:color w:val="7F7F7F" w:themeColor="text1" w:themeTint="80"/>
              <w:sz w:val="16"/>
              <w:szCs w:val="16"/>
            </w:rPr>
            <w:t xml:space="preserve">info@equalitynow.org </w:t>
          </w:r>
        </w:p>
        <w:p w14:paraId="3E28D60A" w14:textId="77777777" w:rsidR="00325028" w:rsidRPr="00325028" w:rsidRDefault="00325028">
          <w:pPr>
            <w:pStyle w:val="Footer"/>
            <w:tabs>
              <w:tab w:val="clear" w:pos="8640"/>
            </w:tabs>
            <w:ind w:right="-1296"/>
            <w:rPr>
              <w:b/>
              <w:bCs/>
              <w:sz w:val="14"/>
              <w:szCs w:val="14"/>
            </w:rPr>
          </w:pPr>
        </w:p>
      </w:tc>
      <w:tc>
        <w:tcPr>
          <w:tcW w:w="2780" w:type="dxa"/>
        </w:tcPr>
        <w:p w14:paraId="59CC1F7D" w14:textId="77777777" w:rsidR="00325028" w:rsidRDefault="00325028" w:rsidP="00325028">
          <w:pPr>
            <w:pStyle w:val="BodyTextIndent"/>
            <w:tabs>
              <w:tab w:val="left" w:pos="180"/>
            </w:tabs>
            <w:ind w:left="0" w:right="-972"/>
            <w:rPr>
              <w:rFonts w:ascii="Geneva" w:hAnsi="Geneva"/>
              <w:b/>
              <w:bCs/>
              <w:color w:val="FF0000"/>
              <w:sz w:val="14"/>
              <w:szCs w:val="14"/>
              <w:lang w:val="fr-FR"/>
            </w:rPr>
          </w:pPr>
          <w:proofErr w:type="spellStart"/>
          <w:r w:rsidRPr="005F2702">
            <w:rPr>
              <w:rFonts w:ascii="Geneva" w:hAnsi="Geneva"/>
              <w:b/>
              <w:bCs/>
              <w:color w:val="FF0000"/>
              <w:sz w:val="14"/>
              <w:szCs w:val="14"/>
              <w:lang w:val="fr-FR"/>
            </w:rPr>
            <w:t>Africa</w:t>
          </w:r>
          <w:proofErr w:type="spellEnd"/>
        </w:p>
        <w:p w14:paraId="06E0F207" w14:textId="77777777" w:rsidR="00325028" w:rsidRPr="00642F62" w:rsidRDefault="00325028" w:rsidP="00325028">
          <w:pPr>
            <w:pStyle w:val="BodyTextIndent"/>
            <w:tabs>
              <w:tab w:val="left" w:pos="180"/>
            </w:tabs>
            <w:ind w:left="0" w:right="-972"/>
            <w:rPr>
              <w:rFonts w:ascii="Geneva" w:hAnsi="Geneva"/>
              <w:b/>
              <w:bCs/>
              <w:color w:val="FF0000"/>
              <w:sz w:val="14"/>
              <w:szCs w:val="14"/>
              <w:lang w:val="fr-FR"/>
            </w:rPr>
          </w:pPr>
          <w:r>
            <w:rPr>
              <w:rFonts w:ascii="Geneva" w:hAnsi="Geneva"/>
              <w:bCs/>
              <w:color w:val="7F7F7F" w:themeColor="text1" w:themeTint="80"/>
              <w:sz w:val="12"/>
              <w:szCs w:val="12"/>
              <w:lang w:val="fr-FR"/>
            </w:rPr>
            <w:t xml:space="preserve">1st </w:t>
          </w:r>
          <w:proofErr w:type="spellStart"/>
          <w:r>
            <w:rPr>
              <w:rFonts w:ascii="Geneva" w:hAnsi="Geneva"/>
              <w:bCs/>
              <w:color w:val="7F7F7F" w:themeColor="text1" w:themeTint="80"/>
              <w:sz w:val="12"/>
              <w:szCs w:val="12"/>
              <w:lang w:val="fr-FR"/>
            </w:rPr>
            <w:t>Floor</w:t>
          </w:r>
          <w:proofErr w:type="spellEnd"/>
          <w:r>
            <w:rPr>
              <w:rFonts w:ascii="Geneva" w:hAnsi="Geneva"/>
              <w:bCs/>
              <w:color w:val="7F7F7F" w:themeColor="text1" w:themeTint="80"/>
              <w:sz w:val="12"/>
              <w:szCs w:val="12"/>
              <w:lang w:val="fr-FR"/>
            </w:rPr>
            <w:t>, Bishops Garden Towers, Bishops Road</w:t>
          </w:r>
        </w:p>
        <w:p w14:paraId="7EB1B46E" w14:textId="77777777" w:rsidR="00325028" w:rsidRDefault="00325028" w:rsidP="00325028">
          <w:pPr>
            <w:pStyle w:val="BodyTextIndent"/>
            <w:tabs>
              <w:tab w:val="left" w:pos="180"/>
            </w:tabs>
            <w:ind w:left="0" w:right="-972"/>
            <w:rPr>
              <w:rFonts w:ascii="Geneva" w:hAnsi="Geneva"/>
              <w:bCs/>
              <w:color w:val="7F7F7F" w:themeColor="text1" w:themeTint="80"/>
              <w:sz w:val="12"/>
              <w:szCs w:val="12"/>
              <w:lang w:val="fr-FR"/>
            </w:rPr>
          </w:pPr>
          <w:r>
            <w:rPr>
              <w:rFonts w:ascii="Geneva" w:hAnsi="Geneva"/>
              <w:bCs/>
              <w:color w:val="7F7F7F" w:themeColor="text1" w:themeTint="80"/>
              <w:sz w:val="12"/>
              <w:szCs w:val="12"/>
              <w:lang w:val="fr-FR"/>
            </w:rPr>
            <w:t>Mailing :</w:t>
          </w:r>
          <w:r w:rsidRPr="00971773">
            <w:rPr>
              <w:rFonts w:ascii="Geneva" w:hAnsi="Geneva"/>
              <w:bCs/>
              <w:color w:val="7F7F7F" w:themeColor="text1" w:themeTint="80"/>
              <w:sz w:val="12"/>
              <w:szCs w:val="12"/>
              <w:lang w:val="fr-FR"/>
            </w:rPr>
            <w:t xml:space="preserve"> PO Box 2018 - 00202, Nairobi, Kenya</w:t>
          </w:r>
        </w:p>
        <w:p w14:paraId="0263E184" w14:textId="77777777" w:rsidR="00325028" w:rsidRDefault="00325028" w:rsidP="00325028">
          <w:pPr>
            <w:pStyle w:val="BodyTextIndent"/>
            <w:tabs>
              <w:tab w:val="left" w:pos="180"/>
            </w:tabs>
            <w:ind w:left="0" w:right="-972"/>
            <w:rPr>
              <w:rFonts w:ascii="Geneva" w:hAnsi="Geneva"/>
              <w:bCs/>
              <w:color w:val="7F7F7F" w:themeColor="text1" w:themeTint="80"/>
              <w:sz w:val="12"/>
              <w:szCs w:val="12"/>
              <w:lang w:val="fr-FR"/>
            </w:rPr>
          </w:pPr>
          <w:r w:rsidRPr="00971773">
            <w:rPr>
              <w:rFonts w:ascii="Geneva" w:hAnsi="Geneva"/>
              <w:bCs/>
              <w:color w:val="7F7F7F" w:themeColor="text1" w:themeTint="80"/>
              <w:sz w:val="12"/>
              <w:szCs w:val="12"/>
              <w:lang w:val="fr-FR"/>
            </w:rPr>
            <w:t xml:space="preserve">p. +254 20-2719-832 | </w:t>
          </w:r>
          <w:proofErr w:type="gramStart"/>
          <w:r w:rsidRPr="00971773">
            <w:rPr>
              <w:rFonts w:ascii="Geneva" w:hAnsi="Geneva"/>
              <w:bCs/>
              <w:color w:val="7F7F7F" w:themeColor="text1" w:themeTint="80"/>
              <w:sz w:val="12"/>
              <w:szCs w:val="12"/>
              <w:lang w:val="fr-FR"/>
            </w:rPr>
            <w:t>f.:</w:t>
          </w:r>
          <w:proofErr w:type="gramEnd"/>
          <w:r w:rsidRPr="00971773">
            <w:rPr>
              <w:rFonts w:ascii="Geneva" w:hAnsi="Geneva"/>
              <w:bCs/>
              <w:color w:val="7F7F7F" w:themeColor="text1" w:themeTint="80"/>
              <w:sz w:val="12"/>
              <w:szCs w:val="12"/>
              <w:lang w:val="fr-FR"/>
            </w:rPr>
            <w:t xml:space="preserve"> +254 20-2719-868 </w:t>
          </w:r>
        </w:p>
        <w:p w14:paraId="4CCF3AAD" w14:textId="77777777" w:rsidR="00325028" w:rsidRPr="00EC2149" w:rsidRDefault="00325028" w:rsidP="00325028">
          <w:pPr>
            <w:pStyle w:val="BodyTextIndent"/>
            <w:tabs>
              <w:tab w:val="left" w:pos="180"/>
            </w:tabs>
            <w:ind w:left="0" w:right="-972"/>
            <w:rPr>
              <w:rFonts w:ascii="Geneva" w:hAnsi="Geneva"/>
              <w:b/>
              <w:color w:val="7F7F7F" w:themeColor="text1" w:themeTint="80"/>
              <w:sz w:val="12"/>
              <w:szCs w:val="12"/>
              <w:lang w:val="fr-FR"/>
            </w:rPr>
          </w:pPr>
          <w:r w:rsidRPr="00971773">
            <w:rPr>
              <w:rFonts w:ascii="Geneva" w:hAnsi="Geneva"/>
              <w:bCs/>
              <w:color w:val="7F7F7F" w:themeColor="text1" w:themeTint="80"/>
              <w:sz w:val="12"/>
              <w:szCs w:val="12"/>
              <w:lang w:val="fr-FR"/>
            </w:rPr>
            <w:t>equalitynownairobi@equalitynow.org</w:t>
          </w:r>
        </w:p>
        <w:p w14:paraId="3FA81E71" w14:textId="77777777" w:rsidR="00325028" w:rsidRDefault="00325028">
          <w:pPr>
            <w:pStyle w:val="Footer"/>
            <w:tabs>
              <w:tab w:val="clear" w:pos="8640"/>
            </w:tabs>
            <w:ind w:right="-1296"/>
            <w:rPr>
              <w:b/>
              <w:bCs/>
              <w:sz w:val="10"/>
            </w:rPr>
          </w:pPr>
        </w:p>
      </w:tc>
    </w:tr>
  </w:tbl>
  <w:p w14:paraId="78970DFD" w14:textId="6E4B4CBF" w:rsidR="00760A47" w:rsidRDefault="00760A47" w:rsidP="00325028">
    <w:pPr>
      <w:pStyle w:val="Footer"/>
      <w:tabs>
        <w:tab w:val="clear" w:pos="8640"/>
      </w:tabs>
      <w:ind w:right="-1296"/>
      <w:rPr>
        <w:b/>
        <w:bCs/>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22E91" w14:textId="77777777" w:rsidR="00D238E7" w:rsidRDefault="00D238E7">
      <w:r>
        <w:separator/>
      </w:r>
    </w:p>
  </w:footnote>
  <w:footnote w:type="continuationSeparator" w:id="0">
    <w:p w14:paraId="2D97F2D5" w14:textId="77777777" w:rsidR="00D238E7" w:rsidRDefault="00D238E7">
      <w:r>
        <w:continuationSeparator/>
      </w:r>
    </w:p>
  </w:footnote>
  <w:footnote w:id="1">
    <w:p w14:paraId="131E7FCE" w14:textId="77777777" w:rsidR="00876793" w:rsidRPr="006A0F5F" w:rsidRDefault="00876793" w:rsidP="00876793">
      <w:pPr>
        <w:rPr>
          <w:sz w:val="20"/>
          <w:szCs w:val="20"/>
          <w:shd w:val="clear" w:color="auto" w:fill="FFFFFF"/>
        </w:rPr>
      </w:pPr>
      <w:r w:rsidRPr="006A0F5F">
        <w:rPr>
          <w:rStyle w:val="FootnoteReference"/>
          <w:sz w:val="20"/>
          <w:szCs w:val="20"/>
        </w:rPr>
        <w:footnoteRef/>
      </w:r>
      <w:r w:rsidRPr="006A0F5F">
        <w:rPr>
          <w:sz w:val="20"/>
          <w:szCs w:val="20"/>
        </w:rPr>
        <w:t xml:space="preserve"> </w:t>
      </w:r>
      <w:proofErr w:type="gramStart"/>
      <w:r w:rsidRPr="006A0F5F">
        <w:rPr>
          <w:sz w:val="20"/>
          <w:szCs w:val="20"/>
        </w:rPr>
        <w:t>A/HRC/RES/34/15.</w:t>
      </w:r>
      <w:proofErr w:type="gramEnd"/>
    </w:p>
  </w:footnote>
  <w:footnote w:id="2">
    <w:p w14:paraId="1419CA98" w14:textId="77777777" w:rsidR="00876793" w:rsidRPr="006A0F5F" w:rsidRDefault="00876793" w:rsidP="00876793">
      <w:pPr>
        <w:pStyle w:val="Default"/>
        <w:rPr>
          <w:color w:val="auto"/>
          <w:sz w:val="20"/>
          <w:szCs w:val="20"/>
        </w:rPr>
      </w:pPr>
      <w:r w:rsidRPr="006A0F5F">
        <w:rPr>
          <w:rStyle w:val="FootnoteReference"/>
          <w:color w:val="auto"/>
          <w:sz w:val="20"/>
          <w:szCs w:val="20"/>
        </w:rPr>
        <w:footnoteRef/>
      </w:r>
      <w:r w:rsidRPr="006A0F5F">
        <w:rPr>
          <w:color w:val="auto"/>
          <w:sz w:val="20"/>
          <w:szCs w:val="20"/>
        </w:rPr>
        <w:t xml:space="preserve"> Equality Now hereby waives any claim of confidentiality to which we may be entitled in the communication process. </w:t>
      </w:r>
    </w:p>
  </w:footnote>
  <w:footnote w:id="3">
    <w:p w14:paraId="3C7DEB02" w14:textId="77777777"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This submission uses the terms “nationality” and “citizenship” interchangeably.</w:t>
      </w:r>
    </w:p>
  </w:footnote>
  <w:footnote w:id="4">
    <w:p w14:paraId="45AD71A2" w14:textId="77777777"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For a review of sex discriminatory nationality laws </w:t>
      </w:r>
      <w:r>
        <w:rPr>
          <w:sz w:val="20"/>
        </w:rPr>
        <w:t xml:space="preserve">around </w:t>
      </w:r>
      <w:r w:rsidRPr="006A0F5F">
        <w:rPr>
          <w:sz w:val="20"/>
        </w:rPr>
        <w:t xml:space="preserve">the globe, see Equality Now’s report </w:t>
      </w:r>
      <w:r w:rsidRPr="006A0F5F">
        <w:rPr>
          <w:i/>
          <w:sz w:val="20"/>
        </w:rPr>
        <w:t>The State We’re In: Ending Sexism in Nationality Laws</w:t>
      </w:r>
      <w:r w:rsidRPr="006A0F5F">
        <w:rPr>
          <w:sz w:val="20"/>
        </w:rPr>
        <w:t xml:space="preserve">, (2016 </w:t>
      </w:r>
      <w:proofErr w:type="spellStart"/>
      <w:r w:rsidRPr="006A0F5F">
        <w:rPr>
          <w:sz w:val="20"/>
        </w:rPr>
        <w:t>ed</w:t>
      </w:r>
      <w:proofErr w:type="spellEnd"/>
      <w:r w:rsidRPr="006A0F5F">
        <w:rPr>
          <w:sz w:val="20"/>
        </w:rPr>
        <w:t>), available at https://www.equalitynow.org/sites/default/files/NationalityReport_EN.pdf</w:t>
      </w:r>
    </w:p>
  </w:footnote>
  <w:footnote w:id="5">
    <w:p w14:paraId="29ED3FC0" w14:textId="77777777" w:rsidR="00876793" w:rsidRPr="006A0F5F" w:rsidRDefault="00876793" w:rsidP="00876793">
      <w:pPr>
        <w:pStyle w:val="FootnoteText"/>
        <w:spacing w:before="0"/>
        <w:ind w:left="0" w:firstLine="0"/>
        <w:jc w:val="both"/>
        <w:rPr>
          <w:sz w:val="20"/>
        </w:rPr>
      </w:pPr>
      <w:r w:rsidRPr="006A0F5F">
        <w:rPr>
          <w:rStyle w:val="FootnoteReference"/>
          <w:sz w:val="20"/>
        </w:rPr>
        <w:footnoteRef/>
      </w:r>
      <w:r w:rsidRPr="006A0F5F">
        <w:rPr>
          <w:sz w:val="20"/>
        </w:rPr>
        <w:t xml:space="preserve"> In some countries, an exception to this view is taken with regard to unmarried mothers; in those countries, encapsulating the view that unmarried mothers will raise their children while the father may remain irresponsible, the law presumes “ownership” of the children by the </w:t>
      </w:r>
      <w:r>
        <w:rPr>
          <w:sz w:val="20"/>
        </w:rPr>
        <w:t xml:space="preserve">unmarried </w:t>
      </w:r>
      <w:r w:rsidRPr="006A0F5F">
        <w:rPr>
          <w:sz w:val="20"/>
        </w:rPr>
        <w:t xml:space="preserve">mother and grants her greater ability to confer citizenship over the father. For example, the Supreme Court of the United States of America recently struck down differing residency requirements for unmarried American fathers and mothers seeking to pass on citizenship to their children born abroad, finding that requiring fathers to satisfy a longer residency time period than mothers was unconstitutional and reflected the “once habitual, but now untenable” assumptions that “in marriage, husband is dominant, wife subordinate,” while an “unwed mother is the natural and sole guardian of a </w:t>
      </w:r>
      <w:proofErr w:type="spellStart"/>
      <w:r w:rsidRPr="006A0F5F">
        <w:rPr>
          <w:sz w:val="20"/>
        </w:rPr>
        <w:t>nonmarital</w:t>
      </w:r>
      <w:proofErr w:type="spellEnd"/>
      <w:r w:rsidRPr="006A0F5F">
        <w:rPr>
          <w:sz w:val="20"/>
        </w:rPr>
        <w:t xml:space="preserve"> child.” </w:t>
      </w:r>
      <w:proofErr w:type="gramStart"/>
      <w:r w:rsidRPr="006A0F5F">
        <w:rPr>
          <w:i/>
          <w:sz w:val="20"/>
        </w:rPr>
        <w:t>Session v. Morales-Santana</w:t>
      </w:r>
      <w:r w:rsidRPr="006A0F5F">
        <w:rPr>
          <w:sz w:val="20"/>
        </w:rPr>
        <w:t>, 582 US __ (2017).</w:t>
      </w:r>
      <w:proofErr w:type="gramEnd"/>
    </w:p>
  </w:footnote>
  <w:footnote w:id="6">
    <w:p w14:paraId="0DB371CF" w14:textId="77777777" w:rsidR="00876793" w:rsidRPr="006A0F5F" w:rsidRDefault="00876793" w:rsidP="00876793">
      <w:pPr>
        <w:pStyle w:val="FootnoteText"/>
        <w:tabs>
          <w:tab w:val="right" w:pos="0"/>
        </w:tabs>
        <w:spacing w:before="0"/>
        <w:ind w:left="0" w:firstLine="0"/>
        <w:rPr>
          <w:sz w:val="20"/>
        </w:rPr>
      </w:pPr>
      <w:r w:rsidRPr="006A0F5F">
        <w:rPr>
          <w:rStyle w:val="FootnoteReference"/>
          <w:sz w:val="20"/>
        </w:rPr>
        <w:footnoteRef/>
      </w:r>
      <w:r w:rsidRPr="006A0F5F">
        <w:rPr>
          <w:sz w:val="20"/>
        </w:rPr>
        <w:t xml:space="preserve"> </w:t>
      </w:r>
      <w:r w:rsidRPr="00D81D52">
        <w:rPr>
          <w:i/>
          <w:sz w:val="20"/>
        </w:rPr>
        <w:t>See</w:t>
      </w:r>
      <w:r>
        <w:rPr>
          <w:i/>
          <w:sz w:val="20"/>
        </w:rPr>
        <w:t xml:space="preserve"> supra</w:t>
      </w:r>
      <w:r>
        <w:rPr>
          <w:sz w:val="20"/>
        </w:rPr>
        <w:t>, note 4.</w:t>
      </w:r>
    </w:p>
  </w:footnote>
  <w:footnote w:id="7">
    <w:p w14:paraId="3821C97F" w14:textId="6B69DCB4"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w:t>
      </w:r>
      <w:r>
        <w:rPr>
          <w:i/>
          <w:sz w:val="20"/>
        </w:rPr>
        <w:t>See supra</w:t>
      </w:r>
      <w:r w:rsidR="00DD37C5">
        <w:rPr>
          <w:sz w:val="20"/>
        </w:rPr>
        <w:t xml:space="preserve">, note 4, </w:t>
      </w:r>
      <w:r>
        <w:rPr>
          <w:sz w:val="20"/>
        </w:rPr>
        <w:t>pp. 20-22, 71.</w:t>
      </w:r>
    </w:p>
  </w:footnote>
  <w:footnote w:id="8">
    <w:p w14:paraId="033BE8EE" w14:textId="7B1540B2" w:rsidR="00876793" w:rsidRPr="006A0F5F" w:rsidRDefault="00876793" w:rsidP="00876793">
      <w:pPr>
        <w:rPr>
          <w:sz w:val="20"/>
          <w:szCs w:val="20"/>
        </w:rPr>
      </w:pPr>
      <w:r w:rsidRPr="006A0F5F">
        <w:rPr>
          <w:rStyle w:val="FootnoteReference"/>
          <w:sz w:val="20"/>
          <w:szCs w:val="20"/>
        </w:rPr>
        <w:footnoteRef/>
      </w:r>
      <w:r w:rsidRPr="006A0F5F">
        <w:rPr>
          <w:i/>
          <w:sz w:val="20"/>
          <w:szCs w:val="20"/>
        </w:rPr>
        <w:t xml:space="preserve"> See</w:t>
      </w:r>
      <w:r>
        <w:rPr>
          <w:sz w:val="20"/>
          <w:szCs w:val="20"/>
        </w:rPr>
        <w:t xml:space="preserve"> Equality Now,</w:t>
      </w:r>
      <w:r w:rsidRPr="006A0F5F">
        <w:rPr>
          <w:i/>
          <w:sz w:val="20"/>
          <w:szCs w:val="20"/>
        </w:rPr>
        <w:t xml:space="preserve"> Protecting The Girl Child: Using the law to end child, early and forced marriage and r</w:t>
      </w:r>
      <w:r>
        <w:rPr>
          <w:i/>
          <w:sz w:val="20"/>
          <w:szCs w:val="20"/>
        </w:rPr>
        <w:t xml:space="preserve">elated human rights violations, </w:t>
      </w:r>
      <w:r w:rsidR="00DD37C5">
        <w:rPr>
          <w:sz w:val="20"/>
          <w:szCs w:val="20"/>
        </w:rPr>
        <w:t>January 2014</w:t>
      </w:r>
      <w:r>
        <w:rPr>
          <w:sz w:val="20"/>
          <w:szCs w:val="20"/>
        </w:rPr>
        <w:t xml:space="preserve">, available at </w:t>
      </w:r>
      <w:r w:rsidRPr="00D81D52">
        <w:rPr>
          <w:sz w:val="20"/>
          <w:szCs w:val="20"/>
        </w:rPr>
        <w:t>https://www.equalitynow.org/sites/default/files/Protecting_the_Girl_Child.pdf</w:t>
      </w:r>
      <w:r>
        <w:rPr>
          <w:sz w:val="20"/>
          <w:szCs w:val="20"/>
        </w:rPr>
        <w:t xml:space="preserve"> </w:t>
      </w:r>
    </w:p>
  </w:footnote>
  <w:footnote w:id="9">
    <w:p w14:paraId="2C639322" w14:textId="77777777" w:rsidR="00876793" w:rsidRPr="006A0F5F" w:rsidRDefault="00876793" w:rsidP="00876793">
      <w:pPr>
        <w:pStyle w:val="FootnoteText"/>
        <w:tabs>
          <w:tab w:val="left" w:pos="8190"/>
        </w:tabs>
        <w:spacing w:before="0"/>
        <w:ind w:left="0" w:firstLine="0"/>
        <w:rPr>
          <w:sz w:val="20"/>
        </w:rPr>
      </w:pPr>
      <w:r w:rsidRPr="006A0F5F">
        <w:rPr>
          <w:rStyle w:val="FootnoteReference"/>
          <w:sz w:val="20"/>
        </w:rPr>
        <w:footnoteRef/>
      </w:r>
      <w:r w:rsidRPr="006A0F5F">
        <w:rPr>
          <w:sz w:val="20"/>
        </w:rPr>
        <w:t xml:space="preserve"> </w:t>
      </w:r>
      <w:r w:rsidRPr="006A0F5F">
        <w:rPr>
          <w:i/>
          <w:sz w:val="20"/>
        </w:rPr>
        <w:t>See</w:t>
      </w:r>
      <w:r w:rsidRPr="006A0F5F">
        <w:rPr>
          <w:sz w:val="20"/>
        </w:rPr>
        <w:t xml:space="preserve"> </w:t>
      </w:r>
      <w:r w:rsidRPr="006A0F5F">
        <w:rPr>
          <w:color w:val="000000"/>
          <w:sz w:val="20"/>
        </w:rPr>
        <w:t xml:space="preserve">UN High Commissioner for Refugees (UNHCR), </w:t>
      </w:r>
      <w:r w:rsidRPr="006A0F5F">
        <w:rPr>
          <w:i/>
          <w:color w:val="000000"/>
          <w:sz w:val="20"/>
        </w:rPr>
        <w:t>Child protection Issue Brief: Birth Registration</w:t>
      </w:r>
      <w:r w:rsidRPr="006A0F5F">
        <w:rPr>
          <w:color w:val="000000"/>
          <w:sz w:val="20"/>
        </w:rPr>
        <w:t xml:space="preserve">, </w:t>
      </w:r>
      <w:r>
        <w:rPr>
          <w:color w:val="000000"/>
          <w:sz w:val="20"/>
        </w:rPr>
        <w:t>August 2013, p. 1, available at</w:t>
      </w:r>
      <w:r w:rsidRPr="006A0F5F">
        <w:rPr>
          <w:color w:val="000000"/>
          <w:sz w:val="20"/>
        </w:rPr>
        <w:t xml:space="preserve"> http://www.re</w:t>
      </w:r>
      <w:r>
        <w:rPr>
          <w:color w:val="000000"/>
          <w:sz w:val="20"/>
        </w:rPr>
        <w:t>fworld.org/docid/523fe9214.html</w:t>
      </w:r>
    </w:p>
  </w:footnote>
  <w:footnote w:id="10">
    <w:p w14:paraId="03103A54" w14:textId="77777777" w:rsidR="00876793" w:rsidRPr="006A0F5F" w:rsidRDefault="00876793" w:rsidP="00876793">
      <w:pPr>
        <w:pStyle w:val="FootnoteText"/>
        <w:tabs>
          <w:tab w:val="right" w:pos="1276"/>
        </w:tabs>
        <w:spacing w:before="0"/>
        <w:ind w:left="0" w:firstLine="0"/>
        <w:rPr>
          <w:sz w:val="20"/>
        </w:rPr>
      </w:pPr>
      <w:r w:rsidRPr="006A0F5F">
        <w:rPr>
          <w:rStyle w:val="FootnoteReference"/>
          <w:sz w:val="20"/>
        </w:rPr>
        <w:footnoteRef/>
      </w:r>
      <w:r w:rsidRPr="006A0F5F">
        <w:rPr>
          <w:sz w:val="20"/>
        </w:rPr>
        <w:t xml:space="preserve"> </w:t>
      </w:r>
      <w:r w:rsidRPr="006A0F5F">
        <w:rPr>
          <w:i/>
          <w:sz w:val="20"/>
        </w:rPr>
        <w:t>See</w:t>
      </w:r>
      <w:r w:rsidRPr="006A0F5F">
        <w:rPr>
          <w:sz w:val="20"/>
        </w:rPr>
        <w:t xml:space="preserve"> </w:t>
      </w:r>
      <w:r w:rsidRPr="006A0F5F">
        <w:rPr>
          <w:i/>
          <w:sz w:val="20"/>
        </w:rPr>
        <w:t>generally</w:t>
      </w:r>
      <w:r w:rsidRPr="006A0F5F">
        <w:rPr>
          <w:sz w:val="20"/>
        </w:rPr>
        <w:t xml:space="preserve"> Sheila </w:t>
      </w:r>
      <w:proofErr w:type="spellStart"/>
      <w:r w:rsidRPr="006A0F5F">
        <w:rPr>
          <w:sz w:val="20"/>
        </w:rPr>
        <w:t>Menz</w:t>
      </w:r>
      <w:proofErr w:type="spellEnd"/>
      <w:r w:rsidRPr="006A0F5F">
        <w:rPr>
          <w:sz w:val="20"/>
        </w:rPr>
        <w:t xml:space="preserve">, </w:t>
      </w:r>
      <w:r w:rsidRPr="006A0F5F">
        <w:rPr>
          <w:i/>
          <w:sz w:val="20"/>
        </w:rPr>
        <w:t>Statelessness and Child Marriage as Intersectional Phenomena: Instability, Inequality, and the Role of the International Community</w:t>
      </w:r>
      <w:r w:rsidRPr="006A0F5F">
        <w:rPr>
          <w:sz w:val="20"/>
        </w:rPr>
        <w:t>, California Law Review Vol. 104:497 (206).</w:t>
      </w:r>
    </w:p>
  </w:footnote>
  <w:footnote w:id="11">
    <w:p w14:paraId="209A4AC3" w14:textId="409E4719" w:rsidR="00876793" w:rsidRPr="006A0F5F" w:rsidRDefault="00876793" w:rsidP="00876793">
      <w:pPr>
        <w:pStyle w:val="FootnoteText"/>
        <w:tabs>
          <w:tab w:val="right" w:pos="851"/>
        </w:tabs>
        <w:spacing w:before="0"/>
        <w:ind w:left="0" w:firstLine="0"/>
        <w:rPr>
          <w:sz w:val="20"/>
        </w:rPr>
      </w:pPr>
      <w:r w:rsidRPr="006A0F5F">
        <w:rPr>
          <w:rStyle w:val="FootnoteReference"/>
          <w:sz w:val="20"/>
        </w:rPr>
        <w:footnoteRef/>
      </w:r>
      <w:r w:rsidRPr="006A0F5F">
        <w:rPr>
          <w:sz w:val="20"/>
        </w:rPr>
        <w:t xml:space="preserve"> This is, of course, a symbiotic relationship. Just as eliminating CEFM is an important component to ensuring access to birth registration, birth registration is </w:t>
      </w:r>
      <w:proofErr w:type="gramStart"/>
      <w:r w:rsidRPr="006A0F5F">
        <w:rPr>
          <w:sz w:val="20"/>
        </w:rPr>
        <w:t>key</w:t>
      </w:r>
      <w:proofErr w:type="gramEnd"/>
      <w:r w:rsidRPr="006A0F5F">
        <w:rPr>
          <w:sz w:val="20"/>
        </w:rPr>
        <w:t xml:space="preserve"> to ending CEFM. </w:t>
      </w:r>
      <w:r w:rsidRPr="006A0F5F">
        <w:rPr>
          <w:i/>
          <w:sz w:val="20"/>
        </w:rPr>
        <w:t xml:space="preserve">See </w:t>
      </w:r>
      <w:r w:rsidRPr="006A0F5F">
        <w:rPr>
          <w:sz w:val="20"/>
        </w:rPr>
        <w:t xml:space="preserve">Human Rights Council, </w:t>
      </w:r>
      <w:r w:rsidRPr="006A0F5F">
        <w:rPr>
          <w:i/>
          <w:sz w:val="20"/>
        </w:rPr>
        <w:t>Birth registration and the right of everyone to recognition everywhere as a person before the law: Report of the Office of the United Nations High Commissioner for Human Rights</w:t>
      </w:r>
      <w:r w:rsidRPr="006A0F5F">
        <w:rPr>
          <w:sz w:val="20"/>
        </w:rPr>
        <w:t>, 17 June 2014</w:t>
      </w:r>
      <w:r w:rsidRPr="00DD37C5">
        <w:rPr>
          <w:sz w:val="20"/>
        </w:rPr>
        <w:t xml:space="preserve">, </w:t>
      </w:r>
      <w:r w:rsidRPr="00DD37C5">
        <w:rPr>
          <w:rStyle w:val="FootnoteReference"/>
          <w:sz w:val="20"/>
          <w:vertAlign w:val="baseline"/>
          <w:lang w:eastAsia="en-GB"/>
        </w:rPr>
        <w:t>A/HRC/27/22</w:t>
      </w:r>
      <w:r w:rsidR="00DD37C5">
        <w:rPr>
          <w:sz w:val="20"/>
          <w:lang w:eastAsia="en-GB"/>
        </w:rPr>
        <w:t xml:space="preserve">, </w:t>
      </w:r>
      <w:r w:rsidRPr="00DD37C5">
        <w:rPr>
          <w:sz w:val="20"/>
          <w:lang w:eastAsia="en-GB"/>
        </w:rPr>
        <w:t>p</w:t>
      </w:r>
      <w:r w:rsidRPr="006A0F5F">
        <w:rPr>
          <w:sz w:val="20"/>
          <w:lang w:eastAsia="en-GB"/>
        </w:rPr>
        <w:t>. 29 (noting that birth registration can “contribute to the elimination and prevent of [CEFM]” and recognizing that CEDAW and “other treaty bodies require States to register births and marriages as a means to facilitate monitoring of the age of marriage and to support the effective implementation and enforcement of laws on the minimum age of marriage.”).</w:t>
      </w:r>
    </w:p>
  </w:footnote>
  <w:footnote w:id="12">
    <w:p w14:paraId="5A32CEB1" w14:textId="77777777" w:rsidR="00876793" w:rsidRPr="006A0F5F" w:rsidRDefault="00876793" w:rsidP="00876793">
      <w:pPr>
        <w:pStyle w:val="FootnoteText"/>
        <w:spacing w:before="0"/>
        <w:rPr>
          <w:sz w:val="20"/>
        </w:rPr>
      </w:pPr>
      <w:r w:rsidRPr="006A0F5F">
        <w:rPr>
          <w:rStyle w:val="FootnoteReference"/>
          <w:sz w:val="20"/>
        </w:rPr>
        <w:footnoteRef/>
      </w:r>
      <w:r w:rsidRPr="006A0F5F">
        <w:rPr>
          <w:sz w:val="20"/>
        </w:rPr>
        <w:t xml:space="preserve"> </w:t>
      </w:r>
      <w:proofErr w:type="gramStart"/>
      <w:r w:rsidRPr="006A0F5F">
        <w:rPr>
          <w:sz w:val="20"/>
        </w:rPr>
        <w:t>A/HRC/RES/34/15, at No. 12.</w:t>
      </w:r>
      <w:proofErr w:type="gramEnd"/>
    </w:p>
  </w:footnote>
  <w:footnote w:id="13">
    <w:p w14:paraId="6A304174" w14:textId="77777777"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For</w:t>
      </w:r>
      <w:r>
        <w:rPr>
          <w:sz w:val="20"/>
        </w:rPr>
        <w:t xml:space="preserve"> example, a 2013 UNICEF study, </w:t>
      </w:r>
      <w:r w:rsidRPr="00D81D52">
        <w:rPr>
          <w:i/>
          <w:sz w:val="20"/>
        </w:rPr>
        <w:t>Every Child’s Birth Right: Inequities and trends in birth registration</w:t>
      </w:r>
      <w:r w:rsidRPr="006A0F5F">
        <w:rPr>
          <w:sz w:val="20"/>
        </w:rPr>
        <w:t>, reports that a marriage certificate is usually needed in Indonesia to register a child’s birth. Report available at https://www.unicef.org/publications/index_71514.html</w:t>
      </w:r>
    </w:p>
  </w:footnote>
  <w:footnote w:id="14">
    <w:p w14:paraId="584BE138" w14:textId="77777777" w:rsidR="00876793" w:rsidRDefault="00876793" w:rsidP="00876793">
      <w:pPr>
        <w:pStyle w:val="FootnoteText"/>
        <w:spacing w:before="0"/>
      </w:pPr>
      <w:r>
        <w:rPr>
          <w:rStyle w:val="FootnoteReference"/>
        </w:rPr>
        <w:footnoteRef/>
      </w:r>
      <w:r>
        <w:t xml:space="preserve"> </w:t>
      </w:r>
      <w:proofErr w:type="gramStart"/>
      <w:r w:rsidRPr="006A0F5F">
        <w:rPr>
          <w:sz w:val="20"/>
        </w:rPr>
        <w:t>A/HRC/RES/34/15</w:t>
      </w:r>
      <w:r>
        <w:rPr>
          <w:sz w:val="20"/>
        </w:rPr>
        <w:t>.</w:t>
      </w:r>
      <w:proofErr w:type="gramEnd"/>
    </w:p>
  </w:footnote>
  <w:footnote w:id="15">
    <w:p w14:paraId="720C18A0" w14:textId="79E360D6"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Equality Now documented the human rights violations children face during humanitarian in situations as a result of sex discriminatory nationality laws in our communication to OHCHR on 7 September 2017, submitted in response to the call for inputs for the OHCHR Report being prepared pursuant to Human Rights Council resolution 34/16, </w:t>
      </w:r>
      <w:r w:rsidRPr="006A0F5F">
        <w:rPr>
          <w:i/>
          <w:sz w:val="20"/>
        </w:rPr>
        <w:t>Rights of the child: protection of the rights of the child in the implementation of the 2030 Agenda for Sustainable Development</w:t>
      </w:r>
      <w:r w:rsidRPr="006A0F5F">
        <w:rPr>
          <w:sz w:val="20"/>
        </w:rPr>
        <w:t xml:space="preserve">. </w:t>
      </w:r>
      <w:r w:rsidRPr="006A0F5F">
        <w:rPr>
          <w:i/>
          <w:sz w:val="20"/>
        </w:rPr>
        <w:t>See also</w:t>
      </w:r>
      <w:r w:rsidRPr="006A0F5F">
        <w:rPr>
          <w:sz w:val="20"/>
        </w:rPr>
        <w:t xml:space="preserve"> UN Security Council, </w:t>
      </w:r>
      <w:r w:rsidRPr="006A0F5F">
        <w:rPr>
          <w:i/>
          <w:sz w:val="20"/>
        </w:rPr>
        <w:t xml:space="preserve">Security Council resolution 2122 (2013) [on women and peach and security], </w:t>
      </w:r>
      <w:r w:rsidR="0050021F">
        <w:rPr>
          <w:sz w:val="20"/>
        </w:rPr>
        <w:t>18 October 2013</w:t>
      </w:r>
      <w:r w:rsidR="0050021F">
        <w:rPr>
          <w:sz w:val="20"/>
        </w:rPr>
        <w:t xml:space="preserve">, S/RES/2122 </w:t>
      </w:r>
      <w:r w:rsidRPr="006A0F5F">
        <w:rPr>
          <w:sz w:val="20"/>
        </w:rPr>
        <w:t>(“</w:t>
      </w:r>
      <w:r w:rsidRPr="006A0F5F">
        <w:rPr>
          <w:i/>
          <w:sz w:val="20"/>
        </w:rPr>
        <w:t>Expressing concern</w:t>
      </w:r>
      <w:r w:rsidRPr="006A0F5F">
        <w:rPr>
          <w:sz w:val="20"/>
        </w:rPr>
        <w:t xml:space="preserve"> at women’s exacerbated vulnerability in armed conflict and post-conflict situations, particularly in relation to forced displacement” as a result of, </w:t>
      </w:r>
      <w:r w:rsidRPr="006A0F5F">
        <w:rPr>
          <w:i/>
          <w:sz w:val="20"/>
        </w:rPr>
        <w:t>inter</w:t>
      </w:r>
      <w:r w:rsidRPr="006A0F5F">
        <w:rPr>
          <w:sz w:val="20"/>
        </w:rPr>
        <w:t xml:space="preserve"> </w:t>
      </w:r>
      <w:r w:rsidRPr="006A0F5F">
        <w:rPr>
          <w:i/>
          <w:sz w:val="20"/>
        </w:rPr>
        <w:t>alia</w:t>
      </w:r>
      <w:r w:rsidRPr="006A0F5F">
        <w:rPr>
          <w:sz w:val="20"/>
        </w:rPr>
        <w:t>, “unequal citizenship rights”)</w:t>
      </w:r>
      <w:r>
        <w:rPr>
          <w:sz w:val="20"/>
        </w:rPr>
        <w:t xml:space="preserve"> (emphasis in original)</w:t>
      </w:r>
      <w:r w:rsidRPr="006A0F5F">
        <w:rPr>
          <w:sz w:val="20"/>
        </w:rPr>
        <w:t>.</w:t>
      </w:r>
    </w:p>
  </w:footnote>
  <w:footnote w:id="16">
    <w:p w14:paraId="5519B8EC" w14:textId="52903CD6" w:rsidR="00876793" w:rsidRPr="006A0F5F" w:rsidRDefault="00876793" w:rsidP="00876793">
      <w:pPr>
        <w:pStyle w:val="FootnoteText"/>
        <w:spacing w:before="0"/>
        <w:ind w:left="0" w:firstLine="0"/>
        <w:rPr>
          <w:sz w:val="20"/>
        </w:rPr>
      </w:pPr>
      <w:r w:rsidRPr="006A0F5F">
        <w:rPr>
          <w:rStyle w:val="FootnoteReference"/>
          <w:sz w:val="20"/>
        </w:rPr>
        <w:footnoteRef/>
      </w:r>
      <w:r w:rsidRPr="006A0F5F">
        <w:rPr>
          <w:sz w:val="20"/>
        </w:rPr>
        <w:t xml:space="preserve"> A/HRC/RES/34/15 (“</w:t>
      </w:r>
      <w:r w:rsidRPr="006A0F5F">
        <w:rPr>
          <w:i/>
          <w:iCs/>
          <w:sz w:val="20"/>
        </w:rPr>
        <w:t xml:space="preserve">Expressing concern </w:t>
      </w:r>
      <w:r w:rsidRPr="006A0F5F">
        <w:rPr>
          <w:sz w:val="20"/>
        </w:rPr>
        <w:t xml:space="preserve">that unregistered individuals may have limited or no access to services and the enjoyment of all the rights to which they are entitled, including the rights to a name and to acquire a nationality, and rights related to health, education, social welfare, work and political participation, and taking into consideration that registering a person’s birth is a vital step towards the promotion and protection of all his or her human rights, and that persons without birth registration are more vulnerable to marginalization, exclusion, discrimination, violence, statelessness, abduction, sale, exploitation and abuse, including when they take the form of child </w:t>
      </w:r>
      <w:proofErr w:type="spellStart"/>
      <w:r w:rsidRPr="006A0F5F">
        <w:rPr>
          <w:sz w:val="20"/>
        </w:rPr>
        <w:t>labour</w:t>
      </w:r>
      <w:proofErr w:type="spellEnd"/>
      <w:r w:rsidRPr="006A0F5F">
        <w:rPr>
          <w:sz w:val="20"/>
        </w:rPr>
        <w:t xml:space="preserve">, human trafficking, child, early and forced marriage, </w:t>
      </w:r>
      <w:r w:rsidR="00DD37C5">
        <w:rPr>
          <w:sz w:val="20"/>
        </w:rPr>
        <w:t>and unlawful child recruitment”).</w:t>
      </w:r>
    </w:p>
  </w:footnote>
  <w:footnote w:id="17">
    <w:p w14:paraId="56D806E1" w14:textId="37DA9C99" w:rsidR="00876793" w:rsidRPr="006A0F5F" w:rsidRDefault="00876793" w:rsidP="00876793">
      <w:pPr>
        <w:rPr>
          <w:sz w:val="20"/>
          <w:szCs w:val="20"/>
        </w:rPr>
      </w:pPr>
      <w:r w:rsidRPr="006A0F5F">
        <w:rPr>
          <w:rStyle w:val="FootnoteReference"/>
          <w:sz w:val="20"/>
          <w:szCs w:val="20"/>
        </w:rPr>
        <w:footnoteRef/>
      </w:r>
      <w:r w:rsidRPr="006A0F5F">
        <w:rPr>
          <w:sz w:val="20"/>
          <w:szCs w:val="20"/>
        </w:rPr>
        <w:t xml:space="preserve"> </w:t>
      </w:r>
      <w:r w:rsidRPr="006A0F5F">
        <w:rPr>
          <w:i/>
          <w:sz w:val="20"/>
          <w:szCs w:val="20"/>
        </w:rPr>
        <w:t xml:space="preserve">See </w:t>
      </w:r>
      <w:r w:rsidRPr="006A0F5F">
        <w:rPr>
          <w:sz w:val="20"/>
          <w:szCs w:val="20"/>
        </w:rPr>
        <w:t xml:space="preserve">Human Rights Council, </w:t>
      </w:r>
      <w:r w:rsidRPr="006A0F5F">
        <w:rPr>
          <w:i/>
          <w:sz w:val="20"/>
          <w:szCs w:val="20"/>
        </w:rPr>
        <w:t xml:space="preserve">Birth registration and the right of everyone to recognition everywhere as a person </w:t>
      </w:r>
      <w:r w:rsidRPr="00DD37C5">
        <w:rPr>
          <w:i/>
          <w:sz w:val="20"/>
          <w:szCs w:val="20"/>
        </w:rPr>
        <w:t>before the law: Report of the Office of the United Nations High Commissioner for Human Rights</w:t>
      </w:r>
      <w:r w:rsidRPr="00DD37C5">
        <w:rPr>
          <w:sz w:val="20"/>
          <w:szCs w:val="20"/>
        </w:rPr>
        <w:t xml:space="preserve">, 17 June 2014, </w:t>
      </w:r>
      <w:r w:rsidRPr="00DD37C5">
        <w:rPr>
          <w:rStyle w:val="FootnoteReference"/>
          <w:sz w:val="20"/>
          <w:szCs w:val="20"/>
          <w:vertAlign w:val="baseline"/>
          <w:lang w:eastAsia="en-GB"/>
        </w:rPr>
        <w:t>A/HRC/27/22</w:t>
      </w:r>
      <w:r w:rsidRPr="006A0F5F">
        <w:rPr>
          <w:sz w:val="20"/>
          <w:szCs w:val="20"/>
          <w:lang w:eastAsia="en-GB"/>
        </w:rPr>
        <w:t xml:space="preserve"> at </w:t>
      </w:r>
      <w:r w:rsidR="00DD37C5">
        <w:rPr>
          <w:sz w:val="20"/>
          <w:szCs w:val="20"/>
          <w:lang w:eastAsia="en-GB"/>
        </w:rPr>
        <w:t xml:space="preserve">No. </w:t>
      </w:r>
      <w:r w:rsidRPr="006A0F5F">
        <w:rPr>
          <w:sz w:val="20"/>
          <w:szCs w:val="20"/>
          <w:lang w:eastAsia="en-GB"/>
        </w:rPr>
        <w:t xml:space="preserve">69 (examining how gender discrimination can prevent birth registration). </w:t>
      </w:r>
      <w:r>
        <w:rPr>
          <w:sz w:val="20"/>
          <w:szCs w:val="20"/>
        </w:rPr>
        <w:t>Plan</w:t>
      </w:r>
      <w:r w:rsidRPr="006A0F5F">
        <w:rPr>
          <w:sz w:val="20"/>
          <w:szCs w:val="20"/>
        </w:rPr>
        <w:t xml:space="preserve"> </w:t>
      </w:r>
      <w:r>
        <w:rPr>
          <w:sz w:val="20"/>
          <w:szCs w:val="20"/>
        </w:rPr>
        <w:t>International’s</w:t>
      </w:r>
      <w:r w:rsidRPr="006A0F5F">
        <w:rPr>
          <w:sz w:val="20"/>
          <w:szCs w:val="20"/>
        </w:rPr>
        <w:t xml:space="preserve"> 2015 study “Mother to Child: How Discrimination Prevents Women from Registering the Birth of their Child” (cited by </w:t>
      </w:r>
      <w:r>
        <w:rPr>
          <w:sz w:val="20"/>
          <w:szCs w:val="20"/>
        </w:rPr>
        <w:t>the immediately above</w:t>
      </w:r>
      <w:r w:rsidRPr="006A0F5F">
        <w:rPr>
          <w:sz w:val="20"/>
          <w:szCs w:val="20"/>
        </w:rPr>
        <w:t>-</w:t>
      </w:r>
      <w:r>
        <w:rPr>
          <w:sz w:val="20"/>
          <w:szCs w:val="20"/>
        </w:rPr>
        <w:t>referenced</w:t>
      </w:r>
      <w:r w:rsidRPr="006A0F5F">
        <w:rPr>
          <w:sz w:val="20"/>
          <w:szCs w:val="20"/>
        </w:rPr>
        <w:t xml:space="preserve"> report) found several reasons why societal sex discrimination created barriers for women in registering their children, even when there was no national laws preventing th</w:t>
      </w:r>
      <w:r w:rsidR="00DD37C5">
        <w:rPr>
          <w:sz w:val="20"/>
          <w:szCs w:val="20"/>
        </w:rPr>
        <w:t>em from doing so. These include</w:t>
      </w:r>
      <w:r w:rsidRPr="006A0F5F">
        <w:rPr>
          <w:sz w:val="20"/>
          <w:szCs w:val="20"/>
        </w:rPr>
        <w:t>: laws that</w:t>
      </w:r>
      <w:r>
        <w:rPr>
          <w:sz w:val="20"/>
          <w:szCs w:val="20"/>
        </w:rPr>
        <w:t xml:space="preserve"> appear gender neutral but are</w:t>
      </w:r>
      <w:r w:rsidRPr="006A0F5F">
        <w:rPr>
          <w:sz w:val="20"/>
          <w:szCs w:val="20"/>
        </w:rPr>
        <w:t xml:space="preserve"> biased, </w:t>
      </w:r>
      <w:r>
        <w:rPr>
          <w:sz w:val="20"/>
          <w:szCs w:val="20"/>
        </w:rPr>
        <w:t xml:space="preserve">including </w:t>
      </w:r>
      <w:r w:rsidRPr="006A0F5F">
        <w:rPr>
          <w:sz w:val="20"/>
          <w:szCs w:val="20"/>
        </w:rPr>
        <w:t xml:space="preserve">for example, </w:t>
      </w:r>
      <w:r>
        <w:rPr>
          <w:sz w:val="20"/>
          <w:szCs w:val="20"/>
        </w:rPr>
        <w:t>laws referencing</w:t>
      </w:r>
      <w:r w:rsidRPr="006A0F5F">
        <w:rPr>
          <w:sz w:val="20"/>
          <w:szCs w:val="20"/>
        </w:rPr>
        <w:t xml:space="preserve"> “head of household”; the stigma faced by unmarried mothers, including requirements that children born out of wedlock can only be registered if acknowledged by their father; officials being unaware that laws, especially those relatively recently amended, grant equal rights to mothers and father registering children; refusing to register children without the presence of the father or a marriage certificate; traditional customs that limit women’s freedom of movement after birth causing them to miss registration windows; and complications posed by polygamy. Report available at https://plan-international.org/publications/mother-child-discrimination-and-child-registration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25F9309B" w14:paraId="658FCB2B" w14:textId="77777777" w:rsidTr="25F9309B">
      <w:tc>
        <w:tcPr>
          <w:tcW w:w="3120" w:type="dxa"/>
        </w:tcPr>
        <w:p w14:paraId="4EBA7C5E" w14:textId="4EA7E1E6" w:rsidR="25F9309B" w:rsidRDefault="25F9309B" w:rsidP="25F9309B">
          <w:pPr>
            <w:pStyle w:val="Header"/>
            <w:ind w:left="-115"/>
          </w:pPr>
        </w:p>
      </w:tc>
      <w:tc>
        <w:tcPr>
          <w:tcW w:w="3120" w:type="dxa"/>
        </w:tcPr>
        <w:p w14:paraId="67843BA5" w14:textId="46F3DBF7" w:rsidR="25F9309B" w:rsidRDefault="25F9309B" w:rsidP="25F9309B">
          <w:pPr>
            <w:pStyle w:val="Header"/>
            <w:jc w:val="center"/>
          </w:pPr>
        </w:p>
      </w:tc>
      <w:tc>
        <w:tcPr>
          <w:tcW w:w="3120" w:type="dxa"/>
        </w:tcPr>
        <w:p w14:paraId="17D89601" w14:textId="2E5415A1" w:rsidR="25F9309B" w:rsidRDefault="25F9309B" w:rsidP="25F9309B">
          <w:pPr>
            <w:pStyle w:val="Header"/>
            <w:ind w:right="-115"/>
            <w:jc w:val="right"/>
          </w:pPr>
        </w:p>
      </w:tc>
    </w:tr>
  </w:tbl>
  <w:p w14:paraId="64ACB16D" w14:textId="3909EB3F" w:rsidR="25F9309B" w:rsidRDefault="25F9309B" w:rsidP="25F930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0EFC1" w14:textId="428F41A0" w:rsidR="00760A47" w:rsidRPr="00BA6F47" w:rsidRDefault="00BA6F47" w:rsidP="00781749">
    <w:pPr>
      <w:pStyle w:val="Heading2"/>
      <w:tabs>
        <w:tab w:val="left" w:pos="6413"/>
      </w:tabs>
      <w:spacing w:before="180"/>
      <w:jc w:val="center"/>
      <w:rPr>
        <w:w w:val="77"/>
        <w:sz w:val="104"/>
      </w:rPr>
    </w:pPr>
    <w:r>
      <w:rPr>
        <w:b/>
        <w:bCs/>
        <w:noProof/>
        <w:sz w:val="104"/>
        <w:lang w:eastAsia="en-GB"/>
      </w:rPr>
      <w:drawing>
        <wp:inline distT="0" distB="0" distL="0" distR="0" wp14:anchorId="295B1E56" wp14:editId="6815CBC9">
          <wp:extent cx="2618648" cy="6248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ps"/>
                  <pic:cNvPicPr/>
                </pic:nvPicPr>
                <pic:blipFill>
                  <a:blip r:embed="rId1">
                    <a:extLst>
                      <a:ext uri="{28A0092B-C50C-407E-A947-70E740481C1C}">
                        <a14:useLocalDpi xmlns:a14="http://schemas.microsoft.com/office/drawing/2010/main" val="0"/>
                      </a:ext>
                    </a:extLst>
                  </a:blip>
                  <a:stretch>
                    <a:fillRect/>
                  </a:stretch>
                </pic:blipFill>
                <pic:spPr>
                  <a:xfrm>
                    <a:off x="0" y="0"/>
                    <a:ext cx="2618648" cy="624840"/>
                  </a:xfrm>
                  <a:prstGeom prst="rect">
                    <a:avLst/>
                  </a:prstGeom>
                </pic:spPr>
              </pic:pic>
            </a:graphicData>
          </a:graphic>
        </wp:inline>
      </w:drawing>
    </w:r>
  </w:p>
  <w:p w14:paraId="2A3A9BF3" w14:textId="77777777" w:rsidR="00760A47" w:rsidRDefault="00760A47">
    <w:pPr>
      <w:rPr>
        <w:rFonts w:ascii="Arial" w:hAnsi="Arial" w:cs="Arial"/>
        <w:sz w:val="2"/>
      </w:rPr>
    </w:pPr>
  </w:p>
  <w:p w14:paraId="37C1333B" w14:textId="4E41DADE" w:rsidR="00760A47" w:rsidRDefault="00760A47" w:rsidP="00BA6F47">
    <w:pPr>
      <w:ind w:right="-972"/>
      <w:rPr>
        <w:b/>
        <w:szCs w:val="16"/>
        <w:lang w:val="fr-FR"/>
      </w:rPr>
    </w:pPr>
    <w:r w:rsidRPr="00566FFD">
      <w:rPr>
        <w:b/>
        <w:sz w:val="16"/>
        <w:szCs w:val="16"/>
      </w:rPr>
      <w:t xml:space="preserve">             </w:t>
    </w:r>
  </w:p>
  <w:p w14:paraId="0A452E37" w14:textId="5812FFFF" w:rsidR="00BA6F47" w:rsidRPr="002B4697" w:rsidRDefault="00BA6F47" w:rsidP="00BA6F47">
    <w:pPr>
      <w:ind w:right="-972"/>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9EEA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163676"/>
    <w:multiLevelType w:val="hybridMultilevel"/>
    <w:tmpl w:val="F4FE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56D00"/>
    <w:multiLevelType w:val="hybridMultilevel"/>
    <w:tmpl w:val="790425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283DAE"/>
    <w:multiLevelType w:val="hybridMultilevel"/>
    <w:tmpl w:val="F3D6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AB6F2F"/>
    <w:multiLevelType w:val="hybridMultilevel"/>
    <w:tmpl w:val="49EA2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2142E"/>
    <w:multiLevelType w:val="hybridMultilevel"/>
    <w:tmpl w:val="49D02E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6E106F"/>
    <w:multiLevelType w:val="hybridMultilevel"/>
    <w:tmpl w:val="4E1AC454"/>
    <w:lvl w:ilvl="0" w:tplc="04090003">
      <w:start w:val="1"/>
      <w:numFmt w:val="bullet"/>
      <w:lvlText w:val="o"/>
      <w:lvlJc w:val="left"/>
      <w:pPr>
        <w:ind w:left="144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7BC547F"/>
    <w:multiLevelType w:val="hybridMultilevel"/>
    <w:tmpl w:val="8B8C1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5C1C79"/>
    <w:multiLevelType w:val="hybridMultilevel"/>
    <w:tmpl w:val="112C0F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3DA7BF5"/>
    <w:multiLevelType w:val="hybridMultilevel"/>
    <w:tmpl w:val="63341896"/>
    <w:lvl w:ilvl="0" w:tplc="8BE416E2">
      <w:start w:val="1"/>
      <w:numFmt w:val="bullet"/>
      <w:lvlText w:val=""/>
      <w:lvlJc w:val="left"/>
      <w:pPr>
        <w:tabs>
          <w:tab w:val="num" w:pos="720"/>
        </w:tabs>
        <w:ind w:left="720" w:hanging="360"/>
      </w:pPr>
      <w:rPr>
        <w:rFonts w:ascii="Wingdings" w:hAnsi="Wingdings" w:hint="default"/>
      </w:rPr>
    </w:lvl>
    <w:lvl w:ilvl="1" w:tplc="4844EE5A">
      <w:start w:val="1"/>
      <w:numFmt w:val="bullet"/>
      <w:lvlText w:val=""/>
      <w:lvlJc w:val="left"/>
      <w:pPr>
        <w:tabs>
          <w:tab w:val="num" w:pos="1440"/>
        </w:tabs>
        <w:ind w:left="1440" w:hanging="360"/>
      </w:pPr>
      <w:rPr>
        <w:rFonts w:ascii="Wingdings" w:hAnsi="Wingdings" w:hint="default"/>
      </w:rPr>
    </w:lvl>
    <w:lvl w:ilvl="2" w:tplc="AB461FA0" w:tentative="1">
      <w:start w:val="1"/>
      <w:numFmt w:val="bullet"/>
      <w:lvlText w:val=""/>
      <w:lvlJc w:val="left"/>
      <w:pPr>
        <w:tabs>
          <w:tab w:val="num" w:pos="2160"/>
        </w:tabs>
        <w:ind w:left="2160" w:hanging="360"/>
      </w:pPr>
      <w:rPr>
        <w:rFonts w:ascii="Wingdings" w:hAnsi="Wingdings" w:hint="default"/>
      </w:rPr>
    </w:lvl>
    <w:lvl w:ilvl="3" w:tplc="B8B69B68" w:tentative="1">
      <w:start w:val="1"/>
      <w:numFmt w:val="bullet"/>
      <w:lvlText w:val=""/>
      <w:lvlJc w:val="left"/>
      <w:pPr>
        <w:tabs>
          <w:tab w:val="num" w:pos="2880"/>
        </w:tabs>
        <w:ind w:left="2880" w:hanging="360"/>
      </w:pPr>
      <w:rPr>
        <w:rFonts w:ascii="Wingdings" w:hAnsi="Wingdings" w:hint="default"/>
      </w:rPr>
    </w:lvl>
    <w:lvl w:ilvl="4" w:tplc="4B86D670" w:tentative="1">
      <w:start w:val="1"/>
      <w:numFmt w:val="bullet"/>
      <w:lvlText w:val=""/>
      <w:lvlJc w:val="left"/>
      <w:pPr>
        <w:tabs>
          <w:tab w:val="num" w:pos="3600"/>
        </w:tabs>
        <w:ind w:left="3600" w:hanging="360"/>
      </w:pPr>
      <w:rPr>
        <w:rFonts w:ascii="Wingdings" w:hAnsi="Wingdings" w:hint="default"/>
      </w:rPr>
    </w:lvl>
    <w:lvl w:ilvl="5" w:tplc="1A1E50FC" w:tentative="1">
      <w:start w:val="1"/>
      <w:numFmt w:val="bullet"/>
      <w:lvlText w:val=""/>
      <w:lvlJc w:val="left"/>
      <w:pPr>
        <w:tabs>
          <w:tab w:val="num" w:pos="4320"/>
        </w:tabs>
        <w:ind w:left="4320" w:hanging="360"/>
      </w:pPr>
      <w:rPr>
        <w:rFonts w:ascii="Wingdings" w:hAnsi="Wingdings" w:hint="default"/>
      </w:rPr>
    </w:lvl>
    <w:lvl w:ilvl="6" w:tplc="5A7E2D40" w:tentative="1">
      <w:start w:val="1"/>
      <w:numFmt w:val="bullet"/>
      <w:lvlText w:val=""/>
      <w:lvlJc w:val="left"/>
      <w:pPr>
        <w:tabs>
          <w:tab w:val="num" w:pos="5040"/>
        </w:tabs>
        <w:ind w:left="5040" w:hanging="360"/>
      </w:pPr>
      <w:rPr>
        <w:rFonts w:ascii="Wingdings" w:hAnsi="Wingdings" w:hint="default"/>
      </w:rPr>
    </w:lvl>
    <w:lvl w:ilvl="7" w:tplc="45402BA0" w:tentative="1">
      <w:start w:val="1"/>
      <w:numFmt w:val="bullet"/>
      <w:lvlText w:val=""/>
      <w:lvlJc w:val="left"/>
      <w:pPr>
        <w:tabs>
          <w:tab w:val="num" w:pos="5760"/>
        </w:tabs>
        <w:ind w:left="5760" w:hanging="360"/>
      </w:pPr>
      <w:rPr>
        <w:rFonts w:ascii="Wingdings" w:hAnsi="Wingdings" w:hint="default"/>
      </w:rPr>
    </w:lvl>
    <w:lvl w:ilvl="8" w:tplc="1730F644" w:tentative="1">
      <w:start w:val="1"/>
      <w:numFmt w:val="bullet"/>
      <w:lvlText w:val=""/>
      <w:lvlJc w:val="left"/>
      <w:pPr>
        <w:tabs>
          <w:tab w:val="num" w:pos="6480"/>
        </w:tabs>
        <w:ind w:left="6480" w:hanging="360"/>
      </w:pPr>
      <w:rPr>
        <w:rFonts w:ascii="Wingdings" w:hAnsi="Wingdings" w:hint="default"/>
      </w:rPr>
    </w:lvl>
  </w:abstractNum>
  <w:abstractNum w:abstractNumId="10">
    <w:nsid w:val="6E950A2C"/>
    <w:multiLevelType w:val="multilevel"/>
    <w:tmpl w:val="7A66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2"/>
  </w:num>
  <w:num w:numId="4">
    <w:abstractNumId w:val="7"/>
  </w:num>
  <w:num w:numId="5">
    <w:abstractNumId w:val="10"/>
  </w:num>
  <w:num w:numId="6">
    <w:abstractNumId w:val="0"/>
  </w:num>
  <w:num w:numId="7">
    <w:abstractNumId w:val="6"/>
  </w:num>
  <w:num w:numId="8">
    <w:abstractNumId w:val="9"/>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8E4"/>
    <w:rsid w:val="00002123"/>
    <w:rsid w:val="00010FE2"/>
    <w:rsid w:val="00017F15"/>
    <w:rsid w:val="000367D3"/>
    <w:rsid w:val="00037C77"/>
    <w:rsid w:val="00041EE6"/>
    <w:rsid w:val="00055DCC"/>
    <w:rsid w:val="0007799D"/>
    <w:rsid w:val="00082B3A"/>
    <w:rsid w:val="00091AD0"/>
    <w:rsid w:val="000D563B"/>
    <w:rsid w:val="000D58E4"/>
    <w:rsid w:val="000E6053"/>
    <w:rsid w:val="000F5630"/>
    <w:rsid w:val="00113CE9"/>
    <w:rsid w:val="0011634F"/>
    <w:rsid w:val="00136AEF"/>
    <w:rsid w:val="001479D2"/>
    <w:rsid w:val="00177B25"/>
    <w:rsid w:val="0018567A"/>
    <w:rsid w:val="00192706"/>
    <w:rsid w:val="001931A2"/>
    <w:rsid w:val="00194DFE"/>
    <w:rsid w:val="001A1584"/>
    <w:rsid w:val="001B6285"/>
    <w:rsid w:val="001C0E4F"/>
    <w:rsid w:val="001E415B"/>
    <w:rsid w:val="002050EC"/>
    <w:rsid w:val="00223422"/>
    <w:rsid w:val="00231CE2"/>
    <w:rsid w:val="00245C10"/>
    <w:rsid w:val="00250165"/>
    <w:rsid w:val="002637CE"/>
    <w:rsid w:val="00264FE1"/>
    <w:rsid w:val="0029751E"/>
    <w:rsid w:val="002A5CA6"/>
    <w:rsid w:val="002A6CF7"/>
    <w:rsid w:val="002B3F63"/>
    <w:rsid w:val="002B4697"/>
    <w:rsid w:val="002B542E"/>
    <w:rsid w:val="002D2746"/>
    <w:rsid w:val="002F2AE5"/>
    <w:rsid w:val="002F3B6C"/>
    <w:rsid w:val="002F6202"/>
    <w:rsid w:val="00306CE4"/>
    <w:rsid w:val="00325028"/>
    <w:rsid w:val="00333838"/>
    <w:rsid w:val="00344F97"/>
    <w:rsid w:val="00345B71"/>
    <w:rsid w:val="0034609D"/>
    <w:rsid w:val="003472A0"/>
    <w:rsid w:val="00354611"/>
    <w:rsid w:val="0036690C"/>
    <w:rsid w:val="00366D53"/>
    <w:rsid w:val="00370009"/>
    <w:rsid w:val="003716CD"/>
    <w:rsid w:val="0037259B"/>
    <w:rsid w:val="003801FA"/>
    <w:rsid w:val="0038262C"/>
    <w:rsid w:val="00390CBA"/>
    <w:rsid w:val="003B2BF1"/>
    <w:rsid w:val="003C2815"/>
    <w:rsid w:val="003D07C1"/>
    <w:rsid w:val="003D21B5"/>
    <w:rsid w:val="00401796"/>
    <w:rsid w:val="00407963"/>
    <w:rsid w:val="0041462A"/>
    <w:rsid w:val="00414D72"/>
    <w:rsid w:val="00415DD7"/>
    <w:rsid w:val="00420DE9"/>
    <w:rsid w:val="00432B58"/>
    <w:rsid w:val="00436A44"/>
    <w:rsid w:val="00461A5C"/>
    <w:rsid w:val="004849CA"/>
    <w:rsid w:val="00492F43"/>
    <w:rsid w:val="004A12EE"/>
    <w:rsid w:val="004A5AF3"/>
    <w:rsid w:val="004C041E"/>
    <w:rsid w:val="004C514E"/>
    <w:rsid w:val="004D53D0"/>
    <w:rsid w:val="0050021F"/>
    <w:rsid w:val="005035C4"/>
    <w:rsid w:val="00514F07"/>
    <w:rsid w:val="00527FD5"/>
    <w:rsid w:val="005309C4"/>
    <w:rsid w:val="00552FA2"/>
    <w:rsid w:val="00556D2A"/>
    <w:rsid w:val="00566FFD"/>
    <w:rsid w:val="00591FEF"/>
    <w:rsid w:val="005A678C"/>
    <w:rsid w:val="005D03CA"/>
    <w:rsid w:val="005D3590"/>
    <w:rsid w:val="005F2702"/>
    <w:rsid w:val="005F593F"/>
    <w:rsid w:val="006013BC"/>
    <w:rsid w:val="00605203"/>
    <w:rsid w:val="00605F15"/>
    <w:rsid w:val="00614914"/>
    <w:rsid w:val="00642F62"/>
    <w:rsid w:val="00652283"/>
    <w:rsid w:val="00653829"/>
    <w:rsid w:val="00664ABD"/>
    <w:rsid w:val="006702BB"/>
    <w:rsid w:val="006949EC"/>
    <w:rsid w:val="006A0A61"/>
    <w:rsid w:val="006A33D3"/>
    <w:rsid w:val="006B32DA"/>
    <w:rsid w:val="006C01A2"/>
    <w:rsid w:val="006C5339"/>
    <w:rsid w:val="006D00D3"/>
    <w:rsid w:val="006D4929"/>
    <w:rsid w:val="006E136D"/>
    <w:rsid w:val="006E3006"/>
    <w:rsid w:val="006E7401"/>
    <w:rsid w:val="00700C8C"/>
    <w:rsid w:val="00731EC2"/>
    <w:rsid w:val="00733768"/>
    <w:rsid w:val="00736844"/>
    <w:rsid w:val="00745D5B"/>
    <w:rsid w:val="00756FB2"/>
    <w:rsid w:val="007602A8"/>
    <w:rsid w:val="00760A47"/>
    <w:rsid w:val="00760E86"/>
    <w:rsid w:val="00781749"/>
    <w:rsid w:val="00783750"/>
    <w:rsid w:val="00795289"/>
    <w:rsid w:val="007A5B04"/>
    <w:rsid w:val="007B7BC9"/>
    <w:rsid w:val="007E0455"/>
    <w:rsid w:val="007E3154"/>
    <w:rsid w:val="007F31B7"/>
    <w:rsid w:val="007F32C9"/>
    <w:rsid w:val="008425B8"/>
    <w:rsid w:val="00846DCA"/>
    <w:rsid w:val="00852AF7"/>
    <w:rsid w:val="008608B1"/>
    <w:rsid w:val="008758D3"/>
    <w:rsid w:val="00876793"/>
    <w:rsid w:val="0088261C"/>
    <w:rsid w:val="0088271B"/>
    <w:rsid w:val="008869DF"/>
    <w:rsid w:val="00894A21"/>
    <w:rsid w:val="00895180"/>
    <w:rsid w:val="00896720"/>
    <w:rsid w:val="008C089A"/>
    <w:rsid w:val="008E12E0"/>
    <w:rsid w:val="008E3753"/>
    <w:rsid w:val="008E4DBE"/>
    <w:rsid w:val="008F2A90"/>
    <w:rsid w:val="008F47CF"/>
    <w:rsid w:val="00900FB0"/>
    <w:rsid w:val="009165A7"/>
    <w:rsid w:val="00935193"/>
    <w:rsid w:val="00936A3D"/>
    <w:rsid w:val="00964186"/>
    <w:rsid w:val="00971773"/>
    <w:rsid w:val="0099333D"/>
    <w:rsid w:val="009B1F33"/>
    <w:rsid w:val="009B3A8C"/>
    <w:rsid w:val="009C5367"/>
    <w:rsid w:val="009E39B1"/>
    <w:rsid w:val="009E4727"/>
    <w:rsid w:val="009E4E36"/>
    <w:rsid w:val="009F04EB"/>
    <w:rsid w:val="009F76EB"/>
    <w:rsid w:val="00A03345"/>
    <w:rsid w:val="00A03838"/>
    <w:rsid w:val="00A20CA2"/>
    <w:rsid w:val="00A33F70"/>
    <w:rsid w:val="00A43A2E"/>
    <w:rsid w:val="00A748EE"/>
    <w:rsid w:val="00A87481"/>
    <w:rsid w:val="00AA66D7"/>
    <w:rsid w:val="00AF410D"/>
    <w:rsid w:val="00AF613C"/>
    <w:rsid w:val="00B12EE2"/>
    <w:rsid w:val="00B50C93"/>
    <w:rsid w:val="00B50E18"/>
    <w:rsid w:val="00B779DE"/>
    <w:rsid w:val="00B91002"/>
    <w:rsid w:val="00B92FF7"/>
    <w:rsid w:val="00BA24F0"/>
    <w:rsid w:val="00BA6F47"/>
    <w:rsid w:val="00BC5122"/>
    <w:rsid w:val="00BC6C62"/>
    <w:rsid w:val="00BE300E"/>
    <w:rsid w:val="00BE7067"/>
    <w:rsid w:val="00BE77C1"/>
    <w:rsid w:val="00BE7D49"/>
    <w:rsid w:val="00C04C04"/>
    <w:rsid w:val="00C1295D"/>
    <w:rsid w:val="00C3118C"/>
    <w:rsid w:val="00C32B21"/>
    <w:rsid w:val="00C402CF"/>
    <w:rsid w:val="00C40C88"/>
    <w:rsid w:val="00C41840"/>
    <w:rsid w:val="00C46F2E"/>
    <w:rsid w:val="00CB00BB"/>
    <w:rsid w:val="00CD076F"/>
    <w:rsid w:val="00CD7EB3"/>
    <w:rsid w:val="00CE3204"/>
    <w:rsid w:val="00CF4D6E"/>
    <w:rsid w:val="00D06991"/>
    <w:rsid w:val="00D14059"/>
    <w:rsid w:val="00D22DFF"/>
    <w:rsid w:val="00D233E6"/>
    <w:rsid w:val="00D238E7"/>
    <w:rsid w:val="00D35F88"/>
    <w:rsid w:val="00D777A5"/>
    <w:rsid w:val="00DB0052"/>
    <w:rsid w:val="00DD37C5"/>
    <w:rsid w:val="00DF5D71"/>
    <w:rsid w:val="00E14C9D"/>
    <w:rsid w:val="00E23D5B"/>
    <w:rsid w:val="00E26B77"/>
    <w:rsid w:val="00E42A7F"/>
    <w:rsid w:val="00E45C60"/>
    <w:rsid w:val="00E502E4"/>
    <w:rsid w:val="00E56086"/>
    <w:rsid w:val="00E7140E"/>
    <w:rsid w:val="00E719A1"/>
    <w:rsid w:val="00E720DA"/>
    <w:rsid w:val="00E85B43"/>
    <w:rsid w:val="00E870A6"/>
    <w:rsid w:val="00E93BE7"/>
    <w:rsid w:val="00E955DD"/>
    <w:rsid w:val="00E97127"/>
    <w:rsid w:val="00EA4963"/>
    <w:rsid w:val="00EC2149"/>
    <w:rsid w:val="00ED0CC7"/>
    <w:rsid w:val="00ED17C8"/>
    <w:rsid w:val="00ED37F8"/>
    <w:rsid w:val="00EF09C2"/>
    <w:rsid w:val="00F13D12"/>
    <w:rsid w:val="00F21E6B"/>
    <w:rsid w:val="00F32443"/>
    <w:rsid w:val="00F46A53"/>
    <w:rsid w:val="00F56499"/>
    <w:rsid w:val="00F57004"/>
    <w:rsid w:val="00F63A2F"/>
    <w:rsid w:val="00F7713C"/>
    <w:rsid w:val="00F8252C"/>
    <w:rsid w:val="00F9598E"/>
    <w:rsid w:val="00F9622D"/>
    <w:rsid w:val="00FA3814"/>
    <w:rsid w:val="00FB05CA"/>
    <w:rsid w:val="00FB0E7B"/>
    <w:rsid w:val="00FD3F72"/>
    <w:rsid w:val="00FF6BF6"/>
    <w:rsid w:val="1612A2FB"/>
    <w:rsid w:val="25F93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39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lsdException w:name="List 4" w:semiHidden="0" w:unhideWhenUsed="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AF3"/>
    <w:rPr>
      <w:sz w:val="24"/>
      <w:szCs w:val="24"/>
    </w:rPr>
  </w:style>
  <w:style w:type="paragraph" w:styleId="Heading1">
    <w:name w:val="heading 1"/>
    <w:basedOn w:val="Normal"/>
    <w:next w:val="Normal"/>
    <w:qFormat/>
    <w:pPr>
      <w:keepNext/>
      <w:widowControl w:val="0"/>
      <w:autoSpaceDE w:val="0"/>
      <w:autoSpaceDN w:val="0"/>
      <w:adjustRightInd w:val="0"/>
      <w:jc w:val="both"/>
      <w:outlineLvl w:val="0"/>
    </w:pPr>
    <w:rPr>
      <w:rFonts w:ascii="Elephant" w:hAnsi="Elephant"/>
      <w:b/>
      <w:bCs/>
      <w:sz w:val="16"/>
      <w:szCs w:val="20"/>
    </w:rPr>
  </w:style>
  <w:style w:type="paragraph" w:styleId="Heading2">
    <w:name w:val="heading 2"/>
    <w:basedOn w:val="Normal"/>
    <w:next w:val="Normal"/>
    <w:qFormat/>
    <w:pPr>
      <w:keepNext/>
      <w:jc w:val="both"/>
      <w:outlineLvl w:val="1"/>
    </w:pPr>
    <w:rPr>
      <w:rFonts w:ascii="Bell MT" w:hAnsi="Bell MT"/>
      <w:spacing w:val="-60"/>
      <w:sz w:val="96"/>
      <w:szCs w:val="96"/>
      <w:lang w:val="en-GB"/>
    </w:rPr>
  </w:style>
  <w:style w:type="paragraph" w:styleId="Heading3">
    <w:name w:val="heading 3"/>
    <w:basedOn w:val="Normal"/>
    <w:next w:val="Normal"/>
    <w:qFormat/>
    <w:pPr>
      <w:keepNext/>
      <w:outlineLvl w:val="2"/>
    </w:pPr>
    <w:rPr>
      <w:sz w:val="72"/>
      <w:lang w:val="en-GB"/>
    </w:rPr>
  </w:style>
  <w:style w:type="paragraph" w:styleId="Heading4">
    <w:name w:val="heading 4"/>
    <w:basedOn w:val="Normal"/>
    <w:next w:val="Normal"/>
    <w:qFormat/>
    <w:pPr>
      <w:keepNex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540"/>
    </w:pPr>
    <w:rPr>
      <w:rFonts w:ascii="Baskerville Old Face" w:hAnsi="Baskerville Old Face"/>
      <w:sz w:val="16"/>
    </w:rPr>
  </w:style>
  <w:style w:type="paragraph" w:styleId="Header">
    <w:name w:val="header"/>
    <w:basedOn w:val="Normal"/>
    <w:pPr>
      <w:tabs>
        <w:tab w:val="center" w:pos="4320"/>
        <w:tab w:val="right" w:pos="8640"/>
      </w:tabs>
    </w:pPr>
    <w:rPr>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ind w:firstLine="1440"/>
    </w:pPr>
    <w:rPr>
      <w:rFonts w:eastAsia="MS Mincho"/>
      <w:szCs w:val="20"/>
    </w:rPr>
  </w:style>
  <w:style w:type="character" w:styleId="FootnoteReference">
    <w:name w:val="footnote reference"/>
    <w:aliases w:val="4_G Char Char Char Char,Footnotes refss Char Char Char Char,ftref Char Char Char Char,BVI fnr Char Char Char Char,BVI fnr Car Car Char Char Char Char,BVI fnr Car Char Char Char Char,BVI fnr Car Car Car Car Char Char1 Char Char"/>
    <w:link w:val="4GCharCharChar"/>
    <w:uiPriority w:val="99"/>
    <w:rPr>
      <w:rFonts w:ascii="Times New Roman" w:hAnsi="Times New Roman"/>
      <w:vertAlign w:val="superscript"/>
      <w:lang w:val="en-US"/>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FootnoteTextChar"/>
    <w:uiPriority w:val="99"/>
    <w:pPr>
      <w:spacing w:before="120"/>
      <w:ind w:left="720" w:hanging="720"/>
    </w:pPr>
    <w:rPr>
      <w:rFonts w:eastAsia="MS Mincho"/>
      <w:sz w:val="22"/>
      <w:szCs w:val="20"/>
    </w:rPr>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 w:type="paragraph" w:styleId="BlockText">
    <w:name w:val="Block Text"/>
    <w:basedOn w:val="Normal"/>
    <w:pPr>
      <w:tabs>
        <w:tab w:val="left" w:pos="1296"/>
      </w:tabs>
      <w:ind w:left="540" w:right="288"/>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TMLTypewriter">
    <w:name w:val="HTML Typewriter"/>
    <w:rPr>
      <w:rFonts w:ascii="Courier New" w:eastAsia="Courier New" w:hAnsi="Courier New" w:cs="Courier New" w:hint="default"/>
      <w:sz w:val="20"/>
      <w:szCs w:val="20"/>
    </w:rPr>
  </w:style>
  <w:style w:type="character" w:styleId="FollowedHyperlink">
    <w:name w:val="FollowedHyperlink"/>
    <w:rPr>
      <w:color w:val="800080"/>
      <w:u w:val="single"/>
    </w:rPr>
  </w:style>
  <w:style w:type="paragraph" w:styleId="BodyTextIndent2">
    <w:name w:val="Body Text Indent 2"/>
    <w:basedOn w:val="Normal"/>
    <w:pPr>
      <w:ind w:firstLine="720"/>
    </w:pPr>
    <w:rPr>
      <w:color w:val="000000"/>
      <w:szCs w:val="20"/>
    </w:rPr>
  </w:style>
  <w:style w:type="character" w:customStyle="1" w:styleId="normal1">
    <w:name w:val="normal1"/>
    <w:rsid w:val="000D58E4"/>
    <w:rPr>
      <w:rFonts w:ascii="Verdana" w:hAnsi="Verdana" w:hint="default"/>
      <w:color w:val="000000"/>
      <w:sz w:val="15"/>
      <w:szCs w:val="15"/>
    </w:rPr>
  </w:style>
  <w:style w:type="character" w:customStyle="1" w:styleId="spelle">
    <w:name w:val="spelle"/>
    <w:basedOn w:val="DefaultParagraphFont"/>
    <w:rsid w:val="009165A7"/>
  </w:style>
  <w:style w:type="character" w:customStyle="1" w:styleId="maintext1">
    <w:name w:val="maintext1"/>
    <w:rsid w:val="002A6CF7"/>
    <w:rPr>
      <w:rFonts w:ascii="Verdana" w:hAnsi="Verdana" w:hint="default"/>
      <w:color w:val="000000"/>
      <w:sz w:val="17"/>
      <w:szCs w:val="17"/>
    </w:rPr>
  </w:style>
  <w:style w:type="paragraph" w:styleId="ListParagraph">
    <w:name w:val="List Paragraph"/>
    <w:basedOn w:val="Normal"/>
    <w:uiPriority w:val="34"/>
    <w:qFormat/>
    <w:rsid w:val="008425B8"/>
    <w:pPr>
      <w:spacing w:after="200" w:line="276" w:lineRule="auto"/>
      <w:ind w:left="720"/>
      <w:contextualSpacing/>
    </w:pPr>
    <w:rPr>
      <w:rFonts w:ascii="Calibri" w:eastAsia="Calibri" w:hAnsi="Calibri" w:cs="Calibri"/>
      <w:sz w:val="22"/>
      <w:szCs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link w:val="FootnoteText"/>
    <w:uiPriority w:val="99"/>
    <w:rsid w:val="008425B8"/>
    <w:rPr>
      <w:rFonts w:eastAsia="MS Mincho"/>
      <w:sz w:val="22"/>
    </w:rPr>
  </w:style>
  <w:style w:type="character" w:customStyle="1" w:styleId="il">
    <w:name w:val="il"/>
    <w:basedOn w:val="DefaultParagraphFont"/>
    <w:rsid w:val="007F31B7"/>
  </w:style>
  <w:style w:type="character" w:customStyle="1" w:styleId="hoenzb">
    <w:name w:val="hoenzb"/>
    <w:basedOn w:val="DefaultParagraphFont"/>
    <w:rsid w:val="00556D2A"/>
  </w:style>
  <w:style w:type="character" w:styleId="CommentReference">
    <w:name w:val="annotation reference"/>
    <w:basedOn w:val="DefaultParagraphFont"/>
    <w:rsid w:val="00055DCC"/>
    <w:rPr>
      <w:sz w:val="18"/>
      <w:szCs w:val="18"/>
    </w:rPr>
  </w:style>
  <w:style w:type="paragraph" w:styleId="CommentText">
    <w:name w:val="annotation text"/>
    <w:basedOn w:val="Normal"/>
    <w:link w:val="CommentTextChar"/>
    <w:rsid w:val="00055DCC"/>
  </w:style>
  <w:style w:type="character" w:customStyle="1" w:styleId="CommentTextChar">
    <w:name w:val="Comment Text Char"/>
    <w:basedOn w:val="DefaultParagraphFont"/>
    <w:link w:val="CommentText"/>
    <w:rsid w:val="00055DCC"/>
    <w:rPr>
      <w:sz w:val="24"/>
      <w:szCs w:val="24"/>
    </w:rPr>
  </w:style>
  <w:style w:type="paragraph" w:styleId="CommentSubject">
    <w:name w:val="annotation subject"/>
    <w:basedOn w:val="CommentText"/>
    <w:next w:val="CommentText"/>
    <w:link w:val="CommentSubjectChar"/>
    <w:rsid w:val="00055DCC"/>
    <w:rPr>
      <w:b/>
      <w:bCs/>
      <w:sz w:val="20"/>
      <w:szCs w:val="20"/>
    </w:rPr>
  </w:style>
  <w:style w:type="character" w:customStyle="1" w:styleId="CommentSubjectChar">
    <w:name w:val="Comment Subject Char"/>
    <w:basedOn w:val="CommentTextChar"/>
    <w:link w:val="CommentSubject"/>
    <w:rsid w:val="00055DCC"/>
    <w:rPr>
      <w:b/>
      <w:bCs/>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6793"/>
    <w:pPr>
      <w:autoSpaceDE w:val="0"/>
      <w:autoSpaceDN w:val="0"/>
      <w:adjustRightInd w:val="0"/>
    </w:pPr>
    <w:rPr>
      <w:color w:val="000000"/>
      <w:sz w:val="24"/>
      <w:szCs w:val="24"/>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876793"/>
    <w:pPr>
      <w:spacing w:after="160" w:line="240" w:lineRule="exact"/>
      <w:jc w:val="both"/>
    </w:pPr>
    <w:rPr>
      <w:sz w:val="20"/>
      <w:szCs w:val="20"/>
      <w:vertAlign w:val="superscript"/>
    </w:rPr>
  </w:style>
  <w:style w:type="character" w:customStyle="1" w:styleId="FooterChar">
    <w:name w:val="Footer Char"/>
    <w:basedOn w:val="DefaultParagraphFont"/>
    <w:link w:val="Footer"/>
    <w:uiPriority w:val="99"/>
    <w:rsid w:val="007952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lsdException w:name="List 4" w:semiHidden="0" w:unhideWhenUsed="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unhideWhenUsed="0" w:qFormat="1"/>
    <w:lsdException w:name="Subtitle" w:semiHidden="0" w:unhideWhenUsed="0" w:qFormat="1"/>
    <w:lsdException w:name="Body Text Indent 3" w:semiHidden="0"/>
    <w:lsdException w:name="Block Text" w:semiHidden="0"/>
    <w:lsdException w:name="Hyperlink" w:semiHidden="0"/>
    <w:lsdException w:name="FollowedHyperlink" w:semiHidden="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AF3"/>
    <w:rPr>
      <w:sz w:val="24"/>
      <w:szCs w:val="24"/>
    </w:rPr>
  </w:style>
  <w:style w:type="paragraph" w:styleId="Heading1">
    <w:name w:val="heading 1"/>
    <w:basedOn w:val="Normal"/>
    <w:next w:val="Normal"/>
    <w:qFormat/>
    <w:pPr>
      <w:keepNext/>
      <w:widowControl w:val="0"/>
      <w:autoSpaceDE w:val="0"/>
      <w:autoSpaceDN w:val="0"/>
      <w:adjustRightInd w:val="0"/>
      <w:jc w:val="both"/>
      <w:outlineLvl w:val="0"/>
    </w:pPr>
    <w:rPr>
      <w:rFonts w:ascii="Elephant" w:hAnsi="Elephant"/>
      <w:b/>
      <w:bCs/>
      <w:sz w:val="16"/>
      <w:szCs w:val="20"/>
    </w:rPr>
  </w:style>
  <w:style w:type="paragraph" w:styleId="Heading2">
    <w:name w:val="heading 2"/>
    <w:basedOn w:val="Normal"/>
    <w:next w:val="Normal"/>
    <w:qFormat/>
    <w:pPr>
      <w:keepNext/>
      <w:jc w:val="both"/>
      <w:outlineLvl w:val="1"/>
    </w:pPr>
    <w:rPr>
      <w:rFonts w:ascii="Bell MT" w:hAnsi="Bell MT"/>
      <w:spacing w:val="-60"/>
      <w:sz w:val="96"/>
      <w:szCs w:val="96"/>
      <w:lang w:val="en-GB"/>
    </w:rPr>
  </w:style>
  <w:style w:type="paragraph" w:styleId="Heading3">
    <w:name w:val="heading 3"/>
    <w:basedOn w:val="Normal"/>
    <w:next w:val="Normal"/>
    <w:qFormat/>
    <w:pPr>
      <w:keepNext/>
      <w:outlineLvl w:val="2"/>
    </w:pPr>
    <w:rPr>
      <w:sz w:val="72"/>
      <w:lang w:val="en-GB"/>
    </w:rPr>
  </w:style>
  <w:style w:type="paragraph" w:styleId="Heading4">
    <w:name w:val="heading 4"/>
    <w:basedOn w:val="Normal"/>
    <w:next w:val="Normal"/>
    <w:qFormat/>
    <w:pPr>
      <w:keepNext/>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540"/>
    </w:pPr>
    <w:rPr>
      <w:rFonts w:ascii="Baskerville Old Face" w:hAnsi="Baskerville Old Face"/>
      <w:sz w:val="16"/>
    </w:rPr>
  </w:style>
  <w:style w:type="paragraph" w:styleId="Header">
    <w:name w:val="header"/>
    <w:basedOn w:val="Normal"/>
    <w:pPr>
      <w:tabs>
        <w:tab w:val="center" w:pos="4320"/>
        <w:tab w:val="right" w:pos="8640"/>
      </w:tabs>
    </w:pPr>
    <w:rPr>
      <w:lang w:val="en-G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spacing w:after="240"/>
      <w:ind w:firstLine="1440"/>
    </w:pPr>
    <w:rPr>
      <w:rFonts w:eastAsia="MS Mincho"/>
      <w:szCs w:val="20"/>
    </w:rPr>
  </w:style>
  <w:style w:type="character" w:styleId="FootnoteReference">
    <w:name w:val="footnote reference"/>
    <w:aliases w:val="4_G Char Char Char Char,Footnotes refss Char Char Char Char,ftref Char Char Char Char,BVI fnr Char Char Char Char,BVI fnr Car Car Char Char Char Char,BVI fnr Car Char Char Char Char,BVI fnr Car Car Car Car Char Char1 Char Char"/>
    <w:link w:val="4GCharCharChar"/>
    <w:uiPriority w:val="99"/>
    <w:rPr>
      <w:rFonts w:ascii="Times New Roman" w:hAnsi="Times New Roman"/>
      <w:vertAlign w:val="superscript"/>
      <w:lang w:val="en-US"/>
    </w:rPr>
  </w:style>
  <w:style w:type="paragraph" w:styleId="FootnoteText">
    <w:name w:val="footnote text"/>
    <w:aliases w:val="5_G,Footnote Text Char1,Footnote Text Char Char,Footnote Text Char1 Char Char,Footnote Text Char Char Char Char,Footnote Text Char1 Char Char1 Char Char,Footnote Text Char Char Char Char1 Char Char,ft Char Char Char Char Char Char"/>
    <w:basedOn w:val="Normal"/>
    <w:link w:val="FootnoteTextChar"/>
    <w:uiPriority w:val="99"/>
    <w:pPr>
      <w:spacing w:before="120"/>
      <w:ind w:left="720" w:hanging="720"/>
    </w:pPr>
    <w:rPr>
      <w:rFonts w:eastAsia="MS Mincho"/>
      <w:sz w:val="22"/>
      <w:szCs w:val="20"/>
    </w:rPr>
  </w:style>
  <w:style w:type="paragraph" w:styleId="NormalWeb">
    <w:name w:val="Normal (Web)"/>
    <w:basedOn w:val="Normal"/>
    <w:uiPriority w:val="99"/>
    <w:pPr>
      <w:spacing w:before="100" w:beforeAutospacing="1" w:after="100" w:afterAutospacing="1"/>
    </w:pPr>
  </w:style>
  <w:style w:type="character" w:styleId="Hyperlink">
    <w:name w:val="Hyperlink"/>
    <w:rPr>
      <w:color w:val="0000FF"/>
      <w:u w:val="single"/>
    </w:rPr>
  </w:style>
  <w:style w:type="paragraph" w:styleId="BlockText">
    <w:name w:val="Block Text"/>
    <w:basedOn w:val="Normal"/>
    <w:pPr>
      <w:tabs>
        <w:tab w:val="left" w:pos="1296"/>
      </w:tabs>
      <w:ind w:left="540" w:right="288"/>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TMLTypewriter">
    <w:name w:val="HTML Typewriter"/>
    <w:rPr>
      <w:rFonts w:ascii="Courier New" w:eastAsia="Courier New" w:hAnsi="Courier New" w:cs="Courier New" w:hint="default"/>
      <w:sz w:val="20"/>
      <w:szCs w:val="20"/>
    </w:rPr>
  </w:style>
  <w:style w:type="character" w:styleId="FollowedHyperlink">
    <w:name w:val="FollowedHyperlink"/>
    <w:rPr>
      <w:color w:val="800080"/>
      <w:u w:val="single"/>
    </w:rPr>
  </w:style>
  <w:style w:type="paragraph" w:styleId="BodyTextIndent2">
    <w:name w:val="Body Text Indent 2"/>
    <w:basedOn w:val="Normal"/>
    <w:pPr>
      <w:ind w:firstLine="720"/>
    </w:pPr>
    <w:rPr>
      <w:color w:val="000000"/>
      <w:szCs w:val="20"/>
    </w:rPr>
  </w:style>
  <w:style w:type="character" w:customStyle="1" w:styleId="normal1">
    <w:name w:val="normal1"/>
    <w:rsid w:val="000D58E4"/>
    <w:rPr>
      <w:rFonts w:ascii="Verdana" w:hAnsi="Verdana" w:hint="default"/>
      <w:color w:val="000000"/>
      <w:sz w:val="15"/>
      <w:szCs w:val="15"/>
    </w:rPr>
  </w:style>
  <w:style w:type="character" w:customStyle="1" w:styleId="spelle">
    <w:name w:val="spelle"/>
    <w:basedOn w:val="DefaultParagraphFont"/>
    <w:rsid w:val="009165A7"/>
  </w:style>
  <w:style w:type="character" w:customStyle="1" w:styleId="maintext1">
    <w:name w:val="maintext1"/>
    <w:rsid w:val="002A6CF7"/>
    <w:rPr>
      <w:rFonts w:ascii="Verdana" w:hAnsi="Verdana" w:hint="default"/>
      <w:color w:val="000000"/>
      <w:sz w:val="17"/>
      <w:szCs w:val="17"/>
    </w:rPr>
  </w:style>
  <w:style w:type="paragraph" w:styleId="ListParagraph">
    <w:name w:val="List Paragraph"/>
    <w:basedOn w:val="Normal"/>
    <w:uiPriority w:val="34"/>
    <w:qFormat/>
    <w:rsid w:val="008425B8"/>
    <w:pPr>
      <w:spacing w:after="200" w:line="276" w:lineRule="auto"/>
      <w:ind w:left="720"/>
      <w:contextualSpacing/>
    </w:pPr>
    <w:rPr>
      <w:rFonts w:ascii="Calibri" w:eastAsia="Calibri" w:hAnsi="Calibri" w:cs="Calibri"/>
      <w:sz w:val="22"/>
      <w:szCs w:val="22"/>
    </w:rPr>
  </w:style>
  <w:style w:type="character" w:customStyle="1" w:styleId="FootnoteTextChar">
    <w:name w:val="Footnote Text Char"/>
    <w:aliases w:val="5_G Char,Footnote Text Char1 Char,Footnote Text Char Char Char,Footnote Text Char1 Char Char Char,Footnote Text Char Char Char Char Char,Footnote Text Char1 Char Char1 Char Char Char,Footnote Text Char Char Char Char1 Char Char Char"/>
    <w:link w:val="FootnoteText"/>
    <w:uiPriority w:val="99"/>
    <w:rsid w:val="008425B8"/>
    <w:rPr>
      <w:rFonts w:eastAsia="MS Mincho"/>
      <w:sz w:val="22"/>
    </w:rPr>
  </w:style>
  <w:style w:type="character" w:customStyle="1" w:styleId="il">
    <w:name w:val="il"/>
    <w:basedOn w:val="DefaultParagraphFont"/>
    <w:rsid w:val="007F31B7"/>
  </w:style>
  <w:style w:type="character" w:customStyle="1" w:styleId="hoenzb">
    <w:name w:val="hoenzb"/>
    <w:basedOn w:val="DefaultParagraphFont"/>
    <w:rsid w:val="00556D2A"/>
  </w:style>
  <w:style w:type="character" w:styleId="CommentReference">
    <w:name w:val="annotation reference"/>
    <w:basedOn w:val="DefaultParagraphFont"/>
    <w:rsid w:val="00055DCC"/>
    <w:rPr>
      <w:sz w:val="18"/>
      <w:szCs w:val="18"/>
    </w:rPr>
  </w:style>
  <w:style w:type="paragraph" w:styleId="CommentText">
    <w:name w:val="annotation text"/>
    <w:basedOn w:val="Normal"/>
    <w:link w:val="CommentTextChar"/>
    <w:rsid w:val="00055DCC"/>
  </w:style>
  <w:style w:type="character" w:customStyle="1" w:styleId="CommentTextChar">
    <w:name w:val="Comment Text Char"/>
    <w:basedOn w:val="DefaultParagraphFont"/>
    <w:link w:val="CommentText"/>
    <w:rsid w:val="00055DCC"/>
    <w:rPr>
      <w:sz w:val="24"/>
      <w:szCs w:val="24"/>
    </w:rPr>
  </w:style>
  <w:style w:type="paragraph" w:styleId="CommentSubject">
    <w:name w:val="annotation subject"/>
    <w:basedOn w:val="CommentText"/>
    <w:next w:val="CommentText"/>
    <w:link w:val="CommentSubjectChar"/>
    <w:rsid w:val="00055DCC"/>
    <w:rPr>
      <w:b/>
      <w:bCs/>
      <w:sz w:val="20"/>
      <w:szCs w:val="20"/>
    </w:rPr>
  </w:style>
  <w:style w:type="character" w:customStyle="1" w:styleId="CommentSubjectChar">
    <w:name w:val="Comment Subject Char"/>
    <w:basedOn w:val="CommentTextChar"/>
    <w:link w:val="CommentSubject"/>
    <w:rsid w:val="00055DCC"/>
    <w:rPr>
      <w:b/>
      <w:bCs/>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76793"/>
    <w:pPr>
      <w:autoSpaceDE w:val="0"/>
      <w:autoSpaceDN w:val="0"/>
      <w:adjustRightInd w:val="0"/>
    </w:pPr>
    <w:rPr>
      <w:color w:val="000000"/>
      <w:sz w:val="24"/>
      <w:szCs w:val="24"/>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876793"/>
    <w:pPr>
      <w:spacing w:after="160" w:line="240" w:lineRule="exact"/>
      <w:jc w:val="both"/>
    </w:pPr>
    <w:rPr>
      <w:sz w:val="20"/>
      <w:szCs w:val="20"/>
      <w:vertAlign w:val="superscript"/>
    </w:rPr>
  </w:style>
  <w:style w:type="character" w:customStyle="1" w:styleId="FooterChar">
    <w:name w:val="Footer Char"/>
    <w:basedOn w:val="DefaultParagraphFont"/>
    <w:link w:val="Footer"/>
    <w:uiPriority w:val="99"/>
    <w:rsid w:val="007952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78460">
      <w:bodyDiv w:val="1"/>
      <w:marLeft w:val="0"/>
      <w:marRight w:val="0"/>
      <w:marTop w:val="0"/>
      <w:marBottom w:val="0"/>
      <w:divBdr>
        <w:top w:val="none" w:sz="0" w:space="0" w:color="auto"/>
        <w:left w:val="none" w:sz="0" w:space="0" w:color="auto"/>
        <w:bottom w:val="none" w:sz="0" w:space="0" w:color="auto"/>
        <w:right w:val="none" w:sz="0" w:space="0" w:color="auto"/>
      </w:divBdr>
    </w:div>
    <w:div w:id="400755833">
      <w:bodyDiv w:val="1"/>
      <w:marLeft w:val="0"/>
      <w:marRight w:val="0"/>
      <w:marTop w:val="0"/>
      <w:marBottom w:val="0"/>
      <w:divBdr>
        <w:top w:val="none" w:sz="0" w:space="0" w:color="auto"/>
        <w:left w:val="none" w:sz="0" w:space="0" w:color="auto"/>
        <w:bottom w:val="none" w:sz="0" w:space="0" w:color="auto"/>
        <w:right w:val="none" w:sz="0" w:space="0" w:color="auto"/>
      </w:divBdr>
    </w:div>
    <w:div w:id="1411611859">
      <w:bodyDiv w:val="1"/>
      <w:marLeft w:val="0"/>
      <w:marRight w:val="0"/>
      <w:marTop w:val="0"/>
      <w:marBottom w:val="0"/>
      <w:divBdr>
        <w:top w:val="none" w:sz="0" w:space="0" w:color="auto"/>
        <w:left w:val="none" w:sz="0" w:space="0" w:color="auto"/>
        <w:bottom w:val="none" w:sz="0" w:space="0" w:color="auto"/>
        <w:right w:val="none" w:sz="0" w:space="0" w:color="auto"/>
      </w:divBdr>
      <w:divsChild>
        <w:div w:id="12079594">
          <w:marLeft w:val="0"/>
          <w:marRight w:val="0"/>
          <w:marTop w:val="0"/>
          <w:marBottom w:val="0"/>
          <w:divBdr>
            <w:top w:val="none" w:sz="0" w:space="0" w:color="auto"/>
            <w:left w:val="none" w:sz="0" w:space="0" w:color="auto"/>
            <w:bottom w:val="none" w:sz="0" w:space="0" w:color="auto"/>
            <w:right w:val="none" w:sz="0" w:space="0" w:color="auto"/>
          </w:divBdr>
        </w:div>
        <w:div w:id="106051119">
          <w:marLeft w:val="0"/>
          <w:marRight w:val="0"/>
          <w:marTop w:val="0"/>
          <w:marBottom w:val="0"/>
          <w:divBdr>
            <w:top w:val="none" w:sz="0" w:space="0" w:color="auto"/>
            <w:left w:val="none" w:sz="0" w:space="0" w:color="auto"/>
            <w:bottom w:val="none" w:sz="0" w:space="0" w:color="auto"/>
            <w:right w:val="none" w:sz="0" w:space="0" w:color="auto"/>
          </w:divBdr>
        </w:div>
        <w:div w:id="394134328">
          <w:marLeft w:val="0"/>
          <w:marRight w:val="0"/>
          <w:marTop w:val="0"/>
          <w:marBottom w:val="0"/>
          <w:divBdr>
            <w:top w:val="none" w:sz="0" w:space="0" w:color="auto"/>
            <w:left w:val="none" w:sz="0" w:space="0" w:color="auto"/>
            <w:bottom w:val="none" w:sz="0" w:space="0" w:color="auto"/>
            <w:right w:val="none" w:sz="0" w:space="0" w:color="auto"/>
          </w:divBdr>
        </w:div>
        <w:div w:id="753015125">
          <w:marLeft w:val="0"/>
          <w:marRight w:val="0"/>
          <w:marTop w:val="0"/>
          <w:marBottom w:val="0"/>
          <w:divBdr>
            <w:top w:val="none" w:sz="0" w:space="0" w:color="auto"/>
            <w:left w:val="none" w:sz="0" w:space="0" w:color="auto"/>
            <w:bottom w:val="none" w:sz="0" w:space="0" w:color="auto"/>
            <w:right w:val="none" w:sz="0" w:space="0" w:color="auto"/>
          </w:divBdr>
        </w:div>
        <w:div w:id="1299922101">
          <w:marLeft w:val="0"/>
          <w:marRight w:val="0"/>
          <w:marTop w:val="0"/>
          <w:marBottom w:val="0"/>
          <w:divBdr>
            <w:top w:val="none" w:sz="0" w:space="0" w:color="auto"/>
            <w:left w:val="none" w:sz="0" w:space="0" w:color="auto"/>
            <w:bottom w:val="none" w:sz="0" w:space="0" w:color="auto"/>
            <w:right w:val="none" w:sz="0" w:space="0" w:color="auto"/>
          </w:divBdr>
        </w:div>
        <w:div w:id="1830704134">
          <w:marLeft w:val="0"/>
          <w:marRight w:val="0"/>
          <w:marTop w:val="0"/>
          <w:marBottom w:val="0"/>
          <w:divBdr>
            <w:top w:val="none" w:sz="0" w:space="0" w:color="auto"/>
            <w:left w:val="none" w:sz="0" w:space="0" w:color="auto"/>
            <w:bottom w:val="none" w:sz="0" w:space="0" w:color="auto"/>
            <w:right w:val="none" w:sz="0" w:space="0" w:color="auto"/>
          </w:divBdr>
        </w:div>
        <w:div w:id="1937135699">
          <w:marLeft w:val="0"/>
          <w:marRight w:val="0"/>
          <w:marTop w:val="0"/>
          <w:marBottom w:val="0"/>
          <w:divBdr>
            <w:top w:val="none" w:sz="0" w:space="0" w:color="auto"/>
            <w:left w:val="none" w:sz="0" w:space="0" w:color="auto"/>
            <w:bottom w:val="none" w:sz="0" w:space="0" w:color="auto"/>
            <w:right w:val="none" w:sz="0" w:space="0" w:color="auto"/>
          </w:divBdr>
        </w:div>
        <w:div w:id="2098943145">
          <w:marLeft w:val="0"/>
          <w:marRight w:val="0"/>
          <w:marTop w:val="0"/>
          <w:marBottom w:val="0"/>
          <w:divBdr>
            <w:top w:val="none" w:sz="0" w:space="0" w:color="auto"/>
            <w:left w:val="none" w:sz="0" w:space="0" w:color="auto"/>
            <w:bottom w:val="none" w:sz="0" w:space="0" w:color="auto"/>
            <w:right w:val="none" w:sz="0" w:space="0" w:color="auto"/>
          </w:divBdr>
        </w:div>
      </w:divsChild>
    </w:div>
    <w:div w:id="1548226373">
      <w:bodyDiv w:val="1"/>
      <w:marLeft w:val="0"/>
      <w:marRight w:val="0"/>
      <w:marTop w:val="0"/>
      <w:marBottom w:val="0"/>
      <w:divBdr>
        <w:top w:val="none" w:sz="0" w:space="0" w:color="auto"/>
        <w:left w:val="none" w:sz="0" w:space="0" w:color="auto"/>
        <w:bottom w:val="none" w:sz="0" w:space="0" w:color="auto"/>
        <w:right w:val="none" w:sz="0" w:space="0" w:color="auto"/>
      </w:divBdr>
      <w:divsChild>
        <w:div w:id="226497243">
          <w:marLeft w:val="0"/>
          <w:marRight w:val="0"/>
          <w:marTop w:val="0"/>
          <w:marBottom w:val="0"/>
          <w:divBdr>
            <w:top w:val="none" w:sz="0" w:space="0" w:color="auto"/>
            <w:left w:val="none" w:sz="0" w:space="0" w:color="auto"/>
            <w:bottom w:val="none" w:sz="0" w:space="0" w:color="auto"/>
            <w:right w:val="none" w:sz="0" w:space="0" w:color="auto"/>
          </w:divBdr>
        </w:div>
        <w:div w:id="550772390">
          <w:marLeft w:val="0"/>
          <w:marRight w:val="0"/>
          <w:marTop w:val="0"/>
          <w:marBottom w:val="0"/>
          <w:divBdr>
            <w:top w:val="none" w:sz="0" w:space="0" w:color="auto"/>
            <w:left w:val="none" w:sz="0" w:space="0" w:color="auto"/>
            <w:bottom w:val="none" w:sz="0" w:space="0" w:color="auto"/>
            <w:right w:val="none" w:sz="0" w:space="0" w:color="auto"/>
          </w:divBdr>
        </w:div>
        <w:div w:id="599990623">
          <w:marLeft w:val="0"/>
          <w:marRight w:val="0"/>
          <w:marTop w:val="0"/>
          <w:marBottom w:val="0"/>
          <w:divBdr>
            <w:top w:val="none" w:sz="0" w:space="0" w:color="auto"/>
            <w:left w:val="none" w:sz="0" w:space="0" w:color="auto"/>
            <w:bottom w:val="none" w:sz="0" w:space="0" w:color="auto"/>
            <w:right w:val="none" w:sz="0" w:space="0" w:color="auto"/>
          </w:divBdr>
        </w:div>
        <w:div w:id="1078944630">
          <w:marLeft w:val="0"/>
          <w:marRight w:val="0"/>
          <w:marTop w:val="0"/>
          <w:marBottom w:val="0"/>
          <w:divBdr>
            <w:top w:val="none" w:sz="0" w:space="0" w:color="auto"/>
            <w:left w:val="none" w:sz="0" w:space="0" w:color="auto"/>
            <w:bottom w:val="none" w:sz="0" w:space="0" w:color="auto"/>
            <w:right w:val="none" w:sz="0" w:space="0" w:color="auto"/>
          </w:divBdr>
        </w:div>
        <w:div w:id="1198083702">
          <w:marLeft w:val="0"/>
          <w:marRight w:val="0"/>
          <w:marTop w:val="0"/>
          <w:marBottom w:val="0"/>
          <w:divBdr>
            <w:top w:val="none" w:sz="0" w:space="0" w:color="auto"/>
            <w:left w:val="none" w:sz="0" w:space="0" w:color="auto"/>
            <w:bottom w:val="none" w:sz="0" w:space="0" w:color="auto"/>
            <w:right w:val="none" w:sz="0" w:space="0" w:color="auto"/>
          </w:divBdr>
        </w:div>
        <w:div w:id="1300577727">
          <w:marLeft w:val="0"/>
          <w:marRight w:val="0"/>
          <w:marTop w:val="0"/>
          <w:marBottom w:val="0"/>
          <w:divBdr>
            <w:top w:val="none" w:sz="0" w:space="0" w:color="auto"/>
            <w:left w:val="none" w:sz="0" w:space="0" w:color="auto"/>
            <w:bottom w:val="none" w:sz="0" w:space="0" w:color="auto"/>
            <w:right w:val="none" w:sz="0" w:space="0" w:color="auto"/>
          </w:divBdr>
        </w:div>
        <w:div w:id="1392460953">
          <w:marLeft w:val="0"/>
          <w:marRight w:val="0"/>
          <w:marTop w:val="0"/>
          <w:marBottom w:val="0"/>
          <w:divBdr>
            <w:top w:val="none" w:sz="0" w:space="0" w:color="auto"/>
            <w:left w:val="none" w:sz="0" w:space="0" w:color="auto"/>
            <w:bottom w:val="none" w:sz="0" w:space="0" w:color="auto"/>
            <w:right w:val="none" w:sz="0" w:space="0" w:color="auto"/>
          </w:divBdr>
        </w:div>
        <w:div w:id="1482042195">
          <w:marLeft w:val="0"/>
          <w:marRight w:val="0"/>
          <w:marTop w:val="0"/>
          <w:marBottom w:val="0"/>
          <w:divBdr>
            <w:top w:val="none" w:sz="0" w:space="0" w:color="auto"/>
            <w:left w:val="none" w:sz="0" w:space="0" w:color="auto"/>
            <w:bottom w:val="none" w:sz="0" w:space="0" w:color="auto"/>
            <w:right w:val="none" w:sz="0" w:space="0" w:color="auto"/>
          </w:divBdr>
        </w:div>
        <w:div w:id="1515146532">
          <w:marLeft w:val="0"/>
          <w:marRight w:val="0"/>
          <w:marTop w:val="0"/>
          <w:marBottom w:val="0"/>
          <w:divBdr>
            <w:top w:val="none" w:sz="0" w:space="0" w:color="auto"/>
            <w:left w:val="none" w:sz="0" w:space="0" w:color="auto"/>
            <w:bottom w:val="none" w:sz="0" w:space="0" w:color="auto"/>
            <w:right w:val="none" w:sz="0" w:space="0" w:color="auto"/>
          </w:divBdr>
        </w:div>
      </w:divsChild>
    </w:div>
    <w:div w:id="1989049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guerras-delgado@ohchr.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registry@ohchr.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E66F60-7840-41AE-815C-0D1B080BA180}"/>
</file>

<file path=customXml/itemProps2.xml><?xml version="1.0" encoding="utf-8"?>
<ds:datastoreItem xmlns:ds="http://schemas.openxmlformats.org/officeDocument/2006/customXml" ds:itemID="{B9EB7BC9-6370-40B6-B3AC-B49368A285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1376CA-031B-43C5-A9CA-58BCFBEEC975}">
  <ds:schemaRefs>
    <ds:schemaRef ds:uri="http://schemas.microsoft.com/sharepoint/v3/contenttype/forms"/>
  </ds:schemaRefs>
</ds:datastoreItem>
</file>

<file path=customXml/itemProps4.xml><?xml version="1.0" encoding="utf-8"?>
<ds:datastoreItem xmlns:ds="http://schemas.openxmlformats.org/officeDocument/2006/customXml" ds:itemID="{CAE12DA6-5EA5-424E-8D22-4A2095FF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Dear Friends,</vt:lpstr>
    </vt:vector>
  </TitlesOfParts>
  <Company>Equality Now</Company>
  <LinksUpToDate>false</LinksUpToDate>
  <CharactersWithSpaces>10829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Now</dc:title>
  <dc:creator>Jessica Neuwirth</dc:creator>
  <cp:lastModifiedBy>HP</cp:lastModifiedBy>
  <cp:revision>8</cp:revision>
  <cp:lastPrinted>2017-10-30T18:43:00Z</cp:lastPrinted>
  <dcterms:created xsi:type="dcterms:W3CDTF">2017-10-30T17:35:00Z</dcterms:created>
  <dcterms:modified xsi:type="dcterms:W3CDTF">2017-10-30T18:48:00Z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