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commentsIds.xml" ContentType="application/vnd.openxmlformats-officedocument.wordprocessingml.commentsId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E6D42" w14:textId="66A408F1" w:rsidR="009D08C8" w:rsidRPr="00D148AE" w:rsidRDefault="005416C8" w:rsidP="00D148AE">
      <w:pPr>
        <w:jc w:val="center"/>
        <w:rPr>
          <w:b/>
          <w:sz w:val="22"/>
          <w:szCs w:val="22"/>
        </w:rPr>
      </w:pPr>
      <w:bookmarkStart w:id="0" w:name="_GoBack"/>
      <w:bookmarkEnd w:id="0"/>
      <w:r w:rsidRPr="00D148AE">
        <w:rPr>
          <w:b/>
          <w:sz w:val="22"/>
          <w:szCs w:val="22"/>
        </w:rPr>
        <w:t>Submission in response to OHCHR Call for Input on</w:t>
      </w:r>
    </w:p>
    <w:p w14:paraId="3DF7EA2E" w14:textId="184B25A4" w:rsidR="005416C8" w:rsidRDefault="005416C8" w:rsidP="00D148AE">
      <w:pPr>
        <w:jc w:val="center"/>
        <w:rPr>
          <w:b/>
          <w:sz w:val="22"/>
          <w:szCs w:val="22"/>
        </w:rPr>
      </w:pPr>
      <w:r w:rsidRPr="00D148AE">
        <w:rPr>
          <w:b/>
          <w:sz w:val="22"/>
          <w:szCs w:val="22"/>
        </w:rPr>
        <w:t>“Realizing children’s rights through a healthy environment”</w:t>
      </w:r>
    </w:p>
    <w:p w14:paraId="350A7379" w14:textId="77777777" w:rsidR="005416C8" w:rsidRPr="00D148AE" w:rsidRDefault="005416C8" w:rsidP="00D148AE">
      <w:pPr>
        <w:jc w:val="center"/>
        <w:rPr>
          <w:b/>
          <w:sz w:val="22"/>
          <w:szCs w:val="22"/>
        </w:rPr>
      </w:pPr>
    </w:p>
    <w:p w14:paraId="3F6FA3DF" w14:textId="626094F9" w:rsidR="009D08C8" w:rsidRPr="00605C1E" w:rsidRDefault="009D08C8" w:rsidP="00605C1E">
      <w:pPr>
        <w:jc w:val="both"/>
        <w:rPr>
          <w:sz w:val="22"/>
          <w:szCs w:val="22"/>
        </w:rPr>
      </w:pPr>
      <w:r w:rsidRPr="00605C1E">
        <w:rPr>
          <w:sz w:val="22"/>
          <w:szCs w:val="22"/>
        </w:rPr>
        <w:t>Submitted by</w:t>
      </w:r>
      <w:r w:rsidR="00605C1E" w:rsidRPr="00605C1E">
        <w:rPr>
          <w:sz w:val="22"/>
          <w:szCs w:val="22"/>
        </w:rPr>
        <w:t xml:space="preserve">: </w:t>
      </w:r>
      <w:r w:rsidR="00070146">
        <w:rPr>
          <w:sz w:val="22"/>
          <w:szCs w:val="22"/>
        </w:rPr>
        <w:t xml:space="preserve"> </w:t>
      </w:r>
      <w:r w:rsidR="005416C8" w:rsidRPr="00605C1E">
        <w:rPr>
          <w:sz w:val="22"/>
          <w:szCs w:val="22"/>
        </w:rPr>
        <w:t xml:space="preserve">Development by Unity and Brotherly Action for the Future (DUBAF), </w:t>
      </w:r>
      <w:r w:rsidR="00605C1E" w:rsidRPr="00605C1E">
        <w:rPr>
          <w:sz w:val="22"/>
          <w:szCs w:val="22"/>
        </w:rPr>
        <w:t>Girja Integrated R</w:t>
      </w:r>
      <w:r w:rsidR="005416C8" w:rsidRPr="00605C1E">
        <w:rPr>
          <w:sz w:val="22"/>
          <w:szCs w:val="22"/>
        </w:rPr>
        <w:t>ural Development Association (GIRDA), and the Center for International Human Rights (CIHR) of Northwestern University’s Pritzker School of Law</w:t>
      </w:r>
      <w:r w:rsidR="00D148AE" w:rsidRPr="00605C1E">
        <w:rPr>
          <w:rStyle w:val="FootnoteReference"/>
          <w:sz w:val="22"/>
          <w:szCs w:val="22"/>
        </w:rPr>
        <w:footnoteReference w:id="2"/>
      </w:r>
      <w:r w:rsidR="003D5FCD">
        <w:rPr>
          <w:sz w:val="22"/>
          <w:szCs w:val="22"/>
        </w:rPr>
        <w:t xml:space="preserve"> (8 October 2019).</w:t>
      </w:r>
    </w:p>
    <w:p w14:paraId="38EE66F2" w14:textId="77777777" w:rsidR="009D08C8" w:rsidRPr="00605C1E" w:rsidRDefault="009D08C8" w:rsidP="00D148AE">
      <w:pPr>
        <w:rPr>
          <w:b/>
          <w:sz w:val="22"/>
          <w:szCs w:val="22"/>
        </w:rPr>
      </w:pPr>
    </w:p>
    <w:p w14:paraId="308E89B4" w14:textId="0F20C2C0" w:rsidR="00D67799" w:rsidRPr="009B4CDA" w:rsidRDefault="009D08C8" w:rsidP="00D148AE">
      <w:pPr>
        <w:jc w:val="both"/>
        <w:rPr>
          <w:color w:val="000000"/>
          <w:sz w:val="22"/>
          <w:szCs w:val="22"/>
        </w:rPr>
      </w:pPr>
      <w:r w:rsidRPr="009B4CDA">
        <w:rPr>
          <w:color w:val="000000"/>
          <w:sz w:val="22"/>
          <w:szCs w:val="22"/>
        </w:rPr>
        <w:t>This submission provides information about the impact on children’s rights, including the right to health, of the environmental degradation a</w:t>
      </w:r>
      <w:r w:rsidR="00C5593A">
        <w:rPr>
          <w:color w:val="000000"/>
          <w:sz w:val="22"/>
          <w:szCs w:val="22"/>
        </w:rPr>
        <w:t xml:space="preserve">nd pollution </w:t>
      </w:r>
      <w:r w:rsidRPr="009B4CDA">
        <w:rPr>
          <w:color w:val="000000"/>
          <w:sz w:val="22"/>
          <w:szCs w:val="22"/>
        </w:rPr>
        <w:t>by the privately-owned Lega</w:t>
      </w:r>
      <w:r w:rsidR="00611059" w:rsidRPr="009B4CDA">
        <w:rPr>
          <w:color w:val="000000"/>
          <w:sz w:val="22"/>
          <w:szCs w:val="22"/>
        </w:rPr>
        <w:t xml:space="preserve"> Dembi gold mine in Ethiopia. </w:t>
      </w:r>
    </w:p>
    <w:p w14:paraId="73DB9881" w14:textId="77777777" w:rsidR="00593AA1" w:rsidRPr="009B4CDA" w:rsidRDefault="00593AA1" w:rsidP="00D148AE">
      <w:pPr>
        <w:jc w:val="both"/>
        <w:rPr>
          <w:color w:val="000000"/>
          <w:sz w:val="22"/>
          <w:szCs w:val="22"/>
        </w:rPr>
      </w:pPr>
    </w:p>
    <w:p w14:paraId="4A767B15" w14:textId="3D80BE48" w:rsidR="00593AA1" w:rsidRPr="009B4CDA" w:rsidRDefault="00C5593A" w:rsidP="00D148AE">
      <w:pPr>
        <w:jc w:val="both"/>
        <w:rPr>
          <w:sz w:val="22"/>
          <w:szCs w:val="22"/>
        </w:rPr>
      </w:pPr>
      <w:r>
        <w:rPr>
          <w:b/>
          <w:color w:val="000000"/>
          <w:sz w:val="22"/>
          <w:szCs w:val="22"/>
        </w:rPr>
        <w:t xml:space="preserve">Background Information.  </w:t>
      </w:r>
      <w:r w:rsidR="00593AA1" w:rsidRPr="009B4CDA">
        <w:rPr>
          <w:color w:val="000000"/>
          <w:sz w:val="22"/>
          <w:szCs w:val="22"/>
        </w:rPr>
        <w:t xml:space="preserve">The Lega Dembi mine is a massive gold mine in the Shakiso District of the Oromia Regional State in southern Ethiopia.  </w:t>
      </w:r>
      <w:r w:rsidR="00D67799" w:rsidRPr="009B4CDA">
        <w:rPr>
          <w:color w:val="000000"/>
          <w:sz w:val="22"/>
          <w:szCs w:val="22"/>
        </w:rPr>
        <w:t>For centuries, i</w:t>
      </w:r>
      <w:r w:rsidR="00593AA1" w:rsidRPr="009B4CDA">
        <w:rPr>
          <w:sz w:val="22"/>
          <w:szCs w:val="22"/>
        </w:rPr>
        <w:t>ndigenous Guji people</w:t>
      </w:r>
      <w:r w:rsidR="00D67799" w:rsidRPr="009B4CDA">
        <w:rPr>
          <w:sz w:val="22"/>
          <w:szCs w:val="22"/>
        </w:rPr>
        <w:t xml:space="preserve"> have </w:t>
      </w:r>
      <w:r w:rsidR="00593AA1" w:rsidRPr="009B4CDA">
        <w:rPr>
          <w:sz w:val="22"/>
          <w:szCs w:val="22"/>
        </w:rPr>
        <w:t>pursued an agro-pastoral way of life</w:t>
      </w:r>
      <w:r w:rsidR="00D67799" w:rsidRPr="009B4CDA">
        <w:rPr>
          <w:sz w:val="22"/>
          <w:szCs w:val="22"/>
        </w:rPr>
        <w:t xml:space="preserve"> in this area</w:t>
      </w:r>
      <w:r w:rsidR="00593AA1" w:rsidRPr="009B4CDA">
        <w:rPr>
          <w:sz w:val="22"/>
          <w:szCs w:val="22"/>
        </w:rPr>
        <w:t xml:space="preserve">, raising livestock and farming on their ancestral lands. </w:t>
      </w:r>
    </w:p>
    <w:p w14:paraId="3E5CB5F6" w14:textId="77777777" w:rsidR="00593AA1" w:rsidRPr="009B4CDA" w:rsidRDefault="00593AA1" w:rsidP="00D148AE">
      <w:pPr>
        <w:jc w:val="both"/>
        <w:rPr>
          <w:sz w:val="22"/>
          <w:szCs w:val="22"/>
        </w:rPr>
      </w:pPr>
    </w:p>
    <w:p w14:paraId="05BD7656" w14:textId="23DB41F2" w:rsidR="00593AA1" w:rsidRPr="009B4CDA" w:rsidRDefault="00593AA1" w:rsidP="00D148AE">
      <w:pPr>
        <w:jc w:val="both"/>
        <w:rPr>
          <w:sz w:val="22"/>
          <w:szCs w:val="22"/>
        </w:rPr>
      </w:pPr>
      <w:r w:rsidRPr="009B4CDA">
        <w:rPr>
          <w:color w:val="000000"/>
          <w:sz w:val="22"/>
          <w:szCs w:val="22"/>
        </w:rPr>
        <w:t xml:space="preserve">In 1997, Ethiopia granted a 20-year mining license to </w:t>
      </w:r>
      <w:r w:rsidR="00C5593A" w:rsidRPr="008C0378">
        <w:rPr>
          <w:color w:val="000000"/>
          <w:sz w:val="22"/>
          <w:szCs w:val="22"/>
        </w:rPr>
        <w:t>Mohammed International Development Research and Organization Companies</w:t>
      </w:r>
      <w:r w:rsidR="00C5593A" w:rsidRPr="009B4CDA">
        <w:rPr>
          <w:color w:val="000000"/>
          <w:sz w:val="22"/>
          <w:szCs w:val="22"/>
        </w:rPr>
        <w:t xml:space="preserve"> </w:t>
      </w:r>
      <w:r w:rsidR="00C5593A">
        <w:rPr>
          <w:color w:val="000000"/>
          <w:sz w:val="22"/>
          <w:szCs w:val="22"/>
        </w:rPr>
        <w:t>(</w:t>
      </w:r>
      <w:r w:rsidR="00C5593A" w:rsidRPr="009B4CDA">
        <w:rPr>
          <w:color w:val="000000"/>
          <w:sz w:val="22"/>
          <w:szCs w:val="22"/>
        </w:rPr>
        <w:t>MIDROC</w:t>
      </w:r>
      <w:r w:rsidR="00C5593A">
        <w:rPr>
          <w:color w:val="000000"/>
          <w:sz w:val="22"/>
          <w:szCs w:val="22"/>
        </w:rPr>
        <w:t>)</w:t>
      </w:r>
      <w:r w:rsidR="00D67799" w:rsidRPr="009B4CDA">
        <w:rPr>
          <w:color w:val="000000"/>
          <w:sz w:val="22"/>
          <w:szCs w:val="22"/>
        </w:rPr>
        <w:t xml:space="preserve">, whose owner, </w:t>
      </w:r>
      <w:r w:rsidRPr="009B4CDA">
        <w:rPr>
          <w:color w:val="000000"/>
          <w:sz w:val="22"/>
          <w:szCs w:val="22"/>
        </w:rPr>
        <w:t xml:space="preserve">through his various </w:t>
      </w:r>
      <w:r w:rsidR="00771234" w:rsidRPr="009B4CDA">
        <w:rPr>
          <w:color w:val="000000"/>
          <w:sz w:val="22"/>
          <w:szCs w:val="22"/>
        </w:rPr>
        <w:t>businesses</w:t>
      </w:r>
      <w:r w:rsidR="00D67799" w:rsidRPr="009B4CDA">
        <w:rPr>
          <w:color w:val="000000"/>
          <w:sz w:val="22"/>
          <w:szCs w:val="22"/>
        </w:rPr>
        <w:t>,</w:t>
      </w:r>
      <w:r w:rsidRPr="009B4CDA">
        <w:rPr>
          <w:color w:val="000000"/>
          <w:sz w:val="22"/>
          <w:szCs w:val="22"/>
        </w:rPr>
        <w:t xml:space="preserve"> is the largest</w:t>
      </w:r>
      <w:r w:rsidR="002956D3" w:rsidRPr="009B4CDA">
        <w:rPr>
          <w:color w:val="000000"/>
          <w:sz w:val="22"/>
          <w:szCs w:val="22"/>
        </w:rPr>
        <w:t xml:space="preserve"> private employer in Ethiopia. </w:t>
      </w:r>
      <w:r w:rsidRPr="009B4CDA">
        <w:rPr>
          <w:color w:val="000000"/>
          <w:sz w:val="22"/>
          <w:szCs w:val="22"/>
        </w:rPr>
        <w:t xml:space="preserve">Prior to privatization, the State </w:t>
      </w:r>
      <w:r w:rsidR="00D67799" w:rsidRPr="009B4CDA">
        <w:rPr>
          <w:color w:val="000000"/>
          <w:sz w:val="22"/>
          <w:szCs w:val="22"/>
        </w:rPr>
        <w:t xml:space="preserve">operated </w:t>
      </w:r>
      <w:r w:rsidRPr="009B4CDA">
        <w:rPr>
          <w:color w:val="000000"/>
          <w:sz w:val="22"/>
          <w:szCs w:val="22"/>
        </w:rPr>
        <w:t>a much smaller gold min</w:t>
      </w:r>
      <w:r w:rsidR="00D67799" w:rsidRPr="009B4CDA">
        <w:rPr>
          <w:color w:val="000000"/>
          <w:sz w:val="22"/>
          <w:szCs w:val="22"/>
        </w:rPr>
        <w:t>e</w:t>
      </w:r>
      <w:r w:rsidRPr="009B4CDA">
        <w:rPr>
          <w:color w:val="000000"/>
          <w:sz w:val="22"/>
          <w:szCs w:val="22"/>
        </w:rPr>
        <w:t xml:space="preserve"> in the same area</w:t>
      </w:r>
      <w:r w:rsidR="002956D3" w:rsidRPr="009B4CDA">
        <w:rPr>
          <w:color w:val="000000"/>
          <w:sz w:val="22"/>
          <w:szCs w:val="22"/>
        </w:rPr>
        <w:t>.</w:t>
      </w:r>
      <w:r w:rsidRPr="009B4CDA">
        <w:rPr>
          <w:color w:val="000000"/>
          <w:sz w:val="22"/>
          <w:szCs w:val="22"/>
        </w:rPr>
        <w:t xml:space="preserve"> MIDROC vastly expanded the size and scale of the mine, causing massive deforestation and the exclusion of the Guji people from portions of their ancestral land.  </w:t>
      </w:r>
      <w:r w:rsidRPr="009B4CDA">
        <w:rPr>
          <w:sz w:val="22"/>
          <w:szCs w:val="22"/>
        </w:rPr>
        <w:t xml:space="preserve">In 2009, MIDROC obtained an additional license for the adjacent Sakaro Gold Mine, an underground mine connected by tunnel to the Lega Dembi mine. </w:t>
      </w:r>
      <w:r w:rsidR="00EE6980" w:rsidRPr="009B4CDA">
        <w:rPr>
          <w:sz w:val="22"/>
          <w:szCs w:val="22"/>
        </w:rPr>
        <w:t xml:space="preserve"> </w:t>
      </w:r>
    </w:p>
    <w:p w14:paraId="2CC65DA3" w14:textId="094005E2" w:rsidR="00EE6980" w:rsidRPr="009B4CDA" w:rsidRDefault="00EE6980" w:rsidP="00D148AE">
      <w:pPr>
        <w:jc w:val="both"/>
        <w:rPr>
          <w:sz w:val="22"/>
          <w:szCs w:val="22"/>
        </w:rPr>
      </w:pPr>
    </w:p>
    <w:p w14:paraId="782E6F3D" w14:textId="2252ED7B" w:rsidR="00EE6980" w:rsidRPr="009B4CDA" w:rsidRDefault="008F04CB" w:rsidP="00D148AE">
      <w:pPr>
        <w:jc w:val="both"/>
        <w:rPr>
          <w:sz w:val="22"/>
          <w:szCs w:val="22"/>
        </w:rPr>
      </w:pPr>
      <w:r w:rsidRPr="009B4CDA">
        <w:rPr>
          <w:sz w:val="22"/>
          <w:szCs w:val="22"/>
        </w:rPr>
        <w:t xml:space="preserve">As described below, </w:t>
      </w:r>
      <w:r w:rsidR="00EB2329" w:rsidRPr="009B4CDA">
        <w:rPr>
          <w:sz w:val="22"/>
          <w:szCs w:val="22"/>
        </w:rPr>
        <w:t>the mine has</w:t>
      </w:r>
      <w:r w:rsidRPr="009B4CDA">
        <w:rPr>
          <w:sz w:val="22"/>
          <w:szCs w:val="22"/>
        </w:rPr>
        <w:t xml:space="preserve"> caused severe health consequences, particularly for children.  But d</w:t>
      </w:r>
      <w:r w:rsidR="00EE6980" w:rsidRPr="009B4CDA">
        <w:rPr>
          <w:sz w:val="22"/>
          <w:szCs w:val="22"/>
        </w:rPr>
        <w:t xml:space="preserve">espite the harsh environmental and health </w:t>
      </w:r>
      <w:r w:rsidRPr="009B4CDA">
        <w:rPr>
          <w:sz w:val="22"/>
          <w:szCs w:val="22"/>
        </w:rPr>
        <w:t xml:space="preserve">impacts, </w:t>
      </w:r>
      <w:r w:rsidR="00EE6980" w:rsidRPr="009B4CDA">
        <w:rPr>
          <w:sz w:val="22"/>
          <w:szCs w:val="22"/>
        </w:rPr>
        <w:t>and despite wides</w:t>
      </w:r>
      <w:r w:rsidRPr="009B4CDA">
        <w:rPr>
          <w:sz w:val="22"/>
          <w:szCs w:val="22"/>
        </w:rPr>
        <w:t>pread community opposition, in April</w:t>
      </w:r>
      <w:r w:rsidR="00EE6980" w:rsidRPr="009B4CDA">
        <w:rPr>
          <w:sz w:val="22"/>
          <w:szCs w:val="22"/>
        </w:rPr>
        <w:t xml:space="preserve"> 2018 the State renewed the mine’s licens</w:t>
      </w:r>
      <w:r w:rsidR="002956D3" w:rsidRPr="009B4CDA">
        <w:rPr>
          <w:sz w:val="22"/>
          <w:szCs w:val="22"/>
        </w:rPr>
        <w:t xml:space="preserve">e for an additional ten years. </w:t>
      </w:r>
      <w:r w:rsidR="00EE6980" w:rsidRPr="009B4CDA">
        <w:rPr>
          <w:sz w:val="22"/>
          <w:szCs w:val="22"/>
        </w:rPr>
        <w:t>T</w:t>
      </w:r>
      <w:r w:rsidRPr="009B4CDA">
        <w:rPr>
          <w:sz w:val="22"/>
          <w:szCs w:val="22"/>
        </w:rPr>
        <w:t>his decision sparked massive protests, which in turn led the State to suspend MIDROC’s license pending assessments of its environmental, heal</w:t>
      </w:r>
      <w:r w:rsidR="002956D3" w:rsidRPr="009B4CDA">
        <w:rPr>
          <w:sz w:val="22"/>
          <w:szCs w:val="22"/>
        </w:rPr>
        <w:t xml:space="preserve">th and socio-economic impacts. </w:t>
      </w:r>
      <w:r w:rsidRPr="009B4CDA">
        <w:rPr>
          <w:sz w:val="22"/>
          <w:szCs w:val="22"/>
        </w:rPr>
        <w:t>As of today, the mine remains closed, though the community fears tha</w:t>
      </w:r>
      <w:r w:rsidR="002956D3" w:rsidRPr="009B4CDA">
        <w:rPr>
          <w:sz w:val="22"/>
          <w:szCs w:val="22"/>
        </w:rPr>
        <w:t xml:space="preserve">t it may be allowed to reopen. </w:t>
      </w:r>
      <w:r w:rsidR="00C90D49" w:rsidRPr="009B4CDA">
        <w:rPr>
          <w:sz w:val="22"/>
          <w:szCs w:val="22"/>
        </w:rPr>
        <w:t>In</w:t>
      </w:r>
      <w:r w:rsidR="002956D3" w:rsidRPr="009B4CDA">
        <w:rPr>
          <w:sz w:val="22"/>
          <w:szCs w:val="22"/>
        </w:rPr>
        <w:t xml:space="preserve"> March 2018 CEDAW expressed </w:t>
      </w:r>
      <w:r w:rsidR="00C90D49" w:rsidRPr="009B4CDA">
        <w:rPr>
          <w:sz w:val="22"/>
          <w:szCs w:val="22"/>
        </w:rPr>
        <w:t xml:space="preserve">concern </w:t>
      </w:r>
      <w:r w:rsidR="002956D3" w:rsidRPr="009B4CDA">
        <w:rPr>
          <w:sz w:val="22"/>
          <w:szCs w:val="22"/>
        </w:rPr>
        <w:t xml:space="preserve">“about </w:t>
      </w:r>
      <w:r w:rsidR="00C90D49" w:rsidRPr="009B4CDA">
        <w:rPr>
          <w:sz w:val="22"/>
          <w:szCs w:val="22"/>
        </w:rPr>
        <w:t>the grave health, environmental and socioeconomic impact of the operations of the mine on Guji rural women and their families</w:t>
      </w:r>
      <w:r w:rsidR="002956D3" w:rsidRPr="009B4CDA">
        <w:rPr>
          <w:sz w:val="22"/>
          <w:szCs w:val="22"/>
        </w:rPr>
        <w:t xml:space="preserve">,” and it </w:t>
      </w:r>
      <w:r w:rsidR="00C90D49" w:rsidRPr="009B4CDA">
        <w:rPr>
          <w:sz w:val="22"/>
          <w:szCs w:val="22"/>
        </w:rPr>
        <w:t>urged the State to “ensure full transparency and independence during the assessment process, including by publishing the results and sharing them with the Guji people, address the environmental and health damage caused and provide adequate reparations and compensation to the victims.</w:t>
      </w:r>
      <w:r w:rsidR="00BF6F55" w:rsidRPr="009B4CDA">
        <w:rPr>
          <w:sz w:val="22"/>
          <w:szCs w:val="22"/>
        </w:rPr>
        <w:t>”</w:t>
      </w:r>
      <w:r w:rsidR="00C90D49" w:rsidRPr="009B4CDA">
        <w:rPr>
          <w:rStyle w:val="FootnoteReference"/>
          <w:sz w:val="22"/>
          <w:szCs w:val="22"/>
        </w:rPr>
        <w:footnoteReference w:id="3"/>
      </w:r>
      <w:r w:rsidR="00C90D49" w:rsidRPr="009B4CDA">
        <w:rPr>
          <w:sz w:val="22"/>
          <w:szCs w:val="22"/>
        </w:rPr>
        <w:t xml:space="preserve">  To date, Ethiopia has not complied with these recommendations.</w:t>
      </w:r>
    </w:p>
    <w:p w14:paraId="6914A168" w14:textId="77777777" w:rsidR="00593AA1" w:rsidRPr="009B4CDA" w:rsidRDefault="00593AA1" w:rsidP="00D148AE">
      <w:pPr>
        <w:jc w:val="both"/>
        <w:rPr>
          <w:color w:val="000000"/>
          <w:sz w:val="22"/>
          <w:szCs w:val="22"/>
        </w:rPr>
      </w:pPr>
    </w:p>
    <w:p w14:paraId="43563CC5" w14:textId="2532625A" w:rsidR="00B93449" w:rsidRPr="009B4CDA" w:rsidRDefault="0096035F" w:rsidP="00D148AE">
      <w:pPr>
        <w:jc w:val="both"/>
        <w:rPr>
          <w:b/>
          <w:bCs/>
          <w:color w:val="000000"/>
          <w:sz w:val="22"/>
          <w:szCs w:val="22"/>
        </w:rPr>
      </w:pPr>
      <w:r w:rsidRPr="009B4CDA">
        <w:rPr>
          <w:b/>
          <w:bCs/>
          <w:color w:val="000000"/>
          <w:sz w:val="22"/>
          <w:szCs w:val="22"/>
        </w:rPr>
        <w:t>1.</w:t>
      </w:r>
      <w:r w:rsidRPr="009B4CDA">
        <w:rPr>
          <w:b/>
          <w:bCs/>
          <w:color w:val="000000"/>
          <w:sz w:val="22"/>
          <w:szCs w:val="22"/>
        </w:rPr>
        <w:tab/>
        <w:t>Impact on Children’s Rights, Particularly to Health</w:t>
      </w:r>
    </w:p>
    <w:p w14:paraId="18F3DFFA" w14:textId="77777777" w:rsidR="00EB2329" w:rsidRPr="009B4CDA" w:rsidRDefault="00EB2329" w:rsidP="00D148AE">
      <w:pPr>
        <w:jc w:val="both"/>
        <w:rPr>
          <w:b/>
          <w:bCs/>
          <w:color w:val="000000"/>
          <w:sz w:val="22"/>
          <w:szCs w:val="22"/>
        </w:rPr>
      </w:pPr>
    </w:p>
    <w:p w14:paraId="543892B2" w14:textId="677C1808" w:rsidR="00B96594" w:rsidRPr="009B4CDA" w:rsidRDefault="00B93449" w:rsidP="00D148AE">
      <w:pPr>
        <w:jc w:val="both"/>
        <w:rPr>
          <w:color w:val="000000"/>
          <w:sz w:val="22"/>
          <w:szCs w:val="22"/>
        </w:rPr>
      </w:pPr>
      <w:r w:rsidRPr="009B4CDA">
        <w:rPr>
          <w:bCs/>
          <w:color w:val="000000"/>
          <w:sz w:val="22"/>
          <w:szCs w:val="22"/>
        </w:rPr>
        <w:t xml:space="preserve">The environmental degradation and pollution caused by the Lega Dembi mine have violated the rights of the children in nearby communities to health, clean water, food, and education. </w:t>
      </w:r>
      <w:r w:rsidR="00F26AC8" w:rsidRPr="009B4CDA">
        <w:rPr>
          <w:color w:val="000000"/>
          <w:sz w:val="22"/>
          <w:szCs w:val="22"/>
        </w:rPr>
        <w:t>Women have suffered</w:t>
      </w:r>
      <w:r w:rsidRPr="009B4CDA">
        <w:rPr>
          <w:color w:val="000000"/>
          <w:sz w:val="22"/>
          <w:szCs w:val="22"/>
        </w:rPr>
        <w:t xml:space="preserve"> uncommonly high rates of miscarriages and stillbirths</w:t>
      </w:r>
      <w:r w:rsidR="00EA13F9" w:rsidRPr="009B4CDA">
        <w:rPr>
          <w:color w:val="000000"/>
          <w:sz w:val="22"/>
          <w:szCs w:val="22"/>
        </w:rPr>
        <w:t>, and m</w:t>
      </w:r>
      <w:r w:rsidRPr="009B4CDA">
        <w:rPr>
          <w:color w:val="000000"/>
          <w:sz w:val="22"/>
          <w:szCs w:val="22"/>
        </w:rPr>
        <w:t>any infants have died shortly after birth or been born with severe physical and developmental disabilities that shorten life expectancy and compromise quality of life, including deformed limbs, paralysis and mental incapacity.</w:t>
      </w:r>
      <w:r w:rsidRPr="009B4CDA">
        <w:rPr>
          <w:rStyle w:val="FootnoteReference"/>
          <w:color w:val="000000"/>
          <w:sz w:val="22"/>
          <w:szCs w:val="22"/>
        </w:rPr>
        <w:footnoteReference w:id="4"/>
      </w:r>
      <w:r w:rsidRPr="009B4CDA">
        <w:rPr>
          <w:color w:val="000000"/>
          <w:sz w:val="22"/>
          <w:szCs w:val="22"/>
        </w:rPr>
        <w:t xml:space="preserve"> Children as well as adults have suffered debilitating health issues, including tumors, headaches, skin conditions, and vision problems. </w:t>
      </w:r>
      <w:r w:rsidR="00EA13F9" w:rsidRPr="009B4CDA">
        <w:rPr>
          <w:color w:val="000000"/>
          <w:sz w:val="22"/>
          <w:szCs w:val="22"/>
        </w:rPr>
        <w:t xml:space="preserve">The </w:t>
      </w:r>
      <w:r w:rsidR="00EA13F9" w:rsidRPr="009B4CDA">
        <w:rPr>
          <w:color w:val="000000"/>
          <w:sz w:val="22"/>
          <w:szCs w:val="22"/>
        </w:rPr>
        <w:lastRenderedPageBreak/>
        <w:t xml:space="preserve">right to food has also been </w:t>
      </w:r>
      <w:r w:rsidR="006A46C2" w:rsidRPr="009B4CDA">
        <w:rPr>
          <w:color w:val="000000"/>
          <w:sz w:val="22"/>
          <w:szCs w:val="22"/>
        </w:rPr>
        <w:t>impaired</w:t>
      </w:r>
      <w:r w:rsidR="00EA13F9" w:rsidRPr="009B4CDA">
        <w:rPr>
          <w:color w:val="000000"/>
          <w:sz w:val="22"/>
          <w:szCs w:val="22"/>
        </w:rPr>
        <w:t xml:space="preserve">:  livestock </w:t>
      </w:r>
      <w:r w:rsidRPr="009B4CDA">
        <w:rPr>
          <w:color w:val="000000"/>
          <w:sz w:val="22"/>
          <w:szCs w:val="22"/>
        </w:rPr>
        <w:t xml:space="preserve">have </w:t>
      </w:r>
      <w:r w:rsidR="001A70C6">
        <w:rPr>
          <w:color w:val="000000"/>
          <w:sz w:val="22"/>
          <w:szCs w:val="22"/>
        </w:rPr>
        <w:t>died</w:t>
      </w:r>
      <w:r w:rsidRPr="009B4CDA">
        <w:rPr>
          <w:color w:val="000000"/>
          <w:sz w:val="22"/>
          <w:szCs w:val="22"/>
        </w:rPr>
        <w:t xml:space="preserve"> or </w:t>
      </w:r>
      <w:r w:rsidR="001A70C6">
        <w:rPr>
          <w:color w:val="000000"/>
          <w:sz w:val="22"/>
          <w:szCs w:val="22"/>
        </w:rPr>
        <w:t>become ill,</w:t>
      </w:r>
      <w:r w:rsidRPr="009B4CDA">
        <w:rPr>
          <w:color w:val="000000"/>
          <w:sz w:val="22"/>
          <w:szCs w:val="22"/>
        </w:rPr>
        <w:t xml:space="preserve"> crops have produced smaller yields, and people </w:t>
      </w:r>
      <w:r w:rsidR="00611059" w:rsidRPr="009B4CDA">
        <w:rPr>
          <w:color w:val="000000"/>
          <w:sz w:val="22"/>
          <w:szCs w:val="22"/>
        </w:rPr>
        <w:t>have become ill from eating the food grown in the affected area.</w:t>
      </w:r>
      <w:r w:rsidRPr="009B4CDA">
        <w:rPr>
          <w:color w:val="000000"/>
          <w:sz w:val="22"/>
          <w:szCs w:val="22"/>
        </w:rPr>
        <w:t xml:space="preserve"> </w:t>
      </w:r>
      <w:r w:rsidR="001A70C6">
        <w:rPr>
          <w:color w:val="000000"/>
          <w:sz w:val="22"/>
          <w:szCs w:val="22"/>
        </w:rPr>
        <w:t>Their</w:t>
      </w:r>
      <w:r w:rsidR="00EA13F9" w:rsidRPr="009B4CDA">
        <w:rPr>
          <w:color w:val="000000"/>
          <w:sz w:val="22"/>
          <w:szCs w:val="22"/>
        </w:rPr>
        <w:t xml:space="preserve"> </w:t>
      </w:r>
      <w:r w:rsidR="002956D3" w:rsidRPr="009B4CDA">
        <w:rPr>
          <w:color w:val="000000"/>
          <w:sz w:val="22"/>
          <w:szCs w:val="22"/>
        </w:rPr>
        <w:t xml:space="preserve">right to education has also been impaired, as </w:t>
      </w:r>
      <w:r w:rsidR="00EA13F9" w:rsidRPr="009B4CDA">
        <w:rPr>
          <w:color w:val="000000"/>
          <w:sz w:val="22"/>
          <w:szCs w:val="22"/>
        </w:rPr>
        <w:t>child</w:t>
      </w:r>
      <w:r w:rsidR="002956D3" w:rsidRPr="009B4CDA">
        <w:rPr>
          <w:color w:val="000000"/>
          <w:sz w:val="22"/>
          <w:szCs w:val="22"/>
        </w:rPr>
        <w:t>ren with deformed legs are unable to walk the</w:t>
      </w:r>
      <w:r w:rsidR="00771234" w:rsidRPr="009B4CDA">
        <w:rPr>
          <w:color w:val="000000"/>
          <w:sz w:val="22"/>
          <w:szCs w:val="22"/>
        </w:rPr>
        <w:t xml:space="preserve"> </w:t>
      </w:r>
      <w:r w:rsidR="00EA13F9" w:rsidRPr="009B4CDA">
        <w:rPr>
          <w:color w:val="000000"/>
          <w:sz w:val="22"/>
          <w:szCs w:val="22"/>
        </w:rPr>
        <w:t xml:space="preserve">long distances to school, and the </w:t>
      </w:r>
      <w:r w:rsidR="003F76F1" w:rsidRPr="009B4CDA">
        <w:rPr>
          <w:color w:val="000000"/>
          <w:sz w:val="22"/>
          <w:szCs w:val="22"/>
        </w:rPr>
        <w:t>s</w:t>
      </w:r>
      <w:r w:rsidR="00EA13F9" w:rsidRPr="009B4CDA">
        <w:rPr>
          <w:color w:val="000000"/>
          <w:sz w:val="22"/>
          <w:szCs w:val="22"/>
        </w:rPr>
        <w:t xml:space="preserve">chools </w:t>
      </w:r>
      <w:r w:rsidR="003F76F1" w:rsidRPr="009B4CDA">
        <w:rPr>
          <w:color w:val="000000"/>
          <w:sz w:val="22"/>
          <w:szCs w:val="22"/>
        </w:rPr>
        <w:t xml:space="preserve">lack the resources to </w:t>
      </w:r>
      <w:r w:rsidR="002956D3" w:rsidRPr="009B4CDA">
        <w:rPr>
          <w:color w:val="000000"/>
          <w:sz w:val="22"/>
          <w:szCs w:val="22"/>
        </w:rPr>
        <w:t xml:space="preserve">educate </w:t>
      </w:r>
      <w:r w:rsidR="00EA13F9" w:rsidRPr="009B4CDA">
        <w:rPr>
          <w:color w:val="000000"/>
          <w:sz w:val="22"/>
          <w:szCs w:val="22"/>
        </w:rPr>
        <w:t xml:space="preserve">children with </w:t>
      </w:r>
      <w:r w:rsidR="003F76F1" w:rsidRPr="009B4CDA">
        <w:rPr>
          <w:color w:val="000000"/>
          <w:sz w:val="22"/>
          <w:szCs w:val="22"/>
        </w:rPr>
        <w:t xml:space="preserve">severe </w:t>
      </w:r>
      <w:r w:rsidR="00EA13F9" w:rsidRPr="009B4CDA">
        <w:rPr>
          <w:color w:val="000000"/>
          <w:sz w:val="22"/>
          <w:szCs w:val="22"/>
        </w:rPr>
        <w:t xml:space="preserve">developmental </w:t>
      </w:r>
      <w:r w:rsidR="00070F26">
        <w:rPr>
          <w:color w:val="000000"/>
          <w:sz w:val="22"/>
          <w:szCs w:val="22"/>
        </w:rPr>
        <w:t xml:space="preserve">and physical </w:t>
      </w:r>
      <w:r w:rsidR="00EA13F9" w:rsidRPr="009B4CDA">
        <w:rPr>
          <w:color w:val="000000"/>
          <w:sz w:val="22"/>
          <w:szCs w:val="22"/>
        </w:rPr>
        <w:t xml:space="preserve">disabilities. </w:t>
      </w:r>
    </w:p>
    <w:p w14:paraId="2D5988BA" w14:textId="77777777" w:rsidR="00EB2329" w:rsidRPr="009B4CDA" w:rsidRDefault="00EB2329" w:rsidP="00D148AE">
      <w:pPr>
        <w:jc w:val="both"/>
        <w:rPr>
          <w:b/>
          <w:bCs/>
          <w:color w:val="000000"/>
          <w:sz w:val="22"/>
          <w:szCs w:val="22"/>
        </w:rPr>
      </w:pPr>
    </w:p>
    <w:p w14:paraId="3521C065" w14:textId="681200DA" w:rsidR="0096035F" w:rsidRPr="009B4CDA" w:rsidRDefault="00611059" w:rsidP="00D148AE">
      <w:pPr>
        <w:jc w:val="both"/>
        <w:rPr>
          <w:bCs/>
          <w:color w:val="000000"/>
          <w:sz w:val="22"/>
          <w:szCs w:val="22"/>
        </w:rPr>
      </w:pPr>
      <w:r w:rsidRPr="009B4CDA">
        <w:rPr>
          <w:bCs/>
          <w:color w:val="000000"/>
          <w:sz w:val="22"/>
          <w:szCs w:val="22"/>
        </w:rPr>
        <w:t xml:space="preserve">These </w:t>
      </w:r>
      <w:r w:rsidR="00573761" w:rsidRPr="009B4CDA">
        <w:rPr>
          <w:bCs/>
          <w:color w:val="000000"/>
          <w:sz w:val="22"/>
          <w:szCs w:val="22"/>
        </w:rPr>
        <w:t>impacts result</w:t>
      </w:r>
      <w:r w:rsidR="00070F26">
        <w:rPr>
          <w:bCs/>
          <w:color w:val="000000"/>
          <w:sz w:val="22"/>
          <w:szCs w:val="22"/>
        </w:rPr>
        <w:t>ed</w:t>
      </w:r>
      <w:r w:rsidR="00573761" w:rsidRPr="009B4CDA">
        <w:rPr>
          <w:bCs/>
          <w:color w:val="000000"/>
          <w:sz w:val="22"/>
          <w:szCs w:val="22"/>
        </w:rPr>
        <w:t xml:space="preserve"> both from MIDROC’s irresponsible conduct of its mining operations and from the State’s failure to adequately regulate, monitor, and hold to account the mine.  A March 2018 audit conducted by Addis Ababa University Business Enterprise PLC </w:t>
      </w:r>
      <w:r w:rsidR="00991DDB" w:rsidRPr="009B4CDA">
        <w:rPr>
          <w:bCs/>
          <w:color w:val="000000"/>
          <w:sz w:val="22"/>
          <w:szCs w:val="22"/>
        </w:rPr>
        <w:t xml:space="preserve">revealed, among many problems, </w:t>
      </w:r>
      <w:r w:rsidR="00573761" w:rsidRPr="009B4CDA">
        <w:rPr>
          <w:bCs/>
          <w:color w:val="000000"/>
          <w:sz w:val="22"/>
          <w:szCs w:val="22"/>
        </w:rPr>
        <w:t xml:space="preserve">the following </w:t>
      </w:r>
      <w:r w:rsidR="00DC20D6" w:rsidRPr="009B4CDA">
        <w:rPr>
          <w:bCs/>
          <w:color w:val="000000"/>
          <w:sz w:val="22"/>
          <w:szCs w:val="22"/>
        </w:rPr>
        <w:t>departures from the way that a well-regulated mine would be operated:</w:t>
      </w:r>
    </w:p>
    <w:p w14:paraId="7E4A678E" w14:textId="6BC8723C" w:rsidR="00EB2329" w:rsidRPr="009B4CDA" w:rsidRDefault="00EB2329" w:rsidP="00D148AE">
      <w:pPr>
        <w:jc w:val="both"/>
        <w:rPr>
          <w:bCs/>
          <w:color w:val="000000"/>
          <w:sz w:val="22"/>
          <w:szCs w:val="22"/>
        </w:rPr>
      </w:pPr>
    </w:p>
    <w:p w14:paraId="031307B2" w14:textId="20874184" w:rsidR="00DC20D6" w:rsidRPr="009B4CDA" w:rsidRDefault="009B4CDA" w:rsidP="00D148AE">
      <w:pPr>
        <w:jc w:val="both"/>
        <w:rPr>
          <w:color w:val="000000"/>
          <w:sz w:val="22"/>
          <w:szCs w:val="22"/>
        </w:rPr>
      </w:pPr>
      <w:r>
        <w:rPr>
          <w:bCs/>
          <w:color w:val="000000"/>
          <w:sz w:val="22"/>
          <w:szCs w:val="22"/>
        </w:rPr>
        <w:t>a</w:t>
      </w:r>
      <w:r w:rsidR="00DC20D6" w:rsidRPr="009B4CDA">
        <w:rPr>
          <w:bCs/>
          <w:color w:val="000000"/>
          <w:sz w:val="22"/>
          <w:szCs w:val="22"/>
        </w:rPr>
        <w:t>.</w:t>
      </w:r>
      <w:r w:rsidR="00DC20D6" w:rsidRPr="009B4CDA">
        <w:rPr>
          <w:bCs/>
          <w:color w:val="000000"/>
          <w:sz w:val="22"/>
          <w:szCs w:val="22"/>
        </w:rPr>
        <w:tab/>
      </w:r>
      <w:r w:rsidR="00EB2329" w:rsidRPr="009B4CDA">
        <w:rPr>
          <w:b/>
          <w:bCs/>
          <w:color w:val="000000"/>
          <w:sz w:val="22"/>
          <w:szCs w:val="22"/>
        </w:rPr>
        <w:t>Failure to fence off the highly toxic tailings pond to prevent public access.</w:t>
      </w:r>
      <w:r w:rsidR="00F13826">
        <w:rPr>
          <w:bCs/>
          <w:color w:val="000000"/>
          <w:sz w:val="22"/>
          <w:szCs w:val="22"/>
        </w:rPr>
        <w:t xml:space="preserve"> </w:t>
      </w:r>
      <w:r w:rsidR="00B96594" w:rsidRPr="009B4CDA">
        <w:rPr>
          <w:color w:val="000000"/>
          <w:sz w:val="22"/>
          <w:szCs w:val="22"/>
        </w:rPr>
        <w:t xml:space="preserve">The toxic waste produced when gold is extracted from the ore is channeled </w:t>
      </w:r>
      <w:r w:rsidR="00554C27" w:rsidRPr="009B4CDA">
        <w:rPr>
          <w:color w:val="000000"/>
          <w:sz w:val="22"/>
          <w:szCs w:val="22"/>
        </w:rPr>
        <w:t xml:space="preserve">into a </w:t>
      </w:r>
      <w:r w:rsidR="00975C4D" w:rsidRPr="009B4CDA">
        <w:rPr>
          <w:color w:val="000000"/>
          <w:sz w:val="22"/>
          <w:szCs w:val="22"/>
        </w:rPr>
        <w:t xml:space="preserve">tailings pond, </w:t>
      </w:r>
      <w:r w:rsidR="00B96594" w:rsidRPr="009B4CDA">
        <w:rPr>
          <w:color w:val="000000"/>
          <w:sz w:val="22"/>
          <w:szCs w:val="22"/>
        </w:rPr>
        <w:t xml:space="preserve">where it is supposed to be contained until it has been purified. </w:t>
      </w:r>
      <w:r w:rsidR="00554C27" w:rsidRPr="009B4CDA">
        <w:rPr>
          <w:color w:val="000000"/>
          <w:sz w:val="22"/>
          <w:szCs w:val="22"/>
        </w:rPr>
        <w:t>MIDROC has not fenced off th</w:t>
      </w:r>
      <w:r w:rsidR="006A46C2" w:rsidRPr="009B4CDA">
        <w:rPr>
          <w:color w:val="000000"/>
          <w:sz w:val="22"/>
          <w:szCs w:val="22"/>
        </w:rPr>
        <w:t>is toxic</w:t>
      </w:r>
      <w:r w:rsidR="009F3B35">
        <w:rPr>
          <w:color w:val="000000"/>
          <w:sz w:val="22"/>
          <w:szCs w:val="22"/>
        </w:rPr>
        <w:t xml:space="preserve"> </w:t>
      </w:r>
      <w:r w:rsidR="00554C27" w:rsidRPr="009B4CDA">
        <w:rPr>
          <w:color w:val="000000"/>
          <w:sz w:val="22"/>
          <w:szCs w:val="22"/>
        </w:rPr>
        <w:t xml:space="preserve">pond, </w:t>
      </w:r>
      <w:r w:rsidR="006A46C2" w:rsidRPr="009B4CDA">
        <w:rPr>
          <w:color w:val="000000"/>
          <w:sz w:val="22"/>
          <w:szCs w:val="22"/>
        </w:rPr>
        <w:t xml:space="preserve">leaving </w:t>
      </w:r>
      <w:r w:rsidR="00554C27" w:rsidRPr="009B4CDA">
        <w:rPr>
          <w:color w:val="000000"/>
          <w:sz w:val="22"/>
          <w:szCs w:val="22"/>
        </w:rPr>
        <w:t>it is accessible to p</w:t>
      </w:r>
      <w:r w:rsidR="00B96594" w:rsidRPr="009B4CDA">
        <w:rPr>
          <w:color w:val="000000"/>
          <w:sz w:val="22"/>
          <w:szCs w:val="22"/>
        </w:rPr>
        <w:t>eople and animals.</w:t>
      </w:r>
      <w:r w:rsidR="00B96594" w:rsidRPr="009B4CDA">
        <w:rPr>
          <w:rStyle w:val="FootnoteReference"/>
          <w:color w:val="000000"/>
          <w:sz w:val="22"/>
          <w:szCs w:val="22"/>
        </w:rPr>
        <w:footnoteReference w:id="5"/>
      </w:r>
      <w:r w:rsidR="00D76926" w:rsidRPr="009B4CDA">
        <w:rPr>
          <w:color w:val="000000"/>
          <w:sz w:val="22"/>
          <w:szCs w:val="22"/>
        </w:rPr>
        <w:t xml:space="preserve"> L</w:t>
      </w:r>
      <w:r w:rsidR="00B96594" w:rsidRPr="009B4CDA">
        <w:rPr>
          <w:color w:val="000000"/>
          <w:sz w:val="22"/>
          <w:szCs w:val="22"/>
        </w:rPr>
        <w:t xml:space="preserve">ocal residents fetch water </w:t>
      </w:r>
      <w:r w:rsidR="00554C27" w:rsidRPr="009B4CDA">
        <w:rPr>
          <w:color w:val="000000"/>
          <w:sz w:val="22"/>
          <w:szCs w:val="22"/>
        </w:rPr>
        <w:t xml:space="preserve">there </w:t>
      </w:r>
      <w:r w:rsidR="00D76926" w:rsidRPr="009B4CDA">
        <w:rPr>
          <w:color w:val="000000"/>
          <w:sz w:val="22"/>
          <w:szCs w:val="22"/>
        </w:rPr>
        <w:t>for domestic use</w:t>
      </w:r>
      <w:r w:rsidR="00B96594" w:rsidRPr="009B4CDA">
        <w:rPr>
          <w:color w:val="000000"/>
          <w:sz w:val="22"/>
          <w:szCs w:val="22"/>
        </w:rPr>
        <w:t xml:space="preserve"> and </w:t>
      </w:r>
      <w:r w:rsidR="00D76926" w:rsidRPr="009B4CDA">
        <w:rPr>
          <w:color w:val="000000"/>
          <w:sz w:val="22"/>
          <w:szCs w:val="22"/>
        </w:rPr>
        <w:t xml:space="preserve">have allowed their </w:t>
      </w:r>
      <w:r w:rsidR="00B96594" w:rsidRPr="009B4CDA">
        <w:rPr>
          <w:color w:val="000000"/>
          <w:sz w:val="22"/>
          <w:szCs w:val="22"/>
        </w:rPr>
        <w:t>livestock to drink from the p</w:t>
      </w:r>
      <w:r w:rsidR="00554C27" w:rsidRPr="009B4CDA">
        <w:rPr>
          <w:color w:val="000000"/>
          <w:sz w:val="22"/>
          <w:szCs w:val="22"/>
        </w:rPr>
        <w:t>ond</w:t>
      </w:r>
      <w:r w:rsidR="00B96594" w:rsidRPr="009B4CDA">
        <w:rPr>
          <w:color w:val="000000"/>
          <w:sz w:val="22"/>
          <w:szCs w:val="22"/>
        </w:rPr>
        <w:t>.</w:t>
      </w:r>
      <w:r w:rsidR="00B96594" w:rsidRPr="009B4CDA">
        <w:rPr>
          <w:rStyle w:val="FootnoteReference"/>
          <w:color w:val="000000"/>
          <w:sz w:val="22"/>
          <w:szCs w:val="22"/>
        </w:rPr>
        <w:footnoteReference w:id="6"/>
      </w:r>
      <w:r w:rsidR="006A46C2" w:rsidRPr="009B4CDA">
        <w:rPr>
          <w:color w:val="000000"/>
          <w:sz w:val="22"/>
          <w:szCs w:val="22"/>
        </w:rPr>
        <w:t xml:space="preserve">  Many people</w:t>
      </w:r>
      <w:r w:rsidR="00B96594" w:rsidRPr="009B4CDA">
        <w:rPr>
          <w:color w:val="000000"/>
          <w:sz w:val="22"/>
          <w:szCs w:val="22"/>
        </w:rPr>
        <w:t xml:space="preserve"> report that they have never been warned not to do so.</w:t>
      </w:r>
    </w:p>
    <w:p w14:paraId="3581FB73" w14:textId="77777777" w:rsidR="00EB2329" w:rsidRPr="009B4CDA" w:rsidRDefault="00EB2329" w:rsidP="00D148AE">
      <w:pPr>
        <w:jc w:val="both"/>
        <w:rPr>
          <w:color w:val="000000"/>
          <w:sz w:val="22"/>
          <w:szCs w:val="22"/>
        </w:rPr>
      </w:pPr>
    </w:p>
    <w:p w14:paraId="27C45DC4" w14:textId="35E6033F" w:rsidR="001A56EE" w:rsidRPr="009B4CDA" w:rsidRDefault="009B4CDA" w:rsidP="00D148AE">
      <w:pPr>
        <w:jc w:val="both"/>
        <w:rPr>
          <w:color w:val="000000"/>
          <w:sz w:val="22"/>
          <w:szCs w:val="22"/>
        </w:rPr>
      </w:pPr>
      <w:r>
        <w:rPr>
          <w:b/>
          <w:bCs/>
          <w:color w:val="000000"/>
          <w:sz w:val="22"/>
          <w:szCs w:val="22"/>
        </w:rPr>
        <w:t>b</w:t>
      </w:r>
      <w:r w:rsidR="00234DD2" w:rsidRPr="009B4CDA">
        <w:rPr>
          <w:b/>
          <w:bCs/>
          <w:color w:val="000000"/>
          <w:sz w:val="22"/>
          <w:szCs w:val="22"/>
        </w:rPr>
        <w:t>.</w:t>
      </w:r>
      <w:r w:rsidR="00234DD2" w:rsidRPr="009B4CDA">
        <w:rPr>
          <w:b/>
          <w:bCs/>
          <w:color w:val="000000"/>
          <w:sz w:val="22"/>
          <w:szCs w:val="22"/>
        </w:rPr>
        <w:tab/>
      </w:r>
      <w:r w:rsidR="00A02026" w:rsidRPr="009B4CDA">
        <w:rPr>
          <w:b/>
          <w:bCs/>
          <w:color w:val="000000"/>
          <w:sz w:val="22"/>
          <w:szCs w:val="22"/>
        </w:rPr>
        <w:t xml:space="preserve">Failure </w:t>
      </w:r>
      <w:r w:rsidR="00D76926" w:rsidRPr="009B4CDA">
        <w:rPr>
          <w:b/>
          <w:bCs/>
          <w:color w:val="000000"/>
          <w:sz w:val="22"/>
          <w:szCs w:val="22"/>
        </w:rPr>
        <w:t xml:space="preserve">to install </w:t>
      </w:r>
      <w:r w:rsidR="00234DD2" w:rsidRPr="009B4CDA">
        <w:rPr>
          <w:b/>
          <w:bCs/>
          <w:color w:val="000000"/>
          <w:sz w:val="22"/>
          <w:szCs w:val="22"/>
        </w:rPr>
        <w:t>impermeable liner</w:t>
      </w:r>
      <w:r w:rsidR="00D76926" w:rsidRPr="009B4CDA">
        <w:rPr>
          <w:b/>
          <w:bCs/>
          <w:color w:val="000000"/>
          <w:sz w:val="22"/>
          <w:szCs w:val="22"/>
        </w:rPr>
        <w:t>s</w:t>
      </w:r>
      <w:r w:rsidR="00234DD2" w:rsidRPr="009B4CDA">
        <w:rPr>
          <w:b/>
          <w:bCs/>
          <w:color w:val="000000"/>
          <w:sz w:val="22"/>
          <w:szCs w:val="22"/>
        </w:rPr>
        <w:t xml:space="preserve"> at </w:t>
      </w:r>
      <w:r w:rsidR="00F13826">
        <w:rPr>
          <w:b/>
          <w:bCs/>
          <w:color w:val="000000"/>
          <w:sz w:val="22"/>
          <w:szCs w:val="22"/>
        </w:rPr>
        <w:t xml:space="preserve">the base of the tailings pond. </w:t>
      </w:r>
      <w:r w:rsidR="00234DD2" w:rsidRPr="009B4CDA">
        <w:rPr>
          <w:bCs/>
          <w:color w:val="000000"/>
          <w:sz w:val="22"/>
          <w:szCs w:val="22"/>
        </w:rPr>
        <w:t>A</w:t>
      </w:r>
      <w:r w:rsidR="00320801" w:rsidRPr="009B4CDA">
        <w:rPr>
          <w:bCs/>
          <w:color w:val="000000"/>
          <w:sz w:val="22"/>
          <w:szCs w:val="22"/>
        </w:rPr>
        <w:t xml:space="preserve"> well-</w:t>
      </w:r>
      <w:r w:rsidR="008D38A2" w:rsidRPr="009B4CDA">
        <w:rPr>
          <w:bCs/>
          <w:color w:val="000000"/>
          <w:sz w:val="22"/>
          <w:szCs w:val="22"/>
        </w:rPr>
        <w:t xml:space="preserve">regulated mine would have </w:t>
      </w:r>
      <w:r w:rsidR="00234DD2" w:rsidRPr="009B4CDA">
        <w:rPr>
          <w:bCs/>
          <w:color w:val="000000"/>
          <w:sz w:val="22"/>
          <w:szCs w:val="22"/>
        </w:rPr>
        <w:t>impermeable line</w:t>
      </w:r>
      <w:r w:rsidR="00320801" w:rsidRPr="009B4CDA">
        <w:rPr>
          <w:bCs/>
          <w:color w:val="000000"/>
          <w:sz w:val="22"/>
          <w:szCs w:val="22"/>
        </w:rPr>
        <w:t>r</w:t>
      </w:r>
      <w:r w:rsidR="008D38A2" w:rsidRPr="009B4CDA">
        <w:rPr>
          <w:bCs/>
          <w:color w:val="000000"/>
          <w:sz w:val="22"/>
          <w:szCs w:val="22"/>
        </w:rPr>
        <w:t>s</w:t>
      </w:r>
      <w:r w:rsidR="00234DD2" w:rsidRPr="009B4CDA">
        <w:rPr>
          <w:bCs/>
          <w:color w:val="000000"/>
          <w:sz w:val="22"/>
          <w:szCs w:val="22"/>
        </w:rPr>
        <w:t xml:space="preserve"> at the base of the </w:t>
      </w:r>
      <w:r w:rsidR="00611059" w:rsidRPr="009B4CDA">
        <w:rPr>
          <w:bCs/>
          <w:color w:val="000000"/>
          <w:sz w:val="22"/>
          <w:szCs w:val="22"/>
        </w:rPr>
        <w:t xml:space="preserve">tailings </w:t>
      </w:r>
      <w:r w:rsidR="00234DD2" w:rsidRPr="009B4CDA">
        <w:rPr>
          <w:bCs/>
          <w:color w:val="000000"/>
          <w:sz w:val="22"/>
          <w:szCs w:val="22"/>
        </w:rPr>
        <w:t>pond</w:t>
      </w:r>
      <w:r w:rsidR="00611059" w:rsidRPr="009B4CDA">
        <w:rPr>
          <w:bCs/>
          <w:color w:val="000000"/>
          <w:sz w:val="22"/>
          <w:szCs w:val="22"/>
        </w:rPr>
        <w:t xml:space="preserve"> to prevent seepage </w:t>
      </w:r>
      <w:r w:rsidR="008D38A2" w:rsidRPr="009B4CDA">
        <w:rPr>
          <w:bCs/>
          <w:color w:val="000000"/>
          <w:sz w:val="22"/>
          <w:szCs w:val="22"/>
        </w:rPr>
        <w:t xml:space="preserve">of toxic waste </w:t>
      </w:r>
      <w:r w:rsidR="00611059" w:rsidRPr="009B4CDA">
        <w:rPr>
          <w:bCs/>
          <w:color w:val="000000"/>
          <w:sz w:val="22"/>
          <w:szCs w:val="22"/>
        </w:rPr>
        <w:t>into the groundwater</w:t>
      </w:r>
      <w:r w:rsidR="00234DD2" w:rsidRPr="009B4CDA">
        <w:rPr>
          <w:bCs/>
          <w:color w:val="000000"/>
          <w:sz w:val="22"/>
          <w:szCs w:val="22"/>
        </w:rPr>
        <w:t>.</w:t>
      </w:r>
      <w:r w:rsidR="008D38A2" w:rsidRPr="009B4CDA">
        <w:rPr>
          <w:rStyle w:val="FootnoteReference"/>
          <w:bCs/>
          <w:color w:val="000000"/>
          <w:sz w:val="22"/>
          <w:szCs w:val="22"/>
        </w:rPr>
        <w:footnoteReference w:id="7"/>
      </w:r>
      <w:r w:rsidR="00234DD2" w:rsidRPr="009B4CDA">
        <w:rPr>
          <w:bCs/>
          <w:color w:val="000000"/>
          <w:sz w:val="22"/>
          <w:szCs w:val="22"/>
        </w:rPr>
        <w:t xml:space="preserve"> </w:t>
      </w:r>
      <w:r w:rsidR="008D38A2" w:rsidRPr="009B4CDA">
        <w:rPr>
          <w:bCs/>
          <w:color w:val="000000"/>
          <w:sz w:val="22"/>
          <w:szCs w:val="22"/>
        </w:rPr>
        <w:t>At the Lega Dembi mine, however, “no liners were installed to prevent passage of leachate to the groundwater system.”</w:t>
      </w:r>
      <w:r w:rsidR="008D38A2" w:rsidRPr="009B4CDA">
        <w:rPr>
          <w:rStyle w:val="FootnoteReference"/>
          <w:bCs/>
          <w:color w:val="000000"/>
          <w:sz w:val="22"/>
          <w:szCs w:val="22"/>
        </w:rPr>
        <w:footnoteReference w:id="8"/>
      </w:r>
    </w:p>
    <w:p w14:paraId="1EDE4B8A" w14:textId="77777777" w:rsidR="00EB2329" w:rsidRPr="009B4CDA" w:rsidRDefault="00EB2329" w:rsidP="00D148AE">
      <w:pPr>
        <w:jc w:val="both"/>
        <w:rPr>
          <w:color w:val="000000"/>
          <w:sz w:val="22"/>
          <w:szCs w:val="22"/>
        </w:rPr>
      </w:pPr>
    </w:p>
    <w:p w14:paraId="3B338C0D" w14:textId="3780FA68" w:rsidR="00593AA1" w:rsidRDefault="009B4CDA" w:rsidP="00D148AE">
      <w:pPr>
        <w:jc w:val="both"/>
        <w:rPr>
          <w:color w:val="000000"/>
          <w:sz w:val="22"/>
          <w:szCs w:val="22"/>
        </w:rPr>
      </w:pPr>
      <w:r>
        <w:rPr>
          <w:b/>
          <w:color w:val="000000"/>
          <w:sz w:val="22"/>
          <w:szCs w:val="22"/>
        </w:rPr>
        <w:t>c</w:t>
      </w:r>
      <w:r w:rsidR="00320801" w:rsidRPr="009B4CDA">
        <w:rPr>
          <w:b/>
          <w:color w:val="000000"/>
          <w:sz w:val="22"/>
          <w:szCs w:val="22"/>
        </w:rPr>
        <w:t>.</w:t>
      </w:r>
      <w:r w:rsidR="00320801" w:rsidRPr="009B4CDA">
        <w:rPr>
          <w:b/>
          <w:color w:val="000000"/>
          <w:sz w:val="22"/>
          <w:szCs w:val="22"/>
        </w:rPr>
        <w:tab/>
      </w:r>
      <w:r w:rsidR="004518AD">
        <w:rPr>
          <w:b/>
          <w:color w:val="000000"/>
          <w:sz w:val="22"/>
          <w:szCs w:val="22"/>
        </w:rPr>
        <w:t>Contamination of freshwater stream due to the design of the mine.</w:t>
      </w:r>
      <w:r w:rsidR="00F13826">
        <w:rPr>
          <w:color w:val="000000"/>
          <w:sz w:val="22"/>
          <w:szCs w:val="22"/>
        </w:rPr>
        <w:t xml:space="preserve"> </w:t>
      </w:r>
      <w:r w:rsidR="00975C4D" w:rsidRPr="009B4CDA">
        <w:rPr>
          <w:color w:val="000000"/>
          <w:sz w:val="22"/>
          <w:szCs w:val="22"/>
        </w:rPr>
        <w:t xml:space="preserve">In designing the </w:t>
      </w:r>
      <w:r w:rsidR="005416C8">
        <w:rPr>
          <w:color w:val="000000"/>
          <w:sz w:val="22"/>
          <w:szCs w:val="22"/>
        </w:rPr>
        <w:t xml:space="preserve">layout of the </w:t>
      </w:r>
      <w:r w:rsidR="00975C4D" w:rsidRPr="009B4CDA">
        <w:rPr>
          <w:color w:val="000000"/>
          <w:sz w:val="22"/>
          <w:szCs w:val="22"/>
        </w:rPr>
        <w:t xml:space="preserve">mine, MIDROC </w:t>
      </w:r>
      <w:r w:rsidR="00B358D6">
        <w:rPr>
          <w:color w:val="000000"/>
          <w:sz w:val="22"/>
          <w:szCs w:val="22"/>
        </w:rPr>
        <w:t>situate</w:t>
      </w:r>
      <w:r w:rsidR="004518AD">
        <w:rPr>
          <w:color w:val="000000"/>
          <w:sz w:val="22"/>
          <w:szCs w:val="22"/>
        </w:rPr>
        <w:t>d</w:t>
      </w:r>
      <w:r w:rsidR="00B358D6">
        <w:rPr>
          <w:color w:val="000000"/>
          <w:sz w:val="22"/>
          <w:szCs w:val="22"/>
        </w:rPr>
        <w:t xml:space="preserve"> the tailings pond </w:t>
      </w:r>
      <w:r w:rsidR="004518AD">
        <w:rPr>
          <w:color w:val="000000"/>
          <w:sz w:val="22"/>
          <w:szCs w:val="22"/>
        </w:rPr>
        <w:t xml:space="preserve">in such a way that </w:t>
      </w:r>
      <w:r w:rsidR="00B358D6">
        <w:rPr>
          <w:color w:val="000000"/>
          <w:sz w:val="22"/>
          <w:szCs w:val="22"/>
        </w:rPr>
        <w:t>a freshwater stream used by the community</w:t>
      </w:r>
      <w:r w:rsidR="004518AD">
        <w:rPr>
          <w:color w:val="000000"/>
          <w:sz w:val="22"/>
          <w:szCs w:val="22"/>
        </w:rPr>
        <w:t xml:space="preserve"> for water f</w:t>
      </w:r>
      <w:r w:rsidR="00F13826">
        <w:rPr>
          <w:color w:val="000000"/>
          <w:sz w:val="22"/>
          <w:szCs w:val="22"/>
        </w:rPr>
        <w:t>lows</w:t>
      </w:r>
      <w:r w:rsidR="004518AD">
        <w:rPr>
          <w:color w:val="000000"/>
          <w:sz w:val="22"/>
          <w:szCs w:val="22"/>
        </w:rPr>
        <w:t xml:space="preserve"> directly through the tailings pond, thus contaminating that water source.</w:t>
      </w:r>
      <w:r w:rsidR="008F0808" w:rsidRPr="009B4CDA">
        <w:rPr>
          <w:rStyle w:val="FootnoteReference"/>
          <w:color w:val="000000"/>
          <w:sz w:val="22"/>
          <w:szCs w:val="22"/>
        </w:rPr>
        <w:footnoteReference w:id="9"/>
      </w:r>
      <w:r w:rsidR="00975C4D" w:rsidRPr="009B4CDA">
        <w:rPr>
          <w:color w:val="000000"/>
          <w:sz w:val="22"/>
          <w:szCs w:val="22"/>
        </w:rPr>
        <w:t xml:space="preserve"> A well-regu</w:t>
      </w:r>
      <w:r w:rsidR="008F0808" w:rsidRPr="009B4CDA">
        <w:rPr>
          <w:color w:val="000000"/>
          <w:sz w:val="22"/>
          <w:szCs w:val="22"/>
        </w:rPr>
        <w:t xml:space="preserve">lated mine would </w:t>
      </w:r>
      <w:r w:rsidR="00611059" w:rsidRPr="009B4CDA">
        <w:rPr>
          <w:color w:val="000000"/>
          <w:sz w:val="22"/>
          <w:szCs w:val="22"/>
        </w:rPr>
        <w:t xml:space="preserve">have </w:t>
      </w:r>
      <w:r w:rsidR="00C82CDF" w:rsidRPr="009B4CDA">
        <w:rPr>
          <w:color w:val="000000"/>
          <w:sz w:val="22"/>
          <w:szCs w:val="22"/>
        </w:rPr>
        <w:t xml:space="preserve">kept the stream separate from the tailings pond, preserving it as a </w:t>
      </w:r>
      <w:r w:rsidR="00F26AC8" w:rsidRPr="009B4CDA">
        <w:rPr>
          <w:color w:val="000000"/>
          <w:sz w:val="22"/>
          <w:szCs w:val="22"/>
        </w:rPr>
        <w:t xml:space="preserve">source </w:t>
      </w:r>
      <w:r w:rsidR="00C82CDF" w:rsidRPr="009B4CDA">
        <w:rPr>
          <w:color w:val="000000"/>
          <w:sz w:val="22"/>
          <w:szCs w:val="22"/>
        </w:rPr>
        <w:t xml:space="preserve">of clean water </w:t>
      </w:r>
      <w:r w:rsidR="00F26AC8" w:rsidRPr="009B4CDA">
        <w:rPr>
          <w:color w:val="000000"/>
          <w:sz w:val="22"/>
          <w:szCs w:val="22"/>
        </w:rPr>
        <w:t>for the community.</w:t>
      </w:r>
      <w:r w:rsidR="00F13826">
        <w:rPr>
          <w:rStyle w:val="FootnoteReference"/>
          <w:color w:val="000000"/>
          <w:sz w:val="22"/>
          <w:szCs w:val="22"/>
        </w:rPr>
        <w:footnoteReference w:id="10"/>
      </w:r>
      <w:r w:rsidR="00B358D6">
        <w:rPr>
          <w:color w:val="000000"/>
          <w:sz w:val="22"/>
          <w:szCs w:val="22"/>
        </w:rPr>
        <w:t xml:space="preserve"> </w:t>
      </w:r>
    </w:p>
    <w:p w14:paraId="6AF3A237" w14:textId="5A1D9B90" w:rsidR="002F3110" w:rsidRPr="009B4CDA" w:rsidRDefault="002F3110" w:rsidP="00D148AE">
      <w:pPr>
        <w:jc w:val="both"/>
        <w:rPr>
          <w:color w:val="000000" w:themeColor="text1"/>
          <w:sz w:val="22"/>
          <w:szCs w:val="22"/>
        </w:rPr>
      </w:pPr>
    </w:p>
    <w:p w14:paraId="537FB86F" w14:textId="7461A65F" w:rsidR="00B00ADF" w:rsidRPr="009B4CDA" w:rsidRDefault="003F76F1" w:rsidP="00D148AE">
      <w:pPr>
        <w:jc w:val="both"/>
        <w:rPr>
          <w:sz w:val="22"/>
          <w:szCs w:val="22"/>
        </w:rPr>
      </w:pPr>
      <w:r w:rsidRPr="009B4CDA">
        <w:rPr>
          <w:color w:val="000000" w:themeColor="text1"/>
          <w:sz w:val="22"/>
          <w:szCs w:val="22"/>
        </w:rPr>
        <w:t xml:space="preserve">Due to </w:t>
      </w:r>
      <w:r w:rsidR="002F3110" w:rsidRPr="009B4CDA">
        <w:rPr>
          <w:color w:val="000000" w:themeColor="text1"/>
          <w:sz w:val="22"/>
          <w:szCs w:val="22"/>
        </w:rPr>
        <w:t xml:space="preserve">these and </w:t>
      </w:r>
      <w:r w:rsidR="00631770" w:rsidRPr="009B4CDA">
        <w:rPr>
          <w:color w:val="000000" w:themeColor="text1"/>
          <w:sz w:val="22"/>
          <w:szCs w:val="22"/>
        </w:rPr>
        <w:t xml:space="preserve">many </w:t>
      </w:r>
      <w:r w:rsidR="002F3110" w:rsidRPr="009B4CDA">
        <w:rPr>
          <w:color w:val="000000" w:themeColor="text1"/>
          <w:sz w:val="22"/>
          <w:szCs w:val="22"/>
        </w:rPr>
        <w:t>other failings, people living near and downstream from the Lega Dembi mine have been exposed to cyanide, heavy metal</w:t>
      </w:r>
      <w:r w:rsidRPr="009B4CDA">
        <w:rPr>
          <w:color w:val="000000" w:themeColor="text1"/>
          <w:sz w:val="22"/>
          <w:szCs w:val="22"/>
        </w:rPr>
        <w:t xml:space="preserve">s, and, it is feared, mercury. </w:t>
      </w:r>
      <w:r w:rsidR="000271C5" w:rsidRPr="009B4CDA">
        <w:rPr>
          <w:color w:val="000000" w:themeColor="text1"/>
          <w:sz w:val="22"/>
          <w:szCs w:val="22"/>
        </w:rPr>
        <w:t xml:space="preserve">MIDROC acknowledges </w:t>
      </w:r>
      <w:r w:rsidR="00F832D1" w:rsidRPr="009B4CDA">
        <w:rPr>
          <w:color w:val="000000" w:themeColor="text1"/>
          <w:sz w:val="22"/>
          <w:szCs w:val="22"/>
        </w:rPr>
        <w:t xml:space="preserve">using </w:t>
      </w:r>
      <w:r w:rsidR="000271C5" w:rsidRPr="009B4CDA">
        <w:rPr>
          <w:color w:val="000000" w:themeColor="text1"/>
          <w:sz w:val="22"/>
          <w:szCs w:val="22"/>
        </w:rPr>
        <w:t>c</w:t>
      </w:r>
      <w:r w:rsidR="002F3110" w:rsidRPr="009B4CDA">
        <w:rPr>
          <w:color w:val="000000" w:themeColor="text1"/>
          <w:sz w:val="22"/>
          <w:szCs w:val="22"/>
        </w:rPr>
        <w:t xml:space="preserve">yanide </w:t>
      </w:r>
      <w:r w:rsidR="002F3110" w:rsidRPr="009B4CDA">
        <w:rPr>
          <w:color w:val="000000"/>
          <w:sz w:val="22"/>
          <w:szCs w:val="22"/>
        </w:rPr>
        <w:t>to separate gold from ore.</w:t>
      </w:r>
      <w:r w:rsidR="002F3110" w:rsidRPr="009B4CDA">
        <w:rPr>
          <w:rStyle w:val="FootnoteReference"/>
          <w:color w:val="000000"/>
          <w:sz w:val="22"/>
          <w:szCs w:val="22"/>
        </w:rPr>
        <w:footnoteReference w:id="11"/>
      </w:r>
      <w:r w:rsidR="002F3110" w:rsidRPr="009B4CDA">
        <w:rPr>
          <w:color w:val="000000"/>
          <w:sz w:val="22"/>
          <w:szCs w:val="22"/>
        </w:rPr>
        <w:t xml:space="preserve"> Cyanide is highly toxic: it can cause respiratory failure, heart, brain, and nerve damage, and it can be lethal.</w:t>
      </w:r>
      <w:r w:rsidR="002F3110" w:rsidRPr="009B4CDA">
        <w:rPr>
          <w:rStyle w:val="FootnoteReference"/>
          <w:color w:val="000000"/>
          <w:sz w:val="22"/>
          <w:szCs w:val="22"/>
        </w:rPr>
        <w:footnoteReference w:id="12"/>
      </w:r>
      <w:r w:rsidR="002F3110" w:rsidRPr="009B4CDA">
        <w:rPr>
          <w:color w:val="000000"/>
          <w:sz w:val="22"/>
          <w:szCs w:val="22"/>
        </w:rPr>
        <w:t xml:space="preserve"> </w:t>
      </w:r>
      <w:r w:rsidR="00851581" w:rsidRPr="009B4CDA">
        <w:rPr>
          <w:color w:val="000000"/>
          <w:sz w:val="22"/>
          <w:szCs w:val="22"/>
        </w:rPr>
        <w:t xml:space="preserve">Heavy metals, </w:t>
      </w:r>
      <w:r w:rsidR="00F832D1" w:rsidRPr="009B4CDA">
        <w:rPr>
          <w:color w:val="000000"/>
          <w:sz w:val="22"/>
          <w:szCs w:val="22"/>
        </w:rPr>
        <w:t xml:space="preserve">which are often present where gold is found, </w:t>
      </w:r>
      <w:r w:rsidR="00851581" w:rsidRPr="009B4CDA">
        <w:rPr>
          <w:color w:val="000000"/>
          <w:sz w:val="22"/>
          <w:szCs w:val="22"/>
        </w:rPr>
        <w:t xml:space="preserve">and which can be released into the environment by the mining process, pose another danger. For example, </w:t>
      </w:r>
      <w:r w:rsidR="00F832D1" w:rsidRPr="009B4CDA">
        <w:rPr>
          <w:color w:val="000000"/>
          <w:sz w:val="22"/>
          <w:szCs w:val="22"/>
        </w:rPr>
        <w:t>both lea</w:t>
      </w:r>
      <w:r w:rsidR="00851581" w:rsidRPr="009B4CDA">
        <w:rPr>
          <w:color w:val="000000"/>
          <w:sz w:val="22"/>
          <w:szCs w:val="22"/>
        </w:rPr>
        <w:t>d and arsenic have the potential to harm pregnancies, impair brain development, and damage organs.</w:t>
      </w:r>
      <w:r w:rsidR="00851581" w:rsidRPr="009B4CDA">
        <w:rPr>
          <w:rStyle w:val="FootnoteReference"/>
          <w:color w:val="000000"/>
          <w:sz w:val="22"/>
          <w:szCs w:val="22"/>
        </w:rPr>
        <w:footnoteReference w:id="13"/>
      </w:r>
      <w:r w:rsidR="00851581" w:rsidRPr="009B4CDA">
        <w:rPr>
          <w:color w:val="000000"/>
          <w:sz w:val="22"/>
          <w:szCs w:val="22"/>
        </w:rPr>
        <w:t xml:space="preserve"> Soil and water samples within and downstream from the Lega Dembi mine area have revealed concentrations of </w:t>
      </w:r>
      <w:r w:rsidRPr="009B4CDA">
        <w:rPr>
          <w:color w:val="000000"/>
          <w:sz w:val="22"/>
          <w:szCs w:val="22"/>
        </w:rPr>
        <w:t>arsenic</w:t>
      </w:r>
      <w:r w:rsidR="00230C6D">
        <w:rPr>
          <w:color w:val="000000"/>
          <w:sz w:val="22"/>
          <w:szCs w:val="22"/>
        </w:rPr>
        <w:t xml:space="preserve"> that </w:t>
      </w:r>
      <w:r w:rsidR="00851581" w:rsidRPr="009B4CDA">
        <w:rPr>
          <w:color w:val="000000"/>
          <w:sz w:val="22"/>
          <w:szCs w:val="22"/>
        </w:rPr>
        <w:t>substantially exceeded recommended limits.</w:t>
      </w:r>
      <w:r w:rsidR="00851581" w:rsidRPr="009B4CDA">
        <w:rPr>
          <w:rStyle w:val="FootnoteReference"/>
          <w:color w:val="000000"/>
          <w:sz w:val="22"/>
          <w:szCs w:val="22"/>
        </w:rPr>
        <w:footnoteReference w:id="14"/>
      </w:r>
      <w:r w:rsidR="00851581" w:rsidRPr="009B4CDA">
        <w:rPr>
          <w:color w:val="000000" w:themeColor="text1"/>
          <w:sz w:val="22"/>
          <w:szCs w:val="22"/>
        </w:rPr>
        <w:t xml:space="preserve"> </w:t>
      </w:r>
      <w:r w:rsidR="00230C6D">
        <w:rPr>
          <w:color w:val="000000" w:themeColor="text1"/>
          <w:sz w:val="22"/>
          <w:szCs w:val="22"/>
        </w:rPr>
        <w:t>The same is true of the concentrations of other heavy metals within the mining area, including high concentration of lead in soil samples.</w:t>
      </w:r>
      <w:r w:rsidR="00230C6D">
        <w:rPr>
          <w:rStyle w:val="FootnoteReference"/>
          <w:color w:val="000000" w:themeColor="text1"/>
          <w:sz w:val="22"/>
          <w:szCs w:val="22"/>
        </w:rPr>
        <w:footnoteReference w:id="15"/>
      </w:r>
      <w:r w:rsidR="00230C6D">
        <w:rPr>
          <w:color w:val="000000" w:themeColor="text1"/>
          <w:sz w:val="22"/>
          <w:szCs w:val="22"/>
        </w:rPr>
        <w:t xml:space="preserve"> </w:t>
      </w:r>
      <w:r w:rsidR="00E7346A" w:rsidRPr="009B4CDA">
        <w:rPr>
          <w:color w:val="000000"/>
          <w:sz w:val="22"/>
          <w:szCs w:val="22"/>
        </w:rPr>
        <w:t>The possible exposure to mercury is also a cause for grave concern. Exposure to even small amounts of mercury can impair development, vision, hearing, and memory and have toxic effects on the nervous, digestive, and immune systems.</w:t>
      </w:r>
      <w:r w:rsidR="00E7346A" w:rsidRPr="009B4CDA">
        <w:rPr>
          <w:rStyle w:val="FootnoteReference"/>
          <w:color w:val="000000"/>
          <w:sz w:val="22"/>
          <w:szCs w:val="22"/>
        </w:rPr>
        <w:footnoteReference w:id="16"/>
      </w:r>
      <w:r w:rsidR="00E7346A" w:rsidRPr="009B4CDA">
        <w:rPr>
          <w:color w:val="000000"/>
          <w:sz w:val="22"/>
          <w:szCs w:val="22"/>
        </w:rPr>
        <w:t xml:space="preserve"> MIDROC denies using mercury at Lega Dembi, but it has never adequately accounted for a 100</w:t>
      </w:r>
      <w:r w:rsidR="004A1692">
        <w:rPr>
          <w:color w:val="000000"/>
          <w:sz w:val="22"/>
          <w:szCs w:val="22"/>
        </w:rPr>
        <w:t xml:space="preserve"> </w:t>
      </w:r>
      <w:r w:rsidR="00E7346A" w:rsidRPr="009B4CDA">
        <w:rPr>
          <w:color w:val="000000"/>
          <w:sz w:val="22"/>
          <w:szCs w:val="22"/>
        </w:rPr>
        <w:t xml:space="preserve">kg vat of mercury stored in the “gold room” when MIDROC took over operations from the State, which admits to having used mercury </w:t>
      </w:r>
      <w:r w:rsidR="00F832D1" w:rsidRPr="009B4CDA">
        <w:rPr>
          <w:color w:val="000000"/>
          <w:sz w:val="22"/>
          <w:szCs w:val="22"/>
        </w:rPr>
        <w:t>before the mine was privatized.</w:t>
      </w:r>
      <w:r w:rsidR="00E7346A" w:rsidRPr="009B4CDA">
        <w:rPr>
          <w:color w:val="000000"/>
          <w:sz w:val="22"/>
          <w:szCs w:val="22"/>
        </w:rPr>
        <w:t xml:space="preserve"> Notably, MIDROC refused to allow the AAUBE auditors to enter the gold room, ostensibly for some unspecified “security” reasons.</w:t>
      </w:r>
      <w:r w:rsidR="00631770" w:rsidRPr="009B4CDA">
        <w:rPr>
          <w:rStyle w:val="FootnoteReference"/>
          <w:color w:val="000000"/>
          <w:sz w:val="22"/>
          <w:szCs w:val="22"/>
        </w:rPr>
        <w:footnoteReference w:id="17"/>
      </w:r>
      <w:r w:rsidR="00E7346A" w:rsidRPr="009B4CDA">
        <w:rPr>
          <w:color w:val="000000"/>
          <w:sz w:val="22"/>
          <w:szCs w:val="22"/>
        </w:rPr>
        <w:t xml:space="preserve"> Moreover, even if MIDROC has not used mercury to separate gold from ore, </w:t>
      </w:r>
      <w:r w:rsidR="00F832D1" w:rsidRPr="009B4CDA">
        <w:rPr>
          <w:color w:val="000000"/>
          <w:sz w:val="22"/>
          <w:szCs w:val="22"/>
        </w:rPr>
        <w:t xml:space="preserve">the cyanide used </w:t>
      </w:r>
      <w:r w:rsidR="00E7346A" w:rsidRPr="009B4CDA">
        <w:rPr>
          <w:color w:val="000000"/>
          <w:sz w:val="22"/>
          <w:szCs w:val="22"/>
        </w:rPr>
        <w:t>to separate gold from ore can simultaneously release mercury naturally present in the ore</w:t>
      </w:r>
      <w:r w:rsidR="00F832D1" w:rsidRPr="009B4CDA">
        <w:rPr>
          <w:color w:val="000000"/>
          <w:sz w:val="22"/>
          <w:szCs w:val="22"/>
        </w:rPr>
        <w:t>,</w:t>
      </w:r>
      <w:r w:rsidR="00E7346A" w:rsidRPr="009B4CDA">
        <w:rPr>
          <w:color w:val="000000"/>
          <w:sz w:val="22"/>
          <w:szCs w:val="22"/>
        </w:rPr>
        <w:t xml:space="preserve"> </w:t>
      </w:r>
      <w:r w:rsidR="00CC4948">
        <w:rPr>
          <w:color w:val="000000"/>
          <w:sz w:val="22"/>
          <w:szCs w:val="22"/>
        </w:rPr>
        <w:t xml:space="preserve">and can mobilize </w:t>
      </w:r>
      <w:r w:rsidR="00E7346A" w:rsidRPr="009B4CDA">
        <w:rPr>
          <w:color w:val="000000"/>
          <w:sz w:val="22"/>
          <w:szCs w:val="22"/>
        </w:rPr>
        <w:t>mercury residu</w:t>
      </w:r>
      <w:r w:rsidR="00F832D1" w:rsidRPr="009B4CDA">
        <w:rPr>
          <w:color w:val="000000"/>
          <w:sz w:val="22"/>
          <w:szCs w:val="22"/>
        </w:rPr>
        <w:t>e that may remain from the era of State-owned mining.</w:t>
      </w:r>
      <w:r w:rsidR="00F832D1" w:rsidRPr="009B4CDA">
        <w:rPr>
          <w:rStyle w:val="FootnoteReference"/>
          <w:color w:val="000000"/>
          <w:sz w:val="22"/>
          <w:szCs w:val="22"/>
        </w:rPr>
        <w:footnoteReference w:id="18"/>
      </w:r>
      <w:r w:rsidR="3C033E10" w:rsidRPr="009B4CDA">
        <w:rPr>
          <w:color w:val="000000" w:themeColor="text1"/>
          <w:sz w:val="22"/>
          <w:szCs w:val="22"/>
        </w:rPr>
        <w:t> </w:t>
      </w:r>
    </w:p>
    <w:p w14:paraId="065D9A8D" w14:textId="77777777" w:rsidR="00DE0FDB" w:rsidRPr="009B4CDA" w:rsidRDefault="00DE0FDB" w:rsidP="00D148AE">
      <w:pPr>
        <w:jc w:val="both"/>
        <w:rPr>
          <w:b/>
          <w:bCs/>
          <w:color w:val="000000" w:themeColor="text1"/>
          <w:sz w:val="22"/>
          <w:szCs w:val="22"/>
        </w:rPr>
      </w:pPr>
    </w:p>
    <w:p w14:paraId="0A83FC51" w14:textId="5695B809" w:rsidR="00C82CDF" w:rsidRPr="009B4CDA" w:rsidRDefault="00B00ADF" w:rsidP="00D148AE">
      <w:pPr>
        <w:jc w:val="both"/>
        <w:rPr>
          <w:b/>
          <w:bCs/>
          <w:color w:val="000000"/>
          <w:sz w:val="22"/>
          <w:szCs w:val="22"/>
        </w:rPr>
      </w:pPr>
      <w:r w:rsidRPr="009B4CDA">
        <w:rPr>
          <w:b/>
          <w:bCs/>
          <w:color w:val="000000"/>
          <w:sz w:val="22"/>
          <w:szCs w:val="22"/>
        </w:rPr>
        <w:t xml:space="preserve">3. </w:t>
      </w:r>
      <w:r w:rsidR="00C82CDF" w:rsidRPr="009B4CDA">
        <w:rPr>
          <w:b/>
          <w:bCs/>
          <w:color w:val="000000"/>
          <w:sz w:val="22"/>
          <w:szCs w:val="22"/>
        </w:rPr>
        <w:t>and 4.  Measures for the protection of the environment and related gaps and challenges</w:t>
      </w:r>
    </w:p>
    <w:p w14:paraId="6F484346" w14:textId="77777777" w:rsidR="00E80999" w:rsidRPr="009B4CDA" w:rsidRDefault="00E80999" w:rsidP="00D148AE">
      <w:pPr>
        <w:jc w:val="both"/>
        <w:rPr>
          <w:b/>
          <w:bCs/>
          <w:color w:val="000000"/>
          <w:sz w:val="22"/>
          <w:szCs w:val="22"/>
        </w:rPr>
      </w:pPr>
    </w:p>
    <w:p w14:paraId="00AA6164" w14:textId="48DDBDCC" w:rsidR="00767E02" w:rsidRPr="009B4CDA" w:rsidRDefault="002819FD" w:rsidP="00D148AE">
      <w:pPr>
        <w:jc w:val="both"/>
        <w:rPr>
          <w:color w:val="000000"/>
          <w:sz w:val="22"/>
          <w:szCs w:val="22"/>
        </w:rPr>
      </w:pPr>
      <w:r w:rsidRPr="009B4CDA">
        <w:rPr>
          <w:sz w:val="22"/>
          <w:szCs w:val="22"/>
        </w:rPr>
        <w:t xml:space="preserve">The situation at the Lega Dembi mine illustrates the </w:t>
      </w:r>
      <w:r w:rsidR="00707980" w:rsidRPr="009B4CDA">
        <w:rPr>
          <w:sz w:val="22"/>
          <w:szCs w:val="22"/>
        </w:rPr>
        <w:t>consequences</w:t>
      </w:r>
      <w:r w:rsidRPr="009B4CDA">
        <w:rPr>
          <w:sz w:val="22"/>
          <w:szCs w:val="22"/>
        </w:rPr>
        <w:t xml:space="preserve"> </w:t>
      </w:r>
      <w:r w:rsidR="00CC5F3B" w:rsidRPr="009B4CDA">
        <w:rPr>
          <w:sz w:val="22"/>
          <w:szCs w:val="22"/>
        </w:rPr>
        <w:t>of a</w:t>
      </w:r>
      <w:r w:rsidRPr="009B4CDA">
        <w:rPr>
          <w:sz w:val="22"/>
          <w:szCs w:val="22"/>
        </w:rPr>
        <w:t xml:space="preserve"> legal framework not implemented in practice.</w:t>
      </w:r>
      <w:r w:rsidR="00866402" w:rsidRPr="009B4CDA">
        <w:rPr>
          <w:sz w:val="22"/>
          <w:szCs w:val="22"/>
        </w:rPr>
        <w:t xml:space="preserve"> </w:t>
      </w:r>
      <w:r w:rsidR="00B00ADF" w:rsidRPr="009B4CDA">
        <w:rPr>
          <w:color w:val="000000"/>
          <w:sz w:val="22"/>
          <w:szCs w:val="22"/>
        </w:rPr>
        <w:t>Ethiopia</w:t>
      </w:r>
      <w:r w:rsidR="00770CF8" w:rsidRPr="009B4CDA">
        <w:rPr>
          <w:color w:val="000000"/>
          <w:sz w:val="22"/>
          <w:szCs w:val="22"/>
        </w:rPr>
        <w:t xml:space="preserve">n law </w:t>
      </w:r>
      <w:r w:rsidR="00B00ADF" w:rsidRPr="009B4CDA">
        <w:rPr>
          <w:color w:val="000000"/>
          <w:sz w:val="22"/>
          <w:szCs w:val="22"/>
        </w:rPr>
        <w:t>purports to protect the environment</w:t>
      </w:r>
      <w:r w:rsidR="00B92031" w:rsidRPr="009B4CDA">
        <w:rPr>
          <w:color w:val="000000"/>
          <w:sz w:val="22"/>
          <w:szCs w:val="22"/>
        </w:rPr>
        <w:t>: T</w:t>
      </w:r>
      <w:r w:rsidR="00B00ADF" w:rsidRPr="009B4CDA">
        <w:rPr>
          <w:color w:val="000000"/>
          <w:sz w:val="22"/>
          <w:szCs w:val="22"/>
        </w:rPr>
        <w:t xml:space="preserve">he Constitution </w:t>
      </w:r>
      <w:r w:rsidR="00426FFE" w:rsidRPr="009B4CDA">
        <w:rPr>
          <w:color w:val="000000"/>
          <w:sz w:val="22"/>
          <w:szCs w:val="22"/>
        </w:rPr>
        <w:t>provides</w:t>
      </w:r>
      <w:r w:rsidR="00B00ADF" w:rsidRPr="009B4CDA">
        <w:rPr>
          <w:color w:val="000000"/>
          <w:sz w:val="22"/>
          <w:szCs w:val="22"/>
        </w:rPr>
        <w:t xml:space="preserve"> all persons </w:t>
      </w:r>
      <w:r w:rsidR="00E10047" w:rsidRPr="009B4CDA">
        <w:rPr>
          <w:color w:val="000000"/>
          <w:sz w:val="22"/>
          <w:szCs w:val="22"/>
        </w:rPr>
        <w:t xml:space="preserve">with </w:t>
      </w:r>
      <w:r w:rsidR="00B00ADF" w:rsidRPr="009B4CDA">
        <w:rPr>
          <w:color w:val="000000"/>
          <w:sz w:val="22"/>
          <w:szCs w:val="22"/>
        </w:rPr>
        <w:t xml:space="preserve">the </w:t>
      </w:r>
      <w:r w:rsidR="007A3087" w:rsidRPr="009B4CDA">
        <w:rPr>
          <w:color w:val="000000"/>
          <w:sz w:val="22"/>
          <w:szCs w:val="22"/>
        </w:rPr>
        <w:t>“</w:t>
      </w:r>
      <w:r w:rsidR="00B00ADF" w:rsidRPr="009B4CDA">
        <w:rPr>
          <w:color w:val="000000"/>
          <w:sz w:val="22"/>
          <w:szCs w:val="22"/>
        </w:rPr>
        <w:t>right to a clean and healthy environment</w:t>
      </w:r>
      <w:r w:rsidR="007A3087" w:rsidRPr="009B4CDA">
        <w:rPr>
          <w:color w:val="000000"/>
          <w:sz w:val="22"/>
          <w:szCs w:val="22"/>
        </w:rPr>
        <w:t>”</w:t>
      </w:r>
      <w:r w:rsidR="00E7102E" w:rsidRPr="009B4CDA">
        <w:rPr>
          <w:color w:val="000000"/>
          <w:sz w:val="22"/>
          <w:szCs w:val="22"/>
        </w:rPr>
        <w:t xml:space="preserve"> </w:t>
      </w:r>
      <w:r w:rsidR="00B00ADF" w:rsidRPr="009B4CDA">
        <w:rPr>
          <w:color w:val="000000"/>
          <w:sz w:val="22"/>
          <w:szCs w:val="22"/>
        </w:rPr>
        <w:t xml:space="preserve">and </w:t>
      </w:r>
      <w:r w:rsidR="00D9044A" w:rsidRPr="009B4CDA">
        <w:rPr>
          <w:color w:val="000000"/>
          <w:sz w:val="22"/>
          <w:szCs w:val="22"/>
        </w:rPr>
        <w:t>requires</w:t>
      </w:r>
      <w:r w:rsidR="00B00ADF" w:rsidRPr="009B4CDA">
        <w:rPr>
          <w:color w:val="000000"/>
          <w:sz w:val="22"/>
          <w:szCs w:val="22"/>
        </w:rPr>
        <w:t xml:space="preserve"> the </w:t>
      </w:r>
      <w:r w:rsidR="00890821" w:rsidRPr="009B4CDA">
        <w:rPr>
          <w:color w:val="000000"/>
          <w:sz w:val="22"/>
          <w:szCs w:val="22"/>
        </w:rPr>
        <w:t xml:space="preserve">State </w:t>
      </w:r>
      <w:r w:rsidR="00B00ADF" w:rsidRPr="009B4CDA">
        <w:rPr>
          <w:color w:val="000000"/>
          <w:sz w:val="22"/>
          <w:szCs w:val="22"/>
        </w:rPr>
        <w:t>to ensure development projects do not damage the environment.</w:t>
      </w:r>
      <w:r w:rsidR="00B00ADF" w:rsidRPr="009B4CDA">
        <w:rPr>
          <w:rStyle w:val="FootnoteReference"/>
          <w:color w:val="000000"/>
          <w:sz w:val="22"/>
          <w:szCs w:val="22"/>
        </w:rPr>
        <w:footnoteReference w:id="19"/>
      </w:r>
      <w:r w:rsidR="00B361BF" w:rsidRPr="009B4CDA">
        <w:rPr>
          <w:color w:val="000000"/>
          <w:sz w:val="22"/>
          <w:szCs w:val="22"/>
        </w:rPr>
        <w:t xml:space="preserve"> </w:t>
      </w:r>
      <w:r w:rsidR="00B00ADF" w:rsidRPr="009B4CDA">
        <w:rPr>
          <w:color w:val="000000"/>
          <w:sz w:val="22"/>
          <w:szCs w:val="22"/>
        </w:rPr>
        <w:t xml:space="preserve">The 1997 Environmental Policy of Ethiopia outlines policy </w:t>
      </w:r>
      <w:r w:rsidR="00623A85" w:rsidRPr="009B4CDA">
        <w:rPr>
          <w:color w:val="000000"/>
          <w:sz w:val="22"/>
          <w:szCs w:val="22"/>
        </w:rPr>
        <w:t xml:space="preserve">goals, </w:t>
      </w:r>
      <w:r w:rsidR="004653A2" w:rsidRPr="009B4CDA">
        <w:rPr>
          <w:color w:val="000000"/>
          <w:sz w:val="22"/>
          <w:szCs w:val="22"/>
        </w:rPr>
        <w:t xml:space="preserve">including </w:t>
      </w:r>
      <w:r w:rsidR="00B00ADF" w:rsidRPr="009B4CDA">
        <w:rPr>
          <w:color w:val="000000"/>
          <w:sz w:val="22"/>
          <w:szCs w:val="22"/>
        </w:rPr>
        <w:t xml:space="preserve">regular audits and </w:t>
      </w:r>
      <w:r w:rsidR="00080008" w:rsidRPr="009B4CDA">
        <w:rPr>
          <w:color w:val="000000"/>
          <w:sz w:val="22"/>
          <w:szCs w:val="22"/>
        </w:rPr>
        <w:t xml:space="preserve">environmental </w:t>
      </w:r>
      <w:r w:rsidR="00B00ADF" w:rsidRPr="009B4CDA">
        <w:rPr>
          <w:color w:val="000000"/>
          <w:sz w:val="22"/>
          <w:szCs w:val="22"/>
        </w:rPr>
        <w:t>monitoring</w:t>
      </w:r>
      <w:r w:rsidR="00623A85" w:rsidRPr="009B4CDA">
        <w:rPr>
          <w:color w:val="000000"/>
          <w:sz w:val="22"/>
          <w:szCs w:val="22"/>
        </w:rPr>
        <w:t xml:space="preserve"> with results made available to the public</w:t>
      </w:r>
      <w:r w:rsidR="00B00ADF" w:rsidRPr="009B4CDA">
        <w:rPr>
          <w:color w:val="000000"/>
          <w:sz w:val="22"/>
          <w:szCs w:val="22"/>
        </w:rPr>
        <w:t xml:space="preserve">, </w:t>
      </w:r>
      <w:r w:rsidR="00623A85" w:rsidRPr="009B4CDA">
        <w:rPr>
          <w:color w:val="000000"/>
          <w:sz w:val="22"/>
          <w:szCs w:val="22"/>
        </w:rPr>
        <w:t xml:space="preserve">the </w:t>
      </w:r>
      <w:r w:rsidR="00B00ADF" w:rsidRPr="009B4CDA">
        <w:rPr>
          <w:color w:val="000000"/>
          <w:sz w:val="22"/>
          <w:szCs w:val="22"/>
        </w:rPr>
        <w:t xml:space="preserve">conditioning </w:t>
      </w:r>
      <w:r w:rsidR="00623A85" w:rsidRPr="009B4CDA">
        <w:rPr>
          <w:color w:val="000000"/>
          <w:sz w:val="22"/>
          <w:szCs w:val="22"/>
        </w:rPr>
        <w:t xml:space="preserve">of </w:t>
      </w:r>
      <w:r w:rsidR="00B94337" w:rsidRPr="009B4CDA">
        <w:rPr>
          <w:color w:val="000000"/>
          <w:sz w:val="22"/>
          <w:szCs w:val="22"/>
        </w:rPr>
        <w:t>mine contracts</w:t>
      </w:r>
      <w:r w:rsidR="00B00ADF" w:rsidRPr="009B4CDA">
        <w:rPr>
          <w:color w:val="000000"/>
          <w:sz w:val="22"/>
          <w:szCs w:val="22"/>
        </w:rPr>
        <w:t xml:space="preserve"> on pre-development environmental impact </w:t>
      </w:r>
      <w:r w:rsidR="00890821" w:rsidRPr="009B4CDA">
        <w:rPr>
          <w:color w:val="000000"/>
          <w:sz w:val="22"/>
          <w:szCs w:val="22"/>
        </w:rPr>
        <w:t xml:space="preserve">assessments (EIAs), </w:t>
      </w:r>
      <w:r w:rsidR="00B00ADF" w:rsidRPr="009B4CDA">
        <w:rPr>
          <w:color w:val="000000"/>
          <w:sz w:val="22"/>
          <w:szCs w:val="22"/>
        </w:rPr>
        <w:t>sound</w:t>
      </w:r>
      <w:r w:rsidR="00A34393" w:rsidRPr="009B4CDA">
        <w:rPr>
          <w:color w:val="000000"/>
          <w:sz w:val="22"/>
          <w:szCs w:val="22"/>
        </w:rPr>
        <w:t xml:space="preserve"> </w:t>
      </w:r>
      <w:r w:rsidR="00B00ADF" w:rsidRPr="009B4CDA">
        <w:rPr>
          <w:color w:val="000000"/>
          <w:sz w:val="22"/>
          <w:szCs w:val="22"/>
        </w:rPr>
        <w:t xml:space="preserve">management during operation, and </w:t>
      </w:r>
      <w:r w:rsidR="00623A85" w:rsidRPr="009B4CDA">
        <w:rPr>
          <w:color w:val="000000"/>
          <w:sz w:val="22"/>
          <w:szCs w:val="22"/>
        </w:rPr>
        <w:t xml:space="preserve">the </w:t>
      </w:r>
      <w:r w:rsidR="00B00ADF" w:rsidRPr="009B4CDA">
        <w:rPr>
          <w:color w:val="000000"/>
          <w:sz w:val="22"/>
          <w:szCs w:val="22"/>
        </w:rPr>
        <w:t>endors</w:t>
      </w:r>
      <w:r w:rsidR="00623A85" w:rsidRPr="009B4CDA">
        <w:rPr>
          <w:color w:val="000000"/>
          <w:sz w:val="22"/>
          <w:szCs w:val="22"/>
        </w:rPr>
        <w:t>ement of</w:t>
      </w:r>
      <w:r w:rsidR="00B00ADF" w:rsidRPr="009B4CDA">
        <w:rPr>
          <w:color w:val="000000"/>
          <w:sz w:val="22"/>
          <w:szCs w:val="22"/>
        </w:rPr>
        <w:t xml:space="preserve"> both precautionary and “polluter pays” principles to control pollution.</w:t>
      </w:r>
      <w:r w:rsidR="00B00ADF" w:rsidRPr="009B4CDA">
        <w:rPr>
          <w:rStyle w:val="FootnoteReference"/>
          <w:color w:val="000000"/>
          <w:sz w:val="22"/>
          <w:szCs w:val="22"/>
        </w:rPr>
        <w:footnoteReference w:id="20"/>
      </w:r>
      <w:r w:rsidR="003E4103" w:rsidRPr="009B4CDA">
        <w:rPr>
          <w:color w:val="000000"/>
          <w:sz w:val="22"/>
          <w:szCs w:val="22"/>
        </w:rPr>
        <w:t xml:space="preserve"> </w:t>
      </w:r>
      <w:r w:rsidR="00B00ADF" w:rsidRPr="009B4CDA">
        <w:rPr>
          <w:color w:val="000000"/>
          <w:sz w:val="22"/>
          <w:szCs w:val="22"/>
        </w:rPr>
        <w:t>Ethiopia’s Environmental Protection Authority</w:t>
      </w:r>
      <w:r w:rsidR="00767E02" w:rsidRPr="009B4CDA">
        <w:rPr>
          <w:color w:val="000000"/>
          <w:sz w:val="22"/>
          <w:szCs w:val="22"/>
        </w:rPr>
        <w:t xml:space="preserve"> (EPA)</w:t>
      </w:r>
      <w:r w:rsidR="00B00ADF" w:rsidRPr="009B4CDA">
        <w:rPr>
          <w:color w:val="000000"/>
          <w:sz w:val="22"/>
          <w:szCs w:val="22"/>
        </w:rPr>
        <w:t xml:space="preserve"> requires </w:t>
      </w:r>
      <w:r w:rsidR="00890821" w:rsidRPr="009B4CDA">
        <w:rPr>
          <w:color w:val="000000"/>
          <w:sz w:val="22"/>
          <w:szCs w:val="22"/>
        </w:rPr>
        <w:t>EIAs</w:t>
      </w:r>
      <w:r w:rsidR="00B00ADF" w:rsidRPr="009B4CDA">
        <w:rPr>
          <w:color w:val="000000"/>
          <w:sz w:val="22"/>
          <w:szCs w:val="22"/>
        </w:rPr>
        <w:t xml:space="preserve"> prior to fede</w:t>
      </w:r>
      <w:r w:rsidR="00623A85" w:rsidRPr="009B4CDA">
        <w:rPr>
          <w:color w:val="000000"/>
          <w:sz w:val="22"/>
          <w:szCs w:val="22"/>
        </w:rPr>
        <w:t xml:space="preserve">ral licensing of projects that </w:t>
      </w:r>
      <w:r w:rsidR="00C440B7">
        <w:rPr>
          <w:color w:val="000000"/>
          <w:sz w:val="22"/>
          <w:szCs w:val="22"/>
        </w:rPr>
        <w:t xml:space="preserve">are likely to have negative </w:t>
      </w:r>
      <w:r w:rsidR="00B00ADF" w:rsidRPr="009B4CDA">
        <w:rPr>
          <w:color w:val="000000"/>
          <w:sz w:val="22"/>
          <w:szCs w:val="22"/>
        </w:rPr>
        <w:t>environmental impacts</w:t>
      </w:r>
      <w:r w:rsidR="009F25CF" w:rsidRPr="009B4CDA">
        <w:rPr>
          <w:color w:val="000000"/>
          <w:sz w:val="22"/>
          <w:szCs w:val="22"/>
        </w:rPr>
        <w:t>.</w:t>
      </w:r>
      <w:r w:rsidR="009F25CF" w:rsidRPr="009B4CDA">
        <w:rPr>
          <w:rStyle w:val="FootnoteReference"/>
          <w:color w:val="000000"/>
          <w:sz w:val="22"/>
          <w:szCs w:val="22"/>
        </w:rPr>
        <w:footnoteReference w:id="21"/>
      </w:r>
      <w:r w:rsidR="009F25CF" w:rsidRPr="009B4CDA">
        <w:rPr>
          <w:color w:val="000000"/>
          <w:sz w:val="22"/>
          <w:szCs w:val="22"/>
        </w:rPr>
        <w:t> </w:t>
      </w:r>
      <w:r w:rsidR="00767E02" w:rsidRPr="009B4CDA">
        <w:rPr>
          <w:color w:val="000000"/>
          <w:sz w:val="22"/>
          <w:szCs w:val="22"/>
        </w:rPr>
        <w:t xml:space="preserve"> </w:t>
      </w:r>
      <w:r w:rsidR="00CC4948">
        <w:rPr>
          <w:color w:val="000000"/>
          <w:sz w:val="22"/>
          <w:szCs w:val="22"/>
        </w:rPr>
        <w:t xml:space="preserve">  </w:t>
      </w:r>
    </w:p>
    <w:p w14:paraId="7648E504" w14:textId="40F97E1C" w:rsidR="00F256A1" w:rsidRPr="009B4CDA" w:rsidRDefault="00F256A1" w:rsidP="00D148AE">
      <w:pPr>
        <w:jc w:val="both"/>
        <w:rPr>
          <w:color w:val="000000"/>
          <w:sz w:val="22"/>
          <w:szCs w:val="22"/>
        </w:rPr>
      </w:pPr>
    </w:p>
    <w:p w14:paraId="2C0B41C4" w14:textId="387F551D" w:rsidR="00615FAE" w:rsidRDefault="00F256A1" w:rsidP="00615FAE">
      <w:pPr>
        <w:jc w:val="both"/>
        <w:rPr>
          <w:color w:val="000000"/>
          <w:sz w:val="22"/>
          <w:szCs w:val="22"/>
        </w:rPr>
      </w:pPr>
      <w:r w:rsidRPr="009B4CDA">
        <w:rPr>
          <w:color w:val="000000"/>
          <w:sz w:val="22"/>
          <w:szCs w:val="22"/>
        </w:rPr>
        <w:t xml:space="preserve">None of this has been implemented with respect to </w:t>
      </w:r>
      <w:r w:rsidR="00605C1E">
        <w:rPr>
          <w:color w:val="000000"/>
          <w:sz w:val="22"/>
          <w:szCs w:val="22"/>
        </w:rPr>
        <w:t>Lega Dembi</w:t>
      </w:r>
      <w:r w:rsidRPr="009B4CDA">
        <w:rPr>
          <w:color w:val="000000"/>
          <w:sz w:val="22"/>
          <w:szCs w:val="22"/>
        </w:rPr>
        <w:t xml:space="preserve">.  </w:t>
      </w:r>
      <w:r w:rsidR="006C73D5" w:rsidRPr="009B4CDA">
        <w:rPr>
          <w:color w:val="000000"/>
          <w:sz w:val="22"/>
          <w:szCs w:val="22"/>
        </w:rPr>
        <w:t xml:space="preserve">The </w:t>
      </w:r>
      <w:r w:rsidR="005F01F6" w:rsidRPr="009B4CDA">
        <w:rPr>
          <w:color w:val="000000"/>
          <w:sz w:val="22"/>
          <w:szCs w:val="22"/>
        </w:rPr>
        <w:t xml:space="preserve">2018 </w:t>
      </w:r>
      <w:r w:rsidR="00F13826">
        <w:rPr>
          <w:color w:val="000000"/>
          <w:sz w:val="22"/>
          <w:szCs w:val="22"/>
        </w:rPr>
        <w:t>AAUBE audit concluded:</w:t>
      </w:r>
    </w:p>
    <w:p w14:paraId="07F11D45" w14:textId="77777777" w:rsidR="00F13826" w:rsidRPr="009B4CDA" w:rsidRDefault="00F13826" w:rsidP="00615FAE">
      <w:pPr>
        <w:jc w:val="both"/>
        <w:rPr>
          <w:color w:val="000000"/>
          <w:sz w:val="22"/>
          <w:szCs w:val="22"/>
        </w:rPr>
      </w:pPr>
    </w:p>
    <w:p w14:paraId="650006B0" w14:textId="687AD94E" w:rsidR="006C73D5" w:rsidRPr="009B4CDA" w:rsidRDefault="00615FAE" w:rsidP="00615FAE">
      <w:pPr>
        <w:ind w:left="432"/>
        <w:jc w:val="both"/>
        <w:rPr>
          <w:color w:val="000000"/>
          <w:sz w:val="22"/>
          <w:szCs w:val="22"/>
        </w:rPr>
      </w:pPr>
      <w:r>
        <w:rPr>
          <w:color w:val="000000"/>
          <w:sz w:val="22"/>
          <w:szCs w:val="22"/>
        </w:rPr>
        <w:t>“</w:t>
      </w:r>
      <w:r w:rsidR="006C73D5" w:rsidRPr="009B4CDA">
        <w:rPr>
          <w:color w:val="000000"/>
          <w:sz w:val="22"/>
          <w:szCs w:val="22"/>
        </w:rPr>
        <w:t xml:space="preserve">The overall audit findings are that the </w:t>
      </w:r>
      <w:r w:rsidR="00134D62" w:rsidRPr="009B4CDA">
        <w:rPr>
          <w:color w:val="000000"/>
          <w:sz w:val="22"/>
          <w:szCs w:val="22"/>
        </w:rPr>
        <w:t>MMPNG [</w:t>
      </w:r>
      <w:r w:rsidR="00265B05" w:rsidRPr="009B4CDA">
        <w:rPr>
          <w:color w:val="000000"/>
          <w:sz w:val="22"/>
          <w:szCs w:val="22"/>
        </w:rPr>
        <w:t>Ministry of Mines, Petroleum and Natural Gas</w:t>
      </w:r>
      <w:r w:rsidR="00134D62" w:rsidRPr="009B4CDA">
        <w:rPr>
          <w:color w:val="000000"/>
          <w:sz w:val="22"/>
          <w:szCs w:val="22"/>
        </w:rPr>
        <w:t xml:space="preserve">] </w:t>
      </w:r>
      <w:r w:rsidR="006C73D5" w:rsidRPr="009B4CDA">
        <w:rPr>
          <w:color w:val="000000"/>
          <w:sz w:val="22"/>
          <w:szCs w:val="22"/>
        </w:rPr>
        <w:t>and MoEFCC</w:t>
      </w:r>
      <w:r w:rsidR="00003575">
        <w:rPr>
          <w:color w:val="000000"/>
          <w:sz w:val="22"/>
          <w:szCs w:val="22"/>
        </w:rPr>
        <w:t>’</w:t>
      </w:r>
      <w:r w:rsidR="00265B05" w:rsidRPr="009B4CDA">
        <w:rPr>
          <w:color w:val="000000"/>
          <w:sz w:val="22"/>
          <w:szCs w:val="22"/>
        </w:rPr>
        <w:t>s</w:t>
      </w:r>
      <w:r w:rsidR="006C73D5" w:rsidRPr="009B4CDA">
        <w:rPr>
          <w:color w:val="000000"/>
          <w:sz w:val="22"/>
          <w:szCs w:val="22"/>
        </w:rPr>
        <w:t xml:space="preserve"> </w:t>
      </w:r>
      <w:r w:rsidR="00134D62" w:rsidRPr="009B4CDA">
        <w:rPr>
          <w:color w:val="000000"/>
          <w:sz w:val="22"/>
          <w:szCs w:val="22"/>
        </w:rPr>
        <w:t xml:space="preserve">[Ministry of Environment, Forest and Climate Change] </w:t>
      </w:r>
      <w:r w:rsidR="006C73D5" w:rsidRPr="009B4CDA">
        <w:rPr>
          <w:color w:val="000000"/>
          <w:sz w:val="22"/>
          <w:szCs w:val="22"/>
        </w:rPr>
        <w:t>compliance and enforcement activities of the mine are inadequate to protect the area from significant health and environmental risks. We found neglect in compliance and enforcement program activities within the MMPNG, and significant deficiencies within the MoEFCC activities.”</w:t>
      </w:r>
      <w:r w:rsidR="00C440B7">
        <w:rPr>
          <w:rStyle w:val="FootnoteReference"/>
          <w:color w:val="000000"/>
          <w:sz w:val="22"/>
          <w:szCs w:val="22"/>
        </w:rPr>
        <w:footnoteReference w:id="22"/>
      </w:r>
      <w:r w:rsidR="00CE4C0E" w:rsidRPr="009B4CDA" w:rsidDel="00CE4C0E">
        <w:rPr>
          <w:rStyle w:val="FootnoteReference"/>
          <w:color w:val="000000"/>
          <w:sz w:val="22"/>
          <w:szCs w:val="22"/>
        </w:rPr>
        <w:t xml:space="preserve"> </w:t>
      </w:r>
    </w:p>
    <w:p w14:paraId="1BA999BA" w14:textId="750DE404" w:rsidR="006C73D5" w:rsidRPr="009B4CDA" w:rsidRDefault="006C73D5" w:rsidP="00D148AE">
      <w:pPr>
        <w:ind w:left="432"/>
        <w:jc w:val="both"/>
        <w:rPr>
          <w:color w:val="000000"/>
          <w:sz w:val="22"/>
          <w:szCs w:val="22"/>
        </w:rPr>
      </w:pPr>
    </w:p>
    <w:p w14:paraId="1721DD51" w14:textId="36197C74" w:rsidR="005F01F6" w:rsidRPr="009B4CDA" w:rsidRDefault="006C73D5" w:rsidP="00D148AE">
      <w:pPr>
        <w:ind w:left="432"/>
        <w:jc w:val="both"/>
        <w:rPr>
          <w:color w:val="000000"/>
          <w:sz w:val="22"/>
          <w:szCs w:val="22"/>
        </w:rPr>
      </w:pPr>
      <w:r w:rsidRPr="009B4CDA">
        <w:rPr>
          <w:color w:val="000000"/>
          <w:sz w:val="22"/>
          <w:szCs w:val="22"/>
        </w:rPr>
        <w:t xml:space="preserve">“MMPNG regulatory oversight activities are inadequate. MMPNG’s mandate to promote the mining industry conflicts with its role as a regulator, thus reducing its regulatory effectiveness, particularly with respect to safety, health and environmental issues. The fact that the ministry signed the Sakaro Mining contract agreement before submission of Environmental and Social Impact Assessment report and mine </w:t>
      </w:r>
      <w:r w:rsidR="005F01F6" w:rsidRPr="009B4CDA">
        <w:rPr>
          <w:color w:val="000000"/>
          <w:sz w:val="22"/>
          <w:szCs w:val="22"/>
        </w:rPr>
        <w:t>rehabilitation plan and before obtaining Environmental Clearance Certificate is a clear reflection of the dual role of the ministry.</w:t>
      </w:r>
      <w:r w:rsidR="00327E42" w:rsidRPr="009B4CDA">
        <w:rPr>
          <w:color w:val="000000"/>
          <w:sz w:val="22"/>
          <w:szCs w:val="22"/>
        </w:rPr>
        <w:t xml:space="preserve"> </w:t>
      </w:r>
    </w:p>
    <w:p w14:paraId="1EB23C73" w14:textId="77777777" w:rsidR="005F01F6" w:rsidRPr="009B4CDA" w:rsidRDefault="005F01F6" w:rsidP="00D148AE">
      <w:pPr>
        <w:ind w:left="432"/>
        <w:jc w:val="both"/>
        <w:rPr>
          <w:color w:val="000000"/>
          <w:sz w:val="22"/>
          <w:szCs w:val="22"/>
        </w:rPr>
      </w:pPr>
    </w:p>
    <w:p w14:paraId="147912DB" w14:textId="0BF6231C" w:rsidR="005F01F6" w:rsidRPr="009B4CDA" w:rsidRDefault="005F01F6" w:rsidP="00D148AE">
      <w:pPr>
        <w:ind w:left="432"/>
        <w:jc w:val="both"/>
        <w:rPr>
          <w:color w:val="000000"/>
          <w:sz w:val="22"/>
          <w:szCs w:val="22"/>
        </w:rPr>
      </w:pPr>
      <w:r w:rsidRPr="009B4CDA">
        <w:rPr>
          <w:color w:val="000000"/>
          <w:sz w:val="22"/>
          <w:szCs w:val="22"/>
        </w:rPr>
        <w:t>Although MoEFCC has adopted compliance and enforcement legislative framework</w:t>
      </w:r>
      <w:r w:rsidR="00003575">
        <w:rPr>
          <w:color w:val="000000"/>
          <w:sz w:val="22"/>
          <w:szCs w:val="22"/>
        </w:rPr>
        <w:t>s</w:t>
      </w:r>
      <w:r w:rsidRPr="009B4CDA">
        <w:rPr>
          <w:color w:val="000000"/>
          <w:sz w:val="22"/>
          <w:szCs w:val="22"/>
        </w:rPr>
        <w:t>, there are significant gaps in implementing the frameworks that were issued. MoEFCC has not yet provided any approved standards for environmental pollutants of mining. . . Inspections by MMPNG and MoEFCC did not meet regulatory requirements. Neither MMPNG nor MoEFCC are conducting adequate monitoring and regular site inspections and neither have assessed how this is impacting risks.</w:t>
      </w:r>
    </w:p>
    <w:p w14:paraId="0475C148" w14:textId="77777777" w:rsidR="005F01F6" w:rsidRPr="009B4CDA" w:rsidRDefault="005F01F6" w:rsidP="00D148AE">
      <w:pPr>
        <w:ind w:left="432"/>
        <w:jc w:val="both"/>
        <w:rPr>
          <w:color w:val="000000"/>
          <w:sz w:val="22"/>
          <w:szCs w:val="22"/>
        </w:rPr>
      </w:pPr>
    </w:p>
    <w:p w14:paraId="16C88116" w14:textId="04E020B3" w:rsidR="005F01F6" w:rsidRDefault="005F01F6" w:rsidP="00D148AE">
      <w:pPr>
        <w:ind w:left="432"/>
        <w:jc w:val="both"/>
        <w:rPr>
          <w:color w:val="000000"/>
          <w:sz w:val="22"/>
          <w:szCs w:val="22"/>
        </w:rPr>
      </w:pPr>
      <w:r w:rsidRPr="009B4CDA">
        <w:rPr>
          <w:color w:val="000000"/>
          <w:sz w:val="22"/>
          <w:szCs w:val="22"/>
        </w:rPr>
        <w:t>Both ministries lack sufficient resources and tools to manage environmental risks from mining activities. eg. Standards and laboratories, resources dedicated to the regulatory activities of monitoring, compliance and enforcement.</w:t>
      </w:r>
      <w:r w:rsidR="003F76F1" w:rsidRPr="009B4CDA">
        <w:rPr>
          <w:rStyle w:val="FootnoteReference"/>
          <w:color w:val="000000"/>
          <w:sz w:val="22"/>
          <w:szCs w:val="22"/>
        </w:rPr>
        <w:footnoteReference w:id="23"/>
      </w:r>
    </w:p>
    <w:p w14:paraId="25531F50" w14:textId="652BA692" w:rsidR="008068CF" w:rsidRDefault="008068CF" w:rsidP="00D148AE">
      <w:pPr>
        <w:ind w:left="432"/>
        <w:jc w:val="both"/>
        <w:rPr>
          <w:color w:val="000000"/>
          <w:sz w:val="22"/>
          <w:szCs w:val="22"/>
        </w:rPr>
      </w:pPr>
    </w:p>
    <w:p w14:paraId="099DE2DC" w14:textId="7B8A69AD" w:rsidR="00456FEF" w:rsidRPr="009B4CDA" w:rsidRDefault="003F76F1" w:rsidP="00D148AE">
      <w:pPr>
        <w:jc w:val="both"/>
        <w:rPr>
          <w:color w:val="000000"/>
          <w:sz w:val="22"/>
          <w:szCs w:val="22"/>
        </w:rPr>
      </w:pPr>
      <w:r w:rsidRPr="009B4CDA">
        <w:rPr>
          <w:color w:val="000000"/>
          <w:sz w:val="22"/>
          <w:szCs w:val="22"/>
        </w:rPr>
        <w:t xml:space="preserve">Despite the serious shortcomings disclosed by the </w:t>
      </w:r>
      <w:r w:rsidR="00134D62" w:rsidRPr="009B4CDA">
        <w:rPr>
          <w:color w:val="000000"/>
          <w:sz w:val="22"/>
          <w:szCs w:val="22"/>
        </w:rPr>
        <w:t xml:space="preserve">AAUBE </w:t>
      </w:r>
      <w:r w:rsidRPr="009B4CDA">
        <w:rPr>
          <w:color w:val="000000"/>
          <w:sz w:val="22"/>
          <w:szCs w:val="22"/>
        </w:rPr>
        <w:t>audit, a month after receiving the report</w:t>
      </w:r>
      <w:r w:rsidR="00003575">
        <w:rPr>
          <w:color w:val="000000"/>
          <w:sz w:val="22"/>
          <w:szCs w:val="22"/>
        </w:rPr>
        <w:t xml:space="preserve"> the</w:t>
      </w:r>
      <w:r w:rsidRPr="009B4CDA">
        <w:rPr>
          <w:color w:val="000000"/>
          <w:sz w:val="22"/>
          <w:szCs w:val="22"/>
        </w:rPr>
        <w:t xml:space="preserve"> </w:t>
      </w:r>
      <w:r w:rsidR="009B4CDA" w:rsidRPr="009B4CDA">
        <w:rPr>
          <w:color w:val="000000"/>
          <w:sz w:val="22"/>
          <w:szCs w:val="22"/>
        </w:rPr>
        <w:t>Ministry of Mines</w:t>
      </w:r>
      <w:r w:rsidR="005F01F6" w:rsidRPr="009B4CDA">
        <w:rPr>
          <w:color w:val="000000"/>
          <w:sz w:val="22"/>
          <w:szCs w:val="22"/>
        </w:rPr>
        <w:t xml:space="preserve"> </w:t>
      </w:r>
      <w:r w:rsidR="009B4CDA" w:rsidRPr="009B4CDA">
        <w:rPr>
          <w:color w:val="000000"/>
          <w:sz w:val="22"/>
          <w:szCs w:val="22"/>
        </w:rPr>
        <w:t xml:space="preserve">renewed </w:t>
      </w:r>
      <w:r w:rsidR="005F01F6" w:rsidRPr="009B4CDA">
        <w:rPr>
          <w:color w:val="000000"/>
          <w:sz w:val="22"/>
          <w:szCs w:val="22"/>
        </w:rPr>
        <w:t>MIDROC</w:t>
      </w:r>
      <w:r w:rsidR="009B4CDA" w:rsidRPr="009B4CDA">
        <w:rPr>
          <w:color w:val="000000"/>
          <w:sz w:val="22"/>
          <w:szCs w:val="22"/>
        </w:rPr>
        <w:t xml:space="preserve">’s </w:t>
      </w:r>
      <w:r w:rsidR="005F01F6" w:rsidRPr="009B4CDA">
        <w:rPr>
          <w:color w:val="000000"/>
          <w:sz w:val="22"/>
          <w:szCs w:val="22"/>
        </w:rPr>
        <w:t>license</w:t>
      </w:r>
      <w:r w:rsidR="009B4CDA" w:rsidRPr="009B4CDA">
        <w:rPr>
          <w:color w:val="000000"/>
          <w:sz w:val="22"/>
          <w:szCs w:val="22"/>
        </w:rPr>
        <w:t xml:space="preserve"> for an additional ten years</w:t>
      </w:r>
      <w:r w:rsidR="005F01F6" w:rsidRPr="009B4CDA">
        <w:rPr>
          <w:color w:val="000000"/>
          <w:sz w:val="22"/>
          <w:szCs w:val="22"/>
        </w:rPr>
        <w:t>. Only because of the protests that erupted in response to th</w:t>
      </w:r>
      <w:r w:rsidR="009B4CDA" w:rsidRPr="009B4CDA">
        <w:rPr>
          <w:color w:val="000000"/>
          <w:sz w:val="22"/>
          <w:szCs w:val="22"/>
        </w:rPr>
        <w:t>is decision</w:t>
      </w:r>
      <w:r w:rsidR="005F01F6" w:rsidRPr="009B4CDA">
        <w:rPr>
          <w:color w:val="000000"/>
          <w:sz w:val="22"/>
          <w:szCs w:val="22"/>
        </w:rPr>
        <w:t xml:space="preserve"> did the State change course and suspend the mine’</w:t>
      </w:r>
      <w:r w:rsidR="00D71D2A" w:rsidRPr="009B4CDA">
        <w:rPr>
          <w:color w:val="000000"/>
          <w:sz w:val="22"/>
          <w:szCs w:val="22"/>
        </w:rPr>
        <w:t>s license.</w:t>
      </w:r>
      <w:r w:rsidR="005F01F6" w:rsidRPr="009B4CDA">
        <w:rPr>
          <w:color w:val="000000"/>
          <w:sz w:val="22"/>
          <w:szCs w:val="22"/>
        </w:rPr>
        <w:t xml:space="preserve"> As for the AAUBE report</w:t>
      </w:r>
      <w:r w:rsidR="00D71D2A" w:rsidRPr="009B4CDA">
        <w:rPr>
          <w:color w:val="000000"/>
          <w:sz w:val="22"/>
          <w:szCs w:val="22"/>
        </w:rPr>
        <w:t>? It</w:t>
      </w:r>
      <w:r w:rsidR="005F01F6" w:rsidRPr="009B4CDA">
        <w:rPr>
          <w:color w:val="000000"/>
          <w:sz w:val="22"/>
          <w:szCs w:val="22"/>
        </w:rPr>
        <w:t xml:space="preserve"> was suppressed and n</w:t>
      </w:r>
      <w:r w:rsidR="00DA75EC">
        <w:rPr>
          <w:color w:val="000000"/>
          <w:sz w:val="22"/>
          <w:szCs w:val="22"/>
        </w:rPr>
        <w:t xml:space="preserve">ot made available to the public, yet </w:t>
      </w:r>
      <w:r w:rsidR="00DA75EC" w:rsidRPr="00DA75EC">
        <w:rPr>
          <w:color w:val="000000"/>
          <w:sz w:val="22"/>
          <w:szCs w:val="22"/>
        </w:rPr>
        <w:t>another indicati</w:t>
      </w:r>
      <w:r w:rsidR="00DA75EC">
        <w:rPr>
          <w:color w:val="000000"/>
          <w:sz w:val="22"/>
          <w:szCs w:val="22"/>
        </w:rPr>
        <w:t>on of the unwillingness of the S</w:t>
      </w:r>
      <w:r w:rsidR="00DA75EC" w:rsidRPr="00DA75EC">
        <w:rPr>
          <w:color w:val="000000"/>
          <w:sz w:val="22"/>
          <w:szCs w:val="22"/>
        </w:rPr>
        <w:t>tate to address these profound problems.</w:t>
      </w:r>
    </w:p>
    <w:p w14:paraId="16D2BD87" w14:textId="51A7633A" w:rsidR="006C73D5" w:rsidRPr="009B4CDA" w:rsidRDefault="006C73D5" w:rsidP="00D148AE">
      <w:pPr>
        <w:ind w:left="720" w:right="720"/>
        <w:jc w:val="both"/>
        <w:rPr>
          <w:color w:val="000000"/>
          <w:sz w:val="22"/>
          <w:szCs w:val="22"/>
        </w:rPr>
      </w:pPr>
    </w:p>
    <w:p w14:paraId="1D483790" w14:textId="32A5534D" w:rsidR="00E80999" w:rsidRPr="009B4CDA" w:rsidRDefault="00B00ADF" w:rsidP="00D148AE">
      <w:pPr>
        <w:shd w:val="clear" w:color="auto" w:fill="FFFFFF" w:themeFill="background1"/>
        <w:rPr>
          <w:b/>
          <w:bCs/>
          <w:color w:val="000000"/>
          <w:sz w:val="22"/>
          <w:szCs w:val="22"/>
        </w:rPr>
      </w:pPr>
      <w:r w:rsidRPr="009B4CDA">
        <w:rPr>
          <w:b/>
          <w:bCs/>
          <w:color w:val="000000"/>
          <w:sz w:val="22"/>
          <w:szCs w:val="22"/>
        </w:rPr>
        <w:t xml:space="preserve">5. </w:t>
      </w:r>
      <w:r w:rsidR="00E80999" w:rsidRPr="009B4CDA">
        <w:rPr>
          <w:b/>
          <w:bCs/>
          <w:color w:val="000000"/>
          <w:sz w:val="22"/>
          <w:szCs w:val="22"/>
        </w:rPr>
        <w:t>State Measures to Fulfil</w:t>
      </w:r>
      <w:r w:rsidR="00454326">
        <w:rPr>
          <w:b/>
          <w:bCs/>
          <w:color w:val="000000"/>
          <w:sz w:val="22"/>
          <w:szCs w:val="22"/>
        </w:rPr>
        <w:t>l</w:t>
      </w:r>
      <w:r w:rsidR="00E80999" w:rsidRPr="009B4CDA">
        <w:rPr>
          <w:b/>
          <w:bCs/>
          <w:color w:val="000000"/>
          <w:sz w:val="22"/>
          <w:szCs w:val="22"/>
        </w:rPr>
        <w:t xml:space="preserve"> Children’s Right to Participate</w:t>
      </w:r>
    </w:p>
    <w:p w14:paraId="7674F862" w14:textId="77777777" w:rsidR="00E93237" w:rsidRPr="009B4CDA" w:rsidRDefault="00E93237" w:rsidP="00D148AE">
      <w:pPr>
        <w:shd w:val="clear" w:color="auto" w:fill="FFFFFF" w:themeFill="background1"/>
        <w:rPr>
          <w:b/>
          <w:bCs/>
          <w:color w:val="000000"/>
          <w:sz w:val="22"/>
          <w:szCs w:val="22"/>
        </w:rPr>
      </w:pPr>
    </w:p>
    <w:p w14:paraId="1258C15D" w14:textId="0C16E68D" w:rsidR="00B00ADF" w:rsidRPr="009B4CDA" w:rsidRDefault="00B00ADF" w:rsidP="00D148AE">
      <w:pPr>
        <w:shd w:val="clear" w:color="auto" w:fill="FFFFFF" w:themeFill="background1"/>
        <w:rPr>
          <w:color w:val="000000" w:themeColor="text1"/>
          <w:sz w:val="22"/>
          <w:szCs w:val="22"/>
        </w:rPr>
      </w:pPr>
      <w:r w:rsidRPr="009B4CDA">
        <w:rPr>
          <w:color w:val="000000"/>
          <w:sz w:val="22"/>
          <w:szCs w:val="22"/>
        </w:rPr>
        <w:t>Ethiopia’s Constitution provides</w:t>
      </w:r>
      <w:r w:rsidR="00D06FBE" w:rsidRPr="009B4CDA">
        <w:rPr>
          <w:color w:val="000000"/>
          <w:sz w:val="22"/>
          <w:szCs w:val="22"/>
        </w:rPr>
        <w:t xml:space="preserve"> </w:t>
      </w:r>
      <w:r w:rsidRPr="009B4CDA">
        <w:rPr>
          <w:color w:val="000000"/>
          <w:sz w:val="22"/>
          <w:szCs w:val="22"/>
        </w:rPr>
        <w:t>several guarantees on the right to participate</w:t>
      </w:r>
      <w:r w:rsidR="00B30024" w:rsidRPr="009B4CDA">
        <w:rPr>
          <w:color w:val="000000"/>
          <w:sz w:val="22"/>
          <w:szCs w:val="22"/>
        </w:rPr>
        <w:t xml:space="preserve">, including </w:t>
      </w:r>
      <w:r w:rsidR="00E017BC">
        <w:rPr>
          <w:color w:val="000000"/>
          <w:sz w:val="22"/>
          <w:szCs w:val="22"/>
        </w:rPr>
        <w:t>that</w:t>
      </w:r>
      <w:r w:rsidRPr="009B4CDA">
        <w:rPr>
          <w:color w:val="000000"/>
          <w:sz w:val="22"/>
          <w:szCs w:val="22"/>
        </w:rPr>
        <w:t xml:space="preserve"> </w:t>
      </w:r>
      <w:r w:rsidR="00E017BC">
        <w:rPr>
          <w:color w:val="000000"/>
          <w:sz w:val="22"/>
          <w:szCs w:val="22"/>
        </w:rPr>
        <w:t>“[</w:t>
      </w:r>
      <w:r w:rsidR="00563926">
        <w:rPr>
          <w:color w:val="000000"/>
          <w:sz w:val="22"/>
          <w:szCs w:val="22"/>
        </w:rPr>
        <w:t xml:space="preserve">n]ationals </w:t>
      </w:r>
      <w:r w:rsidRPr="009B4CDA">
        <w:rPr>
          <w:color w:val="000000"/>
          <w:sz w:val="22"/>
          <w:szCs w:val="22"/>
        </w:rPr>
        <w:t>have the right to participate in national development and, in particular, to be consulted with respect to policies and projects affecting their community.”</w:t>
      </w:r>
      <w:r w:rsidRPr="009B4CDA">
        <w:rPr>
          <w:rStyle w:val="FootnoteReference"/>
          <w:color w:val="000000"/>
          <w:sz w:val="22"/>
          <w:szCs w:val="22"/>
        </w:rPr>
        <w:footnoteReference w:id="24"/>
      </w:r>
      <w:r w:rsidRPr="009B4CDA">
        <w:rPr>
          <w:color w:val="000000"/>
          <w:sz w:val="22"/>
          <w:szCs w:val="22"/>
        </w:rPr>
        <w:t xml:space="preserve"> </w:t>
      </w:r>
      <w:r w:rsidR="00AE47D4">
        <w:rPr>
          <w:color w:val="000000"/>
          <w:sz w:val="22"/>
          <w:szCs w:val="22"/>
        </w:rPr>
        <w:t>The Constitution makes ratified treaties “an integral part of the law of the land,”</w:t>
      </w:r>
      <w:r w:rsidR="00AE47D4">
        <w:rPr>
          <w:rStyle w:val="FootnoteReference"/>
          <w:color w:val="000000"/>
          <w:sz w:val="22"/>
          <w:szCs w:val="22"/>
        </w:rPr>
        <w:footnoteReference w:id="25"/>
      </w:r>
      <w:r w:rsidR="00AE47D4">
        <w:rPr>
          <w:color w:val="000000"/>
          <w:sz w:val="22"/>
          <w:szCs w:val="22"/>
        </w:rPr>
        <w:t xml:space="preserve"> and the Convention on the Rights of the Child, </w:t>
      </w:r>
      <w:r w:rsidR="00DB3C2E">
        <w:rPr>
          <w:color w:val="000000"/>
          <w:sz w:val="22"/>
          <w:szCs w:val="22"/>
        </w:rPr>
        <w:t xml:space="preserve">which Ethiopia has ratified, has as a core principle </w:t>
      </w:r>
      <w:r w:rsidR="00AE47D4">
        <w:rPr>
          <w:color w:val="000000"/>
          <w:sz w:val="22"/>
          <w:szCs w:val="22"/>
        </w:rPr>
        <w:t>children’s right to participate.</w:t>
      </w:r>
      <w:r w:rsidR="00DB3C2E">
        <w:rPr>
          <w:rStyle w:val="FootnoteReference"/>
          <w:color w:val="000000"/>
          <w:sz w:val="22"/>
          <w:szCs w:val="22"/>
        </w:rPr>
        <w:footnoteReference w:id="26"/>
      </w:r>
      <w:r w:rsidR="00AE47D4">
        <w:rPr>
          <w:color w:val="000000"/>
          <w:sz w:val="22"/>
          <w:szCs w:val="22"/>
        </w:rPr>
        <w:t xml:space="preserve"> </w:t>
      </w:r>
      <w:r w:rsidR="00DB3C2E">
        <w:rPr>
          <w:color w:val="000000"/>
          <w:sz w:val="22"/>
          <w:szCs w:val="22"/>
        </w:rPr>
        <w:t xml:space="preserve">The Ethiopian Constitution </w:t>
      </w:r>
      <w:r w:rsidR="00AE47D4">
        <w:rPr>
          <w:color w:val="000000"/>
          <w:sz w:val="22"/>
          <w:szCs w:val="22"/>
        </w:rPr>
        <w:t xml:space="preserve">also requires </w:t>
      </w:r>
      <w:r w:rsidR="00AE47D4" w:rsidRPr="009B4CDA">
        <w:rPr>
          <w:color w:val="000000"/>
          <w:sz w:val="22"/>
          <w:szCs w:val="22"/>
        </w:rPr>
        <w:t>that “[t]he conduct of affairs of government . . . be transparent.”</w:t>
      </w:r>
      <w:r w:rsidR="00AE47D4" w:rsidRPr="009B4CDA">
        <w:rPr>
          <w:rStyle w:val="FootnoteReference"/>
          <w:color w:val="000000"/>
          <w:sz w:val="22"/>
          <w:szCs w:val="22"/>
        </w:rPr>
        <w:footnoteReference w:id="27"/>
      </w:r>
    </w:p>
    <w:p w14:paraId="71FEB64B" w14:textId="77777777" w:rsidR="00B00ADF" w:rsidRPr="009B4CDA" w:rsidRDefault="00B00ADF" w:rsidP="00D148AE">
      <w:pPr>
        <w:shd w:val="clear" w:color="auto" w:fill="FFFFFF" w:themeFill="background1"/>
        <w:jc w:val="both"/>
        <w:rPr>
          <w:color w:val="000000" w:themeColor="text1"/>
          <w:sz w:val="22"/>
          <w:szCs w:val="22"/>
        </w:rPr>
      </w:pPr>
    </w:p>
    <w:p w14:paraId="53B95226" w14:textId="3284E2A9" w:rsidR="005E2419" w:rsidRPr="009B4CDA" w:rsidRDefault="005E2419" w:rsidP="00D148AE">
      <w:pPr>
        <w:shd w:val="clear" w:color="auto" w:fill="FFFFFF" w:themeFill="background1"/>
        <w:jc w:val="both"/>
        <w:rPr>
          <w:color w:val="000000"/>
          <w:sz w:val="22"/>
          <w:szCs w:val="22"/>
        </w:rPr>
      </w:pPr>
      <w:r w:rsidRPr="009B4CDA">
        <w:rPr>
          <w:color w:val="000000"/>
          <w:sz w:val="22"/>
          <w:szCs w:val="22"/>
        </w:rPr>
        <w:t>T</w:t>
      </w:r>
      <w:r w:rsidR="00B00ADF" w:rsidRPr="009B4CDA">
        <w:rPr>
          <w:color w:val="000000"/>
          <w:sz w:val="22"/>
          <w:szCs w:val="22"/>
        </w:rPr>
        <w:t xml:space="preserve">hese </w:t>
      </w:r>
      <w:r w:rsidR="00B705D1" w:rsidRPr="009B4CDA">
        <w:rPr>
          <w:color w:val="000000"/>
          <w:sz w:val="22"/>
          <w:szCs w:val="22"/>
        </w:rPr>
        <w:t>c</w:t>
      </w:r>
      <w:r w:rsidR="00B00ADF" w:rsidRPr="009B4CDA">
        <w:rPr>
          <w:color w:val="000000"/>
          <w:sz w:val="22"/>
          <w:szCs w:val="22"/>
        </w:rPr>
        <w:t>onstitutional promises have not been kept</w:t>
      </w:r>
      <w:r w:rsidR="009B4CDA">
        <w:rPr>
          <w:color w:val="000000"/>
          <w:sz w:val="22"/>
          <w:szCs w:val="22"/>
        </w:rPr>
        <w:t xml:space="preserve">. </w:t>
      </w:r>
      <w:r w:rsidRPr="009B4CDA">
        <w:rPr>
          <w:color w:val="000000"/>
          <w:sz w:val="22"/>
          <w:szCs w:val="22"/>
        </w:rPr>
        <w:t>Ignoring the obligation of free, prior and informed consent, t</w:t>
      </w:r>
      <w:r w:rsidR="00FD40B8" w:rsidRPr="009B4CDA">
        <w:rPr>
          <w:color w:val="000000"/>
          <w:sz w:val="22"/>
          <w:szCs w:val="22"/>
        </w:rPr>
        <w:t>he</w:t>
      </w:r>
      <w:r w:rsidR="00B00ADF" w:rsidRPr="009B4CDA">
        <w:rPr>
          <w:color w:val="000000"/>
          <w:sz w:val="22"/>
          <w:szCs w:val="22"/>
        </w:rPr>
        <w:t xml:space="preserve"> State did not consult</w:t>
      </w:r>
      <w:r w:rsidR="00EB49B2" w:rsidRPr="009B4CDA">
        <w:rPr>
          <w:color w:val="000000"/>
          <w:sz w:val="22"/>
          <w:szCs w:val="22"/>
        </w:rPr>
        <w:t xml:space="preserve"> </w:t>
      </w:r>
      <w:r w:rsidR="00B00ADF" w:rsidRPr="009B4CDA">
        <w:rPr>
          <w:color w:val="000000"/>
          <w:sz w:val="22"/>
          <w:szCs w:val="22"/>
        </w:rPr>
        <w:t xml:space="preserve">the community in its decision to grant a license to MIDROC in 1997, nor at any point </w:t>
      </w:r>
      <w:r w:rsidR="009B4CDA">
        <w:rPr>
          <w:color w:val="000000"/>
          <w:sz w:val="22"/>
          <w:szCs w:val="22"/>
        </w:rPr>
        <w:t>since.</w:t>
      </w:r>
      <w:r w:rsidR="00605A38" w:rsidRPr="009B4CDA">
        <w:rPr>
          <w:rStyle w:val="FootnoteReference"/>
          <w:color w:val="000000"/>
          <w:sz w:val="22"/>
          <w:szCs w:val="22"/>
        </w:rPr>
        <w:footnoteReference w:id="28"/>
      </w:r>
      <w:r w:rsidR="00DB3C2E">
        <w:rPr>
          <w:color w:val="000000"/>
          <w:sz w:val="22"/>
          <w:szCs w:val="22"/>
        </w:rPr>
        <w:t xml:space="preserve"> </w:t>
      </w:r>
      <w:r w:rsidR="00D77F2F" w:rsidRPr="009B4CDA">
        <w:rPr>
          <w:color w:val="000000"/>
          <w:sz w:val="22"/>
          <w:szCs w:val="22"/>
        </w:rPr>
        <w:t>MIDROC</w:t>
      </w:r>
      <w:r w:rsidR="00B00ADF" w:rsidRPr="009B4CDA">
        <w:rPr>
          <w:color w:val="000000"/>
          <w:sz w:val="22"/>
          <w:szCs w:val="22"/>
        </w:rPr>
        <w:t xml:space="preserve"> </w:t>
      </w:r>
      <w:r w:rsidR="00AC478C" w:rsidRPr="009B4CDA">
        <w:rPr>
          <w:color w:val="000000"/>
          <w:sz w:val="22"/>
          <w:szCs w:val="22"/>
        </w:rPr>
        <w:t xml:space="preserve">and the State </w:t>
      </w:r>
      <w:r w:rsidR="00B00ADF" w:rsidRPr="009B4CDA">
        <w:rPr>
          <w:color w:val="000000"/>
          <w:sz w:val="22"/>
          <w:szCs w:val="22"/>
        </w:rPr>
        <w:t>continually ignored vociferous protests and failed to address complaints</w:t>
      </w:r>
      <w:r w:rsidR="00D77F2F" w:rsidRPr="009B4CDA">
        <w:rPr>
          <w:color w:val="000000"/>
          <w:sz w:val="22"/>
          <w:szCs w:val="22"/>
        </w:rPr>
        <w:t>, leading p</w:t>
      </w:r>
      <w:r w:rsidR="00B00ADF" w:rsidRPr="009B4CDA">
        <w:rPr>
          <w:color w:val="000000"/>
          <w:sz w:val="22"/>
          <w:szCs w:val="22"/>
        </w:rPr>
        <w:t xml:space="preserve">eople </w:t>
      </w:r>
      <w:r w:rsidR="00D77F2F" w:rsidRPr="009B4CDA">
        <w:rPr>
          <w:color w:val="000000"/>
          <w:sz w:val="22"/>
          <w:szCs w:val="22"/>
        </w:rPr>
        <w:t xml:space="preserve">to </w:t>
      </w:r>
      <w:r w:rsidR="00B00ADF" w:rsidRPr="009B4CDA">
        <w:rPr>
          <w:color w:val="000000"/>
          <w:sz w:val="22"/>
          <w:szCs w:val="22"/>
        </w:rPr>
        <w:t xml:space="preserve">feel that MIDROC </w:t>
      </w:r>
      <w:r w:rsidR="00A75D7F" w:rsidRPr="009B4CDA">
        <w:rPr>
          <w:color w:val="000000"/>
          <w:sz w:val="22"/>
          <w:szCs w:val="22"/>
        </w:rPr>
        <w:t xml:space="preserve">is </w:t>
      </w:r>
      <w:r w:rsidR="00B00ADF" w:rsidRPr="009B4CDA">
        <w:rPr>
          <w:color w:val="000000"/>
          <w:sz w:val="22"/>
          <w:szCs w:val="22"/>
        </w:rPr>
        <w:t>a “government by itself</w:t>
      </w:r>
      <w:r w:rsidR="0060575C" w:rsidRPr="009B4CDA">
        <w:rPr>
          <w:color w:val="000000"/>
          <w:sz w:val="22"/>
          <w:szCs w:val="22"/>
        </w:rPr>
        <w:t>.</w:t>
      </w:r>
      <w:r w:rsidR="00D77F2F" w:rsidRPr="009B4CDA">
        <w:rPr>
          <w:color w:val="000000"/>
          <w:sz w:val="22"/>
          <w:szCs w:val="22"/>
        </w:rPr>
        <w:t>”</w:t>
      </w:r>
      <w:r w:rsidR="00B00ADF" w:rsidRPr="009B4CDA">
        <w:rPr>
          <w:rStyle w:val="FootnoteReference"/>
          <w:color w:val="000000"/>
          <w:sz w:val="22"/>
          <w:szCs w:val="22"/>
        </w:rPr>
        <w:footnoteReference w:id="29"/>
      </w:r>
    </w:p>
    <w:p w14:paraId="4C65A605" w14:textId="77777777" w:rsidR="005E2419" w:rsidRPr="009B4CDA" w:rsidRDefault="005E2419" w:rsidP="00D148AE">
      <w:pPr>
        <w:shd w:val="clear" w:color="auto" w:fill="FFFFFF" w:themeFill="background1"/>
        <w:jc w:val="both"/>
        <w:rPr>
          <w:color w:val="000000"/>
          <w:sz w:val="22"/>
          <w:szCs w:val="22"/>
        </w:rPr>
      </w:pPr>
    </w:p>
    <w:p w14:paraId="1233CB71" w14:textId="2B882D5A" w:rsidR="00B00ADF" w:rsidRPr="009B4CDA" w:rsidRDefault="005E2419" w:rsidP="00D148AE">
      <w:pPr>
        <w:shd w:val="clear" w:color="auto" w:fill="FFFFFF" w:themeFill="background1"/>
        <w:jc w:val="both"/>
        <w:rPr>
          <w:b/>
          <w:bCs/>
          <w:color w:val="000000" w:themeColor="text1"/>
          <w:sz w:val="22"/>
          <w:szCs w:val="22"/>
        </w:rPr>
      </w:pPr>
      <w:r w:rsidRPr="009B4CDA">
        <w:rPr>
          <w:color w:val="000000"/>
          <w:sz w:val="22"/>
          <w:szCs w:val="22"/>
        </w:rPr>
        <w:t xml:space="preserve">It is particularly unfortunate that the State is continuing </w:t>
      </w:r>
      <w:r w:rsidR="00AC478C" w:rsidRPr="009B4CDA">
        <w:rPr>
          <w:color w:val="000000"/>
          <w:sz w:val="22"/>
          <w:szCs w:val="22"/>
        </w:rPr>
        <w:t xml:space="preserve">its pattern of non-transparency with respect to the current environmental and health impact assessments. It is believed that a team of Canadian consultants, brought in to conduct an environmental assessment, submitted a report to the State in late 2018, but that report has not been made public. The State has also failed to share with the community the results of a health impact assessment, despite promises </w:t>
      </w:r>
      <w:r w:rsidR="00D27B43" w:rsidRPr="009B4CDA">
        <w:rPr>
          <w:color w:val="000000"/>
          <w:sz w:val="22"/>
          <w:szCs w:val="22"/>
        </w:rPr>
        <w:t>to do so when</w:t>
      </w:r>
      <w:r w:rsidR="00AC478C" w:rsidRPr="009B4CDA">
        <w:rPr>
          <w:color w:val="000000"/>
          <w:sz w:val="22"/>
          <w:szCs w:val="22"/>
        </w:rPr>
        <w:t xml:space="preserve"> the community </w:t>
      </w:r>
      <w:r w:rsidR="00D27B43" w:rsidRPr="009B4CDA">
        <w:rPr>
          <w:color w:val="000000"/>
          <w:sz w:val="22"/>
          <w:szCs w:val="22"/>
        </w:rPr>
        <w:t>was</w:t>
      </w:r>
      <w:r w:rsidR="00AC478C" w:rsidRPr="009B4CDA">
        <w:rPr>
          <w:color w:val="000000"/>
          <w:sz w:val="22"/>
          <w:szCs w:val="22"/>
        </w:rPr>
        <w:t xml:space="preserve"> asked to cooperate with the study. In late 2018, some 3000 households responded to a lengthy oral questionnaire administered by the Ethiopian </w:t>
      </w:r>
      <w:r w:rsidR="00075A18">
        <w:rPr>
          <w:color w:val="000000"/>
          <w:sz w:val="22"/>
          <w:szCs w:val="22"/>
        </w:rPr>
        <w:t>Public Health Institute</w:t>
      </w:r>
      <w:r w:rsidR="00AC478C" w:rsidRPr="009B4CDA">
        <w:rPr>
          <w:color w:val="000000"/>
          <w:sz w:val="22"/>
          <w:szCs w:val="22"/>
        </w:rPr>
        <w:t xml:space="preserve">, in consultation with the Canadian consultants. </w:t>
      </w:r>
      <w:r w:rsidR="00D27B43" w:rsidRPr="009B4CDA">
        <w:rPr>
          <w:color w:val="000000"/>
          <w:sz w:val="22"/>
          <w:szCs w:val="22"/>
        </w:rPr>
        <w:t>It is believed that the survey results confirm the severe health impacts suffered by communities near and downstream from the mine.  Although a report on this study was presented to the State in June 2019, the results still have not been shared with the affected community.</w:t>
      </w:r>
    </w:p>
    <w:p w14:paraId="1CCC28F7" w14:textId="77777777" w:rsidR="00E80999" w:rsidRPr="009B4CDA" w:rsidRDefault="00E80999" w:rsidP="00D148AE">
      <w:pPr>
        <w:shd w:val="clear" w:color="auto" w:fill="FFFFFF" w:themeFill="background1"/>
        <w:jc w:val="both"/>
        <w:rPr>
          <w:b/>
          <w:bCs/>
          <w:color w:val="000000" w:themeColor="text1"/>
          <w:sz w:val="22"/>
          <w:szCs w:val="22"/>
        </w:rPr>
      </w:pPr>
    </w:p>
    <w:p w14:paraId="77525406" w14:textId="3CA2D767" w:rsidR="00E80999" w:rsidRPr="009B4CDA" w:rsidRDefault="3C033E10" w:rsidP="00D148AE">
      <w:pPr>
        <w:shd w:val="clear" w:color="auto" w:fill="FFFFFF" w:themeFill="background1"/>
        <w:rPr>
          <w:b/>
          <w:bCs/>
          <w:color w:val="000000" w:themeColor="text1"/>
          <w:sz w:val="22"/>
          <w:szCs w:val="22"/>
        </w:rPr>
      </w:pPr>
      <w:r w:rsidRPr="009B4CDA">
        <w:rPr>
          <w:b/>
          <w:bCs/>
          <w:color w:val="000000" w:themeColor="text1"/>
          <w:sz w:val="22"/>
          <w:szCs w:val="22"/>
        </w:rPr>
        <w:t xml:space="preserve">6. </w:t>
      </w:r>
      <w:r w:rsidR="00E80999" w:rsidRPr="009B4CDA">
        <w:rPr>
          <w:b/>
          <w:bCs/>
          <w:color w:val="000000" w:themeColor="text1"/>
          <w:sz w:val="22"/>
          <w:szCs w:val="22"/>
        </w:rPr>
        <w:t>Monitoring of Environmental Risks to Children</w:t>
      </w:r>
    </w:p>
    <w:p w14:paraId="4E2E5A4A" w14:textId="77777777" w:rsidR="001E2607" w:rsidRPr="009B4CDA" w:rsidRDefault="001E2607" w:rsidP="00D148AE">
      <w:pPr>
        <w:shd w:val="clear" w:color="auto" w:fill="FFFFFF" w:themeFill="background1"/>
        <w:rPr>
          <w:b/>
          <w:bCs/>
          <w:color w:val="000000" w:themeColor="text1"/>
          <w:sz w:val="22"/>
          <w:szCs w:val="22"/>
        </w:rPr>
      </w:pPr>
    </w:p>
    <w:p w14:paraId="49C05AF4" w14:textId="07AB1055" w:rsidR="00A74D67" w:rsidRPr="009B4CDA" w:rsidRDefault="00DE2E6A" w:rsidP="00D148AE">
      <w:pPr>
        <w:shd w:val="clear" w:color="auto" w:fill="FFFFFF" w:themeFill="background1"/>
        <w:jc w:val="both"/>
        <w:rPr>
          <w:color w:val="000000" w:themeColor="text1"/>
          <w:sz w:val="22"/>
          <w:szCs w:val="22"/>
        </w:rPr>
      </w:pPr>
      <w:r>
        <w:rPr>
          <w:bCs/>
          <w:color w:val="000000" w:themeColor="text1"/>
          <w:sz w:val="22"/>
          <w:szCs w:val="22"/>
        </w:rPr>
        <w:t>As noted above, t</w:t>
      </w:r>
      <w:r w:rsidR="00D27B43" w:rsidRPr="009B4CDA">
        <w:rPr>
          <w:bCs/>
          <w:color w:val="000000" w:themeColor="text1"/>
          <w:sz w:val="22"/>
          <w:szCs w:val="22"/>
        </w:rPr>
        <w:t xml:space="preserve">he monitoring of Lega Dembi’s environmental risks to </w:t>
      </w:r>
      <w:r>
        <w:rPr>
          <w:bCs/>
          <w:color w:val="000000" w:themeColor="text1"/>
          <w:sz w:val="22"/>
          <w:szCs w:val="22"/>
        </w:rPr>
        <w:t xml:space="preserve">the community, including </w:t>
      </w:r>
      <w:r w:rsidR="00D27B43" w:rsidRPr="009B4CDA">
        <w:rPr>
          <w:bCs/>
          <w:color w:val="000000" w:themeColor="text1"/>
          <w:sz w:val="22"/>
          <w:szCs w:val="22"/>
        </w:rPr>
        <w:t>children</w:t>
      </w:r>
      <w:r>
        <w:rPr>
          <w:bCs/>
          <w:color w:val="000000" w:themeColor="text1"/>
          <w:sz w:val="22"/>
          <w:szCs w:val="22"/>
        </w:rPr>
        <w:t>,</w:t>
      </w:r>
      <w:r w:rsidR="00D27B43" w:rsidRPr="009B4CDA">
        <w:rPr>
          <w:bCs/>
          <w:color w:val="000000" w:themeColor="text1"/>
          <w:sz w:val="22"/>
          <w:szCs w:val="22"/>
        </w:rPr>
        <w:t xml:space="preserve"> has been totally inadequate.  </w:t>
      </w:r>
      <w:r w:rsidR="009B4CDA">
        <w:rPr>
          <w:bCs/>
          <w:color w:val="000000" w:themeColor="text1"/>
          <w:sz w:val="22"/>
          <w:szCs w:val="22"/>
        </w:rPr>
        <w:t xml:space="preserve">As just one egregious example, </w:t>
      </w:r>
      <w:r>
        <w:rPr>
          <w:bCs/>
          <w:color w:val="000000" w:themeColor="text1"/>
          <w:sz w:val="22"/>
          <w:szCs w:val="22"/>
        </w:rPr>
        <w:t xml:space="preserve">the AAUBE auditors noted that their audit </w:t>
      </w:r>
      <w:r w:rsidRPr="00563926">
        <w:rPr>
          <w:bCs/>
          <w:color w:val="000000" w:themeColor="text1"/>
          <w:sz w:val="22"/>
          <w:szCs w:val="22"/>
        </w:rPr>
        <w:t>could not include an analysis of groundwater samples “</w:t>
      </w:r>
      <w:r w:rsidRPr="00BD17B2">
        <w:rPr>
          <w:sz w:val="22"/>
          <w:szCs w:val="22"/>
        </w:rPr>
        <w:t>because all monitoring boreholes were damaged and were not functional during the field visit.”</w:t>
      </w:r>
      <w:r w:rsidRPr="00BD17B2">
        <w:rPr>
          <w:rStyle w:val="FootnoteReference"/>
          <w:sz w:val="22"/>
          <w:szCs w:val="22"/>
        </w:rPr>
        <w:footnoteReference w:id="30"/>
      </w:r>
    </w:p>
    <w:sectPr w:rsidR="00A74D67" w:rsidRPr="009B4CDA" w:rsidSect="00605C1E">
      <w:footerReference w:type="even" r:id="rId11"/>
      <w:footerReference w:type="default" r:id="rId12"/>
      <w:pgSz w:w="12240" w:h="15840"/>
      <w:pgMar w:top="1152" w:right="1440" w:bottom="1152"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A1FD6F" w16cid:durableId="214640F1"/>
  <w16cid:commentId w16cid:paraId="7FE6EB24" w16cid:durableId="214644D3"/>
  <w16cid:commentId w16cid:paraId="271A3834" w16cid:durableId="21467A69"/>
  <w16cid:commentId w16cid:paraId="77B71150" w16cid:durableId="214640F2"/>
  <w16cid:commentId w16cid:paraId="0F55258E" w16cid:durableId="214675B5"/>
  <w16cid:commentId w16cid:paraId="023602E3" w16cid:durableId="214640F3"/>
  <w16cid:commentId w16cid:paraId="638212E5" w16cid:durableId="214643BC"/>
  <w16cid:commentId w16cid:paraId="3DE56CCD" w16cid:durableId="21467611"/>
  <w16cid:commentId w16cid:paraId="2AD1E175" w16cid:durableId="214640F6"/>
  <w16cid:commentId w16cid:paraId="1DDCF296" w16cid:durableId="21464399"/>
  <w16cid:commentId w16cid:paraId="3799AB4B" w16cid:durableId="21461982"/>
  <w16cid:commentId w16cid:paraId="55A40BB9" w16cid:durableId="214674C6"/>
  <w16cid:commentId w16cid:paraId="48E9FBE0" w16cid:durableId="214640FB"/>
  <w16cid:commentId w16cid:paraId="64BC40A1" w16cid:durableId="214645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F2C7D" w14:textId="77777777" w:rsidR="00CA207F" w:rsidRDefault="00CA207F" w:rsidP="00B00ADF">
      <w:r>
        <w:separator/>
      </w:r>
    </w:p>
  </w:endnote>
  <w:endnote w:type="continuationSeparator" w:id="0">
    <w:p w14:paraId="4B4A7AB6" w14:textId="77777777" w:rsidR="00CA207F" w:rsidRDefault="00CA207F" w:rsidP="00B00ADF">
      <w:r>
        <w:continuationSeparator/>
      </w:r>
    </w:p>
  </w:endnote>
  <w:endnote w:type="continuationNotice" w:id="1">
    <w:p w14:paraId="0D2CB2B4" w14:textId="77777777" w:rsidR="00CA207F" w:rsidRDefault="00CA20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82046326"/>
      <w:docPartObj>
        <w:docPartGallery w:val="Page Numbers (Bottom of Page)"/>
        <w:docPartUnique/>
      </w:docPartObj>
    </w:sdtPr>
    <w:sdtEndPr>
      <w:rPr>
        <w:rStyle w:val="PageNumber"/>
      </w:rPr>
    </w:sdtEndPr>
    <w:sdtContent>
      <w:p w14:paraId="661836B3" w14:textId="336105E2" w:rsidR="006604B5" w:rsidRDefault="006604B5" w:rsidP="002313C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266C5F" w14:textId="77777777" w:rsidR="006604B5" w:rsidRDefault="006604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1609106"/>
      <w:docPartObj>
        <w:docPartGallery w:val="Page Numbers (Bottom of Page)"/>
        <w:docPartUnique/>
      </w:docPartObj>
    </w:sdtPr>
    <w:sdtEndPr>
      <w:rPr>
        <w:rStyle w:val="PageNumber"/>
      </w:rPr>
    </w:sdtEndPr>
    <w:sdtContent>
      <w:p w14:paraId="20C0742A" w14:textId="6A37CE39" w:rsidR="006604B5" w:rsidRDefault="006604B5" w:rsidP="002313C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9791D">
          <w:rPr>
            <w:rStyle w:val="PageNumber"/>
            <w:noProof/>
          </w:rPr>
          <w:t>1</w:t>
        </w:r>
        <w:r>
          <w:rPr>
            <w:rStyle w:val="PageNumber"/>
          </w:rPr>
          <w:fldChar w:fldCharType="end"/>
        </w:r>
      </w:p>
    </w:sdtContent>
  </w:sdt>
  <w:p w14:paraId="7EF53A09" w14:textId="77777777" w:rsidR="006604B5" w:rsidRDefault="00660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ACB04" w14:textId="77777777" w:rsidR="00CA207F" w:rsidRDefault="00CA207F" w:rsidP="00B00ADF">
      <w:r>
        <w:separator/>
      </w:r>
    </w:p>
  </w:footnote>
  <w:footnote w:type="continuationSeparator" w:id="0">
    <w:p w14:paraId="212589CA" w14:textId="77777777" w:rsidR="00CA207F" w:rsidRDefault="00CA207F" w:rsidP="00B00ADF">
      <w:r>
        <w:continuationSeparator/>
      </w:r>
    </w:p>
  </w:footnote>
  <w:footnote w:type="continuationNotice" w:id="1">
    <w:p w14:paraId="50A176CA" w14:textId="77777777" w:rsidR="00CA207F" w:rsidRDefault="00CA207F"/>
  </w:footnote>
  <w:footnote w:id="2">
    <w:p w14:paraId="23071B5A" w14:textId="44AAB06B" w:rsidR="00D148AE" w:rsidRPr="008C64F3" w:rsidRDefault="00D148AE">
      <w:pPr>
        <w:pStyle w:val="FootnoteText"/>
        <w:rPr>
          <w:rFonts w:ascii="Times New Roman" w:hAnsi="Times New Roman" w:cs="Times New Roman"/>
          <w:sz w:val="18"/>
          <w:szCs w:val="18"/>
        </w:rPr>
      </w:pPr>
      <w:r w:rsidRPr="00E705CD">
        <w:rPr>
          <w:rStyle w:val="FootnoteReference"/>
          <w:rFonts w:ascii="Times New Roman" w:hAnsi="Times New Roman" w:cs="Times New Roman"/>
          <w:sz w:val="18"/>
          <w:szCs w:val="18"/>
        </w:rPr>
        <w:footnoteRef/>
      </w:r>
      <w:r w:rsidR="00605C1E" w:rsidRPr="008C64F3">
        <w:rPr>
          <w:rFonts w:ascii="Times New Roman" w:hAnsi="Times New Roman" w:cs="Times New Roman"/>
          <w:sz w:val="18"/>
          <w:szCs w:val="18"/>
        </w:rPr>
        <w:t xml:space="preserve"> </w:t>
      </w:r>
      <w:r w:rsidR="00605C1E" w:rsidRPr="00E705CD">
        <w:rPr>
          <w:rFonts w:ascii="Times New Roman" w:hAnsi="Times New Roman" w:cs="Times New Roman"/>
          <w:sz w:val="18"/>
          <w:szCs w:val="18"/>
        </w:rPr>
        <w:t xml:space="preserve">DUBAF </w:t>
      </w:r>
      <w:r w:rsidR="00327E42" w:rsidRPr="00E705CD">
        <w:rPr>
          <w:rFonts w:ascii="Times New Roman" w:hAnsi="Times New Roman" w:cs="Times New Roman"/>
          <w:sz w:val="18"/>
          <w:szCs w:val="18"/>
        </w:rPr>
        <w:t xml:space="preserve">and GIRDA are </w:t>
      </w:r>
      <w:r w:rsidR="00605C1E" w:rsidRPr="00E705CD">
        <w:rPr>
          <w:rFonts w:ascii="Times New Roman" w:hAnsi="Times New Roman" w:cs="Times New Roman"/>
          <w:sz w:val="18"/>
          <w:szCs w:val="18"/>
        </w:rPr>
        <w:t>licensed Ethiopian NGO</w:t>
      </w:r>
      <w:r w:rsidR="00327E42" w:rsidRPr="00E705CD">
        <w:rPr>
          <w:rFonts w:ascii="Times New Roman" w:hAnsi="Times New Roman" w:cs="Times New Roman"/>
          <w:sz w:val="18"/>
          <w:szCs w:val="18"/>
        </w:rPr>
        <w:t>s.  DUBAF</w:t>
      </w:r>
      <w:r w:rsidR="00605C1E" w:rsidRPr="00E705CD">
        <w:rPr>
          <w:rFonts w:ascii="Times New Roman" w:hAnsi="Times New Roman" w:cs="Times New Roman"/>
          <w:sz w:val="18"/>
          <w:szCs w:val="18"/>
        </w:rPr>
        <w:t xml:space="preserve"> aims to make a lasting, positive difference in the life and livelihoods of the marginalized communities through supporting self-help initiatives and promoting indigenous v</w:t>
      </w:r>
      <w:r w:rsidR="00327E42" w:rsidRPr="00E705CD">
        <w:rPr>
          <w:rFonts w:ascii="Times New Roman" w:hAnsi="Times New Roman" w:cs="Times New Roman"/>
          <w:sz w:val="18"/>
          <w:szCs w:val="18"/>
        </w:rPr>
        <w:t>alues.</w:t>
      </w:r>
      <w:r w:rsidR="00605C1E" w:rsidRPr="00E705CD">
        <w:rPr>
          <w:rFonts w:ascii="Times New Roman" w:hAnsi="Times New Roman" w:cs="Times New Roman"/>
          <w:sz w:val="18"/>
          <w:szCs w:val="18"/>
        </w:rPr>
        <w:t xml:space="preserve"> </w:t>
      </w:r>
      <w:r w:rsidR="00327E42" w:rsidRPr="00E705CD">
        <w:rPr>
          <w:rFonts w:ascii="Times New Roman" w:hAnsi="Times New Roman" w:cs="Times New Roman"/>
          <w:sz w:val="18"/>
          <w:szCs w:val="18"/>
        </w:rPr>
        <w:t xml:space="preserve">GIRDA </w:t>
      </w:r>
      <w:r w:rsidR="00605C1E" w:rsidRPr="00E705CD">
        <w:rPr>
          <w:rFonts w:ascii="Times New Roman" w:hAnsi="Times New Roman" w:cs="Times New Roman"/>
          <w:sz w:val="18"/>
          <w:szCs w:val="18"/>
        </w:rPr>
        <w:t>works with poor women, girls and boys, youth and marginalized communities and community-based institutions to have a significant positive impact on the underlying causes of poverty</w:t>
      </w:r>
      <w:r w:rsidR="00327E42" w:rsidRPr="00E705CD">
        <w:rPr>
          <w:rFonts w:ascii="Times New Roman" w:hAnsi="Times New Roman" w:cs="Times New Roman"/>
          <w:sz w:val="18"/>
          <w:szCs w:val="18"/>
        </w:rPr>
        <w:t xml:space="preserve">. </w:t>
      </w:r>
      <w:r w:rsidR="00605C1E" w:rsidRPr="00E705CD">
        <w:rPr>
          <w:rFonts w:ascii="Times New Roman" w:hAnsi="Times New Roman" w:cs="Times New Roman"/>
          <w:sz w:val="18"/>
          <w:szCs w:val="18"/>
        </w:rPr>
        <w:t>CIHR</w:t>
      </w:r>
      <w:r w:rsidR="00327E42" w:rsidRPr="00E705CD">
        <w:rPr>
          <w:rFonts w:ascii="Times New Roman" w:hAnsi="Times New Roman" w:cs="Times New Roman"/>
          <w:sz w:val="18"/>
          <w:szCs w:val="18"/>
        </w:rPr>
        <w:t>, which is in special consultative status with ECOSOC,</w:t>
      </w:r>
      <w:r w:rsidR="00605C1E" w:rsidRPr="00E705CD">
        <w:rPr>
          <w:rFonts w:ascii="Times New Roman" w:hAnsi="Times New Roman" w:cs="Times New Roman"/>
          <w:sz w:val="18"/>
          <w:szCs w:val="18"/>
        </w:rPr>
        <w:t xml:space="preserve"> is dedicated to human rights education and legal and policy-focused human rights advocacy within the </w:t>
      </w:r>
      <w:r w:rsidR="00327E42" w:rsidRPr="00E705CD">
        <w:rPr>
          <w:rFonts w:ascii="Times New Roman" w:hAnsi="Times New Roman" w:cs="Times New Roman"/>
          <w:sz w:val="18"/>
          <w:szCs w:val="18"/>
        </w:rPr>
        <w:t xml:space="preserve">U.S. and </w:t>
      </w:r>
      <w:r w:rsidR="00605C1E" w:rsidRPr="00E705CD">
        <w:rPr>
          <w:rFonts w:ascii="Times New Roman" w:hAnsi="Times New Roman" w:cs="Times New Roman"/>
          <w:sz w:val="18"/>
          <w:szCs w:val="18"/>
        </w:rPr>
        <w:t>worldwide.</w:t>
      </w:r>
    </w:p>
  </w:footnote>
  <w:footnote w:id="3">
    <w:p w14:paraId="7BFC768C" w14:textId="40C45FD4" w:rsidR="00C90D49" w:rsidRPr="008C64F3" w:rsidRDefault="00C90D49" w:rsidP="00BF6579">
      <w:pPr>
        <w:pStyle w:val="FootnoteText"/>
        <w:rPr>
          <w:rFonts w:ascii="Times New Roman" w:hAnsi="Times New Roman" w:cs="Times New Roman"/>
          <w:color w:val="000000" w:themeColor="text1"/>
          <w:sz w:val="18"/>
          <w:szCs w:val="18"/>
        </w:rPr>
      </w:pPr>
      <w:r w:rsidRPr="00E705CD">
        <w:rPr>
          <w:rStyle w:val="FootnoteReference"/>
          <w:rFonts w:ascii="Times New Roman" w:hAnsi="Times New Roman" w:cs="Times New Roman"/>
          <w:sz w:val="18"/>
          <w:szCs w:val="18"/>
        </w:rPr>
        <w:footnoteRef/>
      </w:r>
      <w:r w:rsidR="001010A2" w:rsidRPr="00E705CD">
        <w:rPr>
          <w:rFonts w:ascii="Times New Roman" w:hAnsi="Times New Roman" w:cs="Times New Roman"/>
          <w:sz w:val="18"/>
          <w:szCs w:val="18"/>
        </w:rPr>
        <w:t xml:space="preserve"> Committee on the Elimination of Discrimination against Women, 1665th and 1666th meetings, Concluding observations on the eighth </w:t>
      </w:r>
      <w:r w:rsidR="001010A2" w:rsidRPr="008C64F3">
        <w:rPr>
          <w:rFonts w:ascii="Times New Roman" w:hAnsi="Times New Roman" w:cs="Times New Roman"/>
          <w:color w:val="000000" w:themeColor="text1"/>
          <w:sz w:val="18"/>
          <w:szCs w:val="18"/>
        </w:rPr>
        <w:t xml:space="preserve">periodic report of Ethiopia, CEDAW/C/ETH/8, </w:t>
      </w:r>
      <w:r w:rsidR="00290B49" w:rsidRPr="008C64F3">
        <w:rPr>
          <w:rFonts w:ascii="Times New Roman" w:hAnsi="Times New Roman" w:cs="Times New Roman"/>
          <w:color w:val="000000" w:themeColor="text1"/>
          <w:sz w:val="18"/>
          <w:szCs w:val="18"/>
        </w:rPr>
        <w:t>¶¶ 45-</w:t>
      </w:r>
      <w:r w:rsidR="001010A2" w:rsidRPr="008C64F3">
        <w:rPr>
          <w:rFonts w:ascii="Times New Roman" w:hAnsi="Times New Roman" w:cs="Times New Roman"/>
          <w:color w:val="000000" w:themeColor="text1"/>
          <w:sz w:val="18"/>
          <w:szCs w:val="18"/>
        </w:rPr>
        <w:t>46</w:t>
      </w:r>
      <w:r w:rsidR="00BF6579" w:rsidRPr="008C64F3">
        <w:rPr>
          <w:rFonts w:ascii="Times New Roman" w:hAnsi="Times New Roman" w:cs="Times New Roman"/>
          <w:color w:val="000000" w:themeColor="text1"/>
          <w:sz w:val="18"/>
          <w:szCs w:val="18"/>
        </w:rPr>
        <w:t xml:space="preserve"> (</w:t>
      </w:r>
      <w:r w:rsidR="001010A2" w:rsidRPr="008C64F3">
        <w:rPr>
          <w:rFonts w:ascii="Times New Roman" w:hAnsi="Times New Roman" w:cs="Times New Roman"/>
          <w:color w:val="000000" w:themeColor="text1"/>
          <w:sz w:val="18"/>
          <w:szCs w:val="18"/>
        </w:rPr>
        <w:t>14 March 2019</w:t>
      </w:r>
      <w:r w:rsidR="00BF6579" w:rsidRPr="008C64F3">
        <w:rPr>
          <w:rFonts w:ascii="Times New Roman" w:hAnsi="Times New Roman" w:cs="Times New Roman"/>
          <w:color w:val="000000" w:themeColor="text1"/>
          <w:sz w:val="18"/>
          <w:szCs w:val="18"/>
        </w:rPr>
        <w:t xml:space="preserve">), </w:t>
      </w:r>
      <w:r w:rsidR="00497179" w:rsidRPr="008C64F3">
        <w:rPr>
          <w:rFonts w:ascii="Times New Roman" w:hAnsi="Times New Roman" w:cs="Times New Roman"/>
          <w:color w:val="000000" w:themeColor="text1"/>
          <w:sz w:val="18"/>
          <w:szCs w:val="18"/>
        </w:rPr>
        <w:t>https://tbinternet.ohchr.org/_layouts/15/treatybodyexternal/Download.aspx?symbolno=CEDAW%2fC%2fETH%2fCO%2f8&amp;Lang=en</w:t>
      </w:r>
      <w:r w:rsidR="00BF6579" w:rsidRPr="008C64F3">
        <w:rPr>
          <w:rFonts w:ascii="Times New Roman" w:hAnsi="Times New Roman" w:cs="Times New Roman"/>
          <w:color w:val="000000" w:themeColor="text1"/>
          <w:sz w:val="18"/>
          <w:szCs w:val="18"/>
        </w:rPr>
        <w:t>.</w:t>
      </w:r>
    </w:p>
  </w:footnote>
  <w:footnote w:id="4">
    <w:p w14:paraId="160AE12B" w14:textId="02C309A1" w:rsidR="00B93449" w:rsidRPr="00E705CD" w:rsidRDefault="00B93449" w:rsidP="00B93449">
      <w:pPr>
        <w:pStyle w:val="FootnoteText"/>
        <w:rPr>
          <w:rFonts w:ascii="Times New Roman" w:hAnsi="Times New Roman" w:cs="Times New Roman"/>
          <w:color w:val="000000" w:themeColor="text1"/>
          <w:sz w:val="18"/>
          <w:szCs w:val="18"/>
        </w:rPr>
      </w:pPr>
      <w:r w:rsidRPr="008C64F3">
        <w:rPr>
          <w:rStyle w:val="FootnoteReference"/>
          <w:rFonts w:ascii="Times New Roman" w:hAnsi="Times New Roman" w:cs="Times New Roman"/>
          <w:color w:val="000000" w:themeColor="text1"/>
          <w:sz w:val="18"/>
          <w:szCs w:val="18"/>
        </w:rPr>
        <w:footnoteRef/>
      </w:r>
      <w:r w:rsidRPr="008C64F3">
        <w:rPr>
          <w:rFonts w:ascii="Times New Roman" w:hAnsi="Times New Roman" w:cs="Times New Roman"/>
          <w:color w:val="000000" w:themeColor="text1"/>
          <w:sz w:val="18"/>
          <w:szCs w:val="18"/>
        </w:rPr>
        <w:t xml:space="preserve"> </w:t>
      </w:r>
      <w:r w:rsidR="001010A2" w:rsidRPr="008C64F3">
        <w:rPr>
          <w:rFonts w:ascii="Times New Roman" w:hAnsi="Times New Roman" w:cs="Times New Roman"/>
          <w:i/>
          <w:iCs/>
          <w:color w:val="000000" w:themeColor="text1"/>
          <w:sz w:val="18"/>
          <w:szCs w:val="18"/>
        </w:rPr>
        <w:t xml:space="preserve">See </w:t>
      </w:r>
      <w:r w:rsidR="00BF6579" w:rsidRPr="008C64F3">
        <w:rPr>
          <w:rFonts w:ascii="Times New Roman" w:hAnsi="Times New Roman" w:cs="Times New Roman"/>
          <w:iCs/>
          <w:color w:val="000000" w:themeColor="text1"/>
          <w:sz w:val="18"/>
          <w:szCs w:val="18"/>
        </w:rPr>
        <w:t>A study on socio economic impacts of MIDROC Gold Mine – L</w:t>
      </w:r>
      <w:r w:rsidR="008C64F3">
        <w:rPr>
          <w:rFonts w:ascii="Times New Roman" w:hAnsi="Times New Roman" w:cs="Times New Roman"/>
          <w:iCs/>
          <w:color w:val="000000" w:themeColor="text1"/>
          <w:sz w:val="18"/>
          <w:szCs w:val="18"/>
        </w:rPr>
        <w:t>e</w:t>
      </w:r>
      <w:r w:rsidR="00BF6579" w:rsidRPr="008C64F3">
        <w:rPr>
          <w:rFonts w:ascii="Times New Roman" w:hAnsi="Times New Roman" w:cs="Times New Roman"/>
          <w:iCs/>
          <w:color w:val="000000" w:themeColor="text1"/>
          <w:sz w:val="18"/>
          <w:szCs w:val="18"/>
        </w:rPr>
        <w:t>ga D</w:t>
      </w:r>
      <w:r w:rsidR="008C64F3">
        <w:rPr>
          <w:rFonts w:ascii="Times New Roman" w:hAnsi="Times New Roman" w:cs="Times New Roman"/>
          <w:iCs/>
          <w:color w:val="000000" w:themeColor="text1"/>
          <w:sz w:val="18"/>
          <w:szCs w:val="18"/>
        </w:rPr>
        <w:t>e</w:t>
      </w:r>
      <w:r w:rsidR="00BF6579" w:rsidRPr="008C64F3">
        <w:rPr>
          <w:rFonts w:ascii="Times New Roman" w:hAnsi="Times New Roman" w:cs="Times New Roman"/>
          <w:iCs/>
          <w:color w:val="000000" w:themeColor="text1"/>
          <w:sz w:val="18"/>
          <w:szCs w:val="18"/>
        </w:rPr>
        <w:t>mbi &amp; Sakaro operations</w:t>
      </w:r>
      <w:r w:rsidR="00BF6579" w:rsidRPr="008C64F3">
        <w:rPr>
          <w:rFonts w:ascii="Times New Roman" w:hAnsi="Times New Roman" w:cs="Times New Roman"/>
          <w:color w:val="000000" w:themeColor="text1"/>
          <w:sz w:val="18"/>
          <w:szCs w:val="18"/>
        </w:rPr>
        <w:t xml:space="preserve">, </w:t>
      </w:r>
      <w:r w:rsidR="00BF6579" w:rsidRPr="008C64F3">
        <w:rPr>
          <w:rFonts w:ascii="Times New Roman" w:hAnsi="Times New Roman" w:cs="Times New Roman"/>
          <w:i/>
          <w:iCs/>
          <w:color w:val="000000" w:themeColor="text1"/>
          <w:sz w:val="18"/>
          <w:szCs w:val="18"/>
        </w:rPr>
        <w:t xml:space="preserve">prepared by </w:t>
      </w:r>
      <w:r w:rsidR="00BF6579" w:rsidRPr="008C64F3">
        <w:rPr>
          <w:rFonts w:ascii="Times New Roman" w:hAnsi="Times New Roman" w:cs="Times New Roman"/>
          <w:color w:val="000000" w:themeColor="text1"/>
          <w:sz w:val="18"/>
          <w:szCs w:val="18"/>
        </w:rPr>
        <w:t xml:space="preserve">Research Team from Dilla and Bule Hora Universities </w:t>
      </w:r>
      <w:r w:rsidR="00EB7829" w:rsidRPr="008C64F3">
        <w:rPr>
          <w:rFonts w:ascii="Times New Roman" w:hAnsi="Times New Roman" w:cs="Times New Roman"/>
          <w:color w:val="000000" w:themeColor="text1"/>
          <w:sz w:val="18"/>
          <w:szCs w:val="18"/>
        </w:rPr>
        <w:t>(</w:t>
      </w:r>
      <w:r w:rsidR="00BF6579" w:rsidRPr="008C64F3">
        <w:rPr>
          <w:rFonts w:ascii="Times New Roman" w:hAnsi="Times New Roman" w:cs="Times New Roman"/>
          <w:color w:val="000000" w:themeColor="text1"/>
          <w:sz w:val="18"/>
          <w:szCs w:val="18"/>
        </w:rPr>
        <w:t>September 2019</w:t>
      </w:r>
      <w:r w:rsidR="00EB7829" w:rsidRPr="008C64F3">
        <w:rPr>
          <w:rFonts w:ascii="Times New Roman" w:hAnsi="Times New Roman" w:cs="Times New Roman"/>
          <w:color w:val="000000" w:themeColor="text1"/>
          <w:sz w:val="18"/>
          <w:szCs w:val="18"/>
        </w:rPr>
        <w:t>)</w:t>
      </w:r>
      <w:r w:rsidR="00BF6579" w:rsidRPr="008C64F3">
        <w:rPr>
          <w:rFonts w:ascii="Times New Roman" w:hAnsi="Times New Roman" w:cs="Times New Roman"/>
          <w:color w:val="000000" w:themeColor="text1"/>
          <w:sz w:val="18"/>
          <w:szCs w:val="18"/>
        </w:rPr>
        <w:t>,</w:t>
      </w:r>
      <w:r w:rsidR="00BF6579" w:rsidRPr="008C64F3">
        <w:rPr>
          <w:rFonts w:ascii="Times New Roman" w:hAnsi="Times New Roman" w:cs="Times New Roman"/>
          <w:i/>
          <w:iCs/>
          <w:color w:val="000000" w:themeColor="text1"/>
          <w:sz w:val="18"/>
          <w:szCs w:val="18"/>
        </w:rPr>
        <w:t xml:space="preserve"> </w:t>
      </w:r>
      <w:r w:rsidRPr="008C64F3">
        <w:rPr>
          <w:rFonts w:ascii="Times New Roman" w:hAnsi="Times New Roman" w:cs="Times New Roman"/>
          <w:color w:val="000000" w:themeColor="text1"/>
          <w:sz w:val="18"/>
          <w:szCs w:val="18"/>
        </w:rPr>
        <w:t>pp. 2</w:t>
      </w:r>
      <w:r w:rsidR="00056523" w:rsidRPr="008C64F3">
        <w:rPr>
          <w:rFonts w:ascii="Times New Roman" w:hAnsi="Times New Roman" w:cs="Times New Roman"/>
          <w:color w:val="000000" w:themeColor="text1"/>
          <w:sz w:val="18"/>
          <w:szCs w:val="18"/>
        </w:rPr>
        <w:t>7–30</w:t>
      </w:r>
      <w:r w:rsidR="00BF6579" w:rsidRPr="008C64F3">
        <w:rPr>
          <w:rFonts w:ascii="Times New Roman" w:hAnsi="Times New Roman" w:cs="Times New Roman"/>
          <w:color w:val="000000" w:themeColor="text1"/>
          <w:sz w:val="18"/>
          <w:szCs w:val="18"/>
        </w:rPr>
        <w:t xml:space="preserve"> (hereinafter Dilla &amp; Bule Hora Study)</w:t>
      </w:r>
      <w:r w:rsidR="001010A2" w:rsidRPr="008C64F3">
        <w:rPr>
          <w:rFonts w:ascii="Times New Roman" w:hAnsi="Times New Roman" w:cs="Times New Roman"/>
          <w:color w:val="000000" w:themeColor="text1"/>
          <w:sz w:val="18"/>
          <w:szCs w:val="18"/>
        </w:rPr>
        <w:t xml:space="preserve">; Cecilia Jamasmie, </w:t>
      </w:r>
      <w:r w:rsidR="001010A2" w:rsidRPr="008C64F3">
        <w:rPr>
          <w:rFonts w:ascii="Times New Roman" w:hAnsi="Times New Roman" w:cs="Times New Roman"/>
          <w:i/>
          <w:color w:val="000000" w:themeColor="text1"/>
          <w:sz w:val="18"/>
          <w:szCs w:val="18"/>
        </w:rPr>
        <w:t>Ethiopians Protest MIDROC Gold Mining License Renewal</w:t>
      </w:r>
      <w:r w:rsidR="001010A2" w:rsidRPr="008C64F3">
        <w:rPr>
          <w:rFonts w:ascii="Times New Roman" w:hAnsi="Times New Roman" w:cs="Times New Roman"/>
          <w:color w:val="000000" w:themeColor="text1"/>
          <w:sz w:val="18"/>
          <w:szCs w:val="18"/>
        </w:rPr>
        <w:t xml:space="preserve">, TesfaNews (7 May 2018), </w:t>
      </w:r>
      <w:r w:rsidR="00497179" w:rsidRPr="008C64F3">
        <w:rPr>
          <w:rFonts w:ascii="Times New Roman" w:hAnsi="Times New Roman" w:cs="Times New Roman"/>
          <w:color w:val="000000" w:themeColor="text1"/>
          <w:sz w:val="18"/>
          <w:szCs w:val="18"/>
        </w:rPr>
        <w:t>https://www.tesfanews.net/ethiopians-protest-midroc-mining-license-renewal/</w:t>
      </w:r>
      <w:r w:rsidR="00BF6579" w:rsidRPr="008C64F3">
        <w:rPr>
          <w:rFonts w:ascii="Times New Roman" w:hAnsi="Times New Roman" w:cs="Times New Roman"/>
          <w:color w:val="000000" w:themeColor="text1"/>
          <w:sz w:val="18"/>
          <w:szCs w:val="18"/>
        </w:rPr>
        <w:t>; Interviews with community members</w:t>
      </w:r>
      <w:r w:rsidRPr="008C64F3">
        <w:rPr>
          <w:rFonts w:ascii="Times New Roman" w:hAnsi="Times New Roman" w:cs="Times New Roman"/>
          <w:color w:val="000000" w:themeColor="text1"/>
          <w:sz w:val="18"/>
          <w:szCs w:val="18"/>
        </w:rPr>
        <w:t>.</w:t>
      </w:r>
    </w:p>
  </w:footnote>
  <w:footnote w:id="5">
    <w:p w14:paraId="2AADAEEE" w14:textId="45BFCDA9" w:rsidR="00B96594" w:rsidRPr="008C64F3" w:rsidRDefault="00B96594" w:rsidP="00B96594">
      <w:pPr>
        <w:pStyle w:val="FootnoteText"/>
        <w:rPr>
          <w:rFonts w:ascii="Times New Roman" w:hAnsi="Times New Roman" w:cs="Times New Roman"/>
          <w:color w:val="000000" w:themeColor="text1"/>
          <w:sz w:val="18"/>
          <w:szCs w:val="18"/>
        </w:rPr>
      </w:pPr>
      <w:r w:rsidRPr="008C64F3">
        <w:rPr>
          <w:rStyle w:val="FootnoteReference"/>
          <w:rFonts w:ascii="Times New Roman" w:hAnsi="Times New Roman" w:cs="Times New Roman"/>
          <w:color w:val="000000" w:themeColor="text1"/>
          <w:sz w:val="18"/>
          <w:szCs w:val="18"/>
        </w:rPr>
        <w:footnoteRef/>
      </w:r>
      <w:r w:rsidRPr="008C64F3">
        <w:rPr>
          <w:rFonts w:ascii="Times New Roman" w:hAnsi="Times New Roman" w:cs="Times New Roman"/>
          <w:color w:val="000000" w:themeColor="text1"/>
          <w:sz w:val="18"/>
          <w:szCs w:val="18"/>
        </w:rPr>
        <w:t xml:space="preserve"> </w:t>
      </w:r>
      <w:r w:rsidR="00EB7829" w:rsidRPr="001313F4">
        <w:rPr>
          <w:rFonts w:ascii="Times New Roman" w:hAnsi="Times New Roman" w:cs="Times New Roman"/>
          <w:i/>
          <w:iCs/>
          <w:color w:val="000000" w:themeColor="text1"/>
          <w:sz w:val="18"/>
          <w:szCs w:val="18"/>
        </w:rPr>
        <w:t>Compliance audit in chemical management on MIDROC Gold Mine PLC’s Legadembi and Sakaro Mining Operations</w:t>
      </w:r>
      <w:r w:rsidR="00EB7829" w:rsidRPr="001313F4">
        <w:rPr>
          <w:rFonts w:ascii="Times New Roman" w:hAnsi="Times New Roman" w:cs="Times New Roman"/>
          <w:color w:val="000000" w:themeColor="text1"/>
          <w:sz w:val="18"/>
          <w:szCs w:val="18"/>
        </w:rPr>
        <w:t xml:space="preserve">, </w:t>
      </w:r>
      <w:r w:rsidR="00EB7829" w:rsidRPr="001313F4">
        <w:rPr>
          <w:rFonts w:ascii="Times New Roman" w:hAnsi="Times New Roman" w:cs="Times New Roman"/>
          <w:i/>
          <w:iCs/>
          <w:color w:val="000000" w:themeColor="text1"/>
          <w:sz w:val="18"/>
          <w:szCs w:val="18"/>
        </w:rPr>
        <w:t xml:space="preserve">prepared by </w:t>
      </w:r>
      <w:r w:rsidR="00EB7829" w:rsidRPr="001313F4">
        <w:rPr>
          <w:rFonts w:ascii="Times New Roman" w:hAnsi="Times New Roman" w:cs="Times New Roman"/>
          <w:color w:val="000000" w:themeColor="text1"/>
          <w:sz w:val="18"/>
          <w:szCs w:val="18"/>
        </w:rPr>
        <w:t>Addis Ababa University Business Enterprise PLC</w:t>
      </w:r>
      <w:r w:rsidR="006977F7" w:rsidRPr="001313F4">
        <w:rPr>
          <w:rFonts w:ascii="Times New Roman" w:hAnsi="Times New Roman" w:cs="Times New Roman"/>
          <w:color w:val="000000" w:themeColor="text1"/>
          <w:sz w:val="18"/>
          <w:szCs w:val="18"/>
        </w:rPr>
        <w:t xml:space="preserve"> </w:t>
      </w:r>
      <w:r w:rsidR="00EB7829" w:rsidRPr="001313F4">
        <w:rPr>
          <w:rFonts w:ascii="Times New Roman" w:hAnsi="Times New Roman" w:cs="Times New Roman"/>
          <w:color w:val="000000" w:themeColor="text1"/>
          <w:sz w:val="18"/>
          <w:szCs w:val="18"/>
        </w:rPr>
        <w:t>(March 2018), pp.</w:t>
      </w:r>
      <w:r w:rsidRPr="008C64F3">
        <w:rPr>
          <w:rFonts w:ascii="Times New Roman" w:hAnsi="Times New Roman" w:cs="Times New Roman"/>
          <w:color w:val="000000" w:themeColor="text1"/>
          <w:sz w:val="18"/>
          <w:szCs w:val="18"/>
        </w:rPr>
        <w:t xml:space="preserve"> </w:t>
      </w:r>
      <w:r w:rsidR="001010A2" w:rsidRPr="008C64F3">
        <w:rPr>
          <w:rFonts w:ascii="Times New Roman" w:hAnsi="Times New Roman" w:cs="Times New Roman"/>
          <w:color w:val="000000" w:themeColor="text1"/>
          <w:sz w:val="18"/>
          <w:szCs w:val="18"/>
        </w:rPr>
        <w:t>103</w:t>
      </w:r>
      <w:r w:rsidR="00EB7829" w:rsidRPr="008C64F3">
        <w:rPr>
          <w:rFonts w:ascii="Times New Roman" w:hAnsi="Times New Roman" w:cs="Times New Roman"/>
          <w:color w:val="000000" w:themeColor="text1"/>
          <w:sz w:val="18"/>
          <w:szCs w:val="18"/>
        </w:rPr>
        <w:t>–</w:t>
      </w:r>
      <w:r w:rsidR="001010A2" w:rsidRPr="008C64F3">
        <w:rPr>
          <w:rFonts w:ascii="Times New Roman" w:hAnsi="Times New Roman" w:cs="Times New Roman"/>
          <w:color w:val="000000" w:themeColor="text1"/>
          <w:sz w:val="18"/>
          <w:szCs w:val="18"/>
        </w:rPr>
        <w:t>04, 121</w:t>
      </w:r>
      <w:r w:rsidR="00EB7829" w:rsidRPr="008C64F3">
        <w:rPr>
          <w:rFonts w:ascii="Times New Roman" w:hAnsi="Times New Roman" w:cs="Times New Roman"/>
          <w:color w:val="000000" w:themeColor="text1"/>
          <w:sz w:val="18"/>
          <w:szCs w:val="18"/>
        </w:rPr>
        <w:t xml:space="preserve"> (hereinafter AAUBE Report)</w:t>
      </w:r>
      <w:r w:rsidR="001010A2" w:rsidRPr="008C64F3">
        <w:rPr>
          <w:rFonts w:ascii="Times New Roman" w:hAnsi="Times New Roman" w:cs="Times New Roman"/>
          <w:color w:val="000000" w:themeColor="text1"/>
          <w:sz w:val="18"/>
          <w:szCs w:val="18"/>
        </w:rPr>
        <w:t>.</w:t>
      </w:r>
    </w:p>
  </w:footnote>
  <w:footnote w:id="6">
    <w:p w14:paraId="641CB8B9" w14:textId="3A1287A9" w:rsidR="00B96594" w:rsidRPr="008C64F3" w:rsidRDefault="00B96594" w:rsidP="00B96594">
      <w:pPr>
        <w:pStyle w:val="FootnoteText"/>
        <w:rPr>
          <w:rFonts w:ascii="Times New Roman" w:hAnsi="Times New Roman" w:cs="Times New Roman"/>
          <w:color w:val="000000" w:themeColor="text1"/>
          <w:sz w:val="18"/>
          <w:szCs w:val="18"/>
        </w:rPr>
      </w:pPr>
      <w:r w:rsidRPr="008C64F3">
        <w:rPr>
          <w:rStyle w:val="FootnoteReference"/>
          <w:rFonts w:ascii="Times New Roman" w:hAnsi="Times New Roman" w:cs="Times New Roman"/>
          <w:color w:val="000000" w:themeColor="text1"/>
          <w:sz w:val="18"/>
          <w:szCs w:val="18"/>
        </w:rPr>
        <w:footnoteRef/>
      </w:r>
      <w:r w:rsidRPr="008C64F3">
        <w:rPr>
          <w:rFonts w:ascii="Times New Roman" w:hAnsi="Times New Roman" w:cs="Times New Roman"/>
          <w:color w:val="000000" w:themeColor="text1"/>
          <w:sz w:val="18"/>
          <w:szCs w:val="18"/>
        </w:rPr>
        <w:t xml:space="preserve"> </w:t>
      </w:r>
      <w:r w:rsidR="001010A2" w:rsidRPr="008C64F3">
        <w:rPr>
          <w:rFonts w:ascii="Times New Roman" w:hAnsi="Times New Roman" w:cs="Times New Roman"/>
          <w:i/>
          <w:iCs/>
          <w:color w:val="000000" w:themeColor="text1"/>
          <w:sz w:val="18"/>
          <w:szCs w:val="18"/>
        </w:rPr>
        <w:t>Id.</w:t>
      </w:r>
      <w:r w:rsidR="001010A2" w:rsidRPr="008C64F3">
        <w:rPr>
          <w:rFonts w:ascii="Times New Roman" w:hAnsi="Times New Roman" w:cs="Times New Roman"/>
          <w:color w:val="000000" w:themeColor="text1"/>
          <w:sz w:val="18"/>
          <w:szCs w:val="18"/>
        </w:rPr>
        <w:t xml:space="preserve"> at 84, 117, 123.</w:t>
      </w:r>
    </w:p>
  </w:footnote>
  <w:footnote w:id="7">
    <w:p w14:paraId="52DF06BA" w14:textId="73EB3861" w:rsidR="008D38A2" w:rsidRPr="008C64F3" w:rsidRDefault="008D38A2">
      <w:pPr>
        <w:pStyle w:val="FootnoteText"/>
        <w:rPr>
          <w:rFonts w:ascii="Times New Roman" w:hAnsi="Times New Roman" w:cs="Times New Roman"/>
          <w:color w:val="000000" w:themeColor="text1"/>
          <w:sz w:val="18"/>
          <w:szCs w:val="18"/>
        </w:rPr>
      </w:pPr>
      <w:r w:rsidRPr="008C64F3">
        <w:rPr>
          <w:rStyle w:val="FootnoteReference"/>
          <w:rFonts w:ascii="Times New Roman" w:hAnsi="Times New Roman" w:cs="Times New Roman"/>
          <w:color w:val="000000" w:themeColor="text1"/>
          <w:sz w:val="18"/>
          <w:szCs w:val="18"/>
        </w:rPr>
        <w:footnoteRef/>
      </w:r>
      <w:r w:rsidRPr="008C64F3">
        <w:rPr>
          <w:rFonts w:ascii="Times New Roman" w:hAnsi="Times New Roman" w:cs="Times New Roman"/>
          <w:color w:val="000000" w:themeColor="text1"/>
          <w:sz w:val="18"/>
          <w:szCs w:val="18"/>
        </w:rPr>
        <w:t xml:space="preserve"> </w:t>
      </w:r>
      <w:r w:rsidR="001010A2" w:rsidRPr="008C64F3">
        <w:rPr>
          <w:rFonts w:ascii="Times New Roman" w:hAnsi="Times New Roman" w:cs="Times New Roman"/>
          <w:i/>
          <w:iCs/>
          <w:color w:val="000000" w:themeColor="text1"/>
          <w:sz w:val="18"/>
          <w:szCs w:val="18"/>
        </w:rPr>
        <w:t>Id.</w:t>
      </w:r>
      <w:r w:rsidR="001010A2" w:rsidRPr="008C64F3">
        <w:rPr>
          <w:rFonts w:ascii="Times New Roman" w:hAnsi="Times New Roman" w:cs="Times New Roman"/>
          <w:color w:val="000000" w:themeColor="text1"/>
          <w:sz w:val="18"/>
          <w:szCs w:val="18"/>
        </w:rPr>
        <w:t xml:space="preserve"> at</w:t>
      </w:r>
      <w:r w:rsidRPr="008C64F3">
        <w:rPr>
          <w:rFonts w:ascii="Times New Roman" w:hAnsi="Times New Roman" w:cs="Times New Roman"/>
          <w:color w:val="000000" w:themeColor="text1"/>
          <w:sz w:val="18"/>
          <w:szCs w:val="18"/>
        </w:rPr>
        <w:t xml:space="preserve"> 102</w:t>
      </w:r>
      <w:r w:rsidR="001010A2" w:rsidRPr="008C64F3">
        <w:rPr>
          <w:rFonts w:ascii="Times New Roman" w:hAnsi="Times New Roman" w:cs="Times New Roman"/>
          <w:color w:val="000000" w:themeColor="text1"/>
          <w:sz w:val="18"/>
          <w:szCs w:val="18"/>
        </w:rPr>
        <w:t>.</w:t>
      </w:r>
    </w:p>
  </w:footnote>
  <w:footnote w:id="8">
    <w:p w14:paraId="1373FC1D" w14:textId="21DEE736" w:rsidR="008D38A2" w:rsidRPr="008C64F3" w:rsidRDefault="008D38A2">
      <w:pPr>
        <w:pStyle w:val="FootnoteText"/>
        <w:rPr>
          <w:rFonts w:ascii="Times New Roman" w:hAnsi="Times New Roman" w:cs="Times New Roman"/>
          <w:color w:val="000000" w:themeColor="text1"/>
          <w:sz w:val="18"/>
          <w:szCs w:val="18"/>
        </w:rPr>
      </w:pPr>
      <w:r w:rsidRPr="008C64F3">
        <w:rPr>
          <w:rStyle w:val="FootnoteReference"/>
          <w:rFonts w:ascii="Times New Roman" w:hAnsi="Times New Roman" w:cs="Times New Roman"/>
          <w:color w:val="000000" w:themeColor="text1"/>
          <w:sz w:val="18"/>
          <w:szCs w:val="18"/>
        </w:rPr>
        <w:footnoteRef/>
      </w:r>
      <w:r w:rsidRPr="008C64F3">
        <w:rPr>
          <w:rFonts w:ascii="Times New Roman" w:hAnsi="Times New Roman" w:cs="Times New Roman"/>
          <w:color w:val="000000" w:themeColor="text1"/>
          <w:sz w:val="18"/>
          <w:szCs w:val="18"/>
        </w:rPr>
        <w:t xml:space="preserve"> </w:t>
      </w:r>
      <w:r w:rsidR="001010A2" w:rsidRPr="008C64F3">
        <w:rPr>
          <w:rFonts w:ascii="Times New Roman" w:hAnsi="Times New Roman" w:cs="Times New Roman"/>
          <w:i/>
          <w:iCs/>
          <w:color w:val="000000" w:themeColor="text1"/>
          <w:sz w:val="18"/>
          <w:szCs w:val="18"/>
        </w:rPr>
        <w:t>Id.</w:t>
      </w:r>
    </w:p>
  </w:footnote>
  <w:footnote w:id="9">
    <w:p w14:paraId="6E9DAF38" w14:textId="7F58D3C3" w:rsidR="008F0808" w:rsidRPr="008C64F3" w:rsidRDefault="008F0808">
      <w:pPr>
        <w:pStyle w:val="FootnoteText"/>
        <w:rPr>
          <w:rFonts w:ascii="Times New Roman" w:hAnsi="Times New Roman" w:cs="Times New Roman"/>
          <w:color w:val="000000" w:themeColor="text1"/>
          <w:sz w:val="18"/>
          <w:szCs w:val="18"/>
        </w:rPr>
      </w:pPr>
      <w:r w:rsidRPr="008C64F3">
        <w:rPr>
          <w:rStyle w:val="FootnoteReference"/>
          <w:rFonts w:ascii="Times New Roman" w:hAnsi="Times New Roman" w:cs="Times New Roman"/>
          <w:color w:val="000000" w:themeColor="text1"/>
          <w:sz w:val="18"/>
          <w:szCs w:val="18"/>
        </w:rPr>
        <w:footnoteRef/>
      </w:r>
      <w:r w:rsidRPr="008C64F3">
        <w:rPr>
          <w:rFonts w:ascii="Times New Roman" w:hAnsi="Times New Roman" w:cs="Times New Roman"/>
          <w:color w:val="000000" w:themeColor="text1"/>
          <w:sz w:val="18"/>
          <w:szCs w:val="18"/>
        </w:rPr>
        <w:t xml:space="preserve"> </w:t>
      </w:r>
      <w:r w:rsidR="001010A2" w:rsidRPr="008C64F3">
        <w:rPr>
          <w:rFonts w:ascii="Times New Roman" w:hAnsi="Times New Roman" w:cs="Times New Roman"/>
          <w:i/>
          <w:iCs/>
          <w:color w:val="000000" w:themeColor="text1"/>
          <w:sz w:val="18"/>
          <w:szCs w:val="18"/>
        </w:rPr>
        <w:t>Id.</w:t>
      </w:r>
      <w:r w:rsidR="001010A2" w:rsidRPr="008C64F3">
        <w:rPr>
          <w:rFonts w:ascii="Times New Roman" w:hAnsi="Times New Roman" w:cs="Times New Roman"/>
          <w:color w:val="000000" w:themeColor="text1"/>
          <w:sz w:val="18"/>
          <w:szCs w:val="18"/>
        </w:rPr>
        <w:t xml:space="preserve"> at 65.</w:t>
      </w:r>
    </w:p>
  </w:footnote>
  <w:footnote w:id="10">
    <w:p w14:paraId="6A132B4A" w14:textId="6936A428" w:rsidR="00F13826" w:rsidRDefault="00F13826">
      <w:pPr>
        <w:pStyle w:val="FootnoteText"/>
      </w:pPr>
      <w:r>
        <w:rPr>
          <w:rStyle w:val="FootnoteReference"/>
        </w:rPr>
        <w:footnoteRef/>
      </w:r>
      <w:r>
        <w:t xml:space="preserve"> </w:t>
      </w:r>
      <w:r w:rsidRPr="00F13826">
        <w:rPr>
          <w:rFonts w:ascii="Times New Roman" w:hAnsi="Times New Roman" w:cs="Times New Roman"/>
          <w:i/>
          <w:iCs/>
          <w:color w:val="000000" w:themeColor="text1"/>
          <w:sz w:val="18"/>
          <w:szCs w:val="18"/>
        </w:rPr>
        <w:t>Id.</w:t>
      </w:r>
      <w:r w:rsidRPr="00F13826">
        <w:rPr>
          <w:rFonts w:ascii="Times New Roman" w:hAnsi="Times New Roman" w:cs="Times New Roman"/>
          <w:color w:val="000000" w:themeColor="text1"/>
          <w:sz w:val="18"/>
          <w:szCs w:val="18"/>
        </w:rPr>
        <w:t xml:space="preserve"> at 118</w:t>
      </w:r>
    </w:p>
  </w:footnote>
  <w:footnote w:id="11">
    <w:p w14:paraId="5059C91A" w14:textId="1BE3100D" w:rsidR="002F3110" w:rsidRPr="008C64F3" w:rsidRDefault="002F3110" w:rsidP="002F3110">
      <w:pPr>
        <w:pStyle w:val="FootnoteText"/>
        <w:rPr>
          <w:rFonts w:ascii="Times New Roman" w:hAnsi="Times New Roman" w:cs="Times New Roman"/>
          <w:color w:val="000000" w:themeColor="text1"/>
          <w:sz w:val="18"/>
          <w:szCs w:val="18"/>
        </w:rPr>
      </w:pPr>
      <w:r w:rsidRPr="008C64F3">
        <w:rPr>
          <w:rStyle w:val="FootnoteReference"/>
          <w:rFonts w:ascii="Times New Roman" w:hAnsi="Times New Roman" w:cs="Times New Roman"/>
          <w:color w:val="000000" w:themeColor="text1"/>
          <w:sz w:val="18"/>
          <w:szCs w:val="18"/>
        </w:rPr>
        <w:footnoteRef/>
      </w:r>
      <w:r w:rsidRPr="008C64F3">
        <w:rPr>
          <w:rFonts w:ascii="Times New Roman" w:hAnsi="Times New Roman" w:cs="Times New Roman"/>
          <w:color w:val="000000" w:themeColor="text1"/>
          <w:sz w:val="18"/>
          <w:szCs w:val="18"/>
        </w:rPr>
        <w:t xml:space="preserve"> </w:t>
      </w:r>
      <w:r w:rsidRPr="008C64F3">
        <w:rPr>
          <w:rFonts w:ascii="Times New Roman" w:hAnsi="Times New Roman" w:cs="Times New Roman"/>
          <w:i/>
          <w:iCs/>
          <w:color w:val="000000" w:themeColor="text1"/>
          <w:sz w:val="18"/>
          <w:szCs w:val="18"/>
        </w:rPr>
        <w:t>Id.</w:t>
      </w:r>
      <w:r w:rsidR="000271C5" w:rsidRPr="008C64F3">
        <w:rPr>
          <w:rFonts w:ascii="Times New Roman" w:hAnsi="Times New Roman" w:cs="Times New Roman"/>
          <w:color w:val="000000" w:themeColor="text1"/>
          <w:sz w:val="18"/>
          <w:szCs w:val="18"/>
        </w:rPr>
        <w:t xml:space="preserve"> </w:t>
      </w:r>
      <w:r w:rsidR="001010A2" w:rsidRPr="008C64F3">
        <w:rPr>
          <w:rFonts w:ascii="Times New Roman" w:hAnsi="Times New Roman" w:cs="Times New Roman"/>
          <w:color w:val="000000" w:themeColor="text1"/>
          <w:sz w:val="18"/>
          <w:szCs w:val="18"/>
        </w:rPr>
        <w:t xml:space="preserve">at 59. </w:t>
      </w:r>
      <w:r w:rsidR="000271C5" w:rsidRPr="008C64F3">
        <w:rPr>
          <w:rFonts w:ascii="Times New Roman" w:hAnsi="Times New Roman" w:cs="Times New Roman"/>
          <w:color w:val="000000" w:themeColor="text1"/>
          <w:sz w:val="18"/>
          <w:szCs w:val="18"/>
        </w:rPr>
        <w:t xml:space="preserve">Cyanide is commonly used in gold mines, but it is essential that its use be carefully managed with appropriate measures being taken to avoid environmental degradation and adverse health impacts. </w:t>
      </w:r>
      <w:r w:rsidR="001010A2" w:rsidRPr="008C64F3">
        <w:rPr>
          <w:rFonts w:ascii="Times New Roman" w:hAnsi="Times New Roman" w:cs="Times New Roman"/>
          <w:color w:val="000000" w:themeColor="text1"/>
          <w:sz w:val="18"/>
          <w:szCs w:val="18"/>
        </w:rPr>
        <w:t xml:space="preserve"> </w:t>
      </w:r>
      <w:r w:rsidR="001010A2" w:rsidRPr="008C64F3">
        <w:rPr>
          <w:rFonts w:ascii="Times New Roman" w:hAnsi="Times New Roman" w:cs="Times New Roman"/>
          <w:i/>
          <w:iCs/>
          <w:color w:val="000000" w:themeColor="text1"/>
          <w:sz w:val="18"/>
          <w:szCs w:val="18"/>
        </w:rPr>
        <w:t>See id.</w:t>
      </w:r>
      <w:r w:rsidR="001010A2" w:rsidRPr="008C64F3">
        <w:rPr>
          <w:rFonts w:ascii="Times New Roman" w:hAnsi="Times New Roman" w:cs="Times New Roman"/>
          <w:color w:val="000000" w:themeColor="text1"/>
          <w:sz w:val="18"/>
          <w:szCs w:val="18"/>
        </w:rPr>
        <w:t xml:space="preserve"> at 37, 52.</w:t>
      </w:r>
    </w:p>
  </w:footnote>
  <w:footnote w:id="12">
    <w:p w14:paraId="1F84C3E9" w14:textId="3F77C4ED" w:rsidR="002F3110" w:rsidRPr="008C64F3" w:rsidRDefault="002F3110" w:rsidP="002F3110">
      <w:pPr>
        <w:pStyle w:val="FootnoteText"/>
        <w:rPr>
          <w:rFonts w:ascii="Times New Roman" w:hAnsi="Times New Roman" w:cs="Times New Roman"/>
          <w:i/>
          <w:iCs/>
          <w:color w:val="000000" w:themeColor="text1"/>
          <w:sz w:val="18"/>
          <w:szCs w:val="18"/>
        </w:rPr>
      </w:pPr>
      <w:r w:rsidRPr="008C64F3">
        <w:rPr>
          <w:rStyle w:val="FootnoteReference"/>
          <w:rFonts w:ascii="Times New Roman" w:hAnsi="Times New Roman" w:cs="Times New Roman"/>
          <w:color w:val="000000" w:themeColor="text1"/>
          <w:sz w:val="18"/>
          <w:szCs w:val="18"/>
        </w:rPr>
        <w:footnoteRef/>
      </w:r>
      <w:r w:rsidRPr="008C64F3">
        <w:rPr>
          <w:rFonts w:ascii="Times New Roman" w:hAnsi="Times New Roman" w:cs="Times New Roman"/>
          <w:color w:val="000000" w:themeColor="text1"/>
          <w:sz w:val="18"/>
          <w:szCs w:val="18"/>
        </w:rPr>
        <w:t xml:space="preserve"> </w:t>
      </w:r>
      <w:r w:rsidRPr="008C64F3">
        <w:rPr>
          <w:rFonts w:ascii="Times New Roman" w:hAnsi="Times New Roman" w:cs="Times New Roman"/>
          <w:i/>
          <w:iCs/>
          <w:color w:val="000000" w:themeColor="text1"/>
          <w:sz w:val="18"/>
          <w:szCs w:val="18"/>
        </w:rPr>
        <w:t>Facts About Cyanide</w:t>
      </w:r>
      <w:r w:rsidRPr="008C64F3">
        <w:rPr>
          <w:rFonts w:ascii="Times New Roman" w:hAnsi="Times New Roman" w:cs="Times New Roman"/>
          <w:color w:val="000000" w:themeColor="text1"/>
          <w:sz w:val="18"/>
          <w:szCs w:val="18"/>
        </w:rPr>
        <w:t xml:space="preserve">, </w:t>
      </w:r>
      <w:r w:rsidR="00EB7829" w:rsidRPr="008C64F3">
        <w:rPr>
          <w:rFonts w:ascii="Times New Roman" w:hAnsi="Times New Roman" w:cs="Times New Roman"/>
          <w:color w:val="000000" w:themeColor="text1"/>
          <w:sz w:val="18"/>
          <w:szCs w:val="18"/>
        </w:rPr>
        <w:t>Centers for Disease Control and Prevention,</w:t>
      </w:r>
      <w:r w:rsidRPr="008C64F3">
        <w:rPr>
          <w:rFonts w:ascii="Times New Roman" w:hAnsi="Times New Roman" w:cs="Times New Roman"/>
          <w:color w:val="000000" w:themeColor="text1"/>
          <w:sz w:val="18"/>
          <w:szCs w:val="18"/>
        </w:rPr>
        <w:t xml:space="preserve"> (Apr. 4, 2018), https://emergency.cdc.gov/agent/cyanide/basics/facts.asp.; AAUBE Report</w:t>
      </w:r>
      <w:r w:rsidR="00072BCE" w:rsidRPr="008C64F3">
        <w:rPr>
          <w:rFonts w:ascii="Times New Roman" w:hAnsi="Times New Roman" w:cs="Times New Roman"/>
          <w:color w:val="000000" w:themeColor="text1"/>
          <w:sz w:val="18"/>
          <w:szCs w:val="18"/>
        </w:rPr>
        <w:t xml:space="preserve">, </w:t>
      </w:r>
      <w:r w:rsidR="00072BCE" w:rsidRPr="008C64F3">
        <w:rPr>
          <w:rFonts w:ascii="Times New Roman" w:hAnsi="Times New Roman" w:cs="Times New Roman"/>
          <w:i/>
          <w:iCs/>
          <w:color w:val="000000" w:themeColor="text1"/>
          <w:sz w:val="18"/>
          <w:szCs w:val="18"/>
        </w:rPr>
        <w:t xml:space="preserve">supra </w:t>
      </w:r>
      <w:r w:rsidR="00072BCE" w:rsidRPr="008C64F3">
        <w:rPr>
          <w:rFonts w:ascii="Times New Roman" w:hAnsi="Times New Roman" w:cs="Times New Roman"/>
          <w:color w:val="000000" w:themeColor="text1"/>
          <w:sz w:val="18"/>
          <w:szCs w:val="18"/>
        </w:rPr>
        <w:t>note 4,</w:t>
      </w:r>
      <w:r w:rsidRPr="008C64F3">
        <w:rPr>
          <w:rFonts w:ascii="Times New Roman" w:hAnsi="Times New Roman" w:cs="Times New Roman"/>
          <w:color w:val="000000" w:themeColor="text1"/>
          <w:sz w:val="18"/>
          <w:szCs w:val="18"/>
        </w:rPr>
        <w:t xml:space="preserve"> </w:t>
      </w:r>
      <w:r w:rsidR="00072BCE" w:rsidRPr="008C64F3">
        <w:rPr>
          <w:rFonts w:ascii="Times New Roman" w:hAnsi="Times New Roman" w:cs="Times New Roman"/>
          <w:color w:val="000000" w:themeColor="text1"/>
          <w:sz w:val="18"/>
          <w:szCs w:val="18"/>
        </w:rPr>
        <w:t>at</w:t>
      </w:r>
      <w:r w:rsidRPr="008C64F3">
        <w:rPr>
          <w:rFonts w:ascii="Times New Roman" w:hAnsi="Times New Roman" w:cs="Times New Roman"/>
          <w:color w:val="000000" w:themeColor="text1"/>
          <w:sz w:val="18"/>
          <w:szCs w:val="18"/>
        </w:rPr>
        <w:t xml:space="preserve"> 49.</w:t>
      </w:r>
    </w:p>
  </w:footnote>
  <w:footnote w:id="13">
    <w:p w14:paraId="00C58057" w14:textId="70CA7D2E" w:rsidR="00851581" w:rsidRPr="008C64F3" w:rsidRDefault="00851581" w:rsidP="00851581">
      <w:pPr>
        <w:rPr>
          <w:color w:val="000000" w:themeColor="text1"/>
          <w:sz w:val="18"/>
          <w:szCs w:val="18"/>
        </w:rPr>
      </w:pPr>
      <w:r w:rsidRPr="008C64F3">
        <w:rPr>
          <w:rStyle w:val="FootnoteReference"/>
          <w:color w:val="000000" w:themeColor="text1"/>
          <w:sz w:val="18"/>
          <w:szCs w:val="18"/>
        </w:rPr>
        <w:footnoteRef/>
      </w:r>
      <w:r w:rsidRPr="008C64F3">
        <w:rPr>
          <w:color w:val="000000" w:themeColor="text1"/>
          <w:sz w:val="18"/>
          <w:szCs w:val="18"/>
        </w:rPr>
        <w:t xml:space="preserve"> World Health Organization, </w:t>
      </w:r>
      <w:r w:rsidR="00497179" w:rsidRPr="001313F4">
        <w:rPr>
          <w:color w:val="000000" w:themeColor="text1"/>
          <w:sz w:val="18"/>
          <w:szCs w:val="18"/>
        </w:rPr>
        <w:t>https://www.who.int/ipcs/assessment/public_health/chemicals_phc/en/</w:t>
      </w:r>
      <w:r w:rsidR="001010A2" w:rsidRPr="008C64F3">
        <w:rPr>
          <w:rStyle w:val="Hyperlink"/>
          <w:color w:val="000000" w:themeColor="text1"/>
          <w:sz w:val="18"/>
          <w:szCs w:val="18"/>
          <w:u w:val="none"/>
        </w:rPr>
        <w:t>; AAUBE Report</w:t>
      </w:r>
      <w:r w:rsidR="00072BCE" w:rsidRPr="008C64F3">
        <w:rPr>
          <w:rStyle w:val="Hyperlink"/>
          <w:color w:val="000000" w:themeColor="text1"/>
          <w:sz w:val="18"/>
          <w:szCs w:val="18"/>
          <w:u w:val="none"/>
        </w:rPr>
        <w:t xml:space="preserve">, </w:t>
      </w:r>
      <w:r w:rsidR="00072BCE" w:rsidRPr="008C64F3">
        <w:rPr>
          <w:rStyle w:val="Hyperlink"/>
          <w:i/>
          <w:iCs/>
          <w:color w:val="000000" w:themeColor="text1"/>
          <w:sz w:val="18"/>
          <w:szCs w:val="18"/>
          <w:u w:val="none"/>
        </w:rPr>
        <w:t>supra</w:t>
      </w:r>
      <w:r w:rsidR="00072BCE" w:rsidRPr="008C64F3">
        <w:rPr>
          <w:rStyle w:val="Hyperlink"/>
          <w:color w:val="000000" w:themeColor="text1"/>
          <w:sz w:val="18"/>
          <w:szCs w:val="18"/>
          <w:u w:val="none"/>
        </w:rPr>
        <w:t xml:space="preserve"> note 4, at </w:t>
      </w:r>
      <w:r w:rsidR="001010A2" w:rsidRPr="008C64F3">
        <w:rPr>
          <w:rStyle w:val="Hyperlink"/>
          <w:color w:val="000000" w:themeColor="text1"/>
          <w:sz w:val="18"/>
          <w:szCs w:val="18"/>
          <w:u w:val="none"/>
        </w:rPr>
        <w:t>44</w:t>
      </w:r>
      <w:r w:rsidR="009F3B35" w:rsidRPr="008C64F3">
        <w:rPr>
          <w:color w:val="000000" w:themeColor="text1"/>
          <w:sz w:val="18"/>
          <w:szCs w:val="18"/>
        </w:rPr>
        <w:t>–</w:t>
      </w:r>
      <w:r w:rsidR="001010A2" w:rsidRPr="008C64F3">
        <w:rPr>
          <w:rStyle w:val="Hyperlink"/>
          <w:color w:val="000000" w:themeColor="text1"/>
          <w:sz w:val="18"/>
          <w:szCs w:val="18"/>
          <w:u w:val="none"/>
        </w:rPr>
        <w:t>45.</w:t>
      </w:r>
    </w:p>
  </w:footnote>
  <w:footnote w:id="14">
    <w:p w14:paraId="33D9348A" w14:textId="233139AF" w:rsidR="00851581" w:rsidRPr="008C64F3" w:rsidRDefault="00851581" w:rsidP="00851581">
      <w:pPr>
        <w:pStyle w:val="FootnoteText"/>
        <w:rPr>
          <w:rFonts w:ascii="Times New Roman" w:hAnsi="Times New Roman" w:cs="Times New Roman"/>
          <w:color w:val="000000" w:themeColor="text1"/>
          <w:sz w:val="18"/>
          <w:szCs w:val="18"/>
        </w:rPr>
      </w:pPr>
      <w:r w:rsidRPr="008C64F3">
        <w:rPr>
          <w:rStyle w:val="FootnoteReference"/>
          <w:rFonts w:ascii="Times New Roman" w:hAnsi="Times New Roman" w:cs="Times New Roman"/>
          <w:color w:val="000000" w:themeColor="text1"/>
          <w:sz w:val="18"/>
          <w:szCs w:val="18"/>
        </w:rPr>
        <w:footnoteRef/>
      </w:r>
      <w:r w:rsidRPr="008C64F3">
        <w:rPr>
          <w:rFonts w:ascii="Times New Roman" w:hAnsi="Times New Roman" w:cs="Times New Roman"/>
          <w:color w:val="000000" w:themeColor="text1"/>
          <w:sz w:val="18"/>
          <w:szCs w:val="18"/>
        </w:rPr>
        <w:t xml:space="preserve"> </w:t>
      </w:r>
      <w:r w:rsidR="001010A2" w:rsidRPr="008C64F3">
        <w:rPr>
          <w:rFonts w:ascii="Times New Roman" w:hAnsi="Times New Roman" w:cs="Times New Roman"/>
          <w:color w:val="000000" w:themeColor="text1"/>
          <w:sz w:val="18"/>
          <w:szCs w:val="18"/>
        </w:rPr>
        <w:t>AAUBE Report</w:t>
      </w:r>
      <w:r w:rsidR="006977F7" w:rsidRPr="008C64F3">
        <w:rPr>
          <w:rFonts w:ascii="Times New Roman" w:hAnsi="Times New Roman" w:cs="Times New Roman"/>
          <w:color w:val="000000" w:themeColor="text1"/>
          <w:sz w:val="18"/>
          <w:szCs w:val="18"/>
        </w:rPr>
        <w:t xml:space="preserve">, </w:t>
      </w:r>
      <w:r w:rsidR="006977F7" w:rsidRPr="008C64F3">
        <w:rPr>
          <w:rFonts w:ascii="Times New Roman" w:hAnsi="Times New Roman" w:cs="Times New Roman"/>
          <w:i/>
          <w:color w:val="000000" w:themeColor="text1"/>
          <w:sz w:val="18"/>
          <w:szCs w:val="18"/>
        </w:rPr>
        <w:t xml:space="preserve">supra </w:t>
      </w:r>
      <w:r w:rsidR="006977F7" w:rsidRPr="008C64F3">
        <w:rPr>
          <w:rFonts w:ascii="Times New Roman" w:hAnsi="Times New Roman" w:cs="Times New Roman"/>
          <w:color w:val="000000" w:themeColor="text1"/>
          <w:sz w:val="18"/>
          <w:szCs w:val="18"/>
        </w:rPr>
        <w:t xml:space="preserve">note 4, </w:t>
      </w:r>
      <w:r w:rsidR="00072BCE" w:rsidRPr="008C64F3">
        <w:rPr>
          <w:rFonts w:ascii="Times New Roman" w:hAnsi="Times New Roman" w:cs="Times New Roman"/>
          <w:color w:val="000000" w:themeColor="text1"/>
          <w:sz w:val="18"/>
          <w:szCs w:val="18"/>
        </w:rPr>
        <w:t>at</w:t>
      </w:r>
      <w:r w:rsidR="001010A2" w:rsidRPr="008C64F3">
        <w:rPr>
          <w:rFonts w:ascii="Times New Roman" w:hAnsi="Times New Roman" w:cs="Times New Roman"/>
          <w:color w:val="000000" w:themeColor="text1"/>
          <w:sz w:val="18"/>
          <w:szCs w:val="18"/>
        </w:rPr>
        <w:t xml:space="preserve"> 72</w:t>
      </w:r>
      <w:r w:rsidR="00EB7829" w:rsidRPr="008C64F3">
        <w:rPr>
          <w:rFonts w:ascii="Times New Roman" w:hAnsi="Times New Roman" w:cs="Times New Roman"/>
          <w:color w:val="000000" w:themeColor="text1"/>
          <w:sz w:val="18"/>
          <w:szCs w:val="18"/>
        </w:rPr>
        <w:t>–</w:t>
      </w:r>
      <w:r w:rsidR="001010A2" w:rsidRPr="008C64F3">
        <w:rPr>
          <w:rFonts w:ascii="Times New Roman" w:hAnsi="Times New Roman" w:cs="Times New Roman"/>
          <w:color w:val="000000" w:themeColor="text1"/>
          <w:sz w:val="18"/>
          <w:szCs w:val="18"/>
        </w:rPr>
        <w:t>73, 76</w:t>
      </w:r>
      <w:r w:rsidR="00EB7829" w:rsidRPr="008C64F3">
        <w:rPr>
          <w:rFonts w:ascii="Times New Roman" w:hAnsi="Times New Roman" w:cs="Times New Roman"/>
          <w:color w:val="000000" w:themeColor="text1"/>
          <w:sz w:val="18"/>
          <w:szCs w:val="18"/>
        </w:rPr>
        <w:t>–</w:t>
      </w:r>
      <w:r w:rsidR="001010A2" w:rsidRPr="008C64F3">
        <w:rPr>
          <w:rFonts w:ascii="Times New Roman" w:hAnsi="Times New Roman" w:cs="Times New Roman"/>
          <w:color w:val="000000" w:themeColor="text1"/>
          <w:sz w:val="18"/>
          <w:szCs w:val="18"/>
        </w:rPr>
        <w:t>78</w:t>
      </w:r>
      <w:r w:rsidR="00230C6D" w:rsidRPr="008C64F3">
        <w:rPr>
          <w:rFonts w:ascii="Times New Roman" w:hAnsi="Times New Roman" w:cs="Times New Roman"/>
          <w:color w:val="000000" w:themeColor="text1"/>
          <w:sz w:val="18"/>
          <w:szCs w:val="18"/>
        </w:rPr>
        <w:t>.</w:t>
      </w:r>
    </w:p>
  </w:footnote>
  <w:footnote w:id="15">
    <w:p w14:paraId="475FA917" w14:textId="352EAB17" w:rsidR="00230C6D" w:rsidRPr="00E705CD" w:rsidRDefault="00230C6D">
      <w:pPr>
        <w:pStyle w:val="FootnoteText"/>
        <w:rPr>
          <w:rFonts w:ascii="Times New Roman" w:hAnsi="Times New Roman" w:cs="Times New Roman"/>
          <w:sz w:val="18"/>
          <w:szCs w:val="18"/>
        </w:rPr>
      </w:pPr>
      <w:r w:rsidRPr="008C64F3">
        <w:rPr>
          <w:rStyle w:val="FootnoteReference"/>
          <w:rFonts w:ascii="Times New Roman" w:hAnsi="Times New Roman" w:cs="Times New Roman"/>
          <w:color w:val="000000" w:themeColor="text1"/>
          <w:sz w:val="18"/>
          <w:szCs w:val="18"/>
        </w:rPr>
        <w:footnoteRef/>
      </w:r>
      <w:r w:rsidRPr="001313F4">
        <w:rPr>
          <w:rFonts w:ascii="Times New Roman" w:hAnsi="Times New Roman" w:cs="Times New Roman"/>
          <w:color w:val="000000" w:themeColor="text1"/>
          <w:sz w:val="18"/>
          <w:szCs w:val="18"/>
        </w:rPr>
        <w:t xml:space="preserve"> </w:t>
      </w:r>
      <w:r w:rsidRPr="001313F4">
        <w:rPr>
          <w:rFonts w:ascii="Times New Roman" w:hAnsi="Times New Roman" w:cs="Times New Roman"/>
          <w:i/>
          <w:iCs/>
          <w:color w:val="000000" w:themeColor="text1"/>
          <w:sz w:val="18"/>
          <w:szCs w:val="18"/>
        </w:rPr>
        <w:t>Id.</w:t>
      </w:r>
      <w:r w:rsidRPr="001313F4">
        <w:rPr>
          <w:rFonts w:ascii="Times New Roman" w:hAnsi="Times New Roman" w:cs="Times New Roman"/>
          <w:color w:val="000000" w:themeColor="text1"/>
          <w:sz w:val="18"/>
          <w:szCs w:val="18"/>
        </w:rPr>
        <w:t xml:space="preserve"> at 72, 77.</w:t>
      </w:r>
    </w:p>
  </w:footnote>
  <w:footnote w:id="16">
    <w:p w14:paraId="6FF59402" w14:textId="60EEA52A" w:rsidR="00E7346A" w:rsidRPr="00615FAE" w:rsidRDefault="00E7346A" w:rsidP="00E7346A">
      <w:pPr>
        <w:pStyle w:val="FootnoteText"/>
        <w:rPr>
          <w:rFonts w:ascii="Times New Roman" w:hAnsi="Times New Roman" w:cs="Times New Roman"/>
          <w:color w:val="000000" w:themeColor="text1"/>
          <w:sz w:val="18"/>
          <w:szCs w:val="18"/>
        </w:rPr>
      </w:pPr>
      <w:r w:rsidRPr="00E705CD">
        <w:rPr>
          <w:rStyle w:val="FootnoteReference"/>
          <w:rFonts w:ascii="Times New Roman" w:hAnsi="Times New Roman" w:cs="Times New Roman"/>
          <w:color w:val="000000" w:themeColor="text1"/>
          <w:sz w:val="18"/>
          <w:szCs w:val="18"/>
        </w:rPr>
        <w:footnoteRef/>
      </w:r>
      <w:r w:rsidR="004518AD" w:rsidRPr="00E705CD">
        <w:rPr>
          <w:rFonts w:ascii="Times New Roman" w:hAnsi="Times New Roman" w:cs="Times New Roman"/>
          <w:color w:val="000000" w:themeColor="text1"/>
          <w:sz w:val="18"/>
          <w:szCs w:val="18"/>
        </w:rPr>
        <w:t xml:space="preserve"> World Health Organization</w:t>
      </w:r>
      <w:r w:rsidRPr="00E705CD">
        <w:rPr>
          <w:rFonts w:ascii="Times New Roman" w:hAnsi="Times New Roman" w:cs="Times New Roman"/>
          <w:color w:val="000000" w:themeColor="text1"/>
          <w:sz w:val="18"/>
          <w:szCs w:val="18"/>
        </w:rPr>
        <w:t xml:space="preserve">, </w:t>
      </w:r>
      <w:r w:rsidR="008F6746" w:rsidRPr="008F6746">
        <w:rPr>
          <w:rFonts w:ascii="Times New Roman" w:eastAsia="Times New Roman" w:hAnsi="Times New Roman" w:cs="Times New Roman"/>
          <w:sz w:val="18"/>
          <w:szCs w:val="18"/>
        </w:rPr>
        <w:t>https://www.who.int/ipcs/assessment/public_health/chemicals_phc/en/</w:t>
      </w:r>
      <w:r w:rsidRPr="00E705CD">
        <w:rPr>
          <w:rFonts w:ascii="Times New Roman" w:eastAsia="Times New Roman" w:hAnsi="Times New Roman" w:cs="Times New Roman"/>
          <w:color w:val="000000" w:themeColor="text1"/>
          <w:sz w:val="18"/>
          <w:szCs w:val="18"/>
        </w:rPr>
        <w:t xml:space="preserve">; </w:t>
      </w:r>
      <w:r w:rsidR="004518AD" w:rsidRPr="00E705CD">
        <w:rPr>
          <w:rFonts w:ascii="Times New Roman" w:eastAsia="Times New Roman" w:hAnsi="Times New Roman" w:cs="Times New Roman"/>
          <w:i/>
          <w:color w:val="000000" w:themeColor="text1"/>
          <w:sz w:val="18"/>
          <w:szCs w:val="18"/>
        </w:rPr>
        <w:t>i</w:t>
      </w:r>
      <w:r w:rsidR="009F3B35" w:rsidRPr="00615FAE">
        <w:rPr>
          <w:rFonts w:ascii="Times New Roman" w:eastAsia="Times New Roman" w:hAnsi="Times New Roman" w:cs="Times New Roman"/>
          <w:i/>
          <w:iCs/>
          <w:color w:val="000000" w:themeColor="text1"/>
          <w:sz w:val="18"/>
          <w:szCs w:val="18"/>
        </w:rPr>
        <w:t>d.</w:t>
      </w:r>
      <w:r w:rsidR="009F3B35" w:rsidRPr="00615FAE">
        <w:rPr>
          <w:rFonts w:ascii="Times New Roman" w:eastAsia="Times New Roman" w:hAnsi="Times New Roman" w:cs="Times New Roman"/>
          <w:color w:val="000000" w:themeColor="text1"/>
          <w:sz w:val="18"/>
          <w:szCs w:val="18"/>
        </w:rPr>
        <w:t xml:space="preserve"> at</w:t>
      </w:r>
      <w:r w:rsidRPr="00615FAE">
        <w:rPr>
          <w:rFonts w:ascii="Times New Roman" w:eastAsia="Times New Roman" w:hAnsi="Times New Roman" w:cs="Times New Roman"/>
          <w:color w:val="000000" w:themeColor="text1"/>
          <w:sz w:val="18"/>
          <w:szCs w:val="18"/>
        </w:rPr>
        <w:t xml:space="preserve"> 45.</w:t>
      </w:r>
    </w:p>
  </w:footnote>
  <w:footnote w:id="17">
    <w:p w14:paraId="74A8922A" w14:textId="310B3545" w:rsidR="00631770" w:rsidRPr="00615FAE" w:rsidRDefault="00631770">
      <w:pPr>
        <w:pStyle w:val="FootnoteText"/>
        <w:rPr>
          <w:rFonts w:ascii="Times New Roman" w:hAnsi="Times New Roman" w:cs="Times New Roman"/>
          <w:sz w:val="18"/>
          <w:szCs w:val="18"/>
        </w:rPr>
      </w:pPr>
      <w:r w:rsidRPr="00E705CD">
        <w:rPr>
          <w:rStyle w:val="FootnoteReference"/>
          <w:rFonts w:ascii="Times New Roman" w:hAnsi="Times New Roman" w:cs="Times New Roman"/>
          <w:sz w:val="18"/>
          <w:szCs w:val="18"/>
        </w:rPr>
        <w:footnoteRef/>
      </w:r>
      <w:r w:rsidRPr="00E705CD">
        <w:rPr>
          <w:rFonts w:ascii="Times New Roman" w:hAnsi="Times New Roman" w:cs="Times New Roman"/>
          <w:sz w:val="18"/>
          <w:szCs w:val="18"/>
        </w:rPr>
        <w:t xml:space="preserve"> </w:t>
      </w:r>
      <w:r w:rsidR="00623A85" w:rsidRPr="00E705CD">
        <w:rPr>
          <w:rFonts w:ascii="Times New Roman" w:hAnsi="Times New Roman" w:cs="Times New Roman"/>
          <w:sz w:val="18"/>
          <w:szCs w:val="18"/>
        </w:rPr>
        <w:t xml:space="preserve">AAUBE </w:t>
      </w:r>
      <w:r w:rsidR="00CF3E74" w:rsidRPr="00615FAE">
        <w:rPr>
          <w:rFonts w:ascii="Times New Roman" w:hAnsi="Times New Roman" w:cs="Times New Roman"/>
          <w:sz w:val="18"/>
          <w:szCs w:val="18"/>
        </w:rPr>
        <w:t>Report</w:t>
      </w:r>
      <w:r w:rsidR="006977F7" w:rsidRPr="00615FAE">
        <w:rPr>
          <w:rFonts w:ascii="Times New Roman" w:hAnsi="Times New Roman" w:cs="Times New Roman"/>
          <w:color w:val="000000" w:themeColor="text1"/>
          <w:sz w:val="18"/>
          <w:szCs w:val="18"/>
        </w:rPr>
        <w:t xml:space="preserve">, </w:t>
      </w:r>
      <w:r w:rsidR="006977F7" w:rsidRPr="00615FAE">
        <w:rPr>
          <w:rFonts w:ascii="Times New Roman" w:hAnsi="Times New Roman" w:cs="Times New Roman"/>
          <w:i/>
          <w:color w:val="000000" w:themeColor="text1"/>
          <w:sz w:val="18"/>
          <w:szCs w:val="18"/>
        </w:rPr>
        <w:t xml:space="preserve">supra </w:t>
      </w:r>
      <w:r w:rsidR="006977F7" w:rsidRPr="00615FAE">
        <w:rPr>
          <w:rFonts w:ascii="Times New Roman" w:hAnsi="Times New Roman" w:cs="Times New Roman"/>
          <w:color w:val="000000" w:themeColor="text1"/>
          <w:sz w:val="18"/>
          <w:szCs w:val="18"/>
        </w:rPr>
        <w:t xml:space="preserve">note 4, </w:t>
      </w:r>
      <w:r w:rsidR="00072BCE" w:rsidRPr="00615FAE">
        <w:rPr>
          <w:rFonts w:ascii="Times New Roman" w:hAnsi="Times New Roman" w:cs="Times New Roman"/>
          <w:sz w:val="18"/>
          <w:szCs w:val="18"/>
        </w:rPr>
        <w:t>at</w:t>
      </w:r>
      <w:r w:rsidR="00CF3E74" w:rsidRPr="00615FAE">
        <w:rPr>
          <w:rFonts w:ascii="Times New Roman" w:hAnsi="Times New Roman" w:cs="Times New Roman"/>
          <w:sz w:val="18"/>
          <w:szCs w:val="18"/>
        </w:rPr>
        <w:t xml:space="preserve"> </w:t>
      </w:r>
      <w:r w:rsidR="00623A85" w:rsidRPr="00615FAE">
        <w:rPr>
          <w:rFonts w:ascii="Times New Roman" w:hAnsi="Times New Roman" w:cs="Times New Roman"/>
          <w:sz w:val="18"/>
          <w:szCs w:val="18"/>
        </w:rPr>
        <w:t>3, 66.</w:t>
      </w:r>
    </w:p>
  </w:footnote>
  <w:footnote w:id="18">
    <w:p w14:paraId="6E254D87" w14:textId="7074C6DB" w:rsidR="00F832D1" w:rsidRPr="001313F4" w:rsidRDefault="00F832D1" w:rsidP="0006182F">
      <w:pPr>
        <w:pStyle w:val="Default"/>
        <w:rPr>
          <w:color w:val="000000" w:themeColor="text1"/>
          <w:sz w:val="18"/>
          <w:szCs w:val="18"/>
        </w:rPr>
      </w:pPr>
      <w:r w:rsidRPr="00E705CD">
        <w:rPr>
          <w:rStyle w:val="FootnoteReference"/>
          <w:sz w:val="18"/>
          <w:szCs w:val="18"/>
        </w:rPr>
        <w:footnoteRef/>
      </w:r>
      <w:r w:rsidRPr="00E705CD">
        <w:rPr>
          <w:sz w:val="18"/>
          <w:szCs w:val="18"/>
        </w:rPr>
        <w:t xml:space="preserve"> We note that the AAUBE audit did not find evidence of excessive levels of mercury in soil and water samples.</w:t>
      </w:r>
      <w:r w:rsidR="00631770" w:rsidRPr="00E705CD">
        <w:rPr>
          <w:sz w:val="18"/>
          <w:szCs w:val="18"/>
        </w:rPr>
        <w:t xml:space="preserve"> </w:t>
      </w:r>
      <w:r w:rsidR="006C73D5" w:rsidRPr="00615FAE">
        <w:rPr>
          <w:sz w:val="18"/>
          <w:szCs w:val="18"/>
        </w:rPr>
        <w:t xml:space="preserve"> However, it must also be noted that the audit was conducted “at the request of MIDROC GOLD PLC,” </w:t>
      </w:r>
      <w:r w:rsidR="00EB7829" w:rsidRPr="00E705CD">
        <w:rPr>
          <w:i/>
          <w:sz w:val="18"/>
          <w:szCs w:val="18"/>
        </w:rPr>
        <w:t>id.</w:t>
      </w:r>
      <w:r w:rsidR="006C73D5" w:rsidRPr="00E705CD">
        <w:rPr>
          <w:i/>
          <w:sz w:val="18"/>
          <w:szCs w:val="18"/>
        </w:rPr>
        <w:t xml:space="preserve"> </w:t>
      </w:r>
      <w:r w:rsidR="006C73D5" w:rsidRPr="00E705CD">
        <w:rPr>
          <w:sz w:val="18"/>
          <w:szCs w:val="18"/>
        </w:rPr>
        <w:t>at</w:t>
      </w:r>
      <w:r w:rsidR="0006182F" w:rsidRPr="00E705CD">
        <w:rPr>
          <w:sz w:val="18"/>
          <w:szCs w:val="18"/>
        </w:rPr>
        <w:t xml:space="preserve"> 2, and that the laboratory analyses were conducted by a lab that “has been a client of MIDROC Gold PLC for the last seven years,” </w:t>
      </w:r>
      <w:r w:rsidR="0006182F" w:rsidRPr="00E705CD">
        <w:rPr>
          <w:i/>
          <w:sz w:val="18"/>
          <w:szCs w:val="18"/>
        </w:rPr>
        <w:t xml:space="preserve">id. </w:t>
      </w:r>
      <w:r w:rsidR="0006182F" w:rsidRPr="00E705CD">
        <w:rPr>
          <w:sz w:val="18"/>
          <w:szCs w:val="18"/>
        </w:rPr>
        <w:t xml:space="preserve">at 3.  Under these circumstances, and given certain additional acknowledged limitations of the audit, </w:t>
      </w:r>
      <w:r w:rsidR="0006182F" w:rsidRPr="00E705CD">
        <w:rPr>
          <w:i/>
          <w:sz w:val="18"/>
          <w:szCs w:val="18"/>
        </w:rPr>
        <w:t>id.</w:t>
      </w:r>
      <w:r w:rsidR="0006182F" w:rsidRPr="00E705CD">
        <w:rPr>
          <w:sz w:val="18"/>
          <w:szCs w:val="18"/>
        </w:rPr>
        <w:t xml:space="preserve"> at 2</w:t>
      </w:r>
      <w:r w:rsidR="00EB7829" w:rsidRPr="00E705CD">
        <w:rPr>
          <w:color w:val="000000" w:themeColor="text1"/>
          <w:sz w:val="18"/>
          <w:szCs w:val="18"/>
        </w:rPr>
        <w:t>–</w:t>
      </w:r>
      <w:r w:rsidR="0006182F" w:rsidRPr="00E705CD">
        <w:rPr>
          <w:sz w:val="18"/>
          <w:szCs w:val="18"/>
        </w:rPr>
        <w:t xml:space="preserve">3, the finding of no excessive levels of mercury needs to be confirmed (or repudiated) by an independent team of experts, working with an independent lab and without </w:t>
      </w:r>
      <w:r w:rsidR="0006182F" w:rsidRPr="001313F4">
        <w:rPr>
          <w:color w:val="000000" w:themeColor="text1"/>
          <w:sz w:val="18"/>
          <w:szCs w:val="18"/>
        </w:rPr>
        <w:t>the acknowledged limitations of the 2018 audit.</w:t>
      </w:r>
      <w:r w:rsidR="00631770" w:rsidRPr="001313F4">
        <w:rPr>
          <w:color w:val="000000" w:themeColor="text1"/>
          <w:sz w:val="18"/>
          <w:szCs w:val="18"/>
        </w:rPr>
        <w:t xml:space="preserve"> </w:t>
      </w:r>
    </w:p>
  </w:footnote>
  <w:footnote w:id="19">
    <w:p w14:paraId="250A86A3" w14:textId="55836044" w:rsidR="00B00ADF" w:rsidRPr="008C64F3" w:rsidRDefault="00B00ADF" w:rsidP="00B00ADF">
      <w:pPr>
        <w:pStyle w:val="FootnoteText"/>
        <w:rPr>
          <w:rFonts w:ascii="Times New Roman" w:hAnsi="Times New Roman" w:cs="Times New Roman"/>
          <w:color w:val="000000" w:themeColor="text1"/>
          <w:sz w:val="18"/>
          <w:szCs w:val="18"/>
        </w:rPr>
      </w:pPr>
      <w:r w:rsidRPr="008C64F3">
        <w:rPr>
          <w:rStyle w:val="FootnoteReference"/>
          <w:rFonts w:ascii="Times New Roman" w:hAnsi="Times New Roman" w:cs="Times New Roman"/>
          <w:color w:val="000000" w:themeColor="text1"/>
          <w:sz w:val="18"/>
          <w:szCs w:val="18"/>
        </w:rPr>
        <w:footnoteRef/>
      </w:r>
      <w:r w:rsidRPr="008C64F3">
        <w:rPr>
          <w:rFonts w:ascii="Times New Roman" w:hAnsi="Times New Roman" w:cs="Times New Roman"/>
          <w:color w:val="000000" w:themeColor="text1"/>
          <w:sz w:val="18"/>
          <w:szCs w:val="18"/>
        </w:rPr>
        <w:t xml:space="preserve"> </w:t>
      </w:r>
      <w:r w:rsidR="00497179" w:rsidRPr="008C64F3">
        <w:rPr>
          <w:rFonts w:ascii="Times New Roman" w:hAnsi="Times New Roman" w:cs="Times New Roman"/>
          <w:color w:val="000000" w:themeColor="text1"/>
          <w:sz w:val="18"/>
          <w:szCs w:val="18"/>
        </w:rPr>
        <w:t>Constitution of the Federal Democratic Republic of Ethiopia art.</w:t>
      </w:r>
      <w:r w:rsidR="00F13826">
        <w:rPr>
          <w:rFonts w:ascii="Times New Roman" w:hAnsi="Times New Roman" w:cs="Times New Roman"/>
          <w:color w:val="000000" w:themeColor="text1"/>
          <w:sz w:val="18"/>
          <w:szCs w:val="18"/>
        </w:rPr>
        <w:t xml:space="preserve"> </w:t>
      </w:r>
      <w:r w:rsidRPr="008C64F3">
        <w:rPr>
          <w:rFonts w:ascii="Times New Roman" w:hAnsi="Times New Roman" w:cs="Times New Roman"/>
          <w:color w:val="000000" w:themeColor="text1"/>
          <w:sz w:val="18"/>
          <w:szCs w:val="18"/>
        </w:rPr>
        <w:t>44(1), 92(</w:t>
      </w:r>
      <w:r w:rsidR="003A7F12" w:rsidRPr="008C64F3">
        <w:rPr>
          <w:rFonts w:ascii="Times New Roman" w:hAnsi="Times New Roman" w:cs="Times New Roman"/>
          <w:color w:val="000000" w:themeColor="text1"/>
          <w:sz w:val="18"/>
          <w:szCs w:val="18"/>
        </w:rPr>
        <w:t>1</w:t>
      </w:r>
      <w:r w:rsidRPr="008C64F3">
        <w:rPr>
          <w:rFonts w:ascii="Times New Roman" w:hAnsi="Times New Roman" w:cs="Times New Roman"/>
          <w:color w:val="000000" w:themeColor="text1"/>
          <w:sz w:val="18"/>
          <w:szCs w:val="18"/>
        </w:rPr>
        <w:t>)</w:t>
      </w:r>
      <w:r w:rsidR="00906C51" w:rsidRPr="008C64F3">
        <w:rPr>
          <w:rFonts w:ascii="Times New Roman" w:hAnsi="Times New Roman" w:cs="Times New Roman"/>
          <w:color w:val="000000" w:themeColor="text1"/>
          <w:sz w:val="18"/>
          <w:szCs w:val="18"/>
        </w:rPr>
        <w:t>–</w:t>
      </w:r>
      <w:r w:rsidRPr="008C64F3">
        <w:rPr>
          <w:rFonts w:ascii="Times New Roman" w:hAnsi="Times New Roman" w:cs="Times New Roman"/>
          <w:color w:val="000000" w:themeColor="text1"/>
          <w:sz w:val="18"/>
          <w:szCs w:val="18"/>
        </w:rPr>
        <w:t>(4)</w:t>
      </w:r>
      <w:r w:rsidR="00497179" w:rsidRPr="008C64F3">
        <w:rPr>
          <w:rFonts w:ascii="Times New Roman" w:hAnsi="Times New Roman" w:cs="Times New Roman"/>
          <w:color w:val="000000" w:themeColor="text1"/>
          <w:sz w:val="18"/>
          <w:szCs w:val="18"/>
        </w:rPr>
        <w:t>, 21 August 1995, available at https://www.refworld.org/docid/3ae6b5a84.html (hereinafter Ethiopia Constitution)</w:t>
      </w:r>
      <w:r w:rsidR="00E80999" w:rsidRPr="008C64F3">
        <w:rPr>
          <w:rFonts w:ascii="Times New Roman" w:hAnsi="Times New Roman" w:cs="Times New Roman"/>
          <w:color w:val="000000" w:themeColor="text1"/>
          <w:sz w:val="18"/>
          <w:szCs w:val="18"/>
        </w:rPr>
        <w:t>.</w:t>
      </w:r>
    </w:p>
  </w:footnote>
  <w:footnote w:id="20">
    <w:p w14:paraId="532CD914" w14:textId="27053431" w:rsidR="00B00ADF" w:rsidRPr="008C64F3" w:rsidRDefault="00B00ADF" w:rsidP="00B00ADF">
      <w:pPr>
        <w:pStyle w:val="FootnoteText"/>
        <w:rPr>
          <w:rFonts w:ascii="Times New Roman" w:hAnsi="Times New Roman" w:cs="Times New Roman"/>
          <w:color w:val="000000" w:themeColor="text1"/>
          <w:sz w:val="18"/>
          <w:szCs w:val="18"/>
        </w:rPr>
      </w:pPr>
      <w:r w:rsidRPr="008C64F3">
        <w:rPr>
          <w:rStyle w:val="FootnoteReference"/>
          <w:rFonts w:ascii="Times New Roman" w:hAnsi="Times New Roman" w:cs="Times New Roman"/>
          <w:color w:val="000000" w:themeColor="text1"/>
          <w:sz w:val="18"/>
          <w:szCs w:val="18"/>
        </w:rPr>
        <w:footnoteRef/>
      </w:r>
      <w:r w:rsidRPr="008C64F3">
        <w:rPr>
          <w:rFonts w:ascii="Times New Roman" w:hAnsi="Times New Roman" w:cs="Times New Roman"/>
          <w:color w:val="000000" w:themeColor="text1"/>
          <w:sz w:val="18"/>
          <w:szCs w:val="18"/>
        </w:rPr>
        <w:t xml:space="preserve"> Environmental Policy of Ethiopia §§ 3.8(k), 2.3(m), 3.6(g), 3.8(b)</w:t>
      </w:r>
      <w:r w:rsidR="00004704" w:rsidRPr="008C64F3">
        <w:rPr>
          <w:rFonts w:ascii="Times New Roman" w:hAnsi="Times New Roman" w:cs="Times New Roman"/>
          <w:color w:val="000000" w:themeColor="text1"/>
          <w:sz w:val="18"/>
          <w:szCs w:val="18"/>
        </w:rPr>
        <w:t>.</w:t>
      </w:r>
      <w:r w:rsidR="00AC76A9" w:rsidRPr="008C64F3">
        <w:rPr>
          <w:rFonts w:ascii="Times New Roman" w:hAnsi="Times New Roman" w:cs="Times New Roman"/>
          <w:color w:val="000000" w:themeColor="text1"/>
          <w:sz w:val="18"/>
          <w:szCs w:val="18"/>
        </w:rPr>
        <w:t xml:space="preserve"> Many of these </w:t>
      </w:r>
      <w:r w:rsidR="00A23CA6" w:rsidRPr="008C64F3">
        <w:rPr>
          <w:rFonts w:ascii="Times New Roman" w:hAnsi="Times New Roman" w:cs="Times New Roman"/>
          <w:color w:val="000000" w:themeColor="text1"/>
          <w:sz w:val="18"/>
          <w:szCs w:val="18"/>
        </w:rPr>
        <w:t>guiding principles have been</w:t>
      </w:r>
      <w:r w:rsidR="00563926" w:rsidRPr="008C64F3">
        <w:rPr>
          <w:rFonts w:ascii="Times New Roman" w:hAnsi="Times New Roman" w:cs="Times New Roman"/>
          <w:color w:val="000000" w:themeColor="text1"/>
          <w:sz w:val="18"/>
          <w:szCs w:val="18"/>
        </w:rPr>
        <w:t xml:space="preserve"> adopted in proclamations</w:t>
      </w:r>
      <w:r w:rsidR="00534605" w:rsidRPr="008C64F3">
        <w:rPr>
          <w:rFonts w:ascii="Times New Roman" w:hAnsi="Times New Roman" w:cs="Times New Roman"/>
          <w:color w:val="000000" w:themeColor="text1"/>
          <w:sz w:val="18"/>
          <w:szCs w:val="18"/>
        </w:rPr>
        <w:t xml:space="preserve">. </w:t>
      </w:r>
      <w:r w:rsidR="00534605" w:rsidRPr="008C64F3">
        <w:rPr>
          <w:rFonts w:ascii="Times New Roman" w:hAnsi="Times New Roman" w:cs="Times New Roman"/>
          <w:i/>
          <w:iCs/>
          <w:color w:val="000000" w:themeColor="text1"/>
          <w:sz w:val="18"/>
          <w:szCs w:val="18"/>
        </w:rPr>
        <w:t>See</w:t>
      </w:r>
      <w:r w:rsidR="00546029" w:rsidRPr="008C64F3">
        <w:rPr>
          <w:rFonts w:ascii="Times New Roman" w:hAnsi="Times New Roman" w:cs="Times New Roman"/>
          <w:color w:val="000000" w:themeColor="text1"/>
          <w:sz w:val="18"/>
          <w:szCs w:val="18"/>
        </w:rPr>
        <w:t xml:space="preserve">, </w:t>
      </w:r>
      <w:r w:rsidR="00546029" w:rsidRPr="008C64F3">
        <w:rPr>
          <w:rFonts w:ascii="Times New Roman" w:hAnsi="Times New Roman" w:cs="Times New Roman"/>
          <w:i/>
          <w:iCs/>
          <w:color w:val="000000" w:themeColor="text1"/>
          <w:sz w:val="18"/>
          <w:szCs w:val="18"/>
        </w:rPr>
        <w:t>e.g.</w:t>
      </w:r>
      <w:r w:rsidR="009F3B35" w:rsidRPr="008C64F3">
        <w:rPr>
          <w:rFonts w:ascii="Times New Roman" w:hAnsi="Times New Roman" w:cs="Times New Roman"/>
          <w:color w:val="000000" w:themeColor="text1"/>
          <w:sz w:val="18"/>
          <w:szCs w:val="18"/>
        </w:rPr>
        <w:t>,</w:t>
      </w:r>
      <w:r w:rsidR="00004704" w:rsidRPr="008C64F3">
        <w:rPr>
          <w:rFonts w:ascii="Times New Roman" w:hAnsi="Times New Roman" w:cs="Times New Roman"/>
          <w:color w:val="000000" w:themeColor="text1"/>
          <w:sz w:val="18"/>
          <w:szCs w:val="18"/>
        </w:rPr>
        <w:t xml:space="preserve"> </w:t>
      </w:r>
      <w:r w:rsidR="00D11B22" w:rsidRPr="008C64F3">
        <w:rPr>
          <w:rFonts w:ascii="Times New Roman" w:hAnsi="Times New Roman" w:cs="Times New Roman"/>
          <w:color w:val="000000" w:themeColor="text1"/>
          <w:sz w:val="18"/>
          <w:szCs w:val="18"/>
        </w:rPr>
        <w:t xml:space="preserve">Mining Operation Proclamation No. 678/2010; </w:t>
      </w:r>
      <w:r w:rsidR="00D33C32" w:rsidRPr="008C64F3">
        <w:rPr>
          <w:rFonts w:ascii="Times New Roman" w:hAnsi="Times New Roman" w:cs="Times New Roman"/>
          <w:color w:val="000000" w:themeColor="text1"/>
          <w:sz w:val="18"/>
          <w:szCs w:val="18"/>
        </w:rPr>
        <w:t>Environmental Pollution Control Proclamation No. 300/2002</w:t>
      </w:r>
      <w:r w:rsidR="00534605" w:rsidRPr="008C64F3">
        <w:rPr>
          <w:rFonts w:ascii="Times New Roman" w:hAnsi="Times New Roman" w:cs="Times New Roman"/>
          <w:color w:val="000000" w:themeColor="text1"/>
          <w:sz w:val="18"/>
          <w:szCs w:val="18"/>
        </w:rPr>
        <w:t>;</w:t>
      </w:r>
      <w:r w:rsidR="00D11B22" w:rsidRPr="008C64F3">
        <w:rPr>
          <w:rFonts w:ascii="Times New Roman" w:hAnsi="Times New Roman" w:cs="Times New Roman"/>
          <w:color w:val="000000" w:themeColor="text1"/>
          <w:sz w:val="18"/>
          <w:szCs w:val="18"/>
        </w:rPr>
        <w:t xml:space="preserve"> </w:t>
      </w:r>
      <w:r w:rsidR="003C6F29" w:rsidRPr="008C64F3">
        <w:rPr>
          <w:rFonts w:ascii="Times New Roman" w:hAnsi="Times New Roman" w:cs="Times New Roman"/>
          <w:color w:val="000000" w:themeColor="text1"/>
          <w:sz w:val="18"/>
          <w:szCs w:val="18"/>
        </w:rPr>
        <w:t xml:space="preserve">Environmental Impact Assessment Proclamation No. </w:t>
      </w:r>
      <w:r w:rsidR="00D11B22" w:rsidRPr="008C64F3">
        <w:rPr>
          <w:rFonts w:ascii="Times New Roman" w:hAnsi="Times New Roman" w:cs="Times New Roman"/>
          <w:color w:val="000000" w:themeColor="text1"/>
          <w:sz w:val="18"/>
          <w:szCs w:val="18"/>
        </w:rPr>
        <w:t>299/2002.</w:t>
      </w:r>
    </w:p>
  </w:footnote>
  <w:footnote w:id="21">
    <w:p w14:paraId="2CA25C3E" w14:textId="3B1ED97E" w:rsidR="009F25CF" w:rsidRPr="008C64F3" w:rsidRDefault="009F25CF" w:rsidP="009F25CF">
      <w:pPr>
        <w:rPr>
          <w:color w:val="000000" w:themeColor="text1"/>
          <w:sz w:val="18"/>
          <w:szCs w:val="18"/>
        </w:rPr>
      </w:pPr>
      <w:r w:rsidRPr="008C64F3">
        <w:rPr>
          <w:rStyle w:val="FootnoteReference"/>
          <w:color w:val="000000" w:themeColor="text1"/>
          <w:sz w:val="18"/>
          <w:szCs w:val="18"/>
        </w:rPr>
        <w:footnoteRef/>
      </w:r>
      <w:r w:rsidRPr="008C64F3">
        <w:rPr>
          <w:color w:val="000000" w:themeColor="text1"/>
          <w:sz w:val="18"/>
          <w:szCs w:val="18"/>
        </w:rPr>
        <w:t xml:space="preserve"> </w:t>
      </w:r>
      <w:r w:rsidR="00075A18" w:rsidRPr="008C64F3">
        <w:rPr>
          <w:color w:val="000000" w:themeColor="text1"/>
          <w:sz w:val="18"/>
          <w:szCs w:val="18"/>
        </w:rPr>
        <w:t>Environmental Protection Organs Establishment Proclamation No. 295/2002</w:t>
      </w:r>
      <w:r w:rsidR="00C440B7" w:rsidRPr="008C64F3">
        <w:rPr>
          <w:color w:val="000000" w:themeColor="text1"/>
          <w:sz w:val="18"/>
          <w:szCs w:val="18"/>
        </w:rPr>
        <w:t xml:space="preserve"> art. 6(5) </w:t>
      </w:r>
      <w:r w:rsidR="00563926" w:rsidRPr="008C64F3">
        <w:rPr>
          <w:color w:val="000000" w:themeColor="text1"/>
          <w:sz w:val="18"/>
          <w:szCs w:val="18"/>
        </w:rPr>
        <w:t>(</w:t>
      </w:r>
      <w:r w:rsidR="00497179" w:rsidRPr="008C64F3">
        <w:rPr>
          <w:color w:val="000000" w:themeColor="text1"/>
          <w:sz w:val="18"/>
          <w:szCs w:val="18"/>
        </w:rPr>
        <w:t>http://www.ilo.org/dyn/natlex/docs/ELECTRONIC/85158/95185/F193782397/ETH85158.pdf</w:t>
      </w:r>
      <w:r w:rsidR="00563926" w:rsidRPr="008C64F3">
        <w:rPr>
          <w:color w:val="000000" w:themeColor="text1"/>
          <w:sz w:val="18"/>
          <w:szCs w:val="18"/>
        </w:rPr>
        <w:t>)</w:t>
      </w:r>
      <w:r w:rsidR="00C440B7" w:rsidRPr="008C64F3">
        <w:rPr>
          <w:color w:val="000000" w:themeColor="text1"/>
          <w:sz w:val="18"/>
          <w:szCs w:val="18"/>
        </w:rPr>
        <w:t>; Environmental Impact Assessment Proclamation No. 299/2002 art. 3–5 (</w:t>
      </w:r>
      <w:r w:rsidR="00497179" w:rsidRPr="008C64F3">
        <w:rPr>
          <w:color w:val="000000" w:themeColor="text1"/>
          <w:sz w:val="18"/>
          <w:szCs w:val="18"/>
        </w:rPr>
        <w:t>http://extwprlegs1.fao.org/docs/pdf/eth44281.pdf</w:t>
      </w:r>
      <w:r w:rsidR="00C440B7" w:rsidRPr="008C64F3">
        <w:rPr>
          <w:color w:val="000000" w:themeColor="text1"/>
          <w:sz w:val="18"/>
          <w:szCs w:val="18"/>
        </w:rPr>
        <w:t>)</w:t>
      </w:r>
      <w:r w:rsidR="00CF3E74" w:rsidRPr="008C64F3">
        <w:rPr>
          <w:color w:val="000000" w:themeColor="text1"/>
          <w:sz w:val="18"/>
          <w:szCs w:val="18"/>
        </w:rPr>
        <w:t>.</w:t>
      </w:r>
    </w:p>
  </w:footnote>
  <w:footnote w:id="22">
    <w:p w14:paraId="352B4E06" w14:textId="33932685" w:rsidR="00C440B7" w:rsidRPr="00615FAE" w:rsidRDefault="00C440B7">
      <w:pPr>
        <w:pStyle w:val="FootnoteText"/>
        <w:rPr>
          <w:rFonts w:ascii="Times New Roman" w:hAnsi="Times New Roman" w:cs="Times New Roman"/>
          <w:sz w:val="18"/>
          <w:szCs w:val="18"/>
        </w:rPr>
      </w:pPr>
      <w:r w:rsidRPr="008C64F3">
        <w:rPr>
          <w:rStyle w:val="FootnoteReference"/>
          <w:rFonts w:ascii="Times New Roman" w:hAnsi="Times New Roman" w:cs="Times New Roman"/>
          <w:color w:val="000000" w:themeColor="text1"/>
          <w:sz w:val="18"/>
          <w:szCs w:val="18"/>
        </w:rPr>
        <w:footnoteRef/>
      </w:r>
      <w:r w:rsidRPr="008C64F3">
        <w:rPr>
          <w:rFonts w:ascii="Times New Roman" w:hAnsi="Times New Roman" w:cs="Times New Roman"/>
          <w:color w:val="000000" w:themeColor="text1"/>
          <w:sz w:val="18"/>
          <w:szCs w:val="18"/>
        </w:rPr>
        <w:t xml:space="preserve"> AAUBE Report</w:t>
      </w:r>
      <w:r w:rsidR="00497179" w:rsidRPr="008C64F3">
        <w:rPr>
          <w:rFonts w:ascii="Times New Roman" w:hAnsi="Times New Roman" w:cs="Times New Roman"/>
          <w:color w:val="000000" w:themeColor="text1"/>
          <w:sz w:val="18"/>
          <w:szCs w:val="18"/>
        </w:rPr>
        <w:t xml:space="preserve">, </w:t>
      </w:r>
      <w:r w:rsidR="00497179" w:rsidRPr="008C64F3">
        <w:rPr>
          <w:rFonts w:ascii="Times New Roman" w:hAnsi="Times New Roman" w:cs="Times New Roman"/>
          <w:i/>
          <w:color w:val="000000" w:themeColor="text1"/>
          <w:sz w:val="18"/>
          <w:szCs w:val="18"/>
        </w:rPr>
        <w:t xml:space="preserve">supra </w:t>
      </w:r>
      <w:r w:rsidR="00497179" w:rsidRPr="008C64F3">
        <w:rPr>
          <w:rFonts w:ascii="Times New Roman" w:hAnsi="Times New Roman" w:cs="Times New Roman"/>
          <w:color w:val="000000" w:themeColor="text1"/>
          <w:sz w:val="18"/>
          <w:szCs w:val="18"/>
        </w:rPr>
        <w:t>note 4,</w:t>
      </w:r>
      <w:r w:rsidR="00072BCE" w:rsidRPr="001313F4">
        <w:rPr>
          <w:rFonts w:ascii="Times New Roman" w:hAnsi="Times New Roman" w:cs="Times New Roman"/>
          <w:color w:val="000000" w:themeColor="text1"/>
          <w:sz w:val="18"/>
          <w:szCs w:val="18"/>
        </w:rPr>
        <w:t xml:space="preserve"> at </w:t>
      </w:r>
      <w:r w:rsidR="008068CF" w:rsidRPr="001313F4">
        <w:rPr>
          <w:rFonts w:ascii="Times New Roman" w:hAnsi="Times New Roman" w:cs="Times New Roman"/>
          <w:color w:val="000000" w:themeColor="text1"/>
          <w:sz w:val="18"/>
          <w:szCs w:val="18"/>
        </w:rPr>
        <w:t>120.</w:t>
      </w:r>
    </w:p>
  </w:footnote>
  <w:footnote w:id="23">
    <w:p w14:paraId="454259C6" w14:textId="35AF6342" w:rsidR="003F76F1" w:rsidRPr="00DB3C2E" w:rsidRDefault="003F76F1">
      <w:pPr>
        <w:pStyle w:val="FootnoteText"/>
        <w:rPr>
          <w:rFonts w:ascii="Times New Roman" w:hAnsi="Times New Roman" w:cs="Times New Roman"/>
          <w:color w:val="000000" w:themeColor="text1"/>
          <w:sz w:val="18"/>
          <w:szCs w:val="18"/>
        </w:rPr>
      </w:pPr>
      <w:r w:rsidRPr="00DB3C2E">
        <w:rPr>
          <w:rStyle w:val="FootnoteReference"/>
          <w:rFonts w:ascii="Times New Roman" w:hAnsi="Times New Roman" w:cs="Times New Roman"/>
          <w:color w:val="000000" w:themeColor="text1"/>
          <w:sz w:val="18"/>
          <w:szCs w:val="18"/>
        </w:rPr>
        <w:footnoteRef/>
      </w:r>
      <w:r w:rsidRPr="00DB3C2E">
        <w:rPr>
          <w:rFonts w:ascii="Times New Roman" w:hAnsi="Times New Roman" w:cs="Times New Roman"/>
          <w:color w:val="000000" w:themeColor="text1"/>
          <w:sz w:val="18"/>
          <w:szCs w:val="18"/>
        </w:rPr>
        <w:t xml:space="preserve"> </w:t>
      </w:r>
      <w:r w:rsidR="00661435" w:rsidRPr="00DB3C2E">
        <w:rPr>
          <w:rFonts w:ascii="Times New Roman" w:hAnsi="Times New Roman" w:cs="Times New Roman"/>
          <w:color w:val="000000" w:themeColor="text1"/>
          <w:sz w:val="18"/>
          <w:szCs w:val="18"/>
        </w:rPr>
        <w:t xml:space="preserve">AAUBE Report, </w:t>
      </w:r>
      <w:r w:rsidR="00661435" w:rsidRPr="00DB3C2E">
        <w:rPr>
          <w:rFonts w:ascii="Times New Roman" w:hAnsi="Times New Roman" w:cs="Times New Roman"/>
          <w:i/>
          <w:color w:val="000000" w:themeColor="text1"/>
          <w:sz w:val="18"/>
          <w:szCs w:val="18"/>
        </w:rPr>
        <w:t xml:space="preserve">supra </w:t>
      </w:r>
      <w:r w:rsidR="00661435" w:rsidRPr="00DB3C2E">
        <w:rPr>
          <w:rFonts w:ascii="Times New Roman" w:hAnsi="Times New Roman" w:cs="Times New Roman"/>
          <w:color w:val="000000" w:themeColor="text1"/>
          <w:sz w:val="18"/>
          <w:szCs w:val="18"/>
        </w:rPr>
        <w:t>note 4, at</w:t>
      </w:r>
      <w:r w:rsidR="00C5593A" w:rsidRPr="00DB3C2E">
        <w:rPr>
          <w:rFonts w:ascii="Times New Roman" w:hAnsi="Times New Roman" w:cs="Times New Roman"/>
          <w:color w:val="000000" w:themeColor="text1"/>
          <w:sz w:val="18"/>
          <w:szCs w:val="18"/>
        </w:rPr>
        <w:t xml:space="preserve"> 119.</w:t>
      </w:r>
    </w:p>
  </w:footnote>
  <w:footnote w:id="24">
    <w:p w14:paraId="6259EE26" w14:textId="24BFD547" w:rsidR="00B00ADF" w:rsidRPr="00DB3C2E" w:rsidRDefault="00B00ADF" w:rsidP="008068CF">
      <w:pPr>
        <w:rPr>
          <w:color w:val="000000" w:themeColor="text1"/>
          <w:sz w:val="18"/>
          <w:szCs w:val="18"/>
        </w:rPr>
      </w:pPr>
      <w:r w:rsidRPr="00DB3C2E">
        <w:rPr>
          <w:rStyle w:val="FootnoteReference"/>
          <w:color w:val="000000" w:themeColor="text1"/>
          <w:sz w:val="18"/>
          <w:szCs w:val="18"/>
        </w:rPr>
        <w:footnoteRef/>
      </w:r>
      <w:r w:rsidRPr="00DB3C2E">
        <w:rPr>
          <w:color w:val="000000" w:themeColor="text1"/>
          <w:sz w:val="18"/>
          <w:szCs w:val="18"/>
        </w:rPr>
        <w:t xml:space="preserve"> </w:t>
      </w:r>
      <w:r w:rsidR="00497179" w:rsidRPr="00DB3C2E">
        <w:rPr>
          <w:color w:val="000000" w:themeColor="text1"/>
          <w:sz w:val="18"/>
          <w:szCs w:val="18"/>
        </w:rPr>
        <w:t>Ethiopia Constitution,</w:t>
      </w:r>
      <w:r w:rsidR="00497179" w:rsidRPr="00DB3C2E">
        <w:rPr>
          <w:i/>
          <w:iCs/>
          <w:color w:val="000000" w:themeColor="text1"/>
          <w:sz w:val="18"/>
          <w:szCs w:val="18"/>
        </w:rPr>
        <w:t xml:space="preserve"> supra</w:t>
      </w:r>
      <w:r w:rsidR="00497179" w:rsidRPr="00DB3C2E">
        <w:rPr>
          <w:color w:val="000000" w:themeColor="text1"/>
          <w:sz w:val="18"/>
          <w:szCs w:val="18"/>
        </w:rPr>
        <w:t xml:space="preserve"> note 18,</w:t>
      </w:r>
      <w:r w:rsidR="00075A18" w:rsidRPr="00DB3C2E">
        <w:rPr>
          <w:color w:val="000000" w:themeColor="text1"/>
          <w:sz w:val="18"/>
          <w:szCs w:val="18"/>
        </w:rPr>
        <w:t xml:space="preserve"> art. </w:t>
      </w:r>
      <w:r w:rsidRPr="00DB3C2E">
        <w:rPr>
          <w:color w:val="000000" w:themeColor="text1"/>
          <w:sz w:val="18"/>
          <w:szCs w:val="18"/>
        </w:rPr>
        <w:t>43(2</w:t>
      </w:r>
      <w:r w:rsidR="00497179" w:rsidRPr="00DB3C2E">
        <w:rPr>
          <w:color w:val="000000" w:themeColor="text1"/>
          <w:sz w:val="18"/>
          <w:szCs w:val="18"/>
        </w:rPr>
        <w:t>);</w:t>
      </w:r>
      <w:r w:rsidR="00075A18" w:rsidRPr="00DB3C2E">
        <w:rPr>
          <w:color w:val="000000" w:themeColor="text1"/>
          <w:sz w:val="18"/>
          <w:szCs w:val="18"/>
        </w:rPr>
        <w:t xml:space="preserve"> </w:t>
      </w:r>
      <w:r w:rsidR="00075A18" w:rsidRPr="00DB3C2E">
        <w:rPr>
          <w:i/>
          <w:iCs/>
          <w:color w:val="000000" w:themeColor="text1"/>
          <w:sz w:val="18"/>
          <w:szCs w:val="18"/>
        </w:rPr>
        <w:t>see also</w:t>
      </w:r>
      <w:r w:rsidR="00E017BC" w:rsidRPr="00DB3C2E">
        <w:rPr>
          <w:color w:val="000000" w:themeColor="text1"/>
          <w:sz w:val="18"/>
          <w:szCs w:val="18"/>
        </w:rPr>
        <w:t xml:space="preserve"> </w:t>
      </w:r>
      <w:r w:rsidR="00F13826" w:rsidRPr="00DB3C2E">
        <w:rPr>
          <w:i/>
          <w:color w:val="000000" w:themeColor="text1"/>
          <w:sz w:val="18"/>
          <w:szCs w:val="18"/>
        </w:rPr>
        <w:t xml:space="preserve">id. </w:t>
      </w:r>
      <w:r w:rsidR="00075A18" w:rsidRPr="00DB3C2E">
        <w:rPr>
          <w:color w:val="000000" w:themeColor="text1"/>
          <w:sz w:val="18"/>
          <w:szCs w:val="18"/>
        </w:rPr>
        <w:t xml:space="preserve">art. </w:t>
      </w:r>
      <w:r w:rsidR="00D46E4C" w:rsidRPr="00DB3C2E">
        <w:rPr>
          <w:color w:val="000000" w:themeColor="text1"/>
          <w:sz w:val="18"/>
          <w:szCs w:val="18"/>
        </w:rPr>
        <w:t>92(3)</w:t>
      </w:r>
      <w:r w:rsidR="00E705CD" w:rsidRPr="00DB3C2E">
        <w:rPr>
          <w:color w:val="000000" w:themeColor="text1"/>
          <w:sz w:val="18"/>
          <w:szCs w:val="18"/>
        </w:rPr>
        <w:t>.</w:t>
      </w:r>
    </w:p>
  </w:footnote>
  <w:footnote w:id="25">
    <w:p w14:paraId="6627D35C" w14:textId="0EA64EC4" w:rsidR="00AE47D4" w:rsidRPr="00DB3C2E" w:rsidRDefault="00AE47D4">
      <w:pPr>
        <w:pStyle w:val="FootnoteText"/>
        <w:rPr>
          <w:rFonts w:ascii="Times New Roman" w:hAnsi="Times New Roman" w:cs="Times New Roman"/>
          <w:sz w:val="18"/>
          <w:szCs w:val="18"/>
        </w:rPr>
      </w:pPr>
      <w:r w:rsidRPr="00DB3C2E">
        <w:rPr>
          <w:rStyle w:val="FootnoteReference"/>
          <w:rFonts w:ascii="Times New Roman" w:hAnsi="Times New Roman" w:cs="Times New Roman"/>
          <w:sz w:val="18"/>
          <w:szCs w:val="18"/>
        </w:rPr>
        <w:footnoteRef/>
      </w:r>
      <w:r w:rsidRPr="00DB3C2E">
        <w:rPr>
          <w:rFonts w:ascii="Times New Roman" w:hAnsi="Times New Roman" w:cs="Times New Roman"/>
          <w:sz w:val="18"/>
          <w:szCs w:val="18"/>
        </w:rPr>
        <w:t xml:space="preserve"> </w:t>
      </w:r>
      <w:r w:rsidR="00DB3C2E" w:rsidRPr="00DB3C2E">
        <w:rPr>
          <w:rFonts w:ascii="Times New Roman" w:hAnsi="Times New Roman" w:cs="Times New Roman"/>
          <w:i/>
          <w:sz w:val="18"/>
          <w:szCs w:val="18"/>
        </w:rPr>
        <w:t xml:space="preserve">Id. </w:t>
      </w:r>
      <w:r w:rsidR="00DB3C2E" w:rsidRPr="00DB3C2E">
        <w:rPr>
          <w:rFonts w:ascii="Times New Roman" w:hAnsi="Times New Roman" w:cs="Times New Roman"/>
          <w:sz w:val="18"/>
          <w:szCs w:val="18"/>
        </w:rPr>
        <w:t>art. 9(4).</w:t>
      </w:r>
    </w:p>
  </w:footnote>
  <w:footnote w:id="26">
    <w:p w14:paraId="47C74E40" w14:textId="156AF065" w:rsidR="00DB3C2E" w:rsidRPr="00DB3C2E" w:rsidRDefault="00DB3C2E">
      <w:pPr>
        <w:pStyle w:val="FootnoteText"/>
        <w:rPr>
          <w:rFonts w:ascii="Times New Roman" w:hAnsi="Times New Roman" w:cs="Times New Roman"/>
          <w:sz w:val="18"/>
          <w:szCs w:val="18"/>
        </w:rPr>
      </w:pPr>
      <w:r w:rsidRPr="00DB3C2E">
        <w:rPr>
          <w:rStyle w:val="FootnoteReference"/>
          <w:rFonts w:ascii="Times New Roman" w:hAnsi="Times New Roman" w:cs="Times New Roman"/>
          <w:sz w:val="18"/>
          <w:szCs w:val="18"/>
        </w:rPr>
        <w:footnoteRef/>
      </w:r>
      <w:r w:rsidRPr="00DB3C2E">
        <w:rPr>
          <w:rFonts w:ascii="Times New Roman" w:hAnsi="Times New Roman" w:cs="Times New Roman"/>
          <w:sz w:val="18"/>
          <w:szCs w:val="18"/>
        </w:rPr>
        <w:t xml:space="preserve"> Convention on the Rights of the Child art. 12, </w:t>
      </w:r>
      <w:r w:rsidRPr="00DB3C2E">
        <w:rPr>
          <w:rFonts w:ascii="Times New Roman" w:hAnsi="Times New Roman" w:cs="Times New Roman"/>
          <w:i/>
          <w:sz w:val="18"/>
          <w:szCs w:val="18"/>
        </w:rPr>
        <w:t>adopted</w:t>
      </w:r>
      <w:r w:rsidRPr="00DB3C2E">
        <w:rPr>
          <w:rFonts w:ascii="Times New Roman" w:hAnsi="Times New Roman" w:cs="Times New Roman"/>
          <w:sz w:val="18"/>
          <w:szCs w:val="18"/>
        </w:rPr>
        <w:t xml:space="preserve"> Nov. 20, 1989, 1577 U.N.T.S. 3.</w:t>
      </w:r>
    </w:p>
  </w:footnote>
  <w:footnote w:id="27">
    <w:p w14:paraId="16D4132F" w14:textId="5F55441B" w:rsidR="00AE47D4" w:rsidRPr="00DB3C2E" w:rsidRDefault="00AE47D4" w:rsidP="00AE47D4">
      <w:pPr>
        <w:pStyle w:val="FootnoteText"/>
        <w:rPr>
          <w:rFonts w:ascii="Times New Roman" w:hAnsi="Times New Roman" w:cs="Times New Roman"/>
          <w:color w:val="000000" w:themeColor="text1"/>
          <w:sz w:val="18"/>
          <w:szCs w:val="18"/>
        </w:rPr>
      </w:pPr>
      <w:r w:rsidRPr="00DB3C2E">
        <w:rPr>
          <w:rStyle w:val="FootnoteReference"/>
          <w:rFonts w:ascii="Times New Roman" w:hAnsi="Times New Roman" w:cs="Times New Roman"/>
          <w:color w:val="000000" w:themeColor="text1"/>
          <w:sz w:val="18"/>
          <w:szCs w:val="18"/>
        </w:rPr>
        <w:footnoteRef/>
      </w:r>
      <w:r w:rsidR="00DB3C2E" w:rsidRPr="00DB3C2E">
        <w:rPr>
          <w:rFonts w:ascii="Times New Roman" w:hAnsi="Times New Roman" w:cs="Times New Roman"/>
          <w:color w:val="000000" w:themeColor="text1"/>
          <w:sz w:val="18"/>
          <w:szCs w:val="18"/>
        </w:rPr>
        <w:t xml:space="preserve"> Ethiopia Constitution,</w:t>
      </w:r>
      <w:r w:rsidR="00DB3C2E" w:rsidRPr="00DB3C2E">
        <w:rPr>
          <w:rFonts w:ascii="Times New Roman" w:hAnsi="Times New Roman" w:cs="Times New Roman"/>
          <w:i/>
          <w:iCs/>
          <w:color w:val="000000" w:themeColor="text1"/>
          <w:sz w:val="18"/>
          <w:szCs w:val="18"/>
        </w:rPr>
        <w:t xml:space="preserve"> supra</w:t>
      </w:r>
      <w:r w:rsidR="00DB3C2E" w:rsidRPr="00DB3C2E">
        <w:rPr>
          <w:rFonts w:ascii="Times New Roman" w:hAnsi="Times New Roman" w:cs="Times New Roman"/>
          <w:color w:val="000000" w:themeColor="text1"/>
          <w:sz w:val="18"/>
          <w:szCs w:val="18"/>
        </w:rPr>
        <w:t xml:space="preserve"> note 18, </w:t>
      </w:r>
      <w:r w:rsidRPr="00DB3C2E">
        <w:rPr>
          <w:rFonts w:ascii="Times New Roman" w:hAnsi="Times New Roman" w:cs="Times New Roman"/>
          <w:color w:val="000000" w:themeColor="text1"/>
          <w:sz w:val="18"/>
          <w:szCs w:val="18"/>
        </w:rPr>
        <w:t>art. 12(1).</w:t>
      </w:r>
    </w:p>
  </w:footnote>
  <w:footnote w:id="28">
    <w:p w14:paraId="47AC8155" w14:textId="128DFF75" w:rsidR="00605A38" w:rsidRPr="00DB3C2E" w:rsidRDefault="00605A38">
      <w:pPr>
        <w:pStyle w:val="FootnoteText"/>
        <w:rPr>
          <w:rFonts w:ascii="Times New Roman" w:hAnsi="Times New Roman" w:cs="Times New Roman"/>
          <w:color w:val="000000" w:themeColor="text1"/>
          <w:sz w:val="18"/>
          <w:szCs w:val="18"/>
        </w:rPr>
      </w:pPr>
      <w:r w:rsidRPr="00DB3C2E">
        <w:rPr>
          <w:rStyle w:val="FootnoteReference"/>
          <w:rFonts w:ascii="Times New Roman" w:hAnsi="Times New Roman" w:cs="Times New Roman"/>
          <w:color w:val="000000" w:themeColor="text1"/>
          <w:sz w:val="18"/>
          <w:szCs w:val="18"/>
        </w:rPr>
        <w:footnoteRef/>
      </w:r>
      <w:r w:rsidRPr="00DB3C2E">
        <w:rPr>
          <w:rFonts w:ascii="Times New Roman" w:hAnsi="Times New Roman" w:cs="Times New Roman"/>
          <w:color w:val="000000" w:themeColor="text1"/>
          <w:sz w:val="18"/>
          <w:szCs w:val="18"/>
        </w:rPr>
        <w:t xml:space="preserve"> </w:t>
      </w:r>
      <w:r w:rsidR="00BF6579" w:rsidRPr="00DB3C2E">
        <w:rPr>
          <w:rFonts w:ascii="Times New Roman" w:hAnsi="Times New Roman" w:cs="Times New Roman"/>
          <w:color w:val="000000" w:themeColor="text1"/>
          <w:sz w:val="18"/>
          <w:szCs w:val="18"/>
        </w:rPr>
        <w:t>Dilla &amp; Bule Hora Study</w:t>
      </w:r>
      <w:r w:rsidR="006977F7" w:rsidRPr="00DB3C2E">
        <w:rPr>
          <w:rFonts w:ascii="Times New Roman" w:hAnsi="Times New Roman" w:cs="Times New Roman"/>
          <w:color w:val="000000" w:themeColor="text1"/>
          <w:sz w:val="18"/>
          <w:szCs w:val="18"/>
        </w:rPr>
        <w:t xml:space="preserve">, </w:t>
      </w:r>
      <w:r w:rsidR="006977F7" w:rsidRPr="00DB3C2E">
        <w:rPr>
          <w:rFonts w:ascii="Times New Roman" w:hAnsi="Times New Roman" w:cs="Times New Roman"/>
          <w:i/>
          <w:color w:val="000000" w:themeColor="text1"/>
          <w:sz w:val="18"/>
          <w:szCs w:val="18"/>
        </w:rPr>
        <w:t xml:space="preserve">supra </w:t>
      </w:r>
      <w:r w:rsidR="00475737" w:rsidRPr="00DB3C2E">
        <w:rPr>
          <w:rFonts w:ascii="Times New Roman" w:hAnsi="Times New Roman" w:cs="Times New Roman"/>
          <w:color w:val="000000" w:themeColor="text1"/>
          <w:sz w:val="18"/>
          <w:szCs w:val="18"/>
        </w:rPr>
        <w:t>note 3</w:t>
      </w:r>
      <w:r w:rsidR="006977F7" w:rsidRPr="00DB3C2E">
        <w:rPr>
          <w:rFonts w:ascii="Times New Roman" w:hAnsi="Times New Roman" w:cs="Times New Roman"/>
          <w:color w:val="000000" w:themeColor="text1"/>
          <w:sz w:val="18"/>
          <w:szCs w:val="18"/>
        </w:rPr>
        <w:t xml:space="preserve">, </w:t>
      </w:r>
      <w:r w:rsidR="00072BCE" w:rsidRPr="00DB3C2E">
        <w:rPr>
          <w:rFonts w:ascii="Times New Roman" w:hAnsi="Times New Roman" w:cs="Times New Roman"/>
          <w:color w:val="000000" w:themeColor="text1"/>
          <w:sz w:val="18"/>
          <w:szCs w:val="18"/>
        </w:rPr>
        <w:t>at</w:t>
      </w:r>
      <w:r w:rsidR="003B0BE9" w:rsidRPr="00DB3C2E">
        <w:rPr>
          <w:rFonts w:ascii="Times New Roman" w:hAnsi="Times New Roman" w:cs="Times New Roman"/>
          <w:color w:val="000000" w:themeColor="text1"/>
          <w:sz w:val="18"/>
          <w:szCs w:val="18"/>
        </w:rPr>
        <w:t xml:space="preserve"> 51</w:t>
      </w:r>
      <w:r w:rsidR="00CF3E74" w:rsidRPr="00DB3C2E">
        <w:rPr>
          <w:rFonts w:ascii="Times New Roman" w:hAnsi="Times New Roman" w:cs="Times New Roman"/>
          <w:color w:val="000000" w:themeColor="text1"/>
          <w:sz w:val="18"/>
          <w:szCs w:val="18"/>
        </w:rPr>
        <w:t xml:space="preserve">. </w:t>
      </w:r>
    </w:p>
  </w:footnote>
  <w:footnote w:id="29">
    <w:p w14:paraId="27483168" w14:textId="0F23B4F0" w:rsidR="00B00ADF" w:rsidRPr="00DB3C2E" w:rsidRDefault="00B00ADF" w:rsidP="00B00ADF">
      <w:pPr>
        <w:pStyle w:val="FootnoteText"/>
        <w:rPr>
          <w:rFonts w:ascii="Times New Roman" w:hAnsi="Times New Roman" w:cs="Times New Roman"/>
          <w:color w:val="000000" w:themeColor="text1"/>
          <w:sz w:val="18"/>
          <w:szCs w:val="18"/>
        </w:rPr>
      </w:pPr>
      <w:r w:rsidRPr="00DB3C2E">
        <w:rPr>
          <w:rStyle w:val="FootnoteReference"/>
          <w:rFonts w:ascii="Times New Roman" w:hAnsi="Times New Roman" w:cs="Times New Roman"/>
          <w:color w:val="000000" w:themeColor="text1"/>
          <w:sz w:val="18"/>
          <w:szCs w:val="18"/>
        </w:rPr>
        <w:footnoteRef/>
      </w:r>
      <w:r w:rsidRPr="00DB3C2E">
        <w:rPr>
          <w:rFonts w:ascii="Times New Roman" w:hAnsi="Times New Roman" w:cs="Times New Roman"/>
          <w:color w:val="000000" w:themeColor="text1"/>
          <w:sz w:val="18"/>
          <w:szCs w:val="18"/>
        </w:rPr>
        <w:t xml:space="preserve"> </w:t>
      </w:r>
      <w:r w:rsidR="006977F7" w:rsidRPr="00DB3C2E">
        <w:rPr>
          <w:rFonts w:ascii="Times New Roman" w:hAnsi="Times New Roman" w:cs="Times New Roman"/>
          <w:i/>
          <w:color w:val="000000" w:themeColor="text1"/>
          <w:sz w:val="18"/>
          <w:szCs w:val="18"/>
        </w:rPr>
        <w:t>Id</w:t>
      </w:r>
      <w:r w:rsidR="006977F7" w:rsidRPr="00DB3C2E">
        <w:rPr>
          <w:rFonts w:ascii="Times New Roman" w:hAnsi="Times New Roman" w:cs="Times New Roman"/>
          <w:color w:val="000000" w:themeColor="text1"/>
          <w:sz w:val="18"/>
          <w:szCs w:val="18"/>
        </w:rPr>
        <w:t>.</w:t>
      </w:r>
      <w:r w:rsidR="00072BCE" w:rsidRPr="00DB3C2E">
        <w:rPr>
          <w:rFonts w:ascii="Times New Roman" w:hAnsi="Times New Roman" w:cs="Times New Roman"/>
          <w:color w:val="000000" w:themeColor="text1"/>
          <w:sz w:val="18"/>
          <w:szCs w:val="18"/>
        </w:rPr>
        <w:t xml:space="preserve"> at </w:t>
      </w:r>
      <w:r w:rsidR="00E94593" w:rsidRPr="00DB3C2E">
        <w:rPr>
          <w:rFonts w:ascii="Times New Roman" w:hAnsi="Times New Roman" w:cs="Times New Roman"/>
          <w:color w:val="000000" w:themeColor="text1"/>
          <w:sz w:val="18"/>
          <w:szCs w:val="18"/>
        </w:rPr>
        <w:t>53</w:t>
      </w:r>
      <w:r w:rsidR="00434F79" w:rsidRPr="00DB3C2E">
        <w:rPr>
          <w:rFonts w:ascii="Times New Roman" w:hAnsi="Times New Roman" w:cs="Times New Roman"/>
          <w:color w:val="000000" w:themeColor="text1"/>
          <w:sz w:val="18"/>
          <w:szCs w:val="18"/>
        </w:rPr>
        <w:t>.</w:t>
      </w:r>
    </w:p>
  </w:footnote>
  <w:footnote w:id="30">
    <w:p w14:paraId="092F304B" w14:textId="6C8DF05C" w:rsidR="00DE2E6A" w:rsidRPr="00DB3C2E" w:rsidRDefault="00DE2E6A">
      <w:pPr>
        <w:pStyle w:val="FootnoteText"/>
        <w:rPr>
          <w:rFonts w:ascii="Times New Roman" w:hAnsi="Times New Roman" w:cs="Times New Roman"/>
          <w:sz w:val="18"/>
          <w:szCs w:val="18"/>
        </w:rPr>
      </w:pPr>
      <w:r w:rsidRPr="00DB3C2E">
        <w:rPr>
          <w:rStyle w:val="FootnoteReference"/>
          <w:rFonts w:ascii="Times New Roman" w:hAnsi="Times New Roman" w:cs="Times New Roman"/>
          <w:color w:val="000000" w:themeColor="text1"/>
          <w:sz w:val="18"/>
          <w:szCs w:val="18"/>
        </w:rPr>
        <w:footnoteRef/>
      </w:r>
      <w:r w:rsidRPr="00DB3C2E">
        <w:rPr>
          <w:rFonts w:ascii="Times New Roman" w:hAnsi="Times New Roman" w:cs="Times New Roman"/>
          <w:color w:val="000000" w:themeColor="text1"/>
          <w:sz w:val="18"/>
          <w:szCs w:val="18"/>
        </w:rPr>
        <w:t xml:space="preserve"> AAUBE</w:t>
      </w:r>
      <w:r w:rsidR="00C440B7" w:rsidRPr="00DB3C2E">
        <w:rPr>
          <w:rFonts w:ascii="Times New Roman" w:hAnsi="Times New Roman" w:cs="Times New Roman"/>
          <w:color w:val="000000" w:themeColor="text1"/>
          <w:sz w:val="18"/>
          <w:szCs w:val="18"/>
        </w:rPr>
        <w:t xml:space="preserve"> Report</w:t>
      </w:r>
      <w:r w:rsidR="00497179" w:rsidRPr="00DB3C2E">
        <w:rPr>
          <w:rFonts w:ascii="Times New Roman" w:hAnsi="Times New Roman" w:cs="Times New Roman"/>
          <w:color w:val="000000" w:themeColor="text1"/>
          <w:sz w:val="18"/>
          <w:szCs w:val="18"/>
        </w:rPr>
        <w:t xml:space="preserve">, </w:t>
      </w:r>
      <w:r w:rsidR="00497179" w:rsidRPr="00DB3C2E">
        <w:rPr>
          <w:rFonts w:ascii="Times New Roman" w:hAnsi="Times New Roman" w:cs="Times New Roman"/>
          <w:i/>
          <w:iCs/>
          <w:color w:val="000000" w:themeColor="text1"/>
          <w:sz w:val="18"/>
          <w:szCs w:val="18"/>
        </w:rPr>
        <w:t xml:space="preserve">supra </w:t>
      </w:r>
      <w:r w:rsidR="00497179" w:rsidRPr="00DB3C2E">
        <w:rPr>
          <w:rFonts w:ascii="Times New Roman" w:hAnsi="Times New Roman" w:cs="Times New Roman"/>
          <w:color w:val="000000" w:themeColor="text1"/>
          <w:sz w:val="18"/>
          <w:szCs w:val="18"/>
        </w:rPr>
        <w:t>note 4,</w:t>
      </w:r>
      <w:r w:rsidRPr="00DB3C2E">
        <w:rPr>
          <w:rFonts w:ascii="Times New Roman" w:hAnsi="Times New Roman" w:cs="Times New Roman"/>
          <w:color w:val="000000" w:themeColor="text1"/>
          <w:sz w:val="18"/>
          <w:szCs w:val="18"/>
        </w:rPr>
        <w:t xml:space="preserve"> </w:t>
      </w:r>
      <w:r w:rsidR="00072BCE" w:rsidRPr="00DB3C2E">
        <w:rPr>
          <w:rFonts w:ascii="Times New Roman" w:hAnsi="Times New Roman" w:cs="Times New Roman"/>
          <w:color w:val="000000" w:themeColor="text1"/>
          <w:sz w:val="18"/>
          <w:szCs w:val="18"/>
        </w:rPr>
        <w:t>at</w:t>
      </w:r>
      <w:r w:rsidRPr="00DB3C2E">
        <w:rPr>
          <w:rFonts w:ascii="Times New Roman" w:hAnsi="Times New Roman" w:cs="Times New Roman"/>
          <w:color w:val="000000" w:themeColor="text1"/>
          <w:sz w:val="18"/>
          <w:szCs w:val="18"/>
        </w:rPr>
        <w:t xml:space="preserve"> 3</w:t>
      </w:r>
      <w:r w:rsidR="00C440B7" w:rsidRPr="00DB3C2E">
        <w:rPr>
          <w:rFonts w:ascii="Times New Roman" w:hAnsi="Times New Roman" w:cs="Times New Roman"/>
          <w:color w:val="000000" w:themeColor="text1"/>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40FBA"/>
    <w:multiLevelType w:val="multilevel"/>
    <w:tmpl w:val="E858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ADF"/>
    <w:rsid w:val="00001B82"/>
    <w:rsid w:val="00003575"/>
    <w:rsid w:val="00004704"/>
    <w:rsid w:val="00006810"/>
    <w:rsid w:val="000119C5"/>
    <w:rsid w:val="00016630"/>
    <w:rsid w:val="00017432"/>
    <w:rsid w:val="00023C17"/>
    <w:rsid w:val="000271C5"/>
    <w:rsid w:val="000311EA"/>
    <w:rsid w:val="00032384"/>
    <w:rsid w:val="00052FAB"/>
    <w:rsid w:val="00056523"/>
    <w:rsid w:val="0006182F"/>
    <w:rsid w:val="00070146"/>
    <w:rsid w:val="00070D4C"/>
    <w:rsid w:val="00070F26"/>
    <w:rsid w:val="00072BCE"/>
    <w:rsid w:val="00075A18"/>
    <w:rsid w:val="00080008"/>
    <w:rsid w:val="000809C2"/>
    <w:rsid w:val="00081B92"/>
    <w:rsid w:val="00090DE0"/>
    <w:rsid w:val="000A1104"/>
    <w:rsid w:val="000C35AC"/>
    <w:rsid w:val="000D0A2E"/>
    <w:rsid w:val="000D26A8"/>
    <w:rsid w:val="001010A2"/>
    <w:rsid w:val="001050CE"/>
    <w:rsid w:val="00106126"/>
    <w:rsid w:val="00113090"/>
    <w:rsid w:val="0011775A"/>
    <w:rsid w:val="00125F32"/>
    <w:rsid w:val="001312FD"/>
    <w:rsid w:val="001313F4"/>
    <w:rsid w:val="00134007"/>
    <w:rsid w:val="00134D62"/>
    <w:rsid w:val="001375A9"/>
    <w:rsid w:val="0014007E"/>
    <w:rsid w:val="00143844"/>
    <w:rsid w:val="00144F90"/>
    <w:rsid w:val="00147795"/>
    <w:rsid w:val="001511F5"/>
    <w:rsid w:val="00154A2D"/>
    <w:rsid w:val="00154F28"/>
    <w:rsid w:val="0016052A"/>
    <w:rsid w:val="00160B92"/>
    <w:rsid w:val="00171B26"/>
    <w:rsid w:val="00177DDA"/>
    <w:rsid w:val="001A41BF"/>
    <w:rsid w:val="001A56EE"/>
    <w:rsid w:val="001A70C6"/>
    <w:rsid w:val="001B1AB9"/>
    <w:rsid w:val="001B1D97"/>
    <w:rsid w:val="001B7B31"/>
    <w:rsid w:val="001E1CC9"/>
    <w:rsid w:val="001E1D9E"/>
    <w:rsid w:val="001E2607"/>
    <w:rsid w:val="001E26A1"/>
    <w:rsid w:val="001F17BC"/>
    <w:rsid w:val="001F4F40"/>
    <w:rsid w:val="00201290"/>
    <w:rsid w:val="0020164D"/>
    <w:rsid w:val="002113D6"/>
    <w:rsid w:val="002252CC"/>
    <w:rsid w:val="00226167"/>
    <w:rsid w:val="00226FBF"/>
    <w:rsid w:val="00227F27"/>
    <w:rsid w:val="00230C6D"/>
    <w:rsid w:val="002313CA"/>
    <w:rsid w:val="00234DD2"/>
    <w:rsid w:val="00254D4C"/>
    <w:rsid w:val="00257316"/>
    <w:rsid w:val="00265B05"/>
    <w:rsid w:val="00265C4D"/>
    <w:rsid w:val="0027054F"/>
    <w:rsid w:val="002819FD"/>
    <w:rsid w:val="00282612"/>
    <w:rsid w:val="0028567B"/>
    <w:rsid w:val="00290B49"/>
    <w:rsid w:val="002956D3"/>
    <w:rsid w:val="00296C8A"/>
    <w:rsid w:val="002A519C"/>
    <w:rsid w:val="002C38A0"/>
    <w:rsid w:val="002D0A36"/>
    <w:rsid w:val="002D7F19"/>
    <w:rsid w:val="002F3110"/>
    <w:rsid w:val="00301A3C"/>
    <w:rsid w:val="00305088"/>
    <w:rsid w:val="00316403"/>
    <w:rsid w:val="003178D1"/>
    <w:rsid w:val="00320801"/>
    <w:rsid w:val="003241F4"/>
    <w:rsid w:val="00327E42"/>
    <w:rsid w:val="00327F5C"/>
    <w:rsid w:val="00330A7C"/>
    <w:rsid w:val="00336600"/>
    <w:rsid w:val="00342F86"/>
    <w:rsid w:val="0035006E"/>
    <w:rsid w:val="00353A59"/>
    <w:rsid w:val="00363A32"/>
    <w:rsid w:val="0037068B"/>
    <w:rsid w:val="00376089"/>
    <w:rsid w:val="00377BAF"/>
    <w:rsid w:val="00380CE9"/>
    <w:rsid w:val="00393CA4"/>
    <w:rsid w:val="00395289"/>
    <w:rsid w:val="00397758"/>
    <w:rsid w:val="003A2D48"/>
    <w:rsid w:val="003A50A7"/>
    <w:rsid w:val="003A669F"/>
    <w:rsid w:val="003A714D"/>
    <w:rsid w:val="003A71CD"/>
    <w:rsid w:val="003A7F12"/>
    <w:rsid w:val="003B0BE9"/>
    <w:rsid w:val="003B7181"/>
    <w:rsid w:val="003C2C0E"/>
    <w:rsid w:val="003C6F29"/>
    <w:rsid w:val="003D1590"/>
    <w:rsid w:val="003D47BD"/>
    <w:rsid w:val="003D5092"/>
    <w:rsid w:val="003D5FCD"/>
    <w:rsid w:val="003E3E18"/>
    <w:rsid w:val="003E4103"/>
    <w:rsid w:val="003F0D55"/>
    <w:rsid w:val="003F4823"/>
    <w:rsid w:val="003F53E0"/>
    <w:rsid w:val="003F76F1"/>
    <w:rsid w:val="004025E8"/>
    <w:rsid w:val="00407810"/>
    <w:rsid w:val="00415D86"/>
    <w:rsid w:val="0042366D"/>
    <w:rsid w:val="00426FFE"/>
    <w:rsid w:val="00432C25"/>
    <w:rsid w:val="00434F79"/>
    <w:rsid w:val="00435E53"/>
    <w:rsid w:val="00450173"/>
    <w:rsid w:val="004518AD"/>
    <w:rsid w:val="00454326"/>
    <w:rsid w:val="004566F0"/>
    <w:rsid w:val="00456FEF"/>
    <w:rsid w:val="0045765D"/>
    <w:rsid w:val="004653A2"/>
    <w:rsid w:val="00471D1E"/>
    <w:rsid w:val="004755ED"/>
    <w:rsid w:val="00475737"/>
    <w:rsid w:val="00480FDF"/>
    <w:rsid w:val="00483EC3"/>
    <w:rsid w:val="00492E9F"/>
    <w:rsid w:val="00495685"/>
    <w:rsid w:val="00497179"/>
    <w:rsid w:val="00497352"/>
    <w:rsid w:val="004A1692"/>
    <w:rsid w:val="004A2E8F"/>
    <w:rsid w:val="004A62D5"/>
    <w:rsid w:val="004A6551"/>
    <w:rsid w:val="004A77CD"/>
    <w:rsid w:val="004B044E"/>
    <w:rsid w:val="004B2B55"/>
    <w:rsid w:val="004B2CD4"/>
    <w:rsid w:val="004B307D"/>
    <w:rsid w:val="004C3791"/>
    <w:rsid w:val="004D20C2"/>
    <w:rsid w:val="004E4FA7"/>
    <w:rsid w:val="004F2AE8"/>
    <w:rsid w:val="004F60EB"/>
    <w:rsid w:val="00504A1D"/>
    <w:rsid w:val="00512727"/>
    <w:rsid w:val="0051587E"/>
    <w:rsid w:val="00517022"/>
    <w:rsid w:val="00517059"/>
    <w:rsid w:val="00521162"/>
    <w:rsid w:val="00534605"/>
    <w:rsid w:val="005416C8"/>
    <w:rsid w:val="00546029"/>
    <w:rsid w:val="00550B65"/>
    <w:rsid w:val="00553DC3"/>
    <w:rsid w:val="00554C27"/>
    <w:rsid w:val="00561510"/>
    <w:rsid w:val="00563926"/>
    <w:rsid w:val="0057105C"/>
    <w:rsid w:val="00572138"/>
    <w:rsid w:val="00573761"/>
    <w:rsid w:val="005778CF"/>
    <w:rsid w:val="00593AA1"/>
    <w:rsid w:val="005A0129"/>
    <w:rsid w:val="005D0ED5"/>
    <w:rsid w:val="005D29F9"/>
    <w:rsid w:val="005D565A"/>
    <w:rsid w:val="005E2419"/>
    <w:rsid w:val="005F01F6"/>
    <w:rsid w:val="005F3127"/>
    <w:rsid w:val="005F4C8D"/>
    <w:rsid w:val="0060575C"/>
    <w:rsid w:val="006059E7"/>
    <w:rsid w:val="00605A38"/>
    <w:rsid w:val="00605C1E"/>
    <w:rsid w:val="00611059"/>
    <w:rsid w:val="00612D3D"/>
    <w:rsid w:val="00615FAE"/>
    <w:rsid w:val="0061617F"/>
    <w:rsid w:val="00616705"/>
    <w:rsid w:val="006212C2"/>
    <w:rsid w:val="00623A85"/>
    <w:rsid w:val="00631770"/>
    <w:rsid w:val="00635211"/>
    <w:rsid w:val="006453C0"/>
    <w:rsid w:val="0064569B"/>
    <w:rsid w:val="00660042"/>
    <w:rsid w:val="006604B5"/>
    <w:rsid w:val="00661435"/>
    <w:rsid w:val="0066187E"/>
    <w:rsid w:val="0066304D"/>
    <w:rsid w:val="00682248"/>
    <w:rsid w:val="00687783"/>
    <w:rsid w:val="006977F7"/>
    <w:rsid w:val="00697E66"/>
    <w:rsid w:val="006A46C2"/>
    <w:rsid w:val="006A4DB6"/>
    <w:rsid w:val="006B4F00"/>
    <w:rsid w:val="006B7EB7"/>
    <w:rsid w:val="006C73D5"/>
    <w:rsid w:val="006D0F04"/>
    <w:rsid w:val="007034D1"/>
    <w:rsid w:val="007036A8"/>
    <w:rsid w:val="00704BA3"/>
    <w:rsid w:val="00705FD6"/>
    <w:rsid w:val="00707980"/>
    <w:rsid w:val="00711D71"/>
    <w:rsid w:val="00714727"/>
    <w:rsid w:val="00717FD5"/>
    <w:rsid w:val="00724602"/>
    <w:rsid w:val="00725168"/>
    <w:rsid w:val="00727765"/>
    <w:rsid w:val="007279E9"/>
    <w:rsid w:val="0073163C"/>
    <w:rsid w:val="007337D4"/>
    <w:rsid w:val="00737650"/>
    <w:rsid w:val="00750657"/>
    <w:rsid w:val="00760C3C"/>
    <w:rsid w:val="00765717"/>
    <w:rsid w:val="00767E02"/>
    <w:rsid w:val="00770123"/>
    <w:rsid w:val="00770CF8"/>
    <w:rsid w:val="00771234"/>
    <w:rsid w:val="007725CF"/>
    <w:rsid w:val="0077475F"/>
    <w:rsid w:val="00775615"/>
    <w:rsid w:val="00782F19"/>
    <w:rsid w:val="00792D96"/>
    <w:rsid w:val="00793CB6"/>
    <w:rsid w:val="00794B24"/>
    <w:rsid w:val="007A3087"/>
    <w:rsid w:val="007A5399"/>
    <w:rsid w:val="007C5B57"/>
    <w:rsid w:val="008003F9"/>
    <w:rsid w:val="00802611"/>
    <w:rsid w:val="00803B83"/>
    <w:rsid w:val="008068CF"/>
    <w:rsid w:val="00820457"/>
    <w:rsid w:val="0082389D"/>
    <w:rsid w:val="008324ED"/>
    <w:rsid w:val="008342EA"/>
    <w:rsid w:val="008439F1"/>
    <w:rsid w:val="0084450A"/>
    <w:rsid w:val="00851581"/>
    <w:rsid w:val="00854A15"/>
    <w:rsid w:val="00865FFB"/>
    <w:rsid w:val="00866402"/>
    <w:rsid w:val="00882A15"/>
    <w:rsid w:val="00884D1B"/>
    <w:rsid w:val="0088641E"/>
    <w:rsid w:val="00890821"/>
    <w:rsid w:val="00891122"/>
    <w:rsid w:val="008B0060"/>
    <w:rsid w:val="008B1038"/>
    <w:rsid w:val="008B3672"/>
    <w:rsid w:val="008C29A2"/>
    <w:rsid w:val="008C39E2"/>
    <w:rsid w:val="008C64F3"/>
    <w:rsid w:val="008C7993"/>
    <w:rsid w:val="008D38A2"/>
    <w:rsid w:val="008E5D23"/>
    <w:rsid w:val="008F04CB"/>
    <w:rsid w:val="008F0808"/>
    <w:rsid w:val="008F31A6"/>
    <w:rsid w:val="008F6746"/>
    <w:rsid w:val="008F75DA"/>
    <w:rsid w:val="0090040E"/>
    <w:rsid w:val="00900C76"/>
    <w:rsid w:val="00904897"/>
    <w:rsid w:val="00906C51"/>
    <w:rsid w:val="00912077"/>
    <w:rsid w:val="00913AF6"/>
    <w:rsid w:val="009165B6"/>
    <w:rsid w:val="00926648"/>
    <w:rsid w:val="009319E9"/>
    <w:rsid w:val="009333B5"/>
    <w:rsid w:val="00943D29"/>
    <w:rsid w:val="00944F2B"/>
    <w:rsid w:val="0096035F"/>
    <w:rsid w:val="00965839"/>
    <w:rsid w:val="00965C2C"/>
    <w:rsid w:val="00972381"/>
    <w:rsid w:val="00974043"/>
    <w:rsid w:val="0097506A"/>
    <w:rsid w:val="00975C4D"/>
    <w:rsid w:val="009771E9"/>
    <w:rsid w:val="00981441"/>
    <w:rsid w:val="00991DDB"/>
    <w:rsid w:val="0099378F"/>
    <w:rsid w:val="0099569A"/>
    <w:rsid w:val="00996C48"/>
    <w:rsid w:val="009A05EF"/>
    <w:rsid w:val="009A16E9"/>
    <w:rsid w:val="009A3907"/>
    <w:rsid w:val="009A6622"/>
    <w:rsid w:val="009A670E"/>
    <w:rsid w:val="009A6926"/>
    <w:rsid w:val="009B0E7E"/>
    <w:rsid w:val="009B2B58"/>
    <w:rsid w:val="009B4CDA"/>
    <w:rsid w:val="009C0D6B"/>
    <w:rsid w:val="009C677F"/>
    <w:rsid w:val="009D08C8"/>
    <w:rsid w:val="009D519A"/>
    <w:rsid w:val="009F25CF"/>
    <w:rsid w:val="009F3B35"/>
    <w:rsid w:val="00A02026"/>
    <w:rsid w:val="00A04DB0"/>
    <w:rsid w:val="00A15ED0"/>
    <w:rsid w:val="00A20045"/>
    <w:rsid w:val="00A23CA6"/>
    <w:rsid w:val="00A2726C"/>
    <w:rsid w:val="00A273F7"/>
    <w:rsid w:val="00A30FA6"/>
    <w:rsid w:val="00A342F6"/>
    <w:rsid w:val="00A34393"/>
    <w:rsid w:val="00A3559F"/>
    <w:rsid w:val="00A37E46"/>
    <w:rsid w:val="00A444B9"/>
    <w:rsid w:val="00A46132"/>
    <w:rsid w:val="00A74D67"/>
    <w:rsid w:val="00A75D7F"/>
    <w:rsid w:val="00A828D5"/>
    <w:rsid w:val="00A86A2E"/>
    <w:rsid w:val="00A8723C"/>
    <w:rsid w:val="00A920AC"/>
    <w:rsid w:val="00A96B82"/>
    <w:rsid w:val="00AA23D9"/>
    <w:rsid w:val="00AA7579"/>
    <w:rsid w:val="00AB44B3"/>
    <w:rsid w:val="00AC09E7"/>
    <w:rsid w:val="00AC478C"/>
    <w:rsid w:val="00AC76A9"/>
    <w:rsid w:val="00AE44E7"/>
    <w:rsid w:val="00AE47D4"/>
    <w:rsid w:val="00AF4604"/>
    <w:rsid w:val="00B00ADF"/>
    <w:rsid w:val="00B048E1"/>
    <w:rsid w:val="00B06C97"/>
    <w:rsid w:val="00B12893"/>
    <w:rsid w:val="00B225D2"/>
    <w:rsid w:val="00B23A53"/>
    <w:rsid w:val="00B26380"/>
    <w:rsid w:val="00B266C6"/>
    <w:rsid w:val="00B30024"/>
    <w:rsid w:val="00B343CE"/>
    <w:rsid w:val="00B358D6"/>
    <w:rsid w:val="00B361BF"/>
    <w:rsid w:val="00B362F0"/>
    <w:rsid w:val="00B371E0"/>
    <w:rsid w:val="00B538C9"/>
    <w:rsid w:val="00B540E2"/>
    <w:rsid w:val="00B5663B"/>
    <w:rsid w:val="00B62C88"/>
    <w:rsid w:val="00B6645C"/>
    <w:rsid w:val="00B705D1"/>
    <w:rsid w:val="00B71F5B"/>
    <w:rsid w:val="00B90538"/>
    <w:rsid w:val="00B92031"/>
    <w:rsid w:val="00B92D7A"/>
    <w:rsid w:val="00B93449"/>
    <w:rsid w:val="00B94337"/>
    <w:rsid w:val="00B963DB"/>
    <w:rsid w:val="00B96594"/>
    <w:rsid w:val="00B96E4D"/>
    <w:rsid w:val="00B9791D"/>
    <w:rsid w:val="00BA57EA"/>
    <w:rsid w:val="00BA60F3"/>
    <w:rsid w:val="00BB09F8"/>
    <w:rsid w:val="00BB2D30"/>
    <w:rsid w:val="00BB5512"/>
    <w:rsid w:val="00BB6506"/>
    <w:rsid w:val="00BC00B7"/>
    <w:rsid w:val="00BC47E7"/>
    <w:rsid w:val="00BD17B2"/>
    <w:rsid w:val="00BD5E6C"/>
    <w:rsid w:val="00BE2412"/>
    <w:rsid w:val="00BE5999"/>
    <w:rsid w:val="00BE5EE7"/>
    <w:rsid w:val="00BF60D4"/>
    <w:rsid w:val="00BF6579"/>
    <w:rsid w:val="00BF6F55"/>
    <w:rsid w:val="00BF7FEA"/>
    <w:rsid w:val="00C11535"/>
    <w:rsid w:val="00C17738"/>
    <w:rsid w:val="00C24C42"/>
    <w:rsid w:val="00C266CD"/>
    <w:rsid w:val="00C34D0B"/>
    <w:rsid w:val="00C440B7"/>
    <w:rsid w:val="00C450EF"/>
    <w:rsid w:val="00C50FE0"/>
    <w:rsid w:val="00C5593A"/>
    <w:rsid w:val="00C56B12"/>
    <w:rsid w:val="00C6085D"/>
    <w:rsid w:val="00C758CF"/>
    <w:rsid w:val="00C82CDF"/>
    <w:rsid w:val="00C83DB1"/>
    <w:rsid w:val="00C878DA"/>
    <w:rsid w:val="00C90D49"/>
    <w:rsid w:val="00C97DD0"/>
    <w:rsid w:val="00CA207F"/>
    <w:rsid w:val="00CA235E"/>
    <w:rsid w:val="00CB522E"/>
    <w:rsid w:val="00CC3424"/>
    <w:rsid w:val="00CC4948"/>
    <w:rsid w:val="00CC5274"/>
    <w:rsid w:val="00CC5F3B"/>
    <w:rsid w:val="00CC6911"/>
    <w:rsid w:val="00CE24BF"/>
    <w:rsid w:val="00CE29D9"/>
    <w:rsid w:val="00CE4C0E"/>
    <w:rsid w:val="00CF33FE"/>
    <w:rsid w:val="00CF3E74"/>
    <w:rsid w:val="00D04AD6"/>
    <w:rsid w:val="00D06FBE"/>
    <w:rsid w:val="00D06FEC"/>
    <w:rsid w:val="00D11B22"/>
    <w:rsid w:val="00D148AE"/>
    <w:rsid w:val="00D22280"/>
    <w:rsid w:val="00D23E4B"/>
    <w:rsid w:val="00D2453E"/>
    <w:rsid w:val="00D245C0"/>
    <w:rsid w:val="00D27B43"/>
    <w:rsid w:val="00D3186C"/>
    <w:rsid w:val="00D33C32"/>
    <w:rsid w:val="00D43654"/>
    <w:rsid w:val="00D44AC8"/>
    <w:rsid w:val="00D4524D"/>
    <w:rsid w:val="00D46BCE"/>
    <w:rsid w:val="00D46E4C"/>
    <w:rsid w:val="00D514DD"/>
    <w:rsid w:val="00D67799"/>
    <w:rsid w:val="00D71D2A"/>
    <w:rsid w:val="00D72AF4"/>
    <w:rsid w:val="00D76926"/>
    <w:rsid w:val="00D76D49"/>
    <w:rsid w:val="00D77F2F"/>
    <w:rsid w:val="00D81173"/>
    <w:rsid w:val="00D836DD"/>
    <w:rsid w:val="00D84216"/>
    <w:rsid w:val="00D9044A"/>
    <w:rsid w:val="00DA72B3"/>
    <w:rsid w:val="00DA75EC"/>
    <w:rsid w:val="00DA7A55"/>
    <w:rsid w:val="00DB204B"/>
    <w:rsid w:val="00DB3C2E"/>
    <w:rsid w:val="00DB5794"/>
    <w:rsid w:val="00DC1013"/>
    <w:rsid w:val="00DC163A"/>
    <w:rsid w:val="00DC1762"/>
    <w:rsid w:val="00DC20D6"/>
    <w:rsid w:val="00DC5124"/>
    <w:rsid w:val="00DE0FDB"/>
    <w:rsid w:val="00DE225B"/>
    <w:rsid w:val="00DE26D1"/>
    <w:rsid w:val="00DE2714"/>
    <w:rsid w:val="00DE2E6A"/>
    <w:rsid w:val="00DE3FDA"/>
    <w:rsid w:val="00DF533E"/>
    <w:rsid w:val="00E017BC"/>
    <w:rsid w:val="00E02B13"/>
    <w:rsid w:val="00E10047"/>
    <w:rsid w:val="00E12F48"/>
    <w:rsid w:val="00E14B37"/>
    <w:rsid w:val="00E15D7F"/>
    <w:rsid w:val="00E4049E"/>
    <w:rsid w:val="00E4375F"/>
    <w:rsid w:val="00E44549"/>
    <w:rsid w:val="00E5221F"/>
    <w:rsid w:val="00E524AA"/>
    <w:rsid w:val="00E559F5"/>
    <w:rsid w:val="00E62C69"/>
    <w:rsid w:val="00E668B5"/>
    <w:rsid w:val="00E66F22"/>
    <w:rsid w:val="00E705CD"/>
    <w:rsid w:val="00E7102E"/>
    <w:rsid w:val="00E7346A"/>
    <w:rsid w:val="00E757CD"/>
    <w:rsid w:val="00E80999"/>
    <w:rsid w:val="00E80CA2"/>
    <w:rsid w:val="00E83506"/>
    <w:rsid w:val="00E838F1"/>
    <w:rsid w:val="00E93237"/>
    <w:rsid w:val="00E94593"/>
    <w:rsid w:val="00EA1329"/>
    <w:rsid w:val="00EA13F9"/>
    <w:rsid w:val="00EB0AB0"/>
    <w:rsid w:val="00EB0BD5"/>
    <w:rsid w:val="00EB2329"/>
    <w:rsid w:val="00EB42BA"/>
    <w:rsid w:val="00EB49B2"/>
    <w:rsid w:val="00EB7829"/>
    <w:rsid w:val="00EC58D2"/>
    <w:rsid w:val="00ED0C99"/>
    <w:rsid w:val="00ED65C1"/>
    <w:rsid w:val="00ED7B02"/>
    <w:rsid w:val="00EE0C37"/>
    <w:rsid w:val="00EE6980"/>
    <w:rsid w:val="00EE71C7"/>
    <w:rsid w:val="00EE757A"/>
    <w:rsid w:val="00F01ED9"/>
    <w:rsid w:val="00F044B8"/>
    <w:rsid w:val="00F10062"/>
    <w:rsid w:val="00F11D7C"/>
    <w:rsid w:val="00F13826"/>
    <w:rsid w:val="00F162F8"/>
    <w:rsid w:val="00F256A1"/>
    <w:rsid w:val="00F26AC8"/>
    <w:rsid w:val="00F416AA"/>
    <w:rsid w:val="00F42D61"/>
    <w:rsid w:val="00F52623"/>
    <w:rsid w:val="00F52A70"/>
    <w:rsid w:val="00F5660E"/>
    <w:rsid w:val="00F56894"/>
    <w:rsid w:val="00F75E9A"/>
    <w:rsid w:val="00F82331"/>
    <w:rsid w:val="00F832D1"/>
    <w:rsid w:val="00F86281"/>
    <w:rsid w:val="00F87E77"/>
    <w:rsid w:val="00F91902"/>
    <w:rsid w:val="00F947F3"/>
    <w:rsid w:val="00FA3319"/>
    <w:rsid w:val="00FA6D18"/>
    <w:rsid w:val="00FA7910"/>
    <w:rsid w:val="00FB04ED"/>
    <w:rsid w:val="00FB19C3"/>
    <w:rsid w:val="00FB2999"/>
    <w:rsid w:val="00FC4D9B"/>
    <w:rsid w:val="00FC618A"/>
    <w:rsid w:val="00FD3D88"/>
    <w:rsid w:val="00FD40B8"/>
    <w:rsid w:val="00FE051B"/>
    <w:rsid w:val="03ECAA05"/>
    <w:rsid w:val="03F4A6C9"/>
    <w:rsid w:val="077717F6"/>
    <w:rsid w:val="0822FA35"/>
    <w:rsid w:val="08DF476C"/>
    <w:rsid w:val="0C30823E"/>
    <w:rsid w:val="0CE66648"/>
    <w:rsid w:val="1118B9F7"/>
    <w:rsid w:val="169AD8B9"/>
    <w:rsid w:val="16FE72B6"/>
    <w:rsid w:val="17E69E72"/>
    <w:rsid w:val="17FD902D"/>
    <w:rsid w:val="1824A3FA"/>
    <w:rsid w:val="1928A5A5"/>
    <w:rsid w:val="1B69B82A"/>
    <w:rsid w:val="1C44F3F6"/>
    <w:rsid w:val="1D1431D7"/>
    <w:rsid w:val="1F43A4DE"/>
    <w:rsid w:val="2042F23F"/>
    <w:rsid w:val="21371189"/>
    <w:rsid w:val="2247C51C"/>
    <w:rsid w:val="22520F87"/>
    <w:rsid w:val="249B888F"/>
    <w:rsid w:val="2725D818"/>
    <w:rsid w:val="27B0753F"/>
    <w:rsid w:val="292DA01D"/>
    <w:rsid w:val="2978889F"/>
    <w:rsid w:val="2A436D2A"/>
    <w:rsid w:val="2B7ABAB3"/>
    <w:rsid w:val="2E959CAB"/>
    <w:rsid w:val="300F90AB"/>
    <w:rsid w:val="31BBEE40"/>
    <w:rsid w:val="32A5646A"/>
    <w:rsid w:val="334C850D"/>
    <w:rsid w:val="34DA57F0"/>
    <w:rsid w:val="359E4C0F"/>
    <w:rsid w:val="3649E552"/>
    <w:rsid w:val="36BA7AD2"/>
    <w:rsid w:val="36C827FF"/>
    <w:rsid w:val="3759922E"/>
    <w:rsid w:val="389E01D9"/>
    <w:rsid w:val="3932D19A"/>
    <w:rsid w:val="3A1AD331"/>
    <w:rsid w:val="3C033E10"/>
    <w:rsid w:val="3CF04DD3"/>
    <w:rsid w:val="4306B162"/>
    <w:rsid w:val="434C3FC9"/>
    <w:rsid w:val="438B2BB7"/>
    <w:rsid w:val="4BA02374"/>
    <w:rsid w:val="5351FCA2"/>
    <w:rsid w:val="554BD7F9"/>
    <w:rsid w:val="5CDCB2DA"/>
    <w:rsid w:val="5D1A124B"/>
    <w:rsid w:val="5D560CAD"/>
    <w:rsid w:val="5DBA521C"/>
    <w:rsid w:val="60DC8A22"/>
    <w:rsid w:val="60F74FB3"/>
    <w:rsid w:val="613FAB4F"/>
    <w:rsid w:val="61609ED5"/>
    <w:rsid w:val="64E90303"/>
    <w:rsid w:val="64FAA4B2"/>
    <w:rsid w:val="650DE129"/>
    <w:rsid w:val="688B883D"/>
    <w:rsid w:val="6B792039"/>
    <w:rsid w:val="6BE3EF0F"/>
    <w:rsid w:val="6F641295"/>
    <w:rsid w:val="704FBFEA"/>
    <w:rsid w:val="72889498"/>
    <w:rsid w:val="7507AEC0"/>
    <w:rsid w:val="76FC1C5C"/>
    <w:rsid w:val="77C0D70F"/>
    <w:rsid w:val="7B1F59C8"/>
    <w:rsid w:val="7C58AB22"/>
    <w:rsid w:val="7FD780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5AEDF"/>
  <w15:chartTrackingRefBased/>
  <w15:docId w15:val="{2ED5DC08-1320-42F7-B229-45423FF0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0B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ADF"/>
    <w:rPr>
      <w:rFonts w:eastAsiaTheme="minorHAnsi"/>
      <w:sz w:val="18"/>
      <w:szCs w:val="18"/>
    </w:rPr>
  </w:style>
  <w:style w:type="character" w:customStyle="1" w:styleId="BalloonTextChar">
    <w:name w:val="Balloon Text Char"/>
    <w:basedOn w:val="DefaultParagraphFont"/>
    <w:link w:val="BalloonText"/>
    <w:uiPriority w:val="99"/>
    <w:semiHidden/>
    <w:rsid w:val="00B00ADF"/>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B00AD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B00ADF"/>
    <w:rPr>
      <w:sz w:val="20"/>
      <w:szCs w:val="20"/>
    </w:rPr>
  </w:style>
  <w:style w:type="character" w:styleId="FootnoteReference">
    <w:name w:val="footnote reference"/>
    <w:basedOn w:val="DefaultParagraphFont"/>
    <w:uiPriority w:val="99"/>
    <w:semiHidden/>
    <w:unhideWhenUsed/>
    <w:rsid w:val="00B00ADF"/>
    <w:rPr>
      <w:vertAlign w:val="superscript"/>
    </w:rPr>
  </w:style>
  <w:style w:type="character" w:styleId="Hyperlink">
    <w:name w:val="Hyperlink"/>
    <w:basedOn w:val="DefaultParagraphFont"/>
    <w:uiPriority w:val="99"/>
    <w:unhideWhenUsed/>
    <w:rsid w:val="00B00ADF"/>
    <w:rPr>
      <w:color w:val="0000FF"/>
      <w:u w:val="single"/>
    </w:rPr>
  </w:style>
  <w:style w:type="paragraph" w:styleId="NormalWeb">
    <w:name w:val="Normal (Web)"/>
    <w:basedOn w:val="Normal"/>
    <w:uiPriority w:val="99"/>
    <w:unhideWhenUsed/>
    <w:rsid w:val="00B00ADF"/>
    <w:rPr>
      <w:rFonts w:eastAsiaTheme="minorHAnsi"/>
    </w:rPr>
  </w:style>
  <w:style w:type="character" w:styleId="CommentReference">
    <w:name w:val="annotation reference"/>
    <w:basedOn w:val="DefaultParagraphFont"/>
    <w:uiPriority w:val="99"/>
    <w:semiHidden/>
    <w:unhideWhenUsed/>
    <w:rsid w:val="00B00ADF"/>
    <w:rPr>
      <w:sz w:val="16"/>
      <w:szCs w:val="16"/>
    </w:rPr>
  </w:style>
  <w:style w:type="paragraph" w:styleId="CommentText">
    <w:name w:val="annotation text"/>
    <w:basedOn w:val="Normal"/>
    <w:link w:val="CommentTextChar"/>
    <w:uiPriority w:val="99"/>
    <w:semiHidden/>
    <w:unhideWhenUsed/>
    <w:rsid w:val="00B00ADF"/>
    <w:rPr>
      <w:sz w:val="20"/>
      <w:szCs w:val="20"/>
    </w:rPr>
  </w:style>
  <w:style w:type="character" w:customStyle="1" w:styleId="CommentTextChar">
    <w:name w:val="Comment Text Char"/>
    <w:basedOn w:val="DefaultParagraphFont"/>
    <w:link w:val="CommentText"/>
    <w:uiPriority w:val="99"/>
    <w:semiHidden/>
    <w:rsid w:val="00B00A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0ADF"/>
    <w:rPr>
      <w:b/>
      <w:bCs/>
    </w:rPr>
  </w:style>
  <w:style w:type="character" w:customStyle="1" w:styleId="CommentSubjectChar">
    <w:name w:val="Comment Subject Char"/>
    <w:basedOn w:val="CommentTextChar"/>
    <w:link w:val="CommentSubject"/>
    <w:uiPriority w:val="99"/>
    <w:semiHidden/>
    <w:rsid w:val="00B00ADF"/>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6604B5"/>
    <w:pPr>
      <w:tabs>
        <w:tab w:val="center" w:pos="4680"/>
        <w:tab w:val="right" w:pos="9360"/>
      </w:tabs>
    </w:pPr>
  </w:style>
  <w:style w:type="character" w:customStyle="1" w:styleId="FooterChar">
    <w:name w:val="Footer Char"/>
    <w:basedOn w:val="DefaultParagraphFont"/>
    <w:link w:val="Footer"/>
    <w:uiPriority w:val="99"/>
    <w:rsid w:val="006604B5"/>
    <w:rPr>
      <w:rFonts w:ascii="Times New Roman" w:eastAsia="Times New Roman" w:hAnsi="Times New Roman" w:cs="Times New Roman"/>
    </w:rPr>
  </w:style>
  <w:style w:type="character" w:styleId="PageNumber">
    <w:name w:val="page number"/>
    <w:basedOn w:val="DefaultParagraphFont"/>
    <w:uiPriority w:val="99"/>
    <w:semiHidden/>
    <w:unhideWhenUsed/>
    <w:rsid w:val="006604B5"/>
  </w:style>
  <w:style w:type="paragraph" w:styleId="Header">
    <w:name w:val="header"/>
    <w:basedOn w:val="Normal"/>
    <w:link w:val="HeaderChar"/>
    <w:uiPriority w:val="99"/>
    <w:unhideWhenUsed/>
    <w:rsid w:val="00FD40B8"/>
    <w:pPr>
      <w:tabs>
        <w:tab w:val="center" w:pos="4680"/>
        <w:tab w:val="right" w:pos="9360"/>
      </w:tabs>
    </w:pPr>
  </w:style>
  <w:style w:type="character" w:customStyle="1" w:styleId="HeaderChar">
    <w:name w:val="Header Char"/>
    <w:basedOn w:val="DefaultParagraphFont"/>
    <w:link w:val="Header"/>
    <w:uiPriority w:val="99"/>
    <w:rsid w:val="00FD40B8"/>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770CF8"/>
    <w:rPr>
      <w:color w:val="954F72" w:themeColor="followedHyperlink"/>
      <w:u w:val="single"/>
    </w:rPr>
  </w:style>
  <w:style w:type="paragraph" w:styleId="ListParagraph">
    <w:name w:val="List Paragraph"/>
    <w:basedOn w:val="Normal"/>
    <w:uiPriority w:val="34"/>
    <w:qFormat/>
    <w:rsid w:val="007034D1"/>
    <w:pPr>
      <w:ind w:left="720"/>
      <w:contextualSpacing/>
    </w:pPr>
  </w:style>
  <w:style w:type="paragraph" w:customStyle="1" w:styleId="Default">
    <w:name w:val="Default"/>
    <w:rsid w:val="0006182F"/>
    <w:pPr>
      <w:autoSpaceDE w:val="0"/>
      <w:autoSpaceDN w:val="0"/>
      <w:adjustRightInd w:val="0"/>
    </w:pPr>
    <w:rPr>
      <w:rFonts w:ascii="Times New Roman" w:hAnsi="Times New Roman" w:cs="Times New Roman"/>
      <w:color w:val="000000"/>
    </w:rPr>
  </w:style>
  <w:style w:type="paragraph" w:styleId="Revision">
    <w:name w:val="Revision"/>
    <w:hidden/>
    <w:uiPriority w:val="99"/>
    <w:semiHidden/>
    <w:rsid w:val="001010A2"/>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BF6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9896">
      <w:bodyDiv w:val="1"/>
      <w:marLeft w:val="0"/>
      <w:marRight w:val="0"/>
      <w:marTop w:val="0"/>
      <w:marBottom w:val="0"/>
      <w:divBdr>
        <w:top w:val="none" w:sz="0" w:space="0" w:color="auto"/>
        <w:left w:val="none" w:sz="0" w:space="0" w:color="auto"/>
        <w:bottom w:val="none" w:sz="0" w:space="0" w:color="auto"/>
        <w:right w:val="none" w:sz="0" w:space="0" w:color="auto"/>
      </w:divBdr>
    </w:div>
    <w:div w:id="771626510">
      <w:bodyDiv w:val="1"/>
      <w:marLeft w:val="0"/>
      <w:marRight w:val="0"/>
      <w:marTop w:val="0"/>
      <w:marBottom w:val="0"/>
      <w:divBdr>
        <w:top w:val="none" w:sz="0" w:space="0" w:color="auto"/>
        <w:left w:val="none" w:sz="0" w:space="0" w:color="auto"/>
        <w:bottom w:val="none" w:sz="0" w:space="0" w:color="auto"/>
        <w:right w:val="none" w:sz="0" w:space="0" w:color="auto"/>
      </w:divBdr>
    </w:div>
    <w:div w:id="814031176">
      <w:bodyDiv w:val="1"/>
      <w:marLeft w:val="0"/>
      <w:marRight w:val="0"/>
      <w:marTop w:val="0"/>
      <w:marBottom w:val="0"/>
      <w:divBdr>
        <w:top w:val="none" w:sz="0" w:space="0" w:color="auto"/>
        <w:left w:val="none" w:sz="0" w:space="0" w:color="auto"/>
        <w:bottom w:val="none" w:sz="0" w:space="0" w:color="auto"/>
        <w:right w:val="none" w:sz="0" w:space="0" w:color="auto"/>
      </w:divBdr>
    </w:div>
    <w:div w:id="1199509830">
      <w:bodyDiv w:val="1"/>
      <w:marLeft w:val="0"/>
      <w:marRight w:val="0"/>
      <w:marTop w:val="0"/>
      <w:marBottom w:val="0"/>
      <w:divBdr>
        <w:top w:val="none" w:sz="0" w:space="0" w:color="auto"/>
        <w:left w:val="none" w:sz="0" w:space="0" w:color="auto"/>
        <w:bottom w:val="none" w:sz="0" w:space="0" w:color="auto"/>
        <w:right w:val="none" w:sz="0" w:space="0" w:color="auto"/>
      </w:divBdr>
      <w:divsChild>
        <w:div w:id="1391996129">
          <w:marLeft w:val="0"/>
          <w:marRight w:val="0"/>
          <w:marTop w:val="0"/>
          <w:marBottom w:val="0"/>
          <w:divBdr>
            <w:top w:val="none" w:sz="0" w:space="0" w:color="auto"/>
            <w:left w:val="none" w:sz="0" w:space="0" w:color="auto"/>
            <w:bottom w:val="none" w:sz="0" w:space="0" w:color="auto"/>
            <w:right w:val="none" w:sz="0" w:space="0" w:color="auto"/>
          </w:divBdr>
          <w:divsChild>
            <w:div w:id="971011799">
              <w:marLeft w:val="0"/>
              <w:marRight w:val="0"/>
              <w:marTop w:val="0"/>
              <w:marBottom w:val="0"/>
              <w:divBdr>
                <w:top w:val="none" w:sz="0" w:space="0" w:color="auto"/>
                <w:left w:val="none" w:sz="0" w:space="0" w:color="auto"/>
                <w:bottom w:val="none" w:sz="0" w:space="0" w:color="auto"/>
                <w:right w:val="none" w:sz="0" w:space="0" w:color="auto"/>
              </w:divBdr>
              <w:divsChild>
                <w:div w:id="8266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415801">
      <w:bodyDiv w:val="1"/>
      <w:marLeft w:val="0"/>
      <w:marRight w:val="0"/>
      <w:marTop w:val="0"/>
      <w:marBottom w:val="0"/>
      <w:divBdr>
        <w:top w:val="none" w:sz="0" w:space="0" w:color="auto"/>
        <w:left w:val="none" w:sz="0" w:space="0" w:color="auto"/>
        <w:bottom w:val="none" w:sz="0" w:space="0" w:color="auto"/>
        <w:right w:val="none" w:sz="0" w:space="0" w:color="auto"/>
      </w:divBdr>
    </w:div>
    <w:div w:id="1285620865">
      <w:bodyDiv w:val="1"/>
      <w:marLeft w:val="0"/>
      <w:marRight w:val="0"/>
      <w:marTop w:val="0"/>
      <w:marBottom w:val="0"/>
      <w:divBdr>
        <w:top w:val="none" w:sz="0" w:space="0" w:color="auto"/>
        <w:left w:val="none" w:sz="0" w:space="0" w:color="auto"/>
        <w:bottom w:val="none" w:sz="0" w:space="0" w:color="auto"/>
        <w:right w:val="none" w:sz="0" w:space="0" w:color="auto"/>
      </w:divBdr>
    </w:div>
    <w:div w:id="134624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F8585-7D94-4F60-8C40-48A52577DC1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3B608FC-F819-458B-AAAA-E7262B44E1B7}">
  <ds:schemaRefs>
    <ds:schemaRef ds:uri="http://schemas.microsoft.com/sharepoint/v3/contenttype/forms"/>
  </ds:schemaRefs>
</ds:datastoreItem>
</file>

<file path=customXml/itemProps3.xml><?xml version="1.0" encoding="utf-8"?>
<ds:datastoreItem xmlns:ds="http://schemas.openxmlformats.org/officeDocument/2006/customXml" ds:itemID="{B81234D4-487D-49B8-8C80-C4590E560584}"/>
</file>

<file path=customXml/itemProps4.xml><?xml version="1.0" encoding="utf-8"?>
<ds:datastoreItem xmlns:ds="http://schemas.openxmlformats.org/officeDocument/2006/customXml" ds:itemID="{39259DE7-6E79-4700-B834-342F7593B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1918</Words>
  <Characters>10936</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Quenneville</dc:creator>
  <cp:keywords/>
  <dc:description/>
  <cp:lastModifiedBy>OHCHR Child Rights</cp:lastModifiedBy>
  <cp:revision>2</cp:revision>
  <cp:lastPrinted>2019-10-08T13:54:00Z</cp:lastPrinted>
  <dcterms:created xsi:type="dcterms:W3CDTF">2019-10-09T14:17:00Z</dcterms:created>
  <dcterms:modified xsi:type="dcterms:W3CDTF">2019-10-09T14:17:00Z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