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86" w:rsidRDefault="002E4986" w:rsidP="002E4986">
      <w:pPr>
        <w:pStyle w:val="IntenseQuote"/>
        <w:rPr>
          <w:color w:val="FF0000"/>
          <w:sz w:val="28"/>
          <w:szCs w:val="28"/>
        </w:rPr>
      </w:pPr>
      <w:bookmarkStart w:id="0" w:name="_GoBack"/>
      <w:bookmarkEnd w:id="0"/>
    </w:p>
    <w:p w:rsidR="002E4986" w:rsidRPr="002E4986" w:rsidRDefault="002E4986" w:rsidP="002E4986">
      <w:pPr>
        <w:pStyle w:val="IntenseQuote"/>
        <w:rPr>
          <w:color w:val="auto"/>
          <w:sz w:val="28"/>
          <w:szCs w:val="28"/>
        </w:rPr>
      </w:pPr>
      <w:r w:rsidRPr="002E4986">
        <w:rPr>
          <w:color w:val="auto"/>
          <w:sz w:val="28"/>
          <w:szCs w:val="28"/>
        </w:rPr>
        <w:t xml:space="preserve">A contribution to OHCHR report to the Human Rights Council on Children’s right to health </w:t>
      </w:r>
    </w:p>
    <w:p w:rsidR="002E4986" w:rsidRDefault="002E4986" w:rsidP="00822F25">
      <w:pPr>
        <w:jc w:val="both"/>
        <w:rPr>
          <w:rFonts w:cstheme="minorHAnsi"/>
          <w:sz w:val="24"/>
          <w:szCs w:val="24"/>
        </w:rPr>
      </w:pPr>
      <w:r w:rsidRPr="002E4986">
        <w:rPr>
          <w:rFonts w:cstheme="minorHAnsi"/>
          <w:sz w:val="24"/>
          <w:szCs w:val="24"/>
        </w:rPr>
        <w:t>Prepared by Save the Children Jordan</w:t>
      </w:r>
    </w:p>
    <w:p w:rsidR="002E4986" w:rsidRDefault="002E4986" w:rsidP="00822F25">
      <w:pPr>
        <w:jc w:val="both"/>
        <w:rPr>
          <w:rFonts w:cstheme="minorHAnsi"/>
          <w:sz w:val="24"/>
          <w:szCs w:val="24"/>
        </w:rPr>
      </w:pPr>
      <w:r>
        <w:rPr>
          <w:rFonts w:cstheme="minorHAnsi"/>
          <w:sz w:val="24"/>
          <w:szCs w:val="24"/>
        </w:rPr>
        <w:t xml:space="preserve">Email: </w:t>
      </w:r>
      <w:hyperlink r:id="rId8" w:history="1">
        <w:r w:rsidRPr="00251758">
          <w:rPr>
            <w:rStyle w:val="Hyperlink"/>
            <w:rFonts w:cstheme="minorHAnsi"/>
            <w:sz w:val="24"/>
            <w:szCs w:val="24"/>
          </w:rPr>
          <w:t>Savethechildren@savethechildren.org,jo</w:t>
        </w:r>
      </w:hyperlink>
    </w:p>
    <w:p w:rsidR="002E4986" w:rsidRDefault="002E4986" w:rsidP="00822F25">
      <w:pPr>
        <w:jc w:val="both"/>
        <w:rPr>
          <w:rFonts w:cstheme="minorHAnsi"/>
          <w:sz w:val="24"/>
          <w:szCs w:val="24"/>
        </w:rPr>
      </w:pPr>
      <w:r>
        <w:rPr>
          <w:rFonts w:cstheme="minorHAnsi"/>
          <w:sz w:val="24"/>
          <w:szCs w:val="24"/>
        </w:rPr>
        <w:t>Phone: 0096265662012</w:t>
      </w:r>
    </w:p>
    <w:p w:rsidR="002E4986" w:rsidRDefault="002E4986" w:rsidP="00822F25">
      <w:pPr>
        <w:jc w:val="both"/>
        <w:rPr>
          <w:rFonts w:cstheme="minorHAnsi"/>
          <w:sz w:val="28"/>
          <w:szCs w:val="28"/>
        </w:rPr>
      </w:pPr>
      <w:r>
        <w:rPr>
          <w:rFonts w:cstheme="minorHAnsi"/>
          <w:sz w:val="24"/>
          <w:szCs w:val="24"/>
        </w:rPr>
        <w:t>Fax: 009265670241</w:t>
      </w:r>
    </w:p>
    <w:p w:rsidR="002E4986" w:rsidRPr="002E4986" w:rsidRDefault="002E4986" w:rsidP="00822F25">
      <w:pPr>
        <w:jc w:val="both"/>
        <w:rPr>
          <w:rFonts w:cstheme="minorHAnsi"/>
          <w:sz w:val="28"/>
          <w:szCs w:val="28"/>
        </w:rPr>
      </w:pPr>
      <w:r w:rsidRPr="002E4986">
        <w:rPr>
          <w:rFonts w:cstheme="minorHAnsi"/>
          <w:sz w:val="28"/>
          <w:szCs w:val="28"/>
        </w:rPr>
        <w:t xml:space="preserve"> </w:t>
      </w:r>
    </w:p>
    <w:p w:rsidR="004C5E03" w:rsidRDefault="00586CBF" w:rsidP="00822F25">
      <w:pPr>
        <w:jc w:val="both"/>
        <w:rPr>
          <w:rFonts w:cstheme="minorHAnsi"/>
          <w:sz w:val="28"/>
          <w:szCs w:val="28"/>
        </w:rPr>
      </w:pPr>
      <w:r w:rsidRPr="00822F25">
        <w:rPr>
          <w:rFonts w:cstheme="minorHAnsi"/>
          <w:sz w:val="28"/>
          <w:szCs w:val="28"/>
        </w:rPr>
        <w:t>Save the Children Jordan</w:t>
      </w:r>
      <w:r w:rsidR="00750680" w:rsidRPr="00822F25">
        <w:rPr>
          <w:rFonts w:cstheme="minorHAnsi"/>
          <w:sz w:val="28"/>
          <w:szCs w:val="28"/>
        </w:rPr>
        <w:t xml:space="preserve"> (SC Jordan)</w:t>
      </w:r>
      <w:r w:rsidRPr="00822F25">
        <w:rPr>
          <w:rFonts w:cstheme="minorHAnsi"/>
          <w:sz w:val="28"/>
          <w:szCs w:val="28"/>
        </w:rPr>
        <w:t xml:space="preserve"> considers iron deficiency to be the main </w:t>
      </w:r>
      <w:r w:rsidR="00750680" w:rsidRPr="00822F25">
        <w:rPr>
          <w:rFonts w:cstheme="minorHAnsi"/>
          <w:sz w:val="28"/>
          <w:szCs w:val="28"/>
        </w:rPr>
        <w:t xml:space="preserve">health </w:t>
      </w:r>
      <w:r w:rsidRPr="00822F25">
        <w:rPr>
          <w:rFonts w:cstheme="minorHAnsi"/>
          <w:sz w:val="28"/>
          <w:szCs w:val="28"/>
        </w:rPr>
        <w:t xml:space="preserve">challenge </w:t>
      </w:r>
      <w:r w:rsidR="00750680" w:rsidRPr="00822F25">
        <w:rPr>
          <w:rFonts w:cstheme="minorHAnsi"/>
          <w:sz w:val="28"/>
          <w:szCs w:val="28"/>
        </w:rPr>
        <w:t>related to children and this consideration is based on international and national standards, which means that Save the children takes into consideration that nutrition is “</w:t>
      </w:r>
      <w:r w:rsidR="00750680" w:rsidRPr="00822F25">
        <w:rPr>
          <w:rFonts w:cstheme="minorHAnsi"/>
          <w:i/>
          <w:iCs/>
          <w:sz w:val="28"/>
          <w:szCs w:val="28"/>
        </w:rPr>
        <w:t>an inclusive right extending not only to timely and appropriate health care but also to the underlying determinants of health”</w:t>
      </w:r>
      <w:r w:rsidR="00750680" w:rsidRPr="00822F25">
        <w:rPr>
          <w:rFonts w:cstheme="minorHAnsi"/>
          <w:sz w:val="28"/>
          <w:szCs w:val="28"/>
        </w:rPr>
        <w:t xml:space="preserve"> as adopted by the Committee on Economic Social and Cultural Rights (CESCR) in General  Comment Number 14. SC Jordan </w:t>
      </w:r>
      <w:r w:rsidR="00822F25" w:rsidRPr="00822F25">
        <w:rPr>
          <w:rFonts w:cstheme="minorHAnsi"/>
          <w:sz w:val="28"/>
          <w:szCs w:val="28"/>
        </w:rPr>
        <w:t xml:space="preserve">had also took into consideration </w:t>
      </w:r>
      <w:r w:rsidR="00750680" w:rsidRPr="00822F25">
        <w:rPr>
          <w:rFonts w:cstheme="minorHAnsi"/>
          <w:sz w:val="28"/>
          <w:szCs w:val="28"/>
        </w:rPr>
        <w:t xml:space="preserve">A further important aspect </w:t>
      </w:r>
      <w:r w:rsidR="00822F25" w:rsidRPr="00822F25">
        <w:rPr>
          <w:rFonts w:cstheme="minorHAnsi"/>
          <w:sz w:val="28"/>
          <w:szCs w:val="28"/>
        </w:rPr>
        <w:t xml:space="preserve"> inspired from General Comment Number 14 which </w:t>
      </w:r>
      <w:r w:rsidR="00750680" w:rsidRPr="00822F25">
        <w:rPr>
          <w:rFonts w:cstheme="minorHAnsi"/>
          <w:sz w:val="28"/>
          <w:szCs w:val="28"/>
        </w:rPr>
        <w:t>is the participation of the population in all health-related decision-making at the community, national and international levels.</w:t>
      </w:r>
      <w:r w:rsidR="00750680" w:rsidRPr="00822F25">
        <w:rPr>
          <w:rFonts w:cstheme="minorHAnsi"/>
          <w:sz w:val="28"/>
          <w:szCs w:val="28"/>
          <w:vertAlign w:val="superscript"/>
        </w:rPr>
        <w:footnoteReference w:id="1"/>
      </w:r>
      <w:r w:rsidR="00822F25" w:rsidRPr="00822F25">
        <w:rPr>
          <w:rFonts w:cstheme="minorHAnsi"/>
          <w:sz w:val="28"/>
          <w:szCs w:val="28"/>
        </w:rPr>
        <w:t xml:space="preserve"> </w:t>
      </w:r>
    </w:p>
    <w:p w:rsidR="004C5E03" w:rsidRDefault="004C5E03" w:rsidP="00822F25">
      <w:pPr>
        <w:jc w:val="both"/>
        <w:rPr>
          <w:rFonts w:cstheme="minorHAnsi"/>
          <w:sz w:val="28"/>
          <w:szCs w:val="28"/>
        </w:rPr>
      </w:pPr>
    </w:p>
    <w:p w:rsidR="004C5E03" w:rsidRDefault="004C5E03" w:rsidP="004C5E03">
      <w:pPr>
        <w:jc w:val="both"/>
        <w:rPr>
          <w:rFonts w:cstheme="minorHAnsi"/>
          <w:sz w:val="28"/>
          <w:szCs w:val="28"/>
        </w:rPr>
      </w:pPr>
      <w:r>
        <w:rPr>
          <w:rFonts w:cstheme="minorHAnsi"/>
          <w:sz w:val="28"/>
          <w:szCs w:val="28"/>
        </w:rPr>
        <w:t>SC Jordan considers that discrimination in the right to health as a key issue as according to the</w:t>
      </w:r>
      <w:r w:rsidRPr="004C5E03">
        <w:rPr>
          <w:rFonts w:cstheme="minorHAnsi"/>
          <w:sz w:val="28"/>
          <w:szCs w:val="28"/>
        </w:rPr>
        <w:t xml:space="preserve"> CRC committee </w:t>
      </w:r>
      <w:r>
        <w:rPr>
          <w:rFonts w:cstheme="minorHAnsi"/>
          <w:sz w:val="28"/>
          <w:szCs w:val="28"/>
        </w:rPr>
        <w:t>there is a linked</w:t>
      </w:r>
      <w:r w:rsidRPr="004C5E03">
        <w:rPr>
          <w:rFonts w:cstheme="minorHAnsi"/>
          <w:sz w:val="28"/>
          <w:szCs w:val="28"/>
        </w:rPr>
        <w:t xml:space="preserve"> concerns about health to discrimination issues in many cases such as discrimination against girls, children living in poverty, children living in rural areas and refugee children.</w:t>
      </w:r>
    </w:p>
    <w:p w:rsidR="00D97DA1" w:rsidRDefault="00D97DA1" w:rsidP="004C5E03">
      <w:pPr>
        <w:jc w:val="both"/>
        <w:rPr>
          <w:rFonts w:cstheme="minorHAnsi"/>
          <w:sz w:val="28"/>
          <w:szCs w:val="28"/>
        </w:rPr>
      </w:pPr>
    </w:p>
    <w:p w:rsidR="00D97DA1" w:rsidRPr="002E4986" w:rsidRDefault="00D97DA1" w:rsidP="002E4986">
      <w:pPr>
        <w:jc w:val="both"/>
        <w:rPr>
          <w:rFonts w:cstheme="minorHAnsi"/>
          <w:b/>
          <w:bCs/>
          <w:i/>
          <w:iCs/>
          <w:sz w:val="28"/>
          <w:szCs w:val="28"/>
        </w:rPr>
      </w:pPr>
      <w:r w:rsidRPr="00D97DA1">
        <w:rPr>
          <w:rFonts w:cstheme="minorHAnsi"/>
          <w:sz w:val="28"/>
          <w:szCs w:val="28"/>
        </w:rPr>
        <w:t xml:space="preserve">On the other hand SC Jordan works according to </w:t>
      </w:r>
      <w:r w:rsidRPr="00D97DA1">
        <w:rPr>
          <w:rFonts w:cstheme="minorHAnsi"/>
          <w:b/>
          <w:bCs/>
          <w:i/>
          <w:iCs/>
          <w:sz w:val="28"/>
          <w:szCs w:val="28"/>
          <w:lang w:val="el-GR"/>
        </w:rPr>
        <w:t>everyone campaign: Save the Children is campaigning to end this injustice</w:t>
      </w:r>
      <w:r w:rsidRPr="00D97DA1">
        <w:rPr>
          <w:rFonts w:cstheme="minorHAnsi"/>
          <w:b/>
          <w:bCs/>
          <w:i/>
          <w:iCs/>
          <w:sz w:val="28"/>
          <w:szCs w:val="28"/>
        </w:rPr>
        <w:t>.</w:t>
      </w:r>
    </w:p>
    <w:p w:rsidR="00D97DA1" w:rsidRPr="00D97DA1" w:rsidRDefault="00D97DA1" w:rsidP="00D97DA1">
      <w:pPr>
        <w:jc w:val="both"/>
        <w:rPr>
          <w:rFonts w:cstheme="minorHAnsi"/>
          <w:sz w:val="28"/>
          <w:szCs w:val="28"/>
        </w:rPr>
      </w:pPr>
      <w:r w:rsidRPr="00D97DA1">
        <w:rPr>
          <w:rFonts w:cstheme="minorHAnsi"/>
          <w:b/>
          <w:bCs/>
          <w:sz w:val="28"/>
          <w:szCs w:val="28"/>
          <w:lang w:val="el-GR"/>
        </w:rPr>
        <w:t>Our vision</w:t>
      </w:r>
      <w:r w:rsidRPr="00D97DA1">
        <w:rPr>
          <w:rFonts w:cstheme="minorHAnsi"/>
          <w:sz w:val="28"/>
          <w:szCs w:val="28"/>
          <w:lang w:val="el-GR"/>
        </w:rPr>
        <w:t xml:space="preserve"> is that no child under the age of 5 dies from preventable causes,and that public attitudes will not tolerate a return to high levels of child deaths.</w:t>
      </w:r>
    </w:p>
    <w:p w:rsidR="00D97DA1" w:rsidRPr="00D97DA1" w:rsidRDefault="00D97DA1" w:rsidP="00D97DA1">
      <w:pPr>
        <w:jc w:val="both"/>
        <w:rPr>
          <w:rFonts w:cstheme="minorHAnsi"/>
          <w:sz w:val="28"/>
          <w:szCs w:val="28"/>
        </w:rPr>
      </w:pPr>
      <w:r w:rsidRPr="00D97DA1">
        <w:rPr>
          <w:rFonts w:cstheme="minorHAnsi"/>
          <w:b/>
          <w:bCs/>
          <w:sz w:val="28"/>
          <w:szCs w:val="28"/>
          <w:lang w:val="el-GR"/>
        </w:rPr>
        <w:t xml:space="preserve">Our goal </w:t>
      </w:r>
      <w:r w:rsidRPr="00D97DA1">
        <w:rPr>
          <w:rFonts w:cstheme="minorHAnsi"/>
          <w:sz w:val="28"/>
          <w:szCs w:val="28"/>
          <w:lang w:val="el-GR"/>
        </w:rPr>
        <w:t>is that Millennium Development Goal 4 – a two thirds reduction in child mortality rates by 2015 – is achieved</w:t>
      </w:r>
      <w:r w:rsidRPr="00D97DA1">
        <w:rPr>
          <w:rFonts w:cstheme="minorHAnsi"/>
          <w:sz w:val="28"/>
          <w:szCs w:val="28"/>
        </w:rPr>
        <w:t>.</w:t>
      </w:r>
    </w:p>
    <w:p w:rsidR="004C5E03" w:rsidRPr="00D97DA1" w:rsidRDefault="00D97DA1" w:rsidP="00D97DA1">
      <w:pPr>
        <w:jc w:val="both"/>
        <w:rPr>
          <w:rFonts w:cstheme="minorHAnsi"/>
          <w:sz w:val="28"/>
          <w:szCs w:val="28"/>
        </w:rPr>
      </w:pPr>
      <w:r w:rsidRPr="00D97DA1">
        <w:rPr>
          <w:rFonts w:cstheme="minorHAnsi"/>
          <w:b/>
          <w:bCs/>
          <w:sz w:val="28"/>
          <w:szCs w:val="28"/>
          <w:lang w:val="el-GR"/>
        </w:rPr>
        <w:t xml:space="preserve">Our objective </w:t>
      </w:r>
      <w:r w:rsidRPr="00D97DA1">
        <w:rPr>
          <w:rFonts w:cstheme="minorHAnsi"/>
          <w:sz w:val="28"/>
          <w:szCs w:val="28"/>
          <w:lang w:val="el-GR"/>
        </w:rPr>
        <w:t>is that by 2015 we will have catalysed a breakthrough in governments’ policy and practice that dramatically accelerates sustainable progress towards MDGs 4 and 5.</w:t>
      </w:r>
    </w:p>
    <w:p w:rsidR="00822F25" w:rsidRPr="00822F25" w:rsidRDefault="00822F25" w:rsidP="00822F25">
      <w:pPr>
        <w:jc w:val="both"/>
        <w:rPr>
          <w:rFonts w:cstheme="minorHAnsi"/>
          <w:sz w:val="28"/>
          <w:szCs w:val="28"/>
        </w:rPr>
      </w:pPr>
      <w:r w:rsidRPr="00822F25">
        <w:rPr>
          <w:rFonts w:cstheme="minorHAnsi"/>
          <w:sz w:val="28"/>
          <w:szCs w:val="28"/>
        </w:rPr>
        <w:t xml:space="preserve">And based on that SC Jordan had launched a campaign called “Combating Anemia Campaign” , this campaign </w:t>
      </w:r>
      <w:r w:rsidR="0083066B" w:rsidRPr="00822F25">
        <w:rPr>
          <w:rFonts w:cstheme="minorHAnsi"/>
          <w:sz w:val="28"/>
          <w:szCs w:val="28"/>
        </w:rPr>
        <w:t>aims to change dietary beh</w:t>
      </w:r>
      <w:r w:rsidRPr="00822F25">
        <w:rPr>
          <w:rFonts w:cstheme="minorHAnsi"/>
          <w:sz w:val="28"/>
          <w:szCs w:val="28"/>
        </w:rPr>
        <w:t>avior in families focusing on 0-5 years children  and mothers.</w:t>
      </w:r>
    </w:p>
    <w:p w:rsidR="00AE491E" w:rsidRPr="00822F25" w:rsidRDefault="0083066B" w:rsidP="00822F25">
      <w:pPr>
        <w:jc w:val="both"/>
        <w:rPr>
          <w:rFonts w:cstheme="minorHAnsi"/>
          <w:sz w:val="28"/>
          <w:szCs w:val="28"/>
        </w:rPr>
      </w:pPr>
      <w:r w:rsidRPr="00822F25">
        <w:rPr>
          <w:rFonts w:cstheme="minorHAnsi"/>
          <w:sz w:val="28"/>
          <w:szCs w:val="28"/>
        </w:rPr>
        <w:t xml:space="preserve">The campaigns duration is 24 months, divided into 4 phases to reach all areas in Jordan. The campaign started in central Jordan, moved on to the second and third phase in Southern regions in Jordan and will be wrapping up and finishing the campaign in the Northern regions of Jordan. </w:t>
      </w:r>
    </w:p>
    <w:p w:rsidR="00AE491E" w:rsidRPr="00822F25" w:rsidRDefault="0083066B" w:rsidP="00822F25">
      <w:pPr>
        <w:jc w:val="both"/>
        <w:rPr>
          <w:rFonts w:cstheme="minorHAnsi"/>
          <w:sz w:val="28"/>
          <w:szCs w:val="28"/>
        </w:rPr>
      </w:pPr>
      <w:r w:rsidRPr="00822F25">
        <w:rPr>
          <w:rFonts w:cstheme="minorHAnsi"/>
          <w:sz w:val="28"/>
          <w:szCs w:val="28"/>
        </w:rPr>
        <w:t xml:space="preserve">The campaign aims to directly </w:t>
      </w:r>
      <w:r w:rsidR="00822F25" w:rsidRPr="00822F25">
        <w:rPr>
          <w:rFonts w:cstheme="minorHAnsi"/>
          <w:sz w:val="28"/>
          <w:szCs w:val="28"/>
        </w:rPr>
        <w:t>screen for</w:t>
      </w:r>
      <w:r w:rsidRPr="00822F25">
        <w:rPr>
          <w:rFonts w:cstheme="minorHAnsi"/>
          <w:sz w:val="28"/>
          <w:szCs w:val="28"/>
        </w:rPr>
        <w:t xml:space="preserve"> Anemia </w:t>
      </w:r>
      <w:r w:rsidR="00822F25" w:rsidRPr="00822F25">
        <w:rPr>
          <w:rFonts w:cstheme="minorHAnsi"/>
          <w:sz w:val="28"/>
          <w:szCs w:val="28"/>
        </w:rPr>
        <w:t>and medically</w:t>
      </w:r>
      <w:r w:rsidRPr="00822F25">
        <w:rPr>
          <w:rFonts w:cstheme="minorHAnsi"/>
          <w:sz w:val="28"/>
          <w:szCs w:val="28"/>
        </w:rPr>
        <w:t xml:space="preserve"> intervene </w:t>
      </w:r>
      <w:r w:rsidR="00822F25" w:rsidRPr="00822F25">
        <w:rPr>
          <w:rFonts w:cstheme="minorHAnsi"/>
          <w:sz w:val="28"/>
          <w:szCs w:val="28"/>
        </w:rPr>
        <w:t>for more</w:t>
      </w:r>
      <w:r w:rsidRPr="00822F25">
        <w:rPr>
          <w:rFonts w:cstheme="minorHAnsi"/>
          <w:sz w:val="28"/>
          <w:szCs w:val="28"/>
        </w:rPr>
        <w:t xml:space="preserve"> than 20.000 mothers and children, and </w:t>
      </w:r>
      <w:r w:rsidR="00822F25" w:rsidRPr="00822F25">
        <w:rPr>
          <w:rFonts w:cstheme="minorHAnsi"/>
          <w:sz w:val="28"/>
          <w:szCs w:val="28"/>
        </w:rPr>
        <w:t>indirectly</w:t>
      </w:r>
      <w:r w:rsidRPr="00822F25">
        <w:rPr>
          <w:rFonts w:cstheme="minorHAnsi"/>
          <w:sz w:val="28"/>
          <w:szCs w:val="28"/>
        </w:rPr>
        <w:t xml:space="preserve"> reach out to 80.000 individuals.  </w:t>
      </w:r>
    </w:p>
    <w:p w:rsidR="00822F25" w:rsidRDefault="00822F25" w:rsidP="00822F25">
      <w:pPr>
        <w:jc w:val="both"/>
        <w:rPr>
          <w:rFonts w:cstheme="minorHAnsi"/>
          <w:sz w:val="28"/>
          <w:szCs w:val="28"/>
        </w:rPr>
      </w:pPr>
      <w:r w:rsidRPr="00822F25">
        <w:rPr>
          <w:rFonts w:cstheme="minorHAnsi"/>
          <w:sz w:val="28"/>
          <w:szCs w:val="28"/>
        </w:rPr>
        <w:t>More on that, t</w:t>
      </w:r>
      <w:r w:rsidR="0083066B" w:rsidRPr="00822F25">
        <w:rPr>
          <w:rFonts w:cstheme="minorHAnsi"/>
          <w:sz w:val="28"/>
          <w:szCs w:val="28"/>
        </w:rPr>
        <w:t>he campaign distribute</w:t>
      </w:r>
      <w:r>
        <w:rPr>
          <w:rFonts w:cstheme="minorHAnsi"/>
          <w:sz w:val="28"/>
          <w:szCs w:val="28"/>
        </w:rPr>
        <w:t>s</w:t>
      </w:r>
      <w:r w:rsidR="0083066B" w:rsidRPr="00822F25">
        <w:rPr>
          <w:rFonts w:cstheme="minorHAnsi"/>
          <w:sz w:val="28"/>
          <w:szCs w:val="28"/>
        </w:rPr>
        <w:t xml:space="preserve"> Iron Supplements f</w:t>
      </w:r>
      <w:r w:rsidRPr="00822F25">
        <w:rPr>
          <w:rFonts w:cstheme="minorHAnsi"/>
          <w:sz w:val="28"/>
          <w:szCs w:val="28"/>
        </w:rPr>
        <w:t>or those diagnosed with Anemia and will raise awareness and educate children &amp; mothers about the benefits of a healthier lifestyle</w:t>
      </w:r>
      <w:r>
        <w:rPr>
          <w:rFonts w:cstheme="minorHAnsi"/>
          <w:sz w:val="28"/>
          <w:szCs w:val="28"/>
        </w:rPr>
        <w:t>.</w:t>
      </w:r>
    </w:p>
    <w:p w:rsidR="002E4986" w:rsidRDefault="002E4986" w:rsidP="00822F25">
      <w:pPr>
        <w:jc w:val="both"/>
        <w:rPr>
          <w:rFonts w:cstheme="minorHAnsi"/>
          <w:sz w:val="28"/>
          <w:szCs w:val="28"/>
        </w:rPr>
      </w:pPr>
    </w:p>
    <w:p w:rsidR="002E4986" w:rsidRDefault="002E4986" w:rsidP="00822F25">
      <w:pPr>
        <w:jc w:val="both"/>
        <w:rPr>
          <w:rFonts w:cstheme="minorHAnsi"/>
          <w:sz w:val="28"/>
          <w:szCs w:val="28"/>
        </w:rPr>
      </w:pPr>
    </w:p>
    <w:p w:rsidR="002E4986" w:rsidRDefault="002E4986" w:rsidP="00822F25">
      <w:pPr>
        <w:jc w:val="both"/>
        <w:rPr>
          <w:rFonts w:cstheme="minorHAnsi"/>
          <w:sz w:val="28"/>
          <w:szCs w:val="28"/>
        </w:rPr>
      </w:pPr>
    </w:p>
    <w:p w:rsidR="004C5E03" w:rsidRDefault="004C5E03" w:rsidP="00822F25">
      <w:pPr>
        <w:jc w:val="both"/>
        <w:rPr>
          <w:rFonts w:cstheme="minorHAnsi"/>
          <w:sz w:val="28"/>
          <w:szCs w:val="28"/>
        </w:rPr>
      </w:pPr>
    </w:p>
    <w:p w:rsidR="004C5E03" w:rsidRDefault="004C5E03" w:rsidP="00822F25">
      <w:pPr>
        <w:jc w:val="both"/>
        <w:rPr>
          <w:rFonts w:cstheme="minorHAnsi"/>
          <w:sz w:val="28"/>
          <w:szCs w:val="28"/>
        </w:rPr>
      </w:pPr>
      <w:r>
        <w:rPr>
          <w:rFonts w:cstheme="minorHAnsi"/>
          <w:sz w:val="28"/>
          <w:szCs w:val="28"/>
        </w:rPr>
        <w:t xml:space="preserve">However many barriers still exist in implementing the right to good nutrition in Jordan , and the </w:t>
      </w:r>
      <w:r w:rsidR="00D97DA1">
        <w:rPr>
          <w:rFonts w:cstheme="minorHAnsi"/>
          <w:sz w:val="28"/>
          <w:szCs w:val="28"/>
        </w:rPr>
        <w:t>barriers</w:t>
      </w:r>
      <w:r>
        <w:rPr>
          <w:rFonts w:cstheme="minorHAnsi"/>
          <w:sz w:val="28"/>
          <w:szCs w:val="28"/>
        </w:rPr>
        <w:t xml:space="preserve"> are explained in the  </w:t>
      </w:r>
      <w:r w:rsidR="00D97DA1">
        <w:rPr>
          <w:rFonts w:cstheme="minorHAnsi"/>
          <w:sz w:val="28"/>
          <w:szCs w:val="28"/>
        </w:rPr>
        <w:t>following</w:t>
      </w:r>
      <w:r>
        <w:rPr>
          <w:rFonts w:cstheme="minorHAnsi"/>
          <w:sz w:val="28"/>
          <w:szCs w:val="28"/>
        </w:rPr>
        <w:t xml:space="preserve"> points;</w:t>
      </w:r>
    </w:p>
    <w:p w:rsidR="004C5E03" w:rsidRDefault="00D97DA1" w:rsidP="004C5E03">
      <w:pPr>
        <w:pStyle w:val="ListParagraph"/>
        <w:numPr>
          <w:ilvl w:val="0"/>
          <w:numId w:val="4"/>
        </w:numPr>
        <w:jc w:val="both"/>
        <w:rPr>
          <w:rFonts w:cstheme="minorHAnsi"/>
          <w:sz w:val="28"/>
          <w:szCs w:val="28"/>
        </w:rPr>
      </w:pPr>
      <w:r w:rsidRPr="004C5E03">
        <w:rPr>
          <w:rFonts w:cstheme="minorHAnsi"/>
          <w:sz w:val="28"/>
          <w:szCs w:val="28"/>
        </w:rPr>
        <w:t>Financial and</w:t>
      </w:r>
      <w:r w:rsidR="004C5E03" w:rsidRPr="004C5E03">
        <w:rPr>
          <w:rFonts w:cstheme="minorHAnsi"/>
          <w:sz w:val="28"/>
          <w:szCs w:val="28"/>
        </w:rPr>
        <w:t xml:space="preserve"> </w:t>
      </w:r>
      <w:r w:rsidRPr="004C5E03">
        <w:rPr>
          <w:rFonts w:cstheme="minorHAnsi"/>
          <w:sz w:val="28"/>
          <w:szCs w:val="28"/>
        </w:rPr>
        <w:t>economic</w:t>
      </w:r>
      <w:r w:rsidR="004C5E03" w:rsidRPr="004C5E03">
        <w:rPr>
          <w:rFonts w:cstheme="minorHAnsi"/>
          <w:sz w:val="28"/>
          <w:szCs w:val="28"/>
        </w:rPr>
        <w:t xml:space="preserve"> </w:t>
      </w:r>
      <w:r>
        <w:rPr>
          <w:rFonts w:cstheme="minorHAnsi"/>
          <w:sz w:val="28"/>
          <w:szCs w:val="28"/>
        </w:rPr>
        <w:t>status of families, many families has low income and cannot afford providing their children with health food.</w:t>
      </w:r>
      <w:r w:rsidR="004C5E03">
        <w:rPr>
          <w:rFonts w:cstheme="minorHAnsi"/>
          <w:sz w:val="28"/>
          <w:szCs w:val="28"/>
        </w:rPr>
        <w:t xml:space="preserve"> </w:t>
      </w:r>
    </w:p>
    <w:p w:rsidR="004C5E03" w:rsidRDefault="004C5E03" w:rsidP="004C5E03">
      <w:pPr>
        <w:pStyle w:val="ListParagraph"/>
        <w:numPr>
          <w:ilvl w:val="0"/>
          <w:numId w:val="4"/>
        </w:numPr>
        <w:jc w:val="both"/>
        <w:rPr>
          <w:rFonts w:cstheme="minorHAnsi"/>
          <w:sz w:val="28"/>
          <w:szCs w:val="28"/>
        </w:rPr>
      </w:pPr>
      <w:r>
        <w:rPr>
          <w:rFonts w:cstheme="minorHAnsi"/>
          <w:sz w:val="28"/>
          <w:szCs w:val="28"/>
        </w:rPr>
        <w:t xml:space="preserve">Lack of proper </w:t>
      </w:r>
      <w:r w:rsidR="00D97DA1">
        <w:rPr>
          <w:rFonts w:cstheme="minorHAnsi"/>
          <w:sz w:val="28"/>
          <w:szCs w:val="28"/>
        </w:rPr>
        <w:t xml:space="preserve">and </w:t>
      </w:r>
      <w:r>
        <w:rPr>
          <w:rFonts w:cstheme="minorHAnsi"/>
          <w:sz w:val="28"/>
          <w:szCs w:val="28"/>
        </w:rPr>
        <w:t>quality medications</w:t>
      </w:r>
      <w:r w:rsidR="00D97DA1">
        <w:rPr>
          <w:rFonts w:cstheme="minorHAnsi"/>
          <w:sz w:val="28"/>
          <w:szCs w:val="28"/>
        </w:rPr>
        <w:t>, Iron supplements in general are not available for people and if available they are expensive.</w:t>
      </w:r>
    </w:p>
    <w:p w:rsidR="004C5E03" w:rsidRDefault="004C5E03" w:rsidP="004C5E03">
      <w:pPr>
        <w:pStyle w:val="ListParagraph"/>
        <w:numPr>
          <w:ilvl w:val="0"/>
          <w:numId w:val="4"/>
        </w:numPr>
        <w:jc w:val="both"/>
        <w:rPr>
          <w:rFonts w:cstheme="minorHAnsi"/>
          <w:sz w:val="28"/>
          <w:szCs w:val="28"/>
        </w:rPr>
      </w:pPr>
      <w:r>
        <w:rPr>
          <w:rFonts w:cstheme="minorHAnsi"/>
          <w:sz w:val="28"/>
          <w:szCs w:val="28"/>
        </w:rPr>
        <w:t xml:space="preserve">Cultural and traditional practices </w:t>
      </w:r>
      <w:r w:rsidR="00D97DA1">
        <w:rPr>
          <w:rFonts w:cstheme="minorHAnsi"/>
          <w:sz w:val="28"/>
          <w:szCs w:val="28"/>
        </w:rPr>
        <w:t>, as many cultural practices causes ill nutrition of children,</w:t>
      </w:r>
    </w:p>
    <w:p w:rsidR="004C5E03" w:rsidRDefault="004C5E03" w:rsidP="004C5E03">
      <w:pPr>
        <w:pStyle w:val="ListParagraph"/>
        <w:numPr>
          <w:ilvl w:val="0"/>
          <w:numId w:val="4"/>
        </w:numPr>
        <w:jc w:val="both"/>
        <w:rPr>
          <w:rFonts w:cstheme="minorHAnsi"/>
          <w:sz w:val="28"/>
          <w:szCs w:val="28"/>
        </w:rPr>
      </w:pPr>
      <w:r>
        <w:rPr>
          <w:rFonts w:cstheme="minorHAnsi"/>
          <w:sz w:val="28"/>
          <w:szCs w:val="28"/>
        </w:rPr>
        <w:t xml:space="preserve">Proper food  availability in the Market </w:t>
      </w:r>
    </w:p>
    <w:p w:rsidR="004C5E03" w:rsidRDefault="00371F43" w:rsidP="004C5E03">
      <w:pPr>
        <w:pStyle w:val="ListParagraph"/>
        <w:numPr>
          <w:ilvl w:val="0"/>
          <w:numId w:val="4"/>
        </w:numPr>
        <w:jc w:val="both"/>
        <w:rPr>
          <w:rFonts w:cstheme="minorHAnsi"/>
          <w:sz w:val="28"/>
          <w:szCs w:val="28"/>
        </w:rPr>
      </w:pPr>
      <w:r>
        <w:rPr>
          <w:rFonts w:cstheme="minorHAnsi"/>
          <w:sz w:val="28"/>
          <w:szCs w:val="28"/>
        </w:rPr>
        <w:t xml:space="preserve">Lack of qualified staff in medical centers and </w:t>
      </w:r>
      <w:r w:rsidR="00D97DA1">
        <w:rPr>
          <w:rFonts w:cstheme="minorHAnsi"/>
          <w:sz w:val="28"/>
          <w:szCs w:val="28"/>
        </w:rPr>
        <w:t>hospitals,</w:t>
      </w:r>
      <w:r>
        <w:rPr>
          <w:rFonts w:cstheme="minorHAnsi"/>
          <w:sz w:val="28"/>
          <w:szCs w:val="28"/>
        </w:rPr>
        <w:t xml:space="preserve"> </w:t>
      </w:r>
      <w:r w:rsidR="00D97DA1">
        <w:rPr>
          <w:rFonts w:cstheme="minorHAnsi"/>
          <w:sz w:val="28"/>
          <w:szCs w:val="28"/>
        </w:rPr>
        <w:t>especially</w:t>
      </w:r>
      <w:r>
        <w:rPr>
          <w:rFonts w:cstheme="minorHAnsi"/>
          <w:sz w:val="28"/>
          <w:szCs w:val="28"/>
        </w:rPr>
        <w:t xml:space="preserve"> in rural areas.</w:t>
      </w:r>
    </w:p>
    <w:p w:rsidR="00371F43" w:rsidRDefault="00371F43" w:rsidP="004C5E03">
      <w:pPr>
        <w:pStyle w:val="ListParagraph"/>
        <w:numPr>
          <w:ilvl w:val="0"/>
          <w:numId w:val="4"/>
        </w:numPr>
        <w:jc w:val="both"/>
        <w:rPr>
          <w:rFonts w:cstheme="minorHAnsi"/>
          <w:sz w:val="28"/>
          <w:szCs w:val="28"/>
        </w:rPr>
      </w:pPr>
      <w:r>
        <w:rPr>
          <w:rFonts w:cstheme="minorHAnsi"/>
          <w:sz w:val="28"/>
          <w:szCs w:val="28"/>
        </w:rPr>
        <w:t xml:space="preserve">Lack of nutritionists and pediatrics in most of the health </w:t>
      </w:r>
      <w:r w:rsidR="00D97DA1">
        <w:rPr>
          <w:rFonts w:cstheme="minorHAnsi"/>
          <w:sz w:val="28"/>
          <w:szCs w:val="28"/>
        </w:rPr>
        <w:t>centers</w:t>
      </w:r>
      <w:r>
        <w:rPr>
          <w:rFonts w:cstheme="minorHAnsi"/>
          <w:sz w:val="28"/>
          <w:szCs w:val="28"/>
        </w:rPr>
        <w:t xml:space="preserve"> in jordan </w:t>
      </w:r>
    </w:p>
    <w:p w:rsidR="00371F43" w:rsidRDefault="00371F43" w:rsidP="004C5E03">
      <w:pPr>
        <w:pStyle w:val="ListParagraph"/>
        <w:numPr>
          <w:ilvl w:val="0"/>
          <w:numId w:val="4"/>
        </w:numPr>
        <w:jc w:val="both"/>
        <w:rPr>
          <w:rFonts w:cstheme="minorHAnsi"/>
          <w:sz w:val="28"/>
          <w:szCs w:val="28"/>
        </w:rPr>
      </w:pPr>
      <w:r>
        <w:rPr>
          <w:rFonts w:cstheme="minorHAnsi"/>
          <w:sz w:val="28"/>
          <w:szCs w:val="28"/>
        </w:rPr>
        <w:t xml:space="preserve">Lack of awareness among families in regard to health and nutritional aspects </w:t>
      </w:r>
      <w:r w:rsidR="00D97DA1">
        <w:rPr>
          <w:rFonts w:cstheme="minorHAnsi"/>
          <w:sz w:val="28"/>
          <w:szCs w:val="28"/>
        </w:rPr>
        <w:t xml:space="preserve">, and this is one of the most significant factors , that have a long term impact on children’s health </w:t>
      </w:r>
    </w:p>
    <w:p w:rsidR="00371F43" w:rsidRDefault="00371F43" w:rsidP="004C5E03">
      <w:pPr>
        <w:pStyle w:val="ListParagraph"/>
        <w:numPr>
          <w:ilvl w:val="0"/>
          <w:numId w:val="4"/>
        </w:numPr>
        <w:jc w:val="both"/>
        <w:rPr>
          <w:rFonts w:cstheme="minorHAnsi"/>
          <w:sz w:val="28"/>
          <w:szCs w:val="28"/>
        </w:rPr>
      </w:pPr>
      <w:r>
        <w:rPr>
          <w:rFonts w:cstheme="minorHAnsi"/>
          <w:sz w:val="28"/>
          <w:szCs w:val="28"/>
        </w:rPr>
        <w:t>Illiteracy level and education</w:t>
      </w:r>
      <w:r w:rsidR="00D97DA1">
        <w:rPr>
          <w:rFonts w:cstheme="minorHAnsi"/>
          <w:sz w:val="28"/>
          <w:szCs w:val="28"/>
        </w:rPr>
        <w:t>al level among families.</w:t>
      </w:r>
    </w:p>
    <w:p w:rsidR="002E4986" w:rsidRDefault="002E4986" w:rsidP="004C5E03">
      <w:pPr>
        <w:pStyle w:val="ListParagraph"/>
        <w:numPr>
          <w:ilvl w:val="0"/>
          <w:numId w:val="4"/>
        </w:numPr>
        <w:jc w:val="both"/>
        <w:rPr>
          <w:rFonts w:cstheme="minorHAnsi"/>
          <w:sz w:val="28"/>
          <w:szCs w:val="28"/>
        </w:rPr>
      </w:pPr>
      <w:r>
        <w:rPr>
          <w:rFonts w:cstheme="minorHAnsi"/>
          <w:sz w:val="28"/>
          <w:szCs w:val="28"/>
        </w:rPr>
        <w:t xml:space="preserve">Lack of statistical date on malnutrition </w:t>
      </w:r>
    </w:p>
    <w:p w:rsidR="002E4986" w:rsidRDefault="002E4986" w:rsidP="004C5E03">
      <w:pPr>
        <w:pStyle w:val="ListParagraph"/>
        <w:numPr>
          <w:ilvl w:val="0"/>
          <w:numId w:val="4"/>
        </w:numPr>
        <w:jc w:val="both"/>
        <w:rPr>
          <w:rFonts w:cstheme="minorHAnsi"/>
          <w:sz w:val="28"/>
          <w:szCs w:val="28"/>
        </w:rPr>
      </w:pPr>
      <w:r>
        <w:rPr>
          <w:rFonts w:cstheme="minorHAnsi"/>
          <w:sz w:val="28"/>
          <w:szCs w:val="28"/>
        </w:rPr>
        <w:t xml:space="preserve">Need to improve legislation for the right to health </w:t>
      </w:r>
    </w:p>
    <w:p w:rsidR="00371F43" w:rsidRDefault="00371F43" w:rsidP="00371F43">
      <w:pPr>
        <w:jc w:val="both"/>
        <w:rPr>
          <w:rFonts w:cstheme="minorHAnsi"/>
          <w:sz w:val="28"/>
          <w:szCs w:val="28"/>
        </w:rPr>
      </w:pPr>
    </w:p>
    <w:p w:rsidR="00371F43" w:rsidRDefault="00D97DA1" w:rsidP="00371F43">
      <w:pPr>
        <w:jc w:val="both"/>
        <w:rPr>
          <w:rFonts w:cstheme="minorHAnsi"/>
          <w:sz w:val="28"/>
          <w:szCs w:val="28"/>
        </w:rPr>
      </w:pPr>
      <w:r>
        <w:rPr>
          <w:rFonts w:cstheme="minorHAnsi"/>
          <w:sz w:val="28"/>
          <w:szCs w:val="28"/>
        </w:rPr>
        <w:t>As For SC j</w:t>
      </w:r>
      <w:r w:rsidR="00371F43">
        <w:rPr>
          <w:rFonts w:cstheme="minorHAnsi"/>
          <w:sz w:val="28"/>
          <w:szCs w:val="28"/>
        </w:rPr>
        <w:t xml:space="preserve">ordan , the </w:t>
      </w:r>
      <w:r w:rsidR="00371F43" w:rsidRPr="00371F43">
        <w:rPr>
          <w:rFonts w:cstheme="minorHAnsi"/>
          <w:sz w:val="28"/>
          <w:szCs w:val="28"/>
        </w:rPr>
        <w:t>“Combating Anemia</w:t>
      </w:r>
      <w:r w:rsidR="00371F43">
        <w:rPr>
          <w:rFonts w:cstheme="minorHAnsi"/>
          <w:sz w:val="28"/>
          <w:szCs w:val="28"/>
        </w:rPr>
        <w:t xml:space="preserve"> Campaign” had worked on the protection and prevention level , which means that the campaign is an </w:t>
      </w:r>
      <w:r>
        <w:rPr>
          <w:rFonts w:cstheme="minorHAnsi"/>
          <w:sz w:val="28"/>
          <w:szCs w:val="28"/>
        </w:rPr>
        <w:t>example</w:t>
      </w:r>
      <w:r w:rsidR="00371F43">
        <w:rPr>
          <w:rFonts w:cstheme="minorHAnsi"/>
          <w:sz w:val="28"/>
          <w:szCs w:val="28"/>
        </w:rPr>
        <w:t xml:space="preserve"> of  good practices to promote the right to health , as the campaign provides awareness sessions for mothers on the proper nutritional practices for a better nutritional balance and also the campaign provides Screening and then treatment of Anemic cases and follow up for such cases.</w:t>
      </w:r>
    </w:p>
    <w:p w:rsidR="00371F43" w:rsidRPr="00371F43" w:rsidRDefault="00371F43" w:rsidP="00371F43">
      <w:pPr>
        <w:jc w:val="both"/>
        <w:rPr>
          <w:rFonts w:cstheme="minorHAnsi"/>
          <w:sz w:val="28"/>
          <w:szCs w:val="28"/>
        </w:rPr>
      </w:pPr>
      <w:r w:rsidRPr="00371F43">
        <w:rPr>
          <w:rFonts w:cstheme="minorHAnsi"/>
          <w:sz w:val="28"/>
          <w:szCs w:val="28"/>
        </w:rPr>
        <w:t xml:space="preserve">After the screening, Doctors review patients diagnosed with Anemia files and the advanced medical test results tests individually and prescribes the most convenient therapy; either Iron Supplements or to advise beneficiaries to follow </w:t>
      </w:r>
      <w:r w:rsidRPr="00371F43">
        <w:rPr>
          <w:rFonts w:cstheme="minorHAnsi"/>
          <w:sz w:val="28"/>
          <w:szCs w:val="28"/>
        </w:rPr>
        <w:lastRenderedPageBreak/>
        <w:t xml:space="preserve">instructions given by the nutritionist on the day and follow the recipes provided to them by Save the Children. </w:t>
      </w:r>
    </w:p>
    <w:p w:rsidR="00371F43" w:rsidRPr="00371F43" w:rsidRDefault="00371F43" w:rsidP="00371F43">
      <w:pPr>
        <w:jc w:val="both"/>
        <w:rPr>
          <w:rFonts w:cstheme="minorHAnsi"/>
          <w:sz w:val="28"/>
          <w:szCs w:val="28"/>
        </w:rPr>
      </w:pPr>
      <w:r>
        <w:rPr>
          <w:rFonts w:cstheme="minorHAnsi"/>
          <w:sz w:val="28"/>
          <w:szCs w:val="28"/>
        </w:rPr>
        <w:t xml:space="preserve">Medical stakeholders, who are partners in the campaign, </w:t>
      </w:r>
      <w:r w:rsidRPr="00371F43">
        <w:rPr>
          <w:rFonts w:cstheme="minorHAnsi"/>
          <w:sz w:val="28"/>
          <w:szCs w:val="28"/>
        </w:rPr>
        <w:t>Prepare prescribed supplements as requested by the Doctor on site for the Anemia team to provide the patients with.</w:t>
      </w:r>
    </w:p>
    <w:p w:rsidR="00371F43" w:rsidRPr="00371F43" w:rsidRDefault="00371F43" w:rsidP="00371F43">
      <w:pPr>
        <w:jc w:val="both"/>
        <w:rPr>
          <w:rFonts w:cstheme="minorHAnsi"/>
          <w:sz w:val="28"/>
          <w:szCs w:val="28"/>
        </w:rPr>
      </w:pPr>
      <w:r w:rsidRPr="00371F43">
        <w:rPr>
          <w:rFonts w:cstheme="minorHAnsi"/>
          <w:sz w:val="28"/>
          <w:szCs w:val="28"/>
        </w:rPr>
        <w:t>For each patient there are at least 3-6 follow up appointments according to the Doctors diagnosis.</w:t>
      </w:r>
    </w:p>
    <w:p w:rsidR="00822F25" w:rsidRPr="002E4986" w:rsidRDefault="00371F43" w:rsidP="002E4986">
      <w:pPr>
        <w:jc w:val="both"/>
        <w:rPr>
          <w:rFonts w:cstheme="minorHAnsi"/>
          <w:sz w:val="28"/>
          <w:szCs w:val="28"/>
        </w:rPr>
      </w:pPr>
      <w:r w:rsidRPr="00371F43">
        <w:rPr>
          <w:rFonts w:cstheme="minorHAnsi"/>
          <w:sz w:val="28"/>
          <w:szCs w:val="28"/>
        </w:rPr>
        <w:t>Each follow up includes: handing supplements enough for 1 month, nutritional focus groups, surveys, in addition to doctor assessment and follow up tests</w:t>
      </w:r>
      <w:r w:rsidR="002E4986">
        <w:rPr>
          <w:rFonts w:cstheme="minorHAnsi"/>
          <w:sz w:val="28"/>
          <w:szCs w:val="28"/>
        </w:rPr>
        <w:t>.</w:t>
      </w:r>
    </w:p>
    <w:p w:rsidR="00822F25" w:rsidRPr="00371F43" w:rsidRDefault="00822F25" w:rsidP="00822F25">
      <w:pPr>
        <w:jc w:val="both"/>
        <w:rPr>
          <w:rFonts w:cstheme="minorHAnsi"/>
          <w:sz w:val="28"/>
          <w:szCs w:val="28"/>
        </w:rPr>
      </w:pPr>
    </w:p>
    <w:p w:rsidR="00822F25" w:rsidRPr="00822F25" w:rsidRDefault="00D97DA1" w:rsidP="00822F25">
      <w:pPr>
        <w:jc w:val="both"/>
        <w:rPr>
          <w:rFonts w:cstheme="minorHAnsi"/>
          <w:sz w:val="28"/>
          <w:szCs w:val="28"/>
        </w:rPr>
      </w:pPr>
      <w:r>
        <w:rPr>
          <w:rFonts w:cstheme="minorHAnsi"/>
          <w:sz w:val="28"/>
          <w:szCs w:val="28"/>
        </w:rPr>
        <w:t>Moreover, SC Jordan has its own protection policies when dealing with children, as each medical personal involved in providing health services for children is obliged to sign a protection policy that guarantees the safety of the child in need. And parents also are respected and treated in dignity, as each parents has to be fully agreed on taking part in this campaign and participating the awareness sessions of the campaign.</w:t>
      </w:r>
    </w:p>
    <w:sectPr w:rsidR="00822F25" w:rsidRPr="00822F2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6B" w:rsidRDefault="0083066B" w:rsidP="00750680">
      <w:pPr>
        <w:spacing w:after="0" w:line="240" w:lineRule="auto"/>
      </w:pPr>
      <w:r>
        <w:separator/>
      </w:r>
    </w:p>
  </w:endnote>
  <w:endnote w:type="continuationSeparator" w:id="0">
    <w:p w:rsidR="0083066B" w:rsidRDefault="0083066B" w:rsidP="007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419775"/>
      <w:docPartObj>
        <w:docPartGallery w:val="Page Numbers (Bottom of Page)"/>
        <w:docPartUnique/>
      </w:docPartObj>
    </w:sdtPr>
    <w:sdtEndPr>
      <w:rPr>
        <w:noProof/>
      </w:rPr>
    </w:sdtEndPr>
    <w:sdtContent>
      <w:p w:rsidR="00CA663C" w:rsidRDefault="00CA663C">
        <w:pPr>
          <w:pStyle w:val="Footer"/>
          <w:jc w:val="center"/>
        </w:pPr>
        <w:r>
          <w:fldChar w:fldCharType="begin"/>
        </w:r>
        <w:r>
          <w:instrText xml:space="preserve"> PAGE   \* MERGEFORMAT </w:instrText>
        </w:r>
        <w:r>
          <w:fldChar w:fldCharType="separate"/>
        </w:r>
        <w:r w:rsidR="005F7ACA">
          <w:rPr>
            <w:noProof/>
          </w:rPr>
          <w:t>1</w:t>
        </w:r>
        <w:r>
          <w:rPr>
            <w:noProof/>
          </w:rPr>
          <w:fldChar w:fldCharType="end"/>
        </w:r>
      </w:p>
    </w:sdtContent>
  </w:sdt>
  <w:p w:rsidR="00CA663C" w:rsidRDefault="00CA6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6B" w:rsidRDefault="0083066B" w:rsidP="00750680">
      <w:pPr>
        <w:spacing w:after="0" w:line="240" w:lineRule="auto"/>
      </w:pPr>
      <w:r>
        <w:separator/>
      </w:r>
    </w:p>
  </w:footnote>
  <w:footnote w:type="continuationSeparator" w:id="0">
    <w:p w:rsidR="0083066B" w:rsidRDefault="0083066B" w:rsidP="00750680">
      <w:pPr>
        <w:spacing w:after="0" w:line="240" w:lineRule="auto"/>
      </w:pPr>
      <w:r>
        <w:continuationSeparator/>
      </w:r>
    </w:p>
  </w:footnote>
  <w:footnote w:id="1">
    <w:p w:rsidR="00750680" w:rsidRDefault="00750680" w:rsidP="00750680">
      <w:pPr>
        <w:spacing w:line="480" w:lineRule="auto"/>
        <w:ind w:right="360"/>
        <w:jc w:val="lowKashida"/>
      </w:pPr>
    </w:p>
    <w:p w:rsidR="00750680" w:rsidRDefault="00750680" w:rsidP="00750680">
      <w:pPr>
        <w:spacing w:line="480" w:lineRule="auto"/>
        <w:ind w:right="360"/>
        <w:jc w:val="lowKashida"/>
        <w:rPr>
          <w:lang w:bidi="ar-JO"/>
        </w:rPr>
      </w:pPr>
      <w:r>
        <w:rPr>
          <w:rStyle w:val="FootnoteReference"/>
        </w:rPr>
        <w:footnoteRef/>
      </w:r>
      <w:r>
        <w:t xml:space="preserve"> </w:t>
      </w:r>
      <w:r>
        <w:rPr>
          <w:sz w:val="20"/>
          <w:szCs w:val="20"/>
        </w:rPr>
        <w:t>Ibid.,</w:t>
      </w:r>
      <w:r>
        <w:rPr>
          <w:sz w:val="20"/>
          <w:szCs w:val="20"/>
          <w:rtl/>
        </w:rPr>
        <w:t xml:space="preserve"> </w:t>
      </w:r>
      <w:r>
        <w:rPr>
          <w:sz w:val="20"/>
          <w:szCs w:val="20"/>
          <w:lang w:bidi="ar-JO"/>
        </w:rPr>
        <w:t>CESCR General Comment 14,para 9 and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86" w:rsidRDefault="002E4986" w:rsidP="002E4986">
    <w:pPr>
      <w:pStyle w:val="Header"/>
      <w:jc w:val="right"/>
    </w:pPr>
    <w:r>
      <w:rPr>
        <w:noProof/>
        <w:lang w:val="en-GB" w:eastAsia="en-GB"/>
      </w:rPr>
      <w:drawing>
        <wp:inline distT="0" distB="0" distL="0" distR="0" wp14:anchorId="6C9DD39A">
          <wp:extent cx="2066925" cy="4330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330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04F1"/>
    <w:multiLevelType w:val="hybridMultilevel"/>
    <w:tmpl w:val="8A4E7122"/>
    <w:lvl w:ilvl="0" w:tplc="BB80BE26">
      <w:start w:val="1"/>
      <w:numFmt w:val="bullet"/>
      <w:lvlText w:val="•"/>
      <w:lvlJc w:val="left"/>
      <w:pPr>
        <w:tabs>
          <w:tab w:val="num" w:pos="720"/>
        </w:tabs>
        <w:ind w:left="720" w:hanging="360"/>
      </w:pPr>
      <w:rPr>
        <w:rFonts w:ascii="Arial" w:hAnsi="Arial" w:hint="default"/>
      </w:rPr>
    </w:lvl>
    <w:lvl w:ilvl="1" w:tplc="5D7E18C4" w:tentative="1">
      <w:start w:val="1"/>
      <w:numFmt w:val="bullet"/>
      <w:lvlText w:val="•"/>
      <w:lvlJc w:val="left"/>
      <w:pPr>
        <w:tabs>
          <w:tab w:val="num" w:pos="1440"/>
        </w:tabs>
        <w:ind w:left="1440" w:hanging="360"/>
      </w:pPr>
      <w:rPr>
        <w:rFonts w:ascii="Arial" w:hAnsi="Arial" w:hint="default"/>
      </w:rPr>
    </w:lvl>
    <w:lvl w:ilvl="2" w:tplc="67580B1C" w:tentative="1">
      <w:start w:val="1"/>
      <w:numFmt w:val="bullet"/>
      <w:lvlText w:val="•"/>
      <w:lvlJc w:val="left"/>
      <w:pPr>
        <w:tabs>
          <w:tab w:val="num" w:pos="2160"/>
        </w:tabs>
        <w:ind w:left="2160" w:hanging="360"/>
      </w:pPr>
      <w:rPr>
        <w:rFonts w:ascii="Arial" w:hAnsi="Arial" w:hint="default"/>
      </w:rPr>
    </w:lvl>
    <w:lvl w:ilvl="3" w:tplc="9C3073AE" w:tentative="1">
      <w:start w:val="1"/>
      <w:numFmt w:val="bullet"/>
      <w:lvlText w:val="•"/>
      <w:lvlJc w:val="left"/>
      <w:pPr>
        <w:tabs>
          <w:tab w:val="num" w:pos="2880"/>
        </w:tabs>
        <w:ind w:left="2880" w:hanging="360"/>
      </w:pPr>
      <w:rPr>
        <w:rFonts w:ascii="Arial" w:hAnsi="Arial" w:hint="default"/>
      </w:rPr>
    </w:lvl>
    <w:lvl w:ilvl="4" w:tplc="69369A32" w:tentative="1">
      <w:start w:val="1"/>
      <w:numFmt w:val="bullet"/>
      <w:lvlText w:val="•"/>
      <w:lvlJc w:val="left"/>
      <w:pPr>
        <w:tabs>
          <w:tab w:val="num" w:pos="3600"/>
        </w:tabs>
        <w:ind w:left="3600" w:hanging="360"/>
      </w:pPr>
      <w:rPr>
        <w:rFonts w:ascii="Arial" w:hAnsi="Arial" w:hint="default"/>
      </w:rPr>
    </w:lvl>
    <w:lvl w:ilvl="5" w:tplc="0616E9DA" w:tentative="1">
      <w:start w:val="1"/>
      <w:numFmt w:val="bullet"/>
      <w:lvlText w:val="•"/>
      <w:lvlJc w:val="left"/>
      <w:pPr>
        <w:tabs>
          <w:tab w:val="num" w:pos="4320"/>
        </w:tabs>
        <w:ind w:left="4320" w:hanging="360"/>
      </w:pPr>
      <w:rPr>
        <w:rFonts w:ascii="Arial" w:hAnsi="Arial" w:hint="default"/>
      </w:rPr>
    </w:lvl>
    <w:lvl w:ilvl="6" w:tplc="EE501B70" w:tentative="1">
      <w:start w:val="1"/>
      <w:numFmt w:val="bullet"/>
      <w:lvlText w:val="•"/>
      <w:lvlJc w:val="left"/>
      <w:pPr>
        <w:tabs>
          <w:tab w:val="num" w:pos="5040"/>
        </w:tabs>
        <w:ind w:left="5040" w:hanging="360"/>
      </w:pPr>
      <w:rPr>
        <w:rFonts w:ascii="Arial" w:hAnsi="Arial" w:hint="default"/>
      </w:rPr>
    </w:lvl>
    <w:lvl w:ilvl="7" w:tplc="E9065080" w:tentative="1">
      <w:start w:val="1"/>
      <w:numFmt w:val="bullet"/>
      <w:lvlText w:val="•"/>
      <w:lvlJc w:val="left"/>
      <w:pPr>
        <w:tabs>
          <w:tab w:val="num" w:pos="5760"/>
        </w:tabs>
        <w:ind w:left="5760" w:hanging="360"/>
      </w:pPr>
      <w:rPr>
        <w:rFonts w:ascii="Arial" w:hAnsi="Arial" w:hint="default"/>
      </w:rPr>
    </w:lvl>
    <w:lvl w:ilvl="8" w:tplc="C6CAB1D0" w:tentative="1">
      <w:start w:val="1"/>
      <w:numFmt w:val="bullet"/>
      <w:lvlText w:val="•"/>
      <w:lvlJc w:val="left"/>
      <w:pPr>
        <w:tabs>
          <w:tab w:val="num" w:pos="6480"/>
        </w:tabs>
        <w:ind w:left="6480" w:hanging="360"/>
      </w:pPr>
      <w:rPr>
        <w:rFonts w:ascii="Arial" w:hAnsi="Arial" w:hint="default"/>
      </w:rPr>
    </w:lvl>
  </w:abstractNum>
  <w:abstractNum w:abstractNumId="1">
    <w:nsid w:val="30212AD5"/>
    <w:multiLevelType w:val="hybridMultilevel"/>
    <w:tmpl w:val="EE16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8003D"/>
    <w:multiLevelType w:val="hybridMultilevel"/>
    <w:tmpl w:val="A0066D96"/>
    <w:lvl w:ilvl="0" w:tplc="43383FB0">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EB2772C"/>
    <w:multiLevelType w:val="hybridMultilevel"/>
    <w:tmpl w:val="6DF26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7A54D8C"/>
    <w:multiLevelType w:val="hybridMultilevel"/>
    <w:tmpl w:val="8B1E9756"/>
    <w:lvl w:ilvl="0" w:tplc="50B0D65E">
      <w:start w:val="1"/>
      <w:numFmt w:val="bullet"/>
      <w:lvlText w:val="•"/>
      <w:lvlJc w:val="left"/>
      <w:pPr>
        <w:tabs>
          <w:tab w:val="num" w:pos="720"/>
        </w:tabs>
        <w:ind w:left="720" w:hanging="360"/>
      </w:pPr>
      <w:rPr>
        <w:rFonts w:ascii="Arial" w:hAnsi="Arial" w:hint="default"/>
      </w:rPr>
    </w:lvl>
    <w:lvl w:ilvl="1" w:tplc="7E2A8A58" w:tentative="1">
      <w:start w:val="1"/>
      <w:numFmt w:val="bullet"/>
      <w:lvlText w:val="•"/>
      <w:lvlJc w:val="left"/>
      <w:pPr>
        <w:tabs>
          <w:tab w:val="num" w:pos="1440"/>
        </w:tabs>
        <w:ind w:left="1440" w:hanging="360"/>
      </w:pPr>
      <w:rPr>
        <w:rFonts w:ascii="Arial" w:hAnsi="Arial" w:hint="default"/>
      </w:rPr>
    </w:lvl>
    <w:lvl w:ilvl="2" w:tplc="FC307EEA" w:tentative="1">
      <w:start w:val="1"/>
      <w:numFmt w:val="bullet"/>
      <w:lvlText w:val="•"/>
      <w:lvlJc w:val="left"/>
      <w:pPr>
        <w:tabs>
          <w:tab w:val="num" w:pos="2160"/>
        </w:tabs>
        <w:ind w:left="2160" w:hanging="360"/>
      </w:pPr>
      <w:rPr>
        <w:rFonts w:ascii="Arial" w:hAnsi="Arial" w:hint="default"/>
      </w:rPr>
    </w:lvl>
    <w:lvl w:ilvl="3" w:tplc="641C1476" w:tentative="1">
      <w:start w:val="1"/>
      <w:numFmt w:val="bullet"/>
      <w:lvlText w:val="•"/>
      <w:lvlJc w:val="left"/>
      <w:pPr>
        <w:tabs>
          <w:tab w:val="num" w:pos="2880"/>
        </w:tabs>
        <w:ind w:left="2880" w:hanging="360"/>
      </w:pPr>
      <w:rPr>
        <w:rFonts w:ascii="Arial" w:hAnsi="Arial" w:hint="default"/>
      </w:rPr>
    </w:lvl>
    <w:lvl w:ilvl="4" w:tplc="5E4CF97A" w:tentative="1">
      <w:start w:val="1"/>
      <w:numFmt w:val="bullet"/>
      <w:lvlText w:val="•"/>
      <w:lvlJc w:val="left"/>
      <w:pPr>
        <w:tabs>
          <w:tab w:val="num" w:pos="3600"/>
        </w:tabs>
        <w:ind w:left="3600" w:hanging="360"/>
      </w:pPr>
      <w:rPr>
        <w:rFonts w:ascii="Arial" w:hAnsi="Arial" w:hint="default"/>
      </w:rPr>
    </w:lvl>
    <w:lvl w:ilvl="5" w:tplc="4D20313C" w:tentative="1">
      <w:start w:val="1"/>
      <w:numFmt w:val="bullet"/>
      <w:lvlText w:val="•"/>
      <w:lvlJc w:val="left"/>
      <w:pPr>
        <w:tabs>
          <w:tab w:val="num" w:pos="4320"/>
        </w:tabs>
        <w:ind w:left="4320" w:hanging="360"/>
      </w:pPr>
      <w:rPr>
        <w:rFonts w:ascii="Arial" w:hAnsi="Arial" w:hint="default"/>
      </w:rPr>
    </w:lvl>
    <w:lvl w:ilvl="6" w:tplc="3B1AC6B4" w:tentative="1">
      <w:start w:val="1"/>
      <w:numFmt w:val="bullet"/>
      <w:lvlText w:val="•"/>
      <w:lvlJc w:val="left"/>
      <w:pPr>
        <w:tabs>
          <w:tab w:val="num" w:pos="5040"/>
        </w:tabs>
        <w:ind w:left="5040" w:hanging="360"/>
      </w:pPr>
      <w:rPr>
        <w:rFonts w:ascii="Arial" w:hAnsi="Arial" w:hint="default"/>
      </w:rPr>
    </w:lvl>
    <w:lvl w:ilvl="7" w:tplc="67DCFAE6" w:tentative="1">
      <w:start w:val="1"/>
      <w:numFmt w:val="bullet"/>
      <w:lvlText w:val="•"/>
      <w:lvlJc w:val="left"/>
      <w:pPr>
        <w:tabs>
          <w:tab w:val="num" w:pos="5760"/>
        </w:tabs>
        <w:ind w:left="5760" w:hanging="360"/>
      </w:pPr>
      <w:rPr>
        <w:rFonts w:ascii="Arial" w:hAnsi="Arial" w:hint="default"/>
      </w:rPr>
    </w:lvl>
    <w:lvl w:ilvl="8" w:tplc="08B8D81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BF"/>
    <w:rsid w:val="002E4986"/>
    <w:rsid w:val="00371F43"/>
    <w:rsid w:val="004C5E03"/>
    <w:rsid w:val="00586CBF"/>
    <w:rsid w:val="005F7ACA"/>
    <w:rsid w:val="006C4FBF"/>
    <w:rsid w:val="00750680"/>
    <w:rsid w:val="00822F25"/>
    <w:rsid w:val="0083066B"/>
    <w:rsid w:val="00AE491E"/>
    <w:rsid w:val="00CA663C"/>
    <w:rsid w:val="00D97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750680"/>
    <w:rPr>
      <w:vertAlign w:val="superscript"/>
    </w:rPr>
  </w:style>
  <w:style w:type="paragraph" w:styleId="ListParagraph">
    <w:name w:val="List Paragraph"/>
    <w:basedOn w:val="Normal"/>
    <w:uiPriority w:val="34"/>
    <w:qFormat/>
    <w:rsid w:val="004C5E03"/>
    <w:pPr>
      <w:ind w:left="720"/>
      <w:contextualSpacing/>
    </w:pPr>
  </w:style>
  <w:style w:type="paragraph" w:styleId="BalloonText">
    <w:name w:val="Balloon Text"/>
    <w:basedOn w:val="Normal"/>
    <w:link w:val="BalloonTextChar"/>
    <w:uiPriority w:val="99"/>
    <w:semiHidden/>
    <w:unhideWhenUsed/>
    <w:rsid w:val="00371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43"/>
    <w:rPr>
      <w:rFonts w:ascii="Tahoma" w:hAnsi="Tahoma" w:cs="Tahoma"/>
      <w:sz w:val="16"/>
      <w:szCs w:val="16"/>
    </w:rPr>
  </w:style>
  <w:style w:type="paragraph" w:styleId="IntenseQuote">
    <w:name w:val="Intense Quote"/>
    <w:basedOn w:val="Normal"/>
    <w:next w:val="Normal"/>
    <w:link w:val="IntenseQuoteChar"/>
    <w:uiPriority w:val="30"/>
    <w:qFormat/>
    <w:rsid w:val="002E49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4986"/>
    <w:rPr>
      <w:b/>
      <w:bCs/>
      <w:i/>
      <w:iCs/>
      <w:color w:val="4F81BD" w:themeColor="accent1"/>
    </w:rPr>
  </w:style>
  <w:style w:type="character" w:styleId="Hyperlink">
    <w:name w:val="Hyperlink"/>
    <w:basedOn w:val="DefaultParagraphFont"/>
    <w:uiPriority w:val="99"/>
    <w:unhideWhenUsed/>
    <w:rsid w:val="002E4986"/>
    <w:rPr>
      <w:color w:val="0000FF" w:themeColor="hyperlink"/>
      <w:u w:val="single"/>
    </w:rPr>
  </w:style>
  <w:style w:type="paragraph" w:styleId="Header">
    <w:name w:val="header"/>
    <w:basedOn w:val="Normal"/>
    <w:link w:val="HeaderChar"/>
    <w:uiPriority w:val="99"/>
    <w:unhideWhenUsed/>
    <w:rsid w:val="002E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986"/>
  </w:style>
  <w:style w:type="paragraph" w:styleId="Footer">
    <w:name w:val="footer"/>
    <w:basedOn w:val="Normal"/>
    <w:link w:val="FooterChar"/>
    <w:uiPriority w:val="99"/>
    <w:unhideWhenUsed/>
    <w:rsid w:val="002E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750680"/>
    <w:rPr>
      <w:vertAlign w:val="superscript"/>
    </w:rPr>
  </w:style>
  <w:style w:type="paragraph" w:styleId="ListParagraph">
    <w:name w:val="List Paragraph"/>
    <w:basedOn w:val="Normal"/>
    <w:uiPriority w:val="34"/>
    <w:qFormat/>
    <w:rsid w:val="004C5E03"/>
    <w:pPr>
      <w:ind w:left="720"/>
      <w:contextualSpacing/>
    </w:pPr>
  </w:style>
  <w:style w:type="paragraph" w:styleId="BalloonText">
    <w:name w:val="Balloon Text"/>
    <w:basedOn w:val="Normal"/>
    <w:link w:val="BalloonTextChar"/>
    <w:uiPriority w:val="99"/>
    <w:semiHidden/>
    <w:unhideWhenUsed/>
    <w:rsid w:val="00371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43"/>
    <w:rPr>
      <w:rFonts w:ascii="Tahoma" w:hAnsi="Tahoma" w:cs="Tahoma"/>
      <w:sz w:val="16"/>
      <w:szCs w:val="16"/>
    </w:rPr>
  </w:style>
  <w:style w:type="paragraph" w:styleId="IntenseQuote">
    <w:name w:val="Intense Quote"/>
    <w:basedOn w:val="Normal"/>
    <w:next w:val="Normal"/>
    <w:link w:val="IntenseQuoteChar"/>
    <w:uiPriority w:val="30"/>
    <w:qFormat/>
    <w:rsid w:val="002E49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4986"/>
    <w:rPr>
      <w:b/>
      <w:bCs/>
      <w:i/>
      <w:iCs/>
      <w:color w:val="4F81BD" w:themeColor="accent1"/>
    </w:rPr>
  </w:style>
  <w:style w:type="character" w:styleId="Hyperlink">
    <w:name w:val="Hyperlink"/>
    <w:basedOn w:val="DefaultParagraphFont"/>
    <w:uiPriority w:val="99"/>
    <w:unhideWhenUsed/>
    <w:rsid w:val="002E4986"/>
    <w:rPr>
      <w:color w:val="0000FF" w:themeColor="hyperlink"/>
      <w:u w:val="single"/>
    </w:rPr>
  </w:style>
  <w:style w:type="paragraph" w:styleId="Header">
    <w:name w:val="header"/>
    <w:basedOn w:val="Normal"/>
    <w:link w:val="HeaderChar"/>
    <w:uiPriority w:val="99"/>
    <w:unhideWhenUsed/>
    <w:rsid w:val="002E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986"/>
  </w:style>
  <w:style w:type="paragraph" w:styleId="Footer">
    <w:name w:val="footer"/>
    <w:basedOn w:val="Normal"/>
    <w:link w:val="FooterChar"/>
    <w:uiPriority w:val="99"/>
    <w:unhideWhenUsed/>
    <w:rsid w:val="002E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81160">
      <w:bodyDiv w:val="1"/>
      <w:marLeft w:val="0"/>
      <w:marRight w:val="0"/>
      <w:marTop w:val="0"/>
      <w:marBottom w:val="0"/>
      <w:divBdr>
        <w:top w:val="none" w:sz="0" w:space="0" w:color="auto"/>
        <w:left w:val="none" w:sz="0" w:space="0" w:color="auto"/>
        <w:bottom w:val="none" w:sz="0" w:space="0" w:color="auto"/>
        <w:right w:val="none" w:sz="0" w:space="0" w:color="auto"/>
      </w:divBdr>
    </w:div>
    <w:div w:id="1285191269">
      <w:bodyDiv w:val="1"/>
      <w:marLeft w:val="0"/>
      <w:marRight w:val="0"/>
      <w:marTop w:val="0"/>
      <w:marBottom w:val="0"/>
      <w:divBdr>
        <w:top w:val="none" w:sz="0" w:space="0" w:color="auto"/>
        <w:left w:val="none" w:sz="0" w:space="0" w:color="auto"/>
        <w:bottom w:val="none" w:sz="0" w:space="0" w:color="auto"/>
        <w:right w:val="none" w:sz="0" w:space="0" w:color="auto"/>
      </w:divBdr>
      <w:divsChild>
        <w:div w:id="53745236">
          <w:marLeft w:val="1642"/>
          <w:marRight w:val="0"/>
          <w:marTop w:val="0"/>
          <w:marBottom w:val="0"/>
          <w:divBdr>
            <w:top w:val="none" w:sz="0" w:space="0" w:color="auto"/>
            <w:left w:val="none" w:sz="0" w:space="0" w:color="auto"/>
            <w:bottom w:val="none" w:sz="0" w:space="0" w:color="auto"/>
            <w:right w:val="none" w:sz="0" w:space="0" w:color="auto"/>
          </w:divBdr>
        </w:div>
        <w:div w:id="1695768953">
          <w:marLeft w:val="1728"/>
          <w:marRight w:val="0"/>
          <w:marTop w:val="0"/>
          <w:marBottom w:val="0"/>
          <w:divBdr>
            <w:top w:val="none" w:sz="0" w:space="0" w:color="auto"/>
            <w:left w:val="none" w:sz="0" w:space="0" w:color="auto"/>
            <w:bottom w:val="none" w:sz="0" w:space="0" w:color="auto"/>
            <w:right w:val="none" w:sz="0" w:space="0" w:color="auto"/>
          </w:divBdr>
        </w:div>
        <w:div w:id="225647798">
          <w:marLeft w:val="1728"/>
          <w:marRight w:val="0"/>
          <w:marTop w:val="0"/>
          <w:marBottom w:val="0"/>
          <w:divBdr>
            <w:top w:val="none" w:sz="0" w:space="0" w:color="auto"/>
            <w:left w:val="none" w:sz="0" w:space="0" w:color="auto"/>
            <w:bottom w:val="none" w:sz="0" w:space="0" w:color="auto"/>
            <w:right w:val="none" w:sz="0" w:space="0" w:color="auto"/>
          </w:divBdr>
        </w:div>
        <w:div w:id="594746679">
          <w:marLeft w:val="1728"/>
          <w:marRight w:val="0"/>
          <w:marTop w:val="0"/>
          <w:marBottom w:val="0"/>
          <w:divBdr>
            <w:top w:val="none" w:sz="0" w:space="0" w:color="auto"/>
            <w:left w:val="none" w:sz="0" w:space="0" w:color="auto"/>
            <w:bottom w:val="none" w:sz="0" w:space="0" w:color="auto"/>
            <w:right w:val="none" w:sz="0" w:space="0" w:color="auto"/>
          </w:divBdr>
        </w:div>
      </w:divsChild>
    </w:div>
    <w:div w:id="2014795036">
      <w:bodyDiv w:val="1"/>
      <w:marLeft w:val="0"/>
      <w:marRight w:val="0"/>
      <w:marTop w:val="0"/>
      <w:marBottom w:val="0"/>
      <w:divBdr>
        <w:top w:val="none" w:sz="0" w:space="0" w:color="auto"/>
        <w:left w:val="none" w:sz="0" w:space="0" w:color="auto"/>
        <w:bottom w:val="none" w:sz="0" w:space="0" w:color="auto"/>
        <w:right w:val="none" w:sz="0" w:space="0" w:color="auto"/>
      </w:divBdr>
    </w:div>
    <w:div w:id="2061830243">
      <w:bodyDiv w:val="1"/>
      <w:marLeft w:val="0"/>
      <w:marRight w:val="0"/>
      <w:marTop w:val="0"/>
      <w:marBottom w:val="0"/>
      <w:divBdr>
        <w:top w:val="none" w:sz="0" w:space="0" w:color="auto"/>
        <w:left w:val="none" w:sz="0" w:space="0" w:color="auto"/>
        <w:bottom w:val="none" w:sz="0" w:space="0" w:color="auto"/>
        <w:right w:val="none" w:sz="0" w:space="0" w:color="auto"/>
      </w:divBdr>
      <w:divsChild>
        <w:div w:id="1305699347">
          <w:marLeft w:val="1642"/>
          <w:marRight w:val="0"/>
          <w:marTop w:val="0"/>
          <w:marBottom w:val="0"/>
          <w:divBdr>
            <w:top w:val="none" w:sz="0" w:space="0" w:color="auto"/>
            <w:left w:val="none" w:sz="0" w:space="0" w:color="auto"/>
            <w:bottom w:val="none" w:sz="0" w:space="0" w:color="auto"/>
            <w:right w:val="none" w:sz="0" w:space="0" w:color="auto"/>
          </w:divBdr>
        </w:div>
        <w:div w:id="1185828649">
          <w:marLeft w:val="1728"/>
          <w:marRight w:val="0"/>
          <w:marTop w:val="0"/>
          <w:marBottom w:val="0"/>
          <w:divBdr>
            <w:top w:val="none" w:sz="0" w:space="0" w:color="auto"/>
            <w:left w:val="none" w:sz="0" w:space="0" w:color="auto"/>
            <w:bottom w:val="none" w:sz="0" w:space="0" w:color="auto"/>
            <w:right w:val="none" w:sz="0" w:space="0" w:color="auto"/>
          </w:divBdr>
        </w:div>
        <w:div w:id="22021148">
          <w:marLeft w:val="1728"/>
          <w:marRight w:val="0"/>
          <w:marTop w:val="0"/>
          <w:marBottom w:val="0"/>
          <w:divBdr>
            <w:top w:val="none" w:sz="0" w:space="0" w:color="auto"/>
            <w:left w:val="none" w:sz="0" w:space="0" w:color="auto"/>
            <w:bottom w:val="none" w:sz="0" w:space="0" w:color="auto"/>
            <w:right w:val="none" w:sz="0" w:space="0" w:color="auto"/>
          </w:divBdr>
        </w:div>
        <w:div w:id="98139081">
          <w:marLeft w:val="172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ethechildren@savethechildren.org,jo"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F8928-9327-4F73-B3FA-2AF1BD23CE79}"/>
</file>

<file path=customXml/itemProps2.xml><?xml version="1.0" encoding="utf-8"?>
<ds:datastoreItem xmlns:ds="http://schemas.openxmlformats.org/officeDocument/2006/customXml" ds:itemID="{B9259C66-06FB-4485-8D76-3C7B282FB001}"/>
</file>

<file path=customXml/itemProps3.xml><?xml version="1.0" encoding="utf-8"?>
<ds:datastoreItem xmlns:ds="http://schemas.openxmlformats.org/officeDocument/2006/customXml" ds:itemID="{59B09F4E-9288-4386-A338-19B08A8898A0}"/>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mswais</dc:creator>
  <cp:lastModifiedBy>Imma GUERRAS-DELGADO</cp:lastModifiedBy>
  <cp:revision>2</cp:revision>
  <dcterms:created xsi:type="dcterms:W3CDTF">2012-10-02T12:11:00Z</dcterms:created>
  <dcterms:modified xsi:type="dcterms:W3CDTF">2012-10-02T12:11:00Z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1006000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