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3" w:rsidRPr="008219AE" w:rsidRDefault="00577628" w:rsidP="009351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Background information </w:t>
      </w:r>
      <w:r w:rsidR="000E25CA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Pr="008219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influence of corruption on human rights in Hungary for the UN High Commissioner for Human Rights</w:t>
      </w:r>
    </w:p>
    <w:p w:rsidR="000B20E4" w:rsidRPr="008219AE" w:rsidRDefault="0000606C" w:rsidP="000B20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Ministry of Justice of Hungary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>made request for</w:t>
      </w:r>
      <w:r w:rsidR="00FB36D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5B4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the President of the National Office for the Judiciary, th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>e Prosecutor General of Hungary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>and the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Commissioner for Fundamental Rights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76C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176C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questionnaire of the Office of the UN High Commissioner for Human Rights and </w:t>
      </w:r>
      <w:r w:rsidR="002176C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A15B42" w:rsidRPr="008219AE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2176C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sources as well</w:t>
      </w:r>
      <w:r w:rsidR="002176C9" w:rsidRPr="008219AE">
        <w:rPr>
          <w:rFonts w:ascii="Times New Roman" w:hAnsi="Times New Roman" w:cs="Times New Roman"/>
          <w:sz w:val="24"/>
          <w:szCs w:val="24"/>
          <w:lang w:val="en-US"/>
        </w:rPr>
        <w:t>. On th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176C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basis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this retrieved information following</w:t>
      </w:r>
      <w:r w:rsidR="00A3538A">
        <w:rPr>
          <w:rFonts w:ascii="Times New Roman" w:hAnsi="Times New Roman" w:cs="Times New Roman"/>
          <w:sz w:val="24"/>
          <w:szCs w:val="24"/>
          <w:lang w:val="en-US"/>
        </w:rPr>
        <w:t xml:space="preserve"> can be concluded</w:t>
      </w:r>
      <w:r w:rsidR="004C75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61603" w:rsidRPr="008219AE" w:rsidRDefault="00986D30" w:rsidP="00EF0C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Question 7</w:t>
      </w:r>
      <w:r w:rsidR="00EF0C6D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F0C6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138" w:rsidRPr="008219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76C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negative effect of corruption </w:t>
      </w:r>
      <w:r w:rsidR="009F0E7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poses complex problem </w:t>
      </w:r>
      <w:r w:rsidR="002176C9" w:rsidRPr="008219A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F0E7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176C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exercising </w:t>
      </w:r>
      <w:r w:rsidR="009F0E7F" w:rsidRPr="008219AE">
        <w:rPr>
          <w:rFonts w:ascii="Times New Roman" w:hAnsi="Times New Roman" w:cs="Times New Roman"/>
          <w:sz w:val="24"/>
          <w:szCs w:val="24"/>
          <w:lang w:val="en-US"/>
        </w:rPr>
        <w:t>of human rights.</w:t>
      </w:r>
      <w:r w:rsidR="003D1C0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B36D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criminal law</w:t>
      </w:r>
      <w:r w:rsidR="003D1C0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36DC" w:rsidRPr="008219AE">
        <w:rPr>
          <w:rFonts w:ascii="Times New Roman" w:hAnsi="Times New Roman" w:cs="Times New Roman"/>
          <w:sz w:val="24"/>
          <w:szCs w:val="24"/>
          <w:lang w:val="en-US"/>
        </w:rPr>
        <w:t>is a specifi</w:t>
      </w:r>
      <w:r w:rsidR="009F0E7F" w:rsidRPr="008219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D1C0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territory of anti-corruption efforts.</w:t>
      </w:r>
      <w:r w:rsidR="00EF0C6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20E4" w:rsidRPr="008219AE">
        <w:rPr>
          <w:rFonts w:ascii="Times New Roman" w:hAnsi="Times New Roman" w:cs="Times New Roman"/>
          <w:sz w:val="24"/>
          <w:szCs w:val="24"/>
          <w:lang w:val="en-US"/>
        </w:rPr>
        <w:t>The wide range of</w:t>
      </w:r>
      <w:r w:rsidR="00971C7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comprehensive regulation of corruption</w:t>
      </w:r>
      <w:r w:rsidR="000B20E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acts</w:t>
      </w:r>
      <w:r w:rsidR="00971C7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A2970" w:rsidRPr="008219AE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0B20E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operational areas of</w:t>
      </w:r>
      <w:r w:rsidR="00971C7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20E4" w:rsidRPr="008219A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971C7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and private sector</w:t>
      </w:r>
      <w:r w:rsidR="00DA297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0E7F" w:rsidRPr="008219AE">
        <w:rPr>
          <w:rFonts w:ascii="Times New Roman" w:hAnsi="Times New Roman" w:cs="Times New Roman"/>
          <w:sz w:val="24"/>
          <w:szCs w:val="24"/>
          <w:lang w:val="en-US"/>
        </w:rPr>
        <w:t>can be mentioned</w:t>
      </w:r>
      <w:r w:rsidR="000B20E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as the example of good practice</w:t>
      </w:r>
      <w:r w:rsidR="009C0A4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regulation</w:t>
      </w:r>
      <w:r w:rsidR="00971C7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The Hungarian criminal substantive </w:t>
      </w:r>
      <w:r w:rsidR="001B6B1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law </w:t>
      </w:r>
      <w:r w:rsidR="0005721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extends </w:t>
      </w:r>
      <w:r w:rsidR="00046BF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protection of criminal law </w:t>
      </w:r>
      <w:r w:rsidR="009C0A44" w:rsidRPr="008219A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1B6B1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A2970" w:rsidRPr="008219AE">
        <w:rPr>
          <w:rFonts w:ascii="Times New Roman" w:hAnsi="Times New Roman" w:cs="Times New Roman"/>
          <w:sz w:val="24"/>
          <w:szCs w:val="24"/>
          <w:lang w:val="en-US"/>
        </w:rPr>
        <w:t>crimina</w:t>
      </w:r>
      <w:r w:rsidR="00046BF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lity of </w:t>
      </w:r>
      <w:r w:rsidR="001B6B1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active and passive side of </w:t>
      </w:r>
      <w:r w:rsidR="00057212" w:rsidRPr="008219A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1B6B1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and economic corruption to the judicial, </w:t>
      </w:r>
      <w:r w:rsidR="00057212" w:rsidRPr="008219AE">
        <w:rPr>
          <w:rFonts w:ascii="Times New Roman" w:hAnsi="Times New Roman" w:cs="Times New Roman"/>
          <w:sz w:val="24"/>
          <w:szCs w:val="24"/>
          <w:lang w:val="en-US"/>
        </w:rPr>
        <w:t>arbitral</w:t>
      </w:r>
      <w:r w:rsidR="00046BF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and public proceedings.</w:t>
      </w:r>
      <w:r w:rsidR="0005721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(Active or passive bribery in </w:t>
      </w:r>
      <w:r w:rsidR="00C6160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judicial or public proceedings </w:t>
      </w:r>
      <w:r w:rsidR="0005721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can be committed </w:t>
      </w:r>
      <w:r w:rsidR="00A3538A">
        <w:rPr>
          <w:rFonts w:ascii="Times New Roman" w:hAnsi="Times New Roman" w:cs="Times New Roman"/>
          <w:sz w:val="24"/>
          <w:szCs w:val="24"/>
          <w:lang w:val="en-US"/>
        </w:rPr>
        <w:t xml:space="preserve">in relation with the </w:t>
      </w:r>
      <w:r w:rsidR="00A37A0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ongoing </w:t>
      </w:r>
      <w:r w:rsidR="00147EB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3538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47EB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pending proceedings </w:t>
      </w:r>
      <w:r w:rsidR="00A3538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47EB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8AA" w:rsidRPr="008219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A297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International Criminal Court</w:t>
      </w:r>
      <w:r w:rsidR="005318A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97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established by the compulsory resolution of </w:t>
      </w:r>
      <w:r w:rsidR="005318AA" w:rsidRPr="008219AE">
        <w:rPr>
          <w:rFonts w:ascii="Times New Roman" w:hAnsi="Times New Roman" w:cs="Times New Roman"/>
          <w:sz w:val="24"/>
          <w:szCs w:val="24"/>
          <w:lang w:val="en-US"/>
        </w:rPr>
        <w:t>the UN Security Council</w:t>
      </w:r>
      <w:r w:rsidR="00C6160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47EB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3538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47EB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8A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1603" w:rsidRPr="008219AE">
        <w:rPr>
          <w:rFonts w:ascii="Times New Roman" w:hAnsi="Times New Roman" w:cs="Times New Roman"/>
          <w:sz w:val="24"/>
          <w:szCs w:val="24"/>
          <w:lang w:val="en-US"/>
        </w:rPr>
        <w:t>Court of Justice of the European Union</w:t>
      </w:r>
      <w:r w:rsidR="005318A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147EB3" w:rsidRPr="008219AE">
        <w:rPr>
          <w:rFonts w:ascii="Times New Roman" w:hAnsi="Times New Roman" w:cs="Times New Roman"/>
          <w:sz w:val="24"/>
          <w:szCs w:val="24"/>
          <w:lang w:val="en-US"/>
        </w:rPr>
        <w:t>public corruption</w:t>
      </w:r>
      <w:r w:rsidR="005318A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crimes</w:t>
      </w:r>
      <w:r w:rsidR="00147EB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can be committed in connection with </w:t>
      </w:r>
      <w:r w:rsidR="005318AA" w:rsidRPr="008219AE">
        <w:rPr>
          <w:rFonts w:ascii="Times New Roman" w:hAnsi="Times New Roman" w:cs="Times New Roman"/>
          <w:sz w:val="24"/>
          <w:szCs w:val="24"/>
          <w:lang w:val="en-US"/>
        </w:rPr>
        <w:t>foreign public officials</w:t>
      </w:r>
      <w:r w:rsidR="00147EB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as well</w:t>
      </w:r>
      <w:r w:rsidR="005318AA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7372C" w:rsidRPr="008219A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71C79" w:rsidRPr="00844667" w:rsidRDefault="00147EB3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The Group of States against C</w:t>
      </w:r>
      <w:r w:rsidR="00A154D6" w:rsidRPr="008219AE">
        <w:rPr>
          <w:rFonts w:ascii="Times New Roman" w:hAnsi="Times New Roman" w:cs="Times New Roman"/>
          <w:sz w:val="24"/>
          <w:szCs w:val="24"/>
          <w:lang w:val="en-US"/>
        </w:rPr>
        <w:t>orruption (GRECO)</w:t>
      </w:r>
      <w:r w:rsidR="007F391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recognizes the </w:t>
      </w:r>
      <w:r w:rsidR="00A154D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definition </w:t>
      </w:r>
      <w:r w:rsidR="00080B7E" w:rsidRPr="008219A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91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Hungarian substantive law</w:t>
      </w:r>
      <w:r w:rsidR="00080B7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91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80B7E" w:rsidRPr="008219AE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="000870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corruption</w:t>
      </w:r>
      <w:r w:rsidR="007F391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as a good practice</w:t>
      </w:r>
      <w:r w:rsidR="00087066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2CB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This regulation </w:t>
      </w:r>
      <w:r w:rsidR="003E16EA" w:rsidRPr="008219A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391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2CB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criminal protection against </w:t>
      </w:r>
      <w:r w:rsidR="00DA2970" w:rsidRPr="008219AE">
        <w:rPr>
          <w:rFonts w:ascii="Times New Roman" w:hAnsi="Times New Roman" w:cs="Times New Roman"/>
          <w:sz w:val="24"/>
          <w:szCs w:val="24"/>
          <w:lang w:val="en-US"/>
        </w:rPr>
        <w:t>corruption</w:t>
      </w:r>
      <w:r w:rsidR="003E16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97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committed </w:t>
      </w:r>
      <w:r w:rsidR="00F82CB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in the private sector </w:t>
      </w:r>
      <w:r w:rsidR="003E16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provides protection beyond </w:t>
      </w:r>
      <w:r w:rsidR="00F82CB6" w:rsidRPr="008219AE">
        <w:rPr>
          <w:rFonts w:ascii="Times New Roman" w:hAnsi="Times New Roman" w:cs="Times New Roman"/>
          <w:sz w:val="24"/>
          <w:szCs w:val="24"/>
          <w:lang w:val="en-US"/>
        </w:rPr>
        <w:t>the European Council</w:t>
      </w:r>
      <w:r w:rsidR="00A3538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82CB6" w:rsidRPr="008219AE">
        <w:rPr>
          <w:rFonts w:ascii="Times New Roman" w:hAnsi="Times New Roman" w:cs="Times New Roman"/>
          <w:sz w:val="24"/>
          <w:szCs w:val="24"/>
          <w:lang w:val="en-US"/>
        </w:rPr>
        <w:t>s Criminal Law Convention on Corruption (which was promulgated</w:t>
      </w:r>
      <w:r w:rsidR="00A3538A">
        <w:rPr>
          <w:rFonts w:ascii="Times New Roman" w:hAnsi="Times New Roman" w:cs="Times New Roman"/>
          <w:sz w:val="24"/>
          <w:szCs w:val="24"/>
          <w:lang w:val="en-US"/>
        </w:rPr>
        <w:t xml:space="preserve"> by the Act XLIX</w:t>
      </w:r>
      <w:r w:rsidR="00F82CB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2002)</w:t>
      </w:r>
      <w:r w:rsidR="00EF0C6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This completes the Section 2 of </w:t>
      </w:r>
      <w:r w:rsidR="00D831E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§298 </w:t>
      </w:r>
      <w:r w:rsidR="0046672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F0C6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Sections 2 and 3 of </w:t>
      </w:r>
      <w:r w:rsidR="00D831E7" w:rsidRPr="008219AE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466720" w:rsidRPr="008219AE">
        <w:rPr>
          <w:rFonts w:ascii="Times New Roman" w:hAnsi="Times New Roman" w:cs="Times New Roman"/>
          <w:sz w:val="24"/>
          <w:szCs w:val="24"/>
          <w:lang w:val="en-US"/>
        </w:rPr>
        <w:t>299 of the Criminal Code, which</w:t>
      </w:r>
      <w:r w:rsidR="00435D8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970" w:rsidRPr="008219AE">
        <w:rPr>
          <w:rFonts w:ascii="Times New Roman" w:hAnsi="Times New Roman" w:cs="Times New Roman"/>
          <w:sz w:val="24"/>
          <w:szCs w:val="24"/>
          <w:lang w:val="en-US"/>
        </w:rPr>
        <w:t>criminalizes</w:t>
      </w:r>
      <w:r w:rsidR="00435D8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16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influence peddling </w:t>
      </w:r>
      <w:r w:rsidR="00435D8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25CE6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acquisition of influence </w:t>
      </w:r>
      <w:r w:rsidR="00A3538A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for consideration </w:t>
      </w:r>
      <w:r w:rsidR="00435D86" w:rsidRPr="00844667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E16EA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6720" w:rsidRPr="00844667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="003E16EA" w:rsidRPr="0084466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66720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 working for or on behalf </w:t>
      </w:r>
      <w:r w:rsidR="003E16EA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66720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an economic </w:t>
      </w:r>
      <w:r w:rsidR="003E16EA" w:rsidRPr="00844667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435D86" w:rsidRPr="008446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7098" w:rsidRPr="008219AE" w:rsidRDefault="0033150D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4667">
        <w:rPr>
          <w:rFonts w:ascii="Times New Roman" w:hAnsi="Times New Roman" w:cs="Times New Roman"/>
          <w:sz w:val="24"/>
          <w:szCs w:val="24"/>
          <w:lang w:val="en-US"/>
        </w:rPr>
        <w:t>Good practice</w:t>
      </w:r>
      <w:r w:rsidR="00957DCD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 in the field of exploring the corruption crimes</w:t>
      </w:r>
      <w:r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 in case of an offender who helps to </w:t>
      </w:r>
      <w:r w:rsidR="00432DCF" w:rsidRPr="00844667">
        <w:rPr>
          <w:rFonts w:ascii="Times New Roman" w:hAnsi="Times New Roman" w:cs="Times New Roman"/>
          <w:sz w:val="24"/>
          <w:szCs w:val="24"/>
          <w:lang w:val="en-US"/>
        </w:rPr>
        <w:t>solve</w:t>
      </w:r>
      <w:r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 the crime </w:t>
      </w:r>
      <w:r w:rsidR="00432DCF" w:rsidRPr="00844667">
        <w:rPr>
          <w:rFonts w:ascii="Times New Roman" w:hAnsi="Times New Roman" w:cs="Times New Roman"/>
          <w:sz w:val="24"/>
          <w:szCs w:val="24"/>
          <w:lang w:val="en-US"/>
        </w:rPr>
        <w:t>– or in case of passive commitment</w:t>
      </w:r>
      <w:r w:rsidR="0039739C" w:rsidRPr="00844667">
        <w:rPr>
          <w:rFonts w:ascii="Times New Roman" w:hAnsi="Times New Roman" w:cs="Times New Roman"/>
          <w:sz w:val="24"/>
          <w:szCs w:val="24"/>
          <w:lang w:val="en-US"/>
        </w:rPr>
        <w:t>, if the offender</w:t>
      </w:r>
      <w:r w:rsidR="00432DCF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 hands over the unlawful advantage - </w:t>
      </w:r>
      <w:r w:rsidRPr="00844667">
        <w:rPr>
          <w:rFonts w:ascii="Times New Roman" w:hAnsi="Times New Roman" w:cs="Times New Roman"/>
          <w:sz w:val="24"/>
          <w:szCs w:val="24"/>
          <w:lang w:val="en-US"/>
        </w:rPr>
        <w:t>is to enable the unlimited reduction of penalty, or exceptionally the dismissal of penalty</w:t>
      </w:r>
      <w:r w:rsidR="00432DCF" w:rsidRPr="0084466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DCF" w:rsidRPr="00844667">
        <w:rPr>
          <w:rFonts w:ascii="Times New Roman" w:hAnsi="Times New Roman" w:cs="Times New Roman"/>
          <w:sz w:val="24"/>
          <w:szCs w:val="24"/>
          <w:lang w:val="en-US"/>
        </w:rPr>
        <w:t>(From 1</w:t>
      </w:r>
      <w:r w:rsidR="00432DCF" w:rsidRPr="008446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432DCF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 July 2015</w:t>
      </w:r>
      <w:r w:rsidR="003130FE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59F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the application of this legal instrument is also possible </w:t>
      </w:r>
      <w:r w:rsidR="00426A3B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6059F" w:rsidRPr="00844667">
        <w:rPr>
          <w:rFonts w:ascii="Times New Roman" w:hAnsi="Times New Roman" w:cs="Times New Roman"/>
          <w:sz w:val="24"/>
          <w:szCs w:val="24"/>
          <w:lang w:val="en-US"/>
        </w:rPr>
        <w:t>influence peddling and acquisition of influence for consideration</w:t>
      </w:r>
      <w:r w:rsidR="006C45FB" w:rsidRPr="0084466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A6059F" w:rsidRPr="00844667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A6059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explor</w:t>
      </w:r>
      <w:r w:rsidR="0039739C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426A3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these crimes the covert methods </w:t>
      </w:r>
      <w:r w:rsidR="00A6059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play a prominent role </w:t>
      </w:r>
      <w:r w:rsidR="00426A3B" w:rsidRPr="008219AE">
        <w:rPr>
          <w:rFonts w:ascii="Times New Roman" w:hAnsi="Times New Roman" w:cs="Times New Roman"/>
          <w:sz w:val="24"/>
          <w:szCs w:val="24"/>
          <w:lang w:val="en-US"/>
        </w:rPr>
        <w:t>such as, covert investigation and covert information gathering</w:t>
      </w:r>
      <w:r w:rsidR="003973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6059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as well as the </w:t>
      </w:r>
      <w:r w:rsidR="006C45F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use of </w:t>
      </w:r>
      <w:r w:rsidR="00A6059F" w:rsidRPr="008219AE">
        <w:rPr>
          <w:rFonts w:ascii="Times New Roman" w:hAnsi="Times New Roman" w:cs="Times New Roman"/>
          <w:sz w:val="24"/>
          <w:szCs w:val="24"/>
          <w:lang w:val="en-US"/>
        </w:rPr>
        <w:t>covert investigator or trap and an integrity test</w:t>
      </w:r>
      <w:r w:rsidR="006C45FB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A3ED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59F" w:rsidRPr="008219A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A3ED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relation to the above mentioned,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good practice of</w:t>
      </w:r>
      <w:r w:rsidR="005A3ED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9B4" w:rsidRPr="008219A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sing these instruments is that it bounded to </w:t>
      </w:r>
      <w:r w:rsidR="00A6059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F229B4" w:rsidRPr="008219AE">
        <w:rPr>
          <w:rFonts w:ascii="Times New Roman" w:hAnsi="Times New Roman" w:cs="Times New Roman"/>
          <w:sz w:val="24"/>
          <w:szCs w:val="24"/>
          <w:lang w:val="en-US"/>
        </w:rPr>
        <w:t>law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229B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9739C"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>subject of strict conditions</w:t>
      </w:r>
      <w:r w:rsidR="00F229B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The court decides 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>whether to use them or not</w:t>
      </w:r>
      <w:r w:rsidR="003973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9B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65709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402CE" w:rsidRPr="008219AE">
        <w:rPr>
          <w:rFonts w:ascii="Times New Roman" w:hAnsi="Times New Roman" w:cs="Times New Roman"/>
          <w:sz w:val="24"/>
          <w:szCs w:val="24"/>
          <w:lang w:val="en-US"/>
        </w:rPr>
        <w:t>procedural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guarante</w:t>
      </w:r>
      <w:r w:rsidR="0065709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es of the execution </w:t>
      </w:r>
      <w:r w:rsidR="00FC454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are not </w:t>
      </w:r>
      <w:r w:rsidR="0065709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kept, </w:t>
      </w:r>
      <w:r w:rsidR="001F148B" w:rsidRPr="008219AE">
        <w:rPr>
          <w:rFonts w:ascii="Times New Roman" w:hAnsi="Times New Roman" w:cs="Times New Roman"/>
          <w:sz w:val="24"/>
          <w:szCs w:val="24"/>
          <w:lang w:val="en-US"/>
        </w:rPr>
        <w:t>the acquired</w:t>
      </w:r>
      <w:r w:rsidR="0065709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evidence cannot be applied.</w:t>
      </w:r>
    </w:p>
    <w:p w:rsidR="00EF0C6D" w:rsidRPr="008219AE" w:rsidRDefault="00E73DC6" w:rsidP="00935138">
      <w:pPr>
        <w:spacing w:line="240" w:lineRule="auto"/>
        <w:jc w:val="both"/>
        <w:rPr>
          <w:rStyle w:val="shorttext"/>
          <w:rFonts w:ascii="Arial" w:hAnsi="Arial" w:cs="Arial"/>
          <w:color w:val="222222"/>
          <w:lang w:val="en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The denunciation of corruption crimes is open to everyone</w:t>
      </w:r>
      <w:r w:rsidR="0039739C">
        <w:rPr>
          <w:rFonts w:ascii="Times New Roman" w:hAnsi="Times New Roman" w:cs="Times New Roman"/>
          <w:sz w:val="24"/>
          <w:szCs w:val="24"/>
          <w:lang w:val="en-US"/>
        </w:rPr>
        <w:t>, it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is obligatory for public officials and since 1</w:t>
      </w:r>
      <w:r w:rsidRPr="008219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July 2015 it exists in </w:t>
      </w:r>
      <w:r w:rsidRPr="008219AE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all</w:t>
      </w:r>
      <w:r w:rsidRPr="008219AE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8219AE">
        <w:rPr>
          <w:rStyle w:val="hps"/>
          <w:rFonts w:ascii="Times New Roman" w:hAnsi="Times New Roman" w:cs="Times New Roman"/>
          <w:color w:val="222222"/>
          <w:sz w:val="24"/>
          <w:szCs w:val="24"/>
          <w:lang w:val="en"/>
        </w:rPr>
        <w:t>corruption offenses</w:t>
      </w:r>
      <w:r w:rsidRPr="008219AE">
        <w:rPr>
          <w:rStyle w:val="shorttext"/>
          <w:rFonts w:ascii="Times New Roman" w:hAnsi="Times New Roman" w:cs="Times New Roman"/>
          <w:color w:val="222222"/>
          <w:sz w:val="24"/>
          <w:szCs w:val="24"/>
          <w:lang w:val="en"/>
        </w:rPr>
        <w:t>.</w:t>
      </w:r>
      <w:r w:rsidRPr="008219AE">
        <w:rPr>
          <w:rStyle w:val="shorttext"/>
          <w:rFonts w:ascii="Arial" w:hAnsi="Arial" w:cs="Arial"/>
          <w:color w:val="222222"/>
          <w:lang w:val="en"/>
        </w:rPr>
        <w:t xml:space="preserve"> </w:t>
      </w:r>
    </w:p>
    <w:p w:rsidR="00D402CE" w:rsidRPr="008219AE" w:rsidRDefault="0047529A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§175</w:t>
      </w:r>
      <w:r w:rsidR="009E1C8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Section 1 of</w:t>
      </w:r>
      <w:r w:rsidR="009E1C8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9E1C8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192 of the Criminal </w:t>
      </w:r>
      <w:r w:rsidR="00826E96" w:rsidRPr="008219AE">
        <w:rPr>
          <w:rFonts w:ascii="Times New Roman" w:hAnsi="Times New Roman" w:cs="Times New Roman"/>
          <w:sz w:val="24"/>
          <w:szCs w:val="24"/>
          <w:lang w:val="en-US"/>
        </w:rPr>
        <w:t>Proceedings</w:t>
      </w:r>
      <w:r w:rsidR="009E1C8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  <w:r w:rsidR="004C569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7B22" w:rsidRPr="008219AE">
        <w:rPr>
          <w:rFonts w:ascii="Times New Roman" w:hAnsi="Times New Roman" w:cs="Times New Roman"/>
          <w:sz w:val="24"/>
          <w:szCs w:val="24"/>
          <w:lang w:val="en-US"/>
        </w:rPr>
        <w:t>(Be.)</w:t>
      </w:r>
      <w:r w:rsidR="009E1C8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5BE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enables the dismissal of accusation and respectively the </w:t>
      </w:r>
      <w:r w:rsidR="00392E8C" w:rsidRPr="008219AE">
        <w:rPr>
          <w:rFonts w:ascii="Times New Roman" w:hAnsi="Times New Roman" w:cs="Times New Roman"/>
          <w:sz w:val="24"/>
          <w:szCs w:val="24"/>
          <w:lang w:val="en-US"/>
        </w:rPr>
        <w:t>termination of the investigation</w:t>
      </w:r>
      <w:r w:rsidR="00517B37" w:rsidRPr="00821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77B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B37" w:rsidRPr="008219AE">
        <w:rPr>
          <w:rFonts w:ascii="Times New Roman" w:hAnsi="Times New Roman" w:cs="Times New Roman"/>
          <w:sz w:val="24"/>
          <w:szCs w:val="24"/>
          <w:lang w:val="en-US"/>
        </w:rPr>
        <w:t>if the person</w:t>
      </w:r>
      <w:r w:rsidR="003973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C569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4DA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reasonably </w:t>
      </w:r>
      <w:r w:rsidR="00517B37" w:rsidRPr="008219AE">
        <w:rPr>
          <w:rFonts w:ascii="Times New Roman" w:hAnsi="Times New Roman" w:cs="Times New Roman"/>
          <w:sz w:val="24"/>
          <w:szCs w:val="24"/>
          <w:lang w:val="en-US"/>
        </w:rPr>
        <w:t>suspected of having committed the criminal offence</w:t>
      </w:r>
      <w:r w:rsidR="003973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17B3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co-</w:t>
      </w:r>
      <w:r w:rsidR="004C5699" w:rsidRPr="008219AE">
        <w:rPr>
          <w:rFonts w:ascii="Times New Roman" w:hAnsi="Times New Roman" w:cs="Times New Roman"/>
          <w:sz w:val="24"/>
          <w:szCs w:val="24"/>
          <w:lang w:val="en-US"/>
        </w:rPr>
        <w:t>operates in the investigation</w:t>
      </w:r>
      <w:r w:rsidR="00517B3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9B4DA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proves to contribute to the criminal case in such extent that </w:t>
      </w:r>
      <w:r w:rsidR="00517B3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interests of national security or law enforcement takes priority over the interest </w:t>
      </w:r>
      <w:r w:rsidR="009B4DA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of the state </w:t>
      </w:r>
      <w:r w:rsidR="00517B3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to enforce </w:t>
      </w:r>
      <w:r w:rsidR="009B4DA9" w:rsidRPr="008219A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517B3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criminal </w:t>
      </w:r>
      <w:r w:rsidR="009B4DA9" w:rsidRPr="008219AE">
        <w:rPr>
          <w:rFonts w:ascii="Times New Roman" w:hAnsi="Times New Roman" w:cs="Times New Roman"/>
          <w:sz w:val="24"/>
          <w:szCs w:val="24"/>
          <w:lang w:val="en-US"/>
        </w:rPr>
        <w:t>claim</w:t>
      </w:r>
      <w:r w:rsidR="00517B3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B4DA9" w:rsidRPr="008219AE">
        <w:rPr>
          <w:rFonts w:ascii="Times New Roman" w:hAnsi="Times New Roman" w:cs="Times New Roman"/>
          <w:sz w:val="24"/>
          <w:szCs w:val="24"/>
          <w:lang w:val="en-US"/>
        </w:rPr>
        <w:t>On the basis of</w:t>
      </w:r>
      <w:r w:rsidR="00F77B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chapter XXVI of the Criminal </w:t>
      </w:r>
      <w:r w:rsidR="00826E9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Proceedings </w:t>
      </w:r>
      <w:r w:rsidR="00F77B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Act </w:t>
      </w:r>
      <w:r w:rsidR="009F5DAB" w:rsidRPr="008219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583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possibility </w:t>
      </w:r>
      <w:r w:rsidR="009F5DA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7B22" w:rsidRPr="008219AE">
        <w:rPr>
          <w:rFonts w:ascii="Times New Roman" w:hAnsi="Times New Roman" w:cs="Times New Roman"/>
          <w:sz w:val="24"/>
          <w:szCs w:val="24"/>
          <w:lang w:val="en-US"/>
        </w:rPr>
        <w:t>waiver of right to trial</w:t>
      </w:r>
      <w:r w:rsidR="009F5DA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exists</w:t>
      </w:r>
      <w:r w:rsidR="00B7583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if the accused</w:t>
      </w:r>
      <w:r w:rsidR="009F5DA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persons confess before the accusation</w:t>
      </w:r>
      <w:r w:rsidR="00B7583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DAB" w:rsidRPr="008219AE">
        <w:rPr>
          <w:rFonts w:ascii="Times New Roman" w:hAnsi="Times New Roman" w:cs="Times New Roman"/>
          <w:sz w:val="24"/>
          <w:szCs w:val="24"/>
          <w:lang w:val="en-US"/>
        </w:rPr>
        <w:t>and admit</w:t>
      </w:r>
      <w:r w:rsidR="00B7583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DAB" w:rsidRPr="008219A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B7583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DAB" w:rsidRPr="008219AE">
        <w:rPr>
          <w:rFonts w:ascii="Times New Roman" w:hAnsi="Times New Roman" w:cs="Times New Roman"/>
          <w:sz w:val="24"/>
          <w:szCs w:val="24"/>
          <w:lang w:val="en-US"/>
        </w:rPr>
        <w:t>guiltiness and waivers their</w:t>
      </w:r>
      <w:r w:rsidR="00B7583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right to trial.</w:t>
      </w:r>
      <w:r w:rsidR="0032414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In this </w:t>
      </w:r>
      <w:r w:rsidR="0048219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case the duration of the </w:t>
      </w:r>
      <w:r w:rsidR="00CD2986" w:rsidRPr="008219AE">
        <w:rPr>
          <w:rFonts w:ascii="Times New Roman" w:hAnsi="Times New Roman" w:cs="Times New Roman"/>
          <w:sz w:val="24"/>
          <w:szCs w:val="24"/>
          <w:lang w:val="en-US"/>
        </w:rPr>
        <w:t>imprisonment is</w:t>
      </w:r>
      <w:r w:rsidR="0048219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335E" w:rsidRPr="008219AE">
        <w:rPr>
          <w:rFonts w:ascii="Times New Roman" w:hAnsi="Times New Roman" w:cs="Times New Roman"/>
          <w:sz w:val="24"/>
          <w:szCs w:val="24"/>
          <w:lang w:val="en-US"/>
        </w:rPr>
        <w:t>maximized in</w:t>
      </w:r>
      <w:r w:rsidR="0048219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lower </w:t>
      </w:r>
      <w:r w:rsidR="0021335E" w:rsidRPr="008219A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length </w:t>
      </w:r>
      <w:r w:rsidR="0048219A" w:rsidRPr="008219AE">
        <w:rPr>
          <w:rFonts w:ascii="Times New Roman" w:hAnsi="Times New Roman" w:cs="Times New Roman"/>
          <w:sz w:val="24"/>
          <w:szCs w:val="24"/>
          <w:lang w:val="en-US"/>
        </w:rPr>
        <w:t>than the otherwise normative</w:t>
      </w:r>
      <w:r w:rsidR="003973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8219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0E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in return for the conduct of the offender that </w:t>
      </w:r>
      <w:r w:rsidR="0048219A" w:rsidRPr="008219AE">
        <w:rPr>
          <w:rFonts w:ascii="Times New Roman" w:hAnsi="Times New Roman" w:cs="Times New Roman"/>
          <w:sz w:val="24"/>
          <w:szCs w:val="24"/>
          <w:lang w:val="en-US"/>
        </w:rPr>
        <w:t>facilitates the evidence procedure</w:t>
      </w:r>
      <w:r w:rsidR="00E87DDA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112E" w:rsidRPr="008219AE" w:rsidRDefault="00EF0C6D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According to Section 1 of</w:t>
      </w:r>
      <w:r w:rsidR="00E87DD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1E7" w:rsidRPr="008219AE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E87DDA" w:rsidRPr="008219AE">
        <w:rPr>
          <w:rFonts w:ascii="Times New Roman" w:hAnsi="Times New Roman" w:cs="Times New Roman"/>
          <w:sz w:val="24"/>
          <w:szCs w:val="24"/>
          <w:lang w:val="en-US"/>
        </w:rPr>
        <w:t>74 of the Criminal Code confiscation of property is to be ordered to any financial gain o</w:t>
      </w:r>
      <w:r w:rsidR="009B0E43" w:rsidRPr="008219A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87DD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advantage resulting from criminal activities, obtained by the offender in the course or in connection with </w:t>
      </w:r>
      <w:r w:rsidR="00B830E0" w:rsidRPr="008219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7DD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criminal act. The obligation of confiscation prevails</w:t>
      </w:r>
      <w:r w:rsidR="0088170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also in the case of corruption crimes.</w:t>
      </w:r>
      <w:r w:rsidR="009322E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0E0" w:rsidRPr="008219A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322E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he regulation </w:t>
      </w:r>
      <w:r w:rsidR="00743AF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of confiscation </w:t>
      </w:r>
      <w:r w:rsidR="00B830E0" w:rsidRPr="008219AE">
        <w:rPr>
          <w:rFonts w:ascii="Times New Roman" w:hAnsi="Times New Roman" w:cs="Times New Roman"/>
          <w:sz w:val="24"/>
          <w:szCs w:val="24"/>
          <w:lang w:val="en-US"/>
        </w:rPr>
        <w:t>declares</w:t>
      </w:r>
      <w:r w:rsidR="00743AF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0E0" w:rsidRPr="008219AE">
        <w:rPr>
          <w:rFonts w:ascii="Times New Roman" w:hAnsi="Times New Roman" w:cs="Times New Roman"/>
          <w:sz w:val="24"/>
          <w:szCs w:val="24"/>
          <w:lang w:val="en-US"/>
        </w:rPr>
        <w:t>that besides the confiscation of</w:t>
      </w:r>
      <w:r w:rsidR="00743AF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obtained advantage</w:t>
      </w:r>
      <w:r w:rsidR="00B830E0" w:rsidRPr="00821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3AF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Criminal Code also imposes the confiscation to any given or promised unlawful gain.</w:t>
      </w:r>
      <w:r w:rsidR="002414B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B9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Subsection f) S</w:t>
      </w:r>
      <w:r w:rsidR="00736B9D" w:rsidRPr="008219AE">
        <w:rPr>
          <w:rFonts w:ascii="Times New Roman" w:hAnsi="Times New Roman" w:cs="Times New Roman"/>
          <w:sz w:val="24"/>
          <w:szCs w:val="24"/>
          <w:lang w:val="en-US"/>
        </w:rPr>
        <w:t>ection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1 of</w:t>
      </w:r>
      <w:r w:rsidR="00736B9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1E7" w:rsidRPr="008219AE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736B9D" w:rsidRPr="008219AE">
        <w:rPr>
          <w:rFonts w:ascii="Times New Roman" w:hAnsi="Times New Roman" w:cs="Times New Roman"/>
          <w:sz w:val="24"/>
          <w:szCs w:val="24"/>
          <w:lang w:val="en-US"/>
        </w:rPr>
        <w:t>74 of the Criminal Code, a</w:t>
      </w:r>
      <w:r w:rsidR="002414B0" w:rsidRPr="008219AE">
        <w:rPr>
          <w:rFonts w:ascii="Times New Roman" w:hAnsi="Times New Roman" w:cs="Times New Roman"/>
          <w:sz w:val="24"/>
          <w:szCs w:val="24"/>
          <w:lang w:val="en-US"/>
        </w:rPr>
        <w:t>s far as</w:t>
      </w:r>
      <w:r w:rsidR="00AC7F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414B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pecuniary advantage </w:t>
      </w:r>
      <w:r w:rsidR="009B0E43" w:rsidRPr="008219AE">
        <w:rPr>
          <w:rFonts w:ascii="Times New Roman" w:hAnsi="Times New Roman" w:cs="Times New Roman"/>
          <w:sz w:val="24"/>
          <w:szCs w:val="24"/>
          <w:lang w:val="en-US"/>
        </w:rPr>
        <w:t>dedicated for corruption</w:t>
      </w:r>
      <w:r w:rsidR="00AC7F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is removed from the possession of the perpetrator of active </w:t>
      </w:r>
      <w:r w:rsidR="00AC64F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corruption, but it </w:t>
      </w:r>
      <w:r w:rsidR="002414B0" w:rsidRPr="008219A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AC64F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n’t </w:t>
      </w:r>
      <w:r w:rsidR="00CF112E" w:rsidRPr="008219AE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="002414B0" w:rsidRPr="008219A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AC64F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passive perpetrator</w:t>
      </w:r>
      <w:r w:rsidR="002414B0" w:rsidRPr="008219A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AC64F4" w:rsidRPr="008219AE">
        <w:rPr>
          <w:rFonts w:ascii="Times New Roman" w:hAnsi="Times New Roman" w:cs="Times New Roman"/>
          <w:sz w:val="24"/>
          <w:szCs w:val="24"/>
          <w:lang w:val="en-US"/>
        </w:rPr>
        <w:t>s possession</w:t>
      </w:r>
      <w:r w:rsidR="00CF112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yet, the confiscation is to be ordered against the perpetrator of active corruption</w:t>
      </w:r>
      <w:r w:rsidR="00736B9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on the subject of the promised financial gain</w:t>
      </w:r>
      <w:r w:rsidR="00CF112E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2120" w:rsidRPr="008219AE">
        <w:rPr>
          <w:rStyle w:val="Lbjegyzet-hivatkozs"/>
          <w:rFonts w:ascii="Times New Roman" w:hAnsi="Times New Roman" w:cs="Times New Roman"/>
          <w:sz w:val="24"/>
          <w:szCs w:val="24"/>
          <w:lang w:val="en-US"/>
        </w:rPr>
        <w:footnoteReference w:id="1"/>
      </w:r>
    </w:p>
    <w:p w:rsidR="00885ABA" w:rsidRPr="008219AE" w:rsidRDefault="00736B9D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In the course of</w:t>
      </w:r>
      <w:r w:rsidR="00885AB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judiciary structure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’s operation</w:t>
      </w:r>
      <w:r w:rsidR="006C7BA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combat against corruption could be provided</w:t>
      </w:r>
      <w:r w:rsidR="00885AB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7BA6" w:rsidRPr="008219A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85AB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proper </w:t>
      </w:r>
      <w:r w:rsidR="004908C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regulation, transparency, </w:t>
      </w:r>
      <w:r w:rsidR="00C112C5" w:rsidRPr="008219AE">
        <w:rPr>
          <w:rFonts w:ascii="Times New Roman" w:hAnsi="Times New Roman" w:cs="Times New Roman"/>
          <w:sz w:val="24"/>
          <w:szCs w:val="24"/>
          <w:lang w:val="en-US"/>
        </w:rPr>
        <w:t>publicity</w:t>
      </w:r>
      <w:r w:rsidR="00FC5E9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08C2" w:rsidRPr="008219AE">
        <w:rPr>
          <w:rFonts w:ascii="Times New Roman" w:hAnsi="Times New Roman" w:cs="Times New Roman"/>
          <w:sz w:val="24"/>
          <w:szCs w:val="24"/>
          <w:lang w:val="en-US"/>
        </w:rPr>
        <w:t>and the predominance of fundamental rights</w:t>
      </w:r>
      <w:r w:rsidR="006C7BA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on both national and local level</w:t>
      </w:r>
      <w:r w:rsidR="004908C2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5E9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340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C7BA6" w:rsidRPr="008219AE">
        <w:rPr>
          <w:rFonts w:ascii="Times New Roman" w:hAnsi="Times New Roman" w:cs="Times New Roman"/>
          <w:sz w:val="24"/>
          <w:szCs w:val="24"/>
          <w:lang w:val="en-US"/>
        </w:rPr>
        <w:t>President</w:t>
      </w:r>
      <w:r w:rsidR="00CB340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the National O</w:t>
      </w:r>
      <w:r w:rsidR="006C7BA6" w:rsidRPr="008219AE">
        <w:rPr>
          <w:rFonts w:ascii="Times New Roman" w:hAnsi="Times New Roman" w:cs="Times New Roman"/>
          <w:sz w:val="24"/>
          <w:szCs w:val="24"/>
          <w:lang w:val="en-US"/>
        </w:rPr>
        <w:t>ffice for the Judiciary –</w:t>
      </w:r>
      <w:r w:rsidR="00CB340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responsible for the administration of the judicial system – advances the </w:t>
      </w:r>
      <w:r w:rsidR="000E249A" w:rsidRPr="008219AE">
        <w:rPr>
          <w:rFonts w:ascii="Times New Roman" w:hAnsi="Times New Roman" w:cs="Times New Roman"/>
          <w:sz w:val="24"/>
          <w:szCs w:val="24"/>
          <w:lang w:val="en-US"/>
        </w:rPr>
        <w:t>predict</w:t>
      </w:r>
      <w:r w:rsidR="00CB3402" w:rsidRPr="008219AE">
        <w:rPr>
          <w:rFonts w:ascii="Times New Roman" w:hAnsi="Times New Roman" w:cs="Times New Roman"/>
          <w:sz w:val="24"/>
          <w:szCs w:val="24"/>
          <w:lang w:val="en-US"/>
        </w:rPr>
        <w:t>ability and transparency of the operation of the judiciary structure by drafting bylaws and recommendations</w:t>
      </w:r>
      <w:r w:rsidR="00500E6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F5FF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C7BA6" w:rsidRPr="008219AE">
        <w:rPr>
          <w:rFonts w:ascii="Times New Roman" w:hAnsi="Times New Roman" w:cs="Times New Roman"/>
          <w:sz w:val="24"/>
          <w:szCs w:val="24"/>
          <w:lang w:val="en-US"/>
        </w:rPr>
        <w:t>among</w:t>
      </w:r>
      <w:r w:rsidR="002278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7BA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1067" w:rsidRPr="008219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E249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Ethical Codex </w:t>
      </w:r>
      <w:r w:rsidR="006C7BA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(adopted in November 2014) and </w:t>
      </w:r>
      <w:r w:rsidR="00AD106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719E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integrity statute </w:t>
      </w:r>
      <w:r w:rsidR="00EF5FF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of the judges </w:t>
      </w:r>
      <w:r w:rsidR="004719EF" w:rsidRPr="008219AE">
        <w:rPr>
          <w:rFonts w:ascii="Times New Roman" w:hAnsi="Times New Roman" w:cs="Times New Roman"/>
          <w:sz w:val="24"/>
          <w:szCs w:val="24"/>
          <w:lang w:val="en-US"/>
        </w:rPr>
        <w:t>(work in progress)</w:t>
      </w:r>
      <w:r w:rsidR="00EF5FF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should be emphasized, the latter</w:t>
      </w:r>
      <w:r w:rsidR="00AD106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is specially dealing with corruption risk and handling of corruption.</w:t>
      </w:r>
    </w:p>
    <w:p w:rsidR="00C112C5" w:rsidRPr="008219AE" w:rsidRDefault="00C112C5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publicity of the courts is </w:t>
      </w:r>
      <w:r w:rsidR="002F0A60" w:rsidRPr="008219AE">
        <w:rPr>
          <w:rFonts w:ascii="Times New Roman" w:hAnsi="Times New Roman" w:cs="Times New Roman"/>
          <w:sz w:val="24"/>
          <w:szCs w:val="24"/>
          <w:lang w:val="en-US"/>
        </w:rPr>
        <w:t>ensured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595" w:rsidRPr="008219AE">
        <w:rPr>
          <w:rFonts w:ascii="Times New Roman" w:hAnsi="Times New Roman" w:cs="Times New Roman"/>
          <w:sz w:val="24"/>
          <w:szCs w:val="24"/>
          <w:lang w:val="en-US"/>
        </w:rPr>
        <w:t>by its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central </w:t>
      </w:r>
      <w:r w:rsidR="00DF0595" w:rsidRPr="008219AE">
        <w:rPr>
          <w:rFonts w:ascii="Times New Roman" w:hAnsi="Times New Roman" w:cs="Times New Roman"/>
          <w:sz w:val="24"/>
          <w:szCs w:val="24"/>
          <w:lang w:val="en-US"/>
        </w:rPr>
        <w:t>and own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0595" w:rsidRPr="008219AE">
        <w:rPr>
          <w:rFonts w:ascii="Times New Roman" w:hAnsi="Times New Roman" w:cs="Times New Roman"/>
          <w:sz w:val="24"/>
          <w:szCs w:val="24"/>
          <w:lang w:val="en-US"/>
        </w:rPr>
        <w:t>websites,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alike with </w:t>
      </w:r>
      <w:r w:rsidR="002F0A60" w:rsidRPr="008219AE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7C79D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the presidents of the regional court, regional courts of appeal and the National Office for the Judiciary that are</w:t>
      </w:r>
      <w:r w:rsidR="002F0A6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7C79D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for the public</w:t>
      </w:r>
      <w:r w:rsidR="007C593F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F059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democratically elected supreme self-governing body, the indepe</w:t>
      </w:r>
      <w:r w:rsidR="007C79D7" w:rsidRPr="008219AE">
        <w:rPr>
          <w:rFonts w:ascii="Times New Roman" w:hAnsi="Times New Roman" w:cs="Times New Roman"/>
          <w:sz w:val="24"/>
          <w:szCs w:val="24"/>
          <w:lang w:val="en-US"/>
        </w:rPr>
        <w:t>ndent National Judicial Council</w:t>
      </w:r>
      <w:r w:rsidR="00DF059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also supports and enhances the judicial integrity.</w:t>
      </w:r>
    </w:p>
    <w:p w:rsidR="00CF0F61" w:rsidRPr="008219AE" w:rsidRDefault="00986D30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gramStart"/>
      <w:r w:rsidRPr="00986D30">
        <w:rPr>
          <w:rFonts w:ascii="Times New Roman" w:hAnsi="Times New Roman" w:cs="Times New Roman"/>
          <w:sz w:val="24"/>
          <w:szCs w:val="24"/>
          <w:lang w:val="en-US"/>
        </w:rPr>
        <w:t>Question 8</w:t>
      </w:r>
      <w:r w:rsidR="00935138" w:rsidRPr="00986D3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3513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="00935138" w:rsidRPr="008219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F0F6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State provides the efficient protection </w:t>
      </w:r>
      <w:r w:rsidR="007C79D7" w:rsidRPr="008219A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F4E1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witnesses</w:t>
      </w:r>
      <w:r w:rsidR="00CF0F6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corruption</w:t>
      </w:r>
      <w:r w:rsidR="007C79D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crimes</w:t>
      </w:r>
      <w:r w:rsidR="009F4E1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through the complex systems of the criminal substantive law and criminal procedural law.</w:t>
      </w:r>
    </w:p>
    <w:p w:rsidR="00937469" w:rsidRPr="008219AE" w:rsidRDefault="00D831E7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844DD6" w:rsidRPr="008219AE">
        <w:rPr>
          <w:rFonts w:ascii="Times New Roman" w:hAnsi="Times New Roman" w:cs="Times New Roman"/>
          <w:sz w:val="24"/>
          <w:szCs w:val="24"/>
          <w:lang w:val="en-US"/>
        </w:rPr>
        <w:t>96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4DD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of the Criminal </w:t>
      </w:r>
      <w:r w:rsidR="00826E96" w:rsidRPr="008219AE">
        <w:rPr>
          <w:rFonts w:ascii="Times New Roman" w:hAnsi="Times New Roman" w:cs="Times New Roman"/>
          <w:sz w:val="24"/>
          <w:szCs w:val="24"/>
          <w:lang w:val="en-US"/>
        </w:rPr>
        <w:t>Proceedings</w:t>
      </w:r>
      <w:r w:rsidR="00844DD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Act enables</w:t>
      </w:r>
      <w:r w:rsidR="00C33FF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7C79D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if requested </w:t>
      </w:r>
      <w:r w:rsidR="000E249A" w:rsidRPr="008219A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844DD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122D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confidential treatment </w:t>
      </w:r>
      <w:r w:rsidR="0069678E" w:rsidRPr="008219A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3FF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personal data of the witn</w:t>
      </w:r>
      <w:r w:rsidR="000E249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esses, </w:t>
      </w:r>
      <w:r w:rsidR="0069678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this way only the proceeding authority has access to </w:t>
      </w:r>
      <w:r w:rsidR="00A962F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33FF7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92AD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78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If the confidential treatment is requested, </w:t>
      </w:r>
      <w:r w:rsidR="001C3E9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copies of documents containing the personal data of the witness may only be given to the participants in the criminal proceedings without the personal </w:t>
      </w:r>
      <w:r w:rsidR="0069678E" w:rsidRPr="008219AE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1C3E95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C3E95" w:rsidRPr="008219AE">
        <w:rPr>
          <w:rFonts w:ascii="Times New Roman" w:hAnsi="Times New Roman" w:cs="Times New Roman"/>
          <w:sz w:val="24"/>
          <w:szCs w:val="24"/>
        </w:rPr>
        <w:t xml:space="preserve"> </w:t>
      </w:r>
      <w:r w:rsidR="001C3E9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confidential treatment may only be terminated with the consent of the witness. 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The investigating judge can place the witness under special protection on the basis of Subsection d) of S</w:t>
      </w:r>
      <w:r w:rsidR="00175B05" w:rsidRPr="008219AE">
        <w:rPr>
          <w:rFonts w:ascii="Times New Roman" w:hAnsi="Times New Roman" w:cs="Times New Roman"/>
          <w:sz w:val="24"/>
          <w:szCs w:val="24"/>
          <w:lang w:val="en-US"/>
        </w:rPr>
        <w:t>ection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1 of §</w:t>
      </w:r>
      <w:r w:rsidR="00175B0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207 of </w:t>
      </w:r>
      <w:r w:rsidR="00BA5BCA" w:rsidRPr="008219AE">
        <w:rPr>
          <w:rFonts w:ascii="Times New Roman" w:hAnsi="Times New Roman" w:cs="Times New Roman"/>
          <w:sz w:val="24"/>
          <w:szCs w:val="24"/>
          <w:lang w:val="en-US"/>
        </w:rPr>
        <w:t>the Criminal</w:t>
      </w:r>
      <w:r w:rsidR="00175B0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E96" w:rsidRPr="008219AE">
        <w:rPr>
          <w:rFonts w:ascii="Times New Roman" w:hAnsi="Times New Roman" w:cs="Times New Roman"/>
          <w:sz w:val="24"/>
          <w:szCs w:val="24"/>
          <w:lang w:val="en-US"/>
        </w:rPr>
        <w:t>Proceedings</w:t>
      </w:r>
      <w:r w:rsidR="00175B0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and in case of fulfillment of the conditions listed in</w:t>
      </w:r>
      <w:r w:rsidR="00BA5BC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§97 of the Criminal Proceedings Act. 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The w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>itness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placed under special protection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testimony relate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 to 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substantial circumstances of a particularly serious case, the evidence expected by 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testimony cannot be substituted, 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identity, the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place of stay and the fact that 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they are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intended to be heard by the prosecutor or the investigating authority is not known by the accused and</w:t>
      </w:r>
      <w:r w:rsidR="0064181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counsel</w:t>
      </w:r>
      <w:r w:rsidR="0064181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>the exposure of the identity of the witness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would seriously jeopardize the</w:t>
      </w:r>
      <w:r w:rsidR="005C0EA9" w:rsidRPr="008219A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B511B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own</w:t>
      </w:r>
      <w:r w:rsidR="00DE030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or their relatives’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life, </w:t>
      </w:r>
      <w:r w:rsidR="00DE030F" w:rsidRPr="008219AE">
        <w:rPr>
          <w:rFonts w:ascii="Times New Roman" w:hAnsi="Times New Roman" w:cs="Times New Roman"/>
          <w:sz w:val="24"/>
          <w:szCs w:val="24"/>
          <w:lang w:val="en-US"/>
        </w:rPr>
        <w:t>physical integrity</w:t>
      </w:r>
      <w:r w:rsidR="004F773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or personal freedom.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6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Based on the 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93666" w:rsidRPr="008219AE">
        <w:rPr>
          <w:rFonts w:ascii="Times New Roman" w:hAnsi="Times New Roman" w:cs="Times New Roman"/>
          <w:sz w:val="24"/>
          <w:szCs w:val="24"/>
          <w:lang w:val="en-US"/>
        </w:rPr>
        <w:t>ection 1 of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>98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the Criminal Proceedings Act,</w:t>
      </w:r>
      <w:r w:rsidR="00826E9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>n exceptionally justified cases the chairperson of the panel of the court proceeding</w:t>
      </w:r>
      <w:r w:rsidR="00893666" w:rsidRPr="00821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prosecutor or the investigating authority may initiate</w:t>
      </w:r>
      <w:r w:rsidR="008936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special protection for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594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following participants of the court proceeding: 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defendant, the </w:t>
      </w:r>
      <w:proofErr w:type="spellStart"/>
      <w:r w:rsidR="00893666" w:rsidRPr="008219AE">
        <w:rPr>
          <w:rFonts w:ascii="Times New Roman" w:hAnsi="Times New Roman" w:cs="Times New Roman"/>
          <w:sz w:val="24"/>
          <w:szCs w:val="24"/>
          <w:lang w:val="en-US"/>
        </w:rPr>
        <w:t>defence</w:t>
      </w:r>
      <w:proofErr w:type="spellEnd"/>
      <w:r w:rsidR="008936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counsel,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vi</w:t>
      </w:r>
      <w:r w:rsidR="00893666" w:rsidRPr="008219AE">
        <w:rPr>
          <w:rFonts w:ascii="Times New Roman" w:hAnsi="Times New Roman" w:cs="Times New Roman"/>
          <w:sz w:val="24"/>
          <w:szCs w:val="24"/>
          <w:lang w:val="en-US"/>
        </w:rPr>
        <w:t>ctim, the other interested parties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the representative of the victim </w:t>
      </w:r>
      <w:r w:rsidR="00C15945" w:rsidRPr="008219A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936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other interested parties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lastRenderedPageBreak/>
        <w:t>further</w:t>
      </w:r>
      <w:r w:rsidR="00893666" w:rsidRPr="008219AE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9122D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witness, the expert, the </w:t>
      </w:r>
      <w:r w:rsidR="00937469" w:rsidRPr="008219AE">
        <w:rPr>
          <w:rFonts w:ascii="Times New Roman" w:hAnsi="Times New Roman" w:cs="Times New Roman"/>
          <w:sz w:val="24"/>
          <w:szCs w:val="24"/>
          <w:lang w:val="en-US"/>
        </w:rPr>
        <w:t>advisor, the interpreter, the official witness, or</w:t>
      </w:r>
      <w:r w:rsidR="00C1594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any other person, taking into consideration the list above</w:t>
      </w:r>
      <w:r w:rsidR="00A6780D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1A2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If the personal protection</w:t>
      </w:r>
      <w:r w:rsidR="00471EC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alone cannot guarantee the protection</w:t>
      </w:r>
      <w:r w:rsidR="003C1A2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1EC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3C1A28" w:rsidRPr="008219AE">
        <w:rPr>
          <w:rFonts w:ascii="Times New Roman" w:hAnsi="Times New Roman" w:cs="Times New Roman"/>
          <w:sz w:val="24"/>
          <w:szCs w:val="24"/>
          <w:lang w:val="en-US"/>
        </w:rPr>
        <w:t>person</w:t>
      </w:r>
      <w:r w:rsidR="00471EC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or witness in threat then the </w:t>
      </w:r>
      <w:r w:rsidR="00BD28E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protection should be provided through the </w:t>
      </w:r>
      <w:r w:rsidR="00E97622" w:rsidRPr="008219AE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="003C1A2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Program. </w:t>
      </w:r>
      <w:r w:rsidR="00BD28E8" w:rsidRPr="008219AE">
        <w:rPr>
          <w:rFonts w:ascii="Times New Roman" w:hAnsi="Times New Roman" w:cs="Times New Roman"/>
          <w:sz w:val="24"/>
          <w:szCs w:val="24"/>
          <w:lang w:val="en-US"/>
        </w:rPr>
        <w:t>In this case</w:t>
      </w:r>
      <w:r w:rsidR="00E976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E249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97622" w:rsidRPr="008219AE">
        <w:rPr>
          <w:rFonts w:ascii="Times New Roman" w:hAnsi="Times New Roman" w:cs="Times New Roman"/>
          <w:sz w:val="24"/>
          <w:szCs w:val="24"/>
          <w:lang w:val="en-US"/>
        </w:rPr>
        <w:t>place of residence</w:t>
      </w:r>
      <w:r w:rsidR="008C238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0E249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stay, name or identity could be changed.</w:t>
      </w:r>
      <w:r w:rsidR="00914B0D" w:rsidRPr="008219AE">
        <w:rPr>
          <w:rStyle w:val="Lbjegyzet-hivatkozs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:rsidR="000350D4" w:rsidRPr="008219AE" w:rsidRDefault="00C75E7B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="008219A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E3BEF" w:rsidRPr="008219AE">
        <w:rPr>
          <w:rFonts w:ascii="Times New Roman" w:hAnsi="Times New Roman" w:cs="Times New Roman"/>
          <w:sz w:val="24"/>
          <w:szCs w:val="24"/>
          <w:lang w:val="en-US"/>
        </w:rPr>
        <w:t>ection</w:t>
      </w:r>
      <w:r w:rsidR="008219A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1 of §4</w:t>
      </w:r>
      <w:r w:rsidR="00CE3BE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Act CLXV of 2013</w:t>
      </w:r>
      <w:r w:rsidR="0047447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on complaints and public announcements</w:t>
      </w:r>
      <w:r w:rsidR="00F40FAD" w:rsidRPr="00821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7447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20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public announcements can be made also through a </w:t>
      </w:r>
      <w:r w:rsidR="00051E36" w:rsidRPr="008219AE">
        <w:rPr>
          <w:rFonts w:ascii="Times New Roman" w:hAnsi="Times New Roman" w:cs="Times New Roman"/>
          <w:sz w:val="24"/>
          <w:szCs w:val="24"/>
          <w:lang w:val="en-US"/>
        </w:rPr>
        <w:t>secured electronic system. The O</w:t>
      </w:r>
      <w:r w:rsidR="0077220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ffice of the Commissioner for Fundamental Rights operates </w:t>
      </w:r>
      <w:r w:rsidR="0076372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maintains </w:t>
      </w:r>
      <w:r w:rsidR="0077220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electronic system </w:t>
      </w:r>
      <w:r w:rsidR="00051E36" w:rsidRPr="008219A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77220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58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serves for </w:t>
      </w:r>
      <w:r w:rsidR="00051E36" w:rsidRPr="008219AE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7D1AB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E3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registering the </w:t>
      </w:r>
      <w:r w:rsidR="007D1ABD" w:rsidRPr="008219AE"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="00C8158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announcements.</w:t>
      </w:r>
      <w:r w:rsidR="007D1AB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0250" w:rsidRPr="008219AE">
        <w:rPr>
          <w:rFonts w:ascii="Times New Roman" w:hAnsi="Times New Roman" w:cs="Times New Roman"/>
          <w:sz w:val="24"/>
          <w:szCs w:val="24"/>
          <w:lang w:val="en-US"/>
        </w:rPr>
        <w:t>Therefore t</w:t>
      </w:r>
      <w:r w:rsidR="007D1AB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he electronic system </w:t>
      </w:r>
      <w:r w:rsidR="0029025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should be configured </w:t>
      </w:r>
      <w:r w:rsidR="007D1ABD" w:rsidRPr="008219AE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6B0E5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0250" w:rsidRPr="008219AE">
        <w:rPr>
          <w:rFonts w:ascii="Times New Roman" w:hAnsi="Times New Roman" w:cs="Times New Roman"/>
          <w:sz w:val="24"/>
          <w:szCs w:val="24"/>
          <w:lang w:val="en-US"/>
        </w:rPr>
        <w:t>way that the a</w:t>
      </w:r>
      <w:r w:rsidR="00816F96" w:rsidRPr="008219AE">
        <w:rPr>
          <w:rFonts w:ascii="Times New Roman" w:hAnsi="Times New Roman" w:cs="Times New Roman"/>
          <w:sz w:val="24"/>
          <w:szCs w:val="24"/>
          <w:lang w:val="en-US"/>
        </w:rPr>
        <w:t>uthorities can keep contact</w:t>
      </w:r>
      <w:r w:rsidR="0029025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D362B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public announcer </w:t>
      </w:r>
      <w:r w:rsidR="006B0E5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based on the unique identification number and </w:t>
      </w:r>
      <w:r w:rsidR="00761308" w:rsidRPr="008219AE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393A80" w:rsidRPr="008219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6130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password given by </w:t>
      </w:r>
      <w:r w:rsidR="00816F9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B0E57" w:rsidRPr="008219AE">
        <w:rPr>
          <w:rFonts w:ascii="Times New Roman" w:hAnsi="Times New Roman" w:cs="Times New Roman"/>
          <w:sz w:val="24"/>
          <w:szCs w:val="24"/>
          <w:lang w:val="en-US"/>
        </w:rPr>
        <w:t>announcer</w:t>
      </w:r>
      <w:r w:rsidR="00D362BC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93A80" w:rsidRPr="008219AE">
        <w:rPr>
          <w:rStyle w:val="Lbjegyzet-hivatkozs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="009600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F96" w:rsidRPr="008219AE">
        <w:rPr>
          <w:rFonts w:ascii="Times New Roman" w:hAnsi="Times New Roman" w:cs="Times New Roman"/>
          <w:sz w:val="24"/>
          <w:szCs w:val="24"/>
          <w:lang w:val="en-US"/>
        </w:rPr>
        <w:t>At the same time t</w:t>
      </w:r>
      <w:r w:rsidR="00960022" w:rsidRPr="008219AE">
        <w:rPr>
          <w:rFonts w:ascii="Times New Roman" w:hAnsi="Times New Roman" w:cs="Times New Roman"/>
          <w:sz w:val="24"/>
          <w:szCs w:val="24"/>
          <w:lang w:val="en-US"/>
        </w:rPr>
        <w:t>he announcer</w:t>
      </w:r>
      <w:r w:rsidR="003F68F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600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F9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can request that </w:t>
      </w:r>
      <w:r w:rsidR="003F68F6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16F9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personal</w:t>
      </w:r>
      <w:r w:rsidR="009600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1B253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may only</w:t>
      </w:r>
      <w:r w:rsidR="00816F9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1B253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96002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1B253B" w:rsidRPr="008219A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6192F" w:rsidRPr="008219AE">
        <w:rPr>
          <w:rFonts w:ascii="Times New Roman" w:hAnsi="Times New Roman" w:cs="Times New Roman"/>
          <w:sz w:val="24"/>
          <w:szCs w:val="24"/>
          <w:lang w:val="en-US"/>
        </w:rPr>
        <w:t>ommissioner</w:t>
      </w:r>
      <w:r w:rsidR="001B253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and the O</w:t>
      </w:r>
      <w:r w:rsidR="00960022" w:rsidRPr="008219AE">
        <w:rPr>
          <w:rFonts w:ascii="Times New Roman" w:hAnsi="Times New Roman" w:cs="Times New Roman"/>
          <w:sz w:val="24"/>
          <w:szCs w:val="24"/>
          <w:lang w:val="en-US"/>
        </w:rPr>
        <w:t>ffice of the Commissioner for Fundamental Rights.</w:t>
      </w:r>
      <w:r w:rsidR="00EB77B1" w:rsidRPr="008219AE">
        <w:rPr>
          <w:rStyle w:val="Lbjegyzet-hivatkozs"/>
          <w:rFonts w:ascii="Times New Roman" w:hAnsi="Times New Roman" w:cs="Times New Roman"/>
          <w:sz w:val="24"/>
          <w:szCs w:val="24"/>
          <w:lang w:val="en-US"/>
        </w:rPr>
        <w:footnoteReference w:id="4"/>
      </w:r>
      <w:r w:rsidR="000E249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C</w:t>
      </w:r>
      <w:r w:rsidR="0056192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ommissioner for </w:t>
      </w:r>
      <w:r w:rsidR="000E249A" w:rsidRPr="008219A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6192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undamental </w:t>
      </w:r>
      <w:r w:rsidR="000E249A" w:rsidRPr="008219A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6192F" w:rsidRPr="008219AE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B768E3" w:rsidRPr="008219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A1B5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analyzes the practice of handling </w:t>
      </w:r>
      <w:r w:rsidR="00F6110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A1B5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public announcements by other authorities </w:t>
      </w:r>
      <w:r w:rsidR="003F68F6">
        <w:rPr>
          <w:rFonts w:ascii="Times New Roman" w:hAnsi="Times New Roman" w:cs="Times New Roman"/>
          <w:sz w:val="24"/>
          <w:szCs w:val="24"/>
          <w:lang w:val="en-US"/>
        </w:rPr>
        <w:t>in compliance with the</w:t>
      </w:r>
      <w:r w:rsidR="00F6110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law on complaints and public announcements, and if requested,</w:t>
      </w:r>
      <w:r w:rsidR="004A1B5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7023" w:rsidRPr="008219AE">
        <w:rPr>
          <w:rFonts w:ascii="Times New Roman" w:hAnsi="Times New Roman" w:cs="Times New Roman"/>
          <w:sz w:val="24"/>
          <w:szCs w:val="24"/>
          <w:lang w:val="en-US"/>
        </w:rPr>
        <w:t>the proper</w:t>
      </w:r>
      <w:r w:rsidR="004A1B5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management of </w:t>
      </w:r>
      <w:r w:rsidR="00107023" w:rsidRPr="008219AE">
        <w:rPr>
          <w:rFonts w:ascii="Times New Roman" w:hAnsi="Times New Roman" w:cs="Times New Roman"/>
          <w:sz w:val="24"/>
          <w:szCs w:val="24"/>
          <w:lang w:val="en-US"/>
        </w:rPr>
        <w:t>certain public</w:t>
      </w:r>
      <w:r w:rsidR="004A1B5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announcements.</w:t>
      </w:r>
      <w:r w:rsidR="00F00EA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Commissioner for Fundamental Rights maintains the electronic system that serves for publishing and registering the public announcements.</w:t>
      </w:r>
      <w:r w:rsidR="007025EB" w:rsidRPr="008219AE">
        <w:rPr>
          <w:rStyle w:val="Lbjegyzet-hivatkozs"/>
          <w:rFonts w:ascii="Times New Roman" w:hAnsi="Times New Roman" w:cs="Times New Roman"/>
          <w:sz w:val="24"/>
          <w:szCs w:val="24"/>
          <w:lang w:val="en-US"/>
        </w:rPr>
        <w:footnoteReference w:id="5"/>
      </w:r>
      <w:r w:rsidR="005B182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50D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4EA" w:rsidRPr="008219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350D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C0D" w:rsidRPr="008219AE">
        <w:rPr>
          <w:rFonts w:ascii="Times New Roman" w:hAnsi="Times New Roman" w:cs="Times New Roman"/>
          <w:sz w:val="24"/>
          <w:szCs w:val="24"/>
          <w:lang w:val="en-US"/>
        </w:rPr>
        <w:t>employees of the Office of the Commissioner for Fundamental R</w:t>
      </w:r>
      <w:r w:rsidR="000350D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ights </w:t>
      </w:r>
      <w:r w:rsidR="00AE5C0D" w:rsidRPr="008219AE">
        <w:rPr>
          <w:rFonts w:ascii="Times New Roman" w:hAnsi="Times New Roman" w:cs="Times New Roman"/>
          <w:sz w:val="24"/>
          <w:szCs w:val="24"/>
          <w:lang w:val="en-US"/>
        </w:rPr>
        <w:t>dealing with</w:t>
      </w:r>
      <w:r w:rsidR="000350D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direct examination of the public announcement</w:t>
      </w:r>
      <w:r w:rsidR="00AE5C0D" w:rsidRPr="008219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350D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2A3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exercise their functions under </w:t>
      </w:r>
      <w:r w:rsidR="00DD2D4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security clearance </w:t>
      </w:r>
      <w:r w:rsidR="003224EA" w:rsidRPr="008219AE">
        <w:rPr>
          <w:rFonts w:ascii="Times New Roman" w:hAnsi="Times New Roman" w:cs="Times New Roman"/>
          <w:sz w:val="24"/>
          <w:szCs w:val="24"/>
          <w:lang w:val="en-US"/>
        </w:rPr>
        <w:t>and possess personal security certification.</w:t>
      </w:r>
    </w:p>
    <w:p w:rsidR="002E6385" w:rsidRPr="008219AE" w:rsidRDefault="00855A52" w:rsidP="00935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Office of Justice – under the governance </w:t>
      </w:r>
      <w:r w:rsidR="0035667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752A39" w:rsidRPr="008219AE">
        <w:rPr>
          <w:rFonts w:ascii="Times New Roman" w:hAnsi="Times New Roman" w:cs="Times New Roman"/>
          <w:sz w:val="24"/>
          <w:szCs w:val="24"/>
          <w:lang w:val="en-US"/>
        </w:rPr>
        <w:t>Minister of J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ustice </w:t>
      </w:r>
      <w:r w:rsidR="00763721" w:rsidRPr="008219A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provides </w:t>
      </w:r>
      <w:r w:rsidR="002E638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victim </w:t>
      </w:r>
      <w:r w:rsidR="00752A39" w:rsidRPr="008219AE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1767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In this </w:t>
      </w:r>
      <w:r w:rsidR="00096B5F" w:rsidRPr="008219AE">
        <w:rPr>
          <w:rFonts w:ascii="Times New Roman" w:hAnsi="Times New Roman" w:cs="Times New Roman"/>
          <w:sz w:val="24"/>
          <w:szCs w:val="24"/>
          <w:lang w:val="en-US"/>
        </w:rPr>
        <w:t>framework,</w:t>
      </w:r>
      <w:r w:rsidR="00E1767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O</w:t>
      </w:r>
      <w:r w:rsidR="00926CE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ffice </w:t>
      </w:r>
      <w:r w:rsidR="00096B5F" w:rsidRPr="008219AE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926CE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="00096B5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about the rights and possibilities</w:t>
      </w:r>
      <w:r w:rsidR="00926CE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B5F" w:rsidRPr="008219A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6CE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victim</w:t>
      </w:r>
      <w:r w:rsidR="00096B5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 of criminal acts and offences </w:t>
      </w:r>
      <w:r w:rsidR="00926CE8" w:rsidRPr="008219AE">
        <w:rPr>
          <w:rFonts w:ascii="Times New Roman" w:hAnsi="Times New Roman" w:cs="Times New Roman"/>
          <w:sz w:val="24"/>
          <w:szCs w:val="24"/>
          <w:lang w:val="en-US"/>
        </w:rPr>
        <w:t>against property</w:t>
      </w:r>
      <w:r w:rsidR="00096B5F" w:rsidRPr="008219AE">
        <w:rPr>
          <w:rFonts w:ascii="Times New Roman" w:hAnsi="Times New Roman" w:cs="Times New Roman"/>
          <w:sz w:val="24"/>
          <w:szCs w:val="24"/>
          <w:lang w:val="en-US"/>
        </w:rPr>
        <w:t>. It</w:t>
      </w:r>
      <w:r w:rsidR="00926CE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provides emotional support; facilitates the vindication of interest</w:t>
      </w:r>
      <w:r w:rsidR="000914C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181C84" w:rsidRPr="008219AE">
        <w:rPr>
          <w:rFonts w:ascii="Times New Roman" w:hAnsi="Times New Roman" w:cs="Times New Roman"/>
          <w:sz w:val="24"/>
          <w:szCs w:val="24"/>
          <w:lang w:val="en-US"/>
        </w:rPr>
        <w:t>provides legal assistance</w:t>
      </w:r>
      <w:r w:rsidR="0013147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if </w:t>
      </w:r>
      <w:r w:rsidR="00D61ED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3F68F6">
        <w:rPr>
          <w:rFonts w:ascii="Times New Roman" w:hAnsi="Times New Roman" w:cs="Times New Roman"/>
          <w:sz w:val="24"/>
          <w:szCs w:val="24"/>
          <w:lang w:val="en-US"/>
        </w:rPr>
        <w:t>even an attorney. I</w:t>
      </w:r>
      <w:r w:rsidR="0003071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n case of crisis, </w:t>
      </w:r>
      <w:r w:rsidR="007F2D3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it can provide </w:t>
      </w:r>
      <w:r w:rsidR="0035667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immediate financial aid </w:t>
      </w:r>
      <w:r w:rsidR="0003071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35667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3071D" w:rsidRPr="008219AE">
        <w:rPr>
          <w:rFonts w:ascii="Times New Roman" w:hAnsi="Times New Roman" w:cs="Times New Roman"/>
          <w:sz w:val="24"/>
          <w:szCs w:val="24"/>
          <w:lang w:val="en-US"/>
        </w:rPr>
        <w:t>request</w:t>
      </w:r>
      <w:r w:rsidR="0035667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submitted </w:t>
      </w:r>
      <w:r w:rsidR="0013147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within 5 days </w:t>
      </w:r>
      <w:r w:rsidR="0003071D" w:rsidRPr="008219A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F2D3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721" w:rsidRPr="008219AE">
        <w:rPr>
          <w:rFonts w:ascii="Times New Roman" w:hAnsi="Times New Roman" w:cs="Times New Roman"/>
          <w:sz w:val="24"/>
          <w:szCs w:val="24"/>
          <w:lang w:val="en-US"/>
        </w:rPr>
        <w:t>perpetration</w:t>
      </w:r>
      <w:r w:rsidR="007F2D3D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91594" w:rsidRPr="008219AE" w:rsidRDefault="00E17671" w:rsidP="002E6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372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witness</w:t>
      </w:r>
      <w:r w:rsidR="00590B3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protection</w:t>
      </w:r>
      <w:r w:rsidR="0076372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and victim </w:t>
      </w:r>
      <w:r w:rsidR="00590B3F" w:rsidRPr="008219AE">
        <w:rPr>
          <w:rFonts w:ascii="Times New Roman" w:hAnsi="Times New Roman" w:cs="Times New Roman"/>
          <w:sz w:val="24"/>
          <w:szCs w:val="24"/>
          <w:lang w:val="en-US"/>
        </w:rPr>
        <w:t>assistance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B3F" w:rsidRPr="008219AE">
        <w:rPr>
          <w:rFonts w:ascii="Times New Roman" w:hAnsi="Times New Roman" w:cs="Times New Roman"/>
          <w:sz w:val="24"/>
          <w:szCs w:val="24"/>
          <w:lang w:val="en-US"/>
        </w:rPr>
        <w:t>is the priority of the President of the National Office for the Judiciary (NOJ) and it has become</w:t>
      </w:r>
      <w:r w:rsidR="0076372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B3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63721" w:rsidRPr="008219AE">
        <w:rPr>
          <w:rFonts w:ascii="Times New Roman" w:hAnsi="Times New Roman" w:cs="Times New Roman"/>
          <w:sz w:val="24"/>
          <w:szCs w:val="24"/>
          <w:lang w:val="en-US"/>
        </w:rPr>
        <w:t>nationwide</w:t>
      </w:r>
      <w:r w:rsidR="00590B3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0B3F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More information about the program 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the current accomplishments </w:t>
      </w:r>
      <w:r w:rsidR="005A50E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the reports of the President of NOJ are available </w:t>
      </w:r>
      <w:r w:rsidR="00454766" w:rsidRPr="008219AE">
        <w:rPr>
          <w:rFonts w:ascii="Times New Roman" w:hAnsi="Times New Roman" w:cs="Times New Roman"/>
          <w:sz w:val="24"/>
          <w:szCs w:val="24"/>
          <w:lang w:val="en-US"/>
        </w:rPr>
        <w:t>on the webpage of the NOJ (</w:t>
      </w:r>
      <w:r w:rsidR="005A50E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http://birosag.hu/en). </w:t>
      </w:r>
      <w:r w:rsidR="00454766" w:rsidRPr="008219AE">
        <w:rPr>
          <w:rFonts w:ascii="Times New Roman" w:hAnsi="Times New Roman" w:cs="Times New Roman"/>
          <w:sz w:val="24"/>
          <w:szCs w:val="24"/>
          <w:lang w:val="en-US"/>
        </w:rPr>
        <w:t>The court</w:t>
      </w:r>
      <w:r w:rsidR="005A50E8" w:rsidRPr="008219AE">
        <w:rPr>
          <w:rFonts w:ascii="Times New Roman" w:hAnsi="Times New Roman" w:cs="Times New Roman"/>
          <w:sz w:val="24"/>
          <w:szCs w:val="24"/>
          <w:lang w:val="en-US"/>
        </w:rPr>
        <w:t>s publish</w:t>
      </w:r>
      <w:r w:rsidR="004547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A50E8" w:rsidRPr="008219AE">
        <w:rPr>
          <w:rFonts w:ascii="Times New Roman" w:hAnsi="Times New Roman" w:cs="Times New Roman"/>
          <w:sz w:val="24"/>
          <w:szCs w:val="24"/>
          <w:lang w:val="en-US"/>
        </w:rPr>
        <w:t>contact information</w:t>
      </w:r>
      <w:r w:rsidR="004547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caretakers</w:t>
      </w:r>
      <w:r w:rsidR="005A50E8" w:rsidRPr="008219AE">
        <w:rPr>
          <w:rFonts w:ascii="Times New Roman" w:hAnsi="Times New Roman" w:cs="Times New Roman"/>
          <w:sz w:val="24"/>
          <w:szCs w:val="24"/>
          <w:lang w:val="en-US"/>
        </w:rPr>
        <w:t>’ of witnesses on that</w:t>
      </w:r>
      <w:r w:rsidR="0045476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webpage</w:t>
      </w:r>
      <w:r w:rsidR="005A50E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as well</w:t>
      </w:r>
      <w:r w:rsidR="00454766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42DA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50E8" w:rsidRPr="008219AE">
        <w:rPr>
          <w:rFonts w:ascii="Times New Roman" w:hAnsi="Times New Roman" w:cs="Times New Roman"/>
          <w:sz w:val="24"/>
          <w:szCs w:val="24"/>
          <w:lang w:val="en-US"/>
        </w:rPr>
        <w:t>The training of professionals</w:t>
      </w:r>
      <w:r w:rsidR="0057741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has particular importance; </w:t>
      </w:r>
      <w:r w:rsidR="00642DA5" w:rsidRPr="008219AE">
        <w:rPr>
          <w:rFonts w:ascii="Times New Roman" w:hAnsi="Times New Roman" w:cs="Times New Roman"/>
          <w:sz w:val="24"/>
          <w:szCs w:val="24"/>
          <w:lang w:val="en-US"/>
        </w:rPr>
        <w:t>separate program</w:t>
      </w:r>
      <w:r w:rsidR="00577417" w:rsidRPr="008219AE">
        <w:rPr>
          <w:rFonts w:ascii="Times New Roman" w:hAnsi="Times New Roman" w:cs="Times New Roman"/>
          <w:sz w:val="24"/>
          <w:szCs w:val="24"/>
          <w:lang w:val="en-US"/>
        </w:rPr>
        <w:t>s exist to improve</w:t>
      </w:r>
      <w:r w:rsidR="00642DA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41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sensitivity of judges towards </w:t>
      </w:r>
      <w:r w:rsidR="000701C5" w:rsidRPr="008219AE">
        <w:rPr>
          <w:rFonts w:ascii="Times New Roman" w:hAnsi="Times New Roman" w:cs="Times New Roman"/>
          <w:sz w:val="24"/>
          <w:szCs w:val="24"/>
          <w:lang w:val="en-US"/>
        </w:rPr>
        <w:t>the victims</w:t>
      </w:r>
      <w:r w:rsidR="0057741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and members of</w:t>
      </w:r>
      <w:r w:rsidR="00642DA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vulnerable group</w:t>
      </w:r>
      <w:r w:rsidR="00577417" w:rsidRPr="008219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42DA5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12B9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25225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the strategic goals of the P</w:t>
      </w:r>
      <w:r w:rsidR="00D12B98" w:rsidRPr="008219AE">
        <w:rPr>
          <w:rFonts w:ascii="Times New Roman" w:hAnsi="Times New Roman" w:cs="Times New Roman"/>
          <w:sz w:val="24"/>
          <w:szCs w:val="24"/>
          <w:lang w:val="en-US"/>
        </w:rPr>
        <w:t>resident of the NOJ is</w:t>
      </w:r>
      <w:r w:rsidR="0025225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E61A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225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facilitate the </w:t>
      </w:r>
      <w:r w:rsidR="002E61A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accessibility of courts, </w:t>
      </w:r>
      <w:r w:rsidR="003C37C3" w:rsidRPr="008219AE">
        <w:rPr>
          <w:rFonts w:ascii="Times New Roman" w:hAnsi="Times New Roman" w:cs="Times New Roman"/>
          <w:sz w:val="24"/>
          <w:szCs w:val="24"/>
          <w:lang w:val="en-US"/>
        </w:rPr>
        <w:t>raise</w:t>
      </w:r>
      <w:r w:rsidR="0025225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awareness</w:t>
      </w:r>
      <w:r w:rsidR="002E61A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the clients</w:t>
      </w:r>
      <w:r w:rsidR="0025225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and c</w:t>
      </w:r>
      <w:r w:rsidR="003C37C3" w:rsidRPr="008219AE">
        <w:rPr>
          <w:rFonts w:ascii="Times New Roman" w:hAnsi="Times New Roman" w:cs="Times New Roman"/>
          <w:sz w:val="24"/>
          <w:szCs w:val="24"/>
          <w:lang w:val="en-US"/>
        </w:rPr>
        <w:t>ostumer contact information</w:t>
      </w:r>
      <w:r w:rsidR="002E61A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3320FB" w:rsidRPr="008219AE">
        <w:rPr>
          <w:rFonts w:ascii="Times New Roman" w:hAnsi="Times New Roman" w:cs="Times New Roman"/>
          <w:sz w:val="24"/>
          <w:szCs w:val="24"/>
          <w:lang w:val="en-US"/>
        </w:rPr>
        <w:t>structures of the courts together with the</w:t>
      </w:r>
      <w:r w:rsidR="003C37C3" w:rsidRPr="008219A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3320F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official webpages are</w:t>
      </w:r>
      <w:r w:rsidR="00497CC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0FB" w:rsidRPr="008219AE">
        <w:rPr>
          <w:rFonts w:ascii="Times New Roman" w:hAnsi="Times New Roman" w:cs="Times New Roman"/>
          <w:sz w:val="24"/>
          <w:szCs w:val="24"/>
          <w:lang w:val="en-US"/>
        </w:rPr>
        <w:t>designed by</w:t>
      </w:r>
      <w:r w:rsidR="003F68F6">
        <w:rPr>
          <w:rFonts w:ascii="Times New Roman" w:hAnsi="Times New Roman" w:cs="Times New Roman"/>
          <w:sz w:val="24"/>
          <w:szCs w:val="24"/>
          <w:lang w:val="en-US"/>
        </w:rPr>
        <w:t xml:space="preserve"> prioritizing</w:t>
      </w:r>
      <w:r w:rsidR="003C37C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0FB" w:rsidRPr="008219AE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2E61A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7C3" w:rsidRPr="008219AE">
        <w:rPr>
          <w:rFonts w:ascii="Times New Roman" w:hAnsi="Times New Roman" w:cs="Times New Roman"/>
          <w:sz w:val="24"/>
          <w:szCs w:val="24"/>
          <w:lang w:val="en-US"/>
        </w:rPr>
        <w:t>viewpoints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>. These webpages</w:t>
      </w:r>
      <w:r w:rsidR="003320FB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>advance</w:t>
      </w:r>
      <w:r w:rsidR="000B501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citizen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>s’</w:t>
      </w:r>
      <w:r w:rsidR="000B501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legal awareness by providing comp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>rehensive information which is</w:t>
      </w:r>
      <w:r w:rsidR="000B501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one of the foundations of the </w:t>
      </w:r>
      <w:r w:rsidR="000B5010" w:rsidRPr="008219AE">
        <w:rPr>
          <w:rFonts w:ascii="Times New Roman" w:hAnsi="Times New Roman" w:cs="Times New Roman"/>
          <w:sz w:val="24"/>
          <w:szCs w:val="24"/>
          <w:lang w:val="en-US"/>
        </w:rPr>
        <w:t>fundamental rights.</w:t>
      </w:r>
      <w:r w:rsidR="00E132E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10253" w:rsidRPr="008219AE" w:rsidRDefault="00986D30" w:rsidP="002E6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Question 10</w:t>
      </w:r>
      <w:r w:rsidR="00E10253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E1025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>Due to the right of</w:t>
      </w:r>
      <w:r w:rsidR="00E1025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supervision</w:t>
      </w:r>
      <w:r w:rsidR="00C9213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>the P</w:t>
      </w:r>
      <w:r w:rsidR="00E1025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rosecutor 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>can monitor t</w:t>
      </w:r>
      <w:r w:rsidR="00E1025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>execution</w:t>
      </w:r>
      <w:r w:rsidR="00E1025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10253" w:rsidRPr="008219AE">
        <w:rPr>
          <w:rFonts w:ascii="Times New Roman" w:hAnsi="Times New Roman" w:cs="Times New Roman"/>
          <w:sz w:val="24"/>
          <w:szCs w:val="24"/>
          <w:lang w:val="en-US"/>
        </w:rPr>
        <w:t>sanctions and restrictions of rights</w:t>
      </w:r>
      <w:r w:rsidR="000709B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anytime and anyplace</w:t>
      </w:r>
      <w:r w:rsidR="005A6B31" w:rsidRPr="00821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025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9B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 w:rsidR="00E1025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treatment of prisoners, </w:t>
      </w:r>
      <w:r w:rsidR="000709B4" w:rsidRPr="008219AE">
        <w:rPr>
          <w:rFonts w:ascii="Times New Roman" w:hAnsi="Times New Roman" w:cs="Times New Roman"/>
          <w:sz w:val="24"/>
          <w:szCs w:val="24"/>
          <w:lang w:val="en-US"/>
        </w:rPr>
        <w:t>and the</w:t>
      </w:r>
      <w:r w:rsidR="00C9213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application of </w:t>
      </w:r>
      <w:r w:rsidR="000709B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92138" w:rsidRPr="008219AE">
        <w:rPr>
          <w:rFonts w:ascii="Times New Roman" w:hAnsi="Times New Roman" w:cs="Times New Roman"/>
          <w:sz w:val="24"/>
          <w:szCs w:val="24"/>
          <w:lang w:val="en-US"/>
        </w:rPr>
        <w:t>protection of rights of prisoners</w:t>
      </w:r>
      <w:r w:rsidR="000709B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defined by the law</w:t>
      </w:r>
      <w:r w:rsidR="00C9213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92138" w:rsidRPr="008219AE">
        <w:rPr>
          <w:rFonts w:ascii="Times New Roman" w:hAnsi="Times New Roman" w:cs="Times New Roman"/>
          <w:sz w:val="24"/>
          <w:szCs w:val="24"/>
          <w:lang w:val="en-US"/>
        </w:rPr>
        <w:lastRenderedPageBreak/>
        <w:t>Monitoring the legality of prisoners’ treatment</w:t>
      </w:r>
      <w:r w:rsidR="0003288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at all detention places</w:t>
      </w:r>
      <w:r w:rsidR="00C9213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32881" w:rsidRPr="008219AE">
        <w:rPr>
          <w:rFonts w:ascii="Times New Roman" w:hAnsi="Times New Roman" w:cs="Times New Roman"/>
          <w:sz w:val="24"/>
          <w:szCs w:val="24"/>
          <w:lang w:val="en-US"/>
        </w:rPr>
        <w:t>a priority</w:t>
      </w:r>
      <w:r w:rsidR="00C92138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task of the prosecutor</w:t>
      </w:r>
      <w:r w:rsidR="0003288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7A1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in accordance with </w:t>
      </w:r>
      <w:r w:rsidR="00067DE7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B7A19" w:rsidRPr="008219AE">
        <w:rPr>
          <w:rFonts w:ascii="Times New Roman" w:hAnsi="Times New Roman" w:cs="Times New Roman"/>
          <w:sz w:val="24"/>
          <w:szCs w:val="24"/>
          <w:lang w:val="en-US"/>
        </w:rPr>
        <w:t>recommendation of the</w:t>
      </w:r>
      <w:r w:rsidR="0003288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Council of Europe anti-torture Committee</w:t>
      </w:r>
      <w:r w:rsidR="005B7A19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7DE7" w:rsidRPr="008219AE" w:rsidRDefault="004864A2" w:rsidP="002E6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During the inspection, the supervisor prose</w:t>
      </w:r>
      <w:r w:rsidR="0003288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cutors take extra care of the exploration of illicit 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>relations</w:t>
      </w:r>
      <w:r w:rsidR="00032881" w:rsidRPr="008219AE">
        <w:rPr>
          <w:rFonts w:ascii="Times New Roman" w:hAnsi="Times New Roman" w:cs="Times New Roman"/>
          <w:sz w:val="24"/>
          <w:szCs w:val="24"/>
          <w:lang w:val="en-US"/>
        </w:rPr>
        <w:t>hips</w:t>
      </w:r>
      <w:r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between the prisoners and prison staff and </w:t>
      </w:r>
      <w:r w:rsidR="00032881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that of </w:t>
      </w:r>
      <w:r w:rsidR="00C046EE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corruption 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crimes. The regular monitoring </w:t>
      </w:r>
      <w:r w:rsidR="00D929FD" w:rsidRPr="008219AE">
        <w:rPr>
          <w:rFonts w:ascii="Times New Roman" w:hAnsi="Times New Roman" w:cs="Times New Roman"/>
          <w:sz w:val="24"/>
          <w:szCs w:val="24"/>
          <w:lang w:val="en-US"/>
        </w:rPr>
        <w:t>contributes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D929FD" w:rsidRPr="008219AE">
        <w:rPr>
          <w:rFonts w:ascii="Times New Roman" w:hAnsi="Times New Roman" w:cs="Times New Roman"/>
          <w:sz w:val="24"/>
          <w:szCs w:val="24"/>
          <w:lang w:val="en-US"/>
        </w:rPr>
        <w:t>the exploration of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corruption crimes in connection with the abusive treatment of the prisoners: </w:t>
      </w:r>
      <w:r w:rsidR="00D929FD" w:rsidRPr="008219AE">
        <w:rPr>
          <w:rFonts w:ascii="Times New Roman" w:hAnsi="Times New Roman" w:cs="Times New Roman"/>
          <w:sz w:val="24"/>
          <w:szCs w:val="24"/>
          <w:lang w:val="en-US"/>
        </w:rPr>
        <w:t>supervisor prosecutors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65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D929FD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twice </w:t>
      </w:r>
      <w:r w:rsidR="005E62EA" w:rsidRPr="008219AE">
        <w:rPr>
          <w:rFonts w:ascii="Times New Roman" w:hAnsi="Times New Roman" w:cs="Times New Roman"/>
          <w:sz w:val="24"/>
          <w:szCs w:val="24"/>
          <w:lang w:val="en-US"/>
        </w:rPr>
        <w:t>every</w:t>
      </w:r>
      <w:r w:rsidR="0023565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month that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65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929FD" w:rsidRPr="008219A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>etention</w:t>
      </w:r>
      <w:r w:rsidR="0023565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circumstances are adequate to the relevant law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34E64" w:rsidRPr="008219AE">
        <w:rPr>
          <w:rFonts w:ascii="Times New Roman" w:hAnsi="Times New Roman" w:cs="Times New Roman"/>
          <w:sz w:val="24"/>
          <w:szCs w:val="24"/>
          <w:lang w:val="en-US"/>
        </w:rPr>
        <w:t>During the m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onitoring </w:t>
      </w:r>
      <w:r w:rsidR="00B34E6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treatment of the prisoners, the prosecutor </w:t>
      </w:r>
      <w:r w:rsidR="00B34E64" w:rsidRPr="008219AE">
        <w:rPr>
          <w:rFonts w:ascii="Times New Roman" w:hAnsi="Times New Roman" w:cs="Times New Roman"/>
          <w:sz w:val="24"/>
          <w:szCs w:val="24"/>
          <w:lang w:val="en-US"/>
        </w:rPr>
        <w:t>holds auditions</w:t>
      </w:r>
      <w:r w:rsidR="0023565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not only</w:t>
      </w:r>
      <w:r w:rsidR="00B34E6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prisoners </w:t>
      </w:r>
      <w:r w:rsidR="00B34E64" w:rsidRPr="008219AE">
        <w:rPr>
          <w:rFonts w:ascii="Times New Roman" w:hAnsi="Times New Roman" w:cs="Times New Roman"/>
          <w:sz w:val="24"/>
          <w:szCs w:val="24"/>
          <w:lang w:val="en-US"/>
        </w:rPr>
        <w:t>who applied for a hearing</w:t>
      </w:r>
      <w:r w:rsidR="004E47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34E6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565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but also for 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>randomly selected</w:t>
      </w:r>
      <w:r w:rsidR="00230520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prisoners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If </w:t>
      </w:r>
      <w:r w:rsidR="00235656" w:rsidRPr="008219A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rando</w:t>
      </w:r>
      <w:r w:rsidR="00E35472" w:rsidRPr="008219AE">
        <w:rPr>
          <w:rFonts w:ascii="Times New Roman" w:hAnsi="Times New Roman" w:cs="Times New Roman"/>
          <w:sz w:val="24"/>
          <w:szCs w:val="24"/>
          <w:lang w:val="en-US"/>
        </w:rPr>
        <w:t>mly selected prisoner submits a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472" w:rsidRPr="008219AE">
        <w:rPr>
          <w:rFonts w:ascii="Times New Roman" w:hAnsi="Times New Roman" w:cs="Times New Roman"/>
          <w:sz w:val="24"/>
          <w:szCs w:val="24"/>
          <w:lang w:val="en-US"/>
        </w:rPr>
        <w:t>request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the prosecutor </w:t>
      </w:r>
      <w:r w:rsidR="00E35472" w:rsidRPr="008219AE">
        <w:rPr>
          <w:rFonts w:ascii="Times New Roman" w:hAnsi="Times New Roman" w:cs="Times New Roman"/>
          <w:sz w:val="24"/>
          <w:szCs w:val="24"/>
          <w:lang w:val="en-US"/>
        </w:rPr>
        <w:t>prepares</w:t>
      </w:r>
      <w:r w:rsidR="004815F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a note of the hearing</w:t>
      </w:r>
      <w:r w:rsidR="0066259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If the prosecutor </w:t>
      </w:r>
      <w:r w:rsidR="00EE6B19" w:rsidRPr="008219AE">
        <w:rPr>
          <w:rFonts w:ascii="Times New Roman" w:hAnsi="Times New Roman" w:cs="Times New Roman"/>
          <w:sz w:val="24"/>
          <w:szCs w:val="24"/>
          <w:lang w:val="en-US"/>
        </w:rPr>
        <w:t>suspect</w:t>
      </w:r>
      <w:r w:rsidR="00662596" w:rsidRPr="008219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E6B1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criminal activity,</w:t>
      </w:r>
      <w:r w:rsidR="0066259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then</w:t>
      </w:r>
      <w:r w:rsidR="00EE6B1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3014" w:rsidRPr="008219AE">
        <w:rPr>
          <w:rFonts w:ascii="Times New Roman" w:hAnsi="Times New Roman" w:cs="Times New Roman"/>
          <w:sz w:val="24"/>
          <w:szCs w:val="24"/>
          <w:lang w:val="en-US"/>
        </w:rPr>
        <w:t>the note is sent to the</w:t>
      </w:r>
      <w:r w:rsidR="00E3547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competent</w:t>
      </w:r>
      <w:r w:rsidR="0090301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investigating authority with</w:t>
      </w:r>
      <w:r w:rsidR="004E4739">
        <w:rPr>
          <w:rFonts w:ascii="Times New Roman" w:hAnsi="Times New Roman" w:cs="Times New Roman"/>
          <w:sz w:val="24"/>
          <w:szCs w:val="24"/>
          <w:lang w:val="en-US"/>
        </w:rPr>
        <w:t xml:space="preserve"> the required</w:t>
      </w:r>
      <w:r w:rsidR="00903014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jurisdiction. The regulation and practice of the supervising </w:t>
      </w:r>
      <w:r w:rsidR="004E4739">
        <w:rPr>
          <w:rFonts w:ascii="Times New Roman" w:hAnsi="Times New Roman" w:cs="Times New Roman"/>
          <w:sz w:val="24"/>
          <w:szCs w:val="24"/>
          <w:lang w:val="en-US"/>
        </w:rPr>
        <w:t xml:space="preserve">prosecutors </w:t>
      </w:r>
      <w:r w:rsidR="00E3547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serve </w:t>
      </w:r>
      <w:r w:rsidR="00662596" w:rsidRPr="008219AE">
        <w:rPr>
          <w:rFonts w:ascii="Times New Roman" w:hAnsi="Times New Roman" w:cs="Times New Roman"/>
          <w:sz w:val="24"/>
          <w:szCs w:val="24"/>
          <w:lang w:val="en-US"/>
        </w:rPr>
        <w:t>effectively</w:t>
      </w:r>
      <w:r w:rsidR="00E35472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3014" w:rsidRPr="008219AE">
        <w:rPr>
          <w:rFonts w:ascii="Times New Roman" w:hAnsi="Times New Roman" w:cs="Times New Roman"/>
          <w:sz w:val="24"/>
          <w:szCs w:val="24"/>
          <w:lang w:val="en-US"/>
        </w:rPr>
        <w:t>the prevention and exploration of corruption crimes.</w:t>
      </w:r>
    </w:p>
    <w:p w:rsidR="00903014" w:rsidRDefault="00903014" w:rsidP="002E6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19AE">
        <w:rPr>
          <w:rFonts w:ascii="Times New Roman" w:hAnsi="Times New Roman" w:cs="Times New Roman"/>
          <w:sz w:val="24"/>
          <w:szCs w:val="24"/>
          <w:lang w:val="en-US"/>
        </w:rPr>
        <w:t>In 2011</w:t>
      </w:r>
      <w:r w:rsidR="00B726E5" w:rsidRPr="00821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62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under the</w:t>
      </w:r>
      <w:r w:rsidR="00B726E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2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supervision of the minister of interior, </w:t>
      </w:r>
      <w:r w:rsidR="0066259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National Protective Service (NPS) was established to </w:t>
      </w:r>
      <w:r w:rsidR="005E62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contribute to </w:t>
      </w:r>
      <w:r w:rsidR="00B726E5" w:rsidRPr="008219AE">
        <w:rPr>
          <w:rFonts w:ascii="Times New Roman" w:hAnsi="Times New Roman" w:cs="Times New Roman"/>
          <w:sz w:val="24"/>
          <w:szCs w:val="24"/>
          <w:lang w:val="en-US"/>
        </w:rPr>
        <w:t>the integrity of the administrative organizations</w:t>
      </w:r>
      <w:r w:rsidR="005E62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The NPS </w:t>
      </w:r>
      <w:r w:rsidR="00B726E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serves as an internal crime prevention and exploration authority. The NPS </w:t>
      </w:r>
      <w:r w:rsidR="005E62EA" w:rsidRPr="008219AE">
        <w:rPr>
          <w:rFonts w:ascii="Times New Roman" w:hAnsi="Times New Roman" w:cs="Times New Roman"/>
          <w:sz w:val="24"/>
          <w:szCs w:val="24"/>
          <w:lang w:val="en-US"/>
        </w:rPr>
        <w:t>monitors and ensures</w:t>
      </w:r>
      <w:r w:rsidR="00B726E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9AE" w:rsidRPr="008219AE">
        <w:rPr>
          <w:rFonts w:ascii="Times New Roman" w:hAnsi="Times New Roman" w:cs="Times New Roman"/>
          <w:sz w:val="24"/>
          <w:szCs w:val="24"/>
          <w:lang w:val="en-US"/>
        </w:rPr>
        <w:t>whether</w:t>
      </w:r>
      <w:r w:rsidR="005E62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726E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lifestyle of the applicants and the staff of the law enforcement agencies</w:t>
      </w:r>
      <w:r w:rsidR="008219AE" w:rsidRPr="008219A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E62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9AE" w:rsidRPr="008219A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E62EA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1625" w:rsidRPr="008219AE">
        <w:rPr>
          <w:rFonts w:ascii="Times New Roman" w:hAnsi="Times New Roman" w:cs="Times New Roman"/>
          <w:sz w:val="24"/>
          <w:szCs w:val="24"/>
          <w:lang w:val="en-US"/>
        </w:rPr>
        <w:t>impeccable</w:t>
      </w:r>
      <w:r w:rsidR="00B726E5" w:rsidRPr="008219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06B0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Beside</w:t>
      </w:r>
      <w:r w:rsidR="00691625" w:rsidRPr="008219A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6B0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, the NPS tests the </w:t>
      </w:r>
      <w:r w:rsidR="00230520" w:rsidRPr="008219AE">
        <w:rPr>
          <w:rFonts w:ascii="Times New Roman" w:hAnsi="Times New Roman" w:cs="Times New Roman"/>
          <w:sz w:val="24"/>
          <w:szCs w:val="24"/>
          <w:lang w:val="en-US"/>
        </w:rPr>
        <w:t>integri</w:t>
      </w:r>
      <w:r w:rsidR="00506B0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ty of the staff </w:t>
      </w:r>
      <w:r w:rsidR="00C922C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member of protected organization </w:t>
      </w:r>
      <w:r w:rsidR="00506B0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22C9" w:rsidRPr="008219AE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0D439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duty is to explore</w:t>
      </w:r>
      <w:r w:rsidR="00506B0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D4393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crimes specified by the relevant law, which are </w:t>
      </w:r>
      <w:r w:rsidR="00506B0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committed by or against </w:t>
      </w:r>
      <w:r w:rsidR="00C922C9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06B0C" w:rsidRPr="008219AE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="004E4739">
        <w:rPr>
          <w:rFonts w:ascii="Times New Roman" w:hAnsi="Times New Roman" w:cs="Times New Roman"/>
          <w:sz w:val="24"/>
          <w:szCs w:val="24"/>
          <w:lang w:val="en-US"/>
        </w:rPr>
        <w:t xml:space="preserve"> members</w:t>
      </w:r>
      <w:r w:rsidR="00506B0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922C9" w:rsidRPr="008219AE">
        <w:rPr>
          <w:rFonts w:ascii="Times New Roman" w:hAnsi="Times New Roman" w:cs="Times New Roman"/>
          <w:sz w:val="24"/>
          <w:szCs w:val="24"/>
          <w:lang w:val="en-GB"/>
        </w:rPr>
        <w:t xml:space="preserve">The aim of the integrity tests is to check up on the reaction of the staff members in ‘created situations’ and to </w:t>
      </w:r>
      <w:r w:rsidR="00EE41C5" w:rsidRPr="008219AE">
        <w:rPr>
          <w:rFonts w:ascii="Times New Roman" w:hAnsi="Times New Roman" w:cs="Times New Roman"/>
          <w:sz w:val="24"/>
          <w:szCs w:val="24"/>
          <w:lang w:val="en-GB"/>
        </w:rPr>
        <w:t>sort</w:t>
      </w:r>
      <w:r w:rsidR="00EE41C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out the corrupt public servants. The </w:t>
      </w:r>
      <w:r w:rsidR="00230520" w:rsidRPr="008219AE">
        <w:rPr>
          <w:rFonts w:ascii="Times New Roman" w:hAnsi="Times New Roman" w:cs="Times New Roman"/>
          <w:sz w:val="24"/>
          <w:szCs w:val="24"/>
          <w:lang w:val="en-US"/>
        </w:rPr>
        <w:t>integri</w:t>
      </w:r>
      <w:r w:rsidR="00EE41C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ty test and the following procedure is approved and supervised by the prosecutor for the lawful execution of the test. The </w:t>
      </w:r>
      <w:r w:rsidR="00230520" w:rsidRPr="008219AE">
        <w:rPr>
          <w:rFonts w:ascii="Times New Roman" w:hAnsi="Times New Roman" w:cs="Times New Roman"/>
          <w:sz w:val="24"/>
          <w:szCs w:val="24"/>
          <w:lang w:val="en-US"/>
        </w:rPr>
        <w:t>integr</w:t>
      </w:r>
      <w:r w:rsidR="00EE41C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ity test </w:t>
      </w:r>
      <w:r w:rsidR="0057132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results in a </w:t>
      </w:r>
      <w:r w:rsidR="00EE41C5" w:rsidRPr="008219AE">
        <w:rPr>
          <w:rFonts w:ascii="Times New Roman" w:hAnsi="Times New Roman" w:cs="Times New Roman"/>
          <w:sz w:val="24"/>
          <w:szCs w:val="24"/>
          <w:lang w:val="en-US"/>
        </w:rPr>
        <w:t>general prevention</w:t>
      </w:r>
      <w:r w:rsidR="00571326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effect</w:t>
      </w:r>
      <w:r w:rsidR="00EE41C5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B36D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The main aim of the prosecutor’s control is to ensure the protection of fundamental rights </w:t>
      </w:r>
      <w:r w:rsidR="00571326" w:rsidRPr="008219AE">
        <w:rPr>
          <w:rFonts w:ascii="Times New Roman" w:hAnsi="Times New Roman" w:cs="Times New Roman"/>
          <w:sz w:val="24"/>
          <w:szCs w:val="24"/>
          <w:lang w:val="en-US"/>
        </w:rPr>
        <w:t>in compliance with t</w:t>
      </w:r>
      <w:r w:rsidR="00FB36D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he regulations </w:t>
      </w:r>
      <w:r w:rsidR="00571326" w:rsidRPr="008219AE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FB36DC" w:rsidRPr="008219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520" w:rsidRPr="008219AE">
        <w:rPr>
          <w:rFonts w:ascii="Times New Roman" w:hAnsi="Times New Roman" w:cs="Times New Roman"/>
          <w:sz w:val="24"/>
          <w:szCs w:val="24"/>
          <w:lang w:val="en-US"/>
        </w:rPr>
        <w:t>integr</w:t>
      </w:r>
      <w:r w:rsidR="00FB36DC" w:rsidRPr="008219AE">
        <w:rPr>
          <w:rFonts w:ascii="Times New Roman" w:hAnsi="Times New Roman" w:cs="Times New Roman"/>
          <w:sz w:val="24"/>
          <w:szCs w:val="24"/>
          <w:lang w:val="en-US"/>
        </w:rPr>
        <w:t>ity test.</w:t>
      </w:r>
    </w:p>
    <w:p w:rsidR="005B7A19" w:rsidRPr="000701C5" w:rsidRDefault="005B7A19" w:rsidP="002E61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7A19" w:rsidRPr="0007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81" w:rsidRDefault="000C7F81" w:rsidP="00914B0D">
      <w:pPr>
        <w:spacing w:after="0" w:line="240" w:lineRule="auto"/>
      </w:pPr>
      <w:r>
        <w:separator/>
      </w:r>
    </w:p>
  </w:endnote>
  <w:endnote w:type="continuationSeparator" w:id="0">
    <w:p w:rsidR="000C7F81" w:rsidRDefault="000C7F81" w:rsidP="0091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81" w:rsidRDefault="000C7F81" w:rsidP="00914B0D">
      <w:pPr>
        <w:spacing w:after="0" w:line="240" w:lineRule="auto"/>
      </w:pPr>
      <w:r>
        <w:separator/>
      </w:r>
    </w:p>
  </w:footnote>
  <w:footnote w:type="continuationSeparator" w:id="0">
    <w:p w:rsidR="000C7F81" w:rsidRDefault="000C7F81" w:rsidP="00914B0D">
      <w:pPr>
        <w:spacing w:after="0" w:line="240" w:lineRule="auto"/>
      </w:pPr>
      <w:r>
        <w:continuationSeparator/>
      </w:r>
    </w:p>
  </w:footnote>
  <w:footnote w:id="1">
    <w:p w:rsidR="00A962FE" w:rsidRPr="00935138" w:rsidRDefault="00A962FE" w:rsidP="00935138">
      <w:pPr>
        <w:pStyle w:val="Lbjegyzetszveg"/>
        <w:jc w:val="both"/>
        <w:rPr>
          <w:rFonts w:ascii="Times New Roman" w:hAnsi="Times New Roman" w:cs="Times New Roman"/>
          <w:lang w:val="en-US"/>
        </w:rPr>
      </w:pPr>
      <w:r w:rsidRPr="00935138">
        <w:rPr>
          <w:rStyle w:val="Lbjegyzet-hivatkozs"/>
          <w:rFonts w:ascii="Times New Roman" w:hAnsi="Times New Roman" w:cs="Times New Roman"/>
          <w:lang w:val="en-US"/>
        </w:rPr>
        <w:footnoteRef/>
      </w:r>
      <w:r w:rsidRPr="0093513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935138">
        <w:rPr>
          <w:rFonts w:ascii="Times New Roman" w:hAnsi="Times New Roman" w:cs="Times New Roman"/>
          <w:lang w:val="en-US"/>
        </w:rPr>
        <w:t>LB 78/2009.</w:t>
      </w:r>
      <w:proofErr w:type="gramEnd"/>
      <w:r w:rsidRPr="00935138">
        <w:rPr>
          <w:rFonts w:ascii="Times New Roman" w:hAnsi="Times New Roman" w:cs="Times New Roman"/>
          <w:lang w:val="en-US"/>
        </w:rPr>
        <w:t xml:space="preserve"> BK. opinion on ordering confiscation </w:t>
      </w:r>
      <w:r>
        <w:rPr>
          <w:rFonts w:ascii="Times New Roman" w:hAnsi="Times New Roman" w:cs="Times New Roman"/>
          <w:lang w:val="en-US"/>
        </w:rPr>
        <w:t>of property in</w:t>
      </w:r>
      <w:r w:rsidRPr="00935138">
        <w:rPr>
          <w:rFonts w:ascii="Times New Roman" w:hAnsi="Times New Roman" w:cs="Times New Roman"/>
          <w:lang w:val="en-US"/>
        </w:rPr>
        <w:t xml:space="preserve"> corruption crimes</w:t>
      </w:r>
    </w:p>
  </w:footnote>
  <w:footnote w:id="2">
    <w:p w:rsidR="00A962FE" w:rsidRPr="00935138" w:rsidRDefault="00A962FE" w:rsidP="00935138">
      <w:pPr>
        <w:pStyle w:val="Lbjegyzetszveg"/>
        <w:jc w:val="both"/>
        <w:rPr>
          <w:rFonts w:ascii="Times New Roman" w:hAnsi="Times New Roman" w:cs="Times New Roman"/>
          <w:lang w:val="en-US"/>
        </w:rPr>
      </w:pPr>
      <w:r w:rsidRPr="00935138">
        <w:rPr>
          <w:rStyle w:val="Lbjegyzet-hivatkozs"/>
          <w:rFonts w:ascii="Times New Roman" w:hAnsi="Times New Roman" w:cs="Times New Roman"/>
          <w:lang w:val="en-US"/>
        </w:rPr>
        <w:footnoteRef/>
      </w:r>
      <w:r>
        <w:rPr>
          <w:rFonts w:ascii="Times New Roman" w:hAnsi="Times New Roman" w:cs="Times New Roman"/>
          <w:lang w:val="en-US"/>
        </w:rPr>
        <w:t xml:space="preserve"> Section 16 of </w:t>
      </w:r>
      <w:r w:rsidRPr="00935138">
        <w:rPr>
          <w:rFonts w:ascii="Times New Roman" w:hAnsi="Times New Roman" w:cs="Times New Roman"/>
          <w:lang w:val="en-US"/>
        </w:rPr>
        <w:t xml:space="preserve">§1 </w:t>
      </w:r>
      <w:r>
        <w:rPr>
          <w:rFonts w:ascii="Times New Roman" w:hAnsi="Times New Roman" w:cs="Times New Roman"/>
          <w:lang w:val="en-US"/>
        </w:rPr>
        <w:t>of Act LXXXV</w:t>
      </w:r>
      <w:r w:rsidRPr="00935138">
        <w:rPr>
          <w:rFonts w:ascii="Times New Roman" w:hAnsi="Times New Roman" w:cs="Times New Roman"/>
          <w:lang w:val="en-US"/>
        </w:rPr>
        <w:t xml:space="preserve"> of 2001 on Protection</w:t>
      </w:r>
      <w:r>
        <w:rPr>
          <w:rFonts w:ascii="Times New Roman" w:hAnsi="Times New Roman" w:cs="Times New Roman"/>
          <w:lang w:val="en-US"/>
        </w:rPr>
        <w:t xml:space="preserve"> Program of the participant of</w:t>
      </w:r>
      <w:r w:rsidRPr="00935138">
        <w:rPr>
          <w:rFonts w:ascii="Times New Roman" w:hAnsi="Times New Roman" w:cs="Times New Roman"/>
          <w:lang w:val="en-US"/>
        </w:rPr>
        <w:t xml:space="preserve"> criminal proceedings, the helpers of justice</w:t>
      </w:r>
    </w:p>
  </w:footnote>
  <w:footnote w:id="3">
    <w:p w:rsidR="00A962FE" w:rsidRPr="00935138" w:rsidRDefault="00A962FE" w:rsidP="00935138">
      <w:pPr>
        <w:pStyle w:val="Lbjegyzetszveg"/>
        <w:jc w:val="both"/>
        <w:rPr>
          <w:rFonts w:ascii="Times New Roman" w:hAnsi="Times New Roman" w:cs="Times New Roman"/>
        </w:rPr>
      </w:pPr>
      <w:r w:rsidRPr="00935138">
        <w:rPr>
          <w:rStyle w:val="Lbjegyzet-hivatkozs"/>
          <w:rFonts w:ascii="Times New Roman" w:hAnsi="Times New Roman" w:cs="Times New Roman"/>
        </w:rPr>
        <w:footnoteRef/>
      </w:r>
      <w:r w:rsidRPr="00935138">
        <w:rPr>
          <w:rFonts w:ascii="Times New Roman" w:hAnsi="Times New Roman" w:cs="Times New Roman"/>
        </w:rPr>
        <w:t xml:space="preserve"> </w:t>
      </w:r>
      <w:r w:rsidRPr="00935138">
        <w:rPr>
          <w:rFonts w:ascii="Times New Roman" w:hAnsi="Times New Roman" w:cs="Times New Roman"/>
          <w:lang w:val="en-US"/>
        </w:rPr>
        <w:t>Section</w:t>
      </w:r>
      <w:r>
        <w:rPr>
          <w:rFonts w:ascii="Times New Roman" w:hAnsi="Times New Roman" w:cs="Times New Roman"/>
          <w:lang w:val="en-US"/>
        </w:rPr>
        <w:t xml:space="preserve"> 3 of</w:t>
      </w:r>
      <w:r w:rsidRPr="00935138">
        <w:rPr>
          <w:rFonts w:ascii="Times New Roman" w:hAnsi="Times New Roman" w:cs="Times New Roman"/>
          <w:lang w:val="en-US"/>
        </w:rPr>
        <w:t xml:space="preserve"> </w:t>
      </w:r>
      <w:r w:rsidRPr="00935138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Pr="00935138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 </w:t>
      </w:r>
      <w:r w:rsidRPr="00935138">
        <w:rPr>
          <w:rFonts w:ascii="Times New Roman" w:hAnsi="Times New Roman" w:cs="Times New Roman"/>
          <w:lang w:val="en-US"/>
        </w:rPr>
        <w:t>of Act CLXV of 2013 on complaints and  public announcements</w:t>
      </w:r>
    </w:p>
  </w:footnote>
  <w:footnote w:id="4">
    <w:p w:rsidR="00A962FE" w:rsidRPr="00935138" w:rsidRDefault="00A962FE" w:rsidP="00935138">
      <w:pPr>
        <w:pStyle w:val="Lbjegyzetszveg"/>
        <w:jc w:val="both"/>
        <w:rPr>
          <w:rFonts w:ascii="Times New Roman" w:hAnsi="Times New Roman" w:cs="Times New Roman"/>
        </w:rPr>
      </w:pPr>
      <w:r w:rsidRPr="00935138">
        <w:rPr>
          <w:rStyle w:val="Lbjegyzet-hivatkozs"/>
          <w:rFonts w:ascii="Times New Roman" w:hAnsi="Times New Roman" w:cs="Times New Roman"/>
        </w:rPr>
        <w:footnoteRef/>
      </w:r>
      <w:r w:rsidRPr="00935138">
        <w:rPr>
          <w:rFonts w:ascii="Times New Roman" w:hAnsi="Times New Roman" w:cs="Times New Roman"/>
        </w:rPr>
        <w:t xml:space="preserve"> </w:t>
      </w:r>
      <w:r w:rsidRPr="00935138">
        <w:rPr>
          <w:rFonts w:ascii="Times New Roman" w:hAnsi="Times New Roman" w:cs="Times New Roman"/>
          <w:lang w:val="en-US"/>
        </w:rPr>
        <w:t xml:space="preserve">Section </w:t>
      </w:r>
      <w:r>
        <w:rPr>
          <w:rFonts w:ascii="Times New Roman" w:hAnsi="Times New Roman" w:cs="Times New Roman"/>
          <w:lang w:val="en-US"/>
        </w:rPr>
        <w:t xml:space="preserve">1 of </w:t>
      </w:r>
      <w:r w:rsidRPr="00935138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Pr="00935138">
        <w:rPr>
          <w:rFonts w:ascii="Times New Roman" w:hAnsi="Times New Roman" w:cs="Times New Roman"/>
          <w:lang w:val="en-US"/>
        </w:rPr>
        <w:t>6 of Act CLXV of 2013 on complaints and  public announcements</w:t>
      </w:r>
    </w:p>
  </w:footnote>
  <w:footnote w:id="5">
    <w:p w:rsidR="00A962FE" w:rsidRDefault="00A962FE" w:rsidP="00935138">
      <w:pPr>
        <w:pStyle w:val="Lbjegyzetszveg"/>
        <w:jc w:val="both"/>
      </w:pPr>
      <w:r w:rsidRPr="00935138">
        <w:rPr>
          <w:rStyle w:val="Lbjegyzet-hivatkozs"/>
          <w:rFonts w:ascii="Times New Roman" w:hAnsi="Times New Roman" w:cs="Times New Roman"/>
        </w:rPr>
        <w:footnoteRef/>
      </w:r>
      <w:r w:rsidRPr="00935138">
        <w:rPr>
          <w:rFonts w:ascii="Times New Roman" w:hAnsi="Times New Roman" w:cs="Times New Roman"/>
        </w:rPr>
        <w:t xml:space="preserve"> </w:t>
      </w:r>
      <w:r w:rsidRPr="00935138">
        <w:rPr>
          <w:rFonts w:ascii="Times New Roman" w:hAnsi="Times New Roman" w:cs="Times New Roman"/>
          <w:lang w:val="en-US"/>
        </w:rPr>
        <w:t xml:space="preserve">Section </w:t>
      </w:r>
      <w:r w:rsidRPr="00935138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Pr="00935138">
        <w:rPr>
          <w:rFonts w:ascii="Times New Roman" w:hAnsi="Times New Roman" w:cs="Times New Roman"/>
          <w:lang w:val="en-US"/>
        </w:rPr>
        <w:t>38/A-38/D</w:t>
      </w:r>
      <w:r>
        <w:rPr>
          <w:rFonts w:ascii="Times New Roman" w:hAnsi="Times New Roman" w:cs="Times New Roman"/>
          <w:lang w:val="en-US"/>
        </w:rPr>
        <w:t xml:space="preserve"> </w:t>
      </w:r>
      <w:r w:rsidRPr="00935138">
        <w:rPr>
          <w:rFonts w:ascii="Times New Roman" w:hAnsi="Times New Roman" w:cs="Times New Roman"/>
          <w:lang w:val="en-US"/>
        </w:rPr>
        <w:t>of Act CXI of 2011 on the Commissioner for Fundamental Rights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4BE"/>
    <w:multiLevelType w:val="hybridMultilevel"/>
    <w:tmpl w:val="6D3CF61E"/>
    <w:lvl w:ilvl="0" w:tplc="285E2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14ED"/>
    <w:multiLevelType w:val="hybridMultilevel"/>
    <w:tmpl w:val="1E76F77C"/>
    <w:lvl w:ilvl="0" w:tplc="285E2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46CD"/>
    <w:multiLevelType w:val="hybridMultilevel"/>
    <w:tmpl w:val="F0CC7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70D0F"/>
    <w:multiLevelType w:val="hybridMultilevel"/>
    <w:tmpl w:val="2F1CC1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E71A5"/>
    <w:multiLevelType w:val="hybridMultilevel"/>
    <w:tmpl w:val="7DBC05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28"/>
    <w:rsid w:val="0000606C"/>
    <w:rsid w:val="0003071D"/>
    <w:rsid w:val="00032881"/>
    <w:rsid w:val="000350D4"/>
    <w:rsid w:val="00046BFA"/>
    <w:rsid w:val="00051E36"/>
    <w:rsid w:val="00057212"/>
    <w:rsid w:val="00067DE7"/>
    <w:rsid w:val="000701C5"/>
    <w:rsid w:val="000709B4"/>
    <w:rsid w:val="00080B7E"/>
    <w:rsid w:val="00087066"/>
    <w:rsid w:val="000914CB"/>
    <w:rsid w:val="00096B5F"/>
    <w:rsid w:val="000B20E4"/>
    <w:rsid w:val="000B5010"/>
    <w:rsid w:val="000B6BFE"/>
    <w:rsid w:val="000C7F81"/>
    <w:rsid w:val="000D4393"/>
    <w:rsid w:val="000E028F"/>
    <w:rsid w:val="000E249A"/>
    <w:rsid w:val="000E25CA"/>
    <w:rsid w:val="000F7D3D"/>
    <w:rsid w:val="00107023"/>
    <w:rsid w:val="0013147C"/>
    <w:rsid w:val="00146A08"/>
    <w:rsid w:val="00147EB3"/>
    <w:rsid w:val="00175B05"/>
    <w:rsid w:val="00181C84"/>
    <w:rsid w:val="00183D97"/>
    <w:rsid w:val="00197B9E"/>
    <w:rsid w:val="001A7A55"/>
    <w:rsid w:val="001B253B"/>
    <w:rsid w:val="001B6B18"/>
    <w:rsid w:val="001C3E95"/>
    <w:rsid w:val="001E4CA7"/>
    <w:rsid w:val="001F148B"/>
    <w:rsid w:val="0021335E"/>
    <w:rsid w:val="002176C9"/>
    <w:rsid w:val="0022278E"/>
    <w:rsid w:val="002278A8"/>
    <w:rsid w:val="00230520"/>
    <w:rsid w:val="00235656"/>
    <w:rsid w:val="002414B0"/>
    <w:rsid w:val="0025225D"/>
    <w:rsid w:val="00290250"/>
    <w:rsid w:val="0029049A"/>
    <w:rsid w:val="00291594"/>
    <w:rsid w:val="002E61A8"/>
    <w:rsid w:val="002E6385"/>
    <w:rsid w:val="002F0A60"/>
    <w:rsid w:val="003130FE"/>
    <w:rsid w:val="003224EA"/>
    <w:rsid w:val="00324149"/>
    <w:rsid w:val="0033150D"/>
    <w:rsid w:val="003320FB"/>
    <w:rsid w:val="0035667B"/>
    <w:rsid w:val="0037372C"/>
    <w:rsid w:val="00373F19"/>
    <w:rsid w:val="00392E8C"/>
    <w:rsid w:val="00393A80"/>
    <w:rsid w:val="0039739C"/>
    <w:rsid w:val="003C1A28"/>
    <w:rsid w:val="003C37C3"/>
    <w:rsid w:val="003D1C01"/>
    <w:rsid w:val="003E16EA"/>
    <w:rsid w:val="003F68F6"/>
    <w:rsid w:val="00425CE6"/>
    <w:rsid w:val="00426A3B"/>
    <w:rsid w:val="00432DCF"/>
    <w:rsid w:val="00433037"/>
    <w:rsid w:val="00435D86"/>
    <w:rsid w:val="004512F0"/>
    <w:rsid w:val="00454766"/>
    <w:rsid w:val="00462283"/>
    <w:rsid w:val="00466720"/>
    <w:rsid w:val="004719EF"/>
    <w:rsid w:val="00471EC0"/>
    <w:rsid w:val="00474478"/>
    <w:rsid w:val="00475158"/>
    <w:rsid w:val="0047529A"/>
    <w:rsid w:val="004815F6"/>
    <w:rsid w:val="0048219A"/>
    <w:rsid w:val="00482BBA"/>
    <w:rsid w:val="004864A2"/>
    <w:rsid w:val="004908C2"/>
    <w:rsid w:val="00497CC0"/>
    <w:rsid w:val="004A1B59"/>
    <w:rsid w:val="004C5699"/>
    <w:rsid w:val="004C7566"/>
    <w:rsid w:val="004D55E2"/>
    <w:rsid w:val="004E4739"/>
    <w:rsid w:val="004F773C"/>
    <w:rsid w:val="00500E6F"/>
    <w:rsid w:val="00506B0C"/>
    <w:rsid w:val="005109A2"/>
    <w:rsid w:val="00517B37"/>
    <w:rsid w:val="005318AA"/>
    <w:rsid w:val="0054464A"/>
    <w:rsid w:val="0056192F"/>
    <w:rsid w:val="00571326"/>
    <w:rsid w:val="00577417"/>
    <w:rsid w:val="00577628"/>
    <w:rsid w:val="00590B3F"/>
    <w:rsid w:val="005A3EDE"/>
    <w:rsid w:val="005A50E8"/>
    <w:rsid w:val="005A6B31"/>
    <w:rsid w:val="005B1540"/>
    <w:rsid w:val="005B182C"/>
    <w:rsid w:val="005B7A19"/>
    <w:rsid w:val="005C0EA9"/>
    <w:rsid w:val="005E62EA"/>
    <w:rsid w:val="00611E7C"/>
    <w:rsid w:val="00635DCB"/>
    <w:rsid w:val="0064181C"/>
    <w:rsid w:val="00642120"/>
    <w:rsid w:val="00642DA5"/>
    <w:rsid w:val="00657098"/>
    <w:rsid w:val="00662596"/>
    <w:rsid w:val="00674BA7"/>
    <w:rsid w:val="00691625"/>
    <w:rsid w:val="0069678E"/>
    <w:rsid w:val="006B0E57"/>
    <w:rsid w:val="006C45FB"/>
    <w:rsid w:val="006C7BA6"/>
    <w:rsid w:val="007025EB"/>
    <w:rsid w:val="00736B9D"/>
    <w:rsid w:val="00743AF0"/>
    <w:rsid w:val="00752A39"/>
    <w:rsid w:val="0075573D"/>
    <w:rsid w:val="007573F5"/>
    <w:rsid w:val="00761308"/>
    <w:rsid w:val="00763721"/>
    <w:rsid w:val="0077220E"/>
    <w:rsid w:val="007C593F"/>
    <w:rsid w:val="007C79D7"/>
    <w:rsid w:val="007D1ABD"/>
    <w:rsid w:val="007E1DA4"/>
    <w:rsid w:val="007F2D3D"/>
    <w:rsid w:val="007F3911"/>
    <w:rsid w:val="00816F96"/>
    <w:rsid w:val="008219AE"/>
    <w:rsid w:val="00826E96"/>
    <w:rsid w:val="00844667"/>
    <w:rsid w:val="00844DD6"/>
    <w:rsid w:val="00855A52"/>
    <w:rsid w:val="00881708"/>
    <w:rsid w:val="00885ABA"/>
    <w:rsid w:val="00893666"/>
    <w:rsid w:val="008C2385"/>
    <w:rsid w:val="008F6A24"/>
    <w:rsid w:val="00903014"/>
    <w:rsid w:val="009122D8"/>
    <w:rsid w:val="00914B0D"/>
    <w:rsid w:val="00926CE8"/>
    <w:rsid w:val="009322E4"/>
    <w:rsid w:val="00935138"/>
    <w:rsid w:val="00937469"/>
    <w:rsid w:val="00957DCD"/>
    <w:rsid w:val="00960022"/>
    <w:rsid w:val="00971C79"/>
    <w:rsid w:val="00986D30"/>
    <w:rsid w:val="00993462"/>
    <w:rsid w:val="009B0E43"/>
    <w:rsid w:val="009B4DA9"/>
    <w:rsid w:val="009C0A44"/>
    <w:rsid w:val="009E1C8C"/>
    <w:rsid w:val="009F0E7F"/>
    <w:rsid w:val="009F4E1E"/>
    <w:rsid w:val="009F5DAB"/>
    <w:rsid w:val="00A154D6"/>
    <w:rsid w:val="00A15B42"/>
    <w:rsid w:val="00A3538A"/>
    <w:rsid w:val="00A37A0C"/>
    <w:rsid w:val="00A55FB8"/>
    <w:rsid w:val="00A6059F"/>
    <w:rsid w:val="00A6780D"/>
    <w:rsid w:val="00A83D03"/>
    <w:rsid w:val="00A962FE"/>
    <w:rsid w:val="00AC324C"/>
    <w:rsid w:val="00AC64F4"/>
    <w:rsid w:val="00AC7F22"/>
    <w:rsid w:val="00AD1067"/>
    <w:rsid w:val="00AE5C0D"/>
    <w:rsid w:val="00B1020A"/>
    <w:rsid w:val="00B34E64"/>
    <w:rsid w:val="00B511B1"/>
    <w:rsid w:val="00B726E5"/>
    <w:rsid w:val="00B7583D"/>
    <w:rsid w:val="00B768E3"/>
    <w:rsid w:val="00B830E0"/>
    <w:rsid w:val="00B92AD2"/>
    <w:rsid w:val="00BA5BCA"/>
    <w:rsid w:val="00BD28E8"/>
    <w:rsid w:val="00C046EE"/>
    <w:rsid w:val="00C112C5"/>
    <w:rsid w:val="00C15945"/>
    <w:rsid w:val="00C33FF7"/>
    <w:rsid w:val="00C50EB7"/>
    <w:rsid w:val="00C61603"/>
    <w:rsid w:val="00C75E7B"/>
    <w:rsid w:val="00C81586"/>
    <w:rsid w:val="00C92138"/>
    <w:rsid w:val="00C922C9"/>
    <w:rsid w:val="00CB3402"/>
    <w:rsid w:val="00CD2986"/>
    <w:rsid w:val="00CE3BEF"/>
    <w:rsid w:val="00CF0F61"/>
    <w:rsid w:val="00CF112E"/>
    <w:rsid w:val="00D05233"/>
    <w:rsid w:val="00D12B98"/>
    <w:rsid w:val="00D17376"/>
    <w:rsid w:val="00D362BC"/>
    <w:rsid w:val="00D402CE"/>
    <w:rsid w:val="00D61ED6"/>
    <w:rsid w:val="00D63BB5"/>
    <w:rsid w:val="00D831E7"/>
    <w:rsid w:val="00D929FD"/>
    <w:rsid w:val="00DA2970"/>
    <w:rsid w:val="00DB04D0"/>
    <w:rsid w:val="00DC2A08"/>
    <w:rsid w:val="00DD2D4B"/>
    <w:rsid w:val="00DE030F"/>
    <w:rsid w:val="00DF0595"/>
    <w:rsid w:val="00DF5BEE"/>
    <w:rsid w:val="00E10253"/>
    <w:rsid w:val="00E132E6"/>
    <w:rsid w:val="00E17671"/>
    <w:rsid w:val="00E22781"/>
    <w:rsid w:val="00E35472"/>
    <w:rsid w:val="00E73DC6"/>
    <w:rsid w:val="00E87DDA"/>
    <w:rsid w:val="00E97622"/>
    <w:rsid w:val="00EB77B1"/>
    <w:rsid w:val="00EE41C5"/>
    <w:rsid w:val="00EE6B19"/>
    <w:rsid w:val="00EF0C6D"/>
    <w:rsid w:val="00EF5FFB"/>
    <w:rsid w:val="00F00EA0"/>
    <w:rsid w:val="00F07F05"/>
    <w:rsid w:val="00F229B4"/>
    <w:rsid w:val="00F40FAD"/>
    <w:rsid w:val="00F6110D"/>
    <w:rsid w:val="00F77B22"/>
    <w:rsid w:val="00F82CB6"/>
    <w:rsid w:val="00FB36DC"/>
    <w:rsid w:val="00FC454E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14B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14B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14B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5476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5B4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B20E4"/>
    <w:pPr>
      <w:ind w:left="720"/>
      <w:contextualSpacing/>
    </w:pPr>
  </w:style>
  <w:style w:type="character" w:customStyle="1" w:styleId="hps">
    <w:name w:val="hps"/>
    <w:basedOn w:val="Bekezdsalapbettpusa"/>
    <w:rsid w:val="000B20E4"/>
  </w:style>
  <w:style w:type="character" w:customStyle="1" w:styleId="shorttext">
    <w:name w:val="short_text"/>
    <w:basedOn w:val="Bekezdsalapbettpusa"/>
    <w:rsid w:val="00E73DC6"/>
  </w:style>
  <w:style w:type="paragraph" w:customStyle="1" w:styleId="Char1CharCharCharCharChar">
    <w:name w:val="Char1 Char Char Char Char Char"/>
    <w:basedOn w:val="Norml"/>
    <w:rsid w:val="00EF0C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14B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14B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14B0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5476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5B4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B20E4"/>
    <w:pPr>
      <w:ind w:left="720"/>
      <w:contextualSpacing/>
    </w:pPr>
  </w:style>
  <w:style w:type="character" w:customStyle="1" w:styleId="hps">
    <w:name w:val="hps"/>
    <w:basedOn w:val="Bekezdsalapbettpusa"/>
    <w:rsid w:val="000B20E4"/>
  </w:style>
  <w:style w:type="character" w:customStyle="1" w:styleId="shorttext">
    <w:name w:val="short_text"/>
    <w:basedOn w:val="Bekezdsalapbettpusa"/>
    <w:rsid w:val="00E73DC6"/>
  </w:style>
  <w:style w:type="paragraph" w:customStyle="1" w:styleId="Char1CharCharCharCharChar">
    <w:name w:val="Char1 Char Char Char Char Char"/>
    <w:basedOn w:val="Norml"/>
    <w:rsid w:val="00EF0C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27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38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F33B07-0586-4C7E-ACBE-A2E3AD6495CF}"/>
</file>

<file path=customXml/itemProps2.xml><?xml version="1.0" encoding="utf-8"?>
<ds:datastoreItem xmlns:ds="http://schemas.openxmlformats.org/officeDocument/2006/customXml" ds:itemID="{3CA2C991-B1DB-42D0-B8A6-59CE6B7A85FA}"/>
</file>

<file path=customXml/itemProps3.xml><?xml version="1.0" encoding="utf-8"?>
<ds:datastoreItem xmlns:ds="http://schemas.openxmlformats.org/officeDocument/2006/customXml" ds:itemID="{E48FE618-2B9C-4097-BD90-5D9ABE670F1A}"/>
</file>

<file path=customXml/itemProps4.xml><?xml version="1.0" encoding="utf-8"?>
<ds:datastoreItem xmlns:ds="http://schemas.openxmlformats.org/officeDocument/2006/customXml" ds:itemID="{4BED2D1F-460B-4DE8-8E09-E89366242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1742</Words>
  <Characters>12022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Sperka Kálmán dr.</dc:creator>
  <cp:lastModifiedBy>Tallódi Zoltán Dr.</cp:lastModifiedBy>
  <cp:revision>20</cp:revision>
  <cp:lastPrinted>2015-12-12T10:36:00Z</cp:lastPrinted>
  <dcterms:created xsi:type="dcterms:W3CDTF">2015-12-10T10:39:00Z</dcterms:created>
  <dcterms:modified xsi:type="dcterms:W3CDTF">2015-12-28T12:36:00Z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3354500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