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CA9" w:rsidRPr="006C5702" w:rsidRDefault="008E1CA9">
      <w:pPr>
        <w:rPr>
          <w:rFonts w:ascii="Trebuchet MS" w:hAnsi="Trebuchet MS"/>
        </w:rPr>
      </w:pPr>
      <w:r w:rsidRPr="006C5702">
        <w:rPr>
          <w:rFonts w:ascii="Trebuchet MS" w:hAnsi="Trebuchet MS"/>
        </w:rPr>
        <w:t xml:space="preserve">Statement </w:t>
      </w:r>
      <w:r w:rsidR="0046245B">
        <w:rPr>
          <w:rFonts w:ascii="Trebuchet MS" w:hAnsi="Trebuchet MS"/>
        </w:rPr>
        <w:t>CCPR-Centre side-event 18 December COSP</w:t>
      </w:r>
    </w:p>
    <w:p w:rsidR="00B57D22" w:rsidRPr="0046245B" w:rsidRDefault="00B57D22" w:rsidP="0046245B">
      <w:pPr>
        <w:rPr>
          <w:rFonts w:ascii="Trebuchet MS" w:hAnsi="Trebuchet MS"/>
        </w:rPr>
      </w:pPr>
    </w:p>
    <w:p w:rsidR="007E39A7" w:rsidRPr="006C5702" w:rsidRDefault="00291A43" w:rsidP="008E1CA9">
      <w:pPr>
        <w:pStyle w:val="ListParagraph"/>
        <w:numPr>
          <w:ilvl w:val="0"/>
          <w:numId w:val="1"/>
        </w:numPr>
        <w:rPr>
          <w:rFonts w:ascii="Trebuchet MS" w:hAnsi="Trebuchet MS"/>
        </w:rPr>
      </w:pPr>
      <w:r>
        <w:rPr>
          <w:rFonts w:ascii="Trebuchet MS" w:hAnsi="Trebuchet MS"/>
        </w:rPr>
        <w:t xml:space="preserve">We </w:t>
      </w:r>
      <w:r w:rsidR="007E39A7" w:rsidRPr="006C5702">
        <w:rPr>
          <w:rFonts w:ascii="Trebuchet MS" w:hAnsi="Trebuchet MS"/>
        </w:rPr>
        <w:t xml:space="preserve">started working on corruption and human rights in 2017. One of the first big activities we did, was carrying out </w:t>
      </w:r>
      <w:r w:rsidR="007E39A7" w:rsidRPr="006C5702">
        <w:rPr>
          <w:rFonts w:ascii="Trebuchet MS" w:hAnsi="Trebuchet MS"/>
          <w:b/>
        </w:rPr>
        <w:t>research</w:t>
      </w:r>
      <w:r w:rsidR="007E39A7" w:rsidRPr="006C5702">
        <w:rPr>
          <w:rFonts w:ascii="Trebuchet MS" w:hAnsi="Trebuchet MS"/>
        </w:rPr>
        <w:t xml:space="preserve">, to see </w:t>
      </w:r>
      <w:r w:rsidR="00535664" w:rsidRPr="006C5702">
        <w:rPr>
          <w:rFonts w:ascii="Trebuchet MS" w:hAnsi="Trebuchet MS"/>
        </w:rPr>
        <w:t xml:space="preserve">how corruption was addressed by the TBs at that time. This allowed us to evaluate </w:t>
      </w:r>
      <w:r w:rsidR="007E39A7" w:rsidRPr="006C5702">
        <w:rPr>
          <w:rFonts w:ascii="Trebuchet MS" w:hAnsi="Trebuchet MS"/>
        </w:rPr>
        <w:t xml:space="preserve">what the advantages </w:t>
      </w:r>
      <w:r w:rsidR="00535664" w:rsidRPr="006C5702">
        <w:rPr>
          <w:rFonts w:ascii="Trebuchet MS" w:hAnsi="Trebuchet MS"/>
        </w:rPr>
        <w:t xml:space="preserve">were </w:t>
      </w:r>
      <w:r w:rsidR="007E39A7" w:rsidRPr="006C5702">
        <w:rPr>
          <w:rFonts w:ascii="Trebuchet MS" w:hAnsi="Trebuchet MS"/>
        </w:rPr>
        <w:t xml:space="preserve">of </w:t>
      </w:r>
      <w:r w:rsidR="00535664" w:rsidRPr="006C5702">
        <w:rPr>
          <w:rFonts w:ascii="Trebuchet MS" w:hAnsi="Trebuchet MS"/>
        </w:rPr>
        <w:t xml:space="preserve">that </w:t>
      </w:r>
      <w:r w:rsidR="007E39A7" w:rsidRPr="006C5702">
        <w:rPr>
          <w:rFonts w:ascii="Trebuchet MS" w:hAnsi="Trebuchet MS"/>
        </w:rPr>
        <w:t>approach</w:t>
      </w:r>
      <w:r w:rsidR="00535664" w:rsidRPr="006C5702">
        <w:rPr>
          <w:rFonts w:ascii="Trebuchet MS" w:hAnsi="Trebuchet MS"/>
        </w:rPr>
        <w:t xml:space="preserve"> and if there </w:t>
      </w:r>
      <w:r w:rsidR="007E39A7" w:rsidRPr="006C5702">
        <w:rPr>
          <w:rFonts w:ascii="Trebuchet MS" w:hAnsi="Trebuchet MS"/>
        </w:rPr>
        <w:t xml:space="preserve">were </w:t>
      </w:r>
      <w:r w:rsidR="00535664" w:rsidRPr="006C5702">
        <w:rPr>
          <w:rFonts w:ascii="Trebuchet MS" w:hAnsi="Trebuchet MS"/>
        </w:rPr>
        <w:t xml:space="preserve">any </w:t>
      </w:r>
      <w:r w:rsidR="007E39A7" w:rsidRPr="006C5702">
        <w:rPr>
          <w:rFonts w:ascii="Trebuchet MS" w:hAnsi="Trebuchet MS"/>
        </w:rPr>
        <w:t xml:space="preserve">gaps that </w:t>
      </w:r>
      <w:r>
        <w:rPr>
          <w:rFonts w:ascii="Trebuchet MS" w:hAnsi="Trebuchet MS"/>
        </w:rPr>
        <w:t>could be filled</w:t>
      </w:r>
      <w:r w:rsidR="007E39A7" w:rsidRPr="006C5702">
        <w:rPr>
          <w:rFonts w:ascii="Trebuchet MS" w:hAnsi="Trebuchet MS"/>
        </w:rPr>
        <w:t xml:space="preserve">. The result was our research publication, that covered the ten years between 2007 and 2017, and looked at </w:t>
      </w:r>
      <w:r w:rsidR="008819A3" w:rsidRPr="006C5702">
        <w:rPr>
          <w:rFonts w:ascii="Trebuchet MS" w:hAnsi="Trebuchet MS"/>
        </w:rPr>
        <w:t xml:space="preserve">all the Concluding Observations adopted by </w:t>
      </w:r>
      <w:r w:rsidR="007E39A7" w:rsidRPr="006C5702">
        <w:rPr>
          <w:rFonts w:ascii="Trebuchet MS" w:hAnsi="Trebuchet MS"/>
        </w:rPr>
        <w:t>all the Treaty Bodies</w:t>
      </w:r>
      <w:r w:rsidR="008819A3" w:rsidRPr="006C5702">
        <w:rPr>
          <w:rFonts w:ascii="Trebuchet MS" w:hAnsi="Trebuchet MS"/>
        </w:rPr>
        <w:t xml:space="preserve"> in that period</w:t>
      </w:r>
      <w:r w:rsidR="007E39A7" w:rsidRPr="006C5702">
        <w:rPr>
          <w:rFonts w:ascii="Trebuchet MS" w:hAnsi="Trebuchet MS"/>
        </w:rPr>
        <w:t xml:space="preserve">. </w:t>
      </w:r>
      <w:r w:rsidR="0029758E">
        <w:rPr>
          <w:rFonts w:ascii="Trebuchet MS" w:hAnsi="Trebuchet MS"/>
        </w:rPr>
        <w:t xml:space="preserve">There are no hard copies available of this research, but it is available electronically. </w:t>
      </w:r>
      <w:r w:rsidR="0046245B">
        <w:rPr>
          <w:rFonts w:ascii="Trebuchet MS" w:hAnsi="Trebuchet MS"/>
        </w:rPr>
        <w:t>This is a</w:t>
      </w:r>
      <w:r w:rsidR="00142C94" w:rsidRPr="006C5702">
        <w:rPr>
          <w:rFonts w:ascii="Trebuchet MS" w:hAnsi="Trebuchet MS"/>
        </w:rPr>
        <w:t xml:space="preserve"> small overview of our </w:t>
      </w:r>
      <w:r w:rsidR="00142C94" w:rsidRPr="006C5702">
        <w:rPr>
          <w:rFonts w:ascii="Trebuchet MS" w:hAnsi="Trebuchet MS"/>
          <w:b/>
        </w:rPr>
        <w:t>conclusion</w:t>
      </w:r>
      <w:r w:rsidR="00142C94" w:rsidRPr="006C5702">
        <w:rPr>
          <w:rFonts w:ascii="Trebuchet MS" w:hAnsi="Trebuchet MS"/>
        </w:rPr>
        <w:t xml:space="preserve">, </w:t>
      </w:r>
      <w:r w:rsidR="007E39A7" w:rsidRPr="006C5702">
        <w:rPr>
          <w:rFonts w:ascii="Trebuchet MS" w:hAnsi="Trebuchet MS"/>
        </w:rPr>
        <w:t>to show wh</w:t>
      </w:r>
      <w:r>
        <w:rPr>
          <w:rFonts w:ascii="Trebuchet MS" w:hAnsi="Trebuchet MS"/>
        </w:rPr>
        <w:t>at the findings were in 2017</w:t>
      </w:r>
      <w:r w:rsidR="007E39A7" w:rsidRPr="006C5702">
        <w:rPr>
          <w:rFonts w:ascii="Trebuchet MS" w:hAnsi="Trebuchet MS"/>
        </w:rPr>
        <w:t xml:space="preserve">. </w:t>
      </w:r>
    </w:p>
    <w:p w:rsidR="00E445F0" w:rsidRPr="006C5702" w:rsidRDefault="00647027" w:rsidP="008E1CA9">
      <w:pPr>
        <w:pStyle w:val="ListParagraph"/>
        <w:numPr>
          <w:ilvl w:val="1"/>
          <w:numId w:val="1"/>
        </w:numPr>
        <w:rPr>
          <w:rFonts w:ascii="Trebuchet MS" w:hAnsi="Trebuchet MS"/>
        </w:rPr>
      </w:pPr>
      <w:r w:rsidRPr="006C5702">
        <w:rPr>
          <w:rFonts w:ascii="Trebuchet MS" w:hAnsi="Trebuchet MS"/>
        </w:rPr>
        <w:t xml:space="preserve">The TBs did </w:t>
      </w:r>
      <w:r w:rsidRPr="006C5702">
        <w:rPr>
          <w:rFonts w:ascii="Trebuchet MS" w:hAnsi="Trebuchet MS"/>
          <w:b/>
        </w:rPr>
        <w:t>not have a systematic</w:t>
      </w:r>
      <w:r w:rsidRPr="006C5702">
        <w:rPr>
          <w:rFonts w:ascii="Trebuchet MS" w:hAnsi="Trebuchet MS"/>
        </w:rPr>
        <w:t xml:space="preserve"> manner to approach corruption: the wording of recommendations was inconsistent and it was not mentioned consequently. </w:t>
      </w:r>
      <w:r w:rsidR="008819A3" w:rsidRPr="006C5702">
        <w:rPr>
          <w:rFonts w:ascii="Trebuchet MS" w:hAnsi="Trebuchet MS"/>
        </w:rPr>
        <w:t>For example, the HR Committee would be concerned about corruption country A, and not in country B, even though their situations were very comparable.</w:t>
      </w:r>
    </w:p>
    <w:p w:rsidR="00647027" w:rsidRPr="006C5702" w:rsidRDefault="00647027" w:rsidP="008E1CA9">
      <w:pPr>
        <w:pStyle w:val="ListParagraph"/>
        <w:numPr>
          <w:ilvl w:val="1"/>
          <w:numId w:val="1"/>
        </w:numPr>
        <w:rPr>
          <w:rFonts w:ascii="Trebuchet MS" w:hAnsi="Trebuchet MS"/>
        </w:rPr>
      </w:pPr>
      <w:r w:rsidRPr="006C5702">
        <w:rPr>
          <w:rFonts w:ascii="Trebuchet MS" w:hAnsi="Trebuchet MS"/>
        </w:rPr>
        <w:t xml:space="preserve">Recommendations were often </w:t>
      </w:r>
      <w:r w:rsidRPr="006C5702">
        <w:rPr>
          <w:rFonts w:ascii="Trebuchet MS" w:hAnsi="Trebuchet MS"/>
          <w:b/>
        </w:rPr>
        <w:t>vague</w:t>
      </w:r>
      <w:r w:rsidRPr="006C5702">
        <w:rPr>
          <w:rFonts w:ascii="Trebuchet MS" w:hAnsi="Trebuchet MS"/>
        </w:rPr>
        <w:t>: Combat corruption, eradicate corruption, without making it more concrete or breaking it down into smaller steps</w:t>
      </w:r>
      <w:r w:rsidR="00291A43">
        <w:rPr>
          <w:rFonts w:ascii="Trebuchet MS" w:hAnsi="Trebuchet MS"/>
        </w:rPr>
        <w:t xml:space="preserve"> that would make it easier for States to implement, and for civil society to monitor progress. </w:t>
      </w:r>
    </w:p>
    <w:p w:rsidR="008819A3" w:rsidRPr="006C5702" w:rsidRDefault="00647027" w:rsidP="00542B36">
      <w:pPr>
        <w:pStyle w:val="ListParagraph"/>
        <w:numPr>
          <w:ilvl w:val="1"/>
          <w:numId w:val="1"/>
        </w:numPr>
        <w:rPr>
          <w:rFonts w:ascii="Trebuchet MS" w:hAnsi="Trebuchet MS"/>
        </w:rPr>
      </w:pPr>
      <w:r w:rsidRPr="006C5702">
        <w:rPr>
          <w:rFonts w:ascii="Trebuchet MS" w:hAnsi="Trebuchet MS"/>
        </w:rPr>
        <w:t xml:space="preserve">Most TBs raised corruption </w:t>
      </w:r>
      <w:r w:rsidRPr="006C5702">
        <w:rPr>
          <w:rFonts w:ascii="Trebuchet MS" w:hAnsi="Trebuchet MS"/>
          <w:b/>
        </w:rPr>
        <w:t>through one angle</w:t>
      </w:r>
      <w:r w:rsidRPr="006C5702">
        <w:rPr>
          <w:rFonts w:ascii="Trebuchet MS" w:hAnsi="Trebuchet MS"/>
        </w:rPr>
        <w:t>. For example, for the HRCttee, this was corruption in the judiciary</w:t>
      </w:r>
      <w:r w:rsidR="006C5702" w:rsidRPr="006C5702">
        <w:rPr>
          <w:rFonts w:ascii="Trebuchet MS" w:hAnsi="Trebuchet MS"/>
        </w:rPr>
        <w:t xml:space="preserve">, linking it to </w:t>
      </w:r>
      <w:r w:rsidR="00601BEE">
        <w:rPr>
          <w:rFonts w:ascii="Trebuchet MS" w:hAnsi="Trebuchet MS"/>
        </w:rPr>
        <w:t>the right to a fair trial</w:t>
      </w:r>
      <w:r w:rsidR="006C5702" w:rsidRPr="006C5702">
        <w:rPr>
          <w:rFonts w:ascii="Trebuchet MS" w:hAnsi="Trebuchet MS"/>
        </w:rPr>
        <w:t xml:space="preserve">. For the CESCR, it was </w:t>
      </w:r>
      <w:r w:rsidR="00F33CF4">
        <w:rPr>
          <w:rFonts w:ascii="Trebuchet MS" w:hAnsi="Trebuchet MS"/>
        </w:rPr>
        <w:t>how</w:t>
      </w:r>
      <w:r w:rsidR="006C5702" w:rsidRPr="006C5702">
        <w:rPr>
          <w:rFonts w:ascii="Trebuchet MS" w:hAnsi="Trebuchet MS"/>
        </w:rPr>
        <w:t xml:space="preserve"> corruption generally inhibits the enjoyment of economic, social and cultural rights, including the provision of public services. CRC was primarily concerned about the impact of corruption on the allocation of resources to child-related issues. </w:t>
      </w:r>
      <w:r w:rsidR="008819A3" w:rsidRPr="006C5702">
        <w:rPr>
          <w:rFonts w:ascii="Trebuchet MS" w:hAnsi="Trebuchet MS"/>
        </w:rPr>
        <w:t xml:space="preserve">Often, these are the </w:t>
      </w:r>
      <w:r w:rsidR="00601BEE">
        <w:rPr>
          <w:rFonts w:ascii="Trebuchet MS" w:hAnsi="Trebuchet MS"/>
        </w:rPr>
        <w:t xml:space="preserve">situations </w:t>
      </w:r>
      <w:r w:rsidR="008819A3" w:rsidRPr="006C5702">
        <w:rPr>
          <w:rFonts w:ascii="Trebuchet MS" w:hAnsi="Trebuchet MS"/>
        </w:rPr>
        <w:t xml:space="preserve">where the link between corruption and human rights is the most obvious, even though, as we know, corruption inhibits more human rights than those obviously linked to it. </w:t>
      </w:r>
    </w:p>
    <w:p w:rsidR="008819A3" w:rsidRPr="006C5702" w:rsidRDefault="00F45F59" w:rsidP="006C5702">
      <w:pPr>
        <w:pStyle w:val="ListParagraph"/>
        <w:numPr>
          <w:ilvl w:val="1"/>
          <w:numId w:val="1"/>
        </w:numPr>
        <w:rPr>
          <w:rFonts w:ascii="Trebuchet MS" w:hAnsi="Trebuchet MS"/>
        </w:rPr>
      </w:pPr>
      <w:r w:rsidRPr="006C5702">
        <w:rPr>
          <w:rFonts w:ascii="Trebuchet MS" w:hAnsi="Trebuchet MS"/>
        </w:rPr>
        <w:t xml:space="preserve">There were </w:t>
      </w:r>
      <w:r w:rsidRPr="006C5702">
        <w:rPr>
          <w:rFonts w:ascii="Trebuchet MS" w:hAnsi="Trebuchet MS"/>
          <w:b/>
        </w:rPr>
        <w:t>d</w:t>
      </w:r>
      <w:r w:rsidR="00961DDB" w:rsidRPr="006C5702">
        <w:rPr>
          <w:rFonts w:ascii="Trebuchet MS" w:hAnsi="Trebuchet MS"/>
          <w:b/>
        </w:rPr>
        <w:t xml:space="preserve">isparities </w:t>
      </w:r>
      <w:r w:rsidR="00961DDB" w:rsidRPr="006C5702">
        <w:rPr>
          <w:rFonts w:ascii="Trebuchet MS" w:hAnsi="Trebuchet MS"/>
        </w:rPr>
        <w:t xml:space="preserve">between </w:t>
      </w:r>
      <w:r w:rsidRPr="006C5702">
        <w:rPr>
          <w:rFonts w:ascii="Trebuchet MS" w:hAnsi="Trebuchet MS"/>
        </w:rPr>
        <w:t xml:space="preserve">the </w:t>
      </w:r>
      <w:proofErr w:type="spellStart"/>
      <w:r w:rsidR="00961DDB" w:rsidRPr="006C5702">
        <w:rPr>
          <w:rFonts w:ascii="Trebuchet MS" w:hAnsi="Trebuchet MS"/>
        </w:rPr>
        <w:t>TBs.</w:t>
      </w:r>
      <w:proofErr w:type="spellEnd"/>
      <w:r w:rsidR="00961DDB" w:rsidRPr="006C5702">
        <w:rPr>
          <w:rFonts w:ascii="Trebuchet MS" w:hAnsi="Trebuchet MS"/>
        </w:rPr>
        <w:t xml:space="preserve"> </w:t>
      </w:r>
      <w:r w:rsidRPr="006C5702">
        <w:rPr>
          <w:rFonts w:ascii="Trebuchet MS" w:hAnsi="Trebuchet MS"/>
        </w:rPr>
        <w:t>Some TBs had a more systematic approach than others</w:t>
      </w:r>
      <w:r w:rsidR="008819A3" w:rsidRPr="006C5702">
        <w:rPr>
          <w:rFonts w:ascii="Trebuchet MS" w:hAnsi="Trebuchet MS"/>
        </w:rPr>
        <w:t>, CESCR for example mentioned corruption in almost half of the Cobs it adopted</w:t>
      </w:r>
      <w:r w:rsidRPr="006C5702">
        <w:rPr>
          <w:rFonts w:ascii="Trebuchet MS" w:hAnsi="Trebuchet MS"/>
        </w:rPr>
        <w:t xml:space="preserve">, </w:t>
      </w:r>
      <w:r w:rsidR="008819A3" w:rsidRPr="006C5702">
        <w:rPr>
          <w:rFonts w:ascii="Trebuchet MS" w:hAnsi="Trebuchet MS"/>
        </w:rPr>
        <w:t xml:space="preserve">however CED for example did not mention corruption </w:t>
      </w:r>
      <w:r w:rsidR="005B48B3" w:rsidRPr="006C5702">
        <w:rPr>
          <w:rFonts w:ascii="Trebuchet MS" w:hAnsi="Trebuchet MS"/>
        </w:rPr>
        <w:t>in any of the Cobs it adopted</w:t>
      </w:r>
      <w:r w:rsidR="00601BEE">
        <w:rPr>
          <w:rFonts w:ascii="Trebuchet MS" w:hAnsi="Trebuchet MS"/>
        </w:rPr>
        <w:t xml:space="preserve"> between 2007 and 2017.</w:t>
      </w:r>
    </w:p>
    <w:p w:rsidR="008819A3" w:rsidRPr="006C5702" w:rsidRDefault="008819A3" w:rsidP="008819A3">
      <w:pPr>
        <w:pStyle w:val="ListParagraph"/>
        <w:ind w:left="1440"/>
        <w:rPr>
          <w:rFonts w:ascii="Trebuchet MS" w:hAnsi="Trebuchet MS"/>
        </w:rPr>
      </w:pPr>
    </w:p>
    <w:p w:rsidR="00F45F59" w:rsidRPr="006C5702" w:rsidRDefault="00601BEE" w:rsidP="00391683">
      <w:pPr>
        <w:pStyle w:val="ListParagraph"/>
        <w:numPr>
          <w:ilvl w:val="0"/>
          <w:numId w:val="1"/>
        </w:numPr>
        <w:rPr>
          <w:rFonts w:ascii="Trebuchet MS" w:hAnsi="Trebuchet MS"/>
        </w:rPr>
      </w:pPr>
      <w:r>
        <w:rPr>
          <w:rFonts w:ascii="Trebuchet MS" w:hAnsi="Trebuchet MS"/>
        </w:rPr>
        <w:t xml:space="preserve">However, since 2018, we have already seen a </w:t>
      </w:r>
      <w:r w:rsidR="00F45F59" w:rsidRPr="006C5702">
        <w:rPr>
          <w:rFonts w:ascii="Trebuchet MS" w:hAnsi="Trebuchet MS"/>
          <w:b/>
        </w:rPr>
        <w:t>lot of change</w:t>
      </w:r>
      <w:r>
        <w:rPr>
          <w:rFonts w:ascii="Trebuchet MS" w:hAnsi="Trebuchet MS"/>
        </w:rPr>
        <w:t xml:space="preserve"> and improvements. </w:t>
      </w:r>
      <w:r w:rsidR="00391683" w:rsidRPr="006C5702">
        <w:rPr>
          <w:rFonts w:ascii="Trebuchet MS" w:hAnsi="Trebuchet MS"/>
        </w:rPr>
        <w:t xml:space="preserve">Some examples: </w:t>
      </w:r>
    </w:p>
    <w:p w:rsidR="00191A0B" w:rsidRPr="006C5702" w:rsidRDefault="00601BEE" w:rsidP="00191A0B">
      <w:pPr>
        <w:pStyle w:val="ListParagraph"/>
        <w:numPr>
          <w:ilvl w:val="1"/>
          <w:numId w:val="1"/>
        </w:numPr>
        <w:rPr>
          <w:rFonts w:ascii="Trebuchet MS" w:hAnsi="Trebuchet MS"/>
        </w:rPr>
      </w:pPr>
      <w:r>
        <w:rPr>
          <w:rFonts w:ascii="Trebuchet MS" w:hAnsi="Trebuchet MS"/>
        </w:rPr>
        <w:t>The Treaty Bodies, and in particular the Human Rights Committee, have started to address c</w:t>
      </w:r>
      <w:r w:rsidR="00191A0B" w:rsidRPr="006C5702">
        <w:rPr>
          <w:rFonts w:ascii="Trebuchet MS" w:hAnsi="Trebuchet MS"/>
        </w:rPr>
        <w:t>orruption</w:t>
      </w:r>
      <w:r w:rsidR="00E445F0" w:rsidRPr="006C5702">
        <w:rPr>
          <w:rFonts w:ascii="Trebuchet MS" w:hAnsi="Trebuchet MS"/>
        </w:rPr>
        <w:t xml:space="preserve"> </w:t>
      </w:r>
      <w:r w:rsidR="00E445F0" w:rsidRPr="006C5702">
        <w:rPr>
          <w:rFonts w:ascii="Trebuchet MS" w:hAnsi="Trebuchet MS"/>
          <w:b/>
        </w:rPr>
        <w:t>more systematically, and more comprehensively</w:t>
      </w:r>
      <w:r w:rsidR="00E445F0" w:rsidRPr="006C5702">
        <w:rPr>
          <w:rFonts w:ascii="Trebuchet MS" w:hAnsi="Trebuchet MS"/>
        </w:rPr>
        <w:t xml:space="preserve">. We now see more concerns </w:t>
      </w:r>
      <w:r w:rsidR="00647027" w:rsidRPr="006C5702">
        <w:rPr>
          <w:rFonts w:ascii="Trebuchet MS" w:hAnsi="Trebuchet MS"/>
        </w:rPr>
        <w:t xml:space="preserve">that address corruption holistically, </w:t>
      </w:r>
      <w:r w:rsidR="00191A0B" w:rsidRPr="006C5702">
        <w:rPr>
          <w:rFonts w:ascii="Trebuchet MS" w:hAnsi="Trebuchet MS"/>
        </w:rPr>
        <w:t xml:space="preserve">touching upon more than just one human right. For example, the HRCttee </w:t>
      </w:r>
      <w:r w:rsidR="00F33CF4">
        <w:rPr>
          <w:rFonts w:ascii="Trebuchet MS" w:hAnsi="Trebuchet MS"/>
        </w:rPr>
        <w:t xml:space="preserve">now also </w:t>
      </w:r>
      <w:r>
        <w:rPr>
          <w:rFonts w:ascii="Trebuchet MS" w:hAnsi="Trebuchet MS"/>
        </w:rPr>
        <w:t xml:space="preserve">links it </w:t>
      </w:r>
      <w:r w:rsidR="00191A0B" w:rsidRPr="006C5702">
        <w:rPr>
          <w:rFonts w:ascii="Trebuchet MS" w:hAnsi="Trebuchet MS"/>
        </w:rPr>
        <w:t>to the management of natural resources, the right to participate in public affairs, non-discrimination,</w:t>
      </w:r>
      <w:r w:rsidR="006C5702" w:rsidRPr="006C5702">
        <w:rPr>
          <w:rFonts w:ascii="Trebuchet MS" w:hAnsi="Trebuchet MS"/>
        </w:rPr>
        <w:t xml:space="preserve"> forced labour,</w:t>
      </w:r>
      <w:r w:rsidR="00191A0B" w:rsidRPr="006C5702">
        <w:rPr>
          <w:rFonts w:ascii="Trebuchet MS" w:hAnsi="Trebuchet MS"/>
        </w:rPr>
        <w:t xml:space="preserve"> etc</w:t>
      </w:r>
      <w:r w:rsidR="00391683" w:rsidRPr="006C5702">
        <w:rPr>
          <w:rFonts w:ascii="Trebuchet MS" w:hAnsi="Trebuchet MS"/>
        </w:rPr>
        <w:t>.</w:t>
      </w:r>
      <w:r w:rsidR="00F33CF4">
        <w:rPr>
          <w:rFonts w:ascii="Trebuchet MS" w:hAnsi="Trebuchet MS"/>
        </w:rPr>
        <w:t>.</w:t>
      </w:r>
    </w:p>
    <w:p w:rsidR="00043C85" w:rsidRDefault="00191A0B" w:rsidP="007E39A7">
      <w:pPr>
        <w:pStyle w:val="ListParagraph"/>
        <w:numPr>
          <w:ilvl w:val="1"/>
          <w:numId w:val="1"/>
        </w:numPr>
        <w:rPr>
          <w:rFonts w:ascii="Trebuchet MS" w:hAnsi="Trebuchet MS"/>
        </w:rPr>
      </w:pPr>
      <w:r w:rsidRPr="006C5702">
        <w:rPr>
          <w:rFonts w:ascii="Trebuchet MS" w:hAnsi="Trebuchet MS"/>
        </w:rPr>
        <w:t xml:space="preserve">Recommendations have also become </w:t>
      </w:r>
      <w:r w:rsidRPr="006C5702">
        <w:rPr>
          <w:rFonts w:ascii="Trebuchet MS" w:hAnsi="Trebuchet MS"/>
          <w:b/>
        </w:rPr>
        <w:t>more concrete</w:t>
      </w:r>
      <w:r w:rsidR="00B57D22">
        <w:rPr>
          <w:rFonts w:ascii="Trebuchet MS" w:hAnsi="Trebuchet MS"/>
        </w:rPr>
        <w:t xml:space="preserve">. </w:t>
      </w:r>
    </w:p>
    <w:p w:rsidR="00B57D22" w:rsidRDefault="00B57D22" w:rsidP="00B57D22">
      <w:pPr>
        <w:pStyle w:val="ListParagraph"/>
        <w:ind w:left="1440"/>
        <w:rPr>
          <w:rFonts w:ascii="Trebuchet MS" w:hAnsi="Trebuchet MS"/>
        </w:rPr>
      </w:pPr>
    </w:p>
    <w:p w:rsidR="00B57D22" w:rsidRPr="00B57D22" w:rsidRDefault="00B57D22" w:rsidP="00205B98">
      <w:pPr>
        <w:pStyle w:val="ListParagraph"/>
        <w:numPr>
          <w:ilvl w:val="0"/>
          <w:numId w:val="1"/>
        </w:numPr>
        <w:rPr>
          <w:rFonts w:ascii="Trebuchet MS" w:hAnsi="Trebuchet MS"/>
        </w:rPr>
      </w:pPr>
      <w:r w:rsidRPr="00B57D22">
        <w:rPr>
          <w:rFonts w:ascii="Trebuchet MS" w:hAnsi="Trebuchet MS"/>
        </w:rPr>
        <w:t xml:space="preserve">But, in order for this </w:t>
      </w:r>
      <w:r w:rsidRPr="00B57D22">
        <w:rPr>
          <w:rFonts w:ascii="Trebuchet MS" w:hAnsi="Trebuchet MS"/>
          <w:b/>
        </w:rPr>
        <w:t>trend to continue</w:t>
      </w:r>
      <w:r w:rsidRPr="00B57D22">
        <w:rPr>
          <w:rFonts w:ascii="Trebuchet MS" w:hAnsi="Trebuchet MS"/>
        </w:rPr>
        <w:t xml:space="preserve"> and </w:t>
      </w:r>
      <w:r w:rsidR="00ED7CA0">
        <w:rPr>
          <w:rFonts w:ascii="Trebuchet MS" w:hAnsi="Trebuchet MS"/>
        </w:rPr>
        <w:t>grow even more</w:t>
      </w:r>
      <w:r w:rsidRPr="00B57D22">
        <w:rPr>
          <w:rFonts w:ascii="Trebuchet MS" w:hAnsi="Trebuchet MS"/>
        </w:rPr>
        <w:t xml:space="preserve">, we need civil society reports on corruption. Members of the Treaty Bodies have told us that it is hard for them to make recommendations on corruption and its </w:t>
      </w:r>
      <w:r w:rsidRPr="00B57D22">
        <w:rPr>
          <w:rFonts w:ascii="Trebuchet MS" w:hAnsi="Trebuchet MS"/>
        </w:rPr>
        <w:lastRenderedPageBreak/>
        <w:t xml:space="preserve">negative enjoyment on human rights, when they have received no reports on the issue. That is why the Centre, together with the Geneva Academy and OHCHR, with support from OSF and the Swiss, has developed a </w:t>
      </w:r>
      <w:r w:rsidRPr="00811BD8">
        <w:rPr>
          <w:rFonts w:ascii="Trebuchet MS" w:hAnsi="Trebuchet MS"/>
          <w:b/>
        </w:rPr>
        <w:t>guide for anti-corruption experts</w:t>
      </w:r>
      <w:r w:rsidRPr="00B57D22">
        <w:rPr>
          <w:rFonts w:ascii="Trebuchet MS" w:hAnsi="Trebuchet MS"/>
        </w:rPr>
        <w:t xml:space="preserve"> to better use the UN human rights mechanisms. </w:t>
      </w:r>
      <w:r>
        <w:rPr>
          <w:rFonts w:ascii="Trebuchet MS" w:hAnsi="Trebuchet MS"/>
        </w:rPr>
        <w:t>I want to give 2 examples where the influence and impact of anti-corruption organisations is very clear</w:t>
      </w:r>
      <w:r w:rsidRPr="00B57D22">
        <w:rPr>
          <w:rFonts w:ascii="Trebuchet MS" w:hAnsi="Trebuchet MS"/>
        </w:rPr>
        <w:t xml:space="preserve">: </w:t>
      </w:r>
    </w:p>
    <w:p w:rsidR="008A07D7" w:rsidRDefault="00391683" w:rsidP="007E39A7">
      <w:pPr>
        <w:pStyle w:val="ListParagraph"/>
        <w:numPr>
          <w:ilvl w:val="1"/>
          <w:numId w:val="1"/>
        </w:numPr>
        <w:rPr>
          <w:rFonts w:ascii="Trebuchet MS" w:hAnsi="Trebuchet MS"/>
        </w:rPr>
      </w:pPr>
      <w:r w:rsidRPr="006C5702">
        <w:rPr>
          <w:rFonts w:ascii="Trebuchet MS" w:hAnsi="Trebuchet MS"/>
          <w:b/>
        </w:rPr>
        <w:t>Uzbekistan</w:t>
      </w:r>
      <w:r w:rsidRPr="006C5702">
        <w:rPr>
          <w:rFonts w:ascii="Trebuchet MS" w:hAnsi="Trebuchet MS"/>
        </w:rPr>
        <w:t xml:space="preserve"> is an example that shows how reporting on corruption by civil society is so crucial. We supported an alternative thematic report on corruption on Uzbekistan to the HR Committee, and the HR Committee put corruption as the second issue in Uzbekistan’s list of issues, asking the State party which measures have been taken to eradicate corruption. </w:t>
      </w:r>
      <w:r w:rsidR="00407F43">
        <w:rPr>
          <w:rFonts w:ascii="Trebuchet MS" w:hAnsi="Trebuchet MS"/>
        </w:rPr>
        <w:t xml:space="preserve">The fact that it is the second issue, shows the importance of the question. </w:t>
      </w:r>
    </w:p>
    <w:p w:rsidR="00407F43" w:rsidRPr="00407F43" w:rsidRDefault="00407F43" w:rsidP="007E39A7">
      <w:pPr>
        <w:pStyle w:val="ListParagraph"/>
        <w:numPr>
          <w:ilvl w:val="1"/>
          <w:numId w:val="1"/>
        </w:numPr>
        <w:rPr>
          <w:rFonts w:ascii="Trebuchet MS" w:hAnsi="Trebuchet MS"/>
        </w:rPr>
      </w:pPr>
      <w:r w:rsidRPr="00407F43">
        <w:rPr>
          <w:rFonts w:ascii="Trebuchet MS" w:hAnsi="Trebuchet MS"/>
        </w:rPr>
        <w:t xml:space="preserve">For </w:t>
      </w:r>
      <w:r w:rsidRPr="00407F43">
        <w:rPr>
          <w:rFonts w:ascii="Trebuchet MS" w:hAnsi="Trebuchet MS"/>
          <w:b/>
        </w:rPr>
        <w:t>Equatorial Guinea</w:t>
      </w:r>
      <w:r w:rsidRPr="00407F43">
        <w:rPr>
          <w:rFonts w:ascii="Trebuchet MS" w:hAnsi="Trebuchet MS"/>
        </w:rPr>
        <w:t>, we also supported a local partner in submitting a thematic report on corruption for the review. As a result, the concerns and recommendations on corruption were selected as a priority issue</w:t>
      </w:r>
      <w:r w:rsidR="002C67C6">
        <w:rPr>
          <w:rFonts w:ascii="Trebuchet MS" w:hAnsi="Trebuchet MS"/>
        </w:rPr>
        <w:t xml:space="preserve">. This means that within 2 years of the review, the State has to submit a follow-up report, saying what it has done to implement the 3 priority recommendations, after which the Committee evaluates the progress made. </w:t>
      </w:r>
    </w:p>
    <w:p w:rsidR="008E1CA9" w:rsidRPr="006C5702" w:rsidRDefault="008E1CA9" w:rsidP="007E39A7">
      <w:pPr>
        <w:pStyle w:val="ListParagraph"/>
        <w:numPr>
          <w:ilvl w:val="1"/>
          <w:numId w:val="1"/>
        </w:numPr>
        <w:rPr>
          <w:rFonts w:ascii="Trebuchet MS" w:hAnsi="Trebuchet MS"/>
        </w:rPr>
      </w:pPr>
      <w:r w:rsidRPr="006C5702">
        <w:rPr>
          <w:rFonts w:ascii="Trebuchet MS" w:hAnsi="Trebuchet MS"/>
        </w:rPr>
        <w:t xml:space="preserve">These changes are very important, and we would like this </w:t>
      </w:r>
      <w:r w:rsidRPr="006C5702">
        <w:rPr>
          <w:rFonts w:ascii="Trebuchet MS" w:hAnsi="Trebuchet MS"/>
          <w:b/>
        </w:rPr>
        <w:t>trend to continue</w:t>
      </w:r>
      <w:r w:rsidRPr="006C5702">
        <w:rPr>
          <w:rFonts w:ascii="Trebuchet MS" w:hAnsi="Trebuchet MS"/>
        </w:rPr>
        <w:t xml:space="preserve">. That is why </w:t>
      </w:r>
      <w:r w:rsidR="004259F4" w:rsidRPr="006C5702">
        <w:rPr>
          <w:rFonts w:ascii="Trebuchet MS" w:hAnsi="Trebuchet MS"/>
        </w:rPr>
        <w:t xml:space="preserve">we want to empower </w:t>
      </w:r>
      <w:r w:rsidRPr="006C5702">
        <w:rPr>
          <w:rFonts w:ascii="Trebuchet MS" w:hAnsi="Trebuchet MS"/>
        </w:rPr>
        <w:t xml:space="preserve">civil society and the anti-corruption community </w:t>
      </w:r>
      <w:r w:rsidR="004259F4" w:rsidRPr="006C5702">
        <w:rPr>
          <w:rFonts w:ascii="Trebuchet MS" w:hAnsi="Trebuchet MS"/>
        </w:rPr>
        <w:t xml:space="preserve">to incorporate a rights-based approach when reporting to the UN human rights mechanisms. </w:t>
      </w:r>
    </w:p>
    <w:p w:rsidR="008819A3" w:rsidRPr="002C67C6" w:rsidRDefault="008819A3" w:rsidP="002C67C6">
      <w:pPr>
        <w:rPr>
          <w:rFonts w:ascii="Trebuchet MS" w:hAnsi="Trebuchet MS"/>
        </w:rPr>
      </w:pPr>
    </w:p>
    <w:p w:rsidR="00241A19" w:rsidRPr="006C5702" w:rsidRDefault="00811BD8" w:rsidP="00191A0B">
      <w:pPr>
        <w:pStyle w:val="ListParagraph"/>
        <w:numPr>
          <w:ilvl w:val="0"/>
          <w:numId w:val="1"/>
        </w:numPr>
        <w:rPr>
          <w:rFonts w:ascii="Trebuchet MS" w:hAnsi="Trebuchet MS"/>
        </w:rPr>
      </w:pPr>
      <w:r>
        <w:rPr>
          <w:rFonts w:ascii="Trebuchet MS" w:hAnsi="Trebuchet MS"/>
        </w:rPr>
        <w:t xml:space="preserve">There are French and English hard copies of the guide available. </w:t>
      </w:r>
      <w:r w:rsidR="00241A19" w:rsidRPr="006C5702">
        <w:rPr>
          <w:rFonts w:ascii="Trebuchet MS" w:hAnsi="Trebuchet MS"/>
        </w:rPr>
        <w:t xml:space="preserve">A word on the </w:t>
      </w:r>
      <w:r w:rsidR="00580612" w:rsidRPr="006C5702">
        <w:rPr>
          <w:rFonts w:ascii="Trebuchet MS" w:hAnsi="Trebuchet MS"/>
          <w:b/>
        </w:rPr>
        <w:t xml:space="preserve">purpose and </w:t>
      </w:r>
      <w:r w:rsidR="00241A19" w:rsidRPr="006C5702">
        <w:rPr>
          <w:rFonts w:ascii="Trebuchet MS" w:hAnsi="Trebuchet MS"/>
          <w:b/>
        </w:rPr>
        <w:t>content</w:t>
      </w:r>
      <w:r w:rsidR="00241A19" w:rsidRPr="006C5702">
        <w:rPr>
          <w:rFonts w:ascii="Trebuchet MS" w:hAnsi="Trebuchet MS"/>
        </w:rPr>
        <w:t xml:space="preserve"> of the guide: </w:t>
      </w:r>
    </w:p>
    <w:p w:rsidR="008819A3" w:rsidRPr="006C5702" w:rsidRDefault="00580612" w:rsidP="00510D33">
      <w:pPr>
        <w:pStyle w:val="ListParagraph"/>
        <w:numPr>
          <w:ilvl w:val="1"/>
          <w:numId w:val="1"/>
        </w:numPr>
        <w:rPr>
          <w:rFonts w:ascii="Trebuchet MS" w:hAnsi="Trebuchet MS"/>
        </w:rPr>
      </w:pPr>
      <w:r w:rsidRPr="006C5702">
        <w:rPr>
          <w:rFonts w:ascii="Trebuchet MS" w:hAnsi="Trebuchet MS"/>
        </w:rPr>
        <w:t xml:space="preserve">It is </w:t>
      </w:r>
      <w:r w:rsidR="004C5BBA" w:rsidRPr="006C5702">
        <w:rPr>
          <w:rFonts w:ascii="Trebuchet MS" w:hAnsi="Trebuchet MS"/>
        </w:rPr>
        <w:t xml:space="preserve">a practical </w:t>
      </w:r>
      <w:r w:rsidRPr="006C5702">
        <w:rPr>
          <w:rFonts w:ascii="Trebuchet MS" w:hAnsi="Trebuchet MS"/>
        </w:rPr>
        <w:t xml:space="preserve">and </w:t>
      </w:r>
      <w:r w:rsidRPr="006C5702">
        <w:rPr>
          <w:rFonts w:ascii="Trebuchet MS" w:hAnsi="Trebuchet MS"/>
          <w:b/>
        </w:rPr>
        <w:t xml:space="preserve">user-friendly </w:t>
      </w:r>
      <w:r w:rsidR="004C5BBA" w:rsidRPr="006C5702">
        <w:rPr>
          <w:rFonts w:ascii="Trebuchet MS" w:hAnsi="Trebuchet MS"/>
          <w:b/>
        </w:rPr>
        <w:t>tool</w:t>
      </w:r>
      <w:r w:rsidR="004C5BBA" w:rsidRPr="006C5702">
        <w:rPr>
          <w:rFonts w:ascii="Trebuchet MS" w:hAnsi="Trebuchet MS"/>
        </w:rPr>
        <w:t xml:space="preserve">, that </w:t>
      </w:r>
      <w:r w:rsidRPr="006C5702">
        <w:rPr>
          <w:rFonts w:ascii="Trebuchet MS" w:hAnsi="Trebuchet MS"/>
        </w:rPr>
        <w:t xml:space="preserve">should </w:t>
      </w:r>
      <w:r w:rsidR="004C5BBA" w:rsidRPr="006C5702">
        <w:rPr>
          <w:rFonts w:ascii="Trebuchet MS" w:hAnsi="Trebuchet MS"/>
        </w:rPr>
        <w:t>help anti-corruption groups navigate the human rights mechanisms.</w:t>
      </w:r>
      <w:r w:rsidR="008819A3" w:rsidRPr="006C5702">
        <w:rPr>
          <w:rFonts w:ascii="Trebuchet MS" w:hAnsi="Trebuchet MS"/>
        </w:rPr>
        <w:t xml:space="preserve"> </w:t>
      </w:r>
      <w:r w:rsidRPr="006C5702">
        <w:rPr>
          <w:rFonts w:ascii="Trebuchet MS" w:hAnsi="Trebuchet MS"/>
        </w:rPr>
        <w:t>It explores how a human rights based approach, focusing on victims of corruption and State responsibility, can be used to complement and strengthen anti-corruption efforts</w:t>
      </w:r>
      <w:r w:rsidR="008819A3" w:rsidRPr="006C5702">
        <w:rPr>
          <w:rFonts w:ascii="Trebuchet MS" w:hAnsi="Trebuchet MS"/>
        </w:rPr>
        <w:t xml:space="preserve">, and wants to reinforce the link between NGOs working on anti-corruption, that usually focus more on the UNCAC system, and the </w:t>
      </w:r>
      <w:proofErr w:type="spellStart"/>
      <w:r w:rsidR="008819A3" w:rsidRPr="006C5702">
        <w:rPr>
          <w:rFonts w:ascii="Trebuchet MS" w:hAnsi="Trebuchet MS"/>
        </w:rPr>
        <w:t>TBs.</w:t>
      </w:r>
      <w:proofErr w:type="spellEnd"/>
      <w:r w:rsidR="008819A3" w:rsidRPr="006C5702">
        <w:rPr>
          <w:rFonts w:ascii="Trebuchet MS" w:hAnsi="Trebuchet MS"/>
        </w:rPr>
        <w:t xml:space="preserve"> </w:t>
      </w:r>
    </w:p>
    <w:p w:rsidR="008819A3" w:rsidRPr="006C5702" w:rsidRDefault="00580612" w:rsidP="008819A3">
      <w:pPr>
        <w:pStyle w:val="ListParagraph"/>
        <w:numPr>
          <w:ilvl w:val="1"/>
          <w:numId w:val="1"/>
        </w:numPr>
        <w:rPr>
          <w:rFonts w:ascii="Trebuchet MS" w:hAnsi="Trebuchet MS"/>
        </w:rPr>
      </w:pPr>
      <w:r w:rsidRPr="006C5702">
        <w:rPr>
          <w:rFonts w:ascii="Trebuchet MS" w:hAnsi="Trebuchet MS"/>
        </w:rPr>
        <w:t xml:space="preserve">To this end, the guide focuses primarily on how UN human rights mechanisms can be better used to report on corruption, and it provides guidance and practical recommendations on effectively integrating human rights into anti-corruption efforts. </w:t>
      </w:r>
    </w:p>
    <w:p w:rsidR="00E6354C" w:rsidRPr="006C5702" w:rsidRDefault="00D24A97" w:rsidP="00E6354C">
      <w:pPr>
        <w:pStyle w:val="ListParagraph"/>
        <w:numPr>
          <w:ilvl w:val="1"/>
          <w:numId w:val="1"/>
        </w:numPr>
        <w:rPr>
          <w:rFonts w:ascii="Trebuchet MS" w:hAnsi="Trebuchet MS"/>
        </w:rPr>
      </w:pPr>
      <w:r w:rsidRPr="006C5702">
        <w:rPr>
          <w:rFonts w:ascii="Trebuchet MS" w:hAnsi="Trebuchet MS"/>
        </w:rPr>
        <w:t>The guide</w:t>
      </w:r>
      <w:r w:rsidR="006C5ADD" w:rsidRPr="006C5702">
        <w:rPr>
          <w:rFonts w:ascii="Trebuchet MS" w:hAnsi="Trebuchet MS"/>
        </w:rPr>
        <w:t xml:space="preserve"> begins by explaining the </w:t>
      </w:r>
      <w:r w:rsidR="006C5ADD" w:rsidRPr="006C5702">
        <w:rPr>
          <w:rFonts w:ascii="Trebuchet MS" w:hAnsi="Trebuchet MS"/>
          <w:b/>
        </w:rPr>
        <w:t>link between corruption and human rights</w:t>
      </w:r>
      <w:r w:rsidR="006C5ADD" w:rsidRPr="006C5702">
        <w:rPr>
          <w:rFonts w:ascii="Trebuchet MS" w:hAnsi="Trebuchet MS"/>
        </w:rPr>
        <w:t xml:space="preserve">, and it what way, acts of corruption can lead to human rights violations. The guide is structured in a way that </w:t>
      </w:r>
      <w:r w:rsidR="004259F4" w:rsidRPr="006C5702">
        <w:rPr>
          <w:rFonts w:ascii="Trebuchet MS" w:hAnsi="Trebuchet MS"/>
        </w:rPr>
        <w:t xml:space="preserve">it gives an overview of </w:t>
      </w:r>
      <w:r w:rsidRPr="006C5702">
        <w:rPr>
          <w:rFonts w:ascii="Trebuchet MS" w:hAnsi="Trebuchet MS"/>
        </w:rPr>
        <w:t>the link between corruption and several specific human rights</w:t>
      </w:r>
      <w:r w:rsidR="004259F4" w:rsidRPr="006C5702">
        <w:rPr>
          <w:rFonts w:ascii="Trebuchet MS" w:hAnsi="Trebuchet MS"/>
        </w:rPr>
        <w:t xml:space="preserve">, like right to life, freedom from torture or economic, social and cultural rights. </w:t>
      </w:r>
    </w:p>
    <w:p w:rsidR="00C64D06" w:rsidRPr="006C5702" w:rsidRDefault="00993D05" w:rsidP="00E6354C">
      <w:pPr>
        <w:pStyle w:val="ListParagraph"/>
        <w:numPr>
          <w:ilvl w:val="1"/>
          <w:numId w:val="1"/>
        </w:numPr>
        <w:rPr>
          <w:rFonts w:ascii="Trebuchet MS" w:hAnsi="Trebuchet MS"/>
        </w:rPr>
      </w:pPr>
      <w:r w:rsidRPr="006C5702">
        <w:rPr>
          <w:rFonts w:ascii="Trebuchet MS" w:hAnsi="Trebuchet MS"/>
        </w:rPr>
        <w:t xml:space="preserve">It then moves on to give an </w:t>
      </w:r>
      <w:r w:rsidRPr="006C5702">
        <w:rPr>
          <w:rFonts w:ascii="Trebuchet MS" w:hAnsi="Trebuchet MS"/>
          <w:b/>
        </w:rPr>
        <w:t>overview of the UN Human Rights mechanisms</w:t>
      </w:r>
      <w:r w:rsidRPr="006C5702">
        <w:rPr>
          <w:rFonts w:ascii="Trebuchet MS" w:hAnsi="Trebuchet MS"/>
        </w:rPr>
        <w:t xml:space="preserve">, the charter based and treaty based </w:t>
      </w:r>
      <w:r w:rsidR="00273D47" w:rsidRPr="006C5702">
        <w:rPr>
          <w:rFonts w:ascii="Trebuchet MS" w:hAnsi="Trebuchet MS"/>
        </w:rPr>
        <w:t xml:space="preserve">mechanisms. </w:t>
      </w:r>
      <w:r w:rsidR="004259F4" w:rsidRPr="006C5702">
        <w:rPr>
          <w:rFonts w:ascii="Trebuchet MS" w:hAnsi="Trebuchet MS"/>
        </w:rPr>
        <w:t xml:space="preserve">Every mechanism has a chapter that clearly states how civil society can engage with these mechanisms and what role they can play. </w:t>
      </w:r>
    </w:p>
    <w:p w:rsidR="004259F4" w:rsidRPr="006C5702" w:rsidRDefault="004259F4" w:rsidP="004259F4">
      <w:pPr>
        <w:numPr>
          <w:ilvl w:val="1"/>
          <w:numId w:val="1"/>
        </w:numPr>
        <w:spacing w:before="100" w:beforeAutospacing="1" w:after="100" w:afterAutospacing="1"/>
        <w:rPr>
          <w:rFonts w:ascii="Trebuchet MS" w:hAnsi="Trebuchet MS"/>
        </w:rPr>
      </w:pPr>
      <w:r w:rsidRPr="006C5702">
        <w:rPr>
          <w:rFonts w:ascii="Trebuchet MS" w:hAnsi="Trebuchet MS"/>
        </w:rPr>
        <w:t xml:space="preserve">Lastly, media, civil society and NGOs have been instrumental in uncovering and reporting on corruption. </w:t>
      </w:r>
      <w:r w:rsidR="00F33CF4">
        <w:rPr>
          <w:rFonts w:ascii="Trebuchet MS" w:hAnsi="Trebuchet MS"/>
        </w:rPr>
        <w:t>But</w:t>
      </w:r>
      <w:r w:rsidRPr="006C5702">
        <w:rPr>
          <w:rFonts w:ascii="Trebuchet MS" w:hAnsi="Trebuchet MS"/>
        </w:rPr>
        <w:t xml:space="preserve">, ensuring the </w:t>
      </w:r>
      <w:r w:rsidRPr="006C5702">
        <w:rPr>
          <w:rFonts w:ascii="Trebuchet MS" w:hAnsi="Trebuchet MS"/>
        </w:rPr>
        <w:lastRenderedPageBreak/>
        <w:t xml:space="preserve">involvement of those actors requires </w:t>
      </w:r>
      <w:r w:rsidRPr="006C5702">
        <w:rPr>
          <w:rFonts w:ascii="Trebuchet MS" w:hAnsi="Trebuchet MS"/>
          <w:b/>
        </w:rPr>
        <w:t>appropriate legal safeguards</w:t>
      </w:r>
      <w:r w:rsidRPr="006C5702">
        <w:rPr>
          <w:rFonts w:ascii="Trebuchet MS" w:hAnsi="Trebuchet MS"/>
        </w:rPr>
        <w:t xml:space="preserve">. Human rights protection is indispensable in establishing </w:t>
      </w:r>
      <w:r w:rsidR="008819A3" w:rsidRPr="006C5702">
        <w:rPr>
          <w:rFonts w:ascii="Trebuchet MS" w:hAnsi="Trebuchet MS"/>
        </w:rPr>
        <w:t>that</w:t>
      </w:r>
      <w:r w:rsidRPr="006C5702">
        <w:rPr>
          <w:rFonts w:ascii="Trebuchet MS" w:hAnsi="Trebuchet MS"/>
        </w:rPr>
        <w:t>, and thus may encourage journalists, activists, experts, victims and witnesses to come forward and “blow the whistle”. A chapter of the guide is devoted to this protection.</w:t>
      </w:r>
      <w:r w:rsidRPr="006C5702">
        <w:rPr>
          <w:rFonts w:ascii="Trebuchet MS" w:eastAsia="Times New Roman" w:hAnsi="Trebuchet MS" w:cs="Times New Roman"/>
        </w:rPr>
        <w:t xml:space="preserve"> </w:t>
      </w:r>
    </w:p>
    <w:p w:rsidR="002957D5" w:rsidRPr="007501F2" w:rsidRDefault="002957D5" w:rsidP="00E6354C">
      <w:pPr>
        <w:pStyle w:val="ListParagraph"/>
        <w:numPr>
          <w:ilvl w:val="1"/>
          <w:numId w:val="1"/>
        </w:numPr>
        <w:rPr>
          <w:rFonts w:ascii="Trebuchet MS" w:hAnsi="Trebuchet MS"/>
        </w:rPr>
      </w:pPr>
      <w:r w:rsidRPr="002957D5">
        <w:rPr>
          <w:rFonts w:ascii="Trebuchet MS" w:hAnsi="Trebuchet MS"/>
        </w:rPr>
        <w:t>The guide is also accompanied by information sheets and</w:t>
      </w:r>
      <w:r>
        <w:rPr>
          <w:rFonts w:ascii="Trebuchet MS" w:hAnsi="Trebuchet MS"/>
          <w:b/>
        </w:rPr>
        <w:t xml:space="preserve"> Frequently Asked Questions, </w:t>
      </w:r>
      <w:r w:rsidRPr="002957D5">
        <w:rPr>
          <w:rFonts w:ascii="Trebuchet MS" w:hAnsi="Trebuchet MS"/>
        </w:rPr>
        <w:t>about the participation with these mechanisms. These are even more practical in nature and we hope they can encourage you to engage with the Human Rights mechanisms.</w:t>
      </w:r>
      <w:r>
        <w:rPr>
          <w:rFonts w:ascii="Trebuchet MS" w:hAnsi="Trebuchet MS"/>
          <w:b/>
        </w:rPr>
        <w:t xml:space="preserve"> </w:t>
      </w:r>
    </w:p>
    <w:p w:rsidR="00C64D06" w:rsidRPr="006C5702" w:rsidRDefault="007501F2" w:rsidP="007501F2">
      <w:pPr>
        <w:pStyle w:val="ListParagraph"/>
        <w:numPr>
          <w:ilvl w:val="1"/>
          <w:numId w:val="1"/>
        </w:numPr>
        <w:rPr>
          <w:rFonts w:ascii="Trebuchet MS" w:hAnsi="Trebuchet MS"/>
        </w:rPr>
      </w:pPr>
      <w:r>
        <w:rPr>
          <w:rFonts w:ascii="Trebuchet MS" w:hAnsi="Trebuchet MS"/>
        </w:rPr>
        <w:t xml:space="preserve">To end, </w:t>
      </w:r>
      <w:bookmarkStart w:id="0" w:name="_GoBack"/>
      <w:bookmarkEnd w:id="0"/>
      <w:r>
        <w:rPr>
          <w:rFonts w:ascii="Trebuchet MS" w:hAnsi="Trebuchet MS"/>
        </w:rPr>
        <w:t xml:space="preserve">for those who would like to find out more, we have planned </w:t>
      </w:r>
      <w:r w:rsidRPr="004C762B">
        <w:rPr>
          <w:rFonts w:ascii="Trebuchet MS" w:hAnsi="Trebuchet MS"/>
          <w:b/>
        </w:rPr>
        <w:t>two trainings</w:t>
      </w:r>
      <w:r>
        <w:rPr>
          <w:rFonts w:ascii="Trebuchet MS" w:hAnsi="Trebuchet MS"/>
        </w:rPr>
        <w:t>: one for organisations from the MENA region this afternoon, and one that is open to everybody, on Thursday morning, both in the NGO lounge</w:t>
      </w:r>
      <w:r w:rsidR="00D62623" w:rsidRPr="006C5702">
        <w:rPr>
          <w:rFonts w:ascii="Trebuchet MS" w:hAnsi="Trebuchet MS"/>
        </w:rPr>
        <w:t xml:space="preserve">. </w:t>
      </w:r>
      <w:r w:rsidR="00D24A97" w:rsidRPr="006C5702">
        <w:rPr>
          <w:rFonts w:ascii="Trebuchet MS" w:hAnsi="Trebuchet MS"/>
        </w:rPr>
        <w:t xml:space="preserve">Thank you. </w:t>
      </w:r>
    </w:p>
    <w:p w:rsidR="00E6354C" w:rsidRPr="006C5702" w:rsidRDefault="00E6354C" w:rsidP="00E6354C">
      <w:pPr>
        <w:rPr>
          <w:rFonts w:ascii="Trebuchet MS" w:hAnsi="Trebuchet MS"/>
        </w:rPr>
      </w:pPr>
    </w:p>
    <w:p w:rsidR="00E6354C" w:rsidRPr="006C5702" w:rsidRDefault="00E6354C" w:rsidP="00E6354C">
      <w:pPr>
        <w:rPr>
          <w:rFonts w:ascii="Trebuchet MS" w:hAnsi="Trebuchet MS"/>
        </w:rPr>
      </w:pPr>
    </w:p>
    <w:sectPr w:rsidR="00E6354C" w:rsidRPr="006C5702" w:rsidSect="00181B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055E"/>
    <w:multiLevelType w:val="hybridMultilevel"/>
    <w:tmpl w:val="89CAB0D0"/>
    <w:lvl w:ilvl="0" w:tplc="08C4BA7A">
      <w:start w:val="21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A024C"/>
    <w:multiLevelType w:val="multilevel"/>
    <w:tmpl w:val="BC88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6B"/>
    <w:rsid w:val="00043C85"/>
    <w:rsid w:val="000C438C"/>
    <w:rsid w:val="00142C94"/>
    <w:rsid w:val="00181BB0"/>
    <w:rsid w:val="00191A0B"/>
    <w:rsid w:val="00241A19"/>
    <w:rsid w:val="00273D47"/>
    <w:rsid w:val="00291A43"/>
    <w:rsid w:val="002957D5"/>
    <w:rsid w:val="0029758E"/>
    <w:rsid w:val="002C67C6"/>
    <w:rsid w:val="00391683"/>
    <w:rsid w:val="00407F43"/>
    <w:rsid w:val="004259F4"/>
    <w:rsid w:val="0046245B"/>
    <w:rsid w:val="004C5BBA"/>
    <w:rsid w:val="004C762B"/>
    <w:rsid w:val="00535664"/>
    <w:rsid w:val="00574E27"/>
    <w:rsid w:val="00580612"/>
    <w:rsid w:val="005B48B3"/>
    <w:rsid w:val="005D088F"/>
    <w:rsid w:val="005E10EE"/>
    <w:rsid w:val="00601BEE"/>
    <w:rsid w:val="00647027"/>
    <w:rsid w:val="00665A4F"/>
    <w:rsid w:val="006B28FC"/>
    <w:rsid w:val="006C5702"/>
    <w:rsid w:val="006C5ADD"/>
    <w:rsid w:val="00707288"/>
    <w:rsid w:val="007501F2"/>
    <w:rsid w:val="007E39A7"/>
    <w:rsid w:val="00811BD8"/>
    <w:rsid w:val="00864F6B"/>
    <w:rsid w:val="008719D7"/>
    <w:rsid w:val="008819A3"/>
    <w:rsid w:val="008A07D7"/>
    <w:rsid w:val="008C56A6"/>
    <w:rsid w:val="008E1CA9"/>
    <w:rsid w:val="009570C9"/>
    <w:rsid w:val="00961DDB"/>
    <w:rsid w:val="00987800"/>
    <w:rsid w:val="00993D05"/>
    <w:rsid w:val="00B57D22"/>
    <w:rsid w:val="00C64D06"/>
    <w:rsid w:val="00D24A97"/>
    <w:rsid w:val="00D62623"/>
    <w:rsid w:val="00DB69BA"/>
    <w:rsid w:val="00DF5CDD"/>
    <w:rsid w:val="00E445F0"/>
    <w:rsid w:val="00E6354C"/>
    <w:rsid w:val="00E8269C"/>
    <w:rsid w:val="00EA46E3"/>
    <w:rsid w:val="00EA5F9E"/>
    <w:rsid w:val="00ED7CA0"/>
    <w:rsid w:val="00F33CF4"/>
    <w:rsid w:val="00F4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E787E0"/>
  <w15:chartTrackingRefBased/>
  <w15:docId w15:val="{0D8D9B93-DA1C-6046-9D9D-0B29A17D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8C"/>
    <w:pPr>
      <w:ind w:left="720"/>
      <w:contextualSpacing/>
    </w:pPr>
  </w:style>
  <w:style w:type="paragraph" w:styleId="NormalWeb">
    <w:name w:val="Normal (Web)"/>
    <w:basedOn w:val="Normal"/>
    <w:uiPriority w:val="99"/>
    <w:semiHidden/>
    <w:unhideWhenUsed/>
    <w:rsid w:val="00993D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2188">
      <w:bodyDiv w:val="1"/>
      <w:marLeft w:val="0"/>
      <w:marRight w:val="0"/>
      <w:marTop w:val="0"/>
      <w:marBottom w:val="0"/>
      <w:divBdr>
        <w:top w:val="none" w:sz="0" w:space="0" w:color="auto"/>
        <w:left w:val="none" w:sz="0" w:space="0" w:color="auto"/>
        <w:bottom w:val="none" w:sz="0" w:space="0" w:color="auto"/>
        <w:right w:val="none" w:sz="0" w:space="0" w:color="auto"/>
      </w:divBdr>
      <w:divsChild>
        <w:div w:id="1890528396">
          <w:marLeft w:val="0"/>
          <w:marRight w:val="0"/>
          <w:marTop w:val="0"/>
          <w:marBottom w:val="0"/>
          <w:divBdr>
            <w:top w:val="none" w:sz="0" w:space="0" w:color="auto"/>
            <w:left w:val="none" w:sz="0" w:space="0" w:color="auto"/>
            <w:bottom w:val="none" w:sz="0" w:space="0" w:color="auto"/>
            <w:right w:val="none" w:sz="0" w:space="0" w:color="auto"/>
          </w:divBdr>
          <w:divsChild>
            <w:div w:id="440105425">
              <w:marLeft w:val="0"/>
              <w:marRight w:val="0"/>
              <w:marTop w:val="0"/>
              <w:marBottom w:val="0"/>
              <w:divBdr>
                <w:top w:val="none" w:sz="0" w:space="0" w:color="auto"/>
                <w:left w:val="none" w:sz="0" w:space="0" w:color="auto"/>
                <w:bottom w:val="none" w:sz="0" w:space="0" w:color="auto"/>
                <w:right w:val="none" w:sz="0" w:space="0" w:color="auto"/>
              </w:divBdr>
              <w:divsChild>
                <w:div w:id="490752446">
                  <w:marLeft w:val="0"/>
                  <w:marRight w:val="0"/>
                  <w:marTop w:val="0"/>
                  <w:marBottom w:val="0"/>
                  <w:divBdr>
                    <w:top w:val="none" w:sz="0" w:space="0" w:color="auto"/>
                    <w:left w:val="none" w:sz="0" w:space="0" w:color="auto"/>
                    <w:bottom w:val="none" w:sz="0" w:space="0" w:color="auto"/>
                    <w:right w:val="none" w:sz="0" w:space="0" w:color="auto"/>
                  </w:divBdr>
                  <w:divsChild>
                    <w:div w:id="1770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4952">
      <w:bodyDiv w:val="1"/>
      <w:marLeft w:val="0"/>
      <w:marRight w:val="0"/>
      <w:marTop w:val="0"/>
      <w:marBottom w:val="0"/>
      <w:divBdr>
        <w:top w:val="none" w:sz="0" w:space="0" w:color="auto"/>
        <w:left w:val="none" w:sz="0" w:space="0" w:color="auto"/>
        <w:bottom w:val="none" w:sz="0" w:space="0" w:color="auto"/>
        <w:right w:val="none" w:sz="0" w:space="0" w:color="auto"/>
      </w:divBdr>
      <w:divsChild>
        <w:div w:id="677080726">
          <w:marLeft w:val="0"/>
          <w:marRight w:val="0"/>
          <w:marTop w:val="0"/>
          <w:marBottom w:val="0"/>
          <w:divBdr>
            <w:top w:val="none" w:sz="0" w:space="0" w:color="auto"/>
            <w:left w:val="none" w:sz="0" w:space="0" w:color="auto"/>
            <w:bottom w:val="none" w:sz="0" w:space="0" w:color="auto"/>
            <w:right w:val="none" w:sz="0" w:space="0" w:color="auto"/>
          </w:divBdr>
          <w:divsChild>
            <w:div w:id="394161157">
              <w:marLeft w:val="0"/>
              <w:marRight w:val="0"/>
              <w:marTop w:val="0"/>
              <w:marBottom w:val="0"/>
              <w:divBdr>
                <w:top w:val="none" w:sz="0" w:space="0" w:color="auto"/>
                <w:left w:val="none" w:sz="0" w:space="0" w:color="auto"/>
                <w:bottom w:val="none" w:sz="0" w:space="0" w:color="auto"/>
                <w:right w:val="none" w:sz="0" w:space="0" w:color="auto"/>
              </w:divBdr>
              <w:divsChild>
                <w:div w:id="2116896266">
                  <w:marLeft w:val="0"/>
                  <w:marRight w:val="0"/>
                  <w:marTop w:val="0"/>
                  <w:marBottom w:val="0"/>
                  <w:divBdr>
                    <w:top w:val="none" w:sz="0" w:space="0" w:color="auto"/>
                    <w:left w:val="none" w:sz="0" w:space="0" w:color="auto"/>
                    <w:bottom w:val="none" w:sz="0" w:space="0" w:color="auto"/>
                    <w:right w:val="none" w:sz="0" w:space="0" w:color="auto"/>
                  </w:divBdr>
                  <w:divsChild>
                    <w:div w:id="1245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7832">
      <w:bodyDiv w:val="1"/>
      <w:marLeft w:val="0"/>
      <w:marRight w:val="0"/>
      <w:marTop w:val="0"/>
      <w:marBottom w:val="0"/>
      <w:divBdr>
        <w:top w:val="none" w:sz="0" w:space="0" w:color="auto"/>
        <w:left w:val="none" w:sz="0" w:space="0" w:color="auto"/>
        <w:bottom w:val="none" w:sz="0" w:space="0" w:color="auto"/>
        <w:right w:val="none" w:sz="0" w:space="0" w:color="auto"/>
      </w:divBdr>
      <w:divsChild>
        <w:div w:id="31271513">
          <w:marLeft w:val="0"/>
          <w:marRight w:val="0"/>
          <w:marTop w:val="0"/>
          <w:marBottom w:val="0"/>
          <w:divBdr>
            <w:top w:val="none" w:sz="0" w:space="0" w:color="auto"/>
            <w:left w:val="none" w:sz="0" w:space="0" w:color="auto"/>
            <w:bottom w:val="none" w:sz="0" w:space="0" w:color="auto"/>
            <w:right w:val="none" w:sz="0" w:space="0" w:color="auto"/>
          </w:divBdr>
          <w:divsChild>
            <w:div w:id="1711496949">
              <w:marLeft w:val="0"/>
              <w:marRight w:val="0"/>
              <w:marTop w:val="0"/>
              <w:marBottom w:val="0"/>
              <w:divBdr>
                <w:top w:val="none" w:sz="0" w:space="0" w:color="auto"/>
                <w:left w:val="none" w:sz="0" w:space="0" w:color="auto"/>
                <w:bottom w:val="none" w:sz="0" w:space="0" w:color="auto"/>
                <w:right w:val="none" w:sz="0" w:space="0" w:color="auto"/>
              </w:divBdr>
              <w:divsChild>
                <w:div w:id="1561986514">
                  <w:marLeft w:val="0"/>
                  <w:marRight w:val="0"/>
                  <w:marTop w:val="0"/>
                  <w:marBottom w:val="0"/>
                  <w:divBdr>
                    <w:top w:val="none" w:sz="0" w:space="0" w:color="auto"/>
                    <w:left w:val="none" w:sz="0" w:space="0" w:color="auto"/>
                    <w:bottom w:val="none" w:sz="0" w:space="0" w:color="auto"/>
                    <w:right w:val="none" w:sz="0" w:space="0" w:color="auto"/>
                  </w:divBdr>
                  <w:divsChild>
                    <w:div w:id="2103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73738">
      <w:bodyDiv w:val="1"/>
      <w:marLeft w:val="0"/>
      <w:marRight w:val="0"/>
      <w:marTop w:val="0"/>
      <w:marBottom w:val="0"/>
      <w:divBdr>
        <w:top w:val="none" w:sz="0" w:space="0" w:color="auto"/>
        <w:left w:val="none" w:sz="0" w:space="0" w:color="auto"/>
        <w:bottom w:val="none" w:sz="0" w:space="0" w:color="auto"/>
        <w:right w:val="none" w:sz="0" w:space="0" w:color="auto"/>
      </w:divBdr>
    </w:div>
    <w:div w:id="1200627114">
      <w:bodyDiv w:val="1"/>
      <w:marLeft w:val="0"/>
      <w:marRight w:val="0"/>
      <w:marTop w:val="0"/>
      <w:marBottom w:val="0"/>
      <w:divBdr>
        <w:top w:val="none" w:sz="0" w:space="0" w:color="auto"/>
        <w:left w:val="none" w:sz="0" w:space="0" w:color="auto"/>
        <w:bottom w:val="none" w:sz="0" w:space="0" w:color="auto"/>
        <w:right w:val="none" w:sz="0" w:space="0" w:color="auto"/>
      </w:divBdr>
      <w:divsChild>
        <w:div w:id="140007362">
          <w:marLeft w:val="0"/>
          <w:marRight w:val="0"/>
          <w:marTop w:val="0"/>
          <w:marBottom w:val="0"/>
          <w:divBdr>
            <w:top w:val="none" w:sz="0" w:space="0" w:color="auto"/>
            <w:left w:val="none" w:sz="0" w:space="0" w:color="auto"/>
            <w:bottom w:val="none" w:sz="0" w:space="0" w:color="auto"/>
            <w:right w:val="none" w:sz="0" w:space="0" w:color="auto"/>
          </w:divBdr>
          <w:divsChild>
            <w:div w:id="589461696">
              <w:marLeft w:val="0"/>
              <w:marRight w:val="0"/>
              <w:marTop w:val="0"/>
              <w:marBottom w:val="0"/>
              <w:divBdr>
                <w:top w:val="none" w:sz="0" w:space="0" w:color="auto"/>
                <w:left w:val="none" w:sz="0" w:space="0" w:color="auto"/>
                <w:bottom w:val="none" w:sz="0" w:space="0" w:color="auto"/>
                <w:right w:val="none" w:sz="0" w:space="0" w:color="auto"/>
              </w:divBdr>
              <w:divsChild>
                <w:div w:id="103042831">
                  <w:marLeft w:val="0"/>
                  <w:marRight w:val="0"/>
                  <w:marTop w:val="0"/>
                  <w:marBottom w:val="0"/>
                  <w:divBdr>
                    <w:top w:val="none" w:sz="0" w:space="0" w:color="auto"/>
                    <w:left w:val="none" w:sz="0" w:space="0" w:color="auto"/>
                    <w:bottom w:val="none" w:sz="0" w:space="0" w:color="auto"/>
                    <w:right w:val="none" w:sz="0" w:space="0" w:color="auto"/>
                  </w:divBdr>
                  <w:divsChild>
                    <w:div w:id="422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2161">
      <w:bodyDiv w:val="1"/>
      <w:marLeft w:val="0"/>
      <w:marRight w:val="0"/>
      <w:marTop w:val="0"/>
      <w:marBottom w:val="0"/>
      <w:divBdr>
        <w:top w:val="none" w:sz="0" w:space="0" w:color="auto"/>
        <w:left w:val="none" w:sz="0" w:space="0" w:color="auto"/>
        <w:bottom w:val="none" w:sz="0" w:space="0" w:color="auto"/>
        <w:right w:val="none" w:sz="0" w:space="0" w:color="auto"/>
      </w:divBdr>
      <w:divsChild>
        <w:div w:id="893396603">
          <w:marLeft w:val="0"/>
          <w:marRight w:val="0"/>
          <w:marTop w:val="0"/>
          <w:marBottom w:val="0"/>
          <w:divBdr>
            <w:top w:val="none" w:sz="0" w:space="0" w:color="auto"/>
            <w:left w:val="none" w:sz="0" w:space="0" w:color="auto"/>
            <w:bottom w:val="none" w:sz="0" w:space="0" w:color="auto"/>
            <w:right w:val="none" w:sz="0" w:space="0" w:color="auto"/>
          </w:divBdr>
          <w:divsChild>
            <w:div w:id="345400135">
              <w:marLeft w:val="0"/>
              <w:marRight w:val="0"/>
              <w:marTop w:val="0"/>
              <w:marBottom w:val="0"/>
              <w:divBdr>
                <w:top w:val="none" w:sz="0" w:space="0" w:color="auto"/>
                <w:left w:val="none" w:sz="0" w:space="0" w:color="auto"/>
                <w:bottom w:val="none" w:sz="0" w:space="0" w:color="auto"/>
                <w:right w:val="none" w:sz="0" w:space="0" w:color="auto"/>
              </w:divBdr>
              <w:divsChild>
                <w:div w:id="1915814983">
                  <w:marLeft w:val="0"/>
                  <w:marRight w:val="0"/>
                  <w:marTop w:val="0"/>
                  <w:marBottom w:val="0"/>
                  <w:divBdr>
                    <w:top w:val="none" w:sz="0" w:space="0" w:color="auto"/>
                    <w:left w:val="none" w:sz="0" w:space="0" w:color="auto"/>
                    <w:bottom w:val="none" w:sz="0" w:space="0" w:color="auto"/>
                    <w:right w:val="none" w:sz="0" w:space="0" w:color="auto"/>
                  </w:divBdr>
                  <w:divsChild>
                    <w:div w:id="79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1F53CF-0AFB-4DF6-8385-33E2E2761087}"/>
</file>

<file path=customXml/itemProps2.xml><?xml version="1.0" encoding="utf-8"?>
<ds:datastoreItem xmlns:ds="http://schemas.openxmlformats.org/officeDocument/2006/customXml" ds:itemID="{DFB2892C-1258-4300-9657-A761103042B4}"/>
</file>

<file path=customXml/itemProps3.xml><?xml version="1.0" encoding="utf-8"?>
<ds:datastoreItem xmlns:ds="http://schemas.openxmlformats.org/officeDocument/2006/customXml" ds:itemID="{5E235AE5-AF79-4A05-AA50-710FB855FFDD}"/>
</file>

<file path=docProps/app.xml><?xml version="1.0" encoding="utf-8"?>
<Properties xmlns="http://schemas.openxmlformats.org/officeDocument/2006/extended-properties" xmlns:vt="http://schemas.openxmlformats.org/officeDocument/2006/docPropsVTypes">
  <Template>Normal.dotm</Template>
  <TotalTime>30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CCPR-Centre</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Làzarie Eeckeloo</dc:creator>
  <cp:keywords/>
  <dc:description/>
  <cp:lastModifiedBy>Làzarie Eeckeloo</cp:lastModifiedBy>
  <cp:revision>8</cp:revision>
  <dcterms:created xsi:type="dcterms:W3CDTF">2019-12-17T07:48:00Z</dcterms:created>
  <dcterms:modified xsi:type="dcterms:W3CDTF">2019-12-18T17:52:00Z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