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2D" w:rsidRDefault="0079412D" w:rsidP="008563F7">
      <w:pPr>
        <w:spacing w:after="200" w:line="240" w:lineRule="auto"/>
        <w:jc w:val="center"/>
        <w:rPr>
          <w:rFonts w:ascii="Arial" w:eastAsia="Times New Roman" w:hAnsi="Arial" w:cs="Arial"/>
          <w:b/>
          <w:color w:val="000000"/>
          <w:sz w:val="24"/>
          <w:szCs w:val="24"/>
          <w:lang w:eastAsia="es-AR"/>
        </w:rPr>
      </w:pPr>
    </w:p>
    <w:p w:rsidR="0079412D" w:rsidRDefault="0079412D" w:rsidP="008563F7">
      <w:pPr>
        <w:spacing w:after="200" w:line="240" w:lineRule="auto"/>
        <w:jc w:val="center"/>
        <w:rPr>
          <w:rFonts w:ascii="Arial" w:eastAsia="Times New Roman" w:hAnsi="Arial" w:cs="Arial"/>
          <w:b/>
          <w:color w:val="000000"/>
          <w:sz w:val="24"/>
          <w:szCs w:val="24"/>
          <w:lang w:eastAsia="es-AR"/>
        </w:rPr>
      </w:pPr>
    </w:p>
    <w:p w:rsidR="0016405B" w:rsidRDefault="00E82550" w:rsidP="008563F7">
      <w:pPr>
        <w:spacing w:after="200" w:line="240" w:lineRule="auto"/>
        <w:jc w:val="center"/>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CUESTIONARIO SOBRE LA </w:t>
      </w:r>
      <w:r w:rsidR="0016405B" w:rsidRPr="00075F4E">
        <w:rPr>
          <w:rFonts w:ascii="Arial" w:eastAsia="Times New Roman" w:hAnsi="Arial" w:cs="Arial"/>
          <w:b/>
          <w:color w:val="000000"/>
          <w:sz w:val="24"/>
          <w:szCs w:val="24"/>
          <w:lang w:eastAsia="es-AR"/>
        </w:rPr>
        <w:t>APLICACIÓN DE LOS DERECHOS CULTU</w:t>
      </w:r>
      <w:r w:rsidR="0016405B" w:rsidRPr="008563F7">
        <w:rPr>
          <w:rFonts w:ascii="Arial" w:eastAsia="Times New Roman" w:hAnsi="Arial" w:cs="Arial"/>
          <w:b/>
          <w:color w:val="000000"/>
          <w:sz w:val="24"/>
          <w:szCs w:val="24"/>
          <w:lang w:eastAsia="es-AR"/>
        </w:rPr>
        <w:t>R</w:t>
      </w:r>
      <w:r w:rsidR="0016405B" w:rsidRPr="00075F4E">
        <w:rPr>
          <w:rFonts w:ascii="Arial" w:eastAsia="Times New Roman" w:hAnsi="Arial" w:cs="Arial"/>
          <w:b/>
          <w:color w:val="000000"/>
          <w:sz w:val="24"/>
          <w:szCs w:val="24"/>
          <w:lang w:eastAsia="es-AR"/>
        </w:rPr>
        <w:t xml:space="preserve">ALES Y CUESTIONES SOSTENIDAS O EMERGENTES </w:t>
      </w:r>
    </w:p>
    <w:p w:rsidR="008563F7" w:rsidRPr="008563F7" w:rsidRDefault="008563F7" w:rsidP="008563F7">
      <w:pPr>
        <w:spacing w:after="200" w:line="240" w:lineRule="auto"/>
        <w:jc w:val="center"/>
        <w:rPr>
          <w:rFonts w:ascii="Arial" w:eastAsia="Times New Roman" w:hAnsi="Arial" w:cs="Arial"/>
          <w:b/>
          <w:sz w:val="24"/>
          <w:szCs w:val="24"/>
          <w:lang w:eastAsia="es-AR"/>
        </w:rPr>
      </w:pPr>
      <w:r w:rsidRPr="008563F7">
        <w:rPr>
          <w:rFonts w:ascii="Arial" w:eastAsia="Times New Roman" w:hAnsi="Arial" w:cs="Arial"/>
          <w:b/>
          <w:sz w:val="24"/>
          <w:szCs w:val="24"/>
          <w:lang w:eastAsia="es-AR"/>
        </w:rPr>
        <w:t>INDH – REPÚBLICA ARGENTINA</w:t>
      </w:r>
    </w:p>
    <w:p w:rsidR="0016405B" w:rsidRPr="00075F4E" w:rsidRDefault="0016405B" w:rsidP="00E72865">
      <w:pPr>
        <w:spacing w:after="0" w:line="240" w:lineRule="auto"/>
        <w:jc w:val="both"/>
        <w:rPr>
          <w:rFonts w:ascii="Times New Roman" w:eastAsia="Times New Roman" w:hAnsi="Times New Roman" w:cs="Times New Roman"/>
          <w:sz w:val="24"/>
          <w:szCs w:val="24"/>
          <w:lang w:eastAsia="es-AR"/>
        </w:rPr>
      </w:pPr>
    </w:p>
    <w:p w:rsidR="008F3E16" w:rsidRPr="008F3E16" w:rsidRDefault="008F3E16" w:rsidP="008D3010">
      <w:pPr>
        <w:numPr>
          <w:ilvl w:val="0"/>
          <w:numId w:val="1"/>
        </w:numPr>
        <w:spacing w:after="200" w:line="240" w:lineRule="auto"/>
        <w:ind w:left="426"/>
        <w:jc w:val="both"/>
        <w:rPr>
          <w:rFonts w:ascii="Arial" w:eastAsia="Times New Roman" w:hAnsi="Arial" w:cs="Arial"/>
          <w:b/>
          <w:bCs/>
          <w:color w:val="000000"/>
          <w:sz w:val="24"/>
          <w:szCs w:val="24"/>
          <w:lang w:val="es-ES" w:eastAsia="es-AR"/>
        </w:rPr>
      </w:pPr>
      <w:r w:rsidRPr="008F3E16">
        <w:rPr>
          <w:rFonts w:ascii="Arial" w:eastAsia="Times New Roman" w:hAnsi="Arial" w:cs="Arial"/>
          <w:b/>
          <w:bCs/>
          <w:color w:val="000000"/>
          <w:sz w:val="24"/>
          <w:szCs w:val="24"/>
          <w:lang w:val="es-ES" w:eastAsia="es-AR"/>
        </w:rPr>
        <w:t>El reconocimiento general de los derechos culturales en los marcos jurídicos y normativos nacionales (todos los informes, en particular A/HRC/14/36 y A/67/287)</w:t>
      </w:r>
    </w:p>
    <w:p w:rsidR="003563C0" w:rsidRPr="003563C0" w:rsidRDefault="003563C0" w:rsidP="003563C0">
      <w:pPr>
        <w:spacing w:after="200" w:line="240" w:lineRule="auto"/>
        <w:ind w:left="426"/>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L</w:t>
      </w:r>
      <w:r w:rsidRPr="003563C0">
        <w:rPr>
          <w:rFonts w:ascii="Arial" w:eastAsia="Times New Roman" w:hAnsi="Arial" w:cs="Arial"/>
          <w:bCs/>
          <w:color w:val="000000"/>
          <w:sz w:val="24"/>
          <w:szCs w:val="24"/>
          <w:lang w:eastAsia="es-AR"/>
        </w:rPr>
        <w:t xml:space="preserve">a ley pionera argentina en protección de patrimonio cultural </w:t>
      </w:r>
      <w:bookmarkStart w:id="0" w:name="_GoBack"/>
      <w:bookmarkEnd w:id="0"/>
      <w:r w:rsidRPr="003563C0">
        <w:rPr>
          <w:rFonts w:ascii="Arial" w:eastAsia="Times New Roman" w:hAnsi="Arial" w:cs="Arial"/>
          <w:bCs/>
          <w:color w:val="000000"/>
          <w:sz w:val="24"/>
          <w:szCs w:val="24"/>
          <w:lang w:eastAsia="es-AR"/>
        </w:rPr>
        <w:t xml:space="preserve">es la </w:t>
      </w:r>
      <w:r>
        <w:rPr>
          <w:rFonts w:ascii="Arial" w:eastAsia="Times New Roman" w:hAnsi="Arial" w:cs="Arial"/>
          <w:bCs/>
          <w:color w:val="000000"/>
          <w:sz w:val="24"/>
          <w:szCs w:val="24"/>
          <w:lang w:eastAsia="es-AR"/>
        </w:rPr>
        <w:t>N°</w:t>
      </w:r>
      <w:r w:rsidRPr="003563C0">
        <w:rPr>
          <w:rFonts w:ascii="Arial" w:eastAsia="Times New Roman" w:hAnsi="Arial" w:cs="Arial"/>
          <w:bCs/>
          <w:color w:val="000000"/>
          <w:sz w:val="24"/>
          <w:szCs w:val="24"/>
          <w:lang w:eastAsia="es-AR"/>
        </w:rPr>
        <w:t>12.665 que creó la Comisión Nacional de Museos y de Monumentos y Lugares Históricos sancionada en 1940.</w:t>
      </w:r>
    </w:p>
    <w:p w:rsidR="003563C0" w:rsidRPr="003563C0" w:rsidRDefault="003563C0" w:rsidP="003563C0">
      <w:pPr>
        <w:spacing w:after="200" w:line="240" w:lineRule="auto"/>
        <w:ind w:left="426"/>
        <w:jc w:val="both"/>
        <w:rPr>
          <w:rFonts w:ascii="Arial" w:eastAsia="Times New Roman" w:hAnsi="Arial" w:cs="Arial"/>
          <w:bCs/>
          <w:color w:val="000000"/>
          <w:sz w:val="24"/>
          <w:szCs w:val="24"/>
          <w:lang w:eastAsia="es-AR"/>
        </w:rPr>
      </w:pPr>
      <w:r w:rsidRPr="003563C0">
        <w:rPr>
          <w:rFonts w:ascii="Arial" w:eastAsia="Times New Roman" w:hAnsi="Arial" w:cs="Arial"/>
          <w:bCs/>
          <w:color w:val="000000"/>
          <w:sz w:val="24"/>
          <w:szCs w:val="24"/>
          <w:lang w:eastAsia="es-AR"/>
        </w:rPr>
        <w:t>Argentina adhirió en 1978 a la Convención sobre la Protección del Patrimonio Mundial, Cultural y Natural de 1972.</w:t>
      </w:r>
    </w:p>
    <w:p w:rsidR="00314B1C" w:rsidRDefault="008D3010" w:rsidP="008563F7">
      <w:pPr>
        <w:spacing w:after="200" w:line="240" w:lineRule="auto"/>
        <w:ind w:left="426"/>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 xml:space="preserve">En la reforma constitucional de 1994 se incluyó </w:t>
      </w:r>
      <w:r w:rsidR="006A1F6F" w:rsidRPr="006A1F6F">
        <w:rPr>
          <w:rFonts w:ascii="Arial" w:eastAsia="Times New Roman" w:hAnsi="Arial" w:cs="Arial"/>
          <w:bCs/>
          <w:color w:val="000000"/>
          <w:sz w:val="24"/>
          <w:szCs w:val="24"/>
          <w:lang w:eastAsia="es-AR"/>
        </w:rPr>
        <w:t xml:space="preserve">la protección al patrimonio cultural junto a la tutela ambiental, </w:t>
      </w:r>
      <w:r>
        <w:rPr>
          <w:rFonts w:ascii="Arial" w:eastAsia="Times New Roman" w:hAnsi="Arial" w:cs="Arial"/>
          <w:bCs/>
          <w:color w:val="000000"/>
          <w:sz w:val="24"/>
          <w:szCs w:val="24"/>
          <w:lang w:eastAsia="es-AR"/>
        </w:rPr>
        <w:t xml:space="preserve">como parte de los </w:t>
      </w:r>
      <w:r w:rsidR="006A1F6F" w:rsidRPr="006A1F6F">
        <w:rPr>
          <w:rFonts w:ascii="Arial" w:eastAsia="Times New Roman" w:hAnsi="Arial" w:cs="Arial"/>
          <w:bCs/>
          <w:color w:val="000000"/>
          <w:sz w:val="24"/>
          <w:szCs w:val="24"/>
          <w:lang w:eastAsia="es-AR"/>
        </w:rPr>
        <w:t xml:space="preserve">nuevos Derechos y </w:t>
      </w:r>
      <w:r w:rsidRPr="006A1F6F">
        <w:rPr>
          <w:rFonts w:ascii="Arial" w:eastAsia="Times New Roman" w:hAnsi="Arial" w:cs="Arial"/>
          <w:bCs/>
          <w:color w:val="000000"/>
          <w:sz w:val="24"/>
          <w:szCs w:val="24"/>
          <w:lang w:eastAsia="es-AR"/>
        </w:rPr>
        <w:t>Garantías</w:t>
      </w:r>
      <w:r>
        <w:rPr>
          <w:rFonts w:ascii="Arial" w:eastAsia="Times New Roman" w:hAnsi="Arial" w:cs="Arial"/>
          <w:bCs/>
          <w:color w:val="000000"/>
          <w:sz w:val="24"/>
          <w:szCs w:val="24"/>
          <w:lang w:eastAsia="es-AR"/>
        </w:rPr>
        <w:t xml:space="preserve"> (art.41)</w:t>
      </w:r>
      <w:r w:rsidRPr="006A1F6F">
        <w:rPr>
          <w:rFonts w:ascii="Arial" w:eastAsia="Times New Roman" w:hAnsi="Arial" w:cs="Arial"/>
          <w:bCs/>
          <w:color w:val="000000"/>
          <w:sz w:val="24"/>
          <w:szCs w:val="24"/>
          <w:lang w:eastAsia="es-AR"/>
        </w:rPr>
        <w:t>.</w:t>
      </w:r>
      <w:r w:rsidR="006A1F6F" w:rsidRPr="006A1F6F">
        <w:rPr>
          <w:rFonts w:ascii="Arial" w:eastAsia="Times New Roman" w:hAnsi="Arial" w:cs="Arial"/>
          <w:bCs/>
          <w:color w:val="000000"/>
          <w:sz w:val="24"/>
          <w:szCs w:val="24"/>
          <w:lang w:eastAsia="es-AR"/>
        </w:rPr>
        <w:t xml:space="preserve"> </w:t>
      </w:r>
    </w:p>
    <w:p w:rsidR="00C7588E" w:rsidRDefault="00C7588E" w:rsidP="008563F7">
      <w:pPr>
        <w:spacing w:after="200" w:line="240" w:lineRule="auto"/>
        <w:ind w:left="426"/>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E</w:t>
      </w:r>
      <w:r w:rsidRPr="00C7588E">
        <w:rPr>
          <w:rFonts w:ascii="Arial" w:eastAsia="Times New Roman" w:hAnsi="Arial" w:cs="Arial"/>
          <w:bCs/>
          <w:color w:val="000000"/>
          <w:sz w:val="24"/>
          <w:szCs w:val="24"/>
          <w:lang w:eastAsia="es-AR"/>
        </w:rPr>
        <w:t>l art. 75 inc. 19 de la CN establece que corresponde al Congreso la tarea de “dictar leyes que protejan la identidad y pluralidad cultural, la libre creación y circulación de las obras del autor; el patrimonio artístico y los espacios culturales y audiovisuales”</w:t>
      </w:r>
      <w:r>
        <w:rPr>
          <w:rFonts w:ascii="Arial" w:eastAsia="Times New Roman" w:hAnsi="Arial" w:cs="Arial"/>
          <w:bCs/>
          <w:color w:val="000000"/>
          <w:sz w:val="24"/>
          <w:szCs w:val="24"/>
          <w:lang w:eastAsia="es-AR"/>
        </w:rPr>
        <w:t>.</w:t>
      </w:r>
    </w:p>
    <w:p w:rsidR="0099089A" w:rsidRDefault="0099089A" w:rsidP="008563F7">
      <w:pPr>
        <w:spacing w:after="200" w:line="240" w:lineRule="auto"/>
        <w:ind w:left="426"/>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L</w:t>
      </w:r>
      <w:r w:rsidRPr="0099089A">
        <w:rPr>
          <w:rFonts w:ascii="Arial" w:eastAsia="Times New Roman" w:hAnsi="Arial" w:cs="Arial"/>
          <w:bCs/>
          <w:color w:val="000000"/>
          <w:sz w:val="24"/>
          <w:szCs w:val="24"/>
          <w:lang w:eastAsia="es-AR"/>
        </w:rPr>
        <w:t xml:space="preserve">a Ley </w:t>
      </w:r>
      <w:r>
        <w:rPr>
          <w:rFonts w:ascii="Arial" w:eastAsia="Times New Roman" w:hAnsi="Arial" w:cs="Arial"/>
          <w:bCs/>
          <w:color w:val="000000"/>
          <w:sz w:val="24"/>
          <w:szCs w:val="24"/>
          <w:lang w:eastAsia="es-AR"/>
        </w:rPr>
        <w:t>N°</w:t>
      </w:r>
      <w:r w:rsidRPr="0099089A">
        <w:rPr>
          <w:rFonts w:ascii="Arial" w:eastAsia="Times New Roman" w:hAnsi="Arial" w:cs="Arial"/>
          <w:bCs/>
          <w:color w:val="000000"/>
          <w:sz w:val="24"/>
          <w:szCs w:val="24"/>
          <w:lang w:eastAsia="es-AR"/>
        </w:rPr>
        <w:t>25.197 crea el Régimen del Registro del Patrimonio Cultural, centralizando el ordenamiento de datos de los bienes culturales de la Nación</w:t>
      </w:r>
      <w:r>
        <w:rPr>
          <w:rFonts w:ascii="Arial" w:eastAsia="Times New Roman" w:hAnsi="Arial" w:cs="Arial"/>
          <w:bCs/>
          <w:color w:val="000000"/>
          <w:sz w:val="24"/>
          <w:szCs w:val="24"/>
          <w:lang w:eastAsia="es-AR"/>
        </w:rPr>
        <w:t xml:space="preserve">. </w:t>
      </w:r>
      <w:r w:rsidRPr="0099089A">
        <w:rPr>
          <w:rFonts w:ascii="Arial" w:eastAsia="Times New Roman" w:hAnsi="Arial" w:cs="Arial"/>
          <w:bCs/>
          <w:color w:val="000000"/>
          <w:sz w:val="24"/>
          <w:szCs w:val="24"/>
          <w:lang w:eastAsia="es-AR"/>
        </w:rPr>
        <w:t>La Ley de Protección del Patrimonio Arqueológico y Paleontológico (Ley 25.743</w:t>
      </w:r>
      <w:r>
        <w:rPr>
          <w:rFonts w:ascii="Arial" w:eastAsia="Times New Roman" w:hAnsi="Arial" w:cs="Arial"/>
          <w:bCs/>
          <w:color w:val="000000"/>
          <w:sz w:val="24"/>
          <w:szCs w:val="24"/>
          <w:lang w:eastAsia="es-AR"/>
        </w:rPr>
        <w:t xml:space="preserve"> </w:t>
      </w:r>
      <w:r w:rsidRPr="0099089A">
        <w:rPr>
          <w:rFonts w:ascii="Arial" w:eastAsia="Times New Roman" w:hAnsi="Arial" w:cs="Arial"/>
          <w:bCs/>
          <w:color w:val="000000"/>
          <w:sz w:val="24"/>
          <w:szCs w:val="24"/>
          <w:lang w:eastAsia="es-AR"/>
        </w:rPr>
        <w:t>d</w:t>
      </w:r>
      <w:r>
        <w:rPr>
          <w:rFonts w:ascii="Arial" w:eastAsia="Times New Roman" w:hAnsi="Arial" w:cs="Arial"/>
          <w:bCs/>
          <w:color w:val="000000"/>
          <w:sz w:val="24"/>
          <w:szCs w:val="24"/>
          <w:lang w:eastAsia="es-AR"/>
        </w:rPr>
        <w:t>el</w:t>
      </w:r>
      <w:r w:rsidRPr="0099089A">
        <w:rPr>
          <w:rFonts w:ascii="Arial" w:eastAsia="Times New Roman" w:hAnsi="Arial" w:cs="Arial"/>
          <w:bCs/>
          <w:color w:val="000000"/>
          <w:sz w:val="24"/>
          <w:szCs w:val="24"/>
          <w:lang w:eastAsia="es-AR"/>
        </w:rPr>
        <w:t xml:space="preserve"> 2003) establece una regulación integral de los bienes mencionados, declarando el dominio público nacional, provincial o municipal de los objetos y yacimientos según el lugar en que se encuentren</w:t>
      </w:r>
      <w:r>
        <w:rPr>
          <w:rFonts w:ascii="Arial" w:eastAsia="Times New Roman" w:hAnsi="Arial" w:cs="Arial"/>
          <w:bCs/>
          <w:color w:val="000000"/>
          <w:sz w:val="24"/>
          <w:szCs w:val="24"/>
          <w:lang w:eastAsia="es-AR"/>
        </w:rPr>
        <w:t>.</w:t>
      </w:r>
    </w:p>
    <w:p w:rsidR="00826841" w:rsidRDefault="00826841" w:rsidP="008563F7">
      <w:pPr>
        <w:spacing w:after="200" w:line="240" w:lineRule="auto"/>
        <w:ind w:left="426"/>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 xml:space="preserve">La </w:t>
      </w:r>
      <w:r w:rsidRPr="00826841">
        <w:rPr>
          <w:rFonts w:ascii="Arial" w:eastAsia="Times New Roman" w:hAnsi="Arial" w:cs="Arial"/>
          <w:bCs/>
          <w:color w:val="000000"/>
          <w:sz w:val="24"/>
          <w:szCs w:val="24"/>
          <w:lang w:eastAsia="es-AR"/>
        </w:rPr>
        <w:t xml:space="preserve">Ley General del Ambiente </w:t>
      </w:r>
      <w:r>
        <w:rPr>
          <w:rFonts w:ascii="Arial" w:eastAsia="Times New Roman" w:hAnsi="Arial" w:cs="Arial"/>
          <w:bCs/>
          <w:color w:val="000000"/>
          <w:sz w:val="24"/>
          <w:szCs w:val="24"/>
          <w:lang w:eastAsia="es-AR"/>
        </w:rPr>
        <w:t>N°</w:t>
      </w:r>
      <w:r w:rsidRPr="00826841">
        <w:rPr>
          <w:rFonts w:ascii="Arial" w:eastAsia="Times New Roman" w:hAnsi="Arial" w:cs="Arial"/>
          <w:bCs/>
          <w:color w:val="000000"/>
          <w:sz w:val="24"/>
          <w:szCs w:val="24"/>
          <w:lang w:eastAsia="es-AR"/>
        </w:rPr>
        <w:t>25.675</w:t>
      </w:r>
      <w:r>
        <w:rPr>
          <w:rFonts w:ascii="Arial" w:eastAsia="Times New Roman" w:hAnsi="Arial" w:cs="Arial"/>
          <w:bCs/>
          <w:color w:val="000000"/>
          <w:sz w:val="24"/>
          <w:szCs w:val="24"/>
          <w:lang w:eastAsia="es-AR"/>
        </w:rPr>
        <w:t xml:space="preserve"> del </w:t>
      </w:r>
      <w:r w:rsidRPr="00826841">
        <w:rPr>
          <w:rFonts w:ascii="Arial" w:eastAsia="Times New Roman" w:hAnsi="Arial" w:cs="Arial"/>
          <w:bCs/>
          <w:color w:val="000000"/>
          <w:sz w:val="24"/>
          <w:szCs w:val="24"/>
          <w:lang w:eastAsia="es-AR"/>
        </w:rPr>
        <w:t xml:space="preserve">2002, </w:t>
      </w:r>
      <w:r>
        <w:rPr>
          <w:rFonts w:ascii="Arial" w:eastAsia="Times New Roman" w:hAnsi="Arial" w:cs="Arial"/>
          <w:bCs/>
          <w:color w:val="000000"/>
          <w:sz w:val="24"/>
          <w:szCs w:val="24"/>
          <w:lang w:eastAsia="es-AR"/>
        </w:rPr>
        <w:t xml:space="preserve">establece, para el patrimonio </w:t>
      </w:r>
      <w:r w:rsidRPr="00414AA3">
        <w:rPr>
          <w:rFonts w:ascii="Arial" w:eastAsia="Times New Roman" w:hAnsi="Arial" w:cs="Arial"/>
          <w:bCs/>
          <w:color w:val="000000"/>
          <w:sz w:val="24"/>
          <w:szCs w:val="24"/>
          <w:lang w:eastAsia="es-AR"/>
        </w:rPr>
        <w:t>natural y cultural, un límite mínimo de protección.</w:t>
      </w:r>
      <w:r w:rsidR="0099089A">
        <w:rPr>
          <w:rFonts w:ascii="Arial" w:eastAsia="Times New Roman" w:hAnsi="Arial" w:cs="Arial"/>
          <w:bCs/>
          <w:color w:val="000000"/>
          <w:sz w:val="24"/>
          <w:szCs w:val="24"/>
          <w:lang w:eastAsia="es-AR"/>
        </w:rPr>
        <w:t xml:space="preserve"> Sin embargo, en materia ambiental su desarrollo fue desproporcionadamente mayor que en el aspecto cultural. </w:t>
      </w:r>
    </w:p>
    <w:p w:rsidR="00821259" w:rsidRDefault="00821259" w:rsidP="008563F7">
      <w:pPr>
        <w:spacing w:after="200" w:line="240" w:lineRule="auto"/>
        <w:ind w:left="426"/>
        <w:jc w:val="both"/>
        <w:rPr>
          <w:rFonts w:ascii="Arial" w:eastAsia="Times New Roman" w:hAnsi="Arial" w:cs="Arial"/>
          <w:bCs/>
          <w:color w:val="000000"/>
          <w:sz w:val="24"/>
          <w:szCs w:val="24"/>
          <w:lang w:eastAsia="es-AR"/>
        </w:rPr>
      </w:pPr>
      <w:r w:rsidRPr="00821259">
        <w:rPr>
          <w:rFonts w:ascii="Arial" w:eastAsia="Times New Roman" w:hAnsi="Arial" w:cs="Arial"/>
          <w:bCs/>
          <w:color w:val="000000"/>
          <w:sz w:val="24"/>
          <w:szCs w:val="24"/>
          <w:lang w:eastAsia="es-AR"/>
        </w:rPr>
        <w:t>Ley Nº 26.118 Aprueba la Convención de salvaguardia del Patrimonio Cultural Inmaterial aprobada en 2006.</w:t>
      </w:r>
    </w:p>
    <w:p w:rsidR="0099089A" w:rsidRDefault="00AB6F09" w:rsidP="0099089A">
      <w:pPr>
        <w:spacing w:after="200" w:line="240" w:lineRule="auto"/>
        <w:ind w:left="426"/>
        <w:jc w:val="both"/>
        <w:rPr>
          <w:rFonts w:ascii="Arial" w:eastAsia="Times New Roman" w:hAnsi="Arial" w:cs="Arial"/>
          <w:b/>
          <w:bCs/>
          <w:color w:val="000000"/>
          <w:sz w:val="24"/>
          <w:szCs w:val="24"/>
          <w:lang w:eastAsia="es-AR"/>
        </w:rPr>
      </w:pPr>
      <w:r w:rsidRPr="00AB6F09">
        <w:rPr>
          <w:rFonts w:ascii="Arial" w:eastAsia="Times New Roman" w:hAnsi="Arial" w:cs="Arial"/>
          <w:b/>
          <w:bCs/>
          <w:color w:val="000000"/>
          <w:sz w:val="24"/>
          <w:szCs w:val="24"/>
          <w:lang w:eastAsia="es-AR"/>
        </w:rPr>
        <w:t xml:space="preserve">2. </w:t>
      </w:r>
      <w:r w:rsidRPr="00AB6F09">
        <w:rPr>
          <w:rFonts w:ascii="Arial" w:eastAsia="Times New Roman" w:hAnsi="Arial" w:cs="Arial"/>
          <w:bCs/>
          <w:color w:val="000000"/>
          <w:sz w:val="24"/>
          <w:szCs w:val="24"/>
          <w:lang w:eastAsia="es-AR"/>
        </w:rPr>
        <w:t>Entre</w:t>
      </w:r>
      <w:r w:rsidRPr="00075F4E">
        <w:rPr>
          <w:rFonts w:ascii="Arial" w:eastAsia="Times New Roman" w:hAnsi="Arial" w:cs="Arial"/>
          <w:bCs/>
          <w:color w:val="000000"/>
          <w:sz w:val="24"/>
          <w:szCs w:val="24"/>
          <w:lang w:eastAsia="es-AR"/>
        </w:rPr>
        <w:t xml:space="preserve"> las leyes culturales más importantes sancionadas </w:t>
      </w:r>
      <w:r w:rsidRPr="00AB6F09">
        <w:rPr>
          <w:rFonts w:ascii="Arial" w:eastAsia="Times New Roman" w:hAnsi="Arial" w:cs="Arial"/>
          <w:bCs/>
          <w:color w:val="000000"/>
          <w:sz w:val="24"/>
          <w:szCs w:val="24"/>
          <w:lang w:eastAsia="es-AR"/>
        </w:rPr>
        <w:t>desde el 2009</w:t>
      </w:r>
      <w:r w:rsidRPr="00075F4E">
        <w:rPr>
          <w:rFonts w:ascii="Arial" w:eastAsia="Times New Roman" w:hAnsi="Arial" w:cs="Arial"/>
          <w:bCs/>
          <w:color w:val="000000"/>
          <w:sz w:val="24"/>
          <w:szCs w:val="24"/>
          <w:lang w:eastAsia="es-AR"/>
        </w:rPr>
        <w:t xml:space="preserve"> pueden destacarse:</w:t>
      </w:r>
      <w:r>
        <w:rPr>
          <w:rFonts w:ascii="Arial" w:eastAsia="Times New Roman" w:hAnsi="Arial" w:cs="Arial"/>
          <w:bCs/>
          <w:color w:val="000000"/>
          <w:sz w:val="24"/>
          <w:szCs w:val="24"/>
          <w:lang w:eastAsia="es-AR"/>
        </w:rPr>
        <w:t xml:space="preserve"> </w:t>
      </w:r>
      <w:r w:rsidRPr="00AB6F09">
        <w:rPr>
          <w:rFonts w:ascii="Arial" w:eastAsia="Times New Roman" w:hAnsi="Arial" w:cs="Arial"/>
          <w:bCs/>
          <w:color w:val="000000"/>
          <w:sz w:val="24"/>
          <w:szCs w:val="24"/>
          <w:lang w:eastAsia="es-AR"/>
        </w:rPr>
        <w:t>Ley N°26.556: Apr</w:t>
      </w:r>
      <w:r w:rsidR="00C7588E">
        <w:rPr>
          <w:rFonts w:ascii="Arial" w:eastAsia="Times New Roman" w:hAnsi="Arial" w:cs="Arial"/>
          <w:bCs/>
          <w:color w:val="000000"/>
          <w:sz w:val="24"/>
          <w:szCs w:val="24"/>
          <w:lang w:eastAsia="es-AR"/>
        </w:rPr>
        <w:t>obación de</w:t>
      </w:r>
      <w:r w:rsidRPr="00AB6F09">
        <w:rPr>
          <w:rFonts w:ascii="Arial" w:eastAsia="Times New Roman" w:hAnsi="Arial" w:cs="Arial"/>
          <w:bCs/>
          <w:color w:val="000000"/>
          <w:sz w:val="24"/>
          <w:szCs w:val="24"/>
          <w:lang w:eastAsia="es-AR"/>
        </w:rPr>
        <w:t xml:space="preserve"> la convención sobre la protección del patrimonio cultural subacuático; Ley N°26.691: </w:t>
      </w:r>
      <w:r w:rsidR="00C7588E">
        <w:rPr>
          <w:rFonts w:ascii="Arial" w:eastAsia="Times New Roman" w:hAnsi="Arial" w:cs="Arial"/>
          <w:bCs/>
          <w:color w:val="000000"/>
          <w:sz w:val="24"/>
          <w:szCs w:val="24"/>
          <w:lang w:eastAsia="es-AR"/>
        </w:rPr>
        <w:t xml:space="preserve">Se declaran </w:t>
      </w:r>
      <w:r w:rsidRPr="00AB6F09">
        <w:rPr>
          <w:rFonts w:ascii="Arial" w:eastAsia="Times New Roman" w:hAnsi="Arial" w:cs="Arial"/>
          <w:bCs/>
          <w:color w:val="000000"/>
          <w:sz w:val="24"/>
          <w:szCs w:val="24"/>
          <w:lang w:eastAsia="es-AR"/>
        </w:rPr>
        <w:t xml:space="preserve">sitios de memoria del terrorismo de estado, a los lugares que funcionaron como centros clandestinos de represión ilegal;  Ley N°26.801: Creación del Instituto Nacional de la Música (INAMU); Ley N°27.061: Aprobación del Tratado De Marrakech para facilitar el acceso a las obras publicadas a las personas ciegas, con discapacidad visual o con otras dificultades para </w:t>
      </w:r>
      <w:r w:rsidRPr="00AB6F09">
        <w:rPr>
          <w:rFonts w:ascii="Arial" w:eastAsia="Times New Roman" w:hAnsi="Arial" w:cs="Arial"/>
          <w:bCs/>
          <w:color w:val="000000"/>
          <w:sz w:val="24"/>
          <w:szCs w:val="24"/>
          <w:lang w:eastAsia="es-AR"/>
        </w:rPr>
        <w:lastRenderedPageBreak/>
        <w:t>acceder al texto impreso, adoptado por la OMPI el 27 de junio de 2013; Ley N°27.103: Comisión Nacional de Monumentos, de Lugares y de Bienes Históricos; Ley N°27.203: Marco legal actividad actoral.</w:t>
      </w:r>
      <w:r w:rsidR="0099089A" w:rsidRPr="0099089A">
        <w:rPr>
          <w:rFonts w:ascii="Verdana" w:eastAsia="Times New Roman" w:hAnsi="Verdana"/>
          <w:b/>
          <w:bCs/>
          <w:color w:val="000000"/>
          <w:sz w:val="18"/>
          <w:szCs w:val="18"/>
          <w:lang w:eastAsia="es-AR"/>
        </w:rPr>
        <w:t xml:space="preserve"> </w:t>
      </w:r>
      <w:r w:rsidR="0099089A" w:rsidRPr="0099089A">
        <w:rPr>
          <w:rFonts w:ascii="Arial" w:eastAsia="Times New Roman" w:hAnsi="Arial" w:cs="Arial"/>
          <w:bCs/>
          <w:color w:val="000000"/>
          <w:sz w:val="24"/>
          <w:szCs w:val="24"/>
          <w:lang w:eastAsia="es-AR"/>
        </w:rPr>
        <w:t>Decreto 1199 del 2009 sobre la Protección del Patrimonio Arqueológico y Paleontológico.</w:t>
      </w:r>
      <w:r w:rsidR="0099089A">
        <w:rPr>
          <w:rFonts w:ascii="Arial" w:eastAsia="Times New Roman" w:hAnsi="Arial" w:cs="Arial"/>
          <w:b/>
          <w:bCs/>
          <w:color w:val="000000"/>
          <w:sz w:val="24"/>
          <w:szCs w:val="24"/>
          <w:lang w:eastAsia="es-AR"/>
        </w:rPr>
        <w:t xml:space="preserve"> </w:t>
      </w:r>
    </w:p>
    <w:p w:rsidR="0099089A" w:rsidRPr="0099089A" w:rsidRDefault="00473D55" w:rsidP="0099089A">
      <w:pPr>
        <w:spacing w:after="200" w:line="240" w:lineRule="auto"/>
        <w:ind w:left="426"/>
        <w:jc w:val="both"/>
        <w:rPr>
          <w:rFonts w:ascii="Arial" w:eastAsia="Times New Roman" w:hAnsi="Arial" w:cs="Arial"/>
          <w:bCs/>
          <w:color w:val="000000"/>
          <w:sz w:val="24"/>
          <w:szCs w:val="24"/>
          <w:lang w:eastAsia="es-AR"/>
        </w:rPr>
      </w:pPr>
      <w:r w:rsidRPr="00473D55">
        <w:rPr>
          <w:rFonts w:ascii="Arial" w:eastAsia="Times New Roman" w:hAnsi="Arial" w:cs="Arial"/>
          <w:bCs/>
          <w:color w:val="000000"/>
          <w:sz w:val="24"/>
          <w:szCs w:val="24"/>
          <w:lang w:eastAsia="es-AR"/>
        </w:rPr>
        <w:t>Por el decreto 801/2018</w:t>
      </w:r>
      <w:r>
        <w:rPr>
          <w:rFonts w:ascii="Arial" w:eastAsia="Times New Roman" w:hAnsi="Arial" w:cs="Arial"/>
          <w:bCs/>
          <w:color w:val="000000"/>
          <w:sz w:val="24"/>
          <w:szCs w:val="24"/>
          <w:lang w:eastAsia="es-AR"/>
        </w:rPr>
        <w:t xml:space="preserve"> el Ministerio de Cultura de la Nación descendió, junto a otros, al rango de Secretaría. Esto, en el marco de la reducción presupuestaria que atraviesa el país. </w:t>
      </w:r>
    </w:p>
    <w:p w:rsidR="008563F7" w:rsidRDefault="00AF4066" w:rsidP="00AB6F09">
      <w:pPr>
        <w:spacing w:after="200" w:line="240" w:lineRule="auto"/>
        <w:ind w:left="426"/>
        <w:jc w:val="both"/>
        <w:rPr>
          <w:rFonts w:ascii="Arial" w:eastAsia="Times New Roman" w:hAnsi="Arial" w:cs="Arial"/>
          <w:bCs/>
          <w:iCs/>
          <w:color w:val="000000"/>
          <w:sz w:val="24"/>
          <w:szCs w:val="24"/>
          <w:lang w:eastAsia="es-AR"/>
        </w:rPr>
      </w:pPr>
      <w:r>
        <w:rPr>
          <w:rFonts w:ascii="Arial" w:eastAsia="Times New Roman" w:hAnsi="Arial" w:cs="Arial"/>
          <w:b/>
          <w:bCs/>
          <w:color w:val="000000"/>
          <w:sz w:val="24"/>
          <w:szCs w:val="24"/>
          <w:lang w:eastAsia="es-AR"/>
        </w:rPr>
        <w:t xml:space="preserve">3. ii. </w:t>
      </w:r>
      <w:r w:rsidRPr="00AF4066">
        <w:rPr>
          <w:rFonts w:ascii="Arial" w:eastAsia="Times New Roman" w:hAnsi="Arial" w:cs="Arial"/>
          <w:bCs/>
          <w:color w:val="000000"/>
          <w:sz w:val="24"/>
          <w:szCs w:val="24"/>
          <w:lang w:eastAsia="es-AR"/>
        </w:rPr>
        <w:t>A partir</w:t>
      </w:r>
      <w:r>
        <w:rPr>
          <w:rFonts w:ascii="Arial" w:eastAsia="Times New Roman" w:hAnsi="Arial" w:cs="Arial"/>
          <w:b/>
          <w:bCs/>
          <w:color w:val="000000"/>
          <w:sz w:val="24"/>
          <w:szCs w:val="24"/>
          <w:lang w:eastAsia="es-AR"/>
        </w:rPr>
        <w:t xml:space="preserve"> </w:t>
      </w:r>
      <w:r>
        <w:rPr>
          <w:rFonts w:ascii="Arial" w:eastAsia="Times New Roman" w:hAnsi="Arial" w:cs="Arial"/>
          <w:bCs/>
          <w:color w:val="000000"/>
          <w:sz w:val="24"/>
          <w:szCs w:val="24"/>
          <w:lang w:eastAsia="es-AR"/>
        </w:rPr>
        <w:t xml:space="preserve">del 2007 se puso en marcha el Sistema de Información Cultural (SinCa). </w:t>
      </w:r>
      <w:r w:rsidRPr="00AF4066">
        <w:rPr>
          <w:rFonts w:ascii="Arial" w:eastAsia="Times New Roman" w:hAnsi="Arial" w:cs="Arial"/>
          <w:bCs/>
          <w:color w:val="000000"/>
          <w:sz w:val="24"/>
          <w:szCs w:val="24"/>
          <w:lang w:eastAsia="es-AR"/>
        </w:rPr>
        <w:t xml:space="preserve">La información reunida y presentada proviene de veintinueve organismos. Entre los públicos se destacan la AFIP, el INCAA, la CONABIP, el AFSCA, el INT y el INDEC. También incluye sindicatos, cámaras, asociaciones y organismos internacionales como la OEA y el Convenio Andrés Bello. </w:t>
      </w:r>
      <w:r>
        <w:rPr>
          <w:rFonts w:ascii="Arial" w:eastAsia="Times New Roman" w:hAnsi="Arial" w:cs="Arial"/>
          <w:bCs/>
          <w:color w:val="000000"/>
          <w:sz w:val="24"/>
          <w:szCs w:val="24"/>
          <w:lang w:eastAsia="es-AR"/>
        </w:rPr>
        <w:t>Su</w:t>
      </w:r>
      <w:r w:rsidRPr="00AF4066">
        <w:rPr>
          <w:rFonts w:ascii="Arial" w:eastAsia="Times New Roman" w:hAnsi="Arial" w:cs="Arial"/>
          <w:bCs/>
          <w:color w:val="000000"/>
          <w:sz w:val="24"/>
          <w:szCs w:val="24"/>
          <w:lang w:eastAsia="es-AR"/>
        </w:rPr>
        <w:t xml:space="preserve"> carácter nacional y federal se expresa</w:t>
      </w:r>
      <w:r>
        <w:rPr>
          <w:rFonts w:ascii="Arial" w:eastAsia="Times New Roman" w:hAnsi="Arial" w:cs="Arial"/>
          <w:bCs/>
          <w:color w:val="000000"/>
          <w:sz w:val="24"/>
          <w:szCs w:val="24"/>
          <w:lang w:eastAsia="es-AR"/>
        </w:rPr>
        <w:t xml:space="preserve"> </w:t>
      </w:r>
      <w:r w:rsidRPr="00AF4066">
        <w:rPr>
          <w:rFonts w:ascii="Arial" w:eastAsia="Times New Roman" w:hAnsi="Arial" w:cs="Arial"/>
          <w:bCs/>
          <w:color w:val="000000"/>
          <w:sz w:val="24"/>
          <w:szCs w:val="24"/>
          <w:lang w:eastAsia="es-AR"/>
        </w:rPr>
        <w:t xml:space="preserve">en la publicación de </w:t>
      </w:r>
      <w:r>
        <w:rPr>
          <w:rFonts w:ascii="Arial" w:eastAsia="Times New Roman" w:hAnsi="Arial" w:cs="Arial"/>
          <w:bCs/>
          <w:color w:val="000000"/>
          <w:sz w:val="24"/>
          <w:szCs w:val="24"/>
          <w:lang w:eastAsia="es-AR"/>
        </w:rPr>
        <w:t>revistas sobre diferentes regiones del país.</w:t>
      </w:r>
      <w:r w:rsidRPr="00AF4066">
        <w:rPr>
          <w:rFonts w:ascii="Arial" w:eastAsia="Times New Roman" w:hAnsi="Arial" w:cs="Arial"/>
          <w:bCs/>
          <w:color w:val="000000"/>
          <w:sz w:val="24"/>
          <w:szCs w:val="24"/>
          <w:lang w:eastAsia="es-AR"/>
        </w:rPr>
        <w:t xml:space="preserve"> </w:t>
      </w:r>
      <w:r w:rsidR="00C7588E">
        <w:rPr>
          <w:rFonts w:ascii="Arial" w:eastAsia="Times New Roman" w:hAnsi="Arial" w:cs="Arial"/>
          <w:bCs/>
          <w:color w:val="000000"/>
          <w:sz w:val="24"/>
          <w:szCs w:val="24"/>
          <w:lang w:eastAsia="es-AR"/>
        </w:rPr>
        <w:t xml:space="preserve">Se realiza anualmente el </w:t>
      </w:r>
      <w:r w:rsidR="00C7588E" w:rsidRPr="00C7588E">
        <w:rPr>
          <w:rFonts w:ascii="Arial" w:eastAsia="Times New Roman" w:hAnsi="Arial" w:cs="Arial"/>
          <w:bCs/>
          <w:iCs/>
          <w:color w:val="000000"/>
          <w:sz w:val="24"/>
          <w:szCs w:val="24"/>
          <w:lang w:eastAsia="es-AR"/>
        </w:rPr>
        <w:t>Seminario Nacional del Sistema de Información Cultural de la Argentina, representantes provinciales y autoridades nacionales consensuaron una agenda de trabajo de alcance federal.</w:t>
      </w:r>
    </w:p>
    <w:p w:rsidR="0079412D" w:rsidRPr="00075F4E" w:rsidRDefault="0079412D" w:rsidP="0079412D">
      <w:pPr>
        <w:spacing w:after="200" w:line="240" w:lineRule="auto"/>
        <w:ind w:left="426"/>
        <w:jc w:val="both"/>
        <w:rPr>
          <w:rFonts w:ascii="Arial" w:eastAsia="Times New Roman" w:hAnsi="Arial" w:cs="Arial"/>
          <w:bCs/>
          <w:iCs/>
          <w:color w:val="000000"/>
          <w:sz w:val="24"/>
          <w:szCs w:val="24"/>
          <w:lang w:eastAsia="es-AR"/>
        </w:rPr>
      </w:pPr>
      <w:r>
        <w:rPr>
          <w:rFonts w:ascii="Arial" w:eastAsia="Times New Roman" w:hAnsi="Arial" w:cs="Arial"/>
          <w:b/>
          <w:bCs/>
          <w:color w:val="000000"/>
          <w:sz w:val="24"/>
          <w:szCs w:val="24"/>
          <w:lang w:eastAsia="es-AR"/>
        </w:rPr>
        <w:t>iv.</w:t>
      </w:r>
      <w:r>
        <w:rPr>
          <w:rFonts w:ascii="Arial" w:eastAsia="Times New Roman" w:hAnsi="Arial" w:cs="Arial"/>
          <w:bCs/>
          <w:iCs/>
          <w:color w:val="000000"/>
          <w:sz w:val="24"/>
          <w:szCs w:val="24"/>
          <w:lang w:eastAsia="es-AR"/>
        </w:rPr>
        <w:t xml:space="preserve"> </w:t>
      </w:r>
      <w:r w:rsidRPr="00075F4E">
        <w:rPr>
          <w:rFonts w:ascii="Arial" w:eastAsia="Times New Roman" w:hAnsi="Arial" w:cs="Arial"/>
          <w:bCs/>
          <w:iCs/>
          <w:color w:val="000000"/>
          <w:sz w:val="24"/>
          <w:szCs w:val="24"/>
          <w:lang w:eastAsia="es-AR"/>
        </w:rPr>
        <w:t>Con respecto al fortalecimiento de condiciones e instituciones se destaca la creación del INAMU, ente público no estatal para el fomento de la actividad musical. La Ley que regula la actividad actoral llenó un vacío en la defensa de los derechos de actores implementando un nuevo régimen laboral de acuerdo con su especificidad. También resulta trascedente el programa de subsidios a la Comisión Nacional de Bibliotecas Populares.</w:t>
      </w:r>
    </w:p>
    <w:p w:rsidR="0079412D" w:rsidRPr="0079412D" w:rsidRDefault="0079412D" w:rsidP="0079412D">
      <w:pPr>
        <w:spacing w:after="200" w:line="240" w:lineRule="auto"/>
        <w:ind w:left="426"/>
        <w:jc w:val="both"/>
        <w:rPr>
          <w:rFonts w:ascii="Arial" w:eastAsia="Times New Roman" w:hAnsi="Arial" w:cs="Arial"/>
          <w:bCs/>
          <w:iCs/>
          <w:color w:val="000000"/>
          <w:sz w:val="24"/>
          <w:szCs w:val="24"/>
          <w:lang w:eastAsia="es-AR"/>
        </w:rPr>
      </w:pPr>
      <w:r w:rsidRPr="0079412D">
        <w:rPr>
          <w:rFonts w:ascii="Arial" w:eastAsia="Times New Roman" w:hAnsi="Arial" w:cs="Arial"/>
          <w:bCs/>
          <w:iCs/>
          <w:color w:val="000000"/>
          <w:sz w:val="24"/>
          <w:szCs w:val="24"/>
          <w:lang w:eastAsia="es-AR"/>
        </w:rPr>
        <w:t>En enero de 2018 se modificó por decreto la circulación internacional de obras de arte simplificando la exportación de obras para autores, galeristas y coleccionistas. La nueva normativa, ampliamente solicitada, facilita la participación internacional de los artistas. Señalamos la necesidad de tomar recaudos para evitar abrir una puerta al tráfico ilícito de obras patrimoniales.</w:t>
      </w:r>
    </w:p>
    <w:p w:rsidR="0079412D" w:rsidRDefault="0079412D" w:rsidP="0079412D">
      <w:pPr>
        <w:spacing w:after="200" w:line="240" w:lineRule="auto"/>
        <w:ind w:left="426"/>
        <w:jc w:val="both"/>
        <w:rPr>
          <w:rFonts w:ascii="Arial" w:eastAsia="Times New Roman" w:hAnsi="Arial" w:cs="Arial"/>
          <w:bCs/>
          <w:iCs/>
          <w:color w:val="000000"/>
          <w:sz w:val="24"/>
          <w:szCs w:val="24"/>
          <w:lang w:eastAsia="es-AR"/>
        </w:rPr>
      </w:pPr>
      <w:r w:rsidRPr="0079412D">
        <w:rPr>
          <w:rFonts w:ascii="Arial" w:eastAsia="Times New Roman" w:hAnsi="Arial" w:cs="Arial"/>
          <w:bCs/>
          <w:iCs/>
          <w:color w:val="000000"/>
          <w:sz w:val="24"/>
          <w:szCs w:val="24"/>
          <w:lang w:eastAsia="es-AR"/>
        </w:rPr>
        <w:t xml:space="preserve">Por su importancia en el medio cultural se deben consignar las políticas públicas ejecutadas por la CABA, capital del país. La implementación de la Ley 2264 Régimen de Promoción Cultural (o Mecenazgo) posibilitó la financiación de miles de proyectos culturales mediante la desgravación del Impuesto de Ingresos Brutos. A través de los programas de Proteatro y Prodanza la ciudad aporta subsidios para el desarrollo de estas actividades. </w:t>
      </w:r>
    </w:p>
    <w:p w:rsidR="0079412D" w:rsidRPr="0079412D" w:rsidRDefault="0079412D" w:rsidP="0079412D">
      <w:pPr>
        <w:spacing w:after="200" w:line="240" w:lineRule="auto"/>
        <w:ind w:left="426"/>
        <w:jc w:val="both"/>
        <w:rPr>
          <w:rFonts w:ascii="Arial" w:eastAsia="Times New Roman" w:hAnsi="Arial" w:cs="Arial"/>
          <w:bCs/>
          <w:iCs/>
          <w:color w:val="000000"/>
          <w:sz w:val="24"/>
          <w:szCs w:val="24"/>
          <w:lang w:eastAsia="es-AR"/>
        </w:rPr>
      </w:pPr>
    </w:p>
    <w:p w:rsidR="00414AA3" w:rsidRDefault="00414AA3" w:rsidP="0079412D">
      <w:pPr>
        <w:spacing w:after="200" w:line="240" w:lineRule="auto"/>
        <w:ind w:left="426" w:hanging="426"/>
        <w:jc w:val="both"/>
        <w:rPr>
          <w:rFonts w:ascii="Arial" w:eastAsia="Times New Roman" w:hAnsi="Arial" w:cs="Arial"/>
          <w:b/>
          <w:bCs/>
          <w:color w:val="000000"/>
          <w:sz w:val="24"/>
          <w:szCs w:val="24"/>
          <w:lang w:val="es-ES" w:eastAsia="es-AR"/>
        </w:rPr>
      </w:pPr>
      <w:r>
        <w:rPr>
          <w:rFonts w:ascii="Arial" w:eastAsia="Times New Roman" w:hAnsi="Arial" w:cs="Arial"/>
          <w:b/>
          <w:bCs/>
          <w:color w:val="000000"/>
          <w:sz w:val="24"/>
          <w:szCs w:val="24"/>
          <w:lang w:val="es-ES" w:eastAsia="es-AR"/>
        </w:rPr>
        <w:t xml:space="preserve">II. </w:t>
      </w:r>
      <w:r w:rsidR="0079412D">
        <w:rPr>
          <w:rFonts w:ascii="Arial" w:eastAsia="Times New Roman" w:hAnsi="Arial" w:cs="Arial"/>
          <w:b/>
          <w:bCs/>
          <w:color w:val="000000"/>
          <w:sz w:val="24"/>
          <w:szCs w:val="24"/>
          <w:lang w:val="es-ES" w:eastAsia="es-AR"/>
        </w:rPr>
        <w:tab/>
      </w:r>
      <w:r w:rsidR="0079412D">
        <w:rPr>
          <w:rFonts w:ascii="Arial" w:eastAsia="Times New Roman" w:hAnsi="Arial" w:cs="Arial"/>
          <w:b/>
          <w:bCs/>
          <w:color w:val="000000"/>
          <w:sz w:val="24"/>
          <w:szCs w:val="24"/>
          <w:lang w:val="es-ES" w:eastAsia="es-AR"/>
        </w:rPr>
        <w:tab/>
      </w:r>
      <w:r w:rsidRPr="00414AA3">
        <w:rPr>
          <w:rFonts w:ascii="Arial" w:eastAsia="Times New Roman" w:hAnsi="Arial" w:cs="Arial"/>
          <w:b/>
          <w:bCs/>
          <w:color w:val="000000"/>
          <w:sz w:val="24"/>
          <w:szCs w:val="24"/>
          <w:lang w:val="es-ES" w:eastAsia="es-AR"/>
        </w:rPr>
        <w:t>Cuestiones específicas destacadas por la labor del mandato</w:t>
      </w:r>
    </w:p>
    <w:p w:rsidR="0099089A" w:rsidRDefault="0099089A" w:rsidP="00662899">
      <w:pPr>
        <w:spacing w:after="200" w:line="240" w:lineRule="auto"/>
        <w:ind w:left="567"/>
        <w:jc w:val="both"/>
        <w:rPr>
          <w:rFonts w:ascii="Arial" w:eastAsia="Times New Roman" w:hAnsi="Arial" w:cs="Arial"/>
          <w:bCs/>
          <w:color w:val="000000"/>
          <w:sz w:val="24"/>
          <w:szCs w:val="24"/>
          <w:lang w:eastAsia="es-AR"/>
        </w:rPr>
      </w:pPr>
      <w:r>
        <w:rPr>
          <w:rFonts w:ascii="Arial" w:eastAsia="Times New Roman" w:hAnsi="Arial" w:cs="Arial"/>
          <w:b/>
          <w:bCs/>
          <w:color w:val="000000"/>
          <w:sz w:val="24"/>
          <w:szCs w:val="24"/>
          <w:lang w:val="es-ES" w:eastAsia="es-AR"/>
        </w:rPr>
        <w:t xml:space="preserve">i. </w:t>
      </w:r>
      <w:r w:rsidRPr="0099089A">
        <w:rPr>
          <w:rFonts w:ascii="Arial" w:eastAsia="Times New Roman" w:hAnsi="Arial" w:cs="Arial"/>
          <w:bCs/>
          <w:color w:val="000000"/>
          <w:sz w:val="24"/>
          <w:szCs w:val="24"/>
          <w:lang w:eastAsia="es-AR"/>
        </w:rPr>
        <w:t xml:space="preserve">En el ámbito interno, la Ley </w:t>
      </w:r>
      <w:r w:rsidR="00AE1E9F">
        <w:rPr>
          <w:rFonts w:ascii="Arial" w:eastAsia="Times New Roman" w:hAnsi="Arial" w:cs="Arial"/>
          <w:bCs/>
          <w:color w:val="000000"/>
          <w:sz w:val="24"/>
          <w:szCs w:val="24"/>
          <w:lang w:eastAsia="es-AR"/>
        </w:rPr>
        <w:t xml:space="preserve">N°25.743 en su art. 22, </w:t>
      </w:r>
      <w:r w:rsidR="00AE1E9F" w:rsidRPr="0099089A">
        <w:rPr>
          <w:rFonts w:ascii="Arial" w:eastAsia="Times New Roman" w:hAnsi="Arial" w:cs="Arial"/>
          <w:bCs/>
          <w:color w:val="000000"/>
          <w:sz w:val="24"/>
          <w:szCs w:val="24"/>
          <w:lang w:eastAsia="es-AR"/>
        </w:rPr>
        <w:t>establece</w:t>
      </w:r>
      <w:r w:rsidRPr="0099089A">
        <w:rPr>
          <w:rFonts w:ascii="Arial" w:eastAsia="Times New Roman" w:hAnsi="Arial" w:cs="Arial"/>
          <w:bCs/>
          <w:color w:val="000000"/>
          <w:sz w:val="24"/>
          <w:szCs w:val="24"/>
          <w:lang w:eastAsia="es-AR"/>
        </w:rPr>
        <w:t xml:space="preserve"> la </w:t>
      </w:r>
      <w:r w:rsidR="00AE1E9F">
        <w:rPr>
          <w:rFonts w:ascii="Arial" w:eastAsia="Times New Roman" w:hAnsi="Arial" w:cs="Arial"/>
          <w:bCs/>
          <w:color w:val="000000"/>
          <w:sz w:val="24"/>
          <w:szCs w:val="24"/>
          <w:lang w:eastAsia="es-AR"/>
        </w:rPr>
        <w:t xml:space="preserve">  </w:t>
      </w:r>
      <w:r w:rsidRPr="0099089A">
        <w:rPr>
          <w:rFonts w:ascii="Arial" w:eastAsia="Times New Roman" w:hAnsi="Arial" w:cs="Arial"/>
          <w:bCs/>
          <w:color w:val="000000"/>
          <w:sz w:val="24"/>
          <w:szCs w:val="24"/>
          <w:lang w:eastAsia="es-AR"/>
        </w:rPr>
        <w:t>obligatoriedad de acceso al material arqueológico o paleontológico que forma parte de colecciones registradas</w:t>
      </w:r>
      <w:r w:rsidR="00AE1E9F">
        <w:rPr>
          <w:rFonts w:ascii="Arial" w:eastAsia="Times New Roman" w:hAnsi="Arial" w:cs="Arial"/>
          <w:bCs/>
          <w:color w:val="000000"/>
          <w:sz w:val="24"/>
          <w:szCs w:val="24"/>
          <w:lang w:eastAsia="es-AR"/>
        </w:rPr>
        <w:t>.</w:t>
      </w:r>
      <w:r w:rsidR="00AE1E9F" w:rsidRPr="00AE1E9F">
        <w:t xml:space="preserve"> </w:t>
      </w:r>
      <w:r w:rsidR="00AE1E9F" w:rsidRPr="00AE1E9F">
        <w:rPr>
          <w:rFonts w:ascii="Arial" w:eastAsia="Times New Roman" w:hAnsi="Arial" w:cs="Arial"/>
          <w:bCs/>
          <w:color w:val="000000"/>
          <w:sz w:val="24"/>
          <w:szCs w:val="24"/>
          <w:lang w:eastAsia="es-AR"/>
        </w:rPr>
        <w:t xml:space="preserve">La garantía de acceso caracteriza a estos bienes como colectivos, lo que implica que no existe la exclusión de beneficiarios. </w:t>
      </w:r>
      <w:r w:rsidR="00AE1E9F">
        <w:rPr>
          <w:rFonts w:ascii="Arial" w:eastAsia="Times New Roman" w:hAnsi="Arial" w:cs="Arial"/>
          <w:bCs/>
          <w:color w:val="000000"/>
          <w:sz w:val="24"/>
          <w:szCs w:val="24"/>
          <w:lang w:eastAsia="es-AR"/>
        </w:rPr>
        <w:t>El</w:t>
      </w:r>
      <w:r w:rsidR="00AE1E9F" w:rsidRPr="00AE1E9F">
        <w:rPr>
          <w:rFonts w:ascii="Arial" w:eastAsia="Times New Roman" w:hAnsi="Arial" w:cs="Arial"/>
          <w:bCs/>
          <w:color w:val="000000"/>
          <w:sz w:val="24"/>
          <w:szCs w:val="24"/>
          <w:lang w:eastAsia="es-AR"/>
        </w:rPr>
        <w:t xml:space="preserve"> acceso a los </w:t>
      </w:r>
      <w:r w:rsidR="00AE1E9F">
        <w:rPr>
          <w:rFonts w:ascii="Arial" w:eastAsia="Times New Roman" w:hAnsi="Arial" w:cs="Arial"/>
          <w:bCs/>
          <w:color w:val="000000"/>
          <w:sz w:val="24"/>
          <w:szCs w:val="24"/>
          <w:lang w:eastAsia="es-AR"/>
        </w:rPr>
        <w:t xml:space="preserve">bienes culturales, sean públicos o privados </w:t>
      </w:r>
      <w:r w:rsidR="00AE1E9F" w:rsidRPr="00AE1E9F">
        <w:rPr>
          <w:rFonts w:ascii="Arial" w:eastAsia="Times New Roman" w:hAnsi="Arial" w:cs="Arial"/>
          <w:bCs/>
          <w:color w:val="000000"/>
          <w:sz w:val="24"/>
          <w:szCs w:val="24"/>
          <w:lang w:eastAsia="es-AR"/>
        </w:rPr>
        <w:t>en un bien colectivo.</w:t>
      </w:r>
    </w:p>
    <w:p w:rsidR="007F4556" w:rsidRDefault="00220DE4" w:rsidP="00662899">
      <w:pPr>
        <w:spacing w:after="200" w:line="240" w:lineRule="auto"/>
        <w:ind w:left="567"/>
        <w:jc w:val="both"/>
        <w:rPr>
          <w:rFonts w:ascii="Arial" w:eastAsia="Times New Roman" w:hAnsi="Arial" w:cs="Arial"/>
          <w:bCs/>
          <w:color w:val="000000"/>
          <w:sz w:val="24"/>
          <w:szCs w:val="24"/>
          <w:lang w:eastAsia="es-AR"/>
        </w:rPr>
      </w:pPr>
      <w:r w:rsidRPr="00220DE4">
        <w:rPr>
          <w:rFonts w:ascii="Arial" w:eastAsia="Times New Roman" w:hAnsi="Arial" w:cs="Arial"/>
          <w:bCs/>
          <w:color w:val="000000"/>
          <w:sz w:val="24"/>
          <w:szCs w:val="24"/>
          <w:lang w:eastAsia="es-AR"/>
        </w:rPr>
        <w:lastRenderedPageBreak/>
        <w:t>Se destaca la labor realizada en la CABA con la restauración del reconocido Teatro Colón al igual que la recuperación del antiguo edificio de una usina y su reconversión en el centro cultural “Usina del Arte”. También se hizo el inventariado de edificios de valor patrimonial, incorporando al catálogo más de 3.000 parcelas protegidas. La Comisión Nacional de Monumentos, Lugares y Bienes Históricos, renovada por la sanción de la ley 27103 que, entre otras modificaciones, incorporó nuevas categorías para la protección de los monumentos y bienes históricos</w:t>
      </w:r>
      <w:r w:rsidR="007F4556">
        <w:rPr>
          <w:rFonts w:ascii="Arial" w:eastAsia="Times New Roman" w:hAnsi="Arial" w:cs="Arial"/>
          <w:bCs/>
          <w:color w:val="000000"/>
          <w:sz w:val="24"/>
          <w:szCs w:val="24"/>
          <w:lang w:eastAsia="es-AR"/>
        </w:rPr>
        <w:t>.</w:t>
      </w:r>
      <w:r w:rsidRPr="00220DE4">
        <w:rPr>
          <w:rFonts w:ascii="Arial" w:eastAsia="Times New Roman" w:hAnsi="Arial" w:cs="Arial"/>
          <w:bCs/>
          <w:color w:val="000000"/>
          <w:sz w:val="24"/>
          <w:szCs w:val="24"/>
          <w:lang w:eastAsia="es-AR"/>
        </w:rPr>
        <w:t xml:space="preserve"> </w:t>
      </w:r>
    </w:p>
    <w:p w:rsidR="00220DE4" w:rsidRDefault="007F4556" w:rsidP="00662899">
      <w:pPr>
        <w:spacing w:after="200" w:line="240" w:lineRule="auto"/>
        <w:ind w:left="567"/>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La</w:t>
      </w:r>
      <w:r w:rsidR="00220DE4" w:rsidRPr="00220DE4">
        <w:rPr>
          <w:rFonts w:ascii="Arial" w:eastAsia="Times New Roman" w:hAnsi="Arial" w:cs="Arial"/>
          <w:bCs/>
          <w:color w:val="000000"/>
          <w:sz w:val="24"/>
          <w:szCs w:val="24"/>
          <w:lang w:eastAsia="es-AR"/>
        </w:rPr>
        <w:t xml:space="preserve"> Ley 19.943 de 1972 ratificó la Convención de prevención de tráfico ilícito de bienes culturales de </w:t>
      </w:r>
      <w:r w:rsidRPr="00220DE4">
        <w:rPr>
          <w:rFonts w:ascii="Arial" w:eastAsia="Times New Roman" w:hAnsi="Arial" w:cs="Arial"/>
          <w:bCs/>
          <w:color w:val="000000"/>
          <w:sz w:val="24"/>
          <w:szCs w:val="24"/>
          <w:lang w:eastAsia="es-AR"/>
        </w:rPr>
        <w:t>la UNESCO</w:t>
      </w:r>
      <w:r w:rsidR="00220DE4" w:rsidRPr="00220DE4">
        <w:rPr>
          <w:rFonts w:ascii="Arial" w:eastAsia="Times New Roman" w:hAnsi="Arial" w:cs="Arial"/>
          <w:bCs/>
          <w:color w:val="000000"/>
          <w:sz w:val="24"/>
          <w:szCs w:val="24"/>
          <w:lang w:eastAsia="es-AR"/>
        </w:rPr>
        <w:t xml:space="preserve">. </w:t>
      </w:r>
      <w:r>
        <w:rPr>
          <w:rFonts w:ascii="Arial" w:eastAsia="Times New Roman" w:hAnsi="Arial" w:cs="Arial"/>
          <w:bCs/>
          <w:color w:val="000000"/>
          <w:sz w:val="24"/>
          <w:szCs w:val="24"/>
          <w:lang w:eastAsia="es-AR"/>
        </w:rPr>
        <w:t xml:space="preserve">El </w:t>
      </w:r>
      <w:r w:rsidRPr="00220DE4">
        <w:rPr>
          <w:rFonts w:ascii="Arial" w:eastAsia="Times New Roman" w:hAnsi="Arial" w:cs="Arial"/>
          <w:bCs/>
          <w:color w:val="000000"/>
          <w:sz w:val="24"/>
          <w:szCs w:val="24"/>
          <w:lang w:eastAsia="es-AR"/>
        </w:rPr>
        <w:t>Registro</w:t>
      </w:r>
      <w:r w:rsidR="00220DE4" w:rsidRPr="00220DE4">
        <w:rPr>
          <w:rFonts w:ascii="Arial" w:eastAsia="Times New Roman" w:hAnsi="Arial" w:cs="Arial"/>
          <w:bCs/>
          <w:color w:val="000000"/>
          <w:sz w:val="24"/>
          <w:szCs w:val="24"/>
          <w:lang w:eastAsia="es-AR"/>
        </w:rPr>
        <w:t xml:space="preserve"> de bienes culturales dispuesto en la misma nunca se implementó. El proyecto de Ley S1284/17 que intenta subsanar esta carencia tiene media sanción de Senadores esperando que la Cámara de Diputados lo convierta en Ley.</w:t>
      </w:r>
    </w:p>
    <w:p w:rsidR="00662899" w:rsidRDefault="00662899" w:rsidP="00662899">
      <w:pPr>
        <w:spacing w:after="200" w:line="240" w:lineRule="auto"/>
        <w:ind w:left="567"/>
        <w:jc w:val="both"/>
        <w:rPr>
          <w:rFonts w:ascii="Arial" w:eastAsia="Times New Roman" w:hAnsi="Arial" w:cs="Arial"/>
          <w:bCs/>
          <w:color w:val="000000"/>
          <w:sz w:val="24"/>
          <w:szCs w:val="24"/>
          <w:lang w:eastAsia="es-AR"/>
        </w:rPr>
      </w:pPr>
      <w:r w:rsidRPr="00662899">
        <w:rPr>
          <w:rFonts w:ascii="Arial" w:eastAsia="Times New Roman" w:hAnsi="Arial" w:cs="Arial"/>
          <w:bCs/>
          <w:color w:val="000000"/>
          <w:sz w:val="24"/>
          <w:szCs w:val="24"/>
          <w:lang w:eastAsia="es-AR"/>
        </w:rPr>
        <w:t>El Museo Nacional de Bellas Artes organizó la muestra itinerante “200 años de arte argentino” que visitó distintas ciudades del interior para poner en circulación parte de su acervo, descentralizando las políticas públicas de las artes visuales.</w:t>
      </w:r>
    </w:p>
    <w:p w:rsidR="009316B7" w:rsidRDefault="009316B7" w:rsidP="00662899">
      <w:pPr>
        <w:spacing w:after="200" w:line="240" w:lineRule="auto"/>
        <w:ind w:left="567"/>
        <w:jc w:val="both"/>
        <w:rPr>
          <w:rFonts w:ascii="Arial" w:eastAsia="Times New Roman" w:hAnsi="Arial" w:cs="Arial"/>
          <w:bCs/>
          <w:color w:val="000000"/>
          <w:sz w:val="24"/>
          <w:szCs w:val="24"/>
          <w:lang w:eastAsia="es-AR"/>
        </w:rPr>
      </w:pPr>
      <w:r>
        <w:rPr>
          <w:rFonts w:ascii="Arial" w:eastAsia="Calibri" w:hAnsi="Arial" w:cs="Times New Roman"/>
          <w:sz w:val="24"/>
        </w:rPr>
        <w:t xml:space="preserve">En el 2010 se llevaron a cabo </w:t>
      </w:r>
      <w:r w:rsidRPr="009316B7">
        <w:rPr>
          <w:rFonts w:ascii="Arial" w:eastAsia="Calibri" w:hAnsi="Arial" w:cs="Times New Roman"/>
          <w:sz w:val="24"/>
        </w:rPr>
        <w:t>los festejos del bicentenario de la Revolución de Mayo cuyos actos centrales reunieron aproximadamente 2.000.000 de espectadores</w:t>
      </w:r>
      <w:r>
        <w:rPr>
          <w:rFonts w:ascii="Arial" w:eastAsia="Calibri" w:hAnsi="Arial" w:cs="Times New Roman"/>
          <w:sz w:val="24"/>
        </w:rPr>
        <w:t xml:space="preserve"> todo el país</w:t>
      </w:r>
      <w:r w:rsidRPr="009316B7">
        <w:rPr>
          <w:rFonts w:ascii="Arial" w:eastAsia="Calibri" w:hAnsi="Arial" w:cs="Times New Roman"/>
          <w:sz w:val="24"/>
        </w:rPr>
        <w:t xml:space="preserve"> en la Ciudad Autónoma de Buenos Aires (CABA).</w:t>
      </w:r>
    </w:p>
    <w:p w:rsidR="00C7588E" w:rsidRPr="00414AA3" w:rsidRDefault="00C7588E" w:rsidP="00662899">
      <w:pPr>
        <w:spacing w:after="200" w:line="240" w:lineRule="auto"/>
        <w:ind w:left="567"/>
        <w:jc w:val="both"/>
        <w:rPr>
          <w:rFonts w:ascii="Arial" w:eastAsia="Times New Roman" w:hAnsi="Arial" w:cs="Arial"/>
          <w:b/>
          <w:bCs/>
          <w:color w:val="000000"/>
          <w:sz w:val="24"/>
          <w:szCs w:val="24"/>
          <w:lang w:val="es-ES" w:eastAsia="es-AR"/>
        </w:rPr>
      </w:pPr>
      <w:r>
        <w:rPr>
          <w:rFonts w:ascii="Arial" w:eastAsia="Times New Roman" w:hAnsi="Arial" w:cs="Arial"/>
          <w:b/>
          <w:bCs/>
          <w:color w:val="000000"/>
          <w:sz w:val="24"/>
          <w:szCs w:val="24"/>
          <w:lang w:val="es-ES" w:eastAsia="es-AR"/>
        </w:rPr>
        <w:t xml:space="preserve">iii. </w:t>
      </w:r>
      <w:r w:rsidR="0089503E">
        <w:rPr>
          <w:rFonts w:ascii="Arial" w:eastAsia="Times New Roman" w:hAnsi="Arial" w:cs="Arial"/>
          <w:b/>
          <w:bCs/>
          <w:color w:val="000000"/>
          <w:sz w:val="24"/>
          <w:szCs w:val="24"/>
          <w:lang w:val="es-ES" w:eastAsia="es-AR"/>
        </w:rPr>
        <w:t xml:space="preserve"> </w:t>
      </w:r>
      <w:r w:rsidR="0089503E" w:rsidRPr="0089503E">
        <w:rPr>
          <w:rFonts w:ascii="Arial" w:eastAsia="Times New Roman" w:hAnsi="Arial" w:cs="Arial"/>
          <w:bCs/>
          <w:color w:val="000000"/>
          <w:sz w:val="24"/>
          <w:szCs w:val="24"/>
          <w:lang w:val="es-ES" w:eastAsia="es-AR"/>
        </w:rPr>
        <w:t>El derecho a la creación artística se encuentro amparado en la Argentina en la ley de Educación N° 26.</w:t>
      </w:r>
      <w:r w:rsidR="0089503E">
        <w:rPr>
          <w:rFonts w:ascii="Arial" w:eastAsia="Times New Roman" w:hAnsi="Arial" w:cs="Arial"/>
          <w:bCs/>
          <w:color w:val="000000"/>
          <w:sz w:val="24"/>
          <w:szCs w:val="24"/>
          <w:lang w:val="es-ES" w:eastAsia="es-AR"/>
        </w:rPr>
        <w:t>2</w:t>
      </w:r>
      <w:r w:rsidR="0089503E" w:rsidRPr="0089503E">
        <w:rPr>
          <w:rFonts w:ascii="Arial" w:eastAsia="Times New Roman" w:hAnsi="Arial" w:cs="Arial"/>
          <w:bCs/>
          <w:color w:val="000000"/>
          <w:sz w:val="24"/>
          <w:szCs w:val="24"/>
          <w:lang w:val="es-ES" w:eastAsia="es-AR"/>
        </w:rPr>
        <w:t>06</w:t>
      </w:r>
      <w:r w:rsidR="0089503E">
        <w:rPr>
          <w:rFonts w:ascii="Arial" w:eastAsia="Times New Roman" w:hAnsi="Arial" w:cs="Arial"/>
          <w:bCs/>
          <w:color w:val="000000"/>
          <w:sz w:val="24"/>
          <w:szCs w:val="24"/>
          <w:lang w:val="es-ES" w:eastAsia="es-AR"/>
        </w:rPr>
        <w:t xml:space="preserve"> del 2006. Sin embargo, no hubo adelantos normativos específicos que amparen ese derecho.  </w:t>
      </w:r>
    </w:p>
    <w:p w:rsidR="00260B43" w:rsidRDefault="00AB6F09" w:rsidP="00662899">
      <w:pPr>
        <w:spacing w:after="200" w:line="240" w:lineRule="auto"/>
        <w:ind w:left="567"/>
        <w:jc w:val="both"/>
        <w:rPr>
          <w:rFonts w:ascii="Arial" w:eastAsia="Times New Roman" w:hAnsi="Arial" w:cs="Arial"/>
          <w:bCs/>
          <w:color w:val="000000"/>
          <w:sz w:val="24"/>
          <w:szCs w:val="24"/>
          <w:lang w:eastAsia="es-AR"/>
        </w:rPr>
      </w:pPr>
      <w:r>
        <w:rPr>
          <w:rFonts w:ascii="Arial" w:eastAsia="Times New Roman" w:hAnsi="Arial" w:cs="Arial"/>
          <w:b/>
          <w:bCs/>
          <w:color w:val="000000"/>
          <w:sz w:val="24"/>
          <w:szCs w:val="24"/>
          <w:lang w:eastAsia="es-AR"/>
        </w:rPr>
        <w:t>iv</w:t>
      </w:r>
      <w:r w:rsidR="00414AA3" w:rsidRPr="00414AA3">
        <w:rPr>
          <w:rFonts w:ascii="Arial" w:eastAsia="Times New Roman" w:hAnsi="Arial" w:cs="Arial"/>
          <w:b/>
          <w:bCs/>
          <w:color w:val="000000"/>
          <w:sz w:val="24"/>
          <w:szCs w:val="24"/>
          <w:lang w:eastAsia="es-AR"/>
        </w:rPr>
        <w:t>.</w:t>
      </w:r>
      <w:r w:rsidR="00414AA3">
        <w:rPr>
          <w:rFonts w:ascii="Arial" w:eastAsia="Times New Roman" w:hAnsi="Arial" w:cs="Arial"/>
          <w:bCs/>
          <w:color w:val="000000"/>
          <w:sz w:val="24"/>
          <w:szCs w:val="24"/>
          <w:lang w:eastAsia="es-AR"/>
        </w:rPr>
        <w:t xml:space="preserve"> </w:t>
      </w:r>
      <w:r w:rsidR="00260B43" w:rsidRPr="00414AA3">
        <w:rPr>
          <w:rFonts w:ascii="Arial" w:eastAsia="Times New Roman" w:hAnsi="Arial" w:cs="Arial"/>
          <w:bCs/>
          <w:color w:val="000000"/>
          <w:sz w:val="24"/>
          <w:szCs w:val="24"/>
          <w:lang w:eastAsia="es-AR"/>
        </w:rPr>
        <w:t xml:space="preserve">Por la Ley N° 23.179 </w:t>
      </w:r>
      <w:r w:rsidR="00414AA3" w:rsidRPr="00414AA3">
        <w:rPr>
          <w:rFonts w:ascii="Arial" w:eastAsia="Times New Roman" w:hAnsi="Arial" w:cs="Arial"/>
          <w:bCs/>
          <w:color w:val="000000"/>
          <w:sz w:val="24"/>
          <w:szCs w:val="24"/>
          <w:lang w:eastAsia="es-AR"/>
        </w:rPr>
        <w:t xml:space="preserve">la Argentina </w:t>
      </w:r>
      <w:r w:rsidR="00260B43" w:rsidRPr="00414AA3">
        <w:rPr>
          <w:rFonts w:ascii="Arial" w:eastAsia="Times New Roman" w:hAnsi="Arial" w:cs="Arial"/>
          <w:bCs/>
          <w:color w:val="000000"/>
          <w:sz w:val="24"/>
          <w:szCs w:val="24"/>
          <w:lang w:eastAsia="es-AR"/>
        </w:rPr>
        <w:t xml:space="preserve">aprueba la Convención sobre la eliminación de todas las formas de discriminación contra la Mujer, que en sus artículos 1, 3, 5 y 13 </w:t>
      </w:r>
      <w:r w:rsidR="00414AA3" w:rsidRPr="00414AA3">
        <w:rPr>
          <w:rFonts w:ascii="Arial" w:eastAsia="Times New Roman" w:hAnsi="Arial" w:cs="Arial"/>
          <w:bCs/>
          <w:color w:val="000000"/>
          <w:sz w:val="24"/>
          <w:szCs w:val="24"/>
          <w:lang w:eastAsia="es-AR"/>
        </w:rPr>
        <w:t xml:space="preserve">protegen la paridad de género en los derechos culturales. </w:t>
      </w:r>
    </w:p>
    <w:p w:rsidR="00414AA3" w:rsidRDefault="00414AA3" w:rsidP="008563F7">
      <w:pPr>
        <w:spacing w:after="200" w:line="240" w:lineRule="auto"/>
        <w:ind w:left="567"/>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 xml:space="preserve">En 2015 se sancionó la Ley N° 27.234: </w:t>
      </w:r>
      <w:r w:rsidRPr="00414AA3">
        <w:rPr>
          <w:rFonts w:ascii="Arial" w:eastAsia="Times New Roman" w:hAnsi="Arial" w:cs="Arial"/>
          <w:bCs/>
          <w:color w:val="000000"/>
          <w:sz w:val="24"/>
          <w:szCs w:val="24"/>
          <w:lang w:eastAsia="es-AR"/>
        </w:rPr>
        <w:t>Educar en Igualdad: Prevención y Erradicación de la Violencia de Género</w:t>
      </w:r>
      <w:r>
        <w:rPr>
          <w:rFonts w:ascii="Arial" w:eastAsia="Times New Roman" w:hAnsi="Arial" w:cs="Arial"/>
          <w:bCs/>
          <w:color w:val="000000"/>
          <w:sz w:val="24"/>
          <w:szCs w:val="24"/>
          <w:lang w:eastAsia="es-AR"/>
        </w:rPr>
        <w:t xml:space="preserve">, que contempla el derecho al acceso a la educación y la cultura para las mujeres. </w:t>
      </w:r>
    </w:p>
    <w:p w:rsidR="00AB6F09" w:rsidRPr="00414AA3" w:rsidRDefault="00AB6F09" w:rsidP="008563F7">
      <w:pPr>
        <w:spacing w:after="200" w:line="240" w:lineRule="auto"/>
        <w:ind w:left="567"/>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 xml:space="preserve">En diciembre de 2016 se llevó a cabo en nuestro país el </w:t>
      </w:r>
      <w:r w:rsidRPr="00AB6F09">
        <w:rPr>
          <w:rFonts w:ascii="Arial" w:eastAsia="Times New Roman" w:hAnsi="Arial" w:cs="Arial"/>
          <w:bCs/>
          <w:color w:val="000000"/>
          <w:sz w:val="24"/>
          <w:szCs w:val="24"/>
          <w:lang w:eastAsia="es-AR"/>
        </w:rPr>
        <w:t>IV ENCUENTRO INTERNACIONAL MUJERES X LA CULTURA</w:t>
      </w:r>
      <w:r>
        <w:rPr>
          <w:rFonts w:ascii="Arial" w:eastAsia="Times New Roman" w:hAnsi="Arial" w:cs="Arial"/>
          <w:bCs/>
          <w:color w:val="000000"/>
          <w:sz w:val="24"/>
          <w:szCs w:val="24"/>
          <w:lang w:eastAsia="es-AR"/>
        </w:rPr>
        <w:t xml:space="preserve">, organizado por la Red de </w:t>
      </w:r>
      <w:r w:rsidRPr="00AB6F09">
        <w:rPr>
          <w:rFonts w:ascii="Arial" w:eastAsia="Times New Roman" w:hAnsi="Arial" w:cs="Arial"/>
          <w:bCs/>
          <w:color w:val="000000"/>
          <w:sz w:val="24"/>
          <w:szCs w:val="24"/>
          <w:lang w:eastAsia="es-AR"/>
        </w:rPr>
        <w:t>gestoras culturales Mujeres X la Cultura</w:t>
      </w:r>
      <w:r>
        <w:rPr>
          <w:rFonts w:ascii="Arial" w:eastAsia="Times New Roman" w:hAnsi="Arial" w:cs="Arial"/>
          <w:bCs/>
          <w:color w:val="000000"/>
          <w:sz w:val="24"/>
          <w:szCs w:val="24"/>
          <w:lang w:eastAsia="es-AR"/>
        </w:rPr>
        <w:t xml:space="preserve">. </w:t>
      </w:r>
    </w:p>
    <w:p w:rsidR="00414AA3" w:rsidRDefault="00414AA3" w:rsidP="008563F7">
      <w:pPr>
        <w:spacing w:after="200" w:line="240" w:lineRule="auto"/>
        <w:ind w:left="567"/>
        <w:jc w:val="both"/>
        <w:rPr>
          <w:rFonts w:ascii="Arial" w:eastAsia="Times New Roman" w:hAnsi="Arial" w:cs="Arial"/>
          <w:bCs/>
          <w:color w:val="000000"/>
          <w:sz w:val="24"/>
          <w:szCs w:val="24"/>
          <w:lang w:eastAsia="es-AR"/>
        </w:rPr>
      </w:pPr>
      <w:r w:rsidRPr="00414AA3">
        <w:rPr>
          <w:rFonts w:ascii="Arial" w:eastAsia="Times New Roman" w:hAnsi="Arial" w:cs="Arial"/>
          <w:bCs/>
          <w:color w:val="000000"/>
          <w:sz w:val="24"/>
          <w:szCs w:val="24"/>
          <w:lang w:eastAsia="es-AR"/>
        </w:rPr>
        <w:t>Desde el 2017 varios de los Museos Nacionales estuvieron a cargo de mujeres que obtuvieron el puesto través de un concurso público realizado por el Ministerio de Cultura de la Nación.</w:t>
      </w:r>
    </w:p>
    <w:p w:rsidR="006B4F70" w:rsidRDefault="006B4F70" w:rsidP="008563F7">
      <w:pPr>
        <w:spacing w:after="200" w:line="240" w:lineRule="auto"/>
        <w:ind w:left="567"/>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 xml:space="preserve">En junio de 2018 se organizó desde la Universidad de Buenos Aires el seminario: </w:t>
      </w:r>
      <w:r w:rsidRPr="006B4F70">
        <w:rPr>
          <w:rFonts w:ascii="Arial" w:eastAsia="Times New Roman" w:hAnsi="Arial" w:cs="Arial"/>
          <w:bCs/>
          <w:color w:val="000000"/>
          <w:sz w:val="24"/>
          <w:szCs w:val="24"/>
          <w:lang w:eastAsia="es-AR"/>
        </w:rPr>
        <w:t>Patrimonio y Perspectiva de Género. Herramientas proyectuales para la intervención territorial, urbana y arquitectónica.</w:t>
      </w:r>
    </w:p>
    <w:p w:rsidR="004C340A" w:rsidRPr="00414AA3" w:rsidRDefault="004C340A" w:rsidP="008563F7">
      <w:pPr>
        <w:spacing w:after="200" w:line="240" w:lineRule="auto"/>
        <w:ind w:left="567"/>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 xml:space="preserve">Sin embargo, no hay </w:t>
      </w:r>
      <w:r w:rsidRPr="004C340A">
        <w:rPr>
          <w:rFonts w:ascii="Arial" w:eastAsia="Times New Roman" w:hAnsi="Arial" w:cs="Arial"/>
          <w:bCs/>
          <w:color w:val="000000"/>
          <w:sz w:val="24"/>
          <w:szCs w:val="24"/>
          <w:lang w:eastAsia="es-AR"/>
        </w:rPr>
        <w:t xml:space="preserve">una norma </w:t>
      </w:r>
      <w:r w:rsidR="008B3850">
        <w:rPr>
          <w:rFonts w:ascii="Arial" w:eastAsia="Times New Roman" w:hAnsi="Arial" w:cs="Arial"/>
          <w:bCs/>
          <w:color w:val="000000"/>
          <w:sz w:val="24"/>
          <w:szCs w:val="24"/>
          <w:lang w:eastAsia="es-AR"/>
        </w:rPr>
        <w:t xml:space="preserve">específica </w:t>
      </w:r>
      <w:r w:rsidRPr="004C340A">
        <w:rPr>
          <w:rFonts w:ascii="Arial" w:eastAsia="Times New Roman" w:hAnsi="Arial" w:cs="Arial"/>
          <w:bCs/>
          <w:color w:val="000000"/>
          <w:sz w:val="24"/>
          <w:szCs w:val="24"/>
          <w:lang w:eastAsia="es-AR"/>
        </w:rPr>
        <w:t xml:space="preserve">que consagre la igualdad </w:t>
      </w:r>
      <w:r w:rsidR="001518DD">
        <w:rPr>
          <w:rFonts w:ascii="Arial" w:eastAsia="Times New Roman" w:hAnsi="Arial" w:cs="Arial"/>
          <w:bCs/>
          <w:color w:val="000000"/>
          <w:sz w:val="24"/>
          <w:szCs w:val="24"/>
          <w:lang w:eastAsia="es-AR"/>
        </w:rPr>
        <w:t xml:space="preserve">de la mujer en </w:t>
      </w:r>
      <w:r w:rsidRPr="004C340A">
        <w:rPr>
          <w:rFonts w:ascii="Arial" w:eastAsia="Times New Roman" w:hAnsi="Arial" w:cs="Arial"/>
          <w:bCs/>
          <w:color w:val="000000"/>
          <w:sz w:val="24"/>
          <w:szCs w:val="24"/>
          <w:lang w:eastAsia="es-AR"/>
        </w:rPr>
        <w:t>los desarrollos culturales de la comunidad</w:t>
      </w:r>
      <w:r w:rsidR="001518DD">
        <w:rPr>
          <w:rFonts w:ascii="Arial" w:eastAsia="Times New Roman" w:hAnsi="Arial" w:cs="Arial"/>
          <w:bCs/>
          <w:color w:val="000000"/>
          <w:sz w:val="24"/>
          <w:szCs w:val="24"/>
          <w:lang w:eastAsia="es-AR"/>
        </w:rPr>
        <w:t>.</w:t>
      </w:r>
    </w:p>
    <w:p w:rsidR="007F4556" w:rsidRDefault="007F4556" w:rsidP="007F4556">
      <w:pPr>
        <w:spacing w:after="200" w:line="240" w:lineRule="auto"/>
        <w:ind w:left="567"/>
        <w:jc w:val="both"/>
        <w:rPr>
          <w:rFonts w:ascii="Arial" w:eastAsia="Times New Roman" w:hAnsi="Arial" w:cs="Arial"/>
          <w:bCs/>
          <w:color w:val="000000"/>
          <w:sz w:val="24"/>
          <w:szCs w:val="24"/>
          <w:lang w:eastAsia="es-AR"/>
        </w:rPr>
      </w:pPr>
      <w:r w:rsidRPr="007F4556">
        <w:rPr>
          <w:rFonts w:ascii="Arial" w:eastAsia="Times New Roman" w:hAnsi="Arial" w:cs="Arial"/>
          <w:b/>
          <w:bCs/>
          <w:color w:val="000000"/>
          <w:sz w:val="24"/>
          <w:szCs w:val="24"/>
          <w:lang w:eastAsia="es-AR"/>
        </w:rPr>
        <w:lastRenderedPageBreak/>
        <w:t>v.</w:t>
      </w:r>
      <w:r>
        <w:rPr>
          <w:rFonts w:ascii="Arial" w:eastAsia="Times New Roman" w:hAnsi="Arial" w:cs="Arial"/>
          <w:bCs/>
          <w:color w:val="000000"/>
          <w:sz w:val="24"/>
          <w:szCs w:val="24"/>
          <w:lang w:eastAsia="es-AR"/>
        </w:rPr>
        <w:t xml:space="preserve"> </w:t>
      </w:r>
      <w:r w:rsidR="00E04DD3">
        <w:rPr>
          <w:rFonts w:ascii="Arial" w:eastAsia="Calibri" w:hAnsi="Arial" w:cs="Times New Roman"/>
          <w:sz w:val="24"/>
        </w:rPr>
        <w:t>L</w:t>
      </w:r>
      <w:r w:rsidR="00E04DD3" w:rsidRPr="00E04DD3">
        <w:rPr>
          <w:rFonts w:ascii="Arial" w:eastAsia="Calibri" w:hAnsi="Arial" w:cs="Times New Roman"/>
          <w:sz w:val="24"/>
        </w:rPr>
        <w:t xml:space="preserve">a Relatora Especial ha señalado </w:t>
      </w:r>
      <w:r w:rsidR="00DD21F4">
        <w:rPr>
          <w:rFonts w:ascii="Arial" w:eastAsia="Calibri" w:hAnsi="Arial" w:cs="Times New Roman"/>
          <w:sz w:val="24"/>
        </w:rPr>
        <w:t>la</w:t>
      </w:r>
      <w:r w:rsidR="00E04DD3" w:rsidRPr="00E04DD3">
        <w:rPr>
          <w:rFonts w:ascii="Arial" w:eastAsia="Calibri" w:hAnsi="Arial" w:cs="Times New Roman"/>
          <w:sz w:val="24"/>
        </w:rPr>
        <w:t xml:space="preserve"> importancia </w:t>
      </w:r>
      <w:r w:rsidR="00DD21F4">
        <w:rPr>
          <w:rFonts w:ascii="Arial" w:eastAsia="Calibri" w:hAnsi="Arial" w:cs="Times New Roman"/>
          <w:sz w:val="24"/>
        </w:rPr>
        <w:t xml:space="preserve">de la </w:t>
      </w:r>
      <w:r w:rsidR="00DD21F4" w:rsidRPr="00DD21F4">
        <w:rPr>
          <w:rFonts w:ascii="Arial" w:eastAsia="Calibri" w:hAnsi="Arial" w:cs="Times New Roman"/>
          <w:sz w:val="24"/>
        </w:rPr>
        <w:t xml:space="preserve">escritura y la enseñanza de la historia y los procesos de la memoria </w:t>
      </w:r>
      <w:r w:rsidR="00E04DD3" w:rsidRPr="00E04DD3">
        <w:rPr>
          <w:rFonts w:ascii="Arial" w:eastAsia="Calibri" w:hAnsi="Arial" w:cs="Times New Roman"/>
          <w:sz w:val="24"/>
        </w:rPr>
        <w:t xml:space="preserve">en sociedades atravesadas por procesos de enfrentamientos o de violaciones de derechos humanos. </w:t>
      </w:r>
      <w:r w:rsidRPr="00075F4E">
        <w:rPr>
          <w:rFonts w:ascii="Arial" w:eastAsia="Times New Roman" w:hAnsi="Arial" w:cs="Arial"/>
          <w:bCs/>
          <w:color w:val="000000"/>
          <w:sz w:val="24"/>
          <w:szCs w:val="24"/>
          <w:lang w:eastAsia="es-AR"/>
        </w:rPr>
        <w:t xml:space="preserve">La Ley 26.691 que declaró </w:t>
      </w:r>
      <w:r w:rsidRPr="00075F4E">
        <w:rPr>
          <w:rFonts w:ascii="Arial" w:eastAsia="Times New Roman" w:hAnsi="Arial" w:cs="Arial"/>
          <w:bCs/>
          <w:i/>
          <w:iCs/>
          <w:color w:val="000000"/>
          <w:sz w:val="24"/>
          <w:szCs w:val="24"/>
          <w:lang w:eastAsia="es-AR"/>
        </w:rPr>
        <w:t>Sitios de Memoria del Terrorismo de Estado, a los lugares que funcionaron como centros clandestinos de represión ilegal</w:t>
      </w:r>
      <w:r w:rsidR="00745495">
        <w:rPr>
          <w:rFonts w:ascii="Arial" w:eastAsia="Times New Roman" w:hAnsi="Arial" w:cs="Arial"/>
          <w:bCs/>
          <w:i/>
          <w:iCs/>
          <w:color w:val="000000"/>
          <w:sz w:val="24"/>
          <w:szCs w:val="24"/>
          <w:lang w:eastAsia="es-AR"/>
        </w:rPr>
        <w:t>.</w:t>
      </w:r>
      <w:r w:rsidRPr="00075F4E">
        <w:rPr>
          <w:rFonts w:ascii="Arial" w:eastAsia="Times New Roman" w:hAnsi="Arial" w:cs="Arial"/>
          <w:b/>
          <w:bCs/>
          <w:color w:val="000000"/>
          <w:sz w:val="24"/>
          <w:szCs w:val="24"/>
          <w:lang w:eastAsia="es-AR"/>
        </w:rPr>
        <w:t xml:space="preserve"> </w:t>
      </w:r>
      <w:r w:rsidR="00745495">
        <w:rPr>
          <w:rFonts w:ascii="Arial" w:eastAsia="Times New Roman" w:hAnsi="Arial" w:cs="Arial"/>
          <w:bCs/>
          <w:color w:val="000000"/>
          <w:sz w:val="24"/>
          <w:szCs w:val="24"/>
          <w:lang w:eastAsia="es-AR"/>
        </w:rPr>
        <w:t>Se reconvirtió</w:t>
      </w:r>
      <w:r w:rsidRPr="00075F4E">
        <w:rPr>
          <w:rFonts w:ascii="Arial" w:eastAsia="Times New Roman" w:hAnsi="Arial" w:cs="Arial"/>
          <w:bCs/>
          <w:color w:val="000000"/>
          <w:sz w:val="24"/>
          <w:szCs w:val="24"/>
          <w:lang w:eastAsia="es-AR"/>
        </w:rPr>
        <w:t xml:space="preserve"> la Ex Escuela de Mecánica de la Armada (ESMA) en el Espacio para la Memoria y para la Promoción y Defensa de los Derechos Humanos administrado por un Ente Público Interjurisdiccional (Nación y CABA). En este espacio también funciona el Museo Malvinas e Islas del Atlántico Sur inaugurado el 10 junio de 2014, que recuerda otro hecho traumático del pasado reciente. </w:t>
      </w:r>
      <w:r w:rsidR="00745495" w:rsidRPr="00745495">
        <w:rPr>
          <w:rFonts w:ascii="Arial" w:eastAsia="Times New Roman" w:hAnsi="Arial" w:cs="Arial"/>
          <w:bCs/>
          <w:color w:val="000000"/>
          <w:sz w:val="24"/>
          <w:szCs w:val="24"/>
          <w:lang w:eastAsia="es-AR"/>
        </w:rPr>
        <w:t>Por su parte el Decreto 1762/2014 declaró lugares históricos a los Ex Centros Clandestinos de Detención como Automotores Orletti, Club Atlético, Olimpo y Virrey Ceballos, a la vez que el decreto 1285 de ese mismo año incorporó al Parque de la Memoria, su Monumento de la Memoria, las esculturas emplazadas en su predio y a su centro de documentación y archivo digital.</w:t>
      </w:r>
      <w:r w:rsidR="00745495">
        <w:rPr>
          <w:rFonts w:ascii="Arial" w:eastAsia="Times New Roman" w:hAnsi="Arial" w:cs="Arial"/>
          <w:bCs/>
          <w:color w:val="000000"/>
          <w:sz w:val="24"/>
          <w:szCs w:val="24"/>
          <w:lang w:eastAsia="es-AR"/>
        </w:rPr>
        <w:t xml:space="preserve"> E</w:t>
      </w:r>
      <w:r w:rsidR="00745495" w:rsidRPr="00745495">
        <w:rPr>
          <w:rFonts w:ascii="Arial" w:eastAsia="Times New Roman" w:hAnsi="Arial" w:cs="Arial"/>
          <w:bCs/>
          <w:color w:val="000000"/>
          <w:sz w:val="24"/>
          <w:szCs w:val="24"/>
          <w:lang w:eastAsia="es-AR"/>
        </w:rPr>
        <w:t>n 2015, el Decreto 379 declaró lugares históricos nacionales al Ex Centro Clandestino de Detención “D2” Archivo Provincial de la Memoria, lugar histórico, Córdoba, Decreto 379/2015 y Museo de la Memoria “Ex Comando del II Cuerpo de Ejército” de Santa Fe, a la Casa por la Memoria del Chaco, y a la Casa de la Memoria y la resistencia Jorge “Nono” Lizaso, ubicada en Florida, Provincia de Buenos Aires.</w:t>
      </w:r>
      <w:r w:rsidR="00745495">
        <w:rPr>
          <w:rFonts w:ascii="Arial" w:eastAsia="Times New Roman" w:hAnsi="Arial" w:cs="Arial"/>
          <w:bCs/>
          <w:color w:val="000000"/>
          <w:sz w:val="24"/>
          <w:szCs w:val="24"/>
          <w:lang w:eastAsia="es-AR"/>
        </w:rPr>
        <w:t xml:space="preserve"> </w:t>
      </w:r>
      <w:r w:rsidRPr="007F4556">
        <w:rPr>
          <w:rFonts w:ascii="Arial" w:eastAsia="Times New Roman" w:hAnsi="Arial" w:cs="Arial"/>
          <w:bCs/>
          <w:color w:val="000000"/>
          <w:sz w:val="24"/>
          <w:szCs w:val="24"/>
          <w:lang w:eastAsia="es-AR"/>
        </w:rPr>
        <w:t>La Legislatura de la CABA sancionó en 2009 la Ley 3078 de creación del “Consejo de Gestión del Parque de la Memoria y del Monumento a las Víctimas del Terrorismo de Estado” con la misión de administrar y gestionar dicho espacio; confeccionar la nómina de personas desaparecidas y asesinadas inscripta en el Monumento; elaborar la base de datos con información sobre éstas y desarrollar políticas públicas de construcción de la memoria colectiva sobre el terrorismo de Estado.</w:t>
      </w:r>
    </w:p>
    <w:p w:rsidR="00212E30" w:rsidRDefault="00356F31" w:rsidP="007F4556">
      <w:pPr>
        <w:spacing w:after="200" w:line="240" w:lineRule="auto"/>
        <w:ind w:left="567"/>
        <w:jc w:val="both"/>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 xml:space="preserve">En el 2015 </w:t>
      </w:r>
      <w:r w:rsidR="00212E30">
        <w:rPr>
          <w:rFonts w:ascii="Arial" w:eastAsia="Times New Roman" w:hAnsi="Arial" w:cs="Arial"/>
          <w:bCs/>
          <w:color w:val="000000"/>
          <w:sz w:val="24"/>
          <w:szCs w:val="24"/>
          <w:lang w:eastAsia="es-AR"/>
        </w:rPr>
        <w:t>entró en vigor</w:t>
      </w:r>
      <w:r>
        <w:rPr>
          <w:rFonts w:ascii="Arial" w:eastAsia="Times New Roman" w:hAnsi="Arial" w:cs="Arial"/>
          <w:bCs/>
          <w:color w:val="000000"/>
          <w:sz w:val="24"/>
          <w:szCs w:val="24"/>
          <w:lang w:eastAsia="es-AR"/>
        </w:rPr>
        <w:t xml:space="preserve"> el nuevo Código Civil y Comercial que</w:t>
      </w:r>
      <w:r w:rsidR="00212E30">
        <w:rPr>
          <w:rFonts w:ascii="Arial" w:eastAsia="Times New Roman" w:hAnsi="Arial" w:cs="Arial"/>
          <w:bCs/>
          <w:color w:val="000000"/>
          <w:sz w:val="24"/>
          <w:szCs w:val="24"/>
          <w:lang w:eastAsia="es-AR"/>
        </w:rPr>
        <w:t xml:space="preserve"> contiene</w:t>
      </w:r>
      <w:r w:rsidR="00212E30" w:rsidRPr="00212E30">
        <w:rPr>
          <w:rFonts w:ascii="Arial" w:eastAsia="Times New Roman" w:hAnsi="Arial" w:cs="Arial"/>
          <w:bCs/>
          <w:color w:val="000000"/>
          <w:sz w:val="24"/>
          <w:szCs w:val="24"/>
          <w:lang w:eastAsia="es-AR"/>
        </w:rPr>
        <w:t xml:space="preserve"> normas de protección de los bienes y valores culturales, en especial los arts. 1°, 2°, 14, 235, inc. g, 240 y 241, que constituyen regulaciones de aplicación directa en la materia. </w:t>
      </w:r>
    </w:p>
    <w:p w:rsidR="007F4556" w:rsidRDefault="007F4556" w:rsidP="007F4556">
      <w:pPr>
        <w:spacing w:after="200" w:line="240" w:lineRule="auto"/>
        <w:ind w:left="567"/>
        <w:jc w:val="both"/>
        <w:rPr>
          <w:rFonts w:ascii="Arial" w:eastAsia="Times New Roman" w:hAnsi="Arial" w:cs="Arial"/>
          <w:bCs/>
          <w:color w:val="000000"/>
          <w:sz w:val="24"/>
          <w:szCs w:val="24"/>
          <w:lang w:eastAsia="es-AR"/>
        </w:rPr>
      </w:pPr>
      <w:r w:rsidRPr="007F4556">
        <w:rPr>
          <w:rFonts w:ascii="Arial" w:eastAsia="Times New Roman" w:hAnsi="Arial" w:cs="Arial"/>
          <w:b/>
          <w:bCs/>
          <w:color w:val="000000"/>
          <w:sz w:val="24"/>
          <w:szCs w:val="24"/>
          <w:lang w:eastAsia="es-AR"/>
        </w:rPr>
        <w:t>vii.</w:t>
      </w:r>
      <w:r>
        <w:rPr>
          <w:rFonts w:ascii="Arial" w:eastAsia="Times New Roman" w:hAnsi="Arial" w:cs="Arial"/>
          <w:bCs/>
          <w:color w:val="000000"/>
          <w:sz w:val="24"/>
          <w:szCs w:val="24"/>
          <w:lang w:eastAsia="es-AR"/>
        </w:rPr>
        <w:t xml:space="preserve"> A</w:t>
      </w:r>
      <w:r w:rsidRPr="00075F4E">
        <w:rPr>
          <w:rFonts w:ascii="Arial" w:eastAsia="Times New Roman" w:hAnsi="Arial" w:cs="Arial"/>
          <w:bCs/>
          <w:color w:val="000000"/>
          <w:sz w:val="24"/>
          <w:szCs w:val="24"/>
          <w:lang w:eastAsia="es-AR"/>
        </w:rPr>
        <w:t>ctualmente un proyecto de ley (Expte. S1762/18) que tramita en el Senado Nacional trata de implementar el “</w:t>
      </w:r>
      <w:r w:rsidRPr="00075F4E">
        <w:rPr>
          <w:rFonts w:ascii="Arial" w:eastAsia="Times New Roman" w:hAnsi="Arial" w:cs="Arial"/>
          <w:bCs/>
          <w:i/>
          <w:iCs/>
          <w:color w:val="000000"/>
          <w:sz w:val="24"/>
          <w:szCs w:val="24"/>
          <w:lang w:eastAsia="es-AR"/>
        </w:rPr>
        <w:t>Tratado de Marrakech”</w:t>
      </w:r>
      <w:r w:rsidRPr="00075F4E">
        <w:rPr>
          <w:rFonts w:ascii="Arial" w:eastAsia="Times New Roman" w:hAnsi="Arial" w:cs="Arial"/>
          <w:bCs/>
          <w:color w:val="000000"/>
          <w:sz w:val="24"/>
          <w:szCs w:val="24"/>
          <w:lang w:eastAsia="es-AR"/>
        </w:rPr>
        <w:t xml:space="preserve"> extendiendo la correspondiente limitación al derecho de autor a favor de personas con discapacidades sensoriales que les impidan el acceso convencional a obras literarias, musicales, etc.</w:t>
      </w:r>
    </w:p>
    <w:p w:rsidR="007F4556" w:rsidRPr="00075F4E" w:rsidRDefault="007F4556" w:rsidP="007F4556">
      <w:pPr>
        <w:spacing w:after="200" w:line="240" w:lineRule="auto"/>
        <w:ind w:left="567"/>
        <w:jc w:val="both"/>
        <w:rPr>
          <w:rFonts w:ascii="Arial" w:eastAsia="Times New Roman" w:hAnsi="Arial" w:cs="Arial"/>
          <w:bCs/>
          <w:color w:val="000000"/>
          <w:sz w:val="24"/>
          <w:szCs w:val="24"/>
          <w:lang w:eastAsia="es-AR"/>
        </w:rPr>
      </w:pPr>
      <w:r>
        <w:rPr>
          <w:rFonts w:ascii="Arial" w:eastAsia="Times New Roman" w:hAnsi="Arial" w:cs="Arial"/>
          <w:b/>
          <w:bCs/>
          <w:color w:val="000000"/>
          <w:sz w:val="24"/>
          <w:szCs w:val="24"/>
          <w:lang w:eastAsia="es-AR"/>
        </w:rPr>
        <w:t>ix.</w:t>
      </w:r>
      <w:r>
        <w:rPr>
          <w:rFonts w:ascii="Arial" w:eastAsia="Times New Roman" w:hAnsi="Arial" w:cs="Arial"/>
          <w:bCs/>
          <w:color w:val="000000"/>
          <w:sz w:val="24"/>
          <w:szCs w:val="24"/>
          <w:lang w:eastAsia="es-AR"/>
        </w:rPr>
        <w:t xml:space="preserve"> El </w:t>
      </w:r>
      <w:r w:rsidRPr="00075F4E">
        <w:rPr>
          <w:rFonts w:ascii="Arial" w:eastAsia="Times New Roman" w:hAnsi="Arial" w:cs="Arial"/>
          <w:bCs/>
          <w:color w:val="000000"/>
          <w:sz w:val="24"/>
          <w:szCs w:val="24"/>
          <w:lang w:eastAsia="es-AR"/>
        </w:rPr>
        <w:t xml:space="preserve">Plan Nacional de Derechos Humanos 2017-2019 incluyó un Eje relativo al Acceso a la Cultura con el Objetivo Estratégico de </w:t>
      </w:r>
      <w:r w:rsidRPr="00075F4E">
        <w:rPr>
          <w:rFonts w:ascii="Arial" w:eastAsia="Times New Roman" w:hAnsi="Arial" w:cs="Arial"/>
          <w:bCs/>
          <w:i/>
          <w:iCs/>
          <w:color w:val="000000"/>
          <w:sz w:val="24"/>
          <w:szCs w:val="24"/>
          <w:lang w:eastAsia="es-AR"/>
        </w:rPr>
        <w:t>“Garantizar el acceso al derecho a la cultura a través de acciones de promoción, preservación del patrimonio y generación de proyectos culturales sustentables</w:t>
      </w:r>
      <w:r w:rsidRPr="00075F4E">
        <w:rPr>
          <w:rFonts w:ascii="Arial" w:eastAsia="Times New Roman" w:hAnsi="Arial" w:cs="Arial"/>
          <w:bCs/>
          <w:color w:val="000000"/>
          <w:sz w:val="24"/>
          <w:szCs w:val="24"/>
          <w:lang w:eastAsia="es-AR"/>
        </w:rPr>
        <w:t xml:space="preserve">” conteniendo acciones programáticas como: Realizar encuentros sobre temas relacionados con la Agenda 2030 (género, diversidad cultural, inclusión, etc.), con especialistas; Brindar becas en el extranjero para adquirir conocimientos y prácticas artísticas; Ofrecer herramientas para la realización de proyectos culturales sustentables; mantenimiento de sedes de Museos Nacionales y edificios patrimoniales; </w:t>
      </w:r>
      <w:r w:rsidRPr="00075F4E">
        <w:rPr>
          <w:rFonts w:ascii="Arial" w:eastAsia="Times New Roman" w:hAnsi="Arial" w:cs="Arial"/>
          <w:bCs/>
          <w:color w:val="000000"/>
          <w:sz w:val="24"/>
          <w:szCs w:val="24"/>
          <w:lang w:eastAsia="es-AR"/>
        </w:rPr>
        <w:lastRenderedPageBreak/>
        <w:t xml:space="preserve">formaciones sobre Protección de Bienes Culturales durante conflictos armados y difusión el Manual Militar de Protección de los Bienes Culturales de </w:t>
      </w:r>
      <w:r>
        <w:rPr>
          <w:rFonts w:ascii="Arial" w:eastAsia="Times New Roman" w:hAnsi="Arial" w:cs="Arial"/>
          <w:bCs/>
          <w:color w:val="000000"/>
          <w:sz w:val="24"/>
          <w:szCs w:val="24"/>
          <w:lang w:eastAsia="es-AR"/>
        </w:rPr>
        <w:t xml:space="preserve"> la </w:t>
      </w:r>
      <w:r w:rsidRPr="00075F4E">
        <w:rPr>
          <w:rFonts w:ascii="Arial" w:eastAsia="Times New Roman" w:hAnsi="Arial" w:cs="Arial"/>
          <w:bCs/>
          <w:color w:val="000000"/>
          <w:sz w:val="24"/>
          <w:szCs w:val="24"/>
          <w:lang w:eastAsia="es-AR"/>
        </w:rPr>
        <w:t>UNESCO.</w:t>
      </w:r>
    </w:p>
    <w:p w:rsidR="007F4556" w:rsidRPr="007F4556" w:rsidRDefault="007F4556" w:rsidP="007F4556">
      <w:pPr>
        <w:spacing w:after="200" w:line="240" w:lineRule="auto"/>
        <w:ind w:left="567"/>
        <w:jc w:val="both"/>
        <w:rPr>
          <w:rFonts w:ascii="Arial" w:eastAsia="Times New Roman" w:hAnsi="Arial" w:cs="Arial"/>
          <w:bCs/>
          <w:color w:val="000000"/>
          <w:sz w:val="24"/>
          <w:szCs w:val="24"/>
          <w:lang w:eastAsia="es-AR"/>
        </w:rPr>
      </w:pPr>
    </w:p>
    <w:p w:rsidR="007F4556" w:rsidRPr="007F4556" w:rsidRDefault="007F4556" w:rsidP="007F4556">
      <w:pPr>
        <w:spacing w:after="200" w:line="240" w:lineRule="auto"/>
        <w:jc w:val="both"/>
        <w:rPr>
          <w:rFonts w:ascii="Arial" w:eastAsia="Times New Roman" w:hAnsi="Arial" w:cs="Arial"/>
          <w:bCs/>
          <w:color w:val="000000"/>
          <w:sz w:val="24"/>
          <w:szCs w:val="24"/>
          <w:lang w:eastAsia="es-AR"/>
        </w:rPr>
      </w:pPr>
      <w:r w:rsidRPr="0079412D">
        <w:rPr>
          <w:rFonts w:ascii="Arial" w:eastAsia="Times New Roman" w:hAnsi="Arial" w:cs="Arial"/>
          <w:b/>
          <w:bCs/>
          <w:color w:val="000000"/>
          <w:sz w:val="24"/>
          <w:szCs w:val="24"/>
          <w:lang w:eastAsia="es-AR"/>
        </w:rPr>
        <w:t>2.</w:t>
      </w:r>
      <w:r w:rsidRPr="007F4556">
        <w:rPr>
          <w:rFonts w:ascii="Arial" w:eastAsia="Times New Roman" w:hAnsi="Arial" w:cs="Arial"/>
          <w:color w:val="000000"/>
          <w:sz w:val="24"/>
          <w:szCs w:val="24"/>
          <w:lang w:eastAsia="es-AR"/>
        </w:rPr>
        <w:t xml:space="preserve"> </w:t>
      </w:r>
      <w:r w:rsidRPr="00075F4E">
        <w:rPr>
          <w:rFonts w:ascii="Arial" w:eastAsia="Times New Roman" w:hAnsi="Arial" w:cs="Arial"/>
          <w:bCs/>
          <w:color w:val="000000"/>
          <w:sz w:val="24"/>
          <w:szCs w:val="24"/>
          <w:lang w:eastAsia="es-AR"/>
        </w:rPr>
        <w:t xml:space="preserve">Sobre las principales </w:t>
      </w:r>
      <w:r w:rsidRPr="00075F4E">
        <w:rPr>
          <w:rFonts w:ascii="Arial" w:eastAsia="Times New Roman" w:hAnsi="Arial" w:cs="Arial"/>
          <w:b/>
          <w:bCs/>
          <w:color w:val="000000"/>
          <w:sz w:val="24"/>
          <w:szCs w:val="24"/>
          <w:lang w:eastAsia="es-AR"/>
        </w:rPr>
        <w:t>dificultades u obstáculos que impiden el respeto, la protección y la realización de los derechos culturales</w:t>
      </w:r>
      <w:r w:rsidRPr="00075F4E">
        <w:rPr>
          <w:rFonts w:ascii="Arial" w:eastAsia="Times New Roman" w:hAnsi="Arial" w:cs="Arial"/>
          <w:bCs/>
          <w:color w:val="000000"/>
          <w:sz w:val="24"/>
          <w:szCs w:val="24"/>
          <w:lang w:eastAsia="es-AR"/>
        </w:rPr>
        <w:t>, cabe señalar las limitaciones presupuestarias del sector. Mientras que la recomendación formulada por UNESCO a los gobiernos es que destinen el 1% de su gasto total a la cultura, los presupuestos asignados al área distan mucho según puede observarse en este cuadro:</w:t>
      </w:r>
    </w:p>
    <w:p w:rsidR="007F4556" w:rsidRPr="007F4556" w:rsidRDefault="007F4556" w:rsidP="007F4556">
      <w:pPr>
        <w:spacing w:after="200" w:line="240" w:lineRule="auto"/>
        <w:jc w:val="both"/>
        <w:rPr>
          <w:rFonts w:ascii="Arial" w:eastAsia="Times New Roman" w:hAnsi="Arial" w:cs="Arial"/>
          <w:bCs/>
          <w:color w:val="000000"/>
          <w:sz w:val="24"/>
          <w:szCs w:val="24"/>
          <w:lang w:eastAsia="es-AR"/>
        </w:rPr>
      </w:pPr>
    </w:p>
    <w:tbl>
      <w:tblPr>
        <w:tblW w:w="0" w:type="auto"/>
        <w:tblCellMar>
          <w:top w:w="15" w:type="dxa"/>
          <w:left w:w="15" w:type="dxa"/>
          <w:bottom w:w="15" w:type="dxa"/>
          <w:right w:w="15" w:type="dxa"/>
        </w:tblCellMar>
        <w:tblLook w:val="04A0"/>
      </w:tblPr>
      <w:tblGrid>
        <w:gridCol w:w="585"/>
        <w:gridCol w:w="1958"/>
        <w:gridCol w:w="974"/>
        <w:gridCol w:w="785"/>
        <w:gridCol w:w="974"/>
        <w:gridCol w:w="1286"/>
      </w:tblGrid>
      <w:tr w:rsidR="007F4556" w:rsidRPr="007F4556" w:rsidTr="00AD1BE2">
        <w:trPr>
          <w:gridAfter w:val="1"/>
          <w:trHeight w:val="300"/>
        </w:trPr>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
                <w:bCs/>
                <w:color w:val="000000"/>
                <w:sz w:val="20"/>
                <w:szCs w:val="20"/>
                <w:lang w:eastAsia="es-AR"/>
              </w:rPr>
            </w:pPr>
            <w:r w:rsidRPr="007F4556">
              <w:rPr>
                <w:rFonts w:ascii="Arial" w:eastAsia="Times New Roman" w:hAnsi="Arial" w:cs="Arial"/>
                <w:b/>
                <w:bCs/>
                <w:color w:val="000000"/>
                <w:sz w:val="20"/>
                <w:szCs w:val="20"/>
                <w:lang w:eastAsia="es-AR"/>
              </w:rPr>
              <w:t>Presupuesto Total</w:t>
            </w:r>
            <w:r w:rsidR="000A4A4F">
              <w:rPr>
                <w:rStyle w:val="Refdenotaalpie"/>
                <w:rFonts w:ascii="Arial" w:eastAsia="Times New Roman" w:hAnsi="Arial" w:cs="Arial"/>
                <w:b/>
                <w:bCs/>
                <w:color w:val="000000"/>
                <w:sz w:val="20"/>
                <w:szCs w:val="20"/>
                <w:lang w:eastAsia="es-AR"/>
              </w:rPr>
              <w:footnoteReference w:id="1"/>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
                <w:bCs/>
                <w:color w:val="000000"/>
                <w:sz w:val="20"/>
                <w:szCs w:val="20"/>
                <w:lang w:eastAsia="es-AR"/>
              </w:rPr>
            </w:pP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p>
        </w:tc>
      </w:tr>
      <w:tr w:rsidR="007F4556" w:rsidRPr="007F4556" w:rsidTr="00AD1BE2">
        <w:trPr>
          <w:trHeight w:val="300"/>
        </w:trPr>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Variación</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Cultura</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Variación</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Participación</w:t>
            </w:r>
          </w:p>
        </w:tc>
      </w:tr>
      <w:tr w:rsidR="007F4556" w:rsidRPr="007F4556" w:rsidTr="00AD1BE2">
        <w:trPr>
          <w:trHeight w:val="300"/>
        </w:trPr>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2014</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859.542</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1.191</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0,14%</w:t>
            </w:r>
          </w:p>
        </w:tc>
      </w:tr>
      <w:tr w:rsidR="007F4556" w:rsidRPr="007F4556" w:rsidTr="00AD1BE2">
        <w:trPr>
          <w:trHeight w:val="300"/>
        </w:trPr>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2015</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1.251.630</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145,62%</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2.083</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174,90%</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0,17%</w:t>
            </w:r>
          </w:p>
        </w:tc>
      </w:tr>
      <w:tr w:rsidR="007F4556" w:rsidRPr="007F4556" w:rsidTr="00AD1BE2">
        <w:trPr>
          <w:trHeight w:val="300"/>
        </w:trPr>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2016</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1.569.412</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125,39%</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3.072</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147,48%</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0,20%</w:t>
            </w:r>
          </w:p>
        </w:tc>
      </w:tr>
      <w:tr w:rsidR="007F4556" w:rsidRPr="007F4556" w:rsidTr="00AD1BE2">
        <w:trPr>
          <w:trHeight w:val="300"/>
        </w:trPr>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2017</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2.363.619</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150,61%</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3.555</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115,72%</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0,15%</w:t>
            </w:r>
          </w:p>
        </w:tc>
      </w:tr>
      <w:tr w:rsidR="007F4556" w:rsidRPr="007F4556" w:rsidTr="00AD1BE2">
        <w:trPr>
          <w:trHeight w:val="300"/>
        </w:trPr>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2018</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2.904.414</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122,88%</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4.480</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126,02%</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0,15%</w:t>
            </w:r>
          </w:p>
        </w:tc>
      </w:tr>
      <w:tr w:rsidR="007F4556" w:rsidRPr="007F4556" w:rsidTr="00AD1BE2">
        <w:trPr>
          <w:trHeight w:val="300"/>
        </w:trPr>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2019</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4.172.312</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143,65%</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4.428</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98,84%</w:t>
            </w:r>
          </w:p>
        </w:tc>
        <w:tc>
          <w:tcPr>
            <w:tcW w:w="0" w:type="auto"/>
            <w:tcMar>
              <w:top w:w="0" w:type="dxa"/>
              <w:left w:w="70" w:type="dxa"/>
              <w:bottom w:w="0" w:type="dxa"/>
              <w:right w:w="70" w:type="dxa"/>
            </w:tcMar>
            <w:vAlign w:val="bottom"/>
            <w:hideMark/>
          </w:tcPr>
          <w:p w:rsidR="007F4556" w:rsidRPr="007F4556" w:rsidRDefault="007F4556" w:rsidP="007F4556">
            <w:pPr>
              <w:spacing w:after="200" w:line="240" w:lineRule="auto"/>
              <w:jc w:val="both"/>
              <w:rPr>
                <w:rFonts w:ascii="Arial" w:eastAsia="Times New Roman" w:hAnsi="Arial" w:cs="Arial"/>
                <w:bCs/>
                <w:color w:val="000000"/>
                <w:sz w:val="20"/>
                <w:szCs w:val="20"/>
                <w:lang w:eastAsia="es-AR"/>
              </w:rPr>
            </w:pPr>
            <w:r w:rsidRPr="007F4556">
              <w:rPr>
                <w:rFonts w:ascii="Arial" w:eastAsia="Times New Roman" w:hAnsi="Arial" w:cs="Arial"/>
                <w:bCs/>
                <w:color w:val="000000"/>
                <w:sz w:val="20"/>
                <w:szCs w:val="20"/>
                <w:lang w:eastAsia="es-AR"/>
              </w:rPr>
              <w:t>0,11%</w:t>
            </w:r>
          </w:p>
        </w:tc>
      </w:tr>
    </w:tbl>
    <w:p w:rsidR="007F4556" w:rsidRDefault="007F4556" w:rsidP="007F4556">
      <w:pPr>
        <w:spacing w:after="200" w:line="240" w:lineRule="auto"/>
        <w:jc w:val="both"/>
        <w:rPr>
          <w:rFonts w:ascii="Arial" w:eastAsia="Times New Roman" w:hAnsi="Arial" w:cs="Arial"/>
          <w:bCs/>
          <w:color w:val="000000"/>
          <w:sz w:val="24"/>
          <w:szCs w:val="24"/>
          <w:lang w:eastAsia="es-AR"/>
        </w:rPr>
      </w:pPr>
    </w:p>
    <w:p w:rsidR="0079412D" w:rsidRDefault="0079412D" w:rsidP="0079412D">
      <w:pPr>
        <w:spacing w:after="20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w:t>
      </w:r>
      <w:r w:rsidRPr="00075F4E">
        <w:rPr>
          <w:rFonts w:ascii="Arial" w:eastAsia="Times New Roman" w:hAnsi="Arial" w:cs="Arial"/>
          <w:color w:val="000000"/>
          <w:sz w:val="24"/>
          <w:szCs w:val="24"/>
          <w:lang w:eastAsia="es-AR"/>
        </w:rPr>
        <w:t>reocupa a esta Defensoría que los Monumentos Históricos Nacionales ya declarados carezcan de una señalización que los identifique como tales. Además, faltan políticas integrales y presupuestos acordes para su conservación.</w:t>
      </w:r>
    </w:p>
    <w:p w:rsidR="0079412D" w:rsidRDefault="0079412D" w:rsidP="0079412D">
      <w:pPr>
        <w:spacing w:after="20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Preocupa a esta INDH que el anterior Ministerio de Cultura de la Nación haya sido descendido al rango de Secretaría de Estado. </w:t>
      </w:r>
    </w:p>
    <w:p w:rsidR="0079412D" w:rsidRPr="00075F4E" w:rsidRDefault="0079412D" w:rsidP="0079412D">
      <w:pPr>
        <w:spacing w:after="200" w:line="240" w:lineRule="auto"/>
        <w:jc w:val="both"/>
        <w:rPr>
          <w:rFonts w:ascii="Times New Roman" w:eastAsia="Times New Roman" w:hAnsi="Times New Roman" w:cs="Times New Roman"/>
          <w:sz w:val="24"/>
          <w:szCs w:val="24"/>
          <w:lang w:eastAsia="es-AR"/>
        </w:rPr>
      </w:pPr>
      <w:r w:rsidRPr="00075F4E">
        <w:rPr>
          <w:rFonts w:ascii="Arial" w:eastAsia="Times New Roman" w:hAnsi="Arial" w:cs="Arial"/>
          <w:color w:val="000000"/>
          <w:sz w:val="24"/>
          <w:szCs w:val="24"/>
          <w:lang w:eastAsia="es-AR"/>
        </w:rPr>
        <w:t xml:space="preserve">Con respecto al proceso de proposición de bienes y sitios como patrimonio mundial se ha advertido la falta de procedimiento institucionalizado y público que establezca objetivos, plazos, modos de intervención de todas las partes interesadas, etc., que regule la actividad de los organismos nacionales implicados como Comisión Nacional para la UNESCO (CONAPLU) y Comité Argentino para el Patrimonio Mundial (CAPM). </w:t>
      </w:r>
    </w:p>
    <w:p w:rsidR="0079412D" w:rsidRPr="00075F4E" w:rsidRDefault="0079412D" w:rsidP="0079412D">
      <w:pPr>
        <w:spacing w:after="200" w:line="240" w:lineRule="auto"/>
        <w:jc w:val="both"/>
        <w:rPr>
          <w:rFonts w:ascii="Times New Roman" w:eastAsia="Times New Roman" w:hAnsi="Times New Roman" w:cs="Times New Roman"/>
          <w:sz w:val="24"/>
          <w:szCs w:val="24"/>
          <w:lang w:eastAsia="es-AR"/>
        </w:rPr>
      </w:pPr>
      <w:r w:rsidRPr="00075F4E">
        <w:rPr>
          <w:rFonts w:ascii="Arial" w:eastAsia="Times New Roman" w:hAnsi="Arial" w:cs="Arial"/>
          <w:color w:val="000000"/>
          <w:sz w:val="24"/>
          <w:szCs w:val="24"/>
          <w:lang w:eastAsia="es-AR"/>
        </w:rPr>
        <w:t>En lo referido al patrimonio mueble, el principal obstáculo es la falta de reglamentación de la Ley 25.197 de “Régimen del Registro del Patrimonio Cultural” sancionada en 1999, dejándolo en un virtual estado de desprotección. Dado el tiempo transcurrido esta normativa ha devenido obsoleta por lo que es necesario la redacción de una nueva ley.</w:t>
      </w:r>
    </w:p>
    <w:p w:rsidR="0079412D" w:rsidRPr="00075F4E" w:rsidRDefault="0079412D" w:rsidP="0079412D">
      <w:pPr>
        <w:spacing w:after="200" w:line="240" w:lineRule="auto"/>
        <w:jc w:val="both"/>
        <w:rPr>
          <w:rFonts w:ascii="Times New Roman" w:eastAsia="Times New Roman" w:hAnsi="Times New Roman" w:cs="Times New Roman"/>
          <w:sz w:val="24"/>
          <w:szCs w:val="24"/>
          <w:lang w:eastAsia="es-AR"/>
        </w:rPr>
      </w:pPr>
      <w:r w:rsidRPr="00075F4E">
        <w:rPr>
          <w:rFonts w:ascii="Arial" w:eastAsia="Times New Roman" w:hAnsi="Arial" w:cs="Arial"/>
          <w:color w:val="000000"/>
          <w:sz w:val="24"/>
          <w:szCs w:val="24"/>
          <w:lang w:eastAsia="es-AR"/>
        </w:rPr>
        <w:lastRenderedPageBreak/>
        <w:t xml:space="preserve">En el ámbito del patrimonio inmaterial se percibe un vacío normativo. Esta Defensoría </w:t>
      </w:r>
      <w:r>
        <w:rPr>
          <w:rFonts w:ascii="Arial" w:eastAsia="Times New Roman" w:hAnsi="Arial" w:cs="Arial"/>
          <w:color w:val="000000"/>
          <w:sz w:val="24"/>
          <w:szCs w:val="24"/>
          <w:lang w:eastAsia="es-AR"/>
        </w:rPr>
        <w:t>recomienda</w:t>
      </w:r>
      <w:r w:rsidRPr="00075F4E">
        <w:rPr>
          <w:rFonts w:ascii="Arial" w:eastAsia="Times New Roman" w:hAnsi="Arial" w:cs="Arial"/>
          <w:color w:val="000000"/>
          <w:sz w:val="24"/>
          <w:szCs w:val="24"/>
          <w:lang w:eastAsia="es-AR"/>
        </w:rPr>
        <w:t xml:space="preserve"> organizar mesas de trabajo a fin redactar un anteproyecto de </w:t>
      </w:r>
      <w:r>
        <w:rPr>
          <w:rFonts w:ascii="Arial" w:eastAsia="Times New Roman" w:hAnsi="Arial" w:cs="Arial"/>
          <w:color w:val="000000"/>
          <w:sz w:val="24"/>
          <w:szCs w:val="24"/>
          <w:lang w:eastAsia="es-AR"/>
        </w:rPr>
        <w:t>l</w:t>
      </w:r>
      <w:r w:rsidRPr="00075F4E">
        <w:rPr>
          <w:rFonts w:ascii="Arial" w:eastAsia="Times New Roman" w:hAnsi="Arial" w:cs="Arial"/>
          <w:color w:val="000000"/>
          <w:sz w:val="24"/>
          <w:szCs w:val="24"/>
          <w:lang w:eastAsia="es-AR"/>
        </w:rPr>
        <w:t>ey nacional que regule su gestión.</w:t>
      </w:r>
    </w:p>
    <w:p w:rsidR="0079412D" w:rsidRDefault="0079412D" w:rsidP="0079412D">
      <w:pPr>
        <w:spacing w:after="20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Resulta necesaria una evaluación de presupuestos mínimos en el patrimonio cultural, tal como se ha aplicado, hasta ahora, para la protección del ambiente.  </w:t>
      </w:r>
    </w:p>
    <w:p w:rsidR="0016405B" w:rsidRPr="00075F4E" w:rsidRDefault="0016405B" w:rsidP="00E72865">
      <w:pPr>
        <w:spacing w:after="0" w:line="240" w:lineRule="auto"/>
        <w:jc w:val="both"/>
        <w:rPr>
          <w:rFonts w:ascii="Times New Roman" w:eastAsia="Times New Roman" w:hAnsi="Times New Roman" w:cs="Times New Roman"/>
          <w:sz w:val="24"/>
          <w:szCs w:val="24"/>
          <w:lang w:eastAsia="es-AR"/>
        </w:rPr>
      </w:pPr>
    </w:p>
    <w:p w:rsidR="0016405B" w:rsidRPr="00075F4E" w:rsidRDefault="0016405B" w:rsidP="00E72865">
      <w:pPr>
        <w:spacing w:after="200" w:line="240" w:lineRule="auto"/>
        <w:jc w:val="both"/>
        <w:rPr>
          <w:rFonts w:ascii="Times New Roman" w:eastAsia="Times New Roman" w:hAnsi="Times New Roman" w:cs="Times New Roman"/>
          <w:sz w:val="24"/>
          <w:szCs w:val="24"/>
          <w:lang w:eastAsia="es-AR"/>
        </w:rPr>
      </w:pPr>
      <w:r w:rsidRPr="00075F4E">
        <w:rPr>
          <w:rFonts w:ascii="Arial" w:eastAsia="Times New Roman" w:hAnsi="Arial" w:cs="Arial"/>
          <w:b/>
          <w:bCs/>
          <w:color w:val="000000"/>
          <w:sz w:val="24"/>
          <w:szCs w:val="24"/>
          <w:lang w:eastAsia="es-AR"/>
        </w:rPr>
        <w:t>III. Lecciones aprendidas y camino a seguir</w:t>
      </w:r>
    </w:p>
    <w:p w:rsidR="0016405B" w:rsidRDefault="0016405B" w:rsidP="00E72865">
      <w:pPr>
        <w:spacing w:after="200" w:line="240" w:lineRule="auto"/>
        <w:jc w:val="both"/>
        <w:rPr>
          <w:rFonts w:ascii="Arial" w:eastAsia="Times New Roman" w:hAnsi="Arial" w:cs="Arial"/>
          <w:color w:val="000000"/>
          <w:sz w:val="24"/>
          <w:szCs w:val="24"/>
          <w:lang w:eastAsia="es-AR"/>
        </w:rPr>
      </w:pPr>
      <w:r w:rsidRPr="00075F4E">
        <w:rPr>
          <w:rFonts w:ascii="Arial" w:eastAsia="Times New Roman" w:hAnsi="Arial" w:cs="Arial"/>
          <w:color w:val="000000"/>
          <w:sz w:val="24"/>
          <w:szCs w:val="24"/>
          <w:lang w:eastAsia="es-AR"/>
        </w:rPr>
        <w:t xml:space="preserve">Luego de dictada la Resolución A/RES/70/1 </w:t>
      </w:r>
      <w:r w:rsidRPr="00075F4E">
        <w:rPr>
          <w:rFonts w:ascii="Arial" w:eastAsia="Times New Roman" w:hAnsi="Arial" w:cs="Arial"/>
          <w:i/>
          <w:iCs/>
          <w:color w:val="000000"/>
          <w:sz w:val="24"/>
          <w:szCs w:val="24"/>
          <w:lang w:eastAsia="es-AR"/>
        </w:rPr>
        <w:t xml:space="preserve">Transformar nuestro mundo: la Agenda 2030 para el Desarrollo Sostenible, </w:t>
      </w:r>
      <w:r w:rsidRPr="00075F4E">
        <w:rPr>
          <w:rFonts w:ascii="Arial" w:eastAsia="Times New Roman" w:hAnsi="Arial" w:cs="Arial"/>
          <w:color w:val="000000"/>
          <w:sz w:val="24"/>
          <w:szCs w:val="24"/>
          <w:lang w:eastAsia="es-AR"/>
        </w:rPr>
        <w:t xml:space="preserve">nuestra Institución creó el Programa de Seguimiento y Evaluación de los Objetivos de Desarrollo Sostenible – Agenda 2030, e impulsó investigaciones vinculadas con los 17 Objetivos y sus metas, entre ellas la Actuación 8323/15 “Patrimonio cultural y natural” para conocer las políticas públicas relacionadas con la meta 11.4 </w:t>
      </w:r>
      <w:r w:rsidRPr="00075F4E">
        <w:rPr>
          <w:rFonts w:ascii="Arial" w:eastAsia="Times New Roman" w:hAnsi="Arial" w:cs="Arial"/>
          <w:i/>
          <w:iCs/>
          <w:color w:val="000000"/>
          <w:sz w:val="24"/>
          <w:szCs w:val="24"/>
          <w:lang w:eastAsia="es-AR"/>
        </w:rPr>
        <w:t>“Redoblar los esfuerzos para proteger y salvaguardar el patrimonio cultural y natural”.</w:t>
      </w:r>
      <w:r w:rsidRPr="00075F4E">
        <w:rPr>
          <w:rFonts w:ascii="Arial" w:eastAsia="Times New Roman" w:hAnsi="Arial" w:cs="Arial"/>
          <w:color w:val="000000"/>
          <w:sz w:val="24"/>
          <w:szCs w:val="24"/>
          <w:lang w:eastAsia="es-AR"/>
        </w:rPr>
        <w:t xml:space="preserve"> Como resultado de esta investigación se han formulado las siguientes observaciones.</w:t>
      </w:r>
    </w:p>
    <w:p w:rsidR="00662899" w:rsidRDefault="00662899" w:rsidP="00662899">
      <w:pPr>
        <w:spacing w:after="20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Desde esta INDH se</w:t>
      </w:r>
      <w:r w:rsidRPr="00075F4E">
        <w:rPr>
          <w:rFonts w:ascii="Arial" w:eastAsia="Times New Roman" w:hAnsi="Arial" w:cs="Arial"/>
          <w:color w:val="000000"/>
          <w:sz w:val="24"/>
          <w:szCs w:val="24"/>
          <w:lang w:eastAsia="es-AR"/>
        </w:rPr>
        <w:t xml:space="preserve"> impulsa</w:t>
      </w:r>
      <w:r>
        <w:rPr>
          <w:rFonts w:ascii="Arial" w:eastAsia="Times New Roman" w:hAnsi="Arial" w:cs="Arial"/>
          <w:color w:val="000000"/>
          <w:sz w:val="24"/>
          <w:szCs w:val="24"/>
          <w:lang w:eastAsia="es-AR"/>
        </w:rPr>
        <w:t>ron</w:t>
      </w:r>
      <w:r w:rsidRPr="00075F4E">
        <w:rPr>
          <w:rFonts w:ascii="Arial" w:eastAsia="Times New Roman" w:hAnsi="Arial" w:cs="Arial"/>
          <w:color w:val="000000"/>
          <w:sz w:val="24"/>
          <w:szCs w:val="24"/>
          <w:lang w:eastAsia="es-AR"/>
        </w:rPr>
        <w:t xml:space="preserve"> actuaciones de oficio para investigar </w:t>
      </w:r>
      <w:r>
        <w:rPr>
          <w:rFonts w:ascii="Arial" w:eastAsia="Times New Roman" w:hAnsi="Arial" w:cs="Arial"/>
          <w:color w:val="000000"/>
          <w:sz w:val="24"/>
          <w:szCs w:val="24"/>
          <w:lang w:eastAsia="es-AR"/>
        </w:rPr>
        <w:t>la</w:t>
      </w:r>
      <w:r w:rsidRPr="00075F4E">
        <w:rPr>
          <w:rFonts w:ascii="Arial" w:eastAsia="Times New Roman" w:hAnsi="Arial" w:cs="Arial"/>
          <w:color w:val="000000"/>
          <w:sz w:val="24"/>
          <w:szCs w:val="24"/>
          <w:lang w:eastAsia="es-AR"/>
        </w:rPr>
        <w:t xml:space="preserve"> formulación de políticas públicas para la salvaguardia del Patrimonio Cultural Inmaterial Argentino, participación de las organizaciones de la sociedad civil en la defensa del patrimonio cultural, seguimiento de la postulación del mate como patrimonio de la humanidad, protección del patrimonio arqueológico y paleontológico, acciones de protección de diversos bienes patrimoniales, etc. A esto se suman actividades como: seguimiento de la recuperación y restauración de la Confitería del Molino, trabajos con organizaciones de la sociedad civil como “Juntos por los subtítulos” que defienden los derechos de acceso a la cultura de las personas con discapacidad, seguimiento de la actividad legislativa, firma de convenios con ONGs o Instituciones universitarias, académicas, etc., organización de Jornadas y mesas de trabajo y participando en simposios, congresos, reuniones científicas, y en distintas actividades de difusión.</w:t>
      </w:r>
    </w:p>
    <w:p w:rsidR="00E7137B" w:rsidRDefault="00E7137B" w:rsidP="00E72865">
      <w:pPr>
        <w:jc w:val="both"/>
      </w:pPr>
    </w:p>
    <w:sectPr w:rsidR="00E7137B" w:rsidSect="00AC1474">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95B" w:rsidRDefault="00D0495B" w:rsidP="00D5195A">
      <w:pPr>
        <w:spacing w:after="0" w:line="240" w:lineRule="auto"/>
      </w:pPr>
      <w:r>
        <w:separator/>
      </w:r>
    </w:p>
  </w:endnote>
  <w:endnote w:type="continuationSeparator" w:id="0">
    <w:p w:rsidR="00D0495B" w:rsidRDefault="00D0495B" w:rsidP="00D51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95B" w:rsidRDefault="00D0495B" w:rsidP="00D5195A">
      <w:pPr>
        <w:spacing w:after="0" w:line="240" w:lineRule="auto"/>
      </w:pPr>
      <w:r>
        <w:separator/>
      </w:r>
    </w:p>
  </w:footnote>
  <w:footnote w:type="continuationSeparator" w:id="0">
    <w:p w:rsidR="00D0495B" w:rsidRDefault="00D0495B" w:rsidP="00D5195A">
      <w:pPr>
        <w:spacing w:after="0" w:line="240" w:lineRule="auto"/>
      </w:pPr>
      <w:r>
        <w:continuationSeparator/>
      </w:r>
    </w:p>
  </w:footnote>
  <w:footnote w:id="1">
    <w:p w:rsidR="000A4A4F" w:rsidRDefault="000A4A4F">
      <w:pPr>
        <w:pStyle w:val="Textonotapie"/>
      </w:pPr>
      <w:r>
        <w:rPr>
          <w:rStyle w:val="Refdenotaalpie"/>
        </w:rPr>
        <w:footnoteRef/>
      </w:r>
      <w:r>
        <w:t xml:space="preserve"> </w:t>
      </w:r>
      <w:hyperlink r:id="rId1" w:history="1">
        <w:r w:rsidR="00847DA9" w:rsidRPr="00774009">
          <w:rPr>
            <w:rStyle w:val="Hipervnculo"/>
          </w:rPr>
          <w:t>https://www.minhacienda.gob.ar/onp/presupuestos/2019</w:t>
        </w:r>
      </w:hyperlink>
      <w:r w:rsidR="00847DA9">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4316"/>
    <w:multiLevelType w:val="hybridMultilevel"/>
    <w:tmpl w:val="04E4E79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E107F6"/>
    <w:multiLevelType w:val="hybridMultilevel"/>
    <w:tmpl w:val="04E4E79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6405B"/>
    <w:rsid w:val="00017272"/>
    <w:rsid w:val="00065854"/>
    <w:rsid w:val="000A4A4F"/>
    <w:rsid w:val="000F48CE"/>
    <w:rsid w:val="001518DD"/>
    <w:rsid w:val="0016405B"/>
    <w:rsid w:val="00177820"/>
    <w:rsid w:val="00212E30"/>
    <w:rsid w:val="00220DE4"/>
    <w:rsid w:val="00260B43"/>
    <w:rsid w:val="00314B1C"/>
    <w:rsid w:val="003563C0"/>
    <w:rsid w:val="00356F31"/>
    <w:rsid w:val="003F1A1C"/>
    <w:rsid w:val="00414AA3"/>
    <w:rsid w:val="00473D55"/>
    <w:rsid w:val="004C340A"/>
    <w:rsid w:val="00522E57"/>
    <w:rsid w:val="00530B02"/>
    <w:rsid w:val="00550144"/>
    <w:rsid w:val="005D7D49"/>
    <w:rsid w:val="00662899"/>
    <w:rsid w:val="006A1F6F"/>
    <w:rsid w:val="006B3383"/>
    <w:rsid w:val="006B4F70"/>
    <w:rsid w:val="00745495"/>
    <w:rsid w:val="0079412D"/>
    <w:rsid w:val="007F4556"/>
    <w:rsid w:val="00821259"/>
    <w:rsid w:val="00826841"/>
    <w:rsid w:val="00847DA9"/>
    <w:rsid w:val="008563F7"/>
    <w:rsid w:val="0089503E"/>
    <w:rsid w:val="008B3850"/>
    <w:rsid w:val="008D3010"/>
    <w:rsid w:val="008F3E16"/>
    <w:rsid w:val="009316B7"/>
    <w:rsid w:val="0099089A"/>
    <w:rsid w:val="00A01AF0"/>
    <w:rsid w:val="00A657FA"/>
    <w:rsid w:val="00A966F0"/>
    <w:rsid w:val="00AB6F09"/>
    <w:rsid w:val="00AC2376"/>
    <w:rsid w:val="00AE1E9F"/>
    <w:rsid w:val="00AF4066"/>
    <w:rsid w:val="00C7588E"/>
    <w:rsid w:val="00CC77A6"/>
    <w:rsid w:val="00CF48E0"/>
    <w:rsid w:val="00D0495B"/>
    <w:rsid w:val="00D5195A"/>
    <w:rsid w:val="00D7352D"/>
    <w:rsid w:val="00DD21F4"/>
    <w:rsid w:val="00E04DD3"/>
    <w:rsid w:val="00E40F59"/>
    <w:rsid w:val="00E70613"/>
    <w:rsid w:val="00E7137B"/>
    <w:rsid w:val="00E72865"/>
    <w:rsid w:val="00E82550"/>
    <w:rsid w:val="00ED4826"/>
    <w:rsid w:val="00F202D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0B43"/>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D519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195A"/>
    <w:rPr>
      <w:sz w:val="20"/>
      <w:szCs w:val="20"/>
    </w:rPr>
  </w:style>
  <w:style w:type="character" w:styleId="Refdenotaalpie">
    <w:name w:val="footnote reference"/>
    <w:basedOn w:val="Fuentedeprrafopredeter"/>
    <w:uiPriority w:val="99"/>
    <w:semiHidden/>
    <w:unhideWhenUsed/>
    <w:rsid w:val="00D5195A"/>
    <w:rPr>
      <w:vertAlign w:val="superscript"/>
    </w:rPr>
  </w:style>
  <w:style w:type="character" w:styleId="Hipervnculo">
    <w:name w:val="Hyperlink"/>
    <w:basedOn w:val="Fuentedeprrafopredeter"/>
    <w:uiPriority w:val="99"/>
    <w:unhideWhenUsed/>
    <w:rsid w:val="0099089A"/>
    <w:rPr>
      <w:color w:val="0563C1" w:themeColor="hyperlink"/>
      <w:u w:val="single"/>
    </w:rPr>
  </w:style>
  <w:style w:type="character" w:customStyle="1" w:styleId="UnresolvedMention">
    <w:name w:val="Unresolved Mention"/>
    <w:basedOn w:val="Fuentedeprrafopredeter"/>
    <w:uiPriority w:val="99"/>
    <w:semiHidden/>
    <w:unhideWhenUsed/>
    <w:rsid w:val="009908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19573526">
      <w:bodyDiv w:val="1"/>
      <w:marLeft w:val="0"/>
      <w:marRight w:val="0"/>
      <w:marTop w:val="0"/>
      <w:marBottom w:val="0"/>
      <w:divBdr>
        <w:top w:val="none" w:sz="0" w:space="0" w:color="auto"/>
        <w:left w:val="none" w:sz="0" w:space="0" w:color="auto"/>
        <w:bottom w:val="none" w:sz="0" w:space="0" w:color="auto"/>
        <w:right w:val="none" w:sz="0" w:space="0" w:color="auto"/>
      </w:divBdr>
    </w:div>
    <w:div w:id="16882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nhacienda.gob.ar/onp/presupuestos/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983D09-61CF-43F6-8A1D-8688562D137C}">
  <ds:schemaRefs>
    <ds:schemaRef ds:uri="http://schemas.openxmlformats.org/officeDocument/2006/bibliography"/>
  </ds:schemaRefs>
</ds:datastoreItem>
</file>

<file path=customXml/itemProps2.xml><?xml version="1.0" encoding="utf-8"?>
<ds:datastoreItem xmlns:ds="http://schemas.openxmlformats.org/officeDocument/2006/customXml" ds:itemID="{2F9A34B7-0FAE-41EB-8BE5-2A6AB76183C3}"/>
</file>

<file path=customXml/itemProps3.xml><?xml version="1.0" encoding="utf-8"?>
<ds:datastoreItem xmlns:ds="http://schemas.openxmlformats.org/officeDocument/2006/customXml" ds:itemID="{46CA753A-4BE2-4779-8D63-40A4FAB46A19}"/>
</file>

<file path=customXml/itemProps4.xml><?xml version="1.0" encoding="utf-8"?>
<ds:datastoreItem xmlns:ds="http://schemas.openxmlformats.org/officeDocument/2006/customXml" ds:itemID="{294F6ECF-3374-4297-8758-472635B64D51}"/>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12837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garcia</dc:creator>
  <cp:lastModifiedBy>jbockel</cp:lastModifiedBy>
  <cp:revision>2</cp:revision>
  <dcterms:created xsi:type="dcterms:W3CDTF">2018-10-26T16:23:00Z</dcterms:created>
  <dcterms:modified xsi:type="dcterms:W3CDTF">2018-10-26T16:23:00Z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