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41" w:rsidRDefault="00441AA1">
      <w:pPr>
        <w:rPr>
          <w:b/>
          <w:lang w:val="en-US"/>
        </w:rPr>
      </w:pPr>
      <w:r w:rsidRPr="00441AA1">
        <w:rPr>
          <w:b/>
          <w:lang w:val="en-US"/>
        </w:rPr>
        <w:t>RESPONSE FROM NORWAY TO THE SPECIAL RAPPORTEUR FOR CULTURAL RIGHTS’ QUESTIONAIRE</w:t>
      </w:r>
    </w:p>
    <w:p w:rsidR="00441AA1" w:rsidRDefault="00441AA1">
      <w:pPr>
        <w:rPr>
          <w:b/>
          <w:lang w:val="en-US"/>
        </w:rPr>
      </w:pPr>
    </w:p>
    <w:p w:rsidR="007350B9" w:rsidRPr="00E136BC" w:rsidRDefault="007350B9" w:rsidP="008B3E37">
      <w:pPr>
        <w:rPr>
          <w:b/>
          <w:sz w:val="24"/>
          <w:szCs w:val="24"/>
          <w:lang w:val="en-GB"/>
        </w:rPr>
      </w:pPr>
      <w:r w:rsidRPr="00E136BC">
        <w:rPr>
          <w:b/>
          <w:sz w:val="24"/>
          <w:szCs w:val="24"/>
          <w:lang w:val="en-GB"/>
        </w:rPr>
        <w:t>I Cultural Rights in Norway</w:t>
      </w:r>
    </w:p>
    <w:p w:rsidR="00441AA1" w:rsidRPr="00E136BC" w:rsidRDefault="001B2D73" w:rsidP="008B3E3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MFA will forward the response for Norway’s national efforts</w:t>
      </w:r>
      <w:r w:rsidR="00E136BC">
        <w:rPr>
          <w:i/>
          <w:sz w:val="24"/>
          <w:szCs w:val="24"/>
          <w:lang w:val="en-GB"/>
        </w:rPr>
        <w:t>.</w:t>
      </w:r>
    </w:p>
    <w:p w:rsidR="00441AA1" w:rsidRPr="00E136BC" w:rsidRDefault="00441AA1" w:rsidP="00C05F99">
      <w:pPr>
        <w:rPr>
          <w:sz w:val="24"/>
          <w:szCs w:val="24"/>
          <w:lang w:val="en-US"/>
        </w:rPr>
      </w:pPr>
      <w:r w:rsidRPr="00E136BC">
        <w:rPr>
          <w:b/>
          <w:sz w:val="24"/>
          <w:szCs w:val="24"/>
          <w:lang w:val="en-US"/>
        </w:rPr>
        <w:t>II</w:t>
      </w:r>
      <w:r w:rsidRPr="00E136BC">
        <w:rPr>
          <w:sz w:val="24"/>
          <w:szCs w:val="24"/>
          <w:lang w:val="en-US"/>
        </w:rPr>
        <w:t xml:space="preserve"> </w:t>
      </w:r>
      <w:r w:rsidRPr="00E136BC">
        <w:rPr>
          <w:b/>
          <w:sz w:val="24"/>
          <w:szCs w:val="24"/>
          <w:lang w:val="en-US"/>
        </w:rPr>
        <w:t>Cultural rights in the N</w:t>
      </w:r>
      <w:r w:rsidR="005B7FA6" w:rsidRPr="00E136BC">
        <w:rPr>
          <w:b/>
          <w:sz w:val="24"/>
          <w:szCs w:val="24"/>
          <w:lang w:val="en-US"/>
        </w:rPr>
        <w:t xml:space="preserve">orwegian </w:t>
      </w:r>
      <w:r w:rsidR="001B2D73">
        <w:rPr>
          <w:b/>
          <w:sz w:val="24"/>
          <w:szCs w:val="24"/>
          <w:lang w:val="en-US"/>
        </w:rPr>
        <w:t xml:space="preserve">foreign- and </w:t>
      </w:r>
      <w:r w:rsidR="005B7FA6" w:rsidRPr="00E136BC">
        <w:rPr>
          <w:b/>
          <w:sz w:val="24"/>
          <w:szCs w:val="24"/>
          <w:lang w:val="en-US"/>
        </w:rPr>
        <w:t>development</w:t>
      </w:r>
      <w:r w:rsidR="008B3E37" w:rsidRPr="00E136BC">
        <w:rPr>
          <w:b/>
          <w:sz w:val="24"/>
          <w:szCs w:val="24"/>
          <w:lang w:val="en-US"/>
        </w:rPr>
        <w:t xml:space="preserve"> </w:t>
      </w:r>
      <w:r w:rsidR="00C05F99" w:rsidRPr="00E136BC">
        <w:rPr>
          <w:b/>
          <w:sz w:val="24"/>
          <w:szCs w:val="24"/>
          <w:lang w:val="en-US"/>
        </w:rPr>
        <w:t>policy</w:t>
      </w:r>
    </w:p>
    <w:p w:rsidR="001B2D73" w:rsidRDefault="001B2D73" w:rsidP="00D93410">
      <w:pPr>
        <w:spacing w:after="0" w:line="276" w:lineRule="auto"/>
        <w:rPr>
          <w:rFonts w:cstheme="minorHAnsi"/>
          <w:sz w:val="24"/>
          <w:szCs w:val="24"/>
          <w:lang w:val="en-US" w:eastAsia="nb-NO"/>
        </w:rPr>
      </w:pPr>
      <w:r>
        <w:rPr>
          <w:rFonts w:cstheme="minorHAnsi"/>
          <w:sz w:val="24"/>
          <w:szCs w:val="24"/>
          <w:lang w:val="en-US" w:eastAsia="nb-NO"/>
        </w:rPr>
        <w:t>White Paper no. 10 (2014-2015) Possibilities for all – Human Rights in Norway’s Foreign Policy and Development Cooperation</w:t>
      </w:r>
      <w:r w:rsidR="00460F74">
        <w:rPr>
          <w:rFonts w:cstheme="minorHAnsi"/>
          <w:sz w:val="24"/>
          <w:szCs w:val="24"/>
          <w:lang w:val="en-US" w:eastAsia="nb-NO"/>
        </w:rPr>
        <w:t xml:space="preserve">. The Norwegian Government pursues a coherent human rights policy, in which Norway’s efforts to promote and protect human rights </w:t>
      </w:r>
      <w:proofErr w:type="gramStart"/>
      <w:r w:rsidR="00460F74">
        <w:rPr>
          <w:rFonts w:cstheme="minorHAnsi"/>
          <w:sz w:val="24"/>
          <w:szCs w:val="24"/>
          <w:lang w:val="en-US" w:eastAsia="nb-NO"/>
        </w:rPr>
        <w:t>are integrated</w:t>
      </w:r>
      <w:proofErr w:type="gramEnd"/>
      <w:r w:rsidR="00460F74">
        <w:rPr>
          <w:rFonts w:cstheme="minorHAnsi"/>
          <w:sz w:val="24"/>
          <w:szCs w:val="24"/>
          <w:lang w:val="en-US" w:eastAsia="nb-NO"/>
        </w:rPr>
        <w:t xml:space="preserve"> into all aspects of its foreign- and development policy.</w:t>
      </w:r>
    </w:p>
    <w:p w:rsidR="001B2D73" w:rsidRDefault="001B2D73" w:rsidP="00D93410">
      <w:pPr>
        <w:spacing w:after="0" w:line="276" w:lineRule="auto"/>
        <w:rPr>
          <w:rFonts w:cstheme="minorHAnsi"/>
          <w:sz w:val="24"/>
          <w:szCs w:val="24"/>
          <w:lang w:val="en-US" w:eastAsia="nb-NO"/>
        </w:rPr>
      </w:pPr>
    </w:p>
    <w:p w:rsidR="00460F74" w:rsidRPr="00460F74" w:rsidRDefault="00460F74" w:rsidP="00D93410">
      <w:pPr>
        <w:spacing w:after="0" w:line="276" w:lineRule="auto"/>
        <w:rPr>
          <w:rFonts w:cstheme="minorHAnsi"/>
          <w:b/>
          <w:sz w:val="24"/>
          <w:szCs w:val="24"/>
          <w:lang w:val="en-GB" w:eastAsia="nb-NO"/>
        </w:rPr>
      </w:pPr>
      <w:r w:rsidRPr="00460F74">
        <w:rPr>
          <w:rFonts w:cstheme="minorHAnsi"/>
          <w:b/>
          <w:sz w:val="24"/>
          <w:szCs w:val="24"/>
          <w:lang w:val="en-GB" w:eastAsia="nb-NO"/>
        </w:rPr>
        <w:t xml:space="preserve">Support to culture in </w:t>
      </w:r>
      <w:r>
        <w:rPr>
          <w:rFonts w:cstheme="minorHAnsi"/>
          <w:b/>
          <w:sz w:val="24"/>
          <w:szCs w:val="24"/>
          <w:lang w:val="en-GB" w:eastAsia="nb-NO"/>
        </w:rPr>
        <w:t xml:space="preserve">Norway’s </w:t>
      </w:r>
      <w:r w:rsidRPr="00460F74">
        <w:rPr>
          <w:rFonts w:cstheme="minorHAnsi"/>
          <w:b/>
          <w:sz w:val="24"/>
          <w:szCs w:val="24"/>
          <w:lang w:val="en-GB" w:eastAsia="nb-NO"/>
        </w:rPr>
        <w:t>development cooperation</w:t>
      </w:r>
    </w:p>
    <w:p w:rsidR="001B2D73" w:rsidRDefault="008B3E37" w:rsidP="00D93410">
      <w:pPr>
        <w:spacing w:after="0" w:line="276" w:lineRule="auto"/>
        <w:rPr>
          <w:rFonts w:cstheme="minorHAnsi"/>
          <w:sz w:val="24"/>
          <w:szCs w:val="24"/>
          <w:lang w:val="en-GB" w:eastAsia="nb-NO"/>
        </w:rPr>
      </w:pPr>
      <w:r w:rsidRPr="008B3E37">
        <w:rPr>
          <w:rFonts w:cstheme="minorHAnsi"/>
          <w:sz w:val="24"/>
          <w:szCs w:val="24"/>
          <w:lang w:val="en-GB" w:eastAsia="nb-NO"/>
        </w:rPr>
        <w:t>T</w:t>
      </w:r>
      <w:r w:rsidR="00460F74">
        <w:rPr>
          <w:rFonts w:cstheme="minorHAnsi"/>
          <w:sz w:val="24"/>
          <w:szCs w:val="24"/>
          <w:lang w:val="en-GB" w:eastAsia="nb-NO"/>
        </w:rPr>
        <w:t>he overall</w:t>
      </w:r>
      <w:r w:rsidR="00C05F99">
        <w:rPr>
          <w:rFonts w:cstheme="minorHAnsi"/>
          <w:sz w:val="24"/>
          <w:szCs w:val="24"/>
          <w:lang w:val="en-GB" w:eastAsia="nb-NO"/>
        </w:rPr>
        <w:t xml:space="preserve"> objective for</w:t>
      </w:r>
      <w:r w:rsidRPr="008B3E37">
        <w:rPr>
          <w:rFonts w:cstheme="minorHAnsi"/>
          <w:sz w:val="24"/>
          <w:szCs w:val="24"/>
          <w:lang w:val="en-GB" w:eastAsia="nb-NO"/>
        </w:rPr>
        <w:t xml:space="preserve"> Norway’s </w:t>
      </w:r>
      <w:r w:rsidR="00C05F99">
        <w:rPr>
          <w:rFonts w:cstheme="minorHAnsi"/>
          <w:sz w:val="24"/>
          <w:szCs w:val="24"/>
          <w:lang w:val="en-GB" w:eastAsia="nb-NO"/>
        </w:rPr>
        <w:t xml:space="preserve">contribution to </w:t>
      </w:r>
      <w:r w:rsidR="005B7FA6">
        <w:rPr>
          <w:rFonts w:cstheme="minorHAnsi"/>
          <w:sz w:val="24"/>
          <w:szCs w:val="24"/>
          <w:lang w:val="en-GB" w:eastAsia="nb-NO"/>
        </w:rPr>
        <w:t>culture</w:t>
      </w:r>
      <w:r w:rsidR="00C05F99">
        <w:rPr>
          <w:rFonts w:cstheme="minorHAnsi"/>
          <w:sz w:val="24"/>
          <w:szCs w:val="24"/>
          <w:lang w:val="en-GB" w:eastAsia="nb-NO"/>
        </w:rPr>
        <w:t xml:space="preserve"> </w:t>
      </w:r>
      <w:r w:rsidRPr="008B3E37">
        <w:rPr>
          <w:rFonts w:cstheme="minorHAnsi"/>
          <w:sz w:val="24"/>
          <w:szCs w:val="24"/>
          <w:lang w:val="en-GB" w:eastAsia="nb-NO"/>
        </w:rPr>
        <w:t>is a</w:t>
      </w:r>
      <w:r w:rsidR="00D93410" w:rsidRPr="00D93410">
        <w:rPr>
          <w:rFonts w:cstheme="minorHAnsi"/>
          <w:sz w:val="24"/>
          <w:szCs w:val="24"/>
          <w:lang w:val="en-GB" w:eastAsia="nb-NO"/>
        </w:rPr>
        <w:t xml:space="preserve"> strong and free cultura</w:t>
      </w:r>
      <w:r w:rsidR="00C05F99">
        <w:rPr>
          <w:rFonts w:cstheme="minorHAnsi"/>
          <w:sz w:val="24"/>
          <w:szCs w:val="24"/>
          <w:lang w:val="en-GB" w:eastAsia="nb-NO"/>
        </w:rPr>
        <w:t>l sector</w:t>
      </w:r>
      <w:r w:rsidR="00D93410" w:rsidRPr="00D93410">
        <w:rPr>
          <w:rFonts w:cstheme="minorHAnsi"/>
          <w:sz w:val="24"/>
          <w:szCs w:val="24"/>
          <w:lang w:val="en-GB" w:eastAsia="nb-NO"/>
        </w:rPr>
        <w:t xml:space="preserve">. </w:t>
      </w:r>
    </w:p>
    <w:p w:rsidR="00EA2AC9" w:rsidRPr="00EA2AC9" w:rsidRDefault="00EA2AC9" w:rsidP="00D93410">
      <w:pPr>
        <w:spacing w:after="0" w:line="276" w:lineRule="auto"/>
        <w:rPr>
          <w:rFonts w:cstheme="minorHAnsi"/>
          <w:sz w:val="24"/>
          <w:szCs w:val="24"/>
          <w:lang w:val="en-GB" w:eastAsia="nb-NO"/>
        </w:rPr>
      </w:pPr>
    </w:p>
    <w:p w:rsidR="00D93410" w:rsidRPr="007350B9" w:rsidRDefault="0014060E" w:rsidP="00D93410">
      <w:pPr>
        <w:spacing w:after="0" w:line="276" w:lineRule="auto"/>
        <w:rPr>
          <w:rFonts w:cstheme="minorHAnsi"/>
          <w:b/>
          <w:sz w:val="24"/>
          <w:szCs w:val="24"/>
          <w:lang w:val="en-GB" w:eastAsia="nb-NO"/>
        </w:rPr>
      </w:pPr>
      <w:r w:rsidRPr="007350B9">
        <w:rPr>
          <w:rFonts w:cstheme="minorHAnsi"/>
          <w:b/>
          <w:sz w:val="24"/>
          <w:szCs w:val="24"/>
          <w:lang w:val="en-GB" w:eastAsia="nb-NO"/>
        </w:rPr>
        <w:t>Normative documents</w:t>
      </w:r>
    </w:p>
    <w:p w:rsidR="0014585F" w:rsidRPr="004E3929" w:rsidRDefault="004E3929" w:rsidP="00D93410">
      <w:pPr>
        <w:spacing w:after="0" w:line="276" w:lineRule="auto"/>
        <w:rPr>
          <w:rFonts w:cstheme="minorHAnsi"/>
          <w:i/>
          <w:sz w:val="24"/>
          <w:szCs w:val="24"/>
          <w:lang w:val="en-US" w:eastAsia="nb-NO"/>
        </w:rPr>
      </w:pPr>
      <w:r>
        <w:rPr>
          <w:rFonts w:cstheme="minorHAnsi"/>
          <w:i/>
          <w:sz w:val="24"/>
          <w:szCs w:val="24"/>
          <w:lang w:val="en-GB" w:eastAsia="nb-NO"/>
        </w:rPr>
        <w:t xml:space="preserve">The </w:t>
      </w:r>
      <w:r w:rsidR="0014060E" w:rsidRPr="007350B9">
        <w:rPr>
          <w:rFonts w:cstheme="minorHAnsi"/>
          <w:i/>
          <w:sz w:val="24"/>
          <w:szCs w:val="24"/>
          <w:lang w:val="en-GB" w:eastAsia="nb-NO"/>
        </w:rPr>
        <w:t>UN Special Rapporteur for cultural right</w:t>
      </w:r>
      <w:r>
        <w:rPr>
          <w:rFonts w:cstheme="minorHAnsi"/>
          <w:i/>
          <w:sz w:val="24"/>
          <w:szCs w:val="24"/>
          <w:lang w:val="en-GB" w:eastAsia="nb-NO"/>
        </w:rPr>
        <w:t>s’ reports</w:t>
      </w:r>
      <w:r w:rsidR="0014060E" w:rsidRPr="007350B9">
        <w:rPr>
          <w:rFonts w:cstheme="minorHAnsi"/>
          <w:i/>
          <w:sz w:val="24"/>
          <w:szCs w:val="24"/>
          <w:lang w:val="en-GB" w:eastAsia="nb-NO"/>
        </w:rPr>
        <w:t xml:space="preserve"> are instrumental for the policy, pr</w:t>
      </w:r>
      <w:r w:rsidR="0014585F" w:rsidRPr="007350B9">
        <w:rPr>
          <w:rFonts w:cstheme="minorHAnsi"/>
          <w:i/>
          <w:sz w:val="24"/>
          <w:szCs w:val="24"/>
          <w:lang w:val="en-GB" w:eastAsia="nb-NO"/>
        </w:rPr>
        <w:t>iorities and channels for support</w:t>
      </w:r>
      <w:r w:rsidR="0014060E" w:rsidRPr="007350B9">
        <w:rPr>
          <w:rFonts w:cstheme="minorHAnsi"/>
          <w:i/>
          <w:sz w:val="24"/>
          <w:szCs w:val="24"/>
          <w:lang w:val="en-GB" w:eastAsia="nb-NO"/>
        </w:rPr>
        <w:t xml:space="preserve"> in the c</w:t>
      </w:r>
      <w:r>
        <w:rPr>
          <w:rFonts w:cstheme="minorHAnsi"/>
          <w:i/>
          <w:sz w:val="24"/>
          <w:szCs w:val="24"/>
          <w:lang w:val="en-GB" w:eastAsia="nb-NO"/>
        </w:rPr>
        <w:t>ultural field, as well as for</w:t>
      </w:r>
      <w:r w:rsidR="0014060E" w:rsidRPr="007350B9">
        <w:rPr>
          <w:rFonts w:cstheme="minorHAnsi"/>
          <w:i/>
          <w:sz w:val="24"/>
          <w:szCs w:val="24"/>
          <w:lang w:val="en-GB" w:eastAsia="nb-NO"/>
        </w:rPr>
        <w:t xml:space="preserve"> intern</w:t>
      </w:r>
      <w:r>
        <w:rPr>
          <w:rFonts w:cstheme="minorHAnsi"/>
          <w:i/>
          <w:sz w:val="24"/>
          <w:szCs w:val="24"/>
          <w:lang w:val="en-GB" w:eastAsia="nb-NO"/>
        </w:rPr>
        <w:t>al- and external communication. T</w:t>
      </w:r>
      <w:r w:rsidR="00EA2AC9" w:rsidRPr="00EA2AC9">
        <w:rPr>
          <w:rFonts w:cstheme="minorHAnsi"/>
          <w:i/>
          <w:sz w:val="24"/>
          <w:szCs w:val="24"/>
          <w:lang w:val="en-GB" w:eastAsia="nb-NO"/>
        </w:rPr>
        <w:t>he report</w:t>
      </w:r>
      <w:r w:rsidR="00EA2AC9">
        <w:rPr>
          <w:rFonts w:cstheme="minorHAnsi"/>
          <w:i/>
          <w:sz w:val="24"/>
          <w:szCs w:val="24"/>
          <w:lang w:val="en-GB" w:eastAsia="nb-NO"/>
        </w:rPr>
        <w:t>s</w:t>
      </w:r>
      <w:r w:rsidR="00EA2AC9" w:rsidRPr="00EA2AC9">
        <w:rPr>
          <w:rFonts w:cstheme="minorHAnsi"/>
          <w:i/>
          <w:sz w:val="24"/>
          <w:szCs w:val="24"/>
          <w:lang w:val="en-GB" w:eastAsia="nb-NO"/>
        </w:rPr>
        <w:t xml:space="preserve"> </w:t>
      </w:r>
      <w:r w:rsidR="00EA2AC9">
        <w:rPr>
          <w:rFonts w:cstheme="minorHAnsi"/>
          <w:i/>
          <w:sz w:val="24"/>
          <w:szCs w:val="24"/>
          <w:lang w:val="en-GB" w:eastAsia="nb-NO"/>
        </w:rPr>
        <w:t>“</w:t>
      </w:r>
      <w:r w:rsidR="00EA2AC9" w:rsidRPr="00EA2AC9">
        <w:rPr>
          <w:rFonts w:cstheme="minorHAnsi"/>
          <w:i/>
          <w:sz w:val="24"/>
          <w:szCs w:val="24"/>
          <w:lang w:val="en-GB" w:eastAsia="nb-NO"/>
        </w:rPr>
        <w:t>Intentional Destruction of Cultural Heritage</w:t>
      </w:r>
      <w:r w:rsidR="00EA2AC9">
        <w:rPr>
          <w:rFonts w:cstheme="minorHAnsi"/>
          <w:i/>
          <w:sz w:val="24"/>
          <w:szCs w:val="24"/>
          <w:lang w:val="en-GB" w:eastAsia="nb-NO"/>
        </w:rPr>
        <w:t>”</w:t>
      </w:r>
      <w:r w:rsidR="00EA2AC9" w:rsidRPr="00EA2AC9">
        <w:rPr>
          <w:rFonts w:cstheme="minorHAnsi"/>
          <w:i/>
          <w:sz w:val="24"/>
          <w:szCs w:val="24"/>
          <w:lang w:val="en-GB" w:eastAsia="nb-NO"/>
        </w:rPr>
        <w:t xml:space="preserve"> (2016)</w:t>
      </w:r>
      <w:r>
        <w:rPr>
          <w:rFonts w:cstheme="minorHAnsi"/>
          <w:sz w:val="24"/>
          <w:szCs w:val="24"/>
          <w:lang w:val="en-GB" w:eastAsia="nb-NO"/>
        </w:rPr>
        <w:t xml:space="preserve"> and </w:t>
      </w:r>
      <w:r w:rsidR="00EA2AC9">
        <w:rPr>
          <w:rFonts w:cstheme="minorHAnsi"/>
          <w:sz w:val="24"/>
          <w:szCs w:val="24"/>
          <w:lang w:val="en-GB" w:eastAsia="nb-NO"/>
        </w:rPr>
        <w:t>“</w:t>
      </w:r>
      <w:r w:rsidR="00EA2AC9" w:rsidRPr="00EA2AC9">
        <w:rPr>
          <w:rFonts w:cstheme="minorHAnsi"/>
          <w:i/>
          <w:sz w:val="24"/>
          <w:szCs w:val="24"/>
          <w:lang w:val="en-GB" w:eastAsia="nb-NO"/>
        </w:rPr>
        <w:t>The impact of fundamentalism on the enjoyment of cultural rights</w:t>
      </w:r>
      <w:r w:rsidR="00EA2AC9">
        <w:rPr>
          <w:rFonts w:cstheme="minorHAnsi"/>
          <w:i/>
          <w:sz w:val="24"/>
          <w:szCs w:val="24"/>
          <w:lang w:val="en-GB" w:eastAsia="nb-NO"/>
        </w:rPr>
        <w:t>”</w:t>
      </w:r>
      <w:r w:rsidR="00AE73DE">
        <w:rPr>
          <w:rFonts w:cstheme="minorHAnsi"/>
          <w:i/>
          <w:sz w:val="24"/>
          <w:szCs w:val="24"/>
          <w:lang w:val="en-GB" w:eastAsia="nb-NO"/>
        </w:rPr>
        <w:t xml:space="preserve"> (2017) are particularly</w:t>
      </w:r>
      <w:bookmarkStart w:id="0" w:name="_GoBack"/>
      <w:bookmarkEnd w:id="0"/>
      <w:r>
        <w:rPr>
          <w:rFonts w:cstheme="minorHAnsi"/>
          <w:i/>
          <w:sz w:val="24"/>
          <w:szCs w:val="24"/>
          <w:lang w:val="en-GB" w:eastAsia="nb-NO"/>
        </w:rPr>
        <w:t xml:space="preserve"> important.</w:t>
      </w:r>
    </w:p>
    <w:p w:rsidR="0014585F" w:rsidRPr="007350B9" w:rsidRDefault="0014585F" w:rsidP="00D93410">
      <w:pPr>
        <w:spacing w:after="0" w:line="276" w:lineRule="auto"/>
        <w:rPr>
          <w:rFonts w:cstheme="minorHAnsi"/>
          <w:i/>
          <w:sz w:val="24"/>
          <w:szCs w:val="24"/>
          <w:lang w:val="en-GB" w:eastAsia="nb-NO"/>
        </w:rPr>
      </w:pPr>
    </w:p>
    <w:p w:rsidR="00D93410" w:rsidRPr="007350B9" w:rsidRDefault="0014060E" w:rsidP="00D93410">
      <w:pPr>
        <w:spacing w:after="0" w:line="276" w:lineRule="auto"/>
        <w:rPr>
          <w:rFonts w:cstheme="minorHAnsi"/>
          <w:sz w:val="24"/>
          <w:szCs w:val="24"/>
          <w:lang w:val="en-GB" w:eastAsia="nb-NO"/>
        </w:rPr>
      </w:pPr>
      <w:r w:rsidRPr="007350B9">
        <w:rPr>
          <w:rFonts w:cstheme="minorHAnsi"/>
          <w:sz w:val="24"/>
          <w:szCs w:val="24"/>
          <w:lang w:val="en-GB" w:eastAsia="nb-NO"/>
        </w:rPr>
        <w:t>UNESCO’s culture conventions, in particular the 2005-Covention on the protection of a diversity of cultural expressions</w:t>
      </w:r>
      <w:r w:rsidR="00CD5775" w:rsidRPr="007350B9">
        <w:rPr>
          <w:rFonts w:cstheme="minorHAnsi"/>
          <w:sz w:val="24"/>
          <w:szCs w:val="24"/>
          <w:lang w:val="en-GB" w:eastAsia="nb-NO"/>
        </w:rPr>
        <w:t>,</w:t>
      </w:r>
      <w:r w:rsidR="00460F74">
        <w:rPr>
          <w:rFonts w:cstheme="minorHAnsi"/>
          <w:sz w:val="24"/>
          <w:szCs w:val="24"/>
          <w:lang w:val="en-GB" w:eastAsia="nb-NO"/>
        </w:rPr>
        <w:t xml:space="preserve"> are other normative</w:t>
      </w:r>
      <w:r w:rsidRPr="007350B9">
        <w:rPr>
          <w:rFonts w:cstheme="minorHAnsi"/>
          <w:sz w:val="24"/>
          <w:szCs w:val="24"/>
          <w:lang w:val="en-GB" w:eastAsia="nb-NO"/>
        </w:rPr>
        <w:t xml:space="preserve"> document</w:t>
      </w:r>
      <w:r w:rsidR="00460F74">
        <w:rPr>
          <w:rFonts w:cstheme="minorHAnsi"/>
          <w:sz w:val="24"/>
          <w:szCs w:val="24"/>
          <w:lang w:val="en-GB" w:eastAsia="nb-NO"/>
        </w:rPr>
        <w:t>s. The intentions of the 2005-</w:t>
      </w:r>
      <w:r w:rsidRPr="007350B9">
        <w:rPr>
          <w:rFonts w:cstheme="minorHAnsi"/>
          <w:sz w:val="24"/>
          <w:szCs w:val="24"/>
          <w:lang w:val="en-GB" w:eastAsia="nb-NO"/>
        </w:rPr>
        <w:t xml:space="preserve"> convention is to strengthen the </w:t>
      </w:r>
      <w:r w:rsidRPr="007350B9">
        <w:rPr>
          <w:rFonts w:cstheme="minorHAnsi"/>
          <w:i/>
          <w:sz w:val="24"/>
          <w:szCs w:val="24"/>
          <w:lang w:val="en-GB" w:eastAsia="nb-NO"/>
        </w:rPr>
        <w:t>conditions</w:t>
      </w:r>
      <w:r w:rsidRPr="007350B9">
        <w:rPr>
          <w:rFonts w:cstheme="minorHAnsi"/>
          <w:sz w:val="24"/>
          <w:szCs w:val="24"/>
          <w:lang w:val="en-GB" w:eastAsia="nb-NO"/>
        </w:rPr>
        <w:t xml:space="preserve"> for culture, to improve the artists’ opportunities to develop as artists and to live from their art, as well as to continuously improve art</w:t>
      </w:r>
      <w:r w:rsidR="00460F74">
        <w:rPr>
          <w:rFonts w:cstheme="minorHAnsi"/>
          <w:sz w:val="24"/>
          <w:szCs w:val="24"/>
          <w:lang w:val="en-GB" w:eastAsia="nb-NO"/>
        </w:rPr>
        <w:t>ists’ opportunities, which include</w:t>
      </w:r>
      <w:r w:rsidRPr="007350B9">
        <w:rPr>
          <w:rFonts w:cstheme="minorHAnsi"/>
          <w:sz w:val="24"/>
          <w:szCs w:val="24"/>
          <w:lang w:val="en-GB" w:eastAsia="nb-NO"/>
        </w:rPr>
        <w:t xml:space="preserve"> </w:t>
      </w:r>
      <w:r w:rsidR="002478BE" w:rsidRPr="007350B9">
        <w:rPr>
          <w:rFonts w:cstheme="minorHAnsi"/>
          <w:sz w:val="24"/>
          <w:szCs w:val="24"/>
          <w:lang w:val="en-GB" w:eastAsia="nb-NO"/>
        </w:rPr>
        <w:t>promoting a</w:t>
      </w:r>
      <w:r w:rsidR="00D93410" w:rsidRPr="007350B9">
        <w:rPr>
          <w:rFonts w:cstheme="minorHAnsi"/>
          <w:sz w:val="24"/>
          <w:szCs w:val="24"/>
          <w:lang w:val="en-GB" w:eastAsia="nb-NO"/>
        </w:rPr>
        <w:t>rtistic freedom and combatting radicalisation and violent radi</w:t>
      </w:r>
      <w:r w:rsidRPr="007350B9">
        <w:rPr>
          <w:rFonts w:cstheme="minorHAnsi"/>
          <w:sz w:val="24"/>
          <w:szCs w:val="24"/>
          <w:lang w:val="en-GB" w:eastAsia="nb-NO"/>
        </w:rPr>
        <w:t>calism. T</w:t>
      </w:r>
      <w:r w:rsidR="00D93410" w:rsidRPr="007350B9">
        <w:rPr>
          <w:rFonts w:cstheme="minorHAnsi"/>
          <w:sz w:val="24"/>
          <w:szCs w:val="24"/>
          <w:lang w:val="en-GB" w:eastAsia="nb-NO"/>
        </w:rPr>
        <w:t xml:space="preserve">he </w:t>
      </w:r>
      <w:r w:rsidRPr="007350B9">
        <w:rPr>
          <w:rFonts w:cstheme="minorHAnsi"/>
          <w:sz w:val="24"/>
          <w:szCs w:val="24"/>
          <w:lang w:val="en-GB" w:eastAsia="nb-NO"/>
        </w:rPr>
        <w:t>Norwegian Government’s Strategy for Freedom of E</w:t>
      </w:r>
      <w:r w:rsidR="00D93410" w:rsidRPr="007350B9">
        <w:rPr>
          <w:rFonts w:cstheme="minorHAnsi"/>
          <w:sz w:val="24"/>
          <w:szCs w:val="24"/>
          <w:lang w:val="en-GB" w:eastAsia="nb-NO"/>
        </w:rPr>
        <w:t xml:space="preserve">xpression and </w:t>
      </w:r>
      <w:r w:rsidR="00460F74">
        <w:rPr>
          <w:rFonts w:cstheme="minorHAnsi"/>
          <w:sz w:val="24"/>
          <w:szCs w:val="24"/>
          <w:lang w:val="en-GB" w:eastAsia="nb-NO"/>
        </w:rPr>
        <w:t>the HR-agenda generally support</w:t>
      </w:r>
      <w:r w:rsidR="002478BE" w:rsidRPr="007350B9">
        <w:rPr>
          <w:rFonts w:cstheme="minorHAnsi"/>
          <w:sz w:val="24"/>
          <w:szCs w:val="24"/>
          <w:lang w:val="en-GB" w:eastAsia="nb-NO"/>
        </w:rPr>
        <w:t xml:space="preserve"> these ideas</w:t>
      </w:r>
      <w:r w:rsidR="00D93410" w:rsidRPr="007350B9">
        <w:rPr>
          <w:rFonts w:cstheme="minorHAnsi"/>
          <w:sz w:val="24"/>
          <w:szCs w:val="24"/>
          <w:lang w:val="en-GB" w:eastAsia="nb-NO"/>
        </w:rPr>
        <w:t xml:space="preserve">. </w:t>
      </w:r>
    </w:p>
    <w:p w:rsidR="0014060E" w:rsidRPr="007350B9" w:rsidRDefault="0014060E" w:rsidP="00D93410">
      <w:pPr>
        <w:spacing w:after="0" w:line="276" w:lineRule="auto"/>
        <w:rPr>
          <w:rFonts w:cstheme="minorHAnsi"/>
          <w:sz w:val="24"/>
          <w:szCs w:val="24"/>
          <w:lang w:val="en-GB" w:eastAsia="nb-NO"/>
        </w:rPr>
      </w:pPr>
    </w:p>
    <w:p w:rsidR="0014060E" w:rsidRPr="007350B9" w:rsidRDefault="0014060E" w:rsidP="00D93410">
      <w:pPr>
        <w:spacing w:after="0" w:line="276" w:lineRule="auto"/>
        <w:rPr>
          <w:rFonts w:cstheme="minorHAnsi"/>
          <w:b/>
          <w:sz w:val="24"/>
          <w:szCs w:val="24"/>
          <w:lang w:val="en-GB" w:eastAsia="nb-NO"/>
        </w:rPr>
      </w:pPr>
      <w:r w:rsidRPr="007350B9">
        <w:rPr>
          <w:rFonts w:cstheme="minorHAnsi"/>
          <w:b/>
          <w:sz w:val="24"/>
          <w:szCs w:val="24"/>
          <w:lang w:val="en-GB" w:eastAsia="nb-NO"/>
        </w:rPr>
        <w:t>Two priorities</w:t>
      </w:r>
      <w:r w:rsidR="0014585F" w:rsidRPr="007350B9">
        <w:rPr>
          <w:rFonts w:cstheme="minorHAnsi"/>
          <w:b/>
          <w:sz w:val="24"/>
          <w:szCs w:val="24"/>
          <w:lang w:val="en-GB" w:eastAsia="nb-NO"/>
        </w:rPr>
        <w:t xml:space="preserve"> for the Norwegian support</w:t>
      </w:r>
    </w:p>
    <w:p w:rsidR="00D93410" w:rsidRPr="007350B9" w:rsidRDefault="00D93410" w:rsidP="00D93410">
      <w:pPr>
        <w:spacing w:after="0" w:line="276" w:lineRule="auto"/>
        <w:rPr>
          <w:rFonts w:cstheme="minorHAnsi"/>
          <w:sz w:val="24"/>
          <w:szCs w:val="24"/>
          <w:lang w:val="en-GB" w:eastAsia="nb-NO"/>
        </w:rPr>
      </w:pPr>
    </w:p>
    <w:p w:rsidR="00D93410" w:rsidRPr="007350B9" w:rsidRDefault="00D93410" w:rsidP="00D93410">
      <w:pPr>
        <w:numPr>
          <w:ilvl w:val="0"/>
          <w:numId w:val="3"/>
        </w:numPr>
        <w:spacing w:after="0" w:line="276" w:lineRule="auto"/>
        <w:contextualSpacing/>
        <w:rPr>
          <w:rFonts w:eastAsia="Times New Roman" w:cstheme="minorHAnsi"/>
          <w:sz w:val="24"/>
          <w:szCs w:val="24"/>
          <w:lang w:val="en-GB" w:eastAsia="nb-NO"/>
        </w:rPr>
      </w:pPr>
      <w:r w:rsidRPr="007350B9">
        <w:rPr>
          <w:rFonts w:eastAsia="Times New Roman" w:cstheme="minorHAnsi"/>
          <w:i/>
          <w:sz w:val="24"/>
          <w:szCs w:val="24"/>
          <w:lang w:val="en-GB" w:eastAsia="nb-NO"/>
        </w:rPr>
        <w:t xml:space="preserve">Artistic freedom, including artistic freedom of expression. </w:t>
      </w:r>
    </w:p>
    <w:p w:rsidR="00D93410" w:rsidRPr="007350B9" w:rsidRDefault="00D93410" w:rsidP="00D93410">
      <w:pPr>
        <w:spacing w:after="0" w:line="276" w:lineRule="auto"/>
        <w:ind w:left="360"/>
        <w:contextualSpacing/>
        <w:rPr>
          <w:rFonts w:eastAsia="Times New Roman" w:cstheme="minorHAnsi"/>
          <w:sz w:val="24"/>
          <w:szCs w:val="24"/>
          <w:lang w:val="en-GB" w:eastAsia="nb-NO"/>
        </w:rPr>
      </w:pPr>
    </w:p>
    <w:p w:rsidR="00D93410" w:rsidRPr="007350B9" w:rsidRDefault="0014585F" w:rsidP="00D93410">
      <w:pPr>
        <w:spacing w:after="0" w:line="276" w:lineRule="auto"/>
        <w:rPr>
          <w:rFonts w:cstheme="minorHAnsi"/>
          <w:sz w:val="24"/>
          <w:szCs w:val="24"/>
          <w:lang w:val="en-GB" w:eastAsia="nb-NO"/>
        </w:rPr>
      </w:pPr>
      <w:r w:rsidRPr="007350B9">
        <w:rPr>
          <w:rFonts w:cstheme="minorHAnsi"/>
          <w:sz w:val="24"/>
          <w:szCs w:val="24"/>
          <w:lang w:val="en-GB" w:eastAsia="nb-NO"/>
        </w:rPr>
        <w:t xml:space="preserve">MFA supports efforts </w:t>
      </w:r>
      <w:r w:rsidR="00D93410" w:rsidRPr="007350B9">
        <w:rPr>
          <w:rFonts w:cstheme="minorHAnsi"/>
          <w:sz w:val="24"/>
          <w:szCs w:val="24"/>
          <w:lang w:val="en-GB" w:eastAsia="nb-NO"/>
        </w:rPr>
        <w:t xml:space="preserve">that strengthen </w:t>
      </w:r>
      <w:r w:rsidR="00D93410" w:rsidRPr="007350B9">
        <w:rPr>
          <w:rFonts w:cstheme="minorHAnsi"/>
          <w:i/>
          <w:sz w:val="24"/>
          <w:szCs w:val="24"/>
          <w:lang w:val="en-GB" w:eastAsia="nb-NO"/>
        </w:rPr>
        <w:t>the conditions for culture</w:t>
      </w:r>
      <w:r w:rsidRPr="007350B9">
        <w:rPr>
          <w:rFonts w:cstheme="minorHAnsi"/>
          <w:sz w:val="24"/>
          <w:szCs w:val="24"/>
          <w:lang w:val="en-GB" w:eastAsia="nb-NO"/>
        </w:rPr>
        <w:t xml:space="preserve">. This can be </w:t>
      </w:r>
      <w:r w:rsidR="00D93410" w:rsidRPr="007350B9">
        <w:rPr>
          <w:rFonts w:cstheme="minorHAnsi"/>
          <w:sz w:val="24"/>
          <w:szCs w:val="24"/>
          <w:lang w:val="en-GB" w:eastAsia="nb-NO"/>
        </w:rPr>
        <w:t>dev</w:t>
      </w:r>
      <w:r w:rsidRPr="007350B9">
        <w:rPr>
          <w:rFonts w:cstheme="minorHAnsi"/>
          <w:sz w:val="24"/>
          <w:szCs w:val="24"/>
          <w:lang w:val="en-GB" w:eastAsia="nb-NO"/>
        </w:rPr>
        <w:t xml:space="preserve">elopment of policies (typically </w:t>
      </w:r>
      <w:r w:rsidR="00D93410" w:rsidRPr="007350B9">
        <w:rPr>
          <w:rFonts w:cstheme="minorHAnsi"/>
          <w:sz w:val="24"/>
          <w:szCs w:val="24"/>
          <w:lang w:val="en-GB" w:eastAsia="nb-NO"/>
        </w:rPr>
        <w:t>co-operation between artists</w:t>
      </w:r>
      <w:r w:rsidRPr="007350B9">
        <w:rPr>
          <w:rFonts w:cstheme="minorHAnsi"/>
          <w:sz w:val="24"/>
          <w:szCs w:val="24"/>
          <w:lang w:val="en-GB" w:eastAsia="nb-NO"/>
        </w:rPr>
        <w:t>’ organisations</w:t>
      </w:r>
      <w:r w:rsidR="00D93410" w:rsidRPr="007350B9">
        <w:rPr>
          <w:rFonts w:cstheme="minorHAnsi"/>
          <w:sz w:val="24"/>
          <w:szCs w:val="24"/>
          <w:lang w:val="en-GB" w:eastAsia="nb-NO"/>
        </w:rPr>
        <w:t xml:space="preserve"> and authorities), platforms or meeting places for arts and culture, organisations or initiatives that work for the enhancement of artistic freedom and measures that promote the social</w:t>
      </w:r>
      <w:r w:rsidR="005B7FA6" w:rsidRPr="007350B9">
        <w:rPr>
          <w:rFonts w:cstheme="minorHAnsi"/>
          <w:sz w:val="24"/>
          <w:szCs w:val="24"/>
          <w:lang w:val="en-GB" w:eastAsia="nb-NO"/>
        </w:rPr>
        <w:t xml:space="preserve">-, </w:t>
      </w:r>
      <w:r w:rsidR="00D93410" w:rsidRPr="007350B9">
        <w:rPr>
          <w:rFonts w:cstheme="minorHAnsi"/>
          <w:sz w:val="24"/>
          <w:szCs w:val="24"/>
          <w:lang w:val="en-GB" w:eastAsia="nb-NO"/>
        </w:rPr>
        <w:t>economic</w:t>
      </w:r>
      <w:r w:rsidR="005B7FA6" w:rsidRPr="007350B9">
        <w:rPr>
          <w:rFonts w:cstheme="minorHAnsi"/>
          <w:sz w:val="24"/>
          <w:szCs w:val="24"/>
          <w:lang w:val="en-GB" w:eastAsia="nb-NO"/>
        </w:rPr>
        <w:t>-</w:t>
      </w:r>
      <w:r w:rsidR="00D93410" w:rsidRPr="007350B9">
        <w:rPr>
          <w:rFonts w:cstheme="minorHAnsi"/>
          <w:sz w:val="24"/>
          <w:szCs w:val="24"/>
          <w:lang w:val="en-GB" w:eastAsia="nb-NO"/>
        </w:rPr>
        <w:t xml:space="preserve"> </w:t>
      </w:r>
      <w:r w:rsidR="00D92FCF" w:rsidRPr="007350B9">
        <w:rPr>
          <w:rFonts w:cstheme="minorHAnsi"/>
          <w:sz w:val="24"/>
          <w:szCs w:val="24"/>
          <w:lang w:val="en-GB" w:eastAsia="nb-NO"/>
        </w:rPr>
        <w:t xml:space="preserve">and cultural </w:t>
      </w:r>
      <w:r w:rsidR="00D93410" w:rsidRPr="007350B9">
        <w:rPr>
          <w:rFonts w:cstheme="minorHAnsi"/>
          <w:sz w:val="24"/>
          <w:szCs w:val="24"/>
          <w:lang w:val="en-GB" w:eastAsia="nb-NO"/>
        </w:rPr>
        <w:t>rights of artists.</w:t>
      </w:r>
    </w:p>
    <w:p w:rsidR="00D93410" w:rsidRPr="007350B9" w:rsidRDefault="00D93410" w:rsidP="00D93410">
      <w:pPr>
        <w:spacing w:after="0" w:line="276" w:lineRule="auto"/>
        <w:rPr>
          <w:rFonts w:cstheme="minorHAnsi"/>
          <w:sz w:val="24"/>
          <w:szCs w:val="24"/>
          <w:lang w:val="en-GB" w:eastAsia="nb-NO"/>
        </w:rPr>
      </w:pPr>
    </w:p>
    <w:p w:rsidR="00D93410" w:rsidRPr="007350B9" w:rsidRDefault="00D93410" w:rsidP="00D93410">
      <w:pPr>
        <w:numPr>
          <w:ilvl w:val="0"/>
          <w:numId w:val="3"/>
        </w:numPr>
        <w:spacing w:after="0" w:line="276" w:lineRule="auto"/>
        <w:contextualSpacing/>
        <w:rPr>
          <w:rFonts w:eastAsia="Times New Roman" w:cstheme="minorHAnsi"/>
          <w:sz w:val="24"/>
          <w:szCs w:val="24"/>
          <w:lang w:val="en-GB" w:eastAsia="nb-NO"/>
        </w:rPr>
      </w:pPr>
      <w:r w:rsidRPr="007350B9">
        <w:rPr>
          <w:rFonts w:eastAsia="Times New Roman" w:cstheme="minorHAnsi"/>
          <w:i/>
          <w:sz w:val="24"/>
          <w:szCs w:val="24"/>
          <w:lang w:val="en-GB" w:eastAsia="nb-NO"/>
        </w:rPr>
        <w:t>Contribute to the protection of cultural heritage</w:t>
      </w:r>
    </w:p>
    <w:p w:rsidR="00D93410" w:rsidRPr="007350B9" w:rsidRDefault="00D93410" w:rsidP="00D93410">
      <w:pPr>
        <w:spacing w:after="0" w:line="276" w:lineRule="auto"/>
        <w:ind w:left="360"/>
        <w:contextualSpacing/>
        <w:rPr>
          <w:rFonts w:eastAsia="Times New Roman" w:cstheme="minorHAnsi"/>
          <w:sz w:val="24"/>
          <w:szCs w:val="24"/>
          <w:lang w:val="en-GB" w:eastAsia="nb-NO"/>
        </w:rPr>
      </w:pPr>
    </w:p>
    <w:p w:rsidR="00D93410" w:rsidRPr="007350B9" w:rsidRDefault="00D93410" w:rsidP="00D93410">
      <w:pPr>
        <w:spacing w:after="0" w:line="276" w:lineRule="auto"/>
        <w:rPr>
          <w:rFonts w:cstheme="minorHAnsi"/>
          <w:sz w:val="24"/>
          <w:szCs w:val="24"/>
          <w:lang w:val="en-GB" w:eastAsia="nb-NO"/>
        </w:rPr>
      </w:pPr>
      <w:r w:rsidRPr="007350B9">
        <w:rPr>
          <w:rFonts w:cstheme="minorHAnsi"/>
          <w:sz w:val="24"/>
          <w:szCs w:val="24"/>
          <w:lang w:val="en-GB" w:eastAsia="nb-NO"/>
        </w:rPr>
        <w:t>Access to cultural heritage is important for individuals’ and groups of people’s sense of belonging, identity and history. Intended destruction of cultural heritage is a</w:t>
      </w:r>
      <w:r w:rsidR="005B7FA6" w:rsidRPr="007350B9">
        <w:rPr>
          <w:rFonts w:cstheme="minorHAnsi"/>
          <w:sz w:val="24"/>
          <w:szCs w:val="24"/>
          <w:lang w:val="en-GB" w:eastAsia="nb-NO"/>
        </w:rPr>
        <w:t xml:space="preserve"> criminal act, and so is</w:t>
      </w:r>
      <w:r w:rsidRPr="007350B9">
        <w:rPr>
          <w:rFonts w:cstheme="minorHAnsi"/>
          <w:sz w:val="24"/>
          <w:szCs w:val="24"/>
          <w:lang w:val="en-GB" w:eastAsia="nb-NO"/>
        </w:rPr>
        <w:t xml:space="preserve"> illegal trade with cultural objects. </w:t>
      </w:r>
    </w:p>
    <w:p w:rsidR="00D93410" w:rsidRPr="007350B9" w:rsidRDefault="00D93410" w:rsidP="00D93410">
      <w:pPr>
        <w:spacing w:after="0" w:line="276" w:lineRule="auto"/>
        <w:rPr>
          <w:rFonts w:cstheme="minorHAnsi"/>
          <w:sz w:val="24"/>
          <w:szCs w:val="24"/>
          <w:lang w:val="en-GB" w:eastAsia="nb-NO"/>
        </w:rPr>
      </w:pPr>
    </w:p>
    <w:p w:rsidR="00D93410" w:rsidRPr="007350B9" w:rsidRDefault="00D93410" w:rsidP="00D93410">
      <w:pPr>
        <w:spacing w:after="0" w:line="276" w:lineRule="auto"/>
        <w:rPr>
          <w:rFonts w:cstheme="minorHAnsi"/>
          <w:sz w:val="24"/>
          <w:szCs w:val="24"/>
          <w:lang w:val="en-GB" w:eastAsia="nb-NO"/>
        </w:rPr>
      </w:pPr>
      <w:r w:rsidRPr="007350B9">
        <w:rPr>
          <w:rFonts w:cstheme="minorHAnsi"/>
          <w:sz w:val="24"/>
          <w:szCs w:val="24"/>
          <w:lang w:val="en-GB" w:eastAsia="nb-NO"/>
        </w:rPr>
        <w:t>Norway is a member of UNESCO’s World Heritage Committee 2017-2</w:t>
      </w:r>
      <w:r w:rsidR="002478BE" w:rsidRPr="007350B9">
        <w:rPr>
          <w:rFonts w:cstheme="minorHAnsi"/>
          <w:sz w:val="24"/>
          <w:szCs w:val="24"/>
          <w:lang w:val="en-GB" w:eastAsia="nb-NO"/>
        </w:rPr>
        <w:t xml:space="preserve">021. A special attention </w:t>
      </w:r>
      <w:proofErr w:type="gramStart"/>
      <w:r w:rsidR="002478BE" w:rsidRPr="007350B9">
        <w:rPr>
          <w:rFonts w:cstheme="minorHAnsi"/>
          <w:sz w:val="24"/>
          <w:szCs w:val="24"/>
          <w:lang w:val="en-GB" w:eastAsia="nb-NO"/>
        </w:rPr>
        <w:t>is</w:t>
      </w:r>
      <w:r w:rsidRPr="007350B9">
        <w:rPr>
          <w:rFonts w:cstheme="minorHAnsi"/>
          <w:sz w:val="24"/>
          <w:szCs w:val="24"/>
          <w:lang w:val="en-GB" w:eastAsia="nb-NO"/>
        </w:rPr>
        <w:t xml:space="preserve"> paid</w:t>
      </w:r>
      <w:proofErr w:type="gramEnd"/>
      <w:r w:rsidRPr="007350B9">
        <w:rPr>
          <w:rFonts w:cstheme="minorHAnsi"/>
          <w:sz w:val="24"/>
          <w:szCs w:val="24"/>
          <w:lang w:val="en-GB" w:eastAsia="nb-NO"/>
        </w:rPr>
        <w:t xml:space="preserve"> to the protection and promotion of African World Heritage in this period.</w:t>
      </w:r>
    </w:p>
    <w:p w:rsidR="00821AC5" w:rsidRPr="007350B9" w:rsidRDefault="00821AC5" w:rsidP="00D93410">
      <w:pPr>
        <w:spacing w:after="0" w:line="276" w:lineRule="auto"/>
        <w:rPr>
          <w:rFonts w:cstheme="minorHAnsi"/>
          <w:sz w:val="24"/>
          <w:szCs w:val="24"/>
          <w:lang w:val="en-GB" w:eastAsia="nb-NO"/>
        </w:rPr>
      </w:pPr>
    </w:p>
    <w:p w:rsidR="001B6AC6" w:rsidRPr="007350B9" w:rsidRDefault="001B6AC6" w:rsidP="00821AC5">
      <w:pPr>
        <w:spacing w:after="0" w:line="276" w:lineRule="auto"/>
        <w:rPr>
          <w:rFonts w:cstheme="minorHAnsi"/>
          <w:b/>
          <w:sz w:val="24"/>
          <w:szCs w:val="24"/>
          <w:lang w:val="en-GB" w:eastAsia="nb-NO"/>
        </w:rPr>
      </w:pPr>
      <w:r w:rsidRPr="007350B9">
        <w:rPr>
          <w:rFonts w:cstheme="minorHAnsi"/>
          <w:b/>
          <w:sz w:val="24"/>
          <w:szCs w:val="24"/>
          <w:lang w:val="en-GB" w:eastAsia="nb-NO"/>
        </w:rPr>
        <w:t>III Lessons learn</w:t>
      </w:r>
      <w:r w:rsidR="0014585F" w:rsidRPr="007350B9">
        <w:rPr>
          <w:rFonts w:cstheme="minorHAnsi"/>
          <w:b/>
          <w:sz w:val="24"/>
          <w:szCs w:val="24"/>
          <w:lang w:val="en-GB" w:eastAsia="nb-NO"/>
        </w:rPr>
        <w:t>t</w:t>
      </w:r>
      <w:r w:rsidRPr="007350B9">
        <w:rPr>
          <w:rFonts w:cstheme="minorHAnsi"/>
          <w:b/>
          <w:sz w:val="24"/>
          <w:szCs w:val="24"/>
          <w:lang w:val="en-GB" w:eastAsia="nb-NO"/>
        </w:rPr>
        <w:t xml:space="preserve"> and the way forward</w:t>
      </w:r>
    </w:p>
    <w:p w:rsidR="00A3479A" w:rsidRPr="007350B9" w:rsidRDefault="00A3479A" w:rsidP="00A3479A">
      <w:pPr>
        <w:spacing w:after="0" w:line="276" w:lineRule="auto"/>
        <w:rPr>
          <w:rFonts w:cstheme="minorHAnsi"/>
          <w:sz w:val="24"/>
          <w:szCs w:val="24"/>
          <w:lang w:val="en-GB" w:eastAsia="nb-NO"/>
        </w:rPr>
      </w:pPr>
    </w:p>
    <w:p w:rsidR="00A3479A" w:rsidRPr="00E136BC" w:rsidRDefault="00F0656F" w:rsidP="00C05F99">
      <w:pPr>
        <w:spacing w:after="0" w:line="276" w:lineRule="auto"/>
        <w:rPr>
          <w:rFonts w:ascii="Calibri" w:hAnsi="Calibri" w:cs="Calibri"/>
          <w:color w:val="000000"/>
          <w:sz w:val="24"/>
          <w:szCs w:val="24"/>
          <w:lang w:val="en-GB" w:eastAsia="nb-NO"/>
        </w:rPr>
      </w:pP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Norway supports </w:t>
      </w:r>
      <w:r w:rsidR="002478BE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the mandate of the UN SR for cultural rights through the general support to OHCHR. </w:t>
      </w:r>
    </w:p>
    <w:p w:rsidR="00A3479A" w:rsidRPr="00E136BC" w:rsidRDefault="00A3479A" w:rsidP="00A3479A">
      <w:pPr>
        <w:spacing w:after="0" w:line="276" w:lineRule="auto"/>
        <w:rPr>
          <w:rFonts w:ascii="Calibri" w:hAnsi="Calibri" w:cs="Calibri"/>
          <w:color w:val="000000"/>
          <w:sz w:val="24"/>
          <w:szCs w:val="24"/>
          <w:lang w:val="en-GB" w:eastAsia="nb-NO"/>
        </w:rPr>
      </w:pPr>
    </w:p>
    <w:p w:rsidR="00A3479A" w:rsidRPr="007350B9" w:rsidRDefault="00A3479A" w:rsidP="00C05F99">
      <w:pPr>
        <w:spacing w:after="0" w:line="276" w:lineRule="auto"/>
        <w:rPr>
          <w:rFonts w:cstheme="minorHAnsi"/>
          <w:sz w:val="24"/>
          <w:szCs w:val="24"/>
          <w:lang w:val="en-GB" w:eastAsia="nb-NO"/>
        </w:rPr>
      </w:pP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Norway cooperates with</w:t>
      </w:r>
      <w:r w:rsidR="002478BE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</w:t>
      </w: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and funds </w:t>
      </w:r>
      <w:r w:rsidR="002478BE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UNESCO</w:t>
      </w:r>
      <w:r w:rsidR="00F0656F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(artistic freedom and</w:t>
      </w: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cultural- and world heritage) and UNODC on combatting the illicit trade with cultural objects.</w:t>
      </w:r>
    </w:p>
    <w:p w:rsidR="00C05F99" w:rsidRPr="00E136BC" w:rsidRDefault="00C05F99" w:rsidP="00C05F99">
      <w:pPr>
        <w:spacing w:after="0" w:line="276" w:lineRule="auto"/>
        <w:rPr>
          <w:rFonts w:ascii="Calibri" w:hAnsi="Calibri" w:cs="Calibri"/>
          <w:color w:val="000000"/>
          <w:sz w:val="24"/>
          <w:szCs w:val="24"/>
          <w:lang w:val="en-GB" w:eastAsia="nb-NO"/>
        </w:rPr>
      </w:pPr>
    </w:p>
    <w:p w:rsidR="002A7CB8" w:rsidRPr="007350B9" w:rsidRDefault="005B7FA6" w:rsidP="00C05F99">
      <w:pPr>
        <w:spacing w:after="0" w:line="276" w:lineRule="auto"/>
        <w:rPr>
          <w:rFonts w:cstheme="minorHAnsi"/>
          <w:sz w:val="24"/>
          <w:szCs w:val="24"/>
          <w:lang w:val="en-GB" w:eastAsia="nb-NO"/>
        </w:rPr>
      </w:pP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Other</w:t>
      </w:r>
      <w:r w:rsidR="00A3479A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key partners in the protection and pro</w:t>
      </w: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motion of cultural heritage are</w:t>
      </w:r>
      <w:r w:rsidR="00A3479A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</w:t>
      </w:r>
      <w:r w:rsidR="002A7CB8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African World Heritage Fund and</w:t>
      </w:r>
      <w:r w:rsidR="00F0656F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</w:t>
      </w:r>
      <w:r w:rsidR="002A7CB8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Aga Khan Trust for Culture.</w:t>
      </w:r>
    </w:p>
    <w:p w:rsidR="00C05F99" w:rsidRPr="00E136BC" w:rsidRDefault="00C05F99" w:rsidP="00C05F99">
      <w:pPr>
        <w:spacing w:after="0" w:line="276" w:lineRule="auto"/>
        <w:rPr>
          <w:rFonts w:ascii="Calibri" w:hAnsi="Calibri" w:cs="Calibri"/>
          <w:color w:val="000000"/>
          <w:sz w:val="24"/>
          <w:szCs w:val="24"/>
          <w:lang w:val="en-GB" w:eastAsia="nb-NO"/>
        </w:rPr>
      </w:pPr>
    </w:p>
    <w:p w:rsidR="00D93410" w:rsidRPr="007350B9" w:rsidRDefault="005F611B" w:rsidP="00C05F99">
      <w:pPr>
        <w:spacing w:after="0" w:line="276" w:lineRule="auto"/>
        <w:rPr>
          <w:rFonts w:cstheme="minorHAnsi"/>
          <w:sz w:val="24"/>
          <w:szCs w:val="24"/>
          <w:lang w:val="en-GB" w:eastAsia="nb-NO"/>
        </w:rPr>
      </w:pPr>
      <w:r>
        <w:rPr>
          <w:rFonts w:ascii="Calibri" w:hAnsi="Calibri" w:cs="Calibri"/>
          <w:color w:val="000000"/>
          <w:sz w:val="24"/>
          <w:szCs w:val="24"/>
          <w:lang w:val="en-GB" w:eastAsia="nb-NO"/>
        </w:rPr>
        <w:t>Civil society o</w:t>
      </w:r>
      <w:r w:rsidR="005B7FA6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rganisations like </w:t>
      </w:r>
      <w:r w:rsidR="00F0656F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Arterial Network, Roberto </w:t>
      </w:r>
      <w:proofErr w:type="spellStart"/>
      <w:r w:rsidR="00F0656F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Cimetta</w:t>
      </w:r>
      <w:proofErr w:type="spellEnd"/>
      <w:r w:rsidR="00F0656F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Fund, Ara</w:t>
      </w:r>
      <w:r w:rsidR="005B7FA6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b Fund for Arts and Culture, </w:t>
      </w:r>
      <w:proofErr w:type="spellStart"/>
      <w:r w:rsidR="00F0656F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F</w:t>
      </w:r>
      <w:r w:rsidR="002478BE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reemuse</w:t>
      </w:r>
      <w:proofErr w:type="spellEnd"/>
      <w:r w:rsidR="002478BE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, Arts Move Africa (AMA) and</w:t>
      </w:r>
      <w:r w:rsidR="00F0656F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</w:t>
      </w:r>
      <w:proofErr w:type="spellStart"/>
      <w:r w:rsidR="00F0656F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No</w:t>
      </w:r>
      <w:r w:rsidR="002A7CB8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rcode</w:t>
      </w:r>
      <w:proofErr w:type="spellEnd"/>
      <w:r w:rsidR="002A7CB8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(copyright</w:t>
      </w:r>
      <w:r w:rsidR="00F0656F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and collecting management organisations)</w:t>
      </w:r>
      <w:r w:rsidR="005B7FA6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also receive funding from </w:t>
      </w:r>
      <w:r w:rsidR="00F516B0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the </w:t>
      </w:r>
      <w:r w:rsidR="005B7FA6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MFA</w:t>
      </w:r>
      <w:r w:rsidR="00F0656F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.</w:t>
      </w:r>
      <w:r w:rsidR="005B7FA6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They all contribute to the promotion and protection of cultural rights.</w:t>
      </w:r>
    </w:p>
    <w:p w:rsidR="0014585F" w:rsidRPr="00E136BC" w:rsidRDefault="0014585F" w:rsidP="0014585F">
      <w:pPr>
        <w:pStyle w:val="ListParagraph"/>
        <w:spacing w:after="0" w:line="276" w:lineRule="auto"/>
        <w:rPr>
          <w:rFonts w:ascii="Calibri" w:hAnsi="Calibri" w:cs="Calibri"/>
          <w:color w:val="000000"/>
          <w:sz w:val="24"/>
          <w:szCs w:val="24"/>
          <w:lang w:val="en-GB" w:eastAsia="nb-NO"/>
        </w:rPr>
      </w:pPr>
    </w:p>
    <w:p w:rsidR="0014585F" w:rsidRPr="00E136BC" w:rsidRDefault="005B7FA6" w:rsidP="005B7FA6">
      <w:pPr>
        <w:spacing w:after="0" w:line="276" w:lineRule="auto"/>
        <w:rPr>
          <w:rFonts w:ascii="Calibri" w:hAnsi="Calibri" w:cs="Calibri"/>
          <w:color w:val="000000"/>
          <w:sz w:val="24"/>
          <w:szCs w:val="24"/>
          <w:lang w:val="en-GB" w:eastAsia="nb-NO"/>
        </w:rPr>
      </w:pP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Norway</w:t>
      </w:r>
      <w:r w:rsidR="002A7CB8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</w:t>
      </w:r>
      <w:r w:rsidR="002478BE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would</w:t>
      </w:r>
      <w:r w:rsidR="00CD5775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welcome</w:t>
      </w:r>
      <w:r w:rsidR="002478BE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measures t</w:t>
      </w:r>
      <w:r w:rsidR="002A7CB8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hat </w:t>
      </w:r>
      <w:r w:rsidR="00F516B0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may </w:t>
      </w: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increase the knowledge </w:t>
      </w:r>
      <w:r w:rsidR="00C718E6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about the work of the SR for </w:t>
      </w: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cultural rights </w:t>
      </w:r>
      <w:r w:rsidR="00CD5775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among stakeholders.</w:t>
      </w:r>
      <w:r w:rsidR="002478BE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</w:t>
      </w:r>
    </w:p>
    <w:p w:rsidR="005B7FA6" w:rsidRPr="00E136BC" w:rsidRDefault="005B7FA6" w:rsidP="005B7FA6">
      <w:pPr>
        <w:spacing w:after="0" w:line="276" w:lineRule="auto"/>
        <w:rPr>
          <w:rFonts w:ascii="Calibri" w:hAnsi="Calibri" w:cs="Calibri"/>
          <w:color w:val="000000"/>
          <w:sz w:val="24"/>
          <w:szCs w:val="24"/>
          <w:lang w:val="en-GB" w:eastAsia="nb-NO"/>
        </w:rPr>
      </w:pPr>
    </w:p>
    <w:p w:rsidR="00A3479A" w:rsidRPr="00E136BC" w:rsidRDefault="002A7CB8" w:rsidP="00C05F99">
      <w:pPr>
        <w:spacing w:after="0" w:line="276" w:lineRule="auto"/>
        <w:rPr>
          <w:rFonts w:ascii="Calibri" w:hAnsi="Calibri" w:cs="Calibri"/>
          <w:color w:val="000000"/>
          <w:sz w:val="24"/>
          <w:szCs w:val="24"/>
          <w:lang w:val="en-GB" w:eastAsia="nb-NO"/>
        </w:rPr>
      </w:pP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We</w:t>
      </w:r>
      <w:r w:rsidR="0014585F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will also encourage a continued close collaboration between the SR and the rest of the </w:t>
      </w: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UN-system, in particular UNESCO, </w:t>
      </w:r>
      <w:r w:rsidR="00F516B0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including</w:t>
      </w: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efforts made to include</w:t>
      </w:r>
      <w:r w:rsidR="00A3479A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cult</w:t>
      </w:r>
      <w:r w:rsidR="00C718E6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ural rights into the UPR-reports</w:t>
      </w:r>
      <w:r w:rsidR="00A3479A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.</w:t>
      </w:r>
    </w:p>
    <w:p w:rsidR="00F0656F" w:rsidRPr="00E136BC" w:rsidRDefault="00F0656F" w:rsidP="002478BE">
      <w:pPr>
        <w:spacing w:after="0" w:line="276" w:lineRule="auto"/>
        <w:rPr>
          <w:rFonts w:ascii="Calibri" w:hAnsi="Calibri" w:cs="Calibri"/>
          <w:color w:val="000000"/>
          <w:sz w:val="24"/>
          <w:szCs w:val="24"/>
          <w:lang w:val="en-GB" w:eastAsia="nb-NO"/>
        </w:rPr>
      </w:pPr>
    </w:p>
    <w:p w:rsidR="00F0656F" w:rsidRPr="00E136BC" w:rsidRDefault="00F516B0" w:rsidP="00A3479A">
      <w:pPr>
        <w:pStyle w:val="ListParagraph"/>
        <w:numPr>
          <w:ilvl w:val="0"/>
          <w:numId w:val="3"/>
        </w:numPr>
        <w:spacing w:after="0" w:line="276" w:lineRule="auto"/>
        <w:rPr>
          <w:rFonts w:ascii="Calibri" w:hAnsi="Calibri" w:cs="Calibri"/>
          <w:color w:val="000000"/>
          <w:sz w:val="24"/>
          <w:szCs w:val="24"/>
          <w:lang w:val="en-GB" w:eastAsia="nb-NO"/>
        </w:rPr>
      </w:pPr>
      <w:r w:rsidRPr="00E136BC">
        <w:rPr>
          <w:rFonts w:ascii="Calibri" w:hAnsi="Calibri" w:cs="Calibri"/>
          <w:b/>
          <w:color w:val="000000"/>
          <w:sz w:val="24"/>
          <w:szCs w:val="24"/>
          <w:lang w:val="en-GB" w:eastAsia="nb-NO"/>
        </w:rPr>
        <w:t xml:space="preserve">The </w:t>
      </w:r>
      <w:r w:rsidR="002478BE" w:rsidRPr="00E136BC">
        <w:rPr>
          <w:rFonts w:ascii="Calibri" w:hAnsi="Calibri" w:cs="Calibri"/>
          <w:b/>
          <w:color w:val="000000"/>
          <w:sz w:val="24"/>
          <w:szCs w:val="24"/>
          <w:lang w:val="en-GB" w:eastAsia="nb-NO"/>
        </w:rPr>
        <w:t xml:space="preserve">MFA’s </w:t>
      </w:r>
      <w:r w:rsidR="0014585F" w:rsidRPr="00E136BC">
        <w:rPr>
          <w:rFonts w:ascii="Calibri" w:hAnsi="Calibri" w:cs="Calibri"/>
          <w:b/>
          <w:color w:val="000000"/>
          <w:sz w:val="24"/>
          <w:szCs w:val="24"/>
          <w:lang w:val="en-GB" w:eastAsia="nb-NO"/>
        </w:rPr>
        <w:t xml:space="preserve">key </w:t>
      </w:r>
      <w:r w:rsidR="002478BE" w:rsidRPr="00E136BC">
        <w:rPr>
          <w:rFonts w:ascii="Calibri" w:hAnsi="Calibri" w:cs="Calibri"/>
          <w:b/>
          <w:color w:val="000000"/>
          <w:sz w:val="24"/>
          <w:szCs w:val="24"/>
          <w:lang w:val="en-GB" w:eastAsia="nb-NO"/>
        </w:rPr>
        <w:t>partners</w:t>
      </w:r>
      <w:r w:rsidR="0014585F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suggest that the SR in the future</w:t>
      </w:r>
      <w:r w:rsidR="002478BE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:</w:t>
      </w:r>
    </w:p>
    <w:p w:rsidR="00AD1A07" w:rsidRPr="00E136BC" w:rsidRDefault="00AD1A07" w:rsidP="00AD1A07">
      <w:pPr>
        <w:pStyle w:val="ListParagraph"/>
        <w:numPr>
          <w:ilvl w:val="0"/>
          <w:numId w:val="5"/>
        </w:numPr>
        <w:spacing w:after="0" w:line="276" w:lineRule="auto"/>
        <w:rPr>
          <w:rFonts w:ascii="Calibri" w:hAnsi="Calibri" w:cs="Calibri"/>
          <w:color w:val="000000"/>
          <w:sz w:val="24"/>
          <w:szCs w:val="24"/>
          <w:lang w:val="en-GB" w:eastAsia="nb-NO"/>
        </w:rPr>
      </w:pP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Look into the growing tendency of self-censorship</w:t>
      </w:r>
      <w:r w:rsidR="0014585F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among artists and cultural </w:t>
      </w:r>
      <w:proofErr w:type="gramStart"/>
      <w:r w:rsidR="0014585F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workers</w:t>
      </w: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, also</w:t>
      </w:r>
      <w:proofErr w:type="gramEnd"/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in </w:t>
      </w:r>
      <w:r w:rsidR="00E46E23">
        <w:rPr>
          <w:rFonts w:ascii="Calibri" w:hAnsi="Calibri" w:cs="Calibri"/>
          <w:color w:val="000000"/>
          <w:sz w:val="24"/>
          <w:szCs w:val="24"/>
          <w:lang w:val="en-GB" w:eastAsia="nb-NO"/>
        </w:rPr>
        <w:t>“</w:t>
      </w:r>
      <w:r w:rsidR="00F516B0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developed</w:t>
      </w:r>
      <w:r w:rsidR="00E46E23">
        <w:rPr>
          <w:rFonts w:ascii="Calibri" w:hAnsi="Calibri" w:cs="Calibri"/>
          <w:color w:val="000000"/>
          <w:sz w:val="24"/>
          <w:szCs w:val="24"/>
          <w:lang w:val="en-GB" w:eastAsia="nb-NO"/>
        </w:rPr>
        <w:t>”</w:t>
      </w:r>
      <w:r w:rsidR="00F516B0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</w:t>
      </w: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countries</w:t>
      </w:r>
      <w:r w:rsidR="00F516B0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.</w:t>
      </w:r>
    </w:p>
    <w:p w:rsidR="00F0656F" w:rsidRPr="00E136BC" w:rsidRDefault="0014585F" w:rsidP="00F0656F">
      <w:pPr>
        <w:pStyle w:val="ListParagraph"/>
        <w:numPr>
          <w:ilvl w:val="0"/>
          <w:numId w:val="5"/>
        </w:numPr>
        <w:spacing w:after="0" w:line="276" w:lineRule="auto"/>
        <w:rPr>
          <w:rFonts w:ascii="Calibri" w:hAnsi="Calibri" w:cs="Calibri"/>
          <w:color w:val="000000"/>
          <w:sz w:val="24"/>
          <w:szCs w:val="24"/>
          <w:lang w:val="en-GB" w:eastAsia="nb-NO"/>
        </w:rPr>
      </w:pP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Elaborate more on</w:t>
      </w:r>
      <w:r w:rsidR="00FC517D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the effects of “everyday-fundamentalism”, look more into how </w:t>
      </w:r>
      <w:r w:rsidR="00F516B0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traditions </w:t>
      </w:r>
      <w:r w:rsidR="00FC517D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prevent creativity</w:t>
      </w:r>
      <w:r w:rsidR="002478BE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and art</w:t>
      </w:r>
    </w:p>
    <w:p w:rsidR="00FC517D" w:rsidRPr="00E136BC" w:rsidRDefault="00F516B0" w:rsidP="00F0656F">
      <w:pPr>
        <w:pStyle w:val="ListParagraph"/>
        <w:numPr>
          <w:ilvl w:val="0"/>
          <w:numId w:val="5"/>
        </w:numPr>
        <w:spacing w:after="0" w:line="276" w:lineRule="auto"/>
        <w:rPr>
          <w:rFonts w:ascii="Calibri" w:hAnsi="Calibri" w:cs="Calibri"/>
          <w:color w:val="000000"/>
          <w:sz w:val="24"/>
          <w:szCs w:val="24"/>
          <w:lang w:val="en-GB" w:eastAsia="nb-NO"/>
        </w:rPr>
      </w:pP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Contribute to i</w:t>
      </w:r>
      <w:r w:rsidR="00E46E23">
        <w:rPr>
          <w:rFonts w:ascii="Calibri" w:hAnsi="Calibri" w:cs="Calibri"/>
          <w:color w:val="000000"/>
          <w:sz w:val="24"/>
          <w:szCs w:val="24"/>
          <w:lang w:val="en-GB" w:eastAsia="nb-NO"/>
        </w:rPr>
        <w:t>ncreased</w:t>
      </w:r>
      <w:r w:rsidR="00FC517D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promotion of artistic expressions and creativity</w:t>
      </w:r>
    </w:p>
    <w:p w:rsidR="00AD1A07" w:rsidRPr="00E136BC" w:rsidRDefault="0014585F" w:rsidP="00F0656F">
      <w:pPr>
        <w:pStyle w:val="ListParagraph"/>
        <w:numPr>
          <w:ilvl w:val="0"/>
          <w:numId w:val="5"/>
        </w:numPr>
        <w:spacing w:after="0" w:line="276" w:lineRule="auto"/>
        <w:rPr>
          <w:rFonts w:ascii="Calibri" w:hAnsi="Calibri" w:cs="Calibri"/>
          <w:color w:val="000000"/>
          <w:sz w:val="24"/>
          <w:szCs w:val="24"/>
          <w:lang w:val="en-GB" w:eastAsia="nb-NO"/>
        </w:rPr>
      </w:pP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F</w:t>
      </w:r>
      <w:r w:rsidR="00AD1A07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ocus </w:t>
      </w: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(even more) </w:t>
      </w:r>
      <w:r w:rsidR="00AD1A07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on fighting gender based discrimination within the arts, including LGBT</w:t>
      </w:r>
      <w:r w:rsidR="00F516B0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IQ</w:t>
      </w:r>
      <w:r w:rsidR="00AD1A07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and minorities</w:t>
      </w:r>
    </w:p>
    <w:p w:rsidR="00AD1A07" w:rsidRPr="00E136BC" w:rsidRDefault="002A6192" w:rsidP="00F0656F">
      <w:pPr>
        <w:pStyle w:val="ListParagraph"/>
        <w:numPr>
          <w:ilvl w:val="0"/>
          <w:numId w:val="5"/>
        </w:numPr>
        <w:spacing w:after="0" w:line="276" w:lineRule="auto"/>
        <w:rPr>
          <w:rFonts w:ascii="Calibri" w:hAnsi="Calibri" w:cs="Calibri"/>
          <w:color w:val="000000"/>
          <w:sz w:val="24"/>
          <w:szCs w:val="24"/>
          <w:lang w:val="en-GB" w:eastAsia="nb-NO"/>
        </w:rPr>
      </w:pP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lastRenderedPageBreak/>
        <w:t>Offer concrete solu</w:t>
      </w:r>
      <w:r w:rsidR="00AD1A07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tions to member states to better promote and protect cultural expression</w:t>
      </w:r>
      <w:r w:rsidR="0014585F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s</w:t>
      </w:r>
      <w:r w:rsidR="007350B9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by changing</w:t>
      </w:r>
      <w:r w:rsidR="00AD1A07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laws, policy and m</w:t>
      </w:r>
      <w:r w:rsidR="00C718E6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easures</w:t>
      </w:r>
      <w:r w:rsidR="002478BE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used</w:t>
      </w:r>
      <w:r w:rsidR="00AD1A07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to persecu</w:t>
      </w:r>
      <w:r w:rsidR="00E46E23">
        <w:rPr>
          <w:rFonts w:ascii="Calibri" w:hAnsi="Calibri" w:cs="Calibri"/>
          <w:color w:val="000000"/>
          <w:sz w:val="24"/>
          <w:szCs w:val="24"/>
          <w:lang w:val="en-GB" w:eastAsia="nb-NO"/>
        </w:rPr>
        <w:t>te artists and cultural workers</w:t>
      </w:r>
    </w:p>
    <w:p w:rsidR="00AD1A07" w:rsidRPr="00E136BC" w:rsidRDefault="0014585F" w:rsidP="00F0656F">
      <w:pPr>
        <w:pStyle w:val="ListParagraph"/>
        <w:numPr>
          <w:ilvl w:val="0"/>
          <w:numId w:val="5"/>
        </w:numPr>
        <w:spacing w:after="0" w:line="276" w:lineRule="auto"/>
        <w:rPr>
          <w:rFonts w:ascii="Calibri" w:hAnsi="Calibri" w:cs="Calibri"/>
          <w:color w:val="000000"/>
          <w:sz w:val="24"/>
          <w:szCs w:val="24"/>
          <w:lang w:val="en-GB" w:eastAsia="nb-NO"/>
        </w:rPr>
      </w:pP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Increase</w:t>
      </w:r>
      <w:r w:rsidR="00AD1A07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the use of civil society research and information, engage more on po</w:t>
      </w: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licy opportunities and exchange</w:t>
      </w:r>
      <w:r w:rsidR="007350B9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s</w:t>
      </w:r>
      <w:r w:rsidR="00AD1A07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in her work</w:t>
      </w:r>
    </w:p>
    <w:p w:rsidR="00B812B0" w:rsidRPr="00E136BC" w:rsidRDefault="00A3479A" w:rsidP="00F0656F">
      <w:pPr>
        <w:pStyle w:val="ListParagraph"/>
        <w:numPr>
          <w:ilvl w:val="0"/>
          <w:numId w:val="5"/>
        </w:numPr>
        <w:spacing w:after="0" w:line="276" w:lineRule="auto"/>
        <w:rPr>
          <w:rFonts w:ascii="Calibri" w:hAnsi="Calibri" w:cs="Calibri"/>
          <w:color w:val="000000"/>
          <w:sz w:val="24"/>
          <w:szCs w:val="24"/>
          <w:lang w:val="en-GB" w:eastAsia="nb-NO"/>
        </w:rPr>
      </w:pP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Offer r</w:t>
      </w:r>
      <w:r w:rsidR="00AD1A07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egular and systematic feedback on whether </w:t>
      </w:r>
      <w:r w:rsidR="007350B9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the </w:t>
      </w:r>
      <w:r w:rsidR="00AD1A07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SR has acted on cases/topics that have been submitted</w:t>
      </w: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as complaints</w:t>
      </w:r>
    </w:p>
    <w:p w:rsidR="00B812B0" w:rsidRPr="00E136BC" w:rsidRDefault="00A3479A" w:rsidP="00F0656F">
      <w:pPr>
        <w:pStyle w:val="ListParagraph"/>
        <w:numPr>
          <w:ilvl w:val="0"/>
          <w:numId w:val="5"/>
        </w:numPr>
        <w:spacing w:after="0" w:line="276" w:lineRule="auto"/>
        <w:rPr>
          <w:rFonts w:ascii="Calibri" w:hAnsi="Calibri" w:cs="Calibri"/>
          <w:color w:val="000000"/>
          <w:sz w:val="24"/>
          <w:szCs w:val="24"/>
          <w:lang w:val="en-GB" w:eastAsia="nb-NO"/>
        </w:rPr>
      </w:pP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Strengthen her attention to creative copy</w:t>
      </w:r>
      <w:r w:rsidR="00B812B0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right (Ref. HR Declaration, Art. 27)</w:t>
      </w:r>
    </w:p>
    <w:p w:rsidR="00441AA1" w:rsidRPr="00E136BC" w:rsidRDefault="00A3479A" w:rsidP="002001BC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  <w:lang w:val="en-US"/>
        </w:rPr>
      </w:pPr>
      <w:proofErr w:type="gramStart"/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F</w:t>
      </w:r>
      <w:r w:rsidR="002128BB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urther</w:t>
      </w:r>
      <w:proofErr w:type="gramEnd"/>
      <w:r w:rsidR="002128BB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 </w:t>
      </w:r>
      <w:r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 xml:space="preserve">explore </w:t>
      </w:r>
      <w:r w:rsidR="002128BB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the integration of cultural rights in “conventional” cultural heritage interventions</w:t>
      </w:r>
      <w:r w:rsidR="00CD5775" w:rsidRPr="00E136BC">
        <w:rPr>
          <w:rFonts w:ascii="Calibri" w:hAnsi="Calibri" w:cs="Calibri"/>
          <w:color w:val="000000"/>
          <w:sz w:val="24"/>
          <w:szCs w:val="24"/>
          <w:lang w:val="en-GB" w:eastAsia="nb-NO"/>
        </w:rPr>
        <w:t>.</w:t>
      </w:r>
    </w:p>
    <w:sectPr w:rsidR="00441AA1" w:rsidRPr="00E13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79C"/>
    <w:multiLevelType w:val="hybridMultilevel"/>
    <w:tmpl w:val="E9D41A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00E5"/>
    <w:multiLevelType w:val="hybridMultilevel"/>
    <w:tmpl w:val="2020F1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B6971"/>
    <w:multiLevelType w:val="hybridMultilevel"/>
    <w:tmpl w:val="AF668DD8"/>
    <w:lvl w:ilvl="0" w:tplc="DB32B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C0855"/>
    <w:multiLevelType w:val="hybridMultilevel"/>
    <w:tmpl w:val="1EB8D460"/>
    <w:lvl w:ilvl="0" w:tplc="8A345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9456A"/>
    <w:multiLevelType w:val="hybridMultilevel"/>
    <w:tmpl w:val="D7E4F4DC"/>
    <w:lvl w:ilvl="0" w:tplc="B20A9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E5AA1"/>
    <w:multiLevelType w:val="hybridMultilevel"/>
    <w:tmpl w:val="E738D7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04130"/>
    <w:multiLevelType w:val="hybridMultilevel"/>
    <w:tmpl w:val="88DC0604"/>
    <w:lvl w:ilvl="0" w:tplc="570836F4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7D862B6"/>
    <w:multiLevelType w:val="hybridMultilevel"/>
    <w:tmpl w:val="34088C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A1"/>
    <w:rsid w:val="0014060E"/>
    <w:rsid w:val="0014585F"/>
    <w:rsid w:val="001B2D73"/>
    <w:rsid w:val="001B6AC6"/>
    <w:rsid w:val="002128BB"/>
    <w:rsid w:val="002478BE"/>
    <w:rsid w:val="002A6192"/>
    <w:rsid w:val="002A7CB8"/>
    <w:rsid w:val="00441AA1"/>
    <w:rsid w:val="00460F74"/>
    <w:rsid w:val="004E3929"/>
    <w:rsid w:val="005B7FA6"/>
    <w:rsid w:val="005F611B"/>
    <w:rsid w:val="007350B9"/>
    <w:rsid w:val="00821AC5"/>
    <w:rsid w:val="008B3E37"/>
    <w:rsid w:val="009977AD"/>
    <w:rsid w:val="00A3479A"/>
    <w:rsid w:val="00AD1A07"/>
    <w:rsid w:val="00AE73DE"/>
    <w:rsid w:val="00B075C1"/>
    <w:rsid w:val="00B80CD3"/>
    <w:rsid w:val="00B812B0"/>
    <w:rsid w:val="00BF552F"/>
    <w:rsid w:val="00C05A41"/>
    <w:rsid w:val="00C05F99"/>
    <w:rsid w:val="00C718E6"/>
    <w:rsid w:val="00CD5775"/>
    <w:rsid w:val="00D92FCF"/>
    <w:rsid w:val="00D93410"/>
    <w:rsid w:val="00E136BC"/>
    <w:rsid w:val="00E46E23"/>
    <w:rsid w:val="00EA2AC9"/>
    <w:rsid w:val="00F0656F"/>
    <w:rsid w:val="00F516B0"/>
    <w:rsid w:val="00F848E0"/>
    <w:rsid w:val="00FA1925"/>
    <w:rsid w:val="00F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6E41"/>
  <w15:chartTrackingRefBased/>
  <w15:docId w15:val="{48BF8D24-075D-4A36-9E91-4CAE4E63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AA1"/>
    <w:pPr>
      <w:ind w:left="720"/>
      <w:contextualSpacing/>
    </w:pPr>
  </w:style>
  <w:style w:type="table" w:styleId="TableGrid">
    <w:name w:val="Table Grid"/>
    <w:basedOn w:val="TableNormal"/>
    <w:uiPriority w:val="39"/>
    <w:rsid w:val="00D9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B8338D-C190-49AA-814F-776E0BD8EEE8}"/>
</file>

<file path=customXml/itemProps2.xml><?xml version="1.0" encoding="utf-8"?>
<ds:datastoreItem xmlns:ds="http://schemas.openxmlformats.org/officeDocument/2006/customXml" ds:itemID="{B95DDA66-B315-493B-967D-58E752CB2844}"/>
</file>

<file path=customXml/itemProps3.xml><?xml version="1.0" encoding="utf-8"?>
<ds:datastoreItem xmlns:ds="http://schemas.openxmlformats.org/officeDocument/2006/customXml" ds:itemID="{D5819332-50E5-4A14-9E0E-0A42DC86F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760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Langøy, Anne-Lise</dc:creator>
  <cp:keywords/>
  <dc:description/>
  <cp:lastModifiedBy>Langøy, Anne-Lise</cp:lastModifiedBy>
  <cp:revision>6</cp:revision>
  <dcterms:created xsi:type="dcterms:W3CDTF">2018-10-30T08:19:00Z</dcterms:created>
  <dcterms:modified xsi:type="dcterms:W3CDTF">2018-10-30T09:55:00Z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