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D0" w:rsidRPr="00065F99" w:rsidRDefault="00B926D0" w:rsidP="00B926D0">
      <w:pPr>
        <w:jc w:val="center"/>
        <w:rPr>
          <w:b/>
          <w:sz w:val="22"/>
        </w:rPr>
      </w:pPr>
      <w:r>
        <w:rPr>
          <w:b/>
        </w:rPr>
        <w:t xml:space="preserve">Mandate of </w:t>
      </w:r>
      <w:r w:rsidRPr="00160251">
        <w:rPr>
          <w:b/>
        </w:rPr>
        <w:t>the Special Rapporteur in the field of cultural rights</w:t>
      </w:r>
    </w:p>
    <w:p w:rsidR="00B926D0" w:rsidRDefault="00B926D0" w:rsidP="00B926D0">
      <w:pPr>
        <w:jc w:val="center"/>
        <w:rPr>
          <w:b/>
          <w:sz w:val="24"/>
          <w:szCs w:val="24"/>
        </w:rPr>
      </w:pPr>
    </w:p>
    <w:p w:rsidR="00B926D0" w:rsidRPr="00587E94" w:rsidRDefault="00B926D0" w:rsidP="00B926D0">
      <w:pPr>
        <w:jc w:val="right"/>
        <w:rPr>
          <w:sz w:val="24"/>
          <w:szCs w:val="24"/>
        </w:rPr>
      </w:pPr>
      <w:r>
        <w:rPr>
          <w:sz w:val="24"/>
          <w:szCs w:val="24"/>
        </w:rPr>
        <w:t>18 April 2019</w:t>
      </w:r>
    </w:p>
    <w:p w:rsidR="00B926D0" w:rsidRPr="00266D80" w:rsidRDefault="00B926D0" w:rsidP="00B926D0">
      <w:pPr>
        <w:jc w:val="center"/>
        <w:rPr>
          <w:b/>
          <w:sz w:val="24"/>
          <w:szCs w:val="24"/>
        </w:rPr>
      </w:pPr>
    </w:p>
    <w:p w:rsidR="00B926D0" w:rsidRPr="00266D80" w:rsidRDefault="00800792" w:rsidP="00B926D0">
      <w:pPr>
        <w:ind w:right="258"/>
        <w:jc w:val="both"/>
        <w:rPr>
          <w:sz w:val="24"/>
          <w:szCs w:val="24"/>
        </w:rPr>
      </w:pPr>
      <w:r w:rsidRPr="00266D80">
        <w:rPr>
          <w:sz w:val="24"/>
          <w:szCs w:val="24"/>
        </w:rPr>
        <w:t>Excellency</w:t>
      </w:r>
      <w:r w:rsidR="00B926D0" w:rsidRPr="00266D80">
        <w:rPr>
          <w:sz w:val="24"/>
          <w:szCs w:val="24"/>
        </w:rPr>
        <w:t>,</w:t>
      </w:r>
    </w:p>
    <w:p w:rsidR="00B926D0" w:rsidRPr="00266D80" w:rsidRDefault="00B926D0" w:rsidP="00B926D0">
      <w:pPr>
        <w:ind w:left="284" w:right="258"/>
        <w:jc w:val="both"/>
        <w:rPr>
          <w:sz w:val="24"/>
          <w:szCs w:val="24"/>
        </w:rPr>
      </w:pPr>
    </w:p>
    <w:p w:rsidR="00B926D0" w:rsidRPr="00266D80" w:rsidRDefault="00B926D0" w:rsidP="00B926D0">
      <w:pPr>
        <w:ind w:firstLine="720"/>
        <w:jc w:val="both"/>
        <w:rPr>
          <w:sz w:val="24"/>
          <w:szCs w:val="24"/>
        </w:rPr>
      </w:pPr>
      <w:r w:rsidRPr="00266D80">
        <w:rPr>
          <w:sz w:val="24"/>
          <w:szCs w:val="24"/>
        </w:rPr>
        <w:t xml:space="preserve">I have the honour to address you in my capacity as the United Nations Special Rapporteur in the field of cultural rights, pursuant to Human Rights Council resolution 37/12. </w:t>
      </w:r>
    </w:p>
    <w:p w:rsidR="00B926D0" w:rsidRPr="00266D80" w:rsidRDefault="00B926D0" w:rsidP="00B926D0">
      <w:pPr>
        <w:jc w:val="center"/>
        <w:rPr>
          <w:b/>
          <w:sz w:val="24"/>
          <w:szCs w:val="24"/>
        </w:rPr>
      </w:pPr>
    </w:p>
    <w:p w:rsidR="00B926D0" w:rsidRPr="00266D80" w:rsidRDefault="00B926D0" w:rsidP="00B926D0">
      <w:pPr>
        <w:jc w:val="both"/>
        <w:rPr>
          <w:iCs/>
          <w:sz w:val="24"/>
          <w:szCs w:val="24"/>
        </w:rPr>
      </w:pPr>
      <w:r w:rsidRPr="00266D80">
        <w:rPr>
          <w:sz w:val="24"/>
          <w:szCs w:val="24"/>
        </w:rPr>
        <w:t> </w:t>
      </w:r>
      <w:r w:rsidRPr="00266D80">
        <w:rPr>
          <w:sz w:val="24"/>
          <w:szCs w:val="24"/>
        </w:rPr>
        <w:tab/>
        <w:t xml:space="preserve">In my forthcoming thematic report to the General Assembly, I </w:t>
      </w:r>
      <w:r w:rsidRPr="00266D80">
        <w:rPr>
          <w:iCs/>
          <w:sz w:val="24"/>
          <w:szCs w:val="24"/>
        </w:rPr>
        <w:t xml:space="preserve">will </w:t>
      </w:r>
      <w:r>
        <w:rPr>
          <w:iCs/>
          <w:sz w:val="24"/>
          <w:szCs w:val="24"/>
        </w:rPr>
        <w:t>address the topic of “C</w:t>
      </w:r>
      <w:r w:rsidRPr="00266D80">
        <w:rPr>
          <w:iCs/>
          <w:sz w:val="24"/>
          <w:szCs w:val="24"/>
        </w:rPr>
        <w:t xml:space="preserve">ultural rights and public spaces”. </w:t>
      </w:r>
      <w:r>
        <w:rPr>
          <w:iCs/>
          <w:sz w:val="24"/>
          <w:szCs w:val="24"/>
        </w:rPr>
        <w:t xml:space="preserve">I am eager to consult a wide range of stakeholders, including </w:t>
      </w:r>
      <w:r w:rsidRPr="00266D80">
        <w:rPr>
          <w:sz w:val="24"/>
          <w:szCs w:val="24"/>
        </w:rPr>
        <w:t xml:space="preserve">States, United Nations agencies, academics, experts, artists, scientists, cultural workers and practitioners, </w:t>
      </w:r>
      <w:r>
        <w:rPr>
          <w:sz w:val="24"/>
          <w:szCs w:val="24"/>
        </w:rPr>
        <w:t>as well as</w:t>
      </w:r>
      <w:r w:rsidRPr="00266D80">
        <w:rPr>
          <w:sz w:val="24"/>
          <w:szCs w:val="24"/>
        </w:rPr>
        <w:t xml:space="preserve"> civil society organizations</w:t>
      </w:r>
      <w:r>
        <w:rPr>
          <w:sz w:val="24"/>
          <w:szCs w:val="24"/>
        </w:rPr>
        <w:t>, in order</w:t>
      </w:r>
      <w:r>
        <w:rPr>
          <w:iCs/>
          <w:sz w:val="24"/>
          <w:szCs w:val="24"/>
        </w:rPr>
        <w:t xml:space="preserve"> to benefit from their diverse views and experiences. Many</w:t>
      </w:r>
      <w:r w:rsidRPr="00266D80">
        <w:rPr>
          <w:iCs/>
          <w:sz w:val="24"/>
          <w:szCs w:val="24"/>
        </w:rPr>
        <w:t xml:space="preserve"> multifaceted issues are </w:t>
      </w:r>
      <w:r>
        <w:rPr>
          <w:iCs/>
          <w:sz w:val="24"/>
          <w:szCs w:val="24"/>
        </w:rPr>
        <w:t xml:space="preserve">indeed </w:t>
      </w:r>
      <w:r w:rsidRPr="00266D80">
        <w:rPr>
          <w:iCs/>
          <w:sz w:val="24"/>
          <w:szCs w:val="24"/>
        </w:rPr>
        <w:t>at stake</w:t>
      </w:r>
      <w:r>
        <w:rPr>
          <w:iCs/>
          <w:sz w:val="24"/>
          <w:szCs w:val="24"/>
        </w:rPr>
        <w:t xml:space="preserve">, as explained in my questionnaire. </w:t>
      </w:r>
    </w:p>
    <w:p w:rsidR="00B926D0" w:rsidRPr="00266D80" w:rsidRDefault="00B926D0" w:rsidP="00B926D0">
      <w:pPr>
        <w:jc w:val="both"/>
        <w:rPr>
          <w:iCs/>
          <w:sz w:val="24"/>
          <w:szCs w:val="24"/>
        </w:rPr>
      </w:pPr>
    </w:p>
    <w:p w:rsidR="00B926D0" w:rsidRPr="00EA619B" w:rsidRDefault="00B926D0" w:rsidP="00B926D0">
      <w:pPr>
        <w:ind w:firstLine="720"/>
        <w:jc w:val="both"/>
        <w:rPr>
          <w:iCs/>
          <w:sz w:val="24"/>
          <w:szCs w:val="24"/>
        </w:rPr>
      </w:pPr>
      <w:r w:rsidRPr="00266D80">
        <w:rPr>
          <w:iCs/>
          <w:sz w:val="24"/>
          <w:szCs w:val="24"/>
        </w:rPr>
        <w:t xml:space="preserve">I </w:t>
      </w:r>
      <w:r>
        <w:rPr>
          <w:iCs/>
          <w:sz w:val="24"/>
          <w:szCs w:val="24"/>
        </w:rPr>
        <w:t>would like to draw your attention to the fact that I use</w:t>
      </w:r>
      <w:r w:rsidRPr="00266D80">
        <w:rPr>
          <w:iCs/>
          <w:sz w:val="24"/>
          <w:szCs w:val="24"/>
        </w:rPr>
        <w:t xml:space="preserve"> the </w:t>
      </w:r>
      <w:r>
        <w:rPr>
          <w:iCs/>
          <w:sz w:val="24"/>
          <w:szCs w:val="24"/>
        </w:rPr>
        <w:t>term</w:t>
      </w:r>
      <w:r w:rsidRPr="00266D8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“</w:t>
      </w:r>
      <w:r w:rsidRPr="00266D80">
        <w:rPr>
          <w:iCs/>
          <w:sz w:val="24"/>
          <w:szCs w:val="24"/>
        </w:rPr>
        <w:t>public space</w:t>
      </w:r>
      <w:r>
        <w:rPr>
          <w:iCs/>
          <w:sz w:val="24"/>
          <w:szCs w:val="24"/>
        </w:rPr>
        <w:t>”</w:t>
      </w:r>
      <w:r w:rsidRPr="00266D80">
        <w:rPr>
          <w:iCs/>
          <w:sz w:val="24"/>
          <w:szCs w:val="24"/>
        </w:rPr>
        <w:t xml:space="preserve"> in its plural form, to underline the plurality and diversity of </w:t>
      </w:r>
      <w:r>
        <w:rPr>
          <w:iCs/>
          <w:sz w:val="24"/>
          <w:szCs w:val="24"/>
        </w:rPr>
        <w:t>“public spaces”</w:t>
      </w:r>
      <w:r w:rsidRPr="00266D80">
        <w:rPr>
          <w:iCs/>
          <w:sz w:val="24"/>
          <w:szCs w:val="24"/>
        </w:rPr>
        <w:t xml:space="preserve"> and their differences in nature and scope.</w:t>
      </w:r>
      <w:r>
        <w:rPr>
          <w:iCs/>
          <w:sz w:val="24"/>
          <w:szCs w:val="24"/>
        </w:rPr>
        <w:t xml:space="preserve"> </w:t>
      </w:r>
      <w:r w:rsidRPr="00266D80">
        <w:rPr>
          <w:iCs/>
          <w:sz w:val="24"/>
          <w:szCs w:val="24"/>
        </w:rPr>
        <w:t>Public spaces</w:t>
      </w:r>
      <w:r>
        <w:rPr>
          <w:iCs/>
          <w:sz w:val="24"/>
          <w:szCs w:val="24"/>
        </w:rPr>
        <w:t xml:space="preserve"> may</w:t>
      </w:r>
      <w:r w:rsidRPr="00266D80">
        <w:rPr>
          <w:iCs/>
          <w:sz w:val="24"/>
          <w:szCs w:val="24"/>
        </w:rPr>
        <w:t xml:space="preserve"> include</w:t>
      </w:r>
      <w:r>
        <w:rPr>
          <w:iCs/>
          <w:sz w:val="24"/>
          <w:szCs w:val="24"/>
        </w:rPr>
        <w:t>,</w:t>
      </w:r>
      <w:r w:rsidRPr="00266D80">
        <w:rPr>
          <w:iCs/>
          <w:sz w:val="24"/>
          <w:szCs w:val="24"/>
        </w:rPr>
        <w:t xml:space="preserve"> for example</w:t>
      </w:r>
      <w:r>
        <w:rPr>
          <w:iCs/>
          <w:sz w:val="24"/>
          <w:szCs w:val="24"/>
        </w:rPr>
        <w:t>,</w:t>
      </w:r>
      <w:r w:rsidRPr="00266D80">
        <w:rPr>
          <w:iCs/>
          <w:sz w:val="24"/>
          <w:szCs w:val="24"/>
        </w:rPr>
        <w:t xml:space="preserve"> not only urban bu</w:t>
      </w:r>
      <w:r>
        <w:rPr>
          <w:iCs/>
          <w:sz w:val="24"/>
          <w:szCs w:val="24"/>
        </w:rPr>
        <w:t>t also rural and natural spaces,</w:t>
      </w:r>
      <w:r w:rsidRPr="00266D80">
        <w:rPr>
          <w:iCs/>
          <w:sz w:val="24"/>
          <w:szCs w:val="24"/>
        </w:rPr>
        <w:t xml:space="preserve"> real and virtual spaces</w:t>
      </w:r>
      <w:r>
        <w:rPr>
          <w:iCs/>
          <w:sz w:val="24"/>
          <w:szCs w:val="24"/>
        </w:rPr>
        <w:t xml:space="preserve">. </w:t>
      </w:r>
    </w:p>
    <w:p w:rsidR="00B926D0" w:rsidRPr="00266D80" w:rsidRDefault="00B926D0" w:rsidP="00B926D0">
      <w:pPr>
        <w:ind w:firstLine="720"/>
        <w:jc w:val="both"/>
        <w:rPr>
          <w:sz w:val="24"/>
          <w:szCs w:val="24"/>
          <w:lang w:val="en-US"/>
        </w:rPr>
      </w:pPr>
    </w:p>
    <w:p w:rsidR="00B926D0" w:rsidRDefault="00B926D0" w:rsidP="00B926D0">
      <w:pPr>
        <w:ind w:firstLine="720"/>
        <w:jc w:val="both"/>
        <w:rPr>
          <w:sz w:val="24"/>
          <w:szCs w:val="24"/>
        </w:rPr>
      </w:pPr>
      <w:r w:rsidRPr="00266D80">
        <w:rPr>
          <w:sz w:val="24"/>
          <w:szCs w:val="24"/>
        </w:rPr>
        <w:t>Submissions should be sent electronically no later than</w:t>
      </w:r>
      <w:r w:rsidRPr="00266D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 May 2019</w:t>
      </w:r>
      <w:r w:rsidRPr="00266D80">
        <w:rPr>
          <w:b/>
          <w:bCs/>
          <w:sz w:val="24"/>
          <w:szCs w:val="24"/>
        </w:rPr>
        <w:t xml:space="preserve"> </w:t>
      </w:r>
      <w:r w:rsidRPr="00266D80">
        <w:rPr>
          <w:sz w:val="24"/>
          <w:szCs w:val="24"/>
        </w:rPr>
        <w:t xml:space="preserve">to </w:t>
      </w:r>
      <w:hyperlink r:id="rId7" w:history="1">
        <w:r w:rsidRPr="00266D80">
          <w:rPr>
            <w:rStyle w:val="Hyperlink"/>
            <w:sz w:val="24"/>
            <w:szCs w:val="24"/>
          </w:rPr>
          <w:t>srculturalrights@ohchr.org</w:t>
        </w:r>
      </w:hyperlink>
      <w:r w:rsidRPr="00266D80">
        <w:rPr>
          <w:bCs/>
          <w:sz w:val="24"/>
          <w:szCs w:val="24"/>
        </w:rPr>
        <w:t xml:space="preserve">, </w:t>
      </w:r>
      <w:r w:rsidRPr="00266D80">
        <w:rPr>
          <w:sz w:val="24"/>
          <w:szCs w:val="24"/>
        </w:rPr>
        <w:t xml:space="preserve">using the email title: “Submission: </w:t>
      </w:r>
      <w:r>
        <w:rPr>
          <w:sz w:val="24"/>
          <w:szCs w:val="24"/>
        </w:rPr>
        <w:t>Cultural rights and public spaces</w:t>
      </w:r>
      <w:r w:rsidRPr="00266D80">
        <w:rPr>
          <w:sz w:val="24"/>
          <w:szCs w:val="24"/>
        </w:rPr>
        <w:t xml:space="preserve">”. Please feel free to answer only the questions relevant to your work. Kindly limit your responses to </w:t>
      </w:r>
      <w:r w:rsidRPr="00800792">
        <w:rPr>
          <w:b/>
          <w:sz w:val="24"/>
          <w:szCs w:val="24"/>
        </w:rPr>
        <w:t>2,500 words</w:t>
      </w:r>
      <w:r w:rsidRPr="00266D80">
        <w:rPr>
          <w:sz w:val="24"/>
          <w:szCs w:val="24"/>
        </w:rPr>
        <w:t xml:space="preserve"> and attach annexes where necessary. To facilitate their consideration, it would be preferable if responses could be sent in the working languages of the OHCHR, English, French or Spanish. </w:t>
      </w:r>
    </w:p>
    <w:p w:rsidR="00B926D0" w:rsidRDefault="00B926D0" w:rsidP="00B926D0">
      <w:pPr>
        <w:ind w:firstLine="720"/>
        <w:jc w:val="both"/>
        <w:rPr>
          <w:sz w:val="24"/>
          <w:szCs w:val="24"/>
        </w:rPr>
      </w:pPr>
    </w:p>
    <w:p w:rsidR="00B926D0" w:rsidRPr="00266D80" w:rsidRDefault="00B926D0" w:rsidP="00B926D0">
      <w:pPr>
        <w:ind w:firstLine="720"/>
        <w:jc w:val="both"/>
        <w:rPr>
          <w:sz w:val="24"/>
          <w:szCs w:val="24"/>
        </w:rPr>
      </w:pPr>
      <w:r w:rsidRPr="00433538">
        <w:rPr>
          <w:sz w:val="24"/>
          <w:szCs w:val="24"/>
        </w:rPr>
        <w:t>Please also indicate if you have any objections with regard to your reply being posted on the OHCHR website.</w:t>
      </w:r>
      <w:r w:rsidRPr="00337A46">
        <w:rPr>
          <w:sz w:val="24"/>
          <w:szCs w:val="24"/>
        </w:rPr>
        <w:t xml:space="preserve"> </w:t>
      </w:r>
    </w:p>
    <w:p w:rsidR="00B926D0" w:rsidRPr="00266D80" w:rsidRDefault="00B926D0" w:rsidP="00B926D0">
      <w:pPr>
        <w:ind w:firstLine="720"/>
        <w:jc w:val="both"/>
        <w:rPr>
          <w:sz w:val="24"/>
          <w:szCs w:val="24"/>
        </w:rPr>
      </w:pPr>
    </w:p>
    <w:p w:rsidR="00B926D0" w:rsidRPr="00266D80" w:rsidRDefault="00B926D0" w:rsidP="00B926D0">
      <w:pPr>
        <w:ind w:firstLine="720"/>
        <w:jc w:val="both"/>
        <w:rPr>
          <w:color w:val="000000"/>
          <w:sz w:val="24"/>
          <w:szCs w:val="24"/>
        </w:rPr>
      </w:pPr>
      <w:r w:rsidRPr="00266D80">
        <w:rPr>
          <w:color w:val="000000"/>
          <w:sz w:val="24"/>
          <w:szCs w:val="24"/>
        </w:rPr>
        <w:t xml:space="preserve">I wish to thank you in advance for your cooperation and I hope to continue a constructive dialogue on issues related to my mandate. </w:t>
      </w:r>
      <w:r w:rsidRPr="00266D80">
        <w:rPr>
          <w:color w:val="000000"/>
          <w:sz w:val="24"/>
          <w:szCs w:val="24"/>
        </w:rPr>
        <w:tab/>
      </w:r>
    </w:p>
    <w:p w:rsidR="00B926D0" w:rsidRPr="00266D80" w:rsidRDefault="00B926D0" w:rsidP="00B926D0">
      <w:pPr>
        <w:spacing w:line="240" w:lineRule="atLeast"/>
        <w:jc w:val="both"/>
        <w:rPr>
          <w:color w:val="000000"/>
          <w:sz w:val="24"/>
          <w:szCs w:val="24"/>
        </w:rPr>
      </w:pPr>
    </w:p>
    <w:p w:rsidR="00B926D0" w:rsidRPr="00266D80" w:rsidRDefault="00B926D0" w:rsidP="00B926D0">
      <w:pPr>
        <w:ind w:right="528" w:firstLine="720"/>
        <w:rPr>
          <w:sz w:val="24"/>
          <w:szCs w:val="24"/>
        </w:rPr>
      </w:pPr>
      <w:r w:rsidRPr="00266D80">
        <w:rPr>
          <w:sz w:val="24"/>
          <w:szCs w:val="24"/>
        </w:rPr>
        <w:t xml:space="preserve">Please accept, </w:t>
      </w:r>
      <w:r w:rsidR="00800792" w:rsidRPr="00266D80">
        <w:rPr>
          <w:sz w:val="24"/>
          <w:szCs w:val="24"/>
        </w:rPr>
        <w:t>Excellency</w:t>
      </w:r>
      <w:r w:rsidRPr="00266D80">
        <w:rPr>
          <w:sz w:val="24"/>
          <w:szCs w:val="24"/>
        </w:rPr>
        <w:t>, the assurances of my highest consideration.</w:t>
      </w:r>
    </w:p>
    <w:p w:rsidR="00B926D0" w:rsidRPr="00266D80" w:rsidRDefault="00B926D0" w:rsidP="00B926D0">
      <w:pPr>
        <w:ind w:right="528" w:firstLine="720"/>
        <w:rPr>
          <w:sz w:val="24"/>
          <w:szCs w:val="24"/>
        </w:rPr>
      </w:pPr>
    </w:p>
    <w:p w:rsidR="00B926D0" w:rsidRPr="00433538" w:rsidRDefault="00B926D0" w:rsidP="00B926D0">
      <w:pPr>
        <w:ind w:right="528" w:firstLine="720"/>
        <w:rPr>
          <w:sz w:val="24"/>
          <w:szCs w:val="24"/>
        </w:rPr>
      </w:pPr>
    </w:p>
    <w:p w:rsidR="00B926D0" w:rsidRDefault="00B926D0" w:rsidP="00B926D0">
      <w:pPr>
        <w:jc w:val="center"/>
        <w:rPr>
          <w:sz w:val="22"/>
          <w:szCs w:val="22"/>
        </w:rPr>
      </w:pPr>
      <w:r w:rsidRPr="00F77D5C">
        <w:rPr>
          <w:noProof/>
          <w:lang w:eastAsia="en-GB"/>
        </w:rPr>
        <w:drawing>
          <wp:inline distT="0" distB="0" distL="0" distR="0">
            <wp:extent cx="1654175" cy="723265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6D0" w:rsidRDefault="00B926D0" w:rsidP="00B926D0">
      <w:pPr>
        <w:jc w:val="center"/>
        <w:rPr>
          <w:sz w:val="22"/>
          <w:szCs w:val="22"/>
        </w:rPr>
      </w:pPr>
    </w:p>
    <w:p w:rsidR="00B926D0" w:rsidRPr="0043526C" w:rsidRDefault="00B926D0" w:rsidP="00B926D0">
      <w:pPr>
        <w:jc w:val="center"/>
        <w:rPr>
          <w:sz w:val="24"/>
          <w:szCs w:val="22"/>
        </w:rPr>
      </w:pPr>
      <w:r w:rsidRPr="0043526C">
        <w:rPr>
          <w:sz w:val="24"/>
          <w:szCs w:val="22"/>
        </w:rPr>
        <w:t>Karima Bennoune</w:t>
      </w:r>
    </w:p>
    <w:p w:rsidR="00B926D0" w:rsidRPr="009916D0" w:rsidRDefault="00B926D0" w:rsidP="00B926D0">
      <w:pPr>
        <w:ind w:right="528"/>
        <w:jc w:val="center"/>
        <w:rPr>
          <w:sz w:val="24"/>
          <w:szCs w:val="24"/>
        </w:rPr>
      </w:pPr>
      <w:r>
        <w:rPr>
          <w:kern w:val="2"/>
          <w:sz w:val="24"/>
          <w:szCs w:val="24"/>
        </w:rPr>
        <w:t>Special Rapporteur</w:t>
      </w:r>
      <w:r w:rsidRPr="00433538">
        <w:rPr>
          <w:kern w:val="2"/>
          <w:sz w:val="24"/>
          <w:szCs w:val="24"/>
        </w:rPr>
        <w:t xml:space="preserve"> in the field of cultural rights</w:t>
      </w:r>
    </w:p>
    <w:p w:rsidR="00B926D0" w:rsidRPr="00C404FF" w:rsidRDefault="00B926D0" w:rsidP="00B926D0">
      <w:pPr>
        <w:ind w:firstLine="720"/>
        <w:jc w:val="both"/>
        <w:rPr>
          <w:sz w:val="24"/>
          <w:szCs w:val="24"/>
        </w:rPr>
      </w:pPr>
    </w:p>
    <w:p w:rsidR="00346409" w:rsidRDefault="000416DA" w:rsidP="00800792">
      <w:bookmarkStart w:id="0" w:name="_GoBack"/>
      <w:bookmarkEnd w:id="0"/>
    </w:p>
    <w:sectPr w:rsidR="00346409" w:rsidSect="000619FB">
      <w:headerReference w:type="default" r:id="rId9"/>
      <w:headerReference w:type="first" r:id="rId10"/>
      <w:footerReference w:type="first" r:id="rId11"/>
      <w:pgSz w:w="11906" w:h="16838" w:code="9"/>
      <w:pgMar w:top="1134" w:right="1701" w:bottom="289" w:left="1701" w:header="227" w:footer="56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DA" w:rsidRDefault="000416DA">
      <w:r>
        <w:separator/>
      </w:r>
    </w:p>
  </w:endnote>
  <w:endnote w:type="continuationSeparator" w:id="0">
    <w:p w:rsidR="000416DA" w:rsidRDefault="0004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FB" w:rsidRPr="000619FB" w:rsidRDefault="00B926D0" w:rsidP="000619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79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DA" w:rsidRDefault="000416DA">
      <w:r>
        <w:separator/>
      </w:r>
    </w:p>
  </w:footnote>
  <w:footnote w:type="continuationSeparator" w:id="0">
    <w:p w:rsidR="000416DA" w:rsidRDefault="0004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FB" w:rsidRPr="000619FB" w:rsidRDefault="000416DA" w:rsidP="00061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1C" w:rsidRPr="00925A9D" w:rsidRDefault="00B926D0" w:rsidP="0043526C">
    <w:pPr>
      <w:pStyle w:val="Header"/>
      <w:tabs>
        <w:tab w:val="clear" w:pos="4153"/>
        <w:tab w:val="clear" w:pos="8306"/>
      </w:tabs>
      <w:jc w:val="center"/>
      <w:rPr>
        <w:sz w:val="14"/>
        <w:szCs w:val="14"/>
        <w:lang w:val="en-GB"/>
      </w:rPr>
    </w:pPr>
    <w:r w:rsidRPr="00D70CB3">
      <w:rPr>
        <w:noProof/>
        <w:snapToGrid/>
        <w:sz w:val="14"/>
        <w:szCs w:val="14"/>
        <w:lang w:val="en-GB" w:eastAsia="en-GB"/>
      </w:rPr>
      <w:drawing>
        <wp:inline distT="0" distB="0" distL="0" distR="0">
          <wp:extent cx="2834640" cy="1221740"/>
          <wp:effectExtent l="0" t="0" r="0" b="0"/>
          <wp:docPr id="2" name="Picture 2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41C" w:rsidRPr="002745FF" w:rsidRDefault="00B926D0" w:rsidP="0043526C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>PALAIS DES NATIONS • 1211 GENEVA 10, SWITZERLAND</w:t>
    </w:r>
  </w:p>
  <w:p w:rsidR="00CF641C" w:rsidRPr="0043526C" w:rsidRDefault="00B926D0" w:rsidP="0043526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</w:t>
    </w:r>
    <w:r w:rsidRPr="002745FF">
      <w:rPr>
        <w:sz w:val="14"/>
        <w:szCs w:val="14"/>
        <w:lang w:val="fr-CH"/>
      </w:rPr>
      <w:t xml:space="preserve">+41 22 917 9000 • FAX: </w:t>
    </w:r>
    <w:r>
      <w:rPr>
        <w:sz w:val="14"/>
        <w:szCs w:val="14"/>
        <w:lang w:val="fr-CH"/>
      </w:rPr>
      <w:t xml:space="preserve">+41 22 917 9008 • E-MAIL: </w:t>
    </w:r>
    <w:r w:rsidRPr="002745FF">
      <w:rPr>
        <w:sz w:val="14"/>
        <w:szCs w:val="14"/>
        <w:lang w:val="fr-CH"/>
      </w:rPr>
      <w:t>registry@ohchr.org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755EE"/>
    <w:multiLevelType w:val="hybridMultilevel"/>
    <w:tmpl w:val="84308ECA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0"/>
    <w:rsid w:val="000416DA"/>
    <w:rsid w:val="005162B4"/>
    <w:rsid w:val="00565D11"/>
    <w:rsid w:val="00800792"/>
    <w:rsid w:val="00B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C4603-12B0-428D-B207-7B7D0836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6D0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926D0"/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B926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6D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926D0"/>
    <w:rPr>
      <w:color w:val="0000FF"/>
      <w:u w:val="single"/>
    </w:rPr>
  </w:style>
  <w:style w:type="character" w:styleId="CommentReference">
    <w:name w:val="annotation reference"/>
    <w:rsid w:val="00B926D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926D0"/>
    <w:pPr>
      <w:ind w:left="720"/>
    </w:pPr>
  </w:style>
  <w:style w:type="paragraph" w:customStyle="1" w:styleId="SingleTxtG">
    <w:name w:val="_ Single Txt_G"/>
    <w:basedOn w:val="Normal"/>
    <w:link w:val="SingleTxtGChar"/>
    <w:rsid w:val="00B926D0"/>
    <w:pPr>
      <w:suppressAutoHyphens/>
      <w:spacing w:after="120" w:line="240" w:lineRule="atLeast"/>
      <w:ind w:left="1134" w:right="1134"/>
      <w:jc w:val="both"/>
    </w:pPr>
  </w:style>
  <w:style w:type="character" w:customStyle="1" w:styleId="SingleTxtGChar">
    <w:name w:val="_ Single Txt_G Char"/>
    <w:link w:val="SingleTxtG"/>
    <w:rsid w:val="00B926D0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B92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culturalrights@ohch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79B736-DE46-4E74-91A3-DA37EF985C49}"/>
</file>

<file path=customXml/itemProps2.xml><?xml version="1.0" encoding="utf-8"?>
<ds:datastoreItem xmlns:ds="http://schemas.openxmlformats.org/officeDocument/2006/customXml" ds:itemID="{90785697-AC1F-489A-9BBC-1E4C0457B1DB}"/>
</file>

<file path=customXml/itemProps3.xml><?xml version="1.0" encoding="utf-8"?>
<ds:datastoreItem xmlns:ds="http://schemas.openxmlformats.org/officeDocument/2006/customXml" ds:itemID="{41323C79-A39D-427B-ADDD-AC26ECCE55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 Johanne</dc:creator>
  <cp:keywords/>
  <dc:description/>
  <cp:lastModifiedBy>BOUCHARD Johanne</cp:lastModifiedBy>
  <cp:revision>2</cp:revision>
  <dcterms:created xsi:type="dcterms:W3CDTF">2019-10-04T13:55:00Z</dcterms:created>
  <dcterms:modified xsi:type="dcterms:W3CDTF">2019-10-04T14:00:00Z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