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D9DC3" w14:textId="77777777" w:rsidR="00A85476" w:rsidRDefault="00A85476" w:rsidP="00A85476">
      <w:pPr>
        <w:jc w:val="center"/>
        <w:rPr>
          <w:rFonts w:ascii="Corporate A" w:hAnsi="Corporate A" w:cstheme="majorBidi"/>
          <w:b/>
          <w:bCs/>
          <w:sz w:val="28"/>
          <w:szCs w:val="28"/>
        </w:rPr>
      </w:pPr>
      <w:r w:rsidRPr="000B4A00">
        <w:rPr>
          <w:rFonts w:ascii="Corporate A" w:hAnsi="Corporate A" w:cstheme="majorBidi"/>
          <w:b/>
          <w:bCs/>
          <w:sz w:val="28"/>
          <w:szCs w:val="28"/>
        </w:rPr>
        <w:t>Integrating Economic, Social</w:t>
      </w:r>
      <w:r>
        <w:rPr>
          <w:rFonts w:ascii="Corporate A" w:hAnsi="Corporate A" w:cstheme="majorBidi"/>
          <w:b/>
          <w:bCs/>
          <w:sz w:val="28"/>
          <w:szCs w:val="28"/>
        </w:rPr>
        <w:t>,</w:t>
      </w:r>
      <w:r w:rsidRPr="000B4A00">
        <w:rPr>
          <w:rFonts w:ascii="Corporate A" w:hAnsi="Corporate A" w:cstheme="majorBidi"/>
          <w:b/>
          <w:bCs/>
          <w:sz w:val="28"/>
          <w:szCs w:val="28"/>
        </w:rPr>
        <w:t xml:space="preserve"> and Cultural Rights in </w:t>
      </w:r>
    </w:p>
    <w:p w14:paraId="19DA044E" w14:textId="77777777" w:rsidR="00A85476" w:rsidRPr="000B4A00" w:rsidRDefault="00A85476" w:rsidP="00A85476">
      <w:pPr>
        <w:spacing w:after="100" w:afterAutospacing="1"/>
        <w:jc w:val="center"/>
        <w:rPr>
          <w:rFonts w:ascii="Corporate A" w:hAnsi="Corporate A" w:cstheme="majorBidi"/>
          <w:b/>
          <w:bCs/>
          <w:sz w:val="28"/>
          <w:szCs w:val="28"/>
        </w:rPr>
      </w:pPr>
      <w:r w:rsidRPr="000B4A00">
        <w:rPr>
          <w:rFonts w:ascii="Corporate A" w:hAnsi="Corporate A" w:cstheme="majorBidi"/>
          <w:b/>
          <w:bCs/>
          <w:sz w:val="28"/>
          <w:szCs w:val="28"/>
        </w:rPr>
        <w:t>Transitional Justice Processes:</w:t>
      </w:r>
    </w:p>
    <w:p w14:paraId="5BE3DC3B" w14:textId="77777777" w:rsidR="00A85476" w:rsidRPr="000B4A00" w:rsidRDefault="00A85476" w:rsidP="00A85476">
      <w:pPr>
        <w:jc w:val="center"/>
        <w:rPr>
          <w:rFonts w:ascii="Corporate A" w:hAnsi="Corporate A" w:cstheme="majorBidi"/>
          <w:b/>
          <w:bCs/>
          <w:sz w:val="28"/>
          <w:szCs w:val="28"/>
        </w:rPr>
      </w:pPr>
      <w:proofErr w:type="gramStart"/>
      <w:r>
        <w:rPr>
          <w:rFonts w:ascii="Corporate A" w:hAnsi="Corporate A" w:cstheme="majorBidi"/>
          <w:b/>
          <w:bCs/>
          <w:sz w:val="28"/>
          <w:szCs w:val="28"/>
        </w:rPr>
        <w:t>A V</w:t>
      </w:r>
      <w:r w:rsidRPr="000B4A00">
        <w:rPr>
          <w:rFonts w:ascii="Corporate A" w:hAnsi="Corporate A" w:cstheme="majorBidi"/>
          <w:b/>
          <w:bCs/>
          <w:sz w:val="28"/>
          <w:szCs w:val="28"/>
        </w:rPr>
        <w:t xml:space="preserve">ehicle for </w:t>
      </w:r>
      <w:r>
        <w:rPr>
          <w:rFonts w:ascii="Corporate A" w:hAnsi="Corporate A" w:cstheme="majorBidi"/>
          <w:b/>
          <w:bCs/>
          <w:sz w:val="28"/>
          <w:szCs w:val="28"/>
        </w:rPr>
        <w:t>R</w:t>
      </w:r>
      <w:r w:rsidRPr="000B4A00">
        <w:rPr>
          <w:rFonts w:ascii="Corporate A" w:hAnsi="Corporate A" w:cstheme="majorBidi"/>
          <w:b/>
          <w:bCs/>
          <w:sz w:val="28"/>
          <w:szCs w:val="28"/>
        </w:rPr>
        <w:t>eform in the Middle East and North Africa?</w:t>
      </w:r>
      <w:proofErr w:type="gramEnd"/>
    </w:p>
    <w:p w14:paraId="4F84B09A" w14:textId="77777777" w:rsidR="00A85476" w:rsidRPr="00AA2C94" w:rsidRDefault="00A85476" w:rsidP="00A85476">
      <w:pPr>
        <w:jc w:val="center"/>
        <w:rPr>
          <w:rFonts w:ascii="Corporate A" w:hAnsi="Corporate A" w:cstheme="majorBidi"/>
          <w:b/>
          <w:bCs/>
          <w:sz w:val="10"/>
          <w:szCs w:val="10"/>
        </w:rPr>
      </w:pPr>
    </w:p>
    <w:p w14:paraId="3077F6BD" w14:textId="77777777" w:rsidR="00A85476" w:rsidRDefault="00A85476" w:rsidP="00A85476">
      <w:pPr>
        <w:jc w:val="center"/>
        <w:rPr>
          <w:rFonts w:ascii="Corporate S" w:hAnsi="Corporate S" w:cstheme="majorBidi"/>
          <w:b/>
          <w:bCs/>
          <w:sz w:val="26"/>
          <w:szCs w:val="26"/>
        </w:rPr>
      </w:pPr>
    </w:p>
    <w:p w14:paraId="05416EA1" w14:textId="77777777" w:rsidR="00A85476" w:rsidRPr="00716020" w:rsidRDefault="00A85476" w:rsidP="00A85476">
      <w:pPr>
        <w:spacing w:after="120"/>
        <w:jc w:val="center"/>
        <w:rPr>
          <w:rFonts w:ascii="Corporate S" w:hAnsi="Corporate S" w:cstheme="majorBidi"/>
          <w:b/>
          <w:bCs/>
          <w:sz w:val="26"/>
          <w:szCs w:val="26"/>
        </w:rPr>
      </w:pPr>
      <w:r w:rsidRPr="00716020">
        <w:rPr>
          <w:rFonts w:ascii="Corporate S" w:hAnsi="Corporate S" w:cstheme="majorBidi"/>
          <w:b/>
          <w:bCs/>
          <w:sz w:val="26"/>
          <w:szCs w:val="26"/>
        </w:rPr>
        <w:t>Tunis, September 24-26, 2014</w:t>
      </w:r>
    </w:p>
    <w:p w14:paraId="3A3DD248" w14:textId="77777777" w:rsidR="00A85476" w:rsidRDefault="00A85476" w:rsidP="00A85476">
      <w:pPr>
        <w:rPr>
          <w:rFonts w:ascii="Corporate S" w:hAnsi="Corporate S" w:cstheme="majorBidi"/>
          <w:b/>
          <w:sz w:val="26"/>
          <w:szCs w:val="26"/>
        </w:rPr>
      </w:pPr>
    </w:p>
    <w:p w14:paraId="70B8EC0B" w14:textId="77777777" w:rsidR="00A85476" w:rsidRPr="00946FCA" w:rsidRDefault="00A85476" w:rsidP="00A85476">
      <w:pPr>
        <w:rPr>
          <w:rFonts w:cstheme="majorBidi"/>
          <w:b/>
          <w:color w:val="244061" w:themeColor="accent1" w:themeShade="80"/>
          <w:sz w:val="26"/>
          <w:szCs w:val="26"/>
        </w:rPr>
      </w:pPr>
      <w:r w:rsidRPr="00946FCA">
        <w:rPr>
          <w:rFonts w:cstheme="majorBidi"/>
          <w:b/>
          <w:color w:val="244061" w:themeColor="accent1" w:themeShade="80"/>
          <w:sz w:val="26"/>
          <w:szCs w:val="26"/>
        </w:rPr>
        <w:t xml:space="preserve">Concluding Session </w:t>
      </w:r>
      <w:r w:rsidR="000E3062" w:rsidRPr="00946FCA">
        <w:rPr>
          <w:b/>
          <w:color w:val="244061" w:themeColor="accent1" w:themeShade="80"/>
        </w:rPr>
        <w:t xml:space="preserve">Concluding remarks: </w:t>
      </w:r>
      <w:r w:rsidRPr="008A0F9C">
        <w:rPr>
          <w:rFonts w:cstheme="majorBidi"/>
          <w:color w:val="244061" w:themeColor="accent1" w:themeShade="80"/>
          <w:sz w:val="26"/>
          <w:szCs w:val="26"/>
        </w:rPr>
        <w:t>(</w:t>
      </w:r>
      <w:r w:rsidRPr="00946FCA">
        <w:rPr>
          <w:rFonts w:cstheme="majorBidi"/>
          <w:color w:val="244061" w:themeColor="accent1" w:themeShade="80"/>
          <w:sz w:val="26"/>
          <w:szCs w:val="26"/>
        </w:rPr>
        <w:t>Friday, September 26, 2014</w:t>
      </w:r>
      <w:r w:rsidRPr="00946FCA">
        <w:rPr>
          <w:rFonts w:cstheme="majorBidi"/>
          <w:b/>
          <w:color w:val="244061" w:themeColor="accent1" w:themeShade="80"/>
          <w:sz w:val="26"/>
          <w:szCs w:val="26"/>
        </w:rPr>
        <w:t>)</w:t>
      </w:r>
    </w:p>
    <w:p w14:paraId="014464AD" w14:textId="77777777" w:rsidR="00A85476" w:rsidRPr="00946FCA" w:rsidRDefault="00A85476"/>
    <w:p w14:paraId="37D6EBEF" w14:textId="77777777" w:rsidR="00A85476" w:rsidRPr="00946FCA" w:rsidRDefault="00A85476" w:rsidP="000E3062">
      <w:pPr>
        <w:jc w:val="right"/>
      </w:pPr>
      <w:proofErr w:type="spellStart"/>
      <w:r w:rsidRPr="00946FCA">
        <w:t>Ms</w:t>
      </w:r>
      <w:proofErr w:type="spellEnd"/>
      <w:r w:rsidRPr="00946FCA">
        <w:t xml:space="preserve"> Farida Shaheed, UN Special Rapporteur in the field of Cultural Rights </w:t>
      </w:r>
    </w:p>
    <w:p w14:paraId="4B25F44F" w14:textId="77777777" w:rsidR="00CB6679" w:rsidRPr="00946FCA" w:rsidRDefault="00CB6679"/>
    <w:p w14:paraId="0A1A60C1" w14:textId="77777777" w:rsidR="00ED303D" w:rsidRPr="00946FCA" w:rsidRDefault="00ED303D" w:rsidP="000E3062">
      <w:pPr>
        <w:ind w:right="-347"/>
      </w:pPr>
      <w:r w:rsidRPr="00946FCA">
        <w:t xml:space="preserve">Ladies and gentlemen, </w:t>
      </w:r>
    </w:p>
    <w:p w14:paraId="30FE8EBA" w14:textId="77777777" w:rsidR="00ED303D" w:rsidRPr="00946FCA" w:rsidRDefault="00ED303D" w:rsidP="000E3062">
      <w:pPr>
        <w:ind w:right="-347"/>
      </w:pPr>
    </w:p>
    <w:p w14:paraId="30B63B68" w14:textId="26767B3D" w:rsidR="00ED303D" w:rsidRPr="00946FCA" w:rsidRDefault="00DA1462" w:rsidP="000E3062">
      <w:pPr>
        <w:ind w:right="-347"/>
      </w:pPr>
      <w:r w:rsidRPr="00946FCA">
        <w:t xml:space="preserve">I would like to thank </w:t>
      </w:r>
      <w:r w:rsidR="000E3062" w:rsidRPr="00946FCA">
        <w:t xml:space="preserve">all the </w:t>
      </w:r>
      <w:proofErr w:type="spellStart"/>
      <w:r w:rsidR="000E3062" w:rsidRPr="00946FCA">
        <w:t>organisers</w:t>
      </w:r>
      <w:proofErr w:type="spellEnd"/>
      <w:r w:rsidR="000E3062" w:rsidRPr="00946FCA">
        <w:t xml:space="preserve"> for </w:t>
      </w:r>
      <w:r w:rsidRPr="00946FCA">
        <w:t xml:space="preserve">giving me the opportunity to address </w:t>
      </w:r>
      <w:r w:rsidR="000E3062" w:rsidRPr="00946FCA">
        <w:t xml:space="preserve">this important forum on transitional justice processes in the Middle </w:t>
      </w:r>
      <w:r w:rsidR="00ED303D" w:rsidRPr="00946FCA">
        <w:t>E</w:t>
      </w:r>
      <w:r w:rsidR="000E3062" w:rsidRPr="00946FCA">
        <w:t>ast and North Africa</w:t>
      </w:r>
      <w:r w:rsidRPr="00946FCA">
        <w:t>, and to congratulate you and everyone participating. The sessions indicate how engaged people have been with the issues</w:t>
      </w:r>
      <w:r w:rsidR="00ED303D" w:rsidRPr="00946FCA">
        <w:t xml:space="preserve">, </w:t>
      </w:r>
      <w:r w:rsidRPr="00946FCA">
        <w:t xml:space="preserve">and I have </w:t>
      </w:r>
      <w:r w:rsidR="00425F67" w:rsidRPr="00946FCA">
        <w:t>appreciated</w:t>
      </w:r>
      <w:r w:rsidRPr="00946FCA">
        <w:t xml:space="preserve"> </w:t>
      </w:r>
      <w:r w:rsidR="00ED303D" w:rsidRPr="00946FCA">
        <w:t xml:space="preserve">many of </w:t>
      </w:r>
      <w:r w:rsidRPr="00946FCA">
        <w:t xml:space="preserve">the </w:t>
      </w:r>
      <w:r w:rsidR="000E3062" w:rsidRPr="00946FCA">
        <w:t xml:space="preserve">contributions </w:t>
      </w:r>
      <w:r w:rsidRPr="00946FCA">
        <w:t>and discussions</w:t>
      </w:r>
      <w:r w:rsidR="000E3062" w:rsidRPr="00946FCA">
        <w:t xml:space="preserve">. </w:t>
      </w:r>
    </w:p>
    <w:p w14:paraId="5A11C358" w14:textId="77777777" w:rsidR="00ED303D" w:rsidRPr="00946FCA" w:rsidRDefault="00ED303D" w:rsidP="000E3062">
      <w:pPr>
        <w:ind w:right="-347"/>
      </w:pPr>
    </w:p>
    <w:p w14:paraId="767FFA81" w14:textId="77777777" w:rsidR="00ED303D" w:rsidRPr="00946FCA" w:rsidRDefault="00ED303D" w:rsidP="000E3062">
      <w:pPr>
        <w:ind w:right="-347"/>
      </w:pPr>
      <w:r w:rsidRPr="00946FCA">
        <w:t>I should also clarify</w:t>
      </w:r>
      <w:r w:rsidR="000E3062" w:rsidRPr="00946FCA">
        <w:t xml:space="preserve"> </w:t>
      </w:r>
      <w:r w:rsidR="00DA1462" w:rsidRPr="00946FCA">
        <w:t xml:space="preserve">as </w:t>
      </w:r>
      <w:proofErr w:type="spellStart"/>
      <w:r w:rsidRPr="00946FCA">
        <w:t>Selim</w:t>
      </w:r>
      <w:proofErr w:type="spellEnd"/>
      <w:r w:rsidRPr="00946FCA">
        <w:t xml:space="preserve"> ben Hassan</w:t>
      </w:r>
      <w:r w:rsidR="00DA1462" w:rsidRPr="00946FCA">
        <w:t xml:space="preserve"> did</w:t>
      </w:r>
      <w:r w:rsidRPr="00946FCA">
        <w:t xml:space="preserve">, </w:t>
      </w:r>
      <w:r w:rsidR="00DA1462" w:rsidRPr="00946FCA">
        <w:t xml:space="preserve">that </w:t>
      </w:r>
      <w:r w:rsidR="000E3062" w:rsidRPr="00946FCA">
        <w:t>I am not a specialist in Transitional Justice matters</w:t>
      </w:r>
      <w:r w:rsidRPr="00946FCA">
        <w:t>, either</w:t>
      </w:r>
      <w:r w:rsidR="000E3062" w:rsidRPr="00946FCA">
        <w:t xml:space="preserve">. Nor am I an artist or lawyer.  My contribution </w:t>
      </w:r>
      <w:proofErr w:type="gramStart"/>
      <w:r w:rsidR="000E3062" w:rsidRPr="00946FCA">
        <w:t>here</w:t>
      </w:r>
      <w:proofErr w:type="gramEnd"/>
      <w:r w:rsidR="000E3062" w:rsidRPr="00946FCA">
        <w:t xml:space="preserve"> is in my capacity as Special rapporteur in the field of cultural</w:t>
      </w:r>
      <w:r w:rsidRPr="00946FCA">
        <w:t xml:space="preserve"> </w:t>
      </w:r>
      <w:r w:rsidR="000E3062" w:rsidRPr="00946FCA">
        <w:t xml:space="preserve">rights. </w:t>
      </w:r>
    </w:p>
    <w:p w14:paraId="26BA2A84" w14:textId="77777777" w:rsidR="00ED303D" w:rsidRPr="00946FCA" w:rsidRDefault="00ED303D" w:rsidP="000E3062">
      <w:pPr>
        <w:ind w:right="-347"/>
      </w:pPr>
    </w:p>
    <w:p w14:paraId="4EFDC2F9" w14:textId="77777777" w:rsidR="00D418B4" w:rsidRPr="00946FCA" w:rsidRDefault="00D4129F" w:rsidP="000E3062">
      <w:pPr>
        <w:ind w:right="-347"/>
      </w:pPr>
      <w:r w:rsidRPr="00946FCA">
        <w:t>As the first man</w:t>
      </w:r>
      <w:r w:rsidR="00D418B4" w:rsidRPr="00946FCA">
        <w:t xml:space="preserve">date holder appointed by the UN Human Rights Council </w:t>
      </w:r>
      <w:r w:rsidR="000E3062" w:rsidRPr="00946FCA">
        <w:t xml:space="preserve">for </w:t>
      </w:r>
      <w:r w:rsidR="00D418B4" w:rsidRPr="00946FCA">
        <w:t>cultural rights, it has been my privilege</w:t>
      </w:r>
      <w:r w:rsidR="00DA1462" w:rsidRPr="00946FCA">
        <w:t>,</w:t>
      </w:r>
      <w:r w:rsidR="00D418B4" w:rsidRPr="00946FCA">
        <w:t xml:space="preserve"> as well as challenge</w:t>
      </w:r>
      <w:r w:rsidR="00DA1462" w:rsidRPr="00946FCA">
        <w:t>,</w:t>
      </w:r>
      <w:r w:rsidR="00D418B4" w:rsidRPr="00946FCA">
        <w:t xml:space="preserve"> to try and determine what cultural rights as human rights </w:t>
      </w:r>
      <w:r w:rsidR="000E3062" w:rsidRPr="00946FCA">
        <w:t>mean</w:t>
      </w:r>
      <w:r w:rsidR="00ED303D" w:rsidRPr="00946FCA">
        <w:t xml:space="preserve"> by </w:t>
      </w:r>
      <w:r w:rsidR="00DA1462" w:rsidRPr="00946FCA">
        <w:t xml:space="preserve">firstly, </w:t>
      </w:r>
      <w:r w:rsidR="00ED303D" w:rsidRPr="00946FCA">
        <w:t xml:space="preserve">outlining </w:t>
      </w:r>
      <w:r w:rsidR="000E3062" w:rsidRPr="00946FCA">
        <w:t xml:space="preserve">what </w:t>
      </w:r>
      <w:r w:rsidR="00ED303D" w:rsidRPr="00946FCA">
        <w:t xml:space="preserve">all is </w:t>
      </w:r>
      <w:r w:rsidR="000E3062" w:rsidRPr="00946FCA">
        <w:t>encompasse</w:t>
      </w:r>
      <w:r w:rsidR="00ED303D" w:rsidRPr="00946FCA">
        <w:t>d</w:t>
      </w:r>
      <w:r w:rsidR="000E3062" w:rsidRPr="00946FCA">
        <w:t xml:space="preserve"> </w:t>
      </w:r>
      <w:r w:rsidR="00ED303D" w:rsidRPr="00946FCA">
        <w:t>in ‘cultural rights’</w:t>
      </w:r>
      <w:r w:rsidR="00DA1462" w:rsidRPr="00946FCA">
        <w:t xml:space="preserve">, and secondly, by </w:t>
      </w:r>
      <w:r w:rsidR="00D418B4" w:rsidRPr="00946FCA">
        <w:t>suggest</w:t>
      </w:r>
      <w:r w:rsidR="00DA1462" w:rsidRPr="00946FCA">
        <w:t>ing</w:t>
      </w:r>
      <w:r w:rsidR="00D418B4" w:rsidRPr="00946FCA">
        <w:t xml:space="preserve"> how best the different aspects </w:t>
      </w:r>
      <w:r w:rsidR="000E3062" w:rsidRPr="00946FCA">
        <w:t xml:space="preserve">of cultural rights </w:t>
      </w:r>
      <w:r w:rsidR="00D418B4" w:rsidRPr="00946FCA">
        <w:t xml:space="preserve">may be </w:t>
      </w:r>
      <w:r w:rsidR="00DA1462" w:rsidRPr="00946FCA">
        <w:t xml:space="preserve">respected, protected and promoted </w:t>
      </w:r>
      <w:r w:rsidR="00D418B4" w:rsidRPr="00946FCA">
        <w:t xml:space="preserve">in different contexts. </w:t>
      </w:r>
    </w:p>
    <w:p w14:paraId="782DAD0F" w14:textId="77777777" w:rsidR="00D418B4" w:rsidRPr="00946FCA" w:rsidRDefault="00D418B4" w:rsidP="000E3062">
      <w:pPr>
        <w:ind w:right="-347"/>
      </w:pPr>
    </w:p>
    <w:p w14:paraId="0B551A27" w14:textId="77777777" w:rsidR="00CB6679" w:rsidRPr="00946FCA" w:rsidRDefault="00D418B4" w:rsidP="000E3062">
      <w:pPr>
        <w:ind w:right="-347"/>
      </w:pPr>
      <w:r w:rsidRPr="00946FCA">
        <w:t xml:space="preserve">Cultural </w:t>
      </w:r>
      <w:r w:rsidR="00D4129F" w:rsidRPr="00946FCA">
        <w:t>rights</w:t>
      </w:r>
      <w:r w:rsidRPr="00946FCA">
        <w:t xml:space="preserve"> </w:t>
      </w:r>
      <w:r w:rsidR="00ED303D" w:rsidRPr="00946FCA">
        <w:t xml:space="preserve">start with </w:t>
      </w:r>
      <w:r w:rsidRPr="00946FCA">
        <w:t xml:space="preserve">the foundational right to access, take part in and contribute to cultural </w:t>
      </w:r>
      <w:proofErr w:type="gramStart"/>
      <w:r w:rsidRPr="00946FCA">
        <w:t>life  in</w:t>
      </w:r>
      <w:proofErr w:type="gramEnd"/>
      <w:r w:rsidRPr="00946FCA">
        <w:t xml:space="preserve"> all its facets.  Access</w:t>
      </w:r>
      <w:r w:rsidR="00F718A5" w:rsidRPr="00946FCA">
        <w:t>, it should be clarified,</w:t>
      </w:r>
      <w:r w:rsidRPr="00946FCA">
        <w:t xml:space="preserve"> is not limited to </w:t>
      </w:r>
      <w:r w:rsidR="00F718A5" w:rsidRPr="00946FCA">
        <w:t xml:space="preserve">accessing only </w:t>
      </w:r>
      <w:r w:rsidRPr="00946FCA">
        <w:t>one’s own cultural life and heritage – however that may be defined</w:t>
      </w:r>
      <w:r w:rsidR="00ED303D" w:rsidRPr="00946FCA">
        <w:t xml:space="preserve">. It </w:t>
      </w:r>
      <w:r w:rsidR="004945A8" w:rsidRPr="00946FCA">
        <w:t>incl</w:t>
      </w:r>
      <w:r w:rsidR="00ED303D" w:rsidRPr="00946FCA">
        <w:t>ud</w:t>
      </w:r>
      <w:r w:rsidR="004945A8" w:rsidRPr="00946FCA">
        <w:t xml:space="preserve">es the right to </w:t>
      </w:r>
      <w:r w:rsidRPr="00946FCA">
        <w:t xml:space="preserve">access </w:t>
      </w:r>
      <w:r w:rsidR="00ED303D" w:rsidRPr="00946FCA">
        <w:t xml:space="preserve">and benefit from </w:t>
      </w:r>
      <w:r w:rsidRPr="00946FCA">
        <w:t>the cultural heritage</w:t>
      </w:r>
      <w:r w:rsidR="004945A8" w:rsidRPr="00946FCA">
        <w:t>,</w:t>
      </w:r>
      <w:r w:rsidRPr="00946FCA">
        <w:t xml:space="preserve"> cultural life </w:t>
      </w:r>
      <w:r w:rsidR="004945A8" w:rsidRPr="00946FCA">
        <w:t xml:space="preserve">and creativity </w:t>
      </w:r>
      <w:r w:rsidRPr="00946FCA">
        <w:t>of others. The right to participate</w:t>
      </w:r>
      <w:r w:rsidR="00ED303D" w:rsidRPr="00946FCA">
        <w:t>, for its part,</w:t>
      </w:r>
      <w:r w:rsidRPr="00946FCA">
        <w:t xml:space="preserve"> includes the right </w:t>
      </w:r>
      <w:r w:rsidRPr="00946FCA">
        <w:rPr>
          <w:i/>
        </w:rPr>
        <w:t xml:space="preserve">not </w:t>
      </w:r>
      <w:r w:rsidRPr="00946FCA">
        <w:t xml:space="preserve">to participate in any practice, ritual or process </w:t>
      </w:r>
      <w:proofErr w:type="gramStart"/>
      <w:r w:rsidRPr="00946FCA">
        <w:t>that  undermines</w:t>
      </w:r>
      <w:proofErr w:type="gramEnd"/>
      <w:r w:rsidRPr="00946FCA">
        <w:t xml:space="preserve"> human rights and human dignity. </w:t>
      </w:r>
      <w:r w:rsidR="00F718A5" w:rsidRPr="00946FCA">
        <w:t>T</w:t>
      </w:r>
      <w:r w:rsidR="00ED303D" w:rsidRPr="00946FCA">
        <w:t xml:space="preserve">he </w:t>
      </w:r>
      <w:r w:rsidRPr="00946FCA">
        <w:t xml:space="preserve">right to contribute </w:t>
      </w:r>
      <w:r w:rsidR="00F718A5" w:rsidRPr="00946FCA">
        <w:t xml:space="preserve">implies </w:t>
      </w:r>
      <w:r w:rsidR="00822E87" w:rsidRPr="00946FCA">
        <w:t xml:space="preserve">having </w:t>
      </w:r>
      <w:r w:rsidRPr="00946FCA">
        <w:t xml:space="preserve">the </w:t>
      </w:r>
      <w:r w:rsidR="00D4129F" w:rsidRPr="00946FCA">
        <w:t>wherewithal</w:t>
      </w:r>
      <w:r w:rsidR="00F26293" w:rsidRPr="00946FCA">
        <w:t xml:space="preserve"> </w:t>
      </w:r>
      <w:r w:rsidR="00F718A5" w:rsidRPr="00946FCA">
        <w:t xml:space="preserve">to do so: having the necessary </w:t>
      </w:r>
      <w:r w:rsidR="00F26293" w:rsidRPr="00946FCA">
        <w:t>resources</w:t>
      </w:r>
      <w:r w:rsidRPr="00946FCA">
        <w:t xml:space="preserve">, material conditions and </w:t>
      </w:r>
      <w:r w:rsidR="00D4129F" w:rsidRPr="00946FCA">
        <w:t>opportunities</w:t>
      </w:r>
      <w:r w:rsidR="00F718A5" w:rsidRPr="00946FCA">
        <w:t xml:space="preserve"> </w:t>
      </w:r>
      <w:r w:rsidRPr="00946FCA">
        <w:t>to be able to fully explore and develop one’s creative abilities</w:t>
      </w:r>
      <w:r w:rsidR="00ED303D" w:rsidRPr="00946FCA">
        <w:t xml:space="preserve"> so as to share these with others</w:t>
      </w:r>
      <w:r w:rsidRPr="00946FCA">
        <w:t xml:space="preserve">. </w:t>
      </w:r>
    </w:p>
    <w:p w14:paraId="5AD90DD4" w14:textId="77777777" w:rsidR="00D418B4" w:rsidRPr="00946FCA" w:rsidRDefault="00D418B4" w:rsidP="000E3062">
      <w:pPr>
        <w:ind w:right="-347"/>
      </w:pPr>
    </w:p>
    <w:p w14:paraId="53F458AE" w14:textId="77777777" w:rsidR="00D418B4" w:rsidRPr="00946FCA" w:rsidRDefault="00D418B4" w:rsidP="000E3062">
      <w:pPr>
        <w:ind w:right="-347"/>
      </w:pPr>
      <w:r w:rsidRPr="00946FCA">
        <w:t xml:space="preserve">Cultural rights are intimately tied to language and education, to our sense of self and </w:t>
      </w:r>
      <w:r w:rsidR="00F26293" w:rsidRPr="00946FCA">
        <w:t xml:space="preserve">belonging and hence, identity, </w:t>
      </w:r>
      <w:r w:rsidRPr="00946FCA">
        <w:t>both individual and collective.  In many ways, the full enjoyment of cultural rights is pivotal to ensuring human dignity</w:t>
      </w:r>
      <w:proofErr w:type="gramStart"/>
      <w:r w:rsidRPr="00946FCA">
        <w:t>,  which</w:t>
      </w:r>
      <w:proofErr w:type="gramEnd"/>
      <w:r w:rsidRPr="00946FCA">
        <w:t xml:space="preserve"> lies at the core of human rights. Part of who we are derives from our cultural heritage, and hence history. </w:t>
      </w:r>
    </w:p>
    <w:p w14:paraId="5FFADCCE" w14:textId="77777777" w:rsidR="00D418B4" w:rsidRPr="00946FCA" w:rsidRDefault="00D418B4" w:rsidP="000E3062">
      <w:pPr>
        <w:ind w:right="-347"/>
      </w:pPr>
    </w:p>
    <w:p w14:paraId="35F5C39F" w14:textId="20FC2B14" w:rsidR="00946FCA" w:rsidRDefault="00F26293" w:rsidP="000E3062">
      <w:pPr>
        <w:ind w:right="-347"/>
      </w:pPr>
      <w:r w:rsidRPr="00946FCA">
        <w:t xml:space="preserve">As Special Rapporteurs, we visit different countries to see how the human rights under our </w:t>
      </w:r>
      <w:r w:rsidR="00425F67" w:rsidRPr="00946FCA">
        <w:t>mandate</w:t>
      </w:r>
      <w:r w:rsidRPr="00946FCA">
        <w:t xml:space="preserve">, cultural rights in my case, are being implemented: to see and learn from </w:t>
      </w:r>
      <w:r w:rsidR="00F718A5" w:rsidRPr="00946FCA">
        <w:t xml:space="preserve">good practices and </w:t>
      </w:r>
      <w:r w:rsidRPr="00946FCA">
        <w:t xml:space="preserve">achievements </w:t>
      </w:r>
      <w:r w:rsidR="00F718A5" w:rsidRPr="00946FCA">
        <w:t xml:space="preserve">as well as to </w:t>
      </w:r>
      <w:r w:rsidRPr="00946FCA">
        <w:t xml:space="preserve">identify for the </w:t>
      </w:r>
      <w:r w:rsidRPr="00946FCA">
        <w:lastRenderedPageBreak/>
        <w:t>government</w:t>
      </w:r>
      <w:r w:rsidR="00F718A5" w:rsidRPr="00946FCA">
        <w:t>, possible</w:t>
      </w:r>
      <w:r w:rsidRPr="00946FCA">
        <w:t xml:space="preserve"> gaps and </w:t>
      </w:r>
      <w:r w:rsidR="00F718A5" w:rsidRPr="00946FCA">
        <w:t xml:space="preserve">remaining </w:t>
      </w:r>
      <w:r w:rsidRPr="00946FCA">
        <w:t xml:space="preserve">challenges </w:t>
      </w:r>
      <w:r w:rsidR="00F718A5" w:rsidRPr="00946FCA">
        <w:t xml:space="preserve">so as </w:t>
      </w:r>
      <w:r w:rsidRPr="00946FCA">
        <w:t xml:space="preserve">to </w:t>
      </w:r>
      <w:r w:rsidR="00946FCA" w:rsidRPr="00946FCA">
        <w:t xml:space="preserve">arrive at conclusions on how best </w:t>
      </w:r>
      <w:r w:rsidRPr="00946FCA">
        <w:t xml:space="preserve">to overcome these. </w:t>
      </w:r>
    </w:p>
    <w:p w14:paraId="305E7D1C" w14:textId="77777777" w:rsidR="00946FCA" w:rsidRDefault="00946FCA" w:rsidP="000E3062">
      <w:pPr>
        <w:ind w:right="-347"/>
      </w:pPr>
    </w:p>
    <w:p w14:paraId="33F2668D" w14:textId="3A71FBFD" w:rsidR="00D418B4" w:rsidRDefault="00F26293" w:rsidP="000E3062">
      <w:pPr>
        <w:ind w:right="-347"/>
      </w:pPr>
      <w:r w:rsidRPr="00946FCA">
        <w:t xml:space="preserve">In all my </w:t>
      </w:r>
      <w:r w:rsidR="00946FCA">
        <w:t xml:space="preserve">country </w:t>
      </w:r>
      <w:r w:rsidRPr="00946FCA">
        <w:t>visits</w:t>
      </w:r>
      <w:r w:rsidR="00946FCA" w:rsidRPr="00946FCA">
        <w:t>,</w:t>
      </w:r>
      <w:r w:rsidRPr="00946FCA">
        <w:t xml:space="preserve"> to </w:t>
      </w:r>
      <w:r w:rsidR="00946FCA">
        <w:t xml:space="preserve">places </w:t>
      </w:r>
      <w:r w:rsidRPr="00946FCA">
        <w:t xml:space="preserve">as diverse as Austria and Brazil, Vietnam, Morocco, Russia, St Vincent and the Grenadines and Bosnia-Herzegovina, I have repeatedly received testimonies stressing the importance of historical and memorial narratives as cultural heritage and as </w:t>
      </w:r>
      <w:r w:rsidR="00946FCA" w:rsidRPr="00946FCA">
        <w:t xml:space="preserve">a pivotal aspect in </w:t>
      </w:r>
      <w:r w:rsidRPr="00946FCA">
        <w:t>shaping collective identities. In every country</w:t>
      </w:r>
      <w:r w:rsidR="00946FCA" w:rsidRPr="00946FCA">
        <w:t>,</w:t>
      </w:r>
      <w:r w:rsidRPr="00946FCA">
        <w:t xml:space="preserve"> </w:t>
      </w:r>
      <w:r w:rsidR="00946FCA" w:rsidRPr="00946FCA">
        <w:t xml:space="preserve">I </w:t>
      </w:r>
      <w:r w:rsidR="00946FCA">
        <w:t xml:space="preserve">meet </w:t>
      </w:r>
      <w:r w:rsidR="00946FCA" w:rsidRPr="00946FCA">
        <w:t xml:space="preserve">people </w:t>
      </w:r>
      <w:r w:rsidRPr="00946FCA">
        <w:t>striv</w:t>
      </w:r>
      <w:r w:rsidR="00946FCA" w:rsidRPr="00946FCA">
        <w:t>ing</w:t>
      </w:r>
      <w:r w:rsidRPr="00946FCA">
        <w:t xml:space="preserve"> to retrieve, to validate, to make known and have to </w:t>
      </w:r>
      <w:proofErr w:type="gramStart"/>
      <w:r w:rsidRPr="00946FCA">
        <w:t>acknowledged</w:t>
      </w:r>
      <w:proofErr w:type="gramEnd"/>
      <w:r w:rsidRPr="00946FCA">
        <w:t xml:space="preserve"> by others their own history on the one hand, and </w:t>
      </w:r>
      <w:r w:rsidR="00247582" w:rsidRPr="00946FCA">
        <w:t xml:space="preserve">to </w:t>
      </w:r>
      <w:r w:rsidRPr="00946FCA">
        <w:t xml:space="preserve">contest dominant interpretations on the other. </w:t>
      </w:r>
      <w:r w:rsidR="00247582" w:rsidRPr="00946FCA">
        <w:t xml:space="preserve">In terms of post-conflict societies in particular, </w:t>
      </w:r>
      <w:r w:rsidRPr="00946FCA">
        <w:t>it has been clear to me that, all too often</w:t>
      </w:r>
      <w:proofErr w:type="gramStart"/>
      <w:r w:rsidRPr="00946FCA">
        <w:t>,  a</w:t>
      </w:r>
      <w:proofErr w:type="gramEnd"/>
      <w:r w:rsidRPr="00946FCA">
        <w:t xml:space="preserve"> cultural rights approach is not accorded the attention it deserves. </w:t>
      </w:r>
      <w:r w:rsidR="00D418B4" w:rsidRPr="00946FCA">
        <w:t xml:space="preserve">I have recently written two consecutive reports on historical narratives: the first </w:t>
      </w:r>
      <w:r w:rsidRPr="00946FCA">
        <w:t xml:space="preserve">focuses on </w:t>
      </w:r>
      <w:r w:rsidR="00D418B4" w:rsidRPr="00946FCA">
        <w:t>history teaching and textbooks</w:t>
      </w:r>
      <w:r w:rsidRPr="00946FCA">
        <w:t>;</w:t>
      </w:r>
      <w:r w:rsidR="00750C9B">
        <w:rPr>
          <w:rStyle w:val="FootnoteReference"/>
        </w:rPr>
        <w:footnoteReference w:id="1"/>
      </w:r>
      <w:r w:rsidR="00D418B4" w:rsidRPr="00946FCA">
        <w:t xml:space="preserve"> the second</w:t>
      </w:r>
      <w:r w:rsidRPr="00946FCA">
        <w:t xml:space="preserve"> on </w:t>
      </w:r>
      <w:proofErr w:type="spellStart"/>
      <w:r w:rsidR="00D418B4" w:rsidRPr="00946FCA">
        <w:t>memorialisation</w:t>
      </w:r>
      <w:proofErr w:type="spellEnd"/>
      <w:r w:rsidR="00D418B4" w:rsidRPr="00946FCA">
        <w:t xml:space="preserve"> processes and museums as narratives of the past.</w:t>
      </w:r>
      <w:r w:rsidR="000843F7">
        <w:rPr>
          <w:rStyle w:val="FootnoteReference"/>
        </w:rPr>
        <w:footnoteReference w:id="2"/>
      </w:r>
      <w:r w:rsidR="00D418B4" w:rsidRPr="00946FCA">
        <w:t xml:space="preserve"> </w:t>
      </w:r>
      <w:r w:rsidRPr="00946FCA">
        <w:t>In m</w:t>
      </w:r>
      <w:r w:rsidRPr="00946FCA">
        <w:rPr>
          <w:color w:val="000000"/>
        </w:rPr>
        <w:t xml:space="preserve">y </w:t>
      </w:r>
      <w:r w:rsidR="00417764" w:rsidRPr="00946FCA">
        <w:rPr>
          <w:color w:val="000000"/>
        </w:rPr>
        <w:t>reports</w:t>
      </w:r>
      <w:r w:rsidRPr="00946FCA">
        <w:rPr>
          <w:color w:val="000000"/>
        </w:rPr>
        <w:t xml:space="preserve"> I explore and seek </w:t>
      </w:r>
      <w:r w:rsidR="00417764" w:rsidRPr="00946FCA">
        <w:t>to identify</w:t>
      </w:r>
      <w:r w:rsidR="00417764" w:rsidRPr="00946FCA">
        <w:rPr>
          <w:lang w:bidi="en-US"/>
        </w:rPr>
        <w:t xml:space="preserve"> </w:t>
      </w:r>
      <w:r w:rsidRPr="00946FCA">
        <w:rPr>
          <w:lang w:bidi="en-US"/>
        </w:rPr>
        <w:t xml:space="preserve">the </w:t>
      </w:r>
      <w:r w:rsidR="00417764" w:rsidRPr="00946FCA">
        <w:rPr>
          <w:lang w:bidi="en-US"/>
        </w:rPr>
        <w:t xml:space="preserve">circumstances </w:t>
      </w:r>
      <w:r w:rsidRPr="00946FCA">
        <w:rPr>
          <w:lang w:bidi="en-US"/>
        </w:rPr>
        <w:t xml:space="preserve">under which </w:t>
      </w:r>
      <w:r w:rsidR="00417764" w:rsidRPr="00946FCA">
        <w:rPr>
          <w:lang w:bidi="en-US"/>
        </w:rPr>
        <w:t xml:space="preserve">historical and memorial narratives </w:t>
      </w:r>
      <w:r w:rsidRPr="00946FCA">
        <w:rPr>
          <w:lang w:bidi="en-US"/>
        </w:rPr>
        <w:t xml:space="preserve">could be problematic from a human rights perspective. This includes in particular narratives </w:t>
      </w:r>
      <w:r w:rsidR="00417764" w:rsidRPr="00946FCA">
        <w:rPr>
          <w:lang w:bidi="en-US"/>
        </w:rPr>
        <w:t>promoted by States</w:t>
      </w:r>
      <w:r w:rsidRPr="00946FCA">
        <w:rPr>
          <w:lang w:bidi="en-US"/>
        </w:rPr>
        <w:t xml:space="preserve">, but also narratives </w:t>
      </w:r>
      <w:proofErr w:type="gramStart"/>
      <w:r w:rsidRPr="00946FCA">
        <w:rPr>
          <w:lang w:bidi="en-US"/>
        </w:rPr>
        <w:t>pro</w:t>
      </w:r>
      <w:r w:rsidR="00946FCA">
        <w:rPr>
          <w:lang w:bidi="en-US"/>
        </w:rPr>
        <w:t>m</w:t>
      </w:r>
      <w:r w:rsidRPr="00946FCA">
        <w:rPr>
          <w:lang w:bidi="en-US"/>
        </w:rPr>
        <w:t xml:space="preserve">oted </w:t>
      </w:r>
      <w:r w:rsidR="00417764" w:rsidRPr="00946FCA">
        <w:rPr>
          <w:lang w:bidi="en-US"/>
        </w:rPr>
        <w:t xml:space="preserve"> </w:t>
      </w:r>
      <w:r w:rsidR="00946FCA">
        <w:rPr>
          <w:lang w:bidi="en-US"/>
        </w:rPr>
        <w:t>by</w:t>
      </w:r>
      <w:proofErr w:type="gramEnd"/>
      <w:r w:rsidR="00946FCA">
        <w:rPr>
          <w:lang w:bidi="en-US"/>
        </w:rPr>
        <w:t xml:space="preserve"> </w:t>
      </w:r>
      <w:r w:rsidR="00417764" w:rsidRPr="00946FCA">
        <w:rPr>
          <w:lang w:bidi="en-US"/>
        </w:rPr>
        <w:t xml:space="preserve">all manner of actors – both governmental and non-governmental. </w:t>
      </w:r>
    </w:p>
    <w:p w14:paraId="7554FEB8" w14:textId="77777777" w:rsidR="00946FCA" w:rsidRPr="00946FCA" w:rsidRDefault="00946FCA" w:rsidP="000E3062">
      <w:pPr>
        <w:ind w:right="-347"/>
      </w:pPr>
    </w:p>
    <w:p w14:paraId="58BCCE55" w14:textId="77777777" w:rsidR="00ED0BE9" w:rsidRPr="00946FCA" w:rsidRDefault="00ED0BE9">
      <w:r w:rsidRPr="00946FCA">
        <w:t>My report</w:t>
      </w:r>
      <w:r w:rsidR="00946FCA">
        <w:t>s relate</w:t>
      </w:r>
      <w:r w:rsidRPr="00946FCA">
        <w:t xml:space="preserve"> to </w:t>
      </w:r>
      <w:r w:rsidR="00946FCA">
        <w:t xml:space="preserve">divided </w:t>
      </w:r>
      <w:r w:rsidRPr="00946FCA">
        <w:t xml:space="preserve">societies </w:t>
      </w:r>
      <w:r w:rsidR="00946FCA">
        <w:t xml:space="preserve">and those </w:t>
      </w:r>
      <w:r w:rsidRPr="00946FCA">
        <w:t>that have gone through conflict and turmoil</w:t>
      </w:r>
      <w:r w:rsidR="00946FCA">
        <w:t xml:space="preserve"> and societies. In</w:t>
      </w:r>
      <w:r w:rsidRPr="00946FCA">
        <w:t xml:space="preserve"> reality</w:t>
      </w:r>
      <w:r w:rsidR="00946FCA">
        <w:t>, of course</w:t>
      </w:r>
      <w:r w:rsidRPr="00946FCA">
        <w:t xml:space="preserve">, </w:t>
      </w:r>
      <w:r w:rsidR="00946FCA">
        <w:t xml:space="preserve">and </w:t>
      </w:r>
      <w:r w:rsidRPr="00946FCA">
        <w:t>I’m sure you will all agree, all societies are divided by various factors</w:t>
      </w:r>
      <w:r w:rsidR="00946FCA">
        <w:t>;</w:t>
      </w:r>
      <w:r w:rsidRPr="00946FCA">
        <w:t xml:space="preserve"> all </w:t>
      </w:r>
      <w:r w:rsidR="00946FCA">
        <w:t xml:space="preserve">societies </w:t>
      </w:r>
      <w:r w:rsidRPr="00946FCA">
        <w:t xml:space="preserve">experience some </w:t>
      </w:r>
      <w:r w:rsidR="00946FCA">
        <w:t xml:space="preserve">level of a </w:t>
      </w:r>
      <w:r w:rsidRPr="00946FCA">
        <w:t>conflict o</w:t>
      </w:r>
      <w:r w:rsidR="00946FCA">
        <w:t>f</w:t>
      </w:r>
      <w:r w:rsidRPr="00946FCA">
        <w:t xml:space="preserve"> interests. </w:t>
      </w:r>
      <w:r w:rsidR="00D4129F" w:rsidRPr="00946FCA">
        <w:t>Therefore</w:t>
      </w:r>
      <w:r w:rsidR="00946FCA">
        <w:t>,</w:t>
      </w:r>
      <w:r w:rsidRPr="00946FCA">
        <w:t xml:space="preserve"> my report</w:t>
      </w:r>
      <w:r w:rsidR="00946FCA">
        <w:t>s relate</w:t>
      </w:r>
      <w:r w:rsidRPr="00946FCA">
        <w:t xml:space="preserve"> not only to situations where transitional justice process</w:t>
      </w:r>
      <w:r w:rsidR="00946FCA">
        <w:t>es</w:t>
      </w:r>
      <w:r w:rsidRPr="00946FCA">
        <w:t xml:space="preserve"> </w:t>
      </w:r>
      <w:r w:rsidR="00946FCA">
        <w:t xml:space="preserve">may be </w:t>
      </w:r>
      <w:r w:rsidRPr="00946FCA">
        <w:t>in place</w:t>
      </w:r>
      <w:r w:rsidR="00946FCA">
        <w:t>, or seem necessary,</w:t>
      </w:r>
      <w:r w:rsidRPr="00946FCA">
        <w:t xml:space="preserve"> but </w:t>
      </w:r>
      <w:r w:rsidR="00946FCA">
        <w:t xml:space="preserve">equally </w:t>
      </w:r>
      <w:r w:rsidRPr="00946FCA">
        <w:t xml:space="preserve">to societies having experienced </w:t>
      </w:r>
      <w:r w:rsidR="00D4129F" w:rsidRPr="00946FCA">
        <w:t>international</w:t>
      </w:r>
      <w:r w:rsidRPr="00946FCA">
        <w:t xml:space="preserve"> and </w:t>
      </w:r>
      <w:r w:rsidR="00D4129F" w:rsidRPr="00946FCA">
        <w:t>internal</w:t>
      </w:r>
      <w:r w:rsidRPr="00946FCA">
        <w:t xml:space="preserve"> conflicts in the recent or less recent past; </w:t>
      </w:r>
      <w:r w:rsidR="00946FCA">
        <w:t xml:space="preserve">to </w:t>
      </w:r>
      <w:r w:rsidRPr="00946FCA">
        <w:t xml:space="preserve">post-colonial societies; societies that have experienced slavery; societies </w:t>
      </w:r>
      <w:r w:rsidR="00D4129F" w:rsidRPr="00946FCA">
        <w:t>challenged</w:t>
      </w:r>
      <w:r w:rsidRPr="00946FCA">
        <w:t xml:space="preserve"> by divisions based on ethnic, national or linguistic background, religion belief or political ideology. As </w:t>
      </w:r>
      <w:r w:rsidR="00946FCA">
        <w:t>all the participants here fully recognize</w:t>
      </w:r>
      <w:r w:rsidRPr="00946FCA">
        <w:t xml:space="preserve">, controversies surrounding historical narratives may relate to events </w:t>
      </w:r>
      <w:r w:rsidR="00946FCA">
        <w:t xml:space="preserve">of yesterday but also to events </w:t>
      </w:r>
      <w:r w:rsidRPr="00946FCA">
        <w:t xml:space="preserve">that took place centuries ago. </w:t>
      </w:r>
      <w:r w:rsidR="00946FCA">
        <w:t>They are part of the cultural heritage of people.</w:t>
      </w:r>
    </w:p>
    <w:p w14:paraId="5E446586" w14:textId="77777777" w:rsidR="007E0C3D" w:rsidRPr="00946FCA" w:rsidRDefault="007E0C3D"/>
    <w:p w14:paraId="00F7ACEF" w14:textId="77777777" w:rsidR="007E0C3D" w:rsidRPr="00946FCA" w:rsidRDefault="007E0C3D">
      <w:r w:rsidRPr="00946FCA">
        <w:t>Cultural heritage</w:t>
      </w:r>
      <w:r w:rsidR="00946FCA">
        <w:t>, in essence,</w:t>
      </w:r>
      <w:r w:rsidRPr="00946FCA">
        <w:t xml:space="preserve"> are things </w:t>
      </w:r>
      <w:r w:rsidR="001A15F7" w:rsidRPr="00946FCA">
        <w:t xml:space="preserve">we inherit from the past that we feel are so important that we want to </w:t>
      </w:r>
      <w:r w:rsidR="00D4129F" w:rsidRPr="00946FCA">
        <w:t>transmit</w:t>
      </w:r>
      <w:r w:rsidR="001A15F7" w:rsidRPr="00946FCA">
        <w:t xml:space="preserve"> these to younger generations. </w:t>
      </w:r>
      <w:r w:rsidR="00946FCA">
        <w:t>In this the n</w:t>
      </w:r>
      <w:r w:rsidR="001A15F7" w:rsidRPr="00946FCA">
        <w:t>arratives of the past</w:t>
      </w:r>
      <w:r w:rsidR="00946FCA">
        <w:t>,</w:t>
      </w:r>
      <w:r w:rsidR="001A15F7" w:rsidRPr="00946FCA">
        <w:t xml:space="preserve"> </w:t>
      </w:r>
      <w:r w:rsidR="00D646EE">
        <w:t xml:space="preserve">usually </w:t>
      </w:r>
      <w:r w:rsidR="00946FCA">
        <w:t xml:space="preserve">constructed by </w:t>
      </w:r>
      <w:r w:rsidR="001A15F7" w:rsidRPr="00946FCA">
        <w:t>interweav</w:t>
      </w:r>
      <w:r w:rsidR="00D646EE">
        <w:t>ing a variety of</w:t>
      </w:r>
      <w:r w:rsidR="001A15F7" w:rsidRPr="00946FCA">
        <w:t xml:space="preserve"> stories, myths and legends with history, are used in </w:t>
      </w:r>
      <w:r w:rsidR="00D646EE">
        <w:t xml:space="preserve">contemporary setting for </w:t>
      </w:r>
      <w:r w:rsidR="00D4129F" w:rsidRPr="00946FCA">
        <w:t>nation</w:t>
      </w:r>
      <w:r w:rsidR="001A15F7" w:rsidRPr="00946FCA">
        <w:t xml:space="preserve">-building and community </w:t>
      </w:r>
      <w:r w:rsidR="00D4129F" w:rsidRPr="00946FCA">
        <w:t>building</w:t>
      </w:r>
      <w:r w:rsidR="001A15F7" w:rsidRPr="00946FCA">
        <w:t xml:space="preserve">. </w:t>
      </w:r>
      <w:r w:rsidR="00D4129F" w:rsidRPr="00946FCA">
        <w:t>Becoming part</w:t>
      </w:r>
      <w:r w:rsidR="001A15F7" w:rsidRPr="00946FCA">
        <w:t xml:space="preserve"> of the </w:t>
      </w:r>
      <w:r w:rsidR="00D4129F" w:rsidRPr="00946FCA">
        <w:t>community’s</w:t>
      </w:r>
      <w:r w:rsidR="001A15F7" w:rsidRPr="00946FCA">
        <w:t xml:space="preserve"> cultural heritage, </w:t>
      </w:r>
      <w:r w:rsidR="00D4129F" w:rsidRPr="00946FCA">
        <w:t>such</w:t>
      </w:r>
      <w:r w:rsidR="001A15F7" w:rsidRPr="00946FCA">
        <w:t xml:space="preserve"> </w:t>
      </w:r>
      <w:r w:rsidR="00D4129F" w:rsidRPr="00946FCA">
        <w:t>narratives</w:t>
      </w:r>
      <w:r w:rsidR="001A15F7" w:rsidRPr="00946FCA">
        <w:t xml:space="preserve"> enable the transmission to younger generations of cultural references on which community members build their cultural identity. </w:t>
      </w:r>
    </w:p>
    <w:p w14:paraId="38B20BD7" w14:textId="77777777" w:rsidR="001A15F7" w:rsidRPr="00946FCA" w:rsidRDefault="001A15F7"/>
    <w:p w14:paraId="217D07BB" w14:textId="77777777" w:rsidR="00D646EE" w:rsidRDefault="001A15F7" w:rsidP="005E4EE7">
      <w:r w:rsidRPr="00946FCA">
        <w:t xml:space="preserve">As identified by participants </w:t>
      </w:r>
      <w:r w:rsidR="005E4EE7" w:rsidRPr="00946FCA">
        <w:t xml:space="preserve">in </w:t>
      </w:r>
      <w:r w:rsidRPr="00946FCA">
        <w:t xml:space="preserve">this forum, </w:t>
      </w:r>
      <w:r w:rsidR="005E4EE7" w:rsidRPr="00946FCA">
        <w:t xml:space="preserve">to </w:t>
      </w:r>
      <w:r w:rsidRPr="00946FCA">
        <w:t>discuss</w:t>
      </w:r>
      <w:r w:rsidR="005E4EE7" w:rsidRPr="00946FCA">
        <w:t xml:space="preserve"> </w:t>
      </w:r>
      <w:r w:rsidRPr="00946FCA">
        <w:t xml:space="preserve">the past is </w:t>
      </w:r>
      <w:r w:rsidR="005E4EE7" w:rsidRPr="00946FCA">
        <w:t xml:space="preserve">to </w:t>
      </w:r>
      <w:r w:rsidRPr="00946FCA">
        <w:t xml:space="preserve">discuss the present and the future. Also as said by a </w:t>
      </w:r>
      <w:r w:rsidR="00D4129F" w:rsidRPr="00946FCA">
        <w:t>participant</w:t>
      </w:r>
      <w:r w:rsidRPr="00946FCA">
        <w:t xml:space="preserve">, it is vital to remember the past to better know and understand the present. </w:t>
      </w:r>
      <w:r w:rsidR="00D646EE">
        <w:t xml:space="preserve">Both </w:t>
      </w:r>
      <w:r w:rsidRPr="00946FCA">
        <w:t xml:space="preserve">are points I have stressed in my reports. </w:t>
      </w:r>
      <w:r w:rsidR="001B1FFE" w:rsidRPr="00946FCA">
        <w:t>What happened in the past</w:t>
      </w:r>
      <w:r w:rsidR="00B64267" w:rsidRPr="00946FCA">
        <w:t xml:space="preserve">, </w:t>
      </w:r>
      <w:proofErr w:type="gramStart"/>
      <w:r w:rsidR="00B64267" w:rsidRPr="00946FCA">
        <w:t>happened.</w:t>
      </w:r>
      <w:proofErr w:type="gramEnd"/>
      <w:r w:rsidR="00B64267" w:rsidRPr="00946FCA">
        <w:t xml:space="preserve"> It cannot be changed,</w:t>
      </w:r>
      <w:r w:rsidR="001B1FFE" w:rsidRPr="00946FCA">
        <w:t xml:space="preserve"> but </w:t>
      </w:r>
      <w:r w:rsidR="00B12F33" w:rsidRPr="00946FCA">
        <w:rPr>
          <w:i/>
        </w:rPr>
        <w:lastRenderedPageBreak/>
        <w:t xml:space="preserve">which </w:t>
      </w:r>
      <w:r w:rsidR="00B12F33" w:rsidRPr="00946FCA">
        <w:t xml:space="preserve">aspects of the past and </w:t>
      </w:r>
      <w:r w:rsidR="001B1FFE" w:rsidRPr="00946FCA">
        <w:rPr>
          <w:i/>
        </w:rPr>
        <w:t xml:space="preserve">how </w:t>
      </w:r>
      <w:r w:rsidR="001B1FFE" w:rsidRPr="00946FCA">
        <w:t xml:space="preserve">we remember </w:t>
      </w:r>
      <w:r w:rsidR="00D646EE">
        <w:t xml:space="preserve">it, meaning our interpretation of what happened, </w:t>
      </w:r>
      <w:r w:rsidR="001B1FFE" w:rsidRPr="00946FCA">
        <w:t xml:space="preserve">shapes our present and defines the pathways to the future. </w:t>
      </w:r>
    </w:p>
    <w:p w14:paraId="549E60F5" w14:textId="77777777" w:rsidR="00D646EE" w:rsidRDefault="00D646EE" w:rsidP="005E4EE7"/>
    <w:p w14:paraId="5AFA708B" w14:textId="77777777" w:rsidR="001A15F7" w:rsidRPr="00946FCA" w:rsidRDefault="001B1FFE" w:rsidP="005E4EE7">
      <w:r w:rsidRPr="00946FCA">
        <w:t>Transitional justice</w:t>
      </w:r>
      <w:r w:rsidR="00D646EE">
        <w:t>, for its part,</w:t>
      </w:r>
      <w:r w:rsidRPr="00946FCA">
        <w:t xml:space="preserve"> is a demand to be </w:t>
      </w:r>
      <w:proofErr w:type="spellStart"/>
      <w:r w:rsidR="005B74CA" w:rsidRPr="00946FCA">
        <w:t>recognised</w:t>
      </w:r>
      <w:proofErr w:type="spellEnd"/>
      <w:r w:rsidR="005B74CA" w:rsidRPr="00946FCA">
        <w:t xml:space="preserve"> and treated as equal citizens</w:t>
      </w:r>
      <w:r w:rsidRPr="00946FCA">
        <w:t xml:space="preserve">. </w:t>
      </w:r>
      <w:r w:rsidR="00D646EE">
        <w:t xml:space="preserve">It is essential that in engaging in transitional justice processes, we keep in mind </w:t>
      </w:r>
      <w:proofErr w:type="gramStart"/>
      <w:r w:rsidR="00834FC9" w:rsidRPr="00946FCA">
        <w:t>who</w:t>
      </w:r>
      <w:proofErr w:type="gramEnd"/>
      <w:r w:rsidR="00834FC9" w:rsidRPr="00946FCA">
        <w:t xml:space="preserve"> the audience </w:t>
      </w:r>
      <w:r w:rsidR="00D646EE">
        <w:t xml:space="preserve">being addressed is and the purpose. Is </w:t>
      </w:r>
      <w:r w:rsidR="00834FC9" w:rsidRPr="00946FCA">
        <w:t>the</w:t>
      </w:r>
      <w:r w:rsidR="00D646EE">
        <w:t xml:space="preserve"> purpose of the </w:t>
      </w:r>
      <w:proofErr w:type="spellStart"/>
      <w:r w:rsidR="00D646EE">
        <w:t>memorialisation</w:t>
      </w:r>
      <w:proofErr w:type="spellEnd"/>
      <w:r w:rsidR="00834FC9" w:rsidRPr="00946FCA">
        <w:t xml:space="preserve"> merely </w:t>
      </w:r>
      <w:r w:rsidR="00D646EE">
        <w:t xml:space="preserve">to </w:t>
      </w:r>
      <w:r w:rsidR="00834FC9" w:rsidRPr="00946FCA">
        <w:t xml:space="preserve">celebrate victories and commemorate victimhood, or </w:t>
      </w:r>
      <w:r w:rsidR="00D646EE">
        <w:t xml:space="preserve">do we want the processes put into place help us </w:t>
      </w:r>
      <w:r w:rsidR="00834FC9" w:rsidRPr="00946FCA">
        <w:t>to learn from the past for a better future</w:t>
      </w:r>
      <w:r w:rsidR="00D646EE">
        <w:t>?</w:t>
      </w:r>
    </w:p>
    <w:p w14:paraId="54BC60A8" w14:textId="77777777" w:rsidR="001B1FFE" w:rsidRPr="00946FCA" w:rsidRDefault="005E4EE7" w:rsidP="001B1FFE">
      <w:pPr>
        <w:tabs>
          <w:tab w:val="left" w:pos="3220"/>
        </w:tabs>
      </w:pPr>
      <w:r w:rsidRPr="00946FCA">
        <w:t xml:space="preserve"> </w:t>
      </w:r>
    </w:p>
    <w:p w14:paraId="59D4F6E7" w14:textId="6DCE979F" w:rsidR="00D646EE" w:rsidRDefault="001B1FFE" w:rsidP="001B1FFE">
      <w:pPr>
        <w:tabs>
          <w:tab w:val="left" w:pos="3220"/>
        </w:tabs>
      </w:pPr>
      <w:r w:rsidRPr="00946FCA">
        <w:t xml:space="preserve">This is why the teaching of history and the wider processes of collective </w:t>
      </w:r>
      <w:proofErr w:type="spellStart"/>
      <w:r w:rsidRPr="00946FCA">
        <w:t>memorialisation</w:t>
      </w:r>
      <w:proofErr w:type="spellEnd"/>
      <w:r w:rsidRPr="00946FCA">
        <w:t xml:space="preserve"> are so important. </w:t>
      </w:r>
      <w:r w:rsidR="00D646EE">
        <w:t xml:space="preserve">It is also important to </w:t>
      </w:r>
      <w:r w:rsidR="00425F67">
        <w:t>distinguish</w:t>
      </w:r>
      <w:r w:rsidR="00D646EE">
        <w:t xml:space="preserve"> collective memory from history. </w:t>
      </w:r>
      <w:r w:rsidRPr="00946FCA">
        <w:t xml:space="preserve">History is only one of several elements </w:t>
      </w:r>
      <w:r w:rsidR="00D4129F" w:rsidRPr="00946FCA">
        <w:t>influencing</w:t>
      </w:r>
      <w:r w:rsidRPr="00946FCA">
        <w:t xml:space="preserve"> </w:t>
      </w:r>
      <w:r w:rsidR="00D4129F" w:rsidRPr="00946FCA">
        <w:t>collective</w:t>
      </w:r>
      <w:r w:rsidRPr="00946FCA">
        <w:t xml:space="preserve"> memory which</w:t>
      </w:r>
      <w:r w:rsidR="00D646EE" w:rsidRPr="00D646EE">
        <w:t xml:space="preserve"> </w:t>
      </w:r>
      <w:r w:rsidR="00D646EE" w:rsidRPr="00946FCA">
        <w:t>draws upon numerous sources</w:t>
      </w:r>
      <w:r w:rsidR="00D646EE">
        <w:t>:</w:t>
      </w:r>
      <w:r w:rsidRPr="00946FCA">
        <w:t xml:space="preserve"> </w:t>
      </w:r>
      <w:r w:rsidR="00D646EE">
        <w:t xml:space="preserve">from </w:t>
      </w:r>
      <w:r w:rsidRPr="00946FCA">
        <w:t xml:space="preserve">information </w:t>
      </w:r>
      <w:r w:rsidR="00D646EE">
        <w:t xml:space="preserve">and tales </w:t>
      </w:r>
      <w:r w:rsidRPr="00946FCA">
        <w:t xml:space="preserve">provided within kinship and community circles, </w:t>
      </w:r>
      <w:r w:rsidR="00D646EE">
        <w:t xml:space="preserve">to </w:t>
      </w:r>
      <w:r w:rsidRPr="00946FCA">
        <w:t xml:space="preserve">literature, the news media, entertainment industries, </w:t>
      </w:r>
      <w:r w:rsidR="00D4129F" w:rsidRPr="00946FCA">
        <w:t>cultural</w:t>
      </w:r>
      <w:r w:rsidRPr="00946FCA">
        <w:t xml:space="preserve"> </w:t>
      </w:r>
      <w:r w:rsidR="00D4129F" w:rsidRPr="00946FCA">
        <w:t>landscapes</w:t>
      </w:r>
      <w:r w:rsidRPr="00946FCA">
        <w:t>, official holidays</w:t>
      </w:r>
      <w:r w:rsidR="00D646EE">
        <w:t>, etc.</w:t>
      </w:r>
      <w:r w:rsidRPr="00946FCA">
        <w:t xml:space="preserve"> </w:t>
      </w:r>
      <w:r w:rsidR="00D646EE">
        <w:t>Collective m</w:t>
      </w:r>
      <w:r w:rsidRPr="00946FCA">
        <w:t xml:space="preserve">emory extracts from the past certain events and personalities and actions </w:t>
      </w:r>
      <w:r w:rsidR="00D4129F" w:rsidRPr="00946FCA">
        <w:t>without</w:t>
      </w:r>
      <w:r w:rsidRPr="00946FCA">
        <w:t xml:space="preserve"> necessarily recalling the wider context</w:t>
      </w:r>
      <w:r w:rsidR="00D646EE">
        <w:t xml:space="preserve"> in which things happened and people acted</w:t>
      </w:r>
      <w:r w:rsidRPr="00946FCA">
        <w:t xml:space="preserve">. Memory constructs a specific vision of a </w:t>
      </w:r>
      <w:r w:rsidR="00D4129F" w:rsidRPr="00946FCA">
        <w:t>collective</w:t>
      </w:r>
      <w:r w:rsidRPr="00946FCA">
        <w:t xml:space="preserve"> self and attendant value system. </w:t>
      </w:r>
      <w:proofErr w:type="spellStart"/>
      <w:r w:rsidRPr="00946FCA">
        <w:t>Memorialisation</w:t>
      </w:r>
      <w:proofErr w:type="spellEnd"/>
      <w:r w:rsidRPr="00946FCA">
        <w:t xml:space="preserve"> processes are emotional by definition</w:t>
      </w:r>
      <w:r w:rsidR="00D646EE">
        <w:t xml:space="preserve">. </w:t>
      </w:r>
    </w:p>
    <w:p w14:paraId="5A10EF02" w14:textId="77777777" w:rsidR="00D646EE" w:rsidRDefault="00D646EE" w:rsidP="001B1FFE">
      <w:pPr>
        <w:tabs>
          <w:tab w:val="left" w:pos="3220"/>
        </w:tabs>
      </w:pPr>
    </w:p>
    <w:p w14:paraId="56ADF991" w14:textId="77777777" w:rsidR="00064908" w:rsidRDefault="00D646EE" w:rsidP="001B1FFE">
      <w:pPr>
        <w:tabs>
          <w:tab w:val="left" w:pos="3220"/>
        </w:tabs>
      </w:pPr>
      <w:r>
        <w:t>T</w:t>
      </w:r>
      <w:r w:rsidR="00E803A3" w:rsidRPr="00946FCA">
        <w:t>he aim of history teaching</w:t>
      </w:r>
      <w:r>
        <w:t>, on the other hand,</w:t>
      </w:r>
      <w:r w:rsidR="00E803A3" w:rsidRPr="00946FCA">
        <w:t xml:space="preserve"> should be to inculcate and promote critical </w:t>
      </w:r>
      <w:proofErr w:type="gramStart"/>
      <w:r w:rsidR="00E803A3" w:rsidRPr="00946FCA">
        <w:t>thinking ,</w:t>
      </w:r>
      <w:proofErr w:type="gramEnd"/>
      <w:r w:rsidR="00E803A3" w:rsidRPr="00946FCA">
        <w:t xml:space="preserve"> of the past as well as the present. As stressed by </w:t>
      </w:r>
      <w:proofErr w:type="gramStart"/>
      <w:r w:rsidR="00E803A3" w:rsidRPr="00946FCA">
        <w:t>Pierre  Nora</w:t>
      </w:r>
      <w:proofErr w:type="gramEnd"/>
      <w:r w:rsidR="00E803A3" w:rsidRPr="00946FCA">
        <w:t xml:space="preserve">, the </w:t>
      </w:r>
      <w:r w:rsidR="00D4129F" w:rsidRPr="00946FCA">
        <w:t>discipline</w:t>
      </w:r>
      <w:r w:rsidR="00E803A3" w:rsidRPr="00946FCA">
        <w:t xml:space="preserve"> of history should not celebrate or commemorate the past as memory does, but study </w:t>
      </w:r>
      <w:r w:rsidR="00D4129F" w:rsidRPr="00946FCA">
        <w:t>the ways</w:t>
      </w:r>
      <w:r w:rsidR="00E803A3" w:rsidRPr="00946FCA">
        <w:t xml:space="preserve"> in which the past is celebrated or commemorated. The writing </w:t>
      </w:r>
      <w:r w:rsidR="00D4129F" w:rsidRPr="00946FCA">
        <w:t>and teaching of history shoul</w:t>
      </w:r>
      <w:r w:rsidR="00E803A3" w:rsidRPr="00946FCA">
        <w:t>d</w:t>
      </w:r>
      <w:r w:rsidR="00D4129F" w:rsidRPr="00946FCA">
        <w:t xml:space="preserve"> </w:t>
      </w:r>
      <w:r w:rsidR="00E803A3" w:rsidRPr="00946FCA">
        <w:t>help to uncover the selective and self-serving nature of memory. In recounting the relationship with the past, it should highlight the prejudice and stereotypes</w:t>
      </w:r>
      <w:r w:rsidR="001266E4" w:rsidRPr="00946FCA">
        <w:t xml:space="preserve"> embedded in a collective memory.  </w:t>
      </w:r>
    </w:p>
    <w:p w14:paraId="6B4C0158" w14:textId="77777777" w:rsidR="00064908" w:rsidRDefault="00064908" w:rsidP="001B1FFE">
      <w:pPr>
        <w:tabs>
          <w:tab w:val="left" w:pos="3220"/>
        </w:tabs>
      </w:pPr>
    </w:p>
    <w:p w14:paraId="5DDC8CB8" w14:textId="77777777" w:rsidR="001B1FFE" w:rsidRPr="00946FCA" w:rsidRDefault="001266E4" w:rsidP="001B1FFE">
      <w:pPr>
        <w:tabs>
          <w:tab w:val="left" w:pos="3220"/>
        </w:tabs>
      </w:pPr>
      <w:r w:rsidRPr="00946FCA">
        <w:t xml:space="preserve">But history, it </w:t>
      </w:r>
      <w:r w:rsidR="00D4129F" w:rsidRPr="00946FCA">
        <w:t>should be</w:t>
      </w:r>
      <w:r w:rsidRPr="00946FCA">
        <w:t xml:space="preserve"> noted, is</w:t>
      </w:r>
      <w:r w:rsidR="001B1FFE" w:rsidRPr="00946FCA">
        <w:t xml:space="preserve"> </w:t>
      </w:r>
      <w:r w:rsidRPr="00946FCA">
        <w:t>also not ‘objective’ or neutral. If memories are select</w:t>
      </w:r>
      <w:r w:rsidR="00064908">
        <w:t>ive recollections of the past</w:t>
      </w:r>
      <w:r w:rsidRPr="00946FCA">
        <w:t xml:space="preserve">, so too is </w:t>
      </w:r>
      <w:r w:rsidR="00D4129F" w:rsidRPr="00946FCA">
        <w:t>history. History</w:t>
      </w:r>
      <w:r w:rsidRPr="00946FCA">
        <w:t xml:space="preserve"> is </w:t>
      </w:r>
      <w:r w:rsidR="00D4129F" w:rsidRPr="00946FCA">
        <w:t>always</w:t>
      </w:r>
      <w:r w:rsidRPr="00946FCA">
        <w:t xml:space="preserve"> subject to differing interpretations. While events may be proven, including in a court </w:t>
      </w:r>
      <w:r w:rsidR="00D4129F" w:rsidRPr="00946FCA">
        <w:t>of law</w:t>
      </w:r>
      <w:r w:rsidRPr="00946FCA">
        <w:t xml:space="preserve">, historical narratives are </w:t>
      </w:r>
      <w:proofErr w:type="gramStart"/>
      <w:r w:rsidRPr="00946FCA">
        <w:t>viewpoints, that</w:t>
      </w:r>
      <w:proofErr w:type="gramEnd"/>
      <w:r w:rsidRPr="00946FCA">
        <w:t xml:space="preserve"> by definition, are partial. </w:t>
      </w:r>
      <w:r w:rsidR="00D4129F" w:rsidRPr="00946FCA">
        <w:t>Accordingly</w:t>
      </w:r>
      <w:r w:rsidRPr="00946FCA">
        <w:t xml:space="preserve">, even when the facts are undisputed, conflicting parties may </w:t>
      </w:r>
      <w:r w:rsidR="00D4129F" w:rsidRPr="00946FCA">
        <w:t>nevertheless</w:t>
      </w:r>
      <w:r w:rsidRPr="00946FCA">
        <w:t xml:space="preserve"> fiercely debate the moral </w:t>
      </w:r>
      <w:proofErr w:type="gramStart"/>
      <w:r w:rsidRPr="00946FCA">
        <w:t>legitimacy  of</w:t>
      </w:r>
      <w:proofErr w:type="gramEnd"/>
      <w:r w:rsidRPr="00946FCA">
        <w:t xml:space="preserve"> actions taken, and the idea of who was right and who was wrong. </w:t>
      </w:r>
      <w:r w:rsidR="00064908">
        <w:t xml:space="preserve">People who share the same history may have experienced it in highly different, and sometimes, oppositional ways. </w:t>
      </w:r>
      <w:r w:rsidRPr="00946FCA">
        <w:t xml:space="preserve">The past constantly </w:t>
      </w:r>
      <w:r w:rsidR="00D4129F" w:rsidRPr="00946FCA">
        <w:t>informs</w:t>
      </w:r>
      <w:r w:rsidRPr="00946FCA">
        <w:t xml:space="preserve"> the present, history is continuously (re)interpreted to fulfill contemporary objectives of multiple actors. </w:t>
      </w:r>
    </w:p>
    <w:p w14:paraId="710F6381" w14:textId="77777777" w:rsidR="005E4EE7" w:rsidRPr="00946FCA" w:rsidRDefault="005E4EE7" w:rsidP="001B1FFE">
      <w:pPr>
        <w:tabs>
          <w:tab w:val="left" w:pos="3220"/>
        </w:tabs>
      </w:pPr>
    </w:p>
    <w:p w14:paraId="766944F2" w14:textId="77777777" w:rsidR="00064908" w:rsidRDefault="001266E4" w:rsidP="001736CF">
      <w:pPr>
        <w:tabs>
          <w:tab w:val="left" w:pos="3220"/>
        </w:tabs>
      </w:pPr>
      <w:r w:rsidRPr="00946FCA">
        <w:t xml:space="preserve">Historical narratives are commonly used to build nations, </w:t>
      </w:r>
      <w:r w:rsidR="00064908">
        <w:t xml:space="preserve">to </w:t>
      </w:r>
      <w:r w:rsidRPr="00946FCA">
        <w:t xml:space="preserve">shape communities and </w:t>
      </w:r>
      <w:r w:rsidR="00064908">
        <w:t xml:space="preserve">to </w:t>
      </w:r>
      <w:r w:rsidRPr="00946FCA">
        <w:t xml:space="preserve">foster national or regional identities beyond differences of, for example, religion, language and ethnicity. They also serve to </w:t>
      </w:r>
      <w:proofErr w:type="spellStart"/>
      <w:r w:rsidRPr="00946FCA">
        <w:t>legitimise</w:t>
      </w:r>
      <w:proofErr w:type="spellEnd"/>
      <w:r w:rsidRPr="00946FCA">
        <w:t xml:space="preserve"> a </w:t>
      </w:r>
      <w:r w:rsidR="00D4129F" w:rsidRPr="00946FCA">
        <w:t>particular</w:t>
      </w:r>
      <w:r w:rsidRPr="00946FCA">
        <w:t xml:space="preserve"> political authority and its political concepts and to ensure loyalty to the State. The logic of nation-states itself propels the projection of a common culture, language and history; more accurately this is a desired image of </w:t>
      </w:r>
      <w:r w:rsidR="00D4129F" w:rsidRPr="00946FCA">
        <w:t>the past</w:t>
      </w:r>
      <w:r w:rsidR="00064908">
        <w:t xml:space="preserve"> that is used </w:t>
      </w:r>
      <w:r w:rsidRPr="00946FCA">
        <w:t xml:space="preserve">to construct a unique imaginary foundation of a nation. The reality is that </w:t>
      </w:r>
      <w:r w:rsidR="00064908">
        <w:t xml:space="preserve">the </w:t>
      </w:r>
      <w:r w:rsidR="00064908" w:rsidRPr="00946FCA">
        <w:t xml:space="preserve">boundaries </w:t>
      </w:r>
      <w:r w:rsidR="00064908">
        <w:t>of N</w:t>
      </w:r>
      <w:r w:rsidRPr="00946FCA">
        <w:t>ation-State</w:t>
      </w:r>
      <w:r w:rsidR="00064908">
        <w:t>s</w:t>
      </w:r>
      <w:r w:rsidRPr="00946FCA">
        <w:t xml:space="preserve"> </w:t>
      </w:r>
      <w:r w:rsidR="00064908">
        <w:t xml:space="preserve">never </w:t>
      </w:r>
      <w:r w:rsidRPr="00946FCA">
        <w:t>coincide with specific nations. Th</w:t>
      </w:r>
      <w:r w:rsidR="00064908">
        <w:t xml:space="preserve">e official </w:t>
      </w:r>
      <w:r w:rsidRPr="00946FCA">
        <w:lastRenderedPageBreak/>
        <w:t xml:space="preserve">narrative is </w:t>
      </w:r>
      <w:r w:rsidR="00064908">
        <w:t xml:space="preserve">often </w:t>
      </w:r>
      <w:r w:rsidRPr="00946FCA">
        <w:t xml:space="preserve">used to </w:t>
      </w:r>
      <w:r w:rsidR="00D4129F" w:rsidRPr="00946FCA">
        <w:t>silence</w:t>
      </w:r>
      <w:r w:rsidRPr="00946FCA">
        <w:t xml:space="preserve"> opposition and dissent, as well as diversity within the State. </w:t>
      </w:r>
      <w:r w:rsidR="00F74A75" w:rsidRPr="00946FCA">
        <w:t xml:space="preserve">Provided that historical narratives </w:t>
      </w:r>
      <w:r w:rsidR="00D4129F" w:rsidRPr="00946FCA">
        <w:t>rigorously</w:t>
      </w:r>
      <w:r w:rsidR="00F74A75" w:rsidRPr="00946FCA">
        <w:t xml:space="preserve"> follow the highest deontological standards, </w:t>
      </w:r>
      <w:r w:rsidR="00064908">
        <w:t xml:space="preserve">it is important that </w:t>
      </w:r>
      <w:r w:rsidR="00F74A75" w:rsidRPr="00946FCA">
        <w:t xml:space="preserve">they be respected and included in the debate. </w:t>
      </w:r>
    </w:p>
    <w:p w14:paraId="3F86E622" w14:textId="77777777" w:rsidR="00F74A75" w:rsidRPr="00946FCA" w:rsidRDefault="00F74A75" w:rsidP="001736CF">
      <w:pPr>
        <w:tabs>
          <w:tab w:val="left" w:pos="3220"/>
        </w:tabs>
      </w:pPr>
      <w:r w:rsidRPr="00946FCA">
        <w:t xml:space="preserve">One of the questions raised in this forum was ‘which truth’ and ‘whose truth’ is being promoted. To </w:t>
      </w:r>
      <w:r w:rsidR="00F03E88">
        <w:t xml:space="preserve">me an equally important question </w:t>
      </w:r>
      <w:r w:rsidRPr="00946FCA">
        <w:t xml:space="preserve">is </w:t>
      </w:r>
      <w:r w:rsidR="00F03E88">
        <w:t>‘</w:t>
      </w:r>
      <w:r w:rsidRPr="00946FCA">
        <w:t>whose history</w:t>
      </w:r>
      <w:r w:rsidR="00F03E88">
        <w:t>’</w:t>
      </w:r>
      <w:r w:rsidRPr="00946FCA">
        <w:t xml:space="preserve"> and which history is being taught </w:t>
      </w:r>
      <w:r w:rsidR="001266E4" w:rsidRPr="00946FCA">
        <w:t xml:space="preserve">to younger generations. </w:t>
      </w:r>
    </w:p>
    <w:p w14:paraId="353787AF" w14:textId="77777777" w:rsidR="00F74A75" w:rsidRPr="00946FCA" w:rsidRDefault="00F74A75" w:rsidP="001736CF">
      <w:pPr>
        <w:tabs>
          <w:tab w:val="left" w:pos="3220"/>
        </w:tabs>
      </w:pPr>
    </w:p>
    <w:p w14:paraId="348E982D" w14:textId="77777777" w:rsidR="003B588A" w:rsidRDefault="00F03E88" w:rsidP="001736CF">
      <w:pPr>
        <w:tabs>
          <w:tab w:val="left" w:pos="3220"/>
        </w:tabs>
      </w:pPr>
      <w:r>
        <w:t>For example, the h</w:t>
      </w:r>
      <w:r w:rsidR="001736CF" w:rsidRPr="00946FCA">
        <w:t xml:space="preserve">istory </w:t>
      </w:r>
      <w:r>
        <w:t xml:space="preserve">we are taught </w:t>
      </w:r>
      <w:r w:rsidR="001736CF" w:rsidRPr="00946FCA">
        <w:t>focuse</w:t>
      </w:r>
      <w:r>
        <w:t>s</w:t>
      </w:r>
      <w:r w:rsidR="001736CF" w:rsidRPr="00946FCA">
        <w:t xml:space="preserve"> </w:t>
      </w:r>
      <w:r>
        <w:t xml:space="preserve">almost </w:t>
      </w:r>
      <w:r w:rsidRPr="00946FCA">
        <w:t xml:space="preserve">exclusively </w:t>
      </w:r>
      <w:r w:rsidR="001736CF" w:rsidRPr="00946FCA">
        <w:t xml:space="preserve">on </w:t>
      </w:r>
      <w:r w:rsidR="001736CF" w:rsidRPr="00F03E88">
        <w:rPr>
          <w:i/>
        </w:rPr>
        <w:t xml:space="preserve">his </w:t>
      </w:r>
      <w:r w:rsidR="001736CF" w:rsidRPr="00946FCA">
        <w:t xml:space="preserve">stories, omitting </w:t>
      </w:r>
      <w:r w:rsidR="001736CF" w:rsidRPr="00F03E88">
        <w:rPr>
          <w:i/>
        </w:rPr>
        <w:t xml:space="preserve">her </w:t>
      </w:r>
      <w:r w:rsidR="001736CF" w:rsidRPr="00946FCA">
        <w:t>stories altogether or</w:t>
      </w:r>
      <w:r>
        <w:t>, at best,</w:t>
      </w:r>
      <w:r w:rsidR="001736CF" w:rsidRPr="00946FCA">
        <w:t xml:space="preserve"> relegating </w:t>
      </w:r>
      <w:r>
        <w:t xml:space="preserve">women’s history </w:t>
      </w:r>
      <w:r w:rsidR="001736CF" w:rsidRPr="00946FCA">
        <w:t xml:space="preserve">to the margins. </w:t>
      </w:r>
      <w:r>
        <w:t>H</w:t>
      </w:r>
      <w:r w:rsidR="001736CF" w:rsidRPr="00946FCA">
        <w:t xml:space="preserve">ow histories are taught influences how we think of ourselves. For </w:t>
      </w:r>
      <w:r w:rsidR="00BE3426">
        <w:t>instance</w:t>
      </w:r>
      <w:r w:rsidR="001736CF" w:rsidRPr="00946FCA">
        <w:t>, the narratives we receive tell us that women in Muslim communities and societies are submissive</w:t>
      </w:r>
      <w:r>
        <w:t>,</w:t>
      </w:r>
      <w:r w:rsidR="001736CF" w:rsidRPr="00946FCA">
        <w:t xml:space="preserve"> </w:t>
      </w:r>
      <w:r w:rsidR="00D4129F" w:rsidRPr="00946FCA">
        <w:t>complicit</w:t>
      </w:r>
      <w:r w:rsidR="001736CF" w:rsidRPr="00946FCA">
        <w:t xml:space="preserve"> in and acquiescent of their lower status</w:t>
      </w:r>
      <w:r>
        <w:t>;</w:t>
      </w:r>
      <w:r w:rsidR="001736CF" w:rsidRPr="00946FCA">
        <w:t xml:space="preserve"> and </w:t>
      </w:r>
      <w:r>
        <w:t xml:space="preserve">that </w:t>
      </w:r>
      <w:r w:rsidR="001736CF" w:rsidRPr="00946FCA">
        <w:t xml:space="preserve">all Muslim men are </w:t>
      </w:r>
      <w:r w:rsidR="00D4129F" w:rsidRPr="00946FCA">
        <w:t>misogynist</w:t>
      </w:r>
      <w:r w:rsidR="001736CF" w:rsidRPr="00946FCA">
        <w:t xml:space="preserve">. </w:t>
      </w:r>
      <w:r w:rsidR="00BE3426">
        <w:t xml:space="preserve">Of course neither is true. </w:t>
      </w:r>
      <w:r w:rsidR="003B588A">
        <w:t xml:space="preserve">But </w:t>
      </w:r>
      <w:r w:rsidR="00BE3426">
        <w:t>t</w:t>
      </w:r>
      <w:r w:rsidR="001736CF" w:rsidRPr="00946FCA">
        <w:t xml:space="preserve">hese historical narratives are dangerous from today’s perspective. </w:t>
      </w:r>
      <w:r w:rsidR="003B588A">
        <w:t xml:space="preserve">The narratives combine with and reinforce </w:t>
      </w:r>
      <w:r w:rsidR="001736CF" w:rsidRPr="00946FCA">
        <w:t>a second myth</w:t>
      </w:r>
      <w:r w:rsidR="003B588A">
        <w:t>:</w:t>
      </w:r>
      <w:r w:rsidR="001736CF" w:rsidRPr="00946FCA">
        <w:t xml:space="preserve"> </w:t>
      </w:r>
      <w:r w:rsidR="00BE3426">
        <w:t xml:space="preserve">i.e. </w:t>
      </w:r>
      <w:r w:rsidR="001736CF" w:rsidRPr="00946FCA">
        <w:t xml:space="preserve">that the demand for women’s rights and justice is alien to </w:t>
      </w:r>
      <w:r>
        <w:t>‘</w:t>
      </w:r>
      <w:r w:rsidR="001736CF" w:rsidRPr="00946FCA">
        <w:t>our tradition’, a notion imported  from the West, and that all those demanding their rights are promoting an alien agenda</w:t>
      </w:r>
      <w:r w:rsidR="003B588A">
        <w:t>. This dual</w:t>
      </w:r>
      <w:r w:rsidR="001736CF" w:rsidRPr="00946FCA">
        <w:t xml:space="preserve"> myth </w:t>
      </w:r>
      <w:r w:rsidR="003B588A">
        <w:t xml:space="preserve">is an effective tool for silencing </w:t>
      </w:r>
      <w:r w:rsidR="001736CF" w:rsidRPr="00946FCA">
        <w:t xml:space="preserve">many women </w:t>
      </w:r>
      <w:r w:rsidR="00704B09" w:rsidRPr="00946FCA">
        <w:t xml:space="preserve">who fear </w:t>
      </w:r>
      <w:r w:rsidR="003B588A">
        <w:t xml:space="preserve">that demanding rights, challenging the status quo of discriminatory practices, demanding change will lead to </w:t>
      </w:r>
      <w:r w:rsidR="00704B09" w:rsidRPr="00946FCA">
        <w:t xml:space="preserve">being </w:t>
      </w:r>
      <w:r w:rsidR="003B588A">
        <w:t>considered an out</w:t>
      </w:r>
      <w:r w:rsidR="00704B09" w:rsidRPr="00946FCA">
        <w:t>cast</w:t>
      </w:r>
      <w:r w:rsidR="003B588A">
        <w:t>, shunned</w:t>
      </w:r>
      <w:r w:rsidR="00704B09" w:rsidRPr="00946FCA">
        <w:t xml:space="preserve"> </w:t>
      </w:r>
      <w:r w:rsidR="003B588A">
        <w:t xml:space="preserve">or locked out of their </w:t>
      </w:r>
      <w:r w:rsidR="00704B09" w:rsidRPr="00946FCA">
        <w:t xml:space="preserve">community. It is to debunk these myths that </w:t>
      </w:r>
      <w:r w:rsidR="001736CF" w:rsidRPr="00946FCA">
        <w:t xml:space="preserve">I put together a training manual and companion book of narratives: </w:t>
      </w:r>
      <w:r w:rsidR="001736CF" w:rsidRPr="00946FCA">
        <w:rPr>
          <w:i/>
        </w:rPr>
        <w:t xml:space="preserve">Great Ancestors: Women asserting Rights in Muslim Contexts </w:t>
      </w:r>
      <w:r w:rsidR="001736CF" w:rsidRPr="00946FCA">
        <w:t xml:space="preserve"> </w:t>
      </w:r>
      <w:r w:rsidR="00704B09" w:rsidRPr="00946FCA">
        <w:t xml:space="preserve">which showcases the </w:t>
      </w:r>
      <w:r w:rsidR="00D4129F" w:rsidRPr="00946FCA">
        <w:t>history</w:t>
      </w:r>
      <w:r w:rsidR="00704B09" w:rsidRPr="00946FCA">
        <w:t xml:space="preserve"> of women’s struggle and actions to assert women’s rights and also for social </w:t>
      </w:r>
      <w:r w:rsidR="00D4129F" w:rsidRPr="00946FCA">
        <w:t>justice</w:t>
      </w:r>
      <w:r w:rsidR="00704B09" w:rsidRPr="00946FCA">
        <w:t xml:space="preserve"> from the early days of Islam to the 1950s. </w:t>
      </w:r>
      <w:r w:rsidR="00CD5E07" w:rsidRPr="00946FCA">
        <w:t xml:space="preserve">This history, gathered from </w:t>
      </w:r>
      <w:r w:rsidR="003B588A">
        <w:t xml:space="preserve">the </w:t>
      </w:r>
      <w:r w:rsidR="00CD5E07" w:rsidRPr="00946FCA">
        <w:t>footnotes</w:t>
      </w:r>
      <w:r w:rsidR="003B588A">
        <w:t xml:space="preserve"> of mainstream</w:t>
      </w:r>
      <w:r w:rsidR="003B588A" w:rsidRPr="003B588A">
        <w:t xml:space="preserve"> </w:t>
      </w:r>
      <w:r w:rsidR="003B588A">
        <w:t>historical narratives</w:t>
      </w:r>
      <w:r w:rsidR="00CD5E07" w:rsidRPr="00946FCA">
        <w:t xml:space="preserve">, is an empowering history which enables women to connect their </w:t>
      </w:r>
      <w:r w:rsidR="003B588A">
        <w:t xml:space="preserve">contemporary </w:t>
      </w:r>
      <w:r w:rsidR="00CD5E07" w:rsidRPr="00946FCA">
        <w:t xml:space="preserve">resistance and activism to their own socio-cultural historical context. </w:t>
      </w:r>
    </w:p>
    <w:p w14:paraId="4BAA9636" w14:textId="77777777" w:rsidR="003B588A" w:rsidRDefault="003B588A" w:rsidP="001736CF">
      <w:pPr>
        <w:tabs>
          <w:tab w:val="left" w:pos="3220"/>
        </w:tabs>
      </w:pPr>
    </w:p>
    <w:p w14:paraId="2E5D1C8B" w14:textId="74D8B10F" w:rsidR="001736CF" w:rsidRPr="00946FCA" w:rsidRDefault="003B588A" w:rsidP="001736CF">
      <w:pPr>
        <w:tabs>
          <w:tab w:val="left" w:pos="3220"/>
        </w:tabs>
      </w:pPr>
      <w:r>
        <w:t xml:space="preserve">Another </w:t>
      </w:r>
      <w:r w:rsidR="00333E28" w:rsidRPr="00946FCA">
        <w:t xml:space="preserve">insight </w:t>
      </w:r>
      <w:r>
        <w:t xml:space="preserve">provided by </w:t>
      </w:r>
      <w:r w:rsidR="00333E28" w:rsidRPr="00946FCA">
        <w:t xml:space="preserve">an action-research on women’s empowerment in Muslim contexts, </w:t>
      </w:r>
      <w:r>
        <w:t xml:space="preserve">revealed </w:t>
      </w:r>
      <w:r w:rsidR="00333E28" w:rsidRPr="00946FCA">
        <w:t>that history is one of the fundamental keys for unlocking women’s agency for empowerment, in particular the history of resistance to injustice, especially but not only, histories of women’s resistance</w:t>
      </w:r>
      <w:r>
        <w:t xml:space="preserve"> </w:t>
      </w:r>
      <w:r w:rsidRPr="00946FCA">
        <w:t xml:space="preserve">(as well as contemporary </w:t>
      </w:r>
      <w:r>
        <w:t xml:space="preserve">cross-cultural </w:t>
      </w:r>
      <w:r w:rsidRPr="00946FCA">
        <w:t>accounts</w:t>
      </w:r>
      <w:r>
        <w:t xml:space="preserve"> of women’s movements</w:t>
      </w:r>
      <w:r w:rsidRPr="00946FCA">
        <w:t>)</w:t>
      </w:r>
      <w:r w:rsidR="00333E28" w:rsidRPr="00946FCA">
        <w:t>. I believe th</w:t>
      </w:r>
      <w:r>
        <w:t>at</w:t>
      </w:r>
      <w:r w:rsidR="00333E28" w:rsidRPr="00946FCA">
        <w:t xml:space="preserve"> histories of resistance </w:t>
      </w:r>
      <w:r>
        <w:t xml:space="preserve">are </w:t>
      </w:r>
      <w:r w:rsidR="00333E28" w:rsidRPr="00946FCA">
        <w:t>crucial for all people</w:t>
      </w:r>
      <w:r>
        <w:t xml:space="preserve">. This has been </w:t>
      </w:r>
      <w:r w:rsidR="00005BEA">
        <w:t xml:space="preserve">illustrated </w:t>
      </w:r>
      <w:r>
        <w:t xml:space="preserve">in </w:t>
      </w:r>
      <w:r w:rsidR="00471EAE" w:rsidRPr="00946FCA">
        <w:t xml:space="preserve">this forum </w:t>
      </w:r>
      <w:r w:rsidR="00005BEA">
        <w:t xml:space="preserve">as well, </w:t>
      </w:r>
      <w:r>
        <w:t xml:space="preserve">when </w:t>
      </w:r>
      <w:r w:rsidR="00005BEA">
        <w:t xml:space="preserve">some participants from </w:t>
      </w:r>
      <w:r w:rsidR="00D4129F" w:rsidRPr="00946FCA">
        <w:t>Tunisia</w:t>
      </w:r>
      <w:r>
        <w:t xml:space="preserve"> testified to </w:t>
      </w:r>
      <w:r w:rsidR="00471EAE" w:rsidRPr="00946FCA">
        <w:t xml:space="preserve">identifying with </w:t>
      </w:r>
      <w:r>
        <w:t xml:space="preserve">and/or </w:t>
      </w:r>
      <w:r w:rsidR="00471EAE" w:rsidRPr="00946FCA">
        <w:t xml:space="preserve">following the footsteps of those who resisted French colonialism. </w:t>
      </w:r>
    </w:p>
    <w:p w14:paraId="451CBD6A" w14:textId="77777777" w:rsidR="00471EAE" w:rsidRPr="00946FCA" w:rsidRDefault="00471EAE" w:rsidP="001736CF">
      <w:pPr>
        <w:tabs>
          <w:tab w:val="left" w:pos="3220"/>
        </w:tabs>
      </w:pPr>
    </w:p>
    <w:p w14:paraId="7A9B58D5" w14:textId="50D3F6AC" w:rsidR="00471EAE" w:rsidRPr="00946FCA" w:rsidRDefault="00471EAE" w:rsidP="001736CF">
      <w:pPr>
        <w:tabs>
          <w:tab w:val="left" w:pos="3220"/>
        </w:tabs>
      </w:pPr>
      <w:r w:rsidRPr="00946FCA">
        <w:t xml:space="preserve">It is </w:t>
      </w:r>
      <w:r w:rsidR="00D4129F" w:rsidRPr="00946FCA">
        <w:t>also</w:t>
      </w:r>
      <w:r w:rsidRPr="00946FCA">
        <w:t xml:space="preserve"> important to </w:t>
      </w:r>
      <w:r w:rsidR="00D4129F" w:rsidRPr="00946FCA">
        <w:t>retrieve</w:t>
      </w:r>
      <w:r w:rsidRPr="00946FCA">
        <w:t xml:space="preserve"> local histories, </w:t>
      </w:r>
      <w:r w:rsidR="00005BEA">
        <w:t xml:space="preserve">and we have heard a number of examples of how this is being done by people </w:t>
      </w:r>
      <w:r w:rsidRPr="00946FCA">
        <w:t>participating in this forum.</w:t>
      </w:r>
      <w:r w:rsidR="00005BEA">
        <w:t xml:space="preserve"> </w:t>
      </w:r>
      <w:proofErr w:type="spellStart"/>
      <w:r w:rsidR="00425F67">
        <w:t>Sel</w:t>
      </w:r>
      <w:r w:rsidRPr="00005BEA">
        <w:t>im</w:t>
      </w:r>
      <w:proofErr w:type="spellEnd"/>
      <w:r w:rsidRPr="00005BEA">
        <w:t xml:space="preserve"> Ben Hassan</w:t>
      </w:r>
      <w:r w:rsidR="00005BEA">
        <w:t>, for example, has just shared how he and his friends have been engaging in this process in Tunisia.</w:t>
      </w:r>
    </w:p>
    <w:p w14:paraId="34ABCE9A" w14:textId="77777777" w:rsidR="00704B09" w:rsidRPr="00946FCA" w:rsidRDefault="00704B09" w:rsidP="001736CF">
      <w:pPr>
        <w:tabs>
          <w:tab w:val="left" w:pos="3220"/>
        </w:tabs>
      </w:pPr>
    </w:p>
    <w:p w14:paraId="3E21C116" w14:textId="3EB9FD51" w:rsidR="001266E4" w:rsidRPr="00946FCA" w:rsidRDefault="00714775" w:rsidP="001B1FFE">
      <w:pPr>
        <w:tabs>
          <w:tab w:val="left" w:pos="3220"/>
        </w:tabs>
      </w:pPr>
      <w:r w:rsidRPr="00946FCA">
        <w:t xml:space="preserve">Quite separately, </w:t>
      </w:r>
      <w:r w:rsidR="00471EAE" w:rsidRPr="00946FCA">
        <w:t xml:space="preserve">I am struck by </w:t>
      </w:r>
      <w:r w:rsidR="00005BEA">
        <w:t xml:space="preserve">primacy </w:t>
      </w:r>
      <w:r w:rsidR="001266E4" w:rsidRPr="00946FCA">
        <w:t xml:space="preserve">history </w:t>
      </w:r>
      <w:r w:rsidRPr="00946FCA">
        <w:t>as curren</w:t>
      </w:r>
      <w:r w:rsidR="00950D0D" w:rsidRPr="00946FCA">
        <w:t>tl</w:t>
      </w:r>
      <w:r w:rsidRPr="00946FCA">
        <w:t xml:space="preserve">y taught </w:t>
      </w:r>
      <w:r w:rsidR="001266E4" w:rsidRPr="00946FCA">
        <w:t xml:space="preserve">accords political history over all other aspects. Political history itself is usually reduced to matters of military actions </w:t>
      </w:r>
      <w:r w:rsidR="00F4542D" w:rsidRPr="00946FCA">
        <w:t xml:space="preserve">and </w:t>
      </w:r>
      <w:r w:rsidR="001266E4" w:rsidRPr="00946FCA">
        <w:t>conquest</w:t>
      </w:r>
      <w:r w:rsidR="00F4542D" w:rsidRPr="00946FCA">
        <w:t>s</w:t>
      </w:r>
      <w:r w:rsidR="001266E4" w:rsidRPr="00946FCA">
        <w:t xml:space="preserve"> </w:t>
      </w:r>
      <w:r w:rsidR="00F4542D" w:rsidRPr="00946FCA">
        <w:t xml:space="preserve">over territories </w:t>
      </w:r>
      <w:r w:rsidR="001266E4" w:rsidRPr="00946FCA">
        <w:t>and people</w:t>
      </w:r>
      <w:r w:rsidR="00682205" w:rsidRPr="00946FCA">
        <w:t xml:space="preserve">, inevitably </w:t>
      </w:r>
      <w:r w:rsidR="00005BEA">
        <w:t xml:space="preserve">demarcating </w:t>
      </w:r>
      <w:r w:rsidR="00682205" w:rsidRPr="00946FCA">
        <w:t xml:space="preserve">lines </w:t>
      </w:r>
      <w:r w:rsidR="00005BEA">
        <w:t xml:space="preserve">separating </w:t>
      </w:r>
      <w:r w:rsidR="00682205" w:rsidRPr="00946FCA">
        <w:t xml:space="preserve">‘us’ </w:t>
      </w:r>
      <w:r w:rsidR="00005BEA">
        <w:t xml:space="preserve">from </w:t>
      </w:r>
      <w:r w:rsidR="00682205" w:rsidRPr="00946FCA">
        <w:t>‘them’</w:t>
      </w:r>
      <w:r w:rsidR="00E83C5D" w:rsidRPr="00946FCA">
        <w:t xml:space="preserve">, the conquering heroes and the </w:t>
      </w:r>
      <w:r w:rsidR="00E83C5D" w:rsidRPr="00946FCA">
        <w:lastRenderedPageBreak/>
        <w:t>conquered victims</w:t>
      </w:r>
      <w:r w:rsidR="00F4542D" w:rsidRPr="00946FCA">
        <w:t xml:space="preserve">. </w:t>
      </w:r>
      <w:r w:rsidR="00950D0D" w:rsidRPr="00946FCA">
        <w:t xml:space="preserve">It is essential to remember that the shared past has been differently experienced. </w:t>
      </w:r>
    </w:p>
    <w:p w14:paraId="2FF94C59" w14:textId="77777777" w:rsidR="00471EAE" w:rsidRPr="00946FCA" w:rsidRDefault="00471EAE" w:rsidP="001B1FFE">
      <w:pPr>
        <w:tabs>
          <w:tab w:val="left" w:pos="3220"/>
        </w:tabs>
      </w:pPr>
    </w:p>
    <w:p w14:paraId="09F2C6A1" w14:textId="32273717" w:rsidR="00471EAE" w:rsidRPr="00946FCA" w:rsidRDefault="00005BEA" w:rsidP="001B1FFE">
      <w:pPr>
        <w:tabs>
          <w:tab w:val="left" w:pos="3220"/>
        </w:tabs>
      </w:pPr>
      <w:r>
        <w:t xml:space="preserve">The </w:t>
      </w:r>
      <w:r w:rsidR="00471EAE" w:rsidRPr="00946FCA">
        <w:t xml:space="preserve">projected past </w:t>
      </w:r>
      <w:r>
        <w:t xml:space="preserve">also contains </w:t>
      </w:r>
      <w:r w:rsidR="00471EAE" w:rsidRPr="00946FCA">
        <w:t>silences and omissions, as well as views of ‘us’ and ‘them’</w:t>
      </w:r>
      <w:r>
        <w:t>,</w:t>
      </w:r>
      <w:r w:rsidR="00471EAE" w:rsidRPr="00946FCA">
        <w:t xml:space="preserve"> and ‘</w:t>
      </w:r>
      <w:r w:rsidR="00471EAE" w:rsidRPr="000D00E6">
        <w:t xml:space="preserve">enemies’.  </w:t>
      </w:r>
      <w:r w:rsidRPr="000D00E6">
        <w:t xml:space="preserve">A specific period of history or particular events may simply be omitted from narrative taught in schools. </w:t>
      </w:r>
      <w:r w:rsidR="00425F67" w:rsidRPr="000D00E6">
        <w:t>Omissions</w:t>
      </w:r>
      <w:r w:rsidRPr="000D00E6">
        <w:t xml:space="preserve"> are especially evident following major upheavals, when the previous narrative is no longer acceptable and a new narrative is deliberately promoted to replace it. It is </w:t>
      </w:r>
      <w:r w:rsidR="00425F67" w:rsidRPr="000D00E6">
        <w:t>quite</w:t>
      </w:r>
      <w:r w:rsidRPr="000D00E6">
        <w:t xml:space="preserve"> usual in societies seeking to achieve reconciliation after wars and internal strife or dictatorships. The omissions may be well-intended. The aim may </w:t>
      </w:r>
      <w:r w:rsidR="00425F67" w:rsidRPr="000D00E6">
        <w:t>be to</w:t>
      </w:r>
      <w:r w:rsidRPr="000D00E6">
        <w:t xml:space="preserve"> deliberately conceal data to shield key actors from prosecution or to achieve reconciliation, or both. Omissions may also be the outcome of a sheer impossibility </w:t>
      </w:r>
      <w:r w:rsidR="000D00E6" w:rsidRPr="000D00E6">
        <w:t>in</w:t>
      </w:r>
      <w:r w:rsidRPr="000D00E6">
        <w:t xml:space="preserve"> </w:t>
      </w:r>
      <w:r w:rsidR="000D00E6" w:rsidRPr="000D00E6">
        <w:t xml:space="preserve">a still deeply </w:t>
      </w:r>
      <w:r w:rsidRPr="000D00E6">
        <w:t>divided societ</w:t>
      </w:r>
      <w:r w:rsidR="000D00E6" w:rsidRPr="000D00E6">
        <w:t>y</w:t>
      </w:r>
      <w:r w:rsidRPr="000D00E6">
        <w:t xml:space="preserve"> </w:t>
      </w:r>
      <w:r w:rsidR="000D00E6" w:rsidRPr="000D00E6">
        <w:t>to reach</w:t>
      </w:r>
      <w:r w:rsidRPr="000D00E6">
        <w:t xml:space="preserve"> an agreement on how to describe a shared past of conflict, violence and pain</w:t>
      </w:r>
      <w:r w:rsidR="002A349C" w:rsidRPr="000D00E6">
        <w:t xml:space="preserve"> that, albeit shared</w:t>
      </w:r>
      <w:r w:rsidR="002A349C" w:rsidRPr="00946FCA">
        <w:t xml:space="preserve">, </w:t>
      </w:r>
      <w:r w:rsidR="000D00E6">
        <w:t>w</w:t>
      </w:r>
      <w:r w:rsidR="002A349C" w:rsidRPr="00946FCA">
        <w:t xml:space="preserve">as experienced in vastly divergent and </w:t>
      </w:r>
      <w:r w:rsidR="00D4129F" w:rsidRPr="00946FCA">
        <w:t>quite</w:t>
      </w:r>
      <w:r w:rsidR="002A349C" w:rsidRPr="00946FCA">
        <w:t xml:space="preserve"> often directly oppositional ways.  </w:t>
      </w:r>
    </w:p>
    <w:p w14:paraId="1BA26975" w14:textId="77777777" w:rsidR="00E45195" w:rsidRPr="00946FCA" w:rsidRDefault="00E45195" w:rsidP="001B1FFE">
      <w:pPr>
        <w:tabs>
          <w:tab w:val="left" w:pos="3220"/>
        </w:tabs>
        <w:rPr>
          <w:color w:val="0070C0"/>
        </w:rPr>
      </w:pPr>
    </w:p>
    <w:p w14:paraId="40B47150" w14:textId="3CC6D79E" w:rsidR="00E45195" w:rsidRPr="00946FCA" w:rsidRDefault="00876A11" w:rsidP="001B1FFE">
      <w:pPr>
        <w:tabs>
          <w:tab w:val="left" w:pos="3220"/>
        </w:tabs>
      </w:pPr>
      <w:r>
        <w:t>T</w:t>
      </w:r>
      <w:r w:rsidR="00E45195" w:rsidRPr="00946FCA">
        <w:t xml:space="preserve">he past conflict </w:t>
      </w:r>
      <w:r>
        <w:t xml:space="preserve">may also be </w:t>
      </w:r>
      <w:r w:rsidR="00E45195" w:rsidRPr="00946FCA">
        <w:t>considered too recent</w:t>
      </w:r>
      <w:r>
        <w:t>, giving rise to emotions which are still too raw</w:t>
      </w:r>
      <w:r w:rsidR="00E45195" w:rsidRPr="00946FCA">
        <w:t xml:space="preserve"> to be addressed and taught in schools. </w:t>
      </w:r>
      <w:r>
        <w:t xml:space="preserve">The common wisdom is </w:t>
      </w:r>
      <w:r w:rsidR="00E45195" w:rsidRPr="00946FCA">
        <w:t xml:space="preserve">that at least one generation is needed before painful events can be discussed openly. </w:t>
      </w:r>
      <w:r>
        <w:t>I</w:t>
      </w:r>
      <w:r w:rsidR="00FE534B" w:rsidRPr="00946FCA">
        <w:t xml:space="preserve">t is well to </w:t>
      </w:r>
      <w:r w:rsidR="00E45195" w:rsidRPr="00946FCA">
        <w:t>remember</w:t>
      </w:r>
      <w:r>
        <w:t>, however,</w:t>
      </w:r>
      <w:r w:rsidR="00E45195" w:rsidRPr="00946FCA">
        <w:t xml:space="preserve"> that </w:t>
      </w:r>
      <w:r w:rsidR="00FE534B" w:rsidRPr="00946FCA">
        <w:t xml:space="preserve">even if the matter is not addressed in the classroom, </w:t>
      </w:r>
      <w:r w:rsidR="00E45195" w:rsidRPr="00946FCA">
        <w:t>discussions on recent events</w:t>
      </w:r>
      <w:r w:rsidR="00E45195" w:rsidRPr="00946FCA">
        <w:rPr>
          <w:i/>
        </w:rPr>
        <w:t xml:space="preserve"> always do</w:t>
      </w:r>
      <w:r w:rsidR="00E45195" w:rsidRPr="00946FCA">
        <w:t xml:space="preserve"> </w:t>
      </w:r>
      <w:r w:rsidR="00E45195" w:rsidRPr="00876A11">
        <w:rPr>
          <w:i/>
        </w:rPr>
        <w:t>take place</w:t>
      </w:r>
      <w:r>
        <w:t>. R</w:t>
      </w:r>
      <w:r w:rsidR="00E45195" w:rsidRPr="00946FCA">
        <w:t>egardless of what happens in the classroom</w:t>
      </w:r>
      <w:r w:rsidR="00FE534B" w:rsidRPr="00946FCA">
        <w:t xml:space="preserve">, </w:t>
      </w:r>
      <w:r>
        <w:t xml:space="preserve">matters will be discussed </w:t>
      </w:r>
      <w:r w:rsidR="00FE534B" w:rsidRPr="00946FCA">
        <w:t>in the streets, in homes and cafes, in songs and other forms of self-expression</w:t>
      </w:r>
      <w:r>
        <w:t>;</w:t>
      </w:r>
      <w:r w:rsidR="00E45195" w:rsidRPr="00946FCA">
        <w:t xml:space="preserve"> </w:t>
      </w:r>
      <w:r>
        <w:t>the y</w:t>
      </w:r>
      <w:r w:rsidR="00FE534B" w:rsidRPr="00946FCA">
        <w:t xml:space="preserve">ounger generations will receive historical narratives from various sources, including the internet.  </w:t>
      </w:r>
      <w:r w:rsidR="00BF54EE">
        <w:t>Consequently, h</w:t>
      </w:r>
      <w:r w:rsidR="00FE534B" w:rsidRPr="00946FCA">
        <w:t>istory teaching in schools</w:t>
      </w:r>
      <w:r w:rsidR="00BF54EE">
        <w:t xml:space="preserve"> still </w:t>
      </w:r>
      <w:r w:rsidR="00FE534B" w:rsidRPr="00946FCA">
        <w:t xml:space="preserve">appears to </w:t>
      </w:r>
      <w:r w:rsidR="00BF54EE">
        <w:t xml:space="preserve">be </w:t>
      </w:r>
      <w:r w:rsidR="00FE534B" w:rsidRPr="00946FCA">
        <w:t>the best option for dealing with a recent painful past</w:t>
      </w:r>
      <w:r w:rsidR="00BF54EE">
        <w:t>,</w:t>
      </w:r>
      <w:r w:rsidR="00FE534B" w:rsidRPr="00946FCA">
        <w:t xml:space="preserve"> because it affords an opportunity to exercise critical thinking and to expose students to various narratives. This, however, </w:t>
      </w:r>
      <w:r w:rsidR="00BF54EE">
        <w:t xml:space="preserve">necessitates a </w:t>
      </w:r>
      <w:r w:rsidR="00FE534B" w:rsidRPr="00946FCA">
        <w:t xml:space="preserve">robust education for the teachers </w:t>
      </w:r>
      <w:r w:rsidR="00BF54EE">
        <w:t xml:space="preserve">we expect to deliver the history lessons, </w:t>
      </w:r>
      <w:r w:rsidR="00FE534B" w:rsidRPr="00946FCA">
        <w:t xml:space="preserve">on how to deal </w:t>
      </w:r>
      <w:r w:rsidR="00BF54EE">
        <w:t xml:space="preserve">with </w:t>
      </w:r>
      <w:r w:rsidR="00FE534B" w:rsidRPr="00946FCA">
        <w:t xml:space="preserve">the </w:t>
      </w:r>
      <w:r w:rsidR="00D532E2" w:rsidRPr="00946FCA">
        <w:t xml:space="preserve">multiple narratives </w:t>
      </w:r>
      <w:r w:rsidR="00BF54EE">
        <w:t xml:space="preserve">as well as </w:t>
      </w:r>
      <w:r w:rsidR="00D532E2" w:rsidRPr="00946FCA">
        <w:t xml:space="preserve">the </w:t>
      </w:r>
      <w:r w:rsidR="00FE534B" w:rsidRPr="00946FCA">
        <w:t xml:space="preserve">potential </w:t>
      </w:r>
      <w:r w:rsidR="00D532E2" w:rsidRPr="00946FCA">
        <w:t xml:space="preserve">conflict/disagreements that the topic may cause amongst students. </w:t>
      </w:r>
      <w:r w:rsidR="00FE534B" w:rsidRPr="00946FCA">
        <w:t xml:space="preserve"> </w:t>
      </w:r>
    </w:p>
    <w:p w14:paraId="656BF2A9" w14:textId="77777777" w:rsidR="00D532E2" w:rsidRPr="00946FCA" w:rsidRDefault="00D532E2" w:rsidP="001B1FFE">
      <w:pPr>
        <w:tabs>
          <w:tab w:val="left" w:pos="3220"/>
        </w:tabs>
      </w:pPr>
    </w:p>
    <w:p w14:paraId="39649333" w14:textId="77777777" w:rsidR="00C37C67" w:rsidRDefault="00BF54EE" w:rsidP="001B1FFE">
      <w:pPr>
        <w:tabs>
          <w:tab w:val="left" w:pos="3220"/>
        </w:tabs>
      </w:pPr>
      <w:r>
        <w:t>It is important to ensure that t</w:t>
      </w:r>
      <w:r w:rsidR="00D532E2" w:rsidRPr="00946FCA">
        <w:t xml:space="preserve">he teaching of history </w:t>
      </w:r>
      <w:r>
        <w:t xml:space="preserve">does not become </w:t>
      </w:r>
      <w:r w:rsidR="00D532E2" w:rsidRPr="00946FCA">
        <w:t>the continuation of war by other means</w:t>
      </w:r>
      <w:r>
        <w:t xml:space="preserve"> for it has been seen that f</w:t>
      </w:r>
      <w:r w:rsidRPr="00946FCA">
        <w:t xml:space="preserve">ollowing the cessation of armed conflict, history textbooks may </w:t>
      </w:r>
      <w:r>
        <w:t xml:space="preserve">deployed in </w:t>
      </w:r>
      <w:r w:rsidRPr="00946FCA">
        <w:t xml:space="preserve">a new mission: laying the ground for a potential future ‘payback’ for past events. </w:t>
      </w:r>
      <w:r>
        <w:t>T</w:t>
      </w:r>
      <w:r w:rsidR="00D532E2" w:rsidRPr="00946FCA">
        <w:t>his is accomplished</w:t>
      </w:r>
      <w:r>
        <w:t xml:space="preserve"> </w:t>
      </w:r>
      <w:r w:rsidR="00D532E2" w:rsidRPr="00946FCA">
        <w:t xml:space="preserve">through textbooks that construct the image of ‘the enemy’, </w:t>
      </w:r>
      <w:r>
        <w:t xml:space="preserve">and/or of victimhood, </w:t>
      </w:r>
      <w:r w:rsidR="00D532E2" w:rsidRPr="00946FCA">
        <w:t xml:space="preserve">preparing future generations for the continuation of hostilities. </w:t>
      </w:r>
      <w:r w:rsidR="00C37C67">
        <w:t>In this process, e</w:t>
      </w:r>
      <w:r w:rsidR="00D532E2" w:rsidRPr="00946FCA">
        <w:t>ven the ancient past is readjusted</w:t>
      </w:r>
      <w:r w:rsidR="00C37C67">
        <w:t>, given a new twist, reinterpreted</w:t>
      </w:r>
      <w:r w:rsidR="00D532E2" w:rsidRPr="00946FCA">
        <w:t xml:space="preserve"> to accommodate the needs </w:t>
      </w:r>
      <w:r w:rsidR="00C37C67">
        <w:t>of</w:t>
      </w:r>
      <w:r w:rsidR="00D532E2" w:rsidRPr="00946FCA">
        <w:t xml:space="preserve"> contemporary politics and future conflict. History teaching and textbooks</w:t>
      </w:r>
      <w:r w:rsidR="00C37C67">
        <w:t>, therefore,</w:t>
      </w:r>
      <w:r w:rsidR="00D532E2" w:rsidRPr="00946FCA">
        <w:t xml:space="preserve"> deserve special attention. </w:t>
      </w:r>
    </w:p>
    <w:p w14:paraId="7607A3A0" w14:textId="77777777" w:rsidR="00C37C67" w:rsidRDefault="00C37C67" w:rsidP="001B1FFE">
      <w:pPr>
        <w:tabs>
          <w:tab w:val="left" w:pos="3220"/>
        </w:tabs>
      </w:pPr>
    </w:p>
    <w:p w14:paraId="5073DF35" w14:textId="37964762" w:rsidR="00D532E2" w:rsidRPr="00946FCA" w:rsidRDefault="00C37C67" w:rsidP="001B1FFE">
      <w:pPr>
        <w:tabs>
          <w:tab w:val="left" w:pos="3220"/>
        </w:tabs>
      </w:pPr>
      <w:r>
        <w:t xml:space="preserve">In my report, I have </w:t>
      </w:r>
      <w:proofErr w:type="spellStart"/>
      <w:r>
        <w:t>emphasised</w:t>
      </w:r>
      <w:proofErr w:type="spellEnd"/>
      <w:r>
        <w:t xml:space="preserve"> that t</w:t>
      </w:r>
      <w:r w:rsidR="00985BFC" w:rsidRPr="00946FCA">
        <w:t xml:space="preserve">he aim </w:t>
      </w:r>
      <w:r w:rsidR="00D532E2" w:rsidRPr="00946FCA">
        <w:t xml:space="preserve">of history teaching </w:t>
      </w:r>
      <w:r w:rsidR="00985BFC" w:rsidRPr="00946FCA">
        <w:t>must be to foster</w:t>
      </w:r>
      <w:r w:rsidR="00D532E2" w:rsidRPr="00946FCA">
        <w:t xml:space="preserve"> critical thinking</w:t>
      </w:r>
      <w:r w:rsidR="00985BFC" w:rsidRPr="00946FCA">
        <w:t xml:space="preserve">, analytical learning and debate, teaching must stress </w:t>
      </w:r>
      <w:r w:rsidR="00D532E2" w:rsidRPr="00946FCA">
        <w:t xml:space="preserve">the complexities </w:t>
      </w:r>
      <w:r w:rsidR="00985BFC" w:rsidRPr="00946FCA">
        <w:t xml:space="preserve">of history, and enable a comparative multi-perspective approach. </w:t>
      </w:r>
      <w:r w:rsidR="00425F67">
        <w:t>History</w:t>
      </w:r>
      <w:r>
        <w:t xml:space="preserve"> teaching </w:t>
      </w:r>
      <w:r w:rsidR="00985BFC" w:rsidRPr="00946FCA">
        <w:t>should not serve the purpose of strengthening patriotism, fortifying national identity or shaping the young in line with either the official ideology or the guidelines of the dominant religion.</w:t>
      </w:r>
    </w:p>
    <w:p w14:paraId="0846CABA" w14:textId="77777777" w:rsidR="00985BFC" w:rsidRPr="00946FCA" w:rsidRDefault="00985BFC" w:rsidP="001B1FFE">
      <w:pPr>
        <w:tabs>
          <w:tab w:val="left" w:pos="3220"/>
        </w:tabs>
      </w:pPr>
    </w:p>
    <w:p w14:paraId="1EDBE636" w14:textId="0F4100E3" w:rsidR="00880889" w:rsidRPr="00946FCA" w:rsidRDefault="00985BFC" w:rsidP="001B1FFE">
      <w:pPr>
        <w:tabs>
          <w:tab w:val="left" w:pos="3220"/>
        </w:tabs>
      </w:pPr>
      <w:r w:rsidRPr="00946FCA">
        <w:lastRenderedPageBreak/>
        <w:t>Ensuring the human rights of all is, first and foremost, the responsibility of the State. Amongst these</w:t>
      </w:r>
      <w:r w:rsidR="00C37C67">
        <w:t xml:space="preserve"> responsibilities are: to </w:t>
      </w:r>
      <w:r w:rsidRPr="00946FCA">
        <w:t>ensur</w:t>
      </w:r>
      <w:r w:rsidR="00C37C67">
        <w:t>e</w:t>
      </w:r>
      <w:r w:rsidRPr="00946FCA">
        <w:t xml:space="preserve"> </w:t>
      </w:r>
      <w:r w:rsidR="00C37C67">
        <w:t xml:space="preserve">that </w:t>
      </w:r>
      <w:r w:rsidRPr="00946FCA">
        <w:t xml:space="preserve">a wide array of history textbooks </w:t>
      </w:r>
      <w:r w:rsidR="00F75AAA" w:rsidRPr="00946FCA">
        <w:t xml:space="preserve">are accredited </w:t>
      </w:r>
      <w:r w:rsidR="00C37C67">
        <w:t xml:space="preserve">for </w:t>
      </w:r>
      <w:r w:rsidRPr="00946FCA">
        <w:t xml:space="preserve">schoolteachers and students </w:t>
      </w:r>
      <w:r w:rsidR="00C37C67">
        <w:t xml:space="preserve">to </w:t>
      </w:r>
      <w:r w:rsidRPr="00946FCA">
        <w:t>choose from</w:t>
      </w:r>
      <w:r w:rsidR="00C37C67">
        <w:t xml:space="preserve">; enabling </w:t>
      </w:r>
      <w:r w:rsidRPr="00946FCA">
        <w:t xml:space="preserve">students to engage with </w:t>
      </w:r>
      <w:r w:rsidR="00817842">
        <w:t xml:space="preserve">key </w:t>
      </w:r>
      <w:r w:rsidRPr="00946FCA">
        <w:t xml:space="preserve">historical texts </w:t>
      </w:r>
      <w:r w:rsidR="00817842">
        <w:t xml:space="preserve">so as to </w:t>
      </w:r>
      <w:r w:rsidRPr="00946FCA">
        <w:t xml:space="preserve">form their own opinions </w:t>
      </w:r>
      <w:r w:rsidR="00880889" w:rsidRPr="00946FCA">
        <w:t>on past events</w:t>
      </w:r>
      <w:r w:rsidR="00817842">
        <w:t>;</w:t>
      </w:r>
      <w:r w:rsidR="00C37C67">
        <w:t xml:space="preserve"> </w:t>
      </w:r>
      <w:r w:rsidRPr="00946FCA">
        <w:t xml:space="preserve">to ensure academic freedoms in terms of the </w:t>
      </w:r>
      <w:r w:rsidR="00880889" w:rsidRPr="00946FCA">
        <w:t xml:space="preserve">topics </w:t>
      </w:r>
      <w:r w:rsidRPr="00946FCA">
        <w:t>historians investigate</w:t>
      </w:r>
      <w:r w:rsidR="00880889" w:rsidRPr="00946FCA">
        <w:t xml:space="preserve"> </w:t>
      </w:r>
      <w:r w:rsidR="00817842">
        <w:t xml:space="preserve">as well as </w:t>
      </w:r>
      <w:r w:rsidR="00880889" w:rsidRPr="00946FCA">
        <w:t>in terms of access</w:t>
      </w:r>
      <w:r w:rsidR="00817842">
        <w:t>ing</w:t>
      </w:r>
      <w:r w:rsidR="00880889" w:rsidRPr="00946FCA">
        <w:t xml:space="preserve"> necessary archives for this. History teachers </w:t>
      </w:r>
      <w:r w:rsidR="00F75AAA" w:rsidRPr="00946FCA">
        <w:t xml:space="preserve">are pivotal for promoting </w:t>
      </w:r>
      <w:proofErr w:type="gramStart"/>
      <w:r w:rsidR="00F75AAA" w:rsidRPr="00946FCA">
        <w:t xml:space="preserve">a </w:t>
      </w:r>
      <w:r w:rsidR="00880889" w:rsidRPr="00946FCA">
        <w:t>human</w:t>
      </w:r>
      <w:proofErr w:type="gramEnd"/>
      <w:r w:rsidR="00880889" w:rsidRPr="00946FCA">
        <w:t xml:space="preserve"> rights based approach. It is imperative therefore to institute continuous education and professional training for history teachers at all levels of schooling. </w:t>
      </w:r>
    </w:p>
    <w:p w14:paraId="751B78A3" w14:textId="77777777" w:rsidR="00880889" w:rsidRDefault="00880889" w:rsidP="001B1FFE">
      <w:pPr>
        <w:tabs>
          <w:tab w:val="left" w:pos="3220"/>
        </w:tabs>
      </w:pPr>
    </w:p>
    <w:p w14:paraId="39EFE8F2" w14:textId="57069A92" w:rsidR="00985BFC" w:rsidRDefault="00880889" w:rsidP="001B1FFE">
      <w:pPr>
        <w:tabs>
          <w:tab w:val="left" w:pos="3220"/>
        </w:tabs>
      </w:pPr>
      <w:r>
        <w:t xml:space="preserve">From a transitional justice perspective, </w:t>
      </w:r>
      <w:r w:rsidR="00F75AAA">
        <w:t xml:space="preserve">victims of abuse and their relatives must have access to archives as their </w:t>
      </w:r>
      <w:proofErr w:type="gramStart"/>
      <w:r w:rsidR="00F75AAA">
        <w:t>right know</w:t>
      </w:r>
      <w:proofErr w:type="gramEnd"/>
      <w:r w:rsidR="00F75AAA">
        <w:t xml:space="preserve">. </w:t>
      </w:r>
      <w:r w:rsidR="00817842">
        <w:t>At this forum, w</w:t>
      </w:r>
      <w:r w:rsidR="00F75AAA">
        <w:t xml:space="preserve">e have heard how the testimonies received in transitional justice processes </w:t>
      </w:r>
      <w:r w:rsidR="00817842">
        <w:t xml:space="preserve">can </w:t>
      </w:r>
      <w:r w:rsidR="00F75AAA">
        <w:t>contribute to creating new knowledge</w:t>
      </w:r>
      <w:r w:rsidR="00817842">
        <w:t>. T</w:t>
      </w:r>
      <w:r w:rsidR="00F75AAA">
        <w:t xml:space="preserve">he testimonies themselves </w:t>
      </w:r>
      <w:r w:rsidR="00817842">
        <w:t xml:space="preserve">can </w:t>
      </w:r>
      <w:r w:rsidR="00F75AAA">
        <w:t>be</w:t>
      </w:r>
      <w:r w:rsidR="00817842">
        <w:t xml:space="preserve"> added to existing </w:t>
      </w:r>
      <w:r w:rsidR="00F75AAA">
        <w:t>archives. T</w:t>
      </w:r>
      <w:r w:rsidR="00817842">
        <w:t>ransitional justice</w:t>
      </w:r>
      <w:r w:rsidR="00F75AAA">
        <w:t xml:space="preserve"> processes may uncover family </w:t>
      </w:r>
      <w:proofErr w:type="gramStart"/>
      <w:r w:rsidR="00F75AAA">
        <w:t>archives,</w:t>
      </w:r>
      <w:proofErr w:type="gramEnd"/>
      <w:r w:rsidR="00F75AAA">
        <w:t xml:space="preserve"> bring to public </w:t>
      </w:r>
      <w:r w:rsidR="00817842">
        <w:t xml:space="preserve">light </w:t>
      </w:r>
      <w:r w:rsidR="00F75AAA">
        <w:t>the documents and records of, for example, the political opposition forces</w:t>
      </w:r>
      <w:r w:rsidR="00817842">
        <w:t xml:space="preserve"> or </w:t>
      </w:r>
      <w:r w:rsidR="00F75AAA">
        <w:t xml:space="preserve">groups. </w:t>
      </w:r>
      <w:r w:rsidR="00817842">
        <w:t>In this way, t</w:t>
      </w:r>
      <w:r w:rsidR="00F75AAA">
        <w:t xml:space="preserve">he </w:t>
      </w:r>
      <w:r w:rsidR="00817842">
        <w:t>transitional justice process</w:t>
      </w:r>
      <w:r w:rsidR="00F75AAA">
        <w:t xml:space="preserve"> </w:t>
      </w:r>
      <w:r w:rsidR="00817842">
        <w:t xml:space="preserve">itself </w:t>
      </w:r>
      <w:r w:rsidR="00F75AAA">
        <w:t>can help to build</w:t>
      </w:r>
      <w:r w:rsidR="00817842">
        <w:t xml:space="preserve"> existing or create new archives</w:t>
      </w:r>
      <w:r w:rsidR="00F75AAA">
        <w:t>.</w:t>
      </w:r>
      <w:r w:rsidR="00817842">
        <w:t xml:space="preserve"> H</w:t>
      </w:r>
      <w:r>
        <w:t>aving access to archives</w:t>
      </w:r>
      <w:r w:rsidR="00817842">
        <w:t>, it has been stressed,</w:t>
      </w:r>
      <w:r>
        <w:t xml:space="preserve"> is </w:t>
      </w:r>
      <w:r w:rsidR="00817842">
        <w:t xml:space="preserve">also </w:t>
      </w:r>
      <w:r>
        <w:t xml:space="preserve">a crucial means of holding State officials </w:t>
      </w:r>
      <w:r w:rsidR="00F75AAA">
        <w:t xml:space="preserve">accountable. </w:t>
      </w:r>
    </w:p>
    <w:p w14:paraId="43C85CC3" w14:textId="77777777" w:rsidR="00985BFC" w:rsidRDefault="00985BFC" w:rsidP="001B1FFE">
      <w:pPr>
        <w:tabs>
          <w:tab w:val="left" w:pos="3220"/>
        </w:tabs>
      </w:pPr>
    </w:p>
    <w:p w14:paraId="789B7E4D" w14:textId="69E62833" w:rsidR="00985BFC" w:rsidRDefault="00985BFC" w:rsidP="001B1FFE">
      <w:pPr>
        <w:tabs>
          <w:tab w:val="left" w:pos="3220"/>
        </w:tabs>
      </w:pPr>
      <w:r>
        <w:t>Major political upheavals create deep social turbulence, social confusion and the circulation of unreliable knowledge</w:t>
      </w:r>
      <w:r w:rsidR="00817842">
        <w:t xml:space="preserve">. This can </w:t>
      </w:r>
      <w:r>
        <w:t>dull</w:t>
      </w:r>
      <w:r w:rsidR="00817842">
        <w:t xml:space="preserve"> and weaken</w:t>
      </w:r>
      <w:r>
        <w:t xml:space="preserve"> people’s capacity for critical thinking. It can also result in people who physically occupy the same space, living in parallel universes. </w:t>
      </w:r>
    </w:p>
    <w:p w14:paraId="00494B89" w14:textId="77777777" w:rsidR="00F75AAA" w:rsidRDefault="00F75AAA" w:rsidP="001B1FFE">
      <w:pPr>
        <w:tabs>
          <w:tab w:val="left" w:pos="3220"/>
        </w:tabs>
      </w:pPr>
    </w:p>
    <w:p w14:paraId="16E3681E" w14:textId="4A1EEBEE" w:rsidR="006362DF" w:rsidRPr="006362DF" w:rsidRDefault="00F75AAA" w:rsidP="001B1FFE">
      <w:pPr>
        <w:tabs>
          <w:tab w:val="left" w:pos="3220"/>
        </w:tabs>
      </w:pPr>
      <w:r>
        <w:t>From a human rights perspective what counts is creating conditions that</w:t>
      </w:r>
      <w:r w:rsidR="006362DF">
        <w:t xml:space="preserve">, in the words of Justice </w:t>
      </w:r>
      <w:proofErr w:type="spellStart"/>
      <w:r w:rsidR="006362DF">
        <w:t>Albie</w:t>
      </w:r>
      <w:proofErr w:type="spellEnd"/>
      <w:r w:rsidR="006362DF">
        <w:t xml:space="preserve"> Sachs,</w:t>
      </w:r>
      <w:r>
        <w:t xml:space="preserve"> allow a ‘broadly located, mobile, multi-layered and interactive dialogical truth’ to emerge, meaning a debate on past events </w:t>
      </w:r>
      <w:r w:rsidR="006362DF">
        <w:t>and actions that enable society to overcome ‘completely separate and unrecognized accounts of what happened’ so as to move forward and develop more peaceful relationships.</w:t>
      </w:r>
      <w:r w:rsidR="000843F7">
        <w:rPr>
          <w:rStyle w:val="FootnoteReference"/>
        </w:rPr>
        <w:footnoteReference w:id="3"/>
      </w:r>
      <w:r w:rsidR="006362DF">
        <w:t xml:space="preserve"> </w:t>
      </w:r>
    </w:p>
    <w:p w14:paraId="2D1DF3DC" w14:textId="77777777" w:rsidR="006362DF" w:rsidRDefault="006362DF" w:rsidP="001B1FFE">
      <w:pPr>
        <w:tabs>
          <w:tab w:val="left" w:pos="3220"/>
        </w:tabs>
      </w:pPr>
    </w:p>
    <w:p w14:paraId="7121002A" w14:textId="67C9FA28" w:rsidR="00F75AAA" w:rsidRDefault="006362DF" w:rsidP="001B1FFE">
      <w:pPr>
        <w:tabs>
          <w:tab w:val="left" w:pos="3220"/>
        </w:tabs>
      </w:pPr>
      <w:r>
        <w:t>This is a crucial guiding principle to remember</w:t>
      </w:r>
      <w:r w:rsidR="00993D78">
        <w:t>, especially</w:t>
      </w:r>
      <w:r>
        <w:t xml:space="preserve"> in </w:t>
      </w:r>
      <w:r w:rsidR="00993D78">
        <w:t xml:space="preserve">view </w:t>
      </w:r>
      <w:r>
        <w:t>of the new push for every past tragedy to be commemorated through memorials, most of which are inspired by the Holocaust memorials</w:t>
      </w:r>
      <w:r w:rsidR="00993D78">
        <w:t xml:space="preserve">, as Pierre </w:t>
      </w:r>
      <w:proofErr w:type="spellStart"/>
      <w:r w:rsidR="00993D78">
        <w:t>Hazan</w:t>
      </w:r>
      <w:proofErr w:type="spellEnd"/>
      <w:r w:rsidR="00993D78">
        <w:t xml:space="preserve"> recalled</w:t>
      </w:r>
      <w:r>
        <w:t xml:space="preserve">. </w:t>
      </w:r>
      <w:r w:rsidR="00993D78">
        <w:t xml:space="preserve">It is crucial, I believe, </w:t>
      </w:r>
      <w:r>
        <w:t>to guard against memorialization processes that constitute</w:t>
      </w:r>
      <w:r w:rsidR="00993D78">
        <w:t>,</w:t>
      </w:r>
      <w:r>
        <w:t xml:space="preserve"> or can lead to reactions that constitute</w:t>
      </w:r>
      <w:r w:rsidR="00993D78">
        <w:t>,</w:t>
      </w:r>
      <w:r>
        <w:t xml:space="preserve"> obstacles to reconciliation. It is </w:t>
      </w:r>
      <w:r w:rsidR="00993D78">
        <w:t xml:space="preserve">vital </w:t>
      </w:r>
      <w:r>
        <w:t xml:space="preserve">that </w:t>
      </w:r>
      <w:r w:rsidR="00993D78">
        <w:t xml:space="preserve">transitional </w:t>
      </w:r>
      <w:r>
        <w:t xml:space="preserve">processes </w:t>
      </w:r>
      <w:r w:rsidR="00993D78">
        <w:t xml:space="preserve">avoid falling </w:t>
      </w:r>
      <w:r>
        <w:t xml:space="preserve">into the trap of creating victim hierarchies, generating a competition in victimhood, </w:t>
      </w:r>
      <w:r w:rsidRPr="00993D78">
        <w:t>and thereby providing some groups with ‘an endless line of credit’.</w:t>
      </w:r>
      <w:r w:rsidR="00993D78">
        <w:rPr>
          <w:rStyle w:val="FootnoteReference"/>
        </w:rPr>
        <w:footnoteReference w:id="4"/>
      </w:r>
      <w:r w:rsidR="00993D78">
        <w:t xml:space="preserve"> </w:t>
      </w:r>
      <w:r>
        <w:t>In the same way that ‘Memories of past humiliation inspire the desire for revenge and are used to justify further aggression based on any historical or ancestral rights</w:t>
      </w:r>
      <w:r w:rsidR="00993D78">
        <w:t>,</w:t>
      </w:r>
      <w:r>
        <w:t>’</w:t>
      </w:r>
      <w:r w:rsidR="000843F7">
        <w:rPr>
          <w:rStyle w:val="FootnoteReference"/>
        </w:rPr>
        <w:footnoteReference w:id="5"/>
      </w:r>
      <w:r>
        <w:t xml:space="preserve"> the </w:t>
      </w:r>
      <w:r w:rsidR="00993D78">
        <w:t xml:space="preserve">manner in which </w:t>
      </w:r>
      <w:r>
        <w:t xml:space="preserve">history is related </w:t>
      </w:r>
      <w:r w:rsidR="00993D78">
        <w:t>can prepare</w:t>
      </w:r>
      <w:r>
        <w:t xml:space="preserve"> its listeners for ‘revenge’, discrimination, </w:t>
      </w:r>
      <w:r w:rsidR="00993D78">
        <w:t xml:space="preserve">and </w:t>
      </w:r>
      <w:r>
        <w:t>oppressions against the Other</w:t>
      </w:r>
      <w:r w:rsidR="00993D78">
        <w:t>,</w:t>
      </w:r>
      <w:r>
        <w:t xml:space="preserve"> however </w:t>
      </w:r>
      <w:r w:rsidR="00993D78">
        <w:t xml:space="preserve">the Other may be </w:t>
      </w:r>
      <w:r>
        <w:t>defined.</w:t>
      </w:r>
    </w:p>
    <w:p w14:paraId="1A1034FC" w14:textId="77777777" w:rsidR="006362DF" w:rsidRDefault="006362DF" w:rsidP="001B1FFE">
      <w:pPr>
        <w:tabs>
          <w:tab w:val="left" w:pos="3220"/>
        </w:tabs>
      </w:pPr>
    </w:p>
    <w:p w14:paraId="34DEB332" w14:textId="00059666" w:rsidR="00890E69" w:rsidRDefault="00D819B8" w:rsidP="001B1FFE">
      <w:pPr>
        <w:tabs>
          <w:tab w:val="left" w:pos="3220"/>
        </w:tabs>
      </w:pPr>
      <w:r>
        <w:lastRenderedPageBreak/>
        <w:t xml:space="preserve">This becomes all the more critical as the purpose of </w:t>
      </w:r>
      <w:proofErr w:type="spellStart"/>
      <w:r>
        <w:t>memorialisation</w:t>
      </w:r>
      <w:proofErr w:type="spellEnd"/>
      <w:r>
        <w:t xml:space="preserve"> processes shifts from commemorating soldiers to remembering the civilian victims of violent conflict. </w:t>
      </w:r>
      <w:r w:rsidR="006362DF">
        <w:t>I</w:t>
      </w:r>
      <w:r>
        <w:t>n this regard, I consider</w:t>
      </w:r>
      <w:r w:rsidR="004454F6">
        <w:t xml:space="preserve"> the </w:t>
      </w:r>
      <w:r w:rsidR="006362DF">
        <w:t xml:space="preserve">new forms of memorialization processes emerging that do not replicate the </w:t>
      </w:r>
      <w:r>
        <w:t>‘</w:t>
      </w:r>
      <w:r w:rsidR="006362DF">
        <w:t>enshrine</w:t>
      </w:r>
      <w:r w:rsidR="00797C1D">
        <w:t>d in stone</w:t>
      </w:r>
      <w:r>
        <w:t>’</w:t>
      </w:r>
      <w:r w:rsidR="00797C1D">
        <w:t xml:space="preserve"> </w:t>
      </w:r>
      <w:r>
        <w:t>mentality as a positive development</w:t>
      </w:r>
      <w:r w:rsidR="00797C1D">
        <w:t xml:space="preserve">. </w:t>
      </w:r>
    </w:p>
    <w:p w14:paraId="7167816C" w14:textId="77777777" w:rsidR="00BB7928" w:rsidRDefault="00BB7928" w:rsidP="001B1FFE">
      <w:pPr>
        <w:tabs>
          <w:tab w:val="left" w:pos="3220"/>
        </w:tabs>
      </w:pPr>
    </w:p>
    <w:p w14:paraId="5E8D521D" w14:textId="3B8F3589" w:rsidR="00890E69" w:rsidRDefault="00BB7928" w:rsidP="001B1FFE">
      <w:pPr>
        <w:tabs>
          <w:tab w:val="left" w:pos="3220"/>
        </w:tabs>
      </w:pPr>
      <w:r>
        <w:t>Today, a</w:t>
      </w:r>
      <w:r w:rsidR="00890E69">
        <w:t xml:space="preserve">s </w:t>
      </w:r>
      <w:r>
        <w:t xml:space="preserve">pointed out by </w:t>
      </w:r>
      <w:r w:rsidR="00890E69">
        <w:t xml:space="preserve">Pierre </w:t>
      </w:r>
      <w:proofErr w:type="spellStart"/>
      <w:r w:rsidR="00890E69">
        <w:t>Hazan</w:t>
      </w:r>
      <w:proofErr w:type="spellEnd"/>
      <w:r w:rsidR="00890E69">
        <w:t xml:space="preserve"> </w:t>
      </w:r>
      <w:r>
        <w:t>earlier</w:t>
      </w:r>
      <w:r w:rsidR="00890E69">
        <w:t>, States exiting conflicts or periods of repression find themselves increasingly propelled to engage in active memorial policies as a means for ensuring recognition for the victims, as reparation for mass or grave violations of human rights</w:t>
      </w:r>
      <w:r>
        <w:t>,</w:t>
      </w:r>
      <w:r w:rsidR="00890E69">
        <w:t xml:space="preserve"> and as a guarantee of non-recurrence. The ways in which narratives are memorialized, however, have consequences far beyond the sole issue of reparations. Entire cultural and symbolic landscapes are </w:t>
      </w:r>
      <w:r>
        <w:t>(re)</w:t>
      </w:r>
      <w:r w:rsidR="00890E69">
        <w:t>designed through memorials and museums</w:t>
      </w:r>
      <w:r>
        <w:t>. These</w:t>
      </w:r>
      <w:r w:rsidR="00890E69">
        <w:t xml:space="preserve"> refle</w:t>
      </w:r>
      <w:r>
        <w:t>ct, but also help</w:t>
      </w:r>
      <w:r w:rsidR="00890E69">
        <w:t xml:space="preserve"> to shape social interactions</w:t>
      </w:r>
      <w:r>
        <w:t>,</w:t>
      </w:r>
      <w:r w:rsidR="00890E69">
        <w:t xml:space="preserve"> people’s self-identity, </w:t>
      </w:r>
      <w:r>
        <w:t xml:space="preserve">and </w:t>
      </w:r>
      <w:r w:rsidR="00890E69">
        <w:t>their perception of other social groups</w:t>
      </w:r>
      <w:r>
        <w:t xml:space="preserve"> in both positive and negative ways</w:t>
      </w:r>
      <w:r w:rsidR="00890E69">
        <w:t xml:space="preserve">. </w:t>
      </w:r>
      <w:r>
        <w:t xml:space="preserve">Unfortunately, </w:t>
      </w:r>
      <w:r w:rsidR="00D27A87">
        <w:t xml:space="preserve">I </w:t>
      </w:r>
      <w:r>
        <w:t xml:space="preserve">have to admit that I do not </w:t>
      </w:r>
      <w:r w:rsidR="00D27A87">
        <w:t xml:space="preserve">think that memorialization processes </w:t>
      </w:r>
      <w:r w:rsidR="00D27A87" w:rsidRPr="00BB7928">
        <w:rPr>
          <w:i/>
        </w:rPr>
        <w:t>per se</w:t>
      </w:r>
      <w:r w:rsidR="00D27A87">
        <w:t xml:space="preserve"> are any guarantee of non-recurrence. This is simply not the reality we see around us every day.</w:t>
      </w:r>
    </w:p>
    <w:p w14:paraId="4167BC77" w14:textId="77777777" w:rsidR="00890E69" w:rsidRDefault="00890E69" w:rsidP="001B1FFE">
      <w:pPr>
        <w:tabs>
          <w:tab w:val="left" w:pos="3220"/>
        </w:tabs>
      </w:pPr>
    </w:p>
    <w:p w14:paraId="7A758710" w14:textId="77777777" w:rsidR="003F7435" w:rsidRDefault="00797C1D" w:rsidP="001B1FFE">
      <w:pPr>
        <w:tabs>
          <w:tab w:val="left" w:pos="3220"/>
        </w:tabs>
      </w:pPr>
      <w:r>
        <w:t xml:space="preserve">Memorials themselves become sites of contestation, dispute and violence, </w:t>
      </w:r>
      <w:r w:rsidR="00BB7928">
        <w:t xml:space="preserve">and for instance at this forum Eduardo Gonzales </w:t>
      </w:r>
      <w:proofErr w:type="spellStart"/>
      <w:r w:rsidR="00BB7928">
        <w:t>Cueva</w:t>
      </w:r>
      <w:proofErr w:type="spellEnd"/>
      <w:r w:rsidR="00BB7928">
        <w:t xml:space="preserve"> shared </w:t>
      </w:r>
      <w:r>
        <w:t xml:space="preserve">the </w:t>
      </w:r>
      <w:r w:rsidR="00BB7928">
        <w:t xml:space="preserve">controversy around </w:t>
      </w:r>
      <w:r>
        <w:t xml:space="preserve">the </w:t>
      </w:r>
      <w:r w:rsidR="00BB7928">
        <w:t>‘</w:t>
      </w:r>
      <w:r>
        <w:t>Eye that Cries</w:t>
      </w:r>
      <w:r w:rsidR="00BB7928">
        <w:t>’</w:t>
      </w:r>
      <w:r>
        <w:t xml:space="preserve"> </w:t>
      </w:r>
      <w:r w:rsidR="00BB7928">
        <w:t xml:space="preserve">memorial </w:t>
      </w:r>
      <w:r>
        <w:t xml:space="preserve">in Peru </w:t>
      </w:r>
      <w:r w:rsidR="00BB7928">
        <w:t>which has been defaced</w:t>
      </w:r>
      <w:r>
        <w:t xml:space="preserve">. In Ireland, </w:t>
      </w:r>
      <w:r w:rsidR="00BB7928">
        <w:t xml:space="preserve">the </w:t>
      </w:r>
      <w:r>
        <w:t xml:space="preserve">murals projecting particular narratives </w:t>
      </w:r>
      <w:r w:rsidR="00BB7928">
        <w:t xml:space="preserve">of The Troubles as experienced by the two sides have been </w:t>
      </w:r>
      <w:r>
        <w:t xml:space="preserve">sites of </w:t>
      </w:r>
      <w:r w:rsidR="00BB7928">
        <w:t xml:space="preserve">not only contestations over depicting history but of </w:t>
      </w:r>
      <w:r>
        <w:t>violence</w:t>
      </w:r>
      <w:r w:rsidR="00BB7928">
        <w:t xml:space="preserve"> as well as</w:t>
      </w:r>
      <w:r>
        <w:t xml:space="preserve">. </w:t>
      </w:r>
      <w:r w:rsidR="003F7435">
        <w:t xml:space="preserve">(I have to say, however, that </w:t>
      </w:r>
      <w:r>
        <w:t>I cannot help wonder</w:t>
      </w:r>
      <w:r w:rsidR="003F7435">
        <w:t>ing</w:t>
      </w:r>
      <w:r>
        <w:t xml:space="preserve"> whether it isn’t better to deface artistic creations than the people from the other side.</w:t>
      </w:r>
      <w:r w:rsidR="003F7435">
        <w:t>)</w:t>
      </w:r>
      <w:r>
        <w:t xml:space="preserve"> </w:t>
      </w:r>
    </w:p>
    <w:p w14:paraId="5BEC8183" w14:textId="77777777" w:rsidR="003F7435" w:rsidRDefault="003F7435" w:rsidP="001B1FFE">
      <w:pPr>
        <w:tabs>
          <w:tab w:val="left" w:pos="3220"/>
        </w:tabs>
      </w:pPr>
    </w:p>
    <w:p w14:paraId="43B5FBD2" w14:textId="304AF1BA" w:rsidR="006E790D" w:rsidRDefault="003F7435" w:rsidP="001B1FFE">
      <w:pPr>
        <w:tabs>
          <w:tab w:val="left" w:pos="3220"/>
        </w:tabs>
      </w:pPr>
      <w:r>
        <w:t xml:space="preserve">At the same time, </w:t>
      </w:r>
      <w:r w:rsidR="00797C1D">
        <w:t>communities experiencing</w:t>
      </w:r>
      <w:r w:rsidR="00AA4648">
        <w:t>, or having experienced,</w:t>
      </w:r>
      <w:r w:rsidR="00797C1D">
        <w:t xml:space="preserve"> great strife have </w:t>
      </w:r>
      <w:r w:rsidR="00AA4648">
        <w:t xml:space="preserve">also </w:t>
      </w:r>
      <w:r w:rsidR="00797C1D">
        <w:t xml:space="preserve">created </w:t>
      </w:r>
      <w:r w:rsidR="00AA4648">
        <w:t xml:space="preserve">novel, </w:t>
      </w:r>
      <w:r w:rsidR="00797C1D">
        <w:t>very different</w:t>
      </w:r>
      <w:r w:rsidR="00AA4648">
        <w:t>,</w:t>
      </w:r>
      <w:r w:rsidR="00797C1D">
        <w:t xml:space="preserve"> non-material forms of memorialization </w:t>
      </w:r>
      <w:r w:rsidR="00AA4648">
        <w:t xml:space="preserve">processed with the express purpose of </w:t>
      </w:r>
      <w:r w:rsidR="00797C1D">
        <w:t>help</w:t>
      </w:r>
      <w:r w:rsidR="00AA4648">
        <w:t>ing</w:t>
      </w:r>
      <w:r w:rsidR="00797C1D">
        <w:t xml:space="preserve"> the society move on, rather than merely provide a marker of </w:t>
      </w:r>
      <w:r w:rsidR="00AA4648">
        <w:t>past violations</w:t>
      </w:r>
      <w:r w:rsidR="00797C1D">
        <w:t>. I</w:t>
      </w:r>
      <w:r w:rsidR="00AA4648">
        <w:t xml:space="preserve">n this, I believe it </w:t>
      </w:r>
      <w:r w:rsidR="00797C1D">
        <w:t xml:space="preserve">is important to allow people to determine what would be appropriate in their context. </w:t>
      </w:r>
      <w:r w:rsidR="006E790D">
        <w:t>In Cambodia, for example, people have instituted ceremonies that recognize the harm done, the person responsible and the perpetrator, but that conclude in victim and perpetrator collectively closing the chapter of the past and moving on</w:t>
      </w:r>
      <w:r w:rsidR="00AA4648">
        <w:t>, using rites which leave no trace</w:t>
      </w:r>
      <w:r w:rsidR="006E790D">
        <w:t xml:space="preserve">. This may seem rather peculiar, </w:t>
      </w:r>
      <w:r w:rsidR="00AA4648">
        <w:t xml:space="preserve">and may be difficult for </w:t>
      </w:r>
      <w:r w:rsidR="006E790D">
        <w:t>outsiders</w:t>
      </w:r>
      <w:r w:rsidR="00AA4648">
        <w:t xml:space="preserve"> to understand or accept</w:t>
      </w:r>
      <w:r w:rsidR="006E790D">
        <w:t xml:space="preserve">, but it is </w:t>
      </w:r>
      <w:r w:rsidR="00AA4648">
        <w:t xml:space="preserve">always essential </w:t>
      </w:r>
      <w:r w:rsidR="006E790D">
        <w:t xml:space="preserve">to listen to those who suffered directly and </w:t>
      </w:r>
      <w:r w:rsidR="00AA4648">
        <w:t xml:space="preserve">to </w:t>
      </w:r>
      <w:r w:rsidR="006E790D">
        <w:t xml:space="preserve">ensure </w:t>
      </w:r>
      <w:r w:rsidR="00AA4648">
        <w:t xml:space="preserve">that </w:t>
      </w:r>
      <w:r w:rsidR="006E790D">
        <w:t>their wishes are taken into account</w:t>
      </w:r>
      <w:r w:rsidR="00AA4648">
        <w:t xml:space="preserve"> fully</w:t>
      </w:r>
      <w:r w:rsidR="006E790D">
        <w:t>. For example, a</w:t>
      </w:r>
      <w:r w:rsidR="00797C1D">
        <w:t xml:space="preserve">fter the overthrow of the Taliban regime in Afghanistan, there was a huge push from the international </w:t>
      </w:r>
      <w:r w:rsidR="00AA4648">
        <w:t xml:space="preserve">community, </w:t>
      </w:r>
      <w:r w:rsidR="00425F67">
        <w:t>including</w:t>
      </w:r>
      <w:r w:rsidR="00AA4648">
        <w:t xml:space="preserve"> civil society activists, </w:t>
      </w:r>
      <w:r w:rsidR="00797C1D">
        <w:t xml:space="preserve">to establish an international tribunal to bring all those responsible for the violence to justice. However, when </w:t>
      </w:r>
      <w:r w:rsidR="00AA4648">
        <w:t xml:space="preserve">in </w:t>
      </w:r>
      <w:proofErr w:type="spellStart"/>
      <w:r w:rsidR="00AA4648">
        <w:t>neighbouring</w:t>
      </w:r>
      <w:proofErr w:type="spellEnd"/>
      <w:r w:rsidR="00AA4648">
        <w:t xml:space="preserve"> Pakistan, </w:t>
      </w:r>
      <w:r w:rsidR="00797C1D">
        <w:t xml:space="preserve">we </w:t>
      </w:r>
      <w:r w:rsidR="00AA4648">
        <w:t xml:space="preserve">called a </w:t>
      </w:r>
      <w:r w:rsidR="00797C1D">
        <w:t xml:space="preserve">meetings </w:t>
      </w:r>
      <w:r w:rsidR="00AA4648">
        <w:t xml:space="preserve">of </w:t>
      </w:r>
      <w:r w:rsidR="00797C1D">
        <w:t xml:space="preserve">around 100 women from at least 25 </w:t>
      </w:r>
      <w:r w:rsidR="00AA4648">
        <w:t xml:space="preserve">different </w:t>
      </w:r>
      <w:proofErr w:type="spellStart"/>
      <w:r w:rsidR="00797C1D">
        <w:t>organisations</w:t>
      </w:r>
      <w:proofErr w:type="spellEnd"/>
      <w:r w:rsidR="00797C1D">
        <w:t>, they categorically rejected the idea of such a tribunal</w:t>
      </w:r>
      <w:r w:rsidR="00AA4648">
        <w:t xml:space="preserve"> for two reasons: firstly, </w:t>
      </w:r>
      <w:r w:rsidR="006E790D">
        <w:t xml:space="preserve">they felt that </w:t>
      </w:r>
      <w:r w:rsidR="00AA4648">
        <w:t xml:space="preserve">to do justice, </w:t>
      </w:r>
      <w:r w:rsidR="006E790D">
        <w:t>such a tribunal would need to put on trial the majority of the male population, including many boys. This was not what they desired – women wanted a return to ‘normalcy’, to be able to reconstruct their lives</w:t>
      </w:r>
      <w:r w:rsidR="00AA4648">
        <w:t>. Secondly,</w:t>
      </w:r>
      <w:r w:rsidR="006E790D">
        <w:t xml:space="preserve"> they </w:t>
      </w:r>
      <w:r w:rsidR="00AA4648">
        <w:t xml:space="preserve">stressed that should a tribunal be established it must </w:t>
      </w:r>
      <w:r w:rsidR="00AA4648">
        <w:lastRenderedPageBreak/>
        <w:t xml:space="preserve">be a national and </w:t>
      </w:r>
      <w:r w:rsidR="006E790D">
        <w:t>not international tribunal</w:t>
      </w:r>
      <w:r w:rsidR="00AA4648">
        <w:t>;</w:t>
      </w:r>
      <w:r w:rsidR="006E790D">
        <w:t xml:space="preserve"> </w:t>
      </w:r>
      <w:r w:rsidR="00AA4648">
        <w:t xml:space="preserve">it was essential </w:t>
      </w:r>
      <w:r w:rsidR="006E790D">
        <w:t xml:space="preserve">that an Afghan institution bring </w:t>
      </w:r>
      <w:r w:rsidR="00AA4648">
        <w:t xml:space="preserve">Afghans </w:t>
      </w:r>
      <w:r w:rsidR="006E790D">
        <w:t xml:space="preserve">to justice, not outsiders. </w:t>
      </w:r>
      <w:proofErr w:type="spellStart"/>
      <w:r w:rsidR="006E790D">
        <w:t>Memorialisation</w:t>
      </w:r>
      <w:proofErr w:type="spellEnd"/>
      <w:r w:rsidR="006E790D">
        <w:t xml:space="preserve"> processes can deepen rifts between communities and intensify hostilities. In Bosnia-Herzegovina of the former Yugoslavia, for example, </w:t>
      </w:r>
      <w:r w:rsidR="00AA4648">
        <w:t xml:space="preserve">some of </w:t>
      </w:r>
      <w:r w:rsidR="006E790D">
        <w:t>the memorialization processes following the cessation of armed conflict</w:t>
      </w:r>
      <w:r w:rsidR="00AA4648">
        <w:t xml:space="preserve"> which are being carried out </w:t>
      </w:r>
      <w:r w:rsidR="006E790D">
        <w:t>in the name of restoring cultural heritage</w:t>
      </w:r>
      <w:r w:rsidR="00AA4648">
        <w:t>,</w:t>
      </w:r>
      <w:r w:rsidR="006E790D">
        <w:t xml:space="preserve"> are, in fact, rewriting the cultural landscape of </w:t>
      </w:r>
      <w:proofErr w:type="gramStart"/>
      <w:r w:rsidR="006E790D">
        <w:t>the  country</w:t>
      </w:r>
      <w:proofErr w:type="gramEnd"/>
      <w:r w:rsidR="006E790D">
        <w:t xml:space="preserve"> with each of the three major ethno-religious communities building bigger mosques and churches with ever higher</w:t>
      </w:r>
      <w:r w:rsidR="00AA4648">
        <w:t>,</w:t>
      </w:r>
      <w:r w:rsidR="006E790D">
        <w:t xml:space="preserve"> more impressive minarets</w:t>
      </w:r>
      <w:r w:rsidR="00AA4648">
        <w:t>,</w:t>
      </w:r>
      <w:r w:rsidR="006E790D">
        <w:t xml:space="preserve"> spires and crosses. </w:t>
      </w:r>
    </w:p>
    <w:p w14:paraId="378A71EB" w14:textId="77777777" w:rsidR="00890E69" w:rsidRDefault="00890E69" w:rsidP="001B1FFE">
      <w:pPr>
        <w:tabs>
          <w:tab w:val="left" w:pos="3220"/>
        </w:tabs>
      </w:pPr>
    </w:p>
    <w:p w14:paraId="55411AEA" w14:textId="2826B1D9" w:rsidR="00890E69" w:rsidRDefault="00890E69" w:rsidP="001B1FFE">
      <w:pPr>
        <w:tabs>
          <w:tab w:val="left" w:pos="3220"/>
        </w:tabs>
      </w:pPr>
      <w:r>
        <w:t>I believe that</w:t>
      </w:r>
      <w:r w:rsidR="003F06D7">
        <w:t xml:space="preserve"> transitional justice</w:t>
      </w:r>
      <w:r>
        <w:t xml:space="preserve"> processes have simply not paid sufficient attention to cultural rights issues. </w:t>
      </w:r>
      <w:proofErr w:type="gramStart"/>
      <w:r>
        <w:t xml:space="preserve">Promoting cultural rights calls for the implementation of </w:t>
      </w:r>
      <w:r w:rsidR="00D27A87">
        <w:t>policies promoting cultural interaction and understanding between people and communities, the sharing of perspectives about the past and the design of a cultural landscape that is reflective of cultural diversity.</w:t>
      </w:r>
      <w:proofErr w:type="gramEnd"/>
      <w:r w:rsidR="00D27A87">
        <w:t xml:space="preserve"> </w:t>
      </w:r>
      <w:r>
        <w:t xml:space="preserve">The </w:t>
      </w:r>
      <w:r w:rsidR="00D27A87">
        <w:t xml:space="preserve">essential role that cultural interventions can play in </w:t>
      </w:r>
      <w:r w:rsidR="007751DE">
        <w:t xml:space="preserve">transitional justice </w:t>
      </w:r>
      <w:r w:rsidR="00D27A87">
        <w:t xml:space="preserve">processes is also stressed by the </w:t>
      </w:r>
      <w:r>
        <w:t>Speci</w:t>
      </w:r>
      <w:r w:rsidR="00F55CEB">
        <w:t>al</w:t>
      </w:r>
      <w:r>
        <w:t xml:space="preserve"> Rapp</w:t>
      </w:r>
      <w:r w:rsidR="00F55CEB">
        <w:t>orteur</w:t>
      </w:r>
      <w:r>
        <w:t xml:space="preserve"> on Transitional Justice</w:t>
      </w:r>
      <w:r w:rsidR="00D27A87">
        <w:t xml:space="preserve">. This is especially so if the aim of </w:t>
      </w:r>
      <w:r w:rsidR="007751DE">
        <w:t xml:space="preserve">transitional justice </w:t>
      </w:r>
      <w:r w:rsidR="00D27A87">
        <w:t xml:space="preserve">is not just recognition and reparation </w:t>
      </w:r>
      <w:r w:rsidR="007751DE">
        <w:t xml:space="preserve">of past violations, </w:t>
      </w:r>
      <w:r w:rsidR="00D27A87">
        <w:t xml:space="preserve">but reconciliation in ways that ensure a non-reoccurrence.  </w:t>
      </w:r>
    </w:p>
    <w:p w14:paraId="6F81A73F" w14:textId="77777777" w:rsidR="007751DE" w:rsidRDefault="007751DE" w:rsidP="001B1FFE">
      <w:pPr>
        <w:tabs>
          <w:tab w:val="left" w:pos="3220"/>
        </w:tabs>
      </w:pPr>
    </w:p>
    <w:p w14:paraId="3DB254FB" w14:textId="257BEB73" w:rsidR="00F55CEB" w:rsidRDefault="00F55CEB" w:rsidP="001B1FFE">
      <w:pPr>
        <w:tabs>
          <w:tab w:val="left" w:pos="3220"/>
        </w:tabs>
      </w:pPr>
      <w:r>
        <w:t>All post-c</w:t>
      </w:r>
      <w:r w:rsidR="007751DE">
        <w:t>o</w:t>
      </w:r>
      <w:r>
        <w:t xml:space="preserve">nflict and divided societies confront the need to establish a delicate balance between forgetting and remembering. It is crucial that memorialization processes do not function as empty rhetoric commemorating the dead, while losing sight of the reasons and the context in which past tragedies occurred as well as obscuring contemporary challenges. </w:t>
      </w:r>
    </w:p>
    <w:p w14:paraId="7D72F014" w14:textId="77777777" w:rsidR="003B3845" w:rsidRDefault="003B3845" w:rsidP="001B1FFE">
      <w:pPr>
        <w:tabs>
          <w:tab w:val="left" w:pos="3220"/>
        </w:tabs>
      </w:pPr>
    </w:p>
    <w:p w14:paraId="3D7139BC" w14:textId="57E8B124" w:rsidR="003B3845" w:rsidRDefault="003B3845" w:rsidP="001B1FFE">
      <w:pPr>
        <w:tabs>
          <w:tab w:val="left" w:pos="3220"/>
        </w:tabs>
      </w:pPr>
      <w:r>
        <w:t>I</w:t>
      </w:r>
      <w:r w:rsidR="007751DE">
        <w:t>n my report, I</w:t>
      </w:r>
      <w:r>
        <w:t xml:space="preserve"> have stressed that the process in establishing a narrative may be more important that its outcome. </w:t>
      </w:r>
      <w:proofErr w:type="spellStart"/>
      <w:r>
        <w:t>Memorialisation</w:t>
      </w:r>
      <w:proofErr w:type="spellEnd"/>
      <w:r>
        <w:t xml:space="preserve"> should be understood as processes that provide the necessary space for those affected to articulate their diverse narratives in culturally meaningful ways. Such processes encompass a variety of engagements which </w:t>
      </w:r>
      <w:r w:rsidR="007751DE">
        <w:t xml:space="preserve">need </w:t>
      </w:r>
      <w:r>
        <w:t xml:space="preserve">not become </w:t>
      </w:r>
      <w:proofErr w:type="spellStart"/>
      <w:r>
        <w:t>concretised</w:t>
      </w:r>
      <w:proofErr w:type="spellEnd"/>
      <w:r>
        <w:t xml:space="preserve"> through the erection of physical monuments. They can take the form of numerous </w:t>
      </w:r>
      <w:r w:rsidR="007751DE">
        <w:t xml:space="preserve">non-permanent </w:t>
      </w:r>
      <w:r>
        <w:t>activities and cultural expressions.</w:t>
      </w:r>
    </w:p>
    <w:p w14:paraId="3BC0AE8C" w14:textId="77777777" w:rsidR="000759F7" w:rsidRDefault="000759F7" w:rsidP="001B1FFE">
      <w:pPr>
        <w:tabs>
          <w:tab w:val="left" w:pos="3220"/>
        </w:tabs>
      </w:pPr>
    </w:p>
    <w:p w14:paraId="4AE89938" w14:textId="074B2565" w:rsidR="000759F7" w:rsidRDefault="000759F7" w:rsidP="001B1FFE">
      <w:pPr>
        <w:tabs>
          <w:tab w:val="left" w:pos="3220"/>
        </w:tabs>
      </w:pPr>
      <w:r>
        <w:t xml:space="preserve">Cultural </w:t>
      </w:r>
      <w:r w:rsidR="003A176F">
        <w:t xml:space="preserve">interventions, </w:t>
      </w:r>
      <w:r>
        <w:t>expressions</w:t>
      </w:r>
      <w:r w:rsidR="003A176F">
        <w:t>, a</w:t>
      </w:r>
      <w:r>
        <w:t xml:space="preserve">ctions </w:t>
      </w:r>
      <w:r w:rsidR="003A176F">
        <w:t xml:space="preserve">and engagements </w:t>
      </w:r>
      <w:r>
        <w:t>have an unparalleled potential to contribute significantly to transitional processes precisely enabling spaces here identities can be tried out, including the identity of a rights claimant. Cultural interventions help to make the victims visible by providing safe spaces for articulating their experiences.</w:t>
      </w:r>
      <w:r w:rsidR="003A176F" w:rsidRPr="003A176F">
        <w:rPr>
          <w:rStyle w:val="FootnoteReference"/>
        </w:rPr>
        <w:t xml:space="preserve"> </w:t>
      </w:r>
      <w:r w:rsidR="003A176F">
        <w:rPr>
          <w:rStyle w:val="FootnoteReference"/>
        </w:rPr>
        <w:footnoteReference w:id="6"/>
      </w:r>
      <w:r>
        <w:t xml:space="preserve"> Memories are subjective processes anchored in experiences and the material and symbolic markers of specific cultural interpretative frameworks. Actions in the cultural sphere facilitate cultural interaction and understanding</w:t>
      </w:r>
      <w:r w:rsidR="003A176F">
        <w:t>;</w:t>
      </w:r>
      <w:r>
        <w:t xml:space="preserve"> </w:t>
      </w:r>
      <w:r w:rsidR="003A176F">
        <w:t xml:space="preserve">they </w:t>
      </w:r>
      <w:r>
        <w:t xml:space="preserve">can help to design new cultural landscapes encompassing and reflective of the plurality of culturally diverse perspectives. Without idealizing artists, the processes of artistic </w:t>
      </w:r>
      <w:r>
        <w:lastRenderedPageBreak/>
        <w:t xml:space="preserve">creativity can provide space when the </w:t>
      </w:r>
      <w:r w:rsidR="003A176F">
        <w:t xml:space="preserve">transitional justice </w:t>
      </w:r>
      <w:r>
        <w:t xml:space="preserve">process does not feel safe enough. </w:t>
      </w:r>
    </w:p>
    <w:p w14:paraId="584AD548" w14:textId="77777777" w:rsidR="000759F7" w:rsidRDefault="000759F7" w:rsidP="001B1FFE">
      <w:pPr>
        <w:tabs>
          <w:tab w:val="left" w:pos="3220"/>
        </w:tabs>
      </w:pPr>
    </w:p>
    <w:p w14:paraId="49E50020" w14:textId="73B6014D" w:rsidR="00E464C8" w:rsidRDefault="000759F7" w:rsidP="001B1FFE">
      <w:pPr>
        <w:tabs>
          <w:tab w:val="left" w:pos="3220"/>
        </w:tabs>
      </w:pPr>
      <w:r>
        <w:t xml:space="preserve">Artists commissioned to work on monuments are significant actors in memorialization processes. Their capacity to shed new light on the past and to enhance the ability of people to </w:t>
      </w:r>
      <w:r w:rsidR="003A176F">
        <w:t>‘</w:t>
      </w:r>
      <w:r>
        <w:t>imagine</w:t>
      </w:r>
      <w:r w:rsidR="003A176F">
        <w:t>’</w:t>
      </w:r>
      <w:r w:rsidR="00CF2C32">
        <w:t xml:space="preserve"> </w:t>
      </w:r>
      <w:r>
        <w:t xml:space="preserve">the other, enables artists to play a crucial role </w:t>
      </w:r>
      <w:proofErr w:type="gramStart"/>
      <w:r>
        <w:t>in  memorialization</w:t>
      </w:r>
      <w:proofErr w:type="gramEnd"/>
      <w:r>
        <w:t xml:space="preserve"> processes. By focusing on </w:t>
      </w:r>
      <w:r w:rsidR="003A176F">
        <w:t>‘</w:t>
      </w:r>
      <w:r>
        <w:t>concrete others</w:t>
      </w:r>
      <w:r w:rsidR="003A176F">
        <w:t>’</w:t>
      </w:r>
      <w:r>
        <w:t xml:space="preserve">, artistic expressions can make victims visible: </w:t>
      </w:r>
      <w:r w:rsidR="003A176F">
        <w:t>‘</w:t>
      </w:r>
      <w:r>
        <w:t xml:space="preserve">They can raise awareness of the depth , breadth and effects of rights violations in a </w:t>
      </w:r>
      <w:r w:rsidR="00CF2C32">
        <w:t>way that</w:t>
      </w:r>
      <w:r w:rsidR="00E464C8">
        <w:t xml:space="preserve"> other forms of communication can hardly aspire to, </w:t>
      </w:r>
      <w:r w:rsidR="00CF2C32">
        <w:t>including</w:t>
      </w:r>
      <w:r w:rsidR="00E464C8">
        <w:t xml:space="preserve"> not only cold statistical data but unofficial truth commission reports. ´</w:t>
      </w:r>
      <w:r w:rsidR="003A176F">
        <w:rPr>
          <w:rStyle w:val="FootnoteReference"/>
        </w:rPr>
        <w:footnoteReference w:id="7"/>
      </w:r>
      <w:r w:rsidR="00E464C8">
        <w:t xml:space="preserve"> </w:t>
      </w:r>
      <w:proofErr w:type="gramStart"/>
      <w:r w:rsidR="00E464C8">
        <w:t>At</w:t>
      </w:r>
      <w:proofErr w:type="gramEnd"/>
      <w:r w:rsidR="00E464C8">
        <w:t xml:space="preserve"> this forum, the extracts of two documentary films have been shared: </w:t>
      </w:r>
      <w:r w:rsidR="000B19BE" w:rsidRPr="000B19BE">
        <w:rPr>
          <w:i/>
        </w:rPr>
        <w:t xml:space="preserve">“La </w:t>
      </w:r>
      <w:proofErr w:type="spellStart"/>
      <w:r w:rsidR="000B19BE" w:rsidRPr="000B19BE">
        <w:rPr>
          <w:i/>
        </w:rPr>
        <w:t>mémoire</w:t>
      </w:r>
      <w:proofErr w:type="spellEnd"/>
      <w:r w:rsidR="000B19BE" w:rsidRPr="000B19BE">
        <w:rPr>
          <w:i/>
        </w:rPr>
        <w:t xml:space="preserve"> noire” </w:t>
      </w:r>
      <w:r w:rsidR="000B19BE" w:rsidRPr="000B19BE">
        <w:t xml:space="preserve">by </w:t>
      </w:r>
      <w:proofErr w:type="spellStart"/>
      <w:r w:rsidR="000B19BE" w:rsidRPr="000B19BE">
        <w:t>Hichem</w:t>
      </w:r>
      <w:proofErr w:type="spellEnd"/>
      <w:r w:rsidR="000B19BE" w:rsidRPr="000B19BE">
        <w:t xml:space="preserve"> Ben </w:t>
      </w:r>
      <w:proofErr w:type="spellStart"/>
      <w:r w:rsidR="000B19BE" w:rsidRPr="000B19BE">
        <w:t>Ammar</w:t>
      </w:r>
      <w:proofErr w:type="spellEnd"/>
      <w:r w:rsidR="000B19BE" w:rsidRPr="000B19BE">
        <w:t xml:space="preserve"> </w:t>
      </w:r>
      <w:r w:rsidR="00E464C8">
        <w:t xml:space="preserve">and </w:t>
      </w:r>
      <w:r w:rsidR="000B19BE" w:rsidRPr="000B19BE">
        <w:rPr>
          <w:i/>
        </w:rPr>
        <w:t>“</w:t>
      </w:r>
      <w:proofErr w:type="spellStart"/>
      <w:r w:rsidR="000B19BE" w:rsidRPr="000B19BE">
        <w:rPr>
          <w:i/>
        </w:rPr>
        <w:t>L’affaire</w:t>
      </w:r>
      <w:proofErr w:type="spellEnd"/>
      <w:r w:rsidR="000B19BE" w:rsidRPr="000B19BE">
        <w:rPr>
          <w:i/>
        </w:rPr>
        <w:t xml:space="preserve"> </w:t>
      </w:r>
      <w:proofErr w:type="spellStart"/>
      <w:r w:rsidR="000B19BE" w:rsidRPr="000B19BE">
        <w:rPr>
          <w:i/>
        </w:rPr>
        <w:t>Barraket</w:t>
      </w:r>
      <w:proofErr w:type="spellEnd"/>
      <w:r w:rsidR="000B19BE" w:rsidRPr="000B19BE">
        <w:rPr>
          <w:i/>
        </w:rPr>
        <w:t xml:space="preserve"> </w:t>
      </w:r>
      <w:proofErr w:type="spellStart"/>
      <w:r w:rsidR="000B19BE" w:rsidRPr="000B19BE">
        <w:rPr>
          <w:i/>
        </w:rPr>
        <w:t>Essahel</w:t>
      </w:r>
      <w:proofErr w:type="spellEnd"/>
      <w:r w:rsidR="000B19BE" w:rsidRPr="000B19BE">
        <w:rPr>
          <w:i/>
        </w:rPr>
        <w:t>”</w:t>
      </w:r>
      <w:r w:rsidR="000B19BE" w:rsidRPr="000B19BE">
        <w:t xml:space="preserve"> by </w:t>
      </w:r>
      <w:proofErr w:type="spellStart"/>
      <w:r w:rsidR="000B19BE" w:rsidRPr="000B19BE">
        <w:t>Ghassen</w:t>
      </w:r>
      <w:proofErr w:type="spellEnd"/>
      <w:r w:rsidR="000B19BE" w:rsidRPr="000B19BE">
        <w:t xml:space="preserve"> </w:t>
      </w:r>
      <w:proofErr w:type="spellStart"/>
      <w:r w:rsidR="000B19BE" w:rsidRPr="000B19BE">
        <w:t>Ammami</w:t>
      </w:r>
      <w:proofErr w:type="spellEnd"/>
      <w:r w:rsidR="00E464C8">
        <w:t xml:space="preserve">. </w:t>
      </w:r>
      <w:r>
        <w:t xml:space="preserve">We saw how people </w:t>
      </w:r>
      <w:r w:rsidR="000B19BE">
        <w:t xml:space="preserve">being filmed in the </w:t>
      </w:r>
      <w:proofErr w:type="spellStart"/>
      <w:r w:rsidR="000B19BE" w:rsidRPr="000B19BE">
        <w:rPr>
          <w:i/>
        </w:rPr>
        <w:t>L’affaire</w:t>
      </w:r>
      <w:proofErr w:type="spellEnd"/>
      <w:r w:rsidR="000B19BE" w:rsidRPr="000B19BE">
        <w:rPr>
          <w:i/>
        </w:rPr>
        <w:t xml:space="preserve"> </w:t>
      </w:r>
      <w:proofErr w:type="spellStart"/>
      <w:r w:rsidR="000B19BE" w:rsidRPr="000B19BE">
        <w:rPr>
          <w:i/>
        </w:rPr>
        <w:t>Barraket</w:t>
      </w:r>
      <w:proofErr w:type="spellEnd"/>
      <w:r w:rsidR="000B19BE" w:rsidRPr="000B19BE">
        <w:rPr>
          <w:i/>
        </w:rPr>
        <w:t xml:space="preserve"> </w:t>
      </w:r>
      <w:proofErr w:type="spellStart"/>
      <w:r w:rsidR="000B19BE" w:rsidRPr="000B19BE">
        <w:rPr>
          <w:i/>
        </w:rPr>
        <w:t>Essahel</w:t>
      </w:r>
      <w:proofErr w:type="spellEnd"/>
      <w:r w:rsidR="000B19BE">
        <w:t xml:space="preserve"> </w:t>
      </w:r>
      <w:r>
        <w:t>opened up to the camera and shared their stories</w:t>
      </w:r>
      <w:r w:rsidR="000B19BE">
        <w:t xml:space="preserve"> of events that happened a decade ago; stories</w:t>
      </w:r>
      <w:r>
        <w:t xml:space="preserve"> which they had not eve</w:t>
      </w:r>
      <w:r w:rsidR="000B19BE">
        <w:t>r</w:t>
      </w:r>
      <w:r>
        <w:t xml:space="preserve"> shared </w:t>
      </w:r>
      <w:r w:rsidR="000B19BE">
        <w:t xml:space="preserve">before even </w:t>
      </w:r>
      <w:r>
        <w:t>with their own families</w:t>
      </w:r>
      <w:r w:rsidR="000B19BE">
        <w:t xml:space="preserve">. This illustrates </w:t>
      </w:r>
      <w:r>
        <w:t>how the breaking of the silence changes things</w:t>
      </w:r>
      <w:r w:rsidR="00E464C8">
        <w:t>: in their personal lives, in the lives of their loved ones</w:t>
      </w:r>
      <w:r>
        <w:t xml:space="preserve">. </w:t>
      </w:r>
      <w:r w:rsidR="00E464C8">
        <w:t xml:space="preserve">The film </w:t>
      </w:r>
      <w:r w:rsidR="000B19BE">
        <w:t xml:space="preserve">by </w:t>
      </w:r>
      <w:proofErr w:type="spellStart"/>
      <w:r w:rsidR="000B19BE" w:rsidRPr="000B19BE">
        <w:t>Hichem</w:t>
      </w:r>
      <w:proofErr w:type="spellEnd"/>
      <w:r w:rsidR="000B19BE" w:rsidRPr="000B19BE">
        <w:t xml:space="preserve"> Ben </w:t>
      </w:r>
      <w:proofErr w:type="spellStart"/>
      <w:r w:rsidR="000B19BE" w:rsidRPr="000B19BE">
        <w:t>Ammar</w:t>
      </w:r>
      <w:proofErr w:type="spellEnd"/>
      <w:r w:rsidR="000B19BE" w:rsidRPr="000B19BE">
        <w:t xml:space="preserve"> </w:t>
      </w:r>
      <w:r w:rsidR="00FC6513">
        <w:t xml:space="preserve">revives and allows to be shared </w:t>
      </w:r>
      <w:r w:rsidR="00E464C8">
        <w:t xml:space="preserve">a </w:t>
      </w:r>
      <w:r w:rsidR="00FC6513">
        <w:t xml:space="preserve">segment of Tunisian history which has been </w:t>
      </w:r>
      <w:r w:rsidR="00E464C8">
        <w:t xml:space="preserve">largely </w:t>
      </w:r>
      <w:r w:rsidR="00FC6513">
        <w:t>erased from public memory</w:t>
      </w:r>
      <w:r w:rsidR="00E464C8">
        <w:t xml:space="preserve">. </w:t>
      </w:r>
    </w:p>
    <w:p w14:paraId="6F5A2F66" w14:textId="77777777" w:rsidR="00E464C8" w:rsidRDefault="00E464C8" w:rsidP="001B1FFE">
      <w:pPr>
        <w:tabs>
          <w:tab w:val="left" w:pos="3220"/>
        </w:tabs>
      </w:pPr>
    </w:p>
    <w:p w14:paraId="71D94CE5" w14:textId="6E3AA4CD" w:rsidR="000759F7" w:rsidRDefault="00E464C8" w:rsidP="001B1FFE">
      <w:pPr>
        <w:tabs>
          <w:tab w:val="left" w:pos="3220"/>
        </w:tabs>
      </w:pPr>
      <w:r>
        <w:t xml:space="preserve">Another issue is when should memorialization processes start and for how long should they continue? </w:t>
      </w:r>
      <w:proofErr w:type="spellStart"/>
      <w:r>
        <w:t>Memorialisation</w:t>
      </w:r>
      <w:proofErr w:type="spellEnd"/>
      <w:r>
        <w:t xml:space="preserve"> may seem to start too soon, just after or even during a conflict, not allowing the process of reflection to come to maturity. But the absence of memorialization may be the cause of further suffering for victims and their families. Sometimes, memorialization </w:t>
      </w:r>
      <w:proofErr w:type="gramStart"/>
      <w:r>
        <w:t>processes  are</w:t>
      </w:r>
      <w:proofErr w:type="gramEnd"/>
      <w:r>
        <w:t xml:space="preserve"> also about a projecting of what we want </w:t>
      </w:r>
      <w:r w:rsidR="00CF2C32">
        <w:t>the future</w:t>
      </w:r>
      <w:r>
        <w:t xml:space="preserve"> to be, by reshaping the cultural landscapes as I shared in the case of Bosnia</w:t>
      </w:r>
      <w:r w:rsidR="00DC2D36">
        <w:t>-Herzegovina</w:t>
      </w:r>
      <w:r>
        <w:t xml:space="preserve">. Therefore the demand of some activists in Tunisia only for mosques and no </w:t>
      </w:r>
      <w:proofErr w:type="gramStart"/>
      <w:r>
        <w:t>memorials,</w:t>
      </w:r>
      <w:proofErr w:type="gramEnd"/>
      <w:r>
        <w:t xml:space="preserve"> needs to be reconsidered and viewed in that light. </w:t>
      </w:r>
    </w:p>
    <w:p w14:paraId="3867DC50" w14:textId="77777777" w:rsidR="00E464C8" w:rsidRDefault="00E464C8" w:rsidP="001B1FFE">
      <w:pPr>
        <w:tabs>
          <w:tab w:val="left" w:pos="3220"/>
        </w:tabs>
      </w:pPr>
    </w:p>
    <w:p w14:paraId="2386406C" w14:textId="27C4C9D8" w:rsidR="00425F67" w:rsidRPr="006A42F6" w:rsidRDefault="00CF2C32" w:rsidP="006A42F6">
      <w:pPr>
        <w:widowControl w:val="0"/>
        <w:autoSpaceDE w:val="0"/>
        <w:autoSpaceDN w:val="0"/>
        <w:adjustRightInd w:val="0"/>
        <w:spacing w:after="240"/>
        <w:rPr>
          <w:rFonts w:ascii="Times" w:hAnsi="Times" w:cs="Times"/>
        </w:rPr>
      </w:pPr>
      <w:r>
        <w:t xml:space="preserve">It may be the case that a common narrative is not possible, at least yet. In such cases, people should be encouraged to create and engage with different narratives. </w:t>
      </w:r>
      <w:r w:rsidR="00425F67">
        <w:t>An interesting innovation emerged from the work of a group of Palestinian and Israeli history professors trying to deal with their troubled history in the midst of continuing violent conflict.</w:t>
      </w:r>
      <w:r w:rsidR="006A42F6">
        <w:t xml:space="preserve"> (One of the professors, Sami </w:t>
      </w:r>
      <w:proofErr w:type="spellStart"/>
      <w:r w:rsidR="006A42F6">
        <w:t>Adwan</w:t>
      </w:r>
      <w:proofErr w:type="spellEnd"/>
      <w:r w:rsidR="006A42F6">
        <w:t xml:space="preserve">, was in fact supposed to be attending this forum but could not make it.) </w:t>
      </w:r>
      <w:r w:rsidR="00425F67">
        <w:t xml:space="preserve">It proved impossible to arrive at a single narrative: each descriptor word </w:t>
      </w:r>
      <w:r w:rsidR="00E53FAE">
        <w:t xml:space="preserve">and verb </w:t>
      </w:r>
      <w:r w:rsidR="00425F67">
        <w:t>became a bone of contention, hotly contested by both sides</w:t>
      </w:r>
      <w:r w:rsidR="00E53FAE">
        <w:t>, leading to endless debate</w:t>
      </w:r>
      <w:r w:rsidR="00425F67">
        <w:t xml:space="preserve">. </w:t>
      </w:r>
      <w:r w:rsidR="00E53FAE">
        <w:t>Eventually they decided to prepare</w:t>
      </w:r>
      <w:r w:rsidR="00425F67">
        <w:t xml:space="preserve"> </w:t>
      </w:r>
      <w:proofErr w:type="gramStart"/>
      <w:r w:rsidR="00425F67">
        <w:t>a  three</w:t>
      </w:r>
      <w:proofErr w:type="gramEnd"/>
      <w:r w:rsidR="00425F67">
        <w:t>-column textbook: one column had the Palestinian narrative, one carried the Israeli narrative on the same event, and in between they left a blank column for the students to write their own comments and understanding.</w:t>
      </w:r>
      <w:r w:rsidR="00E53FAE">
        <w:t xml:space="preserve"> This is an excellent example of positive innovation in the face of what seem to be impossible odds.</w:t>
      </w:r>
    </w:p>
    <w:p w14:paraId="787FE1A2" w14:textId="77777777" w:rsidR="00425F67" w:rsidRDefault="00425F67" w:rsidP="001B1FFE">
      <w:pPr>
        <w:tabs>
          <w:tab w:val="left" w:pos="3220"/>
        </w:tabs>
      </w:pPr>
    </w:p>
    <w:p w14:paraId="0639C23D" w14:textId="5413D30E" w:rsidR="00E464C8" w:rsidRDefault="00CF2C32" w:rsidP="001B1FFE">
      <w:pPr>
        <w:tabs>
          <w:tab w:val="left" w:pos="3220"/>
        </w:tabs>
      </w:pPr>
      <w:r>
        <w:lastRenderedPageBreak/>
        <w:t xml:space="preserve">There is a famous Senegalese rap  singer, Didier </w:t>
      </w:r>
      <w:proofErr w:type="spellStart"/>
      <w:r>
        <w:t>Awadi</w:t>
      </w:r>
      <w:proofErr w:type="spellEnd"/>
      <w:r>
        <w:t xml:space="preserve">, has a wonderful song which is called </w:t>
      </w:r>
      <w:r w:rsidR="003A176F">
        <w:t>‘</w:t>
      </w:r>
      <w:r>
        <w:t xml:space="preserve">le point du </w:t>
      </w:r>
      <w:proofErr w:type="spellStart"/>
      <w:r>
        <w:t>vue</w:t>
      </w:r>
      <w:proofErr w:type="spellEnd"/>
      <w:r>
        <w:t xml:space="preserve"> du </w:t>
      </w:r>
      <w:r w:rsidR="00C70324">
        <w:t>lion, in which he argues that instead of seeing history through the eyes of the hunter, we need to understand and make visible the point of view of the hunted lion</w:t>
      </w:r>
      <w:r w:rsidR="003A176F">
        <w:t>.</w:t>
      </w:r>
      <w:r w:rsidR="00C70324">
        <w:t xml:space="preserve"> Similarly, </w:t>
      </w:r>
      <w:r>
        <w:t xml:space="preserve">a participant from Lebanon said </w:t>
      </w:r>
      <w:r w:rsidR="00C70324">
        <w:t>at this forum,</w:t>
      </w:r>
      <w:r>
        <w:t xml:space="preserve"> </w:t>
      </w:r>
      <w:r w:rsidR="00C70324">
        <w:t>‘</w:t>
      </w:r>
      <w:r w:rsidR="00DC2D36">
        <w:t>transitional justice</w:t>
      </w:r>
      <w:r>
        <w:t xml:space="preserve"> processes must help us to shift away from monologues to multiple narratives of the same events</w:t>
      </w:r>
      <w:r w:rsidR="00C70324">
        <w:t>’</w:t>
      </w:r>
      <w:r>
        <w:t xml:space="preserve">, remembering too, that the same events are likely to have been experienced differently, depending on  whether you are the lion, the hunter or a bird in the tree watching the chase. </w:t>
      </w:r>
    </w:p>
    <w:p w14:paraId="70DD4139" w14:textId="77777777" w:rsidR="00CF2C32" w:rsidRDefault="00CF2C32" w:rsidP="001B1FFE">
      <w:pPr>
        <w:tabs>
          <w:tab w:val="left" w:pos="3220"/>
        </w:tabs>
      </w:pPr>
    </w:p>
    <w:p w14:paraId="731C2835" w14:textId="1E64E53D" w:rsidR="00CF2C32" w:rsidRDefault="00DC2D36" w:rsidP="001B1FFE">
      <w:pPr>
        <w:tabs>
          <w:tab w:val="left" w:pos="3220"/>
        </w:tabs>
      </w:pPr>
      <w:r>
        <w:t>Transitional justice</w:t>
      </w:r>
      <w:r w:rsidR="00CF2C32">
        <w:t xml:space="preserve"> should help us </w:t>
      </w:r>
      <w:r w:rsidR="00C70324">
        <w:t xml:space="preserve">to reorient </w:t>
      </w:r>
      <w:r w:rsidR="00CF2C32">
        <w:t xml:space="preserve">not merely how we consider the past; </w:t>
      </w:r>
      <w:r>
        <w:t>transitional justice proces</w:t>
      </w:r>
      <w:r w:rsidR="00CF2C32">
        <w:t>s</w:t>
      </w:r>
      <w:r>
        <w:t>es</w:t>
      </w:r>
      <w:r w:rsidR="00CF2C32">
        <w:t xml:space="preserve"> must help us move to an imagined future</w:t>
      </w:r>
      <w:r w:rsidR="00C70324">
        <w:t xml:space="preserve">. This is precisely what </w:t>
      </w:r>
      <w:proofErr w:type="spellStart"/>
      <w:r w:rsidR="00CF2C32">
        <w:t>Albie</w:t>
      </w:r>
      <w:proofErr w:type="spellEnd"/>
      <w:r w:rsidR="00CF2C32">
        <w:t xml:space="preserve"> Sachs</w:t>
      </w:r>
      <w:r w:rsidR="00C70324">
        <w:t xml:space="preserve"> was referring to when he said the need was to overcome ‘completely separate and unrecognized accounts of what happened’. We need to her the plurality of the past </w:t>
      </w:r>
      <w:r w:rsidR="006C4576">
        <w:t xml:space="preserve">to effectuate </w:t>
      </w:r>
      <w:proofErr w:type="spellStart"/>
      <w:r w:rsidR="006C4576">
        <w:t>reconcilation</w:t>
      </w:r>
      <w:proofErr w:type="spellEnd"/>
      <w:r w:rsidR="006C4576">
        <w:t xml:space="preserve"> in ways that enable </w:t>
      </w:r>
      <w:r w:rsidR="00C70324">
        <w:t>more peaceful relationships</w:t>
      </w:r>
      <w:r w:rsidR="00CF2C32">
        <w:t xml:space="preserve">. </w:t>
      </w:r>
    </w:p>
    <w:p w14:paraId="1A3F66E0" w14:textId="77777777" w:rsidR="00CF2C32" w:rsidRDefault="00CF2C32" w:rsidP="001B1FFE">
      <w:pPr>
        <w:tabs>
          <w:tab w:val="left" w:pos="3220"/>
        </w:tabs>
      </w:pPr>
    </w:p>
    <w:p w14:paraId="76BBE8CC" w14:textId="29FF0763" w:rsidR="006A42F6" w:rsidRDefault="00CF2C32" w:rsidP="00C70324">
      <w:pPr>
        <w:tabs>
          <w:tab w:val="left" w:pos="3220"/>
        </w:tabs>
      </w:pPr>
      <w:r>
        <w:t xml:space="preserve">Artistic cultural </w:t>
      </w:r>
      <w:r w:rsidR="00AC40F8">
        <w:t>interventions</w:t>
      </w:r>
      <w:r>
        <w:t xml:space="preserve"> are important because they reach audiences beyond the converted or engaged; they provide safe spaces which even </w:t>
      </w:r>
      <w:r w:rsidR="00DC2D36">
        <w:t>transitional justice</w:t>
      </w:r>
      <w:r>
        <w:t xml:space="preserve"> processes are not safe </w:t>
      </w:r>
      <w:proofErr w:type="gramStart"/>
      <w:r>
        <w:t>enough,</w:t>
      </w:r>
      <w:proofErr w:type="gramEnd"/>
      <w:r>
        <w:t xml:space="preserve"> they break the silence and invite a rethinking of past events. Because cultural and artistic interventions draw upon the symbolism, they enjoin emotions, drawing in the audience in ways very different from </w:t>
      </w:r>
      <w:r w:rsidR="00DC2D36">
        <w:t>transitional justice</w:t>
      </w:r>
      <w:r>
        <w:t xml:space="preserve"> tribunals and journalist</w:t>
      </w:r>
      <w:r w:rsidR="00425F67">
        <w:t>ic</w:t>
      </w:r>
      <w:r>
        <w:t xml:space="preserve"> accounts. </w:t>
      </w:r>
      <w:r w:rsidR="006A42F6">
        <w:t>Because artists have the ability to shed new light on the past, to make visible the victims, and to enhance the ability of the people to imagine the Other, “they can raise awareness of the depth, breadth and effects of rights violations in a way that other forms of communication can hardly aspir</w:t>
      </w:r>
      <w:r w:rsidR="008E63C7">
        <w:t>e</w:t>
      </w:r>
      <w:r w:rsidR="006A42F6">
        <w:t xml:space="preserve"> to, including not only cold statistical data but also offic</w:t>
      </w:r>
      <w:r w:rsidR="008E63C7">
        <w:t>ia</w:t>
      </w:r>
      <w:r w:rsidR="006A42F6">
        <w:t>l truth commission reports”.</w:t>
      </w:r>
      <w:r w:rsidR="006A42F6">
        <w:rPr>
          <w:rStyle w:val="FootnoteReference"/>
        </w:rPr>
        <w:footnoteReference w:id="8"/>
      </w:r>
      <w:r w:rsidR="006A42F6">
        <w:t xml:space="preserve"> </w:t>
      </w:r>
    </w:p>
    <w:p w14:paraId="7981ADD0" w14:textId="77777777" w:rsidR="006A42F6" w:rsidRDefault="006A42F6" w:rsidP="00C70324">
      <w:pPr>
        <w:tabs>
          <w:tab w:val="left" w:pos="3220"/>
        </w:tabs>
      </w:pPr>
    </w:p>
    <w:p w14:paraId="3C0A0730" w14:textId="642B3841" w:rsidR="00C70324" w:rsidRDefault="008E63C7" w:rsidP="00C70324">
      <w:pPr>
        <w:tabs>
          <w:tab w:val="left" w:pos="3220"/>
        </w:tabs>
      </w:pPr>
      <w:r>
        <w:t xml:space="preserve">Artistic and cultural interventions are especially useful when even the ‘safe space’ of truth commissions is not safe enough, or when the affected people feel intimidated by, or uncomfortable because of, the formality of the procedures or the presence of certain individuals. Cultural interventions offer a more conducive vehicle for expressing and sharing not merely factual accounts, but the feelings, emotional experience and relationships that came into play, as well as the consequences beyond these facts. They can also provide a way of sharing that without demanding that the victim her/himself recounts painful experiences before an unknown public. </w:t>
      </w:r>
      <w:r w:rsidR="006A42F6">
        <w:t>For example,</w:t>
      </w:r>
      <w:r w:rsidR="00C70324">
        <w:t xml:space="preserve"> interactive </w:t>
      </w:r>
      <w:r>
        <w:t xml:space="preserve">and other forms of </w:t>
      </w:r>
      <w:r w:rsidR="00C70324">
        <w:t xml:space="preserve">theatre </w:t>
      </w:r>
      <w:r>
        <w:t xml:space="preserve">have been used </w:t>
      </w:r>
      <w:r w:rsidR="00C70324">
        <w:t>very effectively</w:t>
      </w:r>
      <w:r>
        <w:t xml:space="preserve"> for this purpose</w:t>
      </w:r>
      <w:r w:rsidR="00F46CD6">
        <w:t xml:space="preserve">. </w:t>
      </w:r>
      <w:r>
        <w:t xml:space="preserve">Theatre, like other forms of artistic expressions, invites the audience into the narrative and is intentionally emotive, enables a range of feelings to be </w:t>
      </w:r>
      <w:proofErr w:type="spellStart"/>
      <w:r>
        <w:t>btoh</w:t>
      </w:r>
      <w:proofErr w:type="spellEnd"/>
      <w:r>
        <w:t xml:space="preserve"> conveyed and elicited in the telling. </w:t>
      </w:r>
      <w:r w:rsidR="00F46CD6">
        <w:t>At the recent 27</w:t>
      </w:r>
      <w:r w:rsidR="00F46CD6" w:rsidRPr="00F46CD6">
        <w:rPr>
          <w:vertAlign w:val="superscript"/>
        </w:rPr>
        <w:t>th</w:t>
      </w:r>
      <w:r w:rsidR="00F46CD6">
        <w:t xml:space="preserve"> session of the Human Rights Council </w:t>
      </w:r>
      <w:r w:rsidR="00C70324">
        <w:t xml:space="preserve"> </w:t>
      </w:r>
      <w:r w:rsidR="00F46CD6">
        <w:t xml:space="preserve">in Geneva, at the panel on history and </w:t>
      </w:r>
      <w:proofErr w:type="spellStart"/>
      <w:r w:rsidR="00F46CD6">
        <w:t>memorialisation</w:t>
      </w:r>
      <w:proofErr w:type="spellEnd"/>
      <w:r w:rsidR="00F46CD6">
        <w:t xml:space="preserve">, we saw an extract of a </w:t>
      </w:r>
      <w:r w:rsidR="006A42F6">
        <w:t xml:space="preserve">documentary </w:t>
      </w:r>
      <w:r w:rsidR="00F46CD6">
        <w:t xml:space="preserve">film </w:t>
      </w:r>
      <w:r w:rsidR="006A42F6">
        <w:t xml:space="preserve">that </w:t>
      </w:r>
      <w:r w:rsidR="00F46CD6">
        <w:t>record</w:t>
      </w:r>
      <w:r w:rsidR="006A42F6">
        <w:t>s</w:t>
      </w:r>
      <w:r w:rsidR="00F46CD6">
        <w:t xml:space="preserve"> people’s use of artistic expression, including interactive theatre</w:t>
      </w:r>
      <w:r w:rsidR="006A42F6">
        <w:t xml:space="preserve"> as a form of </w:t>
      </w:r>
      <w:r w:rsidR="006A42F6" w:rsidRPr="000F715F">
        <w:t>addressing past violations</w:t>
      </w:r>
      <w:r w:rsidR="00F46CD6" w:rsidRPr="000F715F">
        <w:t xml:space="preserve">. </w:t>
      </w:r>
      <w:r w:rsidR="00090FBD" w:rsidRPr="000F715F">
        <w:rPr>
          <w:rStyle w:val="FootnoteReference"/>
        </w:rPr>
        <w:footnoteReference w:id="9"/>
      </w:r>
    </w:p>
    <w:p w14:paraId="22C7CE3F" w14:textId="77777777" w:rsidR="008E63C7" w:rsidRDefault="008E63C7" w:rsidP="006A42F6">
      <w:pPr>
        <w:widowControl w:val="0"/>
        <w:autoSpaceDE w:val="0"/>
        <w:autoSpaceDN w:val="0"/>
        <w:adjustRightInd w:val="0"/>
        <w:spacing w:after="240"/>
      </w:pPr>
    </w:p>
    <w:p w14:paraId="616D95B9" w14:textId="48FDAFC5" w:rsidR="00AC40F8" w:rsidRDefault="008E63C7" w:rsidP="0041626D">
      <w:pPr>
        <w:widowControl w:val="0"/>
        <w:autoSpaceDE w:val="0"/>
        <w:autoSpaceDN w:val="0"/>
        <w:adjustRightInd w:val="0"/>
        <w:spacing w:after="240"/>
      </w:pPr>
      <w:r>
        <w:t xml:space="preserve">However, </w:t>
      </w:r>
      <w:r w:rsidR="00AC40F8">
        <w:t xml:space="preserve">while it is essential to </w:t>
      </w:r>
      <w:r w:rsidR="0041626D">
        <w:t xml:space="preserve">have and encourage </w:t>
      </w:r>
      <w:r w:rsidR="00AC40F8">
        <w:t xml:space="preserve">cultural interventions, </w:t>
      </w:r>
      <w:r w:rsidR="0041626D">
        <w:t xml:space="preserve">it is equally important that </w:t>
      </w:r>
      <w:r w:rsidR="00AC40F8">
        <w:t xml:space="preserve">artists </w:t>
      </w:r>
      <w:r w:rsidR="0041626D">
        <w:t xml:space="preserve">not </w:t>
      </w:r>
      <w:r w:rsidR="00AC40F8">
        <w:t xml:space="preserve">be seen as replacements of social and political actors. </w:t>
      </w:r>
      <w:r w:rsidR="0041626D">
        <w:t>Furthermore</w:t>
      </w:r>
      <w:r w:rsidR="00AC40F8">
        <w:t>, as</w:t>
      </w:r>
      <w:r w:rsidR="006A42F6">
        <w:t xml:space="preserve"> Jocelyn </w:t>
      </w:r>
      <w:proofErr w:type="spellStart"/>
      <w:r w:rsidR="006A42F6">
        <w:t>Dakhlia</w:t>
      </w:r>
      <w:proofErr w:type="spellEnd"/>
      <w:r w:rsidR="00AC40F8">
        <w:t xml:space="preserve"> said, it is important to guard against the voice of the artist superseding or replacing that of those directly concerned through artistic representations. </w:t>
      </w:r>
    </w:p>
    <w:p w14:paraId="10A036EA" w14:textId="0A3416D5" w:rsidR="00CF2C32" w:rsidRDefault="0041626D" w:rsidP="001B1FFE">
      <w:pPr>
        <w:tabs>
          <w:tab w:val="left" w:pos="3220"/>
        </w:tabs>
      </w:pPr>
      <w:r>
        <w:t xml:space="preserve">I want to stress here </w:t>
      </w:r>
      <w:r w:rsidR="00AC40F8">
        <w:t>that</w:t>
      </w:r>
      <w:r>
        <w:t>, all too often,</w:t>
      </w:r>
      <w:r w:rsidR="00AC40F8">
        <w:t xml:space="preserve"> artistic expressions and cultural manifestations are seen as luxuries. Nothing could be further from the truth. Cultural expressions </w:t>
      </w:r>
      <w:r w:rsidR="006A42F6">
        <w:t xml:space="preserve">are an absolute </w:t>
      </w:r>
      <w:r w:rsidR="00AC40F8">
        <w:t xml:space="preserve">a </w:t>
      </w:r>
      <w:proofErr w:type="gramStart"/>
      <w:r w:rsidR="00AC40F8">
        <w:t>necessity  for</w:t>
      </w:r>
      <w:proofErr w:type="gramEnd"/>
      <w:r w:rsidR="00AC40F8">
        <w:t xml:space="preserve"> humanity – it is what makes us human. </w:t>
      </w:r>
      <w:r>
        <w:t xml:space="preserve">Let me share a story about the power of culture to heal. I am from Pakistan, and as some of you may know one area in the north of our country, Swat, was taken over by the Taliban who instituted a veritable </w:t>
      </w:r>
      <w:proofErr w:type="spellStart"/>
      <w:r>
        <w:t>regin</w:t>
      </w:r>
      <w:proofErr w:type="spellEnd"/>
      <w:r>
        <w:t xml:space="preserve"> of terror </w:t>
      </w:r>
      <w:proofErr w:type="spellStart"/>
      <w:r>
        <w:t>commiting</w:t>
      </w:r>
      <w:proofErr w:type="spellEnd"/>
      <w:r>
        <w:t xml:space="preserve"> unspeakable crimes. A man who earned his living plying a rickshaw, or </w:t>
      </w:r>
      <w:proofErr w:type="spellStart"/>
      <w:r>
        <w:t>Tuk-Tuk</w:t>
      </w:r>
      <w:proofErr w:type="spellEnd"/>
      <w:r>
        <w:t xml:space="preserve"> but whose true love was </w:t>
      </w:r>
      <w:proofErr w:type="gramStart"/>
      <w:r>
        <w:t>music,</w:t>
      </w:r>
      <w:proofErr w:type="gramEnd"/>
      <w:r>
        <w:t xml:space="preserve"> recounted the following: the fighting and terror was so intense in his area, that one day after a particularly intense bombing spree, his two year old son simply stopped speaking. In the meantime, the Taliban had forbidden any music from being played as being sinful, </w:t>
      </w:r>
      <w:proofErr w:type="gramStart"/>
      <w:r>
        <w:t>an</w:t>
      </w:r>
      <w:proofErr w:type="gramEnd"/>
      <w:r>
        <w:t xml:space="preserve"> meted out dire punishments for anyone found contravening their rule. But a year later, he was so frustrated and depressed that, throwing caution to the wind, he took out his harmonium </w:t>
      </w:r>
      <w:proofErr w:type="spellStart"/>
      <w:r>
        <w:t>fromits</w:t>
      </w:r>
      <w:proofErr w:type="spellEnd"/>
      <w:r>
        <w:t xml:space="preserve"> hiding place and started to sing. </w:t>
      </w:r>
      <w:r w:rsidR="00E3750B">
        <w:t>His son came and sat next to him, and in a while</w:t>
      </w:r>
      <w:r w:rsidR="00474120">
        <w:t xml:space="preserve"> the boy who had not spoken for a year, started to sing along with him. And that is the power of culture: to give a voice to the voiceless, to those forced to be mute.</w:t>
      </w:r>
    </w:p>
    <w:p w14:paraId="6D6758E4" w14:textId="77777777" w:rsidR="00AC40F8" w:rsidRDefault="00AC40F8" w:rsidP="001B1FFE">
      <w:pPr>
        <w:tabs>
          <w:tab w:val="left" w:pos="3220"/>
        </w:tabs>
      </w:pPr>
    </w:p>
    <w:p w14:paraId="1434ADD0" w14:textId="4717B4C7" w:rsidR="00AC40F8" w:rsidRDefault="009A384F" w:rsidP="001B1FFE">
      <w:pPr>
        <w:tabs>
          <w:tab w:val="left" w:pos="3220"/>
        </w:tabs>
      </w:pPr>
      <w:r>
        <w:t>In terms of transitional justice</w:t>
      </w:r>
      <w:r w:rsidR="00474120">
        <w:t xml:space="preserve">, I </w:t>
      </w:r>
      <w:r w:rsidR="00E54CA7">
        <w:t>worry that we may be expecting too much. W</w:t>
      </w:r>
      <w:r w:rsidR="00AC40F8">
        <w:t xml:space="preserve">e should be careful not to fall into the trap of believing that </w:t>
      </w:r>
      <w:r w:rsidR="00DC2D36">
        <w:t>transitional justice</w:t>
      </w:r>
      <w:r w:rsidR="00AC40F8">
        <w:t xml:space="preserve"> is a panacea for all ills. </w:t>
      </w:r>
      <w:r w:rsidR="00E54CA7">
        <w:t>J</w:t>
      </w:r>
      <w:r w:rsidR="00AC40F8">
        <w:t xml:space="preserve">ustice </w:t>
      </w:r>
      <w:r w:rsidR="00E54CA7">
        <w:t xml:space="preserve">demands a </w:t>
      </w:r>
      <w:r w:rsidR="00AC40F8">
        <w:t>transformation of entrenched structures and systems</w:t>
      </w:r>
      <w:r w:rsidR="00E54CA7">
        <w:t>; t</w:t>
      </w:r>
      <w:r w:rsidR="00AC40F8">
        <w:t xml:space="preserve">ransitional justice </w:t>
      </w:r>
      <w:r w:rsidR="00474120">
        <w:t xml:space="preserve">processes </w:t>
      </w:r>
      <w:r w:rsidR="00AC40F8">
        <w:t>can only be a bridge towards such a solution</w:t>
      </w:r>
      <w:r w:rsidR="00474120">
        <w:t xml:space="preserve">. </w:t>
      </w:r>
      <w:r w:rsidR="00E54CA7">
        <w:t xml:space="preserve">Transitional justice </w:t>
      </w:r>
      <w:r w:rsidR="00474120">
        <w:t xml:space="preserve">processes </w:t>
      </w:r>
      <w:r w:rsidR="00AC40F8">
        <w:t>can</w:t>
      </w:r>
      <w:r w:rsidR="00474120">
        <w:t>,</w:t>
      </w:r>
      <w:r w:rsidR="00AC40F8">
        <w:t xml:space="preserve"> and should</w:t>
      </w:r>
      <w:r w:rsidR="00474120">
        <w:t>,</w:t>
      </w:r>
      <w:r w:rsidR="00AC40F8">
        <w:t xml:space="preserve"> open pathways for long-term solutions</w:t>
      </w:r>
      <w:r w:rsidR="00F7747E">
        <w:t xml:space="preserve"> to key problems</w:t>
      </w:r>
      <w:r w:rsidR="00AC40F8">
        <w:t xml:space="preserve">, such as economic deprivations, but </w:t>
      </w:r>
      <w:r w:rsidR="00F7747E">
        <w:t xml:space="preserve">I do not think that </w:t>
      </w:r>
      <w:r w:rsidR="00474120">
        <w:t xml:space="preserve">transitional justice </w:t>
      </w:r>
      <w:r w:rsidR="00F7747E">
        <w:t xml:space="preserve">by itself </w:t>
      </w:r>
      <w:r w:rsidR="00AC40F8">
        <w:t>can</w:t>
      </w:r>
      <w:r w:rsidR="00F7747E">
        <w:t xml:space="preserve"> </w:t>
      </w:r>
      <w:r w:rsidR="00AC40F8">
        <w:t xml:space="preserve">deliver economic justice. If </w:t>
      </w:r>
      <w:r w:rsidR="00DC2D36">
        <w:t>transitional justice</w:t>
      </w:r>
      <w:r w:rsidR="00AC40F8">
        <w:t xml:space="preserve"> processes</w:t>
      </w:r>
      <w:r w:rsidR="00474120">
        <w:t xml:space="preserve"> could address and overcome all the injustices</w:t>
      </w:r>
      <w:r w:rsidR="00E54CA7">
        <w:t xml:space="preserve"> in society</w:t>
      </w:r>
      <w:r w:rsidR="00AC40F8">
        <w:t>, there would be no need for the judiciary, for policy-planning and implementation mechanisms.</w:t>
      </w:r>
      <w:r w:rsidR="00474120">
        <w:t xml:space="preserve"> </w:t>
      </w:r>
      <w:r>
        <w:t>I</w:t>
      </w:r>
      <w:r w:rsidR="00F7747E">
        <w:t xml:space="preserve"> </w:t>
      </w:r>
      <w:r>
        <w:t>f</w:t>
      </w:r>
      <w:r w:rsidR="00F7747E">
        <w:t>ear</w:t>
      </w:r>
      <w:r>
        <w:t xml:space="preserve"> </w:t>
      </w:r>
      <w:r w:rsidR="00F7747E">
        <w:t xml:space="preserve">that by </w:t>
      </w:r>
      <w:r>
        <w:t>expect</w:t>
      </w:r>
      <w:r w:rsidR="00F7747E">
        <w:t>ing too much from</w:t>
      </w:r>
      <w:r>
        <w:t xml:space="preserve"> transitional justice</w:t>
      </w:r>
      <w:r w:rsidR="00AC40F8">
        <w:t xml:space="preserve"> </w:t>
      </w:r>
      <w:r w:rsidR="00F7747E">
        <w:t xml:space="preserve">processes, </w:t>
      </w:r>
      <w:r>
        <w:t xml:space="preserve">we are setting it up to fail. </w:t>
      </w:r>
      <w:r w:rsidR="00AC40F8">
        <w:t xml:space="preserve">What </w:t>
      </w:r>
      <w:r w:rsidR="00DC2D36">
        <w:t xml:space="preserve">transitional justice </w:t>
      </w:r>
      <w:r w:rsidR="00AC40F8">
        <w:t xml:space="preserve">can </w:t>
      </w:r>
      <w:r>
        <w:t xml:space="preserve">and should be designed to </w:t>
      </w:r>
      <w:r w:rsidR="00AC40F8">
        <w:t>accomplish is</w:t>
      </w:r>
      <w:r w:rsidR="00DC2D36">
        <w:t>:</w:t>
      </w:r>
      <w:r w:rsidR="00AC40F8">
        <w:t xml:space="preserve"> </w:t>
      </w:r>
    </w:p>
    <w:p w14:paraId="43FCBE7B" w14:textId="1F70A987" w:rsidR="00AC40F8" w:rsidRDefault="00AC40F8" w:rsidP="00DC2D36">
      <w:pPr>
        <w:pStyle w:val="ListParagraph"/>
        <w:numPr>
          <w:ilvl w:val="0"/>
          <w:numId w:val="1"/>
        </w:numPr>
        <w:tabs>
          <w:tab w:val="left" w:pos="3220"/>
        </w:tabs>
      </w:pPr>
      <w:r>
        <w:t>Recognition of the harm done, pain suffered, as well as acknowledging the personhood of those who suffered</w:t>
      </w:r>
      <w:r w:rsidR="00D02774">
        <w:t>;</w:t>
      </w:r>
      <w:r>
        <w:t xml:space="preserve"> </w:t>
      </w:r>
    </w:p>
    <w:p w14:paraId="52245E2F" w14:textId="40246CC5" w:rsidR="00AC40F8" w:rsidRDefault="00AC40F8" w:rsidP="00DC2D36">
      <w:pPr>
        <w:pStyle w:val="ListParagraph"/>
        <w:numPr>
          <w:ilvl w:val="0"/>
          <w:numId w:val="1"/>
        </w:numPr>
        <w:tabs>
          <w:tab w:val="left" w:pos="3220"/>
        </w:tabs>
      </w:pPr>
      <w:r>
        <w:t>It can, and does, break the silence and it helps to end impunity</w:t>
      </w:r>
      <w:r w:rsidR="00D02774">
        <w:t>;</w:t>
      </w:r>
      <w:r>
        <w:t xml:space="preserve"> </w:t>
      </w:r>
    </w:p>
    <w:p w14:paraId="583E0152" w14:textId="6AEB8D6C" w:rsidR="00BD09D1" w:rsidRDefault="00F7747E" w:rsidP="00DC2D36">
      <w:pPr>
        <w:pStyle w:val="ListParagraph"/>
        <w:numPr>
          <w:ilvl w:val="0"/>
          <w:numId w:val="1"/>
        </w:numPr>
        <w:tabs>
          <w:tab w:val="left" w:pos="3220"/>
        </w:tabs>
      </w:pPr>
      <w:r>
        <w:t>P</w:t>
      </w:r>
      <w:r w:rsidR="00AC40F8">
        <w:t>rovide reparations</w:t>
      </w:r>
      <w:r w:rsidR="00D02774">
        <w:t>:</w:t>
      </w:r>
      <w:r w:rsidR="00AC40F8">
        <w:t xml:space="preserve"> </w:t>
      </w:r>
      <w:r w:rsidR="00D02774">
        <w:t>m</w:t>
      </w:r>
      <w:r w:rsidR="00AC40F8">
        <w:t>aterial, legal and moral, for the harm suffered</w:t>
      </w:r>
      <w:r w:rsidR="00D02774">
        <w:t>;</w:t>
      </w:r>
      <w:r w:rsidR="00AC40F8">
        <w:t xml:space="preserve"> </w:t>
      </w:r>
    </w:p>
    <w:p w14:paraId="5DC5953B" w14:textId="51921DEC" w:rsidR="00AC40F8" w:rsidRDefault="00F7747E" w:rsidP="00DC2D36">
      <w:pPr>
        <w:pStyle w:val="ListParagraph"/>
        <w:numPr>
          <w:ilvl w:val="0"/>
          <w:numId w:val="1"/>
        </w:numPr>
        <w:tabs>
          <w:tab w:val="left" w:pos="3220"/>
        </w:tabs>
      </w:pPr>
      <w:r>
        <w:t>P</w:t>
      </w:r>
      <w:r w:rsidR="00BD09D1">
        <w:t xml:space="preserve">rovide the basis for </w:t>
      </w:r>
      <w:r w:rsidR="00AC40F8">
        <w:t>demand</w:t>
      </w:r>
      <w:r w:rsidR="00BD09D1">
        <w:t>ing</w:t>
      </w:r>
      <w:r w:rsidR="00AC40F8">
        <w:t xml:space="preserve"> rights to be guaranteed by the State.  </w:t>
      </w:r>
    </w:p>
    <w:p w14:paraId="7FFAEE98" w14:textId="77777777" w:rsidR="00BD09D1" w:rsidRDefault="00BD09D1" w:rsidP="001B1FFE">
      <w:pPr>
        <w:tabs>
          <w:tab w:val="left" w:pos="3220"/>
        </w:tabs>
      </w:pPr>
    </w:p>
    <w:p w14:paraId="12275BA9" w14:textId="68A2511E" w:rsidR="006A42F6" w:rsidRDefault="00755625" w:rsidP="001B1FFE">
      <w:pPr>
        <w:tabs>
          <w:tab w:val="left" w:pos="3220"/>
        </w:tabs>
      </w:pPr>
      <w:r>
        <w:lastRenderedPageBreak/>
        <w:t xml:space="preserve">Conflict let me stress is not bad, indeed conflict of interests and opinions – is inherent in any society, the issue is how conflict is addressed and whether the institutional mechanisms available are effective enough and have the </w:t>
      </w:r>
      <w:r w:rsidR="00F7747E">
        <w:t xml:space="preserve">requisite </w:t>
      </w:r>
      <w:r>
        <w:t xml:space="preserve">legitimacy to adjudicate </w:t>
      </w:r>
      <w:r w:rsidR="00F7747E">
        <w:t xml:space="preserve">or mediate </w:t>
      </w:r>
      <w:r>
        <w:t>the differences.  Memorials</w:t>
      </w:r>
      <w:r w:rsidR="00F7747E">
        <w:t>,</w:t>
      </w:r>
      <w:r>
        <w:t xml:space="preserve"> </w:t>
      </w:r>
      <w:r w:rsidR="00F7747E">
        <w:t xml:space="preserve">themselves, </w:t>
      </w:r>
      <w:r>
        <w:t>are also sites of contestation</w:t>
      </w:r>
      <w:r w:rsidR="00F7747E">
        <w:t xml:space="preserve">. This </w:t>
      </w:r>
      <w:r>
        <w:t xml:space="preserve">is not to be wondered at because culture itself is a site of contestation, in which different understandings, perspectives and opinions jockey for supremacy and general acceptance. </w:t>
      </w:r>
    </w:p>
    <w:p w14:paraId="39C2CFE4" w14:textId="77777777" w:rsidR="000F715F" w:rsidRDefault="000F715F" w:rsidP="001B1FFE">
      <w:pPr>
        <w:tabs>
          <w:tab w:val="left" w:pos="3220"/>
        </w:tabs>
      </w:pPr>
    </w:p>
    <w:p w14:paraId="1333AE82" w14:textId="717D1621" w:rsidR="00755625" w:rsidRDefault="00F7747E" w:rsidP="001B1FFE">
      <w:pPr>
        <w:tabs>
          <w:tab w:val="left" w:pos="3220"/>
        </w:tabs>
      </w:pPr>
      <w:r>
        <w:t>Finally, I want to stress that c</w:t>
      </w:r>
      <w:r w:rsidR="00755625">
        <w:t>ollective identity</w:t>
      </w:r>
      <w:r w:rsidR="000227AA">
        <w:t xml:space="preserve">, which is closely tied to the issue of </w:t>
      </w:r>
      <w:proofErr w:type="spellStart"/>
      <w:r w:rsidR="000227AA">
        <w:t>memorialisation</w:t>
      </w:r>
      <w:proofErr w:type="spellEnd"/>
      <w:r w:rsidR="000227AA">
        <w:t xml:space="preserve"> and history </w:t>
      </w:r>
      <w:r w:rsidR="00755625">
        <w:t xml:space="preserve">is a tricky business. There is no plural of the pronoun </w:t>
      </w:r>
      <w:r>
        <w:t>‘</w:t>
      </w:r>
      <w:r w:rsidR="00755625">
        <w:t>I</w:t>
      </w:r>
      <w:r>
        <w:t>’</w:t>
      </w:r>
      <w:r w:rsidR="00755625">
        <w:t xml:space="preserve">. The moment we use the plural </w:t>
      </w:r>
      <w:r w:rsidR="00D02774">
        <w:t>‘</w:t>
      </w:r>
      <w:r w:rsidR="00755625">
        <w:t>we</w:t>
      </w:r>
      <w:r w:rsidR="00D02774">
        <w:t>’,</w:t>
      </w:r>
      <w:r w:rsidR="00755625">
        <w:t xml:space="preserve"> we are distinguishing between us and you/them. The </w:t>
      </w:r>
      <w:r>
        <w:t>‘</w:t>
      </w:r>
      <w:r w:rsidR="00755625">
        <w:t>we</w:t>
      </w:r>
      <w:r>
        <w:t>’</w:t>
      </w:r>
      <w:r w:rsidR="00755625">
        <w:t xml:space="preserve"> can be </w:t>
      </w:r>
      <w:proofErr w:type="gramStart"/>
      <w:r w:rsidR="00755625">
        <w:t>fleeting ,</w:t>
      </w:r>
      <w:proofErr w:type="gramEnd"/>
      <w:r w:rsidR="00755625">
        <w:t xml:space="preserve"> such as </w:t>
      </w:r>
      <w:r>
        <w:t>‘</w:t>
      </w:r>
      <w:r w:rsidR="00755625">
        <w:t>we on this side of the room</w:t>
      </w:r>
      <w:r>
        <w:t>’</w:t>
      </w:r>
      <w:r w:rsidR="00755625">
        <w:t xml:space="preserve">, which </w:t>
      </w:r>
      <w:r w:rsidR="000F715F">
        <w:t>by it</w:t>
      </w:r>
      <w:r>
        <w:t>s</w:t>
      </w:r>
      <w:r w:rsidR="000F715F">
        <w:t xml:space="preserve"> </w:t>
      </w:r>
      <w:r>
        <w:t>very usage use will automatically exclude</w:t>
      </w:r>
      <w:r w:rsidR="00755625">
        <w:t xml:space="preserve"> everyone beyond a </w:t>
      </w:r>
      <w:r>
        <w:t>certain point;</w:t>
      </w:r>
      <w:r w:rsidR="00755625">
        <w:t xml:space="preserve"> or </w:t>
      </w:r>
      <w:r>
        <w:t xml:space="preserve">it can be </w:t>
      </w:r>
      <w:r w:rsidR="00755625">
        <w:t xml:space="preserve">more </w:t>
      </w:r>
      <w:r w:rsidR="00425F67">
        <w:t>permanent</w:t>
      </w:r>
      <w:r w:rsidR="00755625">
        <w:t xml:space="preserve"> such as </w:t>
      </w:r>
      <w:r>
        <w:t>‘</w:t>
      </w:r>
      <w:r w:rsidR="00755625">
        <w:t>we women</w:t>
      </w:r>
      <w:r>
        <w:t>’</w:t>
      </w:r>
      <w:r w:rsidR="00755625">
        <w:t xml:space="preserve">. But whenever </w:t>
      </w:r>
      <w:r>
        <w:t xml:space="preserve">I </w:t>
      </w:r>
      <w:r w:rsidR="00755625">
        <w:t xml:space="preserve">use the pronoun </w:t>
      </w:r>
      <w:r w:rsidR="00D02774">
        <w:t>‘</w:t>
      </w:r>
      <w:r w:rsidR="00755625">
        <w:t>we</w:t>
      </w:r>
      <w:r w:rsidR="00D02774">
        <w:t>’</w:t>
      </w:r>
      <w:r>
        <w:t>,</w:t>
      </w:r>
      <w:r w:rsidR="00755625">
        <w:t xml:space="preserve"> </w:t>
      </w:r>
      <w:r>
        <w:t xml:space="preserve">I am </w:t>
      </w:r>
      <w:r w:rsidR="00755625">
        <w:t xml:space="preserve">selecting certain markers of identity which link me to some </w:t>
      </w:r>
      <w:r>
        <w:t xml:space="preserve">people </w:t>
      </w:r>
      <w:r w:rsidR="00755625">
        <w:t xml:space="preserve">and dissociate me from others. We never select all </w:t>
      </w:r>
      <w:r>
        <w:t xml:space="preserve">markers of our identity. Not even identical twins have identical experiences. Moreover, </w:t>
      </w:r>
      <w:r w:rsidR="00755625">
        <w:t>and I think this is crucial</w:t>
      </w:r>
      <w:r>
        <w:t xml:space="preserve">, </w:t>
      </w:r>
      <w:r w:rsidR="00755625">
        <w:t xml:space="preserve">we are always in the process of reinventing this imaginary </w:t>
      </w:r>
      <w:r>
        <w:t>‘</w:t>
      </w:r>
      <w:r w:rsidR="00755625">
        <w:t>we</w:t>
      </w:r>
      <w:r>
        <w:t>’</w:t>
      </w:r>
      <w:r w:rsidR="00755625">
        <w:t xml:space="preserve"> to our advantage</w:t>
      </w:r>
      <w:r>
        <w:t>,</w:t>
      </w:r>
      <w:r w:rsidR="00755625">
        <w:t xml:space="preserve"> or at least </w:t>
      </w:r>
      <w:r>
        <w:t xml:space="preserve">in light of </w:t>
      </w:r>
      <w:r w:rsidR="00755625">
        <w:t>what we think at a pa</w:t>
      </w:r>
      <w:r>
        <w:t>rticular moment is advantageous</w:t>
      </w:r>
      <w:r w:rsidR="00755625">
        <w:t xml:space="preserve">. </w:t>
      </w:r>
    </w:p>
    <w:p w14:paraId="40BA739D" w14:textId="77777777" w:rsidR="00755625" w:rsidRDefault="00755625" w:rsidP="001B1FFE">
      <w:pPr>
        <w:tabs>
          <w:tab w:val="left" w:pos="3220"/>
        </w:tabs>
      </w:pPr>
    </w:p>
    <w:p w14:paraId="238ED272" w14:textId="75A67FD3" w:rsidR="00755625" w:rsidRDefault="00755625" w:rsidP="001B1FFE">
      <w:pPr>
        <w:tabs>
          <w:tab w:val="left" w:pos="3220"/>
        </w:tabs>
      </w:pPr>
      <w:r>
        <w:t xml:space="preserve">In </w:t>
      </w:r>
      <w:r w:rsidR="006A42F6">
        <w:t>the</w:t>
      </w:r>
      <w:r>
        <w:t xml:space="preserve"> </w:t>
      </w:r>
      <w:r w:rsidR="000F715F">
        <w:t>documentary</w:t>
      </w:r>
      <w:bookmarkStart w:id="0" w:name="_GoBack"/>
      <w:bookmarkEnd w:id="0"/>
      <w:r w:rsidR="000227AA">
        <w:t xml:space="preserve"> </w:t>
      </w:r>
      <w:r>
        <w:t xml:space="preserve">film on artists working around memorialization processes, </w:t>
      </w:r>
      <w:r w:rsidR="008A0F9C">
        <w:t>one of the</w:t>
      </w:r>
      <w:r>
        <w:t xml:space="preserve"> artist</w:t>
      </w:r>
      <w:r w:rsidR="008A0F9C">
        <w:t>s</w:t>
      </w:r>
      <w:r>
        <w:t xml:space="preserve"> </w:t>
      </w:r>
      <w:r w:rsidR="00B84396">
        <w:t xml:space="preserve">invites people to engage in </w:t>
      </w:r>
      <w:r w:rsidR="00F46CD6">
        <w:t>‘</w:t>
      </w:r>
      <w:r>
        <w:t>remembering as a revolutionary act</w:t>
      </w:r>
      <w:r w:rsidR="00F46CD6">
        <w:t xml:space="preserve">’. </w:t>
      </w:r>
      <w:r>
        <w:t xml:space="preserve">I would like to end by suggesting that in </w:t>
      </w:r>
      <w:r w:rsidR="00DC2D36">
        <w:t xml:space="preserve">transitional justice </w:t>
      </w:r>
      <w:r>
        <w:t xml:space="preserve">processes we need to engage in </w:t>
      </w:r>
      <w:r w:rsidR="00F46CD6">
        <w:t>‘</w:t>
      </w:r>
      <w:r>
        <w:t>remembering as an act of human rights</w:t>
      </w:r>
      <w:r w:rsidR="006A42F6">
        <w:t xml:space="preserve">’ -- </w:t>
      </w:r>
      <w:r w:rsidR="00B84396">
        <w:t>as an act that promotes the dignity of each person and community</w:t>
      </w:r>
      <w:r w:rsidR="006A42F6">
        <w:t>.</w:t>
      </w:r>
    </w:p>
    <w:p w14:paraId="17D50111" w14:textId="77777777" w:rsidR="006A42F6" w:rsidRDefault="006A42F6" w:rsidP="001B1FFE">
      <w:pPr>
        <w:tabs>
          <w:tab w:val="left" w:pos="3220"/>
        </w:tabs>
      </w:pPr>
    </w:p>
    <w:p w14:paraId="36A3FE7C" w14:textId="4C669E55" w:rsidR="006A42F6" w:rsidRPr="006362DF" w:rsidRDefault="006A42F6" w:rsidP="001B1FFE">
      <w:pPr>
        <w:tabs>
          <w:tab w:val="left" w:pos="3220"/>
        </w:tabs>
      </w:pPr>
      <w:r>
        <w:t xml:space="preserve">Thank you </w:t>
      </w:r>
    </w:p>
    <w:sectPr w:rsidR="006A42F6" w:rsidRPr="006362DF" w:rsidSect="000E4F26">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047BE" w14:textId="77777777" w:rsidR="00F7747E" w:rsidRDefault="00F7747E" w:rsidP="00F55CEB">
      <w:r>
        <w:separator/>
      </w:r>
    </w:p>
  </w:endnote>
  <w:endnote w:type="continuationSeparator" w:id="0">
    <w:p w14:paraId="46D0A360" w14:textId="77777777" w:rsidR="00F7747E" w:rsidRDefault="00F7747E" w:rsidP="00F5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porate A">
    <w:altName w:val="Times New Roman"/>
    <w:panose1 w:val="00000000000000000000"/>
    <w:charset w:val="00"/>
    <w:family w:val="roman"/>
    <w:notTrueType/>
    <w:pitch w:val="variable"/>
    <w:sig w:usb0="A00002AF" w:usb1="5000205B" w:usb2="00000000" w:usb3="00000000" w:csb0="0000009F" w:csb1="00000000"/>
  </w:font>
  <w:font w:name="Corporate S">
    <w:altName w:val="Times New Roman"/>
    <w:panose1 w:val="00000000000000000000"/>
    <w:charset w:val="00"/>
    <w:family w:val="roman"/>
    <w:notTrueType/>
    <w:pitch w:val="variable"/>
    <w:sig w:usb0="00000001" w:usb1="5000205B"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57283"/>
      <w:docPartObj>
        <w:docPartGallery w:val="Page Numbers (Bottom of Page)"/>
        <w:docPartUnique/>
      </w:docPartObj>
    </w:sdtPr>
    <w:sdtEndPr/>
    <w:sdtContent>
      <w:p w14:paraId="3F63B669" w14:textId="77777777" w:rsidR="00F7747E" w:rsidRDefault="00F7747E">
        <w:pPr>
          <w:pStyle w:val="Footer"/>
          <w:jc w:val="center"/>
        </w:pPr>
        <w:r>
          <w:fldChar w:fldCharType="begin"/>
        </w:r>
        <w:r>
          <w:instrText>PAGE   \* MERGEFORMAT</w:instrText>
        </w:r>
        <w:r>
          <w:fldChar w:fldCharType="separate"/>
        </w:r>
        <w:r w:rsidR="000F715F" w:rsidRPr="000F715F">
          <w:rPr>
            <w:noProof/>
            <w:lang w:val="pt-BR"/>
          </w:rPr>
          <w:t>12</w:t>
        </w:r>
        <w:r>
          <w:fldChar w:fldCharType="end"/>
        </w:r>
      </w:p>
    </w:sdtContent>
  </w:sdt>
  <w:p w14:paraId="6F59AA17" w14:textId="77777777" w:rsidR="00F7747E" w:rsidRDefault="00F77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C2B78" w14:textId="77777777" w:rsidR="00F7747E" w:rsidRDefault="00F7747E" w:rsidP="00F55CEB">
      <w:r>
        <w:separator/>
      </w:r>
    </w:p>
  </w:footnote>
  <w:footnote w:type="continuationSeparator" w:id="0">
    <w:p w14:paraId="19B56208" w14:textId="77777777" w:rsidR="00F7747E" w:rsidRDefault="00F7747E" w:rsidP="00F55CEB">
      <w:r>
        <w:continuationSeparator/>
      </w:r>
    </w:p>
  </w:footnote>
  <w:footnote w:id="1">
    <w:p w14:paraId="2621C187" w14:textId="43FE77AE" w:rsidR="00F7747E" w:rsidRPr="00750C9B" w:rsidRDefault="00F7747E" w:rsidP="00750C9B">
      <w:pPr>
        <w:rPr>
          <w:rFonts w:ascii="Times" w:eastAsia="Times New Roman" w:hAnsi="Times" w:cs="Times New Roman"/>
          <w:sz w:val="20"/>
          <w:szCs w:val="20"/>
        </w:rPr>
      </w:pPr>
      <w:r>
        <w:rPr>
          <w:rStyle w:val="FootnoteReference"/>
        </w:rPr>
        <w:footnoteRef/>
      </w:r>
      <w:r>
        <w:t xml:space="preserve"> </w:t>
      </w:r>
      <w:r w:rsidRPr="000843F7">
        <w:rPr>
          <w:i/>
          <w:sz w:val="20"/>
          <w:szCs w:val="20"/>
        </w:rPr>
        <w:t>A/68/296, The Writing and teaching of History (history textbooks)</w:t>
      </w:r>
      <w:r>
        <w:rPr>
          <w:sz w:val="20"/>
          <w:szCs w:val="20"/>
        </w:rPr>
        <w:t>;</w:t>
      </w:r>
      <w:r w:rsidRPr="000843F7">
        <w:rPr>
          <w:sz w:val="20"/>
          <w:szCs w:val="20"/>
        </w:rPr>
        <w:t xml:space="preserve"> available at </w:t>
      </w:r>
      <w:hyperlink r:id="rId1" w:history="1">
        <w:r w:rsidRPr="000843F7">
          <w:rPr>
            <w:rStyle w:val="Hyperlink"/>
            <w:sz w:val="20"/>
            <w:szCs w:val="20"/>
          </w:rPr>
          <w:t>http://daccess-dds-ny.un.org/doc/UNDOC/GEN/N13/422/91/PDF/N1342291.pdf?OpenElement</w:t>
        </w:r>
      </w:hyperlink>
      <w:r>
        <w:t xml:space="preserve"> </w:t>
      </w:r>
    </w:p>
  </w:footnote>
  <w:footnote w:id="2">
    <w:p w14:paraId="0B5F59BC" w14:textId="49711505" w:rsidR="00F7747E" w:rsidRPr="000843F7" w:rsidRDefault="00F7747E" w:rsidP="000843F7">
      <w:pPr>
        <w:rPr>
          <w:rFonts w:ascii="Times" w:eastAsia="Times New Roman" w:hAnsi="Times" w:cs="Times New Roman"/>
          <w:sz w:val="20"/>
          <w:szCs w:val="20"/>
        </w:rPr>
      </w:pPr>
      <w:r>
        <w:rPr>
          <w:rStyle w:val="FootnoteReference"/>
        </w:rPr>
        <w:footnoteRef/>
      </w:r>
      <w:r>
        <w:t xml:space="preserve"> </w:t>
      </w:r>
      <w:r w:rsidRPr="000843F7">
        <w:rPr>
          <w:i/>
          <w:sz w:val="20"/>
        </w:rPr>
        <w:t>A/HRC/25/49, Memorialization Processes</w:t>
      </w:r>
      <w:r>
        <w:rPr>
          <w:sz w:val="20"/>
        </w:rPr>
        <w:t xml:space="preserve">; available at </w:t>
      </w:r>
      <w:hyperlink r:id="rId2" w:history="1">
        <w:r w:rsidRPr="00984FE8">
          <w:rPr>
            <w:rStyle w:val="Hyperlink"/>
            <w:sz w:val="20"/>
          </w:rPr>
          <w:t>http://www.ohchr.org/EN/Issues/CulturalRights/Pages/AnnualReports.aspx</w:t>
        </w:r>
      </w:hyperlink>
      <w:r>
        <w:rPr>
          <w:sz w:val="20"/>
        </w:rPr>
        <w:t xml:space="preserve"> </w:t>
      </w:r>
    </w:p>
    <w:p w14:paraId="41DCEC28" w14:textId="49394AFD" w:rsidR="00F7747E" w:rsidRPr="000843F7" w:rsidRDefault="00F7747E" w:rsidP="000843F7">
      <w:pPr>
        <w:rPr>
          <w:rFonts w:ascii="Times" w:eastAsia="Times New Roman" w:hAnsi="Times" w:cs="Times New Roman"/>
          <w:sz w:val="20"/>
          <w:szCs w:val="20"/>
        </w:rPr>
      </w:pPr>
    </w:p>
  </w:footnote>
  <w:footnote w:id="3">
    <w:p w14:paraId="1F4DD3DE" w14:textId="19554A56" w:rsidR="00F7747E" w:rsidRDefault="00F7747E">
      <w:pPr>
        <w:pStyle w:val="FootnoteText"/>
      </w:pPr>
      <w:r w:rsidRPr="000843F7">
        <w:rPr>
          <w:rStyle w:val="FootnoteReference"/>
          <w:sz w:val="20"/>
        </w:rPr>
        <w:footnoteRef/>
      </w:r>
      <w:r w:rsidRPr="000843F7">
        <w:rPr>
          <w:sz w:val="20"/>
        </w:rPr>
        <w:t xml:space="preserve"> </w:t>
      </w:r>
      <w:proofErr w:type="spellStart"/>
      <w:r w:rsidRPr="000843F7">
        <w:rPr>
          <w:rFonts w:eastAsia="MS Mincho"/>
          <w:sz w:val="20"/>
          <w:szCs w:val="18"/>
          <w:lang w:eastAsia="fr-FR"/>
        </w:rPr>
        <w:t>Albie</w:t>
      </w:r>
      <w:proofErr w:type="spellEnd"/>
      <w:r w:rsidRPr="000843F7">
        <w:rPr>
          <w:rFonts w:eastAsia="MS Mincho"/>
          <w:sz w:val="20"/>
          <w:szCs w:val="18"/>
          <w:lang w:eastAsia="fr-FR"/>
        </w:rPr>
        <w:t xml:space="preserve"> Sachs, </w:t>
      </w:r>
      <w:r w:rsidRPr="000843F7">
        <w:rPr>
          <w:rFonts w:eastAsia="MS Mincho"/>
          <w:i/>
          <w:iCs/>
          <w:sz w:val="20"/>
          <w:szCs w:val="18"/>
          <w:lang w:eastAsia="fr-FR"/>
        </w:rPr>
        <w:t>The Soft Vengeance of a Freedom Fighter</w:t>
      </w:r>
      <w:r w:rsidRPr="000843F7">
        <w:rPr>
          <w:rFonts w:eastAsia="MS Mincho"/>
          <w:sz w:val="20"/>
          <w:szCs w:val="18"/>
          <w:lang w:eastAsia="fr-FR"/>
        </w:rPr>
        <w:t>, (Berkeley, California, University of California Press, 2000</w:t>
      </w:r>
    </w:p>
  </w:footnote>
  <w:footnote w:id="4">
    <w:p w14:paraId="7E127099" w14:textId="02B64E3E" w:rsidR="00F7747E" w:rsidRPr="00090FBD" w:rsidRDefault="00F7747E">
      <w:pPr>
        <w:pStyle w:val="FootnoteText"/>
        <w:rPr>
          <w:lang w:val="fr-CH"/>
        </w:rPr>
      </w:pPr>
      <w:r w:rsidRPr="00993D78">
        <w:rPr>
          <w:rStyle w:val="FootnoteReference"/>
          <w:sz w:val="20"/>
        </w:rPr>
        <w:footnoteRef/>
      </w:r>
      <w:r w:rsidRPr="00090FBD">
        <w:rPr>
          <w:sz w:val="20"/>
          <w:lang w:val="fr-CH"/>
        </w:rPr>
        <w:t xml:space="preserve"> </w:t>
      </w:r>
      <w:proofErr w:type="spellStart"/>
      <w:r w:rsidRPr="00993D78">
        <w:rPr>
          <w:sz w:val="20"/>
          <w:szCs w:val="18"/>
          <w:lang w:val="fr-FR"/>
        </w:rPr>
        <w:t>Tzvetan</w:t>
      </w:r>
      <w:proofErr w:type="spellEnd"/>
      <w:r w:rsidRPr="00993D78">
        <w:rPr>
          <w:sz w:val="20"/>
          <w:szCs w:val="18"/>
          <w:lang w:val="fr-FR"/>
        </w:rPr>
        <w:t xml:space="preserve"> Todorov, </w:t>
      </w:r>
      <w:r w:rsidRPr="00993D78">
        <w:rPr>
          <w:i/>
          <w:sz w:val="20"/>
          <w:szCs w:val="18"/>
          <w:lang w:val="fr-FR"/>
        </w:rPr>
        <w:t>Les abus de la mémoire</w:t>
      </w:r>
      <w:r w:rsidRPr="00993D78">
        <w:rPr>
          <w:sz w:val="20"/>
          <w:szCs w:val="18"/>
          <w:lang w:val="fr-FR"/>
        </w:rPr>
        <w:t xml:space="preserve">, (Paris, </w:t>
      </w:r>
      <w:proofErr w:type="spellStart"/>
      <w:r w:rsidRPr="00993D78">
        <w:rPr>
          <w:sz w:val="20"/>
          <w:szCs w:val="18"/>
          <w:lang w:val="fr-FR"/>
        </w:rPr>
        <w:t>Arléa</w:t>
      </w:r>
      <w:proofErr w:type="spellEnd"/>
      <w:r w:rsidRPr="00993D78">
        <w:rPr>
          <w:sz w:val="20"/>
          <w:szCs w:val="18"/>
          <w:lang w:val="fr-FR"/>
        </w:rPr>
        <w:t>, 2004) pp. 56 and 57</w:t>
      </w:r>
    </w:p>
  </w:footnote>
  <w:footnote w:id="5">
    <w:p w14:paraId="61B81892" w14:textId="1817BC11" w:rsidR="00F7747E" w:rsidRPr="00090FBD" w:rsidRDefault="00F7747E">
      <w:pPr>
        <w:pStyle w:val="FootnoteText"/>
        <w:rPr>
          <w:lang w:val="fr-CH"/>
        </w:rPr>
      </w:pPr>
      <w:r w:rsidRPr="000843F7">
        <w:rPr>
          <w:rStyle w:val="FootnoteReference"/>
          <w:sz w:val="20"/>
        </w:rPr>
        <w:footnoteRef/>
      </w:r>
      <w:r w:rsidRPr="00090FBD">
        <w:rPr>
          <w:sz w:val="20"/>
          <w:lang w:val="fr-CH"/>
        </w:rPr>
        <w:t xml:space="preserve"> </w:t>
      </w:r>
      <w:r w:rsidRPr="000843F7">
        <w:rPr>
          <w:sz w:val="20"/>
          <w:szCs w:val="18"/>
          <w:lang w:val="fr-FR"/>
        </w:rPr>
        <w:t xml:space="preserve">Emmanuel </w:t>
      </w:r>
      <w:proofErr w:type="spellStart"/>
      <w:r w:rsidRPr="000843F7">
        <w:rPr>
          <w:sz w:val="20"/>
          <w:szCs w:val="18"/>
          <w:lang w:val="fr-FR"/>
        </w:rPr>
        <w:t>Kattan</w:t>
      </w:r>
      <w:proofErr w:type="spellEnd"/>
      <w:r w:rsidRPr="000843F7">
        <w:rPr>
          <w:sz w:val="20"/>
          <w:szCs w:val="18"/>
          <w:lang w:val="fr-FR"/>
        </w:rPr>
        <w:t xml:space="preserve">, </w:t>
      </w:r>
      <w:r w:rsidRPr="000843F7">
        <w:rPr>
          <w:i/>
          <w:sz w:val="20"/>
          <w:szCs w:val="18"/>
          <w:lang w:val="fr-FR"/>
        </w:rPr>
        <w:t>Penser le devoir de mémoire</w:t>
      </w:r>
      <w:r w:rsidRPr="000843F7">
        <w:rPr>
          <w:sz w:val="20"/>
          <w:szCs w:val="18"/>
          <w:lang w:val="fr-FR"/>
        </w:rPr>
        <w:t>, (Paris, Presses Universitaires de France, 2002)</w:t>
      </w:r>
      <w:r w:rsidRPr="000843F7">
        <w:rPr>
          <w:sz w:val="20"/>
          <w:szCs w:val="18"/>
          <w:lang w:val="fr-CH"/>
        </w:rPr>
        <w:t>.</w:t>
      </w:r>
    </w:p>
  </w:footnote>
  <w:footnote w:id="6">
    <w:p w14:paraId="438736F0" w14:textId="77777777" w:rsidR="00F7747E" w:rsidRDefault="00F7747E" w:rsidP="003A176F">
      <w:pPr>
        <w:pStyle w:val="FootnoteText"/>
      </w:pPr>
      <w:r w:rsidRPr="003A176F">
        <w:rPr>
          <w:rStyle w:val="FootnoteReference"/>
          <w:sz w:val="20"/>
        </w:rPr>
        <w:footnoteRef/>
      </w:r>
      <w:r w:rsidRPr="003A176F">
        <w:rPr>
          <w:sz w:val="20"/>
        </w:rPr>
        <w:t xml:space="preserve"> </w:t>
      </w:r>
      <w:r w:rsidRPr="003A176F">
        <w:rPr>
          <w:sz w:val="20"/>
          <w:szCs w:val="18"/>
        </w:rPr>
        <w:t>See Louis Bickford, “</w:t>
      </w:r>
      <w:proofErr w:type="spellStart"/>
      <w:r w:rsidRPr="003A176F">
        <w:rPr>
          <w:sz w:val="20"/>
          <w:szCs w:val="18"/>
        </w:rPr>
        <w:t>Memoryworks</w:t>
      </w:r>
      <w:proofErr w:type="spellEnd"/>
      <w:r w:rsidRPr="003A176F">
        <w:rPr>
          <w:sz w:val="20"/>
          <w:szCs w:val="18"/>
        </w:rPr>
        <w:t xml:space="preserve">/memory works”, in </w:t>
      </w:r>
      <w:r w:rsidRPr="003A176F">
        <w:rPr>
          <w:rStyle w:val="apple-style-span"/>
          <w:i/>
          <w:iCs/>
          <w:sz w:val="20"/>
          <w:szCs w:val="18"/>
        </w:rPr>
        <w:t>Transitional Justice, Culture and Society:</w:t>
      </w:r>
      <w:r w:rsidRPr="003A176F">
        <w:rPr>
          <w:rStyle w:val="apple-style-span"/>
          <w:sz w:val="20"/>
          <w:szCs w:val="18"/>
        </w:rPr>
        <w:t xml:space="preserve"> </w:t>
      </w:r>
      <w:r w:rsidRPr="003A176F">
        <w:rPr>
          <w:rStyle w:val="apple-style-span"/>
          <w:i/>
          <w:iCs/>
          <w:sz w:val="20"/>
          <w:szCs w:val="18"/>
        </w:rPr>
        <w:t>Beyond Outreach</w:t>
      </w:r>
      <w:r w:rsidRPr="003A176F">
        <w:rPr>
          <w:rStyle w:val="apple-style-span"/>
          <w:sz w:val="20"/>
          <w:szCs w:val="18"/>
        </w:rPr>
        <w:t xml:space="preserve">, Clara </w:t>
      </w:r>
      <w:proofErr w:type="spellStart"/>
      <w:r w:rsidRPr="003A176F">
        <w:rPr>
          <w:rStyle w:val="apple-style-span"/>
          <w:sz w:val="20"/>
          <w:szCs w:val="18"/>
        </w:rPr>
        <w:t>Ramírez</w:t>
      </w:r>
      <w:proofErr w:type="spellEnd"/>
      <w:r w:rsidRPr="003A176F">
        <w:rPr>
          <w:rStyle w:val="apple-style-span"/>
          <w:sz w:val="20"/>
          <w:szCs w:val="18"/>
        </w:rPr>
        <w:t>-Barat, ed. (New York, Social Science Research Council, forthcoming, 2014).</w:t>
      </w:r>
    </w:p>
  </w:footnote>
  <w:footnote w:id="7">
    <w:p w14:paraId="4BE32820" w14:textId="711B9CAC" w:rsidR="00F7747E" w:rsidRDefault="00F7747E">
      <w:pPr>
        <w:pStyle w:val="FootnoteText"/>
      </w:pPr>
      <w:r w:rsidRPr="003A176F">
        <w:rPr>
          <w:rStyle w:val="FootnoteReference"/>
          <w:sz w:val="20"/>
        </w:rPr>
        <w:footnoteRef/>
      </w:r>
      <w:r w:rsidRPr="003A176F">
        <w:rPr>
          <w:sz w:val="20"/>
        </w:rPr>
        <w:t xml:space="preserve"> </w:t>
      </w:r>
      <w:r w:rsidRPr="003A176F">
        <w:rPr>
          <w:sz w:val="20"/>
          <w:szCs w:val="18"/>
        </w:rPr>
        <w:t xml:space="preserve">Pablo de </w:t>
      </w:r>
      <w:proofErr w:type="spellStart"/>
      <w:r w:rsidRPr="003A176F">
        <w:rPr>
          <w:sz w:val="20"/>
          <w:szCs w:val="18"/>
        </w:rPr>
        <w:t>Greiff</w:t>
      </w:r>
      <w:proofErr w:type="spellEnd"/>
      <w:r w:rsidRPr="003A176F">
        <w:rPr>
          <w:sz w:val="20"/>
          <w:szCs w:val="18"/>
        </w:rPr>
        <w:t xml:space="preserve">, “On making the invisible visible: the role of cultural interventions in transitional justice processes”, in </w:t>
      </w:r>
      <w:r w:rsidRPr="003A176F">
        <w:rPr>
          <w:rStyle w:val="apple-style-span"/>
          <w:i/>
          <w:iCs/>
          <w:sz w:val="20"/>
          <w:szCs w:val="18"/>
        </w:rPr>
        <w:t>Transitional Justice, Culture and Society:</w:t>
      </w:r>
      <w:r w:rsidRPr="003A176F">
        <w:rPr>
          <w:rStyle w:val="apple-style-span"/>
          <w:sz w:val="20"/>
          <w:szCs w:val="18"/>
        </w:rPr>
        <w:t xml:space="preserve"> </w:t>
      </w:r>
      <w:r w:rsidRPr="003A176F">
        <w:rPr>
          <w:rStyle w:val="apple-style-span"/>
          <w:i/>
          <w:iCs/>
          <w:sz w:val="20"/>
          <w:szCs w:val="18"/>
        </w:rPr>
        <w:t>Beyond Outreach,</w:t>
      </w:r>
      <w:r w:rsidRPr="003A176F">
        <w:rPr>
          <w:rStyle w:val="apple-style-span"/>
          <w:sz w:val="20"/>
          <w:szCs w:val="18"/>
        </w:rPr>
        <w:t xml:space="preserve"> Clara </w:t>
      </w:r>
      <w:proofErr w:type="spellStart"/>
      <w:r w:rsidRPr="003A176F">
        <w:rPr>
          <w:rStyle w:val="apple-style-span"/>
          <w:sz w:val="20"/>
          <w:szCs w:val="18"/>
        </w:rPr>
        <w:t>Ramírez</w:t>
      </w:r>
      <w:proofErr w:type="spellEnd"/>
      <w:r w:rsidRPr="003A176F">
        <w:rPr>
          <w:rStyle w:val="apple-style-span"/>
          <w:sz w:val="20"/>
          <w:szCs w:val="18"/>
        </w:rPr>
        <w:t xml:space="preserve">-Barat ed. </w:t>
      </w:r>
      <w:r w:rsidRPr="003A176F">
        <w:rPr>
          <w:rStyle w:val="apple-style-span"/>
          <w:iCs/>
          <w:sz w:val="20"/>
          <w:szCs w:val="18"/>
        </w:rPr>
        <w:t>(</w:t>
      </w:r>
      <w:r w:rsidRPr="003A176F">
        <w:rPr>
          <w:rStyle w:val="apple-style-span"/>
          <w:sz w:val="20"/>
          <w:szCs w:val="18"/>
        </w:rPr>
        <w:t>New York, Social Science Research Council, forthcoming, 2014).</w:t>
      </w:r>
    </w:p>
  </w:footnote>
  <w:footnote w:id="8">
    <w:p w14:paraId="24122AA1" w14:textId="7281C051" w:rsidR="00F7747E" w:rsidRPr="000F715F" w:rsidRDefault="00F7747E">
      <w:pPr>
        <w:pStyle w:val="FootnoteText"/>
        <w:rPr>
          <w:lang w:val="en-GB"/>
        </w:rPr>
      </w:pPr>
      <w:r w:rsidRPr="006A42F6">
        <w:rPr>
          <w:rStyle w:val="FootnoteReference"/>
          <w:sz w:val="20"/>
        </w:rPr>
        <w:footnoteRef/>
      </w:r>
      <w:r w:rsidRPr="000F715F">
        <w:rPr>
          <w:sz w:val="20"/>
          <w:lang w:val="en-GB"/>
        </w:rPr>
        <w:t xml:space="preserve"> Pablo de Greiff, op.cit.</w:t>
      </w:r>
    </w:p>
  </w:footnote>
  <w:footnote w:id="9">
    <w:p w14:paraId="5E9CFE6A" w14:textId="4B7139CA" w:rsidR="00090FBD" w:rsidRPr="003936ED" w:rsidRDefault="00090FBD" w:rsidP="00090FBD">
      <w:pPr>
        <w:pStyle w:val="SingleTxtG"/>
        <w:ind w:left="0"/>
        <w:rPr>
          <w:lang w:eastAsia="en-GB"/>
        </w:rPr>
      </w:pPr>
      <w:r>
        <w:rPr>
          <w:rStyle w:val="FootnoteReference"/>
        </w:rPr>
        <w:footnoteRef/>
      </w:r>
      <w:r>
        <w:t xml:space="preserve"> </w:t>
      </w:r>
      <w:r>
        <w:rPr>
          <w:lang w:eastAsia="en-GB"/>
        </w:rPr>
        <w:t>Excerpts from a d</w:t>
      </w:r>
      <w:r w:rsidRPr="003936ED">
        <w:rPr>
          <w:lang w:eastAsia="en-GB"/>
        </w:rPr>
        <w:t xml:space="preserve">ocumentary titled "Acting together on the world stage: performance and the creative transformation of conflict", by Cynthia Cohen and Allison Lund. The Documentary was the result of collaboration between the program in Peacebuilding and the Arts at </w:t>
      </w:r>
      <w:r w:rsidRPr="002C49A9">
        <w:rPr>
          <w:lang w:eastAsia="en-GB"/>
        </w:rPr>
        <w:t>Brandeis University, United States of America, and Theatre Without Borders, and was scre</w:t>
      </w:r>
      <w:r w:rsidRPr="003936ED">
        <w:rPr>
          <w:lang w:eastAsia="en-GB"/>
        </w:rPr>
        <w:t xml:space="preserve">ened with the courtesy of the authors. </w:t>
      </w:r>
    </w:p>
    <w:p w14:paraId="691A0927" w14:textId="2CDE1373" w:rsidR="00090FBD" w:rsidRPr="00090FBD" w:rsidRDefault="00090FBD">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318"/>
    <w:multiLevelType w:val="hybridMultilevel"/>
    <w:tmpl w:val="E8B28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79"/>
    <w:rsid w:val="00005BEA"/>
    <w:rsid w:val="000227AA"/>
    <w:rsid w:val="00064908"/>
    <w:rsid w:val="000759F7"/>
    <w:rsid w:val="000843F7"/>
    <w:rsid w:val="00090FBD"/>
    <w:rsid w:val="000B19BE"/>
    <w:rsid w:val="000D00E6"/>
    <w:rsid w:val="000D7C77"/>
    <w:rsid w:val="000E3062"/>
    <w:rsid w:val="000E4F26"/>
    <w:rsid w:val="000F715F"/>
    <w:rsid w:val="001266E4"/>
    <w:rsid w:val="001736CF"/>
    <w:rsid w:val="001A15F7"/>
    <w:rsid w:val="001B1FFE"/>
    <w:rsid w:val="00247582"/>
    <w:rsid w:val="002A349C"/>
    <w:rsid w:val="00333E28"/>
    <w:rsid w:val="003A176F"/>
    <w:rsid w:val="003B3845"/>
    <w:rsid w:val="003B588A"/>
    <w:rsid w:val="003F06D7"/>
    <w:rsid w:val="003F7435"/>
    <w:rsid w:val="0041626D"/>
    <w:rsid w:val="00417764"/>
    <w:rsid w:val="00425F67"/>
    <w:rsid w:val="004454F6"/>
    <w:rsid w:val="00471EAE"/>
    <w:rsid w:val="00474120"/>
    <w:rsid w:val="004945A8"/>
    <w:rsid w:val="005734C3"/>
    <w:rsid w:val="005B74CA"/>
    <w:rsid w:val="005E4EE7"/>
    <w:rsid w:val="006362DF"/>
    <w:rsid w:val="00682205"/>
    <w:rsid w:val="00684B29"/>
    <w:rsid w:val="006A42F6"/>
    <w:rsid w:val="006C4576"/>
    <w:rsid w:val="006E790D"/>
    <w:rsid w:val="00704B09"/>
    <w:rsid w:val="00714775"/>
    <w:rsid w:val="00750C9B"/>
    <w:rsid w:val="00755625"/>
    <w:rsid w:val="007751DE"/>
    <w:rsid w:val="00797C1D"/>
    <w:rsid w:val="007E0C3D"/>
    <w:rsid w:val="00817842"/>
    <w:rsid w:val="00822E87"/>
    <w:rsid w:val="00834FC9"/>
    <w:rsid w:val="00876A11"/>
    <w:rsid w:val="00880889"/>
    <w:rsid w:val="00890E69"/>
    <w:rsid w:val="008A0F9C"/>
    <w:rsid w:val="008B3743"/>
    <w:rsid w:val="008E63C7"/>
    <w:rsid w:val="00946FCA"/>
    <w:rsid w:val="00950D0D"/>
    <w:rsid w:val="00985BFC"/>
    <w:rsid w:val="00993D78"/>
    <w:rsid w:val="009A384F"/>
    <w:rsid w:val="00A85476"/>
    <w:rsid w:val="00AA4648"/>
    <w:rsid w:val="00AC40F8"/>
    <w:rsid w:val="00B12F33"/>
    <w:rsid w:val="00B56B1C"/>
    <w:rsid w:val="00B64267"/>
    <w:rsid w:val="00B84396"/>
    <w:rsid w:val="00BB7928"/>
    <w:rsid w:val="00BD09D1"/>
    <w:rsid w:val="00BE3426"/>
    <w:rsid w:val="00BF54EE"/>
    <w:rsid w:val="00C37C67"/>
    <w:rsid w:val="00C70324"/>
    <w:rsid w:val="00C96EF2"/>
    <w:rsid w:val="00CA354F"/>
    <w:rsid w:val="00CB6679"/>
    <w:rsid w:val="00CD5E07"/>
    <w:rsid w:val="00CF2C32"/>
    <w:rsid w:val="00D02774"/>
    <w:rsid w:val="00D27A87"/>
    <w:rsid w:val="00D4129F"/>
    <w:rsid w:val="00D418B4"/>
    <w:rsid w:val="00D532E2"/>
    <w:rsid w:val="00D646EE"/>
    <w:rsid w:val="00D819B8"/>
    <w:rsid w:val="00DA1462"/>
    <w:rsid w:val="00DB5709"/>
    <w:rsid w:val="00DC2D36"/>
    <w:rsid w:val="00E3750B"/>
    <w:rsid w:val="00E45195"/>
    <w:rsid w:val="00E464C8"/>
    <w:rsid w:val="00E53FAE"/>
    <w:rsid w:val="00E54CA7"/>
    <w:rsid w:val="00E803A3"/>
    <w:rsid w:val="00E83C5D"/>
    <w:rsid w:val="00ED0BE9"/>
    <w:rsid w:val="00ED303D"/>
    <w:rsid w:val="00F03E88"/>
    <w:rsid w:val="00F26293"/>
    <w:rsid w:val="00F4542D"/>
    <w:rsid w:val="00F46CD6"/>
    <w:rsid w:val="00F55CEB"/>
    <w:rsid w:val="00F718A5"/>
    <w:rsid w:val="00F74A75"/>
    <w:rsid w:val="00F75AAA"/>
    <w:rsid w:val="00F7747E"/>
    <w:rsid w:val="00FC6513"/>
    <w:rsid w:val="00FE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86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854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54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CEB"/>
    <w:pPr>
      <w:tabs>
        <w:tab w:val="center" w:pos="4680"/>
        <w:tab w:val="right" w:pos="9360"/>
      </w:tabs>
    </w:pPr>
  </w:style>
  <w:style w:type="character" w:customStyle="1" w:styleId="HeaderChar">
    <w:name w:val="Header Char"/>
    <w:basedOn w:val="DefaultParagraphFont"/>
    <w:link w:val="Header"/>
    <w:uiPriority w:val="99"/>
    <w:rsid w:val="00F55CEB"/>
  </w:style>
  <w:style w:type="paragraph" w:styleId="Footer">
    <w:name w:val="footer"/>
    <w:basedOn w:val="Normal"/>
    <w:link w:val="FooterChar"/>
    <w:uiPriority w:val="99"/>
    <w:unhideWhenUsed/>
    <w:rsid w:val="00F55CEB"/>
    <w:pPr>
      <w:tabs>
        <w:tab w:val="center" w:pos="4680"/>
        <w:tab w:val="right" w:pos="9360"/>
      </w:tabs>
    </w:pPr>
  </w:style>
  <w:style w:type="character" w:customStyle="1" w:styleId="FooterChar">
    <w:name w:val="Footer Char"/>
    <w:basedOn w:val="DefaultParagraphFont"/>
    <w:link w:val="Footer"/>
    <w:uiPriority w:val="99"/>
    <w:rsid w:val="00F55CEB"/>
  </w:style>
  <w:style w:type="character" w:customStyle="1" w:styleId="Heading2Char">
    <w:name w:val="Heading 2 Char"/>
    <w:basedOn w:val="DefaultParagraphFont"/>
    <w:link w:val="Heading2"/>
    <w:uiPriority w:val="9"/>
    <w:rsid w:val="00A854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5476"/>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750C9B"/>
  </w:style>
  <w:style w:type="character" w:customStyle="1" w:styleId="FootnoteTextChar">
    <w:name w:val="Footnote Text Char"/>
    <w:basedOn w:val="DefaultParagraphFont"/>
    <w:link w:val="FootnoteText"/>
    <w:uiPriority w:val="99"/>
    <w:rsid w:val="00750C9B"/>
  </w:style>
  <w:style w:type="character" w:styleId="FootnoteReference">
    <w:name w:val="footnote reference"/>
    <w:basedOn w:val="DefaultParagraphFont"/>
    <w:uiPriority w:val="99"/>
    <w:unhideWhenUsed/>
    <w:rsid w:val="00750C9B"/>
    <w:rPr>
      <w:vertAlign w:val="superscript"/>
    </w:rPr>
  </w:style>
  <w:style w:type="character" w:styleId="Hyperlink">
    <w:name w:val="Hyperlink"/>
    <w:basedOn w:val="DefaultParagraphFont"/>
    <w:uiPriority w:val="99"/>
    <w:unhideWhenUsed/>
    <w:rsid w:val="00750C9B"/>
    <w:rPr>
      <w:color w:val="0000FF" w:themeColor="hyperlink"/>
      <w:u w:val="single"/>
    </w:rPr>
  </w:style>
  <w:style w:type="character" w:customStyle="1" w:styleId="apple-style-span">
    <w:name w:val="apple-style-span"/>
    <w:rsid w:val="003A176F"/>
  </w:style>
  <w:style w:type="paragraph" w:styleId="ListParagraph">
    <w:name w:val="List Paragraph"/>
    <w:basedOn w:val="Normal"/>
    <w:uiPriority w:val="34"/>
    <w:qFormat/>
    <w:rsid w:val="00DC2D36"/>
    <w:pPr>
      <w:ind w:left="720"/>
      <w:contextualSpacing/>
    </w:pPr>
  </w:style>
  <w:style w:type="paragraph" w:customStyle="1" w:styleId="SingleTxtG">
    <w:name w:val="_ Single Txt_G"/>
    <w:basedOn w:val="Normal"/>
    <w:rsid w:val="00090FBD"/>
    <w:pPr>
      <w:suppressAutoHyphens/>
      <w:spacing w:after="120" w:line="240" w:lineRule="atLeast"/>
      <w:ind w:left="1134" w:right="1134"/>
      <w:jc w:val="both"/>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854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54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CEB"/>
    <w:pPr>
      <w:tabs>
        <w:tab w:val="center" w:pos="4680"/>
        <w:tab w:val="right" w:pos="9360"/>
      </w:tabs>
    </w:pPr>
  </w:style>
  <w:style w:type="character" w:customStyle="1" w:styleId="HeaderChar">
    <w:name w:val="Header Char"/>
    <w:basedOn w:val="DefaultParagraphFont"/>
    <w:link w:val="Header"/>
    <w:uiPriority w:val="99"/>
    <w:rsid w:val="00F55CEB"/>
  </w:style>
  <w:style w:type="paragraph" w:styleId="Footer">
    <w:name w:val="footer"/>
    <w:basedOn w:val="Normal"/>
    <w:link w:val="FooterChar"/>
    <w:uiPriority w:val="99"/>
    <w:unhideWhenUsed/>
    <w:rsid w:val="00F55CEB"/>
    <w:pPr>
      <w:tabs>
        <w:tab w:val="center" w:pos="4680"/>
        <w:tab w:val="right" w:pos="9360"/>
      </w:tabs>
    </w:pPr>
  </w:style>
  <w:style w:type="character" w:customStyle="1" w:styleId="FooterChar">
    <w:name w:val="Footer Char"/>
    <w:basedOn w:val="DefaultParagraphFont"/>
    <w:link w:val="Footer"/>
    <w:uiPriority w:val="99"/>
    <w:rsid w:val="00F55CEB"/>
  </w:style>
  <w:style w:type="character" w:customStyle="1" w:styleId="Heading2Char">
    <w:name w:val="Heading 2 Char"/>
    <w:basedOn w:val="DefaultParagraphFont"/>
    <w:link w:val="Heading2"/>
    <w:uiPriority w:val="9"/>
    <w:rsid w:val="00A854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85476"/>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750C9B"/>
  </w:style>
  <w:style w:type="character" w:customStyle="1" w:styleId="FootnoteTextChar">
    <w:name w:val="Footnote Text Char"/>
    <w:basedOn w:val="DefaultParagraphFont"/>
    <w:link w:val="FootnoteText"/>
    <w:uiPriority w:val="99"/>
    <w:rsid w:val="00750C9B"/>
  </w:style>
  <w:style w:type="character" w:styleId="FootnoteReference">
    <w:name w:val="footnote reference"/>
    <w:basedOn w:val="DefaultParagraphFont"/>
    <w:uiPriority w:val="99"/>
    <w:unhideWhenUsed/>
    <w:rsid w:val="00750C9B"/>
    <w:rPr>
      <w:vertAlign w:val="superscript"/>
    </w:rPr>
  </w:style>
  <w:style w:type="character" w:styleId="Hyperlink">
    <w:name w:val="Hyperlink"/>
    <w:basedOn w:val="DefaultParagraphFont"/>
    <w:uiPriority w:val="99"/>
    <w:unhideWhenUsed/>
    <w:rsid w:val="00750C9B"/>
    <w:rPr>
      <w:color w:val="0000FF" w:themeColor="hyperlink"/>
      <w:u w:val="single"/>
    </w:rPr>
  </w:style>
  <w:style w:type="character" w:customStyle="1" w:styleId="apple-style-span">
    <w:name w:val="apple-style-span"/>
    <w:rsid w:val="003A176F"/>
  </w:style>
  <w:style w:type="paragraph" w:styleId="ListParagraph">
    <w:name w:val="List Paragraph"/>
    <w:basedOn w:val="Normal"/>
    <w:uiPriority w:val="34"/>
    <w:qFormat/>
    <w:rsid w:val="00DC2D36"/>
    <w:pPr>
      <w:ind w:left="720"/>
      <w:contextualSpacing/>
    </w:pPr>
  </w:style>
  <w:style w:type="paragraph" w:customStyle="1" w:styleId="SingleTxtG">
    <w:name w:val="_ Single Txt_G"/>
    <w:basedOn w:val="Normal"/>
    <w:rsid w:val="00090FBD"/>
    <w:pPr>
      <w:suppressAutoHyphens/>
      <w:spacing w:after="120" w:line="240" w:lineRule="atLeast"/>
      <w:ind w:left="1134" w:right="1134"/>
      <w:jc w:val="both"/>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070">
      <w:bodyDiv w:val="1"/>
      <w:marLeft w:val="0"/>
      <w:marRight w:val="0"/>
      <w:marTop w:val="0"/>
      <w:marBottom w:val="0"/>
      <w:divBdr>
        <w:top w:val="none" w:sz="0" w:space="0" w:color="auto"/>
        <w:left w:val="none" w:sz="0" w:space="0" w:color="auto"/>
        <w:bottom w:val="none" w:sz="0" w:space="0" w:color="auto"/>
        <w:right w:val="none" w:sz="0" w:space="0" w:color="auto"/>
      </w:divBdr>
    </w:div>
    <w:div w:id="1233614901">
      <w:bodyDiv w:val="1"/>
      <w:marLeft w:val="0"/>
      <w:marRight w:val="0"/>
      <w:marTop w:val="0"/>
      <w:marBottom w:val="0"/>
      <w:divBdr>
        <w:top w:val="none" w:sz="0" w:space="0" w:color="auto"/>
        <w:left w:val="none" w:sz="0" w:space="0" w:color="auto"/>
        <w:bottom w:val="none" w:sz="0" w:space="0" w:color="auto"/>
        <w:right w:val="none" w:sz="0" w:space="0" w:color="auto"/>
      </w:divBdr>
    </w:div>
    <w:div w:id="1954901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Issues/CulturalRights/Pages/AnnualReports.aspx" TargetMode="External"/><Relationship Id="rId1" Type="http://schemas.openxmlformats.org/officeDocument/2006/relationships/hyperlink" Target="http://daccess-dds-ny.un.org/doc/UNDOC/GEN/N13/422/91/PDF/N1342291.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073B8-44DA-4697-B3EB-1D01B1CD26BF}"/>
</file>

<file path=customXml/itemProps2.xml><?xml version="1.0" encoding="utf-8"?>
<ds:datastoreItem xmlns:ds="http://schemas.openxmlformats.org/officeDocument/2006/customXml" ds:itemID="{7466AB8B-04C7-4A77-8727-5B0313AE1706}"/>
</file>

<file path=customXml/itemProps3.xml><?xml version="1.0" encoding="utf-8"?>
<ds:datastoreItem xmlns:ds="http://schemas.openxmlformats.org/officeDocument/2006/customXml" ds:itemID="{32C1DD99-AE6B-4838-BF23-AE82C5BFF9A3}"/>
</file>

<file path=customXml/itemProps4.xml><?xml version="1.0" encoding="utf-8"?>
<ds:datastoreItem xmlns:ds="http://schemas.openxmlformats.org/officeDocument/2006/customXml" ds:itemID="{8F2383AB-688D-4B14-B096-3C76D082F0C3}"/>
</file>

<file path=docProps/app.xml><?xml version="1.0" encoding="utf-8"?>
<Properties xmlns="http://schemas.openxmlformats.org/officeDocument/2006/extended-properties" xmlns:vt="http://schemas.openxmlformats.org/officeDocument/2006/docPropsVTypes">
  <Template>Normal.dotm</Template>
  <TotalTime>24</TotalTime>
  <Pages>12</Pages>
  <Words>5396</Words>
  <Characters>30759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Shirkat Gah</Company>
  <LinksUpToDate>false</LinksUpToDate>
  <CharactersWithSpaces>36083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Shaheed</dc:creator>
  <cp:keywords/>
  <dc:description/>
  <cp:lastModifiedBy>Mylene BIDAULT</cp:lastModifiedBy>
  <cp:revision>5</cp:revision>
  <dcterms:created xsi:type="dcterms:W3CDTF">2014-12-05T01:22:00Z</dcterms:created>
  <dcterms:modified xsi:type="dcterms:W3CDTF">2014-12-15T14:28:00Z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2616800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