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0B36E" w14:textId="5A840D5B" w:rsidR="0013578E" w:rsidRDefault="008E7686" w:rsidP="0013578E">
      <w:pPr>
        <w:rPr>
          <w:lang w:val="en-GB"/>
        </w:rPr>
      </w:pPr>
      <w:bookmarkStart w:id="0" w:name="_GoBack"/>
      <w:bookmarkEnd w:id="0"/>
      <w:r>
        <w:rPr>
          <w:lang w:val="en-GB"/>
        </w:rPr>
        <w:t>31</w:t>
      </w:r>
      <w:r w:rsidR="0013578E" w:rsidRPr="0013578E">
        <w:rPr>
          <w:lang w:val="en-GB"/>
        </w:rPr>
        <w:t xml:space="preserve"> May 2018 </w:t>
      </w:r>
    </w:p>
    <w:p w14:paraId="08E035FE" w14:textId="77777777" w:rsidR="0013578E" w:rsidRDefault="0013578E" w:rsidP="0013578E">
      <w:pPr>
        <w:rPr>
          <w:lang w:val="en-GB"/>
        </w:rPr>
      </w:pPr>
    </w:p>
    <w:p w14:paraId="1C83F923" w14:textId="77777777" w:rsidR="0013578E" w:rsidRDefault="0013578E" w:rsidP="00D37625">
      <w:pPr>
        <w:jc w:val="both"/>
        <w:rPr>
          <w:lang w:val="en-GB"/>
        </w:rPr>
      </w:pPr>
      <w:r w:rsidRPr="0013578E">
        <w:rPr>
          <w:lang w:val="en-GB"/>
        </w:rPr>
        <w:t xml:space="preserve">Office of the </w:t>
      </w:r>
      <w:r w:rsidR="000C3AF6">
        <w:rPr>
          <w:lang w:val="en-GB"/>
        </w:rPr>
        <w:t xml:space="preserve">United Nations </w:t>
      </w:r>
      <w:r w:rsidRPr="0013578E">
        <w:rPr>
          <w:lang w:val="en-GB"/>
        </w:rPr>
        <w:t xml:space="preserve">High Commissioner for Human Rights </w:t>
      </w:r>
    </w:p>
    <w:p w14:paraId="52D7CB83" w14:textId="77777777" w:rsidR="00D37625" w:rsidRDefault="0013578E" w:rsidP="00D37625">
      <w:pPr>
        <w:jc w:val="both"/>
        <w:rPr>
          <w:lang w:val="en-GB"/>
        </w:rPr>
      </w:pPr>
      <w:r w:rsidRPr="0013578E">
        <w:rPr>
          <w:lang w:val="en-GB"/>
        </w:rPr>
        <w:t xml:space="preserve">Palais Des Nations </w:t>
      </w:r>
    </w:p>
    <w:p w14:paraId="7B547374" w14:textId="77777777" w:rsidR="00D37625" w:rsidRDefault="00D37625" w:rsidP="00D37625">
      <w:pPr>
        <w:jc w:val="both"/>
        <w:rPr>
          <w:lang w:val="en-GB"/>
        </w:rPr>
      </w:pPr>
      <w:r>
        <w:rPr>
          <w:lang w:val="en-GB"/>
        </w:rPr>
        <w:t>1211 Geneva 10</w:t>
      </w:r>
    </w:p>
    <w:p w14:paraId="0DF97F79" w14:textId="6E4B76E0" w:rsidR="0013578E" w:rsidRDefault="00D37625" w:rsidP="00D37625">
      <w:pPr>
        <w:jc w:val="both"/>
        <w:rPr>
          <w:lang w:val="en-GB"/>
        </w:rPr>
      </w:pPr>
      <w:r>
        <w:rPr>
          <w:lang w:val="en-GB"/>
        </w:rPr>
        <w:t>Switzerland</w:t>
      </w:r>
      <w:r w:rsidR="0013578E" w:rsidRPr="0013578E">
        <w:rPr>
          <w:lang w:val="en-GB"/>
        </w:rPr>
        <w:t xml:space="preserve"> </w:t>
      </w:r>
    </w:p>
    <w:p w14:paraId="379BEA92" w14:textId="77777777" w:rsidR="0013578E" w:rsidRDefault="0013578E" w:rsidP="00D37625">
      <w:pPr>
        <w:jc w:val="both"/>
        <w:rPr>
          <w:lang w:val="en-GB"/>
        </w:rPr>
      </w:pPr>
    </w:p>
    <w:p w14:paraId="7382C3EB" w14:textId="77777777" w:rsidR="0013578E" w:rsidRDefault="0013578E" w:rsidP="00D37625">
      <w:pPr>
        <w:jc w:val="both"/>
        <w:rPr>
          <w:lang w:val="en-GB"/>
        </w:rPr>
      </w:pPr>
      <w:r w:rsidRPr="0013578E">
        <w:rPr>
          <w:lang w:val="en-GB"/>
        </w:rPr>
        <w:t xml:space="preserve">By email: </w:t>
      </w:r>
      <w:hyperlink r:id="rId7" w:history="1">
        <w:r w:rsidRPr="003E7F62">
          <w:rPr>
            <w:rStyle w:val="Hyperlink"/>
            <w:lang w:val="en-GB"/>
          </w:rPr>
          <w:t>democracyforum@ohchr.org</w:t>
        </w:r>
      </w:hyperlink>
      <w:r w:rsidRPr="0013578E">
        <w:rPr>
          <w:lang w:val="en-GB"/>
        </w:rPr>
        <w:t xml:space="preserve"> </w:t>
      </w:r>
    </w:p>
    <w:p w14:paraId="7AA30940" w14:textId="600BA1DE" w:rsidR="0013578E" w:rsidRDefault="0013578E" w:rsidP="00D37625">
      <w:pPr>
        <w:jc w:val="both"/>
        <w:rPr>
          <w:lang w:val="en-GB"/>
        </w:rPr>
      </w:pPr>
    </w:p>
    <w:p w14:paraId="394DBD6E" w14:textId="77777777" w:rsidR="00F51C8E" w:rsidRDefault="00F51C8E" w:rsidP="00D37625">
      <w:pPr>
        <w:jc w:val="both"/>
        <w:rPr>
          <w:lang w:val="en-GB"/>
        </w:rPr>
      </w:pPr>
    </w:p>
    <w:p w14:paraId="5BA6D841" w14:textId="77777777" w:rsidR="000C3AF6" w:rsidRPr="000C3AF6" w:rsidRDefault="000C3AF6" w:rsidP="00D37625">
      <w:pPr>
        <w:jc w:val="both"/>
        <w:rPr>
          <w:lang w:val="en-GB"/>
        </w:rPr>
      </w:pPr>
      <w:r w:rsidRPr="008E7686">
        <w:rPr>
          <w:b/>
          <w:lang w:val="en-GB"/>
        </w:rPr>
        <w:t xml:space="preserve">Re: </w:t>
      </w:r>
      <w:r w:rsidR="008E7686">
        <w:rPr>
          <w:b/>
          <w:bCs/>
          <w:lang w:val="en-GB"/>
        </w:rPr>
        <w:t>C</w:t>
      </w:r>
      <w:r w:rsidRPr="000C3AF6">
        <w:rPr>
          <w:b/>
          <w:bCs/>
          <w:lang w:val="en-GB"/>
        </w:rPr>
        <w:t>all for inputs on the topics to be discussed during the second Forum on Human Rights, Democracy and the Rule of Law</w:t>
      </w:r>
    </w:p>
    <w:p w14:paraId="2AC32722" w14:textId="77777777" w:rsidR="000C3AF6" w:rsidRDefault="000C3AF6" w:rsidP="00D37625">
      <w:pPr>
        <w:jc w:val="both"/>
        <w:rPr>
          <w:lang w:val="en-GB"/>
        </w:rPr>
      </w:pPr>
    </w:p>
    <w:p w14:paraId="04F650CB" w14:textId="600EFCC1" w:rsidR="00D958BD" w:rsidRDefault="00967DE1" w:rsidP="00D37625">
      <w:pPr>
        <w:jc w:val="both"/>
        <w:rPr>
          <w:lang w:val="en-GB"/>
        </w:rPr>
      </w:pPr>
      <w:r>
        <w:rPr>
          <w:lang w:val="en-GB"/>
        </w:rPr>
        <w:t xml:space="preserve">We </w:t>
      </w:r>
      <w:r w:rsidR="00E24A68">
        <w:rPr>
          <w:lang w:val="en-GB"/>
        </w:rPr>
        <w:t>appreciate the opportunity</w:t>
      </w:r>
      <w:r>
        <w:rPr>
          <w:lang w:val="en-GB"/>
        </w:rPr>
        <w:t xml:space="preserve"> to respond to your call for input on the topics to be discussed during the second Forum on Human Rights, Democracy and the Rule of Law</w:t>
      </w:r>
      <w:r w:rsidR="00D958BD">
        <w:rPr>
          <w:lang w:val="en-GB"/>
        </w:rPr>
        <w:t xml:space="preserve">, and welcome </w:t>
      </w:r>
      <w:r>
        <w:rPr>
          <w:lang w:val="en-GB"/>
        </w:rPr>
        <w:t xml:space="preserve">your </w:t>
      </w:r>
      <w:r w:rsidR="00D958BD">
        <w:rPr>
          <w:lang w:val="en-GB"/>
        </w:rPr>
        <w:t>thematic focus</w:t>
      </w:r>
      <w:r>
        <w:rPr>
          <w:lang w:val="en-GB"/>
        </w:rPr>
        <w:t xml:space="preserve"> on “parliaments as promoters of human rights, democracy and the rule of law</w:t>
      </w:r>
      <w:r w:rsidR="00D958BD">
        <w:rPr>
          <w:lang w:val="en-GB"/>
        </w:rPr>
        <w:t>”.</w:t>
      </w:r>
    </w:p>
    <w:p w14:paraId="50C578BF" w14:textId="77777777" w:rsidR="00D958BD" w:rsidRDefault="00D958BD" w:rsidP="00D37625">
      <w:pPr>
        <w:jc w:val="both"/>
        <w:rPr>
          <w:lang w:val="en-GB"/>
        </w:rPr>
      </w:pPr>
    </w:p>
    <w:p w14:paraId="333B9685" w14:textId="7171CF02" w:rsidR="00E24A68" w:rsidRDefault="00E24A68" w:rsidP="00D37625">
      <w:pPr>
        <w:jc w:val="both"/>
        <w:rPr>
          <w:lang w:val="en-GB"/>
        </w:rPr>
      </w:pPr>
      <w:r>
        <w:rPr>
          <w:lang w:val="en-GB"/>
        </w:rPr>
        <w:t xml:space="preserve">The </w:t>
      </w:r>
      <w:r w:rsidRPr="00D016A7">
        <w:rPr>
          <w:i/>
          <w:lang w:val="en-GB"/>
        </w:rPr>
        <w:t>Parliaments, Rule of Law and Human Rights</w:t>
      </w:r>
      <w:r>
        <w:rPr>
          <w:lang w:val="en-GB"/>
        </w:rPr>
        <w:t xml:space="preserve"> research project at the </w:t>
      </w:r>
      <w:r w:rsidR="00CD663F">
        <w:rPr>
          <w:lang w:val="en-GB"/>
        </w:rPr>
        <w:t>Bingham Centre for the Rule of Law (formerly at the U</w:t>
      </w:r>
      <w:r>
        <w:rPr>
          <w:lang w:val="en-GB"/>
        </w:rPr>
        <w:t>niversity of Oxford</w:t>
      </w:r>
      <w:r w:rsidR="00CD663F">
        <w:rPr>
          <w:lang w:val="en-GB"/>
        </w:rPr>
        <w:t>)</w:t>
      </w:r>
      <w:r>
        <w:rPr>
          <w:lang w:val="en-GB"/>
        </w:rPr>
        <w:t xml:space="preserve"> has been generously </w:t>
      </w:r>
      <w:r w:rsidRPr="00197597">
        <w:rPr>
          <w:lang w:val="en-GB"/>
        </w:rPr>
        <w:t>supported by the Arts and Humanities Research Council (AHRC) since 2011,</w:t>
      </w:r>
      <w:r>
        <w:rPr>
          <w:lang w:val="en-GB"/>
        </w:rPr>
        <w:t xml:space="preserve"> and our purpose</w:t>
      </w:r>
      <w:r w:rsidRPr="00197597">
        <w:rPr>
          <w:lang w:val="en-GB"/>
        </w:rPr>
        <w:t xml:space="preserve"> is to carry out and stimulate applied research which is focused on strengthening protection for the rule of law and human rights by </w:t>
      </w:r>
      <w:r>
        <w:rPr>
          <w:lang w:val="en-GB"/>
        </w:rPr>
        <w:t>fi</w:t>
      </w:r>
      <w:r w:rsidRPr="00197597">
        <w:rPr>
          <w:lang w:val="en-GB"/>
        </w:rPr>
        <w:t xml:space="preserve">nding practical ways of bringing them into the heart of the political process. Further details of the research project </w:t>
      </w:r>
      <w:r>
        <w:rPr>
          <w:lang w:val="en-GB"/>
        </w:rPr>
        <w:t xml:space="preserve">and its publications </w:t>
      </w:r>
      <w:r w:rsidRPr="00197597">
        <w:rPr>
          <w:lang w:val="en-GB"/>
        </w:rPr>
        <w:t xml:space="preserve">can be found </w:t>
      </w:r>
      <w:r>
        <w:rPr>
          <w:lang w:val="en-GB"/>
        </w:rPr>
        <w:t>on our website.</w:t>
      </w:r>
      <w:r>
        <w:rPr>
          <w:rStyle w:val="FootnoteReference"/>
          <w:lang w:val="en-GB"/>
        </w:rPr>
        <w:footnoteReference w:id="1"/>
      </w:r>
    </w:p>
    <w:p w14:paraId="6FD6CE62" w14:textId="77777777" w:rsidR="00C90E96" w:rsidRDefault="00C90E96" w:rsidP="004A51A3">
      <w:pPr>
        <w:jc w:val="both"/>
        <w:rPr>
          <w:lang w:val="en-GB"/>
        </w:rPr>
      </w:pPr>
    </w:p>
    <w:p w14:paraId="31B35F2A" w14:textId="536C5ADA" w:rsidR="008B3751" w:rsidRDefault="00437984" w:rsidP="004A51A3">
      <w:pPr>
        <w:jc w:val="both"/>
        <w:rPr>
          <w:lang w:val="en-GB"/>
        </w:rPr>
      </w:pPr>
      <w:r>
        <w:rPr>
          <w:lang w:val="en-GB"/>
        </w:rPr>
        <w:t xml:space="preserve">We most recently published a 2017 </w:t>
      </w:r>
      <w:r w:rsidR="00CD663F">
        <w:rPr>
          <w:lang w:val="en-GB"/>
        </w:rPr>
        <w:t>report</w:t>
      </w:r>
      <w:r>
        <w:rPr>
          <w:lang w:val="en-GB"/>
        </w:rPr>
        <w:t xml:space="preserve">, </w:t>
      </w:r>
      <w:r w:rsidRPr="00437984">
        <w:rPr>
          <w:i/>
          <w:lang w:val="en-GB"/>
        </w:rPr>
        <w:t>Global developments in the role of parliaments in the protection and promotion of human rights and the rule of law: An emerging consensus</w:t>
      </w:r>
      <w:r>
        <w:rPr>
          <w:lang w:val="en-GB"/>
        </w:rPr>
        <w:t>,</w:t>
      </w:r>
      <w:r w:rsidR="00E24A68">
        <w:rPr>
          <w:rStyle w:val="FootnoteReference"/>
          <w:lang w:val="en-GB"/>
        </w:rPr>
        <w:footnoteReference w:id="2"/>
      </w:r>
      <w:r w:rsidRPr="00437984">
        <w:rPr>
          <w:lang w:val="en-GB"/>
        </w:rPr>
        <w:t xml:space="preserve"> </w:t>
      </w:r>
      <w:r w:rsidR="00185A37">
        <w:rPr>
          <w:lang w:val="en-GB"/>
        </w:rPr>
        <w:t xml:space="preserve">surveying the most significant developments at the international and regional level on this important </w:t>
      </w:r>
      <w:r w:rsidR="00725412">
        <w:rPr>
          <w:lang w:val="en-GB"/>
        </w:rPr>
        <w:t xml:space="preserve">theme, which complements important studies being done at the national level by other actors, such as the Inter-Parliamentary Union (IPU) and the Office of the UN High Commissioner for Human Rights (OHCHR), at the request of the Human Rights Council in its resolutions on the </w:t>
      </w:r>
      <w:r w:rsidR="00725412">
        <w:rPr>
          <w:i/>
          <w:lang w:val="en-GB"/>
        </w:rPr>
        <w:t>Contribution of p</w:t>
      </w:r>
      <w:r w:rsidR="00725412" w:rsidRPr="00725412">
        <w:rPr>
          <w:i/>
          <w:lang w:val="en-GB"/>
        </w:rPr>
        <w:t xml:space="preserve">arliaments to the </w:t>
      </w:r>
      <w:r w:rsidR="00725412">
        <w:rPr>
          <w:i/>
          <w:lang w:val="en-GB"/>
        </w:rPr>
        <w:t>w</w:t>
      </w:r>
      <w:r w:rsidR="00725412" w:rsidRPr="00725412">
        <w:rPr>
          <w:i/>
          <w:lang w:val="en-GB"/>
        </w:rPr>
        <w:t>ork of the</w:t>
      </w:r>
      <w:r w:rsidR="00725412">
        <w:rPr>
          <w:i/>
          <w:lang w:val="en-GB"/>
        </w:rPr>
        <w:t xml:space="preserve"> Human Rights</w:t>
      </w:r>
      <w:r w:rsidR="00725412" w:rsidRPr="00725412">
        <w:rPr>
          <w:i/>
          <w:lang w:val="en-GB"/>
        </w:rPr>
        <w:t xml:space="preserve"> Council and its Universal Periodic Review.</w:t>
      </w:r>
      <w:r w:rsidR="0099126D">
        <w:rPr>
          <w:rStyle w:val="FootnoteReference"/>
          <w:i/>
          <w:lang w:val="en-GB"/>
        </w:rPr>
        <w:footnoteReference w:id="3"/>
      </w:r>
    </w:p>
    <w:p w14:paraId="182BCA6B" w14:textId="77777777" w:rsidR="008B3751" w:rsidRDefault="008B3751" w:rsidP="004A51A3">
      <w:pPr>
        <w:jc w:val="both"/>
        <w:rPr>
          <w:lang w:val="en-GB"/>
        </w:rPr>
      </w:pPr>
    </w:p>
    <w:p w14:paraId="7E56D4B5" w14:textId="197BE4F3" w:rsidR="008B3751" w:rsidRPr="008B3751" w:rsidRDefault="00725412" w:rsidP="008B3751">
      <w:pPr>
        <w:jc w:val="both"/>
        <w:rPr>
          <w:lang w:val="en-GB"/>
        </w:rPr>
      </w:pPr>
      <w:r>
        <w:rPr>
          <w:lang w:val="en-GB"/>
        </w:rPr>
        <w:t xml:space="preserve">Our </w:t>
      </w:r>
      <w:r w:rsidR="00CD663F">
        <w:rPr>
          <w:lang w:val="en-GB"/>
        </w:rPr>
        <w:t>report</w:t>
      </w:r>
      <w:r>
        <w:rPr>
          <w:lang w:val="en-GB"/>
        </w:rPr>
        <w:t xml:space="preserve"> </w:t>
      </w:r>
      <w:r w:rsidR="004A51A3">
        <w:rPr>
          <w:lang w:val="en-GB"/>
        </w:rPr>
        <w:t xml:space="preserve">found that there has been a </w:t>
      </w:r>
      <w:r w:rsidR="004A51A3" w:rsidRPr="004A51A3">
        <w:rPr>
          <w:lang w:val="en-GB"/>
        </w:rPr>
        <w:t>distinctive turn to parliaments to promote and protect human rights and strengthen the rule of law</w:t>
      </w:r>
      <w:r w:rsidR="008B3751">
        <w:rPr>
          <w:lang w:val="en-GB"/>
        </w:rPr>
        <w:t xml:space="preserve"> over the past decade</w:t>
      </w:r>
      <w:r w:rsidR="004A51A3" w:rsidRPr="004A51A3">
        <w:rPr>
          <w:lang w:val="en-GB"/>
        </w:rPr>
        <w:t xml:space="preserve">, not as an alternative to courts and other institutional means of providing such protection, but to complement and work alongside those other institutions. </w:t>
      </w:r>
      <w:r w:rsidR="008B3751" w:rsidRPr="008B3751">
        <w:rPr>
          <w:lang w:val="en-GB"/>
        </w:rPr>
        <w:t xml:space="preserve">The worldwide reach of </w:t>
      </w:r>
      <w:r w:rsidR="008B3751">
        <w:rPr>
          <w:lang w:val="en-GB"/>
        </w:rPr>
        <w:t>our</w:t>
      </w:r>
      <w:r w:rsidR="008B3751" w:rsidRPr="008B3751">
        <w:rPr>
          <w:lang w:val="en-GB"/>
        </w:rPr>
        <w:t xml:space="preserve"> </w:t>
      </w:r>
      <w:r w:rsidR="00CD663F">
        <w:rPr>
          <w:lang w:val="en-GB"/>
        </w:rPr>
        <w:t>report</w:t>
      </w:r>
      <w:r w:rsidR="008B3751" w:rsidRPr="008B3751">
        <w:rPr>
          <w:lang w:val="en-GB"/>
        </w:rPr>
        <w:t xml:space="preserve"> con</w:t>
      </w:r>
      <w:r w:rsidR="008B3751">
        <w:rPr>
          <w:lang w:val="en-GB"/>
        </w:rPr>
        <w:t>fir</w:t>
      </w:r>
      <w:r w:rsidR="008B3751" w:rsidRPr="008B3751">
        <w:rPr>
          <w:lang w:val="en-GB"/>
        </w:rPr>
        <w:t>ms that we are witnessing the emergence of a global phenomenon: a new consensus that the protection of the rule</w:t>
      </w:r>
      <w:r w:rsidR="00CD663F">
        <w:rPr>
          <w:rFonts w:ascii="MS Mincho" w:eastAsia="MS Mincho" w:hAnsi="MS Mincho" w:cs="MS Mincho"/>
          <w:lang w:val="en-GB"/>
        </w:rPr>
        <w:t xml:space="preserve"> </w:t>
      </w:r>
      <w:r w:rsidR="008B3751" w:rsidRPr="008B3751">
        <w:rPr>
          <w:lang w:val="en-GB"/>
        </w:rPr>
        <w:t xml:space="preserve">of law and human rights cannot simply be left to courts and legal remedies, but that parliaments share responsibility for that protection with those other institutions. </w:t>
      </w:r>
      <w:r w:rsidR="00575B8C" w:rsidRPr="00575B8C">
        <w:rPr>
          <w:lang w:val="en-GB"/>
        </w:rPr>
        <w:t xml:space="preserve">This </w:t>
      </w:r>
      <w:r w:rsidR="00CD663F">
        <w:rPr>
          <w:lang w:val="en-GB"/>
        </w:rPr>
        <w:t>report</w:t>
      </w:r>
      <w:r w:rsidR="00575B8C" w:rsidRPr="00575B8C">
        <w:rPr>
          <w:lang w:val="en-GB"/>
        </w:rPr>
        <w:t xml:space="preserve"> shows that this is now happening in every major international organisation and, albeit to varying degrees, in every region of the world. </w:t>
      </w:r>
      <w:r w:rsidR="008B3751" w:rsidRPr="008B3751">
        <w:rPr>
          <w:lang w:val="en-GB"/>
        </w:rPr>
        <w:t xml:space="preserve">This provides a global narrative in which we </w:t>
      </w:r>
      <w:r w:rsidR="008B3751" w:rsidRPr="008B3751">
        <w:rPr>
          <w:lang w:val="en-GB"/>
        </w:rPr>
        <w:lastRenderedPageBreak/>
        <w:t xml:space="preserve">can make better sense of the important work of </w:t>
      </w:r>
      <w:r w:rsidR="008B3751">
        <w:rPr>
          <w:lang w:val="en-GB"/>
        </w:rPr>
        <w:t>others</w:t>
      </w:r>
      <w:r w:rsidR="008B3751" w:rsidRPr="008B3751">
        <w:rPr>
          <w:lang w:val="en-GB"/>
        </w:rPr>
        <w:t xml:space="preserve">, as parliaments </w:t>
      </w:r>
      <w:r w:rsidR="00CD663F">
        <w:rPr>
          <w:lang w:val="en-GB"/>
        </w:rPr>
        <w:t>across</w:t>
      </w:r>
      <w:r w:rsidR="00575B8C">
        <w:rPr>
          <w:lang w:val="en-GB"/>
        </w:rPr>
        <w:t xml:space="preserve"> the world</w:t>
      </w:r>
      <w:r w:rsidR="008B3751" w:rsidRPr="008B3751">
        <w:rPr>
          <w:lang w:val="en-GB"/>
        </w:rPr>
        <w:t xml:space="preserve"> </w:t>
      </w:r>
      <w:r w:rsidR="00575B8C">
        <w:rPr>
          <w:lang w:val="en-GB"/>
        </w:rPr>
        <w:t>work with other</w:t>
      </w:r>
      <w:r w:rsidR="008B3751">
        <w:rPr>
          <w:lang w:val="en-GB"/>
        </w:rPr>
        <w:t xml:space="preserve"> stakeholders</w:t>
      </w:r>
      <w:r w:rsidR="008B3751" w:rsidRPr="008B3751">
        <w:rPr>
          <w:lang w:val="en-GB"/>
        </w:rPr>
        <w:t xml:space="preserve"> to devise imaginative new ways of assuming </w:t>
      </w:r>
      <w:r w:rsidR="00CD663F">
        <w:rPr>
          <w:lang w:val="en-GB"/>
        </w:rPr>
        <w:t>this</w:t>
      </w:r>
      <w:r w:rsidR="008B3751" w:rsidRPr="008B3751">
        <w:rPr>
          <w:lang w:val="en-GB"/>
        </w:rPr>
        <w:t xml:space="preserve"> shared responsibility. </w:t>
      </w:r>
    </w:p>
    <w:p w14:paraId="226A14E6" w14:textId="49568B53" w:rsidR="004A51A3" w:rsidRDefault="004A51A3" w:rsidP="004A51A3">
      <w:pPr>
        <w:jc w:val="both"/>
        <w:rPr>
          <w:lang w:val="en-GB"/>
        </w:rPr>
      </w:pPr>
    </w:p>
    <w:p w14:paraId="17CF7001" w14:textId="162E2F80" w:rsidR="008B3751" w:rsidRPr="008B3751" w:rsidRDefault="008B3751" w:rsidP="004A51A3">
      <w:pPr>
        <w:jc w:val="both"/>
        <w:rPr>
          <w:b/>
          <w:lang w:val="en-GB"/>
        </w:rPr>
      </w:pPr>
      <w:r w:rsidRPr="008B3751">
        <w:rPr>
          <w:b/>
          <w:lang w:val="en-GB"/>
        </w:rPr>
        <w:t>Suggested topics at the Forum:</w:t>
      </w:r>
    </w:p>
    <w:p w14:paraId="6858F24B" w14:textId="77777777" w:rsidR="008D55B6" w:rsidRDefault="008D55B6" w:rsidP="008D55B6">
      <w:pPr>
        <w:jc w:val="both"/>
        <w:rPr>
          <w:lang w:val="en-GB"/>
        </w:rPr>
      </w:pPr>
    </w:p>
    <w:p w14:paraId="37540488" w14:textId="4E0C4CA3" w:rsidR="008D55B6" w:rsidRPr="00D016A7" w:rsidRDefault="008D55B6" w:rsidP="008D55B6">
      <w:pPr>
        <w:jc w:val="both"/>
        <w:rPr>
          <w:lang w:val="en-GB"/>
        </w:rPr>
      </w:pPr>
      <w:r>
        <w:rPr>
          <w:lang w:val="en-GB"/>
        </w:rPr>
        <w:t>Your focus on parliaments as promoters of human rights, democracy and the rule of law is a timely one, in the light of contemporary attacks on</w:t>
      </w:r>
      <w:r w:rsidRPr="00D016A7">
        <w:rPr>
          <w:lang w:val="en-GB"/>
        </w:rPr>
        <w:t xml:space="preserve"> </w:t>
      </w:r>
      <w:r>
        <w:rPr>
          <w:lang w:val="en-GB"/>
        </w:rPr>
        <w:t>these fundamental principles</w:t>
      </w:r>
      <w:r w:rsidRPr="00D016A7">
        <w:rPr>
          <w:lang w:val="en-GB"/>
        </w:rPr>
        <w:t>. Across the world, disenchantment with democratic politics has led to the return</w:t>
      </w:r>
      <w:r w:rsidR="00285A43">
        <w:rPr>
          <w:rFonts w:ascii="MS Mincho" w:eastAsia="MS Mincho" w:hAnsi="MS Mincho" w:cs="MS Mincho"/>
          <w:lang w:val="en-GB"/>
        </w:rPr>
        <w:t xml:space="preserve"> </w:t>
      </w:r>
      <w:r w:rsidRPr="00D016A7">
        <w:rPr>
          <w:lang w:val="en-GB"/>
        </w:rPr>
        <w:t xml:space="preserve">of </w:t>
      </w:r>
      <w:r w:rsidR="00285A43">
        <w:rPr>
          <w:lang w:val="en-GB"/>
        </w:rPr>
        <w:t xml:space="preserve">nativist </w:t>
      </w:r>
      <w:r w:rsidRPr="00D016A7">
        <w:rPr>
          <w:lang w:val="en-GB"/>
        </w:rPr>
        <w:t xml:space="preserve">movements and the resurgence of authoritarian nationalism in many countries and regions, including in mature democracies. In this climate of disaffection and populist nativism, it is now commonplace in mainstream politics to witness virulent attacks on the democratic legitimacy of the institutional machinery on which we have depended to uphold the rule of law and human rights, including courts and other mechanisms, both national and international. </w:t>
      </w:r>
      <w:r w:rsidR="00933066">
        <w:rPr>
          <w:lang w:val="en-GB"/>
        </w:rPr>
        <w:t>Promoting</w:t>
      </w:r>
      <w:r w:rsidRPr="00D016A7">
        <w:rPr>
          <w:lang w:val="en-GB"/>
        </w:rPr>
        <w:t xml:space="preserve"> meaningful respect for the </w:t>
      </w:r>
      <w:r w:rsidR="00933066">
        <w:rPr>
          <w:lang w:val="en-GB"/>
        </w:rPr>
        <w:t xml:space="preserve">rule of law and human rights through </w:t>
      </w:r>
      <w:r w:rsidRPr="00D016A7">
        <w:rPr>
          <w:lang w:val="en-GB"/>
        </w:rPr>
        <w:t xml:space="preserve">democratic institutions is therefore one of the most urgent challenges facing the world today. </w:t>
      </w:r>
    </w:p>
    <w:p w14:paraId="6C1E7AC6" w14:textId="77777777" w:rsidR="008D55B6" w:rsidRDefault="008D55B6" w:rsidP="004A51A3">
      <w:pPr>
        <w:jc w:val="both"/>
        <w:rPr>
          <w:lang w:val="en-GB"/>
        </w:rPr>
      </w:pPr>
    </w:p>
    <w:p w14:paraId="40BBB209" w14:textId="6AAFBDCF" w:rsidR="00732FD6" w:rsidRPr="00575B8C" w:rsidRDefault="008B3751" w:rsidP="00575B8C">
      <w:pPr>
        <w:jc w:val="both"/>
        <w:rPr>
          <w:lang w:val="en-GB"/>
        </w:rPr>
      </w:pPr>
      <w:r w:rsidRPr="00575B8C">
        <w:rPr>
          <w:lang w:val="en-GB"/>
        </w:rPr>
        <w:t xml:space="preserve">We have had the opportunity to review </w:t>
      </w:r>
      <w:r w:rsidR="00D84300">
        <w:rPr>
          <w:lang w:val="en-GB"/>
        </w:rPr>
        <w:t>several</w:t>
      </w:r>
      <w:r w:rsidR="009541FB">
        <w:rPr>
          <w:lang w:val="en-GB"/>
        </w:rPr>
        <w:t xml:space="preserve"> earlier submissions posted on the Forum’s website, and </w:t>
      </w:r>
      <w:r w:rsidR="00D84300">
        <w:rPr>
          <w:lang w:val="en-GB"/>
        </w:rPr>
        <w:t>would support many of the suggested topics. To limit ourselves to three, we would like to warmly endorse the</w:t>
      </w:r>
      <w:r w:rsidRPr="00575B8C">
        <w:rPr>
          <w:lang w:val="en-GB"/>
        </w:rPr>
        <w:t xml:space="preserve"> </w:t>
      </w:r>
      <w:r w:rsidR="00D84300">
        <w:rPr>
          <w:lang w:val="en-GB"/>
        </w:rPr>
        <w:t>recommendations</w:t>
      </w:r>
      <w:r w:rsidRPr="00575B8C">
        <w:rPr>
          <w:lang w:val="en-GB"/>
        </w:rPr>
        <w:t xml:space="preserve"> of the</w:t>
      </w:r>
      <w:r w:rsidR="00575B8C" w:rsidRPr="00575B8C">
        <w:rPr>
          <w:lang w:val="en-GB"/>
        </w:rPr>
        <w:t xml:space="preserve"> Inter-Parliament</w:t>
      </w:r>
      <w:r w:rsidR="00D84300">
        <w:rPr>
          <w:lang w:val="en-GB"/>
        </w:rPr>
        <w:t>ary Union</w:t>
      </w:r>
      <w:r w:rsidR="00575B8C" w:rsidRPr="00575B8C">
        <w:rPr>
          <w:lang w:val="en-GB"/>
        </w:rPr>
        <w:t>, particularly for sessions on “</w:t>
      </w:r>
      <w:r w:rsidR="00575B8C" w:rsidRPr="00575B8C">
        <w:rPr>
          <w:i/>
          <w:lang w:val="en-GB"/>
        </w:rPr>
        <w:t>Enhancing the involvement of parliaments in international human rights reporting mechanisms</w:t>
      </w:r>
      <w:r w:rsidR="00575B8C" w:rsidRPr="00575B8C">
        <w:rPr>
          <w:lang w:val="en-GB"/>
        </w:rPr>
        <w:t>” and “</w:t>
      </w:r>
      <w:r w:rsidR="00575B8C" w:rsidRPr="00575B8C">
        <w:rPr>
          <w:i/>
          <w:lang w:val="en-GB"/>
        </w:rPr>
        <w:t>Parliament’s role in ensuring respect for human rights obligations through legislation and oversight</w:t>
      </w:r>
      <w:r w:rsidR="00575B8C" w:rsidRPr="00575B8C">
        <w:rPr>
          <w:lang w:val="en-GB"/>
        </w:rPr>
        <w:t>”</w:t>
      </w:r>
      <w:r w:rsidR="00575B8C">
        <w:rPr>
          <w:lang w:val="en-GB"/>
        </w:rPr>
        <w:t>.  We also endorse the proposal of the</w:t>
      </w:r>
      <w:r w:rsidR="008527A0">
        <w:rPr>
          <w:lang w:val="en-GB"/>
        </w:rPr>
        <w:t xml:space="preserve"> National Human Rights Commission of Korea</w:t>
      </w:r>
      <w:r w:rsidR="000A0374">
        <w:rPr>
          <w:lang w:val="en-GB"/>
        </w:rPr>
        <w:t xml:space="preserve"> for a session on </w:t>
      </w:r>
      <w:r w:rsidR="008527A0">
        <w:rPr>
          <w:lang w:val="en-GB"/>
        </w:rPr>
        <w:t>“</w:t>
      </w:r>
      <w:r w:rsidR="008527A0" w:rsidRPr="00472A23">
        <w:rPr>
          <w:i/>
          <w:lang w:val="en-GB"/>
        </w:rPr>
        <w:t>the cooperation between Parliaments and NHRIs for the protection of human rights</w:t>
      </w:r>
      <w:r w:rsidR="008527A0">
        <w:rPr>
          <w:lang w:val="en-GB"/>
        </w:rPr>
        <w:t>”</w:t>
      </w:r>
      <w:r w:rsidR="000A0374">
        <w:rPr>
          <w:lang w:val="en-GB"/>
        </w:rPr>
        <w:t>, and Mexico’s proposal</w:t>
      </w:r>
      <w:r w:rsidR="00472A23">
        <w:rPr>
          <w:lang w:val="en-GB"/>
        </w:rPr>
        <w:t xml:space="preserve"> for a session on “</w:t>
      </w:r>
      <w:r w:rsidR="00732FD6" w:rsidRPr="00472A23">
        <w:rPr>
          <w:i/>
          <w:lang w:val="en-GB"/>
        </w:rPr>
        <w:t>the role of parliaments in strengthening national legal frameworks on human rights</w:t>
      </w:r>
      <w:r w:rsidR="00472A23">
        <w:rPr>
          <w:lang w:val="en-GB"/>
        </w:rPr>
        <w:t>”</w:t>
      </w:r>
      <w:r w:rsidR="006631DF">
        <w:rPr>
          <w:lang w:val="en-GB"/>
        </w:rPr>
        <w:t xml:space="preserve">, as proposals that would be useful in facilitating the recognition that parliaments cannot succeed alone, but need to work together with other national and international actors in order to best protect human rights, the rule of law and democracy. </w:t>
      </w:r>
    </w:p>
    <w:p w14:paraId="04E10098" w14:textId="6354D7A7" w:rsidR="008B3751" w:rsidRDefault="00575B8C" w:rsidP="00472A23">
      <w:pPr>
        <w:tabs>
          <w:tab w:val="center" w:pos="4533"/>
        </w:tabs>
        <w:jc w:val="both"/>
        <w:rPr>
          <w:lang w:val="en-GB"/>
        </w:rPr>
      </w:pPr>
      <w:r>
        <w:rPr>
          <w:lang w:val="en-GB"/>
        </w:rPr>
        <w:t xml:space="preserve"> </w:t>
      </w:r>
      <w:r w:rsidR="00472A23">
        <w:rPr>
          <w:lang w:val="en-GB"/>
        </w:rPr>
        <w:tab/>
      </w:r>
    </w:p>
    <w:p w14:paraId="74B40650" w14:textId="47672986" w:rsidR="00472A23" w:rsidRDefault="00575B8C" w:rsidP="00472A23">
      <w:pPr>
        <w:jc w:val="both"/>
        <w:rPr>
          <w:lang w:val="en-GB"/>
        </w:rPr>
      </w:pPr>
      <w:r>
        <w:rPr>
          <w:lang w:val="en-GB"/>
        </w:rPr>
        <w:t xml:space="preserve">In order </w:t>
      </w:r>
      <w:r w:rsidR="00472A23">
        <w:rPr>
          <w:lang w:val="en-GB"/>
        </w:rPr>
        <w:t>for the Forum to best advance the global discussion on the role of parliaments in promoting human rights, democracy and the rule of law, and achieve the expectation set out in Human Rights Council resolution 28/14 that it will “</w:t>
      </w:r>
      <w:r w:rsidR="00472A23" w:rsidRPr="00472A23">
        <w:rPr>
          <w:lang w:val="en-GB"/>
        </w:rPr>
        <w:t xml:space="preserve">contribute to the efforts of the Office of the United Nations High Commissioner for Human Rights to improve cooperation among United Nations mechanisms, bodies and specialized agencies, funds and programmes on activities related to the promotion of human rights, democracy and the rule of law, </w:t>
      </w:r>
      <w:r w:rsidR="00472A23">
        <w:rPr>
          <w:lang w:val="en-GB"/>
        </w:rPr>
        <w:t>including at the regional leve</w:t>
      </w:r>
      <w:r w:rsidR="00CD663F">
        <w:rPr>
          <w:lang w:val="en-GB"/>
        </w:rPr>
        <w:t>l”, we suggest that the Forum c</w:t>
      </w:r>
      <w:r w:rsidR="00472A23">
        <w:rPr>
          <w:lang w:val="en-GB"/>
        </w:rPr>
        <w:t>ould conclude by considering the topic of “</w:t>
      </w:r>
      <w:r w:rsidR="00472A23" w:rsidRPr="006B01A8">
        <w:rPr>
          <w:b/>
          <w:i/>
          <w:lang w:val="en-GB"/>
        </w:rPr>
        <w:t>how the UN system can better promote the parliamentary protection of human rights, democracy and the rule of law</w:t>
      </w:r>
      <w:r w:rsidR="00472A23">
        <w:rPr>
          <w:lang w:val="en-GB"/>
        </w:rPr>
        <w:t>”</w:t>
      </w:r>
      <w:r w:rsidR="00FB699C">
        <w:rPr>
          <w:lang w:val="en-GB"/>
        </w:rPr>
        <w:t>,</w:t>
      </w:r>
      <w:r w:rsidR="00472A23">
        <w:rPr>
          <w:lang w:val="en-GB"/>
        </w:rPr>
        <w:t xml:space="preserve"> with the goal of identifying recommendations that the Chair can make</w:t>
      </w:r>
      <w:r w:rsidR="002C2B9B">
        <w:rPr>
          <w:lang w:val="en-GB"/>
        </w:rPr>
        <w:t xml:space="preserve"> to the </w:t>
      </w:r>
      <w:r w:rsidR="00472A23">
        <w:rPr>
          <w:lang w:val="en-GB"/>
        </w:rPr>
        <w:t>Human Rights Council and</w:t>
      </w:r>
      <w:r w:rsidR="002C2B9B">
        <w:rPr>
          <w:lang w:val="en-GB"/>
        </w:rPr>
        <w:t xml:space="preserve"> other parts of the UN human rights machinery</w:t>
      </w:r>
      <w:r w:rsidR="00472A23">
        <w:rPr>
          <w:lang w:val="en-GB"/>
        </w:rPr>
        <w:t xml:space="preserve">. </w:t>
      </w:r>
    </w:p>
    <w:p w14:paraId="505FF5B5" w14:textId="77777777" w:rsidR="00472A23" w:rsidRDefault="00472A23" w:rsidP="00472A23">
      <w:pPr>
        <w:jc w:val="both"/>
        <w:rPr>
          <w:lang w:val="en-GB"/>
        </w:rPr>
      </w:pPr>
    </w:p>
    <w:p w14:paraId="73338592" w14:textId="5B6420C1" w:rsidR="00725412" w:rsidRPr="003E600B" w:rsidRDefault="00472A23" w:rsidP="00437984">
      <w:pPr>
        <w:jc w:val="both"/>
      </w:pPr>
      <w:r>
        <w:rPr>
          <w:lang w:val="en-GB"/>
        </w:rPr>
        <w:t xml:space="preserve">We also believe that the Forum </w:t>
      </w:r>
      <w:r w:rsidR="006631DF">
        <w:rPr>
          <w:lang w:val="en-GB"/>
        </w:rPr>
        <w:t>has</w:t>
      </w:r>
      <w:r>
        <w:rPr>
          <w:lang w:val="en-GB"/>
        </w:rPr>
        <w:t xml:space="preserve"> a valuable opportu</w:t>
      </w:r>
      <w:r w:rsidR="00FC3E16">
        <w:rPr>
          <w:lang w:val="en-GB"/>
        </w:rPr>
        <w:t>nity to inform the work of the treaty b</w:t>
      </w:r>
      <w:r>
        <w:rPr>
          <w:lang w:val="en-GB"/>
        </w:rPr>
        <w:t xml:space="preserve">ody </w:t>
      </w:r>
      <w:r w:rsidR="00FC3E16">
        <w:rPr>
          <w:lang w:val="en-GB"/>
        </w:rPr>
        <w:t>strengthening process</w:t>
      </w:r>
      <w:r w:rsidR="002C2B9B">
        <w:rPr>
          <w:lang w:val="en-GB"/>
        </w:rPr>
        <w:t xml:space="preserve"> </w:t>
      </w:r>
      <w:r w:rsidR="00FC3E16">
        <w:rPr>
          <w:lang w:val="en-GB"/>
        </w:rPr>
        <w:t xml:space="preserve">which will </w:t>
      </w:r>
      <w:r w:rsidR="00FC3E16" w:rsidRPr="00FC3E16">
        <w:rPr>
          <w:lang w:val="en-GB"/>
        </w:rPr>
        <w:t xml:space="preserve">take place in </w:t>
      </w:r>
      <w:r w:rsidR="00FC3E16">
        <w:rPr>
          <w:lang w:val="en-GB"/>
        </w:rPr>
        <w:t xml:space="preserve">the UN General Assembly in 2020, and </w:t>
      </w:r>
      <w:r w:rsidR="003065DE">
        <w:rPr>
          <w:lang w:val="en-GB"/>
        </w:rPr>
        <w:t xml:space="preserve">to increase </w:t>
      </w:r>
      <w:r w:rsidR="009D4B9A">
        <w:rPr>
          <w:lang w:val="en-GB"/>
        </w:rPr>
        <w:t xml:space="preserve">the engagement between parliaments and treaty bodies, which is necessary to increase the implementation of treaty body recommendations. </w:t>
      </w:r>
      <w:r w:rsidR="003E600B">
        <w:rPr>
          <w:lang w:val="en-GB"/>
        </w:rPr>
        <w:t xml:space="preserve">The Human Rights Council thus far has focused on improving the contribution of parliaments to its Universal Periodic Review mechanism, which is an important subject, but has not given as much attention to the </w:t>
      </w:r>
      <w:r w:rsidR="003E600B">
        <w:rPr>
          <w:lang w:val="en-GB"/>
        </w:rPr>
        <w:lastRenderedPageBreak/>
        <w:t xml:space="preserve">engagement between parliaments and treaty bodies. Amongst </w:t>
      </w:r>
      <w:r w:rsidR="003E600B" w:rsidRPr="009D4B9A">
        <w:rPr>
          <w:lang w:val="en-GB"/>
        </w:rPr>
        <w:t>the treaty bodies, only the Committee on the Elimination of Discriminati</w:t>
      </w:r>
      <w:r w:rsidR="003E600B">
        <w:rPr>
          <w:lang w:val="en-GB"/>
        </w:rPr>
        <w:t>on Against Women</w:t>
      </w:r>
      <w:r w:rsidR="003E600B" w:rsidRPr="009D4B9A">
        <w:rPr>
          <w:lang w:val="en-GB"/>
        </w:rPr>
        <w:t xml:space="preserve"> has taken</w:t>
      </w:r>
      <w:r w:rsidR="003E600B">
        <w:rPr>
          <w:lang w:val="en-GB"/>
        </w:rPr>
        <w:t xml:space="preserve"> significant</w:t>
      </w:r>
      <w:r w:rsidR="003E600B" w:rsidRPr="009D4B9A">
        <w:rPr>
          <w:lang w:val="en-GB"/>
        </w:rPr>
        <w:t xml:space="preserve"> steps to engage </w:t>
      </w:r>
      <w:r w:rsidR="003E600B">
        <w:rPr>
          <w:lang w:val="en-GB"/>
        </w:rPr>
        <w:t xml:space="preserve">parliamentarians with its work, and the Forum may be an opportunity to disseminate the working practices of the CEDAW Committee and of parliaments that have taken steps to engage with treaty body recommendations, and to examine their necessity. </w:t>
      </w:r>
      <w:r w:rsidR="00FB699C">
        <w:rPr>
          <w:lang w:val="en-GB"/>
        </w:rPr>
        <w:t>We therefore suggest a session on “</w:t>
      </w:r>
      <w:r w:rsidR="00FB699C" w:rsidRPr="00FB699C">
        <w:rPr>
          <w:b/>
          <w:i/>
          <w:lang w:val="en-GB"/>
        </w:rPr>
        <w:t>increasing the engagement between parliaments and treaty bodies</w:t>
      </w:r>
      <w:r w:rsidR="00FB699C">
        <w:rPr>
          <w:lang w:val="en-GB"/>
        </w:rPr>
        <w:t xml:space="preserve">”, </w:t>
      </w:r>
      <w:r w:rsidR="0057338D">
        <w:rPr>
          <w:lang w:val="en-GB"/>
        </w:rPr>
        <w:t>and believe</w:t>
      </w:r>
      <w:r w:rsidR="003E600B">
        <w:rPr>
          <w:lang w:val="en-GB"/>
        </w:rPr>
        <w:t xml:space="preserve"> that there is merit in having a standalone session on this under-addressed topic, </w:t>
      </w:r>
      <w:r w:rsidR="00FB699C">
        <w:rPr>
          <w:lang w:val="en-GB"/>
        </w:rPr>
        <w:t xml:space="preserve">although </w:t>
      </w:r>
      <w:r w:rsidR="003E600B">
        <w:rPr>
          <w:lang w:val="en-GB"/>
        </w:rPr>
        <w:t>it</w:t>
      </w:r>
      <w:r w:rsidR="00FB699C">
        <w:rPr>
          <w:lang w:val="en-GB"/>
        </w:rPr>
        <w:t xml:space="preserve"> could be folded into </w:t>
      </w:r>
      <w:r w:rsidR="003E600B">
        <w:rPr>
          <w:lang w:val="en-GB"/>
        </w:rPr>
        <w:t xml:space="preserve">a session on </w:t>
      </w:r>
      <w:r w:rsidR="003E600B" w:rsidRPr="003E600B">
        <w:rPr>
          <w:lang w:val="en-GB"/>
        </w:rPr>
        <w:t>“</w:t>
      </w:r>
      <w:r w:rsidR="003E600B">
        <w:t>e</w:t>
      </w:r>
      <w:r w:rsidR="003E600B" w:rsidRPr="003E600B">
        <w:t>nhancing the involvement of parliaments in international human rights reporting mechanisms”</w:t>
      </w:r>
      <w:r w:rsidR="003E600B">
        <w:t>.</w:t>
      </w:r>
    </w:p>
    <w:p w14:paraId="0BD1F68C" w14:textId="77777777" w:rsidR="00856949" w:rsidRDefault="00856949" w:rsidP="00856949">
      <w:pPr>
        <w:rPr>
          <w:lang w:val="en-GB"/>
        </w:rPr>
      </w:pPr>
    </w:p>
    <w:p w14:paraId="55219CDE" w14:textId="60036226" w:rsidR="0020659F" w:rsidRPr="0020659F" w:rsidRDefault="0020659F" w:rsidP="00856949">
      <w:pPr>
        <w:rPr>
          <w:b/>
          <w:lang w:val="en-GB"/>
        </w:rPr>
      </w:pPr>
      <w:r w:rsidRPr="0020659F">
        <w:rPr>
          <w:b/>
          <w:lang w:val="en-GB"/>
        </w:rPr>
        <w:t>Side Event:</w:t>
      </w:r>
    </w:p>
    <w:p w14:paraId="058BD1FC" w14:textId="77777777" w:rsidR="0020659F" w:rsidRPr="00856949" w:rsidRDefault="0020659F" w:rsidP="00856949">
      <w:pPr>
        <w:rPr>
          <w:lang w:val="en-GB"/>
        </w:rPr>
      </w:pPr>
    </w:p>
    <w:p w14:paraId="30DF9132" w14:textId="757EDC34" w:rsidR="00856949" w:rsidRDefault="00856949" w:rsidP="00856949">
      <w:pPr>
        <w:jc w:val="both"/>
        <w:rPr>
          <w:lang w:val="en-GB"/>
        </w:rPr>
      </w:pPr>
      <w:r w:rsidRPr="00856949">
        <w:rPr>
          <w:lang w:val="en-GB"/>
        </w:rPr>
        <w:t>We will be co-hosting a side event</w:t>
      </w:r>
      <w:r w:rsidR="006631DF">
        <w:rPr>
          <w:lang w:val="en-GB"/>
        </w:rPr>
        <w:t xml:space="preserve"> on topics relating</w:t>
      </w:r>
      <w:r w:rsidR="00D84300">
        <w:rPr>
          <w:lang w:val="en-GB"/>
        </w:rPr>
        <w:t xml:space="preserve"> to the</w:t>
      </w:r>
      <w:r w:rsidRPr="00856949">
        <w:rPr>
          <w:lang w:val="en-GB"/>
        </w:rPr>
        <w:t xml:space="preserve"> parliamentary protection of human rights and the rule of law in Room XXVI at the Palais des Nations on 28 June 2018, from 13:00 to 14:30, in partnership with the Inter-Parliamentary Union and </w:t>
      </w:r>
      <w:r w:rsidR="00F51C8E">
        <w:rPr>
          <w:lang w:val="en-GB"/>
        </w:rPr>
        <w:t xml:space="preserve">the </w:t>
      </w:r>
      <w:r w:rsidRPr="00856949">
        <w:rPr>
          <w:lang w:val="en-GB"/>
        </w:rPr>
        <w:t xml:space="preserve">Office of the </w:t>
      </w:r>
      <w:r w:rsidR="00F51C8E">
        <w:rPr>
          <w:lang w:val="en-GB"/>
        </w:rPr>
        <w:t xml:space="preserve">UN </w:t>
      </w:r>
      <w:r w:rsidRPr="00856949">
        <w:rPr>
          <w:lang w:val="en-GB"/>
        </w:rPr>
        <w:t>High Commissioner for Human Rights, and welcome</w:t>
      </w:r>
      <w:r w:rsidR="006631DF">
        <w:rPr>
          <w:lang w:val="en-GB"/>
        </w:rPr>
        <w:t xml:space="preserve"> you and</w:t>
      </w:r>
      <w:r w:rsidRPr="00856949">
        <w:rPr>
          <w:lang w:val="en-GB"/>
        </w:rPr>
        <w:t xml:space="preserve"> all </w:t>
      </w:r>
      <w:r w:rsidR="00252C1E">
        <w:rPr>
          <w:lang w:val="en-GB"/>
        </w:rPr>
        <w:t xml:space="preserve">other </w:t>
      </w:r>
      <w:r w:rsidRPr="00856949">
        <w:rPr>
          <w:lang w:val="en-GB"/>
        </w:rPr>
        <w:t xml:space="preserve">interested parties to join us there. More information will be available on our website in due course. </w:t>
      </w:r>
    </w:p>
    <w:p w14:paraId="692AFAAC" w14:textId="77777777" w:rsidR="00856949" w:rsidRDefault="00856949" w:rsidP="00197597">
      <w:pPr>
        <w:rPr>
          <w:lang w:val="en-GB"/>
        </w:rPr>
      </w:pPr>
    </w:p>
    <w:p w14:paraId="14AB3841" w14:textId="583592DD" w:rsidR="003E600B" w:rsidRDefault="003E600B" w:rsidP="0057338D">
      <w:pPr>
        <w:jc w:val="both"/>
        <w:rPr>
          <w:lang w:val="en-GB"/>
        </w:rPr>
      </w:pPr>
      <w:r>
        <w:rPr>
          <w:lang w:val="en-GB"/>
        </w:rPr>
        <w:t xml:space="preserve">Thank you for your consideration, and we would be </w:t>
      </w:r>
      <w:r w:rsidR="0057338D">
        <w:rPr>
          <w:lang w:val="en-GB"/>
        </w:rPr>
        <w:t>delighted</w:t>
      </w:r>
      <w:r>
        <w:rPr>
          <w:lang w:val="en-GB"/>
        </w:rPr>
        <w:t xml:space="preserve"> to provide further information or assistance, if requested. </w:t>
      </w:r>
    </w:p>
    <w:p w14:paraId="06D5ACDF" w14:textId="068E4010" w:rsidR="008B3751" w:rsidRDefault="008B3751">
      <w:pPr>
        <w:rPr>
          <w:lang w:val="en-GB"/>
        </w:rPr>
      </w:pPr>
    </w:p>
    <w:p w14:paraId="1A3C668E" w14:textId="77777777" w:rsidR="00F51C8E" w:rsidRDefault="00F51C8E">
      <w:pPr>
        <w:rPr>
          <w:lang w:val="en-GB"/>
        </w:rPr>
      </w:pPr>
    </w:p>
    <w:p w14:paraId="5A005702" w14:textId="34D689B4" w:rsidR="00F51C8E" w:rsidRDefault="00252C1E">
      <w:pPr>
        <w:rPr>
          <w:lang w:val="en-GB"/>
        </w:rPr>
      </w:pPr>
      <w:r>
        <w:rPr>
          <w:lang w:val="en-GB"/>
        </w:rPr>
        <w:t>S</w:t>
      </w:r>
      <w:r w:rsidR="00F51C8E">
        <w:rPr>
          <w:lang w:val="en-GB"/>
        </w:rPr>
        <w:t>incerely,</w:t>
      </w:r>
    </w:p>
    <w:p w14:paraId="1F6E4675" w14:textId="1ED2B4C6" w:rsidR="00F51C8E" w:rsidRDefault="00F51C8E">
      <w:pPr>
        <w:rPr>
          <w:lang w:val="en-GB"/>
        </w:rPr>
      </w:pPr>
    </w:p>
    <w:p w14:paraId="146DC967" w14:textId="52D4341B" w:rsidR="00252C1E" w:rsidRDefault="00252C1E">
      <w:pPr>
        <w:rPr>
          <w:lang w:val="en-GB"/>
        </w:rPr>
      </w:pPr>
    </w:p>
    <w:p w14:paraId="31DFD8C9" w14:textId="256DA08C" w:rsidR="00252C1E" w:rsidRDefault="00252C1E">
      <w:pPr>
        <w:rPr>
          <w:lang w:val="en-GB"/>
        </w:rPr>
      </w:pPr>
    </w:p>
    <w:p w14:paraId="79B4F2BF" w14:textId="77777777" w:rsidR="00252C1E" w:rsidRDefault="00252C1E">
      <w:pPr>
        <w:rPr>
          <w:lang w:val="en-GB"/>
        </w:rPr>
      </w:pPr>
    </w:p>
    <w:p w14:paraId="631CC92A" w14:textId="77777777" w:rsidR="00F51C8E" w:rsidRDefault="00F51C8E" w:rsidP="00F51C8E">
      <w:pPr>
        <w:jc w:val="both"/>
      </w:pPr>
      <w:r>
        <w:rPr>
          <w:bCs/>
          <w:lang w:val="en-GB"/>
        </w:rPr>
        <w:t>Brian Chang</w:t>
      </w:r>
    </w:p>
    <w:p w14:paraId="625E4DE9" w14:textId="5FAAA652" w:rsidR="00F51C8E" w:rsidRDefault="00F51C8E" w:rsidP="00F51C8E">
      <w:pPr>
        <w:jc w:val="both"/>
      </w:pPr>
      <w:r>
        <w:rPr>
          <w:bCs/>
          <w:lang w:val="en-GB"/>
        </w:rPr>
        <w:t>Research Fellow</w:t>
      </w:r>
    </w:p>
    <w:p w14:paraId="3BBC76A6" w14:textId="56DFD4EF" w:rsidR="00CD663F" w:rsidRPr="00CD663F" w:rsidRDefault="00CD663F" w:rsidP="00CD663F">
      <w:pPr>
        <w:rPr>
          <w:bCs/>
          <w:lang w:val="en-GB"/>
        </w:rPr>
      </w:pPr>
      <w:r w:rsidRPr="00CD663F">
        <w:rPr>
          <w:bCs/>
          <w:lang w:val="en-GB"/>
        </w:rPr>
        <w:t>Parliaments, Rule of Law and Human Rights Research Project</w:t>
      </w:r>
    </w:p>
    <w:p w14:paraId="48209E5D" w14:textId="77777777" w:rsidR="00CD663F" w:rsidRPr="00CD663F" w:rsidRDefault="00CD663F" w:rsidP="00CD663F">
      <w:pPr>
        <w:rPr>
          <w:bCs/>
          <w:lang w:val="en-GB"/>
        </w:rPr>
      </w:pPr>
      <w:r w:rsidRPr="00CD663F">
        <w:rPr>
          <w:bCs/>
          <w:lang w:val="en-GB"/>
        </w:rPr>
        <w:t>Bingham Centre for the Rule of Law</w:t>
      </w:r>
    </w:p>
    <w:p w14:paraId="515EC51B" w14:textId="69EA1D26" w:rsidR="00CD663F" w:rsidRDefault="00CD663F">
      <w:pPr>
        <w:rPr>
          <w:lang w:val="en-GB"/>
        </w:rPr>
      </w:pPr>
    </w:p>
    <w:p w14:paraId="556D3B88" w14:textId="5A91AC7E" w:rsidR="00CD663F" w:rsidRDefault="00CD663F">
      <w:pPr>
        <w:rPr>
          <w:lang w:val="en-GB"/>
        </w:rPr>
      </w:pPr>
    </w:p>
    <w:p w14:paraId="7C983B87" w14:textId="77777777" w:rsidR="00F51C8E" w:rsidRDefault="00F51C8E" w:rsidP="00F51C8E">
      <w:pPr>
        <w:rPr>
          <w:lang w:val="en-GB"/>
        </w:rPr>
      </w:pPr>
      <w:r>
        <w:rPr>
          <w:lang w:val="en-GB"/>
        </w:rPr>
        <w:t>For and on behalf of:</w:t>
      </w:r>
    </w:p>
    <w:p w14:paraId="77309869" w14:textId="3FBD6655" w:rsidR="00F51C8E" w:rsidRDefault="00F51C8E" w:rsidP="00F51C8E">
      <w:pPr>
        <w:rPr>
          <w:lang w:val="en-GB"/>
        </w:rPr>
      </w:pPr>
      <w:r>
        <w:rPr>
          <w:lang w:val="en-GB"/>
        </w:rPr>
        <w:t>Murray Hunt, Principal Investigator</w:t>
      </w:r>
    </w:p>
    <w:p w14:paraId="219340AE" w14:textId="77777777" w:rsidR="00CD663F" w:rsidRDefault="00CD663F">
      <w:pPr>
        <w:rPr>
          <w:lang w:val="en-GB"/>
        </w:rPr>
      </w:pPr>
    </w:p>
    <w:p w14:paraId="4358534D" w14:textId="77777777" w:rsidR="00CD663F" w:rsidRPr="0020659F" w:rsidRDefault="00CD663F" w:rsidP="00CD663F">
      <w:pPr>
        <w:jc w:val="both"/>
        <w:rPr>
          <w:lang w:val="en-GB"/>
        </w:rPr>
      </w:pPr>
    </w:p>
    <w:p w14:paraId="06E2B8D6" w14:textId="77777777" w:rsidR="003E600B" w:rsidRDefault="003E600B">
      <w:pPr>
        <w:rPr>
          <w:lang w:val="en-GB"/>
        </w:rPr>
      </w:pPr>
    </w:p>
    <w:sectPr w:rsidR="003E600B" w:rsidSect="0073592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0100" w14:textId="77777777" w:rsidR="0032372F" w:rsidRDefault="0032372F" w:rsidP="00E24A68">
      <w:r>
        <w:separator/>
      </w:r>
    </w:p>
  </w:endnote>
  <w:endnote w:type="continuationSeparator" w:id="0">
    <w:p w14:paraId="11BCB441" w14:textId="77777777" w:rsidR="0032372F" w:rsidRDefault="0032372F" w:rsidP="00E2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FAB05" w14:textId="77777777" w:rsidR="0032372F" w:rsidRDefault="0032372F" w:rsidP="00E24A68">
      <w:r>
        <w:separator/>
      </w:r>
    </w:p>
  </w:footnote>
  <w:footnote w:type="continuationSeparator" w:id="0">
    <w:p w14:paraId="73E57A73" w14:textId="77777777" w:rsidR="0032372F" w:rsidRDefault="0032372F" w:rsidP="00E24A68">
      <w:r>
        <w:continuationSeparator/>
      </w:r>
    </w:p>
  </w:footnote>
  <w:footnote w:id="1">
    <w:p w14:paraId="331D8BDB" w14:textId="5E5788D5" w:rsidR="00E24A68" w:rsidRPr="00CA0678" w:rsidRDefault="00E24A68" w:rsidP="00E24A68">
      <w:pPr>
        <w:jc w:val="both"/>
        <w:rPr>
          <w:sz w:val="20"/>
          <w:szCs w:val="20"/>
          <w:lang w:val="en-GB"/>
        </w:rPr>
      </w:pPr>
      <w:r w:rsidRPr="00CA0678">
        <w:rPr>
          <w:rStyle w:val="FootnoteReference"/>
          <w:sz w:val="20"/>
          <w:szCs w:val="20"/>
        </w:rPr>
        <w:footnoteRef/>
      </w:r>
      <w:r w:rsidRPr="00CA0678">
        <w:rPr>
          <w:sz w:val="20"/>
          <w:szCs w:val="20"/>
        </w:rPr>
        <w:t xml:space="preserve"> </w:t>
      </w:r>
      <w:hyperlink r:id="rId1" w:history="1">
        <w:r w:rsidRPr="00CA0678">
          <w:rPr>
            <w:rStyle w:val="Hyperlink"/>
            <w:sz w:val="20"/>
            <w:szCs w:val="20"/>
            <w:lang w:val="en-GB"/>
          </w:rPr>
          <w:t>https://www.law.ox.ac.uk/research-and-subject-groups/parliaments-rule-law-and-human-rights-project</w:t>
        </w:r>
      </w:hyperlink>
    </w:p>
  </w:footnote>
  <w:footnote w:id="2">
    <w:p w14:paraId="685F7DD0" w14:textId="7CE562FB" w:rsidR="0099126D" w:rsidRPr="00CA0678" w:rsidRDefault="00E24A68" w:rsidP="00E24A68">
      <w:pPr>
        <w:jc w:val="both"/>
        <w:rPr>
          <w:sz w:val="20"/>
          <w:szCs w:val="20"/>
          <w:lang w:val="en-GB"/>
        </w:rPr>
      </w:pPr>
      <w:r w:rsidRPr="00CA0678">
        <w:rPr>
          <w:rStyle w:val="FootnoteReference"/>
          <w:sz w:val="20"/>
          <w:szCs w:val="20"/>
        </w:rPr>
        <w:footnoteRef/>
      </w:r>
      <w:r w:rsidRPr="00CA0678">
        <w:rPr>
          <w:sz w:val="20"/>
          <w:szCs w:val="20"/>
        </w:rPr>
        <w:t xml:space="preserve"> </w:t>
      </w:r>
      <w:hyperlink r:id="rId2" w:history="1">
        <w:r w:rsidR="0099126D" w:rsidRPr="00CA0678">
          <w:rPr>
            <w:rStyle w:val="Hyperlink"/>
            <w:sz w:val="20"/>
            <w:szCs w:val="20"/>
            <w:lang w:val="en-GB"/>
          </w:rPr>
          <w:t>https://www.law.ox.ac.uk/node/15879</w:t>
        </w:r>
      </w:hyperlink>
    </w:p>
  </w:footnote>
  <w:footnote w:id="3">
    <w:p w14:paraId="0C5EF8AC" w14:textId="6A72C9B5" w:rsidR="0099126D" w:rsidRPr="00CA0678" w:rsidRDefault="0099126D">
      <w:pPr>
        <w:pStyle w:val="FootnoteText"/>
        <w:rPr>
          <w:sz w:val="20"/>
          <w:szCs w:val="20"/>
        </w:rPr>
      </w:pPr>
      <w:r w:rsidRPr="00CA0678">
        <w:rPr>
          <w:rStyle w:val="FootnoteReference"/>
          <w:sz w:val="20"/>
          <w:szCs w:val="20"/>
        </w:rPr>
        <w:footnoteRef/>
      </w:r>
      <w:r w:rsidR="006631DF">
        <w:rPr>
          <w:sz w:val="20"/>
          <w:szCs w:val="20"/>
        </w:rPr>
        <w:t xml:space="preserve"> HRC resolutions</w:t>
      </w:r>
      <w:r w:rsidRPr="00CA0678">
        <w:rPr>
          <w:sz w:val="20"/>
          <w:szCs w:val="20"/>
        </w:rPr>
        <w:t xml:space="preserve"> 22/15</w:t>
      </w:r>
      <w:r w:rsidR="006631DF">
        <w:rPr>
          <w:sz w:val="20"/>
          <w:szCs w:val="20"/>
        </w:rPr>
        <w:t xml:space="preserve">, </w:t>
      </w:r>
      <w:r w:rsidR="006631DF" w:rsidRPr="00CA0678">
        <w:rPr>
          <w:sz w:val="20"/>
          <w:szCs w:val="20"/>
        </w:rPr>
        <w:t>26/29</w:t>
      </w:r>
      <w:r w:rsidR="006631DF">
        <w:rPr>
          <w:sz w:val="20"/>
          <w:szCs w:val="20"/>
        </w:rPr>
        <w:t>, 30/14 and 35/29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6EB5"/>
    <w:multiLevelType w:val="hybridMultilevel"/>
    <w:tmpl w:val="4DF2AC9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8E"/>
    <w:rsid w:val="00021FEB"/>
    <w:rsid w:val="0006547F"/>
    <w:rsid w:val="00092B42"/>
    <w:rsid w:val="000A0374"/>
    <w:rsid w:val="000C3AF6"/>
    <w:rsid w:val="000D0EDD"/>
    <w:rsid w:val="000E145D"/>
    <w:rsid w:val="000F7B66"/>
    <w:rsid w:val="0013578E"/>
    <w:rsid w:val="00176A7B"/>
    <w:rsid w:val="00185A37"/>
    <w:rsid w:val="00197597"/>
    <w:rsid w:val="0020372C"/>
    <w:rsid w:val="0020659F"/>
    <w:rsid w:val="00252C1E"/>
    <w:rsid w:val="00285A43"/>
    <w:rsid w:val="002C2B9B"/>
    <w:rsid w:val="003065DE"/>
    <w:rsid w:val="003107A4"/>
    <w:rsid w:val="0032372F"/>
    <w:rsid w:val="003E600B"/>
    <w:rsid w:val="00437984"/>
    <w:rsid w:val="00472A23"/>
    <w:rsid w:val="004A51A3"/>
    <w:rsid w:val="004B0618"/>
    <w:rsid w:val="0057338D"/>
    <w:rsid w:val="00575B8C"/>
    <w:rsid w:val="006631DF"/>
    <w:rsid w:val="006B01A8"/>
    <w:rsid w:val="006D2A3A"/>
    <w:rsid w:val="00725412"/>
    <w:rsid w:val="00732FD6"/>
    <w:rsid w:val="00735926"/>
    <w:rsid w:val="008527A0"/>
    <w:rsid w:val="00856949"/>
    <w:rsid w:val="008B3751"/>
    <w:rsid w:val="008D55B6"/>
    <w:rsid w:val="008E7686"/>
    <w:rsid w:val="00933066"/>
    <w:rsid w:val="009541FB"/>
    <w:rsid w:val="00967DE1"/>
    <w:rsid w:val="0099126D"/>
    <w:rsid w:val="009D4B9A"/>
    <w:rsid w:val="009E2120"/>
    <w:rsid w:val="00A1294F"/>
    <w:rsid w:val="00AE1B63"/>
    <w:rsid w:val="00B24FC7"/>
    <w:rsid w:val="00C6149E"/>
    <w:rsid w:val="00C90E96"/>
    <w:rsid w:val="00CA0678"/>
    <w:rsid w:val="00CD663F"/>
    <w:rsid w:val="00D016A7"/>
    <w:rsid w:val="00D12F2C"/>
    <w:rsid w:val="00D37625"/>
    <w:rsid w:val="00D7125C"/>
    <w:rsid w:val="00D84300"/>
    <w:rsid w:val="00D958BD"/>
    <w:rsid w:val="00E24A68"/>
    <w:rsid w:val="00EA3496"/>
    <w:rsid w:val="00F51C8E"/>
    <w:rsid w:val="00FB699C"/>
    <w:rsid w:val="00FC3E16"/>
    <w:rsid w:val="00FD44CB"/>
    <w:rsid w:val="00FD4C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FFB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E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78E"/>
    <w:rPr>
      <w:color w:val="0563C1" w:themeColor="hyperlink"/>
      <w:u w:val="single"/>
    </w:rPr>
  </w:style>
  <w:style w:type="paragraph" w:styleId="PlainText">
    <w:name w:val="Plain Text"/>
    <w:basedOn w:val="Normal"/>
    <w:link w:val="PlainTextChar"/>
    <w:uiPriority w:val="99"/>
    <w:unhideWhenUsed/>
    <w:rsid w:val="00575B8C"/>
    <w:rPr>
      <w:rFonts w:ascii="Courier" w:hAnsi="Courier"/>
      <w:sz w:val="21"/>
      <w:szCs w:val="21"/>
    </w:rPr>
  </w:style>
  <w:style w:type="character" w:customStyle="1" w:styleId="PlainTextChar">
    <w:name w:val="Plain Text Char"/>
    <w:basedOn w:val="DefaultParagraphFont"/>
    <w:link w:val="PlainText"/>
    <w:uiPriority w:val="99"/>
    <w:rsid w:val="00575B8C"/>
    <w:rPr>
      <w:rFonts w:ascii="Courier" w:hAnsi="Courier"/>
      <w:sz w:val="21"/>
      <w:szCs w:val="21"/>
      <w:lang w:val="en-US"/>
    </w:rPr>
  </w:style>
  <w:style w:type="paragraph" w:styleId="FootnoteText">
    <w:name w:val="footnote text"/>
    <w:basedOn w:val="Normal"/>
    <w:link w:val="FootnoteTextChar"/>
    <w:uiPriority w:val="99"/>
    <w:unhideWhenUsed/>
    <w:rsid w:val="00E24A68"/>
  </w:style>
  <w:style w:type="character" w:customStyle="1" w:styleId="FootnoteTextChar">
    <w:name w:val="Footnote Text Char"/>
    <w:basedOn w:val="DefaultParagraphFont"/>
    <w:link w:val="FootnoteText"/>
    <w:uiPriority w:val="99"/>
    <w:rsid w:val="00E24A68"/>
    <w:rPr>
      <w:lang w:val="en-US"/>
    </w:rPr>
  </w:style>
  <w:style w:type="character" w:styleId="FootnoteReference">
    <w:name w:val="footnote reference"/>
    <w:basedOn w:val="DefaultParagraphFont"/>
    <w:uiPriority w:val="99"/>
    <w:unhideWhenUsed/>
    <w:rsid w:val="00E24A68"/>
    <w:rPr>
      <w:vertAlign w:val="superscript"/>
    </w:rPr>
  </w:style>
  <w:style w:type="character" w:styleId="FollowedHyperlink">
    <w:name w:val="FollowedHyperlink"/>
    <w:basedOn w:val="DefaultParagraphFont"/>
    <w:uiPriority w:val="99"/>
    <w:semiHidden/>
    <w:unhideWhenUsed/>
    <w:rsid w:val="00E24A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7596">
      <w:bodyDiv w:val="1"/>
      <w:marLeft w:val="0"/>
      <w:marRight w:val="0"/>
      <w:marTop w:val="0"/>
      <w:marBottom w:val="0"/>
      <w:divBdr>
        <w:top w:val="none" w:sz="0" w:space="0" w:color="auto"/>
        <w:left w:val="none" w:sz="0" w:space="0" w:color="auto"/>
        <w:bottom w:val="none" w:sz="0" w:space="0" w:color="auto"/>
        <w:right w:val="none" w:sz="0" w:space="0" w:color="auto"/>
      </w:divBdr>
    </w:div>
    <w:div w:id="331489175">
      <w:bodyDiv w:val="1"/>
      <w:marLeft w:val="0"/>
      <w:marRight w:val="0"/>
      <w:marTop w:val="0"/>
      <w:marBottom w:val="0"/>
      <w:divBdr>
        <w:top w:val="none" w:sz="0" w:space="0" w:color="auto"/>
        <w:left w:val="none" w:sz="0" w:space="0" w:color="auto"/>
        <w:bottom w:val="none" w:sz="0" w:space="0" w:color="auto"/>
        <w:right w:val="none" w:sz="0" w:space="0" w:color="auto"/>
      </w:divBdr>
    </w:div>
    <w:div w:id="535239606">
      <w:bodyDiv w:val="1"/>
      <w:marLeft w:val="0"/>
      <w:marRight w:val="0"/>
      <w:marTop w:val="0"/>
      <w:marBottom w:val="0"/>
      <w:divBdr>
        <w:top w:val="none" w:sz="0" w:space="0" w:color="auto"/>
        <w:left w:val="none" w:sz="0" w:space="0" w:color="auto"/>
        <w:bottom w:val="none" w:sz="0" w:space="0" w:color="auto"/>
        <w:right w:val="none" w:sz="0" w:space="0" w:color="auto"/>
      </w:divBdr>
    </w:div>
    <w:div w:id="575283041">
      <w:bodyDiv w:val="1"/>
      <w:marLeft w:val="0"/>
      <w:marRight w:val="0"/>
      <w:marTop w:val="0"/>
      <w:marBottom w:val="0"/>
      <w:divBdr>
        <w:top w:val="none" w:sz="0" w:space="0" w:color="auto"/>
        <w:left w:val="none" w:sz="0" w:space="0" w:color="auto"/>
        <w:bottom w:val="none" w:sz="0" w:space="0" w:color="auto"/>
        <w:right w:val="none" w:sz="0" w:space="0" w:color="auto"/>
      </w:divBdr>
    </w:div>
    <w:div w:id="841048429">
      <w:bodyDiv w:val="1"/>
      <w:marLeft w:val="0"/>
      <w:marRight w:val="0"/>
      <w:marTop w:val="0"/>
      <w:marBottom w:val="0"/>
      <w:divBdr>
        <w:top w:val="none" w:sz="0" w:space="0" w:color="auto"/>
        <w:left w:val="none" w:sz="0" w:space="0" w:color="auto"/>
        <w:bottom w:val="none" w:sz="0" w:space="0" w:color="auto"/>
        <w:right w:val="none" w:sz="0" w:space="0" w:color="auto"/>
      </w:divBdr>
    </w:div>
    <w:div w:id="1310747179">
      <w:bodyDiv w:val="1"/>
      <w:marLeft w:val="0"/>
      <w:marRight w:val="0"/>
      <w:marTop w:val="0"/>
      <w:marBottom w:val="0"/>
      <w:divBdr>
        <w:top w:val="none" w:sz="0" w:space="0" w:color="auto"/>
        <w:left w:val="none" w:sz="0" w:space="0" w:color="auto"/>
        <w:bottom w:val="none" w:sz="0" w:space="0" w:color="auto"/>
        <w:right w:val="none" w:sz="0" w:space="0" w:color="auto"/>
      </w:divBdr>
    </w:div>
    <w:div w:id="1411003473">
      <w:bodyDiv w:val="1"/>
      <w:marLeft w:val="0"/>
      <w:marRight w:val="0"/>
      <w:marTop w:val="0"/>
      <w:marBottom w:val="0"/>
      <w:divBdr>
        <w:top w:val="none" w:sz="0" w:space="0" w:color="auto"/>
        <w:left w:val="none" w:sz="0" w:space="0" w:color="auto"/>
        <w:bottom w:val="none" w:sz="0" w:space="0" w:color="auto"/>
        <w:right w:val="none" w:sz="0" w:space="0" w:color="auto"/>
      </w:divBdr>
    </w:div>
    <w:div w:id="1844735447">
      <w:bodyDiv w:val="1"/>
      <w:marLeft w:val="0"/>
      <w:marRight w:val="0"/>
      <w:marTop w:val="0"/>
      <w:marBottom w:val="0"/>
      <w:divBdr>
        <w:top w:val="none" w:sz="0" w:space="0" w:color="auto"/>
        <w:left w:val="none" w:sz="0" w:space="0" w:color="auto"/>
        <w:bottom w:val="none" w:sz="0" w:space="0" w:color="auto"/>
        <w:right w:val="none" w:sz="0" w:space="0" w:color="auto"/>
      </w:divBdr>
    </w:div>
    <w:div w:id="21438853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mocracyforum@ohchr.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aw.ox.ac.uk/node/15879" TargetMode="External"/><Relationship Id="rId1" Type="http://schemas.openxmlformats.org/officeDocument/2006/relationships/hyperlink" Target="https://www.law.ox.ac.uk/research-and-subject-groups/parliaments-rule-law-and-human-rights-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7B8C0-8598-4BB4-AA32-D318E5A230BB}"/>
</file>

<file path=customXml/itemProps2.xml><?xml version="1.0" encoding="utf-8"?>
<ds:datastoreItem xmlns:ds="http://schemas.openxmlformats.org/officeDocument/2006/customXml" ds:itemID="{9C22949A-C52A-4050-8229-FF27A0C46A7C}"/>
</file>

<file path=customXml/itemProps3.xml><?xml version="1.0" encoding="utf-8"?>
<ds:datastoreItem xmlns:ds="http://schemas.openxmlformats.org/officeDocument/2006/customXml" ds:itemID="{F6FB9709-1978-4D3E-A789-0F51410D6A15}"/>
</file>

<file path=docProps/app.xml><?xml version="1.0" encoding="utf-8"?>
<Properties xmlns="http://schemas.openxmlformats.org/officeDocument/2006/extended-properties" xmlns:vt="http://schemas.openxmlformats.org/officeDocument/2006/docPropsVTypes">
  <Template>Normal.dotm</Template>
  <TotalTime>1</TotalTime>
  <Pages>3</Pages>
  <Words>1164</Words>
  <Characters>6639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Chang</dc:creator>
  <cp:keywords/>
  <dc:description/>
  <cp:lastModifiedBy>Natasha Andrews</cp:lastModifiedBy>
  <cp:revision>2</cp:revision>
  <dcterms:created xsi:type="dcterms:W3CDTF">2018-07-25T08:04:00Z</dcterms:created>
  <dcterms:modified xsi:type="dcterms:W3CDTF">2018-07-25T08:04:00Z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