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2207B" w14:textId="77777777" w:rsidR="00B55792" w:rsidRDefault="00B55792" w:rsidP="00186C7F">
      <w:pPr>
        <w:jc w:val="center"/>
        <w:rPr>
          <w:b/>
          <w:lang w:val="en-GB"/>
        </w:rPr>
      </w:pPr>
      <w:bookmarkStart w:id="0" w:name="_GoBack"/>
      <w:bookmarkEnd w:id="0"/>
      <w:r>
        <w:rPr>
          <w:b/>
          <w:lang w:val="en-GB"/>
        </w:rPr>
        <w:t>COMMENTS BY SWITZERLAND</w:t>
      </w:r>
    </w:p>
    <w:p w14:paraId="09720997" w14:textId="77777777" w:rsidR="00D43C28" w:rsidRDefault="00D43C28" w:rsidP="00186C7F">
      <w:pPr>
        <w:jc w:val="center"/>
        <w:rPr>
          <w:b/>
          <w:lang w:val="en-GB"/>
        </w:rPr>
      </w:pPr>
    </w:p>
    <w:p w14:paraId="76E68F70" w14:textId="0619B4A0" w:rsidR="00D43C28" w:rsidRPr="00B55792" w:rsidRDefault="00274F50" w:rsidP="00D43C28">
      <w:pPr>
        <w:jc w:val="center"/>
        <w:rPr>
          <w:b/>
          <w:lang w:val="en-GB"/>
        </w:rPr>
      </w:pPr>
      <w:r w:rsidRPr="00B55792">
        <w:rPr>
          <w:b/>
          <w:lang w:val="en-GB"/>
        </w:rPr>
        <w:tab/>
      </w:r>
      <w:r w:rsidR="001F2211">
        <w:rPr>
          <w:b/>
          <w:lang w:val="en-GB"/>
        </w:rPr>
        <w:t>Working Group on Arbitrary Detention</w:t>
      </w:r>
      <w:r w:rsidRPr="00B55792">
        <w:rPr>
          <w:b/>
          <w:lang w:val="en-GB"/>
        </w:rPr>
        <w:t xml:space="preserve"> </w:t>
      </w:r>
    </w:p>
    <w:p w14:paraId="58BAAE0A" w14:textId="77777777" w:rsidR="004C77E0" w:rsidRPr="00274F50" w:rsidRDefault="00274F50" w:rsidP="00186C7F">
      <w:pPr>
        <w:jc w:val="center"/>
        <w:rPr>
          <w:b/>
          <w:i/>
          <w:lang w:val="en-US"/>
        </w:rPr>
      </w:pPr>
      <w:r w:rsidRPr="00274F50">
        <w:rPr>
          <w:b/>
          <w:i/>
          <w:lang w:val="en-US"/>
        </w:rPr>
        <w:t>Basic Principles and Guidelines on remedies and procedures on the right of anyone deprived of their liberty to bring proceedings before a court</w:t>
      </w:r>
    </w:p>
    <w:p w14:paraId="0572AF41" w14:textId="77777777" w:rsidR="000F5A62" w:rsidRDefault="000F5A62" w:rsidP="00186C7F">
      <w:pPr>
        <w:jc w:val="both"/>
        <w:rPr>
          <w:lang w:val="en-GB"/>
        </w:rPr>
      </w:pPr>
    </w:p>
    <w:p w14:paraId="1BBA0212" w14:textId="77777777" w:rsidR="000F5A62" w:rsidRDefault="000F5A62" w:rsidP="00186C7F">
      <w:pPr>
        <w:jc w:val="both"/>
        <w:rPr>
          <w:lang w:val="en-GB"/>
        </w:rPr>
      </w:pPr>
    </w:p>
    <w:p w14:paraId="3F116250" w14:textId="3DF01FE4" w:rsidR="000F5A62" w:rsidRPr="00E864A9" w:rsidRDefault="00E359D0" w:rsidP="00E864A9">
      <w:pPr>
        <w:jc w:val="both"/>
        <w:rPr>
          <w:lang w:val="en-GB"/>
        </w:rPr>
      </w:pPr>
      <w:r w:rsidRPr="00E864A9">
        <w:rPr>
          <w:lang w:val="en-GB"/>
        </w:rPr>
        <w:t xml:space="preserve">The Permanent Mission of </w:t>
      </w:r>
      <w:r w:rsidR="001F2211" w:rsidRPr="00E864A9">
        <w:rPr>
          <w:lang w:val="en-GB"/>
        </w:rPr>
        <w:t xml:space="preserve">Switzerland </w:t>
      </w:r>
      <w:r w:rsidRPr="00E864A9">
        <w:rPr>
          <w:lang w:val="en-GB"/>
        </w:rPr>
        <w:t>presents its compliments to the Office of the United Nations High Commissioner for Human Rights and the United Nations Working Group on Arbitrary Detention</w:t>
      </w:r>
      <w:r w:rsidR="00293994" w:rsidRPr="00E864A9">
        <w:rPr>
          <w:lang w:val="en-GB"/>
        </w:rPr>
        <w:t xml:space="preserve"> </w:t>
      </w:r>
      <w:r w:rsidRPr="00E864A9">
        <w:rPr>
          <w:lang w:val="en-GB"/>
        </w:rPr>
        <w:t xml:space="preserve">and has the honour to refer to the </w:t>
      </w:r>
      <w:r w:rsidR="00567426" w:rsidRPr="00E864A9">
        <w:rPr>
          <w:lang w:val="en-GB"/>
        </w:rPr>
        <w:t xml:space="preserve">United Nations </w:t>
      </w:r>
      <w:r w:rsidRPr="00E864A9">
        <w:rPr>
          <w:lang w:val="en-GB"/>
        </w:rPr>
        <w:t xml:space="preserve">Basic Principles and Guidelines on remedies and procedures on the right of anyone deprived of their liberty to bring proceedings before a court (hereinafter “Basic Principles and Guidelines”) adopted by the </w:t>
      </w:r>
      <w:r w:rsidR="00A5732A">
        <w:rPr>
          <w:lang w:val="en-GB"/>
        </w:rPr>
        <w:t>Working Group</w:t>
      </w:r>
      <w:r w:rsidRPr="00E864A9">
        <w:rPr>
          <w:lang w:val="en-GB"/>
        </w:rPr>
        <w:t xml:space="preserve"> in </w:t>
      </w:r>
      <w:r w:rsidR="00BF2682">
        <w:rPr>
          <w:lang w:val="en-GB"/>
        </w:rPr>
        <w:t>April</w:t>
      </w:r>
      <w:r w:rsidRPr="00E864A9">
        <w:rPr>
          <w:lang w:val="en-GB"/>
        </w:rPr>
        <w:t xml:space="preserve"> 2015. </w:t>
      </w:r>
    </w:p>
    <w:p w14:paraId="16E1C681" w14:textId="77777777" w:rsidR="00E864A9" w:rsidRPr="00E864A9" w:rsidRDefault="00E864A9" w:rsidP="00E864A9">
      <w:pPr>
        <w:pStyle w:val="ListParagraph"/>
        <w:jc w:val="both"/>
        <w:rPr>
          <w:lang w:val="en-GB"/>
        </w:rPr>
      </w:pPr>
    </w:p>
    <w:p w14:paraId="7DB2AE0D" w14:textId="48B6F5AF" w:rsidR="000F5A62" w:rsidRPr="00E864A9" w:rsidRDefault="00E359D0" w:rsidP="00E864A9">
      <w:pPr>
        <w:jc w:val="both"/>
        <w:rPr>
          <w:lang w:val="en-GB"/>
        </w:rPr>
      </w:pPr>
      <w:r w:rsidRPr="00E864A9">
        <w:rPr>
          <w:lang w:val="en-GB"/>
        </w:rPr>
        <w:t xml:space="preserve">Switzerland </w:t>
      </w:r>
      <w:r w:rsidR="00151DCB" w:rsidRPr="00E864A9">
        <w:rPr>
          <w:lang w:val="en-GB"/>
        </w:rPr>
        <w:t xml:space="preserve">appreciates </w:t>
      </w:r>
      <w:r w:rsidR="001F2211" w:rsidRPr="00E864A9">
        <w:rPr>
          <w:lang w:val="en-GB"/>
        </w:rPr>
        <w:t xml:space="preserve">the </w:t>
      </w:r>
      <w:r w:rsidR="000F5A62" w:rsidRPr="00E864A9">
        <w:rPr>
          <w:lang w:val="en-GB"/>
        </w:rPr>
        <w:t>work of the Working Group on Arbitrary Detention in promoting human rights and wishes to thank the Working Group for the opportunity to comment on the</w:t>
      </w:r>
      <w:r w:rsidR="00B06A53" w:rsidRPr="00E864A9">
        <w:rPr>
          <w:lang w:val="en-GB"/>
        </w:rPr>
        <w:t xml:space="preserve"> Basic Principles and Guidelines</w:t>
      </w:r>
      <w:r w:rsidR="001F2211" w:rsidRPr="00E864A9">
        <w:rPr>
          <w:lang w:val="en-GB"/>
        </w:rPr>
        <w:t xml:space="preserve">. In a collaborative and constructive spirit, Switzerland takes advantage of this opportunity to make the </w:t>
      </w:r>
      <w:r w:rsidR="00E864A9" w:rsidRPr="00E864A9">
        <w:rPr>
          <w:lang w:val="en-GB"/>
        </w:rPr>
        <w:t xml:space="preserve">following </w:t>
      </w:r>
      <w:r w:rsidR="00D43C28" w:rsidRPr="00E864A9">
        <w:rPr>
          <w:lang w:val="en-GB"/>
        </w:rPr>
        <w:t>remarks</w:t>
      </w:r>
      <w:r w:rsidR="00E864A9" w:rsidRPr="00E864A9">
        <w:rPr>
          <w:lang w:val="en-GB"/>
        </w:rPr>
        <w:t>:</w:t>
      </w:r>
    </w:p>
    <w:p w14:paraId="609C444A" w14:textId="77777777" w:rsidR="00186C7F" w:rsidRDefault="00186C7F" w:rsidP="00186C7F">
      <w:pPr>
        <w:jc w:val="both"/>
        <w:rPr>
          <w:b/>
          <w:lang w:val="en-GB"/>
        </w:rPr>
      </w:pPr>
    </w:p>
    <w:p w14:paraId="5D3F2D44" w14:textId="77777777" w:rsidR="00E864A9" w:rsidRDefault="00E864A9" w:rsidP="00186C7F">
      <w:pPr>
        <w:jc w:val="both"/>
        <w:rPr>
          <w:b/>
          <w:lang w:val="en-GB"/>
        </w:rPr>
      </w:pPr>
    </w:p>
    <w:p w14:paraId="18C8310B" w14:textId="530E3A8D" w:rsidR="00EE55D0" w:rsidRDefault="00EE55D0" w:rsidP="00186C7F">
      <w:pPr>
        <w:jc w:val="both"/>
        <w:rPr>
          <w:b/>
          <w:lang w:val="en-GB"/>
        </w:rPr>
      </w:pPr>
      <w:r w:rsidRPr="00EE55D0">
        <w:rPr>
          <w:b/>
          <w:lang w:val="en-GB"/>
        </w:rPr>
        <w:t>General remarks:</w:t>
      </w:r>
    </w:p>
    <w:p w14:paraId="412C6E9D" w14:textId="77777777" w:rsidR="00186C7F" w:rsidRPr="00EE55D0" w:rsidRDefault="00186C7F" w:rsidP="00186C7F">
      <w:pPr>
        <w:jc w:val="both"/>
        <w:rPr>
          <w:b/>
          <w:lang w:val="en-GB"/>
        </w:rPr>
      </w:pPr>
    </w:p>
    <w:p w14:paraId="48B0514A" w14:textId="02A3DC3B" w:rsidR="00283680" w:rsidRDefault="00250F1E" w:rsidP="00186C7F">
      <w:pPr>
        <w:pStyle w:val="ListParagraph"/>
        <w:numPr>
          <w:ilvl w:val="0"/>
          <w:numId w:val="1"/>
        </w:numPr>
        <w:jc w:val="both"/>
        <w:rPr>
          <w:lang w:val="en-GB"/>
        </w:rPr>
      </w:pPr>
      <w:r>
        <w:rPr>
          <w:lang w:val="en-GB"/>
        </w:rPr>
        <w:t xml:space="preserve">In the following comments, Switzerland wishes to highlight some of the most pressing issues regarding the Basic Principles and Guidelines adopted by the </w:t>
      </w:r>
      <w:r w:rsidR="00CB1511">
        <w:rPr>
          <w:lang w:val="en-GB"/>
        </w:rPr>
        <w:t xml:space="preserve">United Nations </w:t>
      </w:r>
      <w:r w:rsidR="00CB1511" w:rsidRPr="00E359D0">
        <w:rPr>
          <w:lang w:val="en-GB"/>
        </w:rPr>
        <w:t>Working Group on Arbitrary Detention</w:t>
      </w:r>
      <w:r w:rsidR="00CB1511">
        <w:rPr>
          <w:lang w:val="en-GB"/>
        </w:rPr>
        <w:t xml:space="preserve"> (</w:t>
      </w:r>
      <w:r>
        <w:rPr>
          <w:lang w:val="en-GB"/>
        </w:rPr>
        <w:t>WGAD</w:t>
      </w:r>
      <w:r w:rsidR="00CB1511">
        <w:rPr>
          <w:lang w:val="en-GB"/>
        </w:rPr>
        <w:t>)</w:t>
      </w:r>
      <w:r>
        <w:rPr>
          <w:lang w:val="en-GB"/>
        </w:rPr>
        <w:t xml:space="preserve">. It would go beyond the scope of the present remarks to address every “Principle” and each “Guideline”. However, the fact that a “Principle” or “Guideline” is not addressed in these remarks does not </w:t>
      </w:r>
      <w:r w:rsidR="00EE3DA1">
        <w:rPr>
          <w:lang w:val="en-GB"/>
        </w:rPr>
        <w:t xml:space="preserve">constitute acquiescence with the wording of the </w:t>
      </w:r>
      <w:r w:rsidR="00EB67FF">
        <w:rPr>
          <w:lang w:val="en-GB"/>
        </w:rPr>
        <w:t>WGAD</w:t>
      </w:r>
      <w:r w:rsidR="00EE3DA1">
        <w:rPr>
          <w:lang w:val="en-GB"/>
        </w:rPr>
        <w:t xml:space="preserve">’s </w:t>
      </w:r>
      <w:r w:rsidR="005A7B42">
        <w:rPr>
          <w:lang w:val="en-GB"/>
        </w:rPr>
        <w:t>text</w:t>
      </w:r>
      <w:r w:rsidR="00EE3DA1">
        <w:rPr>
          <w:lang w:val="en-GB"/>
        </w:rPr>
        <w:t>.</w:t>
      </w:r>
    </w:p>
    <w:p w14:paraId="4BA2CAA9" w14:textId="77777777" w:rsidR="00E03A66" w:rsidRPr="00E03A66" w:rsidRDefault="00E03A66" w:rsidP="00E03A66">
      <w:pPr>
        <w:jc w:val="both"/>
        <w:rPr>
          <w:lang w:val="en-GB"/>
        </w:rPr>
      </w:pPr>
    </w:p>
    <w:p w14:paraId="4B297975" w14:textId="6B0B4749" w:rsidR="005F3D73" w:rsidRPr="005F3D73" w:rsidRDefault="00E03A66" w:rsidP="005F3D73">
      <w:pPr>
        <w:pStyle w:val="ListParagraph"/>
        <w:numPr>
          <w:ilvl w:val="0"/>
          <w:numId w:val="1"/>
        </w:numPr>
        <w:jc w:val="both"/>
        <w:rPr>
          <w:lang w:val="en-GB"/>
        </w:rPr>
      </w:pPr>
      <w:r w:rsidRPr="00283680">
        <w:rPr>
          <w:lang w:val="en-GB"/>
        </w:rPr>
        <w:t xml:space="preserve">Switzerland notes that </w:t>
      </w:r>
      <w:r>
        <w:rPr>
          <w:lang w:val="en-GB"/>
        </w:rPr>
        <w:t>t</w:t>
      </w:r>
      <w:r w:rsidR="00283680" w:rsidRPr="00283680">
        <w:rPr>
          <w:lang w:val="en-GB"/>
        </w:rPr>
        <w:t xml:space="preserve">he WGAD has chosen a very wide </w:t>
      </w:r>
      <w:r w:rsidR="005F3D73">
        <w:rPr>
          <w:lang w:val="en-GB"/>
        </w:rPr>
        <w:t>scope of application</w:t>
      </w:r>
      <w:r w:rsidR="00283680" w:rsidRPr="00283680">
        <w:rPr>
          <w:lang w:val="en-GB"/>
        </w:rPr>
        <w:t xml:space="preserve">. </w:t>
      </w:r>
      <w:r w:rsidRPr="00283680">
        <w:rPr>
          <w:lang w:val="en-GB"/>
        </w:rPr>
        <w:t>At the same time,</w:t>
      </w:r>
      <w:r w:rsidRPr="00E03A66">
        <w:rPr>
          <w:lang w:val="en-GB"/>
        </w:rPr>
        <w:t xml:space="preserve"> </w:t>
      </w:r>
      <w:r w:rsidRPr="00283680">
        <w:rPr>
          <w:lang w:val="en-GB"/>
        </w:rPr>
        <w:t xml:space="preserve">the content of the Basic Principles and Guidelines </w:t>
      </w:r>
      <w:r w:rsidR="005F3D73">
        <w:rPr>
          <w:lang w:val="en-GB"/>
        </w:rPr>
        <w:t>is not limited</w:t>
      </w:r>
      <w:r>
        <w:rPr>
          <w:lang w:val="en-GB"/>
        </w:rPr>
        <w:t xml:space="preserve"> to the minimal standards regarding the right of anyone deprived of their liberty </w:t>
      </w:r>
      <w:r w:rsidR="005F3D73">
        <w:rPr>
          <w:lang w:val="en-GB"/>
        </w:rPr>
        <w:t xml:space="preserve">by arrest or detention </w:t>
      </w:r>
      <w:r>
        <w:rPr>
          <w:lang w:val="en-GB"/>
        </w:rPr>
        <w:t xml:space="preserve">to </w:t>
      </w:r>
      <w:r w:rsidR="005F3D73">
        <w:rPr>
          <w:lang w:val="en-GB"/>
        </w:rPr>
        <w:t>take</w:t>
      </w:r>
      <w:r>
        <w:rPr>
          <w:lang w:val="en-GB"/>
        </w:rPr>
        <w:t xml:space="preserve"> proceedings before court and </w:t>
      </w:r>
      <w:r w:rsidRPr="00E03A66">
        <w:rPr>
          <w:lang w:val="en-GB"/>
        </w:rPr>
        <w:t xml:space="preserve">in </w:t>
      </w:r>
      <w:r w:rsidR="005F3D73">
        <w:rPr>
          <w:lang w:val="en-GB"/>
        </w:rPr>
        <w:t>some</w:t>
      </w:r>
      <w:r w:rsidRPr="00E03A66">
        <w:rPr>
          <w:lang w:val="en-GB"/>
        </w:rPr>
        <w:t xml:space="preserve"> respects goes far beyond current international standards. </w:t>
      </w:r>
      <w:r w:rsidR="00F653A4">
        <w:rPr>
          <w:lang w:val="en-GB"/>
        </w:rPr>
        <w:t>Further, as the sources used to establish the Principles and Guidelines are not limited to universal documents, a more careful formulation of the wording would have been more appropriate and adequate.</w:t>
      </w:r>
    </w:p>
    <w:p w14:paraId="704799DB" w14:textId="77777777" w:rsidR="00FA1A85" w:rsidRDefault="00FA1A85" w:rsidP="00186C7F">
      <w:pPr>
        <w:pStyle w:val="ListParagraph"/>
        <w:ind w:left="360"/>
        <w:jc w:val="both"/>
        <w:rPr>
          <w:lang w:val="en-GB"/>
        </w:rPr>
      </w:pPr>
    </w:p>
    <w:p w14:paraId="5DDF45BB" w14:textId="1B2270DE" w:rsidR="00102B5C" w:rsidRDefault="00FA1A85" w:rsidP="00186C7F">
      <w:pPr>
        <w:pStyle w:val="ListParagraph"/>
        <w:numPr>
          <w:ilvl w:val="0"/>
          <w:numId w:val="1"/>
        </w:numPr>
        <w:jc w:val="both"/>
        <w:rPr>
          <w:lang w:val="en-GB"/>
        </w:rPr>
      </w:pPr>
      <w:r>
        <w:rPr>
          <w:lang w:val="en-GB"/>
        </w:rPr>
        <w:t>Even</w:t>
      </w:r>
      <w:r w:rsidR="0054334F">
        <w:rPr>
          <w:lang w:val="en-GB"/>
        </w:rPr>
        <w:t xml:space="preserve"> though the WGAD</w:t>
      </w:r>
      <w:r w:rsidR="00FC1E95">
        <w:rPr>
          <w:lang w:val="en-GB"/>
        </w:rPr>
        <w:t xml:space="preserve"> has stated that the Basic Principles and Guidelines are drawn from “international standards” and “recognized good practice”</w:t>
      </w:r>
      <w:r>
        <w:rPr>
          <w:lang w:val="en-GB"/>
        </w:rPr>
        <w:t>, the WGAD</w:t>
      </w:r>
      <w:r w:rsidR="00FC1E95">
        <w:rPr>
          <w:lang w:val="en-GB"/>
        </w:rPr>
        <w:t xml:space="preserve"> has not explicitly differentiated between States’ </w:t>
      </w:r>
      <w:r w:rsidR="001C26B8">
        <w:rPr>
          <w:lang w:val="en-GB"/>
        </w:rPr>
        <w:t xml:space="preserve">legal </w:t>
      </w:r>
      <w:r w:rsidR="00FC1E95">
        <w:rPr>
          <w:lang w:val="en-GB"/>
        </w:rPr>
        <w:t>obligations and non-binding</w:t>
      </w:r>
      <w:r w:rsidR="004C2A8C">
        <w:rPr>
          <w:lang w:val="en-GB"/>
        </w:rPr>
        <w:t xml:space="preserve"> commitments and</w:t>
      </w:r>
      <w:r w:rsidR="00FC1E95">
        <w:rPr>
          <w:lang w:val="en-GB"/>
        </w:rPr>
        <w:t xml:space="preserve"> </w:t>
      </w:r>
      <w:r w:rsidR="004C2A8C">
        <w:rPr>
          <w:lang w:val="en-GB"/>
        </w:rPr>
        <w:t>“</w:t>
      </w:r>
      <w:r w:rsidR="00FC1E95">
        <w:rPr>
          <w:lang w:val="en-GB"/>
        </w:rPr>
        <w:t>good</w:t>
      </w:r>
      <w:r w:rsidR="004C2A8C">
        <w:rPr>
          <w:lang w:val="en-GB"/>
        </w:rPr>
        <w:t xml:space="preserve"> practices” regarding their</w:t>
      </w:r>
      <w:r w:rsidR="00FC1E95">
        <w:rPr>
          <w:lang w:val="en-GB"/>
        </w:rPr>
        <w:t xml:space="preserve"> implementation</w:t>
      </w:r>
      <w:r w:rsidR="004C2A8C">
        <w:rPr>
          <w:lang w:val="en-GB"/>
        </w:rPr>
        <w:t xml:space="preserve"> </w:t>
      </w:r>
      <w:r w:rsidR="002260C7">
        <w:rPr>
          <w:lang w:val="en-GB"/>
        </w:rPr>
        <w:t>– not in terms of content, nor in terms of language</w:t>
      </w:r>
      <w:r w:rsidR="00FC1E95">
        <w:rPr>
          <w:lang w:val="en-GB"/>
        </w:rPr>
        <w:t xml:space="preserve">. Switzerland </w:t>
      </w:r>
      <w:r w:rsidR="004C2A8C">
        <w:rPr>
          <w:lang w:val="en-GB"/>
        </w:rPr>
        <w:t>is concerned</w:t>
      </w:r>
      <w:r w:rsidR="00FC1E95">
        <w:rPr>
          <w:lang w:val="en-GB"/>
        </w:rPr>
        <w:t xml:space="preserve"> that such an approach </w:t>
      </w:r>
      <w:r w:rsidR="004C2A8C">
        <w:rPr>
          <w:lang w:val="en-GB"/>
        </w:rPr>
        <w:t>could blur</w:t>
      </w:r>
      <w:r w:rsidR="00FC1E95">
        <w:rPr>
          <w:lang w:val="en-GB"/>
        </w:rPr>
        <w:t xml:space="preserve"> the difference between </w:t>
      </w:r>
      <w:r w:rsidR="001C26B8">
        <w:rPr>
          <w:lang w:val="en-GB"/>
        </w:rPr>
        <w:t xml:space="preserve">legally </w:t>
      </w:r>
      <w:r w:rsidR="00FC1E95">
        <w:rPr>
          <w:lang w:val="en-GB"/>
        </w:rPr>
        <w:t>binding obligations and non-binding principles, guidelines and the like.</w:t>
      </w:r>
      <w:r w:rsidR="00990BCC">
        <w:rPr>
          <w:lang w:val="en-GB"/>
        </w:rPr>
        <w:t xml:space="preserve"> Noting that the Basic Principles and Guidelines “should not be interpreted as providing a lesser protection than provided under existing national laws and regulations and international and regional human rights conventions and covenants” does not </w:t>
      </w:r>
      <w:r w:rsidR="001C26B8">
        <w:rPr>
          <w:lang w:val="en-GB"/>
        </w:rPr>
        <w:t>sufficiently mitigate</w:t>
      </w:r>
      <w:r w:rsidR="00CB1511">
        <w:rPr>
          <w:lang w:val="en-GB"/>
        </w:rPr>
        <w:t xml:space="preserve"> this problem.</w:t>
      </w:r>
    </w:p>
    <w:p w14:paraId="56881BF4" w14:textId="77777777" w:rsidR="00102B5C" w:rsidRPr="00102B5C" w:rsidRDefault="00102B5C" w:rsidP="00186C7F">
      <w:pPr>
        <w:jc w:val="both"/>
        <w:rPr>
          <w:lang w:val="en-GB"/>
        </w:rPr>
      </w:pPr>
    </w:p>
    <w:p w14:paraId="6072FA67" w14:textId="09B92B1D" w:rsidR="00CB1511" w:rsidRDefault="00102B5C" w:rsidP="00CB1511">
      <w:pPr>
        <w:pStyle w:val="ListParagraph"/>
        <w:numPr>
          <w:ilvl w:val="0"/>
          <w:numId w:val="1"/>
        </w:numPr>
        <w:jc w:val="both"/>
        <w:rPr>
          <w:lang w:val="en-GB"/>
        </w:rPr>
      </w:pPr>
      <w:r>
        <w:rPr>
          <w:lang w:val="en-GB"/>
        </w:rPr>
        <w:t xml:space="preserve">For Switzerland, the difference between “Principles” and “Guidelines”, around which the document is structured, does not </w:t>
      </w:r>
      <w:r w:rsidR="00CB1511">
        <w:rPr>
          <w:lang w:val="en-GB"/>
        </w:rPr>
        <w:t xml:space="preserve">always </w:t>
      </w:r>
      <w:r>
        <w:rPr>
          <w:lang w:val="en-GB"/>
        </w:rPr>
        <w:t>become apparent. Some of the “Principles” seem to contain</w:t>
      </w:r>
      <w:r w:rsidR="00224CD7">
        <w:rPr>
          <w:lang w:val="en-GB"/>
        </w:rPr>
        <w:t xml:space="preserve"> best practices or examples, while some content of some “Guidelines” constitutes elements of </w:t>
      </w:r>
      <w:r w:rsidR="004C2A8C">
        <w:rPr>
          <w:lang w:val="en-GB"/>
        </w:rPr>
        <w:t xml:space="preserve">legally </w:t>
      </w:r>
      <w:r w:rsidR="00224CD7">
        <w:rPr>
          <w:lang w:val="en-GB"/>
        </w:rPr>
        <w:t xml:space="preserve">binding obligations. </w:t>
      </w:r>
      <w:r w:rsidR="00324595">
        <w:rPr>
          <w:lang w:val="en-GB"/>
        </w:rPr>
        <w:t>In order to provide useful guidance, Switzerland recommends keeping the Basic Principles and Guidelines clear, focused and short. Further, terminology should be streamlined throughout the text.</w:t>
      </w:r>
    </w:p>
    <w:p w14:paraId="1743012B" w14:textId="77777777" w:rsidR="00186C7F" w:rsidRPr="00186C7F" w:rsidRDefault="00186C7F" w:rsidP="00186C7F">
      <w:pPr>
        <w:jc w:val="both"/>
        <w:rPr>
          <w:lang w:val="en-GB"/>
        </w:rPr>
      </w:pPr>
    </w:p>
    <w:p w14:paraId="1E194D80" w14:textId="77777777" w:rsidR="00B26244" w:rsidRDefault="00B26244" w:rsidP="00186C7F">
      <w:pPr>
        <w:jc w:val="both"/>
        <w:rPr>
          <w:b/>
          <w:lang w:val="en-GB"/>
        </w:rPr>
      </w:pPr>
    </w:p>
    <w:p w14:paraId="4BBEF580" w14:textId="64C90CD8" w:rsidR="00B26244" w:rsidRDefault="00B26244" w:rsidP="00186C7F">
      <w:pPr>
        <w:jc w:val="both"/>
        <w:rPr>
          <w:b/>
          <w:lang w:val="en-GB"/>
        </w:rPr>
      </w:pPr>
      <w:r>
        <w:rPr>
          <w:b/>
          <w:lang w:val="en-GB"/>
        </w:rPr>
        <w:t>Detailed remarks</w:t>
      </w:r>
      <w:r w:rsidR="00BF2682">
        <w:rPr>
          <w:b/>
          <w:lang w:val="en-GB"/>
        </w:rPr>
        <w:t xml:space="preserve"> (non-exhaustive)</w:t>
      </w:r>
      <w:r>
        <w:rPr>
          <w:b/>
          <w:lang w:val="en-GB"/>
        </w:rPr>
        <w:t>:</w:t>
      </w:r>
    </w:p>
    <w:p w14:paraId="77DD0CB5" w14:textId="77777777" w:rsidR="00B26244" w:rsidRDefault="00B26244" w:rsidP="00186C7F">
      <w:pPr>
        <w:jc w:val="both"/>
        <w:rPr>
          <w:b/>
          <w:lang w:val="en-GB"/>
        </w:rPr>
      </w:pPr>
    </w:p>
    <w:p w14:paraId="51929A2E" w14:textId="479B6CD6" w:rsidR="00033242" w:rsidRPr="00C56DF8" w:rsidRDefault="004F6BE3" w:rsidP="00186C7F">
      <w:pPr>
        <w:jc w:val="both"/>
        <w:rPr>
          <w:b/>
          <w:i/>
          <w:lang w:val="en-GB"/>
        </w:rPr>
      </w:pPr>
      <w:r>
        <w:rPr>
          <w:b/>
          <w:i/>
          <w:lang w:val="en-GB"/>
        </w:rPr>
        <w:t>Definition of “</w:t>
      </w:r>
      <w:r w:rsidR="00033242" w:rsidRPr="00C56DF8">
        <w:rPr>
          <w:b/>
          <w:i/>
          <w:lang w:val="en-GB"/>
        </w:rPr>
        <w:t>arbitrary detention</w:t>
      </w:r>
      <w:r>
        <w:rPr>
          <w:b/>
          <w:i/>
          <w:lang w:val="en-GB"/>
        </w:rPr>
        <w:t>”</w:t>
      </w:r>
      <w:r w:rsidR="00033242" w:rsidRPr="00C56DF8">
        <w:rPr>
          <w:b/>
          <w:i/>
          <w:lang w:val="en-GB"/>
        </w:rPr>
        <w:t>:</w:t>
      </w:r>
    </w:p>
    <w:p w14:paraId="2E121978" w14:textId="77777777" w:rsidR="00033242" w:rsidRDefault="00033242" w:rsidP="00186C7F">
      <w:pPr>
        <w:jc w:val="both"/>
        <w:rPr>
          <w:b/>
          <w:i/>
          <w:lang w:val="en-GB"/>
        </w:rPr>
      </w:pPr>
    </w:p>
    <w:p w14:paraId="3906B115" w14:textId="14A93812" w:rsidR="00033242" w:rsidRDefault="00033242" w:rsidP="00033242">
      <w:pPr>
        <w:pStyle w:val="ListParagraph"/>
        <w:numPr>
          <w:ilvl w:val="0"/>
          <w:numId w:val="1"/>
        </w:numPr>
        <w:jc w:val="both"/>
        <w:rPr>
          <w:lang w:val="en-GB"/>
        </w:rPr>
      </w:pPr>
      <w:r w:rsidRPr="00033242">
        <w:rPr>
          <w:lang w:val="en-GB"/>
        </w:rPr>
        <w:t>Switzerland</w:t>
      </w:r>
      <w:r>
        <w:rPr>
          <w:lang w:val="en-GB"/>
        </w:rPr>
        <w:t xml:space="preserve"> notes that the definition applied</w:t>
      </w:r>
      <w:r w:rsidR="00ED57B1">
        <w:rPr>
          <w:lang w:val="en-GB"/>
        </w:rPr>
        <w:t xml:space="preserve"> by the WGAD (para. 10) is particularly broad and does not necessarily reflect common notions of when a detention is to be characterized as arbitrary. Such an approach lacks the necessary focus and risks impeaching the credibility of useful UN guidance on the subject matter.</w:t>
      </w:r>
    </w:p>
    <w:p w14:paraId="73FAEE33" w14:textId="77777777" w:rsidR="00ED57B1" w:rsidRPr="002B27B6" w:rsidRDefault="00ED57B1" w:rsidP="007852EC">
      <w:pPr>
        <w:rPr>
          <w:lang w:val="en-US"/>
        </w:rPr>
      </w:pPr>
    </w:p>
    <w:p w14:paraId="5A078C9D" w14:textId="270BE720" w:rsidR="007852EC" w:rsidRPr="004F6BE3" w:rsidRDefault="004F6BE3" w:rsidP="007852EC">
      <w:pPr>
        <w:rPr>
          <w:b/>
          <w:i/>
          <w:lang w:val="en-US"/>
        </w:rPr>
      </w:pPr>
      <w:r w:rsidRPr="004F6BE3">
        <w:rPr>
          <w:b/>
          <w:i/>
          <w:lang w:val="en-US"/>
        </w:rPr>
        <w:t>Expansion to “private relationships”:</w:t>
      </w:r>
    </w:p>
    <w:p w14:paraId="2BA28227" w14:textId="77777777" w:rsidR="007852EC" w:rsidRPr="004F6BE3" w:rsidRDefault="007852EC" w:rsidP="007852EC">
      <w:pPr>
        <w:rPr>
          <w:lang w:val="en-US"/>
        </w:rPr>
      </w:pPr>
    </w:p>
    <w:p w14:paraId="4C65024B" w14:textId="09CAF2EF" w:rsidR="00D565B4" w:rsidRDefault="00D565B4" w:rsidP="00D565B4">
      <w:pPr>
        <w:pStyle w:val="ListParagraph"/>
        <w:numPr>
          <w:ilvl w:val="0"/>
          <w:numId w:val="1"/>
        </w:numPr>
        <w:jc w:val="both"/>
        <w:rPr>
          <w:lang w:val="en-US"/>
        </w:rPr>
      </w:pPr>
      <w:r w:rsidRPr="000C2286">
        <w:rPr>
          <w:lang w:val="en-US"/>
        </w:rPr>
        <w:t xml:space="preserve">The </w:t>
      </w:r>
      <w:r>
        <w:rPr>
          <w:lang w:val="en-US"/>
        </w:rPr>
        <w:t xml:space="preserve">direct </w:t>
      </w:r>
      <w:r w:rsidRPr="000C2286">
        <w:rPr>
          <w:lang w:val="en-US"/>
        </w:rPr>
        <w:t xml:space="preserve">application of the right to take proceedings before a court to challenge the arbitrariness and lawfulness of detention </w:t>
      </w:r>
      <w:r w:rsidR="007852EC">
        <w:rPr>
          <w:lang w:val="en-US"/>
        </w:rPr>
        <w:t>“</w:t>
      </w:r>
      <w:r>
        <w:rPr>
          <w:lang w:val="en-US"/>
        </w:rPr>
        <w:t xml:space="preserve">in private relationships” </w:t>
      </w:r>
      <w:r w:rsidR="00606989">
        <w:rPr>
          <w:lang w:val="en-US"/>
        </w:rPr>
        <w:t>in principle 2 (</w:t>
      </w:r>
      <w:r w:rsidR="000229B3">
        <w:rPr>
          <w:lang w:val="en-US"/>
        </w:rPr>
        <w:t xml:space="preserve">para. 20) </w:t>
      </w:r>
      <w:r>
        <w:rPr>
          <w:lang w:val="en-US"/>
        </w:rPr>
        <w:t>leaves many questions unanswered and cannot be supported in such a broad and unclear formulation.</w:t>
      </w:r>
    </w:p>
    <w:p w14:paraId="753DF019" w14:textId="77777777" w:rsidR="00D565B4" w:rsidRPr="00D565B4" w:rsidRDefault="00D565B4" w:rsidP="000C2286">
      <w:pPr>
        <w:pStyle w:val="ListParagraph"/>
        <w:rPr>
          <w:lang w:val="en-US"/>
        </w:rPr>
      </w:pPr>
    </w:p>
    <w:p w14:paraId="16B1C561" w14:textId="3D6DBADF" w:rsidR="00D565B4" w:rsidRDefault="000C2286" w:rsidP="00D565B4">
      <w:pPr>
        <w:jc w:val="both"/>
        <w:rPr>
          <w:b/>
          <w:i/>
          <w:lang w:val="en-GB"/>
        </w:rPr>
      </w:pPr>
      <w:r>
        <w:rPr>
          <w:b/>
          <w:i/>
          <w:lang w:val="en-GB"/>
        </w:rPr>
        <w:t>Statute of</w:t>
      </w:r>
      <w:r w:rsidR="00D565B4">
        <w:rPr>
          <w:b/>
          <w:i/>
          <w:lang w:val="en-GB"/>
        </w:rPr>
        <w:t xml:space="preserve"> limitation</w:t>
      </w:r>
      <w:r>
        <w:rPr>
          <w:b/>
          <w:i/>
          <w:lang w:val="en-GB"/>
        </w:rPr>
        <w:t>s</w:t>
      </w:r>
      <w:r w:rsidR="00D565B4">
        <w:rPr>
          <w:b/>
          <w:i/>
          <w:lang w:val="en-GB"/>
        </w:rPr>
        <w:t>:</w:t>
      </w:r>
    </w:p>
    <w:p w14:paraId="3FDE1984" w14:textId="77777777" w:rsidR="00D565B4" w:rsidRPr="000C2286" w:rsidRDefault="00D565B4" w:rsidP="000C2286">
      <w:pPr>
        <w:rPr>
          <w:lang w:val="en-GB"/>
        </w:rPr>
      </w:pPr>
    </w:p>
    <w:p w14:paraId="2A65F992" w14:textId="75EB47C6" w:rsidR="00ED57B1" w:rsidRPr="00B27DDE" w:rsidRDefault="00D565B4" w:rsidP="00B27DDE">
      <w:pPr>
        <w:pStyle w:val="ListParagraph"/>
        <w:numPr>
          <w:ilvl w:val="0"/>
          <w:numId w:val="1"/>
        </w:numPr>
        <w:jc w:val="both"/>
        <w:rPr>
          <w:lang w:val="en-US"/>
        </w:rPr>
      </w:pPr>
      <w:r>
        <w:rPr>
          <w:lang w:val="en-US"/>
        </w:rPr>
        <w:t xml:space="preserve"> </w:t>
      </w:r>
      <w:r w:rsidR="000C2286">
        <w:rPr>
          <w:lang w:val="en-US"/>
        </w:rPr>
        <w:t xml:space="preserve">Except for the most serious crimes, the statute of limitation is an essential element of the rule of law in Swiss legislation. </w:t>
      </w:r>
      <w:r w:rsidR="00B27DDE">
        <w:rPr>
          <w:lang w:val="en-US"/>
        </w:rPr>
        <w:t>The Swiss penal code</w:t>
      </w:r>
      <w:r w:rsidR="000C2286">
        <w:rPr>
          <w:lang w:val="en-US"/>
        </w:rPr>
        <w:t xml:space="preserve"> does not consider </w:t>
      </w:r>
      <w:r w:rsidR="00B27DDE">
        <w:rPr>
          <w:lang w:val="en-US"/>
        </w:rPr>
        <w:t xml:space="preserve">violations of </w:t>
      </w:r>
      <w:r w:rsidR="000C2286">
        <w:rPr>
          <w:lang w:val="en-US"/>
        </w:rPr>
        <w:t xml:space="preserve">the right to bring proceedings before a court </w:t>
      </w:r>
      <w:r w:rsidR="00B27DDE">
        <w:rPr>
          <w:lang w:val="en-US"/>
        </w:rPr>
        <w:t>as a most serious crime which would not</w:t>
      </w:r>
      <w:r w:rsidR="000C2286" w:rsidRPr="000C2286">
        <w:rPr>
          <w:lang w:val="en-US"/>
        </w:rPr>
        <w:t xml:space="preserve"> </w:t>
      </w:r>
      <w:r w:rsidR="00B27DDE">
        <w:rPr>
          <w:lang w:val="en-US"/>
        </w:rPr>
        <w:t xml:space="preserve">be </w:t>
      </w:r>
      <w:r w:rsidR="000C2286" w:rsidRPr="000C2286">
        <w:rPr>
          <w:lang w:val="en-US"/>
        </w:rPr>
        <w:t>subject to any statute of</w:t>
      </w:r>
      <w:r w:rsidR="00B27DDE">
        <w:rPr>
          <w:lang w:val="en-US"/>
        </w:rPr>
        <w:t xml:space="preserve"> </w:t>
      </w:r>
      <w:r w:rsidR="000C2286" w:rsidRPr="00B27DDE">
        <w:rPr>
          <w:lang w:val="en-US"/>
        </w:rPr>
        <w:t>limitations</w:t>
      </w:r>
      <w:r w:rsidR="00431CA0">
        <w:rPr>
          <w:lang w:val="en-US"/>
        </w:rPr>
        <w:t xml:space="preserve">, as the last sentence of principle 8 </w:t>
      </w:r>
      <w:r w:rsidR="000229B3">
        <w:rPr>
          <w:lang w:val="en-US"/>
        </w:rPr>
        <w:t xml:space="preserve">(para. 29) </w:t>
      </w:r>
      <w:r w:rsidR="00431CA0">
        <w:rPr>
          <w:lang w:val="en-US"/>
        </w:rPr>
        <w:t>seems to suggest</w:t>
      </w:r>
      <w:r w:rsidR="000C2286" w:rsidRPr="00B27DDE">
        <w:rPr>
          <w:lang w:val="en-US"/>
        </w:rPr>
        <w:t>.</w:t>
      </w:r>
      <w:r w:rsidR="006119A7">
        <w:rPr>
          <w:lang w:val="en-US"/>
        </w:rPr>
        <w:t xml:space="preserve"> The same holds true for the last sentence of principle 15 (para. 43).</w:t>
      </w:r>
    </w:p>
    <w:p w14:paraId="0031B7D2" w14:textId="77777777" w:rsidR="00033242" w:rsidRPr="000C2286" w:rsidRDefault="00033242" w:rsidP="00186C7F">
      <w:pPr>
        <w:jc w:val="both"/>
        <w:rPr>
          <w:b/>
          <w:i/>
          <w:lang w:val="en-US"/>
        </w:rPr>
      </w:pPr>
    </w:p>
    <w:p w14:paraId="0DD7A136" w14:textId="44A3B82F" w:rsidR="00C56DF8" w:rsidRDefault="00C56DF8" w:rsidP="00186C7F">
      <w:pPr>
        <w:jc w:val="both"/>
        <w:rPr>
          <w:b/>
          <w:i/>
          <w:lang w:val="en-GB"/>
        </w:rPr>
      </w:pPr>
      <w:r>
        <w:rPr>
          <w:b/>
          <w:i/>
          <w:lang w:val="en-GB"/>
        </w:rPr>
        <w:t>Persons able to bring proceedings before a court:</w:t>
      </w:r>
    </w:p>
    <w:p w14:paraId="35A2E122" w14:textId="77777777" w:rsidR="00C56DF8" w:rsidRDefault="00C56DF8" w:rsidP="00186C7F">
      <w:pPr>
        <w:jc w:val="both"/>
        <w:rPr>
          <w:lang w:val="en-GB"/>
        </w:rPr>
      </w:pPr>
    </w:p>
    <w:p w14:paraId="57DDACF4" w14:textId="77A95046" w:rsidR="00C56DF8" w:rsidRDefault="00C56DF8" w:rsidP="001B0E1E">
      <w:pPr>
        <w:pStyle w:val="ListParagraph"/>
        <w:numPr>
          <w:ilvl w:val="0"/>
          <w:numId w:val="1"/>
        </w:numPr>
        <w:jc w:val="both"/>
        <w:rPr>
          <w:lang w:val="en-GB"/>
        </w:rPr>
      </w:pPr>
      <w:r>
        <w:rPr>
          <w:lang w:val="en-GB"/>
        </w:rPr>
        <w:t xml:space="preserve">Switzerland apprehends that </w:t>
      </w:r>
      <w:r w:rsidR="004D2C82">
        <w:rPr>
          <w:lang w:val="en-GB"/>
        </w:rPr>
        <w:t>the</w:t>
      </w:r>
      <w:r>
        <w:rPr>
          <w:lang w:val="en-GB"/>
        </w:rPr>
        <w:t xml:space="preserve"> </w:t>
      </w:r>
      <w:r w:rsidR="000F5D8D">
        <w:rPr>
          <w:lang w:val="en-GB"/>
        </w:rPr>
        <w:t>broad</w:t>
      </w:r>
      <w:r>
        <w:rPr>
          <w:lang w:val="en-GB"/>
        </w:rPr>
        <w:t xml:space="preserve"> definition </w:t>
      </w:r>
      <w:r w:rsidR="004D2C82">
        <w:rPr>
          <w:lang w:val="en-GB"/>
        </w:rPr>
        <w:t xml:space="preserve">in principle 10 (para. 34) </w:t>
      </w:r>
      <w:r>
        <w:rPr>
          <w:lang w:val="en-GB"/>
        </w:rPr>
        <w:t>of persons able to bring proceedings before a court is counterproductive. While we</w:t>
      </w:r>
      <w:r w:rsidR="000F5D8D">
        <w:rPr>
          <w:lang w:val="en-GB"/>
        </w:rPr>
        <w:t xml:space="preserve"> recognize the need for persons with a legitimate interest to act on behalf of persons who, due to the circumstances, may lack the possibility to exercise their rights, the group of people should not exceed the formulation applied in the </w:t>
      </w:r>
      <w:r w:rsidR="000F5D8D" w:rsidRPr="000F5D8D">
        <w:rPr>
          <w:lang w:val="en-GB"/>
        </w:rPr>
        <w:t>International Convention for the Protection of All Persons from Enforced Disappearance</w:t>
      </w:r>
      <w:r w:rsidR="000F5D8D">
        <w:rPr>
          <w:lang w:val="en-GB"/>
        </w:rPr>
        <w:t xml:space="preserve"> (art. 17, para. 2, lit. f). A</w:t>
      </w:r>
      <w:r w:rsidR="00BF2682">
        <w:rPr>
          <w:lang w:val="en-GB"/>
        </w:rPr>
        <w:t>ny broad</w:t>
      </w:r>
      <w:r w:rsidR="000F5D8D">
        <w:rPr>
          <w:lang w:val="en-GB"/>
        </w:rPr>
        <w:t xml:space="preserve"> definition brings many problems, especially of a procedural nature, which are difficult to address.</w:t>
      </w:r>
    </w:p>
    <w:p w14:paraId="4AEC5037" w14:textId="77777777" w:rsidR="004D2C82" w:rsidRDefault="004D2C82" w:rsidP="001B0E1E">
      <w:pPr>
        <w:pStyle w:val="ListParagraph"/>
        <w:ind w:left="360"/>
        <w:jc w:val="both"/>
        <w:rPr>
          <w:lang w:val="en-GB"/>
        </w:rPr>
      </w:pPr>
    </w:p>
    <w:p w14:paraId="6CFD37DE" w14:textId="655FE142" w:rsidR="004D2C82" w:rsidRPr="001B0E1E" w:rsidRDefault="004D2C82" w:rsidP="001B0E1E">
      <w:pPr>
        <w:pStyle w:val="ListParagraph"/>
        <w:numPr>
          <w:ilvl w:val="0"/>
          <w:numId w:val="1"/>
        </w:numPr>
        <w:jc w:val="both"/>
        <w:rPr>
          <w:lang w:val="en-GB"/>
        </w:rPr>
      </w:pPr>
      <w:r>
        <w:rPr>
          <w:lang w:val="en-GB"/>
        </w:rPr>
        <w:t>The statement in principle 10 (para. 35) regarding the prohibition of restrictions is not in accordance with international standards</w:t>
      </w:r>
      <w:r w:rsidR="004F6ADD">
        <w:rPr>
          <w:lang w:val="en-GB"/>
        </w:rPr>
        <w:t xml:space="preserve"> and Swiss legislation</w:t>
      </w:r>
      <w:r>
        <w:rPr>
          <w:lang w:val="en-GB"/>
        </w:rPr>
        <w:t xml:space="preserve">. </w:t>
      </w:r>
      <w:r w:rsidR="001B0E1E">
        <w:rPr>
          <w:lang w:val="en-GB"/>
        </w:rPr>
        <w:t>While communication with the legal representative has to be facilitated in principle,</w:t>
      </w:r>
      <w:r w:rsidR="004F6ADD">
        <w:rPr>
          <w:lang w:val="en-GB"/>
        </w:rPr>
        <w:t xml:space="preserve"> contact with other persons (</w:t>
      </w:r>
      <w:r w:rsidR="001B0E1E">
        <w:rPr>
          <w:lang w:val="en-GB"/>
        </w:rPr>
        <w:t>including family members or “interested parties”</w:t>
      </w:r>
      <w:r w:rsidR="004F6ADD">
        <w:rPr>
          <w:lang w:val="en-GB"/>
        </w:rPr>
        <w:t>)</w:t>
      </w:r>
      <w:r w:rsidR="001B0E1E">
        <w:rPr>
          <w:lang w:val="en-GB"/>
        </w:rPr>
        <w:t xml:space="preserve"> can be limited if </w:t>
      </w:r>
      <w:r w:rsidRPr="001B0E1E">
        <w:rPr>
          <w:lang w:val="en-GB"/>
        </w:rPr>
        <w:t>this is precluded by the purpose of the investigation or the person concerned expressly so requests</w:t>
      </w:r>
      <w:r w:rsidR="001B0E1E">
        <w:rPr>
          <w:lang w:val="en-GB"/>
        </w:rPr>
        <w:t>.</w:t>
      </w:r>
    </w:p>
    <w:p w14:paraId="24503F8E" w14:textId="77777777" w:rsidR="00C56DF8" w:rsidRDefault="00C56DF8" w:rsidP="00186C7F">
      <w:pPr>
        <w:jc w:val="both"/>
        <w:rPr>
          <w:b/>
          <w:i/>
          <w:lang w:val="en-GB"/>
        </w:rPr>
      </w:pPr>
    </w:p>
    <w:p w14:paraId="05867D93" w14:textId="00B6D285" w:rsidR="00040DE8" w:rsidRDefault="00040DE8" w:rsidP="00186C7F">
      <w:pPr>
        <w:jc w:val="both"/>
        <w:rPr>
          <w:b/>
          <w:i/>
          <w:lang w:val="en-GB"/>
        </w:rPr>
      </w:pPr>
      <w:r>
        <w:rPr>
          <w:b/>
          <w:i/>
          <w:lang w:val="en-GB"/>
        </w:rPr>
        <w:t>Appearance before the court:</w:t>
      </w:r>
    </w:p>
    <w:p w14:paraId="138C1964" w14:textId="77777777" w:rsidR="00040DE8" w:rsidRDefault="00040DE8" w:rsidP="00186C7F">
      <w:pPr>
        <w:jc w:val="both"/>
        <w:rPr>
          <w:lang w:val="en-GB"/>
        </w:rPr>
      </w:pPr>
    </w:p>
    <w:p w14:paraId="00B6ECD8" w14:textId="723E1679" w:rsidR="00040DE8" w:rsidRDefault="00DB0DBB" w:rsidP="00040DE8">
      <w:pPr>
        <w:pStyle w:val="ListParagraph"/>
        <w:numPr>
          <w:ilvl w:val="0"/>
          <w:numId w:val="1"/>
        </w:numPr>
        <w:jc w:val="both"/>
        <w:rPr>
          <w:lang w:val="en-GB"/>
        </w:rPr>
      </w:pPr>
      <w:r>
        <w:rPr>
          <w:lang w:val="en-GB"/>
        </w:rPr>
        <w:t xml:space="preserve">The </w:t>
      </w:r>
      <w:r w:rsidR="002B03D9">
        <w:rPr>
          <w:lang w:val="en-GB"/>
        </w:rPr>
        <w:t xml:space="preserve">provision in guideline 10, lit. </w:t>
      </w:r>
      <w:proofErr w:type="gramStart"/>
      <w:r w:rsidR="002B03D9">
        <w:rPr>
          <w:lang w:val="en-GB"/>
        </w:rPr>
        <w:t>b</w:t>
      </w:r>
      <w:proofErr w:type="gramEnd"/>
      <w:r w:rsidR="002B03D9">
        <w:rPr>
          <w:lang w:val="en-GB"/>
        </w:rPr>
        <w:t xml:space="preserve"> (para. 94) that the court shall ensure communication between the detainee and the judge without the presence of any official in his or her deprivation of liberty seems hardly practicable. It should be reformulated along the wording of Rule 61 of the revised United Nations Standard Minimum Rules for the Treatment of Prisoners (SMR). Further, m</w:t>
      </w:r>
      <w:r w:rsidR="00040DE8">
        <w:rPr>
          <w:lang w:val="en-GB"/>
        </w:rPr>
        <w:t>any domestic legal orders, including the Swiss one, do not foresee the sanctioning of “State authorities” in penal or administrative law</w:t>
      </w:r>
      <w:r w:rsidR="002B03D9">
        <w:rPr>
          <w:lang w:val="en-GB"/>
        </w:rPr>
        <w:t xml:space="preserve">, as suggested by </w:t>
      </w:r>
      <w:r w:rsidR="00606989">
        <w:rPr>
          <w:lang w:val="en-GB"/>
        </w:rPr>
        <w:t>guideline 10, lit. c</w:t>
      </w:r>
      <w:r w:rsidR="00040DE8">
        <w:rPr>
          <w:lang w:val="en-GB"/>
        </w:rPr>
        <w:t xml:space="preserve">. </w:t>
      </w:r>
    </w:p>
    <w:p w14:paraId="66C8E25A" w14:textId="77777777" w:rsidR="00040DE8" w:rsidRPr="00040DE8" w:rsidRDefault="00040DE8" w:rsidP="00040DE8">
      <w:pPr>
        <w:pStyle w:val="ListParagraph"/>
        <w:ind w:left="360"/>
        <w:jc w:val="both"/>
        <w:rPr>
          <w:lang w:val="en-GB"/>
        </w:rPr>
      </w:pPr>
    </w:p>
    <w:p w14:paraId="21F9DCDE" w14:textId="6FAE5A3E" w:rsidR="00EE55D0" w:rsidRPr="00B26244" w:rsidRDefault="00EE55D0" w:rsidP="00186C7F">
      <w:pPr>
        <w:jc w:val="both"/>
        <w:rPr>
          <w:b/>
          <w:i/>
          <w:lang w:val="en-GB"/>
        </w:rPr>
      </w:pPr>
      <w:r w:rsidRPr="00B26244">
        <w:rPr>
          <w:b/>
          <w:i/>
          <w:lang w:val="en-GB"/>
        </w:rPr>
        <w:t>Situations of armed conflict:</w:t>
      </w:r>
    </w:p>
    <w:p w14:paraId="65F4C11E" w14:textId="77777777" w:rsidR="00186C7F" w:rsidRPr="00EE55D0" w:rsidRDefault="00186C7F" w:rsidP="00186C7F">
      <w:pPr>
        <w:jc w:val="both"/>
        <w:rPr>
          <w:b/>
          <w:lang w:val="en-GB"/>
        </w:rPr>
      </w:pPr>
    </w:p>
    <w:p w14:paraId="1E44847B" w14:textId="047FEE47" w:rsidR="00E95DED" w:rsidRPr="00A040FC" w:rsidRDefault="00AA7740" w:rsidP="00A040FC">
      <w:pPr>
        <w:pStyle w:val="ListParagraph"/>
        <w:numPr>
          <w:ilvl w:val="0"/>
          <w:numId w:val="1"/>
        </w:numPr>
        <w:contextualSpacing w:val="0"/>
        <w:jc w:val="both"/>
        <w:rPr>
          <w:lang w:val="en-GB"/>
        </w:rPr>
      </w:pPr>
      <w:r w:rsidRPr="00F74680">
        <w:rPr>
          <w:lang w:val="en-GB"/>
        </w:rPr>
        <w:t xml:space="preserve">In situations of armed conflict, Switzerland </w:t>
      </w:r>
      <w:r w:rsidR="00865A50" w:rsidRPr="00F74680">
        <w:rPr>
          <w:lang w:val="en-GB"/>
        </w:rPr>
        <w:t>reiterates</w:t>
      </w:r>
      <w:r w:rsidRPr="00F74680">
        <w:rPr>
          <w:lang w:val="en-GB"/>
        </w:rPr>
        <w:t xml:space="preserve"> the applicability of both international humanitarian law</w:t>
      </w:r>
      <w:r w:rsidR="005051FF" w:rsidRPr="00F74680">
        <w:rPr>
          <w:lang w:val="en-GB"/>
        </w:rPr>
        <w:t xml:space="preserve"> (IHL)</w:t>
      </w:r>
      <w:r w:rsidRPr="00F74680">
        <w:rPr>
          <w:lang w:val="en-GB"/>
        </w:rPr>
        <w:t xml:space="preserve"> and international human rights law, which are mutually reinforcing. </w:t>
      </w:r>
      <w:r w:rsidR="00807636" w:rsidRPr="00F74680">
        <w:rPr>
          <w:lang w:val="en-GB"/>
        </w:rPr>
        <w:t>T</w:t>
      </w:r>
      <w:r w:rsidR="00C22260" w:rsidRPr="00F74680">
        <w:rPr>
          <w:lang w:val="en-GB"/>
        </w:rPr>
        <w:t>og</w:t>
      </w:r>
      <w:r w:rsidR="004B6BB8" w:rsidRPr="00F74680">
        <w:rPr>
          <w:lang w:val="en-GB"/>
        </w:rPr>
        <w:t>ether</w:t>
      </w:r>
      <w:r w:rsidR="00CC489E" w:rsidRPr="00F74680">
        <w:rPr>
          <w:lang w:val="en-GB"/>
        </w:rPr>
        <w:t>,</w:t>
      </w:r>
      <w:r w:rsidR="004B6BB8" w:rsidRPr="00F74680">
        <w:rPr>
          <w:lang w:val="en-GB"/>
        </w:rPr>
        <w:t xml:space="preserve"> both bodies of law can guarantee </w:t>
      </w:r>
      <w:r w:rsidRPr="00F74680">
        <w:rPr>
          <w:lang w:val="en-GB"/>
        </w:rPr>
        <w:t>the most effective</w:t>
      </w:r>
      <w:r w:rsidR="004B6BB8" w:rsidRPr="00F74680">
        <w:rPr>
          <w:lang w:val="en-GB"/>
        </w:rPr>
        <w:t xml:space="preserve"> and appropriate</w:t>
      </w:r>
      <w:r w:rsidRPr="00F74680">
        <w:rPr>
          <w:lang w:val="en-GB"/>
        </w:rPr>
        <w:t xml:space="preserve"> </w:t>
      </w:r>
      <w:r w:rsidR="004B6BB8" w:rsidRPr="00F74680">
        <w:rPr>
          <w:lang w:val="en-GB"/>
        </w:rPr>
        <w:t>protection for</w:t>
      </w:r>
      <w:r w:rsidRPr="00F74680">
        <w:rPr>
          <w:lang w:val="en-GB"/>
        </w:rPr>
        <w:t xml:space="preserve"> those deprived of their liberty</w:t>
      </w:r>
      <w:r w:rsidR="00C22260" w:rsidRPr="00F74680">
        <w:rPr>
          <w:lang w:val="en-GB"/>
        </w:rPr>
        <w:t>.</w:t>
      </w:r>
      <w:r w:rsidRPr="00F74680">
        <w:rPr>
          <w:lang w:val="en-GB"/>
        </w:rPr>
        <w:t xml:space="preserve"> </w:t>
      </w:r>
      <w:r w:rsidR="00A040FC" w:rsidRPr="00A040FC">
        <w:rPr>
          <w:lang w:val="en-GB"/>
        </w:rPr>
        <w:t>Switzerland wishes to reiterate</w:t>
      </w:r>
      <w:r w:rsidR="00A040FC">
        <w:rPr>
          <w:lang w:val="en-GB"/>
        </w:rPr>
        <w:t xml:space="preserve"> that a</w:t>
      </w:r>
      <w:r w:rsidR="00F74680" w:rsidRPr="00F74680">
        <w:rPr>
          <w:lang w:val="en-GB"/>
        </w:rPr>
        <w:t xml:space="preserve"> major difference between IHL and international human rights law regards the issue of derogation. While IHL cannot be derogated from, under the explicit terms of some human rights treati</w:t>
      </w:r>
      <w:r w:rsidR="00A040FC">
        <w:rPr>
          <w:lang w:val="en-GB"/>
        </w:rPr>
        <w:t>es S</w:t>
      </w:r>
      <w:r w:rsidR="00F74680" w:rsidRPr="00F74680">
        <w:rPr>
          <w:lang w:val="en-GB"/>
        </w:rPr>
        <w:t>tates may derogate from their obligations provided therein subject to the fulfilment of the requisite conditions.</w:t>
      </w:r>
      <w:r w:rsidR="00F74680">
        <w:rPr>
          <w:lang w:val="en-GB"/>
        </w:rPr>
        <w:t xml:space="preserve"> </w:t>
      </w:r>
      <w:r w:rsidR="00A040FC">
        <w:rPr>
          <w:lang w:val="en-GB"/>
        </w:rPr>
        <w:t>As mentioned in the General Comment No 35 of the Human Rights Committee, d</w:t>
      </w:r>
      <w:r w:rsidR="00F74680" w:rsidRPr="00F74680">
        <w:rPr>
          <w:lang w:val="en-GB"/>
        </w:rPr>
        <w:t>erogating measures must</w:t>
      </w:r>
      <w:r w:rsidR="00F74680">
        <w:rPr>
          <w:lang w:val="en-GB"/>
        </w:rPr>
        <w:t xml:space="preserve"> however</w:t>
      </w:r>
      <w:r w:rsidR="00F74680" w:rsidRPr="00F74680">
        <w:rPr>
          <w:lang w:val="en-GB"/>
        </w:rPr>
        <w:t xml:space="preserve"> be </w:t>
      </w:r>
      <w:r w:rsidR="00B535DF" w:rsidRPr="00F74680">
        <w:rPr>
          <w:lang w:val="en-GB"/>
        </w:rPr>
        <w:t xml:space="preserve">non- discriminatory </w:t>
      </w:r>
      <w:r w:rsidR="00B535DF">
        <w:rPr>
          <w:lang w:val="en-GB"/>
        </w:rPr>
        <w:t xml:space="preserve">and </w:t>
      </w:r>
      <w:r w:rsidR="00F74680" w:rsidRPr="00F74680">
        <w:rPr>
          <w:lang w:val="en-GB"/>
        </w:rPr>
        <w:t xml:space="preserve">consistent with a State party’s other obligations under international law, including provisions of </w:t>
      </w:r>
      <w:r w:rsidR="00F74680">
        <w:rPr>
          <w:lang w:val="en-GB"/>
        </w:rPr>
        <w:t>IHL</w:t>
      </w:r>
      <w:r w:rsidR="00F74680" w:rsidRPr="00F74680">
        <w:rPr>
          <w:lang w:val="en-GB"/>
        </w:rPr>
        <w:t xml:space="preserve"> relating to deprivation of liberty</w:t>
      </w:r>
      <w:r w:rsidR="00F74680">
        <w:rPr>
          <w:rStyle w:val="FootnoteReference"/>
          <w:lang w:val="en-GB"/>
        </w:rPr>
        <w:footnoteReference w:id="1"/>
      </w:r>
      <w:r w:rsidR="00F74680" w:rsidRPr="00F74680">
        <w:rPr>
          <w:lang w:val="en-GB"/>
        </w:rPr>
        <w:t>.</w:t>
      </w:r>
      <w:r w:rsidR="00A040FC" w:rsidRPr="00A040FC" w:rsidDel="00A040FC">
        <w:rPr>
          <w:lang w:val="en-GB"/>
        </w:rPr>
        <w:t xml:space="preserve"> </w:t>
      </w:r>
    </w:p>
    <w:p w14:paraId="1A10773B" w14:textId="77777777" w:rsidR="001C26B8" w:rsidRPr="00D34F28" w:rsidRDefault="001C26B8" w:rsidP="001C26B8">
      <w:pPr>
        <w:pStyle w:val="ListParagraph"/>
        <w:ind w:left="360"/>
        <w:contextualSpacing w:val="0"/>
        <w:jc w:val="both"/>
        <w:rPr>
          <w:lang w:val="en-GB"/>
        </w:rPr>
      </w:pPr>
    </w:p>
    <w:p w14:paraId="5E1F3984" w14:textId="77777777" w:rsidR="00807636" w:rsidRDefault="00807636" w:rsidP="00186C7F">
      <w:pPr>
        <w:pStyle w:val="ListParagraph"/>
        <w:numPr>
          <w:ilvl w:val="0"/>
          <w:numId w:val="1"/>
        </w:numPr>
        <w:contextualSpacing w:val="0"/>
        <w:jc w:val="both"/>
        <w:rPr>
          <w:lang w:val="en-GB"/>
        </w:rPr>
      </w:pPr>
      <w:r>
        <w:rPr>
          <w:lang w:val="en-GB"/>
        </w:rPr>
        <w:t>With regard to p</w:t>
      </w:r>
      <w:r w:rsidRPr="00807636">
        <w:rPr>
          <w:lang w:val="en-GB"/>
        </w:rPr>
        <w:t>aragraphs 48 of principle 16 and 114 of Guideline 17</w:t>
      </w:r>
      <w:r>
        <w:rPr>
          <w:lang w:val="en-GB"/>
        </w:rPr>
        <w:t xml:space="preserve">, </w:t>
      </w:r>
      <w:r w:rsidRPr="00C22260">
        <w:rPr>
          <w:lang w:val="en-GB"/>
        </w:rPr>
        <w:t xml:space="preserve">Switzerland emphasizes that the legal provisions of </w:t>
      </w:r>
      <w:r>
        <w:rPr>
          <w:lang w:val="en-GB"/>
        </w:rPr>
        <w:t>IHL</w:t>
      </w:r>
      <w:r w:rsidRPr="00C22260">
        <w:rPr>
          <w:lang w:val="en-GB"/>
        </w:rPr>
        <w:t xml:space="preserve"> applicable to detention and internment in international armed conflict have been deemed sufficiently detailed by States. Paragraph</w:t>
      </w:r>
      <w:r>
        <w:rPr>
          <w:lang w:val="en-GB"/>
        </w:rPr>
        <w:t>s</w:t>
      </w:r>
      <w:r w:rsidRPr="00C22260">
        <w:rPr>
          <w:lang w:val="en-GB"/>
        </w:rPr>
        <w:t xml:space="preserve"> 48 of principle 16 and 114 of Guideline 17 should therefore been interpreted in light of these provisions.  </w:t>
      </w:r>
    </w:p>
    <w:p w14:paraId="04BAD280" w14:textId="77777777" w:rsidR="001C26B8" w:rsidRPr="001C26B8" w:rsidRDefault="001C26B8" w:rsidP="001C26B8">
      <w:pPr>
        <w:jc w:val="both"/>
        <w:rPr>
          <w:lang w:val="en-GB"/>
        </w:rPr>
      </w:pPr>
    </w:p>
    <w:p w14:paraId="6EEE6148" w14:textId="49EFF6F5" w:rsidR="002B62A9" w:rsidRDefault="006D290D" w:rsidP="00186C7F">
      <w:pPr>
        <w:pStyle w:val="ListParagraph"/>
        <w:numPr>
          <w:ilvl w:val="0"/>
          <w:numId w:val="1"/>
        </w:numPr>
        <w:jc w:val="both"/>
        <w:rPr>
          <w:lang w:val="en-GB"/>
        </w:rPr>
      </w:pPr>
      <w:r w:rsidRPr="002B62A9">
        <w:rPr>
          <w:lang w:val="en-GB"/>
        </w:rPr>
        <w:t xml:space="preserve">Regarding </w:t>
      </w:r>
      <w:r w:rsidR="002D5D40" w:rsidRPr="002B62A9">
        <w:rPr>
          <w:lang w:val="en-GB"/>
        </w:rPr>
        <w:t xml:space="preserve">paragraph 73 of </w:t>
      </w:r>
      <w:r w:rsidR="0064561C" w:rsidRPr="002B62A9">
        <w:rPr>
          <w:lang w:val="en-GB"/>
        </w:rPr>
        <w:t>Guideline 4</w:t>
      </w:r>
      <w:r w:rsidR="002D5D40" w:rsidRPr="002B62A9">
        <w:rPr>
          <w:lang w:val="en-GB"/>
        </w:rPr>
        <w:t xml:space="preserve"> pertaining to the characteristics of a court</w:t>
      </w:r>
      <w:r w:rsidRPr="002B62A9">
        <w:rPr>
          <w:lang w:val="en-GB"/>
        </w:rPr>
        <w:t xml:space="preserve">, Switzerland </w:t>
      </w:r>
      <w:r w:rsidR="00273952">
        <w:rPr>
          <w:lang w:val="en-GB"/>
        </w:rPr>
        <w:t xml:space="preserve">notes that in </w:t>
      </w:r>
      <w:r w:rsidR="00273952" w:rsidRPr="002B62A9">
        <w:rPr>
          <w:lang w:val="en-GB"/>
        </w:rPr>
        <w:t xml:space="preserve">Switzerland, </w:t>
      </w:r>
      <w:r w:rsidR="00704CAB">
        <w:rPr>
          <w:lang w:val="en-GB"/>
        </w:rPr>
        <w:t xml:space="preserve">under certain conditions, </w:t>
      </w:r>
      <w:r w:rsidR="00273952">
        <w:rPr>
          <w:lang w:val="en-GB"/>
        </w:rPr>
        <w:t>c</w:t>
      </w:r>
      <w:r w:rsidR="00273952" w:rsidRPr="002B62A9">
        <w:rPr>
          <w:lang w:val="en-GB"/>
        </w:rPr>
        <w:t xml:space="preserve">ivilians </w:t>
      </w:r>
      <w:r w:rsidR="00273952">
        <w:rPr>
          <w:lang w:val="en-GB"/>
        </w:rPr>
        <w:t xml:space="preserve">can be prosecuted </w:t>
      </w:r>
      <w:r w:rsidR="00704CAB">
        <w:rPr>
          <w:lang w:val="en-GB"/>
        </w:rPr>
        <w:t>by military courts.</w:t>
      </w:r>
      <w:r w:rsidR="00273952">
        <w:rPr>
          <w:rStyle w:val="FootnoteReference"/>
          <w:lang w:val="en-GB"/>
        </w:rPr>
        <w:footnoteReference w:id="2"/>
      </w:r>
      <w:r w:rsidR="00273952">
        <w:rPr>
          <w:lang w:val="en-GB"/>
        </w:rPr>
        <w:t xml:space="preserve"> Moreover, Switzerland </w:t>
      </w:r>
      <w:r w:rsidRPr="002B62A9">
        <w:rPr>
          <w:lang w:val="en-GB"/>
        </w:rPr>
        <w:t xml:space="preserve">underlines that </w:t>
      </w:r>
      <w:r w:rsidR="000B6D1B">
        <w:rPr>
          <w:lang w:val="en-GB"/>
        </w:rPr>
        <w:t>IHL</w:t>
      </w:r>
      <w:r w:rsidR="0064561C" w:rsidRPr="002B62A9">
        <w:rPr>
          <w:lang w:val="en-GB"/>
        </w:rPr>
        <w:t xml:space="preserve"> </w:t>
      </w:r>
      <w:r w:rsidR="002D5D40" w:rsidRPr="002B62A9">
        <w:rPr>
          <w:lang w:val="en-GB"/>
        </w:rPr>
        <w:t xml:space="preserve">allows – under very </w:t>
      </w:r>
      <w:r w:rsidR="00FC6AF1" w:rsidRPr="002B62A9">
        <w:rPr>
          <w:lang w:val="en-GB"/>
        </w:rPr>
        <w:t>limited</w:t>
      </w:r>
      <w:r w:rsidR="002D5D40" w:rsidRPr="002B62A9">
        <w:rPr>
          <w:lang w:val="en-GB"/>
        </w:rPr>
        <w:t xml:space="preserve"> circumstances – military tribunals to review the lawfulness of the depr</w:t>
      </w:r>
      <w:r w:rsidR="00273952">
        <w:rPr>
          <w:lang w:val="en-GB"/>
        </w:rPr>
        <w:t>i</w:t>
      </w:r>
      <w:r w:rsidR="002D5D40" w:rsidRPr="002B62A9">
        <w:rPr>
          <w:lang w:val="en-GB"/>
        </w:rPr>
        <w:t>vation of liberty of both civilians and prisoners of war</w:t>
      </w:r>
      <w:r w:rsidR="00704CAB">
        <w:rPr>
          <w:lang w:val="en-GB"/>
        </w:rPr>
        <w:t>.</w:t>
      </w:r>
      <w:r w:rsidR="002D5D40">
        <w:rPr>
          <w:rStyle w:val="FootnoteReference"/>
          <w:lang w:val="en-GB"/>
        </w:rPr>
        <w:footnoteReference w:id="3"/>
      </w:r>
      <w:r w:rsidR="002D5D40" w:rsidRPr="002B62A9">
        <w:rPr>
          <w:lang w:val="en-GB"/>
        </w:rPr>
        <w:t xml:space="preserve"> </w:t>
      </w:r>
      <w:r w:rsidR="00FC6AF1" w:rsidRPr="002B62A9">
        <w:rPr>
          <w:lang w:val="en-GB"/>
        </w:rPr>
        <w:t xml:space="preserve">Those bodies nonetheless have to comply with the fundamental requirements of independence and impartiality. </w:t>
      </w:r>
    </w:p>
    <w:p w14:paraId="4A16E950" w14:textId="77777777" w:rsidR="00151DCB" w:rsidRPr="002B62A9" w:rsidRDefault="00151DCB" w:rsidP="00186C7F">
      <w:pPr>
        <w:pStyle w:val="ListParagraph"/>
        <w:ind w:left="360"/>
        <w:jc w:val="both"/>
        <w:rPr>
          <w:lang w:val="en-GB"/>
        </w:rPr>
      </w:pPr>
    </w:p>
    <w:p w14:paraId="6C017A1A" w14:textId="0A37C41E" w:rsidR="00192D7E" w:rsidRDefault="00CC489E" w:rsidP="00186C7F">
      <w:pPr>
        <w:pStyle w:val="ListParagraph"/>
        <w:numPr>
          <w:ilvl w:val="0"/>
          <w:numId w:val="1"/>
        </w:numPr>
        <w:jc w:val="both"/>
      </w:pPr>
      <w:r>
        <w:rPr>
          <w:lang w:val="en-GB"/>
        </w:rPr>
        <w:t>With regard</w:t>
      </w:r>
      <w:r w:rsidR="00707571">
        <w:rPr>
          <w:lang w:val="en-GB"/>
        </w:rPr>
        <w:t xml:space="preserve"> to paragraph </w:t>
      </w:r>
      <w:r w:rsidR="003162B4">
        <w:rPr>
          <w:lang w:val="en-GB"/>
        </w:rPr>
        <w:t xml:space="preserve">49 of Principle 16 and </w:t>
      </w:r>
      <w:r w:rsidR="00707571">
        <w:rPr>
          <w:lang w:val="en-GB"/>
        </w:rPr>
        <w:t>1</w:t>
      </w:r>
      <w:r w:rsidR="002B62A9">
        <w:rPr>
          <w:lang w:val="en-GB"/>
        </w:rPr>
        <w:t>1</w:t>
      </w:r>
      <w:r w:rsidR="00707571">
        <w:rPr>
          <w:lang w:val="en-GB"/>
        </w:rPr>
        <w:t xml:space="preserve">5 of Guideline 17, </w:t>
      </w:r>
      <w:r w:rsidR="007119DB">
        <w:t xml:space="preserve">Switzerland recalls that </w:t>
      </w:r>
      <w:r w:rsidR="001D6E7F">
        <w:t>deprivation of liberty is an ordinary and expected occurrence during armed conflicts, including those of non-international character</w:t>
      </w:r>
      <w:r w:rsidR="00EC4719">
        <w:t>,</w:t>
      </w:r>
      <w:r w:rsidR="001D6E7F">
        <w:t xml:space="preserve"> and that </w:t>
      </w:r>
      <w:r w:rsidR="007119DB">
        <w:t>States are currently considering protections for persons deprived of their liberty in non-international armed conflict in accordance with Resolution 1 of the 31</w:t>
      </w:r>
      <w:r w:rsidR="007119DB" w:rsidRPr="007119DB">
        <w:rPr>
          <w:vertAlign w:val="superscript"/>
        </w:rPr>
        <w:t>st</w:t>
      </w:r>
      <w:r w:rsidR="007119DB">
        <w:t xml:space="preserve"> International Conference of the Red Cross and the Red Crescent Movement.</w:t>
      </w:r>
      <w:r w:rsidR="00704CAB">
        <w:rPr>
          <w:rStyle w:val="FootnoteReference"/>
        </w:rPr>
        <w:footnoteReference w:id="4"/>
      </w:r>
      <w:r w:rsidR="007119DB">
        <w:t xml:space="preserve">  </w:t>
      </w:r>
    </w:p>
    <w:p w14:paraId="0A479F51" w14:textId="77777777" w:rsidR="00EE55D0" w:rsidRDefault="00EE55D0" w:rsidP="00186C7F">
      <w:pPr>
        <w:jc w:val="both"/>
      </w:pPr>
    </w:p>
    <w:p w14:paraId="3C391E67" w14:textId="15EEE1CF" w:rsidR="00186C7F" w:rsidRDefault="00186C7F" w:rsidP="000F5A62">
      <w:pPr>
        <w:jc w:val="both"/>
      </w:pPr>
    </w:p>
    <w:p w14:paraId="467885FD" w14:textId="77777777" w:rsidR="00E864A9" w:rsidRDefault="00E864A9" w:rsidP="000F5A62">
      <w:pPr>
        <w:jc w:val="both"/>
      </w:pPr>
    </w:p>
    <w:p w14:paraId="18B90C96" w14:textId="77777777" w:rsidR="00E864A9" w:rsidRDefault="00E864A9" w:rsidP="000F5A62">
      <w:pPr>
        <w:jc w:val="both"/>
      </w:pPr>
    </w:p>
    <w:p w14:paraId="210E8E5F" w14:textId="77777777" w:rsidR="00E864A9" w:rsidRDefault="00E864A9" w:rsidP="00E864A9">
      <w:pPr>
        <w:jc w:val="both"/>
        <w:rPr>
          <w:lang w:val="en-GB"/>
        </w:rPr>
      </w:pPr>
      <w:r>
        <w:rPr>
          <w:lang w:val="en-GB"/>
        </w:rPr>
        <w:t>The Permanent Mission of Switzerland avails itself of the opportunity to renew to the United Nations Working Group on Arbitrary Detention and the Office of the United Nations High Commissioner for Human Rights the assurances of its highest consideration.</w:t>
      </w:r>
    </w:p>
    <w:p w14:paraId="20FCE5F4" w14:textId="77777777" w:rsidR="00E864A9" w:rsidRDefault="00E864A9" w:rsidP="000F5A62">
      <w:pPr>
        <w:jc w:val="both"/>
      </w:pPr>
    </w:p>
    <w:p w14:paraId="1CC27D40" w14:textId="77777777" w:rsidR="00E864A9" w:rsidRDefault="00E864A9" w:rsidP="000F5A62">
      <w:pPr>
        <w:jc w:val="both"/>
      </w:pPr>
    </w:p>
    <w:p w14:paraId="56AC3E3C" w14:textId="365E1D84" w:rsidR="00E864A9" w:rsidRDefault="004F6BE3" w:rsidP="00E864A9">
      <w:pPr>
        <w:jc w:val="both"/>
        <w:rPr>
          <w:lang w:val="en-GB"/>
        </w:rPr>
      </w:pPr>
      <w:r>
        <w:rPr>
          <w:lang w:val="en-GB"/>
        </w:rPr>
        <w:t>Geneva, 10</w:t>
      </w:r>
      <w:r w:rsidR="00E864A9">
        <w:rPr>
          <w:lang w:val="en-GB"/>
        </w:rPr>
        <w:t xml:space="preserve"> </w:t>
      </w:r>
      <w:r w:rsidR="00040DE8">
        <w:rPr>
          <w:lang w:val="en-GB"/>
        </w:rPr>
        <w:t xml:space="preserve">August </w:t>
      </w:r>
      <w:r w:rsidR="00E864A9">
        <w:rPr>
          <w:lang w:val="en-GB"/>
        </w:rPr>
        <w:t xml:space="preserve">2015 </w:t>
      </w:r>
    </w:p>
    <w:p w14:paraId="6C4BCC3A" w14:textId="77777777" w:rsidR="00E864A9" w:rsidRPr="00186C7F" w:rsidRDefault="00E864A9" w:rsidP="000F5A62">
      <w:pPr>
        <w:jc w:val="both"/>
      </w:pPr>
    </w:p>
    <w:sectPr w:rsidR="00E864A9" w:rsidRPr="00186C7F" w:rsidSect="00F60C8E">
      <w:headerReference w:type="default" r:id="rId9"/>
      <w:footerReference w:type="default" r:id="rId1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B2B3C" w14:textId="77777777" w:rsidR="0027280D" w:rsidRDefault="0027280D" w:rsidP="00E96093">
      <w:r>
        <w:separator/>
      </w:r>
    </w:p>
  </w:endnote>
  <w:endnote w:type="continuationSeparator" w:id="0">
    <w:p w14:paraId="6D899C8E" w14:textId="77777777" w:rsidR="0027280D" w:rsidRDefault="0027280D" w:rsidP="00E9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33065" w14:textId="77777777" w:rsidR="00283680" w:rsidRDefault="00283680" w:rsidP="00A8393F">
    <w:pPr>
      <w:pStyle w:val="Footer"/>
      <w:jc w:val="right"/>
    </w:pPr>
    <w:r>
      <w:fldChar w:fldCharType="begin"/>
    </w:r>
    <w:r>
      <w:instrText xml:space="preserve"> PAGE   \* MERGEFORMAT </w:instrText>
    </w:r>
    <w:r>
      <w:fldChar w:fldCharType="separate"/>
    </w:r>
    <w:r w:rsidR="003B406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2C7C08" w14:textId="77777777" w:rsidR="0027280D" w:rsidRDefault="0027280D" w:rsidP="00E96093">
      <w:r>
        <w:separator/>
      </w:r>
    </w:p>
  </w:footnote>
  <w:footnote w:type="continuationSeparator" w:id="0">
    <w:p w14:paraId="0D858015" w14:textId="77777777" w:rsidR="0027280D" w:rsidRDefault="0027280D" w:rsidP="00E96093">
      <w:r>
        <w:continuationSeparator/>
      </w:r>
    </w:p>
  </w:footnote>
  <w:footnote w:id="1">
    <w:p w14:paraId="26CC6096" w14:textId="7F69B0C6" w:rsidR="00F74680" w:rsidRPr="00A040FC" w:rsidRDefault="00F74680">
      <w:pPr>
        <w:pStyle w:val="FootnoteText"/>
        <w:rPr>
          <w:lang w:val="en-US"/>
        </w:rPr>
      </w:pPr>
      <w:r>
        <w:rPr>
          <w:rStyle w:val="FootnoteReference"/>
        </w:rPr>
        <w:footnoteRef/>
      </w:r>
      <w:r>
        <w:t xml:space="preserve"> </w:t>
      </w:r>
      <w:proofErr w:type="gramStart"/>
      <w:r w:rsidR="00A040FC">
        <w:t xml:space="preserve">Human Rights Committee, </w:t>
      </w:r>
      <w:r w:rsidR="00A040FC" w:rsidRPr="00A040FC">
        <w:t>General comment No. 35</w:t>
      </w:r>
      <w:r w:rsidR="00A040FC">
        <w:t xml:space="preserve">, </w:t>
      </w:r>
      <w:r w:rsidR="00A040FC" w:rsidRPr="00A040FC">
        <w:t>Article 9 (Liberty and security of person)</w:t>
      </w:r>
      <w:r w:rsidR="00A040FC">
        <w:t>,</w:t>
      </w:r>
      <w:r w:rsidR="00A040FC" w:rsidRPr="00A040FC">
        <w:t xml:space="preserve"> CCPR/C/GC/35</w:t>
      </w:r>
      <w:r w:rsidR="00A040FC">
        <w:t>,</w:t>
      </w:r>
      <w:r w:rsidR="00A040FC" w:rsidRPr="00A040FC">
        <w:t xml:space="preserve"> 28 Oct</w:t>
      </w:r>
      <w:r w:rsidR="00A040FC">
        <w:t>ober</w:t>
      </w:r>
      <w:r w:rsidR="00A040FC" w:rsidRPr="00A040FC">
        <w:t xml:space="preserve"> 2014</w:t>
      </w:r>
      <w:r w:rsidR="00A040FC">
        <w:t>.</w:t>
      </w:r>
      <w:proofErr w:type="gramEnd"/>
    </w:p>
  </w:footnote>
  <w:footnote w:id="2">
    <w:p w14:paraId="4131878D" w14:textId="7044C538" w:rsidR="00283680" w:rsidRPr="00273952" w:rsidRDefault="00283680" w:rsidP="00412618">
      <w:pPr>
        <w:pStyle w:val="FootnoteText"/>
      </w:pPr>
      <w:r>
        <w:rPr>
          <w:rStyle w:val="FootnoteReference"/>
        </w:rPr>
        <w:footnoteRef/>
      </w:r>
      <w:r>
        <w:t xml:space="preserve"> Article 3 Military Penal Code, accessible at </w:t>
      </w:r>
      <w:r w:rsidRPr="00273952">
        <w:t>https://www.admin.ch/opc/fr/classified-compilation/19270018/index.html#a3</w:t>
      </w:r>
      <w:r>
        <w:t>.</w:t>
      </w:r>
    </w:p>
  </w:footnote>
  <w:footnote w:id="3">
    <w:p w14:paraId="242A046A" w14:textId="77777777" w:rsidR="00283680" w:rsidRPr="002D5D40" w:rsidRDefault="00283680" w:rsidP="00412618">
      <w:pPr>
        <w:pStyle w:val="FootnoteText"/>
        <w:rPr>
          <w:lang w:val="en-GB"/>
        </w:rPr>
      </w:pPr>
      <w:r>
        <w:rPr>
          <w:rStyle w:val="FootnoteReference"/>
        </w:rPr>
        <w:footnoteRef/>
      </w:r>
      <w:r>
        <w:t xml:space="preserve"> See articles 5 and 21 of Geneva Convention III (internment of prisoners of war); articles 64 and 66 of Geneva Convention IV (criminal detention of civilians in occupied territory).  </w:t>
      </w:r>
    </w:p>
  </w:footnote>
  <w:footnote w:id="4">
    <w:p w14:paraId="3DE3F60E" w14:textId="04657F04" w:rsidR="00283680" w:rsidRPr="00B535DF" w:rsidRDefault="00283680" w:rsidP="00412618">
      <w:pPr>
        <w:pStyle w:val="FootnoteText"/>
        <w:rPr>
          <w:lang w:val="en-US"/>
        </w:rPr>
      </w:pPr>
      <w:r>
        <w:rPr>
          <w:rStyle w:val="FootnoteReference"/>
        </w:rPr>
        <w:footnoteRef/>
      </w:r>
      <w:r>
        <w:t xml:space="preserve"> </w:t>
      </w:r>
      <w:proofErr w:type="gramStart"/>
      <w:r w:rsidRPr="00B535DF">
        <w:rPr>
          <w:lang w:val="en-US"/>
        </w:rPr>
        <w:t>Accessible at https://www.icrc.org/eng/assets/files/publications/icrc-002-1130.pdf.</w:t>
      </w:r>
      <w:proofErr w:type="gramEnd"/>
      <w:r w:rsidRPr="00B535DF">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A2AE8" w14:textId="77777777" w:rsidR="00283680" w:rsidRDefault="00283680" w:rsidP="00F9540B">
    <w:pPr>
      <w:pStyle w:val="Header"/>
      <w:jc w:val="right"/>
    </w:pPr>
  </w:p>
  <w:p w14:paraId="47ECD508" w14:textId="77777777" w:rsidR="00283680" w:rsidRPr="00A8393F" w:rsidRDefault="00283680" w:rsidP="00A8393F">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6907"/>
    <w:multiLevelType w:val="hybridMultilevel"/>
    <w:tmpl w:val="F558BF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FA66072"/>
    <w:multiLevelType w:val="hybridMultilevel"/>
    <w:tmpl w:val="0554E65C"/>
    <w:lvl w:ilvl="0" w:tplc="F39EB668">
      <w:start w:val="1"/>
      <w:numFmt w:val="decimal"/>
      <w:lvlText w:val="%1."/>
      <w:lvlJc w:val="left"/>
      <w:pPr>
        <w:ind w:left="360" w:hanging="360"/>
      </w:pPr>
      <w:rPr>
        <w:b/>
      </w:rPr>
    </w:lvl>
    <w:lvl w:ilvl="1" w:tplc="10090019">
      <w:start w:val="1"/>
      <w:numFmt w:val="lowerLetter"/>
      <w:lvlText w:val="%2."/>
      <w:lvlJc w:val="left"/>
      <w:pPr>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2">
    <w:nsid w:val="3E1565AE"/>
    <w:multiLevelType w:val="hybridMultilevel"/>
    <w:tmpl w:val="DD64CCA0"/>
    <w:lvl w:ilvl="0" w:tplc="9A9E4EBC">
      <w:start w:val="1"/>
      <w:numFmt w:val="decimal"/>
      <w:lvlText w:val="%1."/>
      <w:lvlJc w:val="left"/>
      <w:pPr>
        <w:ind w:left="360" w:hanging="360"/>
      </w:pPr>
      <w:rPr>
        <w:rFonts w:hint="default"/>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CE"/>
    <w:rsid w:val="00011703"/>
    <w:rsid w:val="00015420"/>
    <w:rsid w:val="000229B3"/>
    <w:rsid w:val="00024F8D"/>
    <w:rsid w:val="00033011"/>
    <w:rsid w:val="00033242"/>
    <w:rsid w:val="00033EDC"/>
    <w:rsid w:val="00036041"/>
    <w:rsid w:val="00040DE8"/>
    <w:rsid w:val="00073BC3"/>
    <w:rsid w:val="00073EED"/>
    <w:rsid w:val="00095F5B"/>
    <w:rsid w:val="000A04FD"/>
    <w:rsid w:val="000A572E"/>
    <w:rsid w:val="000B6D1B"/>
    <w:rsid w:val="000C2286"/>
    <w:rsid w:val="000C3DDE"/>
    <w:rsid w:val="000E00DB"/>
    <w:rsid w:val="000E35CD"/>
    <w:rsid w:val="000E4014"/>
    <w:rsid w:val="000E4266"/>
    <w:rsid w:val="000F2B2D"/>
    <w:rsid w:val="000F5A62"/>
    <w:rsid w:val="000F5D8D"/>
    <w:rsid w:val="00101774"/>
    <w:rsid w:val="00102B5C"/>
    <w:rsid w:val="001034AC"/>
    <w:rsid w:val="00121661"/>
    <w:rsid w:val="00122A94"/>
    <w:rsid w:val="00127618"/>
    <w:rsid w:val="00127C85"/>
    <w:rsid w:val="00137B07"/>
    <w:rsid w:val="00137B86"/>
    <w:rsid w:val="00143CE9"/>
    <w:rsid w:val="00151DCB"/>
    <w:rsid w:val="00161724"/>
    <w:rsid w:val="001624E0"/>
    <w:rsid w:val="00171698"/>
    <w:rsid w:val="00177E06"/>
    <w:rsid w:val="00182504"/>
    <w:rsid w:val="00186C7F"/>
    <w:rsid w:val="00186FA0"/>
    <w:rsid w:val="00192D7E"/>
    <w:rsid w:val="001A4BF5"/>
    <w:rsid w:val="001B0E1E"/>
    <w:rsid w:val="001B74AB"/>
    <w:rsid w:val="001C26B8"/>
    <w:rsid w:val="001D1BD3"/>
    <w:rsid w:val="001D6E7F"/>
    <w:rsid w:val="001F2211"/>
    <w:rsid w:val="002023C8"/>
    <w:rsid w:val="002041A7"/>
    <w:rsid w:val="00224CD7"/>
    <w:rsid w:val="002260C7"/>
    <w:rsid w:val="00232543"/>
    <w:rsid w:val="00250F1E"/>
    <w:rsid w:val="00261F23"/>
    <w:rsid w:val="0027280D"/>
    <w:rsid w:val="00273952"/>
    <w:rsid w:val="00274F50"/>
    <w:rsid w:val="00283680"/>
    <w:rsid w:val="00293994"/>
    <w:rsid w:val="002A3CCB"/>
    <w:rsid w:val="002B03D9"/>
    <w:rsid w:val="002B27B6"/>
    <w:rsid w:val="002B62A9"/>
    <w:rsid w:val="002C0799"/>
    <w:rsid w:val="002C1CEA"/>
    <w:rsid w:val="002D0E4B"/>
    <w:rsid w:val="002D5D40"/>
    <w:rsid w:val="002F5DDF"/>
    <w:rsid w:val="0030095B"/>
    <w:rsid w:val="00303996"/>
    <w:rsid w:val="00310A94"/>
    <w:rsid w:val="003155C0"/>
    <w:rsid w:val="003162B4"/>
    <w:rsid w:val="00324595"/>
    <w:rsid w:val="003261CE"/>
    <w:rsid w:val="003473D5"/>
    <w:rsid w:val="00361D3F"/>
    <w:rsid w:val="00367084"/>
    <w:rsid w:val="00397365"/>
    <w:rsid w:val="003A5827"/>
    <w:rsid w:val="003B0429"/>
    <w:rsid w:val="003B2372"/>
    <w:rsid w:val="003B4068"/>
    <w:rsid w:val="003C17D6"/>
    <w:rsid w:val="003F340A"/>
    <w:rsid w:val="004011FF"/>
    <w:rsid w:val="00401E33"/>
    <w:rsid w:val="00404B07"/>
    <w:rsid w:val="00412618"/>
    <w:rsid w:val="00431CA0"/>
    <w:rsid w:val="004606DA"/>
    <w:rsid w:val="00470784"/>
    <w:rsid w:val="00477793"/>
    <w:rsid w:val="00481D0C"/>
    <w:rsid w:val="00485B1F"/>
    <w:rsid w:val="00494448"/>
    <w:rsid w:val="004B4A19"/>
    <w:rsid w:val="004B6BB8"/>
    <w:rsid w:val="004C2392"/>
    <w:rsid w:val="004C2A8C"/>
    <w:rsid w:val="004C3F48"/>
    <w:rsid w:val="004C77E0"/>
    <w:rsid w:val="004D2C82"/>
    <w:rsid w:val="004D3C08"/>
    <w:rsid w:val="004D66D7"/>
    <w:rsid w:val="004D7D01"/>
    <w:rsid w:val="004E4B11"/>
    <w:rsid w:val="004F2D7E"/>
    <w:rsid w:val="004F4D3A"/>
    <w:rsid w:val="004F69F1"/>
    <w:rsid w:val="004F6ADD"/>
    <w:rsid w:val="004F6BE3"/>
    <w:rsid w:val="00502446"/>
    <w:rsid w:val="005051FF"/>
    <w:rsid w:val="00522BC8"/>
    <w:rsid w:val="005311E7"/>
    <w:rsid w:val="005426C2"/>
    <w:rsid w:val="0054334F"/>
    <w:rsid w:val="005548F2"/>
    <w:rsid w:val="005641BE"/>
    <w:rsid w:val="00567426"/>
    <w:rsid w:val="00570308"/>
    <w:rsid w:val="005719EF"/>
    <w:rsid w:val="00575E05"/>
    <w:rsid w:val="00591167"/>
    <w:rsid w:val="005A7B42"/>
    <w:rsid w:val="005B1944"/>
    <w:rsid w:val="005B1F75"/>
    <w:rsid w:val="005C76D1"/>
    <w:rsid w:val="005D7C50"/>
    <w:rsid w:val="005E26BD"/>
    <w:rsid w:val="005F0C63"/>
    <w:rsid w:val="005F2D14"/>
    <w:rsid w:val="005F3D73"/>
    <w:rsid w:val="00606989"/>
    <w:rsid w:val="006119A7"/>
    <w:rsid w:val="00643C59"/>
    <w:rsid w:val="00644FA8"/>
    <w:rsid w:val="0064561C"/>
    <w:rsid w:val="00650990"/>
    <w:rsid w:val="00653C57"/>
    <w:rsid w:val="00654579"/>
    <w:rsid w:val="006565D8"/>
    <w:rsid w:val="00662FE2"/>
    <w:rsid w:val="00670969"/>
    <w:rsid w:val="0067408E"/>
    <w:rsid w:val="006A5CBF"/>
    <w:rsid w:val="006C793C"/>
    <w:rsid w:val="006D290D"/>
    <w:rsid w:val="006D3AFC"/>
    <w:rsid w:val="006E1CD1"/>
    <w:rsid w:val="00704A8C"/>
    <w:rsid w:val="00704CAB"/>
    <w:rsid w:val="00707571"/>
    <w:rsid w:val="007119DB"/>
    <w:rsid w:val="007417EB"/>
    <w:rsid w:val="007444D3"/>
    <w:rsid w:val="00752E33"/>
    <w:rsid w:val="00756CEA"/>
    <w:rsid w:val="00757806"/>
    <w:rsid w:val="00770CB5"/>
    <w:rsid w:val="00772CD4"/>
    <w:rsid w:val="00772EAE"/>
    <w:rsid w:val="007852EC"/>
    <w:rsid w:val="0078568C"/>
    <w:rsid w:val="00792E4E"/>
    <w:rsid w:val="007A24FD"/>
    <w:rsid w:val="007A395A"/>
    <w:rsid w:val="007C11C5"/>
    <w:rsid w:val="007D57A0"/>
    <w:rsid w:val="007D7D92"/>
    <w:rsid w:val="007E3B0F"/>
    <w:rsid w:val="0080070D"/>
    <w:rsid w:val="00807636"/>
    <w:rsid w:val="0083142B"/>
    <w:rsid w:val="008458D2"/>
    <w:rsid w:val="00845F9D"/>
    <w:rsid w:val="00865A50"/>
    <w:rsid w:val="008675F4"/>
    <w:rsid w:val="00891077"/>
    <w:rsid w:val="0089503C"/>
    <w:rsid w:val="00897E46"/>
    <w:rsid w:val="008B0929"/>
    <w:rsid w:val="008B4673"/>
    <w:rsid w:val="008C3AC4"/>
    <w:rsid w:val="008C4A92"/>
    <w:rsid w:val="008C698E"/>
    <w:rsid w:val="008E07E2"/>
    <w:rsid w:val="008E5CB8"/>
    <w:rsid w:val="008F2566"/>
    <w:rsid w:val="008F37EB"/>
    <w:rsid w:val="008F6DDB"/>
    <w:rsid w:val="008F7258"/>
    <w:rsid w:val="00900AD1"/>
    <w:rsid w:val="00907399"/>
    <w:rsid w:val="00913ACE"/>
    <w:rsid w:val="00920860"/>
    <w:rsid w:val="009234F4"/>
    <w:rsid w:val="00935F5A"/>
    <w:rsid w:val="009372F5"/>
    <w:rsid w:val="0095255E"/>
    <w:rsid w:val="0095262D"/>
    <w:rsid w:val="009702E3"/>
    <w:rsid w:val="0097777F"/>
    <w:rsid w:val="00990416"/>
    <w:rsid w:val="00990BCC"/>
    <w:rsid w:val="009A715A"/>
    <w:rsid w:val="009D0E0F"/>
    <w:rsid w:val="009D5E17"/>
    <w:rsid w:val="009F4E8B"/>
    <w:rsid w:val="009F515B"/>
    <w:rsid w:val="009F707D"/>
    <w:rsid w:val="00A013B5"/>
    <w:rsid w:val="00A040FC"/>
    <w:rsid w:val="00A06842"/>
    <w:rsid w:val="00A15704"/>
    <w:rsid w:val="00A2079A"/>
    <w:rsid w:val="00A207A4"/>
    <w:rsid w:val="00A349C2"/>
    <w:rsid w:val="00A35DAF"/>
    <w:rsid w:val="00A37B4B"/>
    <w:rsid w:val="00A46358"/>
    <w:rsid w:val="00A46B7F"/>
    <w:rsid w:val="00A5732A"/>
    <w:rsid w:val="00A7531E"/>
    <w:rsid w:val="00A756A9"/>
    <w:rsid w:val="00A8393F"/>
    <w:rsid w:val="00A84A55"/>
    <w:rsid w:val="00A93D59"/>
    <w:rsid w:val="00AA7360"/>
    <w:rsid w:val="00AA7740"/>
    <w:rsid w:val="00AB41AF"/>
    <w:rsid w:val="00AB4B67"/>
    <w:rsid w:val="00AC3845"/>
    <w:rsid w:val="00AC4B83"/>
    <w:rsid w:val="00AD1C93"/>
    <w:rsid w:val="00AE7488"/>
    <w:rsid w:val="00B06A53"/>
    <w:rsid w:val="00B104B0"/>
    <w:rsid w:val="00B16412"/>
    <w:rsid w:val="00B20225"/>
    <w:rsid w:val="00B25D0C"/>
    <w:rsid w:val="00B26244"/>
    <w:rsid w:val="00B26C5C"/>
    <w:rsid w:val="00B276CC"/>
    <w:rsid w:val="00B27DDE"/>
    <w:rsid w:val="00B4132C"/>
    <w:rsid w:val="00B41446"/>
    <w:rsid w:val="00B44FE1"/>
    <w:rsid w:val="00B45524"/>
    <w:rsid w:val="00B47791"/>
    <w:rsid w:val="00B535DF"/>
    <w:rsid w:val="00B55792"/>
    <w:rsid w:val="00B60AC0"/>
    <w:rsid w:val="00B66091"/>
    <w:rsid w:val="00B73D39"/>
    <w:rsid w:val="00B7783D"/>
    <w:rsid w:val="00B84F8D"/>
    <w:rsid w:val="00B9416E"/>
    <w:rsid w:val="00B95994"/>
    <w:rsid w:val="00BC13CB"/>
    <w:rsid w:val="00BF2682"/>
    <w:rsid w:val="00C03AC9"/>
    <w:rsid w:val="00C05647"/>
    <w:rsid w:val="00C111F5"/>
    <w:rsid w:val="00C22260"/>
    <w:rsid w:val="00C51118"/>
    <w:rsid w:val="00C52F68"/>
    <w:rsid w:val="00C56DF8"/>
    <w:rsid w:val="00C744D6"/>
    <w:rsid w:val="00C878ED"/>
    <w:rsid w:val="00C94098"/>
    <w:rsid w:val="00C9711D"/>
    <w:rsid w:val="00CA3408"/>
    <w:rsid w:val="00CA366A"/>
    <w:rsid w:val="00CB0994"/>
    <w:rsid w:val="00CB1511"/>
    <w:rsid w:val="00CC2DB5"/>
    <w:rsid w:val="00CC489E"/>
    <w:rsid w:val="00CD69FA"/>
    <w:rsid w:val="00CE1E4F"/>
    <w:rsid w:val="00D127EA"/>
    <w:rsid w:val="00D15514"/>
    <w:rsid w:val="00D34F28"/>
    <w:rsid w:val="00D3787C"/>
    <w:rsid w:val="00D43C28"/>
    <w:rsid w:val="00D565B4"/>
    <w:rsid w:val="00D6513B"/>
    <w:rsid w:val="00D664C9"/>
    <w:rsid w:val="00D81E08"/>
    <w:rsid w:val="00D84BED"/>
    <w:rsid w:val="00DA3865"/>
    <w:rsid w:val="00DB0DBB"/>
    <w:rsid w:val="00DD1682"/>
    <w:rsid w:val="00DD1B3B"/>
    <w:rsid w:val="00E03A66"/>
    <w:rsid w:val="00E21E22"/>
    <w:rsid w:val="00E31875"/>
    <w:rsid w:val="00E3200B"/>
    <w:rsid w:val="00E359D0"/>
    <w:rsid w:val="00E41173"/>
    <w:rsid w:val="00E56D82"/>
    <w:rsid w:val="00E637FB"/>
    <w:rsid w:val="00E864A9"/>
    <w:rsid w:val="00E95DED"/>
    <w:rsid w:val="00E96093"/>
    <w:rsid w:val="00EA1697"/>
    <w:rsid w:val="00EA6218"/>
    <w:rsid w:val="00EB1C7D"/>
    <w:rsid w:val="00EB67FF"/>
    <w:rsid w:val="00EC4719"/>
    <w:rsid w:val="00ED57B1"/>
    <w:rsid w:val="00EE3DA1"/>
    <w:rsid w:val="00EE55D0"/>
    <w:rsid w:val="00EF0D86"/>
    <w:rsid w:val="00EF1F84"/>
    <w:rsid w:val="00EF5C6B"/>
    <w:rsid w:val="00F121A1"/>
    <w:rsid w:val="00F17B08"/>
    <w:rsid w:val="00F60C8E"/>
    <w:rsid w:val="00F653A4"/>
    <w:rsid w:val="00F676BF"/>
    <w:rsid w:val="00F74680"/>
    <w:rsid w:val="00F823AF"/>
    <w:rsid w:val="00F901FE"/>
    <w:rsid w:val="00F94801"/>
    <w:rsid w:val="00F9540B"/>
    <w:rsid w:val="00FA196C"/>
    <w:rsid w:val="00FA1A85"/>
    <w:rsid w:val="00FB628F"/>
    <w:rsid w:val="00FB698D"/>
    <w:rsid w:val="00FC1E95"/>
    <w:rsid w:val="00FC6AF1"/>
    <w:rsid w:val="00FC7F51"/>
    <w:rsid w:val="00FD0EB5"/>
    <w:rsid w:val="00FF185C"/>
    <w:rsid w:val="00FF549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65C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B4"/>
    <w:pPr>
      <w:spacing w:after="0" w:line="240" w:lineRule="auto"/>
    </w:pPr>
    <w:rPr>
      <w:rFonts w:eastAsia="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093"/>
    <w:pPr>
      <w:ind w:left="720"/>
      <w:contextualSpacing/>
    </w:pPr>
  </w:style>
  <w:style w:type="paragraph" w:styleId="FootnoteText">
    <w:name w:val="footnote text"/>
    <w:basedOn w:val="Normal"/>
    <w:link w:val="FootnoteTextChar"/>
    <w:uiPriority w:val="99"/>
    <w:unhideWhenUsed/>
    <w:rsid w:val="00E96093"/>
    <w:rPr>
      <w:sz w:val="20"/>
      <w:szCs w:val="20"/>
    </w:rPr>
  </w:style>
  <w:style w:type="character" w:customStyle="1" w:styleId="FootnoteTextChar">
    <w:name w:val="Footnote Text Char"/>
    <w:basedOn w:val="DefaultParagraphFont"/>
    <w:link w:val="FootnoteText"/>
    <w:uiPriority w:val="99"/>
    <w:rsid w:val="00E96093"/>
    <w:rPr>
      <w:rFonts w:eastAsia="Times New Roman"/>
      <w:sz w:val="20"/>
      <w:szCs w:val="20"/>
      <w:lang w:eastAsia="en-CA"/>
    </w:rPr>
  </w:style>
  <w:style w:type="character" w:styleId="FootnoteReference">
    <w:name w:val="footnote reference"/>
    <w:basedOn w:val="DefaultParagraphFont"/>
    <w:uiPriority w:val="99"/>
    <w:unhideWhenUsed/>
    <w:rsid w:val="00E96093"/>
    <w:rPr>
      <w:vertAlign w:val="superscript"/>
    </w:rPr>
  </w:style>
  <w:style w:type="character" w:styleId="Hyperlink">
    <w:name w:val="Hyperlink"/>
    <w:basedOn w:val="DefaultParagraphFont"/>
    <w:uiPriority w:val="99"/>
    <w:unhideWhenUsed/>
    <w:rsid w:val="00E96093"/>
    <w:rPr>
      <w:color w:val="0000FF" w:themeColor="hyperlink"/>
      <w:u w:val="single"/>
    </w:rPr>
  </w:style>
  <w:style w:type="character" w:styleId="CommentReference">
    <w:name w:val="annotation reference"/>
    <w:basedOn w:val="DefaultParagraphFont"/>
    <w:uiPriority w:val="99"/>
    <w:semiHidden/>
    <w:unhideWhenUsed/>
    <w:rsid w:val="00E96093"/>
    <w:rPr>
      <w:sz w:val="16"/>
      <w:szCs w:val="16"/>
    </w:rPr>
  </w:style>
  <w:style w:type="paragraph" w:styleId="CommentText">
    <w:name w:val="annotation text"/>
    <w:basedOn w:val="Normal"/>
    <w:link w:val="CommentTextChar"/>
    <w:uiPriority w:val="99"/>
    <w:semiHidden/>
    <w:unhideWhenUsed/>
    <w:rsid w:val="00E96093"/>
    <w:rPr>
      <w:sz w:val="20"/>
      <w:szCs w:val="20"/>
    </w:rPr>
  </w:style>
  <w:style w:type="character" w:customStyle="1" w:styleId="CommentTextChar">
    <w:name w:val="Comment Text Char"/>
    <w:basedOn w:val="DefaultParagraphFont"/>
    <w:link w:val="CommentText"/>
    <w:uiPriority w:val="99"/>
    <w:semiHidden/>
    <w:rsid w:val="00E96093"/>
    <w:rPr>
      <w:rFonts w:eastAsia="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E96093"/>
    <w:rPr>
      <w:b/>
      <w:bCs/>
    </w:rPr>
  </w:style>
  <w:style w:type="character" w:customStyle="1" w:styleId="CommentSubjectChar">
    <w:name w:val="Comment Subject Char"/>
    <w:basedOn w:val="CommentTextChar"/>
    <w:link w:val="CommentSubject"/>
    <w:uiPriority w:val="99"/>
    <w:semiHidden/>
    <w:rsid w:val="00E96093"/>
    <w:rPr>
      <w:rFonts w:eastAsia="Times New Roman"/>
      <w:b/>
      <w:bCs/>
      <w:sz w:val="20"/>
      <w:szCs w:val="20"/>
      <w:lang w:eastAsia="en-CA"/>
    </w:rPr>
  </w:style>
  <w:style w:type="paragraph" w:styleId="BalloonText">
    <w:name w:val="Balloon Text"/>
    <w:basedOn w:val="Normal"/>
    <w:link w:val="BalloonTextChar"/>
    <w:uiPriority w:val="99"/>
    <w:semiHidden/>
    <w:unhideWhenUsed/>
    <w:rsid w:val="00E96093"/>
    <w:rPr>
      <w:rFonts w:ascii="Tahoma" w:hAnsi="Tahoma" w:cs="Tahoma"/>
      <w:sz w:val="16"/>
      <w:szCs w:val="16"/>
    </w:rPr>
  </w:style>
  <w:style w:type="character" w:customStyle="1" w:styleId="BalloonTextChar">
    <w:name w:val="Balloon Text Char"/>
    <w:basedOn w:val="DefaultParagraphFont"/>
    <w:link w:val="BalloonText"/>
    <w:uiPriority w:val="99"/>
    <w:semiHidden/>
    <w:rsid w:val="00E96093"/>
    <w:rPr>
      <w:rFonts w:ascii="Tahoma" w:eastAsia="Times New Roman" w:hAnsi="Tahoma" w:cs="Tahoma"/>
      <w:sz w:val="16"/>
      <w:szCs w:val="16"/>
      <w:lang w:eastAsia="en-CA"/>
    </w:rPr>
  </w:style>
  <w:style w:type="paragraph" w:styleId="Header">
    <w:name w:val="header"/>
    <w:basedOn w:val="Normal"/>
    <w:link w:val="HeaderChar"/>
    <w:uiPriority w:val="99"/>
    <w:unhideWhenUsed/>
    <w:rsid w:val="00A8393F"/>
    <w:pPr>
      <w:tabs>
        <w:tab w:val="center" w:pos="4680"/>
        <w:tab w:val="right" w:pos="9360"/>
      </w:tabs>
    </w:pPr>
  </w:style>
  <w:style w:type="character" w:customStyle="1" w:styleId="HeaderChar">
    <w:name w:val="Header Char"/>
    <w:basedOn w:val="DefaultParagraphFont"/>
    <w:link w:val="Header"/>
    <w:uiPriority w:val="99"/>
    <w:rsid w:val="00A8393F"/>
    <w:rPr>
      <w:rFonts w:eastAsia="Times New Roman"/>
      <w:lang w:eastAsia="en-CA"/>
    </w:rPr>
  </w:style>
  <w:style w:type="paragraph" w:styleId="Footer">
    <w:name w:val="footer"/>
    <w:basedOn w:val="Normal"/>
    <w:link w:val="FooterChar"/>
    <w:uiPriority w:val="99"/>
    <w:unhideWhenUsed/>
    <w:rsid w:val="00A8393F"/>
    <w:pPr>
      <w:tabs>
        <w:tab w:val="center" w:pos="4680"/>
        <w:tab w:val="right" w:pos="9360"/>
      </w:tabs>
    </w:pPr>
  </w:style>
  <w:style w:type="character" w:customStyle="1" w:styleId="FooterChar">
    <w:name w:val="Footer Char"/>
    <w:basedOn w:val="DefaultParagraphFont"/>
    <w:link w:val="Footer"/>
    <w:uiPriority w:val="99"/>
    <w:rsid w:val="00A8393F"/>
    <w:rPr>
      <w:rFonts w:eastAsia="Times New Roman"/>
      <w:lang w:eastAsia="en-CA"/>
    </w:rPr>
  </w:style>
  <w:style w:type="paragraph" w:styleId="NormalWeb">
    <w:name w:val="Normal (Web)"/>
    <w:basedOn w:val="Normal"/>
    <w:uiPriority w:val="99"/>
    <w:semiHidden/>
    <w:unhideWhenUsed/>
    <w:rsid w:val="005F3D73"/>
    <w:pPr>
      <w:spacing w:before="100" w:beforeAutospacing="1" w:after="100" w:afterAutospacing="1"/>
    </w:pPr>
    <w:rPr>
      <w:rFonts w:ascii="Times" w:eastAsiaTheme="minorHAnsi" w:hAnsi="Times"/>
      <w:sz w:val="20"/>
      <w:szCs w:val="20"/>
      <w:lang w:val="de-CH" w:eastAsia="de-DE"/>
    </w:rPr>
  </w:style>
  <w:style w:type="paragraph" w:styleId="Revision">
    <w:name w:val="Revision"/>
    <w:hidden/>
    <w:uiPriority w:val="99"/>
    <w:semiHidden/>
    <w:rsid w:val="00F74680"/>
    <w:pPr>
      <w:spacing w:after="0" w:line="240" w:lineRule="auto"/>
    </w:pPr>
    <w:rPr>
      <w:rFonts w:eastAsia="Times New Roman"/>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B4"/>
    <w:pPr>
      <w:spacing w:after="0" w:line="240" w:lineRule="auto"/>
    </w:pPr>
    <w:rPr>
      <w:rFonts w:eastAsia="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093"/>
    <w:pPr>
      <w:ind w:left="720"/>
      <w:contextualSpacing/>
    </w:pPr>
  </w:style>
  <w:style w:type="paragraph" w:styleId="FootnoteText">
    <w:name w:val="footnote text"/>
    <w:basedOn w:val="Normal"/>
    <w:link w:val="FootnoteTextChar"/>
    <w:uiPriority w:val="99"/>
    <w:unhideWhenUsed/>
    <w:rsid w:val="00E96093"/>
    <w:rPr>
      <w:sz w:val="20"/>
      <w:szCs w:val="20"/>
    </w:rPr>
  </w:style>
  <w:style w:type="character" w:customStyle="1" w:styleId="FootnoteTextChar">
    <w:name w:val="Footnote Text Char"/>
    <w:basedOn w:val="DefaultParagraphFont"/>
    <w:link w:val="FootnoteText"/>
    <w:uiPriority w:val="99"/>
    <w:rsid w:val="00E96093"/>
    <w:rPr>
      <w:rFonts w:eastAsia="Times New Roman"/>
      <w:sz w:val="20"/>
      <w:szCs w:val="20"/>
      <w:lang w:eastAsia="en-CA"/>
    </w:rPr>
  </w:style>
  <w:style w:type="character" w:styleId="FootnoteReference">
    <w:name w:val="footnote reference"/>
    <w:basedOn w:val="DefaultParagraphFont"/>
    <w:uiPriority w:val="99"/>
    <w:unhideWhenUsed/>
    <w:rsid w:val="00E96093"/>
    <w:rPr>
      <w:vertAlign w:val="superscript"/>
    </w:rPr>
  </w:style>
  <w:style w:type="character" w:styleId="Hyperlink">
    <w:name w:val="Hyperlink"/>
    <w:basedOn w:val="DefaultParagraphFont"/>
    <w:uiPriority w:val="99"/>
    <w:unhideWhenUsed/>
    <w:rsid w:val="00E96093"/>
    <w:rPr>
      <w:color w:val="0000FF" w:themeColor="hyperlink"/>
      <w:u w:val="single"/>
    </w:rPr>
  </w:style>
  <w:style w:type="character" w:styleId="CommentReference">
    <w:name w:val="annotation reference"/>
    <w:basedOn w:val="DefaultParagraphFont"/>
    <w:uiPriority w:val="99"/>
    <w:semiHidden/>
    <w:unhideWhenUsed/>
    <w:rsid w:val="00E96093"/>
    <w:rPr>
      <w:sz w:val="16"/>
      <w:szCs w:val="16"/>
    </w:rPr>
  </w:style>
  <w:style w:type="paragraph" w:styleId="CommentText">
    <w:name w:val="annotation text"/>
    <w:basedOn w:val="Normal"/>
    <w:link w:val="CommentTextChar"/>
    <w:uiPriority w:val="99"/>
    <w:semiHidden/>
    <w:unhideWhenUsed/>
    <w:rsid w:val="00E96093"/>
    <w:rPr>
      <w:sz w:val="20"/>
      <w:szCs w:val="20"/>
    </w:rPr>
  </w:style>
  <w:style w:type="character" w:customStyle="1" w:styleId="CommentTextChar">
    <w:name w:val="Comment Text Char"/>
    <w:basedOn w:val="DefaultParagraphFont"/>
    <w:link w:val="CommentText"/>
    <w:uiPriority w:val="99"/>
    <w:semiHidden/>
    <w:rsid w:val="00E96093"/>
    <w:rPr>
      <w:rFonts w:eastAsia="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E96093"/>
    <w:rPr>
      <w:b/>
      <w:bCs/>
    </w:rPr>
  </w:style>
  <w:style w:type="character" w:customStyle="1" w:styleId="CommentSubjectChar">
    <w:name w:val="Comment Subject Char"/>
    <w:basedOn w:val="CommentTextChar"/>
    <w:link w:val="CommentSubject"/>
    <w:uiPriority w:val="99"/>
    <w:semiHidden/>
    <w:rsid w:val="00E96093"/>
    <w:rPr>
      <w:rFonts w:eastAsia="Times New Roman"/>
      <w:b/>
      <w:bCs/>
      <w:sz w:val="20"/>
      <w:szCs w:val="20"/>
      <w:lang w:eastAsia="en-CA"/>
    </w:rPr>
  </w:style>
  <w:style w:type="paragraph" w:styleId="BalloonText">
    <w:name w:val="Balloon Text"/>
    <w:basedOn w:val="Normal"/>
    <w:link w:val="BalloonTextChar"/>
    <w:uiPriority w:val="99"/>
    <w:semiHidden/>
    <w:unhideWhenUsed/>
    <w:rsid w:val="00E96093"/>
    <w:rPr>
      <w:rFonts w:ascii="Tahoma" w:hAnsi="Tahoma" w:cs="Tahoma"/>
      <w:sz w:val="16"/>
      <w:szCs w:val="16"/>
    </w:rPr>
  </w:style>
  <w:style w:type="character" w:customStyle="1" w:styleId="BalloonTextChar">
    <w:name w:val="Balloon Text Char"/>
    <w:basedOn w:val="DefaultParagraphFont"/>
    <w:link w:val="BalloonText"/>
    <w:uiPriority w:val="99"/>
    <w:semiHidden/>
    <w:rsid w:val="00E96093"/>
    <w:rPr>
      <w:rFonts w:ascii="Tahoma" w:eastAsia="Times New Roman" w:hAnsi="Tahoma" w:cs="Tahoma"/>
      <w:sz w:val="16"/>
      <w:szCs w:val="16"/>
      <w:lang w:eastAsia="en-CA"/>
    </w:rPr>
  </w:style>
  <w:style w:type="paragraph" w:styleId="Header">
    <w:name w:val="header"/>
    <w:basedOn w:val="Normal"/>
    <w:link w:val="HeaderChar"/>
    <w:uiPriority w:val="99"/>
    <w:unhideWhenUsed/>
    <w:rsid w:val="00A8393F"/>
    <w:pPr>
      <w:tabs>
        <w:tab w:val="center" w:pos="4680"/>
        <w:tab w:val="right" w:pos="9360"/>
      </w:tabs>
    </w:pPr>
  </w:style>
  <w:style w:type="character" w:customStyle="1" w:styleId="HeaderChar">
    <w:name w:val="Header Char"/>
    <w:basedOn w:val="DefaultParagraphFont"/>
    <w:link w:val="Header"/>
    <w:uiPriority w:val="99"/>
    <w:rsid w:val="00A8393F"/>
    <w:rPr>
      <w:rFonts w:eastAsia="Times New Roman"/>
      <w:lang w:eastAsia="en-CA"/>
    </w:rPr>
  </w:style>
  <w:style w:type="paragraph" w:styleId="Footer">
    <w:name w:val="footer"/>
    <w:basedOn w:val="Normal"/>
    <w:link w:val="FooterChar"/>
    <w:uiPriority w:val="99"/>
    <w:unhideWhenUsed/>
    <w:rsid w:val="00A8393F"/>
    <w:pPr>
      <w:tabs>
        <w:tab w:val="center" w:pos="4680"/>
        <w:tab w:val="right" w:pos="9360"/>
      </w:tabs>
    </w:pPr>
  </w:style>
  <w:style w:type="character" w:customStyle="1" w:styleId="FooterChar">
    <w:name w:val="Footer Char"/>
    <w:basedOn w:val="DefaultParagraphFont"/>
    <w:link w:val="Footer"/>
    <w:uiPriority w:val="99"/>
    <w:rsid w:val="00A8393F"/>
    <w:rPr>
      <w:rFonts w:eastAsia="Times New Roman"/>
      <w:lang w:eastAsia="en-CA"/>
    </w:rPr>
  </w:style>
  <w:style w:type="paragraph" w:styleId="NormalWeb">
    <w:name w:val="Normal (Web)"/>
    <w:basedOn w:val="Normal"/>
    <w:uiPriority w:val="99"/>
    <w:semiHidden/>
    <w:unhideWhenUsed/>
    <w:rsid w:val="005F3D73"/>
    <w:pPr>
      <w:spacing w:before="100" w:beforeAutospacing="1" w:after="100" w:afterAutospacing="1"/>
    </w:pPr>
    <w:rPr>
      <w:rFonts w:ascii="Times" w:eastAsiaTheme="minorHAnsi" w:hAnsi="Times"/>
      <w:sz w:val="20"/>
      <w:szCs w:val="20"/>
      <w:lang w:val="de-CH" w:eastAsia="de-DE"/>
    </w:rPr>
  </w:style>
  <w:style w:type="paragraph" w:styleId="Revision">
    <w:name w:val="Revision"/>
    <w:hidden/>
    <w:uiPriority w:val="99"/>
    <w:semiHidden/>
    <w:rsid w:val="00F74680"/>
    <w:pPr>
      <w:spacing w:after="0" w:line="240" w:lineRule="auto"/>
    </w:pPr>
    <w:rPr>
      <w:rFonts w:eastAsia="Times New Roman"/>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0487">
      <w:bodyDiv w:val="1"/>
      <w:marLeft w:val="0"/>
      <w:marRight w:val="0"/>
      <w:marTop w:val="0"/>
      <w:marBottom w:val="0"/>
      <w:divBdr>
        <w:top w:val="none" w:sz="0" w:space="0" w:color="auto"/>
        <w:left w:val="none" w:sz="0" w:space="0" w:color="auto"/>
        <w:bottom w:val="none" w:sz="0" w:space="0" w:color="auto"/>
        <w:right w:val="none" w:sz="0" w:space="0" w:color="auto"/>
      </w:divBdr>
    </w:div>
    <w:div w:id="194584884">
      <w:bodyDiv w:val="1"/>
      <w:marLeft w:val="0"/>
      <w:marRight w:val="0"/>
      <w:marTop w:val="0"/>
      <w:marBottom w:val="0"/>
      <w:divBdr>
        <w:top w:val="none" w:sz="0" w:space="0" w:color="auto"/>
        <w:left w:val="none" w:sz="0" w:space="0" w:color="auto"/>
        <w:bottom w:val="none" w:sz="0" w:space="0" w:color="auto"/>
        <w:right w:val="none" w:sz="0" w:space="0" w:color="auto"/>
      </w:divBdr>
      <w:divsChild>
        <w:div w:id="752705917">
          <w:marLeft w:val="0"/>
          <w:marRight w:val="0"/>
          <w:marTop w:val="0"/>
          <w:marBottom w:val="0"/>
          <w:divBdr>
            <w:top w:val="none" w:sz="0" w:space="0" w:color="auto"/>
            <w:left w:val="none" w:sz="0" w:space="0" w:color="auto"/>
            <w:bottom w:val="none" w:sz="0" w:space="0" w:color="auto"/>
            <w:right w:val="none" w:sz="0" w:space="0" w:color="auto"/>
          </w:divBdr>
          <w:divsChild>
            <w:div w:id="2128615690">
              <w:marLeft w:val="0"/>
              <w:marRight w:val="0"/>
              <w:marTop w:val="0"/>
              <w:marBottom w:val="0"/>
              <w:divBdr>
                <w:top w:val="none" w:sz="0" w:space="0" w:color="auto"/>
                <w:left w:val="none" w:sz="0" w:space="0" w:color="auto"/>
                <w:bottom w:val="none" w:sz="0" w:space="0" w:color="auto"/>
                <w:right w:val="none" w:sz="0" w:space="0" w:color="auto"/>
              </w:divBdr>
              <w:divsChild>
                <w:div w:id="20263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0889">
      <w:bodyDiv w:val="1"/>
      <w:marLeft w:val="0"/>
      <w:marRight w:val="0"/>
      <w:marTop w:val="0"/>
      <w:marBottom w:val="0"/>
      <w:divBdr>
        <w:top w:val="none" w:sz="0" w:space="0" w:color="auto"/>
        <w:left w:val="none" w:sz="0" w:space="0" w:color="auto"/>
        <w:bottom w:val="none" w:sz="0" w:space="0" w:color="auto"/>
        <w:right w:val="none" w:sz="0" w:space="0" w:color="auto"/>
      </w:divBdr>
    </w:div>
    <w:div w:id="2055883310">
      <w:bodyDiv w:val="1"/>
      <w:marLeft w:val="0"/>
      <w:marRight w:val="0"/>
      <w:marTop w:val="0"/>
      <w:marBottom w:val="0"/>
      <w:divBdr>
        <w:top w:val="none" w:sz="0" w:space="0" w:color="auto"/>
        <w:left w:val="none" w:sz="0" w:space="0" w:color="auto"/>
        <w:bottom w:val="none" w:sz="0" w:space="0" w:color="auto"/>
        <w:right w:val="none" w:sz="0" w:space="0" w:color="auto"/>
      </w:divBdr>
    </w:div>
    <w:div w:id="2097552846">
      <w:bodyDiv w:val="1"/>
      <w:marLeft w:val="0"/>
      <w:marRight w:val="0"/>
      <w:marTop w:val="0"/>
      <w:marBottom w:val="0"/>
      <w:divBdr>
        <w:top w:val="none" w:sz="0" w:space="0" w:color="auto"/>
        <w:left w:val="none" w:sz="0" w:space="0" w:color="auto"/>
        <w:bottom w:val="none" w:sz="0" w:space="0" w:color="auto"/>
        <w:right w:val="none" w:sz="0" w:space="0" w:color="auto"/>
      </w:divBdr>
      <w:divsChild>
        <w:div w:id="563872865">
          <w:marLeft w:val="0"/>
          <w:marRight w:val="0"/>
          <w:marTop w:val="0"/>
          <w:marBottom w:val="0"/>
          <w:divBdr>
            <w:top w:val="none" w:sz="0" w:space="0" w:color="auto"/>
            <w:left w:val="none" w:sz="0" w:space="0" w:color="auto"/>
            <w:bottom w:val="none" w:sz="0" w:space="0" w:color="auto"/>
            <w:right w:val="none" w:sz="0" w:space="0" w:color="auto"/>
          </w:divBdr>
          <w:divsChild>
            <w:div w:id="595552541">
              <w:marLeft w:val="0"/>
              <w:marRight w:val="0"/>
              <w:marTop w:val="0"/>
              <w:marBottom w:val="0"/>
              <w:divBdr>
                <w:top w:val="none" w:sz="0" w:space="0" w:color="auto"/>
                <w:left w:val="none" w:sz="0" w:space="0" w:color="auto"/>
                <w:bottom w:val="none" w:sz="0" w:space="0" w:color="auto"/>
                <w:right w:val="none" w:sz="0" w:space="0" w:color="auto"/>
              </w:divBdr>
              <w:divsChild>
                <w:div w:id="1792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4A974-0469-4FAC-A46F-BDE74DBE0CE0}"/>
</file>

<file path=customXml/itemProps2.xml><?xml version="1.0" encoding="utf-8"?>
<ds:datastoreItem xmlns:ds="http://schemas.openxmlformats.org/officeDocument/2006/customXml" ds:itemID="{B27C7F6C-6CC5-4836-859F-3DC08B27330A}"/>
</file>

<file path=customXml/itemProps3.xml><?xml version="1.0" encoding="utf-8"?>
<ds:datastoreItem xmlns:ds="http://schemas.openxmlformats.org/officeDocument/2006/customXml" ds:itemID="{3B3B2C16-D6A7-4C8D-A595-BA0C2799F9B8}"/>
</file>

<file path=customXml/itemProps4.xml><?xml version="1.0" encoding="utf-8"?>
<ds:datastoreItem xmlns:ds="http://schemas.openxmlformats.org/officeDocument/2006/customXml" ds:itemID="{A6ABB2C2-9928-4056-8403-2EE732C86FD2}"/>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Department of Justice / Ministère de la Justice</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Switzerland (received on 10 August 2015) in Word</dc:title>
  <dc:creator>Dan Moore</dc:creator>
  <cp:lastModifiedBy>Yiyao Zhang</cp:lastModifiedBy>
  <cp:revision>2</cp:revision>
  <cp:lastPrinted>2015-07-02T14:56:00Z</cp:lastPrinted>
  <dcterms:created xsi:type="dcterms:W3CDTF">2015-09-09T10:00:00Z</dcterms:created>
  <dcterms:modified xsi:type="dcterms:W3CDTF">2015-09-09T10:00:00Z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3116900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