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D7B7C" w14:textId="72D297EA" w:rsidR="002A4248" w:rsidRPr="000D581F" w:rsidRDefault="004D5775" w:rsidP="002A4248">
      <w:pPr>
        <w:jc w:val="center"/>
        <w:rPr>
          <w:b/>
        </w:rPr>
      </w:pPr>
      <w:r>
        <w:rPr>
          <w:b/>
        </w:rPr>
        <w:t>OHCHR comments</w:t>
      </w:r>
    </w:p>
    <w:p w14:paraId="6887290C" w14:textId="77777777" w:rsidR="002A4248" w:rsidRPr="000D581F" w:rsidRDefault="002A4248" w:rsidP="002A4248">
      <w:pPr>
        <w:jc w:val="center"/>
        <w:rPr>
          <w:b/>
        </w:rPr>
      </w:pPr>
    </w:p>
    <w:p w14:paraId="243EABDF" w14:textId="77777777" w:rsidR="002A4248" w:rsidRPr="000D581F" w:rsidRDefault="002A4248" w:rsidP="002A4248">
      <w:pPr>
        <w:jc w:val="center"/>
        <w:rPr>
          <w:b/>
        </w:rPr>
      </w:pPr>
      <w:r w:rsidRPr="000D581F">
        <w:rPr>
          <w:b/>
        </w:rPr>
        <w:t>Draft World Bank Group Strategy for Fragility, Conflict, and Violence (FCV) 2020-2025</w:t>
      </w:r>
    </w:p>
    <w:p w14:paraId="13543CD1" w14:textId="77777777" w:rsidR="002A4248" w:rsidRPr="000D581F" w:rsidRDefault="002A4248" w:rsidP="002A4248">
      <w:pPr>
        <w:jc w:val="center"/>
        <w:rPr>
          <w:b/>
        </w:rPr>
      </w:pPr>
    </w:p>
    <w:p w14:paraId="21ADD740" w14:textId="7B3301FC" w:rsidR="002A4248" w:rsidRPr="000D581F" w:rsidRDefault="00FA1484" w:rsidP="002A4248">
      <w:pPr>
        <w:jc w:val="center"/>
        <w:rPr>
          <w:b/>
        </w:rPr>
      </w:pPr>
      <w:r>
        <w:rPr>
          <w:b/>
        </w:rPr>
        <w:t>1</w:t>
      </w:r>
      <w:r w:rsidR="003210AC">
        <w:rPr>
          <w:b/>
        </w:rPr>
        <w:t>5</w:t>
      </w:r>
      <w:bookmarkStart w:id="0" w:name="_GoBack"/>
      <w:bookmarkEnd w:id="0"/>
      <w:r w:rsidR="00057333">
        <w:rPr>
          <w:b/>
        </w:rPr>
        <w:t xml:space="preserve"> </w:t>
      </w:r>
      <w:r w:rsidR="00580477">
        <w:rPr>
          <w:b/>
        </w:rPr>
        <w:t>January</w:t>
      </w:r>
      <w:r w:rsidR="00580477" w:rsidRPr="000D581F">
        <w:rPr>
          <w:b/>
        </w:rPr>
        <w:t xml:space="preserve"> </w:t>
      </w:r>
      <w:r w:rsidR="002A4248" w:rsidRPr="000D581F">
        <w:rPr>
          <w:b/>
        </w:rPr>
        <w:t>2019</w:t>
      </w:r>
    </w:p>
    <w:p w14:paraId="25276401" w14:textId="77777777" w:rsidR="002A4248" w:rsidRPr="000D581F" w:rsidRDefault="002A4248" w:rsidP="002A4248"/>
    <w:p w14:paraId="73344537" w14:textId="6A5EEE50" w:rsidR="002A4248" w:rsidRPr="000D581F" w:rsidRDefault="002A4248" w:rsidP="00496350">
      <w:pPr>
        <w:pStyle w:val="ListParagraph"/>
        <w:numPr>
          <w:ilvl w:val="0"/>
          <w:numId w:val="1"/>
        </w:numPr>
        <w:ind w:left="360"/>
      </w:pPr>
      <w:r w:rsidRPr="000D581F">
        <w:t xml:space="preserve">OHCHR welcomes the opportunity to </w:t>
      </w:r>
      <w:r w:rsidR="00E4632B">
        <w:t>contribute to</w:t>
      </w:r>
      <w:r w:rsidRPr="000D581F">
        <w:t xml:space="preserve"> the Bank’s draft FCV strategy. </w:t>
      </w:r>
      <w:proofErr w:type="gramStart"/>
      <w:r w:rsidRPr="000D581F">
        <w:t xml:space="preserve">We note the increasing collaboration between the Bank and </w:t>
      </w:r>
      <w:r w:rsidR="00911258">
        <w:t xml:space="preserve">the </w:t>
      </w:r>
      <w:r w:rsidRPr="000D581F">
        <w:t>UN (including OHCHR) in FCV settings and view the Bank’s FCV strategy development process as an important opportunity to scale up and focus future collaboration more effectively on root causes and drivers of fragility and conflict including – as outlined in the strategy – those related to denials of social, economic, civil, political and cultural human rights.</w:t>
      </w:r>
      <w:proofErr w:type="gramEnd"/>
    </w:p>
    <w:p w14:paraId="37503A6E" w14:textId="77777777" w:rsidR="002A4248" w:rsidRPr="000D581F" w:rsidRDefault="002A4248" w:rsidP="00496350"/>
    <w:p w14:paraId="1BDE53B9" w14:textId="69AE5C6C" w:rsidR="000D581F" w:rsidRPr="00496350" w:rsidRDefault="00D616AF" w:rsidP="00496350">
      <w:pPr>
        <w:rPr>
          <w:u w:val="single"/>
        </w:rPr>
      </w:pPr>
      <w:r>
        <w:rPr>
          <w:u w:val="single"/>
        </w:rPr>
        <w:t>Clarifying the Bank’s mandate</w:t>
      </w:r>
    </w:p>
    <w:p w14:paraId="3B3E97CE" w14:textId="77777777" w:rsidR="000D581F" w:rsidRDefault="000D581F" w:rsidP="00496350"/>
    <w:p w14:paraId="6B528B21" w14:textId="3CD4351C" w:rsidR="001F1EC2" w:rsidRDefault="00322B5B" w:rsidP="00496350">
      <w:pPr>
        <w:pStyle w:val="ListParagraph"/>
        <w:numPr>
          <w:ilvl w:val="0"/>
          <w:numId w:val="1"/>
        </w:numPr>
        <w:ind w:left="360"/>
      </w:pPr>
      <w:r>
        <w:t>OHCHR welcomes</w:t>
      </w:r>
      <w:r w:rsidR="002A4248" w:rsidRPr="000D581F">
        <w:t xml:space="preserve"> the recognition </w:t>
      </w:r>
      <w:r w:rsidR="0091729B">
        <w:t>o</w:t>
      </w:r>
      <w:r w:rsidR="002A4248" w:rsidRPr="000D581F">
        <w:t>n p.18, para</w:t>
      </w:r>
      <w:r w:rsidR="006217AC">
        <w:t>.</w:t>
      </w:r>
      <w:r w:rsidR="002A4248" w:rsidRPr="000D581F">
        <w:t xml:space="preserve"> 65, of the potential for human rights abuses to cause or contribute to fragility and conflict, and the intention expressed throughout the draft strategy to engage more directly with “core governance” drivers and political economy issues (such as in paras</w:t>
      </w:r>
      <w:r w:rsidR="00D46DEA">
        <w:t>.</w:t>
      </w:r>
      <w:r w:rsidR="002A4248" w:rsidRPr="000D581F">
        <w:t xml:space="preserve"> 19, 31, 49, 53, 64, 65, 68, 77, 86 and 90). At the same time para</w:t>
      </w:r>
      <w:r w:rsidR="006217AC">
        <w:t>.</w:t>
      </w:r>
      <w:r w:rsidR="002A4248" w:rsidRPr="000D581F">
        <w:t xml:space="preserve"> </w:t>
      </w:r>
      <w:proofErr w:type="gramStart"/>
      <w:r w:rsidR="002A4248" w:rsidRPr="000D581F">
        <w:t>40</w:t>
      </w:r>
      <w:proofErr w:type="gramEnd"/>
      <w:r w:rsidR="002A4248" w:rsidRPr="000D581F">
        <w:t xml:space="preserve"> of the draft strategy notes that the Bank is prohibited from “interfering in the political affairs of any member”. </w:t>
      </w:r>
      <w:proofErr w:type="gramStart"/>
      <w:r w:rsidR="002A4248" w:rsidRPr="000D581F">
        <w:t xml:space="preserve">In OHCHR’s view, it may be useful </w:t>
      </w:r>
      <w:r w:rsidR="008F3A43">
        <w:t xml:space="preserve">for </w:t>
      </w:r>
      <w:r w:rsidR="002A4248" w:rsidRPr="000D581F">
        <w:t xml:space="preserve">the World Bank Group </w:t>
      </w:r>
      <w:r w:rsidR="008F3A43">
        <w:t>to</w:t>
      </w:r>
      <w:r w:rsidR="002A4248" w:rsidRPr="000D581F">
        <w:t xml:space="preserve"> clarify the application of IBRD/IDA Articles IV, s. 10 and Article III, s. 5(b) and corresponding provisions of the</w:t>
      </w:r>
      <w:r w:rsidR="007F43EA">
        <w:t xml:space="preserve"> </w:t>
      </w:r>
      <w:r w:rsidR="002A4248" w:rsidRPr="000D581F">
        <w:t>IFC Articles to ensure that these provisions are interpreted purposively, in a manner which enables the Bank to address root causes and core governance drivers of fragility and conflict.</w:t>
      </w:r>
      <w:proofErr w:type="gramEnd"/>
      <w:r w:rsidR="002A4248" w:rsidRPr="000D581F">
        <w:t xml:space="preserve"> </w:t>
      </w:r>
    </w:p>
    <w:p w14:paraId="58B07443" w14:textId="77777777" w:rsidR="001F1EC2" w:rsidRDefault="001F1EC2" w:rsidP="001F1EC2">
      <w:pPr>
        <w:pStyle w:val="ListParagraph"/>
        <w:ind w:left="360"/>
      </w:pPr>
    </w:p>
    <w:p w14:paraId="0469112D" w14:textId="08D50AA7" w:rsidR="002A4248" w:rsidRPr="000D581F" w:rsidRDefault="002A4248" w:rsidP="00496350">
      <w:pPr>
        <w:pStyle w:val="ListParagraph"/>
        <w:numPr>
          <w:ilvl w:val="0"/>
          <w:numId w:val="1"/>
        </w:numPr>
        <w:ind w:left="360"/>
      </w:pPr>
      <w:r w:rsidRPr="000D581F">
        <w:t xml:space="preserve">OHCHR notes the existing legal authority </w:t>
      </w:r>
      <w:r w:rsidR="008F3A43">
        <w:t xml:space="preserve">of long standing </w:t>
      </w:r>
      <w:r w:rsidRPr="000D581F">
        <w:t>for the Bank to address human rights dimensions of its mandated activities</w:t>
      </w:r>
      <w:r w:rsidR="00C9688F" w:rsidRPr="000D581F">
        <w:rPr>
          <w:rStyle w:val="FootnoteReference"/>
        </w:rPr>
        <w:footnoteReference w:id="1"/>
      </w:r>
      <w:r w:rsidR="00022678">
        <w:t>,</w:t>
      </w:r>
      <w:r w:rsidRPr="000D581F">
        <w:t xml:space="preserve"> but considers that clear updated guidance </w:t>
      </w:r>
      <w:r w:rsidR="008F3A43">
        <w:t>may assist to minimise misperception</w:t>
      </w:r>
      <w:r w:rsidR="00C9688F" w:rsidRPr="000D581F">
        <w:t>, reduce</w:t>
      </w:r>
      <w:r w:rsidRPr="000D581F">
        <w:t xml:space="preserve"> risk aversion, and pav</w:t>
      </w:r>
      <w:r w:rsidR="00C9688F" w:rsidRPr="000D581F">
        <w:t>e</w:t>
      </w:r>
      <w:r w:rsidRPr="000D581F">
        <w:t xml:space="preserve"> the way for more creative and effective strategies and partnerships. </w:t>
      </w:r>
      <w:proofErr w:type="gramStart"/>
      <w:r w:rsidRPr="000D581F">
        <w:t xml:space="preserve">This would appear to be particularly important in FCV contexts where government authorities may </w:t>
      </w:r>
      <w:r w:rsidR="001F1EC2">
        <w:t xml:space="preserve">more often </w:t>
      </w:r>
      <w:r w:rsidR="00322B5B">
        <w:t xml:space="preserve">themselves </w:t>
      </w:r>
      <w:r w:rsidRPr="000D581F">
        <w:t xml:space="preserve">be part of </w:t>
      </w:r>
      <w:r w:rsidR="00322B5B">
        <w:t>governance challenges</w:t>
      </w:r>
      <w:r w:rsidRPr="000D581F">
        <w:t xml:space="preserve">, and/or where deprivation </w:t>
      </w:r>
      <w:r w:rsidR="001F1EC2">
        <w:t>is attributable to</w:t>
      </w:r>
      <w:r w:rsidRPr="000D581F">
        <w:t xml:space="preserve"> overt oppression </w:t>
      </w:r>
      <w:r w:rsidR="00322B5B">
        <w:t xml:space="preserve">and exclusion </w:t>
      </w:r>
      <w:r w:rsidRPr="000D581F">
        <w:t>rather than passive neglect</w:t>
      </w:r>
      <w:r w:rsidR="00322B5B">
        <w:t xml:space="preserve"> or oversight</w:t>
      </w:r>
      <w:r w:rsidRPr="000D581F">
        <w:t>, and/or where</w:t>
      </w:r>
      <w:r w:rsidR="00322B5B">
        <w:t>, for instance,</w:t>
      </w:r>
      <w:r w:rsidRPr="000D581F">
        <w:t xml:space="preserve"> discrimination on grounds of race, sex, national, ethnic or social origin, religion, political or other opinion</w:t>
      </w:r>
      <w:r w:rsidR="00322B5B">
        <w:t xml:space="preserve"> or other status</w:t>
      </w:r>
      <w:r w:rsidRPr="000D581F">
        <w:t xml:space="preserve"> </w:t>
      </w:r>
      <w:r w:rsidR="001F1EC2">
        <w:t xml:space="preserve">have clear negative economic impacts and are therefore </w:t>
      </w:r>
      <w:r w:rsidR="001F1EC2" w:rsidRPr="001F1EC2">
        <w:rPr>
          <w:i/>
        </w:rPr>
        <w:t>prima facie</w:t>
      </w:r>
      <w:r w:rsidR="001F1EC2">
        <w:t xml:space="preserve"> within mandate</w:t>
      </w:r>
      <w:r w:rsidRPr="000D581F">
        <w:t>.</w:t>
      </w:r>
      <w:proofErr w:type="gramEnd"/>
    </w:p>
    <w:p w14:paraId="4DC48EDD" w14:textId="77777777" w:rsidR="002A4248" w:rsidRDefault="002A4248" w:rsidP="00496350"/>
    <w:p w14:paraId="08A991E0" w14:textId="77777777" w:rsidR="00496350" w:rsidRPr="00496350" w:rsidRDefault="00496350" w:rsidP="00496350">
      <w:pPr>
        <w:pStyle w:val="NormalWeb"/>
        <w:rPr>
          <w:rFonts w:ascii="Calibri" w:hAnsi="Calibri" w:cs="Calibri"/>
          <w:sz w:val="22"/>
          <w:szCs w:val="22"/>
          <w:u w:val="single"/>
        </w:rPr>
      </w:pPr>
      <w:r w:rsidRPr="00496350">
        <w:rPr>
          <w:rFonts w:ascii="Calibri" w:hAnsi="Calibri" w:cs="Calibri"/>
          <w:sz w:val="22"/>
          <w:szCs w:val="22"/>
          <w:u w:val="single"/>
        </w:rPr>
        <w:t>Explicit human rights due diligence</w:t>
      </w:r>
    </w:p>
    <w:p w14:paraId="6C4DECD4" w14:textId="77777777" w:rsidR="00496350" w:rsidRDefault="00496350" w:rsidP="00496350">
      <w:pPr>
        <w:pStyle w:val="NormalWeb"/>
        <w:rPr>
          <w:rFonts w:ascii="Calibri" w:hAnsi="Calibri" w:cs="Calibri"/>
          <w:sz w:val="22"/>
          <w:szCs w:val="22"/>
        </w:rPr>
      </w:pPr>
    </w:p>
    <w:p w14:paraId="04837289" w14:textId="640D592F" w:rsidR="00A91DA6" w:rsidRDefault="00322B5B" w:rsidP="00496350">
      <w:pPr>
        <w:pStyle w:val="NormalWeb"/>
        <w:numPr>
          <w:ilvl w:val="0"/>
          <w:numId w:val="1"/>
        </w:numPr>
        <w:ind w:left="360"/>
        <w:rPr>
          <w:rFonts w:ascii="Calibri" w:hAnsi="Calibri" w:cs="Calibri"/>
          <w:sz w:val="22"/>
          <w:szCs w:val="22"/>
        </w:rPr>
      </w:pPr>
      <w:r>
        <w:rPr>
          <w:rFonts w:ascii="Calibri" w:hAnsi="Calibri" w:cs="Calibri"/>
          <w:sz w:val="22"/>
          <w:szCs w:val="22"/>
        </w:rPr>
        <w:t>OHCHR</w:t>
      </w:r>
      <w:r w:rsidRPr="000D581F">
        <w:rPr>
          <w:rFonts w:ascii="Calibri" w:hAnsi="Calibri" w:cs="Calibri"/>
          <w:sz w:val="22"/>
          <w:szCs w:val="22"/>
        </w:rPr>
        <w:t xml:space="preserve"> </w:t>
      </w:r>
      <w:r w:rsidR="00496350" w:rsidRPr="000D581F">
        <w:rPr>
          <w:rFonts w:ascii="Calibri" w:hAnsi="Calibri" w:cs="Calibri"/>
          <w:sz w:val="22"/>
          <w:szCs w:val="22"/>
        </w:rPr>
        <w:t>note</w:t>
      </w:r>
      <w:r>
        <w:rPr>
          <w:rFonts w:ascii="Calibri" w:hAnsi="Calibri" w:cs="Calibri"/>
          <w:sz w:val="22"/>
          <w:szCs w:val="22"/>
        </w:rPr>
        <w:t>s</w:t>
      </w:r>
      <w:r w:rsidR="00496350" w:rsidRPr="000D581F">
        <w:rPr>
          <w:rFonts w:ascii="Calibri" w:hAnsi="Calibri" w:cs="Calibri"/>
          <w:sz w:val="22"/>
          <w:szCs w:val="22"/>
        </w:rPr>
        <w:t xml:space="preserve"> the discussion on non-financial risks in para</w:t>
      </w:r>
      <w:r w:rsidR="006217AC">
        <w:rPr>
          <w:rFonts w:ascii="Calibri" w:hAnsi="Calibri" w:cs="Calibri"/>
          <w:sz w:val="22"/>
          <w:szCs w:val="22"/>
        </w:rPr>
        <w:t>.</w:t>
      </w:r>
      <w:r w:rsidR="00496350" w:rsidRPr="000D581F">
        <w:rPr>
          <w:rFonts w:ascii="Calibri" w:hAnsi="Calibri" w:cs="Calibri"/>
          <w:sz w:val="22"/>
          <w:szCs w:val="22"/>
        </w:rPr>
        <w:t xml:space="preserve"> </w:t>
      </w:r>
      <w:proofErr w:type="gramStart"/>
      <w:r w:rsidR="00496350" w:rsidRPr="000D581F">
        <w:rPr>
          <w:rFonts w:ascii="Calibri" w:hAnsi="Calibri" w:cs="Calibri"/>
          <w:sz w:val="22"/>
          <w:szCs w:val="22"/>
        </w:rPr>
        <w:t>59</w:t>
      </w:r>
      <w:proofErr w:type="gramEnd"/>
      <w:r w:rsidR="00496350" w:rsidRPr="000D581F">
        <w:rPr>
          <w:rFonts w:ascii="Calibri" w:hAnsi="Calibri" w:cs="Calibri"/>
          <w:sz w:val="22"/>
          <w:szCs w:val="22"/>
        </w:rPr>
        <w:t xml:space="preserve"> and elsewhere, including risk of litigation, in FCV settings. </w:t>
      </w:r>
      <w:r>
        <w:rPr>
          <w:rFonts w:ascii="Calibri" w:hAnsi="Calibri" w:cs="Calibri"/>
          <w:sz w:val="22"/>
          <w:szCs w:val="22"/>
        </w:rPr>
        <w:t xml:space="preserve">In </w:t>
      </w:r>
      <w:r w:rsidR="00496350" w:rsidRPr="000D581F">
        <w:rPr>
          <w:rFonts w:ascii="Calibri" w:hAnsi="Calibri" w:cs="Calibri"/>
          <w:sz w:val="22"/>
          <w:szCs w:val="22"/>
        </w:rPr>
        <w:t>OHCHR</w:t>
      </w:r>
      <w:r>
        <w:rPr>
          <w:rFonts w:ascii="Calibri" w:hAnsi="Calibri" w:cs="Calibri"/>
          <w:sz w:val="22"/>
          <w:szCs w:val="22"/>
        </w:rPr>
        <w:t xml:space="preserve">’s view, </w:t>
      </w:r>
      <w:r w:rsidR="001C4B4B">
        <w:rPr>
          <w:rFonts w:ascii="Calibri" w:hAnsi="Calibri" w:cs="Calibri"/>
          <w:sz w:val="22"/>
          <w:szCs w:val="22"/>
        </w:rPr>
        <w:t xml:space="preserve">effective </w:t>
      </w:r>
      <w:r w:rsidR="00496350" w:rsidRPr="000D581F">
        <w:rPr>
          <w:rFonts w:ascii="Calibri" w:hAnsi="Calibri" w:cs="Calibri"/>
          <w:sz w:val="22"/>
          <w:szCs w:val="22"/>
        </w:rPr>
        <w:t>due diligence</w:t>
      </w:r>
      <w:r w:rsidR="001C4B4B">
        <w:rPr>
          <w:rFonts w:ascii="Calibri" w:hAnsi="Calibri" w:cs="Calibri"/>
          <w:sz w:val="22"/>
          <w:szCs w:val="22"/>
        </w:rPr>
        <w:t xml:space="preserve"> that includes identifying, preventing and mitigating human rights risks</w:t>
      </w:r>
      <w:r w:rsidR="003B5DD3">
        <w:rPr>
          <w:rFonts w:ascii="Calibri" w:hAnsi="Calibri" w:cs="Calibri"/>
          <w:sz w:val="22"/>
          <w:szCs w:val="22"/>
        </w:rPr>
        <w:t>,</w:t>
      </w:r>
      <w:r w:rsidR="00496350" w:rsidRPr="000D581F">
        <w:rPr>
          <w:rFonts w:ascii="Calibri" w:hAnsi="Calibri" w:cs="Calibri"/>
          <w:sz w:val="22"/>
          <w:szCs w:val="22"/>
        </w:rPr>
        <w:t xml:space="preserve"> and effective accountability mechanisms which can enable or (in appropriate cases) contribute directly to remedy, </w:t>
      </w:r>
      <w:r w:rsidR="00874D4D">
        <w:rPr>
          <w:rFonts w:ascii="Calibri" w:hAnsi="Calibri" w:cs="Calibri"/>
          <w:sz w:val="22"/>
          <w:szCs w:val="22"/>
        </w:rPr>
        <w:t xml:space="preserve">are not only good for sustainability but may </w:t>
      </w:r>
      <w:r w:rsidR="00496350" w:rsidRPr="000D581F">
        <w:rPr>
          <w:rFonts w:ascii="Calibri" w:hAnsi="Calibri" w:cs="Calibri"/>
          <w:sz w:val="22"/>
          <w:szCs w:val="22"/>
        </w:rPr>
        <w:t>help to offset reputational and legal liability risks.</w:t>
      </w:r>
      <w:r w:rsidR="00D616AF">
        <w:rPr>
          <w:rStyle w:val="FootnoteReference"/>
          <w:rFonts w:ascii="Calibri" w:hAnsi="Calibri" w:cs="Calibri"/>
          <w:sz w:val="22"/>
          <w:szCs w:val="22"/>
        </w:rPr>
        <w:footnoteReference w:id="2"/>
      </w:r>
      <w:r w:rsidR="00496350" w:rsidRPr="000D581F">
        <w:rPr>
          <w:rFonts w:ascii="Calibri" w:hAnsi="Calibri" w:cs="Calibri"/>
          <w:sz w:val="22"/>
          <w:szCs w:val="22"/>
        </w:rPr>
        <w:t xml:space="preserve"> </w:t>
      </w:r>
      <w:r w:rsidR="00A91DA6">
        <w:rPr>
          <w:rFonts w:ascii="Calibri" w:hAnsi="Calibri" w:cs="Calibri"/>
          <w:sz w:val="22"/>
          <w:szCs w:val="22"/>
        </w:rPr>
        <w:t xml:space="preserve">Information and </w:t>
      </w:r>
      <w:proofErr w:type="gramStart"/>
      <w:r w:rsidR="00A91DA6">
        <w:rPr>
          <w:rFonts w:ascii="Calibri" w:hAnsi="Calibri" w:cs="Calibri"/>
          <w:sz w:val="22"/>
          <w:szCs w:val="22"/>
        </w:rPr>
        <w:lastRenderedPageBreak/>
        <w:t>recommendations</w:t>
      </w:r>
      <w:proofErr w:type="gramEnd"/>
      <w:r w:rsidR="00A91DA6">
        <w:rPr>
          <w:rFonts w:ascii="Calibri" w:hAnsi="Calibri" w:cs="Calibri"/>
          <w:sz w:val="22"/>
          <w:szCs w:val="22"/>
        </w:rPr>
        <w:t xml:space="preserve"> of UN Charter-based and treaty-based human rights mechanisms</w:t>
      </w:r>
      <w:r w:rsidR="00A91DA6">
        <w:rPr>
          <w:rStyle w:val="FootnoteReference"/>
          <w:rFonts w:ascii="Calibri" w:hAnsi="Calibri" w:cs="Calibri"/>
          <w:sz w:val="22"/>
          <w:szCs w:val="22"/>
        </w:rPr>
        <w:footnoteReference w:id="3"/>
      </w:r>
      <w:r w:rsidR="00A91DA6">
        <w:rPr>
          <w:rFonts w:ascii="Calibri" w:hAnsi="Calibri" w:cs="Calibri"/>
          <w:sz w:val="22"/>
          <w:szCs w:val="22"/>
        </w:rPr>
        <w:t xml:space="preserve"> are readily available on-line and, together with advice and reporting from OHCHR,</w:t>
      </w:r>
      <w:r w:rsidR="00874D4D">
        <w:rPr>
          <w:rFonts w:ascii="Calibri" w:hAnsi="Calibri" w:cs="Calibri"/>
          <w:sz w:val="22"/>
          <w:szCs w:val="22"/>
        </w:rPr>
        <w:t xml:space="preserve"> ILO, regional human rights organisations and other relevant actors,</w:t>
      </w:r>
      <w:r w:rsidR="00A91DA6">
        <w:rPr>
          <w:rFonts w:ascii="Calibri" w:hAnsi="Calibri" w:cs="Calibri"/>
          <w:sz w:val="22"/>
          <w:szCs w:val="22"/>
        </w:rPr>
        <w:t xml:space="preserve"> can strengthen country analytics and help to identify and address social risk factors within the scope of the World Bank Group’s due diligence. </w:t>
      </w:r>
    </w:p>
    <w:p w14:paraId="41CDAC70" w14:textId="77777777" w:rsidR="00A91DA6" w:rsidRDefault="00A91DA6" w:rsidP="00A91DA6">
      <w:pPr>
        <w:pStyle w:val="NormalWeb"/>
        <w:ind w:left="360"/>
        <w:rPr>
          <w:rFonts w:ascii="Calibri" w:hAnsi="Calibri" w:cs="Calibri"/>
          <w:sz w:val="22"/>
          <w:szCs w:val="22"/>
        </w:rPr>
      </w:pPr>
    </w:p>
    <w:p w14:paraId="0A5D2726" w14:textId="6D60012A" w:rsidR="00AB1C08" w:rsidRDefault="00496350" w:rsidP="00C81E9B">
      <w:pPr>
        <w:pStyle w:val="NormalWeb"/>
        <w:numPr>
          <w:ilvl w:val="0"/>
          <w:numId w:val="1"/>
        </w:numPr>
        <w:ind w:left="360"/>
        <w:rPr>
          <w:rFonts w:ascii="Calibri" w:hAnsi="Calibri" w:cs="Calibri"/>
          <w:sz w:val="22"/>
          <w:szCs w:val="22"/>
        </w:rPr>
      </w:pPr>
      <w:proofErr w:type="gramStart"/>
      <w:r w:rsidRPr="000D581F">
        <w:rPr>
          <w:rFonts w:ascii="Calibri" w:hAnsi="Calibri" w:cs="Calibri"/>
          <w:sz w:val="22"/>
          <w:szCs w:val="22"/>
        </w:rPr>
        <w:t xml:space="preserve">The utility and importance of explicitly factoring in analysis and recommendations from the UN human rights system was brought to light recently in connection with the reporting of the UN Human Rights Council’s </w:t>
      </w:r>
      <w:r w:rsidR="008F3A43">
        <w:rPr>
          <w:rFonts w:ascii="Calibri" w:hAnsi="Calibri" w:cs="Calibri"/>
          <w:sz w:val="22"/>
          <w:szCs w:val="22"/>
        </w:rPr>
        <w:t xml:space="preserve">Independent International </w:t>
      </w:r>
      <w:r w:rsidRPr="000D581F">
        <w:rPr>
          <w:rFonts w:ascii="Calibri" w:hAnsi="Calibri" w:cs="Calibri"/>
          <w:sz w:val="22"/>
          <w:szCs w:val="22"/>
        </w:rPr>
        <w:t>Fact Finding Mission on Myanmar (</w:t>
      </w:r>
      <w:r w:rsidR="008F3A43">
        <w:rPr>
          <w:rFonts w:ascii="Calibri" w:hAnsi="Calibri" w:cs="Calibri"/>
          <w:sz w:val="22"/>
          <w:szCs w:val="22"/>
        </w:rPr>
        <w:t>II</w:t>
      </w:r>
      <w:r w:rsidRPr="000D581F">
        <w:rPr>
          <w:rFonts w:ascii="Calibri" w:hAnsi="Calibri" w:cs="Calibri"/>
          <w:sz w:val="22"/>
          <w:szCs w:val="22"/>
        </w:rPr>
        <w:t>FFM), including analysis of the political economy of infrastructure, forestry and other development projects in Myanmar, and financial tracking of the economic interests of the military (</w:t>
      </w:r>
      <w:proofErr w:type="spellStart"/>
      <w:r w:rsidRPr="000D581F">
        <w:rPr>
          <w:rFonts w:ascii="Calibri" w:hAnsi="Calibri" w:cs="Calibri"/>
          <w:sz w:val="22"/>
          <w:szCs w:val="22"/>
        </w:rPr>
        <w:t>Tatmadaw</w:t>
      </w:r>
      <w:proofErr w:type="spellEnd"/>
      <w:r w:rsidRPr="000D581F">
        <w:rPr>
          <w:rFonts w:ascii="Calibri" w:hAnsi="Calibri" w:cs="Calibri"/>
          <w:sz w:val="22"/>
          <w:szCs w:val="22"/>
        </w:rPr>
        <w:t>).</w:t>
      </w:r>
      <w:proofErr w:type="gramEnd"/>
      <w:r w:rsidRPr="000D581F">
        <w:rPr>
          <w:rFonts w:ascii="Calibri" w:hAnsi="Calibri" w:cs="Calibri"/>
          <w:sz w:val="22"/>
          <w:szCs w:val="22"/>
        </w:rPr>
        <w:t xml:space="preserve"> Recommendations to investors and IFIs included the need for explicit human rights due diligence, avoidance of support for individuals suspected of international criminal activity, and avoidance of support for </w:t>
      </w:r>
      <w:proofErr w:type="gramStart"/>
      <w:r w:rsidRPr="000D581F">
        <w:rPr>
          <w:rFonts w:ascii="Calibri" w:hAnsi="Calibri" w:cs="Calibri"/>
          <w:sz w:val="22"/>
          <w:szCs w:val="22"/>
        </w:rPr>
        <w:t>activities which</w:t>
      </w:r>
      <w:proofErr w:type="gramEnd"/>
      <w:r w:rsidRPr="000D581F">
        <w:rPr>
          <w:rFonts w:ascii="Calibri" w:hAnsi="Calibri" w:cs="Calibri"/>
          <w:sz w:val="22"/>
          <w:szCs w:val="22"/>
        </w:rPr>
        <w:t xml:space="preserve"> may impede international criminal investigations. The </w:t>
      </w:r>
      <w:r w:rsidR="00100865">
        <w:rPr>
          <w:rFonts w:ascii="Calibri" w:hAnsi="Calibri" w:cs="Calibri"/>
          <w:sz w:val="22"/>
          <w:szCs w:val="22"/>
        </w:rPr>
        <w:t>II</w:t>
      </w:r>
      <w:r w:rsidRPr="000D581F">
        <w:rPr>
          <w:rFonts w:ascii="Calibri" w:hAnsi="Calibri" w:cs="Calibri"/>
          <w:sz w:val="22"/>
          <w:szCs w:val="22"/>
        </w:rPr>
        <w:t>FFM’s analysis and recommendations have influenced investor behaviour, DFI procurement and due diligence practices, economic sanctions policies of governments, a</w:t>
      </w:r>
      <w:r w:rsidR="008F3A43">
        <w:rPr>
          <w:rFonts w:ascii="Calibri" w:hAnsi="Calibri" w:cs="Calibri"/>
          <w:sz w:val="22"/>
          <w:szCs w:val="22"/>
        </w:rPr>
        <w:t xml:space="preserve">s well as </w:t>
      </w:r>
      <w:r w:rsidRPr="000D581F">
        <w:rPr>
          <w:rFonts w:ascii="Calibri" w:hAnsi="Calibri" w:cs="Calibri"/>
          <w:sz w:val="22"/>
          <w:szCs w:val="22"/>
        </w:rPr>
        <w:t>the ongoing claim brought by The Gambia against Myanmar in the International Court of Justice under the Genocide Convention</w:t>
      </w:r>
      <w:r w:rsidR="008F3A43">
        <w:rPr>
          <w:rFonts w:ascii="Calibri" w:hAnsi="Calibri" w:cs="Calibri"/>
          <w:sz w:val="22"/>
          <w:szCs w:val="22"/>
        </w:rPr>
        <w:t xml:space="preserve"> and the approach of the International Criminal Court, investigating international crimes with a link to Bangladesh</w:t>
      </w:r>
      <w:r w:rsidRPr="000D581F">
        <w:rPr>
          <w:rFonts w:ascii="Calibri" w:hAnsi="Calibri" w:cs="Calibri"/>
          <w:sz w:val="22"/>
          <w:szCs w:val="22"/>
        </w:rPr>
        <w:t>.</w:t>
      </w:r>
      <w:r w:rsidR="008F3A43">
        <w:rPr>
          <w:rFonts w:ascii="Calibri" w:hAnsi="Calibri" w:cs="Calibri"/>
          <w:sz w:val="22"/>
          <w:szCs w:val="22"/>
        </w:rPr>
        <w:t xml:space="preserve"> Similarly, the Independent Investigative Mechanism for Myanmar (IIMM), established by the UN Human Rights Council, has an ongoing mandate to compile individual criminal cases for prosecution in any current or future competent jurisdiction.</w:t>
      </w:r>
      <w:r w:rsidRPr="000D581F">
        <w:rPr>
          <w:rFonts w:ascii="Calibri" w:hAnsi="Calibri" w:cs="Calibri"/>
          <w:sz w:val="22"/>
          <w:szCs w:val="22"/>
        </w:rPr>
        <w:t xml:space="preserve"> </w:t>
      </w:r>
    </w:p>
    <w:p w14:paraId="32B383D8" w14:textId="77777777" w:rsidR="00AB1C08" w:rsidRDefault="00AB1C08" w:rsidP="00AB1C08">
      <w:pPr>
        <w:pStyle w:val="ListParagraph"/>
      </w:pPr>
    </w:p>
    <w:p w14:paraId="5D92CEDA" w14:textId="77777777" w:rsidR="008F3A43" w:rsidRPr="008F3A43" w:rsidRDefault="00A91DA6" w:rsidP="00384B4A">
      <w:pPr>
        <w:pStyle w:val="NormalWeb"/>
        <w:numPr>
          <w:ilvl w:val="0"/>
          <w:numId w:val="1"/>
        </w:numPr>
        <w:ind w:left="360"/>
        <w:rPr>
          <w:rFonts w:ascii="Calibri" w:hAnsi="Calibri" w:cs="Calibri"/>
          <w:sz w:val="22"/>
          <w:szCs w:val="22"/>
        </w:rPr>
      </w:pPr>
      <w:proofErr w:type="gramStart"/>
      <w:r w:rsidRPr="00AB1C08">
        <w:rPr>
          <w:rFonts w:ascii="Calibri" w:hAnsi="Calibri" w:cs="Calibri"/>
          <w:sz w:val="22"/>
          <w:szCs w:val="22"/>
        </w:rPr>
        <w:t xml:space="preserve">The February 2019 report of </w:t>
      </w:r>
      <w:r w:rsidR="00C81E9B" w:rsidRPr="00AB1C08">
        <w:rPr>
          <w:rFonts w:ascii="Calibri" w:hAnsi="Calibri" w:cs="Calibri"/>
          <w:sz w:val="22"/>
          <w:szCs w:val="22"/>
        </w:rPr>
        <w:t>the UN Commission on Human Rights in South Sudan also includes a political economy analysis and extensive information on alleged perpetrators and individual and corporate complicity in international crimes, including specific military units and individuals in central and state government administrations, relevant to international development partners’ country and conflict analytics and procurement, due diligence and Integrity Due Diligence procedures.</w:t>
      </w:r>
      <w:r w:rsidR="00C81E9B">
        <w:rPr>
          <w:rStyle w:val="FootnoteReference"/>
          <w:rFonts w:ascii="Calibri" w:hAnsi="Calibri" w:cs="Calibri"/>
          <w:sz w:val="22"/>
          <w:szCs w:val="22"/>
        </w:rPr>
        <w:footnoteReference w:id="4"/>
      </w:r>
      <w:proofErr w:type="gramEnd"/>
      <w:r w:rsidR="00AB1C08" w:rsidRPr="00AB1C08">
        <w:rPr>
          <w:rFonts w:ascii="Calibri" w:hAnsi="Calibri" w:cs="Calibri"/>
          <w:sz w:val="22"/>
          <w:szCs w:val="22"/>
        </w:rPr>
        <w:t xml:space="preserve"> </w:t>
      </w:r>
      <w:r w:rsidR="008F3A43">
        <w:rPr>
          <w:rFonts w:ascii="Calibri" w:hAnsi="Calibri" w:cs="Calibri"/>
          <w:sz w:val="22"/>
          <w:szCs w:val="22"/>
        </w:rPr>
        <w:t>Similarly, in September 2019, the UN Human Rights Council d</w:t>
      </w:r>
      <w:r w:rsidR="008F3A43" w:rsidRPr="008F3A43">
        <w:rPr>
          <w:rFonts w:ascii="Calibri" w:hAnsi="Calibri" w:cs="Calibri"/>
          <w:sz w:val="22"/>
          <w:szCs w:val="22"/>
        </w:rPr>
        <w:t xml:space="preserve">ecided to extend the mandate of the Commission of Inquiry on Burundi “in order for it to deepen its investigations, including into respect for and observance of political, civil, economic and social rights in the electoral context, </w:t>
      </w:r>
      <w:r w:rsidR="008F3A43" w:rsidRPr="008F3A43">
        <w:rPr>
          <w:rFonts w:ascii="Calibri" w:hAnsi="Calibri" w:cs="Calibri"/>
          <w:i/>
          <w:sz w:val="22"/>
          <w:szCs w:val="22"/>
        </w:rPr>
        <w:t>with particular reference to the economic underpinnings of the State</w:t>
      </w:r>
      <w:r w:rsidR="008F3A43" w:rsidRPr="008F3A43">
        <w:rPr>
          <w:rFonts w:ascii="Calibri" w:hAnsi="Calibri" w:cs="Calibri"/>
          <w:sz w:val="22"/>
          <w:szCs w:val="22"/>
        </w:rPr>
        <w:t>.”</w:t>
      </w:r>
      <w:r w:rsidR="008F3A43">
        <w:rPr>
          <w:rStyle w:val="FootnoteReference"/>
          <w:rFonts w:ascii="Calibri" w:hAnsi="Calibri" w:cs="Calibri"/>
          <w:sz w:val="22"/>
          <w:szCs w:val="22"/>
        </w:rPr>
        <w:footnoteReference w:id="5"/>
      </w:r>
      <w:r w:rsidR="008F3A43">
        <w:t xml:space="preserve"> </w:t>
      </w:r>
    </w:p>
    <w:p w14:paraId="17FA0645" w14:textId="77777777" w:rsidR="008F3A43" w:rsidRDefault="008F3A43" w:rsidP="008F3A43">
      <w:pPr>
        <w:pStyle w:val="ListParagraph"/>
      </w:pPr>
    </w:p>
    <w:p w14:paraId="2BD5C14C" w14:textId="0B299C4E" w:rsidR="00496350" w:rsidRPr="00AB1C08" w:rsidRDefault="00496350" w:rsidP="00384B4A">
      <w:pPr>
        <w:pStyle w:val="NormalWeb"/>
        <w:numPr>
          <w:ilvl w:val="0"/>
          <w:numId w:val="1"/>
        </w:numPr>
        <w:ind w:left="360"/>
        <w:rPr>
          <w:rFonts w:ascii="Calibri" w:hAnsi="Calibri" w:cs="Calibri"/>
          <w:sz w:val="22"/>
          <w:szCs w:val="22"/>
        </w:rPr>
      </w:pPr>
      <w:r w:rsidRPr="00AB1C08">
        <w:rPr>
          <w:rFonts w:ascii="Calibri" w:hAnsi="Calibri" w:cs="Calibri"/>
          <w:sz w:val="22"/>
          <w:szCs w:val="22"/>
        </w:rPr>
        <w:t>Corporations and directors investing in FCV settings (which may include DFI clients and/or contractors) are increasingly finding themselves exposed to allegations of complicity in serious human rights violations or international crimes.</w:t>
      </w:r>
      <w:r w:rsidRPr="000D581F">
        <w:rPr>
          <w:rStyle w:val="FootnoteReference"/>
          <w:rFonts w:ascii="Calibri" w:hAnsi="Calibri" w:cs="Calibri"/>
          <w:sz w:val="22"/>
          <w:szCs w:val="22"/>
        </w:rPr>
        <w:footnoteReference w:id="6"/>
      </w:r>
      <w:r w:rsidRPr="00AB1C08">
        <w:rPr>
          <w:rFonts w:ascii="Calibri" w:hAnsi="Calibri" w:cs="Calibri"/>
          <w:sz w:val="22"/>
          <w:szCs w:val="22"/>
        </w:rPr>
        <w:t xml:space="preserve"> These trends unders</w:t>
      </w:r>
      <w:r w:rsidR="00AB1C08">
        <w:rPr>
          <w:rFonts w:ascii="Calibri" w:hAnsi="Calibri" w:cs="Calibri"/>
          <w:sz w:val="22"/>
          <w:szCs w:val="22"/>
        </w:rPr>
        <w:t>c</w:t>
      </w:r>
      <w:r w:rsidRPr="00AB1C08">
        <w:rPr>
          <w:rFonts w:ascii="Calibri" w:hAnsi="Calibri" w:cs="Calibri"/>
          <w:sz w:val="22"/>
          <w:szCs w:val="22"/>
        </w:rPr>
        <w:t>ore the importance of implementing explicit human rights due diligence as a routine component of DFI risk management systems. Explicit human rights due diligence w</w:t>
      </w:r>
      <w:r w:rsidR="00322B5B">
        <w:rPr>
          <w:rFonts w:ascii="Calibri" w:hAnsi="Calibri" w:cs="Calibri"/>
          <w:sz w:val="22"/>
          <w:szCs w:val="22"/>
        </w:rPr>
        <w:t>ould</w:t>
      </w:r>
      <w:r w:rsidRPr="00AB1C08">
        <w:rPr>
          <w:rFonts w:ascii="Calibri" w:hAnsi="Calibri" w:cs="Calibri"/>
          <w:sz w:val="22"/>
          <w:szCs w:val="22"/>
        </w:rPr>
        <w:t xml:space="preserve"> help to ensure that </w:t>
      </w:r>
      <w:r w:rsidR="00322B5B">
        <w:rPr>
          <w:rFonts w:ascii="Calibri" w:hAnsi="Calibri" w:cs="Calibri"/>
          <w:sz w:val="22"/>
          <w:szCs w:val="22"/>
        </w:rPr>
        <w:t xml:space="preserve">the </w:t>
      </w:r>
      <w:r w:rsidR="003B5DD3">
        <w:rPr>
          <w:rFonts w:ascii="Calibri" w:hAnsi="Calibri" w:cs="Calibri"/>
          <w:sz w:val="22"/>
          <w:szCs w:val="22"/>
        </w:rPr>
        <w:t xml:space="preserve">fullest </w:t>
      </w:r>
      <w:r w:rsidR="003B5DD3" w:rsidRPr="00AB1C08">
        <w:rPr>
          <w:rFonts w:ascii="Calibri" w:hAnsi="Calibri" w:cs="Calibri"/>
          <w:sz w:val="22"/>
          <w:szCs w:val="22"/>
        </w:rPr>
        <w:t>information</w:t>
      </w:r>
      <w:r w:rsidRPr="00AB1C08">
        <w:rPr>
          <w:rFonts w:ascii="Calibri" w:hAnsi="Calibri" w:cs="Calibri"/>
          <w:sz w:val="22"/>
          <w:szCs w:val="22"/>
        </w:rPr>
        <w:t xml:space="preserve"> relevant to procurement, project risk assessment and Integrity Due Diligence </w:t>
      </w:r>
      <w:r w:rsidR="00322B5B">
        <w:rPr>
          <w:rFonts w:ascii="Calibri" w:hAnsi="Calibri" w:cs="Calibri"/>
          <w:sz w:val="22"/>
          <w:szCs w:val="22"/>
        </w:rPr>
        <w:t>is</w:t>
      </w:r>
      <w:r w:rsidR="00322B5B" w:rsidRPr="00AB1C08">
        <w:rPr>
          <w:rFonts w:ascii="Calibri" w:hAnsi="Calibri" w:cs="Calibri"/>
          <w:sz w:val="22"/>
          <w:szCs w:val="22"/>
        </w:rPr>
        <w:t xml:space="preserve"> </w:t>
      </w:r>
      <w:r w:rsidR="00AB1C08">
        <w:rPr>
          <w:rFonts w:ascii="Calibri" w:hAnsi="Calibri" w:cs="Calibri"/>
          <w:sz w:val="22"/>
          <w:szCs w:val="22"/>
        </w:rPr>
        <w:t>routinely taken into account</w:t>
      </w:r>
      <w:r w:rsidRPr="00AB1C08">
        <w:rPr>
          <w:rFonts w:ascii="Calibri" w:hAnsi="Calibri" w:cs="Calibri"/>
          <w:sz w:val="22"/>
          <w:szCs w:val="22"/>
        </w:rPr>
        <w:t xml:space="preserve">. Moreover, OHCHR would suggest that due diligence and </w:t>
      </w:r>
      <w:proofErr w:type="gramStart"/>
      <w:r w:rsidRPr="00AB1C08">
        <w:rPr>
          <w:rFonts w:ascii="Calibri" w:hAnsi="Calibri" w:cs="Calibri"/>
          <w:sz w:val="22"/>
          <w:szCs w:val="22"/>
        </w:rPr>
        <w:t>leverage</w:t>
      </w:r>
      <w:proofErr w:type="gramEnd"/>
      <w:r w:rsidRPr="00AB1C08">
        <w:rPr>
          <w:rFonts w:ascii="Calibri" w:hAnsi="Calibri" w:cs="Calibri"/>
          <w:sz w:val="22"/>
          <w:szCs w:val="22"/>
        </w:rPr>
        <w:t xml:space="preserve"> </w:t>
      </w:r>
      <w:r w:rsidRPr="00AB1C08">
        <w:rPr>
          <w:rFonts w:ascii="Calibri" w:hAnsi="Calibri" w:cs="Calibri"/>
          <w:sz w:val="22"/>
          <w:szCs w:val="22"/>
        </w:rPr>
        <w:lastRenderedPageBreak/>
        <w:t>be exercised as far as practicable down the supply chain, and that Integrity Due Diligence (para</w:t>
      </w:r>
      <w:r w:rsidR="006217AC">
        <w:rPr>
          <w:rFonts w:ascii="Calibri" w:hAnsi="Calibri" w:cs="Calibri"/>
          <w:sz w:val="22"/>
          <w:szCs w:val="22"/>
        </w:rPr>
        <w:t>.</w:t>
      </w:r>
      <w:r w:rsidRPr="00AB1C08">
        <w:rPr>
          <w:rFonts w:ascii="Calibri" w:hAnsi="Calibri" w:cs="Calibri"/>
          <w:sz w:val="22"/>
          <w:szCs w:val="22"/>
        </w:rPr>
        <w:t xml:space="preserve"> 144) not be limited only to “potential lead investors”.</w:t>
      </w:r>
    </w:p>
    <w:p w14:paraId="4265538E" w14:textId="77777777" w:rsidR="00496350" w:rsidRPr="000D581F" w:rsidRDefault="00496350" w:rsidP="00496350">
      <w:pPr>
        <w:pStyle w:val="NormalWeb"/>
        <w:rPr>
          <w:rFonts w:ascii="Calibri" w:hAnsi="Calibri" w:cs="Calibri"/>
          <w:sz w:val="22"/>
          <w:szCs w:val="22"/>
        </w:rPr>
      </w:pPr>
    </w:p>
    <w:p w14:paraId="44434B59" w14:textId="77777777" w:rsidR="00496350" w:rsidRPr="00496350" w:rsidRDefault="00496350" w:rsidP="00496350">
      <w:pPr>
        <w:pStyle w:val="NormalWeb"/>
        <w:rPr>
          <w:rFonts w:ascii="Calibri" w:hAnsi="Calibri" w:cs="Calibri"/>
          <w:sz w:val="22"/>
          <w:szCs w:val="22"/>
          <w:u w:val="single"/>
        </w:rPr>
      </w:pPr>
      <w:r w:rsidRPr="00496350">
        <w:rPr>
          <w:rFonts w:ascii="Calibri" w:hAnsi="Calibri" w:cs="Calibri"/>
          <w:sz w:val="22"/>
          <w:szCs w:val="22"/>
          <w:u w:val="single"/>
        </w:rPr>
        <w:t>Remedy</w:t>
      </w:r>
    </w:p>
    <w:p w14:paraId="64AE6A39" w14:textId="77777777" w:rsidR="00496350" w:rsidRDefault="00496350" w:rsidP="00496350">
      <w:pPr>
        <w:pStyle w:val="NormalWeb"/>
        <w:rPr>
          <w:rFonts w:ascii="Calibri" w:hAnsi="Calibri" w:cs="Calibri"/>
          <w:sz w:val="22"/>
          <w:szCs w:val="22"/>
        </w:rPr>
      </w:pPr>
    </w:p>
    <w:p w14:paraId="122E0532" w14:textId="5A3660D2" w:rsidR="00AB1C08" w:rsidRDefault="00322B5B" w:rsidP="00496350">
      <w:pPr>
        <w:pStyle w:val="NormalWeb"/>
        <w:numPr>
          <w:ilvl w:val="0"/>
          <w:numId w:val="1"/>
        </w:numPr>
        <w:ind w:left="360"/>
        <w:rPr>
          <w:rFonts w:ascii="Calibri" w:hAnsi="Calibri" w:cs="Calibri"/>
          <w:sz w:val="22"/>
          <w:szCs w:val="22"/>
        </w:rPr>
      </w:pPr>
      <w:r>
        <w:rPr>
          <w:rFonts w:ascii="Calibri" w:hAnsi="Calibri" w:cs="Calibri"/>
          <w:sz w:val="22"/>
          <w:szCs w:val="22"/>
        </w:rPr>
        <w:t xml:space="preserve">OHCHR acknowledges </w:t>
      </w:r>
      <w:r w:rsidR="00496350" w:rsidRPr="000D581F">
        <w:rPr>
          <w:rFonts w:ascii="Calibri" w:hAnsi="Calibri" w:cs="Calibri"/>
          <w:sz w:val="22"/>
          <w:szCs w:val="22"/>
        </w:rPr>
        <w:t>the repeated recognition in the draft strategy of grievance and injustice as conflict drivers and (at para</w:t>
      </w:r>
      <w:r w:rsidR="006217AC">
        <w:rPr>
          <w:rFonts w:ascii="Calibri" w:hAnsi="Calibri" w:cs="Calibri"/>
          <w:sz w:val="22"/>
          <w:szCs w:val="22"/>
        </w:rPr>
        <w:t>.</w:t>
      </w:r>
      <w:r w:rsidR="00496350" w:rsidRPr="000D581F">
        <w:rPr>
          <w:rFonts w:ascii="Calibri" w:hAnsi="Calibri" w:cs="Calibri"/>
          <w:sz w:val="22"/>
          <w:szCs w:val="22"/>
        </w:rPr>
        <w:t xml:space="preserve"> 23)</w:t>
      </w:r>
      <w:r w:rsidR="00521744">
        <w:rPr>
          <w:rFonts w:ascii="Calibri" w:hAnsi="Calibri" w:cs="Calibri"/>
          <w:sz w:val="22"/>
          <w:szCs w:val="22"/>
        </w:rPr>
        <w:t>,</w:t>
      </w:r>
      <w:r w:rsidR="00496350" w:rsidRPr="000D581F">
        <w:rPr>
          <w:rFonts w:ascii="Calibri" w:hAnsi="Calibri" w:cs="Calibri"/>
          <w:sz w:val="22"/>
          <w:szCs w:val="22"/>
        </w:rPr>
        <w:t xml:space="preserve"> the importance of building systems of accountability</w:t>
      </w:r>
      <w:r w:rsidR="00521744">
        <w:rPr>
          <w:rFonts w:ascii="Calibri" w:hAnsi="Calibri" w:cs="Calibri"/>
          <w:sz w:val="22"/>
          <w:szCs w:val="22"/>
        </w:rPr>
        <w:t>, and (at para</w:t>
      </w:r>
      <w:r w:rsidR="006217AC">
        <w:rPr>
          <w:rFonts w:ascii="Calibri" w:hAnsi="Calibri" w:cs="Calibri"/>
          <w:sz w:val="22"/>
          <w:szCs w:val="22"/>
        </w:rPr>
        <w:t>.</w:t>
      </w:r>
      <w:r w:rsidR="00521744">
        <w:rPr>
          <w:rFonts w:ascii="Calibri" w:hAnsi="Calibri" w:cs="Calibri"/>
          <w:sz w:val="22"/>
          <w:szCs w:val="22"/>
        </w:rPr>
        <w:t xml:space="preserve"> 116) the Bank’s intention to work with countries to strengthen grievance mechanisms</w:t>
      </w:r>
      <w:r w:rsidR="00496350" w:rsidRPr="000D581F">
        <w:rPr>
          <w:rFonts w:ascii="Calibri" w:hAnsi="Calibri" w:cs="Calibri"/>
          <w:sz w:val="22"/>
          <w:szCs w:val="22"/>
        </w:rPr>
        <w:t xml:space="preserve">. Yet, in FCV settings, </w:t>
      </w:r>
      <w:r>
        <w:rPr>
          <w:rFonts w:ascii="Calibri" w:hAnsi="Calibri" w:cs="Calibri"/>
          <w:sz w:val="22"/>
          <w:szCs w:val="22"/>
        </w:rPr>
        <w:t xml:space="preserve">practical, effective </w:t>
      </w:r>
      <w:r w:rsidR="00496350" w:rsidRPr="000D581F">
        <w:rPr>
          <w:rFonts w:ascii="Calibri" w:hAnsi="Calibri" w:cs="Calibri"/>
          <w:sz w:val="22"/>
          <w:szCs w:val="22"/>
        </w:rPr>
        <w:t>remedy for people adversely affected by projects will often be absent. The draft strategy (in para</w:t>
      </w:r>
      <w:r w:rsidR="006217AC">
        <w:rPr>
          <w:rFonts w:ascii="Calibri" w:hAnsi="Calibri" w:cs="Calibri"/>
          <w:sz w:val="22"/>
          <w:szCs w:val="22"/>
        </w:rPr>
        <w:t>.</w:t>
      </w:r>
      <w:r w:rsidR="00496350" w:rsidRPr="000D581F">
        <w:rPr>
          <w:rFonts w:ascii="Calibri" w:hAnsi="Calibri" w:cs="Calibri"/>
          <w:sz w:val="22"/>
          <w:szCs w:val="22"/>
        </w:rPr>
        <w:t xml:space="preserve"> 59/non-financial risks, and elsewhere) makes repeated reference to the need for the Bank to accept a higher risk tolerance in FCV settings and to accept that negative (</w:t>
      </w:r>
      <w:proofErr w:type="spellStart"/>
      <w:r w:rsidR="00496350" w:rsidRPr="000D581F">
        <w:rPr>
          <w:rFonts w:ascii="Calibri" w:hAnsi="Calibri" w:cs="Calibri"/>
          <w:sz w:val="22"/>
          <w:szCs w:val="22"/>
        </w:rPr>
        <w:t>unremediated</w:t>
      </w:r>
      <w:proofErr w:type="spellEnd"/>
      <w:r w:rsidR="00496350" w:rsidRPr="000D581F">
        <w:rPr>
          <w:rFonts w:ascii="Calibri" w:hAnsi="Calibri" w:cs="Calibri"/>
          <w:sz w:val="22"/>
          <w:szCs w:val="22"/>
        </w:rPr>
        <w:t>) outcomes will be more likely to occur. However</w:t>
      </w:r>
      <w:r>
        <w:rPr>
          <w:rFonts w:ascii="Calibri" w:hAnsi="Calibri" w:cs="Calibri"/>
          <w:sz w:val="22"/>
          <w:szCs w:val="22"/>
        </w:rPr>
        <w:t>,</w:t>
      </w:r>
      <w:r w:rsidR="00496350" w:rsidRPr="000D581F">
        <w:rPr>
          <w:rFonts w:ascii="Calibri" w:hAnsi="Calibri" w:cs="Calibri"/>
          <w:sz w:val="22"/>
          <w:szCs w:val="22"/>
        </w:rPr>
        <w:t xml:space="preserve"> the draft strategy does not seem </w:t>
      </w:r>
      <w:proofErr w:type="gramStart"/>
      <w:r w:rsidR="00496350" w:rsidRPr="000D581F">
        <w:rPr>
          <w:rFonts w:ascii="Calibri" w:hAnsi="Calibri" w:cs="Calibri"/>
          <w:sz w:val="22"/>
          <w:szCs w:val="22"/>
        </w:rPr>
        <w:t>to adequately address</w:t>
      </w:r>
      <w:proofErr w:type="gramEnd"/>
      <w:r w:rsidR="00496350" w:rsidRPr="000D581F">
        <w:rPr>
          <w:rFonts w:ascii="Calibri" w:hAnsi="Calibri" w:cs="Calibri"/>
          <w:sz w:val="22"/>
          <w:szCs w:val="22"/>
        </w:rPr>
        <w:t xml:space="preserve"> adverse consequences to project-affected people of the Bank’s increased risk-taking. Where adverse outcomes correlate to human rights violations and/or may fuel further violence or fragility, a more proactive and supportive policy approach to the question of remedy </w:t>
      </w:r>
      <w:r w:rsidR="00AB1C08">
        <w:rPr>
          <w:rFonts w:ascii="Calibri" w:hAnsi="Calibri" w:cs="Calibri"/>
          <w:sz w:val="22"/>
          <w:szCs w:val="22"/>
        </w:rPr>
        <w:t xml:space="preserve">would seem to </w:t>
      </w:r>
      <w:proofErr w:type="gramStart"/>
      <w:r w:rsidR="00AB1C08">
        <w:rPr>
          <w:rFonts w:ascii="Calibri" w:hAnsi="Calibri" w:cs="Calibri"/>
          <w:sz w:val="22"/>
          <w:szCs w:val="22"/>
        </w:rPr>
        <w:t>be</w:t>
      </w:r>
      <w:r w:rsidR="00496350" w:rsidRPr="000D581F">
        <w:rPr>
          <w:rFonts w:ascii="Calibri" w:hAnsi="Calibri" w:cs="Calibri"/>
          <w:sz w:val="22"/>
          <w:szCs w:val="22"/>
        </w:rPr>
        <w:t xml:space="preserve"> warranted</w:t>
      </w:r>
      <w:proofErr w:type="gramEnd"/>
      <w:r w:rsidR="00496350" w:rsidRPr="000D581F">
        <w:rPr>
          <w:rFonts w:ascii="Calibri" w:hAnsi="Calibri" w:cs="Calibri"/>
          <w:sz w:val="22"/>
          <w:szCs w:val="22"/>
        </w:rPr>
        <w:t xml:space="preserve">. </w:t>
      </w:r>
    </w:p>
    <w:p w14:paraId="0A8A05A4" w14:textId="77777777" w:rsidR="00AB1C08" w:rsidRDefault="00AB1C08" w:rsidP="00AB1C08">
      <w:pPr>
        <w:pStyle w:val="NormalWeb"/>
        <w:ind w:left="360"/>
        <w:rPr>
          <w:rFonts w:ascii="Calibri" w:hAnsi="Calibri" w:cs="Calibri"/>
          <w:sz w:val="22"/>
          <w:szCs w:val="22"/>
        </w:rPr>
      </w:pPr>
    </w:p>
    <w:p w14:paraId="6C071A13" w14:textId="42EDE73F" w:rsidR="00496350" w:rsidRPr="00AB1C08" w:rsidRDefault="00496350" w:rsidP="00695B94">
      <w:pPr>
        <w:pStyle w:val="NormalWeb"/>
        <w:numPr>
          <w:ilvl w:val="0"/>
          <w:numId w:val="1"/>
        </w:numPr>
        <w:ind w:left="360"/>
        <w:rPr>
          <w:rFonts w:ascii="Calibri" w:hAnsi="Calibri" w:cs="Calibri"/>
          <w:sz w:val="22"/>
          <w:szCs w:val="22"/>
        </w:rPr>
      </w:pPr>
      <w:r w:rsidRPr="00AB1C08">
        <w:rPr>
          <w:rFonts w:ascii="Calibri" w:hAnsi="Calibri" w:cs="Calibri"/>
          <w:sz w:val="22"/>
          <w:szCs w:val="22"/>
        </w:rPr>
        <w:t>OHCHR notes that the Bank has directly contributed to remedy in numerous cases (such as the recent case of the Uganda transport sector project, on GBV issues), and has helped to</w:t>
      </w:r>
      <w:r w:rsidRPr="00AB1C08">
        <w:rPr>
          <w:rFonts w:ascii="Calibri" w:hAnsi="Calibri" w:cs="Calibri"/>
          <w:i/>
          <w:sz w:val="22"/>
          <w:szCs w:val="22"/>
        </w:rPr>
        <w:t xml:space="preserve"> enable</w:t>
      </w:r>
      <w:r w:rsidRPr="00AB1C08">
        <w:rPr>
          <w:rFonts w:ascii="Calibri" w:hAnsi="Calibri" w:cs="Calibri"/>
          <w:sz w:val="22"/>
          <w:szCs w:val="22"/>
        </w:rPr>
        <w:t xml:space="preserve"> remedy in many other cases, including through formal complaints to the WBG’s accountability mechanisms. </w:t>
      </w:r>
      <w:r w:rsidR="001A071D" w:rsidRPr="00AB1C08">
        <w:rPr>
          <w:rFonts w:ascii="Calibri" w:hAnsi="Calibri" w:cs="Calibri"/>
          <w:sz w:val="22"/>
          <w:szCs w:val="22"/>
        </w:rPr>
        <w:t>However,</w:t>
      </w:r>
      <w:r w:rsidRPr="00AB1C08">
        <w:rPr>
          <w:rFonts w:ascii="Calibri" w:hAnsi="Calibri" w:cs="Calibri"/>
          <w:sz w:val="22"/>
          <w:szCs w:val="22"/>
        </w:rPr>
        <w:t xml:space="preserve"> </w:t>
      </w:r>
      <w:r w:rsidR="00AB1C08">
        <w:rPr>
          <w:rFonts w:ascii="Calibri" w:hAnsi="Calibri" w:cs="Calibri"/>
          <w:sz w:val="22"/>
          <w:szCs w:val="22"/>
        </w:rPr>
        <w:t>we note</w:t>
      </w:r>
      <w:r w:rsidRPr="00AB1C08">
        <w:rPr>
          <w:rFonts w:ascii="Calibri" w:hAnsi="Calibri" w:cs="Calibri"/>
          <w:sz w:val="22"/>
          <w:szCs w:val="22"/>
        </w:rPr>
        <w:t xml:space="preserve"> that the World Bank Group’s approach to remediation seems to be reactive </w:t>
      </w:r>
      <w:r w:rsidR="00874D4D">
        <w:rPr>
          <w:rFonts w:ascii="Calibri" w:hAnsi="Calibri" w:cs="Calibri"/>
          <w:sz w:val="22"/>
          <w:szCs w:val="22"/>
        </w:rPr>
        <w:t>in nature and lack consistency</w:t>
      </w:r>
      <w:r w:rsidRPr="00AB1C08">
        <w:rPr>
          <w:rFonts w:ascii="Calibri" w:hAnsi="Calibri" w:cs="Calibri"/>
          <w:sz w:val="22"/>
          <w:szCs w:val="22"/>
        </w:rPr>
        <w:t>. The FCV strategy process may offer the opportunity for reflection on how the WBG as a whole could implement a more transparent, planned response to contributing to and/or enabling remedy, within a larger “remedy eco-system” approach, predicated upon explicit recognition of the right to an effective remedy and a differentiated assessment of responsibility for harms</w:t>
      </w:r>
      <w:r w:rsidR="008C5A46">
        <w:rPr>
          <w:rFonts w:ascii="Calibri" w:hAnsi="Calibri" w:cs="Calibri"/>
          <w:sz w:val="22"/>
          <w:szCs w:val="22"/>
        </w:rPr>
        <w:t xml:space="preserve"> on a case-by-case basis</w:t>
      </w:r>
      <w:r w:rsidRPr="00AB1C08">
        <w:rPr>
          <w:rFonts w:ascii="Calibri" w:hAnsi="Calibri" w:cs="Calibri"/>
          <w:sz w:val="22"/>
          <w:szCs w:val="22"/>
        </w:rPr>
        <w:t xml:space="preserve">. Remedy can take many </w:t>
      </w:r>
      <w:r w:rsidR="001A071D" w:rsidRPr="00AB1C08">
        <w:rPr>
          <w:rFonts w:ascii="Calibri" w:hAnsi="Calibri" w:cs="Calibri"/>
          <w:sz w:val="22"/>
          <w:szCs w:val="22"/>
        </w:rPr>
        <w:t>forms and</w:t>
      </w:r>
      <w:r w:rsidRPr="00AB1C08">
        <w:rPr>
          <w:rFonts w:ascii="Calibri" w:hAnsi="Calibri" w:cs="Calibri"/>
          <w:sz w:val="22"/>
          <w:szCs w:val="22"/>
        </w:rPr>
        <w:t xml:space="preserve"> can serve a valuable preventive (as well as corrective) function. </w:t>
      </w:r>
      <w:r w:rsidR="008C5A46">
        <w:rPr>
          <w:rFonts w:ascii="Calibri" w:hAnsi="Calibri" w:cs="Calibri"/>
          <w:sz w:val="22"/>
          <w:szCs w:val="22"/>
        </w:rPr>
        <w:t>Remedial mechanisms</w:t>
      </w:r>
      <w:r w:rsidR="009A624C">
        <w:rPr>
          <w:rFonts w:ascii="Calibri" w:hAnsi="Calibri" w:cs="Calibri"/>
          <w:sz w:val="22"/>
          <w:szCs w:val="22"/>
        </w:rPr>
        <w:t xml:space="preserve"> could include the establishment of a fund through which the Bank </w:t>
      </w:r>
      <w:proofErr w:type="gramStart"/>
      <w:r w:rsidR="009A624C">
        <w:rPr>
          <w:rFonts w:ascii="Calibri" w:hAnsi="Calibri" w:cs="Calibri"/>
          <w:sz w:val="22"/>
          <w:szCs w:val="22"/>
        </w:rPr>
        <w:t>could, in appropriate circumstances</w:t>
      </w:r>
      <w:r w:rsidR="00874D4D">
        <w:rPr>
          <w:rFonts w:ascii="Calibri" w:hAnsi="Calibri" w:cs="Calibri"/>
          <w:sz w:val="22"/>
          <w:szCs w:val="22"/>
        </w:rPr>
        <w:t xml:space="preserve"> and proportionate measure</w:t>
      </w:r>
      <w:r w:rsidR="009A624C">
        <w:rPr>
          <w:rFonts w:ascii="Calibri" w:hAnsi="Calibri" w:cs="Calibri"/>
          <w:sz w:val="22"/>
          <w:szCs w:val="22"/>
        </w:rPr>
        <w:t>, contribute</w:t>
      </w:r>
      <w:proofErr w:type="gramEnd"/>
      <w:r w:rsidR="009A624C">
        <w:rPr>
          <w:rFonts w:ascii="Calibri" w:hAnsi="Calibri" w:cs="Calibri"/>
          <w:sz w:val="22"/>
          <w:szCs w:val="22"/>
        </w:rPr>
        <w:t xml:space="preserve"> to remedy where projects </w:t>
      </w:r>
      <w:r w:rsidR="001A071D">
        <w:rPr>
          <w:rFonts w:ascii="Calibri" w:hAnsi="Calibri" w:cs="Calibri"/>
          <w:sz w:val="22"/>
          <w:szCs w:val="22"/>
        </w:rPr>
        <w:t>its</w:t>
      </w:r>
      <w:r w:rsidR="009A624C">
        <w:rPr>
          <w:rFonts w:ascii="Calibri" w:hAnsi="Calibri" w:cs="Calibri"/>
          <w:sz w:val="22"/>
          <w:szCs w:val="22"/>
        </w:rPr>
        <w:t xml:space="preserve"> funds have caused or </w:t>
      </w:r>
      <w:r w:rsidR="00322B5B">
        <w:rPr>
          <w:rFonts w:ascii="Calibri" w:hAnsi="Calibri" w:cs="Calibri"/>
          <w:sz w:val="22"/>
          <w:szCs w:val="22"/>
        </w:rPr>
        <w:t xml:space="preserve">materially </w:t>
      </w:r>
      <w:r w:rsidR="009A624C">
        <w:rPr>
          <w:rFonts w:ascii="Calibri" w:hAnsi="Calibri" w:cs="Calibri"/>
          <w:sz w:val="22"/>
          <w:szCs w:val="22"/>
        </w:rPr>
        <w:t xml:space="preserve">contributed to </w:t>
      </w:r>
      <w:r w:rsidR="00322B5B">
        <w:rPr>
          <w:rFonts w:ascii="Calibri" w:hAnsi="Calibri" w:cs="Calibri"/>
          <w:sz w:val="22"/>
          <w:szCs w:val="22"/>
        </w:rPr>
        <w:t xml:space="preserve">established </w:t>
      </w:r>
      <w:r w:rsidR="009A624C">
        <w:rPr>
          <w:rFonts w:ascii="Calibri" w:hAnsi="Calibri" w:cs="Calibri"/>
          <w:sz w:val="22"/>
          <w:szCs w:val="22"/>
        </w:rPr>
        <w:t>social or environmental harms.</w:t>
      </w:r>
      <w:r w:rsidR="008C5A46">
        <w:rPr>
          <w:rFonts w:ascii="Calibri" w:hAnsi="Calibri" w:cs="Calibri"/>
          <w:sz w:val="22"/>
          <w:szCs w:val="22"/>
        </w:rPr>
        <w:t xml:space="preserve"> </w:t>
      </w:r>
      <w:r w:rsidR="009A624C">
        <w:rPr>
          <w:rFonts w:ascii="Calibri" w:hAnsi="Calibri" w:cs="Calibri"/>
          <w:sz w:val="22"/>
          <w:szCs w:val="22"/>
        </w:rPr>
        <w:t xml:space="preserve">In OHCHR’s view, </w:t>
      </w:r>
      <w:r w:rsidR="00322B5B">
        <w:rPr>
          <w:rFonts w:ascii="Calibri" w:hAnsi="Calibri" w:cs="Calibri"/>
          <w:sz w:val="22"/>
          <w:szCs w:val="22"/>
        </w:rPr>
        <w:t xml:space="preserve">such an approach </w:t>
      </w:r>
      <w:r w:rsidR="009A624C">
        <w:rPr>
          <w:rFonts w:ascii="Calibri" w:hAnsi="Calibri" w:cs="Calibri"/>
          <w:sz w:val="22"/>
          <w:szCs w:val="22"/>
        </w:rPr>
        <w:t xml:space="preserve">would not only </w:t>
      </w:r>
      <w:r w:rsidR="00322B5B">
        <w:rPr>
          <w:rFonts w:ascii="Calibri" w:hAnsi="Calibri" w:cs="Calibri"/>
          <w:sz w:val="22"/>
          <w:szCs w:val="22"/>
        </w:rPr>
        <w:t xml:space="preserve">assist to </w:t>
      </w:r>
      <w:r w:rsidR="009A624C">
        <w:rPr>
          <w:rFonts w:ascii="Calibri" w:hAnsi="Calibri" w:cs="Calibri"/>
          <w:sz w:val="22"/>
          <w:szCs w:val="22"/>
        </w:rPr>
        <w:t xml:space="preserve">address drivers of fragility and conflict, but also </w:t>
      </w:r>
      <w:r w:rsidR="00322B5B">
        <w:rPr>
          <w:rFonts w:ascii="Calibri" w:hAnsi="Calibri" w:cs="Calibri"/>
          <w:sz w:val="22"/>
          <w:szCs w:val="22"/>
        </w:rPr>
        <w:t xml:space="preserve">to </w:t>
      </w:r>
      <w:r w:rsidR="005D5B43">
        <w:rPr>
          <w:rFonts w:ascii="Calibri" w:hAnsi="Calibri" w:cs="Calibri"/>
          <w:sz w:val="22"/>
          <w:szCs w:val="22"/>
        </w:rPr>
        <w:t>mitigate reputational</w:t>
      </w:r>
      <w:r w:rsidR="00322B5B">
        <w:rPr>
          <w:rFonts w:ascii="Calibri" w:hAnsi="Calibri" w:cs="Calibri"/>
          <w:sz w:val="22"/>
          <w:szCs w:val="22"/>
        </w:rPr>
        <w:t xml:space="preserve"> and </w:t>
      </w:r>
      <w:r w:rsidRPr="00AB1C08">
        <w:rPr>
          <w:rFonts w:ascii="Calibri" w:hAnsi="Calibri" w:cs="Calibri"/>
          <w:sz w:val="22"/>
          <w:szCs w:val="22"/>
        </w:rPr>
        <w:t>legal liability risks and exposure to litigation</w:t>
      </w:r>
      <w:r w:rsidR="00322B5B">
        <w:rPr>
          <w:rFonts w:ascii="Calibri" w:hAnsi="Calibri" w:cs="Calibri"/>
          <w:sz w:val="22"/>
          <w:szCs w:val="22"/>
        </w:rPr>
        <w:t xml:space="preserve"> against the Bank</w:t>
      </w:r>
      <w:r w:rsidRPr="00AB1C08">
        <w:rPr>
          <w:rFonts w:ascii="Calibri" w:hAnsi="Calibri" w:cs="Calibri"/>
          <w:sz w:val="22"/>
          <w:szCs w:val="22"/>
        </w:rPr>
        <w:t xml:space="preserve">. </w:t>
      </w:r>
    </w:p>
    <w:p w14:paraId="67803F44" w14:textId="77777777" w:rsidR="00496350" w:rsidRDefault="00496350" w:rsidP="00496350">
      <w:pPr>
        <w:pStyle w:val="NormalWeb"/>
        <w:rPr>
          <w:rFonts w:ascii="Calibri" w:hAnsi="Calibri" w:cs="Calibri"/>
          <w:sz w:val="22"/>
          <w:szCs w:val="22"/>
        </w:rPr>
      </w:pPr>
    </w:p>
    <w:p w14:paraId="3E07F0FD" w14:textId="471425EF" w:rsidR="00496350" w:rsidRPr="00AD59FB" w:rsidRDefault="00496350" w:rsidP="00496350">
      <w:pPr>
        <w:pStyle w:val="NormalWeb"/>
        <w:numPr>
          <w:ilvl w:val="0"/>
          <w:numId w:val="1"/>
        </w:numPr>
        <w:ind w:left="360"/>
        <w:rPr>
          <w:rFonts w:ascii="Calibri" w:hAnsi="Calibri" w:cs="Calibri"/>
          <w:sz w:val="22"/>
          <w:szCs w:val="22"/>
        </w:rPr>
      </w:pPr>
      <w:proofErr w:type="gramStart"/>
      <w:r w:rsidRPr="000D581F">
        <w:rPr>
          <w:rFonts w:ascii="Calibri" w:hAnsi="Calibri" w:cs="Calibri"/>
          <w:sz w:val="22"/>
          <w:szCs w:val="22"/>
        </w:rPr>
        <w:t>The UN Guiding Principles on Business and Human Rights,</w:t>
      </w:r>
      <w:r w:rsidR="00521744">
        <w:rPr>
          <w:rStyle w:val="FootnoteReference"/>
          <w:rFonts w:ascii="Calibri" w:hAnsi="Calibri" w:cs="Calibri"/>
          <w:sz w:val="22"/>
          <w:szCs w:val="22"/>
        </w:rPr>
        <w:footnoteReference w:id="7"/>
      </w:r>
      <w:r w:rsidRPr="000D581F">
        <w:rPr>
          <w:rFonts w:ascii="Calibri" w:hAnsi="Calibri" w:cs="Calibri"/>
          <w:sz w:val="22"/>
          <w:szCs w:val="22"/>
        </w:rPr>
        <w:t xml:space="preserve"> and the </w:t>
      </w:r>
      <w:r w:rsidR="00322B5B">
        <w:rPr>
          <w:rFonts w:ascii="Calibri" w:hAnsi="Calibri" w:cs="Calibri"/>
          <w:sz w:val="22"/>
          <w:szCs w:val="22"/>
        </w:rPr>
        <w:t xml:space="preserve">example of the </w:t>
      </w:r>
      <w:r w:rsidRPr="000D581F">
        <w:rPr>
          <w:rFonts w:ascii="Calibri" w:hAnsi="Calibri" w:cs="Calibri"/>
          <w:sz w:val="22"/>
          <w:szCs w:val="22"/>
        </w:rPr>
        <w:t>Dutch Banking Sector Agreement’s recent paper on enabling remediation,</w:t>
      </w:r>
      <w:r w:rsidR="00521744">
        <w:rPr>
          <w:rStyle w:val="FootnoteReference"/>
          <w:rFonts w:ascii="Calibri" w:hAnsi="Calibri" w:cs="Calibri"/>
          <w:sz w:val="22"/>
          <w:szCs w:val="22"/>
        </w:rPr>
        <w:footnoteReference w:id="8"/>
      </w:r>
      <w:r w:rsidRPr="000D581F">
        <w:rPr>
          <w:rFonts w:ascii="Calibri" w:hAnsi="Calibri" w:cs="Calibri"/>
          <w:sz w:val="22"/>
          <w:szCs w:val="22"/>
        </w:rPr>
        <w:t xml:space="preserve"> could help frame the Bank’s reflections on these issues including in relation to </w:t>
      </w:r>
      <w:r w:rsidR="001C4B4B">
        <w:rPr>
          <w:rFonts w:ascii="Calibri" w:hAnsi="Calibri" w:cs="Calibri"/>
          <w:sz w:val="22"/>
          <w:szCs w:val="22"/>
        </w:rPr>
        <w:t xml:space="preserve">the factors to be considered when </w:t>
      </w:r>
      <w:r w:rsidR="00521744">
        <w:rPr>
          <w:rFonts w:ascii="Calibri" w:hAnsi="Calibri" w:cs="Calibri"/>
          <w:sz w:val="22"/>
          <w:szCs w:val="22"/>
        </w:rPr>
        <w:t>determining</w:t>
      </w:r>
      <w:r w:rsidR="001C4B4B">
        <w:rPr>
          <w:rFonts w:ascii="Calibri" w:hAnsi="Calibri" w:cs="Calibri"/>
          <w:sz w:val="22"/>
          <w:szCs w:val="22"/>
        </w:rPr>
        <w:t xml:space="preserve"> the nature of involvement with adverse</w:t>
      </w:r>
      <w:r w:rsidRPr="000D581F">
        <w:rPr>
          <w:rFonts w:ascii="Calibri" w:hAnsi="Calibri" w:cs="Calibri"/>
          <w:sz w:val="22"/>
          <w:szCs w:val="22"/>
        </w:rPr>
        <w:t xml:space="preserve"> impacts (</w:t>
      </w:r>
      <w:proofErr w:type="spellStart"/>
      <w:r w:rsidRPr="000D581F">
        <w:rPr>
          <w:rFonts w:ascii="Calibri" w:hAnsi="Calibri" w:cs="Calibri"/>
          <w:sz w:val="22"/>
          <w:szCs w:val="22"/>
        </w:rPr>
        <w:t>‘cause</w:t>
      </w:r>
      <w:proofErr w:type="spellEnd"/>
      <w:r w:rsidRPr="000D581F">
        <w:rPr>
          <w:rFonts w:ascii="Calibri" w:hAnsi="Calibri" w:cs="Calibri"/>
          <w:sz w:val="22"/>
          <w:szCs w:val="22"/>
        </w:rPr>
        <w:t xml:space="preserve">, contribute, direct linkage’), contributing to </w:t>
      </w:r>
      <w:r w:rsidRPr="00D927D4">
        <w:rPr>
          <w:rFonts w:ascii="Calibri" w:hAnsi="Calibri" w:cs="Calibri"/>
          <w:sz w:val="22"/>
          <w:szCs w:val="22"/>
        </w:rPr>
        <w:t>remedy, and how leverage may be exercised by the WBG as a whole to enable remedy in particular contexts.</w:t>
      </w:r>
      <w:proofErr w:type="gramEnd"/>
      <w:r w:rsidRPr="00D927D4">
        <w:rPr>
          <w:rFonts w:ascii="Calibri" w:hAnsi="Calibri" w:cs="Calibri"/>
          <w:sz w:val="22"/>
          <w:szCs w:val="22"/>
        </w:rPr>
        <w:t xml:space="preserve"> </w:t>
      </w:r>
      <w:proofErr w:type="gramStart"/>
      <w:r w:rsidRPr="00D927D4">
        <w:rPr>
          <w:rFonts w:ascii="Calibri" w:hAnsi="Calibri" w:cs="Calibri"/>
          <w:sz w:val="22"/>
          <w:szCs w:val="22"/>
        </w:rPr>
        <w:t xml:space="preserve">Even where the prospects for remedy in relation to a Bank-supported project have been exhausted, and </w:t>
      </w:r>
      <w:r w:rsidR="008C5A46" w:rsidRPr="003A2291">
        <w:rPr>
          <w:rFonts w:ascii="Calibri" w:hAnsi="Calibri" w:cs="Calibri"/>
          <w:sz w:val="22"/>
          <w:szCs w:val="22"/>
        </w:rPr>
        <w:t>the Bank has not</w:t>
      </w:r>
      <w:r w:rsidR="001C4B4B" w:rsidRPr="003A2291">
        <w:rPr>
          <w:rFonts w:ascii="Calibri" w:hAnsi="Calibri" w:cs="Calibri"/>
          <w:sz w:val="22"/>
          <w:szCs w:val="22"/>
        </w:rPr>
        <w:t xml:space="preserve"> </w:t>
      </w:r>
      <w:r w:rsidR="008C5A46" w:rsidRPr="003A2291">
        <w:rPr>
          <w:rFonts w:ascii="Calibri" w:hAnsi="Calibri" w:cs="Calibri"/>
          <w:sz w:val="22"/>
          <w:szCs w:val="22"/>
        </w:rPr>
        <w:t xml:space="preserve">contributed to </w:t>
      </w:r>
      <w:r w:rsidRPr="003A2291">
        <w:rPr>
          <w:rFonts w:ascii="Calibri" w:hAnsi="Calibri" w:cs="Calibri"/>
          <w:sz w:val="22"/>
          <w:szCs w:val="22"/>
        </w:rPr>
        <w:t>particular harms directly, an explicit, transparent and proactive approach to the question of remedy, integrated within contractual conditions and policy dialogues</w:t>
      </w:r>
      <w:r w:rsidRPr="00AD59FB">
        <w:rPr>
          <w:rFonts w:ascii="Calibri" w:hAnsi="Calibri" w:cs="Calibri"/>
          <w:sz w:val="22"/>
          <w:szCs w:val="22"/>
        </w:rPr>
        <w:t>, can strengthen legitimacy, build trust with communities in FCV settings, and strengthen norms and expectations for the provision of remedy by the State and other responsible actors beyond the project footprint.</w:t>
      </w:r>
      <w:proofErr w:type="gramEnd"/>
      <w:r w:rsidRPr="00AD59FB">
        <w:rPr>
          <w:rFonts w:ascii="Calibri" w:hAnsi="Calibri" w:cs="Calibri"/>
          <w:sz w:val="22"/>
          <w:szCs w:val="22"/>
        </w:rPr>
        <w:t xml:space="preserve"> </w:t>
      </w:r>
    </w:p>
    <w:p w14:paraId="62109F91" w14:textId="77777777" w:rsidR="00D927D4" w:rsidRPr="00AD59FB" w:rsidRDefault="00D927D4" w:rsidP="00E4632B">
      <w:pPr>
        <w:pStyle w:val="ListParagraph"/>
      </w:pPr>
    </w:p>
    <w:p w14:paraId="03F02BC3" w14:textId="77777777" w:rsidR="00874D4D" w:rsidRDefault="00874D4D">
      <w:pPr>
        <w:spacing w:after="160" w:line="259" w:lineRule="auto"/>
        <w:rPr>
          <w:u w:val="single"/>
        </w:rPr>
      </w:pPr>
      <w:r>
        <w:rPr>
          <w:u w:val="single"/>
        </w:rPr>
        <w:br w:type="page"/>
      </w:r>
    </w:p>
    <w:p w14:paraId="768BB1EC" w14:textId="17507048" w:rsidR="00496350" w:rsidRPr="00496350" w:rsidRDefault="00496350" w:rsidP="00496350">
      <w:pPr>
        <w:rPr>
          <w:u w:val="single"/>
        </w:rPr>
      </w:pPr>
      <w:r w:rsidRPr="00496350">
        <w:rPr>
          <w:u w:val="single"/>
        </w:rPr>
        <w:lastRenderedPageBreak/>
        <w:t>Security sector reform and reprisals risks</w:t>
      </w:r>
    </w:p>
    <w:p w14:paraId="6835A145" w14:textId="77777777" w:rsidR="00496350" w:rsidRDefault="00496350" w:rsidP="00496350"/>
    <w:p w14:paraId="6C78BBB1" w14:textId="6B01D504" w:rsidR="00496350" w:rsidRDefault="00322B5B" w:rsidP="00496350">
      <w:pPr>
        <w:pStyle w:val="ListParagraph"/>
        <w:numPr>
          <w:ilvl w:val="0"/>
          <w:numId w:val="1"/>
        </w:numPr>
        <w:ind w:left="360"/>
      </w:pPr>
      <w:proofErr w:type="gramStart"/>
      <w:r>
        <w:t>OHCHR</w:t>
      </w:r>
      <w:r w:rsidRPr="000D581F">
        <w:t xml:space="preserve"> </w:t>
      </w:r>
      <w:r>
        <w:t>underscores, as a good practice example,</w:t>
      </w:r>
      <w:r w:rsidRPr="000D581F">
        <w:t xml:space="preserve"> </w:t>
      </w:r>
      <w:r w:rsidR="002A4248" w:rsidRPr="000D581F">
        <w:t xml:space="preserve">the ongoing collaboration between the World Bank and MONUSCO/Joint Human Rights Office (JHRO) in the DRC to carry out screening and human rights capacity building of security contractors in connection with the </w:t>
      </w:r>
      <w:proofErr w:type="spellStart"/>
      <w:r w:rsidR="002A4248" w:rsidRPr="000D581F">
        <w:t>ProRoutes</w:t>
      </w:r>
      <w:proofErr w:type="spellEnd"/>
      <w:r w:rsidR="002A4248" w:rsidRPr="000D581F">
        <w:t xml:space="preserve"> transport project, and the proactive approach taken by the Bank’s country office to deal with reprisals risks faced by project-affected people.</w:t>
      </w:r>
      <w:proofErr w:type="gramEnd"/>
      <w:r w:rsidR="002A4248" w:rsidRPr="000D581F">
        <w:t xml:space="preserve"> Intimidation and reprisals are an increasingly common occurrence in relation to DFI-supported projects </w:t>
      </w:r>
      <w:proofErr w:type="gramStart"/>
      <w:r w:rsidR="002A4248" w:rsidRPr="000D581F">
        <w:t>world-wide</w:t>
      </w:r>
      <w:proofErr w:type="gramEnd"/>
      <w:r w:rsidR="002A4248" w:rsidRPr="000D581F">
        <w:t>, particularly in FCV settings. OHCHR notes that one in three complaints to</w:t>
      </w:r>
      <w:r w:rsidR="00EC607E">
        <w:t xml:space="preserve"> the</w:t>
      </w:r>
      <w:r w:rsidR="002A4248" w:rsidRPr="000D581F">
        <w:t xml:space="preserve"> </w:t>
      </w:r>
      <w:r w:rsidR="00EC607E" w:rsidRPr="00EC607E">
        <w:t xml:space="preserve">Compliance Advisor/Ombudsman </w:t>
      </w:r>
      <w:r w:rsidR="00F32439">
        <w:t>(</w:t>
      </w:r>
      <w:r w:rsidR="002A4248" w:rsidRPr="000D581F">
        <w:t>CAO</w:t>
      </w:r>
      <w:r w:rsidR="00F32439">
        <w:t>)</w:t>
      </w:r>
      <w:r w:rsidR="002A4248" w:rsidRPr="000D581F">
        <w:t xml:space="preserve"> involve allegations of intimidation or reprisals, and that CAO and IFC have developed – or are developing – policy and procedural guidance to help prevent and respond to risks and reported incidents. OHCHR would recommend that reprisal risks be </w:t>
      </w:r>
      <w:r w:rsidR="00241D21">
        <w:t xml:space="preserve">explicitly </w:t>
      </w:r>
      <w:r w:rsidR="002A4248" w:rsidRPr="000D581F">
        <w:t xml:space="preserve">included within the draft strategy’s discussion of non-financial risks and that </w:t>
      </w:r>
      <w:r w:rsidR="00C9688F" w:rsidRPr="000D581F">
        <w:t>the IBRD/</w:t>
      </w:r>
      <w:proofErr w:type="gramStart"/>
      <w:r w:rsidR="00C9688F" w:rsidRPr="000D581F">
        <w:t>IDA also</w:t>
      </w:r>
      <w:proofErr w:type="gramEnd"/>
      <w:r w:rsidR="002A4248" w:rsidRPr="000D581F">
        <w:t xml:space="preserve"> develop</w:t>
      </w:r>
      <w:r w:rsidR="00C9688F" w:rsidRPr="000D581F">
        <w:t>s</w:t>
      </w:r>
      <w:r w:rsidR="002A4248" w:rsidRPr="000D581F">
        <w:t xml:space="preserve"> specific procedures</w:t>
      </w:r>
      <w:r w:rsidR="00C9688F" w:rsidRPr="000D581F">
        <w:t>, anchored in ESS 10,</w:t>
      </w:r>
      <w:r w:rsidR="002A4248" w:rsidRPr="000D581F">
        <w:t xml:space="preserve"> to help </w:t>
      </w:r>
      <w:r w:rsidR="00C9688F" w:rsidRPr="000D581F">
        <w:t xml:space="preserve">the World Bank Group as whole more effectively </w:t>
      </w:r>
      <w:r w:rsidR="002A4248" w:rsidRPr="000D581F">
        <w:t>prevent and respond to reprisals</w:t>
      </w:r>
      <w:r w:rsidR="00C9688F" w:rsidRPr="000D581F">
        <w:t xml:space="preserve"> risks.</w:t>
      </w:r>
      <w:r w:rsidR="009A624C">
        <w:rPr>
          <w:rStyle w:val="FootnoteReference"/>
        </w:rPr>
        <w:footnoteReference w:id="9"/>
      </w:r>
      <w:r w:rsidR="00C9688F" w:rsidRPr="000D581F">
        <w:t xml:space="preserve"> </w:t>
      </w:r>
    </w:p>
    <w:p w14:paraId="6EC55728" w14:textId="77777777" w:rsidR="00496350" w:rsidRDefault="00496350" w:rsidP="00496350"/>
    <w:p w14:paraId="23AD7C10" w14:textId="7F9BD925" w:rsidR="002A4248" w:rsidRPr="000D581F" w:rsidRDefault="00C9688F" w:rsidP="00496350">
      <w:pPr>
        <w:pStyle w:val="ListParagraph"/>
        <w:numPr>
          <w:ilvl w:val="0"/>
          <w:numId w:val="1"/>
        </w:numPr>
        <w:ind w:left="360"/>
      </w:pPr>
      <w:r w:rsidRPr="000D581F">
        <w:t>Moreover, OHCHR recommends</w:t>
      </w:r>
      <w:r w:rsidR="002A4248" w:rsidRPr="000D581F">
        <w:t xml:space="preserve"> that duties and expectations </w:t>
      </w:r>
      <w:r w:rsidRPr="000D581F">
        <w:t>in relation to reprisal risk</w:t>
      </w:r>
      <w:r w:rsidR="00241D21">
        <w:t>s</w:t>
      </w:r>
      <w:r w:rsidRPr="000D581F">
        <w:t xml:space="preserve"> </w:t>
      </w:r>
      <w:proofErr w:type="gramStart"/>
      <w:r w:rsidR="002A4248" w:rsidRPr="000D581F">
        <w:t>be integrated within contractual conditions and implemented through</w:t>
      </w:r>
      <w:r w:rsidRPr="000D581F">
        <w:t xml:space="preserve"> formalised</w:t>
      </w:r>
      <w:r w:rsidR="002A4248" w:rsidRPr="000D581F">
        <w:t xml:space="preserve"> partnership arrangements with actors with specialised protection roles</w:t>
      </w:r>
      <w:proofErr w:type="gramEnd"/>
      <w:r w:rsidR="002A4248" w:rsidRPr="000D581F">
        <w:t xml:space="preserve">. </w:t>
      </w:r>
      <w:proofErr w:type="gramStart"/>
      <w:r w:rsidR="002A4248" w:rsidRPr="000D581F">
        <w:t>In OHCH</w:t>
      </w:r>
      <w:r w:rsidRPr="000D581F">
        <w:t>R’s view, these measures would help to build policy leverage from the outset of client relationships and would s</w:t>
      </w:r>
      <w:r w:rsidR="002A4248" w:rsidRPr="000D581F">
        <w:t xml:space="preserve">end an important signal to all development partners about the importance of effective stakeholder engagement, free of coercion, intimidation or reprisals, and would help the Bank to build and maintain trust with all stakeholders </w:t>
      </w:r>
      <w:r w:rsidRPr="000D581F">
        <w:t>upon whom successful engagement in FCV settings depends</w:t>
      </w:r>
      <w:r w:rsidR="002A4248" w:rsidRPr="000D581F">
        <w:t>.</w:t>
      </w:r>
      <w:proofErr w:type="gramEnd"/>
      <w:r w:rsidR="002A4248" w:rsidRPr="000D581F">
        <w:t xml:space="preserve"> </w:t>
      </w:r>
      <w:proofErr w:type="gramStart"/>
      <w:r w:rsidR="002A4248" w:rsidRPr="000D581F">
        <w:t xml:space="preserve">To the extent that the Bank will be engaging further with national security forces </w:t>
      </w:r>
      <w:r w:rsidR="00E42C15" w:rsidRPr="000D581F">
        <w:t xml:space="preserve">in FCV contexts </w:t>
      </w:r>
      <w:r w:rsidR="002A4248" w:rsidRPr="000D581F">
        <w:t xml:space="preserve">(noting the Cameroon example and others in the draft strategy), OHCHR would also recommend that the Bank </w:t>
      </w:r>
      <w:r w:rsidR="00241D21">
        <w:t xml:space="preserve">apply standards of </w:t>
      </w:r>
      <w:r w:rsidR="002A4248" w:rsidRPr="000D581F">
        <w:t>the UN system’s “Human Rights Due Diligence Policy”</w:t>
      </w:r>
      <w:r w:rsidR="00241D21">
        <w:t>,</w:t>
      </w:r>
      <w:r w:rsidR="002A4248" w:rsidRPr="000D581F">
        <w:t xml:space="preserve"> which governs the UN system’s support to non-UN security forces and </w:t>
      </w:r>
      <w:r w:rsidR="00241D21">
        <w:t xml:space="preserve">sets out helpful, field-tested </w:t>
      </w:r>
      <w:r w:rsidR="002A4248" w:rsidRPr="000D581F">
        <w:t>guidance on human rights screening and related matters.</w:t>
      </w:r>
      <w:proofErr w:type="gramEnd"/>
      <w:r w:rsidR="00E6523B" w:rsidRPr="00E6523B">
        <w:t xml:space="preserve"> </w:t>
      </w:r>
      <w:r w:rsidR="00C31DAC">
        <w:t>OHCHR is ready to assist in providing guidance on the implementation of the policy and/or in conducting the risk assessments for the World Bank as needed</w:t>
      </w:r>
      <w:r w:rsidR="00E06F7A">
        <w:t>.</w:t>
      </w:r>
    </w:p>
    <w:p w14:paraId="517D4642" w14:textId="77777777" w:rsidR="002A4248" w:rsidRPr="000D581F" w:rsidRDefault="002A4248" w:rsidP="00496350"/>
    <w:p w14:paraId="4DFD20A7" w14:textId="77777777" w:rsidR="00496350" w:rsidRPr="00496350" w:rsidRDefault="00496350" w:rsidP="00496350">
      <w:pPr>
        <w:pStyle w:val="NormalWeb"/>
        <w:rPr>
          <w:rFonts w:asciiTheme="minorHAnsi" w:hAnsiTheme="minorHAnsi" w:cstheme="minorBidi"/>
          <w:sz w:val="22"/>
          <w:szCs w:val="22"/>
          <w:u w:val="single"/>
        </w:rPr>
      </w:pPr>
      <w:r w:rsidRPr="00496350">
        <w:rPr>
          <w:rFonts w:asciiTheme="minorHAnsi" w:hAnsiTheme="minorHAnsi" w:cstheme="minorBidi"/>
          <w:sz w:val="22"/>
          <w:szCs w:val="22"/>
          <w:u w:val="single"/>
        </w:rPr>
        <w:t>Operational flexibility</w:t>
      </w:r>
    </w:p>
    <w:p w14:paraId="02DA75DF" w14:textId="77777777" w:rsidR="00496350" w:rsidRDefault="00496350" w:rsidP="00496350">
      <w:pPr>
        <w:pStyle w:val="NormalWeb"/>
        <w:rPr>
          <w:rFonts w:asciiTheme="minorHAnsi" w:hAnsiTheme="minorHAnsi" w:cstheme="minorBidi"/>
          <w:sz w:val="22"/>
          <w:szCs w:val="22"/>
        </w:rPr>
      </w:pPr>
    </w:p>
    <w:p w14:paraId="11E89F44" w14:textId="4D636643" w:rsidR="006A349C" w:rsidRDefault="00496350" w:rsidP="00496350">
      <w:pPr>
        <w:pStyle w:val="NormalWeb"/>
        <w:numPr>
          <w:ilvl w:val="0"/>
          <w:numId w:val="1"/>
        </w:numPr>
        <w:ind w:left="360"/>
        <w:rPr>
          <w:rFonts w:asciiTheme="minorHAnsi" w:hAnsiTheme="minorHAnsi" w:cstheme="minorBidi"/>
          <w:sz w:val="22"/>
          <w:szCs w:val="22"/>
        </w:rPr>
      </w:pPr>
      <w:r w:rsidRPr="000D581F">
        <w:rPr>
          <w:rFonts w:asciiTheme="minorHAnsi" w:hAnsiTheme="minorHAnsi" w:cstheme="minorBidi"/>
          <w:sz w:val="22"/>
          <w:szCs w:val="22"/>
        </w:rPr>
        <w:t>OHCHR notes the various references throughout the draft strategy of the need for extended time frames to meet ESG standards (e.g. paras</w:t>
      </w:r>
      <w:r w:rsidR="00D46DEA">
        <w:rPr>
          <w:rFonts w:asciiTheme="minorHAnsi" w:hAnsiTheme="minorHAnsi" w:cstheme="minorBidi"/>
          <w:sz w:val="22"/>
          <w:szCs w:val="22"/>
        </w:rPr>
        <w:t>.</w:t>
      </w:r>
      <w:r w:rsidRPr="000D581F">
        <w:rPr>
          <w:rFonts w:asciiTheme="minorHAnsi" w:hAnsiTheme="minorHAnsi" w:cstheme="minorBidi"/>
          <w:sz w:val="22"/>
          <w:szCs w:val="22"/>
        </w:rPr>
        <w:t xml:space="preserve"> 57, </w:t>
      </w:r>
      <w:r w:rsidR="00057333">
        <w:rPr>
          <w:rFonts w:asciiTheme="minorHAnsi" w:hAnsiTheme="minorHAnsi" w:cstheme="minorBidi"/>
          <w:sz w:val="22"/>
          <w:szCs w:val="22"/>
        </w:rPr>
        <w:t xml:space="preserve">123, </w:t>
      </w:r>
      <w:r w:rsidRPr="000D581F">
        <w:rPr>
          <w:rFonts w:asciiTheme="minorHAnsi" w:hAnsiTheme="minorHAnsi" w:cstheme="minorBidi"/>
          <w:sz w:val="22"/>
          <w:szCs w:val="22"/>
        </w:rPr>
        <w:t>12</w:t>
      </w:r>
      <w:r w:rsidR="00057333">
        <w:rPr>
          <w:rFonts w:asciiTheme="minorHAnsi" w:hAnsiTheme="minorHAnsi" w:cstheme="minorBidi"/>
          <w:sz w:val="22"/>
          <w:szCs w:val="22"/>
        </w:rPr>
        <w:t>5</w:t>
      </w:r>
      <w:r w:rsidRPr="000D581F">
        <w:rPr>
          <w:rFonts w:asciiTheme="minorHAnsi" w:hAnsiTheme="minorHAnsi" w:cstheme="minorBidi"/>
          <w:sz w:val="22"/>
          <w:szCs w:val="22"/>
        </w:rPr>
        <w:t>-132) and increased operational flexibilities in FCV settings</w:t>
      </w:r>
      <w:r w:rsidR="00874D4D">
        <w:rPr>
          <w:rFonts w:asciiTheme="minorHAnsi" w:hAnsiTheme="minorHAnsi" w:cstheme="minorBidi"/>
          <w:sz w:val="22"/>
          <w:szCs w:val="22"/>
        </w:rPr>
        <w:t>, and examples including the Yemen Integrated Urban Services Project (para. 126)</w:t>
      </w:r>
      <w:r w:rsidRPr="000D581F">
        <w:rPr>
          <w:rFonts w:asciiTheme="minorHAnsi" w:hAnsiTheme="minorHAnsi" w:cstheme="minorBidi"/>
          <w:sz w:val="22"/>
          <w:szCs w:val="22"/>
        </w:rPr>
        <w:t xml:space="preserve">. OHCHR welcomes the World Bank Group’s intention to harmonise ESG and IDD policies, thereby enhancing the scope for efficient cooperation with other development actors, providing that standards </w:t>
      </w:r>
      <w:proofErr w:type="gramStart"/>
      <w:r w:rsidRPr="000D581F">
        <w:rPr>
          <w:rFonts w:asciiTheme="minorHAnsi" w:hAnsiTheme="minorHAnsi" w:cstheme="minorBidi"/>
          <w:sz w:val="22"/>
          <w:szCs w:val="22"/>
        </w:rPr>
        <w:t>are</w:t>
      </w:r>
      <w:proofErr w:type="gramEnd"/>
      <w:r w:rsidRPr="000D581F">
        <w:rPr>
          <w:rFonts w:asciiTheme="minorHAnsi" w:hAnsiTheme="minorHAnsi" w:cstheme="minorBidi"/>
          <w:sz w:val="22"/>
          <w:szCs w:val="22"/>
        </w:rPr>
        <w:t xml:space="preserve"> harmonised upwards. </w:t>
      </w:r>
      <w:r w:rsidR="00241D21">
        <w:rPr>
          <w:rFonts w:asciiTheme="minorHAnsi" w:hAnsiTheme="minorHAnsi" w:cstheme="minorBidi"/>
          <w:sz w:val="22"/>
          <w:szCs w:val="22"/>
        </w:rPr>
        <w:t>It</w:t>
      </w:r>
      <w:r w:rsidR="00241D21" w:rsidRPr="000D581F">
        <w:rPr>
          <w:rFonts w:asciiTheme="minorHAnsi" w:hAnsiTheme="minorHAnsi" w:cstheme="minorBidi"/>
          <w:sz w:val="22"/>
          <w:szCs w:val="22"/>
        </w:rPr>
        <w:t xml:space="preserve"> </w:t>
      </w:r>
      <w:r w:rsidRPr="000D581F">
        <w:rPr>
          <w:rFonts w:asciiTheme="minorHAnsi" w:hAnsiTheme="minorHAnsi" w:cstheme="minorBidi"/>
          <w:sz w:val="22"/>
          <w:szCs w:val="22"/>
        </w:rPr>
        <w:t>also note</w:t>
      </w:r>
      <w:r w:rsidR="00241D21">
        <w:rPr>
          <w:rFonts w:asciiTheme="minorHAnsi" w:hAnsiTheme="minorHAnsi" w:cstheme="minorBidi"/>
          <w:sz w:val="22"/>
          <w:szCs w:val="22"/>
        </w:rPr>
        <w:t>s</w:t>
      </w:r>
      <w:r w:rsidRPr="000D581F">
        <w:rPr>
          <w:rFonts w:asciiTheme="minorHAnsi" w:hAnsiTheme="minorHAnsi" w:cstheme="minorBidi"/>
          <w:sz w:val="22"/>
          <w:szCs w:val="22"/>
        </w:rPr>
        <w:t xml:space="preserve"> the important recognition in para</w:t>
      </w:r>
      <w:r w:rsidR="006217AC">
        <w:rPr>
          <w:rFonts w:asciiTheme="minorHAnsi" w:hAnsiTheme="minorHAnsi" w:cstheme="minorBidi"/>
          <w:sz w:val="22"/>
          <w:szCs w:val="22"/>
        </w:rPr>
        <w:t xml:space="preserve">. </w:t>
      </w:r>
      <w:proofErr w:type="gramStart"/>
      <w:r w:rsidRPr="000D581F">
        <w:rPr>
          <w:rFonts w:asciiTheme="minorHAnsi" w:hAnsiTheme="minorHAnsi" w:cstheme="minorBidi"/>
          <w:sz w:val="22"/>
          <w:szCs w:val="22"/>
        </w:rPr>
        <w:t>130</w:t>
      </w:r>
      <w:proofErr w:type="gramEnd"/>
      <w:r w:rsidRPr="000D581F">
        <w:rPr>
          <w:rFonts w:asciiTheme="minorHAnsi" w:hAnsiTheme="minorHAnsi" w:cstheme="minorBidi"/>
          <w:sz w:val="22"/>
          <w:szCs w:val="22"/>
        </w:rPr>
        <w:t xml:space="preserve"> that private sector investment (and indeed development cooperation more generally) may unintentionally exacerbate conflict and violence. </w:t>
      </w:r>
    </w:p>
    <w:p w14:paraId="2432B079" w14:textId="77777777" w:rsidR="006A349C" w:rsidRDefault="006A349C" w:rsidP="006A349C">
      <w:pPr>
        <w:pStyle w:val="NormalWeb"/>
        <w:ind w:left="360"/>
        <w:rPr>
          <w:rFonts w:asciiTheme="minorHAnsi" w:hAnsiTheme="minorHAnsi" w:cstheme="minorBidi"/>
          <w:sz w:val="22"/>
          <w:szCs w:val="22"/>
        </w:rPr>
      </w:pPr>
    </w:p>
    <w:p w14:paraId="1467E3E3" w14:textId="230636D5" w:rsidR="00431AE1" w:rsidRDefault="008C5A46" w:rsidP="00496350">
      <w:pPr>
        <w:pStyle w:val="NormalWeb"/>
        <w:numPr>
          <w:ilvl w:val="0"/>
          <w:numId w:val="1"/>
        </w:numPr>
        <w:ind w:left="360"/>
        <w:rPr>
          <w:rFonts w:asciiTheme="minorHAnsi" w:hAnsiTheme="minorHAnsi" w:cstheme="minorBidi"/>
          <w:sz w:val="22"/>
          <w:szCs w:val="22"/>
        </w:rPr>
      </w:pPr>
      <w:r>
        <w:rPr>
          <w:rFonts w:asciiTheme="minorHAnsi" w:hAnsiTheme="minorHAnsi" w:cstheme="minorBidi"/>
          <w:sz w:val="22"/>
          <w:szCs w:val="22"/>
        </w:rPr>
        <w:t>However, g</w:t>
      </w:r>
      <w:r w:rsidR="00496350" w:rsidRPr="000D581F">
        <w:rPr>
          <w:rFonts w:asciiTheme="minorHAnsi" w:hAnsiTheme="minorHAnsi" w:cstheme="minorBidi"/>
          <w:sz w:val="22"/>
          <w:szCs w:val="22"/>
        </w:rPr>
        <w:t xml:space="preserve">iven the heightened risks to project-affected people in FCV settings, OHCHR would </w:t>
      </w:r>
      <w:r w:rsidR="00874D4D">
        <w:rPr>
          <w:rFonts w:asciiTheme="minorHAnsi" w:hAnsiTheme="minorHAnsi" w:cstheme="minorBidi"/>
          <w:sz w:val="22"/>
          <w:szCs w:val="22"/>
        </w:rPr>
        <w:t xml:space="preserve">caution against any </w:t>
      </w:r>
      <w:r w:rsidR="00B04C43">
        <w:rPr>
          <w:rFonts w:asciiTheme="minorHAnsi" w:hAnsiTheme="minorHAnsi" w:cstheme="minorBidi"/>
          <w:sz w:val="22"/>
          <w:szCs w:val="22"/>
        </w:rPr>
        <w:t>dilution of existing safeguards and suggest that the draft strategy emphasise the need for heightened due diligence, including</w:t>
      </w:r>
      <w:r w:rsidR="00496350" w:rsidRPr="000D581F">
        <w:rPr>
          <w:rFonts w:asciiTheme="minorHAnsi" w:hAnsiTheme="minorHAnsi" w:cstheme="minorBidi"/>
          <w:sz w:val="22"/>
          <w:szCs w:val="22"/>
        </w:rPr>
        <w:t xml:space="preserve"> explicit human rights due diligence </w:t>
      </w:r>
      <w:r w:rsidR="00B04C43">
        <w:rPr>
          <w:rFonts w:asciiTheme="minorHAnsi" w:hAnsiTheme="minorHAnsi" w:cstheme="minorBidi"/>
          <w:sz w:val="22"/>
          <w:szCs w:val="22"/>
        </w:rPr>
        <w:t>(paras. 4-7 above)</w:t>
      </w:r>
      <w:r w:rsidR="00496350" w:rsidRPr="000D581F">
        <w:rPr>
          <w:rFonts w:asciiTheme="minorHAnsi" w:hAnsiTheme="minorHAnsi" w:cstheme="minorBidi"/>
          <w:sz w:val="22"/>
          <w:szCs w:val="22"/>
        </w:rPr>
        <w:t xml:space="preserve">. </w:t>
      </w:r>
      <w:r w:rsidR="00057333">
        <w:rPr>
          <w:rFonts w:asciiTheme="minorHAnsi" w:hAnsiTheme="minorHAnsi" w:cstheme="minorBidi"/>
          <w:sz w:val="22"/>
          <w:szCs w:val="22"/>
        </w:rPr>
        <w:t xml:space="preserve">OHCHR notes the </w:t>
      </w:r>
      <w:r w:rsidR="00431AE1">
        <w:rPr>
          <w:rFonts w:asciiTheme="minorHAnsi" w:hAnsiTheme="minorHAnsi" w:cstheme="minorBidi"/>
          <w:sz w:val="22"/>
          <w:szCs w:val="22"/>
        </w:rPr>
        <w:t xml:space="preserve">numerous </w:t>
      </w:r>
      <w:r w:rsidR="00057333">
        <w:rPr>
          <w:rFonts w:asciiTheme="minorHAnsi" w:hAnsiTheme="minorHAnsi" w:cstheme="minorBidi"/>
          <w:sz w:val="22"/>
          <w:szCs w:val="22"/>
        </w:rPr>
        <w:t xml:space="preserve">existing flexibilities in the Bank’s ESF and IFC Sustainability </w:t>
      </w:r>
      <w:r w:rsidR="00057333">
        <w:rPr>
          <w:rFonts w:asciiTheme="minorHAnsi" w:hAnsiTheme="minorHAnsi" w:cstheme="minorBidi"/>
          <w:sz w:val="22"/>
          <w:szCs w:val="22"/>
        </w:rPr>
        <w:lastRenderedPageBreak/>
        <w:t>Framework</w:t>
      </w:r>
      <w:r w:rsidR="00431AE1">
        <w:rPr>
          <w:rFonts w:asciiTheme="minorHAnsi" w:hAnsiTheme="minorHAnsi" w:cstheme="minorBidi"/>
          <w:sz w:val="22"/>
          <w:szCs w:val="22"/>
        </w:rPr>
        <w:t xml:space="preserve"> and the fact that the social and environmental standards of UNDP, </w:t>
      </w:r>
      <w:r w:rsidR="00B04C43">
        <w:rPr>
          <w:rFonts w:asciiTheme="minorHAnsi" w:hAnsiTheme="minorHAnsi" w:cstheme="minorBidi"/>
          <w:sz w:val="22"/>
          <w:szCs w:val="22"/>
        </w:rPr>
        <w:t xml:space="preserve">an implementation partner </w:t>
      </w:r>
      <w:r w:rsidR="00431AE1">
        <w:rPr>
          <w:rFonts w:asciiTheme="minorHAnsi" w:hAnsiTheme="minorHAnsi" w:cstheme="minorBidi"/>
          <w:sz w:val="22"/>
          <w:szCs w:val="22"/>
        </w:rPr>
        <w:t>with long experience in FCV settings, are applicable without modification to “fast track” emergency operations. Weakened safeguards may not only undermine development outcomes (</w:t>
      </w:r>
      <w:r w:rsidR="00E4632B">
        <w:rPr>
          <w:rFonts w:asciiTheme="minorHAnsi" w:hAnsiTheme="minorHAnsi" w:cstheme="minorBidi"/>
          <w:sz w:val="22"/>
          <w:szCs w:val="22"/>
        </w:rPr>
        <w:t xml:space="preserve">as recognised in </w:t>
      </w:r>
      <w:r w:rsidR="00431AE1">
        <w:rPr>
          <w:rFonts w:asciiTheme="minorHAnsi" w:hAnsiTheme="minorHAnsi" w:cstheme="minorBidi"/>
          <w:sz w:val="22"/>
          <w:szCs w:val="22"/>
        </w:rPr>
        <w:t>para. 130), but t</w:t>
      </w:r>
      <w:r w:rsidR="00496350" w:rsidRPr="000D581F">
        <w:rPr>
          <w:rFonts w:asciiTheme="minorHAnsi" w:hAnsiTheme="minorHAnsi" w:cstheme="minorBidi"/>
          <w:sz w:val="22"/>
          <w:szCs w:val="22"/>
        </w:rPr>
        <w:t xml:space="preserve">he suggested phasing of ESG requirements </w:t>
      </w:r>
      <w:r w:rsidRPr="000D581F">
        <w:rPr>
          <w:rFonts w:asciiTheme="minorHAnsi" w:hAnsiTheme="minorHAnsi" w:cstheme="minorBidi"/>
          <w:sz w:val="22"/>
          <w:szCs w:val="22"/>
        </w:rPr>
        <w:t xml:space="preserve">(para. 131) </w:t>
      </w:r>
      <w:r w:rsidR="00496350" w:rsidRPr="000D581F">
        <w:rPr>
          <w:rFonts w:asciiTheme="minorHAnsi" w:hAnsiTheme="minorHAnsi" w:cstheme="minorBidi"/>
          <w:sz w:val="22"/>
          <w:szCs w:val="22"/>
        </w:rPr>
        <w:t xml:space="preserve">may be problematic where </w:t>
      </w:r>
      <w:r>
        <w:rPr>
          <w:rFonts w:asciiTheme="minorHAnsi" w:hAnsiTheme="minorHAnsi" w:cstheme="minorBidi"/>
          <w:sz w:val="22"/>
          <w:szCs w:val="22"/>
        </w:rPr>
        <w:t>relevant</w:t>
      </w:r>
      <w:r w:rsidR="00496350" w:rsidRPr="000D581F">
        <w:rPr>
          <w:rFonts w:asciiTheme="minorHAnsi" w:hAnsiTheme="minorHAnsi" w:cstheme="minorBidi"/>
          <w:sz w:val="22"/>
          <w:szCs w:val="22"/>
        </w:rPr>
        <w:t xml:space="preserve"> ESG requirement</w:t>
      </w:r>
      <w:r>
        <w:rPr>
          <w:rFonts w:asciiTheme="minorHAnsi" w:hAnsiTheme="minorHAnsi" w:cstheme="minorBidi"/>
          <w:sz w:val="22"/>
          <w:szCs w:val="22"/>
        </w:rPr>
        <w:t>s</w:t>
      </w:r>
      <w:r w:rsidR="00496350" w:rsidRPr="000D581F">
        <w:rPr>
          <w:rFonts w:asciiTheme="minorHAnsi" w:hAnsiTheme="minorHAnsi" w:cstheme="minorBidi"/>
          <w:sz w:val="22"/>
          <w:szCs w:val="22"/>
        </w:rPr>
        <w:t xml:space="preserve"> (for example, the prohibition</w:t>
      </w:r>
      <w:r>
        <w:rPr>
          <w:rFonts w:asciiTheme="minorHAnsi" w:hAnsiTheme="minorHAnsi" w:cstheme="minorBidi"/>
          <w:sz w:val="22"/>
          <w:szCs w:val="22"/>
        </w:rPr>
        <w:t>s</w:t>
      </w:r>
      <w:r w:rsidR="00496350" w:rsidRPr="000D581F">
        <w:rPr>
          <w:rFonts w:asciiTheme="minorHAnsi" w:hAnsiTheme="minorHAnsi" w:cstheme="minorBidi"/>
          <w:sz w:val="22"/>
          <w:szCs w:val="22"/>
        </w:rPr>
        <w:t xml:space="preserve"> against forced evictions</w:t>
      </w:r>
      <w:r>
        <w:rPr>
          <w:rFonts w:asciiTheme="minorHAnsi" w:hAnsiTheme="minorHAnsi" w:cstheme="minorBidi"/>
          <w:sz w:val="22"/>
          <w:szCs w:val="22"/>
        </w:rPr>
        <w:t>, forced labour or gender-based violence</w:t>
      </w:r>
      <w:r w:rsidR="00496350" w:rsidRPr="000D581F">
        <w:rPr>
          <w:rFonts w:asciiTheme="minorHAnsi" w:hAnsiTheme="minorHAnsi" w:cstheme="minorBidi"/>
          <w:sz w:val="22"/>
          <w:szCs w:val="22"/>
        </w:rPr>
        <w:t xml:space="preserve">) </w:t>
      </w:r>
      <w:r>
        <w:rPr>
          <w:rFonts w:asciiTheme="minorHAnsi" w:hAnsiTheme="minorHAnsi" w:cstheme="minorBidi"/>
          <w:sz w:val="22"/>
          <w:szCs w:val="22"/>
        </w:rPr>
        <w:t>are</w:t>
      </w:r>
      <w:r w:rsidR="00496350" w:rsidRPr="000D581F">
        <w:rPr>
          <w:rFonts w:asciiTheme="minorHAnsi" w:hAnsiTheme="minorHAnsi" w:cstheme="minorBidi"/>
          <w:sz w:val="22"/>
          <w:szCs w:val="22"/>
        </w:rPr>
        <w:t xml:space="preserve"> the subject of </w:t>
      </w:r>
      <w:r>
        <w:rPr>
          <w:rFonts w:asciiTheme="minorHAnsi" w:hAnsiTheme="minorHAnsi" w:cstheme="minorBidi"/>
          <w:sz w:val="22"/>
          <w:szCs w:val="22"/>
        </w:rPr>
        <w:t>immediate</w:t>
      </w:r>
      <w:r w:rsidR="009A624C">
        <w:rPr>
          <w:rFonts w:asciiTheme="minorHAnsi" w:hAnsiTheme="minorHAnsi" w:cstheme="minorBidi"/>
          <w:sz w:val="22"/>
          <w:szCs w:val="22"/>
        </w:rPr>
        <w:t>, legally binding</w:t>
      </w:r>
      <w:r w:rsidR="00496350" w:rsidRPr="000D581F">
        <w:rPr>
          <w:rFonts w:asciiTheme="minorHAnsi" w:hAnsiTheme="minorHAnsi" w:cstheme="minorBidi"/>
          <w:sz w:val="22"/>
          <w:szCs w:val="22"/>
        </w:rPr>
        <w:t xml:space="preserve"> human rights </w:t>
      </w:r>
      <w:r w:rsidR="009A624C">
        <w:rPr>
          <w:rFonts w:asciiTheme="minorHAnsi" w:hAnsiTheme="minorHAnsi" w:cstheme="minorBidi"/>
          <w:sz w:val="22"/>
          <w:szCs w:val="22"/>
        </w:rPr>
        <w:t>obligations</w:t>
      </w:r>
      <w:r w:rsidR="00496350" w:rsidRPr="000D581F">
        <w:rPr>
          <w:rFonts w:asciiTheme="minorHAnsi" w:hAnsiTheme="minorHAnsi" w:cstheme="minorBidi"/>
          <w:sz w:val="22"/>
          <w:szCs w:val="22"/>
        </w:rPr>
        <w:t>.</w:t>
      </w:r>
      <w:r w:rsidR="000E7F26">
        <w:rPr>
          <w:rStyle w:val="FootnoteReference"/>
          <w:rFonts w:asciiTheme="minorHAnsi" w:hAnsiTheme="minorHAnsi" w:cstheme="minorBidi"/>
          <w:sz w:val="22"/>
          <w:szCs w:val="22"/>
        </w:rPr>
        <w:footnoteReference w:id="10"/>
      </w:r>
      <w:r w:rsidR="00496350" w:rsidRPr="000D581F">
        <w:rPr>
          <w:rFonts w:asciiTheme="minorHAnsi" w:hAnsiTheme="minorHAnsi" w:cstheme="minorBidi"/>
          <w:sz w:val="22"/>
          <w:szCs w:val="22"/>
        </w:rPr>
        <w:t xml:space="preserve"> The proposal for derogation (para. 132) raises similar concerns</w:t>
      </w:r>
      <w:r>
        <w:rPr>
          <w:rFonts w:asciiTheme="minorHAnsi" w:hAnsiTheme="minorHAnsi" w:cstheme="minorBidi"/>
          <w:sz w:val="22"/>
          <w:szCs w:val="22"/>
        </w:rPr>
        <w:t xml:space="preserve">, given the </w:t>
      </w:r>
      <w:r w:rsidR="006A349C">
        <w:rPr>
          <w:rFonts w:asciiTheme="minorHAnsi" w:hAnsiTheme="minorHAnsi" w:cstheme="minorBidi"/>
          <w:sz w:val="22"/>
          <w:szCs w:val="22"/>
        </w:rPr>
        <w:t>limitations on the nature and scope of derogations under international human rights law</w:t>
      </w:r>
      <w:r w:rsidR="00496350" w:rsidRPr="000D581F">
        <w:rPr>
          <w:rFonts w:asciiTheme="minorHAnsi" w:hAnsiTheme="minorHAnsi" w:cstheme="minorBidi"/>
          <w:sz w:val="22"/>
          <w:szCs w:val="22"/>
        </w:rPr>
        <w:t>.</w:t>
      </w:r>
      <w:r w:rsidR="006A349C">
        <w:rPr>
          <w:rStyle w:val="FootnoteReference"/>
          <w:rFonts w:asciiTheme="minorHAnsi" w:hAnsiTheme="minorHAnsi" w:cstheme="minorBidi"/>
          <w:sz w:val="22"/>
          <w:szCs w:val="22"/>
        </w:rPr>
        <w:footnoteReference w:id="11"/>
      </w:r>
      <w:r w:rsidR="00496350" w:rsidRPr="000D581F">
        <w:rPr>
          <w:rFonts w:asciiTheme="minorHAnsi" w:hAnsiTheme="minorHAnsi" w:cstheme="minorBidi"/>
          <w:sz w:val="22"/>
          <w:szCs w:val="22"/>
        </w:rPr>
        <w:t xml:space="preserve"> </w:t>
      </w:r>
    </w:p>
    <w:p w14:paraId="50D4F70F" w14:textId="29EF9D63" w:rsidR="00431AE1" w:rsidRPr="00AD0794" w:rsidRDefault="00431AE1" w:rsidP="00AD0794">
      <w:pPr>
        <w:rPr>
          <w:rFonts w:asciiTheme="minorHAnsi" w:hAnsiTheme="minorHAnsi" w:cstheme="minorBidi"/>
        </w:rPr>
      </w:pPr>
    </w:p>
    <w:p w14:paraId="47A8E859" w14:textId="19574757" w:rsidR="00496350" w:rsidRDefault="00E4632B" w:rsidP="00830A3B">
      <w:pPr>
        <w:pStyle w:val="NormalWeb"/>
        <w:numPr>
          <w:ilvl w:val="0"/>
          <w:numId w:val="1"/>
        </w:numPr>
        <w:ind w:left="360"/>
        <w:rPr>
          <w:rFonts w:asciiTheme="minorHAnsi" w:hAnsiTheme="minorHAnsi" w:cstheme="minorBidi"/>
          <w:sz w:val="22"/>
          <w:szCs w:val="22"/>
        </w:rPr>
      </w:pPr>
      <w:r>
        <w:rPr>
          <w:rFonts w:ascii="Calibri" w:hAnsi="Calibri" w:cs="Calibri"/>
          <w:sz w:val="22"/>
          <w:szCs w:val="22"/>
        </w:rPr>
        <w:t>In OHCHR’s view</w:t>
      </w:r>
      <w:r w:rsidR="00830A3B">
        <w:rPr>
          <w:rFonts w:ascii="Calibri" w:hAnsi="Calibri" w:cs="Calibri"/>
          <w:sz w:val="22"/>
          <w:szCs w:val="22"/>
        </w:rPr>
        <w:t xml:space="preserve"> p</w:t>
      </w:r>
      <w:r w:rsidR="00830A3B" w:rsidRPr="00830A3B">
        <w:rPr>
          <w:rFonts w:ascii="Calibri" w:hAnsi="Calibri" w:cs="Calibri"/>
          <w:sz w:val="22"/>
          <w:szCs w:val="22"/>
        </w:rPr>
        <w:t>olicy derogation</w:t>
      </w:r>
      <w:r w:rsidR="00830A3B">
        <w:rPr>
          <w:rFonts w:ascii="Calibri" w:hAnsi="Calibri" w:cs="Calibri"/>
          <w:sz w:val="22"/>
          <w:szCs w:val="22"/>
        </w:rPr>
        <w:t>s</w:t>
      </w:r>
      <w:r w:rsidR="00830A3B" w:rsidRPr="00830A3B">
        <w:rPr>
          <w:rFonts w:ascii="Calibri" w:hAnsi="Calibri" w:cs="Calibri"/>
          <w:sz w:val="22"/>
          <w:szCs w:val="22"/>
        </w:rPr>
        <w:t xml:space="preserve"> should be allowed only when </w:t>
      </w:r>
      <w:r w:rsidR="00830A3B">
        <w:rPr>
          <w:rFonts w:ascii="Calibri" w:hAnsi="Calibri" w:cs="Calibri"/>
          <w:sz w:val="22"/>
          <w:szCs w:val="22"/>
        </w:rPr>
        <w:t xml:space="preserve">strictly </w:t>
      </w:r>
      <w:r w:rsidR="00830A3B" w:rsidRPr="00830A3B">
        <w:rPr>
          <w:rFonts w:ascii="Calibri" w:hAnsi="Calibri" w:cs="Calibri"/>
          <w:sz w:val="22"/>
          <w:szCs w:val="22"/>
        </w:rPr>
        <w:t xml:space="preserve">necessary </w:t>
      </w:r>
      <w:r w:rsidR="00830A3B">
        <w:rPr>
          <w:rFonts w:ascii="Calibri" w:hAnsi="Calibri" w:cs="Calibri"/>
          <w:sz w:val="22"/>
          <w:szCs w:val="22"/>
        </w:rPr>
        <w:t>to avoid imminent harm (</w:t>
      </w:r>
      <w:r w:rsidR="00830A3B" w:rsidRPr="00830A3B">
        <w:rPr>
          <w:rFonts w:ascii="Calibri" w:hAnsi="Calibri" w:cs="Calibri"/>
          <w:sz w:val="22"/>
          <w:szCs w:val="22"/>
        </w:rPr>
        <w:t>or similar explicit and limited reasons that meet clear public interest needs</w:t>
      </w:r>
      <w:r w:rsidR="00830A3B">
        <w:rPr>
          <w:rFonts w:ascii="Calibri" w:hAnsi="Calibri" w:cs="Calibri"/>
          <w:sz w:val="22"/>
          <w:szCs w:val="22"/>
        </w:rPr>
        <w:t>), rather than wherever</w:t>
      </w:r>
      <w:r w:rsidR="00830A3B" w:rsidRPr="00830A3B">
        <w:rPr>
          <w:rFonts w:ascii="Calibri" w:hAnsi="Calibri" w:cs="Calibri"/>
          <w:sz w:val="22"/>
          <w:szCs w:val="22"/>
        </w:rPr>
        <w:t xml:space="preserve"> </w:t>
      </w:r>
      <w:r w:rsidR="00830A3B">
        <w:rPr>
          <w:rFonts w:ascii="Calibri" w:hAnsi="Calibri" w:cs="Calibri"/>
          <w:sz w:val="22"/>
          <w:szCs w:val="22"/>
        </w:rPr>
        <w:t xml:space="preserve">“it </w:t>
      </w:r>
      <w:r w:rsidR="00830A3B" w:rsidRPr="00830A3B">
        <w:rPr>
          <w:rFonts w:ascii="Calibri" w:hAnsi="Calibri" w:cs="Calibri"/>
          <w:sz w:val="22"/>
          <w:szCs w:val="22"/>
        </w:rPr>
        <w:t xml:space="preserve">may not be possible to meet certain aspects of the </w:t>
      </w:r>
      <w:r w:rsidR="00830A3B">
        <w:rPr>
          <w:rFonts w:ascii="Calibri" w:hAnsi="Calibri" w:cs="Calibri"/>
          <w:sz w:val="22"/>
          <w:szCs w:val="22"/>
        </w:rPr>
        <w:t>PS’s” (para. 132).</w:t>
      </w:r>
      <w:r w:rsidR="00830A3B" w:rsidRPr="00830A3B">
        <w:rPr>
          <w:rFonts w:ascii="Calibri" w:hAnsi="Calibri" w:cs="Calibri"/>
          <w:sz w:val="22"/>
          <w:szCs w:val="22"/>
        </w:rPr>
        <w:t xml:space="preserve"> </w:t>
      </w:r>
      <w:r w:rsidR="00830A3B">
        <w:rPr>
          <w:rFonts w:ascii="Calibri" w:hAnsi="Calibri" w:cs="Calibri"/>
          <w:sz w:val="22"/>
          <w:szCs w:val="22"/>
        </w:rPr>
        <w:t>We</w:t>
      </w:r>
      <w:r w:rsidR="008B7A39">
        <w:rPr>
          <w:rFonts w:ascii="Calibri" w:hAnsi="Calibri" w:cs="Calibri"/>
          <w:sz w:val="22"/>
          <w:szCs w:val="22"/>
        </w:rPr>
        <w:t xml:space="preserve"> would</w:t>
      </w:r>
      <w:r w:rsidR="00830A3B">
        <w:rPr>
          <w:rFonts w:ascii="Calibri" w:hAnsi="Calibri" w:cs="Calibri"/>
          <w:sz w:val="22"/>
          <w:szCs w:val="22"/>
        </w:rPr>
        <w:t xml:space="preserve"> recommend that para. 132 require advance written public justification for any derogation request, with supporting evidence of how a proposed derogation would avoid imminent harm or other compelling public interest criteria, and evidence that all possible measures to ensure application of PS’s were pursued. Similarly, we</w:t>
      </w:r>
      <w:r w:rsidR="008B7A39">
        <w:rPr>
          <w:rFonts w:ascii="Calibri" w:hAnsi="Calibri" w:cs="Calibri"/>
          <w:sz w:val="22"/>
          <w:szCs w:val="22"/>
        </w:rPr>
        <w:t xml:space="preserve"> would</w:t>
      </w:r>
      <w:r w:rsidR="00830A3B">
        <w:rPr>
          <w:rFonts w:ascii="Calibri" w:hAnsi="Calibri" w:cs="Calibri"/>
          <w:sz w:val="22"/>
          <w:szCs w:val="22"/>
        </w:rPr>
        <w:t xml:space="preserve"> recommend </w:t>
      </w:r>
      <w:r w:rsidR="008003A6">
        <w:rPr>
          <w:rFonts w:ascii="Calibri" w:hAnsi="Calibri" w:cs="Calibri"/>
          <w:sz w:val="22"/>
          <w:szCs w:val="22"/>
        </w:rPr>
        <w:t>that para. 131 require</w:t>
      </w:r>
      <w:r w:rsidR="00830A3B">
        <w:rPr>
          <w:rFonts w:ascii="Calibri" w:hAnsi="Calibri" w:cs="Calibri"/>
          <w:sz w:val="22"/>
          <w:szCs w:val="22"/>
        </w:rPr>
        <w:t xml:space="preserve"> advance written public justification for any proposed phasing of safeguard requirements beyond the scope </w:t>
      </w:r>
      <w:r w:rsidR="008003A6">
        <w:rPr>
          <w:rFonts w:ascii="Calibri" w:hAnsi="Calibri" w:cs="Calibri"/>
          <w:sz w:val="22"/>
          <w:szCs w:val="22"/>
        </w:rPr>
        <w:t xml:space="preserve">already permitted in the PS’s and, in line with para. </w:t>
      </w:r>
      <w:proofErr w:type="gramStart"/>
      <w:r w:rsidR="008003A6">
        <w:rPr>
          <w:rFonts w:ascii="Calibri" w:hAnsi="Calibri" w:cs="Calibri"/>
          <w:sz w:val="22"/>
          <w:szCs w:val="22"/>
        </w:rPr>
        <w:t>126</w:t>
      </w:r>
      <w:proofErr w:type="gramEnd"/>
      <w:r w:rsidR="008003A6">
        <w:rPr>
          <w:rFonts w:ascii="Calibri" w:hAnsi="Calibri" w:cs="Calibri"/>
          <w:sz w:val="22"/>
          <w:szCs w:val="22"/>
        </w:rPr>
        <w:t>,</w:t>
      </w:r>
      <w:r w:rsidR="00830A3B">
        <w:rPr>
          <w:rFonts w:ascii="Calibri" w:hAnsi="Calibri" w:cs="Calibri"/>
          <w:sz w:val="22"/>
          <w:szCs w:val="22"/>
        </w:rPr>
        <w:t xml:space="preserve"> </w:t>
      </w:r>
      <w:r w:rsidR="008003A6">
        <w:rPr>
          <w:rFonts w:ascii="Calibri" w:hAnsi="Calibri" w:cs="Calibri"/>
          <w:sz w:val="22"/>
          <w:szCs w:val="22"/>
        </w:rPr>
        <w:t>an</w:t>
      </w:r>
      <w:r w:rsidR="00830A3B">
        <w:rPr>
          <w:rFonts w:ascii="Calibri" w:hAnsi="Calibri" w:cs="Calibri"/>
          <w:sz w:val="22"/>
          <w:szCs w:val="22"/>
        </w:rPr>
        <w:t xml:space="preserve"> explicit </w:t>
      </w:r>
      <w:r w:rsidR="008003A6">
        <w:rPr>
          <w:rFonts w:ascii="Calibri" w:hAnsi="Calibri" w:cs="Calibri"/>
          <w:sz w:val="22"/>
          <w:szCs w:val="22"/>
        </w:rPr>
        <w:t>commitment</w:t>
      </w:r>
      <w:r w:rsidR="00830A3B">
        <w:rPr>
          <w:rFonts w:ascii="Calibri" w:hAnsi="Calibri" w:cs="Calibri"/>
          <w:sz w:val="22"/>
          <w:szCs w:val="22"/>
        </w:rPr>
        <w:t xml:space="preserve"> that PS-</w:t>
      </w:r>
      <w:r w:rsidR="008003A6">
        <w:rPr>
          <w:rFonts w:ascii="Calibri" w:hAnsi="Calibri" w:cs="Calibri"/>
          <w:sz w:val="22"/>
          <w:szCs w:val="22"/>
        </w:rPr>
        <w:t>mandated</w:t>
      </w:r>
      <w:r w:rsidR="00830A3B">
        <w:rPr>
          <w:rFonts w:ascii="Calibri" w:hAnsi="Calibri" w:cs="Calibri"/>
          <w:sz w:val="22"/>
          <w:szCs w:val="22"/>
        </w:rPr>
        <w:t xml:space="preserve"> measures must be in place prior to activities that could result in negative environmental and social impacts</w:t>
      </w:r>
      <w:r w:rsidR="008003A6">
        <w:rPr>
          <w:rFonts w:ascii="Calibri" w:hAnsi="Calibri" w:cs="Calibri"/>
          <w:sz w:val="22"/>
          <w:szCs w:val="22"/>
        </w:rPr>
        <w:t xml:space="preserve">. Finally, we would </w:t>
      </w:r>
      <w:r w:rsidR="008003A6">
        <w:rPr>
          <w:rFonts w:asciiTheme="minorHAnsi" w:hAnsiTheme="minorHAnsi" w:cstheme="minorBidi"/>
          <w:sz w:val="22"/>
          <w:szCs w:val="22"/>
        </w:rPr>
        <w:t>r</w:t>
      </w:r>
      <w:r w:rsidR="00496350" w:rsidRPr="00830A3B">
        <w:rPr>
          <w:rFonts w:asciiTheme="minorHAnsi" w:hAnsiTheme="minorHAnsi" w:cstheme="minorBidi"/>
          <w:sz w:val="22"/>
          <w:szCs w:val="22"/>
        </w:rPr>
        <w:t xml:space="preserve">ecommend that </w:t>
      </w:r>
      <w:r w:rsidR="008003A6">
        <w:rPr>
          <w:rFonts w:asciiTheme="minorHAnsi" w:hAnsiTheme="minorHAnsi" w:cstheme="minorBidi"/>
          <w:sz w:val="22"/>
          <w:szCs w:val="22"/>
        </w:rPr>
        <w:t>decisions on phasing or derogating safeguards take</w:t>
      </w:r>
      <w:r w:rsidR="00496350" w:rsidRPr="00830A3B">
        <w:rPr>
          <w:rFonts w:asciiTheme="minorHAnsi" w:hAnsiTheme="minorHAnsi" w:cstheme="minorBidi"/>
          <w:sz w:val="22"/>
          <w:szCs w:val="22"/>
        </w:rPr>
        <w:t xml:space="preserve"> full account of the human rights laws and obligations under international (including UN and regional) human rights instruments applicable in the country concerned</w:t>
      </w:r>
      <w:r w:rsidR="00492477">
        <w:rPr>
          <w:rFonts w:asciiTheme="minorHAnsi" w:hAnsiTheme="minorHAnsi" w:cstheme="minorBidi"/>
          <w:sz w:val="22"/>
          <w:szCs w:val="22"/>
        </w:rPr>
        <w:t xml:space="preserve">, and that para. </w:t>
      </w:r>
      <w:proofErr w:type="gramStart"/>
      <w:r w:rsidR="00492477">
        <w:rPr>
          <w:rFonts w:asciiTheme="minorHAnsi" w:hAnsiTheme="minorHAnsi" w:cstheme="minorBidi"/>
          <w:sz w:val="22"/>
          <w:szCs w:val="22"/>
        </w:rPr>
        <w:t>135 of the draft strategy be deleted</w:t>
      </w:r>
      <w:proofErr w:type="gramEnd"/>
      <w:r w:rsidR="00496350" w:rsidRPr="00830A3B">
        <w:rPr>
          <w:rFonts w:asciiTheme="minorHAnsi" w:hAnsiTheme="minorHAnsi" w:cstheme="minorBidi"/>
          <w:sz w:val="22"/>
          <w:szCs w:val="22"/>
        </w:rPr>
        <w:t xml:space="preserve">. </w:t>
      </w:r>
    </w:p>
    <w:p w14:paraId="44589BA3" w14:textId="77777777" w:rsidR="00AD0794" w:rsidRDefault="00AD0794" w:rsidP="00AD0794">
      <w:pPr>
        <w:pStyle w:val="NormalWeb"/>
        <w:ind w:left="360"/>
        <w:rPr>
          <w:rFonts w:asciiTheme="minorHAnsi" w:hAnsiTheme="minorHAnsi" w:cstheme="minorBidi"/>
          <w:sz w:val="22"/>
          <w:szCs w:val="22"/>
        </w:rPr>
      </w:pPr>
    </w:p>
    <w:p w14:paraId="3E3D102C" w14:textId="56C56898" w:rsidR="00AD0794" w:rsidRPr="00AD0794" w:rsidRDefault="00AD0794" w:rsidP="00AD0794">
      <w:pPr>
        <w:pStyle w:val="NormalWeb"/>
        <w:numPr>
          <w:ilvl w:val="0"/>
          <w:numId w:val="1"/>
        </w:numPr>
        <w:ind w:left="360"/>
        <w:rPr>
          <w:rFonts w:asciiTheme="minorHAnsi" w:hAnsiTheme="minorHAnsi" w:cstheme="minorBidi"/>
          <w:sz w:val="22"/>
          <w:szCs w:val="22"/>
        </w:rPr>
      </w:pPr>
      <w:r>
        <w:rPr>
          <w:rFonts w:asciiTheme="minorHAnsi" w:hAnsiTheme="minorHAnsi" w:cstheme="minorBidi"/>
          <w:sz w:val="22"/>
          <w:szCs w:val="22"/>
        </w:rPr>
        <w:t xml:space="preserve">The proposal in paragraph 135 that the IFC’s and MIGA’s responsibilities and accountability should end on exit </w:t>
      </w:r>
      <w:r w:rsidR="00B04C43">
        <w:rPr>
          <w:rFonts w:asciiTheme="minorHAnsi" w:hAnsiTheme="minorHAnsi" w:cstheme="minorBidi"/>
          <w:sz w:val="22"/>
          <w:szCs w:val="22"/>
        </w:rPr>
        <w:t>may</w:t>
      </w:r>
      <w:r>
        <w:rPr>
          <w:rFonts w:asciiTheme="minorHAnsi" w:hAnsiTheme="minorHAnsi" w:cstheme="minorBidi"/>
          <w:sz w:val="22"/>
          <w:szCs w:val="22"/>
        </w:rPr>
        <w:t xml:space="preserve"> create an unfortunate precedent and perverse incentives, in OHCHR’s view. </w:t>
      </w:r>
      <w:r w:rsidR="00B04C43">
        <w:rPr>
          <w:rFonts w:asciiTheme="minorHAnsi" w:hAnsiTheme="minorHAnsi" w:cstheme="minorBidi"/>
          <w:sz w:val="22"/>
          <w:szCs w:val="22"/>
        </w:rPr>
        <w:t xml:space="preserve">We note that </w:t>
      </w:r>
      <w:r w:rsidR="00A77746">
        <w:rPr>
          <w:rFonts w:asciiTheme="minorHAnsi" w:hAnsiTheme="minorHAnsi" w:cstheme="minorBidi"/>
          <w:sz w:val="22"/>
          <w:szCs w:val="22"/>
        </w:rPr>
        <w:t xml:space="preserve">divestment or project closure do not currently affect CAO’s mandate providing that the relevant complaint is received while the project is still active, and IAMs commonly have jurisdiction over complaints </w:t>
      </w:r>
      <w:r w:rsidR="00CE3710">
        <w:rPr>
          <w:rFonts w:asciiTheme="minorHAnsi" w:hAnsiTheme="minorHAnsi" w:cstheme="minorBidi"/>
          <w:sz w:val="22"/>
          <w:szCs w:val="22"/>
        </w:rPr>
        <w:t>2 years post-closure</w:t>
      </w:r>
      <w:r w:rsidR="00A77746">
        <w:rPr>
          <w:rFonts w:asciiTheme="minorHAnsi" w:hAnsiTheme="minorHAnsi" w:cstheme="minorBidi"/>
          <w:sz w:val="22"/>
          <w:szCs w:val="22"/>
        </w:rPr>
        <w:t>.</w:t>
      </w:r>
      <w:r w:rsidR="00B04C43">
        <w:rPr>
          <w:rFonts w:asciiTheme="minorHAnsi" w:hAnsiTheme="minorHAnsi" w:cstheme="minorBidi"/>
          <w:sz w:val="22"/>
          <w:szCs w:val="22"/>
        </w:rPr>
        <w:t xml:space="preserve"> </w:t>
      </w:r>
      <w:proofErr w:type="gramStart"/>
      <w:r>
        <w:rPr>
          <w:rFonts w:asciiTheme="minorHAnsi" w:hAnsiTheme="minorHAnsi" w:cstheme="minorBidi"/>
          <w:sz w:val="22"/>
          <w:szCs w:val="22"/>
        </w:rPr>
        <w:t xml:space="preserve">We </w:t>
      </w:r>
      <w:r w:rsidR="00A77746">
        <w:rPr>
          <w:rFonts w:asciiTheme="minorHAnsi" w:hAnsiTheme="minorHAnsi" w:cstheme="minorBidi"/>
          <w:sz w:val="22"/>
          <w:szCs w:val="22"/>
        </w:rPr>
        <w:t xml:space="preserve">also </w:t>
      </w:r>
      <w:r>
        <w:rPr>
          <w:rFonts w:asciiTheme="minorHAnsi" w:hAnsiTheme="minorHAnsi" w:cstheme="minorBidi"/>
          <w:sz w:val="22"/>
          <w:szCs w:val="22"/>
        </w:rPr>
        <w:t>note that under the UN Guiding Principles on Business and Human Rights and OECD MNE Guidelines, divestment is irrelevant to the attribution of responsibility for impacts, and the responsibility to explore and use leverage (where a lender or investor is “</w:t>
      </w:r>
      <w:r w:rsidRPr="00FB0EE8">
        <w:rPr>
          <w:rFonts w:asciiTheme="minorHAnsi" w:hAnsiTheme="minorHAnsi" w:cstheme="minorBidi"/>
          <w:i/>
          <w:sz w:val="22"/>
          <w:szCs w:val="22"/>
        </w:rPr>
        <w:t>directly linked</w:t>
      </w:r>
      <w:r>
        <w:rPr>
          <w:rFonts w:asciiTheme="minorHAnsi" w:hAnsiTheme="minorHAnsi" w:cstheme="minorBidi"/>
          <w:sz w:val="22"/>
          <w:szCs w:val="22"/>
        </w:rPr>
        <w:t xml:space="preserve">” to impacts through its products, operations or services) and/or cooperate in remediation (where a lender or investor, through poor due diligence or other reasons, has </w:t>
      </w:r>
      <w:r w:rsidRPr="00FB0EE8">
        <w:rPr>
          <w:rFonts w:asciiTheme="minorHAnsi" w:hAnsiTheme="minorHAnsi" w:cstheme="minorBidi"/>
          <w:i/>
          <w:sz w:val="22"/>
          <w:szCs w:val="22"/>
        </w:rPr>
        <w:t>contributed</w:t>
      </w:r>
      <w:r>
        <w:rPr>
          <w:rFonts w:asciiTheme="minorHAnsi" w:hAnsiTheme="minorHAnsi" w:cstheme="minorBidi"/>
          <w:sz w:val="22"/>
          <w:szCs w:val="22"/>
        </w:rPr>
        <w:t xml:space="preserve"> to adverse impacts) are ongoing in nature.</w:t>
      </w:r>
      <w:proofErr w:type="gramEnd"/>
      <w:r>
        <w:rPr>
          <w:rFonts w:asciiTheme="minorHAnsi" w:hAnsiTheme="minorHAnsi" w:cstheme="minorBidi"/>
          <w:sz w:val="22"/>
          <w:szCs w:val="22"/>
        </w:rPr>
        <w:t xml:space="preserve"> Divestment is certainly one factor to be weighed when considering a lender’s or investor’s existing leverage, but it is only one among many factors and should not detract from the requirement to proactively seek to increase leverage.</w:t>
      </w:r>
      <w:r>
        <w:rPr>
          <w:rStyle w:val="FootnoteReference"/>
          <w:rFonts w:asciiTheme="minorHAnsi" w:hAnsiTheme="minorHAnsi" w:cstheme="minorBidi"/>
          <w:sz w:val="22"/>
          <w:szCs w:val="22"/>
        </w:rPr>
        <w:footnoteReference w:id="12"/>
      </w:r>
      <w:r>
        <w:rPr>
          <w:rFonts w:asciiTheme="minorHAnsi" w:hAnsiTheme="minorHAnsi" w:cstheme="minorBidi"/>
          <w:sz w:val="22"/>
          <w:szCs w:val="22"/>
        </w:rPr>
        <w:t xml:space="preserve"> The issue of divestment and </w:t>
      </w:r>
      <w:proofErr w:type="gramStart"/>
      <w:r>
        <w:rPr>
          <w:rFonts w:asciiTheme="minorHAnsi" w:hAnsiTheme="minorHAnsi" w:cstheme="minorBidi"/>
          <w:sz w:val="22"/>
          <w:szCs w:val="22"/>
        </w:rPr>
        <w:t>leverage</w:t>
      </w:r>
      <w:proofErr w:type="gramEnd"/>
      <w:r>
        <w:rPr>
          <w:rFonts w:asciiTheme="minorHAnsi" w:hAnsiTheme="minorHAnsi" w:cstheme="minorBidi"/>
          <w:sz w:val="22"/>
          <w:szCs w:val="22"/>
        </w:rPr>
        <w:t xml:space="preserve"> is discussed further under “Responsible exit” (para. 25) below.</w:t>
      </w:r>
    </w:p>
    <w:p w14:paraId="35E688BB" w14:textId="77777777" w:rsidR="00496350" w:rsidRPr="000D581F" w:rsidRDefault="00496350" w:rsidP="00496350">
      <w:pPr>
        <w:pStyle w:val="NormalWeb"/>
        <w:rPr>
          <w:rFonts w:ascii="Calibri" w:hAnsi="Calibri" w:cs="Calibri"/>
          <w:sz w:val="22"/>
          <w:szCs w:val="22"/>
        </w:rPr>
      </w:pPr>
    </w:p>
    <w:p w14:paraId="4B4D0AE6" w14:textId="77777777" w:rsidR="00CE3710" w:rsidRDefault="00CE3710">
      <w:pPr>
        <w:spacing w:after="160" w:line="259" w:lineRule="auto"/>
        <w:rPr>
          <w:u w:val="single"/>
          <w:lang w:eastAsia="en-GB"/>
        </w:rPr>
      </w:pPr>
      <w:r>
        <w:rPr>
          <w:u w:val="single"/>
        </w:rPr>
        <w:br w:type="page"/>
      </w:r>
    </w:p>
    <w:p w14:paraId="68184513" w14:textId="2226F335" w:rsidR="00496350" w:rsidRPr="00496350" w:rsidRDefault="00496350" w:rsidP="00496350">
      <w:pPr>
        <w:pStyle w:val="NormalWeb"/>
        <w:rPr>
          <w:rFonts w:ascii="Calibri" w:hAnsi="Calibri" w:cs="Calibri"/>
          <w:sz w:val="22"/>
          <w:szCs w:val="22"/>
          <w:u w:val="single"/>
        </w:rPr>
      </w:pPr>
      <w:r w:rsidRPr="00496350">
        <w:rPr>
          <w:rFonts w:ascii="Calibri" w:hAnsi="Calibri" w:cs="Calibri"/>
          <w:sz w:val="22"/>
          <w:szCs w:val="22"/>
          <w:u w:val="single"/>
        </w:rPr>
        <w:lastRenderedPageBreak/>
        <w:t>Economic policies and fragility</w:t>
      </w:r>
    </w:p>
    <w:p w14:paraId="061ECD43" w14:textId="77777777" w:rsidR="00496350" w:rsidRDefault="00496350" w:rsidP="00496350">
      <w:pPr>
        <w:pStyle w:val="NormalWeb"/>
        <w:rPr>
          <w:rFonts w:ascii="Calibri" w:hAnsi="Calibri" w:cs="Calibri"/>
          <w:sz w:val="22"/>
          <w:szCs w:val="22"/>
        </w:rPr>
      </w:pPr>
    </w:p>
    <w:p w14:paraId="66B53145" w14:textId="33A04DC6" w:rsidR="006A349C" w:rsidRDefault="00496350" w:rsidP="00496350">
      <w:pPr>
        <w:pStyle w:val="NormalWeb"/>
        <w:numPr>
          <w:ilvl w:val="0"/>
          <w:numId w:val="1"/>
        </w:numPr>
        <w:ind w:left="360"/>
        <w:rPr>
          <w:rFonts w:ascii="Calibri" w:hAnsi="Calibri" w:cs="Calibri"/>
          <w:sz w:val="22"/>
          <w:szCs w:val="22"/>
        </w:rPr>
      </w:pPr>
      <w:r w:rsidRPr="000D581F">
        <w:rPr>
          <w:rFonts w:ascii="Calibri" w:hAnsi="Calibri" w:cs="Calibri"/>
          <w:sz w:val="22"/>
          <w:szCs w:val="22"/>
        </w:rPr>
        <w:t>OHCHR notes the important references in the draft strategy to the Bank’s role in monitoring and advising on the macro</w:t>
      </w:r>
      <w:r w:rsidR="005D0C47">
        <w:rPr>
          <w:rFonts w:ascii="Calibri" w:hAnsi="Calibri" w:cs="Calibri"/>
          <w:sz w:val="22"/>
          <w:szCs w:val="22"/>
        </w:rPr>
        <w:t>-</w:t>
      </w:r>
      <w:r w:rsidRPr="000D581F">
        <w:rPr>
          <w:rFonts w:ascii="Calibri" w:hAnsi="Calibri" w:cs="Calibri"/>
          <w:sz w:val="22"/>
          <w:szCs w:val="22"/>
        </w:rPr>
        <w:t>economic situation, in consultation with the IMF, on issues which may cause or fuel fragility or violent conflict (e.g. paras</w:t>
      </w:r>
      <w:r w:rsidR="00D46DEA">
        <w:rPr>
          <w:rFonts w:ascii="Calibri" w:hAnsi="Calibri" w:cs="Calibri"/>
          <w:sz w:val="22"/>
          <w:szCs w:val="22"/>
        </w:rPr>
        <w:t>.</w:t>
      </w:r>
      <w:r w:rsidRPr="000D581F">
        <w:rPr>
          <w:rFonts w:ascii="Calibri" w:hAnsi="Calibri" w:cs="Calibri"/>
          <w:sz w:val="22"/>
          <w:szCs w:val="22"/>
        </w:rPr>
        <w:t xml:space="preserve"> 80, 91, 111, 114). OHCHR </w:t>
      </w:r>
      <w:r w:rsidR="00241D21">
        <w:rPr>
          <w:rFonts w:ascii="Calibri" w:hAnsi="Calibri" w:cs="Calibri"/>
          <w:sz w:val="22"/>
          <w:szCs w:val="22"/>
        </w:rPr>
        <w:t xml:space="preserve">also </w:t>
      </w:r>
      <w:r w:rsidRPr="000D581F">
        <w:rPr>
          <w:rFonts w:ascii="Calibri" w:hAnsi="Calibri" w:cs="Calibri"/>
          <w:sz w:val="22"/>
          <w:szCs w:val="22"/>
        </w:rPr>
        <w:t>notes the priority given to the creation of markets and expanding the role of the private sector, but at the same time, would caution the potential for privatisation and austerity policies to fuel social grievances</w:t>
      </w:r>
      <w:r w:rsidR="00241D21">
        <w:rPr>
          <w:rFonts w:ascii="Calibri" w:hAnsi="Calibri" w:cs="Calibri"/>
          <w:sz w:val="22"/>
          <w:szCs w:val="22"/>
        </w:rPr>
        <w:t>, heighten risks of exclusion, diminish access of vulnerable groups to essential goods and services,</w:t>
      </w:r>
      <w:r w:rsidRPr="000D581F">
        <w:rPr>
          <w:rFonts w:ascii="Calibri" w:hAnsi="Calibri" w:cs="Calibri"/>
          <w:sz w:val="22"/>
          <w:szCs w:val="22"/>
        </w:rPr>
        <w:t xml:space="preserve"> and </w:t>
      </w:r>
      <w:r w:rsidR="00241D21">
        <w:rPr>
          <w:rFonts w:ascii="Calibri" w:hAnsi="Calibri" w:cs="Calibri"/>
          <w:sz w:val="22"/>
          <w:szCs w:val="22"/>
        </w:rPr>
        <w:t xml:space="preserve">generally </w:t>
      </w:r>
      <w:r w:rsidRPr="000D581F">
        <w:rPr>
          <w:rFonts w:ascii="Calibri" w:hAnsi="Calibri" w:cs="Calibri"/>
          <w:sz w:val="22"/>
          <w:szCs w:val="22"/>
        </w:rPr>
        <w:t xml:space="preserve">increase </w:t>
      </w:r>
      <w:r w:rsidR="00241D21">
        <w:rPr>
          <w:rFonts w:ascii="Calibri" w:hAnsi="Calibri" w:cs="Calibri"/>
          <w:sz w:val="22"/>
          <w:szCs w:val="22"/>
        </w:rPr>
        <w:t xml:space="preserve">indices of </w:t>
      </w:r>
      <w:r w:rsidRPr="000D581F">
        <w:rPr>
          <w:rFonts w:ascii="Calibri" w:hAnsi="Calibri" w:cs="Calibri"/>
          <w:sz w:val="22"/>
          <w:szCs w:val="22"/>
        </w:rPr>
        <w:t xml:space="preserve">fragility. The “cascade” principle (or “maximising finance for development”) is cited in the report as the framework for the World Bank </w:t>
      </w:r>
      <w:proofErr w:type="gramStart"/>
      <w:r w:rsidRPr="000D581F">
        <w:rPr>
          <w:rFonts w:ascii="Calibri" w:hAnsi="Calibri" w:cs="Calibri"/>
          <w:sz w:val="22"/>
          <w:szCs w:val="22"/>
        </w:rPr>
        <w:t>Group’s</w:t>
      </w:r>
      <w:proofErr w:type="gramEnd"/>
      <w:r w:rsidRPr="000D581F">
        <w:rPr>
          <w:rFonts w:ascii="Calibri" w:hAnsi="Calibri" w:cs="Calibri"/>
          <w:sz w:val="22"/>
          <w:szCs w:val="22"/>
        </w:rPr>
        <w:t xml:space="preserve"> financing in FCV settings as anywhere else, however OHCHR notes that this may not necessarily equate to “optimising”</w:t>
      </w:r>
      <w:r w:rsidR="006A349C">
        <w:rPr>
          <w:rFonts w:ascii="Calibri" w:hAnsi="Calibri" w:cs="Calibri"/>
          <w:sz w:val="22"/>
          <w:szCs w:val="22"/>
        </w:rPr>
        <w:t xml:space="preserve"> finance for development</w:t>
      </w:r>
      <w:r w:rsidRPr="000D581F">
        <w:rPr>
          <w:rFonts w:ascii="Calibri" w:hAnsi="Calibri" w:cs="Calibri"/>
          <w:sz w:val="22"/>
          <w:szCs w:val="22"/>
        </w:rPr>
        <w:t>,</w:t>
      </w:r>
      <w:r w:rsidR="006A349C">
        <w:rPr>
          <w:rStyle w:val="FootnoteReference"/>
          <w:rFonts w:ascii="Calibri" w:hAnsi="Calibri" w:cs="Calibri"/>
          <w:sz w:val="22"/>
          <w:szCs w:val="22"/>
        </w:rPr>
        <w:footnoteReference w:id="13"/>
      </w:r>
      <w:r w:rsidRPr="000D581F">
        <w:rPr>
          <w:rFonts w:ascii="Calibri" w:hAnsi="Calibri" w:cs="Calibri"/>
          <w:sz w:val="22"/>
          <w:szCs w:val="22"/>
        </w:rPr>
        <w:t xml:space="preserve"> and that in different sectors and contexts a reverse assumption may be warranted. Where fragility </w:t>
      </w:r>
      <w:proofErr w:type="gramStart"/>
      <w:r w:rsidRPr="000D581F">
        <w:rPr>
          <w:rFonts w:ascii="Calibri" w:hAnsi="Calibri" w:cs="Calibri"/>
          <w:sz w:val="22"/>
          <w:szCs w:val="22"/>
        </w:rPr>
        <w:t>is related</w:t>
      </w:r>
      <w:proofErr w:type="gramEnd"/>
      <w:r w:rsidRPr="000D581F">
        <w:rPr>
          <w:rFonts w:ascii="Calibri" w:hAnsi="Calibri" w:cs="Calibri"/>
          <w:sz w:val="22"/>
          <w:szCs w:val="22"/>
        </w:rPr>
        <w:t xml:space="preserve"> to loss of legitimacy of </w:t>
      </w:r>
      <w:r w:rsidR="006A349C">
        <w:rPr>
          <w:rFonts w:ascii="Calibri" w:hAnsi="Calibri" w:cs="Calibri"/>
          <w:sz w:val="22"/>
          <w:szCs w:val="22"/>
        </w:rPr>
        <w:t>public</w:t>
      </w:r>
      <w:r w:rsidRPr="000D581F">
        <w:rPr>
          <w:rFonts w:ascii="Calibri" w:hAnsi="Calibri" w:cs="Calibri"/>
          <w:sz w:val="22"/>
          <w:szCs w:val="22"/>
        </w:rPr>
        <w:t xml:space="preserve"> institutions, the privatisation of essential services may further undermine </w:t>
      </w:r>
      <w:r w:rsidR="006A349C">
        <w:rPr>
          <w:rFonts w:ascii="Calibri" w:hAnsi="Calibri" w:cs="Calibri"/>
          <w:sz w:val="22"/>
          <w:szCs w:val="22"/>
        </w:rPr>
        <w:t>those institutions’</w:t>
      </w:r>
      <w:r w:rsidRPr="000D581F">
        <w:rPr>
          <w:rFonts w:ascii="Calibri" w:hAnsi="Calibri" w:cs="Calibri"/>
          <w:sz w:val="22"/>
          <w:szCs w:val="22"/>
        </w:rPr>
        <w:t xml:space="preserve"> legitimacy</w:t>
      </w:r>
      <w:r w:rsidR="00241D21">
        <w:rPr>
          <w:rFonts w:ascii="Calibri" w:hAnsi="Calibri" w:cs="Calibri"/>
          <w:sz w:val="22"/>
          <w:szCs w:val="22"/>
        </w:rPr>
        <w:t xml:space="preserve"> as well as lead to inequitable, captured or distorted allocations of such services</w:t>
      </w:r>
      <w:r w:rsidRPr="000D581F">
        <w:rPr>
          <w:rFonts w:ascii="Calibri" w:hAnsi="Calibri" w:cs="Calibri"/>
          <w:sz w:val="22"/>
          <w:szCs w:val="22"/>
        </w:rPr>
        <w:t xml:space="preserve">. </w:t>
      </w:r>
    </w:p>
    <w:p w14:paraId="50300B2B" w14:textId="77777777" w:rsidR="006A349C" w:rsidRDefault="006A349C" w:rsidP="006A349C">
      <w:pPr>
        <w:pStyle w:val="NormalWeb"/>
        <w:ind w:left="360"/>
        <w:rPr>
          <w:rFonts w:ascii="Calibri" w:hAnsi="Calibri" w:cs="Calibri"/>
          <w:sz w:val="22"/>
          <w:szCs w:val="22"/>
        </w:rPr>
      </w:pPr>
    </w:p>
    <w:p w14:paraId="5E294810" w14:textId="015902B6" w:rsidR="00496350" w:rsidRPr="007270C5" w:rsidRDefault="00496350" w:rsidP="00496350">
      <w:pPr>
        <w:pStyle w:val="NormalWeb"/>
        <w:numPr>
          <w:ilvl w:val="0"/>
          <w:numId w:val="1"/>
        </w:numPr>
        <w:ind w:left="360"/>
        <w:rPr>
          <w:rFonts w:asciiTheme="minorHAnsi" w:hAnsiTheme="minorHAnsi" w:cstheme="minorHAnsi"/>
          <w:sz w:val="22"/>
          <w:szCs w:val="22"/>
        </w:rPr>
      </w:pPr>
      <w:r w:rsidRPr="007270C5">
        <w:rPr>
          <w:rFonts w:asciiTheme="minorHAnsi" w:hAnsiTheme="minorHAnsi" w:cstheme="minorHAnsi"/>
          <w:sz w:val="22"/>
          <w:szCs w:val="22"/>
        </w:rPr>
        <w:t>OHCHR notes the discussion of macro-economic stability and debt stability in para</w:t>
      </w:r>
      <w:r w:rsidR="006217AC">
        <w:rPr>
          <w:rFonts w:asciiTheme="minorHAnsi" w:hAnsiTheme="minorHAnsi" w:cstheme="minorHAnsi"/>
          <w:sz w:val="22"/>
          <w:szCs w:val="22"/>
        </w:rPr>
        <w:t>.</w:t>
      </w:r>
      <w:r w:rsidRPr="007270C5">
        <w:rPr>
          <w:rFonts w:asciiTheme="minorHAnsi" w:hAnsiTheme="minorHAnsi" w:cstheme="minorHAnsi"/>
          <w:sz w:val="22"/>
          <w:szCs w:val="22"/>
        </w:rPr>
        <w:t xml:space="preserve"> </w:t>
      </w:r>
      <w:proofErr w:type="gramStart"/>
      <w:r w:rsidRPr="007270C5">
        <w:rPr>
          <w:rFonts w:asciiTheme="minorHAnsi" w:hAnsiTheme="minorHAnsi" w:cstheme="minorHAnsi"/>
          <w:sz w:val="22"/>
          <w:szCs w:val="22"/>
        </w:rPr>
        <w:t>111,</w:t>
      </w:r>
      <w:proofErr w:type="gramEnd"/>
      <w:r w:rsidRPr="007270C5">
        <w:rPr>
          <w:rFonts w:asciiTheme="minorHAnsi" w:hAnsiTheme="minorHAnsi" w:cstheme="minorHAnsi"/>
          <w:sz w:val="22"/>
          <w:szCs w:val="22"/>
        </w:rPr>
        <w:t xml:space="preserve"> and the important recognition of the scope for counter-cyclical spending as part of the framework for conflict-sensitive macro-economic policy in FCV settings. </w:t>
      </w:r>
      <w:proofErr w:type="gramStart"/>
      <w:r w:rsidRPr="007270C5">
        <w:rPr>
          <w:rFonts w:asciiTheme="minorHAnsi" w:hAnsiTheme="minorHAnsi" w:cstheme="minorHAnsi"/>
          <w:sz w:val="22"/>
          <w:szCs w:val="22"/>
        </w:rPr>
        <w:t>However</w:t>
      </w:r>
      <w:r w:rsidR="000E7F26" w:rsidRPr="007270C5">
        <w:rPr>
          <w:rFonts w:asciiTheme="minorHAnsi" w:hAnsiTheme="minorHAnsi" w:cstheme="minorHAnsi"/>
          <w:sz w:val="22"/>
          <w:szCs w:val="22"/>
        </w:rPr>
        <w:t xml:space="preserve">, </w:t>
      </w:r>
      <w:r w:rsidR="007270C5">
        <w:rPr>
          <w:rFonts w:asciiTheme="minorHAnsi" w:eastAsia="Times New Roman" w:hAnsiTheme="minorHAnsi" w:cstheme="minorHAnsi"/>
          <w:sz w:val="22"/>
          <w:szCs w:val="22"/>
          <w:lang w:val="en-US"/>
        </w:rPr>
        <w:t>d</w:t>
      </w:r>
      <w:r w:rsidR="007270C5" w:rsidRPr="007270C5">
        <w:rPr>
          <w:rFonts w:asciiTheme="minorHAnsi" w:eastAsia="Times New Roman" w:hAnsiTheme="minorHAnsi" w:cstheme="minorHAnsi"/>
          <w:sz w:val="22"/>
          <w:szCs w:val="22"/>
          <w:lang w:val="en-US"/>
        </w:rPr>
        <w:t xml:space="preserve">espite a recognition </w:t>
      </w:r>
      <w:r w:rsidR="007270C5">
        <w:rPr>
          <w:rFonts w:asciiTheme="minorHAnsi" w:eastAsia="Times New Roman" w:hAnsiTheme="minorHAnsi" w:cstheme="minorHAnsi"/>
          <w:sz w:val="22"/>
          <w:szCs w:val="22"/>
          <w:lang w:val="en-US"/>
        </w:rPr>
        <w:t>up front in the strategy that “</w:t>
      </w:r>
      <w:r w:rsidR="007270C5" w:rsidRPr="007270C5">
        <w:rPr>
          <w:rFonts w:asciiTheme="minorHAnsi" w:eastAsia="Times New Roman" w:hAnsiTheme="minorHAnsi" w:cstheme="minorHAnsi"/>
          <w:sz w:val="22"/>
          <w:szCs w:val="22"/>
          <w:lang w:val="en-US"/>
        </w:rPr>
        <w:t>rising inequality, lack of opportunity and exclusion are fueling grievances and perceptions of justice</w:t>
      </w:r>
      <w:r w:rsidR="007270C5">
        <w:rPr>
          <w:rFonts w:asciiTheme="minorHAnsi" w:eastAsia="Times New Roman" w:hAnsiTheme="minorHAnsi" w:cstheme="minorHAnsi"/>
          <w:sz w:val="22"/>
          <w:szCs w:val="22"/>
          <w:lang w:val="en-US"/>
        </w:rPr>
        <w:t>”</w:t>
      </w:r>
      <w:r w:rsidR="007270C5" w:rsidRPr="007270C5">
        <w:rPr>
          <w:rFonts w:asciiTheme="minorHAnsi" w:eastAsia="Times New Roman" w:hAnsiTheme="minorHAnsi" w:cstheme="minorHAnsi"/>
          <w:sz w:val="22"/>
          <w:szCs w:val="22"/>
          <w:lang w:val="en-US"/>
        </w:rPr>
        <w:t xml:space="preserve"> (e.g. in para</w:t>
      </w:r>
      <w:r w:rsidR="006217AC">
        <w:rPr>
          <w:rFonts w:asciiTheme="minorHAnsi" w:eastAsia="Times New Roman" w:hAnsiTheme="minorHAnsi" w:cstheme="minorHAnsi"/>
          <w:sz w:val="22"/>
          <w:szCs w:val="22"/>
          <w:lang w:val="en-US"/>
        </w:rPr>
        <w:t>.</w:t>
      </w:r>
      <w:r w:rsidR="007270C5" w:rsidRPr="007270C5">
        <w:rPr>
          <w:rFonts w:asciiTheme="minorHAnsi" w:eastAsia="Times New Roman" w:hAnsiTheme="minorHAnsi" w:cstheme="minorHAnsi"/>
          <w:sz w:val="22"/>
          <w:szCs w:val="22"/>
          <w:lang w:val="en-US"/>
        </w:rPr>
        <w:t xml:space="preserve"> 2), there </w:t>
      </w:r>
      <w:r w:rsidR="009715D6">
        <w:rPr>
          <w:rFonts w:asciiTheme="minorHAnsi" w:eastAsia="Times New Roman" w:hAnsiTheme="minorHAnsi" w:cstheme="minorHAnsi"/>
          <w:sz w:val="22"/>
          <w:szCs w:val="22"/>
          <w:lang w:val="en-US"/>
        </w:rPr>
        <w:t>does not appear to be adequate recognition of</w:t>
      </w:r>
      <w:r w:rsidR="007270C5" w:rsidRPr="007270C5">
        <w:rPr>
          <w:rFonts w:asciiTheme="minorHAnsi" w:eastAsia="Times New Roman" w:hAnsiTheme="minorHAnsi" w:cstheme="minorHAnsi"/>
          <w:sz w:val="22"/>
          <w:szCs w:val="22"/>
          <w:lang w:val="en-US"/>
        </w:rPr>
        <w:t xml:space="preserve"> </w:t>
      </w:r>
      <w:r w:rsidR="007270C5">
        <w:rPr>
          <w:rFonts w:asciiTheme="minorHAnsi" w:eastAsia="Times New Roman" w:hAnsiTheme="minorHAnsi" w:cstheme="minorHAnsi"/>
          <w:sz w:val="22"/>
          <w:szCs w:val="22"/>
          <w:lang w:val="en-US"/>
        </w:rPr>
        <w:t xml:space="preserve">the need to address income </w:t>
      </w:r>
      <w:r w:rsidR="00241D21">
        <w:rPr>
          <w:rFonts w:asciiTheme="minorHAnsi" w:eastAsia="Times New Roman" w:hAnsiTheme="minorHAnsi" w:cstheme="minorHAnsi"/>
          <w:sz w:val="22"/>
          <w:szCs w:val="22"/>
          <w:lang w:val="en-US"/>
        </w:rPr>
        <w:t xml:space="preserve">and access </w:t>
      </w:r>
      <w:r w:rsidR="007270C5">
        <w:rPr>
          <w:rFonts w:asciiTheme="minorHAnsi" w:eastAsia="Times New Roman" w:hAnsiTheme="minorHAnsi" w:cstheme="minorHAnsi"/>
          <w:sz w:val="22"/>
          <w:szCs w:val="22"/>
          <w:lang w:val="en-US"/>
        </w:rPr>
        <w:t xml:space="preserve">inequalities and </w:t>
      </w:r>
      <w:r w:rsidR="009715D6">
        <w:rPr>
          <w:rFonts w:asciiTheme="minorHAnsi" w:eastAsia="Times New Roman" w:hAnsiTheme="minorHAnsi" w:cstheme="minorHAnsi"/>
          <w:sz w:val="22"/>
          <w:szCs w:val="22"/>
          <w:lang w:val="en-US"/>
        </w:rPr>
        <w:t>horizontal inequalities, nor of</w:t>
      </w:r>
      <w:r w:rsidR="007270C5" w:rsidRPr="007270C5">
        <w:rPr>
          <w:rFonts w:asciiTheme="minorHAnsi" w:eastAsia="Times New Roman" w:hAnsiTheme="minorHAnsi" w:cstheme="minorHAnsi"/>
          <w:sz w:val="22"/>
          <w:szCs w:val="22"/>
          <w:lang w:val="en-US"/>
        </w:rPr>
        <w:t xml:space="preserve"> how the model of economic development can cause</w:t>
      </w:r>
      <w:r w:rsidR="00241D21">
        <w:rPr>
          <w:rFonts w:asciiTheme="minorHAnsi" w:eastAsia="Times New Roman" w:hAnsiTheme="minorHAnsi" w:cstheme="minorHAnsi"/>
          <w:sz w:val="22"/>
          <w:szCs w:val="22"/>
          <w:lang w:val="en-US"/>
        </w:rPr>
        <w:t xml:space="preserve"> or exacerbate</w:t>
      </w:r>
      <w:r w:rsidR="007270C5" w:rsidRPr="007270C5">
        <w:rPr>
          <w:rFonts w:asciiTheme="minorHAnsi" w:eastAsia="Times New Roman" w:hAnsiTheme="minorHAnsi" w:cstheme="minorHAnsi"/>
          <w:sz w:val="22"/>
          <w:szCs w:val="22"/>
          <w:lang w:val="en-US"/>
        </w:rPr>
        <w:t xml:space="preserve"> </w:t>
      </w:r>
      <w:r w:rsidR="00241D21">
        <w:rPr>
          <w:rFonts w:asciiTheme="minorHAnsi" w:eastAsia="Times New Roman" w:hAnsiTheme="minorHAnsi" w:cstheme="minorHAnsi"/>
          <w:sz w:val="22"/>
          <w:szCs w:val="22"/>
          <w:lang w:val="en-US"/>
        </w:rPr>
        <w:t xml:space="preserve">pre-existing </w:t>
      </w:r>
      <w:r w:rsidR="007270C5" w:rsidRPr="007270C5">
        <w:rPr>
          <w:rFonts w:asciiTheme="minorHAnsi" w:eastAsia="Times New Roman" w:hAnsiTheme="minorHAnsi" w:cstheme="minorHAnsi"/>
          <w:sz w:val="22"/>
          <w:szCs w:val="22"/>
          <w:lang w:val="en-US"/>
        </w:rPr>
        <w:t>inequalities</w:t>
      </w:r>
      <w:r w:rsidR="00241D21">
        <w:rPr>
          <w:rFonts w:asciiTheme="minorHAnsi" w:eastAsia="Times New Roman" w:hAnsiTheme="minorHAnsi" w:cstheme="minorHAnsi"/>
          <w:sz w:val="22"/>
          <w:szCs w:val="22"/>
          <w:lang w:val="en-US"/>
        </w:rPr>
        <w:t xml:space="preserve">, and </w:t>
      </w:r>
      <w:r w:rsidR="009715D6">
        <w:rPr>
          <w:rFonts w:asciiTheme="minorHAnsi" w:eastAsia="Times New Roman" w:hAnsiTheme="minorHAnsi" w:cstheme="minorHAnsi"/>
          <w:sz w:val="22"/>
          <w:szCs w:val="22"/>
          <w:lang w:val="en-US"/>
        </w:rPr>
        <w:t>otherwise impact negatively on human rights or the environment</w:t>
      </w:r>
      <w:r w:rsidR="00241D21">
        <w:rPr>
          <w:rFonts w:asciiTheme="minorHAnsi" w:eastAsia="Times New Roman" w:hAnsiTheme="minorHAnsi" w:cstheme="minorHAnsi"/>
          <w:sz w:val="22"/>
          <w:szCs w:val="22"/>
          <w:lang w:val="en-US"/>
        </w:rPr>
        <w:t xml:space="preserve"> (including climate)</w:t>
      </w:r>
      <w:r w:rsidR="009715D6">
        <w:rPr>
          <w:rFonts w:asciiTheme="minorHAnsi" w:eastAsia="Times New Roman" w:hAnsiTheme="minorHAnsi" w:cstheme="minorHAnsi"/>
          <w:sz w:val="22"/>
          <w:szCs w:val="22"/>
          <w:lang w:val="en-US"/>
        </w:rPr>
        <w:t>.</w:t>
      </w:r>
      <w:proofErr w:type="gramEnd"/>
      <w:r w:rsidR="009715D6">
        <w:rPr>
          <w:rFonts w:asciiTheme="minorHAnsi" w:eastAsia="Times New Roman" w:hAnsiTheme="minorHAnsi" w:cstheme="minorHAnsi"/>
          <w:sz w:val="22"/>
          <w:szCs w:val="22"/>
          <w:lang w:val="en-US"/>
        </w:rPr>
        <w:t xml:space="preserve"> </w:t>
      </w:r>
      <w:proofErr w:type="gramStart"/>
      <w:r w:rsidR="009715D6">
        <w:rPr>
          <w:rFonts w:asciiTheme="minorHAnsi" w:hAnsiTheme="minorHAnsi" w:cstheme="minorHAnsi"/>
          <w:sz w:val="22"/>
          <w:szCs w:val="22"/>
        </w:rPr>
        <w:t>G</w:t>
      </w:r>
      <w:r w:rsidRPr="007270C5">
        <w:rPr>
          <w:rFonts w:asciiTheme="minorHAnsi" w:hAnsiTheme="minorHAnsi" w:cstheme="minorHAnsi"/>
          <w:sz w:val="22"/>
          <w:szCs w:val="22"/>
        </w:rPr>
        <w:t>iven the extent to which economic inequalities, subsidy reform (e.g. Haiti, Ecuador), elimination of capital controls (e.g. Ecuador), regressive pension reforms (e.g. Nicaragua), regressive taxation (e.g. Tunisia) and other austerity measures (e.g. Zimbabwe, Chile, Lebanon, Egypt), continue to drive social conflict, OHCHR would recommend that the draft strategy include a more comprehensive analysis of economic policy imp</w:t>
      </w:r>
      <w:r w:rsidR="000E7F26" w:rsidRPr="007270C5">
        <w:rPr>
          <w:rFonts w:asciiTheme="minorHAnsi" w:hAnsiTheme="minorHAnsi" w:cstheme="minorHAnsi"/>
          <w:sz w:val="22"/>
          <w:szCs w:val="22"/>
        </w:rPr>
        <w:t xml:space="preserve">acts on fragility and violence, </w:t>
      </w:r>
      <w:r w:rsidRPr="007270C5">
        <w:rPr>
          <w:rFonts w:asciiTheme="minorHAnsi" w:hAnsiTheme="minorHAnsi" w:cstheme="minorHAnsi"/>
          <w:sz w:val="22"/>
          <w:szCs w:val="22"/>
        </w:rPr>
        <w:t>and an explicit recommendation that such policy measures be guided by human rights</w:t>
      </w:r>
      <w:r w:rsidR="009715D6">
        <w:rPr>
          <w:rFonts w:asciiTheme="minorHAnsi" w:hAnsiTheme="minorHAnsi" w:cstheme="minorHAnsi"/>
          <w:sz w:val="22"/>
          <w:szCs w:val="22"/>
        </w:rPr>
        <w:t xml:space="preserve"> and environmental (including climate)</w:t>
      </w:r>
      <w:r w:rsidRPr="007270C5">
        <w:rPr>
          <w:rFonts w:asciiTheme="minorHAnsi" w:hAnsiTheme="minorHAnsi" w:cstheme="minorHAnsi"/>
          <w:sz w:val="22"/>
          <w:szCs w:val="22"/>
        </w:rPr>
        <w:t xml:space="preserve"> impact assessments.</w:t>
      </w:r>
      <w:proofErr w:type="gramEnd"/>
    </w:p>
    <w:p w14:paraId="70BE66AD" w14:textId="77777777" w:rsidR="00496350" w:rsidRPr="000D581F" w:rsidRDefault="00496350" w:rsidP="00496350">
      <w:pPr>
        <w:pStyle w:val="NormalWeb"/>
        <w:rPr>
          <w:rFonts w:asciiTheme="minorHAnsi" w:hAnsiTheme="minorHAnsi" w:cstheme="minorBidi"/>
          <w:sz w:val="22"/>
          <w:szCs w:val="22"/>
        </w:rPr>
      </w:pPr>
    </w:p>
    <w:p w14:paraId="5375E505" w14:textId="77777777" w:rsidR="00496350" w:rsidRPr="00496350" w:rsidRDefault="00496350" w:rsidP="00496350">
      <w:pPr>
        <w:pStyle w:val="NormalWeb"/>
        <w:rPr>
          <w:rFonts w:asciiTheme="minorHAnsi" w:hAnsiTheme="minorHAnsi" w:cstheme="minorBidi"/>
          <w:sz w:val="22"/>
          <w:szCs w:val="22"/>
          <w:u w:val="single"/>
        </w:rPr>
      </w:pPr>
      <w:r w:rsidRPr="00496350">
        <w:rPr>
          <w:rFonts w:asciiTheme="minorHAnsi" w:hAnsiTheme="minorHAnsi" w:cstheme="minorBidi"/>
          <w:sz w:val="22"/>
          <w:szCs w:val="22"/>
          <w:u w:val="single"/>
        </w:rPr>
        <w:t>Gender</w:t>
      </w:r>
      <w:r>
        <w:rPr>
          <w:rFonts w:asciiTheme="minorHAnsi" w:hAnsiTheme="minorHAnsi" w:cstheme="minorBidi"/>
          <w:sz w:val="22"/>
          <w:szCs w:val="22"/>
          <w:u w:val="single"/>
        </w:rPr>
        <w:t xml:space="preserve"> and women’s rights</w:t>
      </w:r>
    </w:p>
    <w:p w14:paraId="6CDFD97D" w14:textId="77777777" w:rsidR="00496350" w:rsidRDefault="00496350" w:rsidP="00496350">
      <w:pPr>
        <w:pStyle w:val="NormalWeb"/>
        <w:rPr>
          <w:rFonts w:asciiTheme="minorHAnsi" w:hAnsiTheme="minorHAnsi" w:cstheme="minorBidi"/>
          <w:sz w:val="22"/>
          <w:szCs w:val="22"/>
        </w:rPr>
      </w:pPr>
    </w:p>
    <w:p w14:paraId="2F5E55B4" w14:textId="1BC8D168" w:rsidR="00195693" w:rsidRPr="00B257FB" w:rsidRDefault="003A46A9" w:rsidP="007A5EE2">
      <w:pPr>
        <w:pStyle w:val="NormalWeb"/>
        <w:numPr>
          <w:ilvl w:val="0"/>
          <w:numId w:val="1"/>
        </w:numPr>
        <w:ind w:left="360"/>
        <w:rPr>
          <w:rFonts w:asciiTheme="minorHAnsi" w:hAnsiTheme="minorHAnsi" w:cstheme="minorBidi"/>
          <w:sz w:val="22"/>
          <w:szCs w:val="22"/>
        </w:rPr>
      </w:pPr>
      <w:proofErr w:type="gramStart"/>
      <w:r w:rsidRPr="00B257FB">
        <w:rPr>
          <w:rFonts w:asciiTheme="minorHAnsi" w:hAnsiTheme="minorHAnsi" w:cstheme="minorBidi"/>
          <w:sz w:val="22"/>
          <w:szCs w:val="22"/>
        </w:rPr>
        <w:t xml:space="preserve">OHCHR </w:t>
      </w:r>
      <w:r w:rsidR="00F90C25" w:rsidRPr="00B257FB">
        <w:rPr>
          <w:rFonts w:asciiTheme="minorHAnsi" w:hAnsiTheme="minorHAnsi" w:cstheme="minorBidi"/>
          <w:sz w:val="22"/>
          <w:szCs w:val="22"/>
        </w:rPr>
        <w:t>welcomes the Bank’s proposed focus on gender equality (paras. 51, 72</w:t>
      </w:r>
      <w:r w:rsidR="00417C75" w:rsidRPr="00B257FB">
        <w:rPr>
          <w:rFonts w:asciiTheme="minorHAnsi" w:hAnsiTheme="minorHAnsi" w:cstheme="minorBidi"/>
          <w:sz w:val="22"/>
          <w:szCs w:val="22"/>
        </w:rPr>
        <w:t>, 118</w:t>
      </w:r>
      <w:r w:rsidR="00F90C25" w:rsidRPr="00B257FB">
        <w:rPr>
          <w:rFonts w:asciiTheme="minorHAnsi" w:hAnsiTheme="minorHAnsi" w:cstheme="minorBidi"/>
          <w:sz w:val="22"/>
          <w:szCs w:val="22"/>
        </w:rPr>
        <w:t>)</w:t>
      </w:r>
      <w:r w:rsidR="00FD1878" w:rsidRPr="00B257FB">
        <w:rPr>
          <w:rFonts w:asciiTheme="minorHAnsi" w:hAnsiTheme="minorHAnsi" w:cstheme="minorBidi"/>
          <w:sz w:val="22"/>
          <w:szCs w:val="22"/>
        </w:rPr>
        <w:t>, i</w:t>
      </w:r>
      <w:r w:rsidR="00F90C25" w:rsidRPr="00B257FB">
        <w:rPr>
          <w:rFonts w:asciiTheme="minorHAnsi" w:hAnsiTheme="minorHAnsi" w:cstheme="minorBidi"/>
          <w:sz w:val="22"/>
          <w:szCs w:val="22"/>
        </w:rPr>
        <w:t xml:space="preserve">n line with </w:t>
      </w:r>
      <w:r w:rsidR="00213665" w:rsidRPr="00B257FB">
        <w:rPr>
          <w:rFonts w:asciiTheme="minorHAnsi" w:hAnsiTheme="minorHAnsi" w:cstheme="minorBidi"/>
          <w:sz w:val="22"/>
          <w:szCs w:val="22"/>
        </w:rPr>
        <w:t>the Bank’s</w:t>
      </w:r>
      <w:r w:rsidR="00FD1878" w:rsidRPr="00B257FB">
        <w:rPr>
          <w:rFonts w:asciiTheme="minorHAnsi" w:hAnsiTheme="minorHAnsi" w:cstheme="minorBidi"/>
          <w:sz w:val="22"/>
          <w:szCs w:val="22"/>
        </w:rPr>
        <w:t xml:space="preserve"> overarching</w:t>
      </w:r>
      <w:r w:rsidR="00F90C25" w:rsidRPr="00B257FB">
        <w:rPr>
          <w:rFonts w:asciiTheme="minorHAnsi" w:hAnsiTheme="minorHAnsi" w:cstheme="minorBidi"/>
          <w:sz w:val="22"/>
          <w:szCs w:val="22"/>
        </w:rPr>
        <w:t xml:space="preserve"> Gender Strategy (2016-2023)</w:t>
      </w:r>
      <w:r w:rsidR="004A735F" w:rsidRPr="00B257FB">
        <w:rPr>
          <w:rFonts w:asciiTheme="minorHAnsi" w:hAnsiTheme="minorHAnsi" w:cstheme="minorBidi"/>
          <w:sz w:val="22"/>
          <w:szCs w:val="22"/>
        </w:rPr>
        <w:t>, including a focus on women and girl’s voice and agency, preventing and eliminating GBV, addressing economic inequalities and strengthening economic empowerment of women, ensuring the meaningful participation of women and girls in peacebuilding processes, and addressing harmful gender norms and engaging with men and boys on gender equality.</w:t>
      </w:r>
      <w:proofErr w:type="gramEnd"/>
      <w:r w:rsidR="00B87399" w:rsidRPr="00B257FB">
        <w:rPr>
          <w:rFonts w:asciiTheme="minorHAnsi" w:hAnsiTheme="minorHAnsi" w:cstheme="minorBidi"/>
          <w:sz w:val="22"/>
          <w:szCs w:val="22"/>
        </w:rPr>
        <w:t xml:space="preserve"> The </w:t>
      </w:r>
      <w:r w:rsidR="005143CF" w:rsidRPr="00B257FB">
        <w:rPr>
          <w:rFonts w:asciiTheme="minorHAnsi" w:hAnsiTheme="minorHAnsi" w:cstheme="minorBidi"/>
          <w:sz w:val="22"/>
          <w:szCs w:val="22"/>
        </w:rPr>
        <w:t>G</w:t>
      </w:r>
      <w:r w:rsidR="00B87399" w:rsidRPr="00B257FB">
        <w:rPr>
          <w:rFonts w:asciiTheme="minorHAnsi" w:hAnsiTheme="minorHAnsi" w:cstheme="minorBidi"/>
          <w:sz w:val="22"/>
          <w:szCs w:val="22"/>
        </w:rPr>
        <w:t xml:space="preserve">ender </w:t>
      </w:r>
      <w:r w:rsidR="005143CF" w:rsidRPr="00B257FB">
        <w:rPr>
          <w:rFonts w:asciiTheme="minorHAnsi" w:hAnsiTheme="minorHAnsi" w:cstheme="minorBidi"/>
          <w:sz w:val="22"/>
          <w:szCs w:val="22"/>
        </w:rPr>
        <w:t>S</w:t>
      </w:r>
      <w:r w:rsidR="00B87399" w:rsidRPr="00B257FB">
        <w:rPr>
          <w:rFonts w:asciiTheme="minorHAnsi" w:hAnsiTheme="minorHAnsi" w:cstheme="minorBidi"/>
          <w:sz w:val="22"/>
          <w:szCs w:val="22"/>
        </w:rPr>
        <w:t>trategy</w:t>
      </w:r>
      <w:r w:rsidR="00FA6150" w:rsidRPr="00B257FB">
        <w:rPr>
          <w:rFonts w:asciiTheme="minorHAnsi" w:hAnsiTheme="minorHAnsi" w:cstheme="minorBidi"/>
          <w:sz w:val="22"/>
          <w:szCs w:val="22"/>
        </w:rPr>
        <w:t xml:space="preserve"> additionally</w:t>
      </w:r>
      <w:r w:rsidR="00B87399" w:rsidRPr="00B257FB">
        <w:rPr>
          <w:rFonts w:asciiTheme="minorHAnsi" w:hAnsiTheme="minorHAnsi" w:cstheme="minorBidi"/>
          <w:sz w:val="22"/>
          <w:szCs w:val="22"/>
        </w:rPr>
        <w:t xml:space="preserve"> highlights the importance of strengthening access to reproductive health services</w:t>
      </w:r>
      <w:r w:rsidR="00601A6C" w:rsidRPr="00B257FB">
        <w:rPr>
          <w:rFonts w:asciiTheme="minorHAnsi" w:hAnsiTheme="minorHAnsi" w:cstheme="minorBidi"/>
          <w:sz w:val="22"/>
          <w:szCs w:val="22"/>
        </w:rPr>
        <w:t xml:space="preserve"> (page 20)</w:t>
      </w:r>
      <w:r w:rsidR="00322049" w:rsidRPr="00B257FB">
        <w:rPr>
          <w:rFonts w:asciiTheme="minorHAnsi" w:hAnsiTheme="minorHAnsi" w:cstheme="minorBidi"/>
          <w:sz w:val="22"/>
          <w:szCs w:val="22"/>
        </w:rPr>
        <w:t>;</w:t>
      </w:r>
      <w:r w:rsidR="00C01964" w:rsidRPr="00B257FB">
        <w:rPr>
          <w:rFonts w:asciiTheme="minorHAnsi" w:hAnsiTheme="minorHAnsi" w:cstheme="minorBidi"/>
          <w:sz w:val="22"/>
          <w:szCs w:val="22"/>
        </w:rPr>
        <w:t xml:space="preserve"> </w:t>
      </w:r>
      <w:r w:rsidR="00D804C4" w:rsidRPr="00B257FB">
        <w:rPr>
          <w:rFonts w:asciiTheme="minorHAnsi" w:hAnsiTheme="minorHAnsi" w:cstheme="minorBidi"/>
          <w:sz w:val="22"/>
          <w:szCs w:val="22"/>
        </w:rPr>
        <w:t xml:space="preserve">OHCHR </w:t>
      </w:r>
      <w:r w:rsidR="00CB291B" w:rsidRPr="00B257FB">
        <w:rPr>
          <w:rFonts w:asciiTheme="minorHAnsi" w:hAnsiTheme="minorHAnsi" w:cstheme="minorBidi"/>
          <w:sz w:val="22"/>
          <w:szCs w:val="22"/>
        </w:rPr>
        <w:t xml:space="preserve">would recommend </w:t>
      </w:r>
      <w:r w:rsidR="00D804C4" w:rsidRPr="00B257FB">
        <w:rPr>
          <w:rFonts w:asciiTheme="minorHAnsi" w:hAnsiTheme="minorHAnsi" w:cstheme="minorBidi"/>
          <w:sz w:val="22"/>
          <w:szCs w:val="22"/>
        </w:rPr>
        <w:t>that</w:t>
      </w:r>
      <w:r w:rsidR="00B87399" w:rsidRPr="00B257FB">
        <w:rPr>
          <w:rFonts w:asciiTheme="minorHAnsi" w:hAnsiTheme="minorHAnsi" w:cstheme="minorBidi"/>
          <w:sz w:val="22"/>
          <w:szCs w:val="22"/>
        </w:rPr>
        <w:t xml:space="preserve"> a more </w:t>
      </w:r>
      <w:r w:rsidR="00601A6C" w:rsidRPr="00B257FB">
        <w:rPr>
          <w:rFonts w:asciiTheme="minorHAnsi" w:hAnsiTheme="minorHAnsi" w:cstheme="minorBidi"/>
          <w:sz w:val="22"/>
          <w:szCs w:val="22"/>
        </w:rPr>
        <w:t xml:space="preserve">explicit reference </w:t>
      </w:r>
      <w:proofErr w:type="gramStart"/>
      <w:r w:rsidR="00605057" w:rsidRPr="00B257FB">
        <w:rPr>
          <w:rFonts w:asciiTheme="minorHAnsi" w:hAnsiTheme="minorHAnsi" w:cstheme="minorBidi"/>
          <w:sz w:val="22"/>
          <w:szCs w:val="22"/>
        </w:rPr>
        <w:t xml:space="preserve">be </w:t>
      </w:r>
      <w:r w:rsidR="002B28D5" w:rsidRPr="00B257FB">
        <w:rPr>
          <w:rFonts w:asciiTheme="minorHAnsi" w:hAnsiTheme="minorHAnsi" w:cstheme="minorBidi"/>
          <w:sz w:val="22"/>
          <w:szCs w:val="22"/>
        </w:rPr>
        <w:t>made</w:t>
      </w:r>
      <w:proofErr w:type="gramEnd"/>
      <w:r w:rsidR="002B28D5" w:rsidRPr="00B257FB">
        <w:rPr>
          <w:rFonts w:asciiTheme="minorHAnsi" w:hAnsiTheme="minorHAnsi" w:cstheme="minorBidi"/>
          <w:sz w:val="22"/>
          <w:szCs w:val="22"/>
        </w:rPr>
        <w:t xml:space="preserve"> </w:t>
      </w:r>
      <w:r w:rsidR="000C37D3" w:rsidRPr="00B257FB">
        <w:rPr>
          <w:rFonts w:asciiTheme="minorHAnsi" w:hAnsiTheme="minorHAnsi" w:cstheme="minorBidi"/>
          <w:sz w:val="22"/>
          <w:szCs w:val="22"/>
        </w:rPr>
        <w:t>to</w:t>
      </w:r>
      <w:r w:rsidR="00601A6C" w:rsidRPr="00B257FB">
        <w:rPr>
          <w:rFonts w:asciiTheme="minorHAnsi" w:hAnsiTheme="minorHAnsi" w:cstheme="minorBidi"/>
          <w:sz w:val="22"/>
          <w:szCs w:val="22"/>
        </w:rPr>
        <w:t xml:space="preserve"> this issue in the FCV strategy too.</w:t>
      </w:r>
      <w:r w:rsidR="00B257FB">
        <w:rPr>
          <w:rFonts w:asciiTheme="minorHAnsi" w:hAnsiTheme="minorHAnsi" w:cstheme="minorBidi"/>
          <w:sz w:val="22"/>
          <w:szCs w:val="22"/>
        </w:rPr>
        <w:t xml:space="preserve"> </w:t>
      </w:r>
      <w:r w:rsidR="00906280" w:rsidRPr="00B257FB">
        <w:rPr>
          <w:rFonts w:asciiTheme="minorHAnsi" w:hAnsiTheme="minorHAnsi" w:cstheme="minorBidi"/>
          <w:sz w:val="22"/>
          <w:szCs w:val="22"/>
        </w:rPr>
        <w:t>S</w:t>
      </w:r>
      <w:r w:rsidR="00820AF4" w:rsidRPr="00B257FB">
        <w:rPr>
          <w:rFonts w:asciiTheme="minorHAnsi" w:hAnsiTheme="minorHAnsi" w:cstheme="minorBidi"/>
          <w:sz w:val="22"/>
          <w:szCs w:val="22"/>
        </w:rPr>
        <w:t>exual and reproductive health service</w:t>
      </w:r>
      <w:r w:rsidR="00906280" w:rsidRPr="00B257FB">
        <w:rPr>
          <w:rFonts w:asciiTheme="minorHAnsi" w:hAnsiTheme="minorHAnsi" w:cstheme="minorBidi"/>
          <w:sz w:val="22"/>
          <w:szCs w:val="22"/>
        </w:rPr>
        <w:t xml:space="preserve"> access</w:t>
      </w:r>
      <w:r w:rsidR="00820AF4" w:rsidRPr="00B257FB">
        <w:rPr>
          <w:rFonts w:asciiTheme="minorHAnsi" w:hAnsiTheme="minorHAnsi" w:cstheme="minorBidi"/>
          <w:sz w:val="22"/>
          <w:szCs w:val="22"/>
        </w:rPr>
        <w:t xml:space="preserve"> </w:t>
      </w:r>
      <w:r w:rsidR="00AD70D7" w:rsidRPr="00B257FB">
        <w:rPr>
          <w:rFonts w:asciiTheme="minorHAnsi" w:hAnsiTheme="minorHAnsi" w:cstheme="minorBidi"/>
          <w:sz w:val="22"/>
          <w:szCs w:val="22"/>
        </w:rPr>
        <w:t xml:space="preserve">is </w:t>
      </w:r>
      <w:proofErr w:type="gramStart"/>
      <w:r w:rsidR="00AD70D7" w:rsidRPr="00B257FB">
        <w:rPr>
          <w:rFonts w:asciiTheme="minorHAnsi" w:hAnsiTheme="minorHAnsi" w:cstheme="minorBidi"/>
          <w:sz w:val="22"/>
          <w:szCs w:val="22"/>
        </w:rPr>
        <w:t>life-saving</w:t>
      </w:r>
      <w:proofErr w:type="gramEnd"/>
      <w:r w:rsidR="004A30F8" w:rsidRPr="00B257FB">
        <w:rPr>
          <w:rFonts w:asciiTheme="minorHAnsi" w:hAnsiTheme="minorHAnsi" w:cstheme="minorBidi"/>
          <w:sz w:val="22"/>
          <w:szCs w:val="22"/>
        </w:rPr>
        <w:t xml:space="preserve"> and</w:t>
      </w:r>
      <w:r w:rsidR="00CB42EA" w:rsidRPr="00B257FB">
        <w:rPr>
          <w:rFonts w:asciiTheme="minorHAnsi" w:hAnsiTheme="minorHAnsi" w:cstheme="minorBidi"/>
          <w:sz w:val="22"/>
          <w:szCs w:val="22"/>
        </w:rPr>
        <w:t xml:space="preserve"> </w:t>
      </w:r>
      <w:r w:rsidR="00245D58" w:rsidRPr="00B257FB">
        <w:rPr>
          <w:rFonts w:asciiTheme="minorHAnsi" w:hAnsiTheme="minorHAnsi" w:cstheme="minorBidi"/>
          <w:sz w:val="22"/>
          <w:szCs w:val="22"/>
        </w:rPr>
        <w:t>must be provided without discrimi</w:t>
      </w:r>
      <w:r w:rsidR="00BD1D41" w:rsidRPr="00B257FB">
        <w:rPr>
          <w:rFonts w:asciiTheme="minorHAnsi" w:hAnsiTheme="minorHAnsi" w:cstheme="minorBidi"/>
          <w:sz w:val="22"/>
          <w:szCs w:val="22"/>
        </w:rPr>
        <w:t>nation, es</w:t>
      </w:r>
      <w:r w:rsidR="004A30F8" w:rsidRPr="00B257FB">
        <w:rPr>
          <w:rFonts w:asciiTheme="minorHAnsi" w:hAnsiTheme="minorHAnsi" w:cstheme="minorBidi"/>
          <w:sz w:val="22"/>
          <w:szCs w:val="22"/>
        </w:rPr>
        <w:t>pecially in FCV settings where</w:t>
      </w:r>
      <w:r w:rsidR="00BD1D41" w:rsidRPr="00B257FB">
        <w:rPr>
          <w:rFonts w:asciiTheme="minorHAnsi" w:hAnsiTheme="minorHAnsi" w:cstheme="minorBidi"/>
          <w:sz w:val="22"/>
          <w:szCs w:val="22"/>
        </w:rPr>
        <w:t xml:space="preserve"> </w:t>
      </w:r>
      <w:r w:rsidR="00D7439C" w:rsidRPr="00B257FB">
        <w:rPr>
          <w:rFonts w:asciiTheme="minorHAnsi" w:hAnsiTheme="minorHAnsi" w:cstheme="minorBidi"/>
          <w:sz w:val="22"/>
          <w:szCs w:val="22"/>
        </w:rPr>
        <w:t>lack of access is</w:t>
      </w:r>
      <w:r w:rsidR="004A30F8" w:rsidRPr="00B257FB">
        <w:rPr>
          <w:rFonts w:asciiTheme="minorHAnsi" w:hAnsiTheme="minorHAnsi" w:cstheme="minorBidi"/>
          <w:sz w:val="22"/>
          <w:szCs w:val="22"/>
        </w:rPr>
        <w:t xml:space="preserve"> exacerbate</w:t>
      </w:r>
      <w:r w:rsidR="00D7439C" w:rsidRPr="00B257FB">
        <w:rPr>
          <w:rFonts w:asciiTheme="minorHAnsi" w:hAnsiTheme="minorHAnsi" w:cstheme="minorBidi"/>
          <w:sz w:val="22"/>
          <w:szCs w:val="22"/>
        </w:rPr>
        <w:t>d</w:t>
      </w:r>
      <w:r w:rsidR="00322049" w:rsidRPr="00B257FB">
        <w:rPr>
          <w:rFonts w:asciiTheme="minorHAnsi" w:hAnsiTheme="minorHAnsi" w:cstheme="minorBidi"/>
          <w:sz w:val="22"/>
          <w:szCs w:val="22"/>
        </w:rPr>
        <w:t>.</w:t>
      </w:r>
      <w:r w:rsidR="00F90C25" w:rsidRPr="00B257FB">
        <w:rPr>
          <w:rFonts w:asciiTheme="minorHAnsi" w:hAnsiTheme="minorHAnsi" w:cstheme="minorBidi"/>
          <w:sz w:val="22"/>
          <w:szCs w:val="22"/>
        </w:rPr>
        <w:t xml:space="preserve"> </w:t>
      </w:r>
      <w:r w:rsidR="00F455D2" w:rsidRPr="00B257FB">
        <w:rPr>
          <w:rFonts w:asciiTheme="minorHAnsi" w:hAnsiTheme="minorHAnsi" w:cstheme="minorBidi"/>
          <w:sz w:val="22"/>
          <w:szCs w:val="22"/>
        </w:rPr>
        <w:t xml:space="preserve">Furthermore, </w:t>
      </w:r>
      <w:r w:rsidR="00D96FDE" w:rsidRPr="00B257FB">
        <w:rPr>
          <w:rFonts w:asciiTheme="minorHAnsi" w:hAnsiTheme="minorHAnsi" w:cstheme="minorBidi"/>
          <w:sz w:val="22"/>
          <w:szCs w:val="22"/>
        </w:rPr>
        <w:t xml:space="preserve">noting the </w:t>
      </w:r>
      <w:r w:rsidR="00062E01" w:rsidRPr="00B257FB">
        <w:rPr>
          <w:rFonts w:asciiTheme="minorHAnsi" w:hAnsiTheme="minorHAnsi" w:cstheme="minorBidi"/>
          <w:sz w:val="22"/>
          <w:szCs w:val="22"/>
        </w:rPr>
        <w:t xml:space="preserve">important recognition </w:t>
      </w:r>
      <w:r w:rsidR="004C70A0" w:rsidRPr="00B257FB">
        <w:rPr>
          <w:rFonts w:asciiTheme="minorHAnsi" w:hAnsiTheme="minorHAnsi" w:cstheme="minorBidi"/>
          <w:sz w:val="22"/>
          <w:szCs w:val="22"/>
        </w:rPr>
        <w:t>of</w:t>
      </w:r>
      <w:r w:rsidR="005C31C6" w:rsidRPr="00B257FB">
        <w:rPr>
          <w:rFonts w:asciiTheme="minorHAnsi" w:hAnsiTheme="minorHAnsi" w:cstheme="minorBidi"/>
          <w:sz w:val="22"/>
          <w:szCs w:val="22"/>
        </w:rPr>
        <w:t xml:space="preserve"> </w:t>
      </w:r>
      <w:r w:rsidR="003919C4" w:rsidRPr="00B257FB">
        <w:rPr>
          <w:rFonts w:asciiTheme="minorHAnsi" w:hAnsiTheme="minorHAnsi" w:cstheme="minorBidi"/>
          <w:sz w:val="22"/>
          <w:szCs w:val="22"/>
        </w:rPr>
        <w:t xml:space="preserve">LGBTI </w:t>
      </w:r>
      <w:r w:rsidR="00A22492" w:rsidRPr="00B257FB">
        <w:rPr>
          <w:rFonts w:asciiTheme="minorHAnsi" w:hAnsiTheme="minorHAnsi" w:cstheme="minorBidi"/>
          <w:sz w:val="22"/>
          <w:szCs w:val="22"/>
        </w:rPr>
        <w:t xml:space="preserve">issues </w:t>
      </w:r>
      <w:r w:rsidR="00605057" w:rsidRPr="00B257FB">
        <w:rPr>
          <w:rFonts w:asciiTheme="minorHAnsi" w:hAnsiTheme="minorHAnsi" w:cstheme="minorBidi"/>
          <w:sz w:val="22"/>
          <w:szCs w:val="22"/>
        </w:rPr>
        <w:t xml:space="preserve">in </w:t>
      </w:r>
      <w:r w:rsidR="00B7499E" w:rsidRPr="00B257FB">
        <w:rPr>
          <w:rFonts w:asciiTheme="minorHAnsi" w:hAnsiTheme="minorHAnsi" w:cstheme="minorBidi"/>
          <w:sz w:val="22"/>
          <w:szCs w:val="22"/>
        </w:rPr>
        <w:t>the Bank’s</w:t>
      </w:r>
      <w:r w:rsidR="009219F8" w:rsidRPr="00B257FB">
        <w:rPr>
          <w:rFonts w:asciiTheme="minorHAnsi" w:hAnsiTheme="minorHAnsi" w:cstheme="minorBidi"/>
          <w:sz w:val="22"/>
          <w:szCs w:val="22"/>
        </w:rPr>
        <w:t xml:space="preserve"> Directive “Addressing Risks and Impacts on Disadvantaged or Vulnerable Individuals or Groups</w:t>
      </w:r>
      <w:r w:rsidR="001529AB" w:rsidRPr="00B257FB">
        <w:rPr>
          <w:rFonts w:asciiTheme="minorHAnsi" w:hAnsiTheme="minorHAnsi" w:cstheme="minorBidi"/>
          <w:sz w:val="22"/>
          <w:szCs w:val="22"/>
        </w:rPr>
        <w:t>”</w:t>
      </w:r>
      <w:r w:rsidR="00A22492" w:rsidRPr="00B257FB">
        <w:rPr>
          <w:rFonts w:asciiTheme="minorHAnsi" w:hAnsiTheme="minorHAnsi" w:cstheme="minorBidi"/>
          <w:sz w:val="22"/>
          <w:szCs w:val="22"/>
        </w:rPr>
        <w:t xml:space="preserve">, </w:t>
      </w:r>
      <w:r w:rsidR="00920315" w:rsidRPr="00B257FB">
        <w:rPr>
          <w:rFonts w:asciiTheme="minorHAnsi" w:hAnsiTheme="minorHAnsi" w:cstheme="minorBidi"/>
          <w:sz w:val="22"/>
          <w:szCs w:val="22"/>
        </w:rPr>
        <w:t xml:space="preserve">OHCHR recommends that </w:t>
      </w:r>
      <w:r w:rsidR="00623335" w:rsidRPr="00B257FB">
        <w:rPr>
          <w:rFonts w:asciiTheme="minorHAnsi" w:hAnsiTheme="minorHAnsi" w:cstheme="minorBidi"/>
          <w:sz w:val="22"/>
          <w:szCs w:val="22"/>
        </w:rPr>
        <w:t>the FCV strategy</w:t>
      </w:r>
      <w:r w:rsidR="00330CDC" w:rsidRPr="00B257FB">
        <w:rPr>
          <w:rFonts w:asciiTheme="minorHAnsi" w:hAnsiTheme="minorHAnsi" w:cstheme="minorBidi"/>
          <w:sz w:val="22"/>
          <w:szCs w:val="22"/>
        </w:rPr>
        <w:t xml:space="preserve"> include</w:t>
      </w:r>
      <w:r w:rsidR="00E7094E" w:rsidRPr="00B257FB">
        <w:rPr>
          <w:rFonts w:asciiTheme="minorHAnsi" w:hAnsiTheme="minorHAnsi" w:cstheme="minorBidi"/>
          <w:sz w:val="22"/>
          <w:szCs w:val="22"/>
        </w:rPr>
        <w:t xml:space="preserve"> specific reference to </w:t>
      </w:r>
      <w:r w:rsidR="00DF0A56" w:rsidRPr="00B257FB">
        <w:rPr>
          <w:rFonts w:asciiTheme="minorHAnsi" w:hAnsiTheme="minorHAnsi" w:cstheme="minorBidi"/>
          <w:sz w:val="22"/>
          <w:szCs w:val="22"/>
        </w:rPr>
        <w:t xml:space="preserve">the </w:t>
      </w:r>
      <w:r w:rsidR="00B7499E" w:rsidRPr="00B257FB">
        <w:rPr>
          <w:rFonts w:asciiTheme="minorHAnsi" w:hAnsiTheme="minorHAnsi" w:cstheme="minorBidi"/>
          <w:sz w:val="22"/>
          <w:szCs w:val="22"/>
        </w:rPr>
        <w:t>challenges faced by</w:t>
      </w:r>
      <w:r w:rsidR="00FE596C" w:rsidRPr="00B257FB">
        <w:rPr>
          <w:rFonts w:asciiTheme="minorHAnsi" w:hAnsiTheme="minorHAnsi" w:cstheme="minorBidi"/>
          <w:sz w:val="22"/>
          <w:szCs w:val="22"/>
        </w:rPr>
        <w:t xml:space="preserve"> LGBTI people as well as</w:t>
      </w:r>
      <w:r w:rsidR="00330CDC" w:rsidRPr="00B257FB">
        <w:rPr>
          <w:rFonts w:asciiTheme="minorHAnsi" w:hAnsiTheme="minorHAnsi" w:cstheme="minorBidi"/>
          <w:sz w:val="22"/>
          <w:szCs w:val="22"/>
        </w:rPr>
        <w:t xml:space="preserve"> support for</w:t>
      </w:r>
      <w:r w:rsidR="00043198" w:rsidRPr="00B257FB">
        <w:rPr>
          <w:rFonts w:asciiTheme="minorHAnsi" w:hAnsiTheme="minorHAnsi" w:cstheme="minorBidi"/>
          <w:sz w:val="22"/>
          <w:szCs w:val="22"/>
        </w:rPr>
        <w:t xml:space="preserve"> LGBTI-focused and women-led organisations.</w:t>
      </w:r>
      <w:r w:rsidR="00330CDC" w:rsidRPr="00B257FB">
        <w:rPr>
          <w:rFonts w:asciiTheme="minorHAnsi" w:hAnsiTheme="minorHAnsi" w:cstheme="minorBidi"/>
          <w:sz w:val="22"/>
          <w:szCs w:val="22"/>
        </w:rPr>
        <w:t xml:space="preserve"> </w:t>
      </w:r>
      <w:r w:rsidR="00EE7E46" w:rsidRPr="00B257FB">
        <w:rPr>
          <w:rFonts w:asciiTheme="minorHAnsi" w:hAnsiTheme="minorHAnsi" w:cstheme="minorBidi"/>
          <w:sz w:val="22"/>
          <w:szCs w:val="22"/>
        </w:rPr>
        <w:t>The work provide</w:t>
      </w:r>
      <w:r w:rsidR="00646F3F">
        <w:rPr>
          <w:rFonts w:asciiTheme="minorHAnsi" w:hAnsiTheme="minorHAnsi" w:cstheme="minorBidi"/>
          <w:sz w:val="22"/>
          <w:szCs w:val="22"/>
        </w:rPr>
        <w:t>d</w:t>
      </w:r>
      <w:r w:rsidR="00B257FB">
        <w:rPr>
          <w:rFonts w:asciiTheme="minorHAnsi" w:hAnsiTheme="minorHAnsi" w:cstheme="minorBidi"/>
          <w:sz w:val="22"/>
          <w:szCs w:val="22"/>
        </w:rPr>
        <w:t xml:space="preserve"> by the latter organisations</w:t>
      </w:r>
      <w:r w:rsidR="00EE7E46" w:rsidRPr="00B257FB">
        <w:rPr>
          <w:rFonts w:asciiTheme="minorHAnsi" w:hAnsiTheme="minorHAnsi" w:cstheme="minorBidi"/>
          <w:sz w:val="22"/>
          <w:szCs w:val="22"/>
        </w:rPr>
        <w:t xml:space="preserve"> is </w:t>
      </w:r>
      <w:r w:rsidR="005A4FEF" w:rsidRPr="00B257FB">
        <w:rPr>
          <w:rFonts w:asciiTheme="minorHAnsi" w:hAnsiTheme="minorHAnsi" w:cstheme="minorBidi"/>
          <w:sz w:val="22"/>
          <w:szCs w:val="22"/>
        </w:rPr>
        <w:t xml:space="preserve">vital, yet they </w:t>
      </w:r>
      <w:r w:rsidR="00605057" w:rsidRPr="00B257FB">
        <w:rPr>
          <w:rFonts w:asciiTheme="minorHAnsi" w:hAnsiTheme="minorHAnsi" w:cstheme="minorBidi"/>
          <w:sz w:val="22"/>
          <w:szCs w:val="22"/>
        </w:rPr>
        <w:t xml:space="preserve">often </w:t>
      </w:r>
      <w:r w:rsidR="00C80489" w:rsidRPr="00B257FB">
        <w:rPr>
          <w:rFonts w:asciiTheme="minorHAnsi" w:hAnsiTheme="minorHAnsi" w:cstheme="minorBidi"/>
          <w:sz w:val="22"/>
          <w:szCs w:val="22"/>
        </w:rPr>
        <w:t xml:space="preserve">struggle to receive </w:t>
      </w:r>
      <w:r w:rsidR="004F067F" w:rsidRPr="00B257FB">
        <w:rPr>
          <w:rFonts w:asciiTheme="minorHAnsi" w:hAnsiTheme="minorHAnsi" w:cstheme="minorBidi"/>
          <w:sz w:val="22"/>
          <w:szCs w:val="22"/>
        </w:rPr>
        <w:t>funding, recognition and funding.</w:t>
      </w:r>
      <w:r w:rsidR="00EE7E46" w:rsidRPr="00B257FB">
        <w:rPr>
          <w:rFonts w:asciiTheme="minorHAnsi" w:hAnsiTheme="minorHAnsi" w:cstheme="minorBidi"/>
          <w:sz w:val="22"/>
          <w:szCs w:val="22"/>
        </w:rPr>
        <w:t xml:space="preserve"> </w:t>
      </w:r>
    </w:p>
    <w:p w14:paraId="32AD69FB" w14:textId="661CAC57" w:rsidR="00F90C25" w:rsidRDefault="00F90C25" w:rsidP="00E4632B">
      <w:pPr>
        <w:pStyle w:val="NormalWeb"/>
        <w:rPr>
          <w:rFonts w:asciiTheme="minorHAnsi" w:hAnsiTheme="minorHAnsi" w:cstheme="minorBidi"/>
          <w:sz w:val="22"/>
          <w:szCs w:val="22"/>
        </w:rPr>
      </w:pPr>
    </w:p>
    <w:p w14:paraId="03D40FD8" w14:textId="7C492F85" w:rsidR="00F5633B" w:rsidRPr="00606A5C" w:rsidRDefault="00910F52" w:rsidP="00E4632B">
      <w:pPr>
        <w:pStyle w:val="NormalWeb"/>
        <w:numPr>
          <w:ilvl w:val="0"/>
          <w:numId w:val="1"/>
        </w:numPr>
        <w:ind w:left="360"/>
        <w:rPr>
          <w:rFonts w:asciiTheme="minorHAnsi" w:hAnsiTheme="minorHAnsi" w:cstheme="minorBidi"/>
          <w:sz w:val="22"/>
          <w:szCs w:val="22"/>
        </w:rPr>
      </w:pPr>
      <w:r>
        <w:rPr>
          <w:rFonts w:asciiTheme="minorHAnsi" w:hAnsiTheme="minorHAnsi" w:cstheme="minorBidi"/>
          <w:sz w:val="22"/>
          <w:szCs w:val="22"/>
        </w:rPr>
        <w:lastRenderedPageBreak/>
        <w:t>OHCHR</w:t>
      </w:r>
      <w:r w:rsidR="00B7499E">
        <w:rPr>
          <w:rFonts w:asciiTheme="minorHAnsi" w:hAnsiTheme="minorHAnsi" w:cstheme="minorBidi"/>
          <w:sz w:val="22"/>
          <w:szCs w:val="22"/>
        </w:rPr>
        <w:t xml:space="preserve"> note</w:t>
      </w:r>
      <w:r>
        <w:rPr>
          <w:rFonts w:asciiTheme="minorHAnsi" w:hAnsiTheme="minorHAnsi" w:cstheme="minorBidi"/>
          <w:sz w:val="22"/>
          <w:szCs w:val="22"/>
        </w:rPr>
        <w:t>s</w:t>
      </w:r>
      <w:r w:rsidR="00B7499E">
        <w:rPr>
          <w:rFonts w:asciiTheme="minorHAnsi" w:hAnsiTheme="minorHAnsi" w:cstheme="minorBidi"/>
          <w:sz w:val="22"/>
          <w:szCs w:val="22"/>
        </w:rPr>
        <w:t xml:space="preserve"> the</w:t>
      </w:r>
      <w:r w:rsidR="0033608D" w:rsidRPr="00606A5C">
        <w:rPr>
          <w:rFonts w:asciiTheme="minorHAnsi" w:hAnsiTheme="minorHAnsi" w:cstheme="minorBidi"/>
          <w:sz w:val="22"/>
          <w:szCs w:val="22"/>
        </w:rPr>
        <w:t xml:space="preserve"> </w:t>
      </w:r>
      <w:r w:rsidR="00C10FB8" w:rsidRPr="00606A5C">
        <w:rPr>
          <w:rFonts w:asciiTheme="minorHAnsi" w:hAnsiTheme="minorHAnsi" w:cstheme="minorBidi"/>
          <w:sz w:val="22"/>
          <w:szCs w:val="22"/>
        </w:rPr>
        <w:t xml:space="preserve">recommendations </w:t>
      </w:r>
      <w:r w:rsidR="00B7499E">
        <w:rPr>
          <w:rFonts w:asciiTheme="minorHAnsi" w:hAnsiTheme="minorHAnsi" w:cstheme="minorBidi"/>
          <w:sz w:val="22"/>
          <w:szCs w:val="22"/>
        </w:rPr>
        <w:t>of</w:t>
      </w:r>
      <w:r w:rsidR="0033608D" w:rsidRPr="00606A5C">
        <w:rPr>
          <w:rFonts w:asciiTheme="minorHAnsi" w:hAnsiTheme="minorHAnsi" w:cstheme="minorBidi"/>
          <w:sz w:val="22"/>
          <w:szCs w:val="22"/>
        </w:rPr>
        <w:t xml:space="preserve"> the Bank’s</w:t>
      </w:r>
      <w:r w:rsidR="00C10FB8" w:rsidRPr="00606A5C">
        <w:rPr>
          <w:rFonts w:asciiTheme="minorHAnsi" w:hAnsiTheme="minorHAnsi" w:cstheme="minorBidi"/>
          <w:sz w:val="22"/>
          <w:szCs w:val="22"/>
        </w:rPr>
        <w:t xml:space="preserve"> Global Gender-Based Violence Task Force</w:t>
      </w:r>
      <w:r w:rsidR="00B7499E">
        <w:rPr>
          <w:rFonts w:asciiTheme="minorHAnsi" w:hAnsiTheme="minorHAnsi" w:cstheme="minorBidi"/>
          <w:sz w:val="22"/>
          <w:szCs w:val="22"/>
        </w:rPr>
        <w:t xml:space="preserve"> on</w:t>
      </w:r>
      <w:r w:rsidR="009B10A7" w:rsidRPr="00606A5C">
        <w:rPr>
          <w:rFonts w:asciiTheme="minorHAnsi" w:hAnsiTheme="minorHAnsi" w:cstheme="minorBidi"/>
          <w:sz w:val="22"/>
          <w:szCs w:val="22"/>
        </w:rPr>
        <w:t xml:space="preserve"> th</w:t>
      </w:r>
      <w:r w:rsidR="00B32FB7" w:rsidRPr="00606A5C">
        <w:rPr>
          <w:rFonts w:asciiTheme="minorHAnsi" w:hAnsiTheme="minorHAnsi" w:cstheme="minorBidi"/>
          <w:sz w:val="22"/>
          <w:szCs w:val="22"/>
        </w:rPr>
        <w:t xml:space="preserve">e </w:t>
      </w:r>
      <w:r w:rsidR="0053125D" w:rsidRPr="00606A5C">
        <w:rPr>
          <w:rFonts w:asciiTheme="minorHAnsi" w:hAnsiTheme="minorHAnsi" w:cstheme="minorBidi"/>
          <w:sz w:val="22"/>
          <w:szCs w:val="22"/>
        </w:rPr>
        <w:t>link</w:t>
      </w:r>
      <w:r w:rsidR="00B7499E">
        <w:rPr>
          <w:rFonts w:asciiTheme="minorHAnsi" w:hAnsiTheme="minorHAnsi" w:cstheme="minorBidi"/>
          <w:sz w:val="22"/>
          <w:szCs w:val="22"/>
        </w:rPr>
        <w:t>s</w:t>
      </w:r>
      <w:r w:rsidR="0053125D" w:rsidRPr="00606A5C">
        <w:rPr>
          <w:rFonts w:asciiTheme="minorHAnsi" w:hAnsiTheme="minorHAnsi" w:cstheme="minorBidi"/>
          <w:sz w:val="22"/>
          <w:szCs w:val="22"/>
        </w:rPr>
        <w:t xml:space="preserve"> between sexual violence and armed conflict</w:t>
      </w:r>
      <w:r w:rsidR="00B7499E">
        <w:rPr>
          <w:rFonts w:asciiTheme="minorHAnsi" w:hAnsiTheme="minorHAnsi" w:cstheme="minorBidi"/>
          <w:sz w:val="22"/>
          <w:szCs w:val="22"/>
        </w:rPr>
        <w:t xml:space="preserve"> and</w:t>
      </w:r>
      <w:r w:rsidR="005F462A" w:rsidRPr="00606A5C">
        <w:rPr>
          <w:rFonts w:asciiTheme="minorHAnsi" w:hAnsiTheme="minorHAnsi" w:cstheme="minorBidi"/>
          <w:sz w:val="22"/>
          <w:szCs w:val="22"/>
        </w:rPr>
        <w:t xml:space="preserve"> recommend that</w:t>
      </w:r>
      <w:r w:rsidR="00FE50B3" w:rsidRPr="00606A5C">
        <w:rPr>
          <w:rFonts w:asciiTheme="minorHAnsi" w:hAnsiTheme="minorHAnsi" w:cstheme="minorBidi"/>
          <w:sz w:val="22"/>
          <w:szCs w:val="22"/>
        </w:rPr>
        <w:t xml:space="preserve"> tackling sexual violence </w:t>
      </w:r>
      <w:r w:rsidR="00B7499E">
        <w:rPr>
          <w:rFonts w:asciiTheme="minorHAnsi" w:hAnsiTheme="minorHAnsi" w:cstheme="minorBidi"/>
          <w:sz w:val="22"/>
          <w:szCs w:val="22"/>
        </w:rPr>
        <w:t>be</w:t>
      </w:r>
      <w:r w:rsidR="00FE50B3" w:rsidRPr="00606A5C">
        <w:rPr>
          <w:rFonts w:asciiTheme="minorHAnsi" w:hAnsiTheme="minorHAnsi" w:cstheme="minorBidi"/>
          <w:sz w:val="22"/>
          <w:szCs w:val="22"/>
        </w:rPr>
        <w:t xml:space="preserve"> included </w:t>
      </w:r>
      <w:r w:rsidR="0053125D" w:rsidRPr="00606A5C">
        <w:rPr>
          <w:rFonts w:asciiTheme="minorHAnsi" w:hAnsiTheme="minorHAnsi" w:cstheme="minorBidi"/>
          <w:sz w:val="22"/>
          <w:szCs w:val="22"/>
        </w:rPr>
        <w:t>in</w:t>
      </w:r>
      <w:r w:rsidR="005F462A" w:rsidRPr="00606A5C">
        <w:rPr>
          <w:rFonts w:asciiTheme="minorHAnsi" w:hAnsiTheme="minorHAnsi" w:cstheme="minorBidi"/>
          <w:sz w:val="22"/>
          <w:szCs w:val="22"/>
        </w:rPr>
        <w:t xml:space="preserve"> </w:t>
      </w:r>
      <w:r w:rsidR="00112455" w:rsidRPr="00606A5C">
        <w:rPr>
          <w:rFonts w:asciiTheme="minorHAnsi" w:hAnsiTheme="minorHAnsi" w:cstheme="minorBidi"/>
          <w:sz w:val="22"/>
          <w:szCs w:val="22"/>
        </w:rPr>
        <w:t>references to preventing co</w:t>
      </w:r>
      <w:r w:rsidR="00FE50B3" w:rsidRPr="00606A5C">
        <w:rPr>
          <w:rFonts w:asciiTheme="minorHAnsi" w:hAnsiTheme="minorHAnsi" w:cstheme="minorBidi"/>
          <w:sz w:val="22"/>
          <w:szCs w:val="22"/>
        </w:rPr>
        <w:t>nflict and interpersonal violence</w:t>
      </w:r>
      <w:r w:rsidR="00B257FB">
        <w:rPr>
          <w:rFonts w:asciiTheme="minorHAnsi" w:hAnsiTheme="minorHAnsi" w:cstheme="minorBidi"/>
          <w:sz w:val="22"/>
          <w:szCs w:val="22"/>
        </w:rPr>
        <w:t>.</w:t>
      </w:r>
      <w:r w:rsidR="00CF7C84">
        <w:rPr>
          <w:rStyle w:val="FootnoteReference"/>
          <w:rFonts w:asciiTheme="minorHAnsi" w:hAnsiTheme="minorHAnsi" w:cstheme="minorBidi"/>
          <w:sz w:val="22"/>
          <w:szCs w:val="22"/>
        </w:rPr>
        <w:footnoteReference w:id="14"/>
      </w:r>
      <w:r w:rsidR="002F61AF" w:rsidRPr="00606A5C">
        <w:rPr>
          <w:rFonts w:asciiTheme="minorHAnsi" w:hAnsiTheme="minorHAnsi" w:cstheme="minorBidi"/>
          <w:sz w:val="22"/>
          <w:szCs w:val="22"/>
        </w:rPr>
        <w:t xml:space="preserve"> </w:t>
      </w:r>
      <w:r w:rsidR="00B257FB">
        <w:rPr>
          <w:rFonts w:asciiTheme="minorHAnsi" w:hAnsiTheme="minorHAnsi" w:cstheme="minorBidi"/>
          <w:sz w:val="22"/>
          <w:szCs w:val="22"/>
        </w:rPr>
        <w:t>OHCHR</w:t>
      </w:r>
      <w:r w:rsidR="005A01EC" w:rsidRPr="00606A5C">
        <w:rPr>
          <w:rFonts w:asciiTheme="minorHAnsi" w:hAnsiTheme="minorHAnsi" w:cstheme="minorBidi"/>
          <w:sz w:val="22"/>
          <w:szCs w:val="22"/>
        </w:rPr>
        <w:t xml:space="preserve"> </w:t>
      </w:r>
      <w:r w:rsidR="00C42D49">
        <w:rPr>
          <w:rFonts w:asciiTheme="minorHAnsi" w:hAnsiTheme="minorHAnsi" w:cstheme="minorBidi"/>
          <w:sz w:val="22"/>
          <w:szCs w:val="22"/>
        </w:rPr>
        <w:t>disagrees with the contention in para</w:t>
      </w:r>
      <w:r w:rsidR="006217AC">
        <w:rPr>
          <w:rFonts w:asciiTheme="minorHAnsi" w:hAnsiTheme="minorHAnsi" w:cstheme="minorBidi"/>
          <w:sz w:val="22"/>
          <w:szCs w:val="22"/>
        </w:rPr>
        <w:t>.</w:t>
      </w:r>
      <w:r w:rsidR="00C42D49">
        <w:rPr>
          <w:rFonts w:asciiTheme="minorHAnsi" w:hAnsiTheme="minorHAnsi" w:cstheme="minorBidi"/>
          <w:sz w:val="22"/>
          <w:szCs w:val="22"/>
        </w:rPr>
        <w:t xml:space="preserve"> </w:t>
      </w:r>
      <w:proofErr w:type="gramStart"/>
      <w:r w:rsidR="00C42D49">
        <w:rPr>
          <w:rFonts w:asciiTheme="minorHAnsi" w:hAnsiTheme="minorHAnsi" w:cstheme="minorBidi"/>
          <w:sz w:val="22"/>
          <w:szCs w:val="22"/>
        </w:rPr>
        <w:t>72</w:t>
      </w:r>
      <w:proofErr w:type="gramEnd"/>
      <w:r w:rsidR="00C42D49">
        <w:rPr>
          <w:rFonts w:asciiTheme="minorHAnsi" w:hAnsiTheme="minorHAnsi" w:cstheme="minorBidi"/>
          <w:sz w:val="22"/>
          <w:szCs w:val="22"/>
        </w:rPr>
        <w:t xml:space="preserve"> of the draft strategy that, with exceptions, GBV “is addressed by reducing violence overall”, and </w:t>
      </w:r>
      <w:r w:rsidR="005A01EC" w:rsidRPr="00606A5C">
        <w:rPr>
          <w:rFonts w:asciiTheme="minorHAnsi" w:hAnsiTheme="minorHAnsi" w:cstheme="minorBidi"/>
          <w:sz w:val="22"/>
          <w:szCs w:val="22"/>
        </w:rPr>
        <w:t xml:space="preserve">recommends that the FCV strategy more </w:t>
      </w:r>
      <w:r w:rsidR="00B257FB">
        <w:rPr>
          <w:rFonts w:asciiTheme="minorHAnsi" w:hAnsiTheme="minorHAnsi" w:cstheme="minorBidi"/>
          <w:sz w:val="22"/>
          <w:szCs w:val="22"/>
        </w:rPr>
        <w:t>explicitly recognise</w:t>
      </w:r>
      <w:r w:rsidR="0006329E" w:rsidRPr="00606A5C">
        <w:rPr>
          <w:rFonts w:asciiTheme="minorHAnsi" w:hAnsiTheme="minorHAnsi" w:cstheme="minorBidi"/>
          <w:sz w:val="22"/>
          <w:szCs w:val="22"/>
        </w:rPr>
        <w:t xml:space="preserve"> the importance of addressing the root causes of GBV.</w:t>
      </w:r>
      <w:r w:rsidR="00F5633B" w:rsidRPr="00606A5C">
        <w:rPr>
          <w:rFonts w:asciiTheme="minorHAnsi" w:hAnsiTheme="minorHAnsi" w:cstheme="minorHAnsi"/>
          <w:sz w:val="22"/>
          <w:szCs w:val="22"/>
        </w:rPr>
        <w:t xml:space="preserve"> </w:t>
      </w:r>
      <w:r w:rsidR="00992E19" w:rsidRPr="00606A5C">
        <w:rPr>
          <w:rFonts w:asciiTheme="minorHAnsi" w:hAnsiTheme="minorHAnsi" w:cstheme="minorHAnsi"/>
          <w:sz w:val="22"/>
          <w:szCs w:val="22"/>
        </w:rPr>
        <w:t xml:space="preserve">Specific </w:t>
      </w:r>
      <w:r w:rsidR="00BD1EFC">
        <w:rPr>
          <w:rFonts w:asciiTheme="minorHAnsi" w:hAnsiTheme="minorHAnsi" w:cstheme="minorHAnsi"/>
          <w:sz w:val="22"/>
          <w:szCs w:val="22"/>
        </w:rPr>
        <w:t>language</w:t>
      </w:r>
      <w:r w:rsidR="000228CB" w:rsidRPr="00606A5C">
        <w:rPr>
          <w:rFonts w:asciiTheme="minorHAnsi" w:hAnsiTheme="minorHAnsi" w:cstheme="minorHAnsi"/>
          <w:sz w:val="22"/>
          <w:szCs w:val="22"/>
        </w:rPr>
        <w:t xml:space="preserve"> suggestions</w:t>
      </w:r>
      <w:r w:rsidR="00992E19" w:rsidRPr="00606A5C">
        <w:rPr>
          <w:rFonts w:asciiTheme="minorHAnsi" w:hAnsiTheme="minorHAnsi" w:cstheme="minorHAnsi"/>
          <w:sz w:val="22"/>
          <w:szCs w:val="22"/>
        </w:rPr>
        <w:t xml:space="preserve"> are included in OHCHR’s online submission. </w:t>
      </w:r>
      <w:r w:rsidR="00B7499E">
        <w:rPr>
          <w:rFonts w:asciiTheme="minorHAnsi" w:hAnsiTheme="minorHAnsi" w:cstheme="minorBidi"/>
          <w:sz w:val="22"/>
          <w:szCs w:val="22"/>
        </w:rPr>
        <w:t>Finally, consistent with the Bank’s Gender Strategy (page 56), we</w:t>
      </w:r>
      <w:r w:rsidR="008B7A39">
        <w:rPr>
          <w:rFonts w:asciiTheme="minorHAnsi" w:hAnsiTheme="minorHAnsi" w:cstheme="minorBidi"/>
          <w:sz w:val="22"/>
          <w:szCs w:val="22"/>
        </w:rPr>
        <w:t xml:space="preserve"> would</w:t>
      </w:r>
      <w:r w:rsidR="00B7499E">
        <w:rPr>
          <w:rFonts w:asciiTheme="minorHAnsi" w:hAnsiTheme="minorHAnsi" w:cstheme="minorBidi"/>
          <w:sz w:val="22"/>
          <w:szCs w:val="22"/>
        </w:rPr>
        <w:t xml:space="preserve"> suggest that the draft </w:t>
      </w:r>
      <w:r w:rsidR="00C42D49">
        <w:rPr>
          <w:rFonts w:asciiTheme="minorHAnsi" w:hAnsiTheme="minorHAnsi" w:cstheme="minorBidi"/>
          <w:sz w:val="22"/>
          <w:szCs w:val="22"/>
        </w:rPr>
        <w:t xml:space="preserve">FCV </w:t>
      </w:r>
      <w:r w:rsidR="00B7499E">
        <w:rPr>
          <w:rFonts w:asciiTheme="minorHAnsi" w:hAnsiTheme="minorHAnsi" w:cstheme="minorBidi"/>
          <w:sz w:val="22"/>
          <w:szCs w:val="22"/>
        </w:rPr>
        <w:t>strategy recognise</w:t>
      </w:r>
      <w:r w:rsidR="00D5564A" w:rsidRPr="00606A5C">
        <w:rPr>
          <w:rFonts w:asciiTheme="minorHAnsi" w:hAnsiTheme="minorHAnsi" w:cstheme="minorBidi"/>
          <w:sz w:val="22"/>
          <w:szCs w:val="22"/>
        </w:rPr>
        <w:t xml:space="preserve"> the importance of addressing child marriage, the negative impacts of which are </w:t>
      </w:r>
      <w:r w:rsidR="00C158EE" w:rsidRPr="00606A5C">
        <w:rPr>
          <w:rFonts w:asciiTheme="minorHAnsi" w:hAnsiTheme="minorHAnsi" w:cstheme="minorBidi"/>
          <w:sz w:val="22"/>
          <w:szCs w:val="22"/>
        </w:rPr>
        <w:t>intensified</w:t>
      </w:r>
      <w:r w:rsidR="00D5564A" w:rsidRPr="00606A5C">
        <w:rPr>
          <w:rFonts w:asciiTheme="minorHAnsi" w:hAnsiTheme="minorHAnsi" w:cstheme="minorBidi"/>
          <w:sz w:val="22"/>
          <w:szCs w:val="22"/>
        </w:rPr>
        <w:t xml:space="preserve"> in FCV settings</w:t>
      </w:r>
      <w:r w:rsidR="00B7499E">
        <w:rPr>
          <w:rFonts w:asciiTheme="minorHAnsi" w:hAnsiTheme="minorHAnsi" w:cstheme="minorBidi"/>
          <w:sz w:val="22"/>
          <w:szCs w:val="22"/>
        </w:rPr>
        <w:t>.</w:t>
      </w:r>
    </w:p>
    <w:p w14:paraId="4FF69921" w14:textId="77777777" w:rsidR="00496350" w:rsidRPr="000D581F" w:rsidRDefault="00496350" w:rsidP="008E1676">
      <w:pPr>
        <w:pStyle w:val="NormalWeb"/>
        <w:rPr>
          <w:rFonts w:asciiTheme="minorHAnsi" w:hAnsiTheme="minorHAnsi" w:cstheme="minorHAnsi"/>
          <w:sz w:val="22"/>
          <w:szCs w:val="22"/>
        </w:rPr>
      </w:pPr>
    </w:p>
    <w:p w14:paraId="67A6BB9F" w14:textId="77777777" w:rsidR="00F6123B" w:rsidRPr="00B257FB" w:rsidRDefault="00F6123B" w:rsidP="00F6123B">
      <w:pPr>
        <w:pStyle w:val="NormalWeb"/>
        <w:rPr>
          <w:rFonts w:ascii="Calibri" w:hAnsi="Calibri" w:cs="Calibri"/>
          <w:sz w:val="22"/>
          <w:szCs w:val="22"/>
          <w:u w:val="single"/>
        </w:rPr>
      </w:pPr>
      <w:r w:rsidRPr="00B257FB">
        <w:rPr>
          <w:rFonts w:ascii="Calibri" w:hAnsi="Calibri" w:cs="Calibri"/>
          <w:sz w:val="22"/>
          <w:szCs w:val="22"/>
          <w:u w:val="single"/>
        </w:rPr>
        <w:t>Integrating RRAs in SCDs</w:t>
      </w:r>
    </w:p>
    <w:p w14:paraId="0278B0C3" w14:textId="77777777" w:rsidR="00F6123B" w:rsidRPr="00D927D4" w:rsidRDefault="00F6123B" w:rsidP="00F6123B">
      <w:pPr>
        <w:pStyle w:val="ListParagraph"/>
        <w:rPr>
          <w:rFonts w:asciiTheme="minorHAnsi" w:hAnsiTheme="minorHAnsi" w:cstheme="minorHAnsi"/>
          <w:highlight w:val="yellow"/>
        </w:rPr>
      </w:pPr>
    </w:p>
    <w:p w14:paraId="1C6E890F" w14:textId="486A5417" w:rsidR="00B257FB" w:rsidRPr="00492477" w:rsidRDefault="00F6123B" w:rsidP="00492477">
      <w:pPr>
        <w:pStyle w:val="NormalWeb"/>
        <w:numPr>
          <w:ilvl w:val="0"/>
          <w:numId w:val="1"/>
        </w:numPr>
        <w:ind w:left="360"/>
        <w:rPr>
          <w:rFonts w:ascii="Calibri" w:hAnsi="Calibri" w:cs="Calibri"/>
          <w:sz w:val="22"/>
          <w:szCs w:val="22"/>
        </w:rPr>
      </w:pPr>
      <w:proofErr w:type="gramStart"/>
      <w:r w:rsidRPr="00B257FB">
        <w:rPr>
          <w:rFonts w:asciiTheme="minorHAnsi" w:hAnsiTheme="minorHAnsi" w:cstheme="minorHAnsi"/>
          <w:sz w:val="22"/>
          <w:szCs w:val="22"/>
        </w:rPr>
        <w:t xml:space="preserve">OHCHR welcomes the Bank’s intention to carry out </w:t>
      </w:r>
      <w:r w:rsidRPr="00B257FB">
        <w:rPr>
          <w:rFonts w:asciiTheme="minorHAnsi" w:eastAsia="Times New Roman" w:hAnsiTheme="minorHAnsi" w:cstheme="minorHAnsi"/>
          <w:sz w:val="22"/>
          <w:szCs w:val="22"/>
          <w:lang w:val="en-US"/>
        </w:rPr>
        <w:t>fragility assessments (or Risk and Resilience Assessments, RRAs) systematically in FCV settings, and the recognition in the Introduction and Framework Sections of the draft strategy that the analysis and recommendations from RRAs should be integrated within Country Partnership Frameworks (CPFs) and Systematic Country Diagnostics (SCDs) (paras</w:t>
      </w:r>
      <w:r w:rsidR="00D46DEA">
        <w:rPr>
          <w:rFonts w:asciiTheme="minorHAnsi" w:eastAsia="Times New Roman" w:hAnsiTheme="minorHAnsi" w:cstheme="minorHAnsi"/>
          <w:sz w:val="22"/>
          <w:szCs w:val="22"/>
          <w:lang w:val="en-US"/>
        </w:rPr>
        <w:t>.</w:t>
      </w:r>
      <w:r w:rsidRPr="00B257FB">
        <w:rPr>
          <w:rFonts w:asciiTheme="minorHAnsi" w:eastAsia="Times New Roman" w:hAnsiTheme="minorHAnsi" w:cstheme="minorHAnsi"/>
          <w:sz w:val="22"/>
          <w:szCs w:val="22"/>
          <w:lang w:val="en-US"/>
        </w:rPr>
        <w:t xml:space="preserve"> 20, 42,and recommendations 6-7 on </w:t>
      </w:r>
      <w:proofErr w:type="spellStart"/>
      <w:r w:rsidRPr="00B257FB">
        <w:rPr>
          <w:rFonts w:asciiTheme="minorHAnsi" w:eastAsia="Times New Roman" w:hAnsiTheme="minorHAnsi" w:cstheme="minorHAnsi"/>
          <w:sz w:val="22"/>
          <w:szCs w:val="22"/>
          <w:lang w:val="en-US"/>
        </w:rPr>
        <w:t>p.ix</w:t>
      </w:r>
      <w:proofErr w:type="spellEnd"/>
      <w:r w:rsidRPr="00B257FB">
        <w:rPr>
          <w:rFonts w:asciiTheme="minorHAnsi" w:eastAsia="Times New Roman" w:hAnsiTheme="minorHAnsi" w:cstheme="minorHAnsi"/>
          <w:sz w:val="22"/>
          <w:szCs w:val="22"/>
          <w:lang w:val="en-US"/>
        </w:rPr>
        <w:t xml:space="preserve"> include integrating RRA results into CPFs).</w:t>
      </w:r>
      <w:proofErr w:type="gramEnd"/>
      <w:r w:rsidRPr="00B257FB">
        <w:rPr>
          <w:rFonts w:asciiTheme="minorHAnsi" w:eastAsia="Times New Roman" w:hAnsiTheme="minorHAnsi" w:cstheme="minorHAnsi"/>
          <w:sz w:val="22"/>
          <w:szCs w:val="22"/>
          <w:lang w:val="en-US"/>
        </w:rPr>
        <w:t xml:space="preserve"> </w:t>
      </w:r>
      <w:r w:rsidR="00B06A8C" w:rsidRPr="00B257FB">
        <w:rPr>
          <w:rFonts w:asciiTheme="minorHAnsi" w:eastAsia="Times New Roman" w:hAnsiTheme="minorHAnsi" w:cstheme="minorHAnsi"/>
          <w:sz w:val="22"/>
          <w:szCs w:val="22"/>
          <w:lang w:val="en-US"/>
        </w:rPr>
        <w:t>However,</w:t>
      </w:r>
      <w:r w:rsidRPr="00B257FB">
        <w:rPr>
          <w:rFonts w:asciiTheme="minorHAnsi" w:eastAsia="Times New Roman" w:hAnsiTheme="minorHAnsi" w:cstheme="minorHAnsi"/>
          <w:sz w:val="22"/>
          <w:szCs w:val="22"/>
          <w:lang w:val="en-US"/>
        </w:rPr>
        <w:t xml:space="preserve"> </w:t>
      </w:r>
      <w:r w:rsidR="00323A1C">
        <w:rPr>
          <w:rFonts w:asciiTheme="minorHAnsi" w:eastAsia="Times New Roman" w:hAnsiTheme="minorHAnsi" w:cstheme="minorHAnsi"/>
          <w:sz w:val="22"/>
          <w:szCs w:val="22"/>
          <w:lang w:val="en-US"/>
        </w:rPr>
        <w:t>OHCHR</w:t>
      </w:r>
      <w:r w:rsidRPr="00B257FB">
        <w:rPr>
          <w:rFonts w:asciiTheme="minorHAnsi" w:eastAsia="Times New Roman" w:hAnsiTheme="minorHAnsi" w:cstheme="minorHAnsi"/>
          <w:sz w:val="22"/>
          <w:szCs w:val="22"/>
          <w:lang w:val="en-US"/>
        </w:rPr>
        <w:t xml:space="preserve"> would recommend that these important references also </w:t>
      </w:r>
      <w:proofErr w:type="gramStart"/>
      <w:r w:rsidRPr="00B257FB">
        <w:rPr>
          <w:rFonts w:asciiTheme="minorHAnsi" w:eastAsia="Times New Roman" w:hAnsiTheme="minorHAnsi" w:cstheme="minorHAnsi"/>
          <w:sz w:val="22"/>
          <w:szCs w:val="22"/>
          <w:lang w:val="en-US"/>
        </w:rPr>
        <w:t>be reflected</w:t>
      </w:r>
      <w:proofErr w:type="gramEnd"/>
      <w:r w:rsidRPr="00B257FB">
        <w:rPr>
          <w:rFonts w:asciiTheme="minorHAnsi" w:eastAsia="Times New Roman" w:hAnsiTheme="minorHAnsi" w:cstheme="minorHAnsi"/>
          <w:sz w:val="22"/>
          <w:szCs w:val="22"/>
          <w:lang w:val="en-US"/>
        </w:rPr>
        <w:t xml:space="preserve"> in Section 3 (</w:t>
      </w:r>
      <w:proofErr w:type="spellStart"/>
      <w:r w:rsidRPr="00B257FB">
        <w:rPr>
          <w:rFonts w:asciiTheme="minorHAnsi" w:eastAsia="Times New Roman" w:hAnsiTheme="minorHAnsi" w:cstheme="minorHAnsi"/>
          <w:sz w:val="22"/>
          <w:szCs w:val="22"/>
          <w:lang w:val="en-US"/>
        </w:rPr>
        <w:t>Operationalisation</w:t>
      </w:r>
      <w:proofErr w:type="spellEnd"/>
      <w:r w:rsidRPr="00B257FB">
        <w:rPr>
          <w:rFonts w:asciiTheme="minorHAnsi" w:eastAsia="Times New Roman" w:hAnsiTheme="minorHAnsi" w:cstheme="minorHAnsi"/>
          <w:sz w:val="22"/>
          <w:szCs w:val="22"/>
          <w:lang w:val="en-US"/>
        </w:rPr>
        <w:t xml:space="preserve">, pp.37-38, “Addressing drivers of fragility”), and that </w:t>
      </w:r>
      <w:r w:rsidR="00605057" w:rsidRPr="00B257FB">
        <w:rPr>
          <w:rFonts w:asciiTheme="minorHAnsi" w:eastAsia="Times New Roman" w:hAnsiTheme="minorHAnsi" w:cstheme="minorHAnsi"/>
          <w:sz w:val="22"/>
          <w:szCs w:val="22"/>
          <w:lang w:val="en-US"/>
        </w:rPr>
        <w:t xml:space="preserve">recommendation 7 on </w:t>
      </w:r>
      <w:proofErr w:type="spellStart"/>
      <w:r w:rsidR="00605057" w:rsidRPr="00B257FB">
        <w:rPr>
          <w:rFonts w:asciiTheme="minorHAnsi" w:eastAsia="Times New Roman" w:hAnsiTheme="minorHAnsi" w:cstheme="minorHAnsi"/>
          <w:sz w:val="22"/>
          <w:szCs w:val="22"/>
          <w:lang w:val="en-US"/>
        </w:rPr>
        <w:t>p.ix</w:t>
      </w:r>
      <w:proofErr w:type="spellEnd"/>
      <w:r w:rsidR="00605057" w:rsidRPr="00B257FB">
        <w:rPr>
          <w:rFonts w:asciiTheme="minorHAnsi" w:eastAsia="Times New Roman" w:hAnsiTheme="minorHAnsi" w:cstheme="minorHAnsi"/>
          <w:sz w:val="22"/>
          <w:szCs w:val="22"/>
          <w:lang w:val="en-US"/>
        </w:rPr>
        <w:t xml:space="preserve"> include a </w:t>
      </w:r>
      <w:r w:rsidR="00B257FB">
        <w:rPr>
          <w:rFonts w:asciiTheme="minorHAnsi" w:eastAsia="Times New Roman" w:hAnsiTheme="minorHAnsi" w:cstheme="minorHAnsi"/>
          <w:sz w:val="22"/>
          <w:szCs w:val="22"/>
          <w:lang w:val="en-US"/>
        </w:rPr>
        <w:t xml:space="preserve">specific </w:t>
      </w:r>
      <w:r w:rsidR="00605057" w:rsidRPr="00B257FB">
        <w:rPr>
          <w:rFonts w:asciiTheme="minorHAnsi" w:eastAsia="Times New Roman" w:hAnsiTheme="minorHAnsi" w:cstheme="minorHAnsi"/>
          <w:sz w:val="22"/>
          <w:szCs w:val="22"/>
          <w:lang w:val="en-US"/>
        </w:rPr>
        <w:t xml:space="preserve">requirement that RRAs </w:t>
      </w:r>
      <w:r w:rsidRPr="00B257FB">
        <w:rPr>
          <w:rFonts w:asciiTheme="minorHAnsi" w:eastAsia="Times New Roman" w:hAnsiTheme="minorHAnsi" w:cstheme="minorHAnsi"/>
          <w:sz w:val="22"/>
          <w:szCs w:val="22"/>
          <w:lang w:val="en-US"/>
        </w:rPr>
        <w:t>be integrated systematically in SCDs.</w:t>
      </w:r>
    </w:p>
    <w:p w14:paraId="3228C242" w14:textId="77777777" w:rsidR="00492477" w:rsidRPr="00492477" w:rsidRDefault="00492477" w:rsidP="00492477">
      <w:pPr>
        <w:pStyle w:val="NormalWeb"/>
        <w:ind w:left="360"/>
        <w:rPr>
          <w:rFonts w:ascii="Calibri" w:hAnsi="Calibri" w:cs="Calibri"/>
          <w:sz w:val="22"/>
          <w:szCs w:val="22"/>
        </w:rPr>
      </w:pPr>
    </w:p>
    <w:p w14:paraId="5EFEF83A" w14:textId="2535CFB8" w:rsidR="00F6123B" w:rsidRPr="00CB74BF" w:rsidRDefault="00F6123B" w:rsidP="00F6123B">
      <w:pPr>
        <w:pStyle w:val="NormalWeb"/>
        <w:rPr>
          <w:rFonts w:ascii="Calibri" w:hAnsi="Calibri" w:cs="Calibri"/>
          <w:sz w:val="22"/>
          <w:szCs w:val="22"/>
          <w:u w:val="single"/>
        </w:rPr>
      </w:pPr>
      <w:r>
        <w:rPr>
          <w:rFonts w:asciiTheme="minorHAnsi" w:hAnsiTheme="minorHAnsi" w:cstheme="minorHAnsi"/>
          <w:sz w:val="22"/>
          <w:szCs w:val="22"/>
          <w:u w:val="single"/>
        </w:rPr>
        <w:t>Enhancing early warning through new technologies</w:t>
      </w:r>
    </w:p>
    <w:p w14:paraId="7685C4D9" w14:textId="77777777" w:rsidR="00F6123B" w:rsidRPr="00CB74BF" w:rsidRDefault="00F6123B" w:rsidP="00F6123B">
      <w:pPr>
        <w:pStyle w:val="NormalWeb"/>
        <w:rPr>
          <w:rFonts w:ascii="Calibri" w:hAnsi="Calibri" w:cs="Calibri"/>
          <w:sz w:val="22"/>
          <w:szCs w:val="22"/>
          <w:u w:val="single"/>
        </w:rPr>
      </w:pPr>
    </w:p>
    <w:p w14:paraId="04DDBBBC" w14:textId="77777777" w:rsidR="00F6123B" w:rsidRPr="00CB74BF" w:rsidRDefault="00F6123B" w:rsidP="00F6123B">
      <w:pPr>
        <w:pStyle w:val="NormalWeb"/>
        <w:numPr>
          <w:ilvl w:val="0"/>
          <w:numId w:val="1"/>
        </w:numPr>
        <w:ind w:left="360"/>
        <w:rPr>
          <w:rFonts w:asciiTheme="minorHAnsi" w:hAnsiTheme="minorHAnsi" w:cstheme="minorHAnsi"/>
          <w:sz w:val="22"/>
          <w:szCs w:val="22"/>
          <w:u w:val="single"/>
        </w:rPr>
      </w:pPr>
      <w:r w:rsidRPr="00CB74BF">
        <w:rPr>
          <w:rFonts w:asciiTheme="minorHAnsi" w:hAnsiTheme="minorHAnsi" w:cstheme="minorHAnsi"/>
          <w:sz w:val="22"/>
          <w:szCs w:val="22"/>
        </w:rPr>
        <w:t xml:space="preserve">OHCHR notes the significant strides already taken in early warning by </w:t>
      </w:r>
      <w:r>
        <w:rPr>
          <w:rFonts w:asciiTheme="minorHAnsi" w:hAnsiTheme="minorHAnsi" w:cstheme="minorHAnsi"/>
          <w:sz w:val="22"/>
          <w:szCs w:val="22"/>
        </w:rPr>
        <w:t>the Bank</w:t>
      </w:r>
      <w:r w:rsidRPr="00CB74BF">
        <w:rPr>
          <w:rFonts w:asciiTheme="minorHAnsi" w:hAnsiTheme="minorHAnsi" w:cstheme="minorHAnsi"/>
          <w:sz w:val="22"/>
          <w:szCs w:val="22"/>
        </w:rPr>
        <w:t xml:space="preserve"> in Disaster Risk Financing, particularly surrounding drought</w:t>
      </w:r>
      <w:r>
        <w:rPr>
          <w:rFonts w:asciiTheme="minorHAnsi" w:hAnsiTheme="minorHAnsi" w:cstheme="minorHAnsi"/>
          <w:sz w:val="22"/>
          <w:szCs w:val="22"/>
        </w:rPr>
        <w:t xml:space="preserve"> (</w:t>
      </w:r>
      <w:r w:rsidRPr="00CB74BF">
        <w:rPr>
          <w:rFonts w:asciiTheme="minorHAnsi" w:hAnsiTheme="minorHAnsi" w:cstheme="minorHAnsi"/>
          <w:sz w:val="22"/>
          <w:szCs w:val="22"/>
        </w:rPr>
        <w:t>para</w:t>
      </w:r>
      <w:r>
        <w:rPr>
          <w:rFonts w:asciiTheme="minorHAnsi" w:hAnsiTheme="minorHAnsi" w:cstheme="minorHAnsi"/>
          <w:sz w:val="22"/>
          <w:szCs w:val="22"/>
        </w:rPr>
        <w:t>.</w:t>
      </w:r>
      <w:r w:rsidRPr="00CB74BF">
        <w:rPr>
          <w:rFonts w:asciiTheme="minorHAnsi" w:hAnsiTheme="minorHAnsi" w:cstheme="minorHAnsi"/>
          <w:sz w:val="22"/>
          <w:szCs w:val="22"/>
        </w:rPr>
        <w:t xml:space="preserve"> 107</w:t>
      </w:r>
      <w:r>
        <w:rPr>
          <w:rFonts w:asciiTheme="minorHAnsi" w:hAnsiTheme="minorHAnsi" w:cstheme="minorHAnsi"/>
          <w:sz w:val="22"/>
          <w:szCs w:val="22"/>
        </w:rPr>
        <w:t>)</w:t>
      </w:r>
      <w:r w:rsidRPr="00CB74BF">
        <w:rPr>
          <w:rFonts w:asciiTheme="minorHAnsi" w:hAnsiTheme="minorHAnsi" w:cstheme="minorHAnsi"/>
          <w:sz w:val="22"/>
          <w:szCs w:val="22"/>
        </w:rPr>
        <w:t xml:space="preserve">, and more recently, human displacement. </w:t>
      </w:r>
      <w:r>
        <w:rPr>
          <w:rFonts w:asciiTheme="minorHAnsi" w:hAnsiTheme="minorHAnsi" w:cstheme="minorHAnsi"/>
          <w:sz w:val="22"/>
          <w:szCs w:val="22"/>
        </w:rPr>
        <w:t xml:space="preserve">We also note other roles envisaged for innovative technology in pages 36-37 of the draft Strategy. </w:t>
      </w:r>
      <w:r w:rsidRPr="00CB74BF">
        <w:rPr>
          <w:rFonts w:asciiTheme="minorHAnsi" w:hAnsiTheme="minorHAnsi" w:cstheme="minorHAnsi"/>
          <w:sz w:val="22"/>
          <w:szCs w:val="22"/>
        </w:rPr>
        <w:t xml:space="preserve">However, emergent methodologies enable significant advance in predictive capacity, including from social media. One study in Kenya recently demonstrated 85% accuracy in look-ahead periods of 50-150 days for increases </w:t>
      </w:r>
      <w:r>
        <w:rPr>
          <w:rFonts w:asciiTheme="minorHAnsi" w:hAnsiTheme="minorHAnsi" w:cstheme="minorHAnsi"/>
          <w:sz w:val="22"/>
          <w:szCs w:val="22"/>
        </w:rPr>
        <w:t>and</w:t>
      </w:r>
      <w:r w:rsidRPr="00CB74BF">
        <w:rPr>
          <w:rFonts w:asciiTheme="minorHAnsi" w:hAnsiTheme="minorHAnsi" w:cstheme="minorHAnsi"/>
          <w:sz w:val="22"/>
          <w:szCs w:val="22"/>
        </w:rPr>
        <w:t xml:space="preserve"> decreases in violence.</w:t>
      </w:r>
      <w:r w:rsidRPr="00CB74BF">
        <w:rPr>
          <w:rStyle w:val="FootnoteReference"/>
          <w:rFonts w:asciiTheme="minorHAnsi" w:hAnsiTheme="minorHAnsi" w:cstheme="minorHAnsi"/>
          <w:sz w:val="22"/>
          <w:szCs w:val="22"/>
        </w:rPr>
        <w:footnoteReference w:id="15"/>
      </w:r>
      <w:r w:rsidRPr="00CB74BF">
        <w:rPr>
          <w:rFonts w:asciiTheme="minorHAnsi" w:hAnsiTheme="minorHAnsi" w:cstheme="minorHAnsi"/>
          <w:sz w:val="22"/>
          <w:szCs w:val="22"/>
        </w:rPr>
        <w:t xml:space="preserve"> </w:t>
      </w:r>
      <w:r>
        <w:rPr>
          <w:rFonts w:asciiTheme="minorHAnsi" w:hAnsiTheme="minorHAnsi" w:cstheme="minorHAnsi"/>
          <w:sz w:val="22"/>
          <w:szCs w:val="22"/>
        </w:rPr>
        <w:t>OHCHR recommends that the Bank’s FCV strategy emphasise the</w:t>
      </w:r>
      <w:r w:rsidRPr="00F1342D">
        <w:rPr>
          <w:rFonts w:asciiTheme="minorHAnsi" w:hAnsiTheme="minorHAnsi" w:cstheme="minorHAnsi"/>
          <w:sz w:val="22"/>
          <w:szCs w:val="22"/>
        </w:rPr>
        <w:t xml:space="preserve"> opportunities</w:t>
      </w:r>
      <w:r w:rsidRPr="00CB74BF">
        <w:rPr>
          <w:rFonts w:asciiTheme="minorHAnsi" w:hAnsiTheme="minorHAnsi" w:cstheme="minorHAnsi"/>
          <w:sz w:val="22"/>
          <w:szCs w:val="22"/>
        </w:rPr>
        <w:t xml:space="preserve"> enabled by emergent methodologies empowered by technological advance</w:t>
      </w:r>
      <w:r>
        <w:rPr>
          <w:rFonts w:asciiTheme="minorHAnsi" w:hAnsiTheme="minorHAnsi" w:cstheme="minorHAnsi"/>
          <w:sz w:val="22"/>
          <w:szCs w:val="22"/>
        </w:rPr>
        <w:t>s in the early warning context,</w:t>
      </w:r>
      <w:r w:rsidRPr="00CB74BF">
        <w:rPr>
          <w:rFonts w:asciiTheme="minorHAnsi" w:hAnsiTheme="minorHAnsi" w:cstheme="minorHAnsi"/>
          <w:sz w:val="22"/>
          <w:szCs w:val="22"/>
        </w:rPr>
        <w:t xml:space="preserve"> </w:t>
      </w:r>
      <w:r>
        <w:rPr>
          <w:rFonts w:asciiTheme="minorHAnsi" w:hAnsiTheme="minorHAnsi" w:cstheme="minorHAnsi"/>
          <w:sz w:val="22"/>
          <w:szCs w:val="22"/>
        </w:rPr>
        <w:t>as called for</w:t>
      </w:r>
      <w:r w:rsidRPr="00CB74BF">
        <w:rPr>
          <w:rFonts w:asciiTheme="minorHAnsi" w:hAnsiTheme="minorHAnsi" w:cstheme="minorHAnsi"/>
          <w:sz w:val="22"/>
          <w:szCs w:val="22"/>
        </w:rPr>
        <w:t xml:space="preserve"> in the Pathways for Peace Report.</w:t>
      </w:r>
    </w:p>
    <w:p w14:paraId="4977DB5C" w14:textId="77777777" w:rsidR="00F6123B" w:rsidRPr="000D581F" w:rsidRDefault="00F6123B" w:rsidP="00F6123B">
      <w:pPr>
        <w:pStyle w:val="NormalWeb"/>
        <w:rPr>
          <w:rFonts w:asciiTheme="minorHAnsi" w:hAnsiTheme="minorHAnsi" w:cstheme="minorBidi"/>
          <w:sz w:val="22"/>
          <w:szCs w:val="22"/>
        </w:rPr>
      </w:pPr>
    </w:p>
    <w:p w14:paraId="425D7908" w14:textId="77777777" w:rsidR="00496350" w:rsidRPr="00496350" w:rsidRDefault="00496350" w:rsidP="00496350">
      <w:pPr>
        <w:pStyle w:val="NormalWeb"/>
        <w:rPr>
          <w:rFonts w:asciiTheme="minorHAnsi" w:hAnsiTheme="minorHAnsi" w:cstheme="minorBidi"/>
          <w:sz w:val="22"/>
          <w:szCs w:val="22"/>
          <w:u w:val="single"/>
        </w:rPr>
      </w:pPr>
      <w:r w:rsidRPr="00496350">
        <w:rPr>
          <w:rFonts w:asciiTheme="minorHAnsi" w:hAnsiTheme="minorHAnsi" w:cstheme="minorBidi"/>
          <w:sz w:val="22"/>
          <w:szCs w:val="22"/>
          <w:u w:val="single"/>
        </w:rPr>
        <w:t>Responsible exit</w:t>
      </w:r>
    </w:p>
    <w:p w14:paraId="16F8ECEB" w14:textId="77777777" w:rsidR="00496350" w:rsidRDefault="00496350" w:rsidP="00496350">
      <w:pPr>
        <w:pStyle w:val="NormalWeb"/>
        <w:rPr>
          <w:rFonts w:asciiTheme="minorHAnsi" w:hAnsiTheme="minorHAnsi" w:cstheme="minorBidi"/>
          <w:sz w:val="22"/>
          <w:szCs w:val="22"/>
        </w:rPr>
      </w:pPr>
    </w:p>
    <w:p w14:paraId="66A5B202" w14:textId="6F886397" w:rsidR="00F80DA5" w:rsidRDefault="00C77898" w:rsidP="00E4632B">
      <w:pPr>
        <w:pStyle w:val="NormalWeb"/>
        <w:numPr>
          <w:ilvl w:val="0"/>
          <w:numId w:val="1"/>
        </w:numPr>
        <w:ind w:left="360"/>
        <w:rPr>
          <w:rFonts w:asciiTheme="minorHAnsi" w:hAnsiTheme="minorHAnsi" w:cstheme="minorBidi"/>
          <w:sz w:val="22"/>
          <w:szCs w:val="22"/>
        </w:rPr>
      </w:pPr>
      <w:r>
        <w:rPr>
          <w:rFonts w:asciiTheme="minorHAnsi" w:hAnsiTheme="minorHAnsi" w:cstheme="minorBidi"/>
          <w:sz w:val="22"/>
          <w:szCs w:val="22"/>
        </w:rPr>
        <w:t>OHCHR</w:t>
      </w:r>
      <w:r w:rsidR="002A4248" w:rsidRPr="000D581F">
        <w:rPr>
          <w:rFonts w:asciiTheme="minorHAnsi" w:hAnsiTheme="minorHAnsi" w:cstheme="minorBidi"/>
          <w:sz w:val="22"/>
          <w:szCs w:val="22"/>
        </w:rPr>
        <w:t xml:space="preserve"> note</w:t>
      </w:r>
      <w:r>
        <w:rPr>
          <w:rFonts w:asciiTheme="minorHAnsi" w:hAnsiTheme="minorHAnsi" w:cstheme="minorBidi"/>
          <w:sz w:val="22"/>
          <w:szCs w:val="22"/>
        </w:rPr>
        <w:t>s</w:t>
      </w:r>
      <w:r w:rsidR="002A4248" w:rsidRPr="000D581F">
        <w:rPr>
          <w:rFonts w:asciiTheme="minorHAnsi" w:hAnsiTheme="minorHAnsi" w:cstheme="minorBidi"/>
          <w:sz w:val="22"/>
          <w:szCs w:val="22"/>
        </w:rPr>
        <w:t xml:space="preserve"> the various references throughout the draft strategy to the importance of the Bank, as a development actor, remaining engaged for the long-term in order to preserve development gains, protect institutions, build resilience and help transition to recovery (e.g. paras</w:t>
      </w:r>
      <w:r w:rsidR="00D46DEA">
        <w:rPr>
          <w:rFonts w:asciiTheme="minorHAnsi" w:hAnsiTheme="minorHAnsi" w:cstheme="minorBidi"/>
          <w:sz w:val="22"/>
          <w:szCs w:val="22"/>
        </w:rPr>
        <w:t>.</w:t>
      </w:r>
      <w:r w:rsidR="002A4248" w:rsidRPr="000D581F">
        <w:rPr>
          <w:rFonts w:asciiTheme="minorHAnsi" w:hAnsiTheme="minorHAnsi" w:cstheme="minorBidi"/>
          <w:sz w:val="22"/>
          <w:szCs w:val="22"/>
        </w:rPr>
        <w:t xml:space="preserve"> 73-77). OHCHR agrees with this statement as a</w:t>
      </w:r>
      <w:r w:rsidR="005D4FA0">
        <w:rPr>
          <w:rFonts w:asciiTheme="minorHAnsi" w:hAnsiTheme="minorHAnsi" w:cstheme="minorBidi"/>
          <w:sz w:val="22"/>
          <w:szCs w:val="22"/>
        </w:rPr>
        <w:t>n important</w:t>
      </w:r>
      <w:r w:rsidR="002A4248" w:rsidRPr="000D581F">
        <w:rPr>
          <w:rFonts w:asciiTheme="minorHAnsi" w:hAnsiTheme="minorHAnsi" w:cstheme="minorBidi"/>
          <w:sz w:val="22"/>
          <w:szCs w:val="22"/>
        </w:rPr>
        <w:t xml:space="preserve"> general objective. </w:t>
      </w:r>
      <w:r w:rsidR="005D4FA0">
        <w:rPr>
          <w:rFonts w:asciiTheme="minorHAnsi" w:hAnsiTheme="minorHAnsi" w:cstheme="minorBidi"/>
          <w:sz w:val="22"/>
          <w:szCs w:val="22"/>
        </w:rPr>
        <w:t>L</w:t>
      </w:r>
      <w:r w:rsidR="002A4248" w:rsidRPr="000D581F">
        <w:rPr>
          <w:rFonts w:asciiTheme="minorHAnsi" w:hAnsiTheme="minorHAnsi" w:cstheme="minorBidi"/>
          <w:sz w:val="22"/>
          <w:szCs w:val="22"/>
        </w:rPr>
        <w:t xml:space="preserve">ong-term engagement </w:t>
      </w:r>
      <w:r w:rsidR="001A2FF7" w:rsidRPr="000D581F">
        <w:rPr>
          <w:rFonts w:asciiTheme="minorHAnsi" w:hAnsiTheme="minorHAnsi" w:cstheme="minorBidi"/>
          <w:sz w:val="22"/>
          <w:szCs w:val="22"/>
        </w:rPr>
        <w:t xml:space="preserve">and country presence </w:t>
      </w:r>
      <w:r w:rsidR="005D4FA0">
        <w:rPr>
          <w:rFonts w:asciiTheme="minorHAnsi" w:hAnsiTheme="minorHAnsi" w:cstheme="minorBidi"/>
          <w:sz w:val="22"/>
          <w:szCs w:val="22"/>
        </w:rPr>
        <w:t xml:space="preserve">being </w:t>
      </w:r>
      <w:r w:rsidR="002A4248" w:rsidRPr="000D581F">
        <w:rPr>
          <w:rFonts w:asciiTheme="minorHAnsi" w:hAnsiTheme="minorHAnsi" w:cstheme="minorBidi"/>
          <w:sz w:val="22"/>
          <w:szCs w:val="22"/>
        </w:rPr>
        <w:t xml:space="preserve">means, </w:t>
      </w:r>
      <w:r w:rsidR="005D4FA0">
        <w:rPr>
          <w:rFonts w:asciiTheme="minorHAnsi" w:hAnsiTheme="minorHAnsi" w:cstheme="minorBidi"/>
          <w:sz w:val="22"/>
          <w:szCs w:val="22"/>
        </w:rPr>
        <w:t xml:space="preserve">rather than </w:t>
      </w:r>
      <w:r w:rsidR="002A4248" w:rsidRPr="000D581F">
        <w:rPr>
          <w:rFonts w:asciiTheme="minorHAnsi" w:hAnsiTheme="minorHAnsi" w:cstheme="minorBidi"/>
          <w:sz w:val="22"/>
          <w:szCs w:val="22"/>
        </w:rPr>
        <w:t>end</w:t>
      </w:r>
      <w:r w:rsidR="001A2FF7" w:rsidRPr="000D581F">
        <w:rPr>
          <w:rFonts w:asciiTheme="minorHAnsi" w:hAnsiTheme="minorHAnsi" w:cstheme="minorBidi"/>
          <w:sz w:val="22"/>
          <w:szCs w:val="22"/>
        </w:rPr>
        <w:t>s</w:t>
      </w:r>
      <w:r w:rsidR="005D4FA0">
        <w:rPr>
          <w:rFonts w:asciiTheme="minorHAnsi" w:hAnsiTheme="minorHAnsi" w:cstheme="minorBidi"/>
          <w:sz w:val="22"/>
          <w:szCs w:val="22"/>
        </w:rPr>
        <w:t xml:space="preserve"> in themselves, f</w:t>
      </w:r>
      <w:r w:rsidR="002A4248" w:rsidRPr="000D581F">
        <w:rPr>
          <w:rFonts w:asciiTheme="minorHAnsi" w:hAnsiTheme="minorHAnsi" w:cstheme="minorBidi"/>
          <w:sz w:val="22"/>
          <w:szCs w:val="22"/>
        </w:rPr>
        <w:t xml:space="preserve">urther nuance may </w:t>
      </w:r>
      <w:r w:rsidR="005D4FA0">
        <w:rPr>
          <w:rFonts w:asciiTheme="minorHAnsi" w:hAnsiTheme="minorHAnsi" w:cstheme="minorBidi"/>
          <w:sz w:val="22"/>
          <w:szCs w:val="22"/>
        </w:rPr>
        <w:t xml:space="preserve">however </w:t>
      </w:r>
      <w:r w:rsidR="002A4248" w:rsidRPr="000D581F">
        <w:rPr>
          <w:rFonts w:asciiTheme="minorHAnsi" w:hAnsiTheme="minorHAnsi" w:cstheme="minorBidi"/>
          <w:sz w:val="22"/>
          <w:szCs w:val="22"/>
        </w:rPr>
        <w:t xml:space="preserve">be called for in situations where stabilisation objectives are unachievable and the risks of complicity in serious human rights violations outweigh potential benefits of continued engagement. </w:t>
      </w:r>
    </w:p>
    <w:p w14:paraId="7DAAF13B" w14:textId="77777777" w:rsidR="00F80DA5" w:rsidRDefault="00F80DA5" w:rsidP="00E4632B">
      <w:pPr>
        <w:pStyle w:val="NormalWeb"/>
        <w:rPr>
          <w:rFonts w:asciiTheme="minorHAnsi" w:hAnsiTheme="minorHAnsi" w:cstheme="minorBidi"/>
          <w:sz w:val="22"/>
          <w:szCs w:val="22"/>
        </w:rPr>
      </w:pPr>
    </w:p>
    <w:p w14:paraId="21F563F7" w14:textId="1D07E07D" w:rsidR="00F80DA5" w:rsidRDefault="002A4248" w:rsidP="00E4632B">
      <w:pPr>
        <w:pStyle w:val="NormalWeb"/>
        <w:numPr>
          <w:ilvl w:val="0"/>
          <w:numId w:val="1"/>
        </w:numPr>
        <w:ind w:left="360"/>
        <w:rPr>
          <w:rFonts w:asciiTheme="minorHAnsi" w:hAnsiTheme="minorHAnsi" w:cstheme="minorBidi"/>
          <w:sz w:val="22"/>
          <w:szCs w:val="22"/>
        </w:rPr>
      </w:pPr>
      <w:r w:rsidRPr="000D581F">
        <w:rPr>
          <w:rFonts w:asciiTheme="minorHAnsi" w:hAnsiTheme="minorHAnsi" w:cstheme="minorBidi"/>
          <w:sz w:val="22"/>
          <w:szCs w:val="22"/>
        </w:rPr>
        <w:t xml:space="preserve">OHCHR recognises the complexity of these kinds of judgement calls, and of the </w:t>
      </w:r>
      <w:r w:rsidR="005D4FA0">
        <w:rPr>
          <w:rFonts w:asciiTheme="minorHAnsi" w:hAnsiTheme="minorHAnsi" w:cstheme="minorBidi"/>
          <w:sz w:val="22"/>
          <w:szCs w:val="22"/>
        </w:rPr>
        <w:t>challenging</w:t>
      </w:r>
      <w:r w:rsidR="005D4FA0" w:rsidRPr="000D581F">
        <w:rPr>
          <w:rFonts w:asciiTheme="minorHAnsi" w:hAnsiTheme="minorHAnsi" w:cstheme="minorBidi"/>
          <w:sz w:val="22"/>
          <w:szCs w:val="22"/>
        </w:rPr>
        <w:t xml:space="preserve"> </w:t>
      </w:r>
      <w:r w:rsidRPr="000D581F">
        <w:rPr>
          <w:rFonts w:asciiTheme="minorHAnsi" w:hAnsiTheme="minorHAnsi" w:cstheme="minorBidi"/>
          <w:sz w:val="22"/>
          <w:szCs w:val="22"/>
        </w:rPr>
        <w:t xml:space="preserve">cases that the Bank has successfully addressed in the past. </w:t>
      </w:r>
      <w:proofErr w:type="gramStart"/>
      <w:r w:rsidRPr="000D581F">
        <w:rPr>
          <w:rFonts w:asciiTheme="minorHAnsi" w:hAnsiTheme="minorHAnsi" w:cstheme="minorBidi"/>
          <w:sz w:val="22"/>
          <w:szCs w:val="22"/>
        </w:rPr>
        <w:t>The challenges of remaining productively engaged and avoiding complicity in international crimes in</w:t>
      </w:r>
      <w:r w:rsidR="005D4FA0">
        <w:rPr>
          <w:rFonts w:asciiTheme="minorHAnsi" w:hAnsiTheme="minorHAnsi" w:cstheme="minorBidi"/>
          <w:sz w:val="22"/>
          <w:szCs w:val="22"/>
        </w:rPr>
        <w:t>, for example,</w:t>
      </w:r>
      <w:r w:rsidRPr="000D581F">
        <w:rPr>
          <w:rFonts w:asciiTheme="minorHAnsi" w:hAnsiTheme="minorHAnsi" w:cstheme="minorBidi"/>
          <w:sz w:val="22"/>
          <w:szCs w:val="22"/>
        </w:rPr>
        <w:t xml:space="preserve"> Myanmar, in </w:t>
      </w:r>
      <w:r w:rsidRPr="000D581F">
        <w:rPr>
          <w:rFonts w:asciiTheme="minorHAnsi" w:hAnsiTheme="minorHAnsi" w:cstheme="minorBidi"/>
          <w:sz w:val="22"/>
          <w:szCs w:val="22"/>
        </w:rPr>
        <w:lastRenderedPageBreak/>
        <w:t xml:space="preserve">coordination with specialised UN human rights bodies, is a case in point: </w:t>
      </w:r>
      <w:r w:rsidR="00986902" w:rsidRPr="000D581F">
        <w:rPr>
          <w:rFonts w:asciiTheme="minorHAnsi" w:hAnsiTheme="minorHAnsi" w:cstheme="minorBidi"/>
          <w:sz w:val="22"/>
          <w:szCs w:val="22"/>
        </w:rPr>
        <w:t xml:space="preserve">while many actors have called for the Bank’s general withdrawal, </w:t>
      </w:r>
      <w:r w:rsidRPr="000D581F">
        <w:rPr>
          <w:rFonts w:asciiTheme="minorHAnsi" w:hAnsiTheme="minorHAnsi" w:cstheme="minorBidi"/>
          <w:sz w:val="22"/>
          <w:szCs w:val="22"/>
        </w:rPr>
        <w:t xml:space="preserve">the UN Human Rights Council’s Fact-Finding Mission has recommended continued engagement subject to </w:t>
      </w:r>
      <w:r w:rsidR="00986902" w:rsidRPr="000D581F">
        <w:rPr>
          <w:rFonts w:asciiTheme="minorHAnsi" w:hAnsiTheme="minorHAnsi" w:cstheme="minorBidi"/>
          <w:sz w:val="22"/>
          <w:szCs w:val="22"/>
        </w:rPr>
        <w:t>heightened</w:t>
      </w:r>
      <w:r w:rsidRPr="000D581F">
        <w:rPr>
          <w:rFonts w:asciiTheme="minorHAnsi" w:hAnsiTheme="minorHAnsi" w:cstheme="minorBidi"/>
          <w:sz w:val="22"/>
          <w:szCs w:val="22"/>
        </w:rPr>
        <w:t xml:space="preserve"> due diligence, in order to protect particular population groups and diminish the military’s control over the economy</w:t>
      </w:r>
      <w:r w:rsidR="00986902" w:rsidRPr="000D581F">
        <w:rPr>
          <w:rFonts w:asciiTheme="minorHAnsi" w:hAnsiTheme="minorHAnsi" w:cstheme="minorBidi"/>
          <w:sz w:val="22"/>
          <w:szCs w:val="22"/>
        </w:rPr>
        <w:t xml:space="preserve">, and cessation of all activities in northern </w:t>
      </w:r>
      <w:proofErr w:type="spellStart"/>
      <w:r w:rsidR="00986902" w:rsidRPr="000D581F">
        <w:rPr>
          <w:rFonts w:asciiTheme="minorHAnsi" w:hAnsiTheme="minorHAnsi" w:cstheme="minorBidi"/>
          <w:sz w:val="22"/>
          <w:szCs w:val="22"/>
        </w:rPr>
        <w:t>Rakhine</w:t>
      </w:r>
      <w:proofErr w:type="spellEnd"/>
      <w:r w:rsidR="00986902" w:rsidRPr="000D581F">
        <w:rPr>
          <w:rFonts w:asciiTheme="minorHAnsi" w:hAnsiTheme="minorHAnsi" w:cstheme="minorBidi"/>
          <w:sz w:val="22"/>
          <w:szCs w:val="22"/>
        </w:rPr>
        <w:t xml:space="preserve"> state except for emergency humanitarian assistance pending the lifting of human rights restrictions on remaining </w:t>
      </w:r>
      <w:proofErr w:type="spellStart"/>
      <w:r w:rsidR="00986902" w:rsidRPr="000D581F">
        <w:rPr>
          <w:rFonts w:asciiTheme="minorHAnsi" w:hAnsiTheme="minorHAnsi" w:cstheme="minorBidi"/>
          <w:sz w:val="22"/>
          <w:szCs w:val="22"/>
        </w:rPr>
        <w:t>Rohingya</w:t>
      </w:r>
      <w:proofErr w:type="spellEnd"/>
      <w:r w:rsidR="00986902" w:rsidRPr="000D581F">
        <w:rPr>
          <w:rFonts w:asciiTheme="minorHAnsi" w:hAnsiTheme="minorHAnsi" w:cstheme="minorBidi"/>
          <w:sz w:val="22"/>
          <w:szCs w:val="22"/>
        </w:rPr>
        <w:t xml:space="preserve"> populations</w:t>
      </w:r>
      <w:r w:rsidRPr="000D581F">
        <w:rPr>
          <w:rFonts w:asciiTheme="minorHAnsi" w:hAnsiTheme="minorHAnsi" w:cstheme="minorBidi"/>
          <w:sz w:val="22"/>
          <w:szCs w:val="22"/>
        </w:rPr>
        <w:t>.</w:t>
      </w:r>
      <w:proofErr w:type="gramEnd"/>
      <w:r w:rsidRPr="000D581F">
        <w:rPr>
          <w:rFonts w:asciiTheme="minorHAnsi" w:hAnsiTheme="minorHAnsi" w:cstheme="minorBidi"/>
          <w:sz w:val="22"/>
          <w:szCs w:val="22"/>
        </w:rPr>
        <w:t xml:space="preserve"> </w:t>
      </w:r>
    </w:p>
    <w:p w14:paraId="5E08B433" w14:textId="77777777" w:rsidR="00F80DA5" w:rsidRDefault="00F80DA5" w:rsidP="00E4632B">
      <w:pPr>
        <w:pStyle w:val="ListParagraph"/>
        <w:ind w:left="360"/>
        <w:rPr>
          <w:rFonts w:asciiTheme="minorHAnsi" w:hAnsiTheme="minorHAnsi" w:cstheme="minorBidi"/>
        </w:rPr>
      </w:pPr>
    </w:p>
    <w:p w14:paraId="0EF5EE95" w14:textId="45DDF79C" w:rsidR="002A4248" w:rsidRPr="000D581F" w:rsidRDefault="002A4248" w:rsidP="00E4632B">
      <w:pPr>
        <w:pStyle w:val="NormalWeb"/>
        <w:numPr>
          <w:ilvl w:val="0"/>
          <w:numId w:val="1"/>
        </w:numPr>
        <w:ind w:left="360"/>
        <w:rPr>
          <w:rFonts w:asciiTheme="minorHAnsi" w:hAnsiTheme="minorHAnsi" w:cstheme="minorBidi"/>
          <w:sz w:val="22"/>
          <w:szCs w:val="22"/>
        </w:rPr>
      </w:pPr>
      <w:r w:rsidRPr="000D581F">
        <w:rPr>
          <w:rFonts w:asciiTheme="minorHAnsi" w:hAnsiTheme="minorHAnsi" w:cstheme="minorBidi"/>
          <w:sz w:val="22"/>
          <w:szCs w:val="22"/>
        </w:rPr>
        <w:t xml:space="preserve">In other cases or circumstances, </w:t>
      </w:r>
      <w:r w:rsidR="00986902" w:rsidRPr="000D581F">
        <w:rPr>
          <w:rFonts w:asciiTheme="minorHAnsi" w:hAnsiTheme="minorHAnsi" w:cstheme="minorBidi"/>
          <w:sz w:val="22"/>
          <w:szCs w:val="22"/>
        </w:rPr>
        <w:t xml:space="preserve">however, </w:t>
      </w:r>
      <w:r w:rsidRPr="000D581F">
        <w:rPr>
          <w:rFonts w:asciiTheme="minorHAnsi" w:hAnsiTheme="minorHAnsi" w:cstheme="minorBidi"/>
          <w:sz w:val="22"/>
          <w:szCs w:val="22"/>
        </w:rPr>
        <w:t xml:space="preserve">disengagement from the client relationship may </w:t>
      </w:r>
      <w:r w:rsidR="005D4FA0">
        <w:rPr>
          <w:rFonts w:asciiTheme="minorHAnsi" w:hAnsiTheme="minorHAnsi" w:cstheme="minorBidi"/>
          <w:sz w:val="22"/>
          <w:szCs w:val="22"/>
        </w:rPr>
        <w:t xml:space="preserve">ultimately </w:t>
      </w:r>
      <w:r w:rsidRPr="000D581F">
        <w:rPr>
          <w:rFonts w:asciiTheme="minorHAnsi" w:hAnsiTheme="minorHAnsi" w:cstheme="minorBidi"/>
          <w:sz w:val="22"/>
          <w:szCs w:val="22"/>
        </w:rPr>
        <w:t xml:space="preserve">be unavoidable. Where human rights violations are endemic, </w:t>
      </w:r>
      <w:r w:rsidR="005D4FA0">
        <w:rPr>
          <w:rFonts w:asciiTheme="minorHAnsi" w:hAnsiTheme="minorHAnsi" w:cstheme="minorBidi"/>
          <w:sz w:val="22"/>
          <w:szCs w:val="22"/>
        </w:rPr>
        <w:t xml:space="preserve">it may be necessary for </w:t>
      </w:r>
      <w:r w:rsidRPr="000D581F">
        <w:rPr>
          <w:rFonts w:asciiTheme="minorHAnsi" w:hAnsiTheme="minorHAnsi" w:cstheme="minorBidi"/>
          <w:sz w:val="22"/>
          <w:szCs w:val="22"/>
        </w:rPr>
        <w:t xml:space="preserve">Development Policy Operations or other direct budget support measures </w:t>
      </w:r>
      <w:r w:rsidR="005D4FA0">
        <w:rPr>
          <w:rFonts w:asciiTheme="minorHAnsi" w:hAnsiTheme="minorHAnsi" w:cstheme="minorBidi"/>
          <w:sz w:val="22"/>
          <w:szCs w:val="22"/>
        </w:rPr>
        <w:t xml:space="preserve">to </w:t>
      </w:r>
      <w:r w:rsidRPr="000D581F">
        <w:rPr>
          <w:rFonts w:asciiTheme="minorHAnsi" w:hAnsiTheme="minorHAnsi" w:cstheme="minorBidi"/>
          <w:i/>
          <w:sz w:val="22"/>
          <w:szCs w:val="22"/>
        </w:rPr>
        <w:t>prima facie</w:t>
      </w:r>
      <w:r w:rsidRPr="000D581F">
        <w:rPr>
          <w:rFonts w:asciiTheme="minorHAnsi" w:hAnsiTheme="minorHAnsi" w:cstheme="minorBidi"/>
          <w:sz w:val="22"/>
          <w:szCs w:val="22"/>
        </w:rPr>
        <w:t xml:space="preserve"> be</w:t>
      </w:r>
      <w:r w:rsidR="005F7D43" w:rsidRPr="000D581F">
        <w:rPr>
          <w:rFonts w:asciiTheme="minorHAnsi" w:hAnsiTheme="minorHAnsi" w:cstheme="minorBidi"/>
          <w:sz w:val="22"/>
          <w:szCs w:val="22"/>
        </w:rPr>
        <w:t xml:space="preserve"> </w:t>
      </w:r>
      <w:r w:rsidR="005D4FA0">
        <w:rPr>
          <w:rFonts w:asciiTheme="minorHAnsi" w:hAnsiTheme="minorHAnsi" w:cstheme="minorBidi"/>
          <w:sz w:val="22"/>
          <w:szCs w:val="22"/>
        </w:rPr>
        <w:t xml:space="preserve">suspended or entirely </w:t>
      </w:r>
      <w:r w:rsidR="005F7D43" w:rsidRPr="000D581F">
        <w:rPr>
          <w:rFonts w:asciiTheme="minorHAnsi" w:hAnsiTheme="minorHAnsi" w:cstheme="minorBidi"/>
          <w:sz w:val="22"/>
          <w:szCs w:val="22"/>
        </w:rPr>
        <w:t>ruled out</w:t>
      </w:r>
      <w:r w:rsidRPr="000D581F">
        <w:rPr>
          <w:rFonts w:asciiTheme="minorHAnsi" w:hAnsiTheme="minorHAnsi" w:cstheme="minorBidi"/>
          <w:sz w:val="22"/>
          <w:szCs w:val="22"/>
        </w:rPr>
        <w:t>.</w:t>
      </w:r>
      <w:r w:rsidR="005F7D43" w:rsidRPr="000D581F">
        <w:rPr>
          <w:rStyle w:val="FootnoteReference"/>
          <w:rFonts w:asciiTheme="minorHAnsi" w:hAnsiTheme="minorHAnsi" w:cstheme="minorBidi"/>
          <w:sz w:val="22"/>
          <w:szCs w:val="22"/>
        </w:rPr>
        <w:footnoteReference w:id="16"/>
      </w:r>
      <w:r w:rsidRPr="000D581F">
        <w:rPr>
          <w:rFonts w:asciiTheme="minorHAnsi" w:hAnsiTheme="minorHAnsi" w:cstheme="minorBidi"/>
          <w:sz w:val="22"/>
          <w:szCs w:val="22"/>
        </w:rPr>
        <w:t xml:space="preserve"> OHCHR recommends that the Bank’s judgement calls on the question of its continuing engagement be guided by an explicit “responsible exit” policy, </w:t>
      </w:r>
      <w:r w:rsidR="00733F16" w:rsidRPr="000D581F">
        <w:rPr>
          <w:rFonts w:asciiTheme="minorHAnsi" w:hAnsiTheme="minorHAnsi" w:cstheme="minorBidi"/>
          <w:sz w:val="22"/>
          <w:szCs w:val="22"/>
        </w:rPr>
        <w:t>taking into account comparative practice among DFIs including the</w:t>
      </w:r>
      <w:r w:rsidRPr="000D581F">
        <w:rPr>
          <w:rFonts w:asciiTheme="minorHAnsi" w:hAnsiTheme="minorHAnsi" w:cstheme="minorBidi"/>
          <w:sz w:val="22"/>
          <w:szCs w:val="22"/>
        </w:rPr>
        <w:t xml:space="preserve"> recent experience of FMO in Honduras,</w:t>
      </w:r>
      <w:r w:rsidR="00733F16" w:rsidRPr="000D581F">
        <w:rPr>
          <w:rStyle w:val="FootnoteReference"/>
          <w:rFonts w:asciiTheme="minorHAnsi" w:hAnsiTheme="minorHAnsi" w:cstheme="minorBidi"/>
          <w:sz w:val="22"/>
          <w:szCs w:val="22"/>
        </w:rPr>
        <w:footnoteReference w:id="17"/>
      </w:r>
      <w:r w:rsidRPr="000D581F">
        <w:rPr>
          <w:rFonts w:asciiTheme="minorHAnsi" w:hAnsiTheme="minorHAnsi" w:cstheme="minorBidi"/>
          <w:sz w:val="22"/>
          <w:szCs w:val="22"/>
        </w:rPr>
        <w:t xml:space="preserve"> in order to set clear expectations among all parties, strengthen legitimacy, minimise unintended adverse consequences, </w:t>
      </w:r>
      <w:r w:rsidR="00292548">
        <w:rPr>
          <w:rFonts w:asciiTheme="minorHAnsi" w:hAnsiTheme="minorHAnsi" w:cstheme="minorBidi"/>
          <w:sz w:val="22"/>
          <w:szCs w:val="22"/>
        </w:rPr>
        <w:t xml:space="preserve">remedy residual impacts, </w:t>
      </w:r>
      <w:r w:rsidRPr="000D581F">
        <w:rPr>
          <w:rFonts w:asciiTheme="minorHAnsi" w:hAnsiTheme="minorHAnsi" w:cstheme="minorBidi"/>
          <w:sz w:val="22"/>
          <w:szCs w:val="22"/>
        </w:rPr>
        <w:t xml:space="preserve">and promote </w:t>
      </w:r>
      <w:proofErr w:type="gramStart"/>
      <w:r w:rsidRPr="000D581F">
        <w:rPr>
          <w:rFonts w:asciiTheme="minorHAnsi" w:hAnsiTheme="minorHAnsi" w:cstheme="minorBidi"/>
          <w:sz w:val="22"/>
          <w:szCs w:val="22"/>
        </w:rPr>
        <w:t>more consistent practice</w:t>
      </w:r>
      <w:proofErr w:type="gramEnd"/>
      <w:r w:rsidRPr="000D581F">
        <w:rPr>
          <w:rFonts w:asciiTheme="minorHAnsi" w:hAnsiTheme="minorHAnsi" w:cstheme="minorBidi"/>
          <w:sz w:val="22"/>
          <w:szCs w:val="22"/>
        </w:rPr>
        <w:t>.</w:t>
      </w:r>
      <w:r w:rsidR="00277A1D">
        <w:rPr>
          <w:rFonts w:asciiTheme="minorHAnsi" w:hAnsiTheme="minorHAnsi" w:cstheme="minorBidi"/>
          <w:sz w:val="22"/>
          <w:szCs w:val="22"/>
        </w:rPr>
        <w:t xml:space="preserve"> OHCHR recommends that exit or divestment only be </w:t>
      </w:r>
      <w:r w:rsidR="00492477">
        <w:rPr>
          <w:rFonts w:asciiTheme="minorHAnsi" w:hAnsiTheme="minorHAnsi" w:cstheme="minorBidi"/>
          <w:sz w:val="22"/>
          <w:szCs w:val="22"/>
        </w:rPr>
        <w:t>undertaken</w:t>
      </w:r>
      <w:r w:rsidR="00277A1D">
        <w:rPr>
          <w:rFonts w:asciiTheme="minorHAnsi" w:hAnsiTheme="minorHAnsi" w:cstheme="minorBidi"/>
          <w:sz w:val="22"/>
          <w:szCs w:val="22"/>
        </w:rPr>
        <w:t xml:space="preserve"> when the Bank lack</w:t>
      </w:r>
      <w:r w:rsidR="00492477">
        <w:rPr>
          <w:rFonts w:asciiTheme="minorHAnsi" w:hAnsiTheme="minorHAnsi" w:cstheme="minorBidi"/>
          <w:sz w:val="22"/>
          <w:szCs w:val="22"/>
        </w:rPr>
        <w:t xml:space="preserve">s </w:t>
      </w:r>
      <w:proofErr w:type="gramStart"/>
      <w:r w:rsidR="00492477">
        <w:rPr>
          <w:rFonts w:asciiTheme="minorHAnsi" w:hAnsiTheme="minorHAnsi" w:cstheme="minorBidi"/>
          <w:sz w:val="22"/>
          <w:szCs w:val="22"/>
        </w:rPr>
        <w:t>leverage</w:t>
      </w:r>
      <w:proofErr w:type="gramEnd"/>
      <w:r w:rsidR="00492477">
        <w:rPr>
          <w:rFonts w:asciiTheme="minorHAnsi" w:hAnsiTheme="minorHAnsi" w:cstheme="minorBidi"/>
          <w:sz w:val="22"/>
          <w:szCs w:val="22"/>
        </w:rPr>
        <w:t xml:space="preserve"> to prevent or mitigate adverse impacts</w:t>
      </w:r>
      <w:r w:rsidR="00FA1484">
        <w:rPr>
          <w:rFonts w:asciiTheme="minorHAnsi" w:hAnsiTheme="minorHAnsi" w:cstheme="minorBidi"/>
          <w:sz w:val="22"/>
          <w:szCs w:val="22"/>
        </w:rPr>
        <w:t>,</w:t>
      </w:r>
      <w:r w:rsidR="00492477">
        <w:rPr>
          <w:rFonts w:asciiTheme="minorHAnsi" w:hAnsiTheme="minorHAnsi" w:cstheme="minorBidi"/>
          <w:sz w:val="22"/>
          <w:szCs w:val="22"/>
        </w:rPr>
        <w:t xml:space="preserve"> and is unable to increase its leverage, </w:t>
      </w:r>
      <w:r w:rsidR="00FA1484">
        <w:rPr>
          <w:rFonts w:asciiTheme="minorHAnsi" w:hAnsiTheme="minorHAnsi" w:cstheme="minorBidi"/>
          <w:sz w:val="22"/>
          <w:szCs w:val="22"/>
        </w:rPr>
        <w:t xml:space="preserve">while </w:t>
      </w:r>
      <w:r w:rsidR="00492477">
        <w:rPr>
          <w:rFonts w:asciiTheme="minorHAnsi" w:hAnsiTheme="minorHAnsi" w:cstheme="minorBidi"/>
          <w:sz w:val="22"/>
          <w:szCs w:val="22"/>
        </w:rPr>
        <w:t>taking into account the criticality of the particular client relationship and foreseeable human rights impacts.</w:t>
      </w:r>
      <w:r w:rsidR="00AD0794">
        <w:rPr>
          <w:rStyle w:val="FootnoteReference"/>
          <w:rFonts w:asciiTheme="minorHAnsi" w:hAnsiTheme="minorHAnsi" w:cstheme="minorBidi"/>
          <w:sz w:val="22"/>
          <w:szCs w:val="22"/>
        </w:rPr>
        <w:footnoteReference w:id="18"/>
      </w:r>
    </w:p>
    <w:p w14:paraId="0BCE8CBE" w14:textId="77777777" w:rsidR="002A4248" w:rsidRPr="000D581F" w:rsidRDefault="002A4248" w:rsidP="002A4248">
      <w:pPr>
        <w:pStyle w:val="NormalWeb"/>
        <w:rPr>
          <w:rFonts w:asciiTheme="minorHAnsi" w:hAnsiTheme="minorHAnsi" w:cstheme="minorBidi"/>
          <w:sz w:val="22"/>
          <w:szCs w:val="22"/>
        </w:rPr>
      </w:pPr>
    </w:p>
    <w:p w14:paraId="0DFA1ADC" w14:textId="670C6434" w:rsidR="00D03625" w:rsidRPr="00496350" w:rsidRDefault="00CE3710">
      <w:pPr>
        <w:rPr>
          <w:u w:val="single"/>
        </w:rPr>
      </w:pPr>
      <w:r>
        <w:rPr>
          <w:u w:val="single"/>
        </w:rPr>
        <w:t>OHCHR recommends that</w:t>
      </w:r>
      <w:r w:rsidR="00496350" w:rsidRPr="00496350">
        <w:rPr>
          <w:u w:val="single"/>
        </w:rPr>
        <w:t>:</w:t>
      </w:r>
    </w:p>
    <w:p w14:paraId="1C3C27C8" w14:textId="23DFAE66" w:rsidR="00F80DA5" w:rsidRDefault="00F80DA5" w:rsidP="004307A1"/>
    <w:p w14:paraId="4ACEDC9A" w14:textId="77777777" w:rsidR="00F80DA5" w:rsidRDefault="00F80DA5" w:rsidP="008C1140">
      <w:pPr>
        <w:pStyle w:val="ListParagraph"/>
        <w:numPr>
          <w:ilvl w:val="0"/>
          <w:numId w:val="3"/>
        </w:numPr>
      </w:pPr>
      <w:r w:rsidRPr="000D581F">
        <w:t>the World Bank Group clarify the application of IBRD/IDA Articles IV, s. 10 and Article III, s. 5(b) and corresponding provisions of the IFC Articles to ensure that these provisions are interpreted purposively, in a manner which enables the Bank to address root causes and core governance drivers of fragility and conflict</w:t>
      </w:r>
      <w:r>
        <w:t>;</w:t>
      </w:r>
    </w:p>
    <w:p w14:paraId="7CF1DB94" w14:textId="77777777" w:rsidR="00E13E31" w:rsidRDefault="00E13E31">
      <w:pPr>
        <w:pStyle w:val="ListParagraph"/>
        <w:numPr>
          <w:ilvl w:val="0"/>
          <w:numId w:val="3"/>
        </w:numPr>
      </w:pPr>
      <w:r>
        <w:t xml:space="preserve">the World Bank Group implement </w:t>
      </w:r>
      <w:r w:rsidR="00F80DA5" w:rsidRPr="00AB1C08">
        <w:t xml:space="preserve">explicit human rights due diligence </w:t>
      </w:r>
      <w:r>
        <w:t>in order</w:t>
      </w:r>
      <w:r w:rsidR="00F80DA5" w:rsidRPr="00AB1C08">
        <w:t xml:space="preserve"> to ensure that </w:t>
      </w:r>
      <w:r w:rsidR="00F80DA5" w:rsidRPr="00E13E31">
        <w:t>all</w:t>
      </w:r>
      <w:r w:rsidR="00F80DA5" w:rsidRPr="00AB1C08">
        <w:t xml:space="preserve"> information relevant to procurement, project risk assessment and Integrity Due Diligence </w:t>
      </w:r>
      <w:r>
        <w:t>is</w:t>
      </w:r>
      <w:r w:rsidR="00F80DA5" w:rsidRPr="00AB1C08">
        <w:t xml:space="preserve"> </w:t>
      </w:r>
      <w:r w:rsidR="00F80DA5">
        <w:t>routinely taken into account</w:t>
      </w:r>
      <w:r>
        <w:t>;</w:t>
      </w:r>
      <w:r w:rsidR="00F80DA5" w:rsidRPr="00AB1C08">
        <w:t xml:space="preserve"> </w:t>
      </w:r>
    </w:p>
    <w:p w14:paraId="6581C296" w14:textId="29F32BCB" w:rsidR="00F80DA5" w:rsidRDefault="00E13E31">
      <w:pPr>
        <w:pStyle w:val="ListParagraph"/>
        <w:numPr>
          <w:ilvl w:val="0"/>
          <w:numId w:val="3"/>
        </w:numPr>
      </w:pPr>
      <w:r>
        <w:t xml:space="preserve">the World Bank Group’s </w:t>
      </w:r>
      <w:r w:rsidR="00F80DA5" w:rsidRPr="00AB1C08">
        <w:t>due diligence and leverage be exercised as far as practicable down the supply chain, and that Integrity Due Diligence (para</w:t>
      </w:r>
      <w:r w:rsidR="006217AC">
        <w:t>.</w:t>
      </w:r>
      <w:r w:rsidR="00F80DA5" w:rsidRPr="00AB1C08">
        <w:t xml:space="preserve"> 144) not be limited only to “potential lead investors”</w:t>
      </w:r>
      <w:r>
        <w:t>;</w:t>
      </w:r>
    </w:p>
    <w:p w14:paraId="3E12DE37" w14:textId="77777777" w:rsidR="00E13E31" w:rsidRDefault="00E13E31">
      <w:pPr>
        <w:pStyle w:val="ListParagraph"/>
        <w:numPr>
          <w:ilvl w:val="0"/>
          <w:numId w:val="3"/>
        </w:numPr>
      </w:pPr>
      <w:r>
        <w:t xml:space="preserve">the World Bank Group provide and/or enable remedy on a more proactive and consistent basis, </w:t>
      </w:r>
      <w:r w:rsidRPr="00AB1C08">
        <w:t xml:space="preserve">within a larger “remedy eco-system” approach, predicated upon </w:t>
      </w:r>
      <w:r>
        <w:t xml:space="preserve">the </w:t>
      </w:r>
      <w:r w:rsidRPr="00AB1C08">
        <w:t>explicit recognition of the right to an effective remedy</w:t>
      </w:r>
      <w:r>
        <w:t>,</w:t>
      </w:r>
      <w:r w:rsidRPr="00AB1C08">
        <w:t xml:space="preserve"> </w:t>
      </w:r>
      <w:r>
        <w:t>and guided by</w:t>
      </w:r>
      <w:r w:rsidRPr="00AB1C08">
        <w:t xml:space="preserve"> a differentiated assessment of responsibility for harms</w:t>
      </w:r>
      <w:r>
        <w:t xml:space="preserve"> on a case-by-case basis;</w:t>
      </w:r>
    </w:p>
    <w:p w14:paraId="74E3C921" w14:textId="77777777" w:rsidR="00F80DA5" w:rsidRDefault="00E13E31">
      <w:pPr>
        <w:pStyle w:val="ListParagraph"/>
        <w:numPr>
          <w:ilvl w:val="0"/>
          <w:numId w:val="3"/>
        </w:numPr>
      </w:pPr>
      <w:r>
        <w:t>the World Bank Group consider establishing a no-fault liability scheme</w:t>
      </w:r>
      <w:r w:rsidRPr="00AB1C08">
        <w:t xml:space="preserve"> </w:t>
      </w:r>
      <w:r>
        <w:t xml:space="preserve">as part of its approach to the question of remedy, and that commitments to providing and/or enabling remedy be </w:t>
      </w:r>
      <w:r w:rsidRPr="000D581F">
        <w:t>integrated within contractual conditions and policy dialogues</w:t>
      </w:r>
      <w:r>
        <w:t xml:space="preserve"> with clients;</w:t>
      </w:r>
    </w:p>
    <w:p w14:paraId="04FF1653" w14:textId="77777777" w:rsidR="00E13E31" w:rsidRDefault="003C3D07">
      <w:pPr>
        <w:pStyle w:val="ListParagraph"/>
        <w:numPr>
          <w:ilvl w:val="0"/>
          <w:numId w:val="3"/>
        </w:numPr>
      </w:pPr>
      <w:r w:rsidRPr="000D581F">
        <w:t xml:space="preserve">reprisals risks be included within the draft </w:t>
      </w:r>
      <w:r>
        <w:t xml:space="preserve">FCV </w:t>
      </w:r>
      <w:r w:rsidRPr="000D581F">
        <w:t>strategy’s discussion of non-financial risks and that the IBRD/IDA also develops specific procedures, anchored in ESS 10, to help the World Bank Group as whole more effectively prevent and respond to reprisals</w:t>
      </w:r>
      <w:r>
        <w:t xml:space="preserve"> risks; </w:t>
      </w:r>
    </w:p>
    <w:p w14:paraId="49082F31" w14:textId="3F949A69" w:rsidR="003C3D07" w:rsidRDefault="003C3D07">
      <w:pPr>
        <w:pStyle w:val="ListParagraph"/>
        <w:numPr>
          <w:ilvl w:val="0"/>
          <w:numId w:val="3"/>
        </w:numPr>
      </w:pPr>
      <w:r w:rsidRPr="000D581F">
        <w:lastRenderedPageBreak/>
        <w:t>duties and expectations in relation to reprisals risk be integrated within contractual conditions and implemented through formalised partnership arrangements with actors with specialised protection roles</w:t>
      </w:r>
      <w:r>
        <w:t>;</w:t>
      </w:r>
    </w:p>
    <w:p w14:paraId="5A0737C0" w14:textId="6ED8540D" w:rsidR="003C3D07" w:rsidRDefault="00CE3710">
      <w:pPr>
        <w:pStyle w:val="ListParagraph"/>
        <w:numPr>
          <w:ilvl w:val="0"/>
          <w:numId w:val="3"/>
        </w:numPr>
      </w:pPr>
      <w:proofErr w:type="gramStart"/>
      <w:r w:rsidRPr="000D581F">
        <w:t>the</w:t>
      </w:r>
      <w:proofErr w:type="gramEnd"/>
      <w:r w:rsidRPr="000D581F">
        <w:t xml:space="preserve"> Bank </w:t>
      </w:r>
      <w:r>
        <w:t xml:space="preserve">apply standards of </w:t>
      </w:r>
      <w:r w:rsidRPr="000D581F">
        <w:t>the UN system’s “Human Rights Due Diligence Policy”</w:t>
      </w:r>
      <w:r>
        <w:t>,</w:t>
      </w:r>
      <w:r w:rsidRPr="000D581F">
        <w:t xml:space="preserve"> which governs the UN system’s support to non-UN security forces</w:t>
      </w:r>
      <w:r w:rsidR="003E6C5E">
        <w:t xml:space="preserve">. OHCHR is ready to assist </w:t>
      </w:r>
      <w:r w:rsidR="00717AAF">
        <w:t>in providing guidance on the implementation of the policy and/or in conducting the risk assessments for the World Bank as needed</w:t>
      </w:r>
      <w:r w:rsidR="003C3D07">
        <w:t>;</w:t>
      </w:r>
    </w:p>
    <w:p w14:paraId="0E1F12B0" w14:textId="36C4F4F8" w:rsidR="008003A6" w:rsidRDefault="008003A6">
      <w:pPr>
        <w:pStyle w:val="ListParagraph"/>
        <w:numPr>
          <w:ilvl w:val="0"/>
          <w:numId w:val="3"/>
        </w:numPr>
      </w:pPr>
      <w:r>
        <w:t>p</w:t>
      </w:r>
      <w:r w:rsidRPr="00830A3B">
        <w:t>olicy derogation</w:t>
      </w:r>
      <w:r>
        <w:t>s</w:t>
      </w:r>
      <w:r w:rsidRPr="00830A3B">
        <w:t xml:space="preserve"> should be allowed only when </w:t>
      </w:r>
      <w:r>
        <w:t xml:space="preserve">strictly </w:t>
      </w:r>
      <w:r w:rsidRPr="00830A3B">
        <w:t xml:space="preserve">necessary </w:t>
      </w:r>
      <w:r>
        <w:t xml:space="preserve">to avoid imminent harm </w:t>
      </w:r>
      <w:r w:rsidRPr="00830A3B">
        <w:t>or similar explicit and limited reasons that meet clear public interest needs</w:t>
      </w:r>
      <w:r>
        <w:t>;</w:t>
      </w:r>
    </w:p>
    <w:p w14:paraId="3805ACE7" w14:textId="77777777" w:rsidR="008003A6" w:rsidRDefault="008003A6">
      <w:pPr>
        <w:pStyle w:val="ListParagraph"/>
        <w:numPr>
          <w:ilvl w:val="0"/>
          <w:numId w:val="3"/>
        </w:numPr>
      </w:pPr>
      <w:proofErr w:type="gramStart"/>
      <w:r>
        <w:t>para</w:t>
      </w:r>
      <w:proofErr w:type="gramEnd"/>
      <w:r>
        <w:t xml:space="preserve">. 132 require advance written public justification for any derogation request, with supporting evidence of how a proposed derogation would avoid imminent harm or other compelling public interest criteria, and evidence that all possible measures to ensure application of PS’s were pursued; </w:t>
      </w:r>
    </w:p>
    <w:p w14:paraId="507EB912" w14:textId="000D54C5" w:rsidR="008003A6" w:rsidRDefault="008003A6">
      <w:pPr>
        <w:pStyle w:val="ListParagraph"/>
        <w:numPr>
          <w:ilvl w:val="0"/>
          <w:numId w:val="3"/>
        </w:numPr>
      </w:pPr>
      <w:proofErr w:type="gramStart"/>
      <w:r>
        <w:t>para</w:t>
      </w:r>
      <w:proofErr w:type="gramEnd"/>
      <w:r>
        <w:t>. 131 require advance written public justification for any proposed phasing of safeguard requirements beyond the scope already permitted in the PS’s and, in line with para. 126, an explicit commitment that PS-mandated measures must be in place prior to activities that could result in negative environmental and social impacts</w:t>
      </w:r>
      <w:r w:rsidR="00B257FB">
        <w:t>;</w:t>
      </w:r>
    </w:p>
    <w:p w14:paraId="61F2AF7E" w14:textId="1EB521C2" w:rsidR="003C3D07" w:rsidRPr="00492477" w:rsidRDefault="008003A6">
      <w:pPr>
        <w:pStyle w:val="ListParagraph"/>
        <w:numPr>
          <w:ilvl w:val="0"/>
          <w:numId w:val="3"/>
        </w:numPr>
      </w:pPr>
      <w:r>
        <w:rPr>
          <w:rFonts w:asciiTheme="minorHAnsi" w:hAnsiTheme="minorHAnsi" w:cstheme="minorBidi"/>
        </w:rPr>
        <w:t>decisions on phasing or derogating safeguards should take</w:t>
      </w:r>
      <w:r w:rsidRPr="00830A3B">
        <w:rPr>
          <w:rFonts w:asciiTheme="minorHAnsi" w:hAnsiTheme="minorHAnsi" w:cstheme="minorBidi"/>
        </w:rPr>
        <w:t xml:space="preserve"> full account be taken of the human rights laws and obligations under international (including UN and regional) human rights instruments appl</w:t>
      </w:r>
      <w:r>
        <w:rPr>
          <w:rFonts w:asciiTheme="minorHAnsi" w:hAnsiTheme="minorHAnsi" w:cstheme="minorBidi"/>
        </w:rPr>
        <w:t>icable in the country concerned;</w:t>
      </w:r>
    </w:p>
    <w:p w14:paraId="25DCC0A2" w14:textId="57741A32" w:rsidR="00492477" w:rsidRPr="003C3D07" w:rsidRDefault="00492477">
      <w:pPr>
        <w:pStyle w:val="ListParagraph"/>
        <w:numPr>
          <w:ilvl w:val="0"/>
          <w:numId w:val="3"/>
        </w:numPr>
      </w:pPr>
      <w:r>
        <w:rPr>
          <w:rFonts w:asciiTheme="minorHAnsi" w:hAnsiTheme="minorHAnsi" w:cstheme="minorBidi"/>
        </w:rPr>
        <w:t>paragraph 135 of the draft strategy be deleted</w:t>
      </w:r>
      <w:r w:rsidR="00CE3710">
        <w:rPr>
          <w:rFonts w:asciiTheme="minorHAnsi" w:hAnsiTheme="minorHAnsi" w:cstheme="minorBidi"/>
        </w:rPr>
        <w:t>, and accountability not arbitrarily be excluded following divestment or project closure</w:t>
      </w:r>
      <w:r>
        <w:rPr>
          <w:rFonts w:asciiTheme="minorHAnsi" w:hAnsiTheme="minorHAnsi" w:cstheme="minorBidi"/>
        </w:rPr>
        <w:t>;</w:t>
      </w:r>
    </w:p>
    <w:p w14:paraId="36436072" w14:textId="720F519F" w:rsidR="003C3D07" w:rsidRDefault="003C3D07">
      <w:pPr>
        <w:pStyle w:val="ListParagraph"/>
        <w:numPr>
          <w:ilvl w:val="0"/>
          <w:numId w:val="3"/>
        </w:numPr>
      </w:pPr>
      <w:r w:rsidRPr="000D581F">
        <w:t>the</w:t>
      </w:r>
      <w:r w:rsidR="00825C1E">
        <w:t xml:space="preserve"> </w:t>
      </w:r>
      <w:r w:rsidR="00B257FB">
        <w:t>draft</w:t>
      </w:r>
      <w:r w:rsidRPr="000D581F">
        <w:t xml:space="preserve"> strategy</w:t>
      </w:r>
      <w:r>
        <w:t xml:space="preserve"> include a more nuanced discussion of the roles, responsibilities and prospective contributions of the public and private sectors in financing development in FCV settings, taking into account sector specifics and the track record and potentially negative impacts of privatisation in different contexts;</w:t>
      </w:r>
      <w:r w:rsidRPr="000D581F">
        <w:t xml:space="preserve"> </w:t>
      </w:r>
    </w:p>
    <w:p w14:paraId="51D7CFED" w14:textId="66C024BD" w:rsidR="003C3D07" w:rsidRDefault="003C3D07">
      <w:pPr>
        <w:pStyle w:val="ListParagraph"/>
        <w:numPr>
          <w:ilvl w:val="0"/>
          <w:numId w:val="3"/>
        </w:numPr>
      </w:pPr>
      <w:r>
        <w:t xml:space="preserve">the draft strategy </w:t>
      </w:r>
      <w:r w:rsidRPr="000D581F">
        <w:t xml:space="preserve">include a more comprehensive analysis of </w:t>
      </w:r>
      <w:r>
        <w:t xml:space="preserve">the potential negative impacts of </w:t>
      </w:r>
      <w:r w:rsidRPr="000D581F">
        <w:t xml:space="preserve">economic </w:t>
      </w:r>
      <w:r>
        <w:t xml:space="preserve">policies </w:t>
      </w:r>
      <w:r w:rsidRPr="000D581F">
        <w:t xml:space="preserve">on fragility and violence, and that </w:t>
      </w:r>
      <w:r>
        <w:t>economic</w:t>
      </w:r>
      <w:r w:rsidRPr="000D581F">
        <w:t xml:space="preserve"> policy measures be </w:t>
      </w:r>
      <w:r>
        <w:t>informed</w:t>
      </w:r>
      <w:r w:rsidRPr="000D581F">
        <w:t xml:space="preserve"> by human rights impact assessments</w:t>
      </w:r>
      <w:r>
        <w:t>;</w:t>
      </w:r>
    </w:p>
    <w:p w14:paraId="5524FED5" w14:textId="7E76C1D5" w:rsidR="00825C1E" w:rsidRPr="00CC481A" w:rsidRDefault="003C3D07">
      <w:pPr>
        <w:pStyle w:val="ListParagraph"/>
        <w:numPr>
          <w:ilvl w:val="0"/>
          <w:numId w:val="3"/>
        </w:numPr>
        <w:rPr>
          <w:rFonts w:asciiTheme="minorHAnsi" w:hAnsiTheme="minorHAnsi" w:cstheme="minorBidi"/>
        </w:rPr>
      </w:pPr>
      <w:r w:rsidRPr="000D581F">
        <w:rPr>
          <w:rFonts w:asciiTheme="minorHAnsi" w:hAnsiTheme="minorHAnsi" w:cstheme="minorBidi"/>
        </w:rPr>
        <w:t>the FCV strategy include more explicit emphasis on strengthening sexual and reproductive health and rights</w:t>
      </w:r>
      <w:r w:rsidR="007F53FB">
        <w:rPr>
          <w:rFonts w:asciiTheme="minorHAnsi" w:hAnsiTheme="minorHAnsi" w:cstheme="minorBidi"/>
        </w:rPr>
        <w:t xml:space="preserve"> (SRHR)</w:t>
      </w:r>
      <w:r w:rsidR="00825C1E">
        <w:rPr>
          <w:rFonts w:asciiTheme="minorHAnsi" w:hAnsiTheme="minorHAnsi" w:cstheme="minorBidi"/>
        </w:rPr>
        <w:t xml:space="preserve">, including prioritising and funding comprehensive SRHR interventions, </w:t>
      </w:r>
      <w:r w:rsidR="00825C1E" w:rsidRPr="00C945FC">
        <w:rPr>
          <w:rFonts w:asciiTheme="minorHAnsi" w:hAnsiTheme="minorHAnsi" w:cstheme="minorBidi"/>
        </w:rPr>
        <w:t>without discrimination</w:t>
      </w:r>
      <w:r w:rsidR="00825C1E">
        <w:rPr>
          <w:rFonts w:asciiTheme="minorHAnsi" w:hAnsiTheme="minorHAnsi" w:cstheme="minorBidi"/>
        </w:rPr>
        <w:t>;</w:t>
      </w:r>
    </w:p>
    <w:p w14:paraId="075121B3" w14:textId="2CF710AD" w:rsidR="00825C1E" w:rsidRPr="00CC481A" w:rsidRDefault="00825C1E">
      <w:pPr>
        <w:pStyle w:val="ListParagraph"/>
        <w:numPr>
          <w:ilvl w:val="0"/>
          <w:numId w:val="3"/>
        </w:numPr>
        <w:rPr>
          <w:rFonts w:asciiTheme="minorHAnsi" w:hAnsiTheme="minorHAnsi" w:cstheme="minorBidi"/>
        </w:rPr>
      </w:pPr>
      <w:r>
        <w:rPr>
          <w:rFonts w:asciiTheme="minorHAnsi" w:hAnsiTheme="minorHAnsi" w:cstheme="minorBidi"/>
        </w:rPr>
        <w:t xml:space="preserve">the </w:t>
      </w:r>
      <w:r w:rsidR="00112732">
        <w:rPr>
          <w:rFonts w:asciiTheme="minorHAnsi" w:hAnsiTheme="minorHAnsi" w:cstheme="minorBidi"/>
        </w:rPr>
        <w:t xml:space="preserve">FCV </w:t>
      </w:r>
      <w:r>
        <w:rPr>
          <w:rFonts w:asciiTheme="minorHAnsi" w:hAnsiTheme="minorHAnsi" w:cstheme="minorBidi"/>
        </w:rPr>
        <w:t>strategy include more explicit support for national and sub-national women-led and LGBTI-focused organisations who face significant obstacles in being recognised, supported and in accessing funds;</w:t>
      </w:r>
      <w:r w:rsidRPr="00C945FC">
        <w:rPr>
          <w:rFonts w:asciiTheme="minorHAnsi" w:hAnsiTheme="minorHAnsi" w:cstheme="minorBidi"/>
        </w:rPr>
        <w:t xml:space="preserve"> </w:t>
      </w:r>
    </w:p>
    <w:p w14:paraId="5F50A11F" w14:textId="16FC0E4D" w:rsidR="003C3D07" w:rsidRPr="003C3D07" w:rsidRDefault="00825C1E">
      <w:pPr>
        <w:pStyle w:val="ListParagraph"/>
        <w:numPr>
          <w:ilvl w:val="0"/>
          <w:numId w:val="3"/>
        </w:numPr>
      </w:pPr>
      <w:r w:rsidRPr="000D581F">
        <w:rPr>
          <w:rFonts w:asciiTheme="minorHAnsi" w:hAnsiTheme="minorHAnsi" w:cstheme="minorBidi"/>
        </w:rPr>
        <w:t xml:space="preserve">the </w:t>
      </w:r>
      <w:r>
        <w:rPr>
          <w:rFonts w:asciiTheme="minorHAnsi" w:hAnsiTheme="minorHAnsi" w:cstheme="minorBidi"/>
        </w:rPr>
        <w:t xml:space="preserve">FCV </w:t>
      </w:r>
      <w:r w:rsidRPr="000D581F">
        <w:rPr>
          <w:rFonts w:asciiTheme="minorHAnsi" w:hAnsiTheme="minorHAnsi" w:cstheme="minorBidi"/>
        </w:rPr>
        <w:t xml:space="preserve">strategy include more explicit emphasis on </w:t>
      </w:r>
      <w:r>
        <w:rPr>
          <w:rFonts w:asciiTheme="minorHAnsi" w:hAnsiTheme="minorHAnsi" w:cstheme="minorBidi"/>
        </w:rPr>
        <w:t>addressing child marriage</w:t>
      </w:r>
      <w:r w:rsidR="00C42D49">
        <w:rPr>
          <w:rFonts w:asciiTheme="minorHAnsi" w:hAnsiTheme="minorHAnsi" w:cstheme="minorBidi"/>
        </w:rPr>
        <w:t xml:space="preserve"> and the root causes of</w:t>
      </w:r>
      <w:r>
        <w:rPr>
          <w:rFonts w:asciiTheme="minorHAnsi" w:hAnsiTheme="minorHAnsi" w:cstheme="minorBidi"/>
        </w:rPr>
        <w:t xml:space="preserve"> GBV</w:t>
      </w:r>
      <w:r w:rsidR="00C42D49">
        <w:rPr>
          <w:rFonts w:asciiTheme="minorHAnsi" w:hAnsiTheme="minorHAnsi" w:cstheme="minorBidi"/>
        </w:rPr>
        <w:t xml:space="preserve"> and</w:t>
      </w:r>
      <w:r w:rsidR="0001608F">
        <w:rPr>
          <w:rFonts w:asciiTheme="minorHAnsi" w:hAnsiTheme="minorHAnsi" w:cstheme="minorBidi"/>
        </w:rPr>
        <w:t xml:space="preserve"> </w:t>
      </w:r>
      <w:r>
        <w:rPr>
          <w:rFonts w:asciiTheme="minorHAnsi" w:hAnsiTheme="minorHAnsi" w:cstheme="minorBidi"/>
        </w:rPr>
        <w:t>sexual violence</w:t>
      </w:r>
      <w:r w:rsidR="00112732">
        <w:rPr>
          <w:rFonts w:asciiTheme="minorHAnsi" w:hAnsiTheme="minorHAnsi" w:cstheme="minorBidi"/>
        </w:rPr>
        <w:t>;</w:t>
      </w:r>
    </w:p>
    <w:p w14:paraId="674449D5" w14:textId="6A2E7F45" w:rsidR="00F6123B" w:rsidRPr="00E4632B" w:rsidRDefault="00F6123B" w:rsidP="00F6123B">
      <w:pPr>
        <w:pStyle w:val="ListParagraph"/>
        <w:numPr>
          <w:ilvl w:val="0"/>
          <w:numId w:val="3"/>
        </w:numPr>
      </w:pPr>
      <w:r w:rsidRPr="00E4632B">
        <w:rPr>
          <w:rFonts w:asciiTheme="minorHAnsi" w:eastAsia="Times New Roman" w:hAnsiTheme="minorHAnsi" w:cstheme="minorHAnsi"/>
          <w:lang w:val="en-US"/>
        </w:rPr>
        <w:t>Section 3 of the draft strategy (</w:t>
      </w:r>
      <w:proofErr w:type="spellStart"/>
      <w:r w:rsidRPr="00E4632B">
        <w:rPr>
          <w:rFonts w:asciiTheme="minorHAnsi" w:eastAsia="Times New Roman" w:hAnsiTheme="minorHAnsi" w:cstheme="minorHAnsi"/>
          <w:lang w:val="en-US"/>
        </w:rPr>
        <w:t>Operationalisation</w:t>
      </w:r>
      <w:proofErr w:type="spellEnd"/>
      <w:r w:rsidRPr="00E4632B">
        <w:rPr>
          <w:rFonts w:asciiTheme="minorHAnsi" w:eastAsia="Times New Roman" w:hAnsiTheme="minorHAnsi" w:cstheme="minorHAnsi"/>
          <w:lang w:val="en-US"/>
        </w:rPr>
        <w:t>), and the recommendations section (</w:t>
      </w:r>
      <w:proofErr w:type="spellStart"/>
      <w:r w:rsidRPr="00E4632B">
        <w:rPr>
          <w:rFonts w:asciiTheme="minorHAnsi" w:eastAsia="Times New Roman" w:hAnsiTheme="minorHAnsi" w:cstheme="minorHAnsi"/>
          <w:lang w:val="en-US"/>
        </w:rPr>
        <w:t>p.ix</w:t>
      </w:r>
      <w:proofErr w:type="spellEnd"/>
      <w:r w:rsidRPr="00E4632B">
        <w:rPr>
          <w:rFonts w:asciiTheme="minorHAnsi" w:eastAsia="Times New Roman" w:hAnsiTheme="minorHAnsi" w:cstheme="minorHAnsi"/>
          <w:lang w:val="en-US"/>
        </w:rPr>
        <w:t>) include a commitment to integrate the results of RRAs systematically in SCDs, as well as CPFs;</w:t>
      </w:r>
    </w:p>
    <w:p w14:paraId="41D157A1" w14:textId="77777777" w:rsidR="00F6123B" w:rsidRDefault="00F6123B" w:rsidP="00F6123B">
      <w:pPr>
        <w:pStyle w:val="ListParagraph"/>
        <w:numPr>
          <w:ilvl w:val="0"/>
          <w:numId w:val="3"/>
        </w:numPr>
      </w:pPr>
      <w:r>
        <w:rPr>
          <w:rFonts w:asciiTheme="minorHAnsi" w:hAnsiTheme="minorHAnsi" w:cstheme="minorHAnsi"/>
        </w:rPr>
        <w:t>the FCV strategy emphasise the</w:t>
      </w:r>
      <w:r w:rsidRPr="00F1342D">
        <w:rPr>
          <w:rFonts w:asciiTheme="minorHAnsi" w:hAnsiTheme="minorHAnsi" w:cstheme="minorHAnsi"/>
        </w:rPr>
        <w:t xml:space="preserve"> opportunities</w:t>
      </w:r>
      <w:r w:rsidRPr="00CB74BF">
        <w:rPr>
          <w:rFonts w:asciiTheme="minorHAnsi" w:hAnsiTheme="minorHAnsi" w:cstheme="minorHAnsi"/>
        </w:rPr>
        <w:t xml:space="preserve"> enabled by emergent methodologies empowered by technological advance</w:t>
      </w:r>
      <w:r>
        <w:rPr>
          <w:rFonts w:asciiTheme="minorHAnsi" w:hAnsiTheme="minorHAnsi" w:cstheme="minorHAnsi"/>
        </w:rPr>
        <w:t>s, including AI-assisted sentiment analytics, in the early warning context;</w:t>
      </w:r>
    </w:p>
    <w:p w14:paraId="68A1D130" w14:textId="18A0AA46" w:rsidR="00492477" w:rsidRPr="00492477" w:rsidRDefault="007523A6">
      <w:pPr>
        <w:pStyle w:val="ListParagraph"/>
        <w:numPr>
          <w:ilvl w:val="0"/>
          <w:numId w:val="3"/>
        </w:numPr>
      </w:pPr>
      <w:r w:rsidRPr="000D581F">
        <w:rPr>
          <w:rFonts w:asciiTheme="minorHAnsi" w:hAnsiTheme="minorHAnsi" w:cstheme="minorBidi"/>
        </w:rPr>
        <w:t xml:space="preserve">the Bank’s continuing engagement </w:t>
      </w:r>
      <w:r>
        <w:rPr>
          <w:rFonts w:asciiTheme="minorHAnsi" w:hAnsiTheme="minorHAnsi" w:cstheme="minorBidi"/>
        </w:rPr>
        <w:t xml:space="preserve">with countries </w:t>
      </w:r>
      <w:r w:rsidRPr="000D581F">
        <w:rPr>
          <w:rFonts w:asciiTheme="minorHAnsi" w:hAnsiTheme="minorHAnsi" w:cstheme="minorBidi"/>
        </w:rPr>
        <w:t xml:space="preserve">be guided by an explicit “responsible exit” policy, taking into account </w:t>
      </w:r>
      <w:r w:rsidR="00492477">
        <w:rPr>
          <w:rFonts w:asciiTheme="minorHAnsi" w:hAnsiTheme="minorHAnsi" w:cstheme="minorBidi"/>
        </w:rPr>
        <w:t>the Bank’s actual and potential leverage to prevent or mitigate adverse impacts, criticality of the particular client relationship, and foreseeable human rights impacts; and</w:t>
      </w:r>
      <w:r>
        <w:rPr>
          <w:rFonts w:asciiTheme="minorHAnsi" w:hAnsiTheme="minorHAnsi" w:cstheme="minorBidi"/>
        </w:rPr>
        <w:t xml:space="preserve"> </w:t>
      </w:r>
    </w:p>
    <w:p w14:paraId="3341FCED" w14:textId="2C80361C" w:rsidR="003C3D07" w:rsidRDefault="007523A6">
      <w:pPr>
        <w:pStyle w:val="ListParagraph"/>
        <w:numPr>
          <w:ilvl w:val="0"/>
          <w:numId w:val="3"/>
        </w:numPr>
      </w:pPr>
      <w:proofErr w:type="gramStart"/>
      <w:r>
        <w:rPr>
          <w:rFonts w:asciiTheme="minorHAnsi" w:hAnsiTheme="minorHAnsi" w:cstheme="minorBidi"/>
        </w:rPr>
        <w:t>where</w:t>
      </w:r>
      <w:proofErr w:type="gramEnd"/>
      <w:r>
        <w:rPr>
          <w:rFonts w:asciiTheme="minorHAnsi" w:hAnsiTheme="minorHAnsi" w:cstheme="minorBidi"/>
        </w:rPr>
        <w:t xml:space="preserve"> </w:t>
      </w:r>
      <w:r w:rsidRPr="000D581F">
        <w:rPr>
          <w:rFonts w:asciiTheme="minorHAnsi" w:hAnsiTheme="minorHAnsi" w:cstheme="minorBidi"/>
        </w:rPr>
        <w:t xml:space="preserve">human rights violations are endemic, Development Policy Operations or other direct budget support measures </w:t>
      </w:r>
      <w:r w:rsidRPr="00AD0794">
        <w:rPr>
          <w:rFonts w:asciiTheme="minorHAnsi" w:hAnsiTheme="minorHAnsi" w:cstheme="minorBidi"/>
        </w:rPr>
        <w:t xml:space="preserve">should </w:t>
      </w:r>
      <w:r w:rsidR="00AD0794" w:rsidRPr="00AD0794">
        <w:rPr>
          <w:rFonts w:asciiTheme="minorHAnsi" w:hAnsiTheme="minorHAnsi" w:cstheme="minorBidi"/>
        </w:rPr>
        <w:t>in principle</w:t>
      </w:r>
      <w:r w:rsidRPr="000D581F">
        <w:rPr>
          <w:rFonts w:asciiTheme="minorHAnsi" w:hAnsiTheme="minorHAnsi" w:cstheme="minorBidi"/>
        </w:rPr>
        <w:t xml:space="preserve"> be ruled out</w:t>
      </w:r>
      <w:r>
        <w:rPr>
          <w:rFonts w:asciiTheme="minorHAnsi" w:hAnsiTheme="minorHAnsi" w:cstheme="minorBidi"/>
        </w:rPr>
        <w:t>.</w:t>
      </w:r>
    </w:p>
    <w:sectPr w:rsidR="003C3D0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F40E3" w14:textId="77777777" w:rsidR="00C976F8" w:rsidRDefault="00C976F8" w:rsidP="002A4248">
      <w:r>
        <w:separator/>
      </w:r>
    </w:p>
  </w:endnote>
  <w:endnote w:type="continuationSeparator" w:id="0">
    <w:p w14:paraId="153D057F" w14:textId="77777777" w:rsidR="00C976F8" w:rsidRDefault="00C976F8" w:rsidP="002A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684625"/>
      <w:docPartObj>
        <w:docPartGallery w:val="Page Numbers (Bottom of Page)"/>
        <w:docPartUnique/>
      </w:docPartObj>
    </w:sdtPr>
    <w:sdtEndPr>
      <w:rPr>
        <w:noProof/>
      </w:rPr>
    </w:sdtEndPr>
    <w:sdtContent>
      <w:p w14:paraId="6C9EB33E" w14:textId="51C61D82" w:rsidR="002A4248" w:rsidRDefault="002A4248">
        <w:pPr>
          <w:pStyle w:val="Footer"/>
          <w:jc w:val="right"/>
        </w:pPr>
        <w:r>
          <w:fldChar w:fldCharType="begin"/>
        </w:r>
        <w:r>
          <w:instrText xml:space="preserve"> PAGE   \* MERGEFORMAT </w:instrText>
        </w:r>
        <w:r>
          <w:fldChar w:fldCharType="separate"/>
        </w:r>
        <w:r w:rsidR="003210AC">
          <w:rPr>
            <w:noProof/>
          </w:rPr>
          <w:t>9</w:t>
        </w:r>
        <w:r>
          <w:rPr>
            <w:noProof/>
          </w:rPr>
          <w:fldChar w:fldCharType="end"/>
        </w:r>
      </w:p>
    </w:sdtContent>
  </w:sdt>
  <w:p w14:paraId="1F4F4943" w14:textId="77777777" w:rsidR="002A4248" w:rsidRDefault="002A4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3C3DE" w14:textId="77777777" w:rsidR="00C976F8" w:rsidRDefault="00C976F8" w:rsidP="002A4248">
      <w:r>
        <w:separator/>
      </w:r>
    </w:p>
  </w:footnote>
  <w:footnote w:type="continuationSeparator" w:id="0">
    <w:p w14:paraId="1E1C82B4" w14:textId="77777777" w:rsidR="00C976F8" w:rsidRDefault="00C976F8" w:rsidP="002A4248">
      <w:r>
        <w:continuationSeparator/>
      </w:r>
    </w:p>
  </w:footnote>
  <w:footnote w:id="1">
    <w:p w14:paraId="37D16D42" w14:textId="2D7C4263" w:rsidR="00C9688F" w:rsidRPr="004D5775" w:rsidRDefault="00C9688F">
      <w:pPr>
        <w:pStyle w:val="FootnoteText"/>
      </w:pPr>
      <w:r>
        <w:rPr>
          <w:rStyle w:val="FootnoteReference"/>
        </w:rPr>
        <w:footnoteRef/>
      </w:r>
      <w:r>
        <w:t xml:space="preserve"> </w:t>
      </w:r>
      <w:proofErr w:type="gramStart"/>
      <w:r w:rsidRPr="004D5775">
        <w:rPr>
          <w:rFonts w:asciiTheme="minorHAnsi" w:hAnsiTheme="minorHAnsi" w:cstheme="minorBidi"/>
        </w:rPr>
        <w:t xml:space="preserve">Relevant references </w:t>
      </w:r>
      <w:r w:rsidRPr="004D5775">
        <w:rPr>
          <w:rFonts w:asciiTheme="minorHAnsi" w:hAnsiTheme="minorHAnsi" w:cstheme="minorHAnsi"/>
        </w:rPr>
        <w:t xml:space="preserve">include Legal opinion of the General Counsel of the World Bank Group, 11 July 1995, reprinted in Ibrahim </w:t>
      </w:r>
      <w:proofErr w:type="spellStart"/>
      <w:r w:rsidRPr="004D5775">
        <w:rPr>
          <w:rFonts w:asciiTheme="minorHAnsi" w:hAnsiTheme="minorHAnsi" w:cstheme="minorHAnsi"/>
        </w:rPr>
        <w:t>Shihata</w:t>
      </w:r>
      <w:proofErr w:type="spellEnd"/>
      <w:r w:rsidRPr="004D5775">
        <w:rPr>
          <w:rFonts w:asciiTheme="minorHAnsi" w:hAnsiTheme="minorHAnsi" w:cstheme="minorHAnsi"/>
        </w:rPr>
        <w:t xml:space="preserve">, THE WORLD BANK LEGAL PAPERS (2000) </w:t>
      </w:r>
      <w:r w:rsidRPr="004D5775">
        <w:rPr>
          <w:rFonts w:asciiTheme="minorHAnsi" w:hAnsiTheme="minorHAnsi" w:cstheme="minorHAnsi"/>
          <w:i/>
        </w:rPr>
        <w:t>at</w:t>
      </w:r>
      <w:r w:rsidRPr="004D5775">
        <w:rPr>
          <w:rFonts w:asciiTheme="minorHAnsi" w:hAnsiTheme="minorHAnsi" w:cstheme="minorHAnsi"/>
        </w:rPr>
        <w:t xml:space="preserve"> 29; Ibrahim </w:t>
      </w:r>
      <w:proofErr w:type="spellStart"/>
      <w:r w:rsidRPr="004D5775">
        <w:rPr>
          <w:rFonts w:asciiTheme="minorHAnsi" w:hAnsiTheme="minorHAnsi" w:cstheme="minorHAnsi"/>
        </w:rPr>
        <w:t>Shihata</w:t>
      </w:r>
      <w:proofErr w:type="spellEnd"/>
      <w:r w:rsidRPr="004D5775">
        <w:rPr>
          <w:rFonts w:asciiTheme="minorHAnsi" w:hAnsiTheme="minorHAnsi" w:cstheme="minorHAnsi"/>
        </w:rPr>
        <w:t xml:space="preserve">, THE WORLD BANK IN A CHANGING WORLD: SELECTED ESSAYS (1995) at 53-97; Ibrahim </w:t>
      </w:r>
      <w:proofErr w:type="spellStart"/>
      <w:r w:rsidRPr="004D5775">
        <w:rPr>
          <w:rFonts w:asciiTheme="minorHAnsi" w:hAnsiTheme="minorHAnsi" w:cstheme="minorHAnsi"/>
        </w:rPr>
        <w:t>Shihata</w:t>
      </w:r>
      <w:proofErr w:type="spellEnd"/>
      <w:r w:rsidRPr="004D5775">
        <w:rPr>
          <w:rFonts w:asciiTheme="minorHAnsi" w:hAnsiTheme="minorHAnsi" w:cstheme="minorHAnsi"/>
        </w:rPr>
        <w:t xml:space="preserve">, </w:t>
      </w:r>
      <w:r w:rsidRPr="004D5775">
        <w:rPr>
          <w:rFonts w:asciiTheme="minorHAnsi" w:hAnsiTheme="minorHAnsi" w:cstheme="minorHAnsi"/>
          <w:i/>
        </w:rPr>
        <w:t>The Dynamic Evolution of International Organisations: The Case of the World Bank</w:t>
      </w:r>
      <w:r w:rsidRPr="004D5775">
        <w:rPr>
          <w:rFonts w:asciiTheme="minorHAnsi" w:hAnsiTheme="minorHAnsi" w:cstheme="minorHAnsi"/>
        </w:rPr>
        <w:t xml:space="preserve">, 2 J. HIST. INT’L L. 217, 246 (2000); and by analogy, Anne-Marie LeRoy, “Legal note on Bank involvement in the criminal justice sector,” </w:t>
      </w:r>
      <w:r w:rsidR="00D616AF">
        <w:rPr>
          <w:rFonts w:asciiTheme="minorHAnsi" w:hAnsiTheme="minorHAnsi" w:cstheme="minorHAnsi"/>
        </w:rPr>
        <w:t>(Feb. 9,</w:t>
      </w:r>
      <w:r w:rsidRPr="004D5775">
        <w:rPr>
          <w:rFonts w:asciiTheme="minorHAnsi" w:hAnsiTheme="minorHAnsi" w:cstheme="minorHAnsi"/>
        </w:rPr>
        <w:t xml:space="preserve"> 2012</w:t>
      </w:r>
      <w:r w:rsidR="00D616AF">
        <w:rPr>
          <w:rFonts w:asciiTheme="minorHAnsi" w:hAnsiTheme="minorHAnsi" w:cstheme="minorHAnsi"/>
        </w:rPr>
        <w:t>)</w:t>
      </w:r>
      <w:r w:rsidRPr="004D5775">
        <w:rPr>
          <w:rFonts w:asciiTheme="minorHAnsi" w:hAnsiTheme="minorHAnsi" w:cstheme="minorHAnsi"/>
        </w:rPr>
        <w:t xml:space="preserve">, </w:t>
      </w:r>
      <w:r w:rsidRPr="004D5775">
        <w:rPr>
          <w:rFonts w:asciiTheme="minorHAnsi" w:hAnsiTheme="minorHAnsi" w:cstheme="minorHAnsi"/>
          <w:i/>
        </w:rPr>
        <w:t>available at</w:t>
      </w:r>
      <w:r w:rsidRPr="004D5775">
        <w:rPr>
          <w:rFonts w:asciiTheme="minorHAnsi" w:hAnsiTheme="minorHAnsi" w:cstheme="minorHAnsi"/>
        </w:rPr>
        <w:t xml:space="preserve"> </w:t>
      </w:r>
      <w:hyperlink r:id="rId1" w:history="1">
        <w:r w:rsidR="00F80DA5" w:rsidRPr="004B535B">
          <w:rPr>
            <w:rStyle w:val="Hyperlink"/>
            <w:rFonts w:asciiTheme="minorHAnsi" w:hAnsiTheme="minorHAnsi" w:cstheme="minorHAnsi"/>
          </w:rPr>
          <w:t>http://siteresources.worldbank.org/INTLAWJUSTINST/Resources/CriminalJusticeLegalNote.pdf</w:t>
        </w:r>
      </w:hyperlink>
      <w:r w:rsidR="00F80DA5">
        <w:rPr>
          <w:rFonts w:asciiTheme="minorHAnsi" w:hAnsiTheme="minorHAnsi" w:cstheme="minorHAnsi"/>
        </w:rPr>
        <w:t>.</w:t>
      </w:r>
      <w:proofErr w:type="gramEnd"/>
      <w:r w:rsidR="00F80DA5">
        <w:rPr>
          <w:rFonts w:asciiTheme="minorHAnsi" w:hAnsiTheme="minorHAnsi" w:cstheme="minorHAnsi"/>
        </w:rPr>
        <w:t xml:space="preserve"> </w:t>
      </w:r>
    </w:p>
  </w:footnote>
  <w:footnote w:id="2">
    <w:p w14:paraId="5F7950AC" w14:textId="528EF031" w:rsidR="00D616AF" w:rsidRPr="00D616AF" w:rsidRDefault="00D616AF">
      <w:pPr>
        <w:pStyle w:val="FootnoteText"/>
      </w:pPr>
      <w:r>
        <w:rPr>
          <w:rStyle w:val="FootnoteReference"/>
        </w:rPr>
        <w:footnoteRef/>
      </w:r>
      <w:r>
        <w:t xml:space="preserve"> For an illustrative </w:t>
      </w:r>
      <w:proofErr w:type="gramStart"/>
      <w:r>
        <w:t>analysis</w:t>
      </w:r>
      <w:proofErr w:type="gramEnd"/>
      <w:r>
        <w:t xml:space="preserve"> see UN Doc. A/HRC/38/20/Add. </w:t>
      </w:r>
      <w:proofErr w:type="gramStart"/>
      <w:r>
        <w:t>2</w:t>
      </w:r>
      <w:proofErr w:type="gramEnd"/>
      <w:r>
        <w:t xml:space="preserve"> (June 1, 2018), </w:t>
      </w:r>
      <w:r w:rsidRPr="00E4632B">
        <w:rPr>
          <w:i/>
        </w:rPr>
        <w:t>available at</w:t>
      </w:r>
      <w:r>
        <w:t xml:space="preserve"> </w:t>
      </w:r>
      <w:r w:rsidRPr="00D616AF">
        <w:t>https://documents-dds-ny.un.org/doc/UNDOC/GEN/G18/143/30/PDF/G1814330.pdf?OpenElement</w:t>
      </w:r>
      <w:r>
        <w:t>.</w:t>
      </w:r>
    </w:p>
  </w:footnote>
  <w:footnote w:id="3">
    <w:p w14:paraId="78595C82" w14:textId="77777777" w:rsidR="00A91DA6" w:rsidRPr="00A91DA6" w:rsidRDefault="00A91DA6" w:rsidP="00A91DA6">
      <w:pPr>
        <w:pStyle w:val="FootnoteText"/>
      </w:pPr>
      <w:r>
        <w:rPr>
          <w:rStyle w:val="FootnoteReference"/>
        </w:rPr>
        <w:footnoteRef/>
      </w:r>
      <w:r>
        <w:t xml:space="preserve"> See </w:t>
      </w:r>
      <w:hyperlink r:id="rId2" w:history="1">
        <w:r w:rsidRPr="004B535B">
          <w:rPr>
            <w:rStyle w:val="Hyperlink"/>
          </w:rPr>
          <w:t>https://www.ohchr.org/EN/HRBodies/Pages/HumanRightsBodies.aspx</w:t>
        </w:r>
      </w:hyperlink>
      <w:r>
        <w:t xml:space="preserve">. </w:t>
      </w:r>
    </w:p>
  </w:footnote>
  <w:footnote w:id="4">
    <w:p w14:paraId="173ED7C6" w14:textId="77777777" w:rsidR="00C81E9B" w:rsidRPr="00C81E9B" w:rsidRDefault="00C81E9B">
      <w:pPr>
        <w:pStyle w:val="FootnoteText"/>
      </w:pPr>
      <w:r>
        <w:rPr>
          <w:rStyle w:val="FootnoteReference"/>
        </w:rPr>
        <w:footnoteRef/>
      </w:r>
      <w:r>
        <w:t xml:space="preserve"> See UN Doc A/HRC/40/CRP.1 (Feb. 20, 2019</w:t>
      </w:r>
      <w:r w:rsidRPr="00AB1C08">
        <w:t>)</w:t>
      </w:r>
      <w:r w:rsidR="00AB1C08" w:rsidRPr="00AB1C08">
        <w:t xml:space="preserve">, </w:t>
      </w:r>
      <w:r w:rsidR="00AB1C08" w:rsidRPr="00E4632B">
        <w:rPr>
          <w:i/>
        </w:rPr>
        <w:t>available at</w:t>
      </w:r>
      <w:r w:rsidR="00AB1C08">
        <w:t xml:space="preserve"> </w:t>
      </w:r>
      <w:hyperlink r:id="rId3" w:history="1">
        <w:r w:rsidR="00AB1C08" w:rsidRPr="004B535B">
          <w:rPr>
            <w:rStyle w:val="Hyperlink"/>
          </w:rPr>
          <w:t>https://www.ohchr.org/EN/HRBodies/HRC/CoHSouthSudan/Pages/Index.aspx</w:t>
        </w:r>
      </w:hyperlink>
      <w:r>
        <w:t>,</w:t>
      </w:r>
      <w:r w:rsidR="00AB1C08">
        <w:t xml:space="preserve"> </w:t>
      </w:r>
      <w:r>
        <w:t>including pp.124-141 (political economy analysis of the oil sector)</w:t>
      </w:r>
      <w:r w:rsidR="008C5A46">
        <w:t xml:space="preserve">, paras. 1014-1015 (linkages between security forces and the oil economy), and </w:t>
      </w:r>
      <w:r>
        <w:t>paras. 926-931 (on how to reconcile peace-building and justice objectives in South Sudan’s context)</w:t>
      </w:r>
      <w:r w:rsidR="00AB1C08">
        <w:t>.</w:t>
      </w:r>
    </w:p>
  </w:footnote>
  <w:footnote w:id="5">
    <w:p w14:paraId="049561ED" w14:textId="66F75EEE" w:rsidR="008F3A43" w:rsidRDefault="008F3A43">
      <w:pPr>
        <w:pStyle w:val="FootnoteText"/>
      </w:pPr>
      <w:r>
        <w:rPr>
          <w:rStyle w:val="FootnoteReference"/>
        </w:rPr>
        <w:footnoteRef/>
      </w:r>
      <w:r>
        <w:t xml:space="preserve"> A/HRC/RES/42/26, para</w:t>
      </w:r>
      <w:r w:rsidR="006217AC">
        <w:t>.</w:t>
      </w:r>
      <w:r>
        <w:t xml:space="preserve"> </w:t>
      </w:r>
      <w:proofErr w:type="gramStart"/>
      <w:r>
        <w:t>22</w:t>
      </w:r>
      <w:proofErr w:type="gramEnd"/>
      <w:r>
        <w:t xml:space="preserve"> (emphasis added). </w:t>
      </w:r>
    </w:p>
  </w:footnote>
  <w:footnote w:id="6">
    <w:p w14:paraId="60E873CF" w14:textId="77777777" w:rsidR="00496350" w:rsidRPr="004D5775" w:rsidRDefault="00496350" w:rsidP="00496350">
      <w:pPr>
        <w:pStyle w:val="FootnoteText"/>
      </w:pPr>
      <w:r w:rsidRPr="004D5775">
        <w:rPr>
          <w:rStyle w:val="FootnoteReference"/>
        </w:rPr>
        <w:footnoteRef/>
      </w:r>
      <w:r w:rsidR="00AB1C08">
        <w:t xml:space="preserve"> </w:t>
      </w:r>
      <w:proofErr w:type="gramStart"/>
      <w:r w:rsidR="00AB1C08">
        <w:t xml:space="preserve">For </w:t>
      </w:r>
      <w:r w:rsidRPr="004D5775">
        <w:t>recent example</w:t>
      </w:r>
      <w:r w:rsidR="00AB1C08">
        <w:t>s</w:t>
      </w:r>
      <w:r w:rsidRPr="004D5775">
        <w:t xml:space="preserve"> see</w:t>
      </w:r>
      <w:r w:rsidR="00F80DA5">
        <w:t xml:space="preserve"> </w:t>
      </w:r>
      <w:hyperlink r:id="rId4" w:history="1">
        <w:r w:rsidR="00F80DA5" w:rsidRPr="004B535B">
          <w:rPr>
            <w:rStyle w:val="Hyperlink"/>
          </w:rPr>
          <w:t>https://www.nytimes.com/2019/11/07/business/lafarge-terrorism-syria.html</w:t>
        </w:r>
      </w:hyperlink>
      <w:r w:rsidR="00F80DA5">
        <w:t xml:space="preserve">, concerning criminal proceedings against construction firm Lafarge </w:t>
      </w:r>
      <w:r w:rsidR="00AB1C08">
        <w:t xml:space="preserve">and </w:t>
      </w:r>
      <w:r w:rsidR="00F80DA5">
        <w:t xml:space="preserve">several of its executives over the company’s operations in Syria, and </w:t>
      </w:r>
      <w:r w:rsidR="00AB1C08">
        <w:t xml:space="preserve">UN Doc A/HRC/40/CRP.1 (Feb. 20, 2019), paras.676-680, concerning prosecution of the CEO and chair of Swedish oil </w:t>
      </w:r>
      <w:r w:rsidR="00F80DA5">
        <w:t>firm Lundin</w:t>
      </w:r>
      <w:r w:rsidR="00AB1C08">
        <w:t xml:space="preserve"> in relation to alleged crimes committed in the context of oil exploration in what is now South Sudan.</w:t>
      </w:r>
      <w:proofErr w:type="gramEnd"/>
    </w:p>
  </w:footnote>
  <w:footnote w:id="7">
    <w:p w14:paraId="76C4DEEE" w14:textId="4BDDE45B" w:rsidR="00521744" w:rsidRPr="00521744" w:rsidRDefault="00521744">
      <w:pPr>
        <w:pStyle w:val="FootnoteText"/>
      </w:pPr>
      <w:r>
        <w:rPr>
          <w:rStyle w:val="FootnoteReference"/>
        </w:rPr>
        <w:footnoteRef/>
      </w:r>
      <w:r>
        <w:t xml:space="preserve"> See </w:t>
      </w:r>
      <w:hyperlink r:id="rId5" w:history="1">
        <w:r w:rsidRPr="00446D46">
          <w:rPr>
            <w:rStyle w:val="Hyperlink"/>
          </w:rPr>
          <w:t>https://www.ohchr.org/documents/publications/guidingprinciplesbusinesshr_en.pdf</w:t>
        </w:r>
      </w:hyperlink>
      <w:r>
        <w:t xml:space="preserve">. </w:t>
      </w:r>
    </w:p>
  </w:footnote>
  <w:footnote w:id="8">
    <w:p w14:paraId="0FE7EEA6" w14:textId="03E713DF" w:rsidR="00521744" w:rsidRPr="00521744" w:rsidRDefault="00521744">
      <w:pPr>
        <w:pStyle w:val="FootnoteText"/>
      </w:pPr>
      <w:r>
        <w:rPr>
          <w:rStyle w:val="FootnoteReference"/>
        </w:rPr>
        <w:footnoteRef/>
      </w:r>
      <w:r>
        <w:t xml:space="preserve"> See </w:t>
      </w:r>
      <w:hyperlink r:id="rId6" w:history="1">
        <w:r w:rsidRPr="00446D46">
          <w:rPr>
            <w:rStyle w:val="Hyperlink"/>
          </w:rPr>
          <w:t>https://www.imvoconvenanten.nl/en/banking/news/recommendations-remediation</w:t>
        </w:r>
      </w:hyperlink>
      <w:r>
        <w:t xml:space="preserve">. </w:t>
      </w:r>
    </w:p>
  </w:footnote>
  <w:footnote w:id="9">
    <w:p w14:paraId="1BE39E36" w14:textId="14D56C6D" w:rsidR="009A624C" w:rsidRPr="009A624C" w:rsidRDefault="009A624C">
      <w:pPr>
        <w:pStyle w:val="FootnoteText"/>
      </w:pPr>
      <w:r>
        <w:rPr>
          <w:rStyle w:val="FootnoteReference"/>
        </w:rPr>
        <w:footnoteRef/>
      </w:r>
      <w:r>
        <w:t xml:space="preserve"> </w:t>
      </w:r>
      <w:r w:rsidRPr="009A624C">
        <w:t xml:space="preserve">The reprisals toolkit produced for </w:t>
      </w:r>
      <w:r>
        <w:t>independent accountability mechanisms b</w:t>
      </w:r>
      <w:r w:rsidRPr="009A624C">
        <w:t xml:space="preserve">y the IDB’s </w:t>
      </w:r>
      <w:r>
        <w:t xml:space="preserve">Independent Consultation and Investigation Mechanism (MICI) may be helpful: </w:t>
      </w:r>
      <w:hyperlink r:id="rId7" w:history="1">
        <w:r w:rsidRPr="00446D46">
          <w:rPr>
            <w:rStyle w:val="Hyperlink"/>
          </w:rPr>
          <w:t>http://independentaccountabilitymechanism.net/ocrp002p.nsf/0/ce43d67170fcd8f3482583a20026ab13/$file/guide_for_iams_on_measures_to_address_the_risk_of_reprisals_in_complaints_management_february_2019.pdf</w:t>
        </w:r>
      </w:hyperlink>
      <w:r>
        <w:t xml:space="preserve">. </w:t>
      </w:r>
    </w:p>
  </w:footnote>
  <w:footnote w:id="10">
    <w:p w14:paraId="510A4066" w14:textId="6B69AD87" w:rsidR="000E7F26" w:rsidRPr="000E7F26" w:rsidRDefault="000E7F26">
      <w:pPr>
        <w:pStyle w:val="FootnoteText"/>
      </w:pPr>
      <w:r>
        <w:rPr>
          <w:rStyle w:val="FootnoteReference"/>
        </w:rPr>
        <w:footnoteRef/>
      </w:r>
      <w:r>
        <w:t xml:space="preserve"> </w:t>
      </w:r>
      <w:r w:rsidRPr="000E7F26">
        <w:t xml:space="preserve">All World Bank shareholders are party to one or more </w:t>
      </w:r>
      <w:r>
        <w:t xml:space="preserve">(and, frequently, several) </w:t>
      </w:r>
      <w:r w:rsidRPr="000E7F26">
        <w:t>of the core 9 UN human rights treaties</w:t>
      </w:r>
      <w:r>
        <w:t xml:space="preserve">. See OHCHR’s submission to the World Bank’s ESF consultation (2016), Annex IV, pp.37-47, </w:t>
      </w:r>
      <w:r w:rsidRPr="00E4632B">
        <w:rPr>
          <w:i/>
        </w:rPr>
        <w:t>available at</w:t>
      </w:r>
      <w:r>
        <w:t xml:space="preserve"> </w:t>
      </w:r>
      <w:hyperlink r:id="rId8" w:history="1">
        <w:r w:rsidRPr="00446D46">
          <w:rPr>
            <w:rStyle w:val="Hyperlink"/>
          </w:rPr>
          <w:t>https://consultations.worldbank.org/sites/default/files/consultation-template/review-and-update-world-bank-safeguard-policies/submissions/20160315_memorandum_ohchr_esf_with_annexes.pdf</w:t>
        </w:r>
      </w:hyperlink>
      <w:r>
        <w:t>. Immediate obligations can apply to economic, social and cultural rights, as well as civil and political rights.</w:t>
      </w:r>
    </w:p>
  </w:footnote>
  <w:footnote w:id="11">
    <w:p w14:paraId="50AFC4D5" w14:textId="77777777" w:rsidR="006A349C" w:rsidRPr="006A349C" w:rsidRDefault="006A349C">
      <w:pPr>
        <w:pStyle w:val="FootnoteText"/>
      </w:pPr>
      <w:r>
        <w:rPr>
          <w:rStyle w:val="FootnoteReference"/>
        </w:rPr>
        <w:footnoteRef/>
      </w:r>
      <w:r w:rsidRPr="00580477">
        <w:t xml:space="preserve"> See UN Doc. </w:t>
      </w:r>
      <w:r w:rsidRPr="006A349C">
        <w:t xml:space="preserve">CCPR/C/21/Rev.1/Add.11 (Aug. </w:t>
      </w:r>
      <w:r>
        <w:t>31, 2001).</w:t>
      </w:r>
    </w:p>
  </w:footnote>
  <w:footnote w:id="12">
    <w:p w14:paraId="1D879F0C" w14:textId="77777777" w:rsidR="00AD0794" w:rsidRPr="00AD0794" w:rsidRDefault="00AD0794" w:rsidP="00AD0794">
      <w:pPr>
        <w:pStyle w:val="FootnoteText"/>
      </w:pPr>
      <w:r>
        <w:rPr>
          <w:rStyle w:val="FootnoteReference"/>
        </w:rPr>
        <w:footnoteRef/>
      </w:r>
      <w:r>
        <w:t xml:space="preserve"> UN Guiding Principles on Business and Human Rights, supra, principle 19, pp.21-22; and OECD MNE Guidelines (2011), Commentary on Chapter 2, para. 22.</w:t>
      </w:r>
    </w:p>
  </w:footnote>
  <w:footnote w:id="13">
    <w:p w14:paraId="021F0A28" w14:textId="77777777" w:rsidR="006A349C" w:rsidRPr="006A349C" w:rsidRDefault="006A349C">
      <w:pPr>
        <w:pStyle w:val="FootnoteText"/>
      </w:pPr>
      <w:r w:rsidRPr="006A349C">
        <w:rPr>
          <w:rStyle w:val="FootnoteReference"/>
        </w:rPr>
        <w:footnoteRef/>
      </w:r>
      <w:r w:rsidRPr="006A349C">
        <w:t xml:space="preserve"> </w:t>
      </w:r>
      <w:proofErr w:type="spellStart"/>
      <w:r w:rsidRPr="006A349C">
        <w:t>Cordella</w:t>
      </w:r>
      <w:proofErr w:type="spellEnd"/>
      <w:r w:rsidRPr="006A349C">
        <w:t xml:space="preserve">, </w:t>
      </w:r>
      <w:r>
        <w:t xml:space="preserve">Optimizing Finance for Development, </w:t>
      </w:r>
      <w:r w:rsidRPr="006A349C">
        <w:t>World Bank Pol</w:t>
      </w:r>
      <w:r>
        <w:t>icy Research Working Paper 8320</w:t>
      </w:r>
      <w:r w:rsidRPr="006A349C">
        <w:t xml:space="preserve"> </w:t>
      </w:r>
      <w:r>
        <w:t>(</w:t>
      </w:r>
      <w:r w:rsidRPr="006A349C">
        <w:t>Jan. 2018)</w:t>
      </w:r>
      <w:r>
        <w:t>.</w:t>
      </w:r>
    </w:p>
  </w:footnote>
  <w:footnote w:id="14">
    <w:p w14:paraId="26628493" w14:textId="55E8DF60" w:rsidR="00CF7C84" w:rsidRPr="00CF7C84" w:rsidRDefault="00CF7C84">
      <w:pPr>
        <w:pStyle w:val="FootnoteText"/>
      </w:pPr>
      <w:r>
        <w:rPr>
          <w:rStyle w:val="FootnoteReference"/>
        </w:rPr>
        <w:footnoteRef/>
      </w:r>
      <w:r>
        <w:t xml:space="preserve"> See also </w:t>
      </w:r>
      <w:r w:rsidR="00194FC1" w:rsidRPr="00194FC1">
        <w:t>UNSC resolution 1888 (2009)</w:t>
      </w:r>
      <w:r w:rsidR="00605057">
        <w:t>.</w:t>
      </w:r>
    </w:p>
  </w:footnote>
  <w:footnote w:id="15">
    <w:p w14:paraId="16273DE1" w14:textId="77777777" w:rsidR="00F6123B" w:rsidRPr="00CB74BF" w:rsidRDefault="00F6123B" w:rsidP="00F6123B">
      <w:pPr>
        <w:rPr>
          <w:rFonts w:ascii="Times New Roman" w:hAnsi="Times New Roman" w:cs="Times New Roman"/>
          <w:sz w:val="20"/>
          <w:szCs w:val="20"/>
        </w:rPr>
      </w:pPr>
      <w:r w:rsidRPr="00AD59FB">
        <w:rPr>
          <w:rStyle w:val="FootnoteReference"/>
          <w:sz w:val="20"/>
          <w:szCs w:val="20"/>
        </w:rPr>
        <w:footnoteRef/>
      </w:r>
      <w:r w:rsidRPr="00AD59FB">
        <w:rPr>
          <w:sz w:val="20"/>
          <w:szCs w:val="20"/>
        </w:rPr>
        <w:t xml:space="preserve"> </w:t>
      </w:r>
      <w:r w:rsidRPr="00AD59FB">
        <w:rPr>
          <w:sz w:val="20"/>
          <w:szCs w:val="20"/>
          <w:lang w:val="en-US"/>
        </w:rPr>
        <w:t xml:space="preserve">Chris Mahony, Eduardo Albrecht, and Murat </w:t>
      </w:r>
      <w:proofErr w:type="spellStart"/>
      <w:r w:rsidRPr="00AD59FB">
        <w:rPr>
          <w:sz w:val="20"/>
          <w:szCs w:val="20"/>
          <w:lang w:val="en-US"/>
        </w:rPr>
        <w:t>Senzoy</w:t>
      </w:r>
      <w:proofErr w:type="spellEnd"/>
      <w:r w:rsidRPr="00AD59FB">
        <w:rPr>
          <w:sz w:val="20"/>
          <w:szCs w:val="20"/>
          <w:lang w:val="en-US"/>
        </w:rPr>
        <w:t xml:space="preserve">, </w:t>
      </w:r>
      <w:r w:rsidRPr="00CB74BF">
        <w:rPr>
          <w:rStyle w:val="Strong"/>
          <w:b w:val="0"/>
          <w:sz w:val="20"/>
          <w:szCs w:val="20"/>
        </w:rPr>
        <w:t>“The relationship between influential actors’ language and violence: A Kenyan case study using artificial intelligence.” International Growth Centre</w:t>
      </w:r>
      <w:r>
        <w:rPr>
          <w:rStyle w:val="Strong"/>
          <w:b w:val="0"/>
          <w:sz w:val="20"/>
          <w:szCs w:val="20"/>
        </w:rPr>
        <w:t xml:space="preserve"> (</w:t>
      </w:r>
      <w:r w:rsidRPr="00CB74BF">
        <w:rPr>
          <w:rStyle w:val="Strong"/>
          <w:b w:val="0"/>
          <w:sz w:val="20"/>
          <w:szCs w:val="20"/>
        </w:rPr>
        <w:t>Feb</w:t>
      </w:r>
      <w:r>
        <w:rPr>
          <w:rStyle w:val="Strong"/>
          <w:b w:val="0"/>
          <w:sz w:val="20"/>
          <w:szCs w:val="20"/>
        </w:rPr>
        <w:t>.</w:t>
      </w:r>
      <w:r w:rsidRPr="00CB74BF">
        <w:rPr>
          <w:rStyle w:val="Strong"/>
          <w:b w:val="0"/>
          <w:sz w:val="20"/>
          <w:szCs w:val="20"/>
        </w:rPr>
        <w:t xml:space="preserve"> 2019</w:t>
      </w:r>
      <w:r>
        <w:rPr>
          <w:rStyle w:val="Strong"/>
          <w:b w:val="0"/>
          <w:sz w:val="20"/>
          <w:szCs w:val="20"/>
        </w:rPr>
        <w:t>)</w:t>
      </w:r>
      <w:r w:rsidRPr="00CB74BF">
        <w:rPr>
          <w:rStyle w:val="Strong"/>
          <w:b w:val="0"/>
          <w:sz w:val="20"/>
          <w:szCs w:val="20"/>
        </w:rPr>
        <w:t>.</w:t>
      </w:r>
    </w:p>
  </w:footnote>
  <w:footnote w:id="16">
    <w:p w14:paraId="7BD54DC9" w14:textId="77777777" w:rsidR="005F7D43" w:rsidRPr="00580477" w:rsidRDefault="005F7D43">
      <w:pPr>
        <w:pStyle w:val="FootnoteText"/>
      </w:pPr>
      <w:r w:rsidRPr="004D5775">
        <w:rPr>
          <w:rStyle w:val="FootnoteReference"/>
        </w:rPr>
        <w:footnoteRef/>
      </w:r>
      <w:r w:rsidRPr="004D5775">
        <w:t xml:space="preserve"> </w:t>
      </w:r>
      <w:r w:rsidRPr="004D5775">
        <w:rPr>
          <w:rFonts w:asciiTheme="minorHAnsi" w:hAnsiTheme="minorHAnsi" w:cstheme="minorBidi"/>
        </w:rPr>
        <w:t>See, for example, the Report of the UN Human Rights Council’s Commission on Inquiry on Burundi, A/HRC/42/49 (Aug. 6, 2019</w:t>
      </w:r>
      <w:r w:rsidR="004D5775">
        <w:rPr>
          <w:rFonts w:asciiTheme="minorHAnsi" w:hAnsiTheme="minorHAnsi" w:cstheme="minorBidi"/>
        </w:rPr>
        <w:t>)</w:t>
      </w:r>
      <w:r w:rsidRPr="004D5775">
        <w:rPr>
          <w:rFonts w:asciiTheme="minorHAnsi" w:hAnsiTheme="minorHAnsi" w:cstheme="minorBidi"/>
        </w:rPr>
        <w:t>, para. 110(a); and the more nuanced formulation in the Report of the Myanmar FFM, A/HRC/42/CRP.3 (Aug. 5, 2019), para. 191(f).</w:t>
      </w:r>
    </w:p>
  </w:footnote>
  <w:footnote w:id="17">
    <w:p w14:paraId="41160D23" w14:textId="77777777" w:rsidR="00733F16" w:rsidRPr="004D5775" w:rsidRDefault="00733F16">
      <w:pPr>
        <w:pStyle w:val="FootnoteText"/>
      </w:pPr>
      <w:r w:rsidRPr="004D5775">
        <w:rPr>
          <w:rStyle w:val="FootnoteReference"/>
        </w:rPr>
        <w:footnoteRef/>
      </w:r>
      <w:r w:rsidRPr="004D5775">
        <w:t xml:space="preserve"> Juan Dumas, A Responsible Exit from the Agua </w:t>
      </w:r>
      <w:proofErr w:type="spellStart"/>
      <w:r w:rsidRPr="004D5775">
        <w:t>Zarca</w:t>
      </w:r>
      <w:proofErr w:type="spellEnd"/>
      <w:r w:rsidRPr="004D5775">
        <w:t xml:space="preserve"> Project: Summary of recommendations (Mar. 3, 2017), which includes (para. 1.4) an attempt to reconcile recommendations with international human rights standards.</w:t>
      </w:r>
    </w:p>
  </w:footnote>
  <w:footnote w:id="18">
    <w:p w14:paraId="6F70F6EF" w14:textId="30D8E6FF" w:rsidR="00AD0794" w:rsidRPr="00AD0794" w:rsidRDefault="00AD0794">
      <w:pPr>
        <w:pStyle w:val="FootnoteText"/>
      </w:pPr>
      <w:r>
        <w:rPr>
          <w:rStyle w:val="FootnoteReference"/>
        </w:rPr>
        <w:footnoteRef/>
      </w:r>
      <w:r>
        <w:t xml:space="preserve"> </w:t>
      </w:r>
      <w:r w:rsidRPr="00AD0794">
        <w:t xml:space="preserve">See UN Guiding Principles on Business and Human Rights, principle 19, and OECD MNE Guidelines (2011), </w:t>
      </w:r>
      <w:r>
        <w:t xml:space="preserve">supra, </w:t>
      </w:r>
      <w:proofErr w:type="spellStart"/>
      <w:proofErr w:type="gramStart"/>
      <w:r>
        <w:t>fn</w:t>
      </w:r>
      <w:proofErr w:type="spellEnd"/>
      <w:proofErr w:type="gramEnd"/>
      <w:r>
        <w:t xml:space="preserve">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7C6"/>
    <w:multiLevelType w:val="hybridMultilevel"/>
    <w:tmpl w:val="AC048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C7A49"/>
    <w:multiLevelType w:val="hybridMultilevel"/>
    <w:tmpl w:val="E7A6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544D8"/>
    <w:multiLevelType w:val="hybridMultilevel"/>
    <w:tmpl w:val="0BDC6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3A6467"/>
    <w:multiLevelType w:val="hybridMultilevel"/>
    <w:tmpl w:val="EE606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1B5B25"/>
    <w:multiLevelType w:val="hybridMultilevel"/>
    <w:tmpl w:val="0BDC6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48"/>
    <w:rsid w:val="00007834"/>
    <w:rsid w:val="00013300"/>
    <w:rsid w:val="000142B6"/>
    <w:rsid w:val="0001608F"/>
    <w:rsid w:val="00022678"/>
    <w:rsid w:val="000228CB"/>
    <w:rsid w:val="00034044"/>
    <w:rsid w:val="00043198"/>
    <w:rsid w:val="00047C9F"/>
    <w:rsid w:val="00054941"/>
    <w:rsid w:val="00057333"/>
    <w:rsid w:val="00062E01"/>
    <w:rsid w:val="0006329E"/>
    <w:rsid w:val="00064CC6"/>
    <w:rsid w:val="00083484"/>
    <w:rsid w:val="0009266A"/>
    <w:rsid w:val="000969A7"/>
    <w:rsid w:val="000A6781"/>
    <w:rsid w:val="000C073B"/>
    <w:rsid w:val="000C0BF3"/>
    <w:rsid w:val="000C37D3"/>
    <w:rsid w:val="000D581F"/>
    <w:rsid w:val="000D6C48"/>
    <w:rsid w:val="000E7F26"/>
    <w:rsid w:val="00100865"/>
    <w:rsid w:val="00112455"/>
    <w:rsid w:val="00112732"/>
    <w:rsid w:val="00112BE4"/>
    <w:rsid w:val="00140763"/>
    <w:rsid w:val="001529AB"/>
    <w:rsid w:val="00160641"/>
    <w:rsid w:val="001607F1"/>
    <w:rsid w:val="0016458F"/>
    <w:rsid w:val="00187DEC"/>
    <w:rsid w:val="00194FC1"/>
    <w:rsid w:val="00195693"/>
    <w:rsid w:val="001A071D"/>
    <w:rsid w:val="001A2FF7"/>
    <w:rsid w:val="001B2340"/>
    <w:rsid w:val="001C0F76"/>
    <w:rsid w:val="001C4B4B"/>
    <w:rsid w:val="001F1EC2"/>
    <w:rsid w:val="001F4E7B"/>
    <w:rsid w:val="00210225"/>
    <w:rsid w:val="00213665"/>
    <w:rsid w:val="00241D21"/>
    <w:rsid w:val="00245D58"/>
    <w:rsid w:val="00252A74"/>
    <w:rsid w:val="00277A1D"/>
    <w:rsid w:val="00285C47"/>
    <w:rsid w:val="00291412"/>
    <w:rsid w:val="00292548"/>
    <w:rsid w:val="002A4248"/>
    <w:rsid w:val="002B28D5"/>
    <w:rsid w:val="002E3EC5"/>
    <w:rsid w:val="002F0320"/>
    <w:rsid w:val="002F1701"/>
    <w:rsid w:val="002F2A04"/>
    <w:rsid w:val="002F61AF"/>
    <w:rsid w:val="003210AC"/>
    <w:rsid w:val="00322049"/>
    <w:rsid w:val="00322B5B"/>
    <w:rsid w:val="00323A1C"/>
    <w:rsid w:val="00330CDC"/>
    <w:rsid w:val="0033608D"/>
    <w:rsid w:val="00364FE4"/>
    <w:rsid w:val="003813E7"/>
    <w:rsid w:val="003919C4"/>
    <w:rsid w:val="003964C7"/>
    <w:rsid w:val="00397452"/>
    <w:rsid w:val="003A2291"/>
    <w:rsid w:val="003A46A9"/>
    <w:rsid w:val="003B5DD3"/>
    <w:rsid w:val="003C3D07"/>
    <w:rsid w:val="003C722F"/>
    <w:rsid w:val="003D3782"/>
    <w:rsid w:val="003E6C5E"/>
    <w:rsid w:val="00417C75"/>
    <w:rsid w:val="00422A3D"/>
    <w:rsid w:val="004307A1"/>
    <w:rsid w:val="00431AE1"/>
    <w:rsid w:val="00450291"/>
    <w:rsid w:val="004731D2"/>
    <w:rsid w:val="00492477"/>
    <w:rsid w:val="0049477A"/>
    <w:rsid w:val="004959BA"/>
    <w:rsid w:val="00496350"/>
    <w:rsid w:val="004A30F8"/>
    <w:rsid w:val="004A735F"/>
    <w:rsid w:val="004B4C73"/>
    <w:rsid w:val="004C70A0"/>
    <w:rsid w:val="004D3B9F"/>
    <w:rsid w:val="004D5775"/>
    <w:rsid w:val="004D7719"/>
    <w:rsid w:val="004F067F"/>
    <w:rsid w:val="004F2748"/>
    <w:rsid w:val="00502FD8"/>
    <w:rsid w:val="005036BE"/>
    <w:rsid w:val="005143CF"/>
    <w:rsid w:val="00521744"/>
    <w:rsid w:val="00524399"/>
    <w:rsid w:val="0053125D"/>
    <w:rsid w:val="00534C1F"/>
    <w:rsid w:val="00542AFE"/>
    <w:rsid w:val="00550819"/>
    <w:rsid w:val="00580477"/>
    <w:rsid w:val="00583188"/>
    <w:rsid w:val="0058396D"/>
    <w:rsid w:val="00593743"/>
    <w:rsid w:val="005A01EC"/>
    <w:rsid w:val="005A4FEF"/>
    <w:rsid w:val="005A74BE"/>
    <w:rsid w:val="005C31C6"/>
    <w:rsid w:val="005C3DE2"/>
    <w:rsid w:val="005D0C47"/>
    <w:rsid w:val="005D4FA0"/>
    <w:rsid w:val="005D5B43"/>
    <w:rsid w:val="005F462A"/>
    <w:rsid w:val="005F7D43"/>
    <w:rsid w:val="00601A6C"/>
    <w:rsid w:val="00605057"/>
    <w:rsid w:val="00606A5C"/>
    <w:rsid w:val="00607525"/>
    <w:rsid w:val="006217AC"/>
    <w:rsid w:val="00623335"/>
    <w:rsid w:val="006431C4"/>
    <w:rsid w:val="00643D16"/>
    <w:rsid w:val="00645F0F"/>
    <w:rsid w:val="00646F3F"/>
    <w:rsid w:val="006508D5"/>
    <w:rsid w:val="00653AC1"/>
    <w:rsid w:val="006728AE"/>
    <w:rsid w:val="006746D3"/>
    <w:rsid w:val="00680DF7"/>
    <w:rsid w:val="006A349C"/>
    <w:rsid w:val="006A7FDD"/>
    <w:rsid w:val="006F448F"/>
    <w:rsid w:val="00717AAF"/>
    <w:rsid w:val="00725790"/>
    <w:rsid w:val="00726F52"/>
    <w:rsid w:val="007270C5"/>
    <w:rsid w:val="00733F16"/>
    <w:rsid w:val="0073680F"/>
    <w:rsid w:val="0075021D"/>
    <w:rsid w:val="00750D72"/>
    <w:rsid w:val="0075155D"/>
    <w:rsid w:val="007523A6"/>
    <w:rsid w:val="00770DE0"/>
    <w:rsid w:val="00776455"/>
    <w:rsid w:val="007876B4"/>
    <w:rsid w:val="007A76B3"/>
    <w:rsid w:val="007B0E03"/>
    <w:rsid w:val="007B5142"/>
    <w:rsid w:val="007E16E6"/>
    <w:rsid w:val="007F43EA"/>
    <w:rsid w:val="007F53FB"/>
    <w:rsid w:val="007F65F6"/>
    <w:rsid w:val="008003A6"/>
    <w:rsid w:val="0080066A"/>
    <w:rsid w:val="0081717C"/>
    <w:rsid w:val="00820AF4"/>
    <w:rsid w:val="00825C1E"/>
    <w:rsid w:val="00830A3B"/>
    <w:rsid w:val="00874D4D"/>
    <w:rsid w:val="008A3572"/>
    <w:rsid w:val="008B7A39"/>
    <w:rsid w:val="008C1140"/>
    <w:rsid w:val="008C4487"/>
    <w:rsid w:val="008C5A46"/>
    <w:rsid w:val="008E1676"/>
    <w:rsid w:val="008E7E8F"/>
    <w:rsid w:val="008F3A43"/>
    <w:rsid w:val="00906280"/>
    <w:rsid w:val="00910F52"/>
    <w:rsid w:val="00911258"/>
    <w:rsid w:val="0091729B"/>
    <w:rsid w:val="00917EA9"/>
    <w:rsid w:val="00920315"/>
    <w:rsid w:val="009219F8"/>
    <w:rsid w:val="009715D6"/>
    <w:rsid w:val="0097510B"/>
    <w:rsid w:val="00986902"/>
    <w:rsid w:val="00992E19"/>
    <w:rsid w:val="00993F5F"/>
    <w:rsid w:val="009948F3"/>
    <w:rsid w:val="009A624C"/>
    <w:rsid w:val="009B10A7"/>
    <w:rsid w:val="009B40AC"/>
    <w:rsid w:val="009C5E97"/>
    <w:rsid w:val="009C60D1"/>
    <w:rsid w:val="009D2B83"/>
    <w:rsid w:val="009E43F6"/>
    <w:rsid w:val="009F306B"/>
    <w:rsid w:val="009F7F47"/>
    <w:rsid w:val="00A05EA4"/>
    <w:rsid w:val="00A22492"/>
    <w:rsid w:val="00A25DA9"/>
    <w:rsid w:val="00A65DAE"/>
    <w:rsid w:val="00A77746"/>
    <w:rsid w:val="00A84939"/>
    <w:rsid w:val="00A850DE"/>
    <w:rsid w:val="00A91DA6"/>
    <w:rsid w:val="00AA6944"/>
    <w:rsid w:val="00AB1C08"/>
    <w:rsid w:val="00AC3E52"/>
    <w:rsid w:val="00AD0794"/>
    <w:rsid w:val="00AD3890"/>
    <w:rsid w:val="00AD5837"/>
    <w:rsid w:val="00AD59FB"/>
    <w:rsid w:val="00AD70D7"/>
    <w:rsid w:val="00B04C43"/>
    <w:rsid w:val="00B06A8C"/>
    <w:rsid w:val="00B16C34"/>
    <w:rsid w:val="00B257FB"/>
    <w:rsid w:val="00B32FB7"/>
    <w:rsid w:val="00B56105"/>
    <w:rsid w:val="00B7499E"/>
    <w:rsid w:val="00B7704B"/>
    <w:rsid w:val="00B87399"/>
    <w:rsid w:val="00BD1D41"/>
    <w:rsid w:val="00BD1EFC"/>
    <w:rsid w:val="00BE735A"/>
    <w:rsid w:val="00BF2BDD"/>
    <w:rsid w:val="00BF6A70"/>
    <w:rsid w:val="00C01964"/>
    <w:rsid w:val="00C10FB8"/>
    <w:rsid w:val="00C158EE"/>
    <w:rsid w:val="00C15D62"/>
    <w:rsid w:val="00C2707B"/>
    <w:rsid w:val="00C31DAC"/>
    <w:rsid w:val="00C42D49"/>
    <w:rsid w:val="00C65497"/>
    <w:rsid w:val="00C77898"/>
    <w:rsid w:val="00C80489"/>
    <w:rsid w:val="00C81E9B"/>
    <w:rsid w:val="00C9688F"/>
    <w:rsid w:val="00C976F8"/>
    <w:rsid w:val="00CB291B"/>
    <w:rsid w:val="00CB42EA"/>
    <w:rsid w:val="00CD5292"/>
    <w:rsid w:val="00CE3710"/>
    <w:rsid w:val="00CF023E"/>
    <w:rsid w:val="00CF7C84"/>
    <w:rsid w:val="00D00696"/>
    <w:rsid w:val="00D029DB"/>
    <w:rsid w:val="00D03625"/>
    <w:rsid w:val="00D1223F"/>
    <w:rsid w:val="00D265AD"/>
    <w:rsid w:val="00D331FB"/>
    <w:rsid w:val="00D46DEA"/>
    <w:rsid w:val="00D5564A"/>
    <w:rsid w:val="00D616AF"/>
    <w:rsid w:val="00D7439C"/>
    <w:rsid w:val="00D804C4"/>
    <w:rsid w:val="00D927D4"/>
    <w:rsid w:val="00D96FDE"/>
    <w:rsid w:val="00D97123"/>
    <w:rsid w:val="00DC2DC7"/>
    <w:rsid w:val="00DF0A56"/>
    <w:rsid w:val="00E06F7A"/>
    <w:rsid w:val="00E13E31"/>
    <w:rsid w:val="00E163F7"/>
    <w:rsid w:val="00E42C15"/>
    <w:rsid w:val="00E42CCF"/>
    <w:rsid w:val="00E4632B"/>
    <w:rsid w:val="00E55BD2"/>
    <w:rsid w:val="00E5789C"/>
    <w:rsid w:val="00E6523B"/>
    <w:rsid w:val="00E7094E"/>
    <w:rsid w:val="00E72846"/>
    <w:rsid w:val="00EA7619"/>
    <w:rsid w:val="00EC06AE"/>
    <w:rsid w:val="00EC607E"/>
    <w:rsid w:val="00EE5271"/>
    <w:rsid w:val="00EE6105"/>
    <w:rsid w:val="00EE7E46"/>
    <w:rsid w:val="00EF235B"/>
    <w:rsid w:val="00EF60B4"/>
    <w:rsid w:val="00F01A62"/>
    <w:rsid w:val="00F1342D"/>
    <w:rsid w:val="00F32439"/>
    <w:rsid w:val="00F455D2"/>
    <w:rsid w:val="00F46B28"/>
    <w:rsid w:val="00F5633B"/>
    <w:rsid w:val="00F6123B"/>
    <w:rsid w:val="00F623C4"/>
    <w:rsid w:val="00F80DA5"/>
    <w:rsid w:val="00F90580"/>
    <w:rsid w:val="00F90C25"/>
    <w:rsid w:val="00FA1484"/>
    <w:rsid w:val="00FA6150"/>
    <w:rsid w:val="00FA6C56"/>
    <w:rsid w:val="00FB0EE8"/>
    <w:rsid w:val="00FD1878"/>
    <w:rsid w:val="00FE50B3"/>
    <w:rsid w:val="00FE59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5DB23"/>
  <w15:chartTrackingRefBased/>
  <w15:docId w15:val="{38EE9437-727F-4834-B303-4017ED76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2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248"/>
    <w:rPr>
      <w:color w:val="0563C1"/>
      <w:u w:val="single"/>
    </w:rPr>
  </w:style>
  <w:style w:type="paragraph" w:styleId="NormalWeb">
    <w:name w:val="Normal (Web)"/>
    <w:basedOn w:val="Normal"/>
    <w:uiPriority w:val="99"/>
    <w:unhideWhenUsed/>
    <w:rsid w:val="002A4248"/>
    <w:rPr>
      <w:rFonts w:ascii="Times New Roman" w:hAnsi="Times New Roman" w:cs="Times New Roman"/>
      <w:sz w:val="24"/>
      <w:szCs w:val="24"/>
      <w:lang w:eastAsia="en-GB"/>
    </w:rPr>
  </w:style>
  <w:style w:type="paragraph" w:styleId="Header">
    <w:name w:val="header"/>
    <w:basedOn w:val="Normal"/>
    <w:link w:val="HeaderChar"/>
    <w:uiPriority w:val="99"/>
    <w:unhideWhenUsed/>
    <w:rsid w:val="002A4248"/>
    <w:pPr>
      <w:tabs>
        <w:tab w:val="center" w:pos="4513"/>
        <w:tab w:val="right" w:pos="9026"/>
      </w:tabs>
    </w:pPr>
  </w:style>
  <w:style w:type="character" w:customStyle="1" w:styleId="HeaderChar">
    <w:name w:val="Header Char"/>
    <w:basedOn w:val="DefaultParagraphFont"/>
    <w:link w:val="Header"/>
    <w:uiPriority w:val="99"/>
    <w:rsid w:val="002A4248"/>
    <w:rPr>
      <w:rFonts w:ascii="Calibri" w:hAnsi="Calibri" w:cs="Calibri"/>
    </w:rPr>
  </w:style>
  <w:style w:type="paragraph" w:styleId="Footer">
    <w:name w:val="footer"/>
    <w:basedOn w:val="Normal"/>
    <w:link w:val="FooterChar"/>
    <w:uiPriority w:val="99"/>
    <w:unhideWhenUsed/>
    <w:rsid w:val="002A4248"/>
    <w:pPr>
      <w:tabs>
        <w:tab w:val="center" w:pos="4513"/>
        <w:tab w:val="right" w:pos="9026"/>
      </w:tabs>
    </w:pPr>
  </w:style>
  <w:style w:type="character" w:customStyle="1" w:styleId="FooterChar">
    <w:name w:val="Footer Char"/>
    <w:basedOn w:val="DefaultParagraphFont"/>
    <w:link w:val="Footer"/>
    <w:uiPriority w:val="99"/>
    <w:rsid w:val="002A4248"/>
    <w:rPr>
      <w:rFonts w:ascii="Calibri" w:hAnsi="Calibri" w:cs="Calibri"/>
    </w:rPr>
  </w:style>
  <w:style w:type="paragraph" w:styleId="FootnoteText">
    <w:name w:val="footnote text"/>
    <w:basedOn w:val="Normal"/>
    <w:link w:val="FootnoteTextChar"/>
    <w:uiPriority w:val="99"/>
    <w:semiHidden/>
    <w:unhideWhenUsed/>
    <w:rsid w:val="00C9688F"/>
    <w:rPr>
      <w:sz w:val="20"/>
      <w:szCs w:val="20"/>
    </w:rPr>
  </w:style>
  <w:style w:type="character" w:customStyle="1" w:styleId="FootnoteTextChar">
    <w:name w:val="Footnote Text Char"/>
    <w:basedOn w:val="DefaultParagraphFont"/>
    <w:link w:val="FootnoteText"/>
    <w:uiPriority w:val="99"/>
    <w:semiHidden/>
    <w:rsid w:val="00C9688F"/>
    <w:rPr>
      <w:rFonts w:ascii="Calibri" w:hAnsi="Calibri" w:cs="Calibri"/>
      <w:sz w:val="20"/>
      <w:szCs w:val="20"/>
    </w:rPr>
  </w:style>
  <w:style w:type="character" w:styleId="FootnoteReference">
    <w:name w:val="footnote reference"/>
    <w:basedOn w:val="DefaultParagraphFont"/>
    <w:uiPriority w:val="99"/>
    <w:semiHidden/>
    <w:unhideWhenUsed/>
    <w:rsid w:val="00C9688F"/>
    <w:rPr>
      <w:vertAlign w:val="superscript"/>
    </w:rPr>
  </w:style>
  <w:style w:type="paragraph" w:styleId="ListParagraph">
    <w:name w:val="List Paragraph"/>
    <w:basedOn w:val="Normal"/>
    <w:uiPriority w:val="34"/>
    <w:qFormat/>
    <w:rsid w:val="00496350"/>
    <w:pPr>
      <w:ind w:left="720"/>
      <w:contextualSpacing/>
    </w:pPr>
  </w:style>
  <w:style w:type="character" w:styleId="CommentReference">
    <w:name w:val="annotation reference"/>
    <w:basedOn w:val="DefaultParagraphFont"/>
    <w:uiPriority w:val="99"/>
    <w:semiHidden/>
    <w:unhideWhenUsed/>
    <w:rsid w:val="001C4B4B"/>
    <w:rPr>
      <w:sz w:val="16"/>
      <w:szCs w:val="16"/>
    </w:rPr>
  </w:style>
  <w:style w:type="paragraph" w:styleId="CommentText">
    <w:name w:val="annotation text"/>
    <w:basedOn w:val="Normal"/>
    <w:link w:val="CommentTextChar"/>
    <w:uiPriority w:val="99"/>
    <w:semiHidden/>
    <w:unhideWhenUsed/>
    <w:rsid w:val="001C4B4B"/>
    <w:rPr>
      <w:sz w:val="20"/>
      <w:szCs w:val="20"/>
    </w:rPr>
  </w:style>
  <w:style w:type="character" w:customStyle="1" w:styleId="CommentTextChar">
    <w:name w:val="Comment Text Char"/>
    <w:basedOn w:val="DefaultParagraphFont"/>
    <w:link w:val="CommentText"/>
    <w:uiPriority w:val="99"/>
    <w:semiHidden/>
    <w:rsid w:val="001C4B4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C4B4B"/>
    <w:rPr>
      <w:b/>
      <w:bCs/>
    </w:rPr>
  </w:style>
  <w:style w:type="character" w:customStyle="1" w:styleId="CommentSubjectChar">
    <w:name w:val="Comment Subject Char"/>
    <w:basedOn w:val="CommentTextChar"/>
    <w:link w:val="CommentSubject"/>
    <w:uiPriority w:val="99"/>
    <w:semiHidden/>
    <w:rsid w:val="001C4B4B"/>
    <w:rPr>
      <w:rFonts w:ascii="Calibri" w:hAnsi="Calibri" w:cs="Calibri"/>
      <w:b/>
      <w:bCs/>
      <w:sz w:val="20"/>
      <w:szCs w:val="20"/>
    </w:rPr>
  </w:style>
  <w:style w:type="paragraph" w:styleId="BalloonText">
    <w:name w:val="Balloon Text"/>
    <w:basedOn w:val="Normal"/>
    <w:link w:val="BalloonTextChar"/>
    <w:uiPriority w:val="99"/>
    <w:semiHidden/>
    <w:unhideWhenUsed/>
    <w:rsid w:val="001C4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B4B"/>
    <w:rPr>
      <w:rFonts w:ascii="Segoe UI" w:hAnsi="Segoe UI" w:cs="Segoe UI"/>
      <w:sz w:val="18"/>
      <w:szCs w:val="18"/>
    </w:rPr>
  </w:style>
  <w:style w:type="character" w:styleId="Strong">
    <w:name w:val="Strong"/>
    <w:basedOn w:val="DefaultParagraphFont"/>
    <w:uiPriority w:val="22"/>
    <w:qFormat/>
    <w:rsid w:val="00AD5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consultations.worldbank.org/sites/default/files/consultation-template/review-and-update-world-bank-safeguard-policies/submissions/20160315_memorandum_ohchr_esf_with_annexes.pdf" TargetMode="External"/><Relationship Id="rId3" Type="http://schemas.openxmlformats.org/officeDocument/2006/relationships/hyperlink" Target="https://www.ohchr.org/EN/HRBodies/HRC/CoHSouthSudan/Pages/Index.aspx" TargetMode="External"/><Relationship Id="rId7" Type="http://schemas.openxmlformats.org/officeDocument/2006/relationships/hyperlink" Target="http://independentaccountabilitymechanism.net/ocrp002p.nsf/0/ce43d67170fcd8f3482583a20026ab13/$file/guide_for_iams_on_measures_to_address_the_risk_of_reprisals_in_complaints_management_february_2019.pdf" TargetMode="External"/><Relationship Id="rId2" Type="http://schemas.openxmlformats.org/officeDocument/2006/relationships/hyperlink" Target="https://www.ohchr.org/EN/HRBodies/Pages/HumanRightsBodies.aspx" TargetMode="External"/><Relationship Id="rId1" Type="http://schemas.openxmlformats.org/officeDocument/2006/relationships/hyperlink" Target="http://siteresources.worldbank.org/INTLAWJUSTINST/Resources/CriminalJusticeLegalNote.pdf" TargetMode="External"/><Relationship Id="rId6" Type="http://schemas.openxmlformats.org/officeDocument/2006/relationships/hyperlink" Target="https://www.imvoconvenanten.nl/en/banking/news/recommendations-remediation" TargetMode="External"/><Relationship Id="rId5" Type="http://schemas.openxmlformats.org/officeDocument/2006/relationships/hyperlink" Target="https://www.ohchr.org/documents/publications/guidingprinciplesbusinesshr_en.pdf" TargetMode="External"/><Relationship Id="rId4" Type="http://schemas.openxmlformats.org/officeDocument/2006/relationships/hyperlink" Target="https://www.nytimes.com/2019/11/07/business/lafarge-terrorism-syr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EEF78-9A69-41F1-B709-2A6415B4E1E1}">
  <ds:schemaRefs>
    <ds:schemaRef ds:uri="http://schemas.microsoft.com/office/2006/metadata/properties"/>
    <ds:schemaRef ds:uri="http://schemas.microsoft.com/office/infopath/2007/PartnerControls"/>
    <ds:schemaRef ds:uri="dd055a5a-a443-4286-b79d-4e9baf2cd17b"/>
  </ds:schemaRefs>
</ds:datastoreItem>
</file>

<file path=customXml/itemProps2.xml><?xml version="1.0" encoding="utf-8"?>
<ds:datastoreItem xmlns:ds="http://schemas.openxmlformats.org/officeDocument/2006/customXml" ds:itemID="{17ECC5F9-C3AD-45D6-B467-1B71366C28C0}"/>
</file>

<file path=customXml/itemProps3.xml><?xml version="1.0" encoding="utf-8"?>
<ds:datastoreItem xmlns:ds="http://schemas.openxmlformats.org/officeDocument/2006/customXml" ds:itemID="{2C02E754-3B0E-4176-A748-8755001B57A0}">
  <ds:schemaRefs>
    <ds:schemaRef ds:uri="http://schemas.microsoft.com/sharepoint/v3/contenttype/forms"/>
  </ds:schemaRefs>
</ds:datastoreItem>
</file>

<file path=customXml/itemProps4.xml><?xml version="1.0" encoding="utf-8"?>
<ds:datastoreItem xmlns:ds="http://schemas.openxmlformats.org/officeDocument/2006/customXml" ds:itemID="{29FD1D23-DB8B-4A94-A29B-DFB487F3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4569</Words>
  <Characters>26048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DARROW Mac</dc:creator>
  <cp:keywords/>
  <dc:description/>
  <cp:lastModifiedBy>DARROW Mac</cp:lastModifiedBy>
  <cp:revision>3</cp:revision>
  <cp:lastPrinted>2020-01-09T20:48:00Z</cp:lastPrinted>
  <dcterms:created xsi:type="dcterms:W3CDTF">2020-01-15T15:29:00Z</dcterms:created>
  <dcterms:modified xsi:type="dcterms:W3CDTF">2020-01-17T16:00:00Z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