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06" w:rsidRPr="00E058BD" w:rsidRDefault="006C1F06" w:rsidP="006C1F06">
      <w:pPr>
        <w:pageBreakBefore/>
        <w:spacing w:line="240" w:lineRule="auto"/>
        <w:jc w:val="center"/>
        <w:rPr>
          <w:b/>
          <w:bCs/>
          <w:sz w:val="23"/>
          <w:szCs w:val="23"/>
          <w:lang w:val="fr-CH"/>
        </w:rPr>
      </w:pPr>
      <w:r w:rsidRPr="00E058BD">
        <w:rPr>
          <w:b/>
          <w:bCs/>
          <w:sz w:val="23"/>
          <w:szCs w:val="23"/>
          <w:lang w:val="fr-CH"/>
        </w:rPr>
        <w:t>Appel à contributions - Rapporteur spécial sur le droit au développement</w:t>
      </w:r>
    </w:p>
    <w:p w:rsidR="006C1F06" w:rsidRPr="00E058BD" w:rsidRDefault="006C1F06" w:rsidP="006C1F06">
      <w:pPr>
        <w:spacing w:line="240" w:lineRule="auto"/>
        <w:jc w:val="center"/>
        <w:rPr>
          <w:b/>
          <w:bCs/>
          <w:sz w:val="23"/>
          <w:szCs w:val="23"/>
          <w:lang w:val="fr-CH"/>
        </w:rPr>
      </w:pPr>
      <w:r w:rsidRPr="00E058BD">
        <w:rPr>
          <w:b/>
          <w:bCs/>
          <w:sz w:val="23"/>
          <w:szCs w:val="23"/>
          <w:lang w:val="fr-CH"/>
        </w:rPr>
        <w:t>Financement du développement : Pratiques au niveau national</w:t>
      </w:r>
    </w:p>
    <w:p w:rsidR="006C1F06" w:rsidRPr="00E058BD" w:rsidRDefault="006C1F06" w:rsidP="006C1F06">
      <w:pPr>
        <w:spacing w:line="240" w:lineRule="auto"/>
        <w:rPr>
          <w:sz w:val="23"/>
          <w:szCs w:val="23"/>
          <w:lang w:val="fr-CH"/>
        </w:rPr>
      </w:pPr>
    </w:p>
    <w:p w:rsidR="006C1F06" w:rsidRDefault="006C1F06" w:rsidP="006C1F06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  <w:u w:val="single"/>
          <w:lang w:val="fr-CH"/>
        </w:rPr>
      </w:pPr>
      <w:r w:rsidRPr="00F50979">
        <w:rPr>
          <w:sz w:val="24"/>
          <w:szCs w:val="24"/>
          <w:u w:val="single"/>
          <w:lang w:val="fr-CH"/>
        </w:rPr>
        <w:t>Participation et accès à l'information</w:t>
      </w:r>
    </w:p>
    <w:p w:rsidR="006C1F06" w:rsidRPr="00F50979" w:rsidRDefault="006C1F06" w:rsidP="006C1F06">
      <w:pPr>
        <w:pStyle w:val="ListParagraph"/>
        <w:ind w:left="1080"/>
        <w:contextualSpacing w:val="0"/>
        <w:rPr>
          <w:sz w:val="24"/>
          <w:szCs w:val="24"/>
          <w:u w:val="single"/>
          <w:lang w:val="fr-CH"/>
        </w:rPr>
      </w:pP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 xml:space="preserve">Comment les </w:t>
      </w:r>
      <w:r>
        <w:rPr>
          <w:sz w:val="24"/>
          <w:szCs w:val="24"/>
          <w:lang w:val="fr-CH"/>
        </w:rPr>
        <w:t>titulaires</w:t>
      </w:r>
      <w:r w:rsidRPr="00F50979">
        <w:rPr>
          <w:sz w:val="24"/>
          <w:szCs w:val="24"/>
          <w:lang w:val="fr-CH"/>
        </w:rPr>
        <w:t xml:space="preserve"> de droits - individus et communautés - sont-ils placés au centre de la prise de décision pour tous les aspects du financement du développement, y compris </w:t>
      </w:r>
      <w:r w:rsidRPr="005778A5">
        <w:rPr>
          <w:sz w:val="24"/>
          <w:szCs w:val="24"/>
          <w:lang w:val="fr-CH"/>
        </w:rPr>
        <w:t>de l</w:t>
      </w:r>
      <w:r w:rsidRPr="00F50979">
        <w:rPr>
          <w:sz w:val="24"/>
          <w:szCs w:val="24"/>
          <w:lang w:val="fr-CH"/>
        </w:rPr>
        <w:t>a planification à l'évaluation?</w:t>
      </w: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 xml:space="preserve">Quelles mesures garantissent que le financement du développement </w:t>
      </w:r>
      <w:r w:rsidRPr="00016E72">
        <w:rPr>
          <w:sz w:val="24"/>
          <w:szCs w:val="24"/>
          <w:lang w:val="fr-CH"/>
        </w:rPr>
        <w:t>est</w:t>
      </w:r>
      <w:r w:rsidRPr="00F50979">
        <w:rPr>
          <w:sz w:val="24"/>
          <w:szCs w:val="24"/>
          <w:lang w:val="fr-CH"/>
        </w:rPr>
        <w:t xml:space="preserve"> fondé sur les priorités de développement des </w:t>
      </w:r>
      <w:r>
        <w:rPr>
          <w:sz w:val="24"/>
          <w:szCs w:val="24"/>
          <w:lang w:val="fr-CH"/>
        </w:rPr>
        <w:t>titulaires</w:t>
      </w:r>
      <w:r w:rsidRPr="00F50979">
        <w:rPr>
          <w:sz w:val="24"/>
          <w:szCs w:val="24"/>
          <w:lang w:val="fr-CH"/>
        </w:rPr>
        <w:t xml:space="preserve"> de droits et qu'</w:t>
      </w:r>
      <w:r>
        <w:rPr>
          <w:sz w:val="24"/>
          <w:szCs w:val="24"/>
          <w:lang w:val="fr-CH"/>
        </w:rPr>
        <w:t>il</w:t>
      </w:r>
      <w:r w:rsidRPr="00F50979">
        <w:rPr>
          <w:sz w:val="24"/>
          <w:szCs w:val="24"/>
          <w:lang w:val="fr-CH"/>
        </w:rPr>
        <w:t xml:space="preserve"> finance en fin de compte ces priorités?</w:t>
      </w: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Quelles mesures permettent aux titulaires de droits d'avoir accès à des informations fiables, opportunes et faciles à comprendre sur tous les aspects du financement du développement?</w:t>
      </w:r>
    </w:p>
    <w:p w:rsidR="006C1F06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Quelles mesures garantissent la participation de la société civile tout au long des processus du financement du développement, notamment en ce qui concerne les partenariats public-privé (PPP) et les accords de prêt, par exemple en évaluant les services fournis et leur conformité aux n</w:t>
      </w:r>
      <w:r>
        <w:rPr>
          <w:sz w:val="24"/>
          <w:szCs w:val="24"/>
          <w:lang w:val="fr-CH"/>
        </w:rPr>
        <w:t>ormes et obligations existantes</w:t>
      </w:r>
      <w:r w:rsidRPr="00F50979">
        <w:rPr>
          <w:sz w:val="24"/>
          <w:szCs w:val="24"/>
          <w:lang w:val="fr-CH"/>
        </w:rPr>
        <w:t>?</w:t>
      </w:r>
    </w:p>
    <w:p w:rsidR="006C1F06" w:rsidRPr="00F50979" w:rsidRDefault="006C1F06" w:rsidP="006C1F06">
      <w:pPr>
        <w:pStyle w:val="ListParagraph"/>
        <w:ind w:left="1800"/>
        <w:contextualSpacing w:val="0"/>
        <w:rPr>
          <w:sz w:val="24"/>
          <w:szCs w:val="24"/>
          <w:lang w:val="fr-CH"/>
        </w:rPr>
      </w:pPr>
    </w:p>
    <w:p w:rsidR="006C1F06" w:rsidRDefault="006C1F06" w:rsidP="006C1F06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  <w:u w:val="single"/>
          <w:lang w:val="fr-CH"/>
        </w:rPr>
      </w:pPr>
      <w:r w:rsidRPr="00F50979">
        <w:rPr>
          <w:sz w:val="24"/>
          <w:szCs w:val="24"/>
          <w:u w:val="single"/>
          <w:lang w:val="fr-CH"/>
        </w:rPr>
        <w:t>Mobilisation des ressources et budgétisation</w:t>
      </w:r>
    </w:p>
    <w:p w:rsidR="006C1F06" w:rsidRPr="00F50979" w:rsidRDefault="006C1F06" w:rsidP="006C1F06">
      <w:pPr>
        <w:pStyle w:val="ListParagraph"/>
        <w:ind w:left="1080"/>
        <w:contextualSpacing w:val="0"/>
        <w:rPr>
          <w:sz w:val="24"/>
          <w:szCs w:val="24"/>
          <w:u w:val="single"/>
          <w:lang w:val="fr-CH"/>
        </w:rPr>
      </w:pP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Est-ce que le</w:t>
      </w:r>
      <w:r w:rsidRPr="00F50979">
        <w:rPr>
          <w:sz w:val="24"/>
          <w:szCs w:val="24"/>
          <w:lang w:val="fr-CH"/>
        </w:rPr>
        <w:t xml:space="preserve">s </w:t>
      </w:r>
      <w:r w:rsidRPr="00DD179B">
        <w:rPr>
          <w:sz w:val="24"/>
          <w:szCs w:val="24"/>
          <w:lang w:val="fr-CH"/>
        </w:rPr>
        <w:t>États s’engagent dans les politiques de développeme</w:t>
      </w:r>
      <w:r>
        <w:rPr>
          <w:sz w:val="24"/>
          <w:szCs w:val="24"/>
          <w:lang w:val="fr-CH"/>
        </w:rPr>
        <w:t>nt international, notamment par</w:t>
      </w:r>
      <w:r w:rsidRPr="00F50979">
        <w:rPr>
          <w:sz w:val="24"/>
          <w:szCs w:val="24"/>
          <w:lang w:val="fr-CH"/>
        </w:rPr>
        <w:t xml:space="preserve">: </w:t>
      </w:r>
    </w:p>
    <w:p w:rsidR="006C1F06" w:rsidRPr="00F50979" w:rsidRDefault="006C1F06" w:rsidP="006C1F06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 xml:space="preserve">Une stratégie spécifique concernant les secteurs dans lesquels l'État investirait et </w:t>
      </w:r>
      <w:r>
        <w:rPr>
          <w:sz w:val="24"/>
          <w:szCs w:val="24"/>
          <w:lang w:val="fr-CH"/>
        </w:rPr>
        <w:t xml:space="preserve">par </w:t>
      </w:r>
      <w:r w:rsidRPr="00F50979">
        <w:rPr>
          <w:sz w:val="24"/>
          <w:szCs w:val="24"/>
          <w:lang w:val="fr-CH"/>
        </w:rPr>
        <w:t>l'échel</w:t>
      </w:r>
      <w:r>
        <w:rPr>
          <w:sz w:val="24"/>
          <w:szCs w:val="24"/>
          <w:lang w:val="fr-CH"/>
        </w:rPr>
        <w:t>onnement de cet investissement ;</w:t>
      </w:r>
    </w:p>
    <w:p w:rsidR="006C1F06" w:rsidRPr="00F50979" w:rsidRDefault="006C1F06" w:rsidP="006C1F06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Un engagement politique conscient en faveur de l'inclusion sociale et économique, par le biais de programmes de protection sociale et/ou d'investissements dans des services publics tels que le logement, l'éducation, la protection sociale et les soins de santé ; et</w:t>
      </w:r>
    </w:p>
    <w:p w:rsidR="006C1F06" w:rsidRPr="00F50979" w:rsidRDefault="006C1F06" w:rsidP="006C1F06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Un espace politique ouvert où les politiques et les programmes peuvent être é</w:t>
      </w:r>
      <w:r>
        <w:rPr>
          <w:sz w:val="24"/>
          <w:szCs w:val="24"/>
          <w:lang w:val="fr-CH"/>
        </w:rPr>
        <w:t>valués et révisés si nécessaire</w:t>
      </w:r>
      <w:r w:rsidRPr="00F50979">
        <w:rPr>
          <w:sz w:val="24"/>
          <w:szCs w:val="24"/>
          <w:lang w:val="fr-CH"/>
        </w:rPr>
        <w:t>?</w:t>
      </w: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Est-ce que l</w:t>
      </w:r>
      <w:r w:rsidRPr="00F50979">
        <w:rPr>
          <w:sz w:val="24"/>
          <w:szCs w:val="24"/>
          <w:lang w:val="fr-CH"/>
        </w:rPr>
        <w:t xml:space="preserve">es États </w:t>
      </w:r>
      <w:r>
        <w:rPr>
          <w:sz w:val="24"/>
          <w:szCs w:val="24"/>
          <w:lang w:val="fr-CH"/>
        </w:rPr>
        <w:t>développent</w:t>
      </w:r>
      <w:r w:rsidRPr="00F50979">
        <w:rPr>
          <w:sz w:val="24"/>
          <w:szCs w:val="24"/>
          <w:lang w:val="fr-CH"/>
        </w:rPr>
        <w:t xml:space="preserve"> des cadres de financement nationaux intégrés</w:t>
      </w:r>
      <w:r>
        <w:rPr>
          <w:sz w:val="24"/>
          <w:szCs w:val="24"/>
          <w:lang w:val="fr-CH"/>
        </w:rPr>
        <w:t>,</w:t>
      </w:r>
      <w:r w:rsidRPr="00F50979">
        <w:rPr>
          <w:sz w:val="24"/>
          <w:szCs w:val="24"/>
          <w:lang w:val="fr-CH"/>
        </w:rPr>
        <w:t xml:space="preserve"> qui tiennent compte de la nécessité d'assurer la cohérence </w:t>
      </w:r>
      <w:r w:rsidRPr="000F04E8">
        <w:rPr>
          <w:sz w:val="24"/>
          <w:szCs w:val="24"/>
          <w:lang w:val="fr-CH"/>
        </w:rPr>
        <w:t>entre</w:t>
      </w:r>
      <w:r w:rsidRPr="00F50979">
        <w:rPr>
          <w:sz w:val="24"/>
          <w:szCs w:val="24"/>
          <w:lang w:val="fr-CH"/>
        </w:rPr>
        <w:t xml:space="preserve"> les </w:t>
      </w:r>
      <w:r>
        <w:rPr>
          <w:sz w:val="24"/>
          <w:szCs w:val="24"/>
          <w:lang w:val="fr-CH"/>
        </w:rPr>
        <w:t xml:space="preserve">différents </w:t>
      </w:r>
      <w:r w:rsidRPr="00F50979">
        <w:rPr>
          <w:sz w:val="24"/>
          <w:szCs w:val="24"/>
          <w:lang w:val="fr-CH"/>
        </w:rPr>
        <w:t xml:space="preserve">cadres d'action convenus au niveau international pour 2015 et </w:t>
      </w:r>
      <w:r>
        <w:rPr>
          <w:sz w:val="24"/>
          <w:szCs w:val="24"/>
          <w:lang w:val="fr-CH"/>
        </w:rPr>
        <w:t xml:space="preserve">qui </w:t>
      </w:r>
      <w:r w:rsidRPr="00F50979">
        <w:rPr>
          <w:sz w:val="24"/>
          <w:szCs w:val="24"/>
          <w:lang w:val="fr-CH"/>
        </w:rPr>
        <w:t xml:space="preserve">cherchent à mobiliser le maximum de ressources disponibles ? </w:t>
      </w: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 xml:space="preserve">Compte tenu des inconvénients potentiels </w:t>
      </w:r>
      <w:r>
        <w:rPr>
          <w:sz w:val="24"/>
          <w:szCs w:val="24"/>
          <w:lang w:val="fr-CH"/>
        </w:rPr>
        <w:t>liés au</w:t>
      </w:r>
      <w:r w:rsidRPr="00F50979">
        <w:rPr>
          <w:sz w:val="24"/>
          <w:szCs w:val="24"/>
          <w:lang w:val="fr-CH"/>
        </w:rPr>
        <w:t xml:space="preserve"> recours aux programmes d'austérité et aux PPP </w:t>
      </w:r>
      <w:r>
        <w:rPr>
          <w:sz w:val="24"/>
          <w:szCs w:val="24"/>
          <w:lang w:val="fr-CH"/>
        </w:rPr>
        <w:t xml:space="preserve">dans le cadre de </w:t>
      </w:r>
      <w:r w:rsidRPr="00F50979">
        <w:rPr>
          <w:sz w:val="24"/>
          <w:szCs w:val="24"/>
          <w:lang w:val="fr-CH"/>
        </w:rPr>
        <w:t xml:space="preserve">la </w:t>
      </w:r>
      <w:r>
        <w:rPr>
          <w:sz w:val="24"/>
          <w:szCs w:val="24"/>
          <w:lang w:val="fr-CH"/>
        </w:rPr>
        <w:t>mobilisation</w:t>
      </w:r>
      <w:r w:rsidRPr="00F50979">
        <w:rPr>
          <w:sz w:val="24"/>
          <w:szCs w:val="24"/>
          <w:lang w:val="fr-CH"/>
        </w:rPr>
        <w:t xml:space="preserve"> de ressources, comment les méthodes alternatives de mobilisation des ressources nationales et internationales sont-elles utilisées ?</w:t>
      </w: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Est-ce que le</w:t>
      </w:r>
      <w:r w:rsidRPr="00F50979">
        <w:rPr>
          <w:sz w:val="24"/>
          <w:szCs w:val="24"/>
          <w:lang w:val="fr-CH"/>
        </w:rPr>
        <w:t>s parties prenantes du financement du développement encouragent une budgétisation axée sur les droits de l'homme, y compris une budgétisation qui promeut spécifiquement l'égalité entre les sexes et d'autres formes d'égalité ?</w:t>
      </w: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Est-ce que le</w:t>
      </w:r>
      <w:r w:rsidRPr="00F50979">
        <w:rPr>
          <w:sz w:val="24"/>
          <w:szCs w:val="24"/>
          <w:lang w:val="fr-CH"/>
        </w:rPr>
        <w:t xml:space="preserve">s États privilégient l'utilisation des ressources </w:t>
      </w:r>
      <w:r w:rsidRPr="00EC1878">
        <w:rPr>
          <w:sz w:val="24"/>
          <w:szCs w:val="24"/>
          <w:lang w:val="fr-CH"/>
        </w:rPr>
        <w:t>intérieures</w:t>
      </w:r>
      <w:r w:rsidRPr="00F50979">
        <w:rPr>
          <w:sz w:val="24"/>
          <w:szCs w:val="24"/>
          <w:lang w:val="fr-CH"/>
        </w:rPr>
        <w:t xml:space="preserve"> pour le développement plutôt que le </w:t>
      </w:r>
      <w:r>
        <w:rPr>
          <w:sz w:val="24"/>
          <w:szCs w:val="24"/>
          <w:lang w:val="fr-CH"/>
        </w:rPr>
        <w:t>recours</w:t>
      </w:r>
      <w:r w:rsidRPr="00F50979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à</w:t>
      </w:r>
      <w:r w:rsidRPr="00F50979">
        <w:rPr>
          <w:sz w:val="24"/>
          <w:szCs w:val="24"/>
          <w:lang w:val="fr-CH"/>
        </w:rPr>
        <w:t xml:space="preserve"> la dette internationale ?</w:t>
      </w: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Est-ce que le</w:t>
      </w:r>
      <w:r w:rsidRPr="00F50979">
        <w:rPr>
          <w:sz w:val="24"/>
          <w:szCs w:val="24"/>
          <w:lang w:val="fr-CH"/>
        </w:rPr>
        <w:t xml:space="preserve">s gouvernements </w:t>
      </w:r>
      <w:r w:rsidRPr="00EC1878">
        <w:rPr>
          <w:sz w:val="24"/>
          <w:szCs w:val="24"/>
          <w:lang w:val="fr-CH"/>
        </w:rPr>
        <w:t>mobilisent</w:t>
      </w:r>
      <w:r w:rsidRPr="00F50979">
        <w:rPr>
          <w:sz w:val="24"/>
          <w:szCs w:val="24"/>
          <w:lang w:val="fr-CH"/>
        </w:rPr>
        <w:t xml:space="preserve"> des ressources </w:t>
      </w:r>
      <w:r w:rsidRPr="00EC1878">
        <w:rPr>
          <w:sz w:val="24"/>
          <w:szCs w:val="24"/>
          <w:lang w:val="fr-CH"/>
        </w:rPr>
        <w:t>intérieures</w:t>
      </w:r>
      <w:r w:rsidRPr="00F50979">
        <w:rPr>
          <w:sz w:val="24"/>
          <w:szCs w:val="24"/>
          <w:lang w:val="fr-CH"/>
        </w:rPr>
        <w:t xml:space="preserve"> pour le développement en : </w:t>
      </w:r>
    </w:p>
    <w:p w:rsidR="006C1F06" w:rsidRPr="00F50979" w:rsidRDefault="006C1F06" w:rsidP="006C1F06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lastRenderedPageBreak/>
        <w:t>Conserva</w:t>
      </w:r>
      <w:r>
        <w:rPr>
          <w:sz w:val="24"/>
          <w:szCs w:val="24"/>
          <w:lang w:val="fr-CH"/>
        </w:rPr>
        <w:t>nt</w:t>
      </w:r>
      <w:r w:rsidRPr="00F50979">
        <w:rPr>
          <w:sz w:val="24"/>
          <w:szCs w:val="24"/>
          <w:lang w:val="fr-CH"/>
        </w:rPr>
        <w:t xml:space="preserve"> des ressources </w:t>
      </w:r>
      <w:r>
        <w:rPr>
          <w:sz w:val="24"/>
          <w:szCs w:val="24"/>
          <w:lang w:val="fr-CH"/>
        </w:rPr>
        <w:t>étatiques</w:t>
      </w:r>
      <w:r w:rsidRPr="00F50979">
        <w:rPr>
          <w:sz w:val="24"/>
          <w:szCs w:val="24"/>
          <w:lang w:val="fr-CH"/>
        </w:rPr>
        <w:t xml:space="preserve">, y compris </w:t>
      </w:r>
      <w:r>
        <w:rPr>
          <w:sz w:val="24"/>
          <w:szCs w:val="24"/>
          <w:lang w:val="fr-CH"/>
        </w:rPr>
        <w:t>d</w:t>
      </w:r>
      <w:r w:rsidRPr="00F50979">
        <w:rPr>
          <w:sz w:val="24"/>
          <w:szCs w:val="24"/>
          <w:lang w:val="fr-CH"/>
        </w:rPr>
        <w:t>es terr</w:t>
      </w:r>
      <w:r>
        <w:rPr>
          <w:sz w:val="24"/>
          <w:szCs w:val="24"/>
          <w:lang w:val="fr-CH"/>
        </w:rPr>
        <w:t>es et des minéraux</w:t>
      </w:r>
      <w:r w:rsidRPr="00F50979">
        <w:rPr>
          <w:sz w:val="24"/>
          <w:szCs w:val="24"/>
          <w:lang w:val="fr-CH"/>
        </w:rPr>
        <w:t xml:space="preserve">; </w:t>
      </w:r>
    </w:p>
    <w:p w:rsidR="006C1F06" w:rsidRPr="00F50979" w:rsidRDefault="006C1F06" w:rsidP="006C1F06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Renforç</w:t>
      </w:r>
      <w:r>
        <w:rPr>
          <w:sz w:val="24"/>
          <w:szCs w:val="24"/>
          <w:lang w:val="fr-CH"/>
        </w:rPr>
        <w:t>ant</w:t>
      </w:r>
      <w:r w:rsidRPr="00F50979">
        <w:rPr>
          <w:sz w:val="24"/>
          <w:szCs w:val="24"/>
          <w:lang w:val="fr-CH"/>
        </w:rPr>
        <w:t xml:space="preserve"> des </w:t>
      </w:r>
      <w:r w:rsidRPr="00EC1878">
        <w:rPr>
          <w:sz w:val="24"/>
          <w:szCs w:val="24"/>
          <w:lang w:val="fr-CH"/>
        </w:rPr>
        <w:t>capacités de recouvrement de</w:t>
      </w:r>
      <w:r w:rsidRPr="00F50979">
        <w:rPr>
          <w:sz w:val="24"/>
          <w:szCs w:val="24"/>
          <w:lang w:val="fr-CH"/>
        </w:rPr>
        <w:t xml:space="preserve"> l'impôt ;</w:t>
      </w:r>
    </w:p>
    <w:p w:rsidR="006C1F06" w:rsidRPr="00F50979" w:rsidRDefault="006C1F06" w:rsidP="006C1F06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Mett</w:t>
      </w:r>
      <w:r>
        <w:rPr>
          <w:sz w:val="24"/>
          <w:szCs w:val="24"/>
          <w:lang w:val="fr-CH"/>
        </w:rPr>
        <w:t xml:space="preserve">ant </w:t>
      </w:r>
      <w:r w:rsidRPr="00F50979">
        <w:rPr>
          <w:sz w:val="24"/>
          <w:szCs w:val="24"/>
          <w:lang w:val="fr-CH"/>
        </w:rPr>
        <w:t>en œuvre des politiques fiscales plus équitables, plus transparentes et progressives ;</w:t>
      </w:r>
    </w:p>
    <w:p w:rsidR="006C1F06" w:rsidRPr="00F50979" w:rsidRDefault="006C1F06" w:rsidP="006C1F06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Lutt</w:t>
      </w:r>
      <w:r>
        <w:rPr>
          <w:sz w:val="24"/>
          <w:szCs w:val="24"/>
          <w:lang w:val="fr-CH"/>
        </w:rPr>
        <w:t>ant</w:t>
      </w:r>
      <w:r w:rsidRPr="00F50979">
        <w:rPr>
          <w:sz w:val="24"/>
          <w:szCs w:val="24"/>
          <w:lang w:val="fr-CH"/>
        </w:rPr>
        <w:t xml:space="preserve"> contre la corruption ;</w:t>
      </w:r>
    </w:p>
    <w:p w:rsidR="006C1F06" w:rsidRPr="00F50979" w:rsidRDefault="006C1F06" w:rsidP="006C1F06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Demand</w:t>
      </w:r>
      <w:r>
        <w:rPr>
          <w:sz w:val="24"/>
          <w:szCs w:val="24"/>
          <w:lang w:val="fr-CH"/>
        </w:rPr>
        <w:t xml:space="preserve">ant </w:t>
      </w:r>
      <w:r w:rsidRPr="00F50979">
        <w:rPr>
          <w:sz w:val="24"/>
          <w:szCs w:val="24"/>
          <w:lang w:val="fr-CH"/>
        </w:rPr>
        <w:t xml:space="preserve">au secteur privé de payer sa juste part ; et </w:t>
      </w:r>
    </w:p>
    <w:p w:rsidR="006C1F06" w:rsidRDefault="006C1F06" w:rsidP="006C1F06">
      <w:pPr>
        <w:pStyle w:val="ListParagraph"/>
        <w:numPr>
          <w:ilvl w:val="2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Mett</w:t>
      </w:r>
      <w:r>
        <w:rPr>
          <w:sz w:val="24"/>
          <w:szCs w:val="24"/>
          <w:lang w:val="fr-CH"/>
        </w:rPr>
        <w:t>ant</w:t>
      </w:r>
      <w:r w:rsidRPr="00F50979">
        <w:rPr>
          <w:sz w:val="24"/>
          <w:szCs w:val="24"/>
          <w:lang w:val="fr-CH"/>
        </w:rPr>
        <w:t xml:space="preserve"> fin aux flux financiers illicites qui détournent les ressources des pays ?</w:t>
      </w:r>
    </w:p>
    <w:p w:rsidR="006C1F06" w:rsidRPr="00F50979" w:rsidRDefault="006C1F06" w:rsidP="006C1F06">
      <w:pPr>
        <w:pStyle w:val="ListParagraph"/>
        <w:ind w:left="2160"/>
        <w:contextualSpacing w:val="0"/>
        <w:rPr>
          <w:sz w:val="24"/>
          <w:szCs w:val="24"/>
          <w:lang w:val="fr-CH"/>
        </w:rPr>
      </w:pPr>
    </w:p>
    <w:p w:rsidR="006C1F06" w:rsidRPr="006C1F06" w:rsidRDefault="006C1F06" w:rsidP="006C1F06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u w:val="single"/>
          <w:lang w:val="fr-CH"/>
        </w:rPr>
        <w:t>Politique fiscale macroéconomique</w:t>
      </w:r>
    </w:p>
    <w:p w:rsidR="006C1F06" w:rsidRPr="00F50979" w:rsidRDefault="006C1F06" w:rsidP="006C1F06">
      <w:pPr>
        <w:pStyle w:val="ListParagraph"/>
        <w:ind w:left="1080"/>
        <w:contextualSpacing w:val="0"/>
        <w:rPr>
          <w:sz w:val="24"/>
          <w:szCs w:val="24"/>
          <w:lang w:val="fr-CH"/>
        </w:rPr>
      </w:pP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 xml:space="preserve">Lors de l'évaluation des politiques et incitations fiscales, </w:t>
      </w:r>
      <w:r>
        <w:rPr>
          <w:sz w:val="24"/>
          <w:szCs w:val="24"/>
          <w:lang w:val="fr-CH"/>
        </w:rPr>
        <w:t>est-ce que le</w:t>
      </w:r>
      <w:r w:rsidRPr="00F50979">
        <w:rPr>
          <w:sz w:val="24"/>
          <w:szCs w:val="24"/>
          <w:lang w:val="fr-CH"/>
        </w:rPr>
        <w:t xml:space="preserve">s </w:t>
      </w:r>
      <w:r>
        <w:rPr>
          <w:sz w:val="24"/>
          <w:szCs w:val="24"/>
          <w:lang w:val="fr-CH"/>
        </w:rPr>
        <w:t>États procèdent</w:t>
      </w:r>
      <w:r w:rsidRPr="00F50979">
        <w:rPr>
          <w:sz w:val="24"/>
          <w:szCs w:val="24"/>
          <w:lang w:val="fr-CH"/>
        </w:rPr>
        <w:t xml:space="preserve"> à des études d'impact sur les droits de l'homme et analysent s'ils atteignent les objectifs de création d'emplois, de salaires décents et de bonnes conditions de travail pour la population? </w:t>
      </w:r>
    </w:p>
    <w:p w:rsidR="006C1F06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Est-ce que l</w:t>
      </w:r>
      <w:r w:rsidRPr="00F50979">
        <w:rPr>
          <w:sz w:val="24"/>
          <w:szCs w:val="24"/>
          <w:lang w:val="fr-CH"/>
        </w:rPr>
        <w:t xml:space="preserve">'information sur les taux d'imposition, </w:t>
      </w:r>
      <w:r>
        <w:rPr>
          <w:sz w:val="24"/>
          <w:szCs w:val="24"/>
          <w:lang w:val="fr-CH"/>
        </w:rPr>
        <w:t xml:space="preserve">sur </w:t>
      </w:r>
      <w:r w:rsidRPr="00F50979">
        <w:rPr>
          <w:sz w:val="24"/>
          <w:szCs w:val="24"/>
          <w:lang w:val="fr-CH"/>
        </w:rPr>
        <w:t xml:space="preserve">les incitations et </w:t>
      </w:r>
      <w:r>
        <w:rPr>
          <w:sz w:val="24"/>
          <w:szCs w:val="24"/>
          <w:lang w:val="fr-CH"/>
        </w:rPr>
        <w:t xml:space="preserve">sur </w:t>
      </w:r>
      <w:r w:rsidRPr="00F50979">
        <w:rPr>
          <w:sz w:val="24"/>
          <w:szCs w:val="24"/>
          <w:lang w:val="fr-CH"/>
        </w:rPr>
        <w:t>les revenus générés par les principaux acteurs économiques est accessible au public et partagée pour faciliter la coopération internationale?</w:t>
      </w:r>
    </w:p>
    <w:p w:rsidR="006C1F06" w:rsidRPr="00F50979" w:rsidRDefault="006C1F06" w:rsidP="006C1F06">
      <w:pPr>
        <w:pStyle w:val="ListParagraph"/>
        <w:ind w:left="1800"/>
        <w:contextualSpacing w:val="0"/>
        <w:rPr>
          <w:sz w:val="24"/>
          <w:szCs w:val="24"/>
          <w:lang w:val="fr-CH"/>
        </w:rPr>
      </w:pPr>
    </w:p>
    <w:p w:rsidR="006C1F06" w:rsidRPr="006C1F06" w:rsidRDefault="006C1F06" w:rsidP="006C1F06">
      <w:pPr>
        <w:pStyle w:val="ListParagraph"/>
        <w:numPr>
          <w:ilvl w:val="0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u w:val="single"/>
          <w:lang w:val="fr-CH"/>
        </w:rPr>
        <w:t>Partage des avantages et protection sociale</w:t>
      </w:r>
    </w:p>
    <w:p w:rsidR="006C1F06" w:rsidRPr="00F50979" w:rsidRDefault="006C1F06" w:rsidP="006C1F06">
      <w:pPr>
        <w:pStyle w:val="ListParagraph"/>
        <w:ind w:left="1080"/>
        <w:contextualSpacing w:val="0"/>
        <w:rPr>
          <w:sz w:val="24"/>
          <w:szCs w:val="24"/>
          <w:lang w:val="fr-CH"/>
        </w:rPr>
      </w:pP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 xml:space="preserve">Quelles mesures garantissent que les titulaires de droits participent de manière significative à la définition des conditions et au partage des avantages de toutes les entreprises de développement, y compris les PPP? </w:t>
      </w: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 w:rsidRPr="00F50979">
        <w:rPr>
          <w:sz w:val="24"/>
          <w:szCs w:val="24"/>
          <w:lang w:val="fr-CH"/>
        </w:rPr>
        <w:t>Comment les parties prenantes du financement du développement, y compris le secteur privé, veillent</w:t>
      </w:r>
      <w:r>
        <w:rPr>
          <w:sz w:val="24"/>
          <w:szCs w:val="24"/>
          <w:lang w:val="fr-CH"/>
        </w:rPr>
        <w:t xml:space="preserve"> </w:t>
      </w:r>
      <w:r w:rsidRPr="00F50979">
        <w:rPr>
          <w:sz w:val="24"/>
          <w:szCs w:val="24"/>
          <w:lang w:val="fr-CH"/>
        </w:rPr>
        <w:t xml:space="preserve">à ce que les avantages de la croissance soient équitablement répartis entre tous les segments de la population pour réduire les inégalités et </w:t>
      </w:r>
      <w:r>
        <w:rPr>
          <w:sz w:val="24"/>
          <w:szCs w:val="24"/>
          <w:lang w:val="fr-CH"/>
        </w:rPr>
        <w:t xml:space="preserve">bénéficier aux groupes les </w:t>
      </w:r>
      <w:r w:rsidRPr="00F50979">
        <w:rPr>
          <w:sz w:val="24"/>
          <w:szCs w:val="24"/>
          <w:lang w:val="fr-CH"/>
        </w:rPr>
        <w:t xml:space="preserve">plus vulnérables ? </w:t>
      </w:r>
    </w:p>
    <w:p w:rsidR="006C1F06" w:rsidRPr="00F50979" w:rsidRDefault="006C1F06" w:rsidP="006C1F06">
      <w:pPr>
        <w:pStyle w:val="ListParagraph"/>
        <w:numPr>
          <w:ilvl w:val="1"/>
          <w:numId w:val="2"/>
        </w:numPr>
        <w:contextualSpacing w:val="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Est-ce que le</w:t>
      </w:r>
      <w:r w:rsidRPr="00F50979">
        <w:rPr>
          <w:sz w:val="24"/>
          <w:szCs w:val="24"/>
          <w:lang w:val="fr-CH"/>
        </w:rPr>
        <w:t>s États garantissent des niveaux minimaux de protection sociale, même en temps de crise ?</w:t>
      </w:r>
      <w:bookmarkStart w:id="0" w:name="_GoBack"/>
      <w:bookmarkEnd w:id="0"/>
    </w:p>
    <w:sectPr w:rsidR="006C1F06" w:rsidRPr="00F50979" w:rsidSect="001F44D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8" w:right="1440" w:bottom="1138" w:left="1440" w:header="288" w:footer="562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06" w:rsidRDefault="006C1F06" w:rsidP="006C1F06">
      <w:pPr>
        <w:spacing w:after="0" w:line="240" w:lineRule="auto"/>
      </w:pPr>
      <w:r>
        <w:separator/>
      </w:r>
    </w:p>
  </w:endnote>
  <w:endnote w:type="continuationSeparator" w:id="0">
    <w:p w:rsidR="006C1F06" w:rsidRDefault="006C1F06" w:rsidP="006C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1" w:rsidRDefault="00F3007D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763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F06" w:rsidRDefault="006C1F0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9F1" w:rsidRPr="00BC03CE" w:rsidRDefault="00F3007D" w:rsidP="001F5BA3">
    <w:pPr>
      <w:pStyle w:val="Footer"/>
      <w:rPr>
        <w:sz w:val="23"/>
        <w:szCs w:val="23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06" w:rsidRDefault="006C1F06" w:rsidP="006C1F06">
      <w:pPr>
        <w:spacing w:after="0" w:line="240" w:lineRule="auto"/>
      </w:pPr>
      <w:r>
        <w:separator/>
      </w:r>
    </w:p>
  </w:footnote>
  <w:footnote w:type="continuationSeparator" w:id="0">
    <w:p w:rsidR="006C1F06" w:rsidRDefault="006C1F06" w:rsidP="006C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1" w:rsidRPr="00AD4CA9" w:rsidRDefault="00F3007D" w:rsidP="00EB443A">
    <w:pPr>
      <w:pStyle w:val="Header"/>
      <w:tabs>
        <w:tab w:val="clear" w:pos="4153"/>
        <w:tab w:val="clear" w:pos="8306"/>
        <w:tab w:val="right" w:pos="9214"/>
      </w:tabs>
      <w:spacing w:before="360" w:after="840"/>
      <w:ind w:firstLine="360"/>
      <w:rPr>
        <w:sz w:val="14"/>
        <w:szCs w:val="1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1" w:rsidRPr="002B1796" w:rsidRDefault="00F3007D" w:rsidP="002B1796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97FB8"/>
    <w:multiLevelType w:val="hybridMultilevel"/>
    <w:tmpl w:val="EC2CD3FA"/>
    <w:lvl w:ilvl="0" w:tplc="96D01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16C46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A68E3"/>
    <w:multiLevelType w:val="hybridMultilevel"/>
    <w:tmpl w:val="C80E7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6C6210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B7BADC90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06"/>
    <w:rsid w:val="006C1F06"/>
    <w:rsid w:val="00D20E98"/>
    <w:rsid w:val="00DB5A55"/>
    <w:rsid w:val="00F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FDFFE"/>
  <w15:chartTrackingRefBased/>
  <w15:docId w15:val="{AFE725CE-A60B-461B-9FE9-FFAB743C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1F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C1F06"/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character" w:styleId="PageNumber">
    <w:name w:val="page number"/>
    <w:basedOn w:val="DefaultParagraphFont"/>
    <w:rsid w:val="006C1F06"/>
  </w:style>
  <w:style w:type="paragraph" w:styleId="Footer">
    <w:name w:val="footer"/>
    <w:basedOn w:val="Normal"/>
    <w:link w:val="FooterChar"/>
    <w:uiPriority w:val="99"/>
    <w:rsid w:val="006C1F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C1F0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C1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53EE75-8890-42E0-B02C-E201237AA8EB}"/>
</file>

<file path=customXml/itemProps2.xml><?xml version="1.0" encoding="utf-8"?>
<ds:datastoreItem xmlns:ds="http://schemas.openxmlformats.org/officeDocument/2006/customXml" ds:itemID="{778C2CA4-84AB-4137-9E4A-64B868E4CB90}"/>
</file>

<file path=customXml/itemProps3.xml><?xml version="1.0" encoding="utf-8"?>
<ds:datastoreItem xmlns:ds="http://schemas.openxmlformats.org/officeDocument/2006/customXml" ds:itemID="{723AC54A-D611-4427-922A-4A795D0B5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 Antoanela</dc:creator>
  <cp:keywords/>
  <dc:description/>
  <cp:lastModifiedBy>PAVLOVA Antoanela</cp:lastModifiedBy>
  <cp:revision>3</cp:revision>
  <dcterms:created xsi:type="dcterms:W3CDTF">2019-12-11T08:19:00Z</dcterms:created>
  <dcterms:modified xsi:type="dcterms:W3CDTF">2019-12-11T08:19:00Z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