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E113" w14:textId="77777777" w:rsidR="00000228" w:rsidRPr="00FD01A7" w:rsidRDefault="00000228" w:rsidP="00000228">
      <w:pPr>
        <w:pBdr>
          <w:top w:val="nil"/>
          <w:left w:val="nil"/>
          <w:bottom w:val="nil"/>
          <w:right w:val="nil"/>
          <w:between w:val="nil"/>
        </w:pBdr>
        <w:rPr>
          <w:rFonts w:ascii="Calibri" w:hAnsi="Calibri" w:cs="Calibri"/>
          <w:b/>
          <w:bCs/>
          <w:color w:val="000000"/>
          <w:sz w:val="23"/>
          <w:szCs w:val="23"/>
        </w:rPr>
      </w:pPr>
      <w:bookmarkStart w:id="0" w:name="_GoBack"/>
      <w:bookmarkEnd w:id="0"/>
      <w:r w:rsidRPr="00FD01A7">
        <w:rPr>
          <w:rFonts w:ascii="Calibri" w:hAnsi="Calibri" w:cs="Calibri"/>
          <w:b/>
          <w:bCs/>
          <w:color w:val="000000"/>
          <w:sz w:val="23"/>
          <w:szCs w:val="23"/>
        </w:rPr>
        <w:t>Contributions of CLADE to the draft of the Convention on the Right to Development</w:t>
      </w:r>
    </w:p>
    <w:p w14:paraId="75D791AF" w14:textId="77777777" w:rsidR="00000228" w:rsidRPr="00FD01A7" w:rsidRDefault="00000228" w:rsidP="00000228">
      <w:pPr>
        <w:pBdr>
          <w:top w:val="nil"/>
          <w:left w:val="nil"/>
          <w:bottom w:val="nil"/>
          <w:right w:val="nil"/>
          <w:between w:val="nil"/>
        </w:pBdr>
        <w:rPr>
          <w:rFonts w:ascii="Calibri" w:hAnsi="Calibri" w:cs="Calibri"/>
          <w:color w:val="000000"/>
          <w:sz w:val="23"/>
          <w:szCs w:val="23"/>
        </w:rPr>
      </w:pPr>
    </w:p>
    <w:p w14:paraId="69FCDA30" w14:textId="77777777" w:rsidR="00000228" w:rsidRPr="00FD01A7" w:rsidRDefault="00000228" w:rsidP="00000228">
      <w:pPr>
        <w:pBdr>
          <w:top w:val="nil"/>
          <w:left w:val="nil"/>
          <w:bottom w:val="nil"/>
          <w:right w:val="nil"/>
          <w:between w:val="nil"/>
        </w:pBdr>
        <w:rPr>
          <w:rFonts w:ascii="Calibri" w:hAnsi="Calibri" w:cs="Calibri"/>
          <w:color w:val="000000"/>
          <w:sz w:val="23"/>
          <w:szCs w:val="23"/>
        </w:rPr>
      </w:pPr>
      <w:r w:rsidRPr="00FD01A7">
        <w:rPr>
          <w:rFonts w:ascii="Calibri" w:hAnsi="Calibri" w:cs="Calibri"/>
          <w:color w:val="000000"/>
          <w:sz w:val="23"/>
          <w:szCs w:val="23"/>
        </w:rPr>
        <w:t xml:space="preserve">The Latin American Campaign for the Right to Education (CLADE) celebrates the Draft Convention on the Right to Development. </w:t>
      </w:r>
    </w:p>
    <w:p w14:paraId="244B47C5" w14:textId="77777777" w:rsidR="00000228" w:rsidRPr="00FD01A7" w:rsidRDefault="00000228" w:rsidP="00000228">
      <w:pPr>
        <w:pBdr>
          <w:top w:val="nil"/>
          <w:left w:val="nil"/>
          <w:bottom w:val="nil"/>
          <w:right w:val="nil"/>
          <w:between w:val="nil"/>
        </w:pBdr>
        <w:rPr>
          <w:rFonts w:ascii="Calibri" w:hAnsi="Calibri" w:cs="Calibri"/>
          <w:color w:val="000000"/>
          <w:sz w:val="23"/>
          <w:szCs w:val="23"/>
        </w:rPr>
      </w:pPr>
    </w:p>
    <w:p w14:paraId="770D0C5B" w14:textId="27CF9DB9" w:rsidR="00000228" w:rsidRPr="00FD01A7" w:rsidRDefault="00000228" w:rsidP="00000228">
      <w:pPr>
        <w:pBdr>
          <w:top w:val="nil"/>
          <w:left w:val="nil"/>
          <w:bottom w:val="nil"/>
          <w:right w:val="nil"/>
          <w:between w:val="nil"/>
        </w:pBdr>
        <w:rPr>
          <w:rFonts w:ascii="Calibri" w:hAnsi="Calibri" w:cs="Calibri"/>
          <w:color w:val="000000"/>
          <w:sz w:val="23"/>
          <w:szCs w:val="23"/>
        </w:rPr>
      </w:pPr>
      <w:r w:rsidRPr="00FD01A7">
        <w:rPr>
          <w:rFonts w:ascii="Calibri" w:hAnsi="Calibri" w:cs="Calibri"/>
          <w:color w:val="000000"/>
          <w:sz w:val="23"/>
          <w:szCs w:val="23"/>
        </w:rPr>
        <w:t xml:space="preserve">Responding to the call of the Office of the United Nations High Commissioner for Human Rights to civil society organizations with ECOSOC status to comment on the document, CLADE </w:t>
      </w:r>
      <w:r w:rsidR="002F29D1">
        <w:rPr>
          <w:rFonts w:ascii="Calibri" w:hAnsi="Calibri" w:cs="Calibri"/>
          <w:color w:val="000000"/>
          <w:sz w:val="23"/>
          <w:szCs w:val="23"/>
        </w:rPr>
        <w:t>offers</w:t>
      </w:r>
      <w:r w:rsidR="002F29D1" w:rsidRPr="00FD01A7">
        <w:rPr>
          <w:rFonts w:ascii="Calibri" w:hAnsi="Calibri" w:cs="Calibri"/>
          <w:color w:val="000000"/>
          <w:sz w:val="23"/>
          <w:szCs w:val="23"/>
        </w:rPr>
        <w:t xml:space="preserve"> </w:t>
      </w:r>
      <w:r w:rsidRPr="00FD01A7">
        <w:rPr>
          <w:rFonts w:ascii="Calibri" w:hAnsi="Calibri" w:cs="Calibri"/>
          <w:color w:val="000000"/>
          <w:sz w:val="23"/>
          <w:szCs w:val="23"/>
        </w:rPr>
        <w:t>the following contributions for the consideration of the Working Group:</w:t>
      </w:r>
    </w:p>
    <w:p w14:paraId="4A9FFD50" w14:textId="77777777" w:rsidR="00000228" w:rsidRPr="00FD01A7" w:rsidRDefault="00000228" w:rsidP="00000228">
      <w:pPr>
        <w:pBdr>
          <w:top w:val="nil"/>
          <w:left w:val="nil"/>
          <w:bottom w:val="nil"/>
          <w:right w:val="nil"/>
          <w:between w:val="nil"/>
        </w:pBdr>
        <w:rPr>
          <w:rFonts w:ascii="Calibri" w:hAnsi="Calibri" w:cs="Calibri"/>
          <w:color w:val="000000"/>
          <w:sz w:val="23"/>
          <w:szCs w:val="23"/>
        </w:rPr>
      </w:pPr>
    </w:p>
    <w:p w14:paraId="76C5C272" w14:textId="77777777" w:rsidR="00000228" w:rsidRPr="00FD01A7" w:rsidRDefault="00000228" w:rsidP="00000228">
      <w:pPr>
        <w:numPr>
          <w:ilvl w:val="0"/>
          <w:numId w:val="1"/>
        </w:numPr>
        <w:pBdr>
          <w:top w:val="nil"/>
          <w:left w:val="nil"/>
          <w:bottom w:val="nil"/>
          <w:right w:val="nil"/>
          <w:between w:val="nil"/>
        </w:pBdr>
        <w:rPr>
          <w:rFonts w:ascii="Calibri" w:eastAsia="Calibri" w:hAnsi="Calibri" w:cs="Calibri"/>
          <w:color w:val="000000"/>
          <w:sz w:val="23"/>
          <w:szCs w:val="23"/>
        </w:rPr>
      </w:pPr>
      <w:r w:rsidRPr="00FD01A7">
        <w:rPr>
          <w:rFonts w:ascii="Calibri" w:eastAsia="Calibri" w:hAnsi="Calibri" w:cs="Calibri"/>
          <w:color w:val="000000"/>
          <w:sz w:val="23"/>
          <w:szCs w:val="23"/>
        </w:rPr>
        <w:t xml:space="preserve">In the second paragraph of its preamble, the draft of the Convention recognizes the serious obstacles that the States Parties must face in order to achieve the right to development. It is considered that, in addition to all the elements acknowledged in such paragraph, it is essential to recognize the </w:t>
      </w:r>
      <w:r w:rsidRPr="00FD01A7">
        <w:rPr>
          <w:rFonts w:ascii="Calibri" w:eastAsia="Calibri" w:hAnsi="Calibri" w:cs="Calibri"/>
          <w:b/>
          <w:bCs/>
          <w:color w:val="000000"/>
          <w:sz w:val="23"/>
          <w:szCs w:val="23"/>
        </w:rPr>
        <w:t>patriarchal system</w:t>
      </w:r>
      <w:r w:rsidRPr="00FD01A7">
        <w:rPr>
          <w:rFonts w:ascii="Calibri" w:eastAsia="Calibri" w:hAnsi="Calibri" w:cs="Calibri"/>
          <w:color w:val="000000"/>
          <w:sz w:val="23"/>
          <w:szCs w:val="23"/>
        </w:rPr>
        <w:t xml:space="preserve"> as an important limiter of the right to development of women, girls and people with other sexual orientation and gender identities.</w:t>
      </w:r>
    </w:p>
    <w:p w14:paraId="1BC18E32" w14:textId="5DFD45CC" w:rsidR="00000228" w:rsidRPr="00FD01A7" w:rsidRDefault="00000228" w:rsidP="00000228">
      <w:pPr>
        <w:numPr>
          <w:ilvl w:val="0"/>
          <w:numId w:val="1"/>
        </w:numPr>
        <w:pBdr>
          <w:top w:val="nil"/>
          <w:left w:val="nil"/>
          <w:bottom w:val="nil"/>
          <w:right w:val="nil"/>
          <w:between w:val="nil"/>
        </w:pBdr>
        <w:rPr>
          <w:rFonts w:ascii="Calibri" w:eastAsia="Calibri" w:hAnsi="Calibri" w:cs="Calibri"/>
          <w:color w:val="000000"/>
          <w:sz w:val="23"/>
          <w:szCs w:val="23"/>
        </w:rPr>
      </w:pPr>
      <w:r w:rsidRPr="00F0023A">
        <w:rPr>
          <w:rFonts w:ascii="Calibri" w:eastAsia="Calibri" w:hAnsi="Calibri" w:cs="Calibri"/>
          <w:color w:val="000000"/>
          <w:sz w:val="23"/>
          <w:szCs w:val="23"/>
        </w:rPr>
        <w:t xml:space="preserve">In the fourth paragraph </w:t>
      </w:r>
      <w:r w:rsidR="002F29D1">
        <w:rPr>
          <w:rFonts w:ascii="Calibri" w:eastAsia="Calibri" w:hAnsi="Calibri" w:cs="Calibri"/>
          <w:color w:val="000000"/>
          <w:sz w:val="23"/>
          <w:szCs w:val="23"/>
        </w:rPr>
        <w:t xml:space="preserve">of </w:t>
      </w:r>
      <w:r w:rsidRPr="00FD01A7">
        <w:rPr>
          <w:rFonts w:ascii="Calibri" w:eastAsia="Calibri" w:hAnsi="Calibri" w:cs="Calibri"/>
          <w:color w:val="000000"/>
          <w:sz w:val="23"/>
          <w:szCs w:val="23"/>
        </w:rPr>
        <w:t>its preamble</w:t>
      </w:r>
      <w:r w:rsidRPr="00F0023A">
        <w:rPr>
          <w:rFonts w:ascii="Calibri" w:eastAsia="Calibri" w:hAnsi="Calibri" w:cs="Calibri"/>
          <w:color w:val="000000"/>
          <w:sz w:val="23"/>
          <w:szCs w:val="23"/>
        </w:rPr>
        <w:t xml:space="preserve">, the centrality of the well-being of the entire population and individuals is emphasized. However, </w:t>
      </w:r>
      <w:r w:rsidRPr="00FD01A7">
        <w:rPr>
          <w:rFonts w:ascii="Calibri" w:eastAsia="Calibri" w:hAnsi="Calibri" w:cs="Calibri"/>
          <w:color w:val="000000"/>
          <w:sz w:val="23"/>
          <w:szCs w:val="23"/>
        </w:rPr>
        <w:t xml:space="preserve">we </w:t>
      </w:r>
      <w:r w:rsidRPr="00F0023A">
        <w:rPr>
          <w:rFonts w:ascii="Calibri" w:eastAsia="Calibri" w:hAnsi="Calibri" w:cs="Calibri"/>
          <w:color w:val="000000"/>
          <w:sz w:val="23"/>
          <w:szCs w:val="23"/>
        </w:rPr>
        <w:t xml:space="preserve">consider </w:t>
      </w:r>
      <w:r w:rsidRPr="00FD01A7">
        <w:rPr>
          <w:rFonts w:ascii="Calibri" w:eastAsia="Calibri" w:hAnsi="Calibri" w:cs="Calibri"/>
          <w:color w:val="000000"/>
          <w:sz w:val="23"/>
          <w:szCs w:val="23"/>
        </w:rPr>
        <w:t xml:space="preserve">that is also </w:t>
      </w:r>
      <w:r w:rsidRPr="00F0023A">
        <w:rPr>
          <w:rFonts w:ascii="Calibri" w:eastAsia="Calibri" w:hAnsi="Calibri" w:cs="Calibri"/>
          <w:color w:val="000000"/>
          <w:sz w:val="23"/>
          <w:szCs w:val="23"/>
        </w:rPr>
        <w:t xml:space="preserve">essential to underline that the </w:t>
      </w:r>
      <w:r w:rsidRPr="00F0023A">
        <w:rPr>
          <w:rFonts w:ascii="Calibri" w:eastAsia="Calibri" w:hAnsi="Calibri" w:cs="Calibri"/>
          <w:b/>
          <w:bCs/>
          <w:color w:val="000000"/>
          <w:sz w:val="23"/>
          <w:szCs w:val="23"/>
        </w:rPr>
        <w:t xml:space="preserve">well-being of humanity depends on a healthy environment and </w:t>
      </w:r>
      <w:r w:rsidRPr="00FD01A7">
        <w:rPr>
          <w:rFonts w:ascii="Calibri" w:eastAsia="Calibri" w:hAnsi="Calibri" w:cs="Calibri"/>
          <w:b/>
          <w:bCs/>
          <w:color w:val="000000"/>
          <w:sz w:val="23"/>
          <w:szCs w:val="23"/>
        </w:rPr>
        <w:t xml:space="preserve">on </w:t>
      </w:r>
      <w:r w:rsidRPr="00F0023A">
        <w:rPr>
          <w:rFonts w:ascii="Calibri" w:eastAsia="Calibri" w:hAnsi="Calibri" w:cs="Calibri"/>
          <w:b/>
          <w:bCs/>
          <w:color w:val="000000"/>
          <w:sz w:val="23"/>
          <w:szCs w:val="23"/>
        </w:rPr>
        <w:t>the well-being of all living beings that inhabit the planet</w:t>
      </w:r>
      <w:r w:rsidRPr="00F0023A">
        <w:rPr>
          <w:rFonts w:ascii="Calibri" w:eastAsia="Calibri" w:hAnsi="Calibri" w:cs="Calibri"/>
          <w:color w:val="000000"/>
          <w:sz w:val="23"/>
          <w:szCs w:val="23"/>
        </w:rPr>
        <w:t xml:space="preserve">. Although </w:t>
      </w:r>
      <w:r w:rsidRPr="00FD01A7">
        <w:rPr>
          <w:rFonts w:ascii="Calibri" w:eastAsia="Calibri" w:hAnsi="Calibri" w:cs="Calibri"/>
          <w:color w:val="000000"/>
          <w:sz w:val="23"/>
          <w:szCs w:val="23"/>
        </w:rPr>
        <w:t xml:space="preserve">the sixth </w:t>
      </w:r>
      <w:r w:rsidRPr="00F0023A">
        <w:rPr>
          <w:rFonts w:ascii="Calibri" w:eastAsia="Calibri" w:hAnsi="Calibri" w:cs="Calibri"/>
          <w:color w:val="000000"/>
          <w:sz w:val="23"/>
          <w:szCs w:val="23"/>
        </w:rPr>
        <w:t xml:space="preserve">paragraph recognizes the relationship between the right to development and sustainable development, the conception of </w:t>
      </w:r>
      <w:r w:rsidRPr="00FD01A7">
        <w:rPr>
          <w:rFonts w:ascii="Calibri" w:eastAsia="Calibri" w:hAnsi="Calibri" w:cs="Calibri"/>
          <w:color w:val="000000"/>
          <w:sz w:val="23"/>
          <w:szCs w:val="23"/>
        </w:rPr>
        <w:t xml:space="preserve">people- or human-centered </w:t>
      </w:r>
      <w:r w:rsidRPr="00F0023A">
        <w:rPr>
          <w:rFonts w:ascii="Calibri" w:eastAsia="Calibri" w:hAnsi="Calibri" w:cs="Calibri"/>
          <w:color w:val="000000"/>
          <w:sz w:val="23"/>
          <w:szCs w:val="23"/>
        </w:rPr>
        <w:t xml:space="preserve">development leads to </w:t>
      </w:r>
      <w:r w:rsidRPr="00FD01A7">
        <w:rPr>
          <w:rFonts w:ascii="Calibri" w:eastAsia="Calibri" w:hAnsi="Calibri" w:cs="Calibri"/>
          <w:color w:val="000000"/>
          <w:sz w:val="23"/>
          <w:szCs w:val="23"/>
        </w:rPr>
        <w:t xml:space="preserve">the implementation of </w:t>
      </w:r>
      <w:r w:rsidRPr="00F0023A">
        <w:rPr>
          <w:rFonts w:ascii="Calibri" w:eastAsia="Calibri" w:hAnsi="Calibri" w:cs="Calibri"/>
          <w:color w:val="000000"/>
          <w:sz w:val="23"/>
          <w:szCs w:val="23"/>
        </w:rPr>
        <w:t>development</w:t>
      </w:r>
      <w:r w:rsidRPr="00FD01A7">
        <w:rPr>
          <w:rFonts w:ascii="Calibri" w:eastAsia="Calibri" w:hAnsi="Calibri" w:cs="Calibri"/>
          <w:color w:val="000000"/>
          <w:sz w:val="23"/>
          <w:szCs w:val="23"/>
        </w:rPr>
        <w:t xml:space="preserve"> </w:t>
      </w:r>
      <w:r w:rsidRPr="00F0023A">
        <w:rPr>
          <w:rFonts w:ascii="Calibri" w:eastAsia="Calibri" w:hAnsi="Calibri" w:cs="Calibri"/>
          <w:color w:val="000000"/>
          <w:sz w:val="23"/>
          <w:szCs w:val="23"/>
        </w:rPr>
        <w:t xml:space="preserve">models that make the existence of humanity on the planet unfeasible. Therefore, </w:t>
      </w:r>
      <w:r w:rsidRPr="00FD01A7">
        <w:rPr>
          <w:rFonts w:ascii="Calibri" w:eastAsia="Calibri" w:hAnsi="Calibri" w:cs="Calibri"/>
          <w:color w:val="000000"/>
          <w:sz w:val="23"/>
          <w:szCs w:val="23"/>
        </w:rPr>
        <w:t xml:space="preserve">it </w:t>
      </w:r>
      <w:r w:rsidRPr="00F0023A">
        <w:rPr>
          <w:rFonts w:ascii="Calibri" w:eastAsia="Calibri" w:hAnsi="Calibri" w:cs="Calibri"/>
          <w:color w:val="000000"/>
          <w:sz w:val="23"/>
          <w:szCs w:val="23"/>
        </w:rPr>
        <w:t>is essential</w:t>
      </w:r>
      <w:r w:rsidR="0021190F">
        <w:rPr>
          <w:rFonts w:ascii="Calibri" w:eastAsia="Calibri" w:hAnsi="Calibri" w:cs="Calibri"/>
          <w:color w:val="000000"/>
          <w:sz w:val="23"/>
          <w:szCs w:val="23"/>
        </w:rPr>
        <w:t xml:space="preserve"> to</w:t>
      </w:r>
      <w:r w:rsidRPr="00FD01A7">
        <w:rPr>
          <w:rFonts w:ascii="Calibri" w:eastAsia="Calibri" w:hAnsi="Calibri" w:cs="Calibri"/>
          <w:color w:val="000000"/>
          <w:sz w:val="23"/>
          <w:szCs w:val="23"/>
        </w:rPr>
        <w:t xml:space="preserve"> stress</w:t>
      </w:r>
      <w:r w:rsidRPr="00F0023A">
        <w:rPr>
          <w:rFonts w:ascii="Calibri" w:eastAsia="Calibri" w:hAnsi="Calibri" w:cs="Calibri"/>
          <w:color w:val="000000"/>
          <w:sz w:val="23"/>
          <w:szCs w:val="23"/>
        </w:rPr>
        <w:t xml:space="preserve"> </w:t>
      </w:r>
      <w:r w:rsidRPr="00FD01A7">
        <w:rPr>
          <w:rFonts w:ascii="Calibri" w:eastAsia="Calibri" w:hAnsi="Calibri" w:cs="Calibri"/>
          <w:color w:val="000000"/>
          <w:sz w:val="23"/>
          <w:szCs w:val="23"/>
        </w:rPr>
        <w:t xml:space="preserve">throughout the document </w:t>
      </w:r>
      <w:r w:rsidRPr="00F0023A">
        <w:rPr>
          <w:rFonts w:ascii="Calibri" w:eastAsia="Calibri" w:hAnsi="Calibri" w:cs="Calibri"/>
          <w:color w:val="000000"/>
          <w:sz w:val="23"/>
          <w:szCs w:val="23"/>
        </w:rPr>
        <w:t xml:space="preserve">that </w:t>
      </w:r>
      <w:r w:rsidRPr="00FD01A7">
        <w:rPr>
          <w:rFonts w:ascii="Calibri" w:eastAsia="Calibri" w:hAnsi="Calibri" w:cs="Calibri"/>
          <w:color w:val="000000"/>
          <w:sz w:val="23"/>
          <w:szCs w:val="23"/>
        </w:rPr>
        <w:t xml:space="preserve">the </w:t>
      </w:r>
      <w:r w:rsidRPr="00F0023A">
        <w:rPr>
          <w:rFonts w:ascii="Calibri" w:eastAsia="Calibri" w:hAnsi="Calibri" w:cs="Calibri"/>
          <w:color w:val="000000"/>
          <w:sz w:val="23"/>
          <w:szCs w:val="23"/>
        </w:rPr>
        <w:t xml:space="preserve">people-centered development cannot be separated from the well-being of the </w:t>
      </w:r>
      <w:r w:rsidRPr="00FD01A7">
        <w:rPr>
          <w:rFonts w:ascii="Calibri" w:eastAsia="Calibri" w:hAnsi="Calibri" w:cs="Calibri"/>
          <w:color w:val="000000"/>
          <w:sz w:val="23"/>
          <w:szCs w:val="23"/>
        </w:rPr>
        <w:t xml:space="preserve">whole </w:t>
      </w:r>
      <w:r w:rsidRPr="00F0023A">
        <w:rPr>
          <w:rFonts w:ascii="Calibri" w:eastAsia="Calibri" w:hAnsi="Calibri" w:cs="Calibri"/>
          <w:color w:val="000000"/>
          <w:sz w:val="23"/>
          <w:szCs w:val="23"/>
        </w:rPr>
        <w:t xml:space="preserve">planet. </w:t>
      </w:r>
      <w:r w:rsidRPr="00FD01A7">
        <w:rPr>
          <w:rFonts w:ascii="Calibri" w:eastAsia="Calibri" w:hAnsi="Calibri" w:cs="Calibri"/>
          <w:color w:val="000000"/>
          <w:sz w:val="23"/>
          <w:szCs w:val="23"/>
        </w:rPr>
        <w:t xml:space="preserve">The same comment applies to paragraph 22 of </w:t>
      </w:r>
      <w:r w:rsidR="00AD4F45">
        <w:rPr>
          <w:rFonts w:ascii="Calibri" w:eastAsia="Calibri" w:hAnsi="Calibri" w:cs="Calibri"/>
          <w:color w:val="000000"/>
          <w:sz w:val="23"/>
          <w:szCs w:val="23"/>
        </w:rPr>
        <w:t xml:space="preserve">the </w:t>
      </w:r>
      <w:r w:rsidRPr="00FD01A7">
        <w:rPr>
          <w:rFonts w:ascii="Calibri" w:eastAsia="Calibri" w:hAnsi="Calibri" w:cs="Calibri"/>
          <w:color w:val="000000"/>
          <w:sz w:val="23"/>
          <w:szCs w:val="23"/>
        </w:rPr>
        <w:t>preamble, where the right to human-centered development is again emphasized, without relating it to the inexorable condition of an adequate development to any kind of life on the planet.</w:t>
      </w:r>
    </w:p>
    <w:p w14:paraId="6B78D486" w14:textId="24563663" w:rsidR="00000228" w:rsidRPr="00FD01A7" w:rsidRDefault="00000228" w:rsidP="00000228">
      <w:pPr>
        <w:numPr>
          <w:ilvl w:val="0"/>
          <w:numId w:val="1"/>
        </w:numPr>
        <w:pBdr>
          <w:top w:val="nil"/>
          <w:left w:val="nil"/>
          <w:bottom w:val="nil"/>
          <w:right w:val="nil"/>
          <w:between w:val="nil"/>
        </w:pBdr>
        <w:rPr>
          <w:sz w:val="23"/>
          <w:szCs w:val="23"/>
        </w:rPr>
      </w:pPr>
      <w:r w:rsidRPr="00FD01A7">
        <w:rPr>
          <w:rFonts w:ascii="Calibri" w:eastAsia="Calibri" w:hAnsi="Calibri" w:cs="Calibri"/>
          <w:color w:val="000000"/>
          <w:sz w:val="23"/>
          <w:szCs w:val="23"/>
        </w:rPr>
        <w:t xml:space="preserve">On the other hand, Article 3 states: "Self-determined development: the right to development and the right to self-determination are integral to each other and mutually reinforcing”. As a consequence of this statement it is important </w:t>
      </w:r>
      <w:r w:rsidR="00AD4F45">
        <w:rPr>
          <w:rFonts w:ascii="Calibri" w:eastAsia="Calibri" w:hAnsi="Calibri" w:cs="Calibri"/>
          <w:color w:val="000000"/>
          <w:sz w:val="23"/>
          <w:szCs w:val="23"/>
        </w:rPr>
        <w:t xml:space="preserve">to </w:t>
      </w:r>
      <w:r w:rsidRPr="00FD01A7">
        <w:rPr>
          <w:rFonts w:ascii="Calibri" w:eastAsia="Calibri" w:hAnsi="Calibri" w:cs="Calibri"/>
          <w:b/>
          <w:bCs/>
          <w:color w:val="000000"/>
          <w:sz w:val="23"/>
          <w:szCs w:val="23"/>
        </w:rPr>
        <w:t>recognize</w:t>
      </w:r>
      <w:r>
        <w:rPr>
          <w:rFonts w:ascii="Calibri" w:eastAsia="Calibri" w:hAnsi="Calibri" w:cs="Calibri"/>
          <w:b/>
          <w:bCs/>
          <w:color w:val="000000"/>
          <w:sz w:val="23"/>
          <w:szCs w:val="23"/>
        </w:rPr>
        <w:t xml:space="preserve">, promote and defend </w:t>
      </w:r>
      <w:r w:rsidRPr="00FD01A7">
        <w:rPr>
          <w:rFonts w:ascii="Calibri" w:eastAsia="Calibri" w:hAnsi="Calibri" w:cs="Calibri"/>
          <w:b/>
          <w:bCs/>
          <w:color w:val="000000"/>
          <w:sz w:val="23"/>
          <w:szCs w:val="23"/>
        </w:rPr>
        <w:t>the existence of multiple types of development,</w:t>
      </w:r>
      <w:r w:rsidRPr="00FD01A7">
        <w:rPr>
          <w:rFonts w:ascii="Calibri" w:eastAsia="Calibri" w:hAnsi="Calibri" w:cs="Calibri"/>
          <w:color w:val="000000"/>
          <w:sz w:val="23"/>
          <w:szCs w:val="23"/>
        </w:rPr>
        <w:t xml:space="preserve"> in line with community life projects and the cultural diversity of the planet.</w:t>
      </w:r>
    </w:p>
    <w:p w14:paraId="157E1A02" w14:textId="586B9380" w:rsidR="00000228" w:rsidRPr="00FD01A7" w:rsidRDefault="00AD4F45" w:rsidP="00000228">
      <w:pPr>
        <w:numPr>
          <w:ilvl w:val="0"/>
          <w:numId w:val="1"/>
        </w:numPr>
        <w:pBdr>
          <w:top w:val="nil"/>
          <w:left w:val="nil"/>
          <w:bottom w:val="nil"/>
          <w:right w:val="nil"/>
          <w:between w:val="nil"/>
        </w:pBdr>
        <w:rPr>
          <w:rFonts w:ascii="Calibri" w:hAnsi="Calibri" w:cs="Calibri"/>
          <w:sz w:val="23"/>
          <w:szCs w:val="23"/>
        </w:rPr>
      </w:pPr>
      <w:r w:rsidRPr="00FD01A7">
        <w:rPr>
          <w:rFonts w:ascii="Calibri" w:eastAsia="Calibri" w:hAnsi="Calibri" w:cs="Calibri"/>
          <w:color w:val="000000"/>
          <w:sz w:val="23"/>
          <w:szCs w:val="23"/>
        </w:rPr>
        <w:t>Finally</w:t>
      </w:r>
      <w:r w:rsidR="00000228" w:rsidRPr="00FD01A7">
        <w:rPr>
          <w:rFonts w:ascii="Calibri" w:eastAsia="Calibri" w:hAnsi="Calibri" w:cs="Calibri"/>
          <w:color w:val="000000"/>
          <w:sz w:val="23"/>
          <w:szCs w:val="23"/>
        </w:rPr>
        <w:t xml:space="preserve">, considering: </w:t>
      </w:r>
    </w:p>
    <w:p w14:paraId="21B885FC" w14:textId="77777777" w:rsidR="00000228" w:rsidRPr="00FD01A7" w:rsidRDefault="00000228" w:rsidP="00000228">
      <w:pPr>
        <w:pBdr>
          <w:top w:val="nil"/>
          <w:left w:val="nil"/>
          <w:bottom w:val="nil"/>
          <w:right w:val="nil"/>
          <w:between w:val="nil"/>
        </w:pBdr>
        <w:ind w:left="720"/>
        <w:rPr>
          <w:rFonts w:ascii="Calibri" w:eastAsia="Calibri" w:hAnsi="Calibri" w:cs="Calibri"/>
          <w:color w:val="000000"/>
          <w:sz w:val="23"/>
          <w:szCs w:val="23"/>
        </w:rPr>
      </w:pPr>
      <w:r w:rsidRPr="00FD01A7">
        <w:rPr>
          <w:rFonts w:ascii="Calibri" w:eastAsia="Calibri" w:hAnsi="Calibri" w:cs="Calibri"/>
          <w:color w:val="000000"/>
          <w:sz w:val="23"/>
          <w:szCs w:val="23"/>
        </w:rPr>
        <w:t xml:space="preserve">a) the centrality of education for the realization of the right to development and sustainable development; </w:t>
      </w:r>
    </w:p>
    <w:p w14:paraId="3EF8E46C" w14:textId="77777777" w:rsidR="00000228" w:rsidRPr="00FD01A7" w:rsidRDefault="00000228" w:rsidP="00000228">
      <w:pPr>
        <w:pBdr>
          <w:top w:val="nil"/>
          <w:left w:val="nil"/>
          <w:bottom w:val="nil"/>
          <w:right w:val="nil"/>
          <w:between w:val="nil"/>
        </w:pBdr>
        <w:ind w:left="720"/>
        <w:rPr>
          <w:rFonts w:ascii="Calibri" w:eastAsia="Calibri" w:hAnsi="Calibri" w:cs="Calibri"/>
          <w:color w:val="000000"/>
          <w:sz w:val="23"/>
          <w:szCs w:val="23"/>
        </w:rPr>
      </w:pPr>
      <w:r w:rsidRPr="00FD01A7">
        <w:rPr>
          <w:rFonts w:ascii="Calibri" w:eastAsia="Calibri" w:hAnsi="Calibri" w:cs="Calibri"/>
          <w:color w:val="000000"/>
          <w:sz w:val="23"/>
          <w:szCs w:val="23"/>
        </w:rPr>
        <w:t>b) that the Incheon Declaration and the Education 2030 Framework for Action underline “</w:t>
      </w:r>
      <w:hyperlink r:id="rId5" w:history="1">
        <w:r w:rsidRPr="00FD01A7">
          <w:rPr>
            <w:rStyle w:val="Hyperlink"/>
            <w:rFonts w:ascii="Calibri" w:eastAsia="Calibri" w:hAnsi="Calibri" w:cs="Calibri"/>
            <w:sz w:val="23"/>
            <w:szCs w:val="23"/>
          </w:rPr>
          <w:t>the important role of education as a main driver of development and in achieving the other proposed SDGs</w:t>
        </w:r>
      </w:hyperlink>
      <w:r w:rsidRPr="00FD01A7">
        <w:rPr>
          <w:rFonts w:ascii="Calibri" w:eastAsia="Calibri" w:hAnsi="Calibri" w:cs="Calibri"/>
          <w:color w:val="000000"/>
          <w:sz w:val="23"/>
          <w:szCs w:val="23"/>
        </w:rPr>
        <w:t xml:space="preserve">”; </w:t>
      </w:r>
    </w:p>
    <w:p w14:paraId="6D5FCED6" w14:textId="32068106" w:rsidR="00000228" w:rsidRDefault="00000228" w:rsidP="00000228">
      <w:pPr>
        <w:pBdr>
          <w:top w:val="nil"/>
          <w:left w:val="nil"/>
          <w:bottom w:val="nil"/>
          <w:right w:val="nil"/>
          <w:between w:val="nil"/>
        </w:pBdr>
        <w:ind w:left="720"/>
        <w:rPr>
          <w:rFonts w:ascii="Calibri" w:eastAsia="Calibri" w:hAnsi="Calibri" w:cs="Calibri"/>
          <w:color w:val="000000"/>
          <w:sz w:val="23"/>
          <w:szCs w:val="23"/>
        </w:rPr>
      </w:pPr>
      <w:r w:rsidRPr="00FD01A7">
        <w:rPr>
          <w:rFonts w:ascii="Calibri" w:eastAsia="Calibri" w:hAnsi="Calibri" w:cs="Calibri"/>
          <w:color w:val="000000"/>
          <w:sz w:val="23"/>
          <w:szCs w:val="23"/>
        </w:rPr>
        <w:t>c) that Target 4.7 of the Education 2030 Agenda states</w:t>
      </w:r>
      <w:r w:rsidR="00AD4F45">
        <w:rPr>
          <w:rFonts w:ascii="Calibri" w:eastAsia="Calibri" w:hAnsi="Calibri" w:cs="Calibri"/>
          <w:color w:val="000000"/>
          <w:sz w:val="23"/>
          <w:szCs w:val="23"/>
        </w:rPr>
        <w:t xml:space="preserve"> </w:t>
      </w:r>
      <w:r w:rsidRPr="00FD01A7">
        <w:rPr>
          <w:rFonts w:ascii="Calibri" w:eastAsia="Calibri" w:hAnsi="Calibri" w:cs="Calibri"/>
          <w:color w:val="000000"/>
          <w:sz w:val="23"/>
          <w:szCs w:val="23"/>
        </w:rPr>
        <w:t>“</w:t>
      </w:r>
      <w:r w:rsidRPr="00FD01A7">
        <w:rPr>
          <w:rFonts w:ascii="Calibri" w:hAnsi="Calibri" w:cs="Calibri"/>
          <w:sz w:val="23"/>
          <w:szCs w:val="23"/>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sidRPr="00FD01A7">
        <w:rPr>
          <w:rFonts w:ascii="Calibri" w:eastAsia="Calibri" w:hAnsi="Calibri" w:cs="Calibri"/>
          <w:color w:val="000000"/>
          <w:sz w:val="23"/>
          <w:szCs w:val="23"/>
        </w:rPr>
        <w:t xml:space="preserve">”, </w:t>
      </w:r>
    </w:p>
    <w:p w14:paraId="743A9090" w14:textId="7E76E6CC" w:rsidR="00F87D59" w:rsidRDefault="00000228" w:rsidP="0021190F">
      <w:pPr>
        <w:pBdr>
          <w:top w:val="nil"/>
          <w:left w:val="nil"/>
          <w:bottom w:val="nil"/>
          <w:right w:val="nil"/>
          <w:between w:val="nil"/>
        </w:pBdr>
        <w:ind w:left="720"/>
      </w:pPr>
      <w:r w:rsidRPr="00FD01A7">
        <w:rPr>
          <w:rFonts w:ascii="Calibri" w:eastAsia="Calibri" w:hAnsi="Calibri" w:cs="Calibri"/>
          <w:color w:val="000000"/>
          <w:sz w:val="23"/>
          <w:szCs w:val="23"/>
        </w:rPr>
        <w:t>CLADE suggests that the Convention on the Right to</w:t>
      </w:r>
      <w:r w:rsidR="00AD4F45">
        <w:rPr>
          <w:rFonts w:ascii="Calibri" w:eastAsia="Calibri" w:hAnsi="Calibri" w:cs="Calibri"/>
          <w:color w:val="000000"/>
          <w:sz w:val="23"/>
          <w:szCs w:val="23"/>
        </w:rPr>
        <w:t xml:space="preserve"> Development</w:t>
      </w:r>
      <w:r w:rsidRPr="00FD01A7">
        <w:rPr>
          <w:rFonts w:ascii="Calibri" w:eastAsia="Calibri" w:hAnsi="Calibri" w:cs="Calibri"/>
          <w:color w:val="000000"/>
          <w:sz w:val="23"/>
          <w:szCs w:val="23"/>
        </w:rPr>
        <w:t xml:space="preserve"> incorporate</w:t>
      </w:r>
      <w:r w:rsidR="0021190F">
        <w:rPr>
          <w:rFonts w:ascii="Calibri" w:eastAsia="Calibri" w:hAnsi="Calibri" w:cs="Calibri"/>
          <w:color w:val="000000"/>
          <w:sz w:val="23"/>
          <w:szCs w:val="23"/>
        </w:rPr>
        <w:t>s</w:t>
      </w:r>
      <w:r w:rsidR="00AD4F45">
        <w:rPr>
          <w:rFonts w:ascii="Calibri" w:eastAsia="Calibri" w:hAnsi="Calibri" w:cs="Calibri"/>
          <w:color w:val="000000"/>
          <w:sz w:val="23"/>
          <w:szCs w:val="23"/>
        </w:rPr>
        <w:t xml:space="preserve"> more explicitly</w:t>
      </w:r>
      <w:r w:rsidRPr="00FD01A7">
        <w:rPr>
          <w:rFonts w:ascii="Calibri" w:eastAsia="Calibri" w:hAnsi="Calibri" w:cs="Calibri"/>
          <w:color w:val="000000"/>
          <w:sz w:val="23"/>
          <w:szCs w:val="23"/>
        </w:rPr>
        <w:t xml:space="preserve"> in its Article 6 </w:t>
      </w:r>
      <w:r w:rsidRPr="00C21F1E">
        <w:rPr>
          <w:rFonts w:ascii="Calibri" w:eastAsia="Calibri" w:hAnsi="Calibri" w:cs="Calibri"/>
          <w:b/>
          <w:bCs/>
          <w:color w:val="000000"/>
          <w:sz w:val="23"/>
          <w:szCs w:val="23"/>
        </w:rPr>
        <w:t xml:space="preserve">the </w:t>
      </w:r>
      <w:r w:rsidR="00AD4F45">
        <w:rPr>
          <w:rFonts w:ascii="Calibri" w:eastAsia="Calibri" w:hAnsi="Calibri" w:cs="Calibri"/>
          <w:b/>
          <w:bCs/>
          <w:color w:val="000000"/>
          <w:sz w:val="23"/>
          <w:szCs w:val="23"/>
        </w:rPr>
        <w:t xml:space="preserve">crucial </w:t>
      </w:r>
      <w:r w:rsidRPr="00C21F1E">
        <w:rPr>
          <w:rFonts w:ascii="Calibri" w:eastAsia="Calibri" w:hAnsi="Calibri" w:cs="Calibri"/>
          <w:b/>
          <w:bCs/>
          <w:color w:val="000000"/>
          <w:sz w:val="23"/>
          <w:szCs w:val="23"/>
        </w:rPr>
        <w:t>relationship between the Right to Development and the Right to Education</w:t>
      </w:r>
      <w:r w:rsidRPr="00FD01A7">
        <w:rPr>
          <w:rFonts w:ascii="Calibri" w:eastAsia="Calibri" w:hAnsi="Calibri" w:cs="Calibri"/>
          <w:color w:val="000000"/>
          <w:sz w:val="23"/>
          <w:szCs w:val="23"/>
        </w:rPr>
        <w:t>.</w:t>
      </w:r>
    </w:p>
    <w:sectPr w:rsidR="00F87D59">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6673D"/>
    <w:multiLevelType w:val="multilevel"/>
    <w:tmpl w:val="9F0AA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28"/>
    <w:rsid w:val="00000228"/>
    <w:rsid w:val="001652E1"/>
    <w:rsid w:val="001C31B2"/>
    <w:rsid w:val="0021190F"/>
    <w:rsid w:val="002F29D1"/>
    <w:rsid w:val="00AA5E4B"/>
    <w:rsid w:val="00AD4F45"/>
    <w:rsid w:val="00F616B1"/>
    <w:rsid w:val="00F8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6372"/>
  <w15:chartTrackingRefBased/>
  <w15:docId w15:val="{4D5C50D9-FC7F-554A-AD19-C2177236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28"/>
    <w:rPr>
      <w:color w:val="0563C1" w:themeColor="hyperlink"/>
      <w:u w:val="single"/>
    </w:rPr>
  </w:style>
  <w:style w:type="paragraph" w:styleId="BalloonText">
    <w:name w:val="Balloon Text"/>
    <w:basedOn w:val="Normal"/>
    <w:link w:val="BalloonTextChar"/>
    <w:uiPriority w:val="99"/>
    <w:semiHidden/>
    <w:unhideWhenUsed/>
    <w:rsid w:val="0021190F"/>
    <w:rPr>
      <w:sz w:val="18"/>
      <w:szCs w:val="18"/>
    </w:rPr>
  </w:style>
  <w:style w:type="character" w:customStyle="1" w:styleId="BalloonTextChar">
    <w:name w:val="Balloon Text Char"/>
    <w:basedOn w:val="DefaultParagraphFont"/>
    <w:link w:val="BalloonText"/>
    <w:uiPriority w:val="99"/>
    <w:semiHidden/>
    <w:rsid w:val="0021190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is.unesco.org/sites/default/files/documents/education-2030-incheon-framework-for-action-implementation-of-sdg4-2016-en_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C928EC-BE44-4176-B34E-FBED9262E313}"/>
</file>

<file path=customXml/itemProps2.xml><?xml version="1.0" encoding="utf-8"?>
<ds:datastoreItem xmlns:ds="http://schemas.openxmlformats.org/officeDocument/2006/customXml" ds:itemID="{B7066558-ECBD-4FE1-9428-D7796E58F6F8}"/>
</file>

<file path=customXml/itemProps3.xml><?xml version="1.0" encoding="utf-8"?>
<ds:datastoreItem xmlns:ds="http://schemas.openxmlformats.org/officeDocument/2006/customXml" ds:itemID="{4A9E6EEF-9E5A-40FD-9812-9358AA7698A1}"/>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4</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Lapper</cp:lastModifiedBy>
  <cp:revision>2</cp:revision>
  <dcterms:created xsi:type="dcterms:W3CDTF">2021-09-03T07:50:00Z</dcterms:created>
  <dcterms:modified xsi:type="dcterms:W3CDTF">2021-09-03T07:50:00Z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