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BFA46" w14:textId="177E2436" w:rsidR="008B2F56" w:rsidRPr="00BA35BF" w:rsidRDefault="008B2F56" w:rsidP="008D76EF">
      <w:pPr>
        <w:pStyle w:val="Title"/>
        <w:spacing w:after="160"/>
        <w:contextualSpacing w:val="0"/>
        <w:jc w:val="center"/>
        <w:rPr>
          <w:rFonts w:ascii="Times New Roman" w:eastAsiaTheme="minorHAnsi" w:hAnsi="Times New Roman" w:cs="Times New Roman"/>
          <w:b/>
          <w:spacing w:val="0"/>
          <w:kern w:val="0"/>
          <w:sz w:val="32"/>
          <w:szCs w:val="22"/>
          <w:lang w:val="en-US" w:eastAsia="en-US"/>
        </w:rPr>
      </w:pPr>
      <w:r w:rsidRPr="002C69BF">
        <w:rPr>
          <w:rFonts w:ascii="Times New Roman" w:eastAsiaTheme="minorHAnsi" w:hAnsi="Times New Roman" w:cs="Times New Roman"/>
          <w:b/>
          <w:spacing w:val="0"/>
          <w:kern w:val="0"/>
          <w:sz w:val="36"/>
          <w:szCs w:val="24"/>
          <w:lang w:val="en-US" w:eastAsia="en-US"/>
        </w:rPr>
        <w:t>Chapter 1</w:t>
      </w:r>
      <w:r w:rsidR="00CC0986" w:rsidRPr="002C69BF">
        <w:rPr>
          <w:rFonts w:ascii="Times New Roman" w:eastAsiaTheme="minorHAnsi" w:hAnsi="Times New Roman" w:cs="Times New Roman"/>
          <w:b/>
          <w:spacing w:val="0"/>
          <w:kern w:val="0"/>
          <w:sz w:val="36"/>
          <w:szCs w:val="24"/>
          <w:lang w:val="en-US" w:eastAsia="en-US"/>
        </w:rPr>
        <w:t>2</w:t>
      </w:r>
    </w:p>
    <w:p w14:paraId="20BE69CC" w14:textId="5D3FE888" w:rsidR="008B2F56" w:rsidRDefault="008B2F56" w:rsidP="008D76EF">
      <w:pPr>
        <w:pStyle w:val="Title"/>
        <w:spacing w:after="160"/>
        <w:contextualSpacing w:val="0"/>
        <w:jc w:val="center"/>
        <w:rPr>
          <w:rFonts w:ascii="Times New Roman" w:eastAsiaTheme="minorHAnsi" w:hAnsi="Times New Roman" w:cs="Times New Roman"/>
          <w:b/>
          <w:spacing w:val="0"/>
          <w:kern w:val="0"/>
          <w:sz w:val="2"/>
          <w:szCs w:val="2"/>
          <w:lang w:val="en-US" w:eastAsia="en-US"/>
        </w:rPr>
      </w:pPr>
    </w:p>
    <w:p w14:paraId="77C89D18" w14:textId="77777777" w:rsidR="00CC0986" w:rsidRPr="00CC0986" w:rsidRDefault="00CC0986" w:rsidP="00CC0986">
      <w:pPr>
        <w:rPr>
          <w:lang w:val="en-US" w:eastAsia="en-US"/>
        </w:rPr>
      </w:pPr>
    </w:p>
    <w:p w14:paraId="132B4C3D" w14:textId="03424785" w:rsidR="00DF2BCB" w:rsidRPr="008B2F56" w:rsidRDefault="00225D91" w:rsidP="008D76EF">
      <w:pPr>
        <w:pStyle w:val="Title"/>
        <w:spacing w:after="160"/>
        <w:contextualSpacing w:val="0"/>
        <w:jc w:val="center"/>
        <w:rPr>
          <w:rFonts w:ascii="Times New Roman" w:eastAsiaTheme="minorHAnsi" w:hAnsi="Times New Roman" w:cs="Times New Roman"/>
          <w:b/>
          <w:spacing w:val="0"/>
          <w:kern w:val="0"/>
          <w:sz w:val="28"/>
          <w:szCs w:val="20"/>
          <w:lang w:val="en-US" w:eastAsia="en-US"/>
        </w:rPr>
      </w:pPr>
      <w:r w:rsidRPr="008B2F56">
        <w:rPr>
          <w:rFonts w:ascii="Times New Roman" w:eastAsiaTheme="minorHAnsi" w:hAnsi="Times New Roman" w:cs="Times New Roman"/>
          <w:b/>
          <w:spacing w:val="0"/>
          <w:kern w:val="0"/>
          <w:sz w:val="28"/>
          <w:szCs w:val="20"/>
          <w:lang w:val="en-US" w:eastAsia="en-US"/>
        </w:rPr>
        <w:t xml:space="preserve">The </w:t>
      </w:r>
      <w:r w:rsidR="008B2F56" w:rsidRPr="008B2F56">
        <w:rPr>
          <w:rFonts w:ascii="Times New Roman" w:eastAsiaTheme="minorHAnsi" w:hAnsi="Times New Roman" w:cs="Times New Roman"/>
          <w:b/>
          <w:spacing w:val="0"/>
          <w:kern w:val="0"/>
          <w:sz w:val="28"/>
          <w:szCs w:val="20"/>
          <w:lang w:val="en-US" w:eastAsia="en-US"/>
        </w:rPr>
        <w:t>R</w:t>
      </w:r>
      <w:r w:rsidRPr="008B2F56">
        <w:rPr>
          <w:rFonts w:ascii="Times New Roman" w:eastAsiaTheme="minorHAnsi" w:hAnsi="Times New Roman" w:cs="Times New Roman"/>
          <w:b/>
          <w:spacing w:val="0"/>
          <w:kern w:val="0"/>
          <w:sz w:val="28"/>
          <w:szCs w:val="20"/>
          <w:lang w:val="en-US" w:eastAsia="en-US"/>
        </w:rPr>
        <w:t>elationship between Foreign Direct Investment, the Right to Development and the UN Sustainable Development Goals</w:t>
      </w:r>
    </w:p>
    <w:p w14:paraId="7F18707C" w14:textId="4AF643E3" w:rsidR="00AE7727" w:rsidRPr="008B2F56" w:rsidRDefault="00AE7727" w:rsidP="008D76EF">
      <w:pPr>
        <w:spacing w:before="160" w:after="160"/>
        <w:jc w:val="center"/>
        <w:rPr>
          <w:rFonts w:ascii="Times New Roman" w:eastAsiaTheme="minorHAnsi" w:hAnsi="Times New Roman" w:cs="Times New Roman"/>
          <w:b/>
          <w:sz w:val="28"/>
          <w:szCs w:val="20"/>
          <w:lang w:val="en-US" w:eastAsia="en-US"/>
        </w:rPr>
      </w:pPr>
      <w:r w:rsidRPr="008B2F56">
        <w:rPr>
          <w:rFonts w:ascii="Times New Roman" w:eastAsiaTheme="minorHAnsi" w:hAnsi="Times New Roman" w:cs="Times New Roman"/>
          <w:b/>
          <w:sz w:val="28"/>
          <w:szCs w:val="20"/>
          <w:lang w:val="en-US" w:eastAsia="en-US"/>
        </w:rPr>
        <w:t>Ole Kristian Fauchald</w:t>
      </w:r>
      <w:r w:rsidR="00CC0986">
        <w:rPr>
          <w:rFonts w:eastAsiaTheme="minorHAnsi"/>
          <w:b/>
          <w:sz w:val="28"/>
          <w:szCs w:val="20"/>
          <w:lang w:val="en-US" w:eastAsia="en-US"/>
        </w:rPr>
        <w:t>*</w:t>
      </w:r>
    </w:p>
    <w:p w14:paraId="4B639BEA" w14:textId="77777777" w:rsidR="002A74C9" w:rsidRPr="008B2F56" w:rsidRDefault="002A74C9" w:rsidP="008D76EF">
      <w:pPr>
        <w:spacing w:before="160" w:after="160"/>
        <w:jc w:val="both"/>
        <w:rPr>
          <w:rFonts w:ascii="Times New Roman" w:hAnsi="Times New Roman" w:cs="Times New Roman"/>
          <w:i/>
          <w:color w:val="000000" w:themeColor="text1"/>
          <w:sz w:val="24"/>
          <w:szCs w:val="24"/>
          <w:lang w:val="en-US"/>
        </w:rPr>
      </w:pPr>
    </w:p>
    <w:tbl>
      <w:tblPr>
        <w:tblStyle w:val="TableGrid"/>
        <w:tblW w:w="0" w:type="auto"/>
        <w:tblLook w:val="04A0" w:firstRow="1" w:lastRow="0" w:firstColumn="1" w:lastColumn="0" w:noHBand="0" w:noVBand="1"/>
      </w:tblPr>
      <w:tblGrid>
        <w:gridCol w:w="9350"/>
      </w:tblGrid>
      <w:tr w:rsidR="002A74C9" w:rsidRPr="008B2F56" w14:paraId="4606F204" w14:textId="77777777" w:rsidTr="002A74C9">
        <w:tc>
          <w:tcPr>
            <w:tcW w:w="9350" w:type="dxa"/>
          </w:tcPr>
          <w:p w14:paraId="1068980A" w14:textId="3AFF6E5F" w:rsidR="002A74C9" w:rsidRDefault="002A74C9" w:rsidP="008D76EF">
            <w:pPr>
              <w:spacing w:line="360" w:lineRule="auto"/>
              <w:jc w:val="both"/>
              <w:rPr>
                <w:rFonts w:ascii="Times New Roman" w:hAnsi="Times New Roman" w:cs="Times New Roman"/>
                <w:b/>
                <w:bCs/>
                <w:sz w:val="24"/>
                <w:szCs w:val="28"/>
              </w:rPr>
            </w:pPr>
            <w:r w:rsidRPr="00CC0986">
              <w:rPr>
                <w:rFonts w:ascii="Times New Roman" w:hAnsi="Times New Roman" w:cs="Times New Roman"/>
                <w:b/>
                <w:bCs/>
                <w:sz w:val="24"/>
                <w:szCs w:val="28"/>
              </w:rPr>
              <w:t>Learning Objectives:</w:t>
            </w:r>
          </w:p>
          <w:p w14:paraId="743A0A2D" w14:textId="77777777" w:rsidR="000A1E04" w:rsidRPr="00CC0986" w:rsidRDefault="000A1E04" w:rsidP="008D76EF">
            <w:pPr>
              <w:spacing w:line="360" w:lineRule="auto"/>
              <w:jc w:val="both"/>
              <w:rPr>
                <w:rFonts w:ascii="Times New Roman" w:hAnsi="Times New Roman" w:cs="Times New Roman"/>
                <w:sz w:val="24"/>
                <w:szCs w:val="28"/>
              </w:rPr>
            </w:pPr>
          </w:p>
          <w:p w14:paraId="179D6C03" w14:textId="08075670" w:rsidR="002A74C9" w:rsidRPr="00CC0986" w:rsidRDefault="002A74C9" w:rsidP="008D76EF">
            <w:pPr>
              <w:pStyle w:val="ListParagraph"/>
              <w:numPr>
                <w:ilvl w:val="0"/>
                <w:numId w:val="32"/>
              </w:numPr>
              <w:spacing w:line="360" w:lineRule="auto"/>
              <w:jc w:val="both"/>
              <w:rPr>
                <w:rFonts w:ascii="Times New Roman" w:hAnsi="Times New Roman" w:cs="Times New Roman"/>
                <w:sz w:val="24"/>
                <w:szCs w:val="28"/>
              </w:rPr>
            </w:pPr>
            <w:r w:rsidRPr="00CC0986">
              <w:rPr>
                <w:rFonts w:ascii="Times New Roman" w:hAnsi="Times New Roman" w:cs="Times New Roman"/>
                <w:sz w:val="24"/>
                <w:szCs w:val="28"/>
              </w:rPr>
              <w:t xml:space="preserve">To </w:t>
            </w:r>
            <w:r w:rsidR="004E0EA7" w:rsidRPr="00CC0986">
              <w:rPr>
                <w:rFonts w:ascii="Times New Roman" w:hAnsi="Times New Roman" w:cs="Times New Roman"/>
                <w:sz w:val="24"/>
                <w:szCs w:val="28"/>
              </w:rPr>
              <w:t>gain knowledge about</w:t>
            </w:r>
            <w:r w:rsidRPr="00CC0986">
              <w:rPr>
                <w:rFonts w:ascii="Times New Roman" w:hAnsi="Times New Roman" w:cs="Times New Roman"/>
                <w:sz w:val="24"/>
                <w:szCs w:val="28"/>
              </w:rPr>
              <w:t xml:space="preserve"> the relationship between foreign direct investment, the right to development and sustainable development</w:t>
            </w:r>
            <w:r w:rsidR="009B5ADB" w:rsidRPr="00CC0986">
              <w:rPr>
                <w:rFonts w:ascii="Times New Roman" w:hAnsi="Times New Roman" w:cs="Times New Roman"/>
                <w:sz w:val="24"/>
                <w:szCs w:val="28"/>
              </w:rPr>
              <w:t>.</w:t>
            </w:r>
          </w:p>
          <w:p w14:paraId="10D58007" w14:textId="77777777" w:rsidR="00CC0986" w:rsidRDefault="00CC0986" w:rsidP="00CC0986">
            <w:pPr>
              <w:pStyle w:val="ListParagraph"/>
              <w:spacing w:line="360" w:lineRule="auto"/>
              <w:jc w:val="both"/>
              <w:rPr>
                <w:rFonts w:ascii="Times New Roman" w:hAnsi="Times New Roman" w:cs="Times New Roman"/>
                <w:sz w:val="24"/>
                <w:szCs w:val="28"/>
              </w:rPr>
            </w:pPr>
          </w:p>
          <w:p w14:paraId="0D45784C" w14:textId="0168140A" w:rsidR="002A74C9" w:rsidRPr="00CC0986" w:rsidRDefault="002A74C9" w:rsidP="008D76EF">
            <w:pPr>
              <w:pStyle w:val="ListParagraph"/>
              <w:numPr>
                <w:ilvl w:val="0"/>
                <w:numId w:val="32"/>
              </w:numPr>
              <w:spacing w:line="360" w:lineRule="auto"/>
              <w:jc w:val="both"/>
              <w:rPr>
                <w:rFonts w:ascii="Times New Roman" w:hAnsi="Times New Roman" w:cs="Times New Roman"/>
                <w:sz w:val="24"/>
                <w:szCs w:val="28"/>
              </w:rPr>
            </w:pPr>
            <w:r w:rsidRPr="00CC0986">
              <w:rPr>
                <w:rFonts w:ascii="Times New Roman" w:hAnsi="Times New Roman" w:cs="Times New Roman"/>
                <w:sz w:val="24"/>
                <w:szCs w:val="28"/>
              </w:rPr>
              <w:t xml:space="preserve">To </w:t>
            </w:r>
            <w:r w:rsidR="009B5ADB" w:rsidRPr="00CC0986">
              <w:rPr>
                <w:rFonts w:ascii="Times New Roman" w:hAnsi="Times New Roman" w:cs="Times New Roman"/>
                <w:sz w:val="24"/>
                <w:szCs w:val="28"/>
              </w:rPr>
              <w:t xml:space="preserve">understand </w:t>
            </w:r>
            <w:r w:rsidR="004E0EA7" w:rsidRPr="00CC0986">
              <w:rPr>
                <w:rFonts w:ascii="Times New Roman" w:hAnsi="Times New Roman" w:cs="Times New Roman"/>
                <w:sz w:val="24"/>
                <w:szCs w:val="28"/>
              </w:rPr>
              <w:t>the mechanisms through which</w:t>
            </w:r>
            <w:r w:rsidR="009B5ADB" w:rsidRPr="00CC0986">
              <w:rPr>
                <w:rFonts w:ascii="Times New Roman" w:hAnsi="Times New Roman" w:cs="Times New Roman"/>
                <w:sz w:val="24"/>
                <w:szCs w:val="28"/>
              </w:rPr>
              <w:t xml:space="preserve"> international </w:t>
            </w:r>
            <w:r w:rsidR="004E0EA7" w:rsidRPr="00CC0986">
              <w:rPr>
                <w:rFonts w:ascii="Times New Roman" w:hAnsi="Times New Roman" w:cs="Times New Roman"/>
                <w:sz w:val="24"/>
                <w:szCs w:val="28"/>
              </w:rPr>
              <w:t xml:space="preserve">economic </w:t>
            </w:r>
            <w:r w:rsidR="009B5ADB" w:rsidRPr="00CC0986">
              <w:rPr>
                <w:rFonts w:ascii="Times New Roman" w:hAnsi="Times New Roman" w:cs="Times New Roman"/>
                <w:sz w:val="24"/>
                <w:szCs w:val="28"/>
              </w:rPr>
              <w:t xml:space="preserve">law and dispute settlement </w:t>
            </w:r>
            <w:r w:rsidR="004E0EA7" w:rsidRPr="00CC0986">
              <w:rPr>
                <w:rFonts w:ascii="Times New Roman" w:hAnsi="Times New Roman" w:cs="Times New Roman"/>
                <w:sz w:val="24"/>
                <w:szCs w:val="28"/>
              </w:rPr>
              <w:t xml:space="preserve">can </w:t>
            </w:r>
            <w:r w:rsidR="009B5ADB" w:rsidRPr="00CC0986">
              <w:rPr>
                <w:rFonts w:ascii="Times New Roman" w:hAnsi="Times New Roman" w:cs="Times New Roman"/>
                <w:sz w:val="24"/>
                <w:szCs w:val="28"/>
              </w:rPr>
              <w:t>affect the amount and character</w:t>
            </w:r>
            <w:r w:rsidR="004E0EA7" w:rsidRPr="00CC0986">
              <w:rPr>
                <w:rFonts w:ascii="Times New Roman" w:hAnsi="Times New Roman" w:cs="Times New Roman"/>
                <w:sz w:val="24"/>
                <w:szCs w:val="28"/>
              </w:rPr>
              <w:t>istics</w:t>
            </w:r>
            <w:r w:rsidR="009B5ADB" w:rsidRPr="00CC0986">
              <w:rPr>
                <w:rFonts w:ascii="Times New Roman" w:hAnsi="Times New Roman" w:cs="Times New Roman"/>
                <w:sz w:val="24"/>
                <w:szCs w:val="28"/>
              </w:rPr>
              <w:t xml:space="preserve"> of foreign direct investment</w:t>
            </w:r>
            <w:r w:rsidRPr="00CC0986">
              <w:rPr>
                <w:rFonts w:ascii="Times New Roman" w:hAnsi="Times New Roman" w:cs="Times New Roman"/>
                <w:sz w:val="24"/>
                <w:szCs w:val="28"/>
              </w:rPr>
              <w:t>.</w:t>
            </w:r>
          </w:p>
          <w:p w14:paraId="52FE0259" w14:textId="77777777" w:rsidR="00CC0986" w:rsidRDefault="00CC0986" w:rsidP="00CC0986">
            <w:pPr>
              <w:pStyle w:val="ListParagraph"/>
              <w:spacing w:line="360" w:lineRule="auto"/>
              <w:jc w:val="both"/>
              <w:rPr>
                <w:rFonts w:ascii="Times New Roman" w:hAnsi="Times New Roman" w:cs="Times New Roman"/>
                <w:sz w:val="24"/>
                <w:szCs w:val="28"/>
              </w:rPr>
            </w:pPr>
          </w:p>
          <w:p w14:paraId="3D24C0D8" w14:textId="0701FBC1" w:rsidR="002A74C9" w:rsidRPr="00CC0986" w:rsidRDefault="00F3747A" w:rsidP="008D76EF">
            <w:pPr>
              <w:pStyle w:val="ListParagraph"/>
              <w:numPr>
                <w:ilvl w:val="0"/>
                <w:numId w:val="32"/>
              </w:numPr>
              <w:spacing w:line="360" w:lineRule="auto"/>
              <w:jc w:val="both"/>
              <w:rPr>
                <w:rFonts w:ascii="Times New Roman" w:hAnsi="Times New Roman" w:cs="Times New Roman"/>
                <w:sz w:val="24"/>
                <w:szCs w:val="28"/>
              </w:rPr>
            </w:pPr>
            <w:r w:rsidRPr="00CC0986">
              <w:rPr>
                <w:rFonts w:ascii="Times New Roman" w:hAnsi="Times New Roman" w:cs="Times New Roman"/>
                <w:sz w:val="24"/>
                <w:szCs w:val="28"/>
              </w:rPr>
              <w:t>To achieve understanding of how the right to development and sustainable development goals can be achieved through reforms of international investment law and domestic investment legislation</w:t>
            </w:r>
            <w:r w:rsidR="002A74C9" w:rsidRPr="00CC0986">
              <w:rPr>
                <w:rFonts w:ascii="Times New Roman" w:hAnsi="Times New Roman" w:cs="Times New Roman"/>
                <w:sz w:val="24"/>
                <w:szCs w:val="28"/>
              </w:rPr>
              <w:t xml:space="preserve">  </w:t>
            </w:r>
          </w:p>
        </w:tc>
      </w:tr>
    </w:tbl>
    <w:p w14:paraId="4B8E687F" w14:textId="2BBF8746" w:rsidR="002A74C9" w:rsidRDefault="002A74C9" w:rsidP="008D76EF">
      <w:pPr>
        <w:jc w:val="both"/>
        <w:rPr>
          <w:rFonts w:ascii="Times New Roman" w:hAnsi="Times New Roman" w:cs="Times New Roman"/>
          <w:lang w:val="en-US"/>
        </w:rPr>
      </w:pPr>
    </w:p>
    <w:p w14:paraId="035182A0" w14:textId="77777777" w:rsidR="00CC0986" w:rsidRDefault="00CC0986" w:rsidP="008D76EF">
      <w:pPr>
        <w:jc w:val="both"/>
        <w:rPr>
          <w:rFonts w:ascii="Times New Roman" w:eastAsia="Calibri" w:hAnsi="Times New Roman"/>
          <w:b/>
          <w:i/>
          <w:iCs/>
          <w:sz w:val="23"/>
          <w:szCs w:val="23"/>
        </w:rPr>
      </w:pPr>
    </w:p>
    <w:p w14:paraId="2C970DB8" w14:textId="77777777" w:rsidR="00CC0986" w:rsidRDefault="00CC0986" w:rsidP="008D76EF">
      <w:pPr>
        <w:jc w:val="both"/>
        <w:rPr>
          <w:rFonts w:ascii="Times New Roman" w:eastAsia="Calibri" w:hAnsi="Times New Roman"/>
          <w:b/>
          <w:i/>
          <w:iCs/>
          <w:sz w:val="23"/>
          <w:szCs w:val="23"/>
          <w:lang w:val="en-US"/>
        </w:rPr>
      </w:pPr>
    </w:p>
    <w:p w14:paraId="31AC0C49" w14:textId="77777777" w:rsidR="00CC0986" w:rsidRDefault="00CC0986" w:rsidP="008D76EF">
      <w:pPr>
        <w:jc w:val="both"/>
        <w:rPr>
          <w:rFonts w:ascii="Times New Roman" w:eastAsia="Calibri" w:hAnsi="Times New Roman"/>
          <w:b/>
          <w:i/>
          <w:iCs/>
          <w:sz w:val="23"/>
          <w:szCs w:val="23"/>
        </w:rPr>
      </w:pPr>
    </w:p>
    <w:p w14:paraId="6FB2D6DF" w14:textId="77777777" w:rsidR="00CC0986" w:rsidRDefault="00CC0986" w:rsidP="008D76EF">
      <w:pPr>
        <w:jc w:val="both"/>
        <w:rPr>
          <w:rFonts w:ascii="Times New Roman" w:eastAsia="Calibri" w:hAnsi="Times New Roman"/>
          <w:b/>
          <w:i/>
          <w:iCs/>
          <w:sz w:val="23"/>
          <w:szCs w:val="23"/>
          <w:lang w:val="en-US"/>
        </w:rPr>
      </w:pPr>
    </w:p>
    <w:p w14:paraId="6DB55C0C" w14:textId="30600BD6" w:rsidR="00CC0986" w:rsidRPr="008B2F56" w:rsidRDefault="00CC0986" w:rsidP="008D76EF">
      <w:pPr>
        <w:jc w:val="both"/>
        <w:rPr>
          <w:rFonts w:ascii="Times New Roman" w:hAnsi="Times New Roman" w:cs="Times New Roman"/>
          <w:lang w:val="en-US"/>
        </w:rPr>
      </w:pPr>
      <w:r>
        <w:rPr>
          <w:rFonts w:ascii="Times New Roman" w:eastAsia="Calibri" w:hAnsi="Times New Roman"/>
          <w:b/>
          <w:i/>
          <w:iCs/>
          <w:sz w:val="23"/>
          <w:szCs w:val="23"/>
        </w:rPr>
        <w:t>This Chapter is part of the E-Learning Module on “Operationalizing the Right to Development in Implementing the Sustainable Development Goals” conceived, developed, and supported by the Right to Development Section of the Office of the United Nations High Commissioner for Human Rights (OHCHR) in collaboration with the University for Peace (UPEACE). The Module is offered by OHCHR in partnership with UPEACE and the United Nations University – International Institute for Global Health (UNU-IIGH). All Chapters in the module are co-edited by Dr. Mihir Kanade (Director, UPEACE Human Rights Centre) and Dr. Shyami Puvimanasinghe (Human Rights Officer, Right to Development Section, OHCHR).</w:t>
      </w:r>
    </w:p>
    <w:p w14:paraId="54D2AD44" w14:textId="30600BD6" w:rsidR="00AE7727" w:rsidRPr="008B2F56" w:rsidRDefault="00AE7727" w:rsidP="008D76EF">
      <w:pPr>
        <w:pStyle w:val="Heading1"/>
        <w:jc w:val="both"/>
        <w:rPr>
          <w:rFonts w:ascii="Times New Roman" w:hAnsi="Times New Roman" w:cs="Times New Roman"/>
          <w:lang w:val="en-US"/>
        </w:rPr>
      </w:pPr>
      <w:r w:rsidRPr="008B2F56">
        <w:rPr>
          <w:rFonts w:ascii="Times New Roman" w:hAnsi="Times New Roman" w:cs="Times New Roman"/>
          <w:lang w:val="en-US"/>
        </w:rPr>
        <w:lastRenderedPageBreak/>
        <w:t xml:space="preserve">1. </w:t>
      </w:r>
      <w:r w:rsidRPr="008B2F56">
        <w:rPr>
          <w:rFonts w:ascii="Times New Roman" w:hAnsi="Times New Roman" w:cs="Times New Roman"/>
        </w:rPr>
        <w:t>Introduction</w:t>
      </w:r>
    </w:p>
    <w:p w14:paraId="5CC01478" w14:textId="4E268CF2" w:rsidR="00EF4997" w:rsidRPr="008B2F56" w:rsidRDefault="00232DE8"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H</w:t>
      </w:r>
      <w:r w:rsidR="00225D91" w:rsidRPr="008B2F56">
        <w:rPr>
          <w:rFonts w:ascii="Times New Roman" w:hAnsi="Times New Roman" w:cs="Times New Roman"/>
          <w:color w:val="000000" w:themeColor="text1"/>
          <w:sz w:val="24"/>
          <w:szCs w:val="24"/>
          <w:lang w:val="en-US"/>
        </w:rPr>
        <w:t xml:space="preserve">ow </w:t>
      </w:r>
      <w:r w:rsidRPr="008B2F56">
        <w:rPr>
          <w:rFonts w:ascii="Times New Roman" w:hAnsi="Times New Roman" w:cs="Times New Roman"/>
          <w:color w:val="000000" w:themeColor="text1"/>
          <w:sz w:val="24"/>
          <w:szCs w:val="24"/>
          <w:lang w:val="en-US"/>
        </w:rPr>
        <w:t xml:space="preserve">can foreign direct investment (FDI) contribute to fulfil </w:t>
      </w:r>
      <w:r w:rsidR="00225D91" w:rsidRPr="008B2F56">
        <w:rPr>
          <w:rFonts w:ascii="Times New Roman" w:hAnsi="Times New Roman" w:cs="Times New Roman"/>
          <w:color w:val="000000" w:themeColor="text1"/>
          <w:sz w:val="24"/>
          <w:szCs w:val="24"/>
          <w:lang w:val="en-US"/>
        </w:rPr>
        <w:t xml:space="preserve">the right to development (RtD) </w:t>
      </w:r>
      <w:r w:rsidRPr="008B2F56">
        <w:rPr>
          <w:rFonts w:ascii="Times New Roman" w:hAnsi="Times New Roman" w:cs="Times New Roman"/>
          <w:color w:val="000000" w:themeColor="text1"/>
          <w:sz w:val="24"/>
          <w:szCs w:val="24"/>
          <w:lang w:val="en-US"/>
        </w:rPr>
        <w:t>and realize some of the</w:t>
      </w:r>
      <w:r w:rsidR="00225D91" w:rsidRPr="008B2F56">
        <w:rPr>
          <w:rFonts w:ascii="Times New Roman" w:hAnsi="Times New Roman" w:cs="Times New Roman"/>
          <w:color w:val="000000" w:themeColor="text1"/>
          <w:sz w:val="24"/>
          <w:szCs w:val="24"/>
          <w:lang w:val="en-US"/>
        </w:rPr>
        <w:t xml:space="preserve"> UN Sustainable Development Goals (SDGs)</w:t>
      </w:r>
      <w:r w:rsidR="00E04A74">
        <w:rPr>
          <w:rFonts w:ascii="Times New Roman" w:hAnsi="Times New Roman" w:cs="Times New Roman"/>
          <w:color w:val="000000" w:themeColor="text1"/>
          <w:sz w:val="24"/>
          <w:szCs w:val="24"/>
          <w:lang w:val="en-US"/>
        </w:rPr>
        <w:t xml:space="preserve"> enshrined in the 2030 Agenda</w:t>
      </w:r>
      <w:r w:rsidRPr="008B2F56">
        <w:rPr>
          <w:rFonts w:ascii="Times New Roman" w:hAnsi="Times New Roman" w:cs="Times New Roman"/>
          <w:color w:val="000000" w:themeColor="text1"/>
          <w:sz w:val="24"/>
          <w:szCs w:val="24"/>
          <w:lang w:val="en-US"/>
        </w:rPr>
        <w:t>?</w:t>
      </w:r>
      <w:r w:rsidR="00E04A74">
        <w:rPr>
          <w:rStyle w:val="FootnoteReference"/>
          <w:rFonts w:ascii="Times New Roman" w:hAnsi="Times New Roman" w:cs="Times New Roman"/>
          <w:color w:val="000000" w:themeColor="text1"/>
          <w:sz w:val="24"/>
          <w:szCs w:val="24"/>
          <w:lang w:val="en-US"/>
        </w:rPr>
        <w:footnoteReference w:id="1"/>
      </w:r>
      <w:r w:rsidR="00225D91" w:rsidRPr="008B2F56">
        <w:rPr>
          <w:rFonts w:ascii="Times New Roman" w:hAnsi="Times New Roman" w:cs="Times New Roman"/>
          <w:color w:val="000000" w:themeColor="text1"/>
          <w:sz w:val="24"/>
          <w:szCs w:val="24"/>
          <w:lang w:val="en-US"/>
        </w:rPr>
        <w:t xml:space="preserve"> </w:t>
      </w:r>
      <w:r w:rsidR="00F03C0A" w:rsidRPr="008B2F56">
        <w:rPr>
          <w:rFonts w:ascii="Times New Roman" w:hAnsi="Times New Roman" w:cs="Times New Roman"/>
          <w:color w:val="000000" w:themeColor="text1"/>
          <w:sz w:val="24"/>
          <w:szCs w:val="24"/>
          <w:lang w:val="en-US"/>
        </w:rPr>
        <w:t>We shall consider</w:t>
      </w:r>
      <w:r w:rsidR="006D3383" w:rsidRPr="008B2F56">
        <w:rPr>
          <w:rFonts w:ascii="Times New Roman" w:hAnsi="Times New Roman" w:cs="Times New Roman"/>
          <w:color w:val="000000" w:themeColor="text1"/>
          <w:sz w:val="24"/>
          <w:szCs w:val="24"/>
          <w:lang w:val="en-US"/>
        </w:rPr>
        <w:t xml:space="preserve"> </w:t>
      </w:r>
      <w:r w:rsidR="00C74979" w:rsidRPr="008B2F56">
        <w:rPr>
          <w:rFonts w:ascii="Times New Roman" w:hAnsi="Times New Roman" w:cs="Times New Roman"/>
          <w:color w:val="000000" w:themeColor="text1"/>
          <w:sz w:val="24"/>
          <w:szCs w:val="24"/>
          <w:lang w:val="en-US"/>
        </w:rPr>
        <w:t xml:space="preserve">this question by focusing on the role of international law and intergovernmental institutions that deal with three aspects of FDI: the transboundary flows of investment, protection of foreign investors and their investment once established in another country, and the responsibility of foreign investors for harm caused by their investment. </w:t>
      </w:r>
      <w:r w:rsidR="00780B72" w:rsidRPr="008B2F56">
        <w:rPr>
          <w:rFonts w:ascii="Times New Roman" w:hAnsi="Times New Roman" w:cs="Times New Roman"/>
          <w:color w:val="000000" w:themeColor="text1"/>
          <w:sz w:val="24"/>
          <w:szCs w:val="24"/>
          <w:lang w:val="en-US"/>
        </w:rPr>
        <w:t xml:space="preserve">These </w:t>
      </w:r>
      <w:r w:rsidR="002F0FDE" w:rsidRPr="008B2F56">
        <w:rPr>
          <w:rFonts w:ascii="Times New Roman" w:hAnsi="Times New Roman" w:cs="Times New Roman"/>
          <w:color w:val="000000" w:themeColor="text1"/>
          <w:sz w:val="24"/>
          <w:szCs w:val="24"/>
          <w:lang w:val="en-US"/>
        </w:rPr>
        <w:t>three</w:t>
      </w:r>
      <w:r w:rsidR="00780B72" w:rsidRPr="008B2F56">
        <w:rPr>
          <w:rFonts w:ascii="Times New Roman" w:hAnsi="Times New Roman" w:cs="Times New Roman"/>
          <w:color w:val="000000" w:themeColor="text1"/>
          <w:sz w:val="24"/>
          <w:szCs w:val="24"/>
          <w:lang w:val="en-US"/>
        </w:rPr>
        <w:t xml:space="preserve"> aspects of FDI are </w:t>
      </w:r>
      <w:r w:rsidR="008F4696" w:rsidRPr="008B2F56">
        <w:rPr>
          <w:rFonts w:ascii="Times New Roman" w:hAnsi="Times New Roman" w:cs="Times New Roman"/>
          <w:color w:val="000000" w:themeColor="text1"/>
          <w:sz w:val="24"/>
          <w:szCs w:val="24"/>
          <w:lang w:val="en-US"/>
        </w:rPr>
        <w:t>in general</w:t>
      </w:r>
      <w:r w:rsidR="00780B72" w:rsidRPr="008B2F56">
        <w:rPr>
          <w:rFonts w:ascii="Times New Roman" w:hAnsi="Times New Roman" w:cs="Times New Roman"/>
          <w:color w:val="000000" w:themeColor="text1"/>
          <w:sz w:val="24"/>
          <w:szCs w:val="24"/>
          <w:lang w:val="en-US"/>
        </w:rPr>
        <w:t xml:space="preserve"> regulated by separate international rules and inter-state cooperation is carried out through differ</w:t>
      </w:r>
      <w:r w:rsidR="008F4696" w:rsidRPr="008B2F56">
        <w:rPr>
          <w:rFonts w:ascii="Times New Roman" w:hAnsi="Times New Roman" w:cs="Times New Roman"/>
          <w:color w:val="000000" w:themeColor="text1"/>
          <w:sz w:val="24"/>
          <w:szCs w:val="24"/>
          <w:lang w:val="en-US"/>
        </w:rPr>
        <w:t>ent international institutions.</w:t>
      </w:r>
    </w:p>
    <w:p w14:paraId="3E0567B5" w14:textId="55602871" w:rsidR="00780B72" w:rsidRPr="008B2F56" w:rsidRDefault="00E87623"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T</w:t>
      </w:r>
      <w:r w:rsidR="00EF4997" w:rsidRPr="008B2F56">
        <w:rPr>
          <w:rFonts w:ascii="Times New Roman" w:hAnsi="Times New Roman" w:cs="Times New Roman"/>
          <w:color w:val="000000" w:themeColor="text1"/>
          <w:sz w:val="24"/>
          <w:szCs w:val="24"/>
          <w:lang w:val="en-US"/>
        </w:rPr>
        <w:t xml:space="preserve">he WTO Agreement contains important multilateral rules that directly </w:t>
      </w:r>
      <w:r w:rsidR="00780B72" w:rsidRPr="008B2F56">
        <w:rPr>
          <w:rFonts w:ascii="Times New Roman" w:hAnsi="Times New Roman" w:cs="Times New Roman"/>
          <w:color w:val="000000" w:themeColor="text1"/>
          <w:sz w:val="24"/>
          <w:szCs w:val="24"/>
          <w:lang w:val="en-US"/>
        </w:rPr>
        <w:t xml:space="preserve">concern </w:t>
      </w:r>
      <w:r w:rsidR="00780B72" w:rsidRPr="008B2F56">
        <w:rPr>
          <w:rFonts w:ascii="Times New Roman" w:hAnsi="Times New Roman" w:cs="Times New Roman"/>
          <w:i/>
          <w:color w:val="000000" w:themeColor="text1"/>
          <w:sz w:val="24"/>
          <w:szCs w:val="24"/>
          <w:lang w:val="en-US"/>
        </w:rPr>
        <w:t xml:space="preserve">transboundary </w:t>
      </w:r>
      <w:r w:rsidR="00BE6038" w:rsidRPr="008B2F56">
        <w:rPr>
          <w:rFonts w:ascii="Times New Roman" w:hAnsi="Times New Roman" w:cs="Times New Roman"/>
          <w:i/>
          <w:color w:val="000000" w:themeColor="text1"/>
          <w:sz w:val="24"/>
          <w:szCs w:val="24"/>
          <w:lang w:val="en-US"/>
        </w:rPr>
        <w:t>flows</w:t>
      </w:r>
      <w:r w:rsidR="00780B72" w:rsidRPr="008B2F56">
        <w:rPr>
          <w:rFonts w:ascii="Times New Roman" w:hAnsi="Times New Roman" w:cs="Times New Roman"/>
          <w:i/>
          <w:color w:val="000000" w:themeColor="text1"/>
          <w:sz w:val="24"/>
          <w:szCs w:val="24"/>
          <w:lang w:val="en-US"/>
        </w:rPr>
        <w:t xml:space="preserve"> of </w:t>
      </w:r>
      <w:r w:rsidR="00EF4997" w:rsidRPr="008B2F56">
        <w:rPr>
          <w:rFonts w:ascii="Times New Roman" w:hAnsi="Times New Roman" w:cs="Times New Roman"/>
          <w:i/>
          <w:color w:val="000000" w:themeColor="text1"/>
          <w:sz w:val="24"/>
          <w:szCs w:val="24"/>
          <w:lang w:val="en-US"/>
        </w:rPr>
        <w:t>FDI</w:t>
      </w:r>
      <w:r w:rsidR="00EF4997" w:rsidRPr="008B2F56">
        <w:rPr>
          <w:rFonts w:ascii="Times New Roman" w:hAnsi="Times New Roman" w:cs="Times New Roman"/>
          <w:color w:val="000000" w:themeColor="text1"/>
          <w:sz w:val="24"/>
          <w:szCs w:val="24"/>
          <w:lang w:val="en-US"/>
        </w:rPr>
        <w:t xml:space="preserve">. These include </w:t>
      </w:r>
      <w:r w:rsidR="00A4205E" w:rsidRPr="008B2F56">
        <w:rPr>
          <w:rFonts w:ascii="Times New Roman" w:hAnsi="Times New Roman" w:cs="Times New Roman"/>
          <w:color w:val="000000" w:themeColor="text1"/>
          <w:sz w:val="24"/>
          <w:szCs w:val="24"/>
          <w:lang w:val="en-US"/>
        </w:rPr>
        <w:t xml:space="preserve">rules on trade in services, in particular </w:t>
      </w:r>
      <w:r w:rsidR="001421B9" w:rsidRPr="008B2F56">
        <w:rPr>
          <w:rFonts w:ascii="Times New Roman" w:hAnsi="Times New Roman" w:cs="Times New Roman"/>
          <w:color w:val="000000" w:themeColor="text1"/>
          <w:sz w:val="24"/>
          <w:szCs w:val="24"/>
          <w:lang w:val="en-US"/>
        </w:rPr>
        <w:t xml:space="preserve">commitments </w:t>
      </w:r>
      <w:r w:rsidR="00BE6038" w:rsidRPr="008B2F56">
        <w:rPr>
          <w:rFonts w:ascii="Times New Roman" w:hAnsi="Times New Roman" w:cs="Times New Roman"/>
          <w:color w:val="000000" w:themeColor="text1"/>
          <w:sz w:val="24"/>
          <w:szCs w:val="24"/>
          <w:lang w:val="en-US"/>
        </w:rPr>
        <w:t xml:space="preserve">concerning commercial presence in the context of </w:t>
      </w:r>
      <w:r w:rsidR="00A4205E" w:rsidRPr="008B2F56">
        <w:rPr>
          <w:rFonts w:ascii="Times New Roman" w:hAnsi="Times New Roman" w:cs="Times New Roman"/>
          <w:color w:val="000000" w:themeColor="text1"/>
          <w:sz w:val="24"/>
          <w:szCs w:val="24"/>
          <w:lang w:val="en-US"/>
        </w:rPr>
        <w:t xml:space="preserve">market access </w:t>
      </w:r>
      <w:r w:rsidR="00780B72" w:rsidRPr="008B2F56">
        <w:rPr>
          <w:rFonts w:ascii="Times New Roman" w:hAnsi="Times New Roman" w:cs="Times New Roman"/>
          <w:color w:val="000000" w:themeColor="text1"/>
          <w:sz w:val="24"/>
          <w:szCs w:val="24"/>
          <w:lang w:val="en-US"/>
        </w:rPr>
        <w:t xml:space="preserve">and </w:t>
      </w:r>
      <w:r w:rsidR="001421B9" w:rsidRPr="008B2F56">
        <w:rPr>
          <w:rFonts w:ascii="Times New Roman" w:hAnsi="Times New Roman" w:cs="Times New Roman"/>
          <w:color w:val="000000" w:themeColor="text1"/>
          <w:sz w:val="24"/>
          <w:szCs w:val="24"/>
          <w:lang w:val="en-US"/>
        </w:rPr>
        <w:t>national treatment</w:t>
      </w:r>
      <w:r w:rsidR="00A4205E" w:rsidRPr="008B2F56">
        <w:rPr>
          <w:rFonts w:ascii="Times New Roman" w:hAnsi="Times New Roman" w:cs="Times New Roman"/>
          <w:color w:val="000000" w:themeColor="text1"/>
          <w:sz w:val="24"/>
          <w:szCs w:val="24"/>
          <w:lang w:val="en-US"/>
        </w:rPr>
        <w:t xml:space="preserve">, and </w:t>
      </w:r>
      <w:r w:rsidR="00BE6038" w:rsidRPr="008B2F56">
        <w:rPr>
          <w:rFonts w:ascii="Times New Roman" w:hAnsi="Times New Roman" w:cs="Times New Roman"/>
          <w:color w:val="000000" w:themeColor="text1"/>
          <w:sz w:val="24"/>
          <w:szCs w:val="24"/>
          <w:lang w:val="en-US"/>
        </w:rPr>
        <w:t xml:space="preserve">trade in goods under </w:t>
      </w:r>
      <w:r w:rsidR="00A4205E" w:rsidRPr="008B2F56">
        <w:rPr>
          <w:rFonts w:ascii="Times New Roman" w:hAnsi="Times New Roman" w:cs="Times New Roman"/>
          <w:color w:val="000000" w:themeColor="text1"/>
          <w:sz w:val="24"/>
          <w:szCs w:val="24"/>
          <w:lang w:val="en-US"/>
        </w:rPr>
        <w:t xml:space="preserve">the Agreement on Trade-Related Investment Measures. In recent years, regional and bilateral free trade </w:t>
      </w:r>
      <w:r w:rsidR="00780B72" w:rsidRPr="008B2F56">
        <w:rPr>
          <w:rFonts w:ascii="Times New Roman" w:hAnsi="Times New Roman" w:cs="Times New Roman"/>
          <w:color w:val="000000" w:themeColor="text1"/>
          <w:sz w:val="24"/>
          <w:szCs w:val="24"/>
          <w:lang w:val="en-US"/>
        </w:rPr>
        <w:t xml:space="preserve">agreements as well as some bilateral and multilateral investment agreements have included provisions </w:t>
      </w:r>
      <w:r w:rsidRPr="008B2F56">
        <w:rPr>
          <w:rFonts w:ascii="Times New Roman" w:hAnsi="Times New Roman" w:cs="Times New Roman"/>
          <w:color w:val="000000" w:themeColor="text1"/>
          <w:sz w:val="24"/>
          <w:szCs w:val="24"/>
          <w:lang w:val="en-US"/>
        </w:rPr>
        <w:t>with the purpose of facilitating</w:t>
      </w:r>
      <w:r w:rsidR="00780B72" w:rsidRPr="008B2F56">
        <w:rPr>
          <w:rFonts w:ascii="Times New Roman" w:hAnsi="Times New Roman" w:cs="Times New Roman"/>
          <w:color w:val="000000" w:themeColor="text1"/>
          <w:sz w:val="24"/>
          <w:szCs w:val="24"/>
          <w:lang w:val="en-US"/>
        </w:rPr>
        <w:t xml:space="preserve"> flows of FDI among treaty parties. </w:t>
      </w:r>
      <w:r w:rsidR="00882F85" w:rsidRPr="008B2F56">
        <w:rPr>
          <w:rFonts w:ascii="Times New Roman" w:hAnsi="Times New Roman" w:cs="Times New Roman"/>
          <w:color w:val="000000" w:themeColor="text1"/>
          <w:sz w:val="24"/>
          <w:szCs w:val="24"/>
          <w:lang w:val="en-US"/>
        </w:rPr>
        <w:t>Rules that open countries to inflow of FDI are a fairly new post-colonial phenomenon in international law, going back three to four decades. On a slightly longer time-scale, t</w:t>
      </w:r>
      <w:r w:rsidR="00A4205E" w:rsidRPr="008B2F56">
        <w:rPr>
          <w:rFonts w:ascii="Times New Roman" w:hAnsi="Times New Roman" w:cs="Times New Roman"/>
          <w:color w:val="000000" w:themeColor="text1"/>
          <w:sz w:val="24"/>
          <w:szCs w:val="24"/>
          <w:lang w:val="en-US"/>
        </w:rPr>
        <w:t xml:space="preserve">he World Bank has played </w:t>
      </w:r>
      <w:r w:rsidR="00780B72" w:rsidRPr="008B2F56">
        <w:rPr>
          <w:rFonts w:ascii="Times New Roman" w:hAnsi="Times New Roman" w:cs="Times New Roman"/>
          <w:color w:val="000000" w:themeColor="text1"/>
          <w:sz w:val="24"/>
          <w:szCs w:val="24"/>
          <w:lang w:val="en-US"/>
        </w:rPr>
        <w:t xml:space="preserve">an </w:t>
      </w:r>
      <w:r w:rsidR="00A4205E" w:rsidRPr="008B2F56">
        <w:rPr>
          <w:rFonts w:ascii="Times New Roman" w:hAnsi="Times New Roman" w:cs="Times New Roman"/>
          <w:color w:val="000000" w:themeColor="text1"/>
          <w:sz w:val="24"/>
          <w:szCs w:val="24"/>
          <w:lang w:val="en-US"/>
        </w:rPr>
        <w:t xml:space="preserve">operational role in terms of facilitating FDI through the promotion of investment legislation and funding of specific projects. </w:t>
      </w:r>
      <w:r w:rsidR="00BE6038" w:rsidRPr="008B2F56">
        <w:rPr>
          <w:rFonts w:ascii="Times New Roman" w:hAnsi="Times New Roman" w:cs="Times New Roman"/>
          <w:color w:val="000000" w:themeColor="text1"/>
          <w:sz w:val="24"/>
          <w:szCs w:val="24"/>
          <w:lang w:val="en-US"/>
        </w:rPr>
        <w:t>How t</w:t>
      </w:r>
      <w:r w:rsidR="002F0FDE" w:rsidRPr="008B2F56">
        <w:rPr>
          <w:rFonts w:ascii="Times New Roman" w:hAnsi="Times New Roman" w:cs="Times New Roman"/>
          <w:color w:val="000000" w:themeColor="text1"/>
          <w:sz w:val="24"/>
          <w:szCs w:val="24"/>
          <w:lang w:val="en-US"/>
        </w:rPr>
        <w:t xml:space="preserve">hese rules and institutions </w:t>
      </w:r>
      <w:r w:rsidR="00BE6038" w:rsidRPr="008B2F56">
        <w:rPr>
          <w:rFonts w:ascii="Times New Roman" w:hAnsi="Times New Roman" w:cs="Times New Roman"/>
          <w:color w:val="000000" w:themeColor="text1"/>
          <w:sz w:val="24"/>
          <w:szCs w:val="24"/>
          <w:lang w:val="en-US"/>
        </w:rPr>
        <w:t xml:space="preserve">relate to the RtD and SDGs </w:t>
      </w:r>
      <w:r w:rsidR="002F0FDE" w:rsidRPr="008B2F56">
        <w:rPr>
          <w:rFonts w:ascii="Times New Roman" w:hAnsi="Times New Roman" w:cs="Times New Roman"/>
          <w:color w:val="000000" w:themeColor="text1"/>
          <w:sz w:val="24"/>
          <w:szCs w:val="24"/>
          <w:lang w:val="en-US"/>
        </w:rPr>
        <w:t>shall be considered in section 3.</w:t>
      </w:r>
    </w:p>
    <w:p w14:paraId="4D8DD139" w14:textId="2E49532A" w:rsidR="001F79A6" w:rsidRPr="008B2F56" w:rsidRDefault="009817C3"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T</w:t>
      </w:r>
      <w:r w:rsidR="002F0FDE" w:rsidRPr="008B2F56">
        <w:rPr>
          <w:rFonts w:ascii="Times New Roman" w:hAnsi="Times New Roman" w:cs="Times New Roman"/>
          <w:color w:val="000000" w:themeColor="text1"/>
          <w:sz w:val="24"/>
          <w:szCs w:val="24"/>
          <w:lang w:val="en-US"/>
        </w:rPr>
        <w:t xml:space="preserve">he main international obligations </w:t>
      </w:r>
      <w:r w:rsidRPr="008B2F56">
        <w:rPr>
          <w:rFonts w:ascii="Times New Roman" w:hAnsi="Times New Roman" w:cs="Times New Roman"/>
          <w:color w:val="000000" w:themeColor="text1"/>
          <w:sz w:val="24"/>
          <w:szCs w:val="24"/>
          <w:lang w:val="en-US"/>
        </w:rPr>
        <w:t xml:space="preserve">regarding </w:t>
      </w:r>
      <w:r w:rsidRPr="008B2F56">
        <w:rPr>
          <w:rFonts w:ascii="Times New Roman" w:hAnsi="Times New Roman" w:cs="Times New Roman"/>
          <w:i/>
          <w:color w:val="000000" w:themeColor="text1"/>
          <w:sz w:val="24"/>
          <w:szCs w:val="24"/>
          <w:lang w:val="en-US"/>
        </w:rPr>
        <w:t>protection of FDI</w:t>
      </w:r>
      <w:r w:rsidRPr="008B2F56">
        <w:rPr>
          <w:rFonts w:ascii="Times New Roman" w:hAnsi="Times New Roman" w:cs="Times New Roman"/>
          <w:color w:val="000000" w:themeColor="text1"/>
          <w:sz w:val="24"/>
          <w:szCs w:val="24"/>
          <w:lang w:val="en-US"/>
        </w:rPr>
        <w:t xml:space="preserve"> </w:t>
      </w:r>
      <w:r w:rsidR="002F0FDE" w:rsidRPr="008B2F56">
        <w:rPr>
          <w:rFonts w:ascii="Times New Roman" w:hAnsi="Times New Roman" w:cs="Times New Roman"/>
          <w:color w:val="000000" w:themeColor="text1"/>
          <w:sz w:val="24"/>
          <w:szCs w:val="24"/>
          <w:lang w:val="en-US"/>
        </w:rPr>
        <w:t xml:space="preserve">are set out in bilateral and a few multilateral treaties. In recent years, it has become increasingly common for countries to integrate such protection rules in broader free trade </w:t>
      </w:r>
      <w:r w:rsidRPr="008B2F56">
        <w:rPr>
          <w:rFonts w:ascii="Times New Roman" w:hAnsi="Times New Roman" w:cs="Times New Roman"/>
          <w:color w:val="000000" w:themeColor="text1"/>
          <w:sz w:val="24"/>
          <w:szCs w:val="24"/>
          <w:lang w:val="en-US"/>
        </w:rPr>
        <w:t>and</w:t>
      </w:r>
      <w:r w:rsidR="002F0FDE" w:rsidRPr="008B2F56">
        <w:rPr>
          <w:rFonts w:ascii="Times New Roman" w:hAnsi="Times New Roman" w:cs="Times New Roman"/>
          <w:color w:val="000000" w:themeColor="text1"/>
          <w:sz w:val="24"/>
          <w:szCs w:val="24"/>
          <w:lang w:val="en-US"/>
        </w:rPr>
        <w:t xml:space="preserve"> economic cooperation agreements. The </w:t>
      </w:r>
      <w:r w:rsidRPr="008B2F56">
        <w:rPr>
          <w:rFonts w:ascii="Times New Roman" w:hAnsi="Times New Roman" w:cs="Times New Roman"/>
          <w:color w:val="000000" w:themeColor="text1"/>
          <w:sz w:val="24"/>
          <w:szCs w:val="24"/>
          <w:lang w:val="en-US"/>
        </w:rPr>
        <w:t xml:space="preserve">extent to which </w:t>
      </w:r>
      <w:r w:rsidR="002F0FDE" w:rsidRPr="008B2F56">
        <w:rPr>
          <w:rFonts w:ascii="Times New Roman" w:hAnsi="Times New Roman" w:cs="Times New Roman"/>
          <w:color w:val="000000" w:themeColor="text1"/>
          <w:sz w:val="24"/>
          <w:szCs w:val="24"/>
          <w:lang w:val="en-US"/>
        </w:rPr>
        <w:t xml:space="preserve">these agreements </w:t>
      </w:r>
      <w:r w:rsidRPr="008B2F56">
        <w:rPr>
          <w:rFonts w:ascii="Times New Roman" w:hAnsi="Times New Roman" w:cs="Times New Roman"/>
          <w:color w:val="000000" w:themeColor="text1"/>
          <w:sz w:val="24"/>
          <w:szCs w:val="24"/>
          <w:lang w:val="en-US"/>
        </w:rPr>
        <w:t>offer</w:t>
      </w:r>
      <w:r w:rsidR="001F79A6" w:rsidRPr="008B2F56">
        <w:rPr>
          <w:rFonts w:ascii="Times New Roman" w:hAnsi="Times New Roman" w:cs="Times New Roman"/>
          <w:color w:val="000000" w:themeColor="text1"/>
          <w:sz w:val="24"/>
          <w:szCs w:val="24"/>
          <w:lang w:val="en-US"/>
        </w:rPr>
        <w:t xml:space="preserve"> </w:t>
      </w:r>
      <w:r w:rsidRPr="008B2F56">
        <w:rPr>
          <w:rFonts w:ascii="Times New Roman" w:hAnsi="Times New Roman" w:cs="Times New Roman"/>
          <w:color w:val="000000" w:themeColor="text1"/>
          <w:sz w:val="24"/>
          <w:szCs w:val="24"/>
          <w:lang w:val="en-US"/>
        </w:rPr>
        <w:t>effective</w:t>
      </w:r>
      <w:r w:rsidR="001F79A6" w:rsidRPr="008B2F56">
        <w:rPr>
          <w:rFonts w:ascii="Times New Roman" w:hAnsi="Times New Roman" w:cs="Times New Roman"/>
          <w:color w:val="000000" w:themeColor="text1"/>
          <w:sz w:val="24"/>
          <w:szCs w:val="24"/>
          <w:lang w:val="en-US"/>
        </w:rPr>
        <w:t xml:space="preserve"> protection of investors or investment </w:t>
      </w:r>
      <w:r w:rsidR="002F0FDE" w:rsidRPr="008B2F56">
        <w:rPr>
          <w:rFonts w:ascii="Times New Roman" w:hAnsi="Times New Roman" w:cs="Times New Roman"/>
          <w:color w:val="000000" w:themeColor="text1"/>
          <w:sz w:val="24"/>
          <w:szCs w:val="24"/>
          <w:lang w:val="en-US"/>
        </w:rPr>
        <w:t>depend</w:t>
      </w:r>
      <w:r w:rsidR="003200D0" w:rsidRPr="008B2F56">
        <w:rPr>
          <w:rFonts w:ascii="Times New Roman" w:hAnsi="Times New Roman" w:cs="Times New Roman"/>
          <w:color w:val="000000" w:themeColor="text1"/>
          <w:sz w:val="24"/>
          <w:szCs w:val="24"/>
          <w:lang w:val="en-US"/>
        </w:rPr>
        <w:t>s</w:t>
      </w:r>
      <w:r w:rsidR="002F0FDE" w:rsidRPr="008B2F56">
        <w:rPr>
          <w:rFonts w:ascii="Times New Roman" w:hAnsi="Times New Roman" w:cs="Times New Roman"/>
          <w:color w:val="000000" w:themeColor="text1"/>
          <w:sz w:val="24"/>
          <w:szCs w:val="24"/>
          <w:lang w:val="en-US"/>
        </w:rPr>
        <w:t xml:space="preserve"> </w:t>
      </w:r>
      <w:r w:rsidR="00E87623" w:rsidRPr="008B2F56">
        <w:rPr>
          <w:rFonts w:ascii="Times New Roman" w:hAnsi="Times New Roman" w:cs="Times New Roman"/>
          <w:color w:val="000000" w:themeColor="text1"/>
          <w:sz w:val="24"/>
          <w:szCs w:val="24"/>
          <w:lang w:val="en-US"/>
        </w:rPr>
        <w:t xml:space="preserve">extensively </w:t>
      </w:r>
      <w:r w:rsidR="002F0FDE" w:rsidRPr="008B2F56">
        <w:rPr>
          <w:rFonts w:ascii="Times New Roman" w:hAnsi="Times New Roman" w:cs="Times New Roman"/>
          <w:color w:val="000000" w:themeColor="text1"/>
          <w:sz w:val="24"/>
          <w:szCs w:val="24"/>
          <w:lang w:val="en-US"/>
        </w:rPr>
        <w:t xml:space="preserve">on </w:t>
      </w:r>
      <w:r w:rsidRPr="008B2F56">
        <w:rPr>
          <w:rFonts w:ascii="Times New Roman" w:hAnsi="Times New Roman" w:cs="Times New Roman"/>
          <w:color w:val="000000" w:themeColor="text1"/>
          <w:sz w:val="24"/>
          <w:szCs w:val="24"/>
          <w:lang w:val="en-US"/>
        </w:rPr>
        <w:t>investors’ ability</w:t>
      </w:r>
      <w:r w:rsidR="002F0FDE" w:rsidRPr="008B2F56">
        <w:rPr>
          <w:rFonts w:ascii="Times New Roman" w:hAnsi="Times New Roman" w:cs="Times New Roman"/>
          <w:color w:val="000000" w:themeColor="text1"/>
          <w:sz w:val="24"/>
          <w:szCs w:val="24"/>
          <w:lang w:val="en-US"/>
        </w:rPr>
        <w:t xml:space="preserve"> to bring cases to international tribunals in order to achieve economic compensation for </w:t>
      </w:r>
      <w:r w:rsidR="001F79A6" w:rsidRPr="008B2F56">
        <w:rPr>
          <w:rFonts w:ascii="Times New Roman" w:hAnsi="Times New Roman" w:cs="Times New Roman"/>
          <w:color w:val="000000" w:themeColor="text1"/>
          <w:sz w:val="24"/>
          <w:szCs w:val="24"/>
          <w:lang w:val="en-US"/>
        </w:rPr>
        <w:t>treaty</w:t>
      </w:r>
      <w:r w:rsidR="002F0FDE" w:rsidRPr="008B2F56">
        <w:rPr>
          <w:rFonts w:ascii="Times New Roman" w:hAnsi="Times New Roman" w:cs="Times New Roman"/>
          <w:color w:val="000000" w:themeColor="text1"/>
          <w:sz w:val="24"/>
          <w:szCs w:val="24"/>
          <w:lang w:val="en-US"/>
        </w:rPr>
        <w:t xml:space="preserve"> violation. Such arbitration proceedings are most often hosted by inter-state arbitration institutions, </w:t>
      </w:r>
      <w:r w:rsidR="001F79A6" w:rsidRPr="008B2F56">
        <w:rPr>
          <w:rFonts w:ascii="Times New Roman" w:hAnsi="Times New Roman" w:cs="Times New Roman"/>
          <w:color w:val="000000" w:themeColor="text1"/>
          <w:sz w:val="24"/>
          <w:szCs w:val="24"/>
          <w:lang w:val="en-US"/>
        </w:rPr>
        <w:t>in particular</w:t>
      </w:r>
      <w:r w:rsidR="002F0FDE" w:rsidRPr="008B2F56">
        <w:rPr>
          <w:rFonts w:ascii="Times New Roman" w:hAnsi="Times New Roman" w:cs="Times New Roman"/>
          <w:color w:val="000000" w:themeColor="text1"/>
          <w:sz w:val="24"/>
          <w:szCs w:val="24"/>
          <w:lang w:val="en-US"/>
        </w:rPr>
        <w:t xml:space="preserve"> the International Center for the </w:t>
      </w:r>
      <w:r w:rsidR="001F79A6" w:rsidRPr="008B2F56">
        <w:rPr>
          <w:rFonts w:ascii="Times New Roman" w:hAnsi="Times New Roman" w:cs="Times New Roman"/>
          <w:color w:val="000000" w:themeColor="text1"/>
          <w:sz w:val="24"/>
          <w:szCs w:val="24"/>
          <w:lang w:val="en-US"/>
        </w:rPr>
        <w:t xml:space="preserve">Settlement of Investment Disputes (ICSID) and the Permanent Court of Arbitration, or non-governmental institutions, </w:t>
      </w:r>
      <w:r w:rsidR="003200D0" w:rsidRPr="008B2F56">
        <w:rPr>
          <w:rFonts w:ascii="Times New Roman" w:hAnsi="Times New Roman" w:cs="Times New Roman"/>
          <w:color w:val="000000" w:themeColor="text1"/>
          <w:sz w:val="24"/>
          <w:szCs w:val="24"/>
          <w:lang w:val="en-US"/>
        </w:rPr>
        <w:t>in particular</w:t>
      </w:r>
      <w:r w:rsidR="001F79A6" w:rsidRPr="008B2F56">
        <w:rPr>
          <w:rFonts w:ascii="Times New Roman" w:hAnsi="Times New Roman" w:cs="Times New Roman"/>
          <w:color w:val="000000" w:themeColor="text1"/>
          <w:sz w:val="24"/>
          <w:szCs w:val="24"/>
          <w:lang w:val="en-US"/>
        </w:rPr>
        <w:t xml:space="preserve"> the In</w:t>
      </w:r>
      <w:r w:rsidR="00E87623" w:rsidRPr="008B2F56">
        <w:rPr>
          <w:rFonts w:ascii="Times New Roman" w:hAnsi="Times New Roman" w:cs="Times New Roman"/>
          <w:color w:val="000000" w:themeColor="text1"/>
          <w:sz w:val="24"/>
          <w:szCs w:val="24"/>
          <w:lang w:val="en-US"/>
        </w:rPr>
        <w:t>ternational Chamber of Commerce and</w:t>
      </w:r>
      <w:r w:rsidR="001F79A6" w:rsidRPr="008B2F56">
        <w:rPr>
          <w:rFonts w:ascii="Times New Roman" w:hAnsi="Times New Roman" w:cs="Times New Roman"/>
          <w:color w:val="000000" w:themeColor="text1"/>
          <w:sz w:val="24"/>
          <w:szCs w:val="24"/>
          <w:lang w:val="en-US"/>
        </w:rPr>
        <w:t xml:space="preserve"> the Stockholm Chamber of Commerce.</w:t>
      </w:r>
      <w:r w:rsidR="002F0FDE" w:rsidRPr="008B2F56">
        <w:rPr>
          <w:rFonts w:ascii="Times New Roman" w:hAnsi="Times New Roman" w:cs="Times New Roman"/>
          <w:color w:val="000000" w:themeColor="text1"/>
          <w:sz w:val="24"/>
          <w:szCs w:val="24"/>
          <w:lang w:val="en-US"/>
        </w:rPr>
        <w:t xml:space="preserve"> </w:t>
      </w:r>
      <w:r w:rsidR="00B40CCB" w:rsidRPr="008B2F56">
        <w:rPr>
          <w:rFonts w:ascii="Times New Roman" w:hAnsi="Times New Roman" w:cs="Times New Roman"/>
          <w:color w:val="000000" w:themeColor="text1"/>
          <w:sz w:val="24"/>
          <w:szCs w:val="24"/>
          <w:lang w:val="en-US"/>
        </w:rPr>
        <w:t xml:space="preserve">How these rules and institutions relate to the RtD and SDGs shall be considered in section </w:t>
      </w:r>
      <w:r w:rsidR="001F79A6" w:rsidRPr="008B2F56">
        <w:rPr>
          <w:rFonts w:ascii="Times New Roman" w:hAnsi="Times New Roman" w:cs="Times New Roman"/>
          <w:color w:val="000000" w:themeColor="text1"/>
          <w:sz w:val="24"/>
          <w:szCs w:val="24"/>
          <w:lang w:val="en-US"/>
        </w:rPr>
        <w:t>4.</w:t>
      </w:r>
    </w:p>
    <w:p w14:paraId="3823AB13" w14:textId="72B51DDE" w:rsidR="00C43F15" w:rsidRPr="008B2F56" w:rsidRDefault="00B40CCB"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lastRenderedPageBreak/>
        <w:t xml:space="preserve">Mostly, </w:t>
      </w:r>
      <w:r w:rsidRPr="008B2F56">
        <w:rPr>
          <w:rFonts w:ascii="Times New Roman" w:hAnsi="Times New Roman" w:cs="Times New Roman"/>
          <w:i/>
          <w:color w:val="000000" w:themeColor="text1"/>
          <w:sz w:val="24"/>
          <w:szCs w:val="24"/>
          <w:lang w:val="en-US"/>
        </w:rPr>
        <w:t>responsibility and liability of foreign investors</w:t>
      </w:r>
      <w:r w:rsidRPr="008B2F56">
        <w:rPr>
          <w:rFonts w:ascii="Times New Roman" w:hAnsi="Times New Roman" w:cs="Times New Roman"/>
          <w:color w:val="000000" w:themeColor="text1"/>
          <w:sz w:val="24"/>
          <w:szCs w:val="24"/>
          <w:lang w:val="en-US"/>
        </w:rPr>
        <w:t xml:space="preserve"> is implemented through decisions by national courts and commercial arbitration tribunals based on domestic legislation of host and home countries or on contracts. </w:t>
      </w:r>
      <w:r w:rsidR="00CF13A6" w:rsidRPr="008B2F56">
        <w:rPr>
          <w:rFonts w:ascii="Times New Roman" w:hAnsi="Times New Roman" w:cs="Times New Roman"/>
          <w:color w:val="000000" w:themeColor="text1"/>
          <w:sz w:val="24"/>
          <w:szCs w:val="24"/>
          <w:lang w:val="en-US"/>
        </w:rPr>
        <w:t xml:space="preserve">There are few rules and institutions in international law concerned with the responsibility </w:t>
      </w:r>
      <w:r w:rsidR="00063796" w:rsidRPr="008B2F56">
        <w:rPr>
          <w:rFonts w:ascii="Times New Roman" w:hAnsi="Times New Roman" w:cs="Times New Roman"/>
          <w:color w:val="000000" w:themeColor="text1"/>
          <w:sz w:val="24"/>
          <w:szCs w:val="24"/>
          <w:lang w:val="en-US"/>
        </w:rPr>
        <w:t xml:space="preserve">and liability </w:t>
      </w:r>
      <w:r w:rsidR="00CF13A6" w:rsidRPr="008B2F56">
        <w:rPr>
          <w:rFonts w:ascii="Times New Roman" w:hAnsi="Times New Roman" w:cs="Times New Roman"/>
          <w:color w:val="000000" w:themeColor="text1"/>
          <w:sz w:val="24"/>
          <w:szCs w:val="24"/>
          <w:lang w:val="en-US"/>
        </w:rPr>
        <w:t>of foreign investors</w:t>
      </w:r>
      <w:r w:rsidR="008A6088" w:rsidRPr="008B2F56">
        <w:rPr>
          <w:rFonts w:ascii="Times New Roman" w:hAnsi="Times New Roman" w:cs="Times New Roman"/>
          <w:color w:val="000000" w:themeColor="text1"/>
          <w:sz w:val="24"/>
          <w:szCs w:val="24"/>
          <w:lang w:val="en-US"/>
        </w:rPr>
        <w:t>.</w:t>
      </w:r>
      <w:r w:rsidR="00CF13A6" w:rsidRPr="008B2F56">
        <w:rPr>
          <w:rFonts w:ascii="Times New Roman" w:hAnsi="Times New Roman" w:cs="Times New Roman"/>
          <w:color w:val="000000" w:themeColor="text1"/>
          <w:sz w:val="24"/>
          <w:szCs w:val="24"/>
          <w:lang w:val="en-US"/>
        </w:rPr>
        <w:t xml:space="preserve"> </w:t>
      </w:r>
      <w:r w:rsidR="00063796" w:rsidRPr="008B2F56">
        <w:rPr>
          <w:rFonts w:ascii="Times New Roman" w:hAnsi="Times New Roman" w:cs="Times New Roman"/>
          <w:color w:val="000000" w:themeColor="text1"/>
          <w:sz w:val="24"/>
          <w:szCs w:val="24"/>
          <w:lang w:val="en-US"/>
        </w:rPr>
        <w:t xml:space="preserve">In section 5, we shall discuss the role of international law </w:t>
      </w:r>
      <w:r w:rsidRPr="008B2F56">
        <w:rPr>
          <w:rFonts w:ascii="Times New Roman" w:hAnsi="Times New Roman" w:cs="Times New Roman"/>
          <w:color w:val="000000" w:themeColor="text1"/>
          <w:sz w:val="24"/>
          <w:szCs w:val="24"/>
          <w:lang w:val="en-US"/>
        </w:rPr>
        <w:t xml:space="preserve">and institutions </w:t>
      </w:r>
      <w:r w:rsidR="00063796" w:rsidRPr="008B2F56">
        <w:rPr>
          <w:rFonts w:ascii="Times New Roman" w:hAnsi="Times New Roman" w:cs="Times New Roman"/>
          <w:color w:val="000000" w:themeColor="text1"/>
          <w:sz w:val="24"/>
          <w:szCs w:val="24"/>
          <w:lang w:val="en-US"/>
        </w:rPr>
        <w:t>in defining and harmonizing the criminal and civil responsibility and liability of foreign investors</w:t>
      </w:r>
      <w:r w:rsidRPr="008B2F56">
        <w:rPr>
          <w:rFonts w:ascii="Times New Roman" w:hAnsi="Times New Roman" w:cs="Times New Roman"/>
          <w:color w:val="000000" w:themeColor="text1"/>
          <w:sz w:val="24"/>
          <w:szCs w:val="24"/>
          <w:lang w:val="en-US"/>
        </w:rPr>
        <w:t xml:space="preserve"> as a means to </w:t>
      </w:r>
      <w:r w:rsidR="009F1200" w:rsidRPr="008B2F56">
        <w:rPr>
          <w:rFonts w:ascii="Times New Roman" w:hAnsi="Times New Roman" w:cs="Times New Roman"/>
          <w:color w:val="000000" w:themeColor="text1"/>
          <w:sz w:val="24"/>
          <w:szCs w:val="24"/>
          <w:lang w:val="en-US"/>
        </w:rPr>
        <w:t>fulfil the RtD and achieve SDGs</w:t>
      </w:r>
      <w:r w:rsidR="00990CA6" w:rsidRPr="008B2F56">
        <w:rPr>
          <w:rFonts w:ascii="Times New Roman" w:hAnsi="Times New Roman" w:cs="Times New Roman"/>
          <w:color w:val="000000" w:themeColor="text1"/>
          <w:sz w:val="24"/>
          <w:szCs w:val="24"/>
          <w:lang w:val="en-US"/>
        </w:rPr>
        <w:t>.</w:t>
      </w:r>
    </w:p>
    <w:p w14:paraId="2947C277" w14:textId="099F554E" w:rsidR="008F4696" w:rsidRPr="008B2F56" w:rsidRDefault="008F4696"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Before addressing </w:t>
      </w:r>
      <w:r w:rsidR="00E87623" w:rsidRPr="008B2F56">
        <w:rPr>
          <w:rFonts w:ascii="Times New Roman" w:hAnsi="Times New Roman" w:cs="Times New Roman"/>
          <w:color w:val="000000" w:themeColor="text1"/>
          <w:sz w:val="24"/>
          <w:szCs w:val="24"/>
          <w:lang w:val="en-US"/>
        </w:rPr>
        <w:t xml:space="preserve">these </w:t>
      </w:r>
      <w:r w:rsidRPr="008B2F56">
        <w:rPr>
          <w:rFonts w:ascii="Times New Roman" w:hAnsi="Times New Roman" w:cs="Times New Roman"/>
          <w:color w:val="000000" w:themeColor="text1"/>
          <w:sz w:val="24"/>
          <w:szCs w:val="24"/>
          <w:lang w:val="en-US"/>
        </w:rPr>
        <w:t xml:space="preserve">three </w:t>
      </w:r>
      <w:r w:rsidR="00E87623" w:rsidRPr="008B2F56">
        <w:rPr>
          <w:rFonts w:ascii="Times New Roman" w:hAnsi="Times New Roman" w:cs="Times New Roman"/>
          <w:color w:val="000000" w:themeColor="text1"/>
          <w:sz w:val="24"/>
          <w:szCs w:val="24"/>
          <w:lang w:val="en-US"/>
        </w:rPr>
        <w:t>topics</w:t>
      </w:r>
      <w:r w:rsidRPr="008B2F56">
        <w:rPr>
          <w:rFonts w:ascii="Times New Roman" w:hAnsi="Times New Roman" w:cs="Times New Roman"/>
          <w:color w:val="000000" w:themeColor="text1"/>
          <w:sz w:val="24"/>
          <w:szCs w:val="24"/>
          <w:lang w:val="en-US"/>
        </w:rPr>
        <w:t xml:space="preserve">, we </w:t>
      </w:r>
      <w:r w:rsidR="00E87623" w:rsidRPr="008B2F56">
        <w:rPr>
          <w:rFonts w:ascii="Times New Roman" w:hAnsi="Times New Roman" w:cs="Times New Roman"/>
          <w:color w:val="000000" w:themeColor="text1"/>
          <w:sz w:val="24"/>
          <w:szCs w:val="24"/>
          <w:lang w:val="en-US"/>
        </w:rPr>
        <w:t>need to</w:t>
      </w:r>
      <w:r w:rsidRPr="008B2F56">
        <w:rPr>
          <w:rFonts w:ascii="Times New Roman" w:hAnsi="Times New Roman" w:cs="Times New Roman"/>
          <w:color w:val="000000" w:themeColor="text1"/>
          <w:sz w:val="24"/>
          <w:szCs w:val="24"/>
          <w:lang w:val="en-US"/>
        </w:rPr>
        <w:t xml:space="preserve"> explore the concept of FDI and the links between FDI, RtD and sustainable development more generally in section 2.</w:t>
      </w:r>
    </w:p>
    <w:p w14:paraId="729CF247" w14:textId="77E6A791" w:rsidR="00CF13A6" w:rsidRPr="008B2F56" w:rsidRDefault="00CF13A6" w:rsidP="008D76EF">
      <w:pPr>
        <w:pStyle w:val="Heading1"/>
        <w:jc w:val="both"/>
        <w:rPr>
          <w:rFonts w:ascii="Times New Roman" w:hAnsi="Times New Roman" w:cs="Times New Roman"/>
          <w:lang w:val="en-US"/>
        </w:rPr>
      </w:pPr>
      <w:r w:rsidRPr="008B2F56">
        <w:rPr>
          <w:rFonts w:ascii="Times New Roman" w:hAnsi="Times New Roman" w:cs="Times New Roman"/>
          <w:lang w:val="en-US"/>
        </w:rPr>
        <w:t>2. The relationship between FDI and sustainable development</w:t>
      </w:r>
    </w:p>
    <w:p w14:paraId="3E3AD1D1" w14:textId="77777777" w:rsidR="000714D6" w:rsidRPr="008B2F56" w:rsidRDefault="003441E5"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At the core of the </w:t>
      </w:r>
      <w:r w:rsidR="00D670E3" w:rsidRPr="008B2F56">
        <w:rPr>
          <w:rFonts w:ascii="Times New Roman" w:hAnsi="Times New Roman" w:cs="Times New Roman"/>
          <w:color w:val="000000" w:themeColor="text1"/>
          <w:sz w:val="24"/>
          <w:szCs w:val="24"/>
          <w:lang w:val="en-US"/>
        </w:rPr>
        <w:t xml:space="preserve">FDI </w:t>
      </w:r>
      <w:r w:rsidRPr="008B2F56">
        <w:rPr>
          <w:rFonts w:ascii="Times New Roman" w:hAnsi="Times New Roman" w:cs="Times New Roman"/>
          <w:color w:val="000000" w:themeColor="text1"/>
          <w:sz w:val="24"/>
          <w:szCs w:val="24"/>
          <w:lang w:val="en-US"/>
        </w:rPr>
        <w:t xml:space="preserve">concept are investment projects that involve all </w:t>
      </w:r>
      <w:r w:rsidR="0096678D" w:rsidRPr="008B2F56">
        <w:rPr>
          <w:rFonts w:ascii="Times New Roman" w:hAnsi="Times New Roman" w:cs="Times New Roman"/>
          <w:color w:val="000000" w:themeColor="text1"/>
          <w:sz w:val="24"/>
          <w:szCs w:val="24"/>
          <w:lang w:val="en-US"/>
        </w:rPr>
        <w:t xml:space="preserve">of the following four elements: </w:t>
      </w:r>
      <w:r w:rsidRPr="008B2F56">
        <w:rPr>
          <w:rFonts w:ascii="Times New Roman" w:hAnsi="Times New Roman" w:cs="Times New Roman"/>
          <w:color w:val="000000" w:themeColor="text1"/>
          <w:sz w:val="24"/>
          <w:szCs w:val="24"/>
          <w:lang w:val="en-US"/>
        </w:rPr>
        <w:t>contributions of assets or money</w:t>
      </w:r>
      <w:r w:rsidR="0096678D" w:rsidRPr="008B2F56">
        <w:rPr>
          <w:rFonts w:ascii="Times New Roman" w:hAnsi="Times New Roman" w:cs="Times New Roman"/>
          <w:color w:val="000000" w:themeColor="text1"/>
          <w:sz w:val="24"/>
          <w:szCs w:val="24"/>
          <w:lang w:val="en-US"/>
        </w:rPr>
        <w:t xml:space="preserve"> originating from abroad</w:t>
      </w:r>
      <w:r w:rsidRPr="008B2F56">
        <w:rPr>
          <w:rFonts w:ascii="Times New Roman" w:hAnsi="Times New Roman" w:cs="Times New Roman"/>
          <w:color w:val="000000" w:themeColor="text1"/>
          <w:sz w:val="24"/>
          <w:szCs w:val="24"/>
          <w:lang w:val="en-US"/>
        </w:rPr>
        <w:t>, a certain duration</w:t>
      </w:r>
      <w:r w:rsidR="0096678D" w:rsidRPr="008B2F56">
        <w:rPr>
          <w:rFonts w:ascii="Times New Roman" w:hAnsi="Times New Roman" w:cs="Times New Roman"/>
          <w:color w:val="000000" w:themeColor="text1"/>
          <w:sz w:val="24"/>
          <w:szCs w:val="24"/>
          <w:lang w:val="en-US"/>
        </w:rPr>
        <w:t xml:space="preserve"> of the project</w:t>
      </w:r>
      <w:r w:rsidRPr="008B2F56">
        <w:rPr>
          <w:rFonts w:ascii="Times New Roman" w:hAnsi="Times New Roman" w:cs="Times New Roman"/>
          <w:color w:val="000000" w:themeColor="text1"/>
          <w:sz w:val="24"/>
          <w:szCs w:val="24"/>
          <w:lang w:val="en-US"/>
        </w:rPr>
        <w:t>, an element of risk, and contribution to economic development in the host country.</w:t>
      </w:r>
      <w:r w:rsidRPr="008B2F56">
        <w:rPr>
          <w:rStyle w:val="FootnoteReference"/>
          <w:rFonts w:ascii="Times New Roman" w:hAnsi="Times New Roman" w:cs="Times New Roman"/>
        </w:rPr>
        <w:footnoteReference w:id="2"/>
      </w:r>
      <w:r w:rsidRPr="008B2F56">
        <w:rPr>
          <w:rFonts w:ascii="Times New Roman" w:hAnsi="Times New Roman" w:cs="Times New Roman"/>
          <w:color w:val="000000" w:themeColor="text1"/>
          <w:sz w:val="24"/>
          <w:szCs w:val="24"/>
          <w:lang w:val="en-US"/>
        </w:rPr>
        <w:t xml:space="preserve"> </w:t>
      </w:r>
      <w:r w:rsidR="0096678D" w:rsidRPr="008B2F56">
        <w:rPr>
          <w:rFonts w:ascii="Times New Roman" w:hAnsi="Times New Roman" w:cs="Times New Roman"/>
          <w:color w:val="000000" w:themeColor="text1"/>
          <w:sz w:val="24"/>
          <w:szCs w:val="24"/>
          <w:lang w:val="en-US"/>
        </w:rPr>
        <w:t xml:space="preserve">Whether and to what extent </w:t>
      </w:r>
      <w:r w:rsidR="00D670E3" w:rsidRPr="008B2F56">
        <w:rPr>
          <w:rFonts w:ascii="Times New Roman" w:hAnsi="Times New Roman" w:cs="Times New Roman"/>
          <w:color w:val="000000" w:themeColor="text1"/>
          <w:sz w:val="24"/>
          <w:szCs w:val="24"/>
          <w:lang w:val="en-US"/>
        </w:rPr>
        <w:t>the</w:t>
      </w:r>
      <w:r w:rsidR="0096678D" w:rsidRPr="008B2F56">
        <w:rPr>
          <w:rFonts w:ascii="Times New Roman" w:hAnsi="Times New Roman" w:cs="Times New Roman"/>
          <w:color w:val="000000" w:themeColor="text1"/>
          <w:sz w:val="24"/>
          <w:szCs w:val="24"/>
          <w:lang w:val="en-US"/>
        </w:rPr>
        <w:t xml:space="preserve"> four elements must be fulfilled in order for an investment to qualify </w:t>
      </w:r>
      <w:r w:rsidR="00D670E3" w:rsidRPr="008B2F56">
        <w:rPr>
          <w:rFonts w:ascii="Times New Roman" w:hAnsi="Times New Roman" w:cs="Times New Roman"/>
          <w:color w:val="000000" w:themeColor="text1"/>
          <w:sz w:val="24"/>
          <w:szCs w:val="24"/>
          <w:lang w:val="en-US"/>
        </w:rPr>
        <w:t xml:space="preserve">as FDI </w:t>
      </w:r>
      <w:r w:rsidR="0096678D" w:rsidRPr="008B2F56">
        <w:rPr>
          <w:rFonts w:ascii="Times New Roman" w:hAnsi="Times New Roman" w:cs="Times New Roman"/>
          <w:color w:val="000000" w:themeColor="text1"/>
          <w:sz w:val="24"/>
          <w:szCs w:val="24"/>
          <w:lang w:val="en-US"/>
        </w:rPr>
        <w:t>is context dependent and remain</w:t>
      </w:r>
      <w:r w:rsidR="00D670E3" w:rsidRPr="008B2F56">
        <w:rPr>
          <w:rFonts w:ascii="Times New Roman" w:hAnsi="Times New Roman" w:cs="Times New Roman"/>
          <w:color w:val="000000" w:themeColor="text1"/>
          <w:sz w:val="24"/>
          <w:szCs w:val="24"/>
          <w:lang w:val="en-US"/>
        </w:rPr>
        <w:t>s</w:t>
      </w:r>
      <w:r w:rsidR="0096678D" w:rsidRPr="008B2F56">
        <w:rPr>
          <w:rFonts w:ascii="Times New Roman" w:hAnsi="Times New Roman" w:cs="Times New Roman"/>
          <w:color w:val="000000" w:themeColor="text1"/>
          <w:sz w:val="24"/>
          <w:szCs w:val="24"/>
          <w:lang w:val="en-US"/>
        </w:rPr>
        <w:t xml:space="preserve"> contested in some situations. </w:t>
      </w:r>
      <w:r w:rsidR="0074028D" w:rsidRPr="008B2F56">
        <w:rPr>
          <w:rFonts w:ascii="Times New Roman" w:hAnsi="Times New Roman" w:cs="Times New Roman"/>
          <w:color w:val="000000" w:themeColor="text1"/>
          <w:sz w:val="24"/>
          <w:szCs w:val="24"/>
          <w:lang w:val="en-US"/>
        </w:rPr>
        <w:t xml:space="preserve">One example is the distinction </w:t>
      </w:r>
      <w:r w:rsidR="00D670E3" w:rsidRPr="008B2F56">
        <w:rPr>
          <w:rFonts w:ascii="Times New Roman" w:hAnsi="Times New Roman" w:cs="Times New Roman"/>
          <w:color w:val="000000" w:themeColor="text1"/>
          <w:sz w:val="24"/>
          <w:szCs w:val="24"/>
          <w:lang w:val="en-US"/>
        </w:rPr>
        <w:t xml:space="preserve">that is frequently drawn </w:t>
      </w:r>
      <w:r w:rsidR="0074028D" w:rsidRPr="008B2F56">
        <w:rPr>
          <w:rFonts w:ascii="Times New Roman" w:hAnsi="Times New Roman" w:cs="Times New Roman"/>
          <w:color w:val="000000" w:themeColor="text1"/>
          <w:sz w:val="24"/>
          <w:szCs w:val="24"/>
          <w:lang w:val="en-US"/>
        </w:rPr>
        <w:t xml:space="preserve">between </w:t>
      </w:r>
      <w:r w:rsidR="00D670E3" w:rsidRPr="008B2F56">
        <w:rPr>
          <w:rFonts w:ascii="Times New Roman" w:hAnsi="Times New Roman" w:cs="Times New Roman"/>
          <w:color w:val="000000" w:themeColor="text1"/>
          <w:sz w:val="24"/>
          <w:szCs w:val="24"/>
          <w:lang w:val="en-US"/>
        </w:rPr>
        <w:t>“</w:t>
      </w:r>
      <w:r w:rsidR="0074028D" w:rsidRPr="008B2F56">
        <w:rPr>
          <w:rFonts w:ascii="Times New Roman" w:hAnsi="Times New Roman" w:cs="Times New Roman"/>
          <w:color w:val="000000" w:themeColor="text1"/>
          <w:sz w:val="24"/>
          <w:szCs w:val="24"/>
          <w:lang w:val="en-US"/>
        </w:rPr>
        <w:t>direct</w:t>
      </w:r>
      <w:r w:rsidR="00D670E3" w:rsidRPr="008B2F56">
        <w:rPr>
          <w:rFonts w:ascii="Times New Roman" w:hAnsi="Times New Roman" w:cs="Times New Roman"/>
          <w:color w:val="000000" w:themeColor="text1"/>
          <w:sz w:val="24"/>
          <w:szCs w:val="24"/>
          <w:lang w:val="en-US"/>
        </w:rPr>
        <w:t>”</w:t>
      </w:r>
      <w:r w:rsidR="0074028D" w:rsidRPr="008B2F56">
        <w:rPr>
          <w:rFonts w:ascii="Times New Roman" w:hAnsi="Times New Roman" w:cs="Times New Roman"/>
          <w:color w:val="000000" w:themeColor="text1"/>
          <w:sz w:val="24"/>
          <w:szCs w:val="24"/>
          <w:lang w:val="en-US"/>
        </w:rPr>
        <w:t xml:space="preserve"> investment and </w:t>
      </w:r>
      <w:r w:rsidR="00D670E3" w:rsidRPr="008B2F56">
        <w:rPr>
          <w:rFonts w:ascii="Times New Roman" w:hAnsi="Times New Roman" w:cs="Times New Roman"/>
          <w:color w:val="000000" w:themeColor="text1"/>
          <w:sz w:val="24"/>
          <w:szCs w:val="24"/>
          <w:lang w:val="en-US"/>
        </w:rPr>
        <w:t>“</w:t>
      </w:r>
      <w:r w:rsidR="0074028D" w:rsidRPr="008B2F56">
        <w:rPr>
          <w:rFonts w:ascii="Times New Roman" w:hAnsi="Times New Roman" w:cs="Times New Roman"/>
          <w:color w:val="000000" w:themeColor="text1"/>
          <w:sz w:val="24"/>
          <w:szCs w:val="24"/>
          <w:lang w:val="en-US"/>
        </w:rPr>
        <w:t>portfolio</w:t>
      </w:r>
      <w:r w:rsidR="00D670E3" w:rsidRPr="008B2F56">
        <w:rPr>
          <w:rFonts w:ascii="Times New Roman" w:hAnsi="Times New Roman" w:cs="Times New Roman"/>
          <w:color w:val="000000" w:themeColor="text1"/>
          <w:sz w:val="24"/>
          <w:szCs w:val="24"/>
          <w:lang w:val="en-US"/>
        </w:rPr>
        <w:t>”</w:t>
      </w:r>
      <w:r w:rsidR="0074028D" w:rsidRPr="008B2F56">
        <w:rPr>
          <w:rFonts w:ascii="Times New Roman" w:hAnsi="Times New Roman" w:cs="Times New Roman"/>
          <w:color w:val="000000" w:themeColor="text1"/>
          <w:sz w:val="24"/>
          <w:szCs w:val="24"/>
          <w:lang w:val="en-US"/>
        </w:rPr>
        <w:t xml:space="preserve"> investment. Short term portfolio investment would not qualify according to the four criteria. </w:t>
      </w:r>
      <w:r w:rsidR="00C63A2C" w:rsidRPr="008B2F56">
        <w:rPr>
          <w:rFonts w:ascii="Times New Roman" w:hAnsi="Times New Roman" w:cs="Times New Roman"/>
          <w:color w:val="000000" w:themeColor="text1"/>
          <w:sz w:val="24"/>
          <w:szCs w:val="24"/>
          <w:lang w:val="en-US"/>
        </w:rPr>
        <w:t>Nevertheless</w:t>
      </w:r>
      <w:r w:rsidR="0074028D" w:rsidRPr="008B2F56">
        <w:rPr>
          <w:rFonts w:ascii="Times New Roman" w:hAnsi="Times New Roman" w:cs="Times New Roman"/>
          <w:color w:val="000000" w:themeColor="text1"/>
          <w:sz w:val="24"/>
          <w:szCs w:val="24"/>
          <w:lang w:val="en-US"/>
        </w:rPr>
        <w:t>, it is clear that such investment is covered by many treaties that protect FDI</w:t>
      </w:r>
      <w:r w:rsidR="000C3C32" w:rsidRPr="008B2F56">
        <w:rPr>
          <w:rFonts w:ascii="Times New Roman" w:hAnsi="Times New Roman" w:cs="Times New Roman"/>
          <w:color w:val="000000" w:themeColor="text1"/>
          <w:sz w:val="24"/>
          <w:szCs w:val="24"/>
          <w:lang w:val="en-US"/>
        </w:rPr>
        <w:t xml:space="preserve"> (see section 4)</w:t>
      </w:r>
      <w:r w:rsidR="0074028D" w:rsidRPr="008B2F56">
        <w:rPr>
          <w:rFonts w:ascii="Times New Roman" w:hAnsi="Times New Roman" w:cs="Times New Roman"/>
          <w:color w:val="000000" w:themeColor="text1"/>
          <w:sz w:val="24"/>
          <w:szCs w:val="24"/>
          <w:lang w:val="en-US"/>
        </w:rPr>
        <w:t>.</w:t>
      </w:r>
      <w:r w:rsidR="000C3C32" w:rsidRPr="008B2F56">
        <w:rPr>
          <w:rFonts w:ascii="Times New Roman" w:hAnsi="Times New Roman" w:cs="Times New Roman"/>
          <w:color w:val="000000" w:themeColor="text1"/>
          <w:sz w:val="24"/>
          <w:szCs w:val="24"/>
          <w:lang w:val="en-US"/>
        </w:rPr>
        <w:t xml:space="preserve"> </w:t>
      </w:r>
    </w:p>
    <w:p w14:paraId="59CE43E6" w14:textId="54A84443" w:rsidR="00A82C2F" w:rsidRPr="008B2F56" w:rsidRDefault="000C3C32"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FDI may cover investment from a broad range of investors, including public investors and inter-governmental institutions, e.g. state-owned enterprises, sovereign wealth funds, and international financial institutions. </w:t>
      </w:r>
      <w:r w:rsidR="00C01ADB" w:rsidRPr="008B2F56">
        <w:rPr>
          <w:rFonts w:ascii="Times New Roman" w:hAnsi="Times New Roman" w:cs="Times New Roman"/>
          <w:color w:val="000000" w:themeColor="text1"/>
          <w:sz w:val="24"/>
          <w:szCs w:val="24"/>
          <w:lang w:val="en-US"/>
        </w:rPr>
        <w:t>We shall focus on FDI originating from private parties – individuals and corporations – as well as from state-owned enterprises and sovereign wealth funds.</w:t>
      </w:r>
      <w:r w:rsidR="000714D6" w:rsidRPr="008B2F56">
        <w:rPr>
          <w:rFonts w:ascii="Times New Roman" w:hAnsi="Times New Roman" w:cs="Times New Roman"/>
          <w:color w:val="000000" w:themeColor="text1"/>
          <w:sz w:val="24"/>
          <w:szCs w:val="24"/>
          <w:lang w:val="en-US"/>
        </w:rPr>
        <w:t xml:space="preserve"> </w:t>
      </w:r>
      <w:r w:rsidR="0074028D" w:rsidRPr="008B2F56">
        <w:rPr>
          <w:rFonts w:ascii="Times New Roman" w:hAnsi="Times New Roman" w:cs="Times New Roman"/>
          <w:color w:val="000000" w:themeColor="text1"/>
          <w:sz w:val="24"/>
          <w:szCs w:val="24"/>
          <w:lang w:val="en-US"/>
        </w:rPr>
        <w:t>F</w:t>
      </w:r>
      <w:r w:rsidR="003441E5" w:rsidRPr="008B2F56">
        <w:rPr>
          <w:rFonts w:ascii="Times New Roman" w:hAnsi="Times New Roman" w:cs="Times New Roman"/>
          <w:color w:val="000000" w:themeColor="text1"/>
          <w:sz w:val="24"/>
          <w:szCs w:val="24"/>
          <w:lang w:val="en-US"/>
        </w:rPr>
        <w:t xml:space="preserve">inancial </w:t>
      </w:r>
      <w:r w:rsidR="0074028D" w:rsidRPr="008B2F56">
        <w:rPr>
          <w:rFonts w:ascii="Times New Roman" w:hAnsi="Times New Roman" w:cs="Times New Roman"/>
          <w:color w:val="000000" w:themeColor="text1"/>
          <w:sz w:val="24"/>
          <w:szCs w:val="24"/>
          <w:lang w:val="en-US"/>
        </w:rPr>
        <w:t xml:space="preserve">contributions to </w:t>
      </w:r>
      <w:r w:rsidR="003441E5" w:rsidRPr="008B2F56">
        <w:rPr>
          <w:rFonts w:ascii="Times New Roman" w:hAnsi="Times New Roman" w:cs="Times New Roman"/>
          <w:color w:val="000000" w:themeColor="text1"/>
          <w:sz w:val="24"/>
          <w:szCs w:val="24"/>
          <w:lang w:val="en-US"/>
        </w:rPr>
        <w:t xml:space="preserve">fund projects where public authorities or private entities of the host country become or are intended to become owners </w:t>
      </w:r>
      <w:r w:rsidRPr="008B2F56">
        <w:rPr>
          <w:rFonts w:ascii="Times New Roman" w:hAnsi="Times New Roman" w:cs="Times New Roman"/>
          <w:color w:val="000000" w:themeColor="text1"/>
          <w:sz w:val="24"/>
          <w:szCs w:val="24"/>
          <w:lang w:val="en-US"/>
        </w:rPr>
        <w:t>are</w:t>
      </w:r>
      <w:r w:rsidR="0074028D" w:rsidRPr="008B2F56">
        <w:rPr>
          <w:rFonts w:ascii="Times New Roman" w:hAnsi="Times New Roman" w:cs="Times New Roman"/>
          <w:color w:val="000000" w:themeColor="text1"/>
          <w:sz w:val="24"/>
          <w:szCs w:val="24"/>
          <w:lang w:val="en-US"/>
        </w:rPr>
        <w:t xml:space="preserve"> not considered</w:t>
      </w:r>
      <w:r w:rsidR="003441E5" w:rsidRPr="008B2F56">
        <w:rPr>
          <w:rFonts w:ascii="Times New Roman" w:hAnsi="Times New Roman" w:cs="Times New Roman"/>
          <w:color w:val="000000" w:themeColor="text1"/>
          <w:sz w:val="24"/>
          <w:szCs w:val="24"/>
          <w:lang w:val="en-US"/>
        </w:rPr>
        <w:t xml:space="preserve">. </w:t>
      </w:r>
      <w:r w:rsidR="00442CDE" w:rsidRPr="008B2F56">
        <w:rPr>
          <w:rFonts w:ascii="Times New Roman" w:hAnsi="Times New Roman" w:cs="Times New Roman"/>
          <w:color w:val="000000" w:themeColor="text1"/>
          <w:sz w:val="24"/>
          <w:szCs w:val="24"/>
          <w:lang w:val="en-US"/>
        </w:rPr>
        <w:t>The same applies to official development assistance or other forms of aid.</w:t>
      </w:r>
      <w:r w:rsidR="00442CDE" w:rsidRPr="008B2F56">
        <w:rPr>
          <w:rStyle w:val="FootnoteReference"/>
          <w:rFonts w:ascii="Times New Roman" w:hAnsi="Times New Roman" w:cs="Times New Roman"/>
        </w:rPr>
        <w:footnoteReference w:id="3"/>
      </w:r>
      <w:r w:rsidR="00442CDE" w:rsidRPr="008B2F56">
        <w:rPr>
          <w:rFonts w:ascii="Times New Roman" w:hAnsi="Times New Roman" w:cs="Times New Roman"/>
          <w:color w:val="000000" w:themeColor="text1"/>
          <w:sz w:val="24"/>
          <w:szCs w:val="24"/>
          <w:lang w:val="en-US"/>
        </w:rPr>
        <w:t xml:space="preserve"> </w:t>
      </w:r>
      <w:r w:rsidR="003441E5" w:rsidRPr="008B2F56">
        <w:rPr>
          <w:rFonts w:ascii="Times New Roman" w:hAnsi="Times New Roman" w:cs="Times New Roman"/>
          <w:color w:val="000000" w:themeColor="text1"/>
          <w:sz w:val="24"/>
          <w:szCs w:val="24"/>
          <w:lang w:val="en-US"/>
        </w:rPr>
        <w:t>We will therefore not consider projects funded through loans to governments from multilateral financial institutions such as the World Bank</w:t>
      </w:r>
      <w:r w:rsidR="000714D6" w:rsidRPr="008B2F56">
        <w:rPr>
          <w:rFonts w:ascii="Times New Roman" w:hAnsi="Times New Roman" w:cs="Times New Roman"/>
          <w:color w:val="000000" w:themeColor="text1"/>
          <w:sz w:val="24"/>
          <w:szCs w:val="24"/>
          <w:lang w:val="en-US"/>
        </w:rPr>
        <w:t xml:space="preserve">, as well as </w:t>
      </w:r>
      <w:r w:rsidR="003441E5" w:rsidRPr="008B2F56">
        <w:rPr>
          <w:rFonts w:ascii="Times New Roman" w:hAnsi="Times New Roman" w:cs="Times New Roman"/>
          <w:color w:val="000000" w:themeColor="text1"/>
          <w:sz w:val="24"/>
          <w:szCs w:val="24"/>
          <w:lang w:val="en-US"/>
        </w:rPr>
        <w:t>issues concerning public debt result</w:t>
      </w:r>
      <w:r w:rsidRPr="008B2F56">
        <w:rPr>
          <w:rFonts w:ascii="Times New Roman" w:hAnsi="Times New Roman" w:cs="Times New Roman"/>
          <w:color w:val="000000" w:themeColor="text1"/>
          <w:sz w:val="24"/>
          <w:szCs w:val="24"/>
          <w:lang w:val="en-US"/>
        </w:rPr>
        <w:t>ing</w:t>
      </w:r>
      <w:r w:rsidR="003441E5" w:rsidRPr="008B2F56">
        <w:rPr>
          <w:rFonts w:ascii="Times New Roman" w:hAnsi="Times New Roman" w:cs="Times New Roman"/>
          <w:color w:val="000000" w:themeColor="text1"/>
          <w:sz w:val="24"/>
          <w:szCs w:val="24"/>
          <w:lang w:val="en-US"/>
        </w:rPr>
        <w:t xml:space="preserve"> from such investmen</w:t>
      </w:r>
      <w:r w:rsidR="000714D6" w:rsidRPr="008B2F56">
        <w:rPr>
          <w:rFonts w:ascii="Times New Roman" w:hAnsi="Times New Roman" w:cs="Times New Roman"/>
          <w:color w:val="000000" w:themeColor="text1"/>
          <w:sz w:val="24"/>
          <w:szCs w:val="24"/>
          <w:lang w:val="en-US"/>
        </w:rPr>
        <w:t>t projects</w:t>
      </w:r>
      <w:r w:rsidR="003441E5" w:rsidRPr="008B2F56">
        <w:rPr>
          <w:rFonts w:ascii="Times New Roman" w:hAnsi="Times New Roman" w:cs="Times New Roman"/>
          <w:color w:val="000000" w:themeColor="text1"/>
          <w:sz w:val="24"/>
          <w:szCs w:val="24"/>
          <w:lang w:val="en-US"/>
        </w:rPr>
        <w:t>.</w:t>
      </w:r>
    </w:p>
    <w:p w14:paraId="67FBA066" w14:textId="1AD83E52" w:rsidR="00CF13A6" w:rsidRPr="008B2F56" w:rsidRDefault="00AE7727"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There is a long-standing claim and ambition in international </w:t>
      </w:r>
      <w:r w:rsidR="008E66E9" w:rsidRPr="008B2F56">
        <w:rPr>
          <w:rFonts w:ascii="Times New Roman" w:hAnsi="Times New Roman" w:cs="Times New Roman"/>
          <w:color w:val="000000" w:themeColor="text1"/>
          <w:sz w:val="24"/>
          <w:szCs w:val="24"/>
          <w:lang w:val="en-US"/>
        </w:rPr>
        <w:t xml:space="preserve">investment </w:t>
      </w:r>
      <w:r w:rsidRPr="008B2F56">
        <w:rPr>
          <w:rFonts w:ascii="Times New Roman" w:hAnsi="Times New Roman" w:cs="Times New Roman"/>
          <w:color w:val="000000" w:themeColor="text1"/>
          <w:sz w:val="24"/>
          <w:szCs w:val="24"/>
          <w:lang w:val="en-US"/>
        </w:rPr>
        <w:t xml:space="preserve">law that </w:t>
      </w:r>
      <w:r w:rsidR="008E66E9" w:rsidRPr="008B2F56">
        <w:rPr>
          <w:rFonts w:ascii="Times New Roman" w:hAnsi="Times New Roman" w:cs="Times New Roman"/>
          <w:color w:val="000000" w:themeColor="text1"/>
          <w:sz w:val="24"/>
          <w:szCs w:val="24"/>
          <w:lang w:val="en-US"/>
        </w:rPr>
        <w:t>treaties and customary law contribute to economic development in countries hosting investment</w:t>
      </w:r>
      <w:r w:rsidRPr="008B2F56">
        <w:rPr>
          <w:rFonts w:ascii="Times New Roman" w:hAnsi="Times New Roman" w:cs="Times New Roman"/>
          <w:color w:val="000000" w:themeColor="text1"/>
          <w:sz w:val="24"/>
          <w:szCs w:val="24"/>
          <w:lang w:val="en-US"/>
        </w:rPr>
        <w:t>.</w:t>
      </w:r>
      <w:r w:rsidR="00CF13A6" w:rsidRPr="008B2F56">
        <w:rPr>
          <w:rFonts w:ascii="Times New Roman" w:hAnsi="Times New Roman" w:cs="Times New Roman"/>
          <w:color w:val="000000" w:themeColor="text1"/>
          <w:sz w:val="24"/>
          <w:szCs w:val="24"/>
          <w:lang w:val="en-US"/>
        </w:rPr>
        <w:t xml:space="preserve"> However, this claim remains</w:t>
      </w:r>
      <w:r w:rsidR="00B30669" w:rsidRPr="008B2F56">
        <w:rPr>
          <w:rFonts w:ascii="Times New Roman" w:hAnsi="Times New Roman" w:cs="Times New Roman"/>
          <w:color w:val="000000" w:themeColor="text1"/>
          <w:sz w:val="24"/>
          <w:szCs w:val="24"/>
          <w:lang w:val="en-US"/>
        </w:rPr>
        <w:t xml:space="preserve"> controversial and is hotly debated among academics.</w:t>
      </w:r>
      <w:r w:rsidR="008F0EE7" w:rsidRPr="008B2F56">
        <w:rPr>
          <w:rStyle w:val="FootnoteReference"/>
          <w:rFonts w:ascii="Times New Roman" w:hAnsi="Times New Roman" w:cs="Times New Roman"/>
        </w:rPr>
        <w:footnoteReference w:id="4"/>
      </w:r>
      <w:r w:rsidRPr="008B2F56">
        <w:rPr>
          <w:rFonts w:ascii="Times New Roman" w:hAnsi="Times New Roman" w:cs="Times New Roman"/>
          <w:color w:val="000000" w:themeColor="text1"/>
          <w:sz w:val="24"/>
          <w:szCs w:val="24"/>
          <w:lang w:val="en-US"/>
        </w:rPr>
        <w:t xml:space="preserve"> </w:t>
      </w:r>
      <w:r w:rsidR="00DF4F1A" w:rsidRPr="008B2F56">
        <w:rPr>
          <w:rFonts w:ascii="Times New Roman" w:hAnsi="Times New Roman" w:cs="Times New Roman"/>
          <w:color w:val="000000" w:themeColor="text1"/>
          <w:sz w:val="24"/>
          <w:szCs w:val="24"/>
          <w:lang w:val="en-US"/>
        </w:rPr>
        <w:t>O</w:t>
      </w:r>
      <w:r w:rsidR="00B30669" w:rsidRPr="008B2F56">
        <w:rPr>
          <w:rFonts w:ascii="Times New Roman" w:hAnsi="Times New Roman" w:cs="Times New Roman"/>
          <w:color w:val="000000" w:themeColor="text1"/>
          <w:sz w:val="24"/>
          <w:szCs w:val="24"/>
          <w:lang w:val="en-US"/>
        </w:rPr>
        <w:t xml:space="preserve">ur focus shall be on the </w:t>
      </w:r>
      <w:r w:rsidR="00B30669" w:rsidRPr="008B2F56">
        <w:rPr>
          <w:rFonts w:ascii="Times New Roman" w:hAnsi="Times New Roman" w:cs="Times New Roman"/>
          <w:color w:val="000000" w:themeColor="text1"/>
          <w:sz w:val="24"/>
          <w:szCs w:val="24"/>
          <w:lang w:val="en-US"/>
        </w:rPr>
        <w:lastRenderedPageBreak/>
        <w:t xml:space="preserve">concept of sustainable development, including intergenerational perspectives and </w:t>
      </w:r>
      <w:r w:rsidR="00CF13A6" w:rsidRPr="008B2F56">
        <w:rPr>
          <w:rFonts w:ascii="Times New Roman" w:hAnsi="Times New Roman" w:cs="Times New Roman"/>
          <w:color w:val="000000" w:themeColor="text1"/>
          <w:sz w:val="24"/>
          <w:szCs w:val="24"/>
          <w:lang w:val="en-US"/>
        </w:rPr>
        <w:t xml:space="preserve">social, economic and environmental </w:t>
      </w:r>
      <w:r w:rsidR="00B30669" w:rsidRPr="008B2F56">
        <w:rPr>
          <w:rFonts w:ascii="Times New Roman" w:hAnsi="Times New Roman" w:cs="Times New Roman"/>
          <w:color w:val="000000" w:themeColor="text1"/>
          <w:sz w:val="24"/>
          <w:szCs w:val="24"/>
          <w:lang w:val="en-US"/>
        </w:rPr>
        <w:t>devel</w:t>
      </w:r>
      <w:r w:rsidR="00990CA6" w:rsidRPr="008B2F56">
        <w:rPr>
          <w:rFonts w:ascii="Times New Roman" w:hAnsi="Times New Roman" w:cs="Times New Roman"/>
          <w:color w:val="000000" w:themeColor="text1"/>
          <w:sz w:val="24"/>
          <w:szCs w:val="24"/>
          <w:lang w:val="en-US"/>
        </w:rPr>
        <w:t>o</w:t>
      </w:r>
      <w:r w:rsidR="00B30669" w:rsidRPr="008B2F56">
        <w:rPr>
          <w:rFonts w:ascii="Times New Roman" w:hAnsi="Times New Roman" w:cs="Times New Roman"/>
          <w:color w:val="000000" w:themeColor="text1"/>
          <w:sz w:val="24"/>
          <w:szCs w:val="24"/>
          <w:lang w:val="en-US"/>
        </w:rPr>
        <w:t>pment</w:t>
      </w:r>
      <w:r w:rsidR="00CF13A6" w:rsidRPr="008B2F56">
        <w:rPr>
          <w:rFonts w:ascii="Times New Roman" w:hAnsi="Times New Roman" w:cs="Times New Roman"/>
          <w:color w:val="000000" w:themeColor="text1"/>
          <w:sz w:val="24"/>
          <w:szCs w:val="24"/>
          <w:lang w:val="en-US"/>
        </w:rPr>
        <w:t>.</w:t>
      </w:r>
      <w:r w:rsidR="00CF13A6" w:rsidRPr="008B2F56">
        <w:rPr>
          <w:rStyle w:val="FootnoteReference"/>
          <w:rFonts w:ascii="Times New Roman" w:hAnsi="Times New Roman" w:cs="Times New Roman"/>
        </w:rPr>
        <w:footnoteReference w:id="5"/>
      </w:r>
      <w:r w:rsidR="00CF13A6" w:rsidRPr="008B2F56">
        <w:rPr>
          <w:rFonts w:ascii="Times New Roman" w:hAnsi="Times New Roman" w:cs="Times New Roman"/>
          <w:color w:val="000000" w:themeColor="text1"/>
          <w:sz w:val="24"/>
          <w:szCs w:val="24"/>
          <w:lang w:val="en-US"/>
        </w:rPr>
        <w:t xml:space="preserve"> </w:t>
      </w:r>
    </w:p>
    <w:p w14:paraId="40B9EFF6" w14:textId="77777777" w:rsidR="00AE4D7E" w:rsidRPr="008B2F56" w:rsidRDefault="00AE4D7E"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The link between FDI and sustainable development has been subject to significant attention since the Brundtland Commission launched the concept in 1987.</w:t>
      </w:r>
      <w:r w:rsidRPr="008B2F56">
        <w:rPr>
          <w:rStyle w:val="FootnoteReference"/>
          <w:rFonts w:ascii="Times New Roman" w:hAnsi="Times New Roman" w:cs="Times New Roman"/>
        </w:rPr>
        <w:footnoteReference w:id="6"/>
      </w:r>
      <w:r w:rsidRPr="008B2F56">
        <w:rPr>
          <w:rFonts w:ascii="Times New Roman" w:hAnsi="Times New Roman" w:cs="Times New Roman"/>
          <w:color w:val="000000" w:themeColor="text1"/>
          <w:sz w:val="24"/>
          <w:szCs w:val="24"/>
          <w:lang w:val="en-US"/>
        </w:rPr>
        <w:t xml:space="preserve"> During the period after the “Washington Consensus”, which emerged towards the end of the 1980s, it was argued that a basic distinction could be drawn between (1) FDI in manufacturing and assembly, which would most likely be beneficial; and (2) FDI in natural resources and infrastructure, which would most likely be harmful.</w:t>
      </w:r>
      <w:r w:rsidRPr="008B2F56">
        <w:rPr>
          <w:rStyle w:val="FootnoteReference"/>
          <w:rFonts w:ascii="Times New Roman" w:hAnsi="Times New Roman" w:cs="Times New Roman"/>
        </w:rPr>
        <w:footnoteReference w:id="7"/>
      </w:r>
      <w:r w:rsidRPr="008B2F56">
        <w:rPr>
          <w:rFonts w:ascii="Times New Roman" w:hAnsi="Times New Roman" w:cs="Times New Roman"/>
          <w:color w:val="000000" w:themeColor="text1"/>
          <w:sz w:val="24"/>
          <w:szCs w:val="24"/>
          <w:lang w:val="en-US"/>
        </w:rPr>
        <w:t xml:space="preserve"> In recent years, consensus seems to emerge that the relationship between FDI and sustainable development is more complex and context dependent. UNCTAD has taken the lead in establishing principles and guidelines for countries, inter-governmental organizations and stakeholders. A separate chapter on an “investment policy framework for sustainable development” was included in its 2012 World Investment Report (chapter IV), and further elaborated in UNCTAD’s “Investment Policy Framework for Sustainable Development” (2015). Of particular interest are the ten Core Principles for Investment Policy-Making elaborated by the UNCTAD Secretariat. Their starting point is the overarching objective to promote investment for inclusive growth and sustainable development. While these principles build on UNCTAD’s decades of experience with providing investment policy advise to developing countries, they have not been endorsed by countries.</w:t>
      </w:r>
    </w:p>
    <w:p w14:paraId="3B455DF2" w14:textId="7818C4F4" w:rsidR="00CF13A6" w:rsidRPr="008B2F56" w:rsidRDefault="00CF13A6"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In 2015, </w:t>
      </w:r>
      <w:r w:rsidR="00042A3F" w:rsidRPr="008B2F56">
        <w:rPr>
          <w:rFonts w:ascii="Times New Roman" w:hAnsi="Times New Roman" w:cs="Times New Roman"/>
          <w:color w:val="000000" w:themeColor="text1"/>
          <w:sz w:val="24"/>
          <w:szCs w:val="24"/>
          <w:lang w:val="en-US"/>
        </w:rPr>
        <w:t xml:space="preserve">as the deadline for fulfilling the Millennium Development Goals (MDGs) expired, </w:t>
      </w:r>
      <w:r w:rsidRPr="008B2F56">
        <w:rPr>
          <w:rFonts w:ascii="Times New Roman" w:hAnsi="Times New Roman" w:cs="Times New Roman"/>
          <w:color w:val="000000" w:themeColor="text1"/>
          <w:sz w:val="24"/>
          <w:szCs w:val="24"/>
          <w:lang w:val="en-US"/>
        </w:rPr>
        <w:t xml:space="preserve">the United Nations General Assembly adopted </w:t>
      </w:r>
      <w:r w:rsidR="00042A3F" w:rsidRPr="008B2F56">
        <w:rPr>
          <w:rFonts w:ascii="Times New Roman" w:hAnsi="Times New Roman" w:cs="Times New Roman"/>
          <w:color w:val="000000" w:themeColor="text1"/>
          <w:sz w:val="24"/>
          <w:szCs w:val="24"/>
          <w:lang w:val="en-US"/>
        </w:rPr>
        <w:t>SDGs</w:t>
      </w:r>
      <w:r w:rsidRPr="008B2F56">
        <w:rPr>
          <w:rFonts w:ascii="Times New Roman" w:hAnsi="Times New Roman" w:cs="Times New Roman"/>
          <w:color w:val="000000" w:themeColor="text1"/>
          <w:sz w:val="24"/>
          <w:szCs w:val="24"/>
          <w:lang w:val="en-US"/>
        </w:rPr>
        <w:t xml:space="preserve"> to be achieved by 2030.</w:t>
      </w:r>
      <w:r w:rsidRPr="008B2F56">
        <w:rPr>
          <w:rStyle w:val="FootnoteReference"/>
          <w:rFonts w:ascii="Times New Roman" w:hAnsi="Times New Roman" w:cs="Times New Roman"/>
        </w:rPr>
        <w:footnoteReference w:id="8"/>
      </w:r>
      <w:r w:rsidRPr="008B2F56">
        <w:rPr>
          <w:rFonts w:ascii="Times New Roman" w:hAnsi="Times New Roman" w:cs="Times New Roman"/>
          <w:color w:val="000000" w:themeColor="text1"/>
          <w:sz w:val="24"/>
          <w:szCs w:val="24"/>
          <w:lang w:val="en-US"/>
        </w:rPr>
        <w:t xml:space="preserve"> </w:t>
      </w:r>
      <w:r w:rsidR="00735A87" w:rsidRPr="008B2F56">
        <w:rPr>
          <w:rFonts w:ascii="Times New Roman" w:hAnsi="Times New Roman" w:cs="Times New Roman"/>
          <w:color w:val="000000" w:themeColor="text1"/>
          <w:sz w:val="24"/>
          <w:szCs w:val="24"/>
          <w:lang w:val="en-US"/>
        </w:rPr>
        <w:t xml:space="preserve">While the </w:t>
      </w:r>
      <w:r w:rsidR="00042A3F" w:rsidRPr="008B2F56">
        <w:rPr>
          <w:rFonts w:ascii="Times New Roman" w:hAnsi="Times New Roman" w:cs="Times New Roman"/>
          <w:color w:val="000000" w:themeColor="text1"/>
          <w:sz w:val="24"/>
          <w:szCs w:val="24"/>
          <w:lang w:val="en-US"/>
        </w:rPr>
        <w:t>MDGs</w:t>
      </w:r>
      <w:r w:rsidR="00735A87" w:rsidRPr="008B2F56">
        <w:rPr>
          <w:rFonts w:ascii="Times New Roman" w:hAnsi="Times New Roman" w:cs="Times New Roman"/>
          <w:color w:val="000000" w:themeColor="text1"/>
          <w:sz w:val="24"/>
          <w:szCs w:val="24"/>
          <w:lang w:val="en-US"/>
        </w:rPr>
        <w:t xml:space="preserve"> did not specifically address FDI,</w:t>
      </w:r>
      <w:r w:rsidR="00735A87" w:rsidRPr="008B2F56">
        <w:rPr>
          <w:rStyle w:val="FootnoteReference"/>
          <w:rFonts w:ascii="Times New Roman" w:hAnsi="Times New Roman" w:cs="Times New Roman"/>
        </w:rPr>
        <w:footnoteReference w:id="9"/>
      </w:r>
      <w:r w:rsidR="00735A87" w:rsidRPr="008B2F56">
        <w:rPr>
          <w:rFonts w:ascii="Times New Roman" w:hAnsi="Times New Roman" w:cs="Times New Roman"/>
          <w:color w:val="000000" w:themeColor="text1"/>
          <w:sz w:val="24"/>
          <w:szCs w:val="24"/>
          <w:lang w:val="en-US"/>
        </w:rPr>
        <w:t xml:space="preserve"> </w:t>
      </w:r>
      <w:r w:rsidR="000A12F9" w:rsidRPr="008B2F56">
        <w:rPr>
          <w:rFonts w:ascii="Times New Roman" w:hAnsi="Times New Roman" w:cs="Times New Roman"/>
          <w:color w:val="000000" w:themeColor="text1"/>
          <w:sz w:val="24"/>
          <w:szCs w:val="24"/>
          <w:lang w:val="en-US"/>
        </w:rPr>
        <w:t xml:space="preserve">some of the targets of the </w:t>
      </w:r>
      <w:r w:rsidR="00DB15FB" w:rsidRPr="008B2F56">
        <w:rPr>
          <w:rFonts w:ascii="Times New Roman" w:hAnsi="Times New Roman" w:cs="Times New Roman"/>
          <w:color w:val="000000" w:themeColor="text1"/>
          <w:sz w:val="24"/>
          <w:szCs w:val="24"/>
          <w:lang w:val="en-US"/>
        </w:rPr>
        <w:t xml:space="preserve">SDGs </w:t>
      </w:r>
      <w:r w:rsidR="000A12F9" w:rsidRPr="008B2F56">
        <w:rPr>
          <w:rFonts w:ascii="Times New Roman" w:hAnsi="Times New Roman" w:cs="Times New Roman"/>
          <w:color w:val="000000" w:themeColor="text1"/>
          <w:sz w:val="24"/>
          <w:szCs w:val="24"/>
          <w:lang w:val="en-US"/>
        </w:rPr>
        <w:t xml:space="preserve">are </w:t>
      </w:r>
      <w:r w:rsidR="006830EA" w:rsidRPr="008B2F56">
        <w:rPr>
          <w:rFonts w:ascii="Times New Roman" w:hAnsi="Times New Roman" w:cs="Times New Roman"/>
          <w:color w:val="000000" w:themeColor="text1"/>
          <w:sz w:val="24"/>
          <w:szCs w:val="24"/>
          <w:lang w:val="en-US"/>
        </w:rPr>
        <w:t>highly relevant</w:t>
      </w:r>
      <w:r w:rsidR="000A12F9" w:rsidRPr="008B2F56">
        <w:rPr>
          <w:rFonts w:ascii="Times New Roman" w:hAnsi="Times New Roman" w:cs="Times New Roman"/>
          <w:color w:val="000000" w:themeColor="text1"/>
          <w:sz w:val="24"/>
          <w:szCs w:val="24"/>
          <w:lang w:val="en-US"/>
        </w:rPr>
        <w:t>. Target 17.5</w:t>
      </w:r>
      <w:r w:rsidRPr="008B2F56">
        <w:rPr>
          <w:rFonts w:ascii="Times New Roman" w:hAnsi="Times New Roman" w:cs="Times New Roman"/>
          <w:color w:val="000000" w:themeColor="text1"/>
          <w:sz w:val="24"/>
          <w:szCs w:val="24"/>
          <w:lang w:val="en-US"/>
        </w:rPr>
        <w:t xml:space="preserve"> call</w:t>
      </w:r>
      <w:r w:rsidR="000A12F9" w:rsidRPr="008B2F56">
        <w:rPr>
          <w:rFonts w:ascii="Times New Roman" w:hAnsi="Times New Roman" w:cs="Times New Roman"/>
          <w:color w:val="000000" w:themeColor="text1"/>
          <w:sz w:val="24"/>
          <w:szCs w:val="24"/>
          <w:lang w:val="en-US"/>
        </w:rPr>
        <w:t>s</w:t>
      </w:r>
      <w:r w:rsidRPr="008B2F56">
        <w:rPr>
          <w:rFonts w:ascii="Times New Roman" w:hAnsi="Times New Roman" w:cs="Times New Roman"/>
          <w:color w:val="000000" w:themeColor="text1"/>
          <w:sz w:val="24"/>
          <w:szCs w:val="24"/>
          <w:lang w:val="en-US"/>
        </w:rPr>
        <w:t xml:space="preserve"> for the adoption and implementation of investment promotion regimes for least developed countries</w:t>
      </w:r>
      <w:r w:rsidR="00096F93" w:rsidRPr="008B2F56">
        <w:rPr>
          <w:rFonts w:ascii="Times New Roman" w:hAnsi="Times New Roman" w:cs="Times New Roman"/>
          <w:color w:val="000000" w:themeColor="text1"/>
          <w:sz w:val="24"/>
          <w:szCs w:val="24"/>
          <w:lang w:val="en-US"/>
        </w:rPr>
        <w:t xml:space="preserve"> (LDCs)</w:t>
      </w:r>
      <w:r w:rsidR="000A12F9" w:rsidRPr="008B2F56">
        <w:rPr>
          <w:rFonts w:ascii="Times New Roman" w:hAnsi="Times New Roman" w:cs="Times New Roman"/>
          <w:color w:val="000000" w:themeColor="text1"/>
          <w:sz w:val="24"/>
          <w:szCs w:val="24"/>
          <w:lang w:val="en-US"/>
        </w:rPr>
        <w:t>. Moreover</w:t>
      </w:r>
      <w:r w:rsidRPr="008B2F56">
        <w:rPr>
          <w:rFonts w:ascii="Times New Roman" w:hAnsi="Times New Roman" w:cs="Times New Roman"/>
          <w:color w:val="000000" w:themeColor="text1"/>
          <w:sz w:val="24"/>
          <w:szCs w:val="24"/>
          <w:lang w:val="en-US"/>
        </w:rPr>
        <w:t xml:space="preserve">, </w:t>
      </w:r>
      <w:r w:rsidR="000A12F9" w:rsidRPr="008B2F56">
        <w:rPr>
          <w:rFonts w:ascii="Times New Roman" w:hAnsi="Times New Roman" w:cs="Times New Roman"/>
          <w:color w:val="000000" w:themeColor="text1"/>
          <w:sz w:val="24"/>
          <w:szCs w:val="24"/>
          <w:lang w:val="en-US"/>
        </w:rPr>
        <w:t>other targets concern</w:t>
      </w:r>
      <w:r w:rsidRPr="008B2F56">
        <w:rPr>
          <w:rFonts w:ascii="Times New Roman" w:hAnsi="Times New Roman" w:cs="Times New Roman"/>
          <w:color w:val="000000" w:themeColor="text1"/>
          <w:sz w:val="24"/>
          <w:szCs w:val="24"/>
          <w:lang w:val="en-US"/>
        </w:rPr>
        <w:t xml:space="preserve"> the use of </w:t>
      </w:r>
      <w:r w:rsidR="00F13B1B" w:rsidRPr="008B2F56">
        <w:rPr>
          <w:rFonts w:ascii="Times New Roman" w:hAnsi="Times New Roman" w:cs="Times New Roman"/>
          <w:color w:val="000000" w:themeColor="text1"/>
          <w:sz w:val="24"/>
          <w:szCs w:val="24"/>
          <w:lang w:val="en-US"/>
        </w:rPr>
        <w:t xml:space="preserve">foreign </w:t>
      </w:r>
      <w:r w:rsidRPr="008B2F56">
        <w:rPr>
          <w:rFonts w:ascii="Times New Roman" w:hAnsi="Times New Roman" w:cs="Times New Roman"/>
          <w:color w:val="000000" w:themeColor="text1"/>
          <w:sz w:val="24"/>
          <w:szCs w:val="24"/>
          <w:lang w:val="en-US"/>
        </w:rPr>
        <w:t>investment as a means to end poverty and hunger, achieve food security and improved nutrition, promote sustainable agriculture, ensure access to affordable, reliable, sustainable and modern energy, and reduce inequality within and among countries.</w:t>
      </w:r>
      <w:r w:rsidRPr="008B2F56">
        <w:rPr>
          <w:rStyle w:val="FootnoteReference"/>
          <w:rFonts w:ascii="Times New Roman" w:hAnsi="Times New Roman" w:cs="Times New Roman"/>
        </w:rPr>
        <w:footnoteReference w:id="10"/>
      </w:r>
      <w:r w:rsidRPr="008B2F56">
        <w:rPr>
          <w:rFonts w:ascii="Times New Roman" w:hAnsi="Times New Roman" w:cs="Times New Roman"/>
          <w:color w:val="000000" w:themeColor="text1"/>
          <w:sz w:val="24"/>
          <w:szCs w:val="24"/>
          <w:lang w:val="en-US"/>
        </w:rPr>
        <w:t xml:space="preserve"> Among the countries identified </w:t>
      </w:r>
      <w:r w:rsidR="000A12F9" w:rsidRPr="008B2F56">
        <w:rPr>
          <w:rFonts w:ascii="Times New Roman" w:hAnsi="Times New Roman" w:cs="Times New Roman"/>
          <w:color w:val="000000" w:themeColor="text1"/>
          <w:sz w:val="24"/>
          <w:szCs w:val="24"/>
          <w:lang w:val="en-US"/>
        </w:rPr>
        <w:t>as being of particular concern, are</w:t>
      </w:r>
      <w:r w:rsidRPr="008B2F56">
        <w:rPr>
          <w:rFonts w:ascii="Times New Roman" w:hAnsi="Times New Roman" w:cs="Times New Roman"/>
          <w:color w:val="000000" w:themeColor="text1"/>
          <w:sz w:val="24"/>
          <w:szCs w:val="24"/>
          <w:lang w:val="en-US"/>
        </w:rPr>
        <w:t xml:space="preserve"> “least </w:t>
      </w:r>
      <w:r w:rsidRPr="008B2F56">
        <w:rPr>
          <w:rFonts w:ascii="Times New Roman" w:hAnsi="Times New Roman" w:cs="Times New Roman"/>
          <w:color w:val="000000" w:themeColor="text1"/>
          <w:sz w:val="24"/>
          <w:szCs w:val="24"/>
          <w:lang w:val="en-US"/>
        </w:rPr>
        <w:lastRenderedPageBreak/>
        <w:t>developed countries, African countries, small island developing States and landlocked developing countries</w:t>
      </w:r>
      <w:r w:rsidR="001731A9" w:rsidRPr="008B2F56">
        <w:rPr>
          <w:rFonts w:ascii="Times New Roman" w:hAnsi="Times New Roman" w:cs="Times New Roman"/>
          <w:color w:val="000000" w:themeColor="text1"/>
          <w:sz w:val="24"/>
          <w:szCs w:val="24"/>
          <w:lang w:val="en-US"/>
        </w:rPr>
        <w:t>.</w:t>
      </w:r>
      <w:r w:rsidRPr="008B2F56">
        <w:rPr>
          <w:rFonts w:ascii="Times New Roman" w:hAnsi="Times New Roman" w:cs="Times New Roman"/>
          <w:color w:val="000000" w:themeColor="text1"/>
          <w:sz w:val="24"/>
          <w:szCs w:val="24"/>
          <w:lang w:val="en-US"/>
        </w:rPr>
        <w:t>”</w:t>
      </w:r>
      <w:r w:rsidRPr="008B2F56">
        <w:rPr>
          <w:rStyle w:val="FootnoteReference"/>
          <w:rFonts w:ascii="Times New Roman" w:hAnsi="Times New Roman" w:cs="Times New Roman"/>
        </w:rPr>
        <w:footnoteReference w:id="11"/>
      </w:r>
      <w:r w:rsidRPr="008B2F56">
        <w:rPr>
          <w:rFonts w:ascii="Times New Roman" w:hAnsi="Times New Roman" w:cs="Times New Roman"/>
          <w:color w:val="000000" w:themeColor="text1"/>
          <w:sz w:val="24"/>
          <w:szCs w:val="24"/>
          <w:lang w:val="en-US"/>
        </w:rPr>
        <w:t xml:space="preserve"> Particular attention should be paid also to “countries in situations of conflict and post-conflict countries.”</w:t>
      </w:r>
      <w:r w:rsidRPr="008B2F56">
        <w:rPr>
          <w:rStyle w:val="FootnoteReference"/>
          <w:rFonts w:ascii="Times New Roman" w:hAnsi="Times New Roman" w:cs="Times New Roman"/>
        </w:rPr>
        <w:footnoteReference w:id="12"/>
      </w:r>
      <w:r w:rsidRPr="008B2F56">
        <w:rPr>
          <w:rFonts w:ascii="Times New Roman" w:hAnsi="Times New Roman" w:cs="Times New Roman"/>
          <w:color w:val="000000" w:themeColor="text1"/>
          <w:sz w:val="24"/>
          <w:szCs w:val="24"/>
          <w:lang w:val="en-US"/>
        </w:rPr>
        <w:t xml:space="preserve"> While the Declaration mentions the potential role </w:t>
      </w:r>
      <w:r w:rsidR="000A12F9" w:rsidRPr="008B2F56">
        <w:rPr>
          <w:rFonts w:ascii="Times New Roman" w:hAnsi="Times New Roman" w:cs="Times New Roman"/>
          <w:color w:val="000000" w:themeColor="text1"/>
          <w:sz w:val="24"/>
          <w:szCs w:val="24"/>
          <w:lang w:val="en-US"/>
        </w:rPr>
        <w:t>of</w:t>
      </w:r>
      <w:r w:rsidRPr="008B2F56">
        <w:rPr>
          <w:rFonts w:ascii="Times New Roman" w:hAnsi="Times New Roman" w:cs="Times New Roman"/>
          <w:color w:val="000000" w:themeColor="text1"/>
          <w:sz w:val="24"/>
          <w:szCs w:val="24"/>
          <w:lang w:val="en-US"/>
        </w:rPr>
        <w:t xml:space="preserve"> multinational enterprises,</w:t>
      </w:r>
      <w:r w:rsidRPr="008B2F56">
        <w:rPr>
          <w:rStyle w:val="FootnoteReference"/>
          <w:rFonts w:ascii="Times New Roman" w:hAnsi="Times New Roman" w:cs="Times New Roman"/>
        </w:rPr>
        <w:footnoteReference w:id="13"/>
      </w:r>
      <w:r w:rsidRPr="008B2F56">
        <w:rPr>
          <w:rFonts w:ascii="Times New Roman" w:hAnsi="Times New Roman" w:cs="Times New Roman"/>
          <w:color w:val="000000" w:themeColor="text1"/>
          <w:sz w:val="24"/>
          <w:szCs w:val="24"/>
          <w:lang w:val="en-US"/>
        </w:rPr>
        <w:t xml:space="preserve"> it generally pays very limited attention to the</w:t>
      </w:r>
      <w:r w:rsidR="000A12F9" w:rsidRPr="008B2F56">
        <w:rPr>
          <w:rFonts w:ascii="Times New Roman" w:hAnsi="Times New Roman" w:cs="Times New Roman"/>
          <w:color w:val="000000" w:themeColor="text1"/>
          <w:sz w:val="24"/>
          <w:szCs w:val="24"/>
          <w:lang w:val="en-US"/>
        </w:rPr>
        <w:t>ir</w:t>
      </w:r>
      <w:r w:rsidRPr="008B2F56">
        <w:rPr>
          <w:rFonts w:ascii="Times New Roman" w:hAnsi="Times New Roman" w:cs="Times New Roman"/>
          <w:color w:val="000000" w:themeColor="text1"/>
          <w:sz w:val="24"/>
          <w:szCs w:val="24"/>
          <w:lang w:val="en-US"/>
        </w:rPr>
        <w:t xml:space="preserve"> potential </w:t>
      </w:r>
      <w:r w:rsidR="001731A9" w:rsidRPr="008B2F56">
        <w:rPr>
          <w:rFonts w:ascii="Times New Roman" w:hAnsi="Times New Roman" w:cs="Times New Roman"/>
          <w:color w:val="000000" w:themeColor="text1"/>
          <w:sz w:val="24"/>
          <w:szCs w:val="24"/>
          <w:lang w:val="en-US"/>
        </w:rPr>
        <w:t xml:space="preserve">to </w:t>
      </w:r>
      <w:r w:rsidRPr="008B2F56">
        <w:rPr>
          <w:rFonts w:ascii="Times New Roman" w:hAnsi="Times New Roman" w:cs="Times New Roman"/>
          <w:color w:val="000000" w:themeColor="text1"/>
          <w:sz w:val="24"/>
          <w:szCs w:val="24"/>
          <w:lang w:val="en-US"/>
        </w:rPr>
        <w:t>contribut</w:t>
      </w:r>
      <w:r w:rsidR="001731A9" w:rsidRPr="008B2F56">
        <w:rPr>
          <w:rFonts w:ascii="Times New Roman" w:hAnsi="Times New Roman" w:cs="Times New Roman"/>
          <w:color w:val="000000" w:themeColor="text1"/>
          <w:sz w:val="24"/>
          <w:szCs w:val="24"/>
          <w:lang w:val="en-US"/>
        </w:rPr>
        <w:t>e</w:t>
      </w:r>
      <w:r w:rsidRPr="008B2F56">
        <w:rPr>
          <w:rFonts w:ascii="Times New Roman" w:hAnsi="Times New Roman" w:cs="Times New Roman"/>
          <w:color w:val="000000" w:themeColor="text1"/>
          <w:sz w:val="24"/>
          <w:szCs w:val="24"/>
          <w:lang w:val="en-US"/>
        </w:rPr>
        <w:t xml:space="preserve"> FDI.</w:t>
      </w:r>
      <w:r w:rsidR="0055465E" w:rsidRPr="008B2F56">
        <w:rPr>
          <w:rFonts w:ascii="Times New Roman" w:hAnsi="Times New Roman" w:cs="Times New Roman"/>
          <w:color w:val="000000" w:themeColor="text1"/>
          <w:sz w:val="24"/>
          <w:szCs w:val="24"/>
          <w:lang w:val="en-US"/>
        </w:rPr>
        <w:t xml:space="preserve"> </w:t>
      </w:r>
      <w:r w:rsidR="00ED4EEE" w:rsidRPr="008B2F56">
        <w:rPr>
          <w:rFonts w:ascii="Times New Roman" w:hAnsi="Times New Roman" w:cs="Times New Roman"/>
          <w:color w:val="000000" w:themeColor="text1"/>
          <w:sz w:val="24"/>
          <w:szCs w:val="24"/>
          <w:lang w:val="en-US"/>
        </w:rPr>
        <w:t xml:space="preserve">There is some mention of the role of </w:t>
      </w:r>
      <w:r w:rsidR="001731A9" w:rsidRPr="008B2F56">
        <w:rPr>
          <w:rFonts w:ascii="Times New Roman" w:hAnsi="Times New Roman" w:cs="Times New Roman"/>
          <w:color w:val="000000" w:themeColor="text1"/>
          <w:sz w:val="24"/>
          <w:szCs w:val="24"/>
          <w:lang w:val="en-US"/>
        </w:rPr>
        <w:t>FDI</w:t>
      </w:r>
      <w:r w:rsidR="00ED4EEE" w:rsidRPr="008B2F56">
        <w:rPr>
          <w:rFonts w:ascii="Times New Roman" w:hAnsi="Times New Roman" w:cs="Times New Roman"/>
          <w:color w:val="000000" w:themeColor="text1"/>
          <w:sz w:val="24"/>
          <w:szCs w:val="24"/>
          <w:lang w:val="en-US"/>
        </w:rPr>
        <w:t xml:space="preserve"> in indicators </w:t>
      </w:r>
      <w:r w:rsidR="00DB15FB" w:rsidRPr="008B2F56">
        <w:rPr>
          <w:rFonts w:ascii="Times New Roman" w:hAnsi="Times New Roman" w:cs="Times New Roman"/>
          <w:color w:val="000000" w:themeColor="text1"/>
          <w:sz w:val="24"/>
          <w:szCs w:val="24"/>
          <w:lang w:val="en-US"/>
        </w:rPr>
        <w:t>established</w:t>
      </w:r>
      <w:r w:rsidR="00ED4EEE" w:rsidRPr="008B2F56">
        <w:rPr>
          <w:rFonts w:ascii="Times New Roman" w:hAnsi="Times New Roman" w:cs="Times New Roman"/>
          <w:color w:val="000000" w:themeColor="text1"/>
          <w:sz w:val="24"/>
          <w:szCs w:val="24"/>
          <w:lang w:val="en-US"/>
        </w:rPr>
        <w:t xml:space="preserve"> to monitor the achievement of the SDG</w:t>
      </w:r>
      <w:r w:rsidR="00DB15FB" w:rsidRPr="008B2F56">
        <w:rPr>
          <w:rFonts w:ascii="Times New Roman" w:hAnsi="Times New Roman" w:cs="Times New Roman"/>
          <w:color w:val="000000" w:themeColor="text1"/>
          <w:sz w:val="24"/>
          <w:szCs w:val="24"/>
          <w:lang w:val="en-US"/>
        </w:rPr>
        <w:t>s</w:t>
      </w:r>
      <w:r w:rsidR="00ED4EEE" w:rsidRPr="008B2F56">
        <w:rPr>
          <w:rFonts w:ascii="Times New Roman" w:hAnsi="Times New Roman" w:cs="Times New Roman"/>
          <w:color w:val="000000" w:themeColor="text1"/>
          <w:sz w:val="24"/>
          <w:szCs w:val="24"/>
          <w:lang w:val="en-US"/>
        </w:rPr>
        <w:t>.</w:t>
      </w:r>
      <w:r w:rsidR="00ED4EEE" w:rsidRPr="008B2F56">
        <w:rPr>
          <w:rStyle w:val="FootnoteReference"/>
          <w:rFonts w:ascii="Times New Roman" w:hAnsi="Times New Roman" w:cs="Times New Roman"/>
        </w:rPr>
        <w:footnoteReference w:id="14"/>
      </w:r>
      <w:r w:rsidR="00ED4EEE" w:rsidRPr="008B2F56">
        <w:rPr>
          <w:rFonts w:ascii="Times New Roman" w:hAnsi="Times New Roman" w:cs="Times New Roman"/>
          <w:color w:val="000000" w:themeColor="text1"/>
          <w:sz w:val="24"/>
          <w:szCs w:val="24"/>
          <w:lang w:val="en-US"/>
        </w:rPr>
        <w:t xml:space="preserve"> </w:t>
      </w:r>
      <w:r w:rsidR="0055465E" w:rsidRPr="008B2F56">
        <w:rPr>
          <w:rFonts w:ascii="Times New Roman" w:hAnsi="Times New Roman" w:cs="Times New Roman"/>
          <w:color w:val="000000" w:themeColor="text1"/>
          <w:sz w:val="24"/>
          <w:szCs w:val="24"/>
          <w:lang w:val="en-US"/>
        </w:rPr>
        <w:t xml:space="preserve">In essence, the targets </w:t>
      </w:r>
      <w:r w:rsidR="001731A9" w:rsidRPr="008B2F56">
        <w:rPr>
          <w:rFonts w:ascii="Times New Roman" w:hAnsi="Times New Roman" w:cs="Times New Roman"/>
          <w:color w:val="000000" w:themeColor="text1"/>
          <w:sz w:val="24"/>
          <w:szCs w:val="24"/>
          <w:lang w:val="en-US"/>
        </w:rPr>
        <w:t>and indicators emphasize</w:t>
      </w:r>
      <w:r w:rsidR="0055465E" w:rsidRPr="008B2F56">
        <w:rPr>
          <w:rFonts w:ascii="Times New Roman" w:hAnsi="Times New Roman" w:cs="Times New Roman"/>
          <w:color w:val="000000" w:themeColor="text1"/>
          <w:sz w:val="24"/>
          <w:szCs w:val="24"/>
          <w:lang w:val="en-US"/>
        </w:rPr>
        <w:t xml:space="preserve"> the positive </w:t>
      </w:r>
      <w:r w:rsidR="00650549" w:rsidRPr="008B2F56">
        <w:rPr>
          <w:rFonts w:ascii="Times New Roman" w:hAnsi="Times New Roman" w:cs="Times New Roman"/>
          <w:color w:val="000000" w:themeColor="text1"/>
          <w:sz w:val="24"/>
          <w:szCs w:val="24"/>
          <w:lang w:val="en-US"/>
        </w:rPr>
        <w:t>role that FDI may play, and do</w:t>
      </w:r>
      <w:r w:rsidR="0055465E" w:rsidRPr="008B2F56">
        <w:rPr>
          <w:rFonts w:ascii="Times New Roman" w:hAnsi="Times New Roman" w:cs="Times New Roman"/>
          <w:color w:val="000000" w:themeColor="text1"/>
          <w:sz w:val="24"/>
          <w:szCs w:val="24"/>
          <w:lang w:val="en-US"/>
        </w:rPr>
        <w:t xml:space="preserve"> not </w:t>
      </w:r>
      <w:r w:rsidR="009D600B" w:rsidRPr="008B2F56">
        <w:rPr>
          <w:rFonts w:ascii="Times New Roman" w:hAnsi="Times New Roman" w:cs="Times New Roman"/>
          <w:color w:val="000000" w:themeColor="text1"/>
          <w:sz w:val="24"/>
          <w:szCs w:val="24"/>
          <w:lang w:val="en-US"/>
        </w:rPr>
        <w:t>address</w:t>
      </w:r>
      <w:r w:rsidR="0055465E" w:rsidRPr="008B2F56">
        <w:rPr>
          <w:rFonts w:ascii="Times New Roman" w:hAnsi="Times New Roman" w:cs="Times New Roman"/>
          <w:color w:val="000000" w:themeColor="text1"/>
          <w:sz w:val="24"/>
          <w:szCs w:val="24"/>
          <w:lang w:val="en-US"/>
        </w:rPr>
        <w:t xml:space="preserve"> the potential need to limit negative effects of FDI.</w:t>
      </w:r>
    </w:p>
    <w:p w14:paraId="0364A233" w14:textId="2539FC32" w:rsidR="004C02CE" w:rsidRPr="008B2F56" w:rsidRDefault="00DF4F1A"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Of particular relevance to the implementation of SDGs</w:t>
      </w:r>
      <w:r w:rsidR="004C02CE" w:rsidRPr="008B2F56">
        <w:rPr>
          <w:rFonts w:ascii="Times New Roman" w:hAnsi="Times New Roman" w:cs="Times New Roman"/>
          <w:color w:val="000000" w:themeColor="text1"/>
          <w:sz w:val="24"/>
          <w:szCs w:val="24"/>
          <w:lang w:val="en-US"/>
        </w:rPr>
        <w:t>, the Third International Conference on Financing for Development adopted the Addis Ababa Action Agenda which was subsequently endorsed by the UN General Assembly.</w:t>
      </w:r>
      <w:r w:rsidR="004C02CE" w:rsidRPr="008B2F56">
        <w:rPr>
          <w:rStyle w:val="FootnoteReference"/>
          <w:rFonts w:ascii="Times New Roman" w:hAnsi="Times New Roman" w:cs="Times New Roman"/>
        </w:rPr>
        <w:footnoteReference w:id="15"/>
      </w:r>
      <w:r w:rsidR="002A07C5" w:rsidRPr="008B2F56">
        <w:rPr>
          <w:rFonts w:ascii="Times New Roman" w:hAnsi="Times New Roman" w:cs="Times New Roman"/>
          <w:color w:val="000000" w:themeColor="text1"/>
          <w:sz w:val="24"/>
          <w:szCs w:val="24"/>
          <w:lang w:val="en-US"/>
        </w:rPr>
        <w:t xml:space="preserve"> The Agenda points out important cha</w:t>
      </w:r>
      <w:r w:rsidR="00034CE1" w:rsidRPr="008B2F56">
        <w:rPr>
          <w:rFonts w:ascii="Times New Roman" w:hAnsi="Times New Roman" w:cs="Times New Roman"/>
          <w:color w:val="000000" w:themeColor="text1"/>
          <w:sz w:val="24"/>
          <w:szCs w:val="24"/>
          <w:lang w:val="en-US"/>
        </w:rPr>
        <w:t>llenges regarding FDI</w:t>
      </w:r>
      <w:r w:rsidR="002A07C5" w:rsidRPr="008B2F56">
        <w:rPr>
          <w:rFonts w:ascii="Times New Roman" w:hAnsi="Times New Roman" w:cs="Times New Roman"/>
          <w:color w:val="000000" w:themeColor="text1"/>
          <w:sz w:val="24"/>
          <w:szCs w:val="24"/>
          <w:lang w:val="en-US"/>
        </w:rPr>
        <w:t xml:space="preserve">: “Foreign direct investment is concentrated in a few sectors in many developing countries and often bypasses countries most in need, and international capital flows are often short-term oriented.” It moves on to make clear that foreign investors’ host and home countries as well as </w:t>
      </w:r>
      <w:r w:rsidR="00413947" w:rsidRPr="008B2F56">
        <w:rPr>
          <w:rFonts w:ascii="Times New Roman" w:hAnsi="Times New Roman" w:cs="Times New Roman"/>
          <w:color w:val="000000" w:themeColor="text1"/>
          <w:sz w:val="24"/>
          <w:szCs w:val="24"/>
          <w:lang w:val="en-US"/>
        </w:rPr>
        <w:t>the Multilate</w:t>
      </w:r>
      <w:r w:rsidR="006B334B" w:rsidRPr="008B2F56">
        <w:rPr>
          <w:rFonts w:ascii="Times New Roman" w:hAnsi="Times New Roman" w:cs="Times New Roman"/>
          <w:color w:val="000000" w:themeColor="text1"/>
          <w:sz w:val="24"/>
          <w:szCs w:val="24"/>
          <w:lang w:val="en-US"/>
        </w:rPr>
        <w:t>ral Investment Guarantee Agency</w:t>
      </w:r>
      <w:r w:rsidR="00413947" w:rsidRPr="008B2F56">
        <w:rPr>
          <w:rFonts w:ascii="Times New Roman" w:hAnsi="Times New Roman" w:cs="Times New Roman"/>
          <w:color w:val="000000" w:themeColor="text1"/>
          <w:sz w:val="24"/>
          <w:szCs w:val="24"/>
          <w:lang w:val="en-US"/>
        </w:rPr>
        <w:t xml:space="preserve"> </w:t>
      </w:r>
      <w:r w:rsidR="002A07C5" w:rsidRPr="008B2F56">
        <w:rPr>
          <w:rFonts w:ascii="Times New Roman" w:hAnsi="Times New Roman" w:cs="Times New Roman"/>
          <w:color w:val="000000" w:themeColor="text1"/>
          <w:sz w:val="24"/>
          <w:szCs w:val="24"/>
          <w:lang w:val="en-US"/>
        </w:rPr>
        <w:t xml:space="preserve">have important tasks in ensuring that FDI contributes positively to sustainable development </w:t>
      </w:r>
      <w:r w:rsidR="006B334B" w:rsidRPr="008B2F56">
        <w:rPr>
          <w:rFonts w:ascii="Times New Roman" w:hAnsi="Times New Roman" w:cs="Times New Roman"/>
          <w:color w:val="000000" w:themeColor="text1"/>
          <w:sz w:val="24"/>
          <w:szCs w:val="24"/>
          <w:lang w:val="en-US"/>
        </w:rPr>
        <w:t>in a broade</w:t>
      </w:r>
      <w:r w:rsidR="00034CE1" w:rsidRPr="008B2F56">
        <w:rPr>
          <w:rFonts w:ascii="Times New Roman" w:hAnsi="Times New Roman" w:cs="Times New Roman"/>
          <w:color w:val="000000" w:themeColor="text1"/>
          <w:sz w:val="24"/>
          <w:szCs w:val="24"/>
          <w:lang w:val="en-US"/>
        </w:rPr>
        <w:t>r range of developing countries</w:t>
      </w:r>
      <w:r w:rsidR="002A07C5" w:rsidRPr="008B2F56">
        <w:rPr>
          <w:rFonts w:ascii="Times New Roman" w:hAnsi="Times New Roman" w:cs="Times New Roman"/>
          <w:color w:val="000000" w:themeColor="text1"/>
          <w:sz w:val="24"/>
          <w:szCs w:val="24"/>
          <w:lang w:val="en-US"/>
        </w:rPr>
        <w:t>.</w:t>
      </w:r>
      <w:r w:rsidR="00034CE1" w:rsidRPr="008B2F56">
        <w:rPr>
          <w:rStyle w:val="FootnoteReference"/>
          <w:rFonts w:ascii="Times New Roman" w:hAnsi="Times New Roman" w:cs="Times New Roman"/>
          <w:color w:val="000000" w:themeColor="text1"/>
          <w:sz w:val="24"/>
          <w:szCs w:val="24"/>
          <w:lang w:val="en-US"/>
        </w:rPr>
        <w:footnoteReference w:id="16"/>
      </w:r>
    </w:p>
    <w:p w14:paraId="46F41CDF" w14:textId="424EACCB" w:rsidR="005E420D" w:rsidRPr="008B2F56" w:rsidRDefault="00B0240A"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The Declaration on the Right to Development address</w:t>
      </w:r>
      <w:r w:rsidR="000F5C83" w:rsidRPr="008B2F56">
        <w:rPr>
          <w:rFonts w:ascii="Times New Roman" w:hAnsi="Times New Roman" w:cs="Times New Roman"/>
          <w:color w:val="000000" w:themeColor="text1"/>
          <w:sz w:val="24"/>
          <w:szCs w:val="24"/>
          <w:lang w:val="en-US"/>
        </w:rPr>
        <w:t>es</w:t>
      </w:r>
      <w:r w:rsidRPr="008B2F56">
        <w:rPr>
          <w:rFonts w:ascii="Times New Roman" w:hAnsi="Times New Roman" w:cs="Times New Roman"/>
          <w:color w:val="000000" w:themeColor="text1"/>
          <w:sz w:val="24"/>
          <w:szCs w:val="24"/>
          <w:lang w:val="en-US"/>
        </w:rPr>
        <w:t xml:space="preserve"> </w:t>
      </w:r>
      <w:r w:rsidR="005A6DEA" w:rsidRPr="008B2F56">
        <w:rPr>
          <w:rFonts w:ascii="Times New Roman" w:hAnsi="Times New Roman" w:cs="Times New Roman"/>
          <w:color w:val="000000" w:themeColor="text1"/>
          <w:sz w:val="24"/>
          <w:szCs w:val="24"/>
          <w:lang w:val="en-US"/>
        </w:rPr>
        <w:t xml:space="preserve">some </w:t>
      </w:r>
      <w:r w:rsidR="008A6399" w:rsidRPr="008B2F56">
        <w:rPr>
          <w:rFonts w:ascii="Times New Roman" w:hAnsi="Times New Roman" w:cs="Times New Roman"/>
          <w:color w:val="000000" w:themeColor="text1"/>
          <w:sz w:val="24"/>
          <w:szCs w:val="24"/>
          <w:lang w:val="en-US"/>
        </w:rPr>
        <w:t xml:space="preserve">issues of relevance to </w:t>
      </w:r>
      <w:r w:rsidRPr="008B2F56">
        <w:rPr>
          <w:rFonts w:ascii="Times New Roman" w:hAnsi="Times New Roman" w:cs="Times New Roman"/>
          <w:color w:val="000000" w:themeColor="text1"/>
          <w:sz w:val="24"/>
          <w:szCs w:val="24"/>
          <w:lang w:val="en-US"/>
        </w:rPr>
        <w:t>FDI</w:t>
      </w:r>
      <w:r w:rsidR="005A6DEA" w:rsidRPr="008B2F56">
        <w:rPr>
          <w:rFonts w:ascii="Times New Roman" w:hAnsi="Times New Roman" w:cs="Times New Roman"/>
          <w:color w:val="000000" w:themeColor="text1"/>
          <w:sz w:val="24"/>
          <w:szCs w:val="24"/>
          <w:lang w:val="en-US"/>
        </w:rPr>
        <w:t>. It</w:t>
      </w:r>
      <w:r w:rsidRPr="008B2F56">
        <w:rPr>
          <w:rFonts w:ascii="Times New Roman" w:hAnsi="Times New Roman" w:cs="Times New Roman"/>
          <w:color w:val="000000" w:themeColor="text1"/>
          <w:sz w:val="24"/>
          <w:szCs w:val="24"/>
          <w:lang w:val="en-US"/>
        </w:rPr>
        <w:t xml:space="preserve"> underlin</w:t>
      </w:r>
      <w:r w:rsidR="005A6DEA" w:rsidRPr="008B2F56">
        <w:rPr>
          <w:rFonts w:ascii="Times New Roman" w:hAnsi="Times New Roman" w:cs="Times New Roman"/>
          <w:color w:val="000000" w:themeColor="text1"/>
          <w:sz w:val="24"/>
          <w:szCs w:val="24"/>
          <w:lang w:val="en-US"/>
        </w:rPr>
        <w:t>es</w:t>
      </w:r>
      <w:r w:rsidRPr="008B2F56">
        <w:rPr>
          <w:rFonts w:ascii="Times New Roman" w:hAnsi="Times New Roman" w:cs="Times New Roman"/>
          <w:color w:val="000000" w:themeColor="text1"/>
          <w:sz w:val="24"/>
          <w:szCs w:val="24"/>
          <w:lang w:val="en-US"/>
        </w:rPr>
        <w:t xml:space="preserve"> the right of peoples to exercise “full sovereignty over all their natural wealth and resources” (art. 1.2) and </w:t>
      </w:r>
      <w:r w:rsidR="008A6399" w:rsidRPr="008B2F56">
        <w:rPr>
          <w:rFonts w:ascii="Times New Roman" w:hAnsi="Times New Roman" w:cs="Times New Roman"/>
          <w:color w:val="000000" w:themeColor="text1"/>
          <w:sz w:val="24"/>
          <w:szCs w:val="24"/>
          <w:lang w:val="en-US"/>
        </w:rPr>
        <w:t>establish</w:t>
      </w:r>
      <w:r w:rsidR="005A6DEA" w:rsidRPr="008B2F56">
        <w:rPr>
          <w:rFonts w:ascii="Times New Roman" w:hAnsi="Times New Roman" w:cs="Times New Roman"/>
          <w:color w:val="000000" w:themeColor="text1"/>
          <w:sz w:val="24"/>
          <w:szCs w:val="24"/>
          <w:lang w:val="en-US"/>
        </w:rPr>
        <w:t>es</w:t>
      </w:r>
      <w:r w:rsidR="008A6399" w:rsidRPr="008B2F56">
        <w:rPr>
          <w:rFonts w:ascii="Times New Roman" w:hAnsi="Times New Roman" w:cs="Times New Roman"/>
          <w:color w:val="000000" w:themeColor="text1"/>
          <w:sz w:val="24"/>
          <w:szCs w:val="24"/>
          <w:lang w:val="en-US"/>
        </w:rPr>
        <w:t xml:space="preserve"> that</w:t>
      </w:r>
      <w:r w:rsidRPr="008B2F56">
        <w:rPr>
          <w:rFonts w:ascii="Times New Roman" w:hAnsi="Times New Roman" w:cs="Times New Roman"/>
          <w:color w:val="000000" w:themeColor="text1"/>
          <w:sz w:val="24"/>
          <w:szCs w:val="24"/>
          <w:lang w:val="en-US"/>
        </w:rPr>
        <w:t xml:space="preserve"> states shall ensure “equality of opportunity for all in their access to basic resources, education, health services, food, housing, employment and the fair distribution of income” (art. 8.2).</w:t>
      </w:r>
      <w:r w:rsidR="00DF4F1A" w:rsidRPr="008B2F56">
        <w:rPr>
          <w:rStyle w:val="FootnoteReference"/>
          <w:rFonts w:ascii="Times New Roman" w:hAnsi="Times New Roman" w:cs="Times New Roman"/>
          <w:color w:val="000000" w:themeColor="text1"/>
          <w:sz w:val="24"/>
          <w:szCs w:val="24"/>
          <w:lang w:val="en-US"/>
        </w:rPr>
        <w:footnoteReference w:id="17"/>
      </w:r>
      <w:r w:rsidRPr="008B2F56">
        <w:rPr>
          <w:rFonts w:ascii="Times New Roman" w:hAnsi="Times New Roman" w:cs="Times New Roman"/>
          <w:color w:val="000000" w:themeColor="text1"/>
          <w:sz w:val="24"/>
          <w:szCs w:val="24"/>
          <w:lang w:val="en-US"/>
        </w:rPr>
        <w:t xml:space="preserve"> These </w:t>
      </w:r>
      <w:r w:rsidR="005A6DEA" w:rsidRPr="008B2F56">
        <w:rPr>
          <w:rFonts w:ascii="Times New Roman" w:hAnsi="Times New Roman" w:cs="Times New Roman"/>
          <w:color w:val="000000" w:themeColor="text1"/>
          <w:sz w:val="24"/>
          <w:szCs w:val="24"/>
          <w:lang w:val="en-US"/>
        </w:rPr>
        <w:t>are</w:t>
      </w:r>
      <w:r w:rsidR="008A6399" w:rsidRPr="008B2F56">
        <w:rPr>
          <w:rFonts w:ascii="Times New Roman" w:hAnsi="Times New Roman" w:cs="Times New Roman"/>
          <w:color w:val="000000" w:themeColor="text1"/>
          <w:sz w:val="24"/>
          <w:szCs w:val="24"/>
          <w:lang w:val="en-US"/>
        </w:rPr>
        <w:t xml:space="preserve"> </w:t>
      </w:r>
      <w:r w:rsidR="00DE6894" w:rsidRPr="008B2F56">
        <w:rPr>
          <w:rFonts w:ascii="Times New Roman" w:hAnsi="Times New Roman" w:cs="Times New Roman"/>
          <w:color w:val="000000" w:themeColor="text1"/>
          <w:sz w:val="24"/>
          <w:szCs w:val="24"/>
          <w:lang w:val="en-US"/>
        </w:rPr>
        <w:t>normative expectations</w:t>
      </w:r>
      <w:r w:rsidRPr="008B2F56">
        <w:rPr>
          <w:rFonts w:ascii="Times New Roman" w:hAnsi="Times New Roman" w:cs="Times New Roman"/>
          <w:color w:val="000000" w:themeColor="text1"/>
          <w:sz w:val="24"/>
          <w:szCs w:val="24"/>
          <w:lang w:val="en-US"/>
        </w:rPr>
        <w:t xml:space="preserve"> </w:t>
      </w:r>
      <w:r w:rsidR="00DE6894" w:rsidRPr="008B2F56">
        <w:rPr>
          <w:rFonts w:ascii="Times New Roman" w:hAnsi="Times New Roman" w:cs="Times New Roman"/>
          <w:color w:val="000000" w:themeColor="text1"/>
          <w:sz w:val="24"/>
          <w:szCs w:val="24"/>
          <w:lang w:val="en-US"/>
        </w:rPr>
        <w:t xml:space="preserve">regarding </w:t>
      </w:r>
      <w:r w:rsidR="008A6399" w:rsidRPr="008B2F56">
        <w:rPr>
          <w:rFonts w:ascii="Times New Roman" w:hAnsi="Times New Roman" w:cs="Times New Roman"/>
          <w:color w:val="000000" w:themeColor="text1"/>
          <w:sz w:val="24"/>
          <w:szCs w:val="24"/>
          <w:lang w:val="en-US"/>
        </w:rPr>
        <w:t>states</w:t>
      </w:r>
      <w:r w:rsidR="005A6DEA" w:rsidRPr="008B2F56">
        <w:rPr>
          <w:rFonts w:ascii="Times New Roman" w:hAnsi="Times New Roman" w:cs="Times New Roman"/>
          <w:color w:val="000000" w:themeColor="text1"/>
          <w:sz w:val="24"/>
          <w:szCs w:val="24"/>
          <w:lang w:val="en-US"/>
        </w:rPr>
        <w:t>’</w:t>
      </w:r>
      <w:r w:rsidR="008A6399" w:rsidRPr="008B2F56">
        <w:rPr>
          <w:rFonts w:ascii="Times New Roman" w:hAnsi="Times New Roman" w:cs="Times New Roman"/>
          <w:color w:val="000000" w:themeColor="text1"/>
          <w:sz w:val="24"/>
          <w:szCs w:val="24"/>
          <w:lang w:val="en-US"/>
        </w:rPr>
        <w:t xml:space="preserve"> regulat</w:t>
      </w:r>
      <w:r w:rsidR="005A6DEA" w:rsidRPr="008B2F56">
        <w:rPr>
          <w:rFonts w:ascii="Times New Roman" w:hAnsi="Times New Roman" w:cs="Times New Roman"/>
          <w:color w:val="000000" w:themeColor="text1"/>
          <w:sz w:val="24"/>
          <w:szCs w:val="24"/>
          <w:lang w:val="en-US"/>
        </w:rPr>
        <w:t>ion of</w:t>
      </w:r>
      <w:r w:rsidR="008A6399" w:rsidRPr="008B2F56">
        <w:rPr>
          <w:rFonts w:ascii="Times New Roman" w:hAnsi="Times New Roman" w:cs="Times New Roman"/>
          <w:color w:val="000000" w:themeColor="text1"/>
          <w:sz w:val="24"/>
          <w:szCs w:val="24"/>
          <w:lang w:val="en-US"/>
        </w:rPr>
        <w:t xml:space="preserve"> the activities of foreign investors, and set a framework for foreign investors’ legitimate expectations. </w:t>
      </w:r>
      <w:r w:rsidR="00A62843" w:rsidRPr="008B2F56">
        <w:rPr>
          <w:rFonts w:ascii="Times New Roman" w:hAnsi="Times New Roman" w:cs="Times New Roman"/>
          <w:color w:val="000000" w:themeColor="text1"/>
          <w:sz w:val="24"/>
          <w:szCs w:val="24"/>
          <w:lang w:val="en-US"/>
        </w:rPr>
        <w:t xml:space="preserve">Recent initiatives to elaborate approaches to the </w:t>
      </w:r>
      <w:r w:rsidR="00A6756F" w:rsidRPr="008B2F56">
        <w:rPr>
          <w:rFonts w:ascii="Times New Roman" w:hAnsi="Times New Roman" w:cs="Times New Roman"/>
          <w:color w:val="000000" w:themeColor="text1"/>
          <w:sz w:val="24"/>
          <w:szCs w:val="24"/>
          <w:lang w:val="en-US"/>
        </w:rPr>
        <w:t>RtD</w:t>
      </w:r>
      <w:r w:rsidR="00A62843" w:rsidRPr="008B2F56">
        <w:rPr>
          <w:rFonts w:ascii="Times New Roman" w:hAnsi="Times New Roman" w:cs="Times New Roman"/>
          <w:color w:val="000000" w:themeColor="text1"/>
          <w:sz w:val="24"/>
          <w:szCs w:val="24"/>
          <w:lang w:val="en-US"/>
        </w:rPr>
        <w:t xml:space="preserve"> also contain statements rega</w:t>
      </w:r>
      <w:r w:rsidR="005A6DEA" w:rsidRPr="008B2F56">
        <w:rPr>
          <w:rFonts w:ascii="Times New Roman" w:hAnsi="Times New Roman" w:cs="Times New Roman"/>
          <w:color w:val="000000" w:themeColor="text1"/>
          <w:sz w:val="24"/>
          <w:szCs w:val="24"/>
          <w:lang w:val="en-US"/>
        </w:rPr>
        <w:t>rding the relationship to FDI. In 2010, t</w:t>
      </w:r>
      <w:r w:rsidR="00A62843" w:rsidRPr="008B2F56">
        <w:rPr>
          <w:rFonts w:ascii="Times New Roman" w:hAnsi="Times New Roman" w:cs="Times New Roman"/>
          <w:color w:val="000000" w:themeColor="text1"/>
          <w:sz w:val="24"/>
          <w:szCs w:val="24"/>
          <w:lang w:val="en-US"/>
        </w:rPr>
        <w:t>he High-</w:t>
      </w:r>
      <w:r w:rsidR="00A6756F" w:rsidRPr="008B2F56">
        <w:rPr>
          <w:rFonts w:ascii="Times New Roman" w:hAnsi="Times New Roman" w:cs="Times New Roman"/>
          <w:color w:val="000000" w:themeColor="text1"/>
          <w:sz w:val="24"/>
          <w:szCs w:val="24"/>
          <w:lang w:val="en-US"/>
        </w:rPr>
        <w:t>L</w:t>
      </w:r>
      <w:r w:rsidR="00A62843" w:rsidRPr="008B2F56">
        <w:rPr>
          <w:rFonts w:ascii="Times New Roman" w:hAnsi="Times New Roman" w:cs="Times New Roman"/>
          <w:color w:val="000000" w:themeColor="text1"/>
          <w:sz w:val="24"/>
          <w:szCs w:val="24"/>
          <w:lang w:val="en-US"/>
        </w:rPr>
        <w:t xml:space="preserve">evel </w:t>
      </w:r>
      <w:r w:rsidR="00A6756F" w:rsidRPr="008B2F56">
        <w:rPr>
          <w:rFonts w:ascii="Times New Roman" w:hAnsi="Times New Roman" w:cs="Times New Roman"/>
          <w:color w:val="000000" w:themeColor="text1"/>
          <w:sz w:val="24"/>
          <w:szCs w:val="24"/>
          <w:lang w:val="en-US"/>
        </w:rPr>
        <w:t>T</w:t>
      </w:r>
      <w:r w:rsidR="00A62843" w:rsidRPr="008B2F56">
        <w:rPr>
          <w:rFonts w:ascii="Times New Roman" w:hAnsi="Times New Roman" w:cs="Times New Roman"/>
          <w:color w:val="000000" w:themeColor="text1"/>
          <w:sz w:val="24"/>
          <w:szCs w:val="24"/>
          <w:lang w:val="en-US"/>
        </w:rPr>
        <w:t xml:space="preserve">ask </w:t>
      </w:r>
      <w:r w:rsidR="00A6756F" w:rsidRPr="008B2F56">
        <w:rPr>
          <w:rFonts w:ascii="Times New Roman" w:hAnsi="Times New Roman" w:cs="Times New Roman"/>
          <w:color w:val="000000" w:themeColor="text1"/>
          <w:sz w:val="24"/>
          <w:szCs w:val="24"/>
          <w:lang w:val="en-US"/>
        </w:rPr>
        <w:t>F</w:t>
      </w:r>
      <w:r w:rsidR="00A62843" w:rsidRPr="008B2F56">
        <w:rPr>
          <w:rFonts w:ascii="Times New Roman" w:hAnsi="Times New Roman" w:cs="Times New Roman"/>
          <w:color w:val="000000" w:themeColor="text1"/>
          <w:sz w:val="24"/>
          <w:szCs w:val="24"/>
          <w:lang w:val="en-US"/>
        </w:rPr>
        <w:t xml:space="preserve">orce on the </w:t>
      </w:r>
      <w:r w:rsidR="00A6756F" w:rsidRPr="008B2F56">
        <w:rPr>
          <w:rFonts w:ascii="Times New Roman" w:hAnsi="Times New Roman" w:cs="Times New Roman"/>
          <w:color w:val="000000" w:themeColor="text1"/>
          <w:sz w:val="24"/>
          <w:szCs w:val="24"/>
          <w:lang w:val="en-US"/>
        </w:rPr>
        <w:t>I</w:t>
      </w:r>
      <w:r w:rsidR="00A62843" w:rsidRPr="008B2F56">
        <w:rPr>
          <w:rFonts w:ascii="Times New Roman" w:hAnsi="Times New Roman" w:cs="Times New Roman"/>
          <w:color w:val="000000" w:themeColor="text1"/>
          <w:sz w:val="24"/>
          <w:szCs w:val="24"/>
          <w:lang w:val="en-US"/>
        </w:rPr>
        <w:t xml:space="preserve">mplementation of the </w:t>
      </w:r>
      <w:r w:rsidR="00A6756F" w:rsidRPr="008B2F56">
        <w:rPr>
          <w:rFonts w:ascii="Times New Roman" w:hAnsi="Times New Roman" w:cs="Times New Roman"/>
          <w:color w:val="000000" w:themeColor="text1"/>
          <w:sz w:val="24"/>
          <w:szCs w:val="24"/>
          <w:lang w:val="en-US"/>
        </w:rPr>
        <w:t>Right to D</w:t>
      </w:r>
      <w:r w:rsidR="00A62843" w:rsidRPr="008B2F56">
        <w:rPr>
          <w:rFonts w:ascii="Times New Roman" w:hAnsi="Times New Roman" w:cs="Times New Roman"/>
          <w:color w:val="000000" w:themeColor="text1"/>
          <w:sz w:val="24"/>
          <w:szCs w:val="24"/>
          <w:lang w:val="en-US"/>
        </w:rPr>
        <w:t xml:space="preserve">evelopment set out criteria and indicators to implement the </w:t>
      </w:r>
      <w:r w:rsidR="00A6756F" w:rsidRPr="008B2F56">
        <w:rPr>
          <w:rFonts w:ascii="Times New Roman" w:hAnsi="Times New Roman" w:cs="Times New Roman"/>
          <w:color w:val="000000" w:themeColor="text1"/>
          <w:sz w:val="24"/>
          <w:szCs w:val="24"/>
          <w:lang w:val="en-US"/>
        </w:rPr>
        <w:t>RtD</w:t>
      </w:r>
      <w:r w:rsidR="00A62843" w:rsidRPr="008B2F56">
        <w:rPr>
          <w:rFonts w:ascii="Times New Roman" w:hAnsi="Times New Roman" w:cs="Times New Roman"/>
          <w:color w:val="000000" w:themeColor="text1"/>
          <w:sz w:val="24"/>
          <w:szCs w:val="24"/>
          <w:lang w:val="en-US"/>
        </w:rPr>
        <w:t xml:space="preserve">. </w:t>
      </w:r>
      <w:r w:rsidR="00A6756F" w:rsidRPr="008B2F56">
        <w:rPr>
          <w:rFonts w:ascii="Times New Roman" w:hAnsi="Times New Roman" w:cs="Times New Roman"/>
          <w:color w:val="000000" w:themeColor="text1"/>
          <w:sz w:val="24"/>
          <w:szCs w:val="24"/>
          <w:lang w:val="en-US"/>
        </w:rPr>
        <w:t>These emphasize</w:t>
      </w:r>
      <w:r w:rsidR="00A62843" w:rsidRPr="008B2F56">
        <w:rPr>
          <w:rFonts w:ascii="Times New Roman" w:hAnsi="Times New Roman" w:cs="Times New Roman"/>
          <w:color w:val="000000" w:themeColor="text1"/>
          <w:sz w:val="24"/>
          <w:szCs w:val="24"/>
          <w:lang w:val="en-US"/>
        </w:rPr>
        <w:t xml:space="preserve"> the need to secure stability of investment in order to reduce the risks of domestic financial crises, to ensure that trade rules regarding performance requirements and protection of intellectual property rights do not prevent developing countries from enjoying the benefits of science and technology, and to provide for fair sharing of the burdens of development by compensating for negative impacts of development investments and policies.</w:t>
      </w:r>
      <w:r w:rsidR="00A62843" w:rsidRPr="008B2F56">
        <w:rPr>
          <w:rStyle w:val="FootnoteReference"/>
          <w:rFonts w:ascii="Times New Roman" w:hAnsi="Times New Roman" w:cs="Times New Roman"/>
        </w:rPr>
        <w:footnoteReference w:id="18"/>
      </w:r>
      <w:r w:rsidR="00A62843" w:rsidRPr="008B2F56">
        <w:rPr>
          <w:rFonts w:ascii="Times New Roman" w:hAnsi="Times New Roman" w:cs="Times New Roman"/>
          <w:color w:val="000000" w:themeColor="text1"/>
          <w:sz w:val="24"/>
          <w:szCs w:val="24"/>
          <w:lang w:val="en-US"/>
        </w:rPr>
        <w:t xml:space="preserve"> These three elements are of particular interest to the topics discussed in this chapter. However, the criteria and indicators </w:t>
      </w:r>
      <w:r w:rsidR="00A6756F" w:rsidRPr="008B2F56">
        <w:rPr>
          <w:rFonts w:ascii="Times New Roman" w:hAnsi="Times New Roman" w:cs="Times New Roman"/>
          <w:color w:val="000000" w:themeColor="text1"/>
          <w:sz w:val="24"/>
          <w:szCs w:val="24"/>
          <w:lang w:val="en-US"/>
        </w:rPr>
        <w:t>exposed</w:t>
      </w:r>
      <w:r w:rsidR="00A62843" w:rsidRPr="008B2F56">
        <w:rPr>
          <w:rFonts w:ascii="Times New Roman" w:hAnsi="Times New Roman" w:cs="Times New Roman"/>
          <w:color w:val="000000" w:themeColor="text1"/>
          <w:sz w:val="24"/>
          <w:szCs w:val="24"/>
          <w:lang w:val="en-US"/>
        </w:rPr>
        <w:t xml:space="preserve"> </w:t>
      </w:r>
      <w:r w:rsidR="00A62843" w:rsidRPr="008B2F56">
        <w:rPr>
          <w:rFonts w:ascii="Times New Roman" w:hAnsi="Times New Roman" w:cs="Times New Roman"/>
          <w:color w:val="000000" w:themeColor="text1"/>
          <w:sz w:val="24"/>
          <w:szCs w:val="24"/>
          <w:lang w:val="en-US"/>
        </w:rPr>
        <w:lastRenderedPageBreak/>
        <w:t xml:space="preserve">significant disagreement </w:t>
      </w:r>
      <w:r w:rsidR="00FF4308" w:rsidRPr="008B2F56">
        <w:rPr>
          <w:rFonts w:ascii="Times New Roman" w:hAnsi="Times New Roman" w:cs="Times New Roman"/>
          <w:color w:val="000000" w:themeColor="text1"/>
          <w:sz w:val="24"/>
          <w:szCs w:val="24"/>
          <w:lang w:val="en-US"/>
        </w:rPr>
        <w:t xml:space="preserve">among states </w:t>
      </w:r>
      <w:r w:rsidR="00A6756F" w:rsidRPr="008B2F56">
        <w:rPr>
          <w:rFonts w:ascii="Times New Roman" w:hAnsi="Times New Roman" w:cs="Times New Roman"/>
          <w:color w:val="000000" w:themeColor="text1"/>
          <w:sz w:val="24"/>
          <w:szCs w:val="24"/>
          <w:lang w:val="en-US"/>
        </w:rPr>
        <w:t>when considered</w:t>
      </w:r>
      <w:r w:rsidR="00A62843" w:rsidRPr="008B2F56">
        <w:rPr>
          <w:rFonts w:ascii="Times New Roman" w:hAnsi="Times New Roman" w:cs="Times New Roman"/>
          <w:color w:val="000000" w:themeColor="text1"/>
          <w:sz w:val="24"/>
          <w:szCs w:val="24"/>
          <w:lang w:val="en-US"/>
        </w:rPr>
        <w:t xml:space="preserve"> </w:t>
      </w:r>
      <w:r w:rsidR="00A6756F" w:rsidRPr="008B2F56">
        <w:rPr>
          <w:rFonts w:ascii="Times New Roman" w:hAnsi="Times New Roman" w:cs="Times New Roman"/>
          <w:color w:val="000000" w:themeColor="text1"/>
          <w:sz w:val="24"/>
          <w:szCs w:val="24"/>
          <w:lang w:val="en-US"/>
        </w:rPr>
        <w:t>by</w:t>
      </w:r>
      <w:r w:rsidR="00A62843" w:rsidRPr="008B2F56">
        <w:rPr>
          <w:rFonts w:ascii="Times New Roman" w:hAnsi="Times New Roman" w:cs="Times New Roman"/>
          <w:color w:val="000000" w:themeColor="text1"/>
          <w:sz w:val="24"/>
          <w:szCs w:val="24"/>
          <w:lang w:val="en-US"/>
        </w:rPr>
        <w:t xml:space="preserve"> the Working Group on the Right to Development. The Working Group has so far (</w:t>
      </w:r>
      <w:r w:rsidR="0002640E" w:rsidRPr="008B2F56">
        <w:rPr>
          <w:rFonts w:ascii="Times New Roman" w:hAnsi="Times New Roman" w:cs="Times New Roman"/>
          <w:color w:val="000000" w:themeColor="text1"/>
          <w:sz w:val="24"/>
          <w:szCs w:val="24"/>
          <w:lang w:val="en-US"/>
        </w:rPr>
        <w:t>including its 20</w:t>
      </w:r>
      <w:r w:rsidR="0002640E" w:rsidRPr="008B2F56">
        <w:rPr>
          <w:rFonts w:ascii="Times New Roman" w:hAnsi="Times New Roman" w:cs="Times New Roman"/>
          <w:color w:val="000000" w:themeColor="text1"/>
          <w:sz w:val="24"/>
          <w:szCs w:val="24"/>
          <w:vertAlign w:val="superscript"/>
          <w:lang w:val="en-US"/>
        </w:rPr>
        <w:t>th</w:t>
      </w:r>
      <w:r w:rsidR="0002640E" w:rsidRPr="008B2F56">
        <w:rPr>
          <w:rFonts w:ascii="Times New Roman" w:hAnsi="Times New Roman" w:cs="Times New Roman"/>
          <w:color w:val="000000" w:themeColor="text1"/>
          <w:sz w:val="24"/>
          <w:szCs w:val="24"/>
          <w:lang w:val="en-US"/>
        </w:rPr>
        <w:t xml:space="preserve"> session</w:t>
      </w:r>
      <w:r w:rsidR="00A62843" w:rsidRPr="008B2F56">
        <w:rPr>
          <w:rFonts w:ascii="Times New Roman" w:hAnsi="Times New Roman" w:cs="Times New Roman"/>
          <w:color w:val="000000" w:themeColor="text1"/>
          <w:sz w:val="24"/>
          <w:szCs w:val="24"/>
          <w:lang w:val="en-US"/>
        </w:rPr>
        <w:t>) been unable to conclude the process to revise the criteria.</w:t>
      </w:r>
      <w:r w:rsidR="00A62843" w:rsidRPr="008B2F56">
        <w:rPr>
          <w:rStyle w:val="FootnoteReference"/>
          <w:rFonts w:ascii="Times New Roman" w:hAnsi="Times New Roman" w:cs="Times New Roman"/>
        </w:rPr>
        <w:footnoteReference w:id="19"/>
      </w:r>
      <w:r w:rsidR="00A62843" w:rsidRPr="008B2F56">
        <w:rPr>
          <w:rFonts w:ascii="Times New Roman" w:hAnsi="Times New Roman" w:cs="Times New Roman"/>
          <w:color w:val="000000" w:themeColor="text1"/>
          <w:sz w:val="24"/>
          <w:szCs w:val="24"/>
          <w:lang w:val="en-US"/>
        </w:rPr>
        <w:t xml:space="preserve"> There is disagreement regarding the status of the criteria, the relative roles of states, international institutions and private actors in taking measures to realize the </w:t>
      </w:r>
      <w:r w:rsidR="00640C2E" w:rsidRPr="008B2F56">
        <w:rPr>
          <w:rFonts w:ascii="Times New Roman" w:hAnsi="Times New Roman" w:cs="Times New Roman"/>
          <w:color w:val="000000" w:themeColor="text1"/>
          <w:sz w:val="24"/>
          <w:szCs w:val="24"/>
          <w:lang w:val="en-US"/>
        </w:rPr>
        <w:t>RtD</w:t>
      </w:r>
      <w:r w:rsidR="00A62843" w:rsidRPr="008B2F56">
        <w:rPr>
          <w:rFonts w:ascii="Times New Roman" w:hAnsi="Times New Roman" w:cs="Times New Roman"/>
          <w:color w:val="000000" w:themeColor="text1"/>
          <w:sz w:val="24"/>
          <w:szCs w:val="24"/>
          <w:lang w:val="en-US"/>
        </w:rPr>
        <w:t xml:space="preserve">, and the substantive content of the criteria, including the elements mentioned </w:t>
      </w:r>
      <w:r w:rsidR="008E6FC4" w:rsidRPr="008B2F56">
        <w:rPr>
          <w:rFonts w:ascii="Times New Roman" w:hAnsi="Times New Roman" w:cs="Times New Roman"/>
          <w:color w:val="000000" w:themeColor="text1"/>
          <w:sz w:val="24"/>
          <w:szCs w:val="24"/>
          <w:lang w:val="en-US"/>
        </w:rPr>
        <w:t>above</w:t>
      </w:r>
      <w:r w:rsidR="00A62843" w:rsidRPr="008B2F56">
        <w:rPr>
          <w:rFonts w:ascii="Times New Roman" w:hAnsi="Times New Roman" w:cs="Times New Roman"/>
          <w:color w:val="000000" w:themeColor="text1"/>
          <w:sz w:val="24"/>
          <w:szCs w:val="24"/>
          <w:lang w:val="en-US"/>
        </w:rPr>
        <w:t>.</w:t>
      </w:r>
      <w:r w:rsidR="00A37643" w:rsidRPr="008B2F56">
        <w:rPr>
          <w:rFonts w:ascii="Times New Roman" w:hAnsi="Times New Roman" w:cs="Times New Roman"/>
          <w:color w:val="000000" w:themeColor="text1"/>
          <w:sz w:val="24"/>
          <w:szCs w:val="24"/>
          <w:lang w:val="en-US"/>
        </w:rPr>
        <w:t xml:space="preserve"> </w:t>
      </w:r>
      <w:r w:rsidR="008E6FC4" w:rsidRPr="008B2F56">
        <w:rPr>
          <w:rFonts w:ascii="Times New Roman" w:hAnsi="Times New Roman" w:cs="Times New Roman"/>
          <w:color w:val="000000" w:themeColor="text1"/>
          <w:sz w:val="24"/>
          <w:szCs w:val="24"/>
          <w:lang w:val="en-US"/>
        </w:rPr>
        <w:t>An alternative approach to the challenge of progressing in the implementation of the RtD was launched i</w:t>
      </w:r>
      <w:r w:rsidR="00A37643" w:rsidRPr="008B2F56">
        <w:rPr>
          <w:rFonts w:ascii="Times New Roman" w:hAnsi="Times New Roman" w:cs="Times New Roman"/>
          <w:color w:val="000000" w:themeColor="text1"/>
          <w:sz w:val="24"/>
          <w:szCs w:val="24"/>
          <w:lang w:val="en-US"/>
        </w:rPr>
        <w:t>n September 2018</w:t>
      </w:r>
      <w:r w:rsidR="008E6FC4" w:rsidRPr="008B2F56">
        <w:rPr>
          <w:rFonts w:ascii="Times New Roman" w:hAnsi="Times New Roman" w:cs="Times New Roman"/>
          <w:color w:val="000000" w:themeColor="text1"/>
          <w:sz w:val="24"/>
          <w:szCs w:val="24"/>
          <w:lang w:val="en-US"/>
        </w:rPr>
        <w:t>;</w:t>
      </w:r>
      <w:r w:rsidR="00A37643" w:rsidRPr="008B2F56">
        <w:rPr>
          <w:rFonts w:ascii="Times New Roman" w:hAnsi="Times New Roman" w:cs="Times New Roman"/>
          <w:color w:val="000000" w:themeColor="text1"/>
          <w:sz w:val="24"/>
          <w:szCs w:val="24"/>
          <w:lang w:val="en-US"/>
        </w:rPr>
        <w:t xml:space="preserve"> </w:t>
      </w:r>
      <w:r w:rsidR="004A413F" w:rsidRPr="008B2F56">
        <w:rPr>
          <w:rFonts w:ascii="Times New Roman" w:hAnsi="Times New Roman" w:cs="Times New Roman"/>
          <w:color w:val="000000" w:themeColor="text1"/>
          <w:sz w:val="24"/>
          <w:szCs w:val="24"/>
          <w:lang w:val="en-US"/>
        </w:rPr>
        <w:t>a divided</w:t>
      </w:r>
      <w:r w:rsidR="00A37643" w:rsidRPr="008B2F56">
        <w:rPr>
          <w:rFonts w:ascii="Times New Roman" w:hAnsi="Times New Roman" w:cs="Times New Roman"/>
          <w:color w:val="000000" w:themeColor="text1"/>
          <w:sz w:val="24"/>
          <w:szCs w:val="24"/>
          <w:lang w:val="en-US"/>
        </w:rPr>
        <w:t xml:space="preserve"> Human Rights Council decided to request the Working Group to “commence the discussion to elaborate a draft legally binding instrument on the right to development through a collaborative process of engagement, including on the content and scope of the future instrument</w:t>
      </w:r>
      <w:r w:rsidR="008E6FC4" w:rsidRPr="008B2F56">
        <w:rPr>
          <w:rFonts w:ascii="Times New Roman" w:hAnsi="Times New Roman" w:cs="Times New Roman"/>
          <w:color w:val="000000" w:themeColor="text1"/>
          <w:sz w:val="24"/>
          <w:szCs w:val="24"/>
          <w:lang w:val="en-US"/>
        </w:rPr>
        <w:t>.</w:t>
      </w:r>
      <w:r w:rsidR="00A37643" w:rsidRPr="008B2F56">
        <w:rPr>
          <w:rFonts w:ascii="Times New Roman" w:hAnsi="Times New Roman" w:cs="Times New Roman"/>
          <w:color w:val="000000" w:themeColor="text1"/>
          <w:sz w:val="24"/>
          <w:szCs w:val="24"/>
          <w:lang w:val="en-US"/>
        </w:rPr>
        <w:t>”</w:t>
      </w:r>
      <w:r w:rsidR="00A37643" w:rsidRPr="008B2F56">
        <w:rPr>
          <w:rStyle w:val="FootnoteReference"/>
          <w:rFonts w:ascii="Times New Roman" w:hAnsi="Times New Roman" w:cs="Times New Roman"/>
        </w:rPr>
        <w:footnoteReference w:id="20"/>
      </w:r>
    </w:p>
    <w:p w14:paraId="3B1234A0" w14:textId="10D889EB" w:rsidR="00400156" w:rsidRPr="008B2F56" w:rsidRDefault="0068478D"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The evolving consensus among countries on goals for (sustainable) development stands in contrast to the significant disagreement among countries on how to approach the RtD. </w:t>
      </w:r>
      <w:r w:rsidR="00400156" w:rsidRPr="008B2F56">
        <w:rPr>
          <w:rFonts w:ascii="Times New Roman" w:hAnsi="Times New Roman" w:cs="Times New Roman"/>
          <w:color w:val="000000" w:themeColor="text1"/>
          <w:sz w:val="24"/>
          <w:szCs w:val="24"/>
          <w:lang w:val="en-US"/>
        </w:rPr>
        <w:t xml:space="preserve">The </w:t>
      </w:r>
      <w:r w:rsidR="00EE3114" w:rsidRPr="008B2F56">
        <w:rPr>
          <w:rFonts w:ascii="Times New Roman" w:hAnsi="Times New Roman" w:cs="Times New Roman"/>
          <w:color w:val="000000" w:themeColor="text1"/>
          <w:sz w:val="24"/>
          <w:szCs w:val="24"/>
          <w:lang w:val="en-US"/>
        </w:rPr>
        <w:t xml:space="preserve">diverging approach to issues concerning FDI may possibly be one explanatory factor for why progressing with the RtD has divided countries while the MDGs and SDGs have gathered consensus. </w:t>
      </w:r>
      <w:r w:rsidR="00AE4D7E" w:rsidRPr="008B2F56">
        <w:rPr>
          <w:rFonts w:ascii="Times New Roman" w:hAnsi="Times New Roman" w:cs="Times New Roman"/>
          <w:color w:val="000000" w:themeColor="text1"/>
          <w:sz w:val="24"/>
          <w:szCs w:val="24"/>
          <w:lang w:val="en-US"/>
        </w:rPr>
        <w:t xml:space="preserve">In light of the lack of consensus among countries on how to proceed with criteria for the RtD, countries are likely to have diverging opinions on UNCTAD’s Core Principles for Investment Policy-Making. </w:t>
      </w:r>
      <w:r w:rsidRPr="008B2F56">
        <w:rPr>
          <w:rFonts w:ascii="Times New Roman" w:hAnsi="Times New Roman" w:cs="Times New Roman"/>
          <w:color w:val="000000" w:themeColor="text1"/>
          <w:sz w:val="24"/>
          <w:szCs w:val="24"/>
          <w:lang w:val="en-US"/>
        </w:rPr>
        <w:t xml:space="preserve">Further clarification of the relationship between rules and institutions involved in the rights and duties of foreign investors may clarify </w:t>
      </w:r>
      <w:r w:rsidR="00AC30A8" w:rsidRPr="008B2F56">
        <w:rPr>
          <w:rFonts w:ascii="Times New Roman" w:hAnsi="Times New Roman" w:cs="Times New Roman"/>
          <w:color w:val="000000" w:themeColor="text1"/>
          <w:sz w:val="24"/>
          <w:szCs w:val="24"/>
          <w:lang w:val="en-US"/>
        </w:rPr>
        <w:t xml:space="preserve">the </w:t>
      </w:r>
      <w:r w:rsidR="00AE4D7E" w:rsidRPr="008B2F56">
        <w:rPr>
          <w:rFonts w:ascii="Times New Roman" w:hAnsi="Times New Roman" w:cs="Times New Roman"/>
          <w:color w:val="000000" w:themeColor="text1"/>
          <w:sz w:val="24"/>
          <w:szCs w:val="24"/>
          <w:lang w:val="en-US"/>
        </w:rPr>
        <w:t>contexts in</w:t>
      </w:r>
      <w:r w:rsidR="00AC30A8" w:rsidRPr="008B2F56">
        <w:rPr>
          <w:rFonts w:ascii="Times New Roman" w:hAnsi="Times New Roman" w:cs="Times New Roman"/>
          <w:color w:val="000000" w:themeColor="text1"/>
          <w:sz w:val="24"/>
          <w:szCs w:val="24"/>
          <w:lang w:val="en-US"/>
        </w:rPr>
        <w:t xml:space="preserve"> which the relationship between </w:t>
      </w:r>
      <w:r w:rsidR="00AE4D7E" w:rsidRPr="008B2F56">
        <w:rPr>
          <w:rFonts w:ascii="Times New Roman" w:hAnsi="Times New Roman" w:cs="Times New Roman"/>
          <w:color w:val="000000" w:themeColor="text1"/>
          <w:sz w:val="24"/>
          <w:szCs w:val="24"/>
          <w:lang w:val="en-US"/>
        </w:rPr>
        <w:t xml:space="preserve">the SDGs, </w:t>
      </w:r>
      <w:r w:rsidR="00AC30A8" w:rsidRPr="008B2F56">
        <w:rPr>
          <w:rFonts w:ascii="Times New Roman" w:hAnsi="Times New Roman" w:cs="Times New Roman"/>
          <w:color w:val="000000" w:themeColor="text1"/>
          <w:sz w:val="24"/>
          <w:szCs w:val="24"/>
          <w:lang w:val="en-US"/>
        </w:rPr>
        <w:t xml:space="preserve">the RtD </w:t>
      </w:r>
      <w:r w:rsidR="00AE4D7E" w:rsidRPr="008B2F56">
        <w:rPr>
          <w:rFonts w:ascii="Times New Roman" w:hAnsi="Times New Roman" w:cs="Times New Roman"/>
          <w:color w:val="000000" w:themeColor="text1"/>
          <w:sz w:val="24"/>
          <w:szCs w:val="24"/>
          <w:lang w:val="en-US"/>
        </w:rPr>
        <w:t xml:space="preserve">and </w:t>
      </w:r>
      <w:r w:rsidR="00AC30A8" w:rsidRPr="008B2F56">
        <w:rPr>
          <w:rFonts w:ascii="Times New Roman" w:hAnsi="Times New Roman" w:cs="Times New Roman"/>
          <w:color w:val="000000" w:themeColor="text1"/>
          <w:sz w:val="24"/>
          <w:szCs w:val="24"/>
          <w:lang w:val="en-US"/>
        </w:rPr>
        <w:t xml:space="preserve">FDI is synergistic </w:t>
      </w:r>
      <w:r w:rsidR="00AE4D7E" w:rsidRPr="008B2F56">
        <w:rPr>
          <w:rFonts w:ascii="Times New Roman" w:hAnsi="Times New Roman" w:cs="Times New Roman"/>
          <w:color w:val="000000" w:themeColor="text1"/>
          <w:sz w:val="24"/>
          <w:szCs w:val="24"/>
          <w:lang w:val="en-US"/>
        </w:rPr>
        <w:t>or</w:t>
      </w:r>
      <w:r w:rsidR="00AC30A8" w:rsidRPr="008B2F56">
        <w:rPr>
          <w:rFonts w:ascii="Times New Roman" w:hAnsi="Times New Roman" w:cs="Times New Roman"/>
          <w:color w:val="000000" w:themeColor="text1"/>
          <w:sz w:val="24"/>
          <w:szCs w:val="24"/>
          <w:lang w:val="en-US"/>
        </w:rPr>
        <w:t xml:space="preserve"> conflictual.</w:t>
      </w:r>
      <w:r w:rsidR="00400156" w:rsidRPr="008B2F56">
        <w:rPr>
          <w:rFonts w:ascii="Times New Roman" w:hAnsi="Times New Roman" w:cs="Times New Roman"/>
          <w:color w:val="000000" w:themeColor="text1"/>
          <w:sz w:val="24"/>
          <w:szCs w:val="24"/>
          <w:lang w:val="en-US"/>
        </w:rPr>
        <w:t xml:space="preserve"> </w:t>
      </w:r>
    </w:p>
    <w:p w14:paraId="3F1351DA" w14:textId="07764172" w:rsidR="008B3096" w:rsidRPr="008B2F56" w:rsidRDefault="008B3096" w:rsidP="008D76EF">
      <w:pPr>
        <w:pStyle w:val="Heading1"/>
        <w:jc w:val="both"/>
        <w:rPr>
          <w:rFonts w:ascii="Times New Roman" w:hAnsi="Times New Roman" w:cs="Times New Roman"/>
          <w:lang w:val="en-US"/>
        </w:rPr>
      </w:pPr>
      <w:r w:rsidRPr="008B2F56">
        <w:rPr>
          <w:rFonts w:ascii="Times New Roman" w:hAnsi="Times New Roman" w:cs="Times New Roman"/>
          <w:lang w:val="en-US"/>
        </w:rPr>
        <w:t xml:space="preserve">3. </w:t>
      </w:r>
      <w:r w:rsidR="00CF13A6" w:rsidRPr="008B2F56">
        <w:rPr>
          <w:rFonts w:ascii="Times New Roman" w:hAnsi="Times New Roman" w:cs="Times New Roman"/>
          <w:lang w:val="en-US"/>
        </w:rPr>
        <w:t xml:space="preserve"> </w:t>
      </w:r>
      <w:r w:rsidRPr="008B2F56">
        <w:rPr>
          <w:rFonts w:ascii="Times New Roman" w:hAnsi="Times New Roman" w:cs="Times New Roman"/>
          <w:lang w:val="en-US"/>
        </w:rPr>
        <w:t>Rules and institutions associated with the flow of FDI</w:t>
      </w:r>
    </w:p>
    <w:p w14:paraId="64BF7634" w14:textId="0CD10A50" w:rsidR="00CF13A6" w:rsidRPr="008B2F56" w:rsidRDefault="008B3096" w:rsidP="008D76EF">
      <w:pPr>
        <w:pStyle w:val="Heading2"/>
        <w:jc w:val="both"/>
        <w:rPr>
          <w:rFonts w:ascii="Times New Roman" w:hAnsi="Times New Roman" w:cs="Times New Roman"/>
          <w:lang w:val="en-US"/>
        </w:rPr>
      </w:pPr>
      <w:r w:rsidRPr="008B2F56">
        <w:rPr>
          <w:rFonts w:ascii="Times New Roman" w:hAnsi="Times New Roman" w:cs="Times New Roman"/>
          <w:lang w:val="en-US"/>
        </w:rPr>
        <w:t xml:space="preserve">3.1 </w:t>
      </w:r>
      <w:r w:rsidR="002732F5" w:rsidRPr="008B2F56">
        <w:rPr>
          <w:rFonts w:ascii="Times New Roman" w:hAnsi="Times New Roman" w:cs="Times New Roman"/>
          <w:lang w:val="en-US"/>
        </w:rPr>
        <w:t>Promotion of</w:t>
      </w:r>
      <w:r w:rsidR="003A3E7E" w:rsidRPr="008B2F56">
        <w:rPr>
          <w:rFonts w:ascii="Times New Roman" w:hAnsi="Times New Roman" w:cs="Times New Roman"/>
          <w:lang w:val="en-US"/>
        </w:rPr>
        <w:t xml:space="preserve"> FDI</w:t>
      </w:r>
      <w:r w:rsidR="002732F5" w:rsidRPr="008B2F56">
        <w:rPr>
          <w:rFonts w:ascii="Times New Roman" w:hAnsi="Times New Roman" w:cs="Times New Roman"/>
          <w:lang w:val="en-US"/>
        </w:rPr>
        <w:t xml:space="preserve"> – the relative roles of developing and developed countries</w:t>
      </w:r>
    </w:p>
    <w:p w14:paraId="7444DD97" w14:textId="5C5E57E4" w:rsidR="0034462B" w:rsidRPr="008B2F56" w:rsidRDefault="000F69C9"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According </w:t>
      </w:r>
      <w:r w:rsidR="00737760" w:rsidRPr="008B2F56">
        <w:rPr>
          <w:rFonts w:ascii="Times New Roman" w:hAnsi="Times New Roman" w:cs="Times New Roman"/>
          <w:color w:val="000000" w:themeColor="text1"/>
          <w:sz w:val="24"/>
          <w:szCs w:val="24"/>
          <w:lang w:val="en-US"/>
        </w:rPr>
        <w:t xml:space="preserve">to SDG </w:t>
      </w:r>
      <w:r w:rsidR="0092309B" w:rsidRPr="008B2F56">
        <w:rPr>
          <w:rFonts w:ascii="Times New Roman" w:hAnsi="Times New Roman" w:cs="Times New Roman"/>
          <w:color w:val="000000" w:themeColor="text1"/>
          <w:sz w:val="24"/>
          <w:szCs w:val="24"/>
          <w:lang w:val="en-US"/>
        </w:rPr>
        <w:t>target</w:t>
      </w:r>
      <w:r w:rsidR="00737760" w:rsidRPr="008B2F56">
        <w:rPr>
          <w:rFonts w:ascii="Times New Roman" w:hAnsi="Times New Roman" w:cs="Times New Roman"/>
          <w:color w:val="000000" w:themeColor="text1"/>
          <w:sz w:val="24"/>
          <w:szCs w:val="24"/>
          <w:lang w:val="en-US"/>
        </w:rPr>
        <w:t xml:space="preserve"> 17.5</w:t>
      </w:r>
      <w:r w:rsidRPr="008B2F56">
        <w:rPr>
          <w:rFonts w:ascii="Times New Roman" w:hAnsi="Times New Roman" w:cs="Times New Roman"/>
          <w:color w:val="000000" w:themeColor="text1"/>
          <w:sz w:val="24"/>
          <w:szCs w:val="24"/>
          <w:lang w:val="en-US"/>
        </w:rPr>
        <w:t xml:space="preserve">, countries should </w:t>
      </w:r>
      <w:r w:rsidR="003A3E7E" w:rsidRPr="008B2F56">
        <w:rPr>
          <w:rFonts w:ascii="Times New Roman" w:hAnsi="Times New Roman" w:cs="Times New Roman"/>
          <w:color w:val="000000" w:themeColor="text1"/>
          <w:sz w:val="24"/>
          <w:szCs w:val="24"/>
          <w:lang w:val="en-US"/>
        </w:rPr>
        <w:t>“</w:t>
      </w:r>
      <w:r w:rsidRPr="008B2F56">
        <w:rPr>
          <w:rFonts w:ascii="Times New Roman" w:hAnsi="Times New Roman" w:cs="Times New Roman"/>
          <w:color w:val="000000" w:themeColor="text1"/>
          <w:sz w:val="24"/>
          <w:szCs w:val="24"/>
          <w:lang w:val="en-US"/>
        </w:rPr>
        <w:t>adopt and implement investment promotion regimes for least developed countries</w:t>
      </w:r>
      <w:r w:rsidR="00377136" w:rsidRPr="008B2F56">
        <w:rPr>
          <w:rFonts w:ascii="Times New Roman" w:hAnsi="Times New Roman" w:cs="Times New Roman"/>
          <w:color w:val="000000" w:themeColor="text1"/>
          <w:sz w:val="24"/>
          <w:szCs w:val="24"/>
          <w:lang w:val="en-US"/>
        </w:rPr>
        <w:t>.</w:t>
      </w:r>
      <w:r w:rsidR="003A3E7E" w:rsidRPr="008B2F56">
        <w:rPr>
          <w:rFonts w:ascii="Times New Roman" w:hAnsi="Times New Roman" w:cs="Times New Roman"/>
          <w:color w:val="000000" w:themeColor="text1"/>
          <w:sz w:val="24"/>
          <w:szCs w:val="24"/>
          <w:lang w:val="en-US"/>
        </w:rPr>
        <w:t>”</w:t>
      </w:r>
      <w:r w:rsidR="002732F5" w:rsidRPr="008B2F56">
        <w:rPr>
          <w:rFonts w:ascii="Times New Roman" w:hAnsi="Times New Roman" w:cs="Times New Roman"/>
          <w:color w:val="000000" w:themeColor="text1"/>
          <w:sz w:val="24"/>
          <w:szCs w:val="24"/>
          <w:lang w:val="en-US"/>
        </w:rPr>
        <w:t xml:space="preserve"> </w:t>
      </w:r>
      <w:r w:rsidR="00A969A3" w:rsidRPr="008B2F56">
        <w:rPr>
          <w:rFonts w:ascii="Times New Roman" w:hAnsi="Times New Roman" w:cs="Times New Roman"/>
          <w:color w:val="000000" w:themeColor="text1"/>
          <w:sz w:val="24"/>
          <w:szCs w:val="24"/>
          <w:lang w:val="en-US"/>
        </w:rPr>
        <w:t xml:space="preserve">The </w:t>
      </w:r>
      <w:r w:rsidRPr="008B2F56">
        <w:rPr>
          <w:rFonts w:ascii="Times New Roman" w:hAnsi="Times New Roman" w:cs="Times New Roman"/>
          <w:color w:val="000000" w:themeColor="text1"/>
          <w:sz w:val="24"/>
          <w:szCs w:val="24"/>
          <w:lang w:val="en-US"/>
        </w:rPr>
        <w:t xml:space="preserve">indicator </w:t>
      </w:r>
      <w:r w:rsidR="00377136" w:rsidRPr="008B2F56">
        <w:rPr>
          <w:rFonts w:ascii="Times New Roman" w:hAnsi="Times New Roman" w:cs="Times New Roman"/>
          <w:color w:val="000000" w:themeColor="text1"/>
          <w:sz w:val="24"/>
          <w:szCs w:val="24"/>
          <w:lang w:val="en-US"/>
        </w:rPr>
        <w:t>for</w:t>
      </w:r>
      <w:r w:rsidRPr="008B2F56">
        <w:rPr>
          <w:rFonts w:ascii="Times New Roman" w:hAnsi="Times New Roman" w:cs="Times New Roman"/>
          <w:color w:val="000000" w:themeColor="text1"/>
          <w:sz w:val="24"/>
          <w:szCs w:val="24"/>
          <w:lang w:val="en-US"/>
        </w:rPr>
        <w:t xml:space="preserve"> </w:t>
      </w:r>
      <w:r w:rsidR="00737760" w:rsidRPr="008B2F56">
        <w:rPr>
          <w:rFonts w:ascii="Times New Roman" w:hAnsi="Times New Roman" w:cs="Times New Roman"/>
          <w:color w:val="000000" w:themeColor="text1"/>
          <w:sz w:val="24"/>
          <w:szCs w:val="24"/>
          <w:lang w:val="en-US"/>
        </w:rPr>
        <w:t xml:space="preserve">this </w:t>
      </w:r>
      <w:r w:rsidRPr="008B2F56">
        <w:rPr>
          <w:rFonts w:ascii="Times New Roman" w:hAnsi="Times New Roman" w:cs="Times New Roman"/>
          <w:color w:val="000000" w:themeColor="text1"/>
          <w:sz w:val="24"/>
          <w:szCs w:val="24"/>
          <w:lang w:val="en-US"/>
        </w:rPr>
        <w:t xml:space="preserve">target is the number of countries that have adopted </w:t>
      </w:r>
      <w:r w:rsidR="00377136" w:rsidRPr="008B2F56">
        <w:rPr>
          <w:rFonts w:ascii="Times New Roman" w:hAnsi="Times New Roman" w:cs="Times New Roman"/>
          <w:color w:val="000000" w:themeColor="text1"/>
          <w:sz w:val="24"/>
          <w:szCs w:val="24"/>
          <w:lang w:val="en-US"/>
        </w:rPr>
        <w:t>investment promotion</w:t>
      </w:r>
      <w:r w:rsidRPr="008B2F56">
        <w:rPr>
          <w:rFonts w:ascii="Times New Roman" w:hAnsi="Times New Roman" w:cs="Times New Roman"/>
          <w:color w:val="000000" w:themeColor="text1"/>
          <w:sz w:val="24"/>
          <w:szCs w:val="24"/>
          <w:lang w:val="en-US"/>
        </w:rPr>
        <w:t xml:space="preserve"> regimes</w:t>
      </w:r>
      <w:r w:rsidR="00D376F3" w:rsidRPr="008B2F56">
        <w:rPr>
          <w:rFonts w:ascii="Times New Roman" w:hAnsi="Times New Roman" w:cs="Times New Roman"/>
          <w:color w:val="000000" w:themeColor="text1"/>
          <w:sz w:val="24"/>
          <w:szCs w:val="24"/>
          <w:lang w:val="en-US"/>
        </w:rPr>
        <w:t>, and</w:t>
      </w:r>
      <w:r w:rsidRPr="008B2F56">
        <w:rPr>
          <w:rFonts w:ascii="Times New Roman" w:hAnsi="Times New Roman" w:cs="Times New Roman"/>
          <w:color w:val="000000" w:themeColor="text1"/>
          <w:sz w:val="24"/>
          <w:szCs w:val="24"/>
          <w:lang w:val="en-US"/>
        </w:rPr>
        <w:t xml:space="preserve"> </w:t>
      </w:r>
      <w:r w:rsidR="00D376F3" w:rsidRPr="008B2F56">
        <w:rPr>
          <w:rFonts w:ascii="Times New Roman" w:hAnsi="Times New Roman" w:cs="Times New Roman"/>
          <w:color w:val="000000" w:themeColor="text1"/>
          <w:sz w:val="24"/>
          <w:szCs w:val="24"/>
          <w:lang w:val="en-US"/>
        </w:rPr>
        <w:t xml:space="preserve">the role of following up the target has been assigned to </w:t>
      </w:r>
      <w:r w:rsidR="00E97930" w:rsidRPr="008B2F56">
        <w:rPr>
          <w:rFonts w:ascii="Times New Roman" w:hAnsi="Times New Roman" w:cs="Times New Roman"/>
          <w:color w:val="000000" w:themeColor="text1"/>
          <w:sz w:val="24"/>
          <w:szCs w:val="24"/>
          <w:lang w:val="en-US"/>
        </w:rPr>
        <w:t>UNCTAD</w:t>
      </w:r>
      <w:r w:rsidR="00D376F3" w:rsidRPr="008B2F56">
        <w:rPr>
          <w:rFonts w:ascii="Times New Roman" w:hAnsi="Times New Roman" w:cs="Times New Roman"/>
          <w:color w:val="000000" w:themeColor="text1"/>
          <w:sz w:val="24"/>
          <w:szCs w:val="24"/>
          <w:lang w:val="en-US"/>
        </w:rPr>
        <w:t>.</w:t>
      </w:r>
      <w:r w:rsidR="00E97930" w:rsidRPr="008B2F56">
        <w:rPr>
          <w:rStyle w:val="FootnoteReference"/>
          <w:rFonts w:ascii="Times New Roman" w:hAnsi="Times New Roman" w:cs="Times New Roman"/>
        </w:rPr>
        <w:footnoteReference w:id="21"/>
      </w:r>
      <w:r w:rsidRPr="008B2F56">
        <w:rPr>
          <w:rFonts w:ascii="Times New Roman" w:hAnsi="Times New Roman" w:cs="Times New Roman"/>
          <w:color w:val="000000" w:themeColor="text1"/>
          <w:sz w:val="24"/>
          <w:szCs w:val="24"/>
          <w:lang w:val="en-US"/>
        </w:rPr>
        <w:t xml:space="preserve"> </w:t>
      </w:r>
      <w:r w:rsidR="00D376F3" w:rsidRPr="008B2F56">
        <w:rPr>
          <w:rFonts w:ascii="Times New Roman" w:hAnsi="Times New Roman" w:cs="Times New Roman"/>
          <w:color w:val="000000" w:themeColor="text1"/>
          <w:sz w:val="24"/>
          <w:szCs w:val="24"/>
          <w:lang w:val="en-US"/>
        </w:rPr>
        <w:t>I</w:t>
      </w:r>
      <w:r w:rsidR="002732F5" w:rsidRPr="008B2F56">
        <w:rPr>
          <w:rFonts w:ascii="Times New Roman" w:hAnsi="Times New Roman" w:cs="Times New Roman"/>
          <w:color w:val="000000" w:themeColor="text1"/>
          <w:sz w:val="24"/>
          <w:szCs w:val="24"/>
          <w:lang w:val="en-US"/>
        </w:rPr>
        <w:t>n its 2014 report</w:t>
      </w:r>
      <w:r w:rsidR="00737760" w:rsidRPr="008B2F56">
        <w:rPr>
          <w:rFonts w:ascii="Times New Roman" w:hAnsi="Times New Roman" w:cs="Times New Roman"/>
          <w:color w:val="000000" w:themeColor="text1"/>
          <w:sz w:val="24"/>
          <w:szCs w:val="24"/>
          <w:lang w:val="en-US"/>
        </w:rPr>
        <w:t xml:space="preserve"> on investment in SDGs,</w:t>
      </w:r>
      <w:r w:rsidR="002732F5" w:rsidRPr="008B2F56">
        <w:rPr>
          <w:rFonts w:ascii="Times New Roman" w:hAnsi="Times New Roman" w:cs="Times New Roman"/>
          <w:color w:val="000000" w:themeColor="text1"/>
          <w:sz w:val="24"/>
          <w:szCs w:val="24"/>
          <w:lang w:val="en-US"/>
        </w:rPr>
        <w:t xml:space="preserve"> UNCTAD</w:t>
      </w:r>
      <w:r w:rsidR="002F193B" w:rsidRPr="008B2F56">
        <w:rPr>
          <w:rFonts w:ascii="Times New Roman" w:hAnsi="Times New Roman" w:cs="Times New Roman"/>
          <w:color w:val="000000" w:themeColor="text1"/>
          <w:sz w:val="24"/>
          <w:szCs w:val="24"/>
          <w:lang w:val="en-US"/>
        </w:rPr>
        <w:t xml:space="preserve"> estimated that </w:t>
      </w:r>
      <w:r w:rsidR="002732F5" w:rsidRPr="008B2F56">
        <w:rPr>
          <w:rFonts w:ascii="Times New Roman" w:hAnsi="Times New Roman" w:cs="Times New Roman"/>
          <w:color w:val="000000" w:themeColor="text1"/>
          <w:sz w:val="24"/>
          <w:szCs w:val="24"/>
          <w:lang w:val="en-US"/>
        </w:rPr>
        <w:t>given the current level</w:t>
      </w:r>
      <w:r w:rsidR="002F193B" w:rsidRPr="008B2F56">
        <w:rPr>
          <w:rFonts w:ascii="Times New Roman" w:hAnsi="Times New Roman" w:cs="Times New Roman"/>
          <w:color w:val="000000" w:themeColor="text1"/>
          <w:sz w:val="24"/>
          <w:szCs w:val="24"/>
          <w:lang w:val="en-US"/>
        </w:rPr>
        <w:t xml:space="preserve"> of investment in SDG-relevant sectors, “developing countries alone face an </w:t>
      </w:r>
      <w:r w:rsidR="002F193B" w:rsidRPr="008B2F56">
        <w:rPr>
          <w:rFonts w:ascii="Times New Roman" w:hAnsi="Times New Roman" w:cs="Times New Roman"/>
          <w:color w:val="000000" w:themeColor="text1"/>
          <w:sz w:val="24"/>
          <w:szCs w:val="24"/>
          <w:lang w:val="en-US"/>
        </w:rPr>
        <w:lastRenderedPageBreak/>
        <w:t>annual gap of $2.5 trillion” and that the “</w:t>
      </w:r>
      <w:r w:rsidR="00096CA8" w:rsidRPr="008B2F56">
        <w:rPr>
          <w:rFonts w:ascii="Times New Roman" w:hAnsi="Times New Roman" w:cs="Times New Roman"/>
          <w:color w:val="000000" w:themeColor="text1"/>
          <w:sz w:val="24"/>
          <w:szCs w:val="24"/>
          <w:lang w:val="en-US"/>
        </w:rPr>
        <w:t xml:space="preserve">role of private sector investment will be indispensable” to fill </w:t>
      </w:r>
      <w:r w:rsidR="00D376F3" w:rsidRPr="008B2F56">
        <w:rPr>
          <w:rFonts w:ascii="Times New Roman" w:hAnsi="Times New Roman" w:cs="Times New Roman"/>
          <w:color w:val="000000" w:themeColor="text1"/>
          <w:sz w:val="24"/>
          <w:szCs w:val="24"/>
          <w:lang w:val="en-US"/>
        </w:rPr>
        <w:t>the</w:t>
      </w:r>
      <w:r w:rsidR="00096CA8" w:rsidRPr="008B2F56">
        <w:rPr>
          <w:rFonts w:ascii="Times New Roman" w:hAnsi="Times New Roman" w:cs="Times New Roman"/>
          <w:color w:val="000000" w:themeColor="text1"/>
          <w:sz w:val="24"/>
          <w:szCs w:val="24"/>
          <w:lang w:val="en-US"/>
        </w:rPr>
        <w:t xml:space="preserve"> gap.</w:t>
      </w:r>
      <w:r w:rsidR="002F193B" w:rsidRPr="008B2F56">
        <w:rPr>
          <w:rStyle w:val="FootnoteReference"/>
          <w:rFonts w:ascii="Times New Roman" w:hAnsi="Times New Roman" w:cs="Times New Roman"/>
        </w:rPr>
        <w:footnoteReference w:id="22"/>
      </w:r>
      <w:r w:rsidR="002F193B" w:rsidRPr="008B2F56">
        <w:rPr>
          <w:rFonts w:ascii="Times New Roman" w:hAnsi="Times New Roman" w:cs="Times New Roman"/>
          <w:color w:val="000000" w:themeColor="text1"/>
          <w:sz w:val="24"/>
          <w:szCs w:val="24"/>
          <w:lang w:val="en-US"/>
        </w:rPr>
        <w:t xml:space="preserve"> </w:t>
      </w:r>
      <w:r w:rsidR="002732F5" w:rsidRPr="008B2F56">
        <w:rPr>
          <w:rFonts w:ascii="Times New Roman" w:hAnsi="Times New Roman" w:cs="Times New Roman"/>
          <w:color w:val="000000" w:themeColor="text1"/>
          <w:sz w:val="24"/>
          <w:szCs w:val="24"/>
          <w:lang w:val="en-US"/>
        </w:rPr>
        <w:t>However, r</w:t>
      </w:r>
      <w:r w:rsidR="00047DA7" w:rsidRPr="008B2F56">
        <w:rPr>
          <w:rFonts w:ascii="Times New Roman" w:hAnsi="Times New Roman" w:cs="Times New Roman"/>
          <w:color w:val="000000" w:themeColor="text1"/>
          <w:sz w:val="24"/>
          <w:szCs w:val="24"/>
          <w:lang w:val="en-US"/>
        </w:rPr>
        <w:t xml:space="preserve">ather than focusing on the extent to which developed </w:t>
      </w:r>
      <w:r w:rsidR="00300966" w:rsidRPr="008B2F56">
        <w:rPr>
          <w:rFonts w:ascii="Times New Roman" w:hAnsi="Times New Roman" w:cs="Times New Roman"/>
          <w:color w:val="000000" w:themeColor="text1"/>
          <w:sz w:val="24"/>
          <w:szCs w:val="24"/>
          <w:lang w:val="en-US"/>
        </w:rPr>
        <w:t xml:space="preserve">countries promote investment </w:t>
      </w:r>
      <w:r w:rsidR="002732F5" w:rsidRPr="008B2F56">
        <w:rPr>
          <w:rFonts w:ascii="Times New Roman" w:hAnsi="Times New Roman" w:cs="Times New Roman"/>
          <w:color w:val="000000" w:themeColor="text1"/>
          <w:sz w:val="24"/>
          <w:szCs w:val="24"/>
          <w:lang w:val="en-US"/>
        </w:rPr>
        <w:t>in</w:t>
      </w:r>
      <w:r w:rsidR="00300966" w:rsidRPr="008B2F56">
        <w:rPr>
          <w:rFonts w:ascii="Times New Roman" w:hAnsi="Times New Roman" w:cs="Times New Roman"/>
          <w:color w:val="000000" w:themeColor="text1"/>
          <w:sz w:val="24"/>
          <w:szCs w:val="24"/>
          <w:lang w:val="en-US"/>
        </w:rPr>
        <w:t xml:space="preserve">to </w:t>
      </w:r>
      <w:r w:rsidR="00D376F3" w:rsidRPr="008B2F56">
        <w:rPr>
          <w:rFonts w:ascii="Times New Roman" w:hAnsi="Times New Roman" w:cs="Times New Roman"/>
          <w:color w:val="000000" w:themeColor="text1"/>
          <w:sz w:val="24"/>
          <w:szCs w:val="24"/>
          <w:lang w:val="en-US"/>
        </w:rPr>
        <w:t xml:space="preserve">developing countries’ </w:t>
      </w:r>
      <w:r w:rsidR="002732F5" w:rsidRPr="008B2F56">
        <w:rPr>
          <w:rFonts w:ascii="Times New Roman" w:hAnsi="Times New Roman" w:cs="Times New Roman"/>
          <w:color w:val="000000" w:themeColor="text1"/>
          <w:sz w:val="24"/>
          <w:szCs w:val="24"/>
          <w:lang w:val="en-US"/>
        </w:rPr>
        <w:t>SDG-relevant sectors</w:t>
      </w:r>
      <w:r w:rsidR="00300966" w:rsidRPr="008B2F56">
        <w:rPr>
          <w:rFonts w:ascii="Times New Roman" w:hAnsi="Times New Roman" w:cs="Times New Roman"/>
          <w:color w:val="000000" w:themeColor="text1"/>
          <w:sz w:val="24"/>
          <w:szCs w:val="24"/>
          <w:lang w:val="en-US"/>
        </w:rPr>
        <w:t>, UNCTAD has focused on the extent to which LDCs establish mechanisms to attract FDI</w:t>
      </w:r>
      <w:r w:rsidR="002732F5" w:rsidRPr="008B2F56">
        <w:rPr>
          <w:rFonts w:ascii="Times New Roman" w:hAnsi="Times New Roman" w:cs="Times New Roman"/>
          <w:color w:val="000000" w:themeColor="text1"/>
          <w:sz w:val="24"/>
          <w:szCs w:val="24"/>
          <w:lang w:val="en-US"/>
        </w:rPr>
        <w:t>. For example</w:t>
      </w:r>
      <w:r w:rsidR="00E020DB" w:rsidRPr="008B2F56">
        <w:rPr>
          <w:rFonts w:ascii="Times New Roman" w:hAnsi="Times New Roman" w:cs="Times New Roman"/>
          <w:color w:val="000000" w:themeColor="text1"/>
          <w:sz w:val="24"/>
          <w:szCs w:val="24"/>
          <w:lang w:val="en-US"/>
        </w:rPr>
        <w:t xml:space="preserve">, </w:t>
      </w:r>
      <w:r w:rsidR="00D376F3" w:rsidRPr="008B2F56">
        <w:rPr>
          <w:rFonts w:ascii="Times New Roman" w:hAnsi="Times New Roman" w:cs="Times New Roman"/>
          <w:color w:val="000000" w:themeColor="text1"/>
          <w:sz w:val="24"/>
          <w:szCs w:val="24"/>
          <w:lang w:val="en-US"/>
        </w:rPr>
        <w:t xml:space="preserve">in 2016 </w:t>
      </w:r>
      <w:r w:rsidR="002732F5" w:rsidRPr="008B2F56">
        <w:rPr>
          <w:rFonts w:ascii="Times New Roman" w:hAnsi="Times New Roman" w:cs="Times New Roman"/>
          <w:color w:val="000000" w:themeColor="text1"/>
          <w:sz w:val="24"/>
          <w:szCs w:val="24"/>
          <w:lang w:val="en-US"/>
        </w:rPr>
        <w:t xml:space="preserve">UNCTAD noted </w:t>
      </w:r>
      <w:r w:rsidR="00E020DB" w:rsidRPr="008B2F56">
        <w:rPr>
          <w:rFonts w:ascii="Times New Roman" w:hAnsi="Times New Roman" w:cs="Times New Roman"/>
          <w:color w:val="000000" w:themeColor="text1"/>
          <w:sz w:val="24"/>
          <w:szCs w:val="24"/>
          <w:lang w:val="en-US"/>
        </w:rPr>
        <w:t xml:space="preserve">that 81 </w:t>
      </w:r>
      <w:r w:rsidR="005F3AB6" w:rsidRPr="008B2F56">
        <w:rPr>
          <w:rFonts w:ascii="Times New Roman" w:hAnsi="Times New Roman" w:cs="Times New Roman"/>
          <w:color w:val="000000" w:themeColor="text1"/>
          <w:sz w:val="24"/>
          <w:szCs w:val="24"/>
          <w:lang w:val="en-US"/>
        </w:rPr>
        <w:t>per cent</w:t>
      </w:r>
      <w:r w:rsidR="00E020DB" w:rsidRPr="008B2F56">
        <w:rPr>
          <w:rFonts w:ascii="Times New Roman" w:hAnsi="Times New Roman" w:cs="Times New Roman"/>
          <w:color w:val="000000" w:themeColor="text1"/>
          <w:sz w:val="24"/>
          <w:szCs w:val="24"/>
          <w:lang w:val="en-US"/>
        </w:rPr>
        <w:t xml:space="preserve"> of LDCs had established an investment facilitation agency</w:t>
      </w:r>
      <w:r w:rsidR="00300966" w:rsidRPr="008B2F56">
        <w:rPr>
          <w:rFonts w:ascii="Times New Roman" w:hAnsi="Times New Roman" w:cs="Times New Roman"/>
          <w:color w:val="000000" w:themeColor="text1"/>
          <w:sz w:val="24"/>
          <w:szCs w:val="24"/>
          <w:lang w:val="en-US"/>
        </w:rPr>
        <w:t>.</w:t>
      </w:r>
      <w:r w:rsidR="00300966" w:rsidRPr="008B2F56">
        <w:rPr>
          <w:rStyle w:val="FootnoteReference"/>
          <w:rFonts w:ascii="Times New Roman" w:hAnsi="Times New Roman" w:cs="Times New Roman"/>
        </w:rPr>
        <w:footnoteReference w:id="23"/>
      </w:r>
      <w:r w:rsidR="00CE1BE8" w:rsidRPr="008B2F56">
        <w:rPr>
          <w:rFonts w:ascii="Times New Roman" w:hAnsi="Times New Roman" w:cs="Times New Roman"/>
          <w:color w:val="000000" w:themeColor="text1"/>
          <w:sz w:val="24"/>
          <w:szCs w:val="24"/>
          <w:lang w:val="en-US"/>
        </w:rPr>
        <w:t xml:space="preserve"> </w:t>
      </w:r>
      <w:r w:rsidR="00737760" w:rsidRPr="008B2F56">
        <w:rPr>
          <w:rFonts w:ascii="Times New Roman" w:hAnsi="Times New Roman" w:cs="Times New Roman"/>
          <w:color w:val="000000" w:themeColor="text1"/>
          <w:sz w:val="24"/>
          <w:szCs w:val="24"/>
          <w:lang w:val="en-US"/>
        </w:rPr>
        <w:t>Moreover, w</w:t>
      </w:r>
      <w:r w:rsidR="0034462B" w:rsidRPr="008B2F56">
        <w:rPr>
          <w:rFonts w:ascii="Times New Roman" w:hAnsi="Times New Roman" w:cs="Times New Roman"/>
          <w:color w:val="000000" w:themeColor="text1"/>
          <w:sz w:val="24"/>
          <w:szCs w:val="24"/>
          <w:lang w:val="en-US"/>
        </w:rPr>
        <w:t xml:space="preserve">hen we </w:t>
      </w:r>
      <w:r w:rsidR="00737760" w:rsidRPr="008B2F56">
        <w:rPr>
          <w:rFonts w:ascii="Times New Roman" w:hAnsi="Times New Roman" w:cs="Times New Roman"/>
          <w:color w:val="000000" w:themeColor="text1"/>
          <w:sz w:val="24"/>
          <w:szCs w:val="24"/>
          <w:lang w:val="en-US"/>
        </w:rPr>
        <w:t>look closer at</w:t>
      </w:r>
      <w:r w:rsidR="0034462B" w:rsidRPr="008B2F56">
        <w:rPr>
          <w:rFonts w:ascii="Times New Roman" w:hAnsi="Times New Roman" w:cs="Times New Roman"/>
          <w:color w:val="000000" w:themeColor="text1"/>
          <w:sz w:val="24"/>
          <w:szCs w:val="24"/>
          <w:lang w:val="en-US"/>
        </w:rPr>
        <w:t xml:space="preserve"> the specific SDG targets associated with SDG-relevant sectors, we find that the</w:t>
      </w:r>
      <w:r w:rsidR="00737760" w:rsidRPr="008B2F56">
        <w:rPr>
          <w:rFonts w:ascii="Times New Roman" w:hAnsi="Times New Roman" w:cs="Times New Roman"/>
          <w:color w:val="000000" w:themeColor="text1"/>
          <w:sz w:val="24"/>
          <w:szCs w:val="24"/>
          <w:lang w:val="en-US"/>
        </w:rPr>
        <w:t>ir</w:t>
      </w:r>
      <w:r w:rsidR="0034462B" w:rsidRPr="008B2F56">
        <w:rPr>
          <w:rFonts w:ascii="Times New Roman" w:hAnsi="Times New Roman" w:cs="Times New Roman"/>
          <w:color w:val="000000" w:themeColor="text1"/>
          <w:sz w:val="24"/>
          <w:szCs w:val="24"/>
          <w:lang w:val="en-US"/>
        </w:rPr>
        <w:t xml:space="preserve"> focus is on official development assistance and that almost no attention is paid to the role of FDI.</w:t>
      </w:r>
      <w:r w:rsidR="00EB7008" w:rsidRPr="008B2F56">
        <w:rPr>
          <w:rStyle w:val="FootnoteReference"/>
          <w:rFonts w:ascii="Times New Roman" w:hAnsi="Times New Roman" w:cs="Times New Roman"/>
        </w:rPr>
        <w:footnoteReference w:id="24"/>
      </w:r>
      <w:r w:rsidR="00EB7008" w:rsidRPr="008B2F56">
        <w:rPr>
          <w:rFonts w:ascii="Times New Roman" w:hAnsi="Times New Roman" w:cs="Times New Roman"/>
          <w:color w:val="000000" w:themeColor="text1"/>
          <w:sz w:val="24"/>
          <w:szCs w:val="24"/>
          <w:lang w:val="en-US"/>
        </w:rPr>
        <w:t xml:space="preserve"> </w:t>
      </w:r>
    </w:p>
    <w:p w14:paraId="04A9A123" w14:textId="30828679" w:rsidR="0024568E" w:rsidRPr="008B2F56" w:rsidRDefault="0034462B"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The approaches chosen when implementing the SDGs illustrate a significant dilemma regarding </w:t>
      </w:r>
      <w:r w:rsidR="00732168" w:rsidRPr="008B2F56">
        <w:rPr>
          <w:rFonts w:ascii="Times New Roman" w:hAnsi="Times New Roman" w:cs="Times New Roman"/>
          <w:color w:val="000000" w:themeColor="text1"/>
          <w:sz w:val="24"/>
          <w:szCs w:val="24"/>
          <w:lang w:val="en-US"/>
        </w:rPr>
        <w:t xml:space="preserve">investment in SDG-relevant sectors. On the one hand, developing countries in general and </w:t>
      </w:r>
      <w:r w:rsidR="00096F93" w:rsidRPr="008B2F56">
        <w:rPr>
          <w:rFonts w:ascii="Times New Roman" w:hAnsi="Times New Roman" w:cs="Times New Roman"/>
          <w:color w:val="000000" w:themeColor="text1"/>
          <w:sz w:val="24"/>
          <w:szCs w:val="24"/>
          <w:lang w:val="en-US"/>
        </w:rPr>
        <w:t>LDCs</w:t>
      </w:r>
      <w:r w:rsidR="005E24E1" w:rsidRPr="008B2F56">
        <w:rPr>
          <w:rFonts w:ascii="Times New Roman" w:hAnsi="Times New Roman" w:cs="Times New Roman"/>
          <w:color w:val="000000" w:themeColor="text1"/>
          <w:sz w:val="24"/>
          <w:szCs w:val="24"/>
          <w:lang w:val="en-US"/>
        </w:rPr>
        <w:t xml:space="preserve"> </w:t>
      </w:r>
      <w:r w:rsidR="00732168" w:rsidRPr="008B2F56">
        <w:rPr>
          <w:rFonts w:ascii="Times New Roman" w:hAnsi="Times New Roman" w:cs="Times New Roman"/>
          <w:color w:val="000000" w:themeColor="text1"/>
          <w:sz w:val="24"/>
          <w:szCs w:val="24"/>
          <w:lang w:val="en-US"/>
        </w:rPr>
        <w:t xml:space="preserve">in particular have very significant </w:t>
      </w:r>
      <w:r w:rsidR="007A3490" w:rsidRPr="008B2F56">
        <w:rPr>
          <w:rFonts w:ascii="Times New Roman" w:hAnsi="Times New Roman" w:cs="Times New Roman"/>
          <w:color w:val="000000" w:themeColor="text1"/>
          <w:sz w:val="24"/>
          <w:szCs w:val="24"/>
          <w:lang w:val="en-US"/>
        </w:rPr>
        <w:t>funding gap</w:t>
      </w:r>
      <w:r w:rsidR="005E24E1" w:rsidRPr="008B2F56">
        <w:rPr>
          <w:rFonts w:ascii="Times New Roman" w:hAnsi="Times New Roman" w:cs="Times New Roman"/>
          <w:color w:val="000000" w:themeColor="text1"/>
          <w:sz w:val="24"/>
          <w:szCs w:val="24"/>
          <w:lang w:val="en-US"/>
        </w:rPr>
        <w:t>s</w:t>
      </w:r>
      <w:r w:rsidR="00732168" w:rsidRPr="008B2F56">
        <w:rPr>
          <w:rFonts w:ascii="Times New Roman" w:hAnsi="Times New Roman" w:cs="Times New Roman"/>
          <w:color w:val="000000" w:themeColor="text1"/>
          <w:sz w:val="24"/>
          <w:szCs w:val="24"/>
          <w:lang w:val="en-US"/>
        </w:rPr>
        <w:t xml:space="preserve"> in these sectors, and FDI </w:t>
      </w:r>
      <w:r w:rsidR="007A3490" w:rsidRPr="008B2F56">
        <w:rPr>
          <w:rFonts w:ascii="Times New Roman" w:hAnsi="Times New Roman" w:cs="Times New Roman"/>
          <w:color w:val="000000" w:themeColor="text1"/>
          <w:sz w:val="24"/>
          <w:szCs w:val="24"/>
          <w:lang w:val="en-US"/>
        </w:rPr>
        <w:t>is</w:t>
      </w:r>
      <w:r w:rsidR="00732168" w:rsidRPr="008B2F56">
        <w:rPr>
          <w:rFonts w:ascii="Times New Roman" w:hAnsi="Times New Roman" w:cs="Times New Roman"/>
          <w:color w:val="000000" w:themeColor="text1"/>
          <w:sz w:val="24"/>
          <w:szCs w:val="24"/>
          <w:lang w:val="en-US"/>
        </w:rPr>
        <w:t xml:space="preserve"> sorely needed to fill the gap</w:t>
      </w:r>
      <w:r w:rsidR="005E24E1" w:rsidRPr="008B2F56">
        <w:rPr>
          <w:rFonts w:ascii="Times New Roman" w:hAnsi="Times New Roman" w:cs="Times New Roman"/>
          <w:color w:val="000000" w:themeColor="text1"/>
          <w:sz w:val="24"/>
          <w:szCs w:val="24"/>
          <w:lang w:val="en-US"/>
        </w:rPr>
        <w:t>s</w:t>
      </w:r>
      <w:r w:rsidR="00732168" w:rsidRPr="008B2F56">
        <w:rPr>
          <w:rFonts w:ascii="Times New Roman" w:hAnsi="Times New Roman" w:cs="Times New Roman"/>
          <w:color w:val="000000" w:themeColor="text1"/>
          <w:sz w:val="24"/>
          <w:szCs w:val="24"/>
          <w:lang w:val="en-US"/>
        </w:rPr>
        <w:t xml:space="preserve">. On the other hand, most SDG-relevant sectors are sensitive in the sense that </w:t>
      </w:r>
      <w:r w:rsidR="0024568E" w:rsidRPr="008B2F56">
        <w:rPr>
          <w:rFonts w:ascii="Times New Roman" w:hAnsi="Times New Roman" w:cs="Times New Roman"/>
          <w:color w:val="000000" w:themeColor="text1"/>
          <w:sz w:val="24"/>
          <w:szCs w:val="24"/>
          <w:lang w:val="en-US"/>
        </w:rPr>
        <w:t xml:space="preserve">public authorities need to ensure </w:t>
      </w:r>
      <w:r w:rsidR="007A3490" w:rsidRPr="008B2F56">
        <w:rPr>
          <w:rFonts w:ascii="Times New Roman" w:hAnsi="Times New Roman" w:cs="Times New Roman"/>
          <w:color w:val="000000" w:themeColor="text1"/>
          <w:sz w:val="24"/>
          <w:szCs w:val="24"/>
          <w:lang w:val="en-US"/>
        </w:rPr>
        <w:t>fair distribution of</w:t>
      </w:r>
      <w:r w:rsidR="0024568E" w:rsidRPr="008B2F56">
        <w:rPr>
          <w:rFonts w:ascii="Times New Roman" w:hAnsi="Times New Roman" w:cs="Times New Roman"/>
          <w:color w:val="000000" w:themeColor="text1"/>
          <w:sz w:val="24"/>
          <w:szCs w:val="24"/>
          <w:lang w:val="en-US"/>
        </w:rPr>
        <w:t xml:space="preserve"> benefits among the</w:t>
      </w:r>
      <w:r w:rsidR="005E24E1" w:rsidRPr="008B2F56">
        <w:rPr>
          <w:rFonts w:ascii="Times New Roman" w:hAnsi="Times New Roman" w:cs="Times New Roman"/>
          <w:color w:val="000000" w:themeColor="text1"/>
          <w:sz w:val="24"/>
          <w:szCs w:val="24"/>
          <w:lang w:val="en-US"/>
        </w:rPr>
        <w:t>ir</w:t>
      </w:r>
      <w:r w:rsidR="0024568E" w:rsidRPr="008B2F56">
        <w:rPr>
          <w:rFonts w:ascii="Times New Roman" w:hAnsi="Times New Roman" w:cs="Times New Roman"/>
          <w:color w:val="000000" w:themeColor="text1"/>
          <w:sz w:val="24"/>
          <w:szCs w:val="24"/>
          <w:lang w:val="en-US"/>
        </w:rPr>
        <w:t xml:space="preserve"> population</w:t>
      </w:r>
      <w:r w:rsidR="005E24E1" w:rsidRPr="008B2F56">
        <w:rPr>
          <w:rFonts w:ascii="Times New Roman" w:hAnsi="Times New Roman" w:cs="Times New Roman"/>
          <w:color w:val="000000" w:themeColor="text1"/>
          <w:sz w:val="24"/>
          <w:szCs w:val="24"/>
          <w:lang w:val="en-US"/>
        </w:rPr>
        <w:t xml:space="preserve"> groups</w:t>
      </w:r>
      <w:r w:rsidR="0024568E" w:rsidRPr="008B2F56">
        <w:rPr>
          <w:rFonts w:ascii="Times New Roman" w:hAnsi="Times New Roman" w:cs="Times New Roman"/>
          <w:color w:val="000000" w:themeColor="text1"/>
          <w:sz w:val="24"/>
          <w:szCs w:val="24"/>
          <w:lang w:val="en-US"/>
        </w:rPr>
        <w:t xml:space="preserve">. Consequently, public authorities need to retain significant flexibility to adopt relevant policy measures within </w:t>
      </w:r>
      <w:r w:rsidR="007A3490" w:rsidRPr="008B2F56">
        <w:rPr>
          <w:rFonts w:ascii="Times New Roman" w:hAnsi="Times New Roman" w:cs="Times New Roman"/>
          <w:color w:val="000000" w:themeColor="text1"/>
          <w:sz w:val="24"/>
          <w:szCs w:val="24"/>
          <w:lang w:val="en-US"/>
        </w:rPr>
        <w:t>such</w:t>
      </w:r>
      <w:r w:rsidR="0024568E" w:rsidRPr="008B2F56">
        <w:rPr>
          <w:rFonts w:ascii="Times New Roman" w:hAnsi="Times New Roman" w:cs="Times New Roman"/>
          <w:color w:val="000000" w:themeColor="text1"/>
          <w:sz w:val="24"/>
          <w:szCs w:val="24"/>
          <w:lang w:val="en-US"/>
        </w:rPr>
        <w:t xml:space="preserve"> sectors. The dilemma occurs as a result of placing the task of promoting FDI in</w:t>
      </w:r>
      <w:r w:rsidR="005E24E1" w:rsidRPr="008B2F56">
        <w:rPr>
          <w:rFonts w:ascii="Times New Roman" w:hAnsi="Times New Roman" w:cs="Times New Roman"/>
          <w:color w:val="000000" w:themeColor="text1"/>
          <w:sz w:val="24"/>
          <w:szCs w:val="24"/>
          <w:lang w:val="en-US"/>
        </w:rPr>
        <w:t>to</w:t>
      </w:r>
      <w:r w:rsidR="0024568E" w:rsidRPr="008B2F56">
        <w:rPr>
          <w:rFonts w:ascii="Times New Roman" w:hAnsi="Times New Roman" w:cs="Times New Roman"/>
          <w:color w:val="000000" w:themeColor="text1"/>
          <w:sz w:val="24"/>
          <w:szCs w:val="24"/>
          <w:lang w:val="en-US"/>
        </w:rPr>
        <w:t xml:space="preserve"> these sectors solely </w:t>
      </w:r>
      <w:r w:rsidR="007A3490" w:rsidRPr="008B2F56">
        <w:rPr>
          <w:rFonts w:ascii="Times New Roman" w:hAnsi="Times New Roman" w:cs="Times New Roman"/>
          <w:color w:val="000000" w:themeColor="text1"/>
          <w:sz w:val="24"/>
          <w:szCs w:val="24"/>
          <w:lang w:val="en-US"/>
        </w:rPr>
        <w:t>with</w:t>
      </w:r>
      <w:r w:rsidR="0024568E" w:rsidRPr="008B2F56">
        <w:rPr>
          <w:rFonts w:ascii="Times New Roman" w:hAnsi="Times New Roman" w:cs="Times New Roman"/>
          <w:color w:val="000000" w:themeColor="text1"/>
          <w:sz w:val="24"/>
          <w:szCs w:val="24"/>
          <w:lang w:val="en-US"/>
        </w:rPr>
        <w:t xml:space="preserve"> host countr</w:t>
      </w:r>
      <w:r w:rsidR="005826E2" w:rsidRPr="008B2F56">
        <w:rPr>
          <w:rFonts w:ascii="Times New Roman" w:hAnsi="Times New Roman" w:cs="Times New Roman"/>
          <w:color w:val="000000" w:themeColor="text1"/>
          <w:sz w:val="24"/>
          <w:szCs w:val="24"/>
          <w:lang w:val="en-US"/>
        </w:rPr>
        <w:t>ies, i.e. LDCs and developing countries</w:t>
      </w:r>
      <w:r w:rsidR="007A3490" w:rsidRPr="008B2F56">
        <w:rPr>
          <w:rFonts w:ascii="Times New Roman" w:hAnsi="Times New Roman" w:cs="Times New Roman"/>
          <w:color w:val="000000" w:themeColor="text1"/>
          <w:sz w:val="24"/>
          <w:szCs w:val="24"/>
          <w:lang w:val="en-US"/>
        </w:rPr>
        <w:t>. D</w:t>
      </w:r>
      <w:r w:rsidR="0024568E" w:rsidRPr="008B2F56">
        <w:rPr>
          <w:rFonts w:ascii="Times New Roman" w:hAnsi="Times New Roman" w:cs="Times New Roman"/>
          <w:color w:val="000000" w:themeColor="text1"/>
          <w:sz w:val="24"/>
          <w:szCs w:val="24"/>
          <w:lang w:val="en-US"/>
        </w:rPr>
        <w:t xml:space="preserve">ue to lack of funding, the main way in which </w:t>
      </w:r>
      <w:r w:rsidR="005826E2" w:rsidRPr="008B2F56">
        <w:rPr>
          <w:rFonts w:ascii="Times New Roman" w:hAnsi="Times New Roman" w:cs="Times New Roman"/>
          <w:color w:val="000000" w:themeColor="text1"/>
          <w:sz w:val="24"/>
          <w:szCs w:val="24"/>
          <w:lang w:val="en-US"/>
        </w:rPr>
        <w:t>these countries</w:t>
      </w:r>
      <w:r w:rsidR="0024568E" w:rsidRPr="008B2F56">
        <w:rPr>
          <w:rFonts w:ascii="Times New Roman" w:hAnsi="Times New Roman" w:cs="Times New Roman"/>
          <w:color w:val="000000" w:themeColor="text1"/>
          <w:sz w:val="24"/>
          <w:szCs w:val="24"/>
          <w:lang w:val="en-US"/>
        </w:rPr>
        <w:t xml:space="preserve"> can attract such FDI is </w:t>
      </w:r>
      <w:r w:rsidR="007A3490" w:rsidRPr="008B2F56">
        <w:rPr>
          <w:rFonts w:ascii="Times New Roman" w:hAnsi="Times New Roman" w:cs="Times New Roman"/>
          <w:color w:val="000000" w:themeColor="text1"/>
          <w:sz w:val="24"/>
          <w:szCs w:val="24"/>
          <w:lang w:val="en-US"/>
        </w:rPr>
        <w:t>by</w:t>
      </w:r>
      <w:r w:rsidR="0024568E" w:rsidRPr="008B2F56">
        <w:rPr>
          <w:rFonts w:ascii="Times New Roman" w:hAnsi="Times New Roman" w:cs="Times New Roman"/>
          <w:color w:val="000000" w:themeColor="text1"/>
          <w:sz w:val="24"/>
          <w:szCs w:val="24"/>
          <w:lang w:val="en-US"/>
        </w:rPr>
        <w:t xml:space="preserve"> offer</w:t>
      </w:r>
      <w:r w:rsidR="007A3490" w:rsidRPr="008B2F56">
        <w:rPr>
          <w:rFonts w:ascii="Times New Roman" w:hAnsi="Times New Roman" w:cs="Times New Roman"/>
          <w:color w:val="000000" w:themeColor="text1"/>
          <w:sz w:val="24"/>
          <w:szCs w:val="24"/>
          <w:lang w:val="en-US"/>
        </w:rPr>
        <w:t>ing</w:t>
      </w:r>
      <w:r w:rsidR="0024568E" w:rsidRPr="008B2F56">
        <w:rPr>
          <w:rFonts w:ascii="Times New Roman" w:hAnsi="Times New Roman" w:cs="Times New Roman"/>
          <w:color w:val="000000" w:themeColor="text1"/>
          <w:sz w:val="24"/>
          <w:szCs w:val="24"/>
          <w:lang w:val="en-US"/>
        </w:rPr>
        <w:t xml:space="preserve"> favourable conditions to the investors</w:t>
      </w:r>
      <w:r w:rsidR="007A3490" w:rsidRPr="008B2F56">
        <w:rPr>
          <w:rFonts w:ascii="Times New Roman" w:hAnsi="Times New Roman" w:cs="Times New Roman"/>
          <w:color w:val="000000" w:themeColor="text1"/>
          <w:sz w:val="24"/>
          <w:szCs w:val="24"/>
          <w:lang w:val="en-US"/>
        </w:rPr>
        <w:t>,</w:t>
      </w:r>
      <w:r w:rsidR="0024568E" w:rsidRPr="008B2F56">
        <w:rPr>
          <w:rFonts w:ascii="Times New Roman" w:hAnsi="Times New Roman" w:cs="Times New Roman"/>
          <w:color w:val="000000" w:themeColor="text1"/>
          <w:sz w:val="24"/>
          <w:szCs w:val="24"/>
          <w:lang w:val="en-US"/>
        </w:rPr>
        <w:t xml:space="preserve"> </w:t>
      </w:r>
      <w:r w:rsidR="007A3490" w:rsidRPr="008B2F56">
        <w:rPr>
          <w:rFonts w:ascii="Times New Roman" w:hAnsi="Times New Roman" w:cs="Times New Roman"/>
          <w:color w:val="000000" w:themeColor="text1"/>
          <w:sz w:val="24"/>
          <w:szCs w:val="24"/>
          <w:lang w:val="en-US"/>
        </w:rPr>
        <w:t xml:space="preserve">including high return on the investment </w:t>
      </w:r>
      <w:r w:rsidR="0024568E" w:rsidRPr="008B2F56">
        <w:rPr>
          <w:rFonts w:ascii="Times New Roman" w:hAnsi="Times New Roman" w:cs="Times New Roman"/>
          <w:color w:val="000000" w:themeColor="text1"/>
          <w:sz w:val="24"/>
          <w:szCs w:val="24"/>
          <w:lang w:val="en-US"/>
        </w:rPr>
        <w:t xml:space="preserve">and </w:t>
      </w:r>
      <w:r w:rsidR="007A3490" w:rsidRPr="008B2F56">
        <w:rPr>
          <w:rFonts w:ascii="Times New Roman" w:hAnsi="Times New Roman" w:cs="Times New Roman"/>
          <w:color w:val="000000" w:themeColor="text1"/>
          <w:sz w:val="24"/>
          <w:szCs w:val="24"/>
          <w:lang w:val="en-US"/>
        </w:rPr>
        <w:t>low political risk</w:t>
      </w:r>
      <w:r w:rsidR="0024568E" w:rsidRPr="008B2F56">
        <w:rPr>
          <w:rFonts w:ascii="Times New Roman" w:hAnsi="Times New Roman" w:cs="Times New Roman"/>
          <w:color w:val="000000" w:themeColor="text1"/>
          <w:sz w:val="24"/>
          <w:szCs w:val="24"/>
          <w:lang w:val="en-US"/>
        </w:rPr>
        <w:t xml:space="preserve">. </w:t>
      </w:r>
      <w:r w:rsidR="005826E2" w:rsidRPr="008B2F56">
        <w:rPr>
          <w:rFonts w:ascii="Times New Roman" w:hAnsi="Times New Roman" w:cs="Times New Roman"/>
          <w:color w:val="000000" w:themeColor="text1"/>
          <w:sz w:val="24"/>
          <w:szCs w:val="24"/>
          <w:lang w:val="en-US"/>
        </w:rPr>
        <w:t>The latter, which can be achieved through investment treaties and legislation,</w:t>
      </w:r>
      <w:r w:rsidR="005826E2" w:rsidRPr="008B2F56">
        <w:rPr>
          <w:rStyle w:val="FootnoteReference"/>
          <w:rFonts w:ascii="Times New Roman" w:hAnsi="Times New Roman" w:cs="Times New Roman"/>
          <w:color w:val="000000" w:themeColor="text1"/>
          <w:sz w:val="24"/>
          <w:szCs w:val="24"/>
          <w:lang w:val="en-US"/>
        </w:rPr>
        <w:footnoteReference w:id="25"/>
      </w:r>
      <w:r w:rsidR="005826E2" w:rsidRPr="008B2F56">
        <w:rPr>
          <w:rFonts w:ascii="Times New Roman" w:hAnsi="Times New Roman" w:cs="Times New Roman"/>
          <w:color w:val="000000" w:themeColor="text1"/>
          <w:sz w:val="24"/>
          <w:szCs w:val="24"/>
          <w:lang w:val="en-US"/>
        </w:rPr>
        <w:t xml:space="preserve"> </w:t>
      </w:r>
      <w:r w:rsidR="0024568E" w:rsidRPr="008B2F56">
        <w:rPr>
          <w:rFonts w:ascii="Times New Roman" w:hAnsi="Times New Roman" w:cs="Times New Roman"/>
          <w:color w:val="000000" w:themeColor="text1"/>
          <w:sz w:val="24"/>
          <w:szCs w:val="24"/>
          <w:lang w:val="en-US"/>
        </w:rPr>
        <w:t>limit</w:t>
      </w:r>
      <w:r w:rsidR="005826E2" w:rsidRPr="008B2F56">
        <w:rPr>
          <w:rFonts w:ascii="Times New Roman" w:hAnsi="Times New Roman" w:cs="Times New Roman"/>
          <w:color w:val="000000" w:themeColor="text1"/>
          <w:sz w:val="24"/>
          <w:szCs w:val="24"/>
          <w:lang w:val="en-US"/>
        </w:rPr>
        <w:t>s</w:t>
      </w:r>
      <w:r w:rsidR="0024568E" w:rsidRPr="008B2F56">
        <w:rPr>
          <w:rFonts w:ascii="Times New Roman" w:hAnsi="Times New Roman" w:cs="Times New Roman"/>
          <w:color w:val="000000" w:themeColor="text1"/>
          <w:sz w:val="24"/>
          <w:szCs w:val="24"/>
          <w:lang w:val="en-US"/>
        </w:rPr>
        <w:t xml:space="preserve"> public authorities’ ability to take policy measures if they </w:t>
      </w:r>
      <w:r w:rsidR="007A3490" w:rsidRPr="008B2F56">
        <w:rPr>
          <w:rFonts w:ascii="Times New Roman" w:hAnsi="Times New Roman" w:cs="Times New Roman"/>
          <w:color w:val="000000" w:themeColor="text1"/>
          <w:sz w:val="24"/>
          <w:szCs w:val="24"/>
          <w:lang w:val="en-US"/>
        </w:rPr>
        <w:t>find</w:t>
      </w:r>
      <w:r w:rsidR="0024568E" w:rsidRPr="008B2F56">
        <w:rPr>
          <w:rFonts w:ascii="Times New Roman" w:hAnsi="Times New Roman" w:cs="Times New Roman"/>
          <w:color w:val="000000" w:themeColor="text1"/>
          <w:sz w:val="24"/>
          <w:szCs w:val="24"/>
          <w:lang w:val="en-US"/>
        </w:rPr>
        <w:t xml:space="preserve"> that benefits are </w:t>
      </w:r>
      <w:r w:rsidR="007A3490" w:rsidRPr="008B2F56">
        <w:rPr>
          <w:rFonts w:ascii="Times New Roman" w:hAnsi="Times New Roman" w:cs="Times New Roman"/>
          <w:color w:val="000000" w:themeColor="text1"/>
          <w:sz w:val="24"/>
          <w:szCs w:val="24"/>
          <w:lang w:val="en-US"/>
        </w:rPr>
        <w:t xml:space="preserve">not achieved or </w:t>
      </w:r>
      <w:r w:rsidR="0024568E" w:rsidRPr="008B2F56">
        <w:rPr>
          <w:rFonts w:ascii="Times New Roman" w:hAnsi="Times New Roman" w:cs="Times New Roman"/>
          <w:color w:val="000000" w:themeColor="text1"/>
          <w:sz w:val="24"/>
          <w:szCs w:val="24"/>
          <w:lang w:val="en-US"/>
        </w:rPr>
        <w:t>unfairly distributed.</w:t>
      </w:r>
      <w:r w:rsidR="00185684" w:rsidRPr="008B2F56">
        <w:rPr>
          <w:rStyle w:val="FootnoteReference"/>
          <w:rFonts w:ascii="Times New Roman" w:hAnsi="Times New Roman" w:cs="Times New Roman"/>
          <w:color w:val="000000" w:themeColor="text1"/>
          <w:sz w:val="24"/>
          <w:szCs w:val="24"/>
          <w:lang w:val="en-US"/>
        </w:rPr>
        <w:footnoteReference w:id="26"/>
      </w:r>
      <w:r w:rsidR="0024568E" w:rsidRPr="008B2F56">
        <w:rPr>
          <w:rFonts w:ascii="Times New Roman" w:hAnsi="Times New Roman" w:cs="Times New Roman"/>
          <w:color w:val="000000" w:themeColor="text1"/>
          <w:sz w:val="24"/>
          <w:szCs w:val="24"/>
          <w:lang w:val="en-US"/>
        </w:rPr>
        <w:t xml:space="preserve"> </w:t>
      </w:r>
    </w:p>
    <w:p w14:paraId="6708EF25" w14:textId="4DAC0BD6" w:rsidR="001E0816" w:rsidRPr="008B2F56" w:rsidRDefault="00FD44B6"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The right to self-determination of states and peoples has been a corner</w:t>
      </w:r>
      <w:r w:rsidR="00C93DB2" w:rsidRPr="008B2F56">
        <w:rPr>
          <w:rFonts w:ascii="Times New Roman" w:hAnsi="Times New Roman" w:cs="Times New Roman"/>
          <w:color w:val="000000" w:themeColor="text1"/>
          <w:sz w:val="24"/>
          <w:szCs w:val="24"/>
          <w:lang w:val="en-US"/>
        </w:rPr>
        <w:t>-</w:t>
      </w:r>
      <w:r w:rsidRPr="008B2F56">
        <w:rPr>
          <w:rFonts w:ascii="Times New Roman" w:hAnsi="Times New Roman" w:cs="Times New Roman"/>
          <w:color w:val="000000" w:themeColor="text1"/>
          <w:sz w:val="24"/>
          <w:szCs w:val="24"/>
          <w:lang w:val="en-US"/>
        </w:rPr>
        <w:t>stone of modern international law.</w:t>
      </w:r>
      <w:r w:rsidRPr="008B2F56">
        <w:rPr>
          <w:rStyle w:val="FootnoteReference"/>
          <w:rFonts w:ascii="Times New Roman" w:hAnsi="Times New Roman" w:cs="Times New Roman"/>
        </w:rPr>
        <w:footnoteReference w:id="27"/>
      </w:r>
      <w:r w:rsidRPr="008B2F56">
        <w:rPr>
          <w:rFonts w:ascii="Times New Roman" w:hAnsi="Times New Roman" w:cs="Times New Roman"/>
          <w:color w:val="000000" w:themeColor="text1"/>
          <w:sz w:val="24"/>
          <w:szCs w:val="24"/>
          <w:lang w:val="en-US"/>
        </w:rPr>
        <w:t xml:space="preserve"> </w:t>
      </w:r>
      <w:r w:rsidR="00C93DB2" w:rsidRPr="008B2F56">
        <w:rPr>
          <w:rFonts w:ascii="Times New Roman" w:hAnsi="Times New Roman" w:cs="Times New Roman"/>
          <w:color w:val="000000" w:themeColor="text1"/>
          <w:sz w:val="24"/>
          <w:szCs w:val="24"/>
          <w:lang w:val="en-US"/>
        </w:rPr>
        <w:t>T</w:t>
      </w:r>
      <w:r w:rsidRPr="008B2F56">
        <w:rPr>
          <w:rFonts w:ascii="Times New Roman" w:hAnsi="Times New Roman" w:cs="Times New Roman"/>
          <w:color w:val="000000" w:themeColor="text1"/>
          <w:sz w:val="24"/>
          <w:szCs w:val="24"/>
          <w:lang w:val="en-US"/>
        </w:rPr>
        <w:t xml:space="preserve">he sovereignty of states over natural resources and </w:t>
      </w:r>
      <w:r w:rsidR="007A3490" w:rsidRPr="008B2F56">
        <w:rPr>
          <w:rFonts w:ascii="Times New Roman" w:hAnsi="Times New Roman" w:cs="Times New Roman"/>
          <w:color w:val="000000" w:themeColor="text1"/>
          <w:sz w:val="24"/>
          <w:szCs w:val="24"/>
          <w:lang w:val="en-US"/>
        </w:rPr>
        <w:t>SDG-relevant</w:t>
      </w:r>
      <w:r w:rsidRPr="008B2F56">
        <w:rPr>
          <w:rFonts w:ascii="Times New Roman" w:hAnsi="Times New Roman" w:cs="Times New Roman"/>
          <w:color w:val="000000" w:themeColor="text1"/>
          <w:sz w:val="24"/>
          <w:szCs w:val="24"/>
          <w:lang w:val="en-US"/>
        </w:rPr>
        <w:t xml:space="preserve"> </w:t>
      </w:r>
      <w:r w:rsidRPr="008B2F56">
        <w:rPr>
          <w:rFonts w:ascii="Times New Roman" w:hAnsi="Times New Roman" w:cs="Times New Roman"/>
          <w:color w:val="000000" w:themeColor="text1"/>
          <w:sz w:val="24"/>
          <w:szCs w:val="24"/>
          <w:lang w:val="en-US"/>
        </w:rPr>
        <w:lastRenderedPageBreak/>
        <w:t>infrastructure</w:t>
      </w:r>
      <w:r w:rsidR="00C93DB2" w:rsidRPr="008B2F56">
        <w:rPr>
          <w:rFonts w:ascii="Times New Roman" w:hAnsi="Times New Roman" w:cs="Times New Roman"/>
          <w:color w:val="000000" w:themeColor="text1"/>
          <w:sz w:val="24"/>
          <w:szCs w:val="24"/>
          <w:lang w:val="en-US"/>
        </w:rPr>
        <w:t xml:space="preserve"> </w:t>
      </w:r>
      <w:r w:rsidR="007A3490" w:rsidRPr="008B2F56">
        <w:rPr>
          <w:rFonts w:ascii="Times New Roman" w:hAnsi="Times New Roman" w:cs="Times New Roman"/>
          <w:color w:val="000000" w:themeColor="text1"/>
          <w:sz w:val="24"/>
          <w:szCs w:val="24"/>
          <w:lang w:val="en-US"/>
        </w:rPr>
        <w:t xml:space="preserve">and services </w:t>
      </w:r>
      <w:r w:rsidR="000E2D26" w:rsidRPr="008B2F56">
        <w:rPr>
          <w:rFonts w:ascii="Times New Roman" w:hAnsi="Times New Roman" w:cs="Times New Roman"/>
          <w:color w:val="000000" w:themeColor="text1"/>
          <w:sz w:val="24"/>
          <w:szCs w:val="24"/>
          <w:lang w:val="en-US"/>
        </w:rPr>
        <w:t>is a key component of this right</w:t>
      </w:r>
      <w:r w:rsidRPr="008B2F56">
        <w:rPr>
          <w:rFonts w:ascii="Times New Roman" w:hAnsi="Times New Roman" w:cs="Times New Roman"/>
          <w:color w:val="000000" w:themeColor="text1"/>
          <w:sz w:val="24"/>
          <w:szCs w:val="24"/>
          <w:lang w:val="en-US"/>
        </w:rPr>
        <w:t>.</w:t>
      </w:r>
      <w:r w:rsidR="00C93DB2" w:rsidRPr="008B2F56">
        <w:rPr>
          <w:rStyle w:val="FootnoteReference"/>
          <w:rFonts w:ascii="Times New Roman" w:hAnsi="Times New Roman" w:cs="Times New Roman"/>
        </w:rPr>
        <w:footnoteReference w:id="28"/>
      </w:r>
      <w:r w:rsidRPr="008B2F56">
        <w:rPr>
          <w:rFonts w:ascii="Times New Roman" w:hAnsi="Times New Roman" w:cs="Times New Roman"/>
          <w:color w:val="000000" w:themeColor="text1"/>
          <w:sz w:val="24"/>
          <w:szCs w:val="24"/>
          <w:lang w:val="en-US"/>
        </w:rPr>
        <w:t xml:space="preserve"> </w:t>
      </w:r>
      <w:r w:rsidR="0005415E" w:rsidRPr="008B2F56">
        <w:rPr>
          <w:rFonts w:ascii="Times New Roman" w:hAnsi="Times New Roman" w:cs="Times New Roman"/>
          <w:color w:val="000000" w:themeColor="text1"/>
          <w:sz w:val="24"/>
          <w:szCs w:val="24"/>
          <w:lang w:val="en-US"/>
        </w:rPr>
        <w:t xml:space="preserve">UNCTAD’s Core Principles for Investment Policy-Making are of interest in this </w:t>
      </w:r>
      <w:r w:rsidR="001E0816" w:rsidRPr="008B2F56">
        <w:rPr>
          <w:rFonts w:ascii="Times New Roman" w:hAnsi="Times New Roman" w:cs="Times New Roman"/>
          <w:color w:val="000000" w:themeColor="text1"/>
          <w:sz w:val="24"/>
          <w:szCs w:val="24"/>
          <w:lang w:val="en-US"/>
        </w:rPr>
        <w:t>context.</w:t>
      </w:r>
      <w:r w:rsidR="009517E0" w:rsidRPr="008B2F56">
        <w:rPr>
          <w:rStyle w:val="FootnoteReference"/>
          <w:rFonts w:ascii="Times New Roman" w:hAnsi="Times New Roman" w:cs="Times New Roman"/>
        </w:rPr>
        <w:footnoteReference w:id="29"/>
      </w:r>
      <w:r w:rsidR="001E0816" w:rsidRPr="008B2F56">
        <w:rPr>
          <w:rFonts w:ascii="Times New Roman" w:hAnsi="Times New Roman" w:cs="Times New Roman"/>
          <w:color w:val="000000" w:themeColor="text1"/>
          <w:sz w:val="24"/>
          <w:szCs w:val="24"/>
          <w:lang w:val="en-US"/>
        </w:rPr>
        <w:t xml:space="preserve"> They underline that:</w:t>
      </w:r>
    </w:p>
    <w:p w14:paraId="576B03E7" w14:textId="52BE5430" w:rsidR="001E0816" w:rsidRPr="008B2F56" w:rsidRDefault="001E0816" w:rsidP="008D76EF">
      <w:pPr>
        <w:pStyle w:val="ListParagraph"/>
        <w:numPr>
          <w:ilvl w:val="0"/>
          <w:numId w:val="25"/>
        </w:num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H</w:t>
      </w:r>
      <w:r w:rsidR="0005415E" w:rsidRPr="008B2F56">
        <w:rPr>
          <w:rFonts w:ascii="Times New Roman" w:hAnsi="Times New Roman" w:cs="Times New Roman"/>
          <w:color w:val="000000" w:themeColor="text1"/>
          <w:sz w:val="24"/>
          <w:szCs w:val="24"/>
          <w:lang w:val="en-US"/>
        </w:rPr>
        <w:t xml:space="preserve">ost countries have “the sovereign right to establish entry … conditions for foreign investment, subject to international commitments, in the interest of the public good and to minimize potential negative effects” (principle 5), </w:t>
      </w:r>
    </w:p>
    <w:p w14:paraId="2A9EECAA" w14:textId="28301B00" w:rsidR="0005415E" w:rsidRPr="008B2F56" w:rsidRDefault="001E0816" w:rsidP="008D76EF">
      <w:pPr>
        <w:pStyle w:val="ListParagraph"/>
        <w:numPr>
          <w:ilvl w:val="0"/>
          <w:numId w:val="25"/>
        </w:num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“[I]nvestment promotion and facilitation should be aligned with sustainable development goals and designed to minimize the risk of harmful competition for investment” (principle 8), and </w:t>
      </w:r>
    </w:p>
    <w:p w14:paraId="6DAD14A9" w14:textId="0915B6AD" w:rsidR="001E0816" w:rsidRPr="008B2F56" w:rsidRDefault="001E0816" w:rsidP="008D76EF">
      <w:pPr>
        <w:pStyle w:val="ListParagraph"/>
        <w:numPr>
          <w:ilvl w:val="0"/>
          <w:numId w:val="25"/>
        </w:num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“The international community should cooperate to address shared investment-for-development policy challenges, particularly in least developed countries” (principle 10).</w:t>
      </w:r>
    </w:p>
    <w:p w14:paraId="2566A404" w14:textId="77777777" w:rsidR="001E0816" w:rsidRPr="008B2F56" w:rsidRDefault="001E0816"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But, at the same time, they state that:</w:t>
      </w:r>
    </w:p>
    <w:p w14:paraId="7F1F4C1A" w14:textId="2C232AEC" w:rsidR="001E0816" w:rsidRPr="008B2F56" w:rsidRDefault="001E0816" w:rsidP="008D76EF">
      <w:pPr>
        <w:pStyle w:val="ListParagraph"/>
        <w:numPr>
          <w:ilvl w:val="0"/>
          <w:numId w:val="26"/>
        </w:num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“In line with each country’s development strategy, investment policy should establish open, stable and predictable entry conditions for investment” (principle 6), and</w:t>
      </w:r>
    </w:p>
    <w:p w14:paraId="5C325D66" w14:textId="6A53DBEF" w:rsidR="001E0816" w:rsidRPr="008B2F56" w:rsidRDefault="001E0816" w:rsidP="008D76EF">
      <w:pPr>
        <w:pStyle w:val="ListParagraph"/>
        <w:numPr>
          <w:ilvl w:val="0"/>
          <w:numId w:val="26"/>
        </w:num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“Collective efforts should also be made to avoid investment protectionism” (principle 10).</w:t>
      </w:r>
    </w:p>
    <w:p w14:paraId="2AA7CCD3" w14:textId="2D200A72" w:rsidR="00133165" w:rsidRPr="008B2F56" w:rsidRDefault="001E0816"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In sum, </w:t>
      </w:r>
      <w:r w:rsidR="008E0838" w:rsidRPr="008B2F56">
        <w:rPr>
          <w:rFonts w:ascii="Times New Roman" w:hAnsi="Times New Roman" w:cs="Times New Roman"/>
          <w:color w:val="000000" w:themeColor="text1"/>
          <w:sz w:val="24"/>
          <w:szCs w:val="24"/>
          <w:lang w:val="en-US"/>
        </w:rPr>
        <w:t xml:space="preserve">while underlining the right and duty of developing countries to apply policy measures to investment, the general framework for promoting FDI into </w:t>
      </w:r>
      <w:r w:rsidR="004D7DFC" w:rsidRPr="008B2F56">
        <w:rPr>
          <w:rFonts w:ascii="Times New Roman" w:hAnsi="Times New Roman" w:cs="Times New Roman"/>
          <w:color w:val="000000" w:themeColor="text1"/>
          <w:sz w:val="24"/>
          <w:szCs w:val="24"/>
          <w:lang w:val="en-US"/>
        </w:rPr>
        <w:t>SDG-relevant</w:t>
      </w:r>
      <w:r w:rsidR="008E0838" w:rsidRPr="008B2F56">
        <w:rPr>
          <w:rFonts w:ascii="Times New Roman" w:hAnsi="Times New Roman" w:cs="Times New Roman"/>
          <w:color w:val="000000" w:themeColor="text1"/>
          <w:sz w:val="24"/>
          <w:szCs w:val="24"/>
          <w:lang w:val="en-US"/>
        </w:rPr>
        <w:t xml:space="preserve"> sectors relies heavily on limiting developing countries’ policy space.</w:t>
      </w:r>
      <w:r w:rsidR="006B60DC" w:rsidRPr="008B2F56">
        <w:rPr>
          <w:rStyle w:val="FootnoteReference"/>
          <w:rFonts w:ascii="Times New Roman" w:hAnsi="Times New Roman" w:cs="Times New Roman"/>
        </w:rPr>
        <w:footnoteReference w:id="30"/>
      </w:r>
      <w:r w:rsidR="008E0838" w:rsidRPr="008B2F56">
        <w:rPr>
          <w:rFonts w:ascii="Times New Roman" w:hAnsi="Times New Roman" w:cs="Times New Roman"/>
          <w:color w:val="000000" w:themeColor="text1"/>
          <w:sz w:val="24"/>
          <w:szCs w:val="24"/>
          <w:lang w:val="en-US"/>
        </w:rPr>
        <w:t xml:space="preserve"> </w:t>
      </w:r>
      <w:r w:rsidR="00133165" w:rsidRPr="008B2F56">
        <w:rPr>
          <w:rFonts w:ascii="Times New Roman" w:hAnsi="Times New Roman" w:cs="Times New Roman"/>
          <w:color w:val="000000" w:themeColor="text1"/>
          <w:sz w:val="24"/>
          <w:szCs w:val="24"/>
          <w:lang w:val="en-US"/>
        </w:rPr>
        <w:t>Countries can choose among a broad range of strategies to attract FDI, including regulatory measures, economic incentives and institutional reforms. Regulatory measures differ in terms of their characteristics (trea</w:t>
      </w:r>
      <w:r w:rsidR="00D57856" w:rsidRPr="008B2F56">
        <w:rPr>
          <w:rFonts w:ascii="Times New Roman" w:hAnsi="Times New Roman" w:cs="Times New Roman"/>
          <w:color w:val="000000" w:themeColor="text1"/>
          <w:sz w:val="24"/>
          <w:szCs w:val="24"/>
          <w:lang w:val="en-US"/>
        </w:rPr>
        <w:t>ties, legislation, contracts,</w:t>
      </w:r>
      <w:r w:rsidR="00133165" w:rsidRPr="008B2F56">
        <w:rPr>
          <w:rFonts w:ascii="Times New Roman" w:hAnsi="Times New Roman" w:cs="Times New Roman"/>
          <w:color w:val="000000" w:themeColor="text1"/>
          <w:sz w:val="24"/>
          <w:szCs w:val="24"/>
          <w:lang w:val="en-US"/>
        </w:rPr>
        <w:t xml:space="preserve"> concessions</w:t>
      </w:r>
      <w:r w:rsidR="00D57856" w:rsidRPr="008B2F56">
        <w:rPr>
          <w:rFonts w:ascii="Times New Roman" w:hAnsi="Times New Roman" w:cs="Times New Roman"/>
          <w:color w:val="000000" w:themeColor="text1"/>
          <w:sz w:val="24"/>
          <w:szCs w:val="24"/>
          <w:lang w:val="en-US"/>
        </w:rPr>
        <w:t xml:space="preserve"> and insurance</w:t>
      </w:r>
      <w:r w:rsidR="00133165" w:rsidRPr="008B2F56">
        <w:rPr>
          <w:rFonts w:ascii="Times New Roman" w:hAnsi="Times New Roman" w:cs="Times New Roman"/>
          <w:color w:val="000000" w:themeColor="text1"/>
          <w:sz w:val="24"/>
          <w:szCs w:val="24"/>
          <w:lang w:val="en-US"/>
        </w:rPr>
        <w:t>)</w:t>
      </w:r>
      <w:r w:rsidR="005766A0" w:rsidRPr="008B2F56">
        <w:rPr>
          <w:rFonts w:ascii="Times New Roman" w:hAnsi="Times New Roman" w:cs="Times New Roman"/>
          <w:color w:val="000000" w:themeColor="text1"/>
          <w:sz w:val="24"/>
          <w:szCs w:val="24"/>
          <w:lang w:val="en-US"/>
        </w:rPr>
        <w:t>, and typically vary according to three levels of scope of application</w:t>
      </w:r>
      <w:r w:rsidR="00133165" w:rsidRPr="008B2F56">
        <w:rPr>
          <w:rFonts w:ascii="Times New Roman" w:hAnsi="Times New Roman" w:cs="Times New Roman"/>
          <w:color w:val="000000" w:themeColor="text1"/>
          <w:sz w:val="24"/>
          <w:szCs w:val="24"/>
          <w:lang w:val="en-US"/>
        </w:rPr>
        <w:t>:</w:t>
      </w:r>
    </w:p>
    <w:p w14:paraId="02698F2D" w14:textId="7C401DE3" w:rsidR="00133165" w:rsidRPr="008B2F56" w:rsidRDefault="00133165" w:rsidP="008D76EF">
      <w:pPr>
        <w:pStyle w:val="ListParagraph"/>
        <w:numPr>
          <w:ilvl w:val="0"/>
          <w:numId w:val="3"/>
        </w:numPr>
        <w:spacing w:before="160" w:after="160"/>
        <w:ind w:left="1123"/>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Measures of general applicability will essentially include treaties</w:t>
      </w:r>
      <w:r w:rsidR="005766A0" w:rsidRPr="008B2F56">
        <w:rPr>
          <w:rFonts w:ascii="Times New Roman" w:hAnsi="Times New Roman" w:cs="Times New Roman"/>
          <w:color w:val="000000" w:themeColor="text1"/>
          <w:sz w:val="24"/>
          <w:szCs w:val="24"/>
          <w:lang w:val="en-US"/>
        </w:rPr>
        <w:t>,</w:t>
      </w:r>
      <w:r w:rsidRPr="008B2F56">
        <w:rPr>
          <w:rFonts w:ascii="Times New Roman" w:hAnsi="Times New Roman" w:cs="Times New Roman"/>
          <w:color w:val="000000" w:themeColor="text1"/>
          <w:sz w:val="24"/>
          <w:szCs w:val="24"/>
          <w:lang w:val="en-US"/>
        </w:rPr>
        <w:t xml:space="preserve"> generally applicable domestic investment legislation and standard contracts,</w:t>
      </w:r>
    </w:p>
    <w:p w14:paraId="26A660A1" w14:textId="49AD67CB" w:rsidR="00133165" w:rsidRPr="008B2F56" w:rsidRDefault="00133165" w:rsidP="008D76EF">
      <w:pPr>
        <w:pStyle w:val="ListParagraph"/>
        <w:numPr>
          <w:ilvl w:val="0"/>
          <w:numId w:val="3"/>
        </w:numPr>
        <w:spacing w:before="160" w:after="160"/>
        <w:ind w:left="1123"/>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Measures focusing on key sectors for development will essentially include sector specific international commitments, investment laws, standard contracts and concessions, and </w:t>
      </w:r>
    </w:p>
    <w:p w14:paraId="57D5CB91" w14:textId="51B7F767" w:rsidR="00133165" w:rsidRPr="008B2F56" w:rsidRDefault="00133165" w:rsidP="008D76EF">
      <w:pPr>
        <w:pStyle w:val="ListParagraph"/>
        <w:numPr>
          <w:ilvl w:val="0"/>
          <w:numId w:val="3"/>
        </w:numPr>
        <w:spacing w:before="160" w:after="160"/>
        <w:ind w:left="1123"/>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lastRenderedPageBreak/>
        <w:t>Measures targeting specific investors will essentially include individual contracts</w:t>
      </w:r>
      <w:r w:rsidR="00CC4DEA" w:rsidRPr="008B2F56">
        <w:rPr>
          <w:rFonts w:ascii="Times New Roman" w:hAnsi="Times New Roman" w:cs="Times New Roman"/>
          <w:color w:val="000000" w:themeColor="text1"/>
          <w:sz w:val="24"/>
          <w:szCs w:val="24"/>
          <w:lang w:val="en-US"/>
        </w:rPr>
        <w:t>,</w:t>
      </w:r>
      <w:r w:rsidRPr="008B2F56">
        <w:rPr>
          <w:rFonts w:ascii="Times New Roman" w:hAnsi="Times New Roman" w:cs="Times New Roman"/>
          <w:color w:val="000000" w:themeColor="text1"/>
          <w:sz w:val="24"/>
          <w:szCs w:val="24"/>
          <w:lang w:val="en-US"/>
        </w:rPr>
        <w:t xml:space="preserve"> concessions</w:t>
      </w:r>
      <w:r w:rsidR="00CC4DEA" w:rsidRPr="008B2F56">
        <w:rPr>
          <w:rFonts w:ascii="Times New Roman" w:hAnsi="Times New Roman" w:cs="Times New Roman"/>
          <w:color w:val="000000" w:themeColor="text1"/>
          <w:sz w:val="24"/>
          <w:szCs w:val="24"/>
          <w:lang w:val="en-US"/>
        </w:rPr>
        <w:t xml:space="preserve"> and insurance</w:t>
      </w:r>
      <w:r w:rsidRPr="008B2F56">
        <w:rPr>
          <w:rFonts w:ascii="Times New Roman" w:hAnsi="Times New Roman" w:cs="Times New Roman"/>
          <w:color w:val="000000" w:themeColor="text1"/>
          <w:sz w:val="24"/>
          <w:szCs w:val="24"/>
          <w:lang w:val="en-US"/>
        </w:rPr>
        <w:t>.</w:t>
      </w:r>
    </w:p>
    <w:p w14:paraId="1BAB4D6A" w14:textId="77C7CC85" w:rsidR="00A9318D" w:rsidRPr="008B2F56" w:rsidRDefault="00A62386"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While </w:t>
      </w:r>
      <w:r w:rsidR="00972E3D" w:rsidRPr="008B2F56">
        <w:rPr>
          <w:rFonts w:ascii="Times New Roman" w:hAnsi="Times New Roman" w:cs="Times New Roman"/>
          <w:color w:val="000000" w:themeColor="text1"/>
          <w:sz w:val="24"/>
          <w:szCs w:val="24"/>
          <w:lang w:val="en-US"/>
        </w:rPr>
        <w:t>contracts,</w:t>
      </w:r>
      <w:r w:rsidRPr="008B2F56">
        <w:rPr>
          <w:rFonts w:ascii="Times New Roman" w:hAnsi="Times New Roman" w:cs="Times New Roman"/>
          <w:color w:val="000000" w:themeColor="text1"/>
          <w:sz w:val="24"/>
          <w:szCs w:val="24"/>
          <w:lang w:val="en-US"/>
        </w:rPr>
        <w:t xml:space="preserve"> concessions </w:t>
      </w:r>
      <w:r w:rsidR="00972E3D" w:rsidRPr="008B2F56">
        <w:rPr>
          <w:rFonts w:ascii="Times New Roman" w:hAnsi="Times New Roman" w:cs="Times New Roman"/>
          <w:color w:val="000000" w:themeColor="text1"/>
          <w:sz w:val="24"/>
          <w:szCs w:val="24"/>
          <w:lang w:val="en-US"/>
        </w:rPr>
        <w:t xml:space="preserve">and insurance </w:t>
      </w:r>
      <w:r w:rsidRPr="008B2F56">
        <w:rPr>
          <w:rFonts w:ascii="Times New Roman" w:hAnsi="Times New Roman" w:cs="Times New Roman"/>
          <w:color w:val="000000" w:themeColor="text1"/>
          <w:sz w:val="24"/>
          <w:szCs w:val="24"/>
          <w:lang w:val="en-US"/>
        </w:rPr>
        <w:t xml:space="preserve">are very important </w:t>
      </w:r>
      <w:r w:rsidR="00972E3D" w:rsidRPr="008B2F56">
        <w:rPr>
          <w:rFonts w:ascii="Times New Roman" w:hAnsi="Times New Roman" w:cs="Times New Roman"/>
          <w:color w:val="000000" w:themeColor="text1"/>
          <w:sz w:val="24"/>
          <w:szCs w:val="24"/>
          <w:lang w:val="en-US"/>
        </w:rPr>
        <w:t>means to promote</w:t>
      </w:r>
      <w:r w:rsidRPr="008B2F56">
        <w:rPr>
          <w:rFonts w:ascii="Times New Roman" w:hAnsi="Times New Roman" w:cs="Times New Roman"/>
          <w:color w:val="000000" w:themeColor="text1"/>
          <w:sz w:val="24"/>
          <w:szCs w:val="24"/>
          <w:lang w:val="en-US"/>
        </w:rPr>
        <w:t xml:space="preserve"> FDI</w:t>
      </w:r>
      <w:r w:rsidR="004D7DFC" w:rsidRPr="008B2F56">
        <w:rPr>
          <w:rFonts w:ascii="Times New Roman" w:hAnsi="Times New Roman" w:cs="Times New Roman"/>
          <w:color w:val="000000" w:themeColor="text1"/>
          <w:sz w:val="24"/>
          <w:szCs w:val="24"/>
          <w:lang w:val="en-US"/>
        </w:rPr>
        <w:t xml:space="preserve"> into developing countries</w:t>
      </w:r>
      <w:r w:rsidRPr="008B2F56">
        <w:rPr>
          <w:rFonts w:ascii="Times New Roman" w:hAnsi="Times New Roman" w:cs="Times New Roman"/>
          <w:color w:val="000000" w:themeColor="text1"/>
          <w:sz w:val="24"/>
          <w:szCs w:val="24"/>
          <w:lang w:val="en-US"/>
        </w:rPr>
        <w:t xml:space="preserve">, there is </w:t>
      </w:r>
      <w:r w:rsidR="00680A22" w:rsidRPr="008B2F56">
        <w:rPr>
          <w:rFonts w:ascii="Times New Roman" w:hAnsi="Times New Roman" w:cs="Times New Roman"/>
          <w:color w:val="000000" w:themeColor="text1"/>
          <w:sz w:val="24"/>
          <w:szCs w:val="24"/>
          <w:lang w:val="en-US"/>
        </w:rPr>
        <w:t>no</w:t>
      </w:r>
      <w:r w:rsidRPr="008B2F56">
        <w:rPr>
          <w:rFonts w:ascii="Times New Roman" w:hAnsi="Times New Roman" w:cs="Times New Roman"/>
          <w:color w:val="000000" w:themeColor="text1"/>
          <w:sz w:val="24"/>
          <w:szCs w:val="24"/>
          <w:lang w:val="en-US"/>
        </w:rPr>
        <w:t xml:space="preserve"> room for </w:t>
      </w:r>
      <w:r w:rsidR="00611CA5" w:rsidRPr="008B2F56">
        <w:rPr>
          <w:rFonts w:ascii="Times New Roman" w:hAnsi="Times New Roman" w:cs="Times New Roman"/>
          <w:color w:val="000000" w:themeColor="text1"/>
          <w:sz w:val="24"/>
          <w:szCs w:val="24"/>
          <w:lang w:val="en-US"/>
        </w:rPr>
        <w:t>dealing with such instruments here.</w:t>
      </w:r>
      <w:r w:rsidR="00611CA5" w:rsidRPr="008B2F56">
        <w:rPr>
          <w:rStyle w:val="FootnoteReference"/>
          <w:rFonts w:ascii="Times New Roman" w:hAnsi="Times New Roman" w:cs="Times New Roman"/>
        </w:rPr>
        <w:footnoteReference w:id="31"/>
      </w:r>
      <w:r w:rsidR="00611CA5" w:rsidRPr="008B2F56">
        <w:rPr>
          <w:rFonts w:ascii="Times New Roman" w:hAnsi="Times New Roman" w:cs="Times New Roman"/>
          <w:color w:val="000000" w:themeColor="text1"/>
          <w:sz w:val="24"/>
          <w:szCs w:val="24"/>
          <w:lang w:val="en-US"/>
        </w:rPr>
        <w:t xml:space="preserve"> </w:t>
      </w:r>
      <w:r w:rsidR="00A9318D" w:rsidRPr="008B2F56">
        <w:rPr>
          <w:rFonts w:ascii="Times New Roman" w:hAnsi="Times New Roman" w:cs="Times New Roman"/>
          <w:color w:val="000000" w:themeColor="text1"/>
          <w:sz w:val="24"/>
          <w:szCs w:val="24"/>
          <w:lang w:val="en-US"/>
        </w:rPr>
        <w:t xml:space="preserve">In the following, we shall </w:t>
      </w:r>
      <w:r w:rsidR="00C666CD" w:rsidRPr="008B2F56">
        <w:rPr>
          <w:rFonts w:ascii="Times New Roman" w:hAnsi="Times New Roman" w:cs="Times New Roman"/>
          <w:color w:val="000000" w:themeColor="text1"/>
          <w:sz w:val="24"/>
          <w:szCs w:val="24"/>
          <w:lang w:val="en-US"/>
        </w:rPr>
        <w:t>study the role of</w:t>
      </w:r>
      <w:r w:rsidRPr="008B2F56">
        <w:rPr>
          <w:rFonts w:ascii="Times New Roman" w:hAnsi="Times New Roman" w:cs="Times New Roman"/>
          <w:color w:val="000000" w:themeColor="text1"/>
          <w:sz w:val="24"/>
          <w:szCs w:val="24"/>
          <w:lang w:val="en-US"/>
        </w:rPr>
        <w:t xml:space="preserve"> treaties and </w:t>
      </w:r>
      <w:r w:rsidR="00611CA5" w:rsidRPr="008B2F56">
        <w:rPr>
          <w:rFonts w:ascii="Times New Roman" w:hAnsi="Times New Roman" w:cs="Times New Roman"/>
          <w:color w:val="000000" w:themeColor="text1"/>
          <w:sz w:val="24"/>
          <w:szCs w:val="24"/>
          <w:lang w:val="en-US"/>
        </w:rPr>
        <w:t xml:space="preserve">national </w:t>
      </w:r>
      <w:r w:rsidRPr="008B2F56">
        <w:rPr>
          <w:rFonts w:ascii="Times New Roman" w:hAnsi="Times New Roman" w:cs="Times New Roman"/>
          <w:color w:val="000000" w:themeColor="text1"/>
          <w:sz w:val="24"/>
          <w:szCs w:val="24"/>
          <w:lang w:val="en-US"/>
        </w:rPr>
        <w:t xml:space="preserve">legislation. </w:t>
      </w:r>
      <w:r w:rsidR="00C666CD" w:rsidRPr="008B2F56">
        <w:rPr>
          <w:rFonts w:ascii="Times New Roman" w:hAnsi="Times New Roman" w:cs="Times New Roman"/>
          <w:color w:val="000000" w:themeColor="text1"/>
          <w:sz w:val="24"/>
          <w:szCs w:val="24"/>
          <w:lang w:val="en-US"/>
        </w:rPr>
        <w:t xml:space="preserve">Among countries, we shall focus in on the situation of </w:t>
      </w:r>
      <w:r w:rsidR="00BA5FDD" w:rsidRPr="008B2F56">
        <w:rPr>
          <w:rFonts w:ascii="Times New Roman" w:hAnsi="Times New Roman" w:cs="Times New Roman"/>
          <w:color w:val="000000" w:themeColor="text1"/>
          <w:sz w:val="24"/>
          <w:szCs w:val="24"/>
          <w:lang w:val="en-US"/>
        </w:rPr>
        <w:t>countries with the mos</w:t>
      </w:r>
      <w:r w:rsidR="00972E3D" w:rsidRPr="008B2F56">
        <w:rPr>
          <w:rFonts w:ascii="Times New Roman" w:hAnsi="Times New Roman" w:cs="Times New Roman"/>
          <w:color w:val="000000" w:themeColor="text1"/>
          <w:sz w:val="24"/>
          <w:szCs w:val="24"/>
          <w:lang w:val="en-US"/>
        </w:rPr>
        <w:t xml:space="preserve">t significant development needs – </w:t>
      </w:r>
      <w:r w:rsidR="00BA5FDD" w:rsidRPr="008B2F56">
        <w:rPr>
          <w:rFonts w:ascii="Times New Roman" w:hAnsi="Times New Roman" w:cs="Times New Roman"/>
          <w:color w:val="000000" w:themeColor="text1"/>
          <w:sz w:val="24"/>
          <w:szCs w:val="24"/>
          <w:lang w:val="en-US"/>
        </w:rPr>
        <w:t xml:space="preserve">the </w:t>
      </w:r>
      <w:r w:rsidR="00C666CD" w:rsidRPr="008B2F56">
        <w:rPr>
          <w:rFonts w:ascii="Times New Roman" w:hAnsi="Times New Roman" w:cs="Times New Roman"/>
          <w:color w:val="000000" w:themeColor="text1"/>
          <w:sz w:val="24"/>
          <w:szCs w:val="24"/>
          <w:lang w:val="en-US"/>
        </w:rPr>
        <w:t xml:space="preserve">LDCs. </w:t>
      </w:r>
      <w:r w:rsidRPr="008B2F56">
        <w:rPr>
          <w:rFonts w:ascii="Times New Roman" w:hAnsi="Times New Roman" w:cs="Times New Roman"/>
          <w:color w:val="000000" w:themeColor="text1"/>
          <w:sz w:val="24"/>
          <w:szCs w:val="24"/>
          <w:lang w:val="en-US"/>
        </w:rPr>
        <w:t xml:space="preserve">We shall </w:t>
      </w:r>
      <w:r w:rsidR="00A9318D" w:rsidRPr="008B2F56">
        <w:rPr>
          <w:rFonts w:ascii="Times New Roman" w:hAnsi="Times New Roman" w:cs="Times New Roman"/>
          <w:color w:val="000000" w:themeColor="text1"/>
          <w:sz w:val="24"/>
          <w:szCs w:val="24"/>
          <w:lang w:val="en-US"/>
        </w:rPr>
        <w:t xml:space="preserve">first explore </w:t>
      </w:r>
      <w:r w:rsidR="008E0838" w:rsidRPr="008B2F56">
        <w:rPr>
          <w:rFonts w:ascii="Times New Roman" w:hAnsi="Times New Roman" w:cs="Times New Roman"/>
          <w:color w:val="000000" w:themeColor="text1"/>
          <w:sz w:val="24"/>
          <w:szCs w:val="24"/>
          <w:lang w:val="en-US"/>
        </w:rPr>
        <w:t xml:space="preserve">the extent to which </w:t>
      </w:r>
      <w:r w:rsidR="00A9318D" w:rsidRPr="008B2F56">
        <w:rPr>
          <w:rFonts w:ascii="Times New Roman" w:hAnsi="Times New Roman" w:cs="Times New Roman"/>
          <w:color w:val="000000" w:themeColor="text1"/>
          <w:sz w:val="24"/>
          <w:szCs w:val="24"/>
          <w:lang w:val="en-US"/>
        </w:rPr>
        <w:t>two distinct international law regimes, the WTO and international investment agreements</w:t>
      </w:r>
      <w:r w:rsidR="00E3014F" w:rsidRPr="008B2F56">
        <w:rPr>
          <w:rFonts w:ascii="Times New Roman" w:hAnsi="Times New Roman" w:cs="Times New Roman"/>
          <w:color w:val="000000" w:themeColor="text1"/>
          <w:sz w:val="24"/>
          <w:szCs w:val="24"/>
          <w:lang w:val="en-US"/>
        </w:rPr>
        <w:t xml:space="preserve"> (IIAs)</w:t>
      </w:r>
      <w:r w:rsidR="008E0838" w:rsidRPr="008B2F56">
        <w:rPr>
          <w:rFonts w:ascii="Times New Roman" w:hAnsi="Times New Roman" w:cs="Times New Roman"/>
          <w:color w:val="000000" w:themeColor="text1"/>
          <w:sz w:val="24"/>
          <w:szCs w:val="24"/>
          <w:lang w:val="en-US"/>
        </w:rPr>
        <w:t>, limit developing countries’ policy space.</w:t>
      </w:r>
      <w:r w:rsidR="00A9318D" w:rsidRPr="008B2F56">
        <w:rPr>
          <w:rFonts w:ascii="Times New Roman" w:hAnsi="Times New Roman" w:cs="Times New Roman"/>
          <w:color w:val="000000" w:themeColor="text1"/>
          <w:sz w:val="24"/>
          <w:szCs w:val="24"/>
          <w:lang w:val="en-US"/>
        </w:rPr>
        <w:t xml:space="preserve"> Thereafter, we shall provide a brief </w:t>
      </w:r>
      <w:r w:rsidR="00DB3798" w:rsidRPr="008B2F56">
        <w:rPr>
          <w:rFonts w:ascii="Times New Roman" w:hAnsi="Times New Roman" w:cs="Times New Roman"/>
          <w:color w:val="000000" w:themeColor="text1"/>
          <w:sz w:val="24"/>
          <w:szCs w:val="24"/>
          <w:lang w:val="en-US"/>
        </w:rPr>
        <w:t>discussion of</w:t>
      </w:r>
      <w:r w:rsidR="00A9318D" w:rsidRPr="008B2F56">
        <w:rPr>
          <w:rFonts w:ascii="Times New Roman" w:hAnsi="Times New Roman" w:cs="Times New Roman"/>
          <w:color w:val="000000" w:themeColor="text1"/>
          <w:sz w:val="24"/>
          <w:szCs w:val="24"/>
          <w:lang w:val="en-US"/>
        </w:rPr>
        <w:t xml:space="preserve"> the </w:t>
      </w:r>
      <w:r w:rsidR="008E0838" w:rsidRPr="008B2F56">
        <w:rPr>
          <w:rFonts w:ascii="Times New Roman" w:hAnsi="Times New Roman" w:cs="Times New Roman"/>
          <w:color w:val="000000" w:themeColor="text1"/>
          <w:sz w:val="24"/>
          <w:szCs w:val="24"/>
          <w:lang w:val="en-US"/>
        </w:rPr>
        <w:t xml:space="preserve">corresponding effects of the </w:t>
      </w:r>
      <w:r w:rsidR="00A9318D" w:rsidRPr="008B2F56">
        <w:rPr>
          <w:rFonts w:ascii="Times New Roman" w:hAnsi="Times New Roman" w:cs="Times New Roman"/>
          <w:color w:val="000000" w:themeColor="text1"/>
          <w:sz w:val="24"/>
          <w:szCs w:val="24"/>
          <w:lang w:val="en-US"/>
        </w:rPr>
        <w:t>World Bank’s initiative</w:t>
      </w:r>
      <w:r w:rsidR="008E0838" w:rsidRPr="008B2F56">
        <w:rPr>
          <w:rFonts w:ascii="Times New Roman" w:hAnsi="Times New Roman" w:cs="Times New Roman"/>
          <w:color w:val="000000" w:themeColor="text1"/>
          <w:sz w:val="24"/>
          <w:szCs w:val="24"/>
          <w:lang w:val="en-US"/>
        </w:rPr>
        <w:t>s</w:t>
      </w:r>
      <w:r w:rsidR="00A9318D" w:rsidRPr="008B2F56">
        <w:rPr>
          <w:rFonts w:ascii="Times New Roman" w:hAnsi="Times New Roman" w:cs="Times New Roman"/>
          <w:color w:val="000000" w:themeColor="text1"/>
          <w:sz w:val="24"/>
          <w:szCs w:val="24"/>
          <w:lang w:val="en-US"/>
        </w:rPr>
        <w:t xml:space="preserve"> to promote investment legislation in developing countries.</w:t>
      </w:r>
    </w:p>
    <w:p w14:paraId="10B082DC" w14:textId="74D0172F" w:rsidR="00CF0439" w:rsidRPr="008B2F56" w:rsidRDefault="00CF0439" w:rsidP="008D76EF">
      <w:pPr>
        <w:pStyle w:val="Heading2"/>
        <w:jc w:val="both"/>
        <w:rPr>
          <w:rFonts w:ascii="Times New Roman" w:hAnsi="Times New Roman" w:cs="Times New Roman"/>
          <w:lang w:val="en-US"/>
        </w:rPr>
      </w:pPr>
      <w:r w:rsidRPr="008B2F56">
        <w:rPr>
          <w:rFonts w:ascii="Times New Roman" w:hAnsi="Times New Roman" w:cs="Times New Roman"/>
          <w:lang w:val="en-US"/>
        </w:rPr>
        <w:t>3.2 The WTO and flows of FDI</w:t>
      </w:r>
    </w:p>
    <w:p w14:paraId="4ADAA491" w14:textId="77777777" w:rsidR="002B04C6" w:rsidRPr="008B2F56" w:rsidRDefault="008C5BF5"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There are multiple links between FDI and trade in goods and service</w:t>
      </w:r>
      <w:r w:rsidR="00EA3C73" w:rsidRPr="008B2F56">
        <w:rPr>
          <w:rFonts w:ascii="Times New Roman" w:hAnsi="Times New Roman" w:cs="Times New Roman"/>
          <w:color w:val="000000" w:themeColor="text1"/>
          <w:sz w:val="24"/>
          <w:szCs w:val="24"/>
          <w:lang w:val="en-US"/>
        </w:rPr>
        <w:t>s. The most direct link is where</w:t>
      </w:r>
      <w:r w:rsidRPr="008B2F56">
        <w:rPr>
          <w:rFonts w:ascii="Times New Roman" w:hAnsi="Times New Roman" w:cs="Times New Roman"/>
          <w:color w:val="000000" w:themeColor="text1"/>
          <w:sz w:val="24"/>
          <w:szCs w:val="24"/>
          <w:lang w:val="en-US"/>
        </w:rPr>
        <w:t xml:space="preserve"> </w:t>
      </w:r>
      <w:r w:rsidR="00EA3C73" w:rsidRPr="008B2F56">
        <w:rPr>
          <w:rFonts w:ascii="Times New Roman" w:hAnsi="Times New Roman" w:cs="Times New Roman"/>
          <w:color w:val="000000" w:themeColor="text1"/>
          <w:sz w:val="24"/>
          <w:szCs w:val="24"/>
          <w:lang w:val="en-US"/>
        </w:rPr>
        <w:t xml:space="preserve">FDI is a condition for </w:t>
      </w:r>
      <w:r w:rsidRPr="008B2F56">
        <w:rPr>
          <w:rFonts w:ascii="Times New Roman" w:hAnsi="Times New Roman" w:cs="Times New Roman"/>
          <w:color w:val="000000" w:themeColor="text1"/>
          <w:sz w:val="24"/>
          <w:szCs w:val="24"/>
          <w:lang w:val="en-US"/>
        </w:rPr>
        <w:t xml:space="preserve">trade </w:t>
      </w:r>
      <w:r w:rsidR="00EA3C73" w:rsidRPr="008B2F56">
        <w:rPr>
          <w:rFonts w:ascii="Times New Roman" w:hAnsi="Times New Roman" w:cs="Times New Roman"/>
          <w:color w:val="000000" w:themeColor="text1"/>
          <w:sz w:val="24"/>
          <w:szCs w:val="24"/>
          <w:lang w:val="en-US"/>
        </w:rPr>
        <w:t xml:space="preserve">to </w:t>
      </w:r>
      <w:r w:rsidRPr="008B2F56">
        <w:rPr>
          <w:rFonts w:ascii="Times New Roman" w:hAnsi="Times New Roman" w:cs="Times New Roman"/>
          <w:color w:val="000000" w:themeColor="text1"/>
          <w:sz w:val="24"/>
          <w:szCs w:val="24"/>
          <w:lang w:val="en-US"/>
        </w:rPr>
        <w:t xml:space="preserve">occur. </w:t>
      </w:r>
      <w:r w:rsidR="00E3014F" w:rsidRPr="008B2F56">
        <w:rPr>
          <w:rFonts w:ascii="Times New Roman" w:hAnsi="Times New Roman" w:cs="Times New Roman"/>
          <w:color w:val="000000" w:themeColor="text1"/>
          <w:sz w:val="24"/>
          <w:szCs w:val="24"/>
          <w:lang w:val="en-US"/>
        </w:rPr>
        <w:t xml:space="preserve">In </w:t>
      </w:r>
      <w:r w:rsidR="002B04C6" w:rsidRPr="008B2F56">
        <w:rPr>
          <w:rFonts w:ascii="Times New Roman" w:hAnsi="Times New Roman" w:cs="Times New Roman"/>
          <w:color w:val="000000" w:themeColor="text1"/>
          <w:sz w:val="24"/>
          <w:szCs w:val="24"/>
          <w:lang w:val="en-US"/>
        </w:rPr>
        <w:t xml:space="preserve">many </w:t>
      </w:r>
      <w:r w:rsidR="00EA3C73" w:rsidRPr="008B2F56">
        <w:rPr>
          <w:rFonts w:ascii="Times New Roman" w:hAnsi="Times New Roman" w:cs="Times New Roman"/>
          <w:color w:val="000000" w:themeColor="text1"/>
          <w:sz w:val="24"/>
          <w:szCs w:val="24"/>
          <w:lang w:val="en-US"/>
        </w:rPr>
        <w:t>service sectors</w:t>
      </w:r>
      <w:r w:rsidR="002B04C6" w:rsidRPr="008B2F56">
        <w:rPr>
          <w:rFonts w:ascii="Times New Roman" w:hAnsi="Times New Roman" w:cs="Times New Roman"/>
          <w:color w:val="000000" w:themeColor="text1"/>
          <w:sz w:val="24"/>
          <w:szCs w:val="24"/>
          <w:lang w:val="en-US"/>
        </w:rPr>
        <w:t>,</w:t>
      </w:r>
      <w:r w:rsidR="00EA3C73" w:rsidRPr="008B2F56">
        <w:rPr>
          <w:rFonts w:ascii="Times New Roman" w:hAnsi="Times New Roman" w:cs="Times New Roman"/>
          <w:color w:val="000000" w:themeColor="text1"/>
          <w:sz w:val="24"/>
          <w:szCs w:val="24"/>
          <w:lang w:val="en-US"/>
        </w:rPr>
        <w:t xml:space="preserve"> </w:t>
      </w:r>
      <w:r w:rsidRPr="008B2F56">
        <w:rPr>
          <w:rFonts w:ascii="Times New Roman" w:hAnsi="Times New Roman" w:cs="Times New Roman"/>
          <w:color w:val="000000" w:themeColor="text1"/>
          <w:sz w:val="24"/>
          <w:szCs w:val="24"/>
          <w:lang w:val="en-US"/>
        </w:rPr>
        <w:t xml:space="preserve">delivery is </w:t>
      </w:r>
      <w:r w:rsidR="002B04C6" w:rsidRPr="008B2F56">
        <w:rPr>
          <w:rFonts w:ascii="Times New Roman" w:hAnsi="Times New Roman" w:cs="Times New Roman"/>
          <w:color w:val="000000" w:themeColor="text1"/>
          <w:sz w:val="24"/>
          <w:szCs w:val="24"/>
          <w:lang w:val="en-US"/>
        </w:rPr>
        <w:t xml:space="preserve">to varying degrees </w:t>
      </w:r>
      <w:r w:rsidRPr="008B2F56">
        <w:rPr>
          <w:rFonts w:ascii="Times New Roman" w:hAnsi="Times New Roman" w:cs="Times New Roman"/>
          <w:color w:val="000000" w:themeColor="text1"/>
          <w:sz w:val="24"/>
          <w:szCs w:val="24"/>
          <w:lang w:val="en-US"/>
        </w:rPr>
        <w:t xml:space="preserve">dependent on some form of commercial presence in the importing country. </w:t>
      </w:r>
      <w:r w:rsidR="002B04C6" w:rsidRPr="008B2F56">
        <w:rPr>
          <w:rFonts w:ascii="Times New Roman" w:hAnsi="Times New Roman" w:cs="Times New Roman"/>
          <w:color w:val="000000" w:themeColor="text1"/>
          <w:sz w:val="24"/>
          <w:szCs w:val="24"/>
          <w:lang w:val="en-US"/>
        </w:rPr>
        <w:t xml:space="preserve">This includes services in SDG-relevant sectors such as health, education, water and sanitation, energy, and construction and engineering. The general trend does, however indicate that </w:t>
      </w:r>
      <w:r w:rsidRPr="008B2F56">
        <w:rPr>
          <w:rFonts w:ascii="Times New Roman" w:hAnsi="Times New Roman" w:cs="Times New Roman"/>
          <w:color w:val="000000" w:themeColor="text1"/>
          <w:sz w:val="24"/>
          <w:szCs w:val="24"/>
          <w:lang w:val="en-US"/>
        </w:rPr>
        <w:t>more and more services can be provided across borders</w:t>
      </w:r>
      <w:r w:rsidR="002B04C6" w:rsidRPr="008B2F56">
        <w:rPr>
          <w:rFonts w:ascii="Times New Roman" w:hAnsi="Times New Roman" w:cs="Times New Roman"/>
          <w:color w:val="000000" w:themeColor="text1"/>
          <w:sz w:val="24"/>
          <w:szCs w:val="24"/>
          <w:lang w:val="en-US"/>
        </w:rPr>
        <w:t xml:space="preserve"> with very limited dependence on such</w:t>
      </w:r>
      <w:r w:rsidRPr="008B2F56">
        <w:rPr>
          <w:rFonts w:ascii="Times New Roman" w:hAnsi="Times New Roman" w:cs="Times New Roman"/>
          <w:color w:val="000000" w:themeColor="text1"/>
          <w:sz w:val="24"/>
          <w:szCs w:val="24"/>
          <w:lang w:val="en-US"/>
        </w:rPr>
        <w:t xml:space="preserve"> presence</w:t>
      </w:r>
      <w:r w:rsidR="002B04C6" w:rsidRPr="008B2F56">
        <w:rPr>
          <w:rFonts w:ascii="Times New Roman" w:hAnsi="Times New Roman" w:cs="Times New Roman"/>
          <w:color w:val="000000" w:themeColor="text1"/>
          <w:sz w:val="24"/>
          <w:szCs w:val="24"/>
          <w:lang w:val="en-US"/>
        </w:rPr>
        <w:t>.</w:t>
      </w:r>
    </w:p>
    <w:p w14:paraId="58A4C026" w14:textId="6AAC399A" w:rsidR="00A82C2F" w:rsidRPr="008B2F56" w:rsidRDefault="00E95EDF"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Most of the </w:t>
      </w:r>
      <w:r w:rsidR="00096F93" w:rsidRPr="008B2F56">
        <w:rPr>
          <w:rFonts w:ascii="Times New Roman" w:hAnsi="Times New Roman" w:cs="Times New Roman"/>
          <w:color w:val="000000" w:themeColor="text1"/>
          <w:sz w:val="24"/>
          <w:szCs w:val="24"/>
          <w:lang w:val="en-US"/>
        </w:rPr>
        <w:t>LDCs</w:t>
      </w:r>
      <w:r w:rsidRPr="008B2F56">
        <w:rPr>
          <w:rFonts w:ascii="Times New Roman" w:hAnsi="Times New Roman" w:cs="Times New Roman"/>
          <w:color w:val="000000" w:themeColor="text1"/>
          <w:sz w:val="24"/>
          <w:szCs w:val="24"/>
          <w:lang w:val="en-US"/>
        </w:rPr>
        <w:t xml:space="preserve"> </w:t>
      </w:r>
      <w:r w:rsidR="002B04C6" w:rsidRPr="008B2F56">
        <w:rPr>
          <w:rFonts w:ascii="Times New Roman" w:hAnsi="Times New Roman" w:cs="Times New Roman"/>
          <w:color w:val="000000" w:themeColor="text1"/>
          <w:sz w:val="24"/>
          <w:szCs w:val="24"/>
          <w:lang w:val="en-US"/>
        </w:rPr>
        <w:t xml:space="preserve">(36 of 47) </w:t>
      </w:r>
      <w:r w:rsidRPr="008B2F56">
        <w:rPr>
          <w:rFonts w:ascii="Times New Roman" w:hAnsi="Times New Roman" w:cs="Times New Roman"/>
          <w:color w:val="000000" w:themeColor="text1"/>
          <w:sz w:val="24"/>
          <w:szCs w:val="24"/>
          <w:lang w:val="en-US"/>
        </w:rPr>
        <w:t>are members of the WTO</w:t>
      </w:r>
      <w:r w:rsidR="002B04C6" w:rsidRPr="008B2F56">
        <w:rPr>
          <w:rFonts w:ascii="Times New Roman" w:hAnsi="Times New Roman" w:cs="Times New Roman"/>
          <w:color w:val="000000" w:themeColor="text1"/>
          <w:sz w:val="24"/>
          <w:szCs w:val="24"/>
          <w:lang w:val="en-US"/>
        </w:rPr>
        <w:t>.</w:t>
      </w:r>
      <w:r w:rsidRPr="008B2F56">
        <w:rPr>
          <w:rFonts w:ascii="Times New Roman" w:hAnsi="Times New Roman" w:cs="Times New Roman"/>
          <w:color w:val="000000" w:themeColor="text1"/>
          <w:sz w:val="24"/>
          <w:szCs w:val="24"/>
          <w:lang w:val="en-US"/>
        </w:rPr>
        <w:t xml:space="preserve"> </w:t>
      </w:r>
      <w:r w:rsidR="002B04C6" w:rsidRPr="008B2F56">
        <w:rPr>
          <w:rFonts w:ascii="Times New Roman" w:hAnsi="Times New Roman" w:cs="Times New Roman"/>
          <w:color w:val="000000" w:themeColor="text1"/>
          <w:sz w:val="24"/>
          <w:szCs w:val="24"/>
          <w:lang w:val="en-US"/>
        </w:rPr>
        <w:t>T</w:t>
      </w:r>
      <w:r w:rsidR="003441DB" w:rsidRPr="008B2F56">
        <w:rPr>
          <w:rFonts w:ascii="Times New Roman" w:hAnsi="Times New Roman" w:cs="Times New Roman"/>
          <w:color w:val="000000" w:themeColor="text1"/>
          <w:sz w:val="24"/>
          <w:szCs w:val="24"/>
          <w:lang w:val="en-US"/>
        </w:rPr>
        <w:t xml:space="preserve">he extent to which </w:t>
      </w:r>
      <w:r w:rsidRPr="008B2F56">
        <w:rPr>
          <w:rFonts w:ascii="Times New Roman" w:hAnsi="Times New Roman" w:cs="Times New Roman"/>
          <w:color w:val="000000" w:themeColor="text1"/>
          <w:sz w:val="24"/>
          <w:szCs w:val="24"/>
          <w:lang w:val="en-US"/>
        </w:rPr>
        <w:t>these have undertaken commitments in SDG-relevant services sectors</w:t>
      </w:r>
      <w:r w:rsidR="003441DB" w:rsidRPr="008B2F56">
        <w:rPr>
          <w:rFonts w:ascii="Times New Roman" w:hAnsi="Times New Roman" w:cs="Times New Roman"/>
          <w:color w:val="000000" w:themeColor="text1"/>
          <w:sz w:val="24"/>
          <w:szCs w:val="24"/>
          <w:lang w:val="en-US"/>
        </w:rPr>
        <w:t xml:space="preserve"> </w:t>
      </w:r>
      <w:r w:rsidR="006F0204" w:rsidRPr="008B2F56">
        <w:rPr>
          <w:rFonts w:ascii="Times New Roman" w:hAnsi="Times New Roman" w:cs="Times New Roman"/>
          <w:color w:val="000000" w:themeColor="text1"/>
          <w:sz w:val="24"/>
          <w:szCs w:val="24"/>
          <w:lang w:val="en-US"/>
        </w:rPr>
        <w:t xml:space="preserve">is relatively low and </w:t>
      </w:r>
      <w:r w:rsidR="003441DB" w:rsidRPr="008B2F56">
        <w:rPr>
          <w:rFonts w:ascii="Times New Roman" w:hAnsi="Times New Roman" w:cs="Times New Roman"/>
          <w:color w:val="000000" w:themeColor="text1"/>
          <w:sz w:val="24"/>
          <w:szCs w:val="24"/>
          <w:lang w:val="en-US"/>
        </w:rPr>
        <w:t>varies significantly (</w:t>
      </w:r>
      <w:r w:rsidR="00F768C2" w:rsidRPr="008B2F56">
        <w:rPr>
          <w:rFonts w:ascii="Times New Roman" w:hAnsi="Times New Roman" w:cs="Times New Roman"/>
          <w:color w:val="000000" w:themeColor="text1"/>
          <w:sz w:val="24"/>
          <w:szCs w:val="24"/>
          <w:lang w:val="en-US"/>
        </w:rPr>
        <w:t xml:space="preserve">see </w:t>
      </w:r>
      <w:r w:rsidR="003441DB" w:rsidRPr="008B2F56">
        <w:rPr>
          <w:rFonts w:ascii="Times New Roman" w:hAnsi="Times New Roman" w:cs="Times New Roman"/>
          <w:color w:val="000000" w:themeColor="text1"/>
          <w:sz w:val="24"/>
          <w:szCs w:val="24"/>
          <w:lang w:val="en-US"/>
        </w:rPr>
        <w:t>table 1)</w:t>
      </w:r>
      <w:r w:rsidRPr="008B2F56">
        <w:rPr>
          <w:rFonts w:ascii="Times New Roman" w:hAnsi="Times New Roman" w:cs="Times New Roman"/>
          <w:color w:val="000000" w:themeColor="text1"/>
          <w:sz w:val="24"/>
          <w:szCs w:val="24"/>
          <w:lang w:val="en-US"/>
        </w:rPr>
        <w:t>.</w:t>
      </w:r>
      <w:r w:rsidR="003441DB" w:rsidRPr="008B2F56">
        <w:rPr>
          <w:rFonts w:ascii="Times New Roman" w:hAnsi="Times New Roman" w:cs="Times New Roman"/>
          <w:color w:val="000000" w:themeColor="text1"/>
          <w:sz w:val="24"/>
          <w:szCs w:val="24"/>
          <w:lang w:val="en-US"/>
        </w:rPr>
        <w:t xml:space="preserve"> </w:t>
      </w:r>
      <w:r w:rsidR="003E7EF2" w:rsidRPr="008B2F56">
        <w:rPr>
          <w:rFonts w:ascii="Times New Roman" w:hAnsi="Times New Roman" w:cs="Times New Roman"/>
          <w:color w:val="000000" w:themeColor="text1"/>
          <w:sz w:val="24"/>
          <w:szCs w:val="24"/>
          <w:lang w:val="en-US"/>
        </w:rPr>
        <w:t xml:space="preserve">Some of these </w:t>
      </w:r>
      <w:r w:rsidR="00F82BAF" w:rsidRPr="008B2F56">
        <w:rPr>
          <w:rFonts w:ascii="Times New Roman" w:hAnsi="Times New Roman" w:cs="Times New Roman"/>
          <w:color w:val="000000" w:themeColor="text1"/>
          <w:sz w:val="24"/>
          <w:szCs w:val="24"/>
          <w:lang w:val="en-US"/>
        </w:rPr>
        <w:t>LDCs have committed to provide market access and national treatment for commercial presence in these sectors</w:t>
      </w:r>
      <w:r w:rsidR="006F0204" w:rsidRPr="008B2F56">
        <w:rPr>
          <w:rFonts w:ascii="Times New Roman" w:hAnsi="Times New Roman" w:cs="Times New Roman"/>
          <w:color w:val="000000" w:themeColor="text1"/>
          <w:sz w:val="24"/>
          <w:szCs w:val="24"/>
          <w:lang w:val="en-US"/>
        </w:rPr>
        <w:t xml:space="preserve"> (see articles XVI and XVII of GATS)</w:t>
      </w:r>
      <w:r w:rsidR="003E7EF2" w:rsidRPr="008B2F56">
        <w:rPr>
          <w:rFonts w:ascii="Times New Roman" w:hAnsi="Times New Roman" w:cs="Times New Roman"/>
          <w:color w:val="000000" w:themeColor="text1"/>
          <w:sz w:val="24"/>
          <w:szCs w:val="24"/>
          <w:lang w:val="en-US"/>
        </w:rPr>
        <w:t xml:space="preserve">. A significant majority of these </w:t>
      </w:r>
      <w:r w:rsidR="00350478" w:rsidRPr="008B2F56">
        <w:rPr>
          <w:rFonts w:ascii="Times New Roman" w:hAnsi="Times New Roman" w:cs="Times New Roman"/>
          <w:color w:val="000000" w:themeColor="text1"/>
          <w:sz w:val="24"/>
          <w:szCs w:val="24"/>
          <w:lang w:val="en-US"/>
        </w:rPr>
        <w:t xml:space="preserve">have </w:t>
      </w:r>
      <w:r w:rsidR="003E7EF2" w:rsidRPr="008B2F56">
        <w:rPr>
          <w:rFonts w:ascii="Times New Roman" w:hAnsi="Times New Roman" w:cs="Times New Roman"/>
          <w:color w:val="000000" w:themeColor="text1"/>
          <w:sz w:val="24"/>
          <w:szCs w:val="24"/>
          <w:lang w:val="en-US"/>
        </w:rPr>
        <w:t>accepted broad commitments, i.e. not listed</w:t>
      </w:r>
      <w:r w:rsidR="00350478" w:rsidRPr="008B2F56">
        <w:rPr>
          <w:rFonts w:ascii="Times New Roman" w:hAnsi="Times New Roman" w:cs="Times New Roman"/>
          <w:color w:val="000000" w:themeColor="text1"/>
          <w:sz w:val="24"/>
          <w:szCs w:val="24"/>
          <w:lang w:val="en-US"/>
        </w:rPr>
        <w:t xml:space="preserve"> limitations </w:t>
      </w:r>
      <w:r w:rsidR="004261D6" w:rsidRPr="008B2F56">
        <w:rPr>
          <w:rFonts w:ascii="Times New Roman" w:hAnsi="Times New Roman" w:cs="Times New Roman"/>
          <w:color w:val="000000" w:themeColor="text1"/>
          <w:sz w:val="24"/>
          <w:szCs w:val="24"/>
          <w:lang w:val="en-US"/>
        </w:rPr>
        <w:t>in their schedules of commitment</w:t>
      </w:r>
      <w:r w:rsidR="00350478" w:rsidRPr="008B2F56">
        <w:rPr>
          <w:rFonts w:ascii="Times New Roman" w:hAnsi="Times New Roman" w:cs="Times New Roman"/>
          <w:color w:val="000000" w:themeColor="text1"/>
          <w:sz w:val="24"/>
          <w:szCs w:val="24"/>
          <w:lang w:val="en-US"/>
        </w:rPr>
        <w:t xml:space="preserve">, for example in terms of access to public funding </w:t>
      </w:r>
      <w:r w:rsidR="00F264C0" w:rsidRPr="008B2F56">
        <w:rPr>
          <w:rFonts w:ascii="Times New Roman" w:hAnsi="Times New Roman" w:cs="Times New Roman"/>
          <w:color w:val="000000" w:themeColor="text1"/>
          <w:sz w:val="24"/>
          <w:szCs w:val="24"/>
          <w:lang w:val="en-US"/>
        </w:rPr>
        <w:t>or share of foreign ownership</w:t>
      </w:r>
      <w:r w:rsidR="00350478" w:rsidRPr="008B2F56">
        <w:rPr>
          <w:rFonts w:ascii="Times New Roman" w:hAnsi="Times New Roman" w:cs="Times New Roman"/>
          <w:color w:val="000000" w:themeColor="text1"/>
          <w:sz w:val="24"/>
          <w:szCs w:val="24"/>
          <w:lang w:val="en-US"/>
        </w:rPr>
        <w:t>.</w:t>
      </w:r>
      <w:r w:rsidR="004261D6" w:rsidRPr="008B2F56">
        <w:rPr>
          <w:rFonts w:ascii="Times New Roman" w:hAnsi="Times New Roman" w:cs="Times New Roman"/>
          <w:color w:val="000000" w:themeColor="text1"/>
          <w:sz w:val="24"/>
          <w:szCs w:val="24"/>
          <w:lang w:val="en-US"/>
        </w:rPr>
        <w:t xml:space="preserve"> Afghanistan, Cambodia and Laos are examples of LDCs with extensive commitments</w:t>
      </w:r>
      <w:r w:rsidR="006F0204" w:rsidRPr="008B2F56">
        <w:rPr>
          <w:rFonts w:ascii="Times New Roman" w:hAnsi="Times New Roman" w:cs="Times New Roman"/>
          <w:color w:val="000000" w:themeColor="text1"/>
          <w:sz w:val="24"/>
          <w:szCs w:val="24"/>
          <w:lang w:val="en-US"/>
        </w:rPr>
        <w:t xml:space="preserve">. </w:t>
      </w:r>
      <w:r w:rsidR="003E7EF2" w:rsidRPr="008B2F56">
        <w:rPr>
          <w:rFonts w:ascii="Times New Roman" w:hAnsi="Times New Roman" w:cs="Times New Roman"/>
          <w:color w:val="000000" w:themeColor="text1"/>
          <w:sz w:val="24"/>
          <w:szCs w:val="24"/>
          <w:lang w:val="en-US"/>
        </w:rPr>
        <w:t>The commitments made by LDCs mean that they have opened the</w:t>
      </w:r>
      <w:r w:rsidR="006F0204" w:rsidRPr="008B2F56">
        <w:rPr>
          <w:rFonts w:ascii="Times New Roman" w:hAnsi="Times New Roman" w:cs="Times New Roman"/>
          <w:color w:val="000000" w:themeColor="text1"/>
          <w:sz w:val="24"/>
          <w:szCs w:val="24"/>
          <w:lang w:val="en-US"/>
        </w:rPr>
        <w:t xml:space="preserve"> sectors to FDI and limited their ability to take policy measures</w:t>
      </w:r>
      <w:r w:rsidR="004261D6" w:rsidRPr="008B2F56">
        <w:rPr>
          <w:rFonts w:ascii="Times New Roman" w:hAnsi="Times New Roman" w:cs="Times New Roman"/>
          <w:color w:val="000000" w:themeColor="text1"/>
          <w:sz w:val="24"/>
          <w:szCs w:val="24"/>
          <w:lang w:val="en-US"/>
        </w:rPr>
        <w:t>.</w:t>
      </w:r>
    </w:p>
    <w:p w14:paraId="5E681788" w14:textId="6249FA85" w:rsidR="003441DB" w:rsidRPr="008B2F56" w:rsidRDefault="003441DB" w:rsidP="008D76EF">
      <w:pPr>
        <w:pStyle w:val="Heading3"/>
        <w:jc w:val="both"/>
        <w:rPr>
          <w:rFonts w:ascii="Times New Roman" w:hAnsi="Times New Roman" w:cs="Times New Roman"/>
          <w:lang w:val="en-US"/>
        </w:rPr>
      </w:pPr>
      <w:r w:rsidRPr="008B2F56">
        <w:rPr>
          <w:rFonts w:ascii="Times New Roman" w:hAnsi="Times New Roman" w:cs="Times New Roman"/>
          <w:lang w:val="en-US"/>
        </w:rPr>
        <w:t xml:space="preserve">Table 1: </w:t>
      </w:r>
      <w:r w:rsidR="00D2051F" w:rsidRPr="008B2F56">
        <w:rPr>
          <w:rFonts w:ascii="Times New Roman" w:hAnsi="Times New Roman" w:cs="Times New Roman"/>
          <w:lang w:val="en-US"/>
        </w:rPr>
        <w:t xml:space="preserve">LDCs – </w:t>
      </w:r>
      <w:r w:rsidR="00350478" w:rsidRPr="008B2F56">
        <w:rPr>
          <w:rFonts w:ascii="Times New Roman" w:hAnsi="Times New Roman" w:cs="Times New Roman"/>
          <w:lang w:val="en-US"/>
        </w:rPr>
        <w:t>C</w:t>
      </w:r>
      <w:r w:rsidR="00D2051F" w:rsidRPr="008B2F56">
        <w:rPr>
          <w:rFonts w:ascii="Times New Roman" w:hAnsi="Times New Roman" w:cs="Times New Roman"/>
          <w:lang w:val="en-US"/>
        </w:rPr>
        <w:t>ommercial presence c</w:t>
      </w:r>
      <w:r w:rsidRPr="008B2F56">
        <w:rPr>
          <w:rFonts w:ascii="Times New Roman" w:hAnsi="Times New Roman" w:cs="Times New Roman"/>
          <w:lang w:val="en-US"/>
        </w:rPr>
        <w:t>ommitment</w:t>
      </w:r>
      <w:r w:rsidR="00350478" w:rsidRPr="008B2F56">
        <w:rPr>
          <w:rFonts w:ascii="Times New Roman" w:hAnsi="Times New Roman" w:cs="Times New Roman"/>
          <w:lang w:val="en-US"/>
        </w:rPr>
        <w:t>s</w:t>
      </w:r>
      <w:r w:rsidRPr="008B2F56">
        <w:rPr>
          <w:rFonts w:ascii="Times New Roman" w:hAnsi="Times New Roman" w:cs="Times New Roman"/>
          <w:lang w:val="en-US"/>
        </w:rPr>
        <w:t xml:space="preserve"> in </w:t>
      </w:r>
      <w:r w:rsidR="00A41CDD" w:rsidRPr="008B2F56">
        <w:rPr>
          <w:rFonts w:ascii="Times New Roman" w:hAnsi="Times New Roman" w:cs="Times New Roman"/>
          <w:lang w:val="en-US"/>
        </w:rPr>
        <w:t xml:space="preserve">selected </w:t>
      </w:r>
      <w:r w:rsidRPr="008B2F56">
        <w:rPr>
          <w:rFonts w:ascii="Times New Roman" w:hAnsi="Times New Roman" w:cs="Times New Roman"/>
          <w:lang w:val="en-US"/>
        </w:rPr>
        <w:t>SDG-relevant services sectors</w:t>
      </w:r>
      <w:r w:rsidRPr="008B2F56">
        <w:rPr>
          <w:rStyle w:val="FootnoteReference"/>
          <w:rFonts w:ascii="Times New Roman" w:hAnsi="Times New Roman" w:cs="Times New Roman"/>
        </w:rPr>
        <w:footnoteReference w:id="32"/>
      </w:r>
      <w:r w:rsidRPr="008B2F56">
        <w:rPr>
          <w:rFonts w:ascii="Times New Roman" w:hAnsi="Times New Roman" w:cs="Times New Roman"/>
          <w:lang w:val="en-US"/>
        </w:rPr>
        <w:t xml:space="preserve"> </w:t>
      </w:r>
    </w:p>
    <w:tbl>
      <w:tblPr>
        <w:tblStyle w:val="TableGrid"/>
        <w:tblW w:w="0" w:type="auto"/>
        <w:tblLook w:val="04A0" w:firstRow="1" w:lastRow="0" w:firstColumn="1" w:lastColumn="0" w:noHBand="0" w:noVBand="1"/>
      </w:tblPr>
      <w:tblGrid>
        <w:gridCol w:w="2263"/>
        <w:gridCol w:w="3261"/>
        <w:gridCol w:w="2126"/>
        <w:gridCol w:w="1700"/>
      </w:tblGrid>
      <w:tr w:rsidR="009756C9" w:rsidRPr="008B2F56" w14:paraId="7FB345CC" w14:textId="2CCD3125" w:rsidTr="002B04C6">
        <w:tc>
          <w:tcPr>
            <w:tcW w:w="2263" w:type="dxa"/>
          </w:tcPr>
          <w:p w14:paraId="54216DBE" w14:textId="28130DE3" w:rsidR="009756C9" w:rsidRPr="008B2F56" w:rsidRDefault="009756C9" w:rsidP="008D76EF">
            <w:pPr>
              <w:jc w:val="both"/>
              <w:rPr>
                <w:rFonts w:ascii="Times New Roman" w:hAnsi="Times New Roman" w:cs="Times New Roman"/>
                <w:b/>
                <w:color w:val="000000" w:themeColor="text1"/>
                <w:sz w:val="24"/>
                <w:szCs w:val="24"/>
                <w:lang w:val="en-US"/>
              </w:rPr>
            </w:pPr>
            <w:r w:rsidRPr="008B2F56">
              <w:rPr>
                <w:rFonts w:ascii="Times New Roman" w:hAnsi="Times New Roman" w:cs="Times New Roman"/>
                <w:b/>
                <w:color w:val="000000" w:themeColor="text1"/>
                <w:sz w:val="24"/>
                <w:szCs w:val="24"/>
                <w:lang w:val="en-US"/>
              </w:rPr>
              <w:t>Main services sector</w:t>
            </w:r>
          </w:p>
        </w:tc>
        <w:tc>
          <w:tcPr>
            <w:tcW w:w="3261" w:type="dxa"/>
          </w:tcPr>
          <w:p w14:paraId="217BEF03" w14:textId="327A5B78" w:rsidR="009756C9" w:rsidRPr="008B2F56" w:rsidRDefault="009756C9" w:rsidP="008D76EF">
            <w:pPr>
              <w:jc w:val="both"/>
              <w:rPr>
                <w:rFonts w:ascii="Times New Roman" w:hAnsi="Times New Roman" w:cs="Times New Roman"/>
                <w:b/>
                <w:color w:val="000000" w:themeColor="text1"/>
                <w:sz w:val="24"/>
                <w:szCs w:val="24"/>
                <w:lang w:val="en-US"/>
              </w:rPr>
            </w:pPr>
            <w:r w:rsidRPr="008B2F56">
              <w:rPr>
                <w:rFonts w:ascii="Times New Roman" w:hAnsi="Times New Roman" w:cs="Times New Roman"/>
                <w:b/>
                <w:color w:val="000000" w:themeColor="text1"/>
                <w:sz w:val="24"/>
                <w:szCs w:val="24"/>
                <w:lang w:val="en-US"/>
              </w:rPr>
              <w:t>Sub-sector</w:t>
            </w:r>
          </w:p>
        </w:tc>
        <w:tc>
          <w:tcPr>
            <w:tcW w:w="2126" w:type="dxa"/>
          </w:tcPr>
          <w:p w14:paraId="2A8D0987" w14:textId="08CD554C" w:rsidR="009756C9" w:rsidRPr="008B2F56" w:rsidRDefault="009756C9" w:rsidP="008D76EF">
            <w:pPr>
              <w:jc w:val="both"/>
              <w:rPr>
                <w:rFonts w:ascii="Times New Roman" w:hAnsi="Times New Roman" w:cs="Times New Roman"/>
                <w:b/>
                <w:color w:val="000000" w:themeColor="text1"/>
                <w:sz w:val="24"/>
                <w:szCs w:val="24"/>
                <w:lang w:val="en-US"/>
              </w:rPr>
            </w:pPr>
            <w:r w:rsidRPr="008B2F56">
              <w:rPr>
                <w:rFonts w:ascii="Times New Roman" w:hAnsi="Times New Roman" w:cs="Times New Roman"/>
                <w:b/>
                <w:color w:val="000000" w:themeColor="text1"/>
                <w:sz w:val="24"/>
                <w:szCs w:val="24"/>
                <w:lang w:val="en-US"/>
              </w:rPr>
              <w:t>No. of LDCs</w:t>
            </w:r>
            <w:r w:rsidR="002B04C6" w:rsidRPr="008B2F56">
              <w:rPr>
                <w:rFonts w:ascii="Times New Roman" w:hAnsi="Times New Roman" w:cs="Times New Roman"/>
                <w:b/>
                <w:color w:val="000000" w:themeColor="text1"/>
                <w:sz w:val="24"/>
                <w:szCs w:val="24"/>
                <w:lang w:val="en-US"/>
              </w:rPr>
              <w:t xml:space="preserve"> w/commitments</w:t>
            </w:r>
          </w:p>
        </w:tc>
        <w:tc>
          <w:tcPr>
            <w:tcW w:w="1700" w:type="dxa"/>
          </w:tcPr>
          <w:p w14:paraId="652AD3BB" w14:textId="77777777" w:rsidR="003E7EF2" w:rsidRPr="008B2F56" w:rsidRDefault="002B04C6" w:rsidP="008D76EF">
            <w:pPr>
              <w:jc w:val="both"/>
              <w:rPr>
                <w:rFonts w:ascii="Times New Roman" w:hAnsi="Times New Roman" w:cs="Times New Roman"/>
                <w:b/>
                <w:color w:val="000000" w:themeColor="text1"/>
                <w:sz w:val="24"/>
                <w:szCs w:val="24"/>
                <w:lang w:val="en-US"/>
              </w:rPr>
            </w:pPr>
            <w:r w:rsidRPr="008B2F56">
              <w:rPr>
                <w:rFonts w:ascii="Times New Roman" w:hAnsi="Times New Roman" w:cs="Times New Roman"/>
                <w:b/>
                <w:color w:val="000000" w:themeColor="text1"/>
                <w:sz w:val="24"/>
                <w:szCs w:val="24"/>
                <w:lang w:val="en-US"/>
              </w:rPr>
              <w:t xml:space="preserve">No. of LDCs </w:t>
            </w:r>
          </w:p>
          <w:p w14:paraId="56E31E93" w14:textId="67D4AE2D" w:rsidR="009756C9" w:rsidRPr="008B2F56" w:rsidRDefault="002B04C6" w:rsidP="008D76EF">
            <w:pPr>
              <w:jc w:val="both"/>
              <w:rPr>
                <w:rFonts w:ascii="Times New Roman" w:hAnsi="Times New Roman" w:cs="Times New Roman"/>
                <w:b/>
                <w:color w:val="000000" w:themeColor="text1"/>
                <w:sz w:val="24"/>
                <w:szCs w:val="24"/>
                <w:lang w:val="en-US"/>
              </w:rPr>
            </w:pPr>
            <w:r w:rsidRPr="008B2F56">
              <w:rPr>
                <w:rFonts w:ascii="Times New Roman" w:hAnsi="Times New Roman" w:cs="Times New Roman"/>
                <w:b/>
                <w:color w:val="000000" w:themeColor="text1"/>
                <w:sz w:val="24"/>
                <w:szCs w:val="24"/>
                <w:lang w:val="en-US"/>
              </w:rPr>
              <w:t>w/ l</w:t>
            </w:r>
            <w:r w:rsidR="009756C9" w:rsidRPr="008B2F56">
              <w:rPr>
                <w:rFonts w:ascii="Times New Roman" w:hAnsi="Times New Roman" w:cs="Times New Roman"/>
                <w:b/>
                <w:color w:val="000000" w:themeColor="text1"/>
                <w:sz w:val="24"/>
                <w:szCs w:val="24"/>
                <w:lang w:val="en-US"/>
              </w:rPr>
              <w:t>imitations</w:t>
            </w:r>
          </w:p>
        </w:tc>
      </w:tr>
      <w:tr w:rsidR="002B04C6" w:rsidRPr="008B2F56" w14:paraId="57689B42" w14:textId="6218C7D7" w:rsidTr="002B04C6">
        <w:tc>
          <w:tcPr>
            <w:tcW w:w="2263" w:type="dxa"/>
            <w:vMerge w:val="restart"/>
          </w:tcPr>
          <w:p w14:paraId="3AE9FD8A" w14:textId="77777777" w:rsidR="002B04C6" w:rsidRPr="008B2F56" w:rsidRDefault="002B04C6"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Health services</w:t>
            </w:r>
          </w:p>
        </w:tc>
        <w:tc>
          <w:tcPr>
            <w:tcW w:w="3261" w:type="dxa"/>
          </w:tcPr>
          <w:p w14:paraId="3DB05DDE" w14:textId="25213F73" w:rsidR="002B04C6" w:rsidRPr="008B2F56" w:rsidRDefault="002B04C6"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Hospital services</w:t>
            </w:r>
          </w:p>
        </w:tc>
        <w:tc>
          <w:tcPr>
            <w:tcW w:w="2126" w:type="dxa"/>
          </w:tcPr>
          <w:p w14:paraId="320DD31C" w14:textId="77777777" w:rsidR="002B04C6" w:rsidRPr="008B2F56" w:rsidRDefault="002B04C6"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12</w:t>
            </w:r>
          </w:p>
        </w:tc>
        <w:tc>
          <w:tcPr>
            <w:tcW w:w="1700" w:type="dxa"/>
          </w:tcPr>
          <w:p w14:paraId="6BB76629" w14:textId="0DACDBCB" w:rsidR="002B04C6" w:rsidRPr="008B2F56" w:rsidRDefault="002B04C6"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4</w:t>
            </w:r>
          </w:p>
        </w:tc>
      </w:tr>
      <w:tr w:rsidR="002B04C6" w:rsidRPr="008B2F56" w14:paraId="1189F92E" w14:textId="75D711AD" w:rsidTr="002B04C6">
        <w:tc>
          <w:tcPr>
            <w:tcW w:w="2263" w:type="dxa"/>
            <w:vMerge/>
          </w:tcPr>
          <w:p w14:paraId="631914C2" w14:textId="77777777" w:rsidR="002B04C6" w:rsidRPr="008B2F56" w:rsidRDefault="002B04C6" w:rsidP="008D76EF">
            <w:pPr>
              <w:jc w:val="both"/>
              <w:rPr>
                <w:rFonts w:ascii="Times New Roman" w:hAnsi="Times New Roman" w:cs="Times New Roman"/>
                <w:color w:val="000000" w:themeColor="text1"/>
                <w:sz w:val="24"/>
                <w:szCs w:val="24"/>
                <w:lang w:val="en-US"/>
              </w:rPr>
            </w:pPr>
          </w:p>
        </w:tc>
        <w:tc>
          <w:tcPr>
            <w:tcW w:w="3261" w:type="dxa"/>
          </w:tcPr>
          <w:p w14:paraId="543E31E3" w14:textId="77777777" w:rsidR="002B04C6" w:rsidRPr="008B2F56" w:rsidRDefault="002B04C6"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Other health services</w:t>
            </w:r>
          </w:p>
        </w:tc>
        <w:tc>
          <w:tcPr>
            <w:tcW w:w="2126" w:type="dxa"/>
          </w:tcPr>
          <w:p w14:paraId="710CC261" w14:textId="77777777" w:rsidR="002B04C6" w:rsidRPr="008B2F56" w:rsidRDefault="002B04C6"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6</w:t>
            </w:r>
          </w:p>
        </w:tc>
        <w:tc>
          <w:tcPr>
            <w:tcW w:w="1700" w:type="dxa"/>
          </w:tcPr>
          <w:p w14:paraId="56CE1182" w14:textId="70BC1670" w:rsidR="002B04C6" w:rsidRPr="008B2F56" w:rsidRDefault="002B04C6"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1</w:t>
            </w:r>
          </w:p>
        </w:tc>
      </w:tr>
      <w:tr w:rsidR="002B04C6" w:rsidRPr="008B2F56" w14:paraId="3D0686B0" w14:textId="3A828537" w:rsidTr="002B04C6">
        <w:tc>
          <w:tcPr>
            <w:tcW w:w="2263" w:type="dxa"/>
            <w:vMerge w:val="restart"/>
          </w:tcPr>
          <w:p w14:paraId="7AF32AEF" w14:textId="7017BE61" w:rsidR="002B04C6" w:rsidRPr="008B2F56" w:rsidRDefault="002B04C6"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Education services</w:t>
            </w:r>
          </w:p>
        </w:tc>
        <w:tc>
          <w:tcPr>
            <w:tcW w:w="3261" w:type="dxa"/>
          </w:tcPr>
          <w:p w14:paraId="5DC2FF9E" w14:textId="70B403B8" w:rsidR="002B04C6" w:rsidRPr="008B2F56" w:rsidRDefault="002B04C6"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Primary education</w:t>
            </w:r>
          </w:p>
        </w:tc>
        <w:tc>
          <w:tcPr>
            <w:tcW w:w="2126" w:type="dxa"/>
          </w:tcPr>
          <w:p w14:paraId="1CD546B6" w14:textId="1F3EEBCB" w:rsidR="002B04C6" w:rsidRPr="008B2F56" w:rsidRDefault="002B04C6"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6</w:t>
            </w:r>
          </w:p>
        </w:tc>
        <w:tc>
          <w:tcPr>
            <w:tcW w:w="1700" w:type="dxa"/>
          </w:tcPr>
          <w:p w14:paraId="3C3D526B" w14:textId="0B369AB4" w:rsidR="002B04C6" w:rsidRPr="008B2F56" w:rsidRDefault="002B04C6"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2</w:t>
            </w:r>
          </w:p>
        </w:tc>
      </w:tr>
      <w:tr w:rsidR="002B04C6" w:rsidRPr="008B2F56" w14:paraId="3E1663B4" w14:textId="178F98A2" w:rsidTr="002B04C6">
        <w:tc>
          <w:tcPr>
            <w:tcW w:w="2263" w:type="dxa"/>
            <w:vMerge/>
          </w:tcPr>
          <w:p w14:paraId="14F5842C" w14:textId="77777777" w:rsidR="002B04C6" w:rsidRPr="008B2F56" w:rsidRDefault="002B04C6" w:rsidP="008D76EF">
            <w:pPr>
              <w:jc w:val="both"/>
              <w:rPr>
                <w:rFonts w:ascii="Times New Roman" w:hAnsi="Times New Roman" w:cs="Times New Roman"/>
                <w:color w:val="000000" w:themeColor="text1"/>
                <w:sz w:val="24"/>
                <w:szCs w:val="24"/>
                <w:lang w:val="en-US"/>
              </w:rPr>
            </w:pPr>
          </w:p>
        </w:tc>
        <w:tc>
          <w:tcPr>
            <w:tcW w:w="3261" w:type="dxa"/>
          </w:tcPr>
          <w:p w14:paraId="29DC5078" w14:textId="26D96A57" w:rsidR="002B04C6" w:rsidRPr="008B2F56" w:rsidRDefault="002B04C6"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Secondary education</w:t>
            </w:r>
          </w:p>
        </w:tc>
        <w:tc>
          <w:tcPr>
            <w:tcW w:w="2126" w:type="dxa"/>
          </w:tcPr>
          <w:p w14:paraId="0407E630" w14:textId="58BD835F" w:rsidR="002B04C6" w:rsidRPr="008B2F56" w:rsidRDefault="002B04C6"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5</w:t>
            </w:r>
          </w:p>
        </w:tc>
        <w:tc>
          <w:tcPr>
            <w:tcW w:w="1700" w:type="dxa"/>
          </w:tcPr>
          <w:p w14:paraId="7ADF3672" w14:textId="30AB9C9D" w:rsidR="002B04C6" w:rsidRPr="008B2F56" w:rsidRDefault="002B04C6"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2</w:t>
            </w:r>
          </w:p>
        </w:tc>
      </w:tr>
      <w:tr w:rsidR="002B04C6" w:rsidRPr="008B2F56" w14:paraId="3E028940" w14:textId="6038AB13" w:rsidTr="002B04C6">
        <w:tc>
          <w:tcPr>
            <w:tcW w:w="2263" w:type="dxa"/>
            <w:vMerge/>
          </w:tcPr>
          <w:p w14:paraId="41C76DE3" w14:textId="77777777" w:rsidR="002B04C6" w:rsidRPr="008B2F56" w:rsidRDefault="002B04C6" w:rsidP="008D76EF">
            <w:pPr>
              <w:jc w:val="both"/>
              <w:rPr>
                <w:rFonts w:ascii="Times New Roman" w:hAnsi="Times New Roman" w:cs="Times New Roman"/>
                <w:color w:val="000000" w:themeColor="text1"/>
                <w:sz w:val="24"/>
                <w:szCs w:val="24"/>
                <w:lang w:val="en-US"/>
              </w:rPr>
            </w:pPr>
          </w:p>
        </w:tc>
        <w:tc>
          <w:tcPr>
            <w:tcW w:w="3261" w:type="dxa"/>
          </w:tcPr>
          <w:p w14:paraId="1ACF864B" w14:textId="4487B4A2" w:rsidR="002B04C6" w:rsidRPr="008B2F56" w:rsidRDefault="002B04C6"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Higher education</w:t>
            </w:r>
          </w:p>
        </w:tc>
        <w:tc>
          <w:tcPr>
            <w:tcW w:w="2126" w:type="dxa"/>
          </w:tcPr>
          <w:p w14:paraId="265FA325" w14:textId="7EF515E9" w:rsidR="002B04C6" w:rsidRPr="008B2F56" w:rsidRDefault="002B04C6"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9</w:t>
            </w:r>
          </w:p>
        </w:tc>
        <w:tc>
          <w:tcPr>
            <w:tcW w:w="1700" w:type="dxa"/>
          </w:tcPr>
          <w:p w14:paraId="7907D4E3" w14:textId="0972E862" w:rsidR="002B04C6" w:rsidRPr="008B2F56" w:rsidRDefault="002B04C6"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4</w:t>
            </w:r>
          </w:p>
        </w:tc>
      </w:tr>
      <w:tr w:rsidR="002B04C6" w:rsidRPr="008B2F56" w14:paraId="52BF0FA8" w14:textId="3C7EF244" w:rsidTr="002B04C6">
        <w:tc>
          <w:tcPr>
            <w:tcW w:w="2263" w:type="dxa"/>
            <w:vMerge w:val="restart"/>
          </w:tcPr>
          <w:p w14:paraId="234A8BD6" w14:textId="2DB519F6" w:rsidR="002B04C6" w:rsidRPr="008B2F56" w:rsidRDefault="002B04C6"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Environmental services</w:t>
            </w:r>
          </w:p>
        </w:tc>
        <w:tc>
          <w:tcPr>
            <w:tcW w:w="3261" w:type="dxa"/>
          </w:tcPr>
          <w:p w14:paraId="7DE34BEF" w14:textId="41B98845" w:rsidR="002B04C6" w:rsidRPr="008B2F56" w:rsidRDefault="002B04C6"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Sanitation and similar services</w:t>
            </w:r>
          </w:p>
        </w:tc>
        <w:tc>
          <w:tcPr>
            <w:tcW w:w="2126" w:type="dxa"/>
          </w:tcPr>
          <w:p w14:paraId="13E4FCB3" w14:textId="422EE5F3" w:rsidR="002B04C6" w:rsidRPr="008B2F56" w:rsidRDefault="002B04C6"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12</w:t>
            </w:r>
          </w:p>
        </w:tc>
        <w:tc>
          <w:tcPr>
            <w:tcW w:w="1700" w:type="dxa"/>
          </w:tcPr>
          <w:p w14:paraId="6D20E075" w14:textId="22CF553E" w:rsidR="002B04C6" w:rsidRPr="008B2F56" w:rsidRDefault="002B04C6"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2</w:t>
            </w:r>
          </w:p>
        </w:tc>
      </w:tr>
      <w:tr w:rsidR="002B04C6" w:rsidRPr="008B2F56" w14:paraId="7DABBAD5" w14:textId="214FECD4" w:rsidTr="002B04C6">
        <w:tc>
          <w:tcPr>
            <w:tcW w:w="2263" w:type="dxa"/>
            <w:vMerge/>
          </w:tcPr>
          <w:p w14:paraId="590796A8" w14:textId="77777777" w:rsidR="002B04C6" w:rsidRPr="008B2F56" w:rsidRDefault="002B04C6" w:rsidP="008D76EF">
            <w:pPr>
              <w:jc w:val="both"/>
              <w:rPr>
                <w:rFonts w:ascii="Times New Roman" w:hAnsi="Times New Roman" w:cs="Times New Roman"/>
                <w:color w:val="000000" w:themeColor="text1"/>
                <w:sz w:val="24"/>
                <w:szCs w:val="24"/>
                <w:lang w:val="en-US"/>
              </w:rPr>
            </w:pPr>
          </w:p>
        </w:tc>
        <w:tc>
          <w:tcPr>
            <w:tcW w:w="3261" w:type="dxa"/>
          </w:tcPr>
          <w:p w14:paraId="132B7F7A" w14:textId="48D196F2" w:rsidR="002B04C6" w:rsidRPr="008B2F56" w:rsidRDefault="002B04C6"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Sewage services</w:t>
            </w:r>
          </w:p>
        </w:tc>
        <w:tc>
          <w:tcPr>
            <w:tcW w:w="2126" w:type="dxa"/>
          </w:tcPr>
          <w:p w14:paraId="06C63A00" w14:textId="2B6448F6" w:rsidR="002B04C6" w:rsidRPr="008B2F56" w:rsidRDefault="002B04C6"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11</w:t>
            </w:r>
          </w:p>
        </w:tc>
        <w:tc>
          <w:tcPr>
            <w:tcW w:w="1700" w:type="dxa"/>
          </w:tcPr>
          <w:p w14:paraId="123D5277" w14:textId="66563E52" w:rsidR="002B04C6" w:rsidRPr="008B2F56" w:rsidRDefault="002B04C6"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2</w:t>
            </w:r>
          </w:p>
        </w:tc>
      </w:tr>
      <w:tr w:rsidR="009756C9" w:rsidRPr="008B2F56" w14:paraId="783A87F7" w14:textId="559163B7" w:rsidTr="002B04C6">
        <w:tc>
          <w:tcPr>
            <w:tcW w:w="2263" w:type="dxa"/>
          </w:tcPr>
          <w:p w14:paraId="347090DF" w14:textId="4E9F2543" w:rsidR="009756C9" w:rsidRPr="008B2F56" w:rsidRDefault="009756C9"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Business services</w:t>
            </w:r>
          </w:p>
        </w:tc>
        <w:tc>
          <w:tcPr>
            <w:tcW w:w="3261" w:type="dxa"/>
          </w:tcPr>
          <w:p w14:paraId="5D728890" w14:textId="77777777" w:rsidR="009756C9" w:rsidRPr="008B2F56" w:rsidRDefault="009756C9"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Energy distribution</w:t>
            </w:r>
          </w:p>
        </w:tc>
        <w:tc>
          <w:tcPr>
            <w:tcW w:w="2126" w:type="dxa"/>
          </w:tcPr>
          <w:p w14:paraId="0DEDD614" w14:textId="77777777" w:rsidR="009756C9" w:rsidRPr="008B2F56" w:rsidRDefault="009756C9"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3</w:t>
            </w:r>
          </w:p>
        </w:tc>
        <w:tc>
          <w:tcPr>
            <w:tcW w:w="1700" w:type="dxa"/>
          </w:tcPr>
          <w:p w14:paraId="45AB3E12" w14:textId="5B35D6D0" w:rsidR="009756C9" w:rsidRPr="008B2F56" w:rsidRDefault="00A92339"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1</w:t>
            </w:r>
          </w:p>
        </w:tc>
      </w:tr>
      <w:tr w:rsidR="002B04C6" w:rsidRPr="008B2F56" w14:paraId="1D0D2442" w14:textId="5579032B" w:rsidTr="002B04C6">
        <w:tc>
          <w:tcPr>
            <w:tcW w:w="2263" w:type="dxa"/>
            <w:vMerge w:val="restart"/>
          </w:tcPr>
          <w:p w14:paraId="31757BBE" w14:textId="5D93665E" w:rsidR="002B04C6" w:rsidRPr="008B2F56" w:rsidRDefault="002B04C6"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Construction and engineering</w:t>
            </w:r>
          </w:p>
        </w:tc>
        <w:tc>
          <w:tcPr>
            <w:tcW w:w="3261" w:type="dxa"/>
          </w:tcPr>
          <w:p w14:paraId="03190098" w14:textId="42923A94" w:rsidR="002B04C6" w:rsidRPr="008B2F56" w:rsidRDefault="002B04C6"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Buildings</w:t>
            </w:r>
          </w:p>
        </w:tc>
        <w:tc>
          <w:tcPr>
            <w:tcW w:w="2126" w:type="dxa"/>
          </w:tcPr>
          <w:p w14:paraId="71386F27" w14:textId="69344064" w:rsidR="002B04C6" w:rsidRPr="008B2F56" w:rsidRDefault="002B04C6"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13</w:t>
            </w:r>
          </w:p>
        </w:tc>
        <w:tc>
          <w:tcPr>
            <w:tcW w:w="1700" w:type="dxa"/>
          </w:tcPr>
          <w:p w14:paraId="1E7B5F2A" w14:textId="21299EE8" w:rsidR="002B04C6" w:rsidRPr="008B2F56" w:rsidRDefault="002B04C6"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1</w:t>
            </w:r>
          </w:p>
        </w:tc>
      </w:tr>
      <w:tr w:rsidR="002B04C6" w:rsidRPr="008B2F56" w14:paraId="7922AEF0" w14:textId="7DFEA03A" w:rsidTr="002B04C6">
        <w:tc>
          <w:tcPr>
            <w:tcW w:w="2263" w:type="dxa"/>
            <w:vMerge/>
          </w:tcPr>
          <w:p w14:paraId="546F1E88" w14:textId="77777777" w:rsidR="002B04C6" w:rsidRPr="008B2F56" w:rsidRDefault="002B04C6" w:rsidP="008D76EF">
            <w:pPr>
              <w:jc w:val="both"/>
              <w:rPr>
                <w:rFonts w:ascii="Times New Roman" w:hAnsi="Times New Roman" w:cs="Times New Roman"/>
                <w:color w:val="000000" w:themeColor="text1"/>
                <w:sz w:val="24"/>
                <w:szCs w:val="24"/>
                <w:lang w:val="en-US"/>
              </w:rPr>
            </w:pPr>
          </w:p>
        </w:tc>
        <w:tc>
          <w:tcPr>
            <w:tcW w:w="3261" w:type="dxa"/>
          </w:tcPr>
          <w:p w14:paraId="45F33148" w14:textId="3B3B34CB" w:rsidR="002B04C6" w:rsidRPr="008B2F56" w:rsidRDefault="002B04C6"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Civil engineering</w:t>
            </w:r>
          </w:p>
        </w:tc>
        <w:tc>
          <w:tcPr>
            <w:tcW w:w="2126" w:type="dxa"/>
          </w:tcPr>
          <w:p w14:paraId="1DB663E3" w14:textId="274EA261" w:rsidR="002B04C6" w:rsidRPr="008B2F56" w:rsidRDefault="002B04C6"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14</w:t>
            </w:r>
          </w:p>
        </w:tc>
        <w:tc>
          <w:tcPr>
            <w:tcW w:w="1700" w:type="dxa"/>
          </w:tcPr>
          <w:p w14:paraId="2C55C656" w14:textId="6A335622" w:rsidR="002B04C6" w:rsidRPr="008B2F56" w:rsidRDefault="002B04C6" w:rsidP="008D76EF">
            <w:pPr>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2</w:t>
            </w:r>
          </w:p>
        </w:tc>
      </w:tr>
    </w:tbl>
    <w:p w14:paraId="42395C7E" w14:textId="77777777" w:rsidR="000C209E" w:rsidRPr="008B2F56" w:rsidRDefault="00953FAB"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In the field of trade in goods, the most significant rules in terms of investment can be found in the Agreement on Trade-Related Investment Measures</w:t>
      </w:r>
      <w:r w:rsidR="000C209E" w:rsidRPr="008B2F56">
        <w:rPr>
          <w:rFonts w:ascii="Times New Roman" w:hAnsi="Times New Roman" w:cs="Times New Roman"/>
          <w:color w:val="000000" w:themeColor="text1"/>
          <w:sz w:val="24"/>
          <w:szCs w:val="24"/>
          <w:lang w:val="en-US"/>
        </w:rPr>
        <w:t xml:space="preserve"> (TRIMs)</w:t>
      </w:r>
      <w:r w:rsidRPr="008B2F56">
        <w:rPr>
          <w:rFonts w:ascii="Times New Roman" w:hAnsi="Times New Roman" w:cs="Times New Roman"/>
          <w:color w:val="000000" w:themeColor="text1"/>
          <w:sz w:val="24"/>
          <w:szCs w:val="24"/>
          <w:lang w:val="en-US"/>
        </w:rPr>
        <w:t xml:space="preserve">. </w:t>
      </w:r>
      <w:r w:rsidR="0035296C" w:rsidRPr="008B2F56">
        <w:rPr>
          <w:rFonts w:ascii="Times New Roman" w:hAnsi="Times New Roman" w:cs="Times New Roman"/>
          <w:color w:val="000000" w:themeColor="text1"/>
          <w:sz w:val="24"/>
          <w:szCs w:val="24"/>
          <w:lang w:val="en-US"/>
        </w:rPr>
        <w:t>Such measures are frequently referred to as “performance requirements” or “local content requirements”, and have to a significant degree been used by countries as part of their development strategies.</w:t>
      </w:r>
      <w:r w:rsidR="0035296C" w:rsidRPr="008B2F56">
        <w:rPr>
          <w:rStyle w:val="FootnoteReference"/>
          <w:rFonts w:ascii="Times New Roman" w:hAnsi="Times New Roman" w:cs="Times New Roman"/>
        </w:rPr>
        <w:footnoteReference w:id="33"/>
      </w:r>
      <w:r w:rsidR="0035296C" w:rsidRPr="008B2F56">
        <w:rPr>
          <w:rFonts w:ascii="Times New Roman" w:hAnsi="Times New Roman" w:cs="Times New Roman"/>
          <w:color w:val="000000" w:themeColor="text1"/>
          <w:sz w:val="24"/>
          <w:szCs w:val="24"/>
          <w:lang w:val="en-US"/>
        </w:rPr>
        <w:t xml:space="preserve"> </w:t>
      </w:r>
      <w:r w:rsidR="00442738" w:rsidRPr="008B2F56">
        <w:rPr>
          <w:rFonts w:ascii="Times New Roman" w:hAnsi="Times New Roman" w:cs="Times New Roman"/>
          <w:color w:val="000000" w:themeColor="text1"/>
          <w:sz w:val="24"/>
          <w:szCs w:val="24"/>
          <w:lang w:val="en-US"/>
        </w:rPr>
        <w:t xml:space="preserve">Article 2 of the Agreement prohibits the use of measures as a basis for quantitative restrictions on imports and discrimination between domestic and foreign products. The annex to the Agreement contains an illustrative list of measures that are unlawful, including requirements that an enterprise buys “products of domestic origin or from any domestic source” and restrictions on an enterprise’s use of imported products. As an acknowledgement that developing countries might need to resort to such measures as part of their development </w:t>
      </w:r>
      <w:r w:rsidR="00DF29F3" w:rsidRPr="008B2F56">
        <w:rPr>
          <w:rFonts w:ascii="Times New Roman" w:hAnsi="Times New Roman" w:cs="Times New Roman"/>
          <w:color w:val="000000" w:themeColor="text1"/>
          <w:sz w:val="24"/>
          <w:szCs w:val="24"/>
          <w:lang w:val="en-US"/>
        </w:rPr>
        <w:t>strategies</w:t>
      </w:r>
      <w:r w:rsidR="00442738" w:rsidRPr="008B2F56">
        <w:rPr>
          <w:rFonts w:ascii="Times New Roman" w:hAnsi="Times New Roman" w:cs="Times New Roman"/>
          <w:color w:val="000000" w:themeColor="text1"/>
          <w:sz w:val="24"/>
          <w:szCs w:val="24"/>
          <w:lang w:val="en-US"/>
        </w:rPr>
        <w:t xml:space="preserve">, </w:t>
      </w:r>
      <w:r w:rsidR="00DF29F3" w:rsidRPr="008B2F56">
        <w:rPr>
          <w:rFonts w:ascii="Times New Roman" w:hAnsi="Times New Roman" w:cs="Times New Roman"/>
          <w:color w:val="000000" w:themeColor="text1"/>
          <w:sz w:val="24"/>
          <w:szCs w:val="24"/>
          <w:lang w:val="en-US"/>
        </w:rPr>
        <w:t>art.</w:t>
      </w:r>
      <w:r w:rsidR="00E35EE0" w:rsidRPr="008B2F56">
        <w:rPr>
          <w:rFonts w:ascii="Times New Roman" w:hAnsi="Times New Roman" w:cs="Times New Roman"/>
          <w:color w:val="000000" w:themeColor="text1"/>
          <w:sz w:val="24"/>
          <w:szCs w:val="24"/>
          <w:lang w:val="en-US"/>
        </w:rPr>
        <w:t xml:space="preserve"> 4 of </w:t>
      </w:r>
      <w:r w:rsidR="00442738" w:rsidRPr="008B2F56">
        <w:rPr>
          <w:rFonts w:ascii="Times New Roman" w:hAnsi="Times New Roman" w:cs="Times New Roman"/>
          <w:color w:val="000000" w:themeColor="text1"/>
          <w:sz w:val="24"/>
          <w:szCs w:val="24"/>
          <w:lang w:val="en-US"/>
        </w:rPr>
        <w:t xml:space="preserve">the Agreement </w:t>
      </w:r>
      <w:r w:rsidR="00E35EE0" w:rsidRPr="008B2F56">
        <w:rPr>
          <w:rFonts w:ascii="Times New Roman" w:hAnsi="Times New Roman" w:cs="Times New Roman"/>
          <w:color w:val="000000" w:themeColor="text1"/>
          <w:sz w:val="24"/>
          <w:szCs w:val="24"/>
          <w:lang w:val="en-US"/>
        </w:rPr>
        <w:t xml:space="preserve">allows such members to “deviate temporarily” from </w:t>
      </w:r>
      <w:r w:rsidR="00DF29F3" w:rsidRPr="008B2F56">
        <w:rPr>
          <w:rFonts w:ascii="Times New Roman" w:hAnsi="Times New Roman" w:cs="Times New Roman"/>
          <w:color w:val="000000" w:themeColor="text1"/>
          <w:sz w:val="24"/>
          <w:szCs w:val="24"/>
          <w:lang w:val="en-US"/>
        </w:rPr>
        <w:t>art.</w:t>
      </w:r>
      <w:r w:rsidR="00E35EE0" w:rsidRPr="008B2F56">
        <w:rPr>
          <w:rFonts w:ascii="Times New Roman" w:hAnsi="Times New Roman" w:cs="Times New Roman"/>
          <w:color w:val="000000" w:themeColor="text1"/>
          <w:sz w:val="24"/>
          <w:szCs w:val="24"/>
          <w:lang w:val="en-US"/>
        </w:rPr>
        <w:t xml:space="preserve"> 2</w:t>
      </w:r>
      <w:r w:rsidR="00DF29F3" w:rsidRPr="008B2F56">
        <w:rPr>
          <w:rFonts w:ascii="Times New Roman" w:hAnsi="Times New Roman" w:cs="Times New Roman"/>
          <w:color w:val="000000" w:themeColor="text1"/>
          <w:sz w:val="24"/>
          <w:szCs w:val="24"/>
          <w:lang w:val="en-US"/>
        </w:rPr>
        <w:t>. Moreover, art.</w:t>
      </w:r>
      <w:r w:rsidR="0035296C" w:rsidRPr="008B2F56">
        <w:rPr>
          <w:rFonts w:ascii="Times New Roman" w:hAnsi="Times New Roman" w:cs="Times New Roman"/>
          <w:color w:val="000000" w:themeColor="text1"/>
          <w:sz w:val="24"/>
          <w:szCs w:val="24"/>
          <w:lang w:val="en-US"/>
        </w:rPr>
        <w:t xml:space="preserve"> </w:t>
      </w:r>
      <w:r w:rsidR="00DF29F3" w:rsidRPr="008B2F56">
        <w:rPr>
          <w:rFonts w:ascii="Times New Roman" w:hAnsi="Times New Roman" w:cs="Times New Roman"/>
          <w:color w:val="000000" w:themeColor="text1"/>
          <w:sz w:val="24"/>
          <w:szCs w:val="24"/>
          <w:lang w:val="en-US"/>
        </w:rPr>
        <w:t xml:space="preserve">5 </w:t>
      </w:r>
      <w:r w:rsidR="0035296C" w:rsidRPr="008B2F56">
        <w:rPr>
          <w:rFonts w:ascii="Times New Roman" w:hAnsi="Times New Roman" w:cs="Times New Roman"/>
          <w:color w:val="000000" w:themeColor="text1"/>
          <w:sz w:val="24"/>
          <w:szCs w:val="24"/>
          <w:lang w:val="en-US"/>
        </w:rPr>
        <w:t>provides for a flexible transition period for developing and least developed members</w:t>
      </w:r>
      <w:r w:rsidR="00E35EE0" w:rsidRPr="008B2F56">
        <w:rPr>
          <w:rFonts w:ascii="Times New Roman" w:hAnsi="Times New Roman" w:cs="Times New Roman"/>
          <w:color w:val="000000" w:themeColor="text1"/>
          <w:sz w:val="24"/>
          <w:szCs w:val="24"/>
          <w:lang w:val="en-US"/>
        </w:rPr>
        <w:t>.</w:t>
      </w:r>
      <w:r w:rsidR="00552ED8" w:rsidRPr="008B2F56">
        <w:rPr>
          <w:rFonts w:ascii="Times New Roman" w:hAnsi="Times New Roman" w:cs="Times New Roman"/>
          <w:color w:val="000000" w:themeColor="text1"/>
          <w:sz w:val="24"/>
          <w:szCs w:val="24"/>
          <w:lang w:val="en-US"/>
        </w:rPr>
        <w:t xml:space="preserve"> </w:t>
      </w:r>
    </w:p>
    <w:p w14:paraId="3C49ED10" w14:textId="545E98A0" w:rsidR="00E95EDF" w:rsidRPr="008B2F56" w:rsidRDefault="00DF29F3"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One proxy for the effectiveness and impact of the TRIMS Agreement is the extent to which countries bring cases to the WTO Dispute Settlement Mechanism in which they rely on the Agreement. Less than </w:t>
      </w:r>
      <w:r w:rsidR="003E1810" w:rsidRPr="008B2F56">
        <w:rPr>
          <w:rFonts w:ascii="Times New Roman" w:hAnsi="Times New Roman" w:cs="Times New Roman"/>
          <w:color w:val="000000" w:themeColor="text1"/>
          <w:sz w:val="24"/>
          <w:szCs w:val="24"/>
          <w:lang w:val="en-US"/>
        </w:rPr>
        <w:t>five</w:t>
      </w:r>
      <w:r w:rsidRPr="008B2F56">
        <w:rPr>
          <w:rFonts w:ascii="Times New Roman" w:hAnsi="Times New Roman" w:cs="Times New Roman"/>
          <w:color w:val="000000" w:themeColor="text1"/>
          <w:sz w:val="24"/>
          <w:szCs w:val="24"/>
          <w:lang w:val="en-US"/>
        </w:rPr>
        <w:t xml:space="preserve"> per cent of the cases </w:t>
      </w:r>
      <w:r w:rsidR="00AC460B" w:rsidRPr="008B2F56">
        <w:rPr>
          <w:rFonts w:ascii="Times New Roman" w:hAnsi="Times New Roman" w:cs="Times New Roman"/>
          <w:color w:val="000000" w:themeColor="text1"/>
          <w:sz w:val="24"/>
          <w:szCs w:val="24"/>
          <w:lang w:val="en-US"/>
        </w:rPr>
        <w:t xml:space="preserve">formally registered with the WTO DSM </w:t>
      </w:r>
      <w:r w:rsidRPr="008B2F56">
        <w:rPr>
          <w:rFonts w:ascii="Times New Roman" w:hAnsi="Times New Roman" w:cs="Times New Roman"/>
          <w:color w:val="000000" w:themeColor="text1"/>
          <w:sz w:val="24"/>
          <w:szCs w:val="24"/>
          <w:lang w:val="en-US"/>
        </w:rPr>
        <w:t xml:space="preserve">mention the Agreement, and the number of cases </w:t>
      </w:r>
      <w:r w:rsidR="007C4F0B" w:rsidRPr="008B2F56">
        <w:rPr>
          <w:rFonts w:ascii="Times New Roman" w:hAnsi="Times New Roman" w:cs="Times New Roman"/>
          <w:color w:val="000000" w:themeColor="text1"/>
          <w:sz w:val="24"/>
          <w:szCs w:val="24"/>
          <w:lang w:val="en-US"/>
        </w:rPr>
        <w:t xml:space="preserve">has </w:t>
      </w:r>
      <w:r w:rsidR="00967008" w:rsidRPr="008B2F56">
        <w:rPr>
          <w:rFonts w:ascii="Times New Roman" w:hAnsi="Times New Roman" w:cs="Times New Roman"/>
          <w:color w:val="000000" w:themeColor="text1"/>
          <w:sz w:val="24"/>
          <w:szCs w:val="24"/>
          <w:lang w:val="en-US"/>
        </w:rPr>
        <w:t xml:space="preserve">varied significantly, </w:t>
      </w:r>
      <w:r w:rsidR="007C4F0B" w:rsidRPr="008B2F56">
        <w:rPr>
          <w:rFonts w:ascii="Times New Roman" w:hAnsi="Times New Roman" w:cs="Times New Roman"/>
          <w:color w:val="000000" w:themeColor="text1"/>
          <w:sz w:val="24"/>
          <w:szCs w:val="24"/>
          <w:lang w:val="en-US"/>
        </w:rPr>
        <w:t>and</w:t>
      </w:r>
      <w:r w:rsidR="00967008" w:rsidRPr="008B2F56">
        <w:rPr>
          <w:rFonts w:ascii="Times New Roman" w:hAnsi="Times New Roman" w:cs="Times New Roman"/>
          <w:color w:val="000000" w:themeColor="text1"/>
          <w:sz w:val="24"/>
          <w:szCs w:val="24"/>
          <w:lang w:val="en-US"/>
        </w:rPr>
        <w:t xml:space="preserve"> m</w:t>
      </w:r>
      <w:r w:rsidR="007C4F0B" w:rsidRPr="008B2F56">
        <w:rPr>
          <w:rFonts w:ascii="Times New Roman" w:hAnsi="Times New Roman" w:cs="Times New Roman"/>
          <w:color w:val="000000" w:themeColor="text1"/>
          <w:sz w:val="24"/>
          <w:szCs w:val="24"/>
          <w:lang w:val="en-US"/>
        </w:rPr>
        <w:t>ight</w:t>
      </w:r>
      <w:r w:rsidR="00967008" w:rsidRPr="008B2F56">
        <w:rPr>
          <w:rFonts w:ascii="Times New Roman" w:hAnsi="Times New Roman" w:cs="Times New Roman"/>
          <w:color w:val="000000" w:themeColor="text1"/>
          <w:sz w:val="24"/>
          <w:szCs w:val="24"/>
          <w:lang w:val="en-US"/>
        </w:rPr>
        <w:t xml:space="preserve"> seem to follow</w:t>
      </w:r>
      <w:r w:rsidR="00552ED8" w:rsidRPr="008B2F56">
        <w:rPr>
          <w:rFonts w:ascii="Times New Roman" w:hAnsi="Times New Roman" w:cs="Times New Roman"/>
          <w:color w:val="000000" w:themeColor="text1"/>
          <w:sz w:val="24"/>
          <w:szCs w:val="24"/>
          <w:lang w:val="en-US"/>
        </w:rPr>
        <w:t xml:space="preserve"> a downward trend (</w:t>
      </w:r>
      <w:r w:rsidR="00F768C2" w:rsidRPr="008B2F56">
        <w:rPr>
          <w:rFonts w:ascii="Times New Roman" w:hAnsi="Times New Roman" w:cs="Times New Roman"/>
          <w:color w:val="000000" w:themeColor="text1"/>
          <w:sz w:val="24"/>
          <w:szCs w:val="24"/>
          <w:lang w:val="en-US"/>
        </w:rPr>
        <w:t>see f</w:t>
      </w:r>
      <w:r w:rsidR="00552ED8" w:rsidRPr="008B2F56">
        <w:rPr>
          <w:rFonts w:ascii="Times New Roman" w:hAnsi="Times New Roman" w:cs="Times New Roman"/>
          <w:color w:val="000000" w:themeColor="text1"/>
          <w:sz w:val="24"/>
          <w:szCs w:val="24"/>
          <w:lang w:val="en-US"/>
        </w:rPr>
        <w:t>igure 1).</w:t>
      </w:r>
      <w:r w:rsidRPr="008B2F56">
        <w:rPr>
          <w:rFonts w:ascii="Times New Roman" w:hAnsi="Times New Roman" w:cs="Times New Roman"/>
          <w:color w:val="000000" w:themeColor="text1"/>
          <w:sz w:val="24"/>
          <w:szCs w:val="24"/>
          <w:lang w:val="en-US"/>
        </w:rPr>
        <w:t xml:space="preserve"> Consequently, we may question whether the TRIMS Agreement so far </w:t>
      </w:r>
      <w:r w:rsidR="001216AB" w:rsidRPr="008B2F56">
        <w:rPr>
          <w:rFonts w:ascii="Times New Roman" w:hAnsi="Times New Roman" w:cs="Times New Roman"/>
          <w:color w:val="000000" w:themeColor="text1"/>
          <w:sz w:val="24"/>
          <w:szCs w:val="24"/>
          <w:lang w:val="en-US"/>
        </w:rPr>
        <w:t xml:space="preserve">in practice </w:t>
      </w:r>
      <w:r w:rsidRPr="008B2F56">
        <w:rPr>
          <w:rFonts w:ascii="Times New Roman" w:hAnsi="Times New Roman" w:cs="Times New Roman"/>
          <w:color w:val="000000" w:themeColor="text1"/>
          <w:sz w:val="24"/>
          <w:szCs w:val="24"/>
          <w:lang w:val="en-US"/>
        </w:rPr>
        <w:t>has represented any significant restriction on developing countries’ policy space</w:t>
      </w:r>
      <w:r w:rsidR="001216AB" w:rsidRPr="008B2F56">
        <w:rPr>
          <w:rFonts w:ascii="Times New Roman" w:hAnsi="Times New Roman" w:cs="Times New Roman"/>
          <w:color w:val="000000" w:themeColor="text1"/>
          <w:sz w:val="24"/>
          <w:szCs w:val="24"/>
          <w:lang w:val="en-US"/>
        </w:rPr>
        <w:t xml:space="preserve"> or is likely to do so in the future</w:t>
      </w:r>
      <w:r w:rsidRPr="008B2F56">
        <w:rPr>
          <w:rFonts w:ascii="Times New Roman" w:hAnsi="Times New Roman" w:cs="Times New Roman"/>
          <w:color w:val="000000" w:themeColor="text1"/>
          <w:sz w:val="24"/>
          <w:szCs w:val="24"/>
          <w:lang w:val="en-US"/>
        </w:rPr>
        <w:t>.</w:t>
      </w:r>
    </w:p>
    <w:p w14:paraId="1315B1E5" w14:textId="50E3C74A" w:rsidR="00967008" w:rsidRPr="008B2F56" w:rsidRDefault="00967008" w:rsidP="008D76EF">
      <w:pPr>
        <w:pStyle w:val="Heading3"/>
        <w:jc w:val="both"/>
        <w:rPr>
          <w:rFonts w:ascii="Times New Roman" w:hAnsi="Times New Roman" w:cs="Times New Roman"/>
          <w:lang w:val="en-US"/>
        </w:rPr>
      </w:pPr>
      <w:r w:rsidRPr="008B2F56">
        <w:rPr>
          <w:rFonts w:ascii="Times New Roman" w:hAnsi="Times New Roman" w:cs="Times New Roman"/>
          <w:lang w:val="en-US"/>
        </w:rPr>
        <w:lastRenderedPageBreak/>
        <w:t xml:space="preserve">Figure 1: Number of </w:t>
      </w:r>
      <w:r w:rsidR="007C4F0B" w:rsidRPr="008B2F56">
        <w:rPr>
          <w:rFonts w:ascii="Times New Roman" w:hAnsi="Times New Roman" w:cs="Times New Roman"/>
          <w:lang w:val="en-US"/>
        </w:rPr>
        <w:t>cases</w:t>
      </w:r>
      <w:r w:rsidRPr="008B2F56">
        <w:rPr>
          <w:rFonts w:ascii="Times New Roman" w:hAnsi="Times New Roman" w:cs="Times New Roman"/>
          <w:lang w:val="en-US"/>
        </w:rPr>
        <w:t xml:space="preserve"> invoking </w:t>
      </w:r>
      <w:r w:rsidR="00C048DE" w:rsidRPr="008B2F56">
        <w:rPr>
          <w:rFonts w:ascii="Times New Roman" w:hAnsi="Times New Roman" w:cs="Times New Roman"/>
          <w:lang w:val="en-US"/>
        </w:rPr>
        <w:t>provisions</w:t>
      </w:r>
      <w:r w:rsidRPr="008B2F56">
        <w:rPr>
          <w:rFonts w:ascii="Times New Roman" w:hAnsi="Times New Roman" w:cs="Times New Roman"/>
          <w:lang w:val="en-US"/>
        </w:rPr>
        <w:t xml:space="preserve"> of the TRIMS Agreement</w:t>
      </w:r>
      <w:r w:rsidRPr="008B2F56">
        <w:rPr>
          <w:rStyle w:val="FootnoteReference"/>
          <w:rFonts w:ascii="Times New Roman" w:hAnsi="Times New Roman" w:cs="Times New Roman"/>
        </w:rPr>
        <w:footnoteReference w:id="34"/>
      </w:r>
    </w:p>
    <w:p w14:paraId="15B54FCB" w14:textId="29CC24F9" w:rsidR="00552ED8" w:rsidRPr="008B2F56" w:rsidRDefault="00552ED8"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noProof/>
          <w:color w:val="000000" w:themeColor="text1"/>
          <w:sz w:val="24"/>
          <w:szCs w:val="24"/>
          <w:lang w:val="nb-NO" w:eastAsia="nb-NO"/>
        </w:rPr>
        <w:drawing>
          <wp:inline distT="0" distB="0" distL="0" distR="0" wp14:anchorId="17B32499" wp14:editId="373AFB9D">
            <wp:extent cx="5486400" cy="1726387"/>
            <wp:effectExtent l="0" t="0" r="0" b="762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FF7F55" w14:textId="36B25112" w:rsidR="0005252A" w:rsidRPr="008B2F56" w:rsidRDefault="00CA3121"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Finally, the WTO has become </w:t>
      </w:r>
      <w:r w:rsidR="00DA4A73" w:rsidRPr="008B2F56">
        <w:rPr>
          <w:rFonts w:ascii="Times New Roman" w:hAnsi="Times New Roman" w:cs="Times New Roman"/>
          <w:color w:val="000000" w:themeColor="text1"/>
          <w:sz w:val="24"/>
          <w:szCs w:val="24"/>
          <w:lang w:val="en-US"/>
        </w:rPr>
        <w:t xml:space="preserve">a </w:t>
      </w:r>
      <w:r w:rsidRPr="008B2F56">
        <w:rPr>
          <w:rFonts w:ascii="Times New Roman" w:hAnsi="Times New Roman" w:cs="Times New Roman"/>
          <w:color w:val="000000" w:themeColor="text1"/>
          <w:sz w:val="24"/>
          <w:szCs w:val="24"/>
          <w:lang w:val="en-US"/>
        </w:rPr>
        <w:t xml:space="preserve">significant </w:t>
      </w:r>
      <w:r w:rsidR="004A15CC" w:rsidRPr="008B2F56">
        <w:rPr>
          <w:rFonts w:ascii="Times New Roman" w:hAnsi="Times New Roman" w:cs="Times New Roman"/>
          <w:color w:val="000000" w:themeColor="text1"/>
          <w:sz w:val="24"/>
          <w:szCs w:val="24"/>
          <w:lang w:val="en-US"/>
        </w:rPr>
        <w:t xml:space="preserve">factor to consider </w:t>
      </w:r>
      <w:r w:rsidRPr="008B2F56">
        <w:rPr>
          <w:rFonts w:ascii="Times New Roman" w:hAnsi="Times New Roman" w:cs="Times New Roman"/>
          <w:color w:val="000000" w:themeColor="text1"/>
          <w:sz w:val="24"/>
          <w:szCs w:val="24"/>
          <w:lang w:val="en-US"/>
        </w:rPr>
        <w:t xml:space="preserve">in </w:t>
      </w:r>
      <w:r w:rsidR="004A15CC" w:rsidRPr="008B2F56">
        <w:rPr>
          <w:rFonts w:ascii="Times New Roman" w:hAnsi="Times New Roman" w:cs="Times New Roman"/>
          <w:color w:val="000000" w:themeColor="text1"/>
          <w:sz w:val="24"/>
          <w:szCs w:val="24"/>
          <w:lang w:val="en-US"/>
        </w:rPr>
        <w:t xml:space="preserve">the context of </w:t>
      </w:r>
      <w:r w:rsidRPr="008B2F56">
        <w:rPr>
          <w:rFonts w:ascii="Times New Roman" w:hAnsi="Times New Roman" w:cs="Times New Roman"/>
          <w:color w:val="000000" w:themeColor="text1"/>
          <w:sz w:val="24"/>
          <w:szCs w:val="24"/>
          <w:lang w:val="en-US"/>
        </w:rPr>
        <w:t>developing countries’ access to technology and know-how</w:t>
      </w:r>
      <w:r w:rsidR="00E25E01" w:rsidRPr="008B2F56">
        <w:rPr>
          <w:rFonts w:ascii="Times New Roman" w:hAnsi="Times New Roman" w:cs="Times New Roman"/>
          <w:color w:val="000000" w:themeColor="text1"/>
          <w:sz w:val="24"/>
          <w:szCs w:val="24"/>
          <w:lang w:val="en-US"/>
        </w:rPr>
        <w:t>, a topic addressed by SDG targets 17.6 to 17.8</w:t>
      </w:r>
      <w:r w:rsidR="004A15CC" w:rsidRPr="008B2F56">
        <w:rPr>
          <w:rFonts w:ascii="Times New Roman" w:hAnsi="Times New Roman" w:cs="Times New Roman"/>
          <w:color w:val="000000" w:themeColor="text1"/>
          <w:sz w:val="24"/>
          <w:szCs w:val="24"/>
          <w:lang w:val="en-US"/>
        </w:rPr>
        <w:t>.</w:t>
      </w:r>
      <w:r w:rsidRPr="008B2F56">
        <w:rPr>
          <w:rFonts w:ascii="Times New Roman" w:hAnsi="Times New Roman" w:cs="Times New Roman"/>
          <w:color w:val="000000" w:themeColor="text1"/>
          <w:sz w:val="24"/>
          <w:szCs w:val="24"/>
          <w:lang w:val="en-US"/>
        </w:rPr>
        <w:t xml:space="preserve"> </w:t>
      </w:r>
      <w:r w:rsidR="004A15CC" w:rsidRPr="008B2F56">
        <w:rPr>
          <w:rFonts w:ascii="Times New Roman" w:hAnsi="Times New Roman" w:cs="Times New Roman"/>
          <w:color w:val="000000" w:themeColor="text1"/>
          <w:sz w:val="24"/>
          <w:szCs w:val="24"/>
          <w:lang w:val="en-US"/>
        </w:rPr>
        <w:t xml:space="preserve">In particular, the </w:t>
      </w:r>
      <w:r w:rsidRPr="008B2F56">
        <w:rPr>
          <w:rFonts w:ascii="Times New Roman" w:hAnsi="Times New Roman" w:cs="Times New Roman"/>
          <w:color w:val="000000" w:themeColor="text1"/>
          <w:sz w:val="24"/>
          <w:szCs w:val="24"/>
          <w:lang w:val="en-US"/>
        </w:rPr>
        <w:t>Agreement on Trade-Related Intellectual Property R</w:t>
      </w:r>
      <w:r w:rsidR="00246F06" w:rsidRPr="008B2F56">
        <w:rPr>
          <w:rFonts w:ascii="Times New Roman" w:hAnsi="Times New Roman" w:cs="Times New Roman"/>
          <w:color w:val="000000" w:themeColor="text1"/>
          <w:sz w:val="24"/>
          <w:szCs w:val="24"/>
          <w:lang w:val="en-US"/>
        </w:rPr>
        <w:t>ights</w:t>
      </w:r>
      <w:r w:rsidRPr="008B2F56">
        <w:rPr>
          <w:rFonts w:ascii="Times New Roman" w:hAnsi="Times New Roman" w:cs="Times New Roman"/>
          <w:color w:val="000000" w:themeColor="text1"/>
          <w:sz w:val="24"/>
          <w:szCs w:val="24"/>
          <w:lang w:val="en-US"/>
        </w:rPr>
        <w:t xml:space="preserve"> </w:t>
      </w:r>
      <w:r w:rsidR="004B5B83" w:rsidRPr="008B2F56">
        <w:rPr>
          <w:rFonts w:ascii="Times New Roman" w:hAnsi="Times New Roman" w:cs="Times New Roman"/>
          <w:color w:val="000000" w:themeColor="text1"/>
          <w:sz w:val="24"/>
          <w:szCs w:val="24"/>
          <w:lang w:val="en-US"/>
        </w:rPr>
        <w:t xml:space="preserve">(TRIPS) </w:t>
      </w:r>
      <w:r w:rsidR="004A15CC" w:rsidRPr="008B2F56">
        <w:rPr>
          <w:rFonts w:ascii="Times New Roman" w:hAnsi="Times New Roman" w:cs="Times New Roman"/>
          <w:color w:val="000000" w:themeColor="text1"/>
          <w:sz w:val="24"/>
          <w:szCs w:val="24"/>
          <w:lang w:val="en-US"/>
        </w:rPr>
        <w:t>contains</w:t>
      </w:r>
      <w:r w:rsidRPr="008B2F56">
        <w:rPr>
          <w:rFonts w:ascii="Times New Roman" w:hAnsi="Times New Roman" w:cs="Times New Roman"/>
          <w:color w:val="000000" w:themeColor="text1"/>
          <w:sz w:val="24"/>
          <w:szCs w:val="24"/>
          <w:lang w:val="en-US"/>
        </w:rPr>
        <w:t xml:space="preserve"> </w:t>
      </w:r>
      <w:r w:rsidR="00246F06" w:rsidRPr="008B2F56">
        <w:rPr>
          <w:rFonts w:ascii="Times New Roman" w:hAnsi="Times New Roman" w:cs="Times New Roman"/>
          <w:color w:val="000000" w:themeColor="text1"/>
          <w:sz w:val="24"/>
          <w:szCs w:val="24"/>
          <w:lang w:val="en-US"/>
        </w:rPr>
        <w:t xml:space="preserve">detailed </w:t>
      </w:r>
      <w:r w:rsidRPr="008B2F56">
        <w:rPr>
          <w:rFonts w:ascii="Times New Roman" w:hAnsi="Times New Roman" w:cs="Times New Roman"/>
          <w:color w:val="000000" w:themeColor="text1"/>
          <w:sz w:val="24"/>
          <w:szCs w:val="24"/>
          <w:lang w:val="en-US"/>
        </w:rPr>
        <w:t>minimum requirements concerning protection of patents</w:t>
      </w:r>
      <w:r w:rsidR="00246F06" w:rsidRPr="008B2F56">
        <w:rPr>
          <w:rFonts w:ascii="Times New Roman" w:hAnsi="Times New Roman" w:cs="Times New Roman"/>
          <w:color w:val="000000" w:themeColor="text1"/>
          <w:sz w:val="24"/>
          <w:szCs w:val="24"/>
          <w:lang w:val="en-US"/>
        </w:rPr>
        <w:t xml:space="preserve"> (articles 27-34). </w:t>
      </w:r>
      <w:r w:rsidR="004A15CC" w:rsidRPr="008B2F56">
        <w:rPr>
          <w:rFonts w:ascii="Times New Roman" w:hAnsi="Times New Roman" w:cs="Times New Roman"/>
          <w:color w:val="000000" w:themeColor="text1"/>
          <w:sz w:val="24"/>
          <w:szCs w:val="24"/>
          <w:lang w:val="en-US"/>
        </w:rPr>
        <w:t xml:space="preserve">The Agreement acknowledges the need to take measures to “protect the public interest in sectors of vital importance to their socio-economic and technological development” and to prevent the abuse of intellectual property rights in ways that “adversely affect the international transfer of technology”, but it states that such measures have to be in compliance with the requirements of the Agreement (art. 8). The initial flexibilities admitted to developing countries have expired (art. 65). </w:t>
      </w:r>
      <w:r w:rsidR="00221F40" w:rsidRPr="008B2F56">
        <w:rPr>
          <w:rFonts w:ascii="Times New Roman" w:hAnsi="Times New Roman" w:cs="Times New Roman"/>
          <w:color w:val="000000" w:themeColor="text1"/>
          <w:sz w:val="24"/>
          <w:szCs w:val="24"/>
          <w:lang w:val="en-US"/>
        </w:rPr>
        <w:t xml:space="preserve">Making FDI conditional on transfer of technology and providing local producers with opportunities to learn from and copy foreign investors </w:t>
      </w:r>
      <w:r w:rsidR="00DA4A73" w:rsidRPr="008B2F56">
        <w:rPr>
          <w:rFonts w:ascii="Times New Roman" w:hAnsi="Times New Roman" w:cs="Times New Roman"/>
          <w:color w:val="000000" w:themeColor="text1"/>
          <w:sz w:val="24"/>
          <w:szCs w:val="24"/>
          <w:lang w:val="en-US"/>
        </w:rPr>
        <w:t>have traditionally played</w:t>
      </w:r>
      <w:r w:rsidR="00221F40" w:rsidRPr="008B2F56">
        <w:rPr>
          <w:rFonts w:ascii="Times New Roman" w:hAnsi="Times New Roman" w:cs="Times New Roman"/>
          <w:color w:val="000000" w:themeColor="text1"/>
          <w:sz w:val="24"/>
          <w:szCs w:val="24"/>
          <w:lang w:val="en-US"/>
        </w:rPr>
        <w:t xml:space="preserve"> important roles in countries’ development strategies. However, w</w:t>
      </w:r>
      <w:r w:rsidR="0005252A" w:rsidRPr="008B2F56">
        <w:rPr>
          <w:rFonts w:ascii="Times New Roman" w:hAnsi="Times New Roman" w:cs="Times New Roman"/>
          <w:color w:val="000000" w:themeColor="text1"/>
          <w:sz w:val="24"/>
          <w:szCs w:val="24"/>
          <w:lang w:val="en-US"/>
        </w:rPr>
        <w:t>hile the early years of the WTO saw a large number of disputes invoking the TRIPS Agreement, the number of such disputes seem to have stabilized on a low number (figure 2)</w:t>
      </w:r>
      <w:r w:rsidR="00053BC4" w:rsidRPr="008B2F56">
        <w:rPr>
          <w:rFonts w:ascii="Times New Roman" w:hAnsi="Times New Roman" w:cs="Times New Roman"/>
          <w:color w:val="000000" w:themeColor="text1"/>
          <w:sz w:val="24"/>
          <w:szCs w:val="24"/>
          <w:lang w:val="en-US"/>
        </w:rPr>
        <w:t>, and remain at less than five per cent of the cases brought to the WTO DSM</w:t>
      </w:r>
      <w:r w:rsidR="0005252A" w:rsidRPr="008B2F56">
        <w:rPr>
          <w:rFonts w:ascii="Times New Roman" w:hAnsi="Times New Roman" w:cs="Times New Roman"/>
          <w:color w:val="000000" w:themeColor="text1"/>
          <w:sz w:val="24"/>
          <w:szCs w:val="24"/>
          <w:lang w:val="en-US"/>
        </w:rPr>
        <w:t>.</w:t>
      </w:r>
      <w:r w:rsidR="004B5B83" w:rsidRPr="008B2F56">
        <w:rPr>
          <w:rFonts w:ascii="Times New Roman" w:hAnsi="Times New Roman" w:cs="Times New Roman"/>
          <w:color w:val="000000" w:themeColor="text1"/>
          <w:sz w:val="24"/>
          <w:szCs w:val="24"/>
          <w:lang w:val="en-US"/>
        </w:rPr>
        <w:t xml:space="preserve"> This indicate</w:t>
      </w:r>
      <w:r w:rsidR="00053BC4" w:rsidRPr="008B2F56">
        <w:rPr>
          <w:rFonts w:ascii="Times New Roman" w:hAnsi="Times New Roman" w:cs="Times New Roman"/>
          <w:color w:val="000000" w:themeColor="text1"/>
          <w:sz w:val="24"/>
          <w:szCs w:val="24"/>
          <w:lang w:val="en-US"/>
        </w:rPr>
        <w:t>s</w:t>
      </w:r>
      <w:r w:rsidR="004B5B83" w:rsidRPr="008B2F56">
        <w:rPr>
          <w:rFonts w:ascii="Times New Roman" w:hAnsi="Times New Roman" w:cs="Times New Roman"/>
          <w:color w:val="000000" w:themeColor="text1"/>
          <w:sz w:val="24"/>
          <w:szCs w:val="24"/>
          <w:lang w:val="en-US"/>
        </w:rPr>
        <w:t xml:space="preserve"> that restrictions on developing countries’ policy space flowing from the TRIPS Agreement </w:t>
      </w:r>
      <w:r w:rsidR="00053BC4" w:rsidRPr="008B2F56">
        <w:rPr>
          <w:rFonts w:ascii="Times New Roman" w:hAnsi="Times New Roman" w:cs="Times New Roman"/>
          <w:color w:val="000000" w:themeColor="text1"/>
          <w:sz w:val="24"/>
          <w:szCs w:val="24"/>
          <w:lang w:val="en-US"/>
        </w:rPr>
        <w:t>has been</w:t>
      </w:r>
      <w:r w:rsidR="004B5B83" w:rsidRPr="008B2F56">
        <w:rPr>
          <w:rFonts w:ascii="Times New Roman" w:hAnsi="Times New Roman" w:cs="Times New Roman"/>
          <w:color w:val="000000" w:themeColor="text1"/>
          <w:sz w:val="24"/>
          <w:szCs w:val="24"/>
          <w:lang w:val="en-US"/>
        </w:rPr>
        <w:t xml:space="preserve"> limited in practice.</w:t>
      </w:r>
    </w:p>
    <w:p w14:paraId="0F603828" w14:textId="77777777" w:rsidR="0005252A" w:rsidRPr="008B2F56" w:rsidRDefault="0005252A" w:rsidP="008D76EF">
      <w:pPr>
        <w:pStyle w:val="Heading3"/>
        <w:jc w:val="both"/>
        <w:rPr>
          <w:rFonts w:ascii="Times New Roman" w:hAnsi="Times New Roman" w:cs="Times New Roman"/>
          <w:lang w:val="en-US"/>
        </w:rPr>
      </w:pPr>
      <w:r w:rsidRPr="008B2F56">
        <w:rPr>
          <w:rFonts w:ascii="Times New Roman" w:hAnsi="Times New Roman" w:cs="Times New Roman"/>
          <w:lang w:val="en-US"/>
        </w:rPr>
        <w:lastRenderedPageBreak/>
        <w:t>Figure 2: Number of cases invoking provisions of the TRIPS Agreement</w:t>
      </w:r>
      <w:r w:rsidRPr="008B2F56">
        <w:rPr>
          <w:rStyle w:val="FootnoteReference"/>
          <w:rFonts w:ascii="Times New Roman" w:hAnsi="Times New Roman" w:cs="Times New Roman"/>
        </w:rPr>
        <w:footnoteReference w:id="35"/>
      </w:r>
    </w:p>
    <w:p w14:paraId="29C57C93" w14:textId="0EECD2AD" w:rsidR="0005252A" w:rsidRPr="008B2F56" w:rsidRDefault="0005252A"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noProof/>
          <w:color w:val="000000" w:themeColor="text1"/>
          <w:sz w:val="24"/>
          <w:szCs w:val="24"/>
          <w:lang w:val="nb-NO" w:eastAsia="nb-NO"/>
        </w:rPr>
        <w:drawing>
          <wp:inline distT="0" distB="0" distL="0" distR="0" wp14:anchorId="1B2200A9" wp14:editId="4A780AFB">
            <wp:extent cx="5486400" cy="1587398"/>
            <wp:effectExtent l="0" t="0" r="0" b="13335"/>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EC49982" w14:textId="0457F179" w:rsidR="00CA3121" w:rsidRPr="008B2F56" w:rsidRDefault="00221F40"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Under the TRIPS Agreement, d</w:t>
      </w:r>
      <w:r w:rsidR="00FA3883" w:rsidRPr="008B2F56">
        <w:rPr>
          <w:rFonts w:ascii="Times New Roman" w:hAnsi="Times New Roman" w:cs="Times New Roman"/>
          <w:color w:val="000000" w:themeColor="text1"/>
          <w:sz w:val="24"/>
          <w:szCs w:val="24"/>
          <w:lang w:val="en-US"/>
        </w:rPr>
        <w:t xml:space="preserve">eveloping countries’ access to medicines has been particularly </w:t>
      </w:r>
      <w:r w:rsidRPr="008B2F56">
        <w:rPr>
          <w:rFonts w:ascii="Times New Roman" w:hAnsi="Times New Roman" w:cs="Times New Roman"/>
          <w:color w:val="000000" w:themeColor="text1"/>
          <w:sz w:val="24"/>
          <w:szCs w:val="24"/>
          <w:lang w:val="en-US"/>
        </w:rPr>
        <w:t>controversial.</w:t>
      </w:r>
      <w:r w:rsidR="00FA3883" w:rsidRPr="008B2F56">
        <w:rPr>
          <w:rFonts w:ascii="Times New Roman" w:hAnsi="Times New Roman" w:cs="Times New Roman"/>
          <w:color w:val="000000" w:themeColor="text1"/>
          <w:sz w:val="24"/>
          <w:szCs w:val="24"/>
          <w:lang w:val="en-US"/>
        </w:rPr>
        <w:t xml:space="preserve"> </w:t>
      </w:r>
      <w:r w:rsidRPr="008B2F56">
        <w:rPr>
          <w:rFonts w:ascii="Times New Roman" w:hAnsi="Times New Roman" w:cs="Times New Roman"/>
          <w:color w:val="000000" w:themeColor="text1"/>
          <w:sz w:val="24"/>
          <w:szCs w:val="24"/>
          <w:lang w:val="en-US"/>
        </w:rPr>
        <w:t>A</w:t>
      </w:r>
      <w:r w:rsidR="00FA3883" w:rsidRPr="008B2F56">
        <w:rPr>
          <w:rFonts w:ascii="Times New Roman" w:hAnsi="Times New Roman" w:cs="Times New Roman"/>
          <w:color w:val="000000" w:themeColor="text1"/>
          <w:sz w:val="24"/>
          <w:szCs w:val="24"/>
          <w:lang w:val="en-US"/>
        </w:rPr>
        <w:t xml:space="preserve">t the Ministerial Conference in Doha in 2001, WTO members </w:t>
      </w:r>
      <w:r w:rsidR="002E311D" w:rsidRPr="008B2F56">
        <w:rPr>
          <w:rFonts w:ascii="Times New Roman" w:hAnsi="Times New Roman" w:cs="Times New Roman"/>
          <w:color w:val="000000" w:themeColor="text1"/>
          <w:sz w:val="24"/>
          <w:szCs w:val="24"/>
          <w:lang w:val="en-US"/>
        </w:rPr>
        <w:t>agreed</w:t>
      </w:r>
      <w:r w:rsidR="00FA3883" w:rsidRPr="008B2F56">
        <w:rPr>
          <w:rFonts w:ascii="Times New Roman" w:hAnsi="Times New Roman" w:cs="Times New Roman"/>
          <w:color w:val="000000" w:themeColor="text1"/>
          <w:sz w:val="24"/>
          <w:szCs w:val="24"/>
          <w:lang w:val="en-US"/>
        </w:rPr>
        <w:t xml:space="preserve"> that </w:t>
      </w:r>
      <w:r w:rsidR="002E311D" w:rsidRPr="008B2F56">
        <w:rPr>
          <w:rFonts w:ascii="Times New Roman" w:hAnsi="Times New Roman" w:cs="Times New Roman"/>
          <w:color w:val="000000" w:themeColor="text1"/>
          <w:sz w:val="24"/>
          <w:szCs w:val="24"/>
          <w:lang w:val="en-US"/>
        </w:rPr>
        <w:t xml:space="preserve">the Agreement </w:t>
      </w:r>
      <w:r w:rsidR="00FA3883" w:rsidRPr="008B2F56">
        <w:rPr>
          <w:rFonts w:ascii="Times New Roman" w:hAnsi="Times New Roman" w:cs="Times New Roman"/>
          <w:color w:val="000000" w:themeColor="text1"/>
          <w:sz w:val="24"/>
          <w:szCs w:val="24"/>
          <w:lang w:val="en-US"/>
        </w:rPr>
        <w:t>“</w:t>
      </w:r>
      <w:r w:rsidR="002E311D" w:rsidRPr="008B2F56">
        <w:rPr>
          <w:rFonts w:ascii="Times New Roman" w:hAnsi="Times New Roman" w:cs="Times New Roman"/>
          <w:color w:val="000000" w:themeColor="text1"/>
          <w:sz w:val="24"/>
          <w:szCs w:val="24"/>
          <w:lang w:val="en-US"/>
        </w:rPr>
        <w:t xml:space="preserve">does not and should not prevent members from taking measures to protect public health.” Of particular importance </w:t>
      </w:r>
      <w:r w:rsidRPr="008B2F56">
        <w:rPr>
          <w:rFonts w:ascii="Times New Roman" w:hAnsi="Times New Roman" w:cs="Times New Roman"/>
          <w:color w:val="000000" w:themeColor="text1"/>
          <w:sz w:val="24"/>
          <w:szCs w:val="24"/>
          <w:lang w:val="en-US"/>
        </w:rPr>
        <w:t>are</w:t>
      </w:r>
      <w:r w:rsidR="002E311D" w:rsidRPr="008B2F56">
        <w:rPr>
          <w:rFonts w:ascii="Times New Roman" w:hAnsi="Times New Roman" w:cs="Times New Roman"/>
          <w:color w:val="000000" w:themeColor="text1"/>
          <w:sz w:val="24"/>
          <w:szCs w:val="24"/>
          <w:lang w:val="en-US"/>
        </w:rPr>
        <w:t xml:space="preserve"> statements regarding the interpretation of articles 31 (compulsory licenses) and 73 (security exceptions). The Declaration states that </w:t>
      </w:r>
      <w:r w:rsidR="00F61E06" w:rsidRPr="008B2F56">
        <w:rPr>
          <w:rFonts w:ascii="Times New Roman" w:hAnsi="Times New Roman" w:cs="Times New Roman"/>
          <w:color w:val="000000" w:themeColor="text1"/>
          <w:sz w:val="24"/>
          <w:szCs w:val="24"/>
          <w:lang w:val="en-US"/>
        </w:rPr>
        <w:t>members have “the right to grant compulsory licences and the freedom to determine the grounds upon which such licences are granted” and “the right to determine what constitutes a national emergency or other circumstances of extreme urgency, it being understood that public health crises … can represent a national emergency or other circumstances of extreme urgency.”</w:t>
      </w:r>
      <w:r w:rsidR="00F61E06" w:rsidRPr="008B2F56">
        <w:rPr>
          <w:rStyle w:val="FootnoteReference"/>
          <w:rFonts w:ascii="Times New Roman" w:hAnsi="Times New Roman" w:cs="Times New Roman"/>
        </w:rPr>
        <w:footnoteReference w:id="36"/>
      </w:r>
      <w:r w:rsidR="00F61E06" w:rsidRPr="008B2F56">
        <w:rPr>
          <w:rFonts w:ascii="Times New Roman" w:hAnsi="Times New Roman" w:cs="Times New Roman"/>
          <w:color w:val="000000" w:themeColor="text1"/>
          <w:sz w:val="24"/>
          <w:szCs w:val="24"/>
          <w:lang w:val="en-US"/>
        </w:rPr>
        <w:t xml:space="preserve"> </w:t>
      </w:r>
      <w:r w:rsidR="009270DF" w:rsidRPr="008B2F56">
        <w:rPr>
          <w:rFonts w:ascii="Times New Roman" w:hAnsi="Times New Roman" w:cs="Times New Roman"/>
          <w:color w:val="000000" w:themeColor="text1"/>
          <w:sz w:val="24"/>
          <w:szCs w:val="24"/>
          <w:lang w:val="en-US"/>
        </w:rPr>
        <w:t xml:space="preserve">However, this decision did not address the problem that many developing countries would be unable to benefit from compulsory licenses and emergency measures due to lack of technological ability. </w:t>
      </w:r>
      <w:r w:rsidRPr="008B2F56">
        <w:rPr>
          <w:rFonts w:ascii="Times New Roman" w:hAnsi="Times New Roman" w:cs="Times New Roman"/>
          <w:color w:val="000000" w:themeColor="text1"/>
          <w:sz w:val="24"/>
          <w:szCs w:val="24"/>
          <w:lang w:val="en-US"/>
        </w:rPr>
        <w:t>Therefore, in 2003</w:t>
      </w:r>
      <w:r w:rsidR="003E2001" w:rsidRPr="008B2F56">
        <w:rPr>
          <w:rFonts w:ascii="Times New Roman" w:hAnsi="Times New Roman" w:cs="Times New Roman"/>
          <w:color w:val="000000" w:themeColor="text1"/>
          <w:sz w:val="24"/>
          <w:szCs w:val="24"/>
          <w:lang w:val="en-US"/>
        </w:rPr>
        <w:t xml:space="preserve"> the </w:t>
      </w:r>
      <w:r w:rsidRPr="008B2F56">
        <w:rPr>
          <w:rFonts w:ascii="Times New Roman" w:hAnsi="Times New Roman" w:cs="Times New Roman"/>
          <w:color w:val="000000" w:themeColor="text1"/>
          <w:sz w:val="24"/>
          <w:szCs w:val="24"/>
          <w:lang w:val="en-US"/>
        </w:rPr>
        <w:t xml:space="preserve">WTO </w:t>
      </w:r>
      <w:r w:rsidR="00C35760" w:rsidRPr="008B2F56">
        <w:rPr>
          <w:rFonts w:ascii="Times New Roman" w:hAnsi="Times New Roman" w:cs="Times New Roman"/>
          <w:color w:val="000000" w:themeColor="text1"/>
          <w:sz w:val="24"/>
          <w:szCs w:val="24"/>
          <w:lang w:val="en-US"/>
        </w:rPr>
        <w:t>General Council adopted a waiver that allowed countries to export pharmaceutical products that had been subject to compulsory licensing.</w:t>
      </w:r>
      <w:r w:rsidR="00C35760" w:rsidRPr="008B2F56">
        <w:rPr>
          <w:rStyle w:val="FootnoteReference"/>
          <w:rFonts w:ascii="Times New Roman" w:hAnsi="Times New Roman" w:cs="Times New Roman"/>
        </w:rPr>
        <w:footnoteReference w:id="37"/>
      </w:r>
      <w:r w:rsidR="00C35760" w:rsidRPr="008B2F56">
        <w:rPr>
          <w:rFonts w:ascii="Times New Roman" w:hAnsi="Times New Roman" w:cs="Times New Roman"/>
          <w:color w:val="000000" w:themeColor="text1"/>
          <w:sz w:val="24"/>
          <w:szCs w:val="24"/>
          <w:lang w:val="en-US"/>
        </w:rPr>
        <w:t xml:space="preserve"> </w:t>
      </w:r>
      <w:r w:rsidR="009270DF" w:rsidRPr="008B2F56">
        <w:rPr>
          <w:rFonts w:ascii="Times New Roman" w:hAnsi="Times New Roman" w:cs="Times New Roman"/>
          <w:color w:val="000000" w:themeColor="text1"/>
          <w:sz w:val="24"/>
          <w:szCs w:val="24"/>
          <w:lang w:val="en-US"/>
        </w:rPr>
        <w:t xml:space="preserve">Continuing discussions of this issue resulted in the addition to the TRIPS Agreement of a provision </w:t>
      </w:r>
      <w:r w:rsidR="00215DAA" w:rsidRPr="008B2F56">
        <w:rPr>
          <w:rFonts w:ascii="Times New Roman" w:hAnsi="Times New Roman" w:cs="Times New Roman"/>
          <w:color w:val="000000" w:themeColor="text1"/>
          <w:sz w:val="24"/>
          <w:szCs w:val="24"/>
          <w:lang w:val="en-US"/>
        </w:rPr>
        <w:t xml:space="preserve">allowing the exportation of pharmaceutical products that have been subject to compulsory licensing to LDCs and other countries having notified the WTO (art. 31 bis and annex). The amendment was adopted in 2005, and did finally enter into force </w:t>
      </w:r>
      <w:r w:rsidRPr="008B2F56">
        <w:rPr>
          <w:rFonts w:ascii="Times New Roman" w:hAnsi="Times New Roman" w:cs="Times New Roman"/>
          <w:color w:val="000000" w:themeColor="text1"/>
          <w:sz w:val="24"/>
          <w:szCs w:val="24"/>
          <w:lang w:val="en-US"/>
        </w:rPr>
        <w:t>in</w:t>
      </w:r>
      <w:r w:rsidR="00215DAA" w:rsidRPr="008B2F56">
        <w:rPr>
          <w:rFonts w:ascii="Times New Roman" w:hAnsi="Times New Roman" w:cs="Times New Roman"/>
          <w:color w:val="000000" w:themeColor="text1"/>
          <w:sz w:val="24"/>
          <w:szCs w:val="24"/>
          <w:lang w:val="en-US"/>
        </w:rPr>
        <w:t xml:space="preserve"> 2017. </w:t>
      </w:r>
      <w:r w:rsidR="003E2001" w:rsidRPr="008B2F56">
        <w:rPr>
          <w:rFonts w:ascii="Times New Roman" w:hAnsi="Times New Roman" w:cs="Times New Roman"/>
          <w:color w:val="000000" w:themeColor="text1"/>
          <w:sz w:val="24"/>
          <w:szCs w:val="24"/>
          <w:lang w:val="en-US"/>
        </w:rPr>
        <w:t xml:space="preserve">It is </w:t>
      </w:r>
      <w:r w:rsidRPr="008B2F56">
        <w:rPr>
          <w:rFonts w:ascii="Times New Roman" w:hAnsi="Times New Roman" w:cs="Times New Roman"/>
          <w:color w:val="000000" w:themeColor="text1"/>
          <w:sz w:val="24"/>
          <w:szCs w:val="24"/>
          <w:lang w:val="en-US"/>
        </w:rPr>
        <w:t xml:space="preserve">remarkable </w:t>
      </w:r>
      <w:r w:rsidR="003E2001" w:rsidRPr="008B2F56">
        <w:rPr>
          <w:rFonts w:ascii="Times New Roman" w:hAnsi="Times New Roman" w:cs="Times New Roman"/>
          <w:color w:val="000000" w:themeColor="text1"/>
          <w:sz w:val="24"/>
          <w:szCs w:val="24"/>
          <w:lang w:val="en-US"/>
        </w:rPr>
        <w:t xml:space="preserve">that developed country WTO members were the first to accept the amendment and that </w:t>
      </w:r>
      <w:r w:rsidR="0072396C" w:rsidRPr="008B2F56">
        <w:rPr>
          <w:rFonts w:ascii="Times New Roman" w:hAnsi="Times New Roman" w:cs="Times New Roman"/>
          <w:color w:val="000000" w:themeColor="text1"/>
          <w:sz w:val="24"/>
          <w:szCs w:val="24"/>
          <w:lang w:val="en-US"/>
        </w:rPr>
        <w:t>the majority of</w:t>
      </w:r>
      <w:r w:rsidR="003E2001" w:rsidRPr="008B2F56">
        <w:rPr>
          <w:rFonts w:ascii="Times New Roman" w:hAnsi="Times New Roman" w:cs="Times New Roman"/>
          <w:color w:val="000000" w:themeColor="text1"/>
          <w:sz w:val="24"/>
          <w:szCs w:val="24"/>
          <w:lang w:val="en-US"/>
        </w:rPr>
        <w:t xml:space="preserve"> WTO</w:t>
      </w:r>
      <w:r w:rsidR="0005252A" w:rsidRPr="008B2F56">
        <w:rPr>
          <w:rFonts w:ascii="Times New Roman" w:hAnsi="Times New Roman" w:cs="Times New Roman"/>
          <w:color w:val="000000" w:themeColor="text1"/>
          <w:sz w:val="24"/>
          <w:szCs w:val="24"/>
          <w:lang w:val="en-US"/>
        </w:rPr>
        <w:t>’s</w:t>
      </w:r>
      <w:r w:rsidR="003E2001" w:rsidRPr="008B2F56">
        <w:rPr>
          <w:rFonts w:ascii="Times New Roman" w:hAnsi="Times New Roman" w:cs="Times New Roman"/>
          <w:color w:val="000000" w:themeColor="text1"/>
          <w:sz w:val="24"/>
          <w:szCs w:val="24"/>
          <w:lang w:val="en-US"/>
        </w:rPr>
        <w:t xml:space="preserve"> </w:t>
      </w:r>
      <w:r w:rsidR="0005252A" w:rsidRPr="008B2F56">
        <w:rPr>
          <w:rFonts w:ascii="Times New Roman" w:hAnsi="Times New Roman" w:cs="Times New Roman"/>
          <w:color w:val="000000" w:themeColor="text1"/>
          <w:sz w:val="24"/>
          <w:szCs w:val="24"/>
          <w:lang w:val="en-US"/>
        </w:rPr>
        <w:t xml:space="preserve">LDC </w:t>
      </w:r>
      <w:r w:rsidR="003E2001" w:rsidRPr="008B2F56">
        <w:rPr>
          <w:rFonts w:ascii="Times New Roman" w:hAnsi="Times New Roman" w:cs="Times New Roman"/>
          <w:color w:val="000000" w:themeColor="text1"/>
          <w:sz w:val="24"/>
          <w:szCs w:val="24"/>
          <w:lang w:val="en-US"/>
        </w:rPr>
        <w:t xml:space="preserve">members had </w:t>
      </w:r>
      <w:r w:rsidR="0005252A" w:rsidRPr="008B2F56">
        <w:rPr>
          <w:rFonts w:ascii="Times New Roman" w:hAnsi="Times New Roman" w:cs="Times New Roman"/>
          <w:color w:val="000000" w:themeColor="text1"/>
          <w:sz w:val="24"/>
          <w:szCs w:val="24"/>
          <w:lang w:val="en-US"/>
        </w:rPr>
        <w:t xml:space="preserve">still </w:t>
      </w:r>
      <w:r w:rsidR="003E2001" w:rsidRPr="008B2F56">
        <w:rPr>
          <w:rFonts w:ascii="Times New Roman" w:hAnsi="Times New Roman" w:cs="Times New Roman"/>
          <w:color w:val="000000" w:themeColor="text1"/>
          <w:sz w:val="24"/>
          <w:szCs w:val="24"/>
          <w:lang w:val="en-US"/>
        </w:rPr>
        <w:t>not accepted it by the end of 2018.</w:t>
      </w:r>
      <w:r w:rsidR="003E2001" w:rsidRPr="008B2F56">
        <w:rPr>
          <w:rStyle w:val="FootnoteReference"/>
          <w:rFonts w:ascii="Times New Roman" w:hAnsi="Times New Roman" w:cs="Times New Roman"/>
        </w:rPr>
        <w:footnoteReference w:id="38"/>
      </w:r>
      <w:r w:rsidR="003E2001" w:rsidRPr="008B2F56">
        <w:rPr>
          <w:rFonts w:ascii="Times New Roman" w:hAnsi="Times New Roman" w:cs="Times New Roman"/>
          <w:color w:val="000000" w:themeColor="text1"/>
          <w:sz w:val="24"/>
          <w:szCs w:val="24"/>
          <w:lang w:val="en-US"/>
        </w:rPr>
        <w:t xml:space="preserve"> </w:t>
      </w:r>
      <w:r w:rsidR="00C35760" w:rsidRPr="008B2F56">
        <w:rPr>
          <w:rFonts w:ascii="Times New Roman" w:hAnsi="Times New Roman" w:cs="Times New Roman"/>
          <w:color w:val="000000" w:themeColor="text1"/>
          <w:sz w:val="24"/>
          <w:szCs w:val="24"/>
          <w:lang w:val="en-US"/>
        </w:rPr>
        <w:t xml:space="preserve">Moreover, </w:t>
      </w:r>
      <w:r w:rsidR="00524D94" w:rsidRPr="008B2F56">
        <w:rPr>
          <w:rFonts w:ascii="Times New Roman" w:hAnsi="Times New Roman" w:cs="Times New Roman"/>
          <w:color w:val="000000" w:themeColor="text1"/>
          <w:sz w:val="24"/>
          <w:szCs w:val="24"/>
          <w:lang w:val="en-US"/>
        </w:rPr>
        <w:t xml:space="preserve">fifteen years after the adoption of the waiver, there </w:t>
      </w:r>
      <w:r w:rsidR="0005252A" w:rsidRPr="008B2F56">
        <w:rPr>
          <w:rFonts w:ascii="Times New Roman" w:hAnsi="Times New Roman" w:cs="Times New Roman"/>
          <w:color w:val="000000" w:themeColor="text1"/>
          <w:sz w:val="24"/>
          <w:szCs w:val="24"/>
          <w:lang w:val="en-US"/>
        </w:rPr>
        <w:t>had</w:t>
      </w:r>
      <w:r w:rsidR="00524D94" w:rsidRPr="008B2F56">
        <w:rPr>
          <w:rFonts w:ascii="Times New Roman" w:hAnsi="Times New Roman" w:cs="Times New Roman"/>
          <w:color w:val="000000" w:themeColor="text1"/>
          <w:sz w:val="24"/>
          <w:szCs w:val="24"/>
          <w:lang w:val="en-US"/>
        </w:rPr>
        <w:t xml:space="preserve"> been only one case in which the </w:t>
      </w:r>
      <w:r w:rsidR="0005252A" w:rsidRPr="008B2F56">
        <w:rPr>
          <w:rFonts w:ascii="Times New Roman" w:hAnsi="Times New Roman" w:cs="Times New Roman"/>
          <w:color w:val="000000" w:themeColor="text1"/>
          <w:sz w:val="24"/>
          <w:szCs w:val="24"/>
          <w:lang w:val="en-US"/>
        </w:rPr>
        <w:t xml:space="preserve">new </w:t>
      </w:r>
      <w:r w:rsidR="00F740DA" w:rsidRPr="008B2F56">
        <w:rPr>
          <w:rFonts w:ascii="Times New Roman" w:hAnsi="Times New Roman" w:cs="Times New Roman"/>
          <w:color w:val="000000" w:themeColor="text1"/>
          <w:sz w:val="24"/>
          <w:szCs w:val="24"/>
          <w:lang w:val="en-US"/>
        </w:rPr>
        <w:t xml:space="preserve">export </w:t>
      </w:r>
      <w:r w:rsidR="00524D94" w:rsidRPr="008B2F56">
        <w:rPr>
          <w:rFonts w:ascii="Times New Roman" w:hAnsi="Times New Roman" w:cs="Times New Roman"/>
          <w:color w:val="000000" w:themeColor="text1"/>
          <w:sz w:val="24"/>
          <w:szCs w:val="24"/>
          <w:lang w:val="en-US"/>
        </w:rPr>
        <w:t xml:space="preserve">opportunity </w:t>
      </w:r>
      <w:r w:rsidR="0005252A" w:rsidRPr="008B2F56">
        <w:rPr>
          <w:rFonts w:ascii="Times New Roman" w:hAnsi="Times New Roman" w:cs="Times New Roman"/>
          <w:color w:val="000000" w:themeColor="text1"/>
          <w:sz w:val="24"/>
          <w:szCs w:val="24"/>
          <w:lang w:val="en-US"/>
        </w:rPr>
        <w:t>had</w:t>
      </w:r>
      <w:r w:rsidR="00524D94" w:rsidRPr="008B2F56">
        <w:rPr>
          <w:rFonts w:ascii="Times New Roman" w:hAnsi="Times New Roman" w:cs="Times New Roman"/>
          <w:color w:val="000000" w:themeColor="text1"/>
          <w:sz w:val="24"/>
          <w:szCs w:val="24"/>
          <w:lang w:val="en-US"/>
        </w:rPr>
        <w:t xml:space="preserve"> been </w:t>
      </w:r>
      <w:r w:rsidR="00A50AB6" w:rsidRPr="008B2F56">
        <w:rPr>
          <w:rFonts w:ascii="Times New Roman" w:hAnsi="Times New Roman" w:cs="Times New Roman"/>
          <w:color w:val="000000" w:themeColor="text1"/>
          <w:sz w:val="24"/>
          <w:szCs w:val="24"/>
          <w:lang w:val="en-US"/>
        </w:rPr>
        <w:t>notified</w:t>
      </w:r>
      <w:r w:rsidR="00524D94" w:rsidRPr="008B2F56">
        <w:rPr>
          <w:rFonts w:ascii="Times New Roman" w:hAnsi="Times New Roman" w:cs="Times New Roman"/>
          <w:color w:val="000000" w:themeColor="text1"/>
          <w:sz w:val="24"/>
          <w:szCs w:val="24"/>
          <w:lang w:val="en-US"/>
        </w:rPr>
        <w:t xml:space="preserve"> – a case involving export of </w:t>
      </w:r>
      <w:r w:rsidR="006F44F4" w:rsidRPr="008B2F56">
        <w:rPr>
          <w:rFonts w:ascii="Times New Roman" w:hAnsi="Times New Roman" w:cs="Times New Roman"/>
          <w:color w:val="000000" w:themeColor="text1"/>
          <w:sz w:val="24"/>
          <w:szCs w:val="24"/>
          <w:lang w:val="en-US"/>
        </w:rPr>
        <w:t>AIDS medicines from Canada to Rwanda</w:t>
      </w:r>
      <w:r w:rsidR="00524D94" w:rsidRPr="008B2F56">
        <w:rPr>
          <w:rFonts w:ascii="Times New Roman" w:hAnsi="Times New Roman" w:cs="Times New Roman"/>
          <w:color w:val="000000" w:themeColor="text1"/>
          <w:sz w:val="24"/>
          <w:szCs w:val="24"/>
          <w:lang w:val="en-US"/>
        </w:rPr>
        <w:t>.</w:t>
      </w:r>
      <w:r w:rsidR="006F44F4" w:rsidRPr="008B2F56">
        <w:rPr>
          <w:rStyle w:val="FootnoteReference"/>
          <w:rFonts w:ascii="Times New Roman" w:hAnsi="Times New Roman" w:cs="Times New Roman"/>
        </w:rPr>
        <w:footnoteReference w:id="39"/>
      </w:r>
      <w:r w:rsidR="00524D94" w:rsidRPr="008B2F56">
        <w:rPr>
          <w:rFonts w:ascii="Times New Roman" w:hAnsi="Times New Roman" w:cs="Times New Roman"/>
          <w:color w:val="000000" w:themeColor="text1"/>
          <w:sz w:val="24"/>
          <w:szCs w:val="24"/>
          <w:lang w:val="en-US"/>
        </w:rPr>
        <w:t xml:space="preserve"> </w:t>
      </w:r>
      <w:r w:rsidR="00867487" w:rsidRPr="008B2F56">
        <w:rPr>
          <w:rFonts w:ascii="Times New Roman" w:hAnsi="Times New Roman" w:cs="Times New Roman"/>
          <w:color w:val="000000" w:themeColor="text1"/>
          <w:sz w:val="24"/>
          <w:szCs w:val="24"/>
          <w:lang w:val="en-US"/>
        </w:rPr>
        <w:t>The</w:t>
      </w:r>
      <w:r w:rsidR="00F740DA" w:rsidRPr="008B2F56">
        <w:rPr>
          <w:rFonts w:ascii="Times New Roman" w:hAnsi="Times New Roman" w:cs="Times New Roman"/>
          <w:color w:val="000000" w:themeColor="text1"/>
          <w:sz w:val="24"/>
          <w:szCs w:val="24"/>
          <w:lang w:val="en-US"/>
        </w:rPr>
        <w:t xml:space="preserve"> carefully circumscribed mechanism established by the </w:t>
      </w:r>
      <w:r w:rsidR="00F740DA" w:rsidRPr="008B2F56">
        <w:rPr>
          <w:rFonts w:ascii="Times New Roman" w:hAnsi="Times New Roman" w:cs="Times New Roman"/>
          <w:color w:val="000000" w:themeColor="text1"/>
          <w:sz w:val="24"/>
          <w:szCs w:val="24"/>
          <w:lang w:val="en-US"/>
        </w:rPr>
        <w:lastRenderedPageBreak/>
        <w:t xml:space="preserve">waiver and made permanent through the TRIPS amendment </w:t>
      </w:r>
      <w:r w:rsidR="00867487" w:rsidRPr="008B2F56">
        <w:rPr>
          <w:rFonts w:ascii="Times New Roman" w:hAnsi="Times New Roman" w:cs="Times New Roman"/>
          <w:color w:val="000000" w:themeColor="text1"/>
          <w:sz w:val="24"/>
          <w:szCs w:val="24"/>
          <w:lang w:val="en-US"/>
        </w:rPr>
        <w:t xml:space="preserve">therefore seems to be an example of extensive diplomatic efforts </w:t>
      </w:r>
      <w:r w:rsidR="0005252A" w:rsidRPr="008B2F56">
        <w:rPr>
          <w:rFonts w:ascii="Times New Roman" w:hAnsi="Times New Roman" w:cs="Times New Roman"/>
          <w:color w:val="000000" w:themeColor="text1"/>
          <w:sz w:val="24"/>
          <w:szCs w:val="24"/>
          <w:lang w:val="en-US"/>
        </w:rPr>
        <w:t xml:space="preserve">and negotiations </w:t>
      </w:r>
      <w:r w:rsidR="00867487" w:rsidRPr="008B2F56">
        <w:rPr>
          <w:rFonts w:ascii="Times New Roman" w:hAnsi="Times New Roman" w:cs="Times New Roman"/>
          <w:color w:val="000000" w:themeColor="text1"/>
          <w:sz w:val="24"/>
          <w:szCs w:val="24"/>
          <w:lang w:val="en-US"/>
        </w:rPr>
        <w:t xml:space="preserve">resulting in reforms of very limited value to the most vulnerable countries and populations. </w:t>
      </w:r>
    </w:p>
    <w:p w14:paraId="7306E375" w14:textId="14B6B260" w:rsidR="00FC20C5" w:rsidRPr="008B2F56" w:rsidRDefault="0005252A"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Other issues regarding access to and transfer of technology have received</w:t>
      </w:r>
      <w:r w:rsidR="00FC20C5" w:rsidRPr="008B2F56">
        <w:rPr>
          <w:rFonts w:ascii="Times New Roman" w:hAnsi="Times New Roman" w:cs="Times New Roman"/>
          <w:color w:val="000000" w:themeColor="text1"/>
          <w:sz w:val="24"/>
          <w:szCs w:val="24"/>
          <w:lang w:val="en-US"/>
        </w:rPr>
        <w:t xml:space="preserve"> much less attention under the TRIPS Agreement. According to art. 66.2, developed countries undertake to “provide incentives to enterprises and institutions in their territories for the purpose of promoting and encouraging technology transfer to least-developed country Members in order to enable them to create a sound and viable technological base.”</w:t>
      </w:r>
      <w:r w:rsidR="00C23A77" w:rsidRPr="008B2F56">
        <w:rPr>
          <w:rFonts w:ascii="Times New Roman" w:hAnsi="Times New Roman" w:cs="Times New Roman"/>
          <w:color w:val="000000" w:themeColor="text1"/>
          <w:sz w:val="24"/>
          <w:szCs w:val="24"/>
          <w:lang w:val="en-US"/>
        </w:rPr>
        <w:t xml:space="preserve"> As a follow-up to this provision, the Council for TRIPS decided to require developed countries to report </w:t>
      </w:r>
      <w:r w:rsidR="00365C69" w:rsidRPr="008B2F56">
        <w:rPr>
          <w:rFonts w:ascii="Times New Roman" w:hAnsi="Times New Roman" w:cs="Times New Roman"/>
          <w:color w:val="000000" w:themeColor="text1"/>
          <w:sz w:val="24"/>
          <w:szCs w:val="24"/>
          <w:lang w:val="en-US"/>
        </w:rPr>
        <w:t xml:space="preserve">annually </w:t>
      </w:r>
      <w:r w:rsidR="00C23A77" w:rsidRPr="008B2F56">
        <w:rPr>
          <w:rFonts w:ascii="Times New Roman" w:hAnsi="Times New Roman" w:cs="Times New Roman"/>
          <w:color w:val="000000" w:themeColor="text1"/>
          <w:sz w:val="24"/>
          <w:szCs w:val="24"/>
          <w:lang w:val="en-US"/>
        </w:rPr>
        <w:t>on their implementation of art. 66.2.</w:t>
      </w:r>
      <w:r w:rsidR="00C23A77" w:rsidRPr="008B2F56">
        <w:rPr>
          <w:rStyle w:val="FootnoteReference"/>
          <w:rFonts w:ascii="Times New Roman" w:hAnsi="Times New Roman" w:cs="Times New Roman"/>
        </w:rPr>
        <w:footnoteReference w:id="40"/>
      </w:r>
      <w:r w:rsidR="00C23A77" w:rsidRPr="008B2F56">
        <w:rPr>
          <w:rFonts w:ascii="Times New Roman" w:hAnsi="Times New Roman" w:cs="Times New Roman"/>
          <w:color w:val="000000" w:themeColor="text1"/>
          <w:sz w:val="24"/>
          <w:szCs w:val="24"/>
          <w:lang w:val="en-US"/>
        </w:rPr>
        <w:t xml:space="preserve"> However, also this initiative seems to have been unsuccessful fr</w:t>
      </w:r>
      <w:r w:rsidR="004566AB" w:rsidRPr="008B2F56">
        <w:rPr>
          <w:rFonts w:ascii="Times New Roman" w:hAnsi="Times New Roman" w:cs="Times New Roman"/>
          <w:color w:val="000000" w:themeColor="text1"/>
          <w:sz w:val="24"/>
          <w:szCs w:val="24"/>
          <w:lang w:val="en-US"/>
        </w:rPr>
        <w:t>om the perspective of LDCs. As justification for a proposal to revisit the effectiveness of art. 66.2, Cambodia made the following statement on behalf of the LDCs</w:t>
      </w:r>
      <w:r w:rsidR="00365C69" w:rsidRPr="008B2F56">
        <w:rPr>
          <w:rFonts w:ascii="Times New Roman" w:hAnsi="Times New Roman" w:cs="Times New Roman"/>
          <w:color w:val="000000" w:themeColor="text1"/>
          <w:sz w:val="24"/>
          <w:szCs w:val="24"/>
          <w:lang w:val="en-US"/>
        </w:rPr>
        <w:t xml:space="preserve"> in 2018</w:t>
      </w:r>
      <w:r w:rsidR="004566AB" w:rsidRPr="008B2F56">
        <w:rPr>
          <w:rFonts w:ascii="Times New Roman" w:hAnsi="Times New Roman" w:cs="Times New Roman"/>
          <w:color w:val="000000" w:themeColor="text1"/>
          <w:sz w:val="24"/>
          <w:szCs w:val="24"/>
          <w:lang w:val="en-US"/>
        </w:rPr>
        <w:t xml:space="preserve">: </w:t>
      </w:r>
    </w:p>
    <w:p w14:paraId="3F65A8D6" w14:textId="3199A4C1" w:rsidR="00FC20C5" w:rsidRPr="008B2F56" w:rsidRDefault="00FC20C5" w:rsidP="008D76EF">
      <w:pPr>
        <w:spacing w:before="160" w:after="160"/>
        <w:ind w:left="72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Notwithstanding mechanisms and processes introduced in the TRIPS Council, LDCs have observed the continued lack of clarity in notifications on the nature of incentives and whether such incentives sufficiently result in technology transfer to LDCs, that foster the creation of a sound and viable technological base for least-developed countries. Many notifications continue to demonstrate that incentive programmes identify recipients that are not LDCs and where LDCs are identified, incentives do not result in transfer of technology. Some developed Members claim that it is difficult for governments to ensure technology transfer because technology is the subject of private contracts and rights.</w:t>
      </w:r>
      <w:r w:rsidR="004566AB" w:rsidRPr="008B2F56">
        <w:rPr>
          <w:rStyle w:val="FootnoteReference"/>
          <w:rFonts w:ascii="Times New Roman" w:hAnsi="Times New Roman" w:cs="Times New Roman"/>
        </w:rPr>
        <w:footnoteReference w:id="41"/>
      </w:r>
    </w:p>
    <w:p w14:paraId="7D6CA4C2" w14:textId="0238F81C" w:rsidR="00365C69" w:rsidRPr="008B2F56" w:rsidRDefault="00365C69"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In sum, WTO rules of relevance to FDI could potentially </w:t>
      </w:r>
      <w:r w:rsidR="00325654" w:rsidRPr="008B2F56">
        <w:rPr>
          <w:rFonts w:ascii="Times New Roman" w:hAnsi="Times New Roman" w:cs="Times New Roman"/>
          <w:color w:val="000000" w:themeColor="text1"/>
          <w:sz w:val="24"/>
          <w:szCs w:val="24"/>
          <w:lang w:val="en-US"/>
        </w:rPr>
        <w:t>affect</w:t>
      </w:r>
      <w:r w:rsidRPr="008B2F56">
        <w:rPr>
          <w:rFonts w:ascii="Times New Roman" w:hAnsi="Times New Roman" w:cs="Times New Roman"/>
          <w:color w:val="000000" w:themeColor="text1"/>
          <w:sz w:val="24"/>
          <w:szCs w:val="24"/>
          <w:lang w:val="en-US"/>
        </w:rPr>
        <w:t xml:space="preserve"> the policy space of developing countries</w:t>
      </w:r>
      <w:r w:rsidR="00325654" w:rsidRPr="008B2F56">
        <w:rPr>
          <w:rFonts w:ascii="Times New Roman" w:hAnsi="Times New Roman" w:cs="Times New Roman"/>
          <w:color w:val="000000" w:themeColor="text1"/>
          <w:sz w:val="24"/>
          <w:szCs w:val="24"/>
          <w:lang w:val="en-US"/>
        </w:rPr>
        <w:t xml:space="preserve"> in terms of designing policies to ensure that FDI contributes to fulfilling the RtD and achieving the SDGs</w:t>
      </w:r>
      <w:r w:rsidR="00A50AB6" w:rsidRPr="008B2F56">
        <w:rPr>
          <w:rFonts w:ascii="Times New Roman" w:hAnsi="Times New Roman" w:cs="Times New Roman"/>
          <w:color w:val="000000" w:themeColor="text1"/>
          <w:sz w:val="24"/>
          <w:szCs w:val="24"/>
          <w:lang w:val="en-US"/>
        </w:rPr>
        <w:t>. S</w:t>
      </w:r>
      <w:r w:rsidRPr="008B2F56">
        <w:rPr>
          <w:rFonts w:ascii="Times New Roman" w:hAnsi="Times New Roman" w:cs="Times New Roman"/>
          <w:color w:val="000000" w:themeColor="text1"/>
          <w:sz w:val="24"/>
          <w:szCs w:val="24"/>
          <w:lang w:val="en-US"/>
        </w:rPr>
        <w:t>o far</w:t>
      </w:r>
      <w:r w:rsidR="00A50AB6" w:rsidRPr="008B2F56">
        <w:rPr>
          <w:rFonts w:ascii="Times New Roman" w:hAnsi="Times New Roman" w:cs="Times New Roman"/>
          <w:color w:val="000000" w:themeColor="text1"/>
          <w:sz w:val="24"/>
          <w:szCs w:val="24"/>
          <w:lang w:val="en-US"/>
        </w:rPr>
        <w:t>,</w:t>
      </w:r>
      <w:r w:rsidRPr="008B2F56">
        <w:rPr>
          <w:rFonts w:ascii="Times New Roman" w:hAnsi="Times New Roman" w:cs="Times New Roman"/>
          <w:color w:val="000000" w:themeColor="text1"/>
          <w:sz w:val="24"/>
          <w:szCs w:val="24"/>
          <w:lang w:val="en-US"/>
        </w:rPr>
        <w:t xml:space="preserve"> this does not seem to have been any important limiting factor in practice. Nevertheless, the longer term and indirect effects are harder to trace and may be of importance.</w:t>
      </w:r>
    </w:p>
    <w:p w14:paraId="022B01A0" w14:textId="2BE31565" w:rsidR="008E16BC" w:rsidRPr="008B2F56" w:rsidRDefault="008E16BC" w:rsidP="008D76EF">
      <w:pPr>
        <w:pStyle w:val="Heading2"/>
        <w:jc w:val="both"/>
        <w:rPr>
          <w:rFonts w:ascii="Times New Roman" w:hAnsi="Times New Roman" w:cs="Times New Roman"/>
          <w:lang w:val="en-US"/>
        </w:rPr>
      </w:pPr>
      <w:r w:rsidRPr="008B2F56">
        <w:rPr>
          <w:rFonts w:ascii="Times New Roman" w:hAnsi="Times New Roman" w:cs="Times New Roman"/>
          <w:lang w:val="en-US"/>
        </w:rPr>
        <w:t>3.3 International investment agreements</w:t>
      </w:r>
    </w:p>
    <w:p w14:paraId="7BFE5EC3" w14:textId="627C499C" w:rsidR="00810E91" w:rsidRPr="008B2F56" w:rsidRDefault="00810E91"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For a long period, researchers from several disciplines have been debating whether there is empirical evidence that IIAs in practice have generated increased flows of FDI. The studies that have been carried out to trace the extent to which IIAs affect flows of FDI show somewhat varying results. While evidence seems to indicate that IIAs can lead to increased FDI flows, the extent to which and conditions under which they do so remains disputed. A main distinction can be drawn between studies that focus on dyadic relationships – exploring whether IIAs influence the flow of FDI among the parties to specific treaties,</w:t>
      </w:r>
      <w:r w:rsidRPr="008B2F56">
        <w:rPr>
          <w:rStyle w:val="FootnoteReference"/>
          <w:rFonts w:ascii="Times New Roman" w:hAnsi="Times New Roman" w:cs="Times New Roman"/>
        </w:rPr>
        <w:footnoteReference w:id="42"/>
      </w:r>
      <w:r w:rsidRPr="008B2F56">
        <w:rPr>
          <w:rFonts w:ascii="Times New Roman" w:hAnsi="Times New Roman" w:cs="Times New Roman"/>
          <w:color w:val="000000" w:themeColor="text1"/>
          <w:sz w:val="24"/>
          <w:szCs w:val="24"/>
          <w:lang w:val="en-US"/>
        </w:rPr>
        <w:t xml:space="preserve"> and studies on the impact that the signature and </w:t>
      </w:r>
      <w:r w:rsidRPr="008B2F56">
        <w:rPr>
          <w:rFonts w:ascii="Times New Roman" w:hAnsi="Times New Roman" w:cs="Times New Roman"/>
          <w:color w:val="000000" w:themeColor="text1"/>
          <w:sz w:val="24"/>
          <w:szCs w:val="24"/>
          <w:lang w:val="en-US"/>
        </w:rPr>
        <w:lastRenderedPageBreak/>
        <w:t>ratification of IIAs have for the flow of FDI into countries.</w:t>
      </w:r>
      <w:r w:rsidRPr="008B2F56">
        <w:rPr>
          <w:rStyle w:val="FootnoteReference"/>
          <w:rFonts w:ascii="Times New Roman" w:hAnsi="Times New Roman" w:cs="Times New Roman"/>
        </w:rPr>
        <w:footnoteReference w:id="43"/>
      </w:r>
      <w:r w:rsidRPr="008B2F56">
        <w:rPr>
          <w:rFonts w:ascii="Times New Roman" w:hAnsi="Times New Roman" w:cs="Times New Roman"/>
          <w:color w:val="000000" w:themeColor="text1"/>
          <w:sz w:val="24"/>
          <w:szCs w:val="24"/>
          <w:lang w:val="en-US"/>
        </w:rPr>
        <w:t xml:space="preserve"> Studies also focus on the differences between ratified and non-ratified IIAs.</w:t>
      </w:r>
      <w:r w:rsidRPr="008B2F56">
        <w:rPr>
          <w:rStyle w:val="FootnoteReference"/>
          <w:rFonts w:ascii="Times New Roman" w:hAnsi="Times New Roman" w:cs="Times New Roman"/>
        </w:rPr>
        <w:footnoteReference w:id="44"/>
      </w:r>
      <w:r w:rsidRPr="008B2F56">
        <w:rPr>
          <w:rFonts w:ascii="Times New Roman" w:hAnsi="Times New Roman" w:cs="Times New Roman"/>
          <w:color w:val="000000" w:themeColor="text1"/>
          <w:sz w:val="24"/>
          <w:szCs w:val="24"/>
          <w:lang w:val="en-US"/>
        </w:rPr>
        <w:t xml:space="preserve"> Many of the studies concern the flow of FDI into developing countries generally,</w:t>
      </w:r>
      <w:r w:rsidRPr="008B2F56">
        <w:rPr>
          <w:rStyle w:val="FootnoteReference"/>
          <w:rFonts w:ascii="Times New Roman" w:hAnsi="Times New Roman" w:cs="Times New Roman"/>
        </w:rPr>
        <w:footnoteReference w:id="45"/>
      </w:r>
      <w:r w:rsidRPr="008B2F56">
        <w:rPr>
          <w:rFonts w:ascii="Times New Roman" w:hAnsi="Times New Roman" w:cs="Times New Roman"/>
          <w:color w:val="000000" w:themeColor="text1"/>
          <w:sz w:val="24"/>
          <w:szCs w:val="24"/>
          <w:lang w:val="en-US"/>
        </w:rPr>
        <w:t xml:space="preserve"> into certain regions</w:t>
      </w:r>
      <w:r w:rsidRPr="008B2F56">
        <w:rPr>
          <w:rStyle w:val="FootnoteReference"/>
          <w:rFonts w:ascii="Times New Roman" w:hAnsi="Times New Roman" w:cs="Times New Roman"/>
        </w:rPr>
        <w:footnoteReference w:id="46"/>
      </w:r>
      <w:r w:rsidRPr="008B2F56">
        <w:rPr>
          <w:rFonts w:ascii="Times New Roman" w:hAnsi="Times New Roman" w:cs="Times New Roman"/>
          <w:color w:val="000000" w:themeColor="text1"/>
          <w:sz w:val="24"/>
          <w:szCs w:val="24"/>
          <w:lang w:val="en-US"/>
        </w:rPr>
        <w:t xml:space="preserve"> or into certain sectors.</w:t>
      </w:r>
      <w:r w:rsidRPr="008B2F56">
        <w:rPr>
          <w:rStyle w:val="FootnoteReference"/>
          <w:rFonts w:ascii="Times New Roman" w:hAnsi="Times New Roman" w:cs="Times New Roman"/>
        </w:rPr>
        <w:footnoteReference w:id="47"/>
      </w:r>
      <w:r w:rsidRPr="008B2F56">
        <w:rPr>
          <w:rFonts w:ascii="Times New Roman" w:hAnsi="Times New Roman" w:cs="Times New Roman"/>
          <w:color w:val="000000" w:themeColor="text1"/>
          <w:sz w:val="24"/>
          <w:szCs w:val="24"/>
          <w:lang w:val="en-US"/>
        </w:rPr>
        <w:t xml:space="preserve"> There also exist studies of how subsequent investment treaty arbitration affects FDI.</w:t>
      </w:r>
      <w:r w:rsidRPr="008B2F56">
        <w:rPr>
          <w:rStyle w:val="FootnoteReference"/>
          <w:rFonts w:ascii="Times New Roman" w:hAnsi="Times New Roman" w:cs="Times New Roman"/>
        </w:rPr>
        <w:footnoteReference w:id="48"/>
      </w:r>
      <w:r w:rsidRPr="008B2F56">
        <w:rPr>
          <w:rFonts w:ascii="Times New Roman" w:hAnsi="Times New Roman" w:cs="Times New Roman"/>
          <w:color w:val="000000" w:themeColor="text1"/>
          <w:sz w:val="24"/>
          <w:szCs w:val="24"/>
          <w:lang w:val="en-US"/>
        </w:rPr>
        <w:t xml:space="preserve"> To what extent and in which ways such studies control for other factors that may influence FDI flows differ significantly,</w:t>
      </w:r>
      <w:r w:rsidRPr="008B2F56">
        <w:rPr>
          <w:rStyle w:val="FootnoteReference"/>
          <w:rFonts w:ascii="Times New Roman" w:hAnsi="Times New Roman" w:cs="Times New Roman"/>
        </w:rPr>
        <w:footnoteReference w:id="49"/>
      </w:r>
      <w:r w:rsidRPr="008B2F56">
        <w:rPr>
          <w:rFonts w:ascii="Times New Roman" w:hAnsi="Times New Roman" w:cs="Times New Roman"/>
          <w:color w:val="000000" w:themeColor="text1"/>
          <w:sz w:val="24"/>
          <w:szCs w:val="24"/>
          <w:lang w:val="en-US"/>
        </w:rPr>
        <w:t xml:space="preserve"> and replication of previous studies may produce significantly differing results.</w:t>
      </w:r>
      <w:r w:rsidRPr="008B2F56">
        <w:rPr>
          <w:rStyle w:val="FootnoteReference"/>
          <w:rFonts w:ascii="Times New Roman" w:hAnsi="Times New Roman" w:cs="Times New Roman"/>
        </w:rPr>
        <w:footnoteReference w:id="50"/>
      </w:r>
      <w:r w:rsidRPr="008B2F56">
        <w:rPr>
          <w:rFonts w:ascii="Times New Roman" w:hAnsi="Times New Roman" w:cs="Times New Roman"/>
          <w:color w:val="000000" w:themeColor="text1"/>
          <w:sz w:val="24"/>
          <w:szCs w:val="24"/>
          <w:lang w:val="en-US"/>
        </w:rPr>
        <w:t xml:space="preserve"> </w:t>
      </w:r>
    </w:p>
    <w:p w14:paraId="688663C3" w14:textId="3DDDD55E" w:rsidR="00810E91" w:rsidRPr="008B2F56" w:rsidRDefault="00810E91"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One interesting study suggests classifying FDI according to the motivations of investors, distinguishing between “four types of FDI: resource-seeking FDI, market-seeking FDI, efficiency-seeking FDI, and asset-seeking FDI”.</w:t>
      </w:r>
      <w:r w:rsidRPr="008B2F56">
        <w:rPr>
          <w:rStyle w:val="FootnoteReference"/>
          <w:rFonts w:ascii="Times New Roman" w:hAnsi="Times New Roman" w:cs="Times New Roman"/>
        </w:rPr>
        <w:footnoteReference w:id="51"/>
      </w:r>
      <w:r w:rsidRPr="008B2F56">
        <w:rPr>
          <w:rFonts w:ascii="Times New Roman" w:hAnsi="Times New Roman" w:cs="Times New Roman"/>
          <w:color w:val="000000" w:themeColor="text1"/>
          <w:sz w:val="24"/>
          <w:szCs w:val="24"/>
          <w:lang w:val="en-US"/>
        </w:rPr>
        <w:t xml:space="preserve"> Among these, resource-seeking FDI is particularly relevant </w:t>
      </w:r>
      <w:r w:rsidRPr="008B2F56">
        <w:rPr>
          <w:rFonts w:ascii="Times New Roman" w:hAnsi="Times New Roman" w:cs="Times New Roman"/>
          <w:color w:val="000000" w:themeColor="text1"/>
          <w:sz w:val="24"/>
          <w:szCs w:val="24"/>
          <w:lang w:val="en-US"/>
        </w:rPr>
        <w:lastRenderedPageBreak/>
        <w:t>in the context of achieving SDGs. The study proposes to distinguish between “three main types of resource-seeking FDI: FDI seeking physical resources, FDI seeking unskilled or semi-skilled labour, and FDI to firms seeking technological capabilities, management of marketing expertise, and organizational skills”.</w:t>
      </w:r>
      <w:r w:rsidRPr="008B2F56">
        <w:rPr>
          <w:rStyle w:val="FootnoteReference"/>
          <w:rFonts w:ascii="Times New Roman" w:hAnsi="Times New Roman" w:cs="Times New Roman"/>
        </w:rPr>
        <w:footnoteReference w:id="52"/>
      </w:r>
      <w:r w:rsidRPr="008B2F56">
        <w:rPr>
          <w:rFonts w:ascii="Times New Roman" w:hAnsi="Times New Roman" w:cs="Times New Roman"/>
          <w:color w:val="000000" w:themeColor="text1"/>
          <w:sz w:val="24"/>
          <w:szCs w:val="24"/>
          <w:lang w:val="en-US"/>
        </w:rPr>
        <w:t xml:space="preserve"> These distinctions </w:t>
      </w:r>
      <w:r w:rsidR="00972832" w:rsidRPr="008B2F56">
        <w:rPr>
          <w:rFonts w:ascii="Times New Roman" w:hAnsi="Times New Roman" w:cs="Times New Roman"/>
          <w:color w:val="000000" w:themeColor="text1"/>
          <w:sz w:val="24"/>
          <w:szCs w:val="24"/>
          <w:lang w:val="en-US"/>
        </w:rPr>
        <w:t>could</w:t>
      </w:r>
      <w:r w:rsidRPr="008B2F56">
        <w:rPr>
          <w:rFonts w:ascii="Times New Roman" w:hAnsi="Times New Roman" w:cs="Times New Roman"/>
          <w:color w:val="000000" w:themeColor="text1"/>
          <w:sz w:val="24"/>
          <w:szCs w:val="24"/>
          <w:lang w:val="en-US"/>
        </w:rPr>
        <w:t xml:space="preserve"> be helpful when analyzing the potential role of IIAs in promoting FDI that contribute to achieving the SDGs.</w:t>
      </w:r>
    </w:p>
    <w:p w14:paraId="06AE12AD" w14:textId="245E7754" w:rsidR="00810E91" w:rsidRPr="008B2F56" w:rsidRDefault="00810E91"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According to one study, unilateral offers to submit disputes to a neutral arbitral forum have “become a common legislative practice of African states and the transition economies of Europe that seek to attract foreign investment.”</w:t>
      </w:r>
      <w:r w:rsidRPr="008B2F56">
        <w:rPr>
          <w:rStyle w:val="FootnoteReference"/>
          <w:rFonts w:ascii="Times New Roman" w:hAnsi="Times New Roman" w:cs="Times New Roman"/>
        </w:rPr>
        <w:footnoteReference w:id="53"/>
      </w:r>
      <w:r w:rsidRPr="008B2F56">
        <w:rPr>
          <w:rFonts w:ascii="Times New Roman" w:hAnsi="Times New Roman" w:cs="Times New Roman"/>
          <w:color w:val="000000" w:themeColor="text1"/>
          <w:sz w:val="24"/>
          <w:szCs w:val="24"/>
          <w:lang w:val="en-US"/>
        </w:rPr>
        <w:t xml:space="preserve"> </w:t>
      </w:r>
      <w:r w:rsidR="0046074C" w:rsidRPr="008B2F56">
        <w:rPr>
          <w:rFonts w:ascii="Times New Roman" w:hAnsi="Times New Roman" w:cs="Times New Roman"/>
          <w:color w:val="000000" w:themeColor="text1"/>
          <w:sz w:val="24"/>
          <w:szCs w:val="24"/>
          <w:lang w:val="en-US"/>
        </w:rPr>
        <w:t>The number of LDCs that have undertaken such commitments</w:t>
      </w:r>
      <w:r w:rsidR="006016DE" w:rsidRPr="008B2F56">
        <w:rPr>
          <w:rFonts w:ascii="Times New Roman" w:hAnsi="Times New Roman" w:cs="Times New Roman"/>
          <w:color w:val="000000" w:themeColor="text1"/>
          <w:sz w:val="24"/>
          <w:szCs w:val="24"/>
          <w:lang w:val="en-US"/>
        </w:rPr>
        <w:t xml:space="preserve"> through legislation</w:t>
      </w:r>
      <w:r w:rsidR="0046074C" w:rsidRPr="008B2F56">
        <w:rPr>
          <w:rFonts w:ascii="Times New Roman" w:hAnsi="Times New Roman" w:cs="Times New Roman"/>
          <w:color w:val="000000" w:themeColor="text1"/>
          <w:sz w:val="24"/>
          <w:szCs w:val="24"/>
          <w:lang w:val="en-US"/>
        </w:rPr>
        <w:t xml:space="preserve"> is significant, comprising approximately half of these countries.</w:t>
      </w:r>
      <w:r w:rsidR="0046074C" w:rsidRPr="008B2F56">
        <w:rPr>
          <w:rStyle w:val="FootnoteReference"/>
          <w:rFonts w:ascii="Times New Roman" w:hAnsi="Times New Roman" w:cs="Times New Roman"/>
          <w:color w:val="000000" w:themeColor="text1"/>
          <w:sz w:val="24"/>
          <w:szCs w:val="24"/>
          <w:lang w:val="en-US"/>
        </w:rPr>
        <w:footnoteReference w:id="54"/>
      </w:r>
      <w:r w:rsidR="0046074C" w:rsidRPr="008B2F56">
        <w:rPr>
          <w:rFonts w:ascii="Times New Roman" w:hAnsi="Times New Roman" w:cs="Times New Roman"/>
          <w:color w:val="000000" w:themeColor="text1"/>
          <w:sz w:val="24"/>
          <w:szCs w:val="24"/>
          <w:lang w:val="en-US"/>
        </w:rPr>
        <w:t xml:space="preserve"> </w:t>
      </w:r>
      <w:r w:rsidRPr="008B2F56">
        <w:rPr>
          <w:rFonts w:ascii="Times New Roman" w:hAnsi="Times New Roman" w:cs="Times New Roman"/>
          <w:color w:val="000000" w:themeColor="text1"/>
          <w:sz w:val="24"/>
          <w:szCs w:val="24"/>
          <w:lang w:val="en-US"/>
        </w:rPr>
        <w:t xml:space="preserve">This supports the view that access to independent dispute settlement mechanisms is perceived by </w:t>
      </w:r>
      <w:r w:rsidR="006016DE" w:rsidRPr="008B2F56">
        <w:rPr>
          <w:rFonts w:ascii="Times New Roman" w:hAnsi="Times New Roman" w:cs="Times New Roman"/>
          <w:color w:val="000000" w:themeColor="text1"/>
          <w:sz w:val="24"/>
          <w:szCs w:val="24"/>
          <w:lang w:val="en-US"/>
        </w:rPr>
        <w:t xml:space="preserve">many </w:t>
      </w:r>
      <w:r w:rsidRPr="008B2F56">
        <w:rPr>
          <w:rFonts w:ascii="Times New Roman" w:hAnsi="Times New Roman" w:cs="Times New Roman"/>
          <w:color w:val="000000" w:themeColor="text1"/>
          <w:sz w:val="24"/>
          <w:szCs w:val="24"/>
          <w:lang w:val="en-US"/>
        </w:rPr>
        <w:t xml:space="preserve">countries to be essential </w:t>
      </w:r>
      <w:r w:rsidR="006016DE" w:rsidRPr="008B2F56">
        <w:rPr>
          <w:rFonts w:ascii="Times New Roman" w:hAnsi="Times New Roman" w:cs="Times New Roman"/>
          <w:color w:val="000000" w:themeColor="text1"/>
          <w:sz w:val="24"/>
          <w:szCs w:val="24"/>
          <w:lang w:val="en-US"/>
        </w:rPr>
        <w:t>to attract</w:t>
      </w:r>
      <w:r w:rsidRPr="008B2F56">
        <w:rPr>
          <w:rFonts w:ascii="Times New Roman" w:hAnsi="Times New Roman" w:cs="Times New Roman"/>
          <w:color w:val="000000" w:themeColor="text1"/>
          <w:sz w:val="24"/>
          <w:szCs w:val="24"/>
          <w:lang w:val="en-US"/>
        </w:rPr>
        <w:t xml:space="preserve"> </w:t>
      </w:r>
      <w:r w:rsidR="006016DE" w:rsidRPr="008B2F56">
        <w:rPr>
          <w:rFonts w:ascii="Times New Roman" w:hAnsi="Times New Roman" w:cs="Times New Roman"/>
          <w:color w:val="000000" w:themeColor="text1"/>
          <w:sz w:val="24"/>
          <w:szCs w:val="24"/>
          <w:lang w:val="en-US"/>
        </w:rPr>
        <w:t>FDI</w:t>
      </w:r>
      <w:r w:rsidRPr="008B2F56">
        <w:rPr>
          <w:rFonts w:ascii="Times New Roman" w:hAnsi="Times New Roman" w:cs="Times New Roman"/>
          <w:color w:val="000000" w:themeColor="text1"/>
          <w:sz w:val="24"/>
          <w:szCs w:val="24"/>
          <w:lang w:val="en-US"/>
        </w:rPr>
        <w:t xml:space="preserve">. However, </w:t>
      </w:r>
      <w:r w:rsidR="006016DE" w:rsidRPr="008B2F56">
        <w:rPr>
          <w:rFonts w:ascii="Times New Roman" w:hAnsi="Times New Roman" w:cs="Times New Roman"/>
          <w:color w:val="000000" w:themeColor="text1"/>
          <w:sz w:val="24"/>
          <w:szCs w:val="24"/>
          <w:lang w:val="en-US"/>
        </w:rPr>
        <w:t>it</w:t>
      </w:r>
      <w:r w:rsidRPr="008B2F56">
        <w:rPr>
          <w:rFonts w:ascii="Times New Roman" w:hAnsi="Times New Roman" w:cs="Times New Roman"/>
          <w:color w:val="000000" w:themeColor="text1"/>
          <w:sz w:val="24"/>
          <w:szCs w:val="24"/>
          <w:lang w:val="en-US"/>
        </w:rPr>
        <w:t xml:space="preserve"> also shows that access to such mechanisms is not limited to treaty-</w:t>
      </w:r>
      <w:r w:rsidR="006016DE" w:rsidRPr="008B2F56">
        <w:rPr>
          <w:rFonts w:ascii="Times New Roman" w:hAnsi="Times New Roman" w:cs="Times New Roman"/>
          <w:color w:val="000000" w:themeColor="text1"/>
          <w:sz w:val="24"/>
          <w:szCs w:val="24"/>
          <w:lang w:val="en-US"/>
        </w:rPr>
        <w:t xml:space="preserve"> and legislation-</w:t>
      </w:r>
      <w:r w:rsidRPr="008B2F56">
        <w:rPr>
          <w:rFonts w:ascii="Times New Roman" w:hAnsi="Times New Roman" w:cs="Times New Roman"/>
          <w:color w:val="000000" w:themeColor="text1"/>
          <w:sz w:val="24"/>
          <w:szCs w:val="24"/>
          <w:lang w:val="en-US"/>
        </w:rPr>
        <w:t>based arbitration</w:t>
      </w:r>
      <w:r w:rsidR="00B31F57" w:rsidRPr="008B2F56">
        <w:rPr>
          <w:rFonts w:ascii="Times New Roman" w:hAnsi="Times New Roman" w:cs="Times New Roman"/>
          <w:color w:val="000000" w:themeColor="text1"/>
          <w:sz w:val="24"/>
          <w:szCs w:val="24"/>
          <w:lang w:val="en-US"/>
        </w:rPr>
        <w:t>,</w:t>
      </w:r>
      <w:r w:rsidRPr="008B2F56">
        <w:rPr>
          <w:rFonts w:ascii="Times New Roman" w:hAnsi="Times New Roman" w:cs="Times New Roman"/>
          <w:color w:val="000000" w:themeColor="text1"/>
          <w:sz w:val="24"/>
          <w:szCs w:val="24"/>
          <w:lang w:val="en-US"/>
        </w:rPr>
        <w:t xml:space="preserve"> but could also include arbitration based on contracts or concessions. </w:t>
      </w:r>
    </w:p>
    <w:p w14:paraId="3F9FFA33" w14:textId="418DDF7A" w:rsidR="00614835" w:rsidRPr="008B2F56" w:rsidRDefault="00810E91"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From a more theoretical perspective, w</w:t>
      </w:r>
      <w:r w:rsidR="00EB32E8" w:rsidRPr="008B2F56">
        <w:rPr>
          <w:rFonts w:ascii="Times New Roman" w:hAnsi="Times New Roman" w:cs="Times New Roman"/>
          <w:color w:val="000000" w:themeColor="text1"/>
          <w:sz w:val="24"/>
          <w:szCs w:val="24"/>
          <w:lang w:val="en-US"/>
        </w:rPr>
        <w:t xml:space="preserve">e may distinguish between </w:t>
      </w:r>
      <w:r w:rsidRPr="008B2F56">
        <w:rPr>
          <w:rFonts w:ascii="Times New Roman" w:hAnsi="Times New Roman" w:cs="Times New Roman"/>
          <w:color w:val="000000" w:themeColor="text1"/>
          <w:sz w:val="24"/>
          <w:szCs w:val="24"/>
          <w:lang w:val="en-US"/>
        </w:rPr>
        <w:t>two</w:t>
      </w:r>
      <w:r w:rsidR="00EB32E8" w:rsidRPr="008B2F56">
        <w:rPr>
          <w:rFonts w:ascii="Times New Roman" w:hAnsi="Times New Roman" w:cs="Times New Roman"/>
          <w:color w:val="000000" w:themeColor="text1"/>
          <w:sz w:val="24"/>
          <w:szCs w:val="24"/>
          <w:lang w:val="en-US"/>
        </w:rPr>
        <w:t xml:space="preserve"> ways in which IIAs may promot</w:t>
      </w:r>
      <w:r w:rsidR="001B6A19" w:rsidRPr="008B2F56">
        <w:rPr>
          <w:rFonts w:ascii="Times New Roman" w:hAnsi="Times New Roman" w:cs="Times New Roman"/>
          <w:color w:val="000000" w:themeColor="text1"/>
          <w:sz w:val="24"/>
          <w:szCs w:val="24"/>
          <w:lang w:val="en-US"/>
        </w:rPr>
        <w:t>e</w:t>
      </w:r>
      <w:r w:rsidR="00EB32E8" w:rsidRPr="008B2F56">
        <w:rPr>
          <w:rFonts w:ascii="Times New Roman" w:hAnsi="Times New Roman" w:cs="Times New Roman"/>
          <w:color w:val="000000" w:themeColor="text1"/>
          <w:sz w:val="24"/>
          <w:szCs w:val="24"/>
          <w:lang w:val="en-US"/>
        </w:rPr>
        <w:t xml:space="preserve"> FDI: </w:t>
      </w:r>
      <w:r w:rsidR="00614835" w:rsidRPr="008B2F56">
        <w:rPr>
          <w:rFonts w:ascii="Times New Roman" w:hAnsi="Times New Roman" w:cs="Times New Roman"/>
          <w:color w:val="000000" w:themeColor="text1"/>
          <w:sz w:val="24"/>
          <w:szCs w:val="24"/>
          <w:lang w:val="en-US"/>
        </w:rPr>
        <w:t xml:space="preserve">(1) they may </w:t>
      </w:r>
      <w:r w:rsidRPr="008B2F56">
        <w:rPr>
          <w:rFonts w:ascii="Times New Roman" w:hAnsi="Times New Roman" w:cs="Times New Roman"/>
          <w:color w:val="000000" w:themeColor="text1"/>
          <w:sz w:val="24"/>
          <w:szCs w:val="24"/>
          <w:lang w:val="en-US"/>
        </w:rPr>
        <w:t xml:space="preserve">directly </w:t>
      </w:r>
      <w:r w:rsidR="00614835" w:rsidRPr="008B2F56">
        <w:rPr>
          <w:rFonts w:ascii="Times New Roman" w:hAnsi="Times New Roman" w:cs="Times New Roman"/>
          <w:color w:val="000000" w:themeColor="text1"/>
          <w:sz w:val="24"/>
          <w:szCs w:val="24"/>
          <w:lang w:val="en-US"/>
        </w:rPr>
        <w:t xml:space="preserve">promote the flow of investment by including provisions relevant to the right of establishment of foreign investors </w:t>
      </w:r>
      <w:r w:rsidRPr="008B2F56">
        <w:rPr>
          <w:rFonts w:ascii="Times New Roman" w:hAnsi="Times New Roman" w:cs="Times New Roman"/>
          <w:color w:val="000000" w:themeColor="text1"/>
          <w:sz w:val="24"/>
          <w:szCs w:val="24"/>
          <w:lang w:val="en-US"/>
        </w:rPr>
        <w:t xml:space="preserve">or </w:t>
      </w:r>
      <w:r w:rsidR="0047027F" w:rsidRPr="008B2F56">
        <w:rPr>
          <w:rFonts w:ascii="Times New Roman" w:hAnsi="Times New Roman" w:cs="Times New Roman"/>
          <w:color w:val="000000" w:themeColor="text1"/>
          <w:sz w:val="24"/>
          <w:szCs w:val="24"/>
          <w:lang w:val="en-US"/>
        </w:rPr>
        <w:t>limit countries’ opportunities to restrict flows of FDI, and (</w:t>
      </w:r>
      <w:r w:rsidRPr="008B2F56">
        <w:rPr>
          <w:rFonts w:ascii="Times New Roman" w:hAnsi="Times New Roman" w:cs="Times New Roman"/>
          <w:color w:val="000000" w:themeColor="text1"/>
          <w:sz w:val="24"/>
          <w:szCs w:val="24"/>
          <w:lang w:val="en-US"/>
        </w:rPr>
        <w:t>2</w:t>
      </w:r>
      <w:r w:rsidR="0047027F" w:rsidRPr="008B2F56">
        <w:rPr>
          <w:rFonts w:ascii="Times New Roman" w:hAnsi="Times New Roman" w:cs="Times New Roman"/>
          <w:color w:val="000000" w:themeColor="text1"/>
          <w:sz w:val="24"/>
          <w:szCs w:val="24"/>
          <w:lang w:val="en-US"/>
        </w:rPr>
        <w:t xml:space="preserve">) </w:t>
      </w:r>
      <w:r w:rsidR="00EB32E8" w:rsidRPr="008B2F56">
        <w:rPr>
          <w:rFonts w:ascii="Times New Roman" w:hAnsi="Times New Roman" w:cs="Times New Roman"/>
          <w:color w:val="000000" w:themeColor="text1"/>
          <w:sz w:val="24"/>
          <w:szCs w:val="24"/>
          <w:lang w:val="en-US"/>
        </w:rPr>
        <w:t xml:space="preserve">the protection they afford to stocks of FDI </w:t>
      </w:r>
      <w:r w:rsidR="0047027F" w:rsidRPr="008B2F56">
        <w:rPr>
          <w:rFonts w:ascii="Times New Roman" w:hAnsi="Times New Roman" w:cs="Times New Roman"/>
          <w:color w:val="000000" w:themeColor="text1"/>
          <w:sz w:val="24"/>
          <w:szCs w:val="24"/>
          <w:lang w:val="en-US"/>
        </w:rPr>
        <w:t>may indirectly provide an incentive to</w:t>
      </w:r>
      <w:r w:rsidR="00EB32E8" w:rsidRPr="008B2F56">
        <w:rPr>
          <w:rFonts w:ascii="Times New Roman" w:hAnsi="Times New Roman" w:cs="Times New Roman"/>
          <w:color w:val="000000" w:themeColor="text1"/>
          <w:sz w:val="24"/>
          <w:szCs w:val="24"/>
          <w:lang w:val="en-US"/>
        </w:rPr>
        <w:t xml:space="preserve"> </w:t>
      </w:r>
      <w:r w:rsidR="0047027F" w:rsidRPr="008B2F56">
        <w:rPr>
          <w:rFonts w:ascii="Times New Roman" w:hAnsi="Times New Roman" w:cs="Times New Roman"/>
          <w:color w:val="000000" w:themeColor="text1"/>
          <w:sz w:val="24"/>
          <w:szCs w:val="24"/>
          <w:lang w:val="en-US"/>
        </w:rPr>
        <w:t>increased</w:t>
      </w:r>
      <w:r w:rsidRPr="008B2F56">
        <w:rPr>
          <w:rFonts w:ascii="Times New Roman" w:hAnsi="Times New Roman" w:cs="Times New Roman"/>
          <w:color w:val="000000" w:themeColor="text1"/>
          <w:sz w:val="24"/>
          <w:szCs w:val="24"/>
          <w:lang w:val="en-US"/>
        </w:rPr>
        <w:t xml:space="preserve"> </w:t>
      </w:r>
      <w:r w:rsidR="00EB32E8" w:rsidRPr="008B2F56">
        <w:rPr>
          <w:rFonts w:ascii="Times New Roman" w:hAnsi="Times New Roman" w:cs="Times New Roman"/>
          <w:color w:val="000000" w:themeColor="text1"/>
          <w:sz w:val="24"/>
          <w:szCs w:val="24"/>
          <w:lang w:val="en-US"/>
        </w:rPr>
        <w:t xml:space="preserve">flow of FDI. </w:t>
      </w:r>
      <w:r w:rsidR="00614835" w:rsidRPr="008B2F56">
        <w:rPr>
          <w:rFonts w:ascii="Times New Roman" w:hAnsi="Times New Roman" w:cs="Times New Roman"/>
          <w:color w:val="000000" w:themeColor="text1"/>
          <w:sz w:val="24"/>
          <w:szCs w:val="24"/>
          <w:lang w:val="en-US"/>
        </w:rPr>
        <w:t>As to the first, UNCTAD</w:t>
      </w:r>
      <w:r w:rsidR="00391DEE" w:rsidRPr="008B2F56">
        <w:rPr>
          <w:rFonts w:ascii="Times New Roman" w:hAnsi="Times New Roman" w:cs="Times New Roman"/>
          <w:color w:val="000000" w:themeColor="text1"/>
          <w:sz w:val="24"/>
          <w:szCs w:val="24"/>
          <w:lang w:val="en-US"/>
        </w:rPr>
        <w:t>’s mapping of the content of IIAs shows</w:t>
      </w:r>
      <w:r w:rsidR="00614835" w:rsidRPr="008B2F56">
        <w:rPr>
          <w:rFonts w:ascii="Times New Roman" w:hAnsi="Times New Roman" w:cs="Times New Roman"/>
          <w:color w:val="000000" w:themeColor="text1"/>
          <w:sz w:val="24"/>
          <w:szCs w:val="24"/>
          <w:lang w:val="en-US"/>
        </w:rPr>
        <w:t xml:space="preserve"> that approximately 14 </w:t>
      </w:r>
      <w:r w:rsidR="0047027F" w:rsidRPr="008B2F56">
        <w:rPr>
          <w:rFonts w:ascii="Times New Roman" w:hAnsi="Times New Roman" w:cs="Times New Roman"/>
          <w:color w:val="000000" w:themeColor="text1"/>
          <w:sz w:val="24"/>
          <w:szCs w:val="24"/>
          <w:lang w:val="en-US"/>
        </w:rPr>
        <w:t>per cent</w:t>
      </w:r>
      <w:r w:rsidR="00614835" w:rsidRPr="008B2F56">
        <w:rPr>
          <w:rFonts w:ascii="Times New Roman" w:hAnsi="Times New Roman" w:cs="Times New Roman"/>
          <w:color w:val="000000" w:themeColor="text1"/>
          <w:sz w:val="24"/>
          <w:szCs w:val="24"/>
          <w:lang w:val="en-US"/>
        </w:rPr>
        <w:t xml:space="preserve"> of IIAs contain provisions that </w:t>
      </w:r>
      <w:r w:rsidR="00C80A9E" w:rsidRPr="008B2F56">
        <w:rPr>
          <w:rFonts w:ascii="Times New Roman" w:hAnsi="Times New Roman" w:cs="Times New Roman"/>
          <w:color w:val="000000" w:themeColor="text1"/>
          <w:sz w:val="24"/>
          <w:szCs w:val="24"/>
          <w:lang w:val="en-US"/>
        </w:rPr>
        <w:t>call for</w:t>
      </w:r>
      <w:r w:rsidR="00614835" w:rsidRPr="008B2F56">
        <w:rPr>
          <w:rFonts w:ascii="Times New Roman" w:hAnsi="Times New Roman" w:cs="Times New Roman"/>
          <w:color w:val="000000" w:themeColor="text1"/>
          <w:sz w:val="24"/>
          <w:szCs w:val="24"/>
          <w:lang w:val="en-US"/>
        </w:rPr>
        <w:t xml:space="preserve"> investment promotion activities.</w:t>
      </w:r>
      <w:r w:rsidR="00614835" w:rsidRPr="008B2F56">
        <w:rPr>
          <w:rStyle w:val="FootnoteReference"/>
          <w:rFonts w:ascii="Times New Roman" w:hAnsi="Times New Roman" w:cs="Times New Roman"/>
        </w:rPr>
        <w:footnoteReference w:id="55"/>
      </w:r>
      <w:r w:rsidR="00C80A9E" w:rsidRPr="008B2F56">
        <w:rPr>
          <w:rFonts w:ascii="Times New Roman" w:hAnsi="Times New Roman" w:cs="Times New Roman"/>
          <w:color w:val="000000" w:themeColor="text1"/>
          <w:sz w:val="24"/>
          <w:szCs w:val="24"/>
          <w:lang w:val="en-US"/>
        </w:rPr>
        <w:t xml:space="preserve"> </w:t>
      </w:r>
      <w:r w:rsidR="002F6BA5" w:rsidRPr="008B2F56">
        <w:rPr>
          <w:rFonts w:ascii="Times New Roman" w:hAnsi="Times New Roman" w:cs="Times New Roman"/>
          <w:color w:val="000000" w:themeColor="text1"/>
          <w:sz w:val="24"/>
          <w:szCs w:val="24"/>
          <w:lang w:val="en-US"/>
        </w:rPr>
        <w:t xml:space="preserve">Some IIAs also contain operational clauses that protect the rights of investors to establish in the contracting parties. According to data from UNCTAD, approximately 8 </w:t>
      </w:r>
      <w:r w:rsidR="0047027F" w:rsidRPr="008B2F56">
        <w:rPr>
          <w:rFonts w:ascii="Times New Roman" w:hAnsi="Times New Roman" w:cs="Times New Roman"/>
          <w:color w:val="000000" w:themeColor="text1"/>
          <w:sz w:val="24"/>
          <w:szCs w:val="24"/>
          <w:lang w:val="en-US"/>
        </w:rPr>
        <w:t>per cent</w:t>
      </w:r>
      <w:r w:rsidR="002F6BA5" w:rsidRPr="008B2F56">
        <w:rPr>
          <w:rFonts w:ascii="Times New Roman" w:hAnsi="Times New Roman" w:cs="Times New Roman"/>
          <w:color w:val="000000" w:themeColor="text1"/>
          <w:sz w:val="24"/>
          <w:szCs w:val="24"/>
          <w:lang w:val="en-US"/>
        </w:rPr>
        <w:t xml:space="preserve"> of IIAs include provisions that prohibit discrimination in the pre-establishment phase.</w:t>
      </w:r>
      <w:r w:rsidR="002F6BA5" w:rsidRPr="008B2F56">
        <w:rPr>
          <w:rStyle w:val="FootnoteReference"/>
          <w:rFonts w:ascii="Times New Roman" w:hAnsi="Times New Roman" w:cs="Times New Roman"/>
        </w:rPr>
        <w:footnoteReference w:id="56"/>
      </w:r>
      <w:r w:rsidR="00710A76" w:rsidRPr="008B2F56">
        <w:rPr>
          <w:rFonts w:ascii="Times New Roman" w:hAnsi="Times New Roman" w:cs="Times New Roman"/>
          <w:color w:val="000000" w:themeColor="text1"/>
          <w:sz w:val="24"/>
          <w:szCs w:val="24"/>
          <w:lang w:val="en-US"/>
        </w:rPr>
        <w:t xml:space="preserve"> These numbers indicate </w:t>
      </w:r>
      <w:r w:rsidR="005401FD" w:rsidRPr="008B2F56">
        <w:rPr>
          <w:rFonts w:ascii="Times New Roman" w:hAnsi="Times New Roman" w:cs="Times New Roman"/>
          <w:color w:val="000000" w:themeColor="text1"/>
          <w:sz w:val="24"/>
          <w:szCs w:val="24"/>
          <w:lang w:val="en-US"/>
        </w:rPr>
        <w:t xml:space="preserve">that </w:t>
      </w:r>
      <w:r w:rsidR="00710A76" w:rsidRPr="008B2F56">
        <w:rPr>
          <w:rFonts w:ascii="Times New Roman" w:hAnsi="Times New Roman" w:cs="Times New Roman"/>
          <w:color w:val="000000" w:themeColor="text1"/>
          <w:sz w:val="24"/>
          <w:szCs w:val="24"/>
          <w:lang w:val="en-US"/>
        </w:rPr>
        <w:t xml:space="preserve">IIAs only to a limited extent </w:t>
      </w:r>
      <w:r w:rsidR="00F903BE" w:rsidRPr="008B2F56">
        <w:rPr>
          <w:rFonts w:ascii="Times New Roman" w:hAnsi="Times New Roman" w:cs="Times New Roman"/>
          <w:color w:val="000000" w:themeColor="text1"/>
          <w:sz w:val="24"/>
          <w:szCs w:val="24"/>
          <w:lang w:val="en-US"/>
        </w:rPr>
        <w:t xml:space="preserve">have </w:t>
      </w:r>
      <w:r w:rsidR="00710A76" w:rsidRPr="008B2F56">
        <w:rPr>
          <w:rFonts w:ascii="Times New Roman" w:hAnsi="Times New Roman" w:cs="Times New Roman"/>
          <w:color w:val="000000" w:themeColor="text1"/>
          <w:sz w:val="24"/>
          <w:szCs w:val="24"/>
          <w:lang w:val="en-US"/>
        </w:rPr>
        <w:t>been perceived as instruments</w:t>
      </w:r>
      <w:r w:rsidR="00523C05" w:rsidRPr="008B2F56">
        <w:rPr>
          <w:rFonts w:ascii="Times New Roman" w:hAnsi="Times New Roman" w:cs="Times New Roman"/>
          <w:color w:val="000000" w:themeColor="text1"/>
          <w:sz w:val="24"/>
          <w:szCs w:val="24"/>
          <w:lang w:val="en-US"/>
        </w:rPr>
        <w:t xml:space="preserve"> to operationalize investors’ rights to establish in other countries</w:t>
      </w:r>
      <w:r w:rsidR="00F82363" w:rsidRPr="008B2F56">
        <w:rPr>
          <w:rFonts w:ascii="Times New Roman" w:hAnsi="Times New Roman" w:cs="Times New Roman"/>
          <w:color w:val="000000" w:themeColor="text1"/>
          <w:sz w:val="24"/>
          <w:szCs w:val="24"/>
          <w:lang w:val="en-US"/>
        </w:rPr>
        <w:t>, despite some significant reform efforts</w:t>
      </w:r>
      <w:r w:rsidR="00523C05" w:rsidRPr="008B2F56">
        <w:rPr>
          <w:rFonts w:ascii="Times New Roman" w:hAnsi="Times New Roman" w:cs="Times New Roman"/>
          <w:color w:val="000000" w:themeColor="text1"/>
          <w:sz w:val="24"/>
          <w:szCs w:val="24"/>
          <w:lang w:val="en-US"/>
        </w:rPr>
        <w:t>.</w:t>
      </w:r>
      <w:r w:rsidR="00F82363" w:rsidRPr="008B2F56">
        <w:rPr>
          <w:rStyle w:val="FootnoteReference"/>
          <w:rFonts w:ascii="Times New Roman" w:hAnsi="Times New Roman" w:cs="Times New Roman"/>
          <w:color w:val="000000" w:themeColor="text1"/>
          <w:sz w:val="24"/>
          <w:szCs w:val="24"/>
          <w:lang w:val="en-US"/>
        </w:rPr>
        <w:footnoteReference w:id="57"/>
      </w:r>
      <w:r w:rsidR="00710A76" w:rsidRPr="008B2F56">
        <w:rPr>
          <w:rFonts w:ascii="Times New Roman" w:hAnsi="Times New Roman" w:cs="Times New Roman"/>
          <w:color w:val="000000" w:themeColor="text1"/>
          <w:sz w:val="24"/>
          <w:szCs w:val="24"/>
          <w:lang w:val="en-US"/>
        </w:rPr>
        <w:t xml:space="preserve"> </w:t>
      </w:r>
    </w:p>
    <w:p w14:paraId="2DAA68D5" w14:textId="424AE70F" w:rsidR="0047027F" w:rsidRPr="008B2F56" w:rsidRDefault="00EB32E8"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lastRenderedPageBreak/>
        <w:t>A</w:t>
      </w:r>
      <w:r w:rsidR="00246E97" w:rsidRPr="008B2F56">
        <w:rPr>
          <w:rFonts w:ascii="Times New Roman" w:hAnsi="Times New Roman" w:cs="Times New Roman"/>
          <w:color w:val="000000" w:themeColor="text1"/>
          <w:sz w:val="24"/>
          <w:szCs w:val="24"/>
          <w:lang w:val="en-US"/>
        </w:rPr>
        <w:t xml:space="preserve">s to the indirect </w:t>
      </w:r>
      <w:r w:rsidR="007B3571" w:rsidRPr="008B2F56">
        <w:rPr>
          <w:rFonts w:ascii="Times New Roman" w:hAnsi="Times New Roman" w:cs="Times New Roman"/>
          <w:color w:val="000000" w:themeColor="text1"/>
          <w:sz w:val="24"/>
          <w:szCs w:val="24"/>
          <w:lang w:val="en-US"/>
        </w:rPr>
        <w:t>incentives that</w:t>
      </w:r>
      <w:r w:rsidR="00246E97" w:rsidRPr="008B2F56">
        <w:rPr>
          <w:rFonts w:ascii="Times New Roman" w:hAnsi="Times New Roman" w:cs="Times New Roman"/>
          <w:color w:val="000000" w:themeColor="text1"/>
          <w:sz w:val="24"/>
          <w:szCs w:val="24"/>
          <w:lang w:val="en-US"/>
        </w:rPr>
        <w:t xml:space="preserve"> IIAs may </w:t>
      </w:r>
      <w:r w:rsidR="007B3571" w:rsidRPr="008B2F56">
        <w:rPr>
          <w:rFonts w:ascii="Times New Roman" w:hAnsi="Times New Roman" w:cs="Times New Roman"/>
          <w:color w:val="000000" w:themeColor="text1"/>
          <w:sz w:val="24"/>
          <w:szCs w:val="24"/>
          <w:lang w:val="en-US"/>
        </w:rPr>
        <w:t>provide through protection of</w:t>
      </w:r>
      <w:r w:rsidR="00246E97" w:rsidRPr="008B2F56">
        <w:rPr>
          <w:rFonts w:ascii="Times New Roman" w:hAnsi="Times New Roman" w:cs="Times New Roman"/>
          <w:color w:val="000000" w:themeColor="text1"/>
          <w:sz w:val="24"/>
          <w:szCs w:val="24"/>
          <w:lang w:val="en-US"/>
        </w:rPr>
        <w:t xml:space="preserve"> FDI,</w:t>
      </w:r>
      <w:r w:rsidR="0047027F" w:rsidRPr="008B2F56">
        <w:rPr>
          <w:rFonts w:ascii="Times New Roman" w:hAnsi="Times New Roman" w:cs="Times New Roman"/>
          <w:color w:val="000000" w:themeColor="text1"/>
          <w:sz w:val="24"/>
          <w:szCs w:val="24"/>
          <w:lang w:val="en-US"/>
        </w:rPr>
        <w:t xml:space="preserve"> </w:t>
      </w:r>
      <w:r w:rsidR="007B3571" w:rsidRPr="008B2F56">
        <w:rPr>
          <w:rFonts w:ascii="Times New Roman" w:hAnsi="Times New Roman" w:cs="Times New Roman"/>
          <w:color w:val="000000" w:themeColor="text1"/>
          <w:sz w:val="24"/>
          <w:szCs w:val="24"/>
          <w:lang w:val="en-US"/>
        </w:rPr>
        <w:t>such effects would inter alia depend on the level of protection afforded (see section 4.2) and potential investors’ knowledge about the protection. I</w:t>
      </w:r>
      <w:r w:rsidR="0047027F" w:rsidRPr="008B2F56">
        <w:rPr>
          <w:rFonts w:ascii="Times New Roman" w:hAnsi="Times New Roman" w:cs="Times New Roman"/>
          <w:color w:val="000000" w:themeColor="text1"/>
          <w:sz w:val="24"/>
          <w:szCs w:val="24"/>
          <w:lang w:val="en-US"/>
        </w:rPr>
        <w:t xml:space="preserve">f we assume that </w:t>
      </w:r>
      <w:r w:rsidR="007B3571" w:rsidRPr="008B2F56">
        <w:rPr>
          <w:rFonts w:ascii="Times New Roman" w:hAnsi="Times New Roman" w:cs="Times New Roman"/>
          <w:color w:val="000000" w:themeColor="text1"/>
          <w:sz w:val="24"/>
          <w:szCs w:val="24"/>
          <w:lang w:val="en-US"/>
        </w:rPr>
        <w:t xml:space="preserve">all </w:t>
      </w:r>
      <w:r w:rsidR="0047027F" w:rsidRPr="008B2F56">
        <w:rPr>
          <w:rFonts w:ascii="Times New Roman" w:hAnsi="Times New Roman" w:cs="Times New Roman"/>
          <w:color w:val="000000" w:themeColor="text1"/>
          <w:sz w:val="24"/>
          <w:szCs w:val="24"/>
          <w:lang w:val="en-US"/>
        </w:rPr>
        <w:t xml:space="preserve">IIAs </w:t>
      </w:r>
      <w:r w:rsidR="007B3571" w:rsidRPr="008B2F56">
        <w:rPr>
          <w:rFonts w:ascii="Times New Roman" w:hAnsi="Times New Roman" w:cs="Times New Roman"/>
          <w:color w:val="000000" w:themeColor="text1"/>
          <w:sz w:val="24"/>
          <w:szCs w:val="24"/>
          <w:lang w:val="en-US"/>
        </w:rPr>
        <w:t>afford similar protection</w:t>
      </w:r>
      <w:r w:rsidR="0047027F" w:rsidRPr="008B2F56">
        <w:rPr>
          <w:rFonts w:ascii="Times New Roman" w:hAnsi="Times New Roman" w:cs="Times New Roman"/>
          <w:color w:val="000000" w:themeColor="text1"/>
          <w:sz w:val="24"/>
          <w:szCs w:val="24"/>
          <w:lang w:val="en-US"/>
        </w:rPr>
        <w:t xml:space="preserve"> </w:t>
      </w:r>
      <w:r w:rsidR="007B3571" w:rsidRPr="008B2F56">
        <w:rPr>
          <w:rFonts w:ascii="Times New Roman" w:hAnsi="Times New Roman" w:cs="Times New Roman"/>
          <w:color w:val="000000" w:themeColor="text1"/>
          <w:sz w:val="24"/>
          <w:szCs w:val="24"/>
          <w:lang w:val="en-US"/>
        </w:rPr>
        <w:t xml:space="preserve">to </w:t>
      </w:r>
      <w:r w:rsidR="0047027F" w:rsidRPr="008B2F56">
        <w:rPr>
          <w:rFonts w:ascii="Times New Roman" w:hAnsi="Times New Roman" w:cs="Times New Roman"/>
          <w:color w:val="000000" w:themeColor="text1"/>
          <w:sz w:val="24"/>
          <w:szCs w:val="24"/>
          <w:lang w:val="en-US"/>
        </w:rPr>
        <w:t xml:space="preserve">FDI </w:t>
      </w:r>
      <w:r w:rsidR="007B3571" w:rsidRPr="008B2F56">
        <w:rPr>
          <w:rFonts w:ascii="Times New Roman" w:hAnsi="Times New Roman" w:cs="Times New Roman"/>
          <w:color w:val="000000" w:themeColor="text1"/>
          <w:sz w:val="24"/>
          <w:szCs w:val="24"/>
          <w:lang w:val="en-US"/>
        </w:rPr>
        <w:t xml:space="preserve">and that knowledge regarding the existence of such protection among potential investors is equally distributed, a determining factor for the effects of IIAs would be the extent to which </w:t>
      </w:r>
      <w:r w:rsidR="009C2CB3" w:rsidRPr="008B2F56">
        <w:rPr>
          <w:rFonts w:ascii="Times New Roman" w:hAnsi="Times New Roman" w:cs="Times New Roman"/>
          <w:color w:val="000000" w:themeColor="text1"/>
          <w:sz w:val="24"/>
          <w:szCs w:val="24"/>
          <w:lang w:val="en-US"/>
        </w:rPr>
        <w:t xml:space="preserve">relevant countries are parties to </w:t>
      </w:r>
      <w:r w:rsidR="007B3571" w:rsidRPr="008B2F56">
        <w:rPr>
          <w:rFonts w:ascii="Times New Roman" w:hAnsi="Times New Roman" w:cs="Times New Roman"/>
          <w:color w:val="000000" w:themeColor="text1"/>
          <w:sz w:val="24"/>
          <w:szCs w:val="24"/>
          <w:lang w:val="en-US"/>
        </w:rPr>
        <w:t>IIAs</w:t>
      </w:r>
      <w:r w:rsidR="0047027F" w:rsidRPr="008B2F56">
        <w:rPr>
          <w:rFonts w:ascii="Times New Roman" w:hAnsi="Times New Roman" w:cs="Times New Roman"/>
          <w:color w:val="000000" w:themeColor="text1"/>
          <w:sz w:val="24"/>
          <w:szCs w:val="24"/>
          <w:lang w:val="en-US"/>
        </w:rPr>
        <w:t xml:space="preserve">. As we can see from table 2, countries classified as low income economies by the World Bank have on average </w:t>
      </w:r>
      <w:r w:rsidR="00400805" w:rsidRPr="008B2F56">
        <w:rPr>
          <w:rFonts w:ascii="Times New Roman" w:hAnsi="Times New Roman" w:cs="Times New Roman"/>
          <w:color w:val="000000" w:themeColor="text1"/>
          <w:sz w:val="24"/>
          <w:szCs w:val="24"/>
          <w:lang w:val="en-US"/>
        </w:rPr>
        <w:t>a low level of participation in IIAs that provide consent to ISDS, ranging from a saturation level of only 7.6 per cent with upper middle income countries to 15.3 per cent among low income counties. The highest level of saturation can be found among high income countries, with almost 40 per cent, and between high income and upper middle income countries, with 28.5 per cent. These are</w:t>
      </w:r>
      <w:r w:rsidR="00FB1FE6" w:rsidRPr="008B2F56">
        <w:rPr>
          <w:rFonts w:ascii="Times New Roman" w:hAnsi="Times New Roman" w:cs="Times New Roman"/>
          <w:color w:val="000000" w:themeColor="text1"/>
          <w:sz w:val="24"/>
          <w:szCs w:val="24"/>
          <w:lang w:val="en-US"/>
        </w:rPr>
        <w:t xml:space="preserve"> presumably countries with a low need for incentives to attract FDI to achieve their SDGs. Against this background, it is relatively clear that the current structure of IIAs is unlikely to provide significant incentives to increased flows of FDI into countries with significant need of FDI to fulfil the RtD and supplement their funding of SDGs.</w:t>
      </w:r>
    </w:p>
    <w:p w14:paraId="7D847EFA" w14:textId="0E05E5F2" w:rsidR="0047027F" w:rsidRPr="008B2F56" w:rsidRDefault="0047027F" w:rsidP="008D76EF">
      <w:pPr>
        <w:pStyle w:val="Heading3"/>
        <w:jc w:val="both"/>
        <w:rPr>
          <w:rFonts w:ascii="Times New Roman" w:hAnsi="Times New Roman" w:cs="Times New Roman"/>
        </w:rPr>
      </w:pPr>
      <w:r w:rsidRPr="008B2F56">
        <w:rPr>
          <w:rFonts w:ascii="Times New Roman" w:hAnsi="Times New Roman" w:cs="Times New Roman"/>
        </w:rPr>
        <w:t xml:space="preserve">Table 2: </w:t>
      </w:r>
      <w:r w:rsidR="005401FD" w:rsidRPr="008B2F56">
        <w:rPr>
          <w:rFonts w:ascii="Times New Roman" w:hAnsi="Times New Roman" w:cs="Times New Roman"/>
        </w:rPr>
        <w:t>IIA</w:t>
      </w:r>
      <w:r w:rsidRPr="008B2F56">
        <w:rPr>
          <w:rFonts w:ascii="Times New Roman" w:hAnsi="Times New Roman" w:cs="Times New Roman"/>
        </w:rPr>
        <w:t xml:space="preserve"> relationships according to World Bank income groups</w:t>
      </w:r>
      <w:r w:rsidRPr="008B2F56">
        <w:rPr>
          <w:rStyle w:val="FootnoteReference"/>
          <w:rFonts w:ascii="Times New Roman" w:hAnsi="Times New Roman" w:cs="Times New Roman"/>
        </w:rPr>
        <w:footnoteReference w:id="58"/>
      </w:r>
    </w:p>
    <w:tbl>
      <w:tblPr>
        <w:tblW w:w="9270" w:type="dxa"/>
        <w:tblCellMar>
          <w:left w:w="0" w:type="dxa"/>
          <w:right w:w="0" w:type="dxa"/>
        </w:tblCellMar>
        <w:tblLook w:val="04A0" w:firstRow="1" w:lastRow="0" w:firstColumn="1" w:lastColumn="0" w:noHBand="0" w:noVBand="1"/>
      </w:tblPr>
      <w:tblGrid>
        <w:gridCol w:w="90"/>
        <w:gridCol w:w="2520"/>
        <w:gridCol w:w="1515"/>
        <w:gridCol w:w="1715"/>
        <w:gridCol w:w="1715"/>
        <w:gridCol w:w="1715"/>
      </w:tblGrid>
      <w:tr w:rsidR="00C337EB" w:rsidRPr="008B2F56" w14:paraId="5C3EB302" w14:textId="77777777" w:rsidTr="00C337EB">
        <w:trPr>
          <w:cantSplit/>
          <w:trHeight w:val="20"/>
        </w:trPr>
        <w:tc>
          <w:tcPr>
            <w:tcW w:w="2610" w:type="dxa"/>
            <w:gridSpan w:val="2"/>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4F2B03"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p>
        </w:tc>
        <w:tc>
          <w:tcPr>
            <w:tcW w:w="1515" w:type="dxa"/>
            <w:tcBorders>
              <w:top w:val="nil"/>
              <w:left w:val="single" w:sz="8" w:space="0" w:color="000000"/>
              <w:bottom w:val="single" w:sz="8" w:space="0" w:color="000000"/>
              <w:right w:val="dotted" w:sz="4" w:space="0" w:color="auto"/>
            </w:tcBorders>
            <w:shd w:val="clear" w:color="auto" w:fill="auto"/>
            <w:tcMar>
              <w:top w:w="15" w:type="dxa"/>
              <w:left w:w="108" w:type="dxa"/>
              <w:bottom w:w="0" w:type="dxa"/>
              <w:right w:w="108" w:type="dxa"/>
            </w:tcMar>
            <w:vAlign w:val="center"/>
            <w:hideMark/>
          </w:tcPr>
          <w:p w14:paraId="1E31F6B9"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High income</w:t>
            </w:r>
          </w:p>
        </w:tc>
        <w:tc>
          <w:tcPr>
            <w:tcW w:w="1715" w:type="dxa"/>
            <w:tcBorders>
              <w:top w:val="nil"/>
              <w:left w:val="dotted" w:sz="4" w:space="0" w:color="auto"/>
              <w:bottom w:val="single" w:sz="8" w:space="0" w:color="000000"/>
              <w:right w:val="dotted" w:sz="4" w:space="0" w:color="auto"/>
            </w:tcBorders>
            <w:shd w:val="clear" w:color="auto" w:fill="auto"/>
            <w:tcMar>
              <w:top w:w="15" w:type="dxa"/>
              <w:left w:w="108" w:type="dxa"/>
              <w:bottom w:w="0" w:type="dxa"/>
              <w:right w:w="108" w:type="dxa"/>
            </w:tcMar>
            <w:vAlign w:val="center"/>
            <w:hideMark/>
          </w:tcPr>
          <w:p w14:paraId="7DD2C882"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Upper middle income</w:t>
            </w:r>
          </w:p>
        </w:tc>
        <w:tc>
          <w:tcPr>
            <w:tcW w:w="1715" w:type="dxa"/>
            <w:tcBorders>
              <w:top w:val="nil"/>
              <w:left w:val="dotted" w:sz="4" w:space="0" w:color="auto"/>
              <w:bottom w:val="single" w:sz="8" w:space="0" w:color="000000"/>
              <w:right w:val="dotted" w:sz="4" w:space="0" w:color="auto"/>
            </w:tcBorders>
            <w:shd w:val="clear" w:color="auto" w:fill="auto"/>
            <w:tcMar>
              <w:top w:w="15" w:type="dxa"/>
              <w:left w:w="108" w:type="dxa"/>
              <w:bottom w:w="0" w:type="dxa"/>
              <w:right w:w="108" w:type="dxa"/>
            </w:tcMar>
            <w:vAlign w:val="center"/>
            <w:hideMark/>
          </w:tcPr>
          <w:p w14:paraId="1A631100"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Lower middle income</w:t>
            </w:r>
          </w:p>
        </w:tc>
        <w:tc>
          <w:tcPr>
            <w:tcW w:w="1715" w:type="dxa"/>
            <w:tcBorders>
              <w:top w:val="nil"/>
              <w:left w:val="dotted" w:sz="4" w:space="0" w:color="auto"/>
              <w:bottom w:val="single" w:sz="8" w:space="0" w:color="000000"/>
            </w:tcBorders>
            <w:shd w:val="clear" w:color="auto" w:fill="auto"/>
            <w:tcMar>
              <w:top w:w="15" w:type="dxa"/>
              <w:left w:w="108" w:type="dxa"/>
              <w:bottom w:w="0" w:type="dxa"/>
              <w:right w:w="108" w:type="dxa"/>
            </w:tcMar>
            <w:vAlign w:val="center"/>
            <w:hideMark/>
          </w:tcPr>
          <w:p w14:paraId="658FE485"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Low income</w:t>
            </w:r>
          </w:p>
        </w:tc>
      </w:tr>
      <w:tr w:rsidR="00C337EB" w:rsidRPr="008B2F56" w14:paraId="37EA57AB" w14:textId="77777777" w:rsidTr="00C337EB">
        <w:trPr>
          <w:cantSplit/>
          <w:trHeight w:val="20"/>
        </w:trPr>
        <w:tc>
          <w:tcPr>
            <w:tcW w:w="2610" w:type="dxa"/>
            <w:gridSpan w:val="2"/>
            <w:vMerge w:val="restart"/>
            <w:tcBorders>
              <w:top w:val="single" w:sz="8" w:space="0" w:color="000000"/>
              <w:left w:val="nil"/>
              <w:bottom w:val="nil"/>
              <w:right w:val="single" w:sz="8" w:space="0" w:color="000000"/>
            </w:tcBorders>
            <w:shd w:val="clear" w:color="auto" w:fill="auto"/>
            <w:tcMar>
              <w:top w:w="15" w:type="dxa"/>
              <w:left w:w="108" w:type="dxa"/>
              <w:bottom w:w="0" w:type="dxa"/>
              <w:right w:w="108" w:type="dxa"/>
            </w:tcMar>
            <w:vAlign w:val="center"/>
            <w:hideMark/>
          </w:tcPr>
          <w:p w14:paraId="6C6634C2"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High income</w:t>
            </w:r>
          </w:p>
        </w:tc>
        <w:tc>
          <w:tcPr>
            <w:tcW w:w="1515" w:type="dxa"/>
            <w:tcBorders>
              <w:top w:val="single" w:sz="8" w:space="0" w:color="000000"/>
              <w:left w:val="single" w:sz="8" w:space="0" w:color="000000"/>
              <w:bottom w:val="nil"/>
              <w:right w:val="dotted" w:sz="4" w:space="0" w:color="auto"/>
            </w:tcBorders>
            <w:shd w:val="clear" w:color="auto" w:fill="auto"/>
            <w:tcMar>
              <w:top w:w="15" w:type="dxa"/>
              <w:left w:w="108" w:type="dxa"/>
              <w:bottom w:w="0" w:type="dxa"/>
              <w:right w:w="108" w:type="dxa"/>
            </w:tcMar>
            <w:vAlign w:val="center"/>
            <w:hideMark/>
          </w:tcPr>
          <w:p w14:paraId="2802D8EF"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706 (1770)</w:t>
            </w:r>
          </w:p>
        </w:tc>
        <w:tc>
          <w:tcPr>
            <w:tcW w:w="1715" w:type="dxa"/>
            <w:tcBorders>
              <w:top w:val="single" w:sz="8" w:space="0" w:color="000000"/>
              <w:left w:val="dotted" w:sz="4" w:space="0" w:color="auto"/>
              <w:bottom w:val="nil"/>
              <w:right w:val="dotted" w:sz="4" w:space="0" w:color="auto"/>
            </w:tcBorders>
            <w:shd w:val="clear" w:color="auto" w:fill="auto"/>
            <w:tcMar>
              <w:top w:w="15" w:type="dxa"/>
              <w:left w:w="108" w:type="dxa"/>
              <w:bottom w:w="0" w:type="dxa"/>
              <w:right w:w="108" w:type="dxa"/>
            </w:tcMar>
            <w:vAlign w:val="center"/>
            <w:hideMark/>
          </w:tcPr>
          <w:p w14:paraId="10491661"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1009 (3540)</w:t>
            </w:r>
          </w:p>
        </w:tc>
        <w:tc>
          <w:tcPr>
            <w:tcW w:w="1715" w:type="dxa"/>
            <w:tcBorders>
              <w:top w:val="single" w:sz="8" w:space="0" w:color="000000"/>
              <w:left w:val="dotted" w:sz="4" w:space="0" w:color="auto"/>
              <w:bottom w:val="nil"/>
              <w:right w:val="dotted" w:sz="4" w:space="0" w:color="auto"/>
            </w:tcBorders>
            <w:shd w:val="clear" w:color="auto" w:fill="auto"/>
            <w:tcMar>
              <w:top w:w="15" w:type="dxa"/>
              <w:left w:w="108" w:type="dxa"/>
              <w:bottom w:w="0" w:type="dxa"/>
              <w:right w:w="108" w:type="dxa"/>
            </w:tcMar>
            <w:vAlign w:val="center"/>
            <w:hideMark/>
          </w:tcPr>
          <w:p w14:paraId="5EEC3AA3"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593 (2820)</w:t>
            </w:r>
          </w:p>
        </w:tc>
        <w:tc>
          <w:tcPr>
            <w:tcW w:w="1715" w:type="dxa"/>
            <w:tcBorders>
              <w:top w:val="single" w:sz="8" w:space="0" w:color="000000"/>
              <w:left w:val="dotted" w:sz="4" w:space="0" w:color="auto"/>
              <w:bottom w:val="nil"/>
            </w:tcBorders>
            <w:shd w:val="clear" w:color="auto" w:fill="auto"/>
            <w:tcMar>
              <w:top w:w="15" w:type="dxa"/>
              <w:left w:w="108" w:type="dxa"/>
              <w:bottom w:w="0" w:type="dxa"/>
              <w:right w:w="108" w:type="dxa"/>
            </w:tcMar>
            <w:vAlign w:val="center"/>
            <w:hideMark/>
          </w:tcPr>
          <w:p w14:paraId="27927049"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216 (1860)</w:t>
            </w:r>
          </w:p>
        </w:tc>
      </w:tr>
      <w:tr w:rsidR="00C337EB" w:rsidRPr="008B2F56" w14:paraId="5AAE9D9B" w14:textId="77777777" w:rsidTr="00C337EB">
        <w:trPr>
          <w:cantSplit/>
          <w:trHeight w:val="20"/>
        </w:trPr>
        <w:tc>
          <w:tcPr>
            <w:tcW w:w="2610" w:type="dxa"/>
            <w:gridSpan w:val="2"/>
            <w:vMerge/>
            <w:tcBorders>
              <w:top w:val="single" w:sz="8" w:space="0" w:color="000000"/>
              <w:left w:val="nil"/>
              <w:bottom w:val="dotted" w:sz="4" w:space="0" w:color="auto"/>
              <w:right w:val="single" w:sz="8" w:space="0" w:color="000000"/>
            </w:tcBorders>
            <w:shd w:val="clear" w:color="auto" w:fill="auto"/>
            <w:vAlign w:val="center"/>
            <w:hideMark/>
          </w:tcPr>
          <w:p w14:paraId="343208F9"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p>
        </w:tc>
        <w:tc>
          <w:tcPr>
            <w:tcW w:w="1515" w:type="dxa"/>
            <w:tcBorders>
              <w:top w:val="nil"/>
              <w:left w:val="single" w:sz="8" w:space="0" w:color="000000"/>
              <w:bottom w:val="dotted" w:sz="4" w:space="0" w:color="auto"/>
              <w:right w:val="dotted" w:sz="4" w:space="0" w:color="auto"/>
            </w:tcBorders>
            <w:shd w:val="clear" w:color="auto" w:fill="auto"/>
            <w:tcMar>
              <w:top w:w="15" w:type="dxa"/>
              <w:left w:w="108" w:type="dxa"/>
              <w:bottom w:w="0" w:type="dxa"/>
              <w:right w:w="108" w:type="dxa"/>
            </w:tcMar>
            <w:vAlign w:val="center"/>
            <w:hideMark/>
          </w:tcPr>
          <w:p w14:paraId="7E8F07BA" w14:textId="77777777" w:rsidR="00C337EB" w:rsidRPr="008B2F56" w:rsidRDefault="00C337EB" w:rsidP="008D76EF">
            <w:pPr>
              <w:spacing w:after="0" w:line="259" w:lineRule="auto"/>
              <w:jc w:val="both"/>
              <w:rPr>
                <w:rFonts w:ascii="Times New Roman" w:eastAsia="Calibri" w:hAnsi="Times New Roman" w:cs="Times New Roman"/>
                <w:i/>
                <w:color w:val="000000"/>
                <w:lang w:val="en-US" w:eastAsia="en-US"/>
              </w:rPr>
            </w:pPr>
            <w:r w:rsidRPr="008B2F56">
              <w:rPr>
                <w:rFonts w:ascii="Times New Roman" w:eastAsia="Calibri" w:hAnsi="Times New Roman" w:cs="Times New Roman"/>
                <w:i/>
                <w:color w:val="000000"/>
                <w:lang w:val="en-US" w:eastAsia="en-US"/>
              </w:rPr>
              <w:t>19.3% (39.9)</w:t>
            </w:r>
          </w:p>
        </w:tc>
        <w:tc>
          <w:tcPr>
            <w:tcW w:w="1715" w:type="dxa"/>
            <w:tcBorders>
              <w:top w:val="nil"/>
              <w:left w:val="dotted" w:sz="4" w:space="0" w:color="auto"/>
              <w:bottom w:val="dotted" w:sz="4" w:space="0" w:color="auto"/>
              <w:right w:val="dotted" w:sz="4" w:space="0" w:color="auto"/>
            </w:tcBorders>
            <w:shd w:val="clear" w:color="auto" w:fill="auto"/>
            <w:tcMar>
              <w:top w:w="15" w:type="dxa"/>
              <w:left w:w="108" w:type="dxa"/>
              <w:bottom w:w="0" w:type="dxa"/>
              <w:right w:w="108" w:type="dxa"/>
            </w:tcMar>
            <w:vAlign w:val="center"/>
            <w:hideMark/>
          </w:tcPr>
          <w:p w14:paraId="50287184" w14:textId="77777777" w:rsidR="00C337EB" w:rsidRPr="008B2F56" w:rsidRDefault="00C337EB" w:rsidP="008D76EF">
            <w:pPr>
              <w:spacing w:after="0" w:line="259" w:lineRule="auto"/>
              <w:jc w:val="both"/>
              <w:rPr>
                <w:rFonts w:ascii="Times New Roman" w:eastAsia="Calibri" w:hAnsi="Times New Roman" w:cs="Times New Roman"/>
                <w:i/>
                <w:color w:val="000000"/>
                <w:lang w:val="en-US" w:eastAsia="en-US"/>
              </w:rPr>
            </w:pPr>
            <w:r w:rsidRPr="008B2F56">
              <w:rPr>
                <w:rFonts w:ascii="Times New Roman" w:eastAsia="Calibri" w:hAnsi="Times New Roman" w:cs="Times New Roman"/>
                <w:i/>
                <w:color w:val="000000"/>
                <w:lang w:val="en-US" w:eastAsia="en-US"/>
              </w:rPr>
              <w:t>27.7% (28.5)</w:t>
            </w:r>
          </w:p>
        </w:tc>
        <w:tc>
          <w:tcPr>
            <w:tcW w:w="1715" w:type="dxa"/>
            <w:tcBorders>
              <w:top w:val="nil"/>
              <w:left w:val="dotted" w:sz="4" w:space="0" w:color="auto"/>
              <w:bottom w:val="dotted" w:sz="4" w:space="0" w:color="auto"/>
              <w:right w:val="dotted" w:sz="4" w:space="0" w:color="auto"/>
            </w:tcBorders>
            <w:shd w:val="clear" w:color="auto" w:fill="auto"/>
            <w:tcMar>
              <w:top w:w="15" w:type="dxa"/>
              <w:left w:w="108" w:type="dxa"/>
              <w:bottom w:w="0" w:type="dxa"/>
              <w:right w:w="108" w:type="dxa"/>
            </w:tcMar>
            <w:vAlign w:val="center"/>
            <w:hideMark/>
          </w:tcPr>
          <w:p w14:paraId="3A97B40A" w14:textId="77777777" w:rsidR="00C337EB" w:rsidRPr="008B2F56" w:rsidRDefault="00C337EB" w:rsidP="008D76EF">
            <w:pPr>
              <w:spacing w:after="0" w:line="259" w:lineRule="auto"/>
              <w:jc w:val="both"/>
              <w:rPr>
                <w:rFonts w:ascii="Times New Roman" w:eastAsia="Calibri" w:hAnsi="Times New Roman" w:cs="Times New Roman"/>
                <w:i/>
                <w:color w:val="000000"/>
                <w:lang w:val="en-US" w:eastAsia="en-US"/>
              </w:rPr>
            </w:pPr>
            <w:r w:rsidRPr="008B2F56">
              <w:rPr>
                <w:rFonts w:ascii="Times New Roman" w:eastAsia="Calibri" w:hAnsi="Times New Roman" w:cs="Times New Roman"/>
                <w:i/>
                <w:color w:val="000000"/>
                <w:lang w:val="en-US" w:eastAsia="en-US"/>
              </w:rPr>
              <w:t>16.3% (21.0)</w:t>
            </w:r>
          </w:p>
        </w:tc>
        <w:tc>
          <w:tcPr>
            <w:tcW w:w="1715" w:type="dxa"/>
            <w:tcBorders>
              <w:top w:val="nil"/>
              <w:left w:val="dotted" w:sz="4" w:space="0" w:color="auto"/>
              <w:bottom w:val="dotted" w:sz="4" w:space="0" w:color="auto"/>
            </w:tcBorders>
            <w:shd w:val="clear" w:color="auto" w:fill="auto"/>
            <w:tcMar>
              <w:top w:w="15" w:type="dxa"/>
              <w:left w:w="108" w:type="dxa"/>
              <w:bottom w:w="0" w:type="dxa"/>
              <w:right w:w="108" w:type="dxa"/>
            </w:tcMar>
            <w:vAlign w:val="center"/>
            <w:hideMark/>
          </w:tcPr>
          <w:p w14:paraId="68E2AA5D" w14:textId="77777777" w:rsidR="00C337EB" w:rsidRPr="008B2F56" w:rsidRDefault="00C337EB" w:rsidP="008D76EF">
            <w:pPr>
              <w:spacing w:after="0" w:line="259" w:lineRule="auto"/>
              <w:jc w:val="both"/>
              <w:rPr>
                <w:rFonts w:ascii="Times New Roman" w:eastAsia="Calibri" w:hAnsi="Times New Roman" w:cs="Times New Roman"/>
                <w:i/>
                <w:color w:val="000000"/>
                <w:lang w:val="en-US" w:eastAsia="en-US"/>
              </w:rPr>
            </w:pPr>
            <w:r w:rsidRPr="008B2F56">
              <w:rPr>
                <w:rFonts w:ascii="Times New Roman" w:eastAsia="Calibri" w:hAnsi="Times New Roman" w:cs="Times New Roman"/>
                <w:i/>
                <w:color w:val="000000"/>
                <w:lang w:val="en-US" w:eastAsia="en-US"/>
              </w:rPr>
              <w:t>5.9% (11.6)</w:t>
            </w:r>
          </w:p>
        </w:tc>
      </w:tr>
      <w:tr w:rsidR="00C337EB" w:rsidRPr="008B2F56" w14:paraId="49312025" w14:textId="77777777" w:rsidTr="00C337EB">
        <w:trPr>
          <w:cantSplit/>
          <w:trHeight w:val="20"/>
        </w:trPr>
        <w:tc>
          <w:tcPr>
            <w:tcW w:w="2610" w:type="dxa"/>
            <w:gridSpan w:val="2"/>
            <w:vMerge w:val="restart"/>
            <w:tcBorders>
              <w:top w:val="dotted" w:sz="4" w:space="0" w:color="auto"/>
              <w:left w:val="nil"/>
              <w:bottom w:val="nil"/>
              <w:right w:val="single" w:sz="8" w:space="0" w:color="000000"/>
            </w:tcBorders>
            <w:shd w:val="clear" w:color="auto" w:fill="auto"/>
            <w:tcMar>
              <w:top w:w="15" w:type="dxa"/>
              <w:left w:w="108" w:type="dxa"/>
              <w:bottom w:w="0" w:type="dxa"/>
              <w:right w:w="108" w:type="dxa"/>
            </w:tcMar>
            <w:vAlign w:val="center"/>
            <w:hideMark/>
          </w:tcPr>
          <w:p w14:paraId="77E12BC1"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Upper middle income</w:t>
            </w:r>
          </w:p>
        </w:tc>
        <w:tc>
          <w:tcPr>
            <w:tcW w:w="1515" w:type="dxa"/>
            <w:tcBorders>
              <w:top w:val="dotted" w:sz="4" w:space="0" w:color="auto"/>
              <w:left w:val="single" w:sz="8" w:space="0" w:color="000000"/>
              <w:bottom w:val="nil"/>
              <w:right w:val="dotted" w:sz="4" w:space="0" w:color="auto"/>
            </w:tcBorders>
            <w:shd w:val="clear" w:color="auto" w:fill="auto"/>
            <w:tcMar>
              <w:top w:w="15" w:type="dxa"/>
              <w:left w:w="108" w:type="dxa"/>
              <w:bottom w:w="0" w:type="dxa"/>
              <w:right w:w="108" w:type="dxa"/>
            </w:tcMar>
            <w:vAlign w:val="center"/>
            <w:hideMark/>
          </w:tcPr>
          <w:p w14:paraId="14589343"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p>
        </w:tc>
        <w:tc>
          <w:tcPr>
            <w:tcW w:w="1715" w:type="dxa"/>
            <w:tcBorders>
              <w:top w:val="dotted" w:sz="4" w:space="0" w:color="auto"/>
              <w:left w:val="dotted" w:sz="4" w:space="0" w:color="auto"/>
              <w:bottom w:val="nil"/>
              <w:right w:val="dotted" w:sz="4" w:space="0" w:color="auto"/>
            </w:tcBorders>
            <w:shd w:val="clear" w:color="auto" w:fill="auto"/>
            <w:tcMar>
              <w:top w:w="15" w:type="dxa"/>
              <w:left w:w="108" w:type="dxa"/>
              <w:bottom w:w="0" w:type="dxa"/>
              <w:right w:w="108" w:type="dxa"/>
            </w:tcMar>
            <w:vAlign w:val="center"/>
            <w:hideMark/>
          </w:tcPr>
          <w:p w14:paraId="25162677"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292 (1711)</w:t>
            </w:r>
          </w:p>
        </w:tc>
        <w:tc>
          <w:tcPr>
            <w:tcW w:w="1715" w:type="dxa"/>
            <w:tcBorders>
              <w:top w:val="dotted" w:sz="4" w:space="0" w:color="auto"/>
              <w:left w:val="dotted" w:sz="4" w:space="0" w:color="auto"/>
              <w:bottom w:val="nil"/>
              <w:right w:val="dotted" w:sz="4" w:space="0" w:color="auto"/>
            </w:tcBorders>
            <w:shd w:val="clear" w:color="auto" w:fill="auto"/>
            <w:tcMar>
              <w:top w:w="15" w:type="dxa"/>
              <w:left w:w="108" w:type="dxa"/>
              <w:bottom w:w="0" w:type="dxa"/>
              <w:right w:w="108" w:type="dxa"/>
            </w:tcMar>
            <w:vAlign w:val="center"/>
            <w:hideMark/>
          </w:tcPr>
          <w:p w14:paraId="5DCE74C0"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327 (2773)</w:t>
            </w:r>
          </w:p>
        </w:tc>
        <w:tc>
          <w:tcPr>
            <w:tcW w:w="1715" w:type="dxa"/>
            <w:tcBorders>
              <w:top w:val="dotted" w:sz="4" w:space="0" w:color="auto"/>
              <w:left w:val="dotted" w:sz="4" w:space="0" w:color="auto"/>
              <w:bottom w:val="nil"/>
            </w:tcBorders>
            <w:shd w:val="clear" w:color="auto" w:fill="auto"/>
            <w:tcMar>
              <w:top w:w="15" w:type="dxa"/>
              <w:left w:w="108" w:type="dxa"/>
              <w:bottom w:w="0" w:type="dxa"/>
              <w:right w:w="108" w:type="dxa"/>
            </w:tcMar>
            <w:vAlign w:val="center"/>
            <w:hideMark/>
          </w:tcPr>
          <w:p w14:paraId="5461DB91"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139 (1829)</w:t>
            </w:r>
          </w:p>
        </w:tc>
      </w:tr>
      <w:tr w:rsidR="00C337EB" w:rsidRPr="008B2F56" w14:paraId="3F68F930" w14:textId="77777777" w:rsidTr="00C337EB">
        <w:trPr>
          <w:cantSplit/>
          <w:trHeight w:val="20"/>
        </w:trPr>
        <w:tc>
          <w:tcPr>
            <w:tcW w:w="2610" w:type="dxa"/>
            <w:gridSpan w:val="2"/>
            <w:vMerge/>
            <w:tcBorders>
              <w:top w:val="nil"/>
              <w:left w:val="nil"/>
              <w:bottom w:val="dotted" w:sz="4" w:space="0" w:color="auto"/>
              <w:right w:val="single" w:sz="8" w:space="0" w:color="000000"/>
            </w:tcBorders>
            <w:shd w:val="clear" w:color="auto" w:fill="auto"/>
            <w:vAlign w:val="center"/>
            <w:hideMark/>
          </w:tcPr>
          <w:p w14:paraId="7CAAF671"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p>
        </w:tc>
        <w:tc>
          <w:tcPr>
            <w:tcW w:w="1515" w:type="dxa"/>
            <w:tcBorders>
              <w:top w:val="nil"/>
              <w:left w:val="single" w:sz="8" w:space="0" w:color="000000"/>
              <w:bottom w:val="dotted" w:sz="4" w:space="0" w:color="auto"/>
              <w:right w:val="dotted" w:sz="4" w:space="0" w:color="auto"/>
            </w:tcBorders>
            <w:shd w:val="clear" w:color="auto" w:fill="auto"/>
            <w:tcMar>
              <w:top w:w="15" w:type="dxa"/>
              <w:left w:w="108" w:type="dxa"/>
              <w:bottom w:w="0" w:type="dxa"/>
              <w:right w:w="108" w:type="dxa"/>
            </w:tcMar>
            <w:vAlign w:val="center"/>
            <w:hideMark/>
          </w:tcPr>
          <w:p w14:paraId="45BD466F" w14:textId="77777777" w:rsidR="00C337EB" w:rsidRPr="008B2F56" w:rsidRDefault="00C337EB" w:rsidP="008D76EF">
            <w:pPr>
              <w:spacing w:after="0" w:line="259" w:lineRule="auto"/>
              <w:jc w:val="both"/>
              <w:rPr>
                <w:rFonts w:ascii="Times New Roman" w:eastAsia="Calibri" w:hAnsi="Times New Roman" w:cs="Times New Roman"/>
                <w:i/>
                <w:color w:val="000000"/>
                <w:lang w:val="en-US" w:eastAsia="en-US"/>
              </w:rPr>
            </w:pPr>
          </w:p>
        </w:tc>
        <w:tc>
          <w:tcPr>
            <w:tcW w:w="1715" w:type="dxa"/>
            <w:tcBorders>
              <w:top w:val="nil"/>
              <w:left w:val="dotted" w:sz="4" w:space="0" w:color="auto"/>
              <w:bottom w:val="dotted" w:sz="4" w:space="0" w:color="auto"/>
              <w:right w:val="dotted" w:sz="4" w:space="0" w:color="auto"/>
            </w:tcBorders>
            <w:shd w:val="clear" w:color="auto" w:fill="auto"/>
            <w:tcMar>
              <w:top w:w="15" w:type="dxa"/>
              <w:left w:w="108" w:type="dxa"/>
              <w:bottom w:w="0" w:type="dxa"/>
              <w:right w:w="108" w:type="dxa"/>
            </w:tcMar>
            <w:vAlign w:val="center"/>
            <w:hideMark/>
          </w:tcPr>
          <w:p w14:paraId="0943F40F" w14:textId="77777777" w:rsidR="00C337EB" w:rsidRPr="008B2F56" w:rsidRDefault="00C337EB" w:rsidP="008D76EF">
            <w:pPr>
              <w:spacing w:after="0" w:line="259" w:lineRule="auto"/>
              <w:jc w:val="both"/>
              <w:rPr>
                <w:rFonts w:ascii="Times New Roman" w:eastAsia="Calibri" w:hAnsi="Times New Roman" w:cs="Times New Roman"/>
                <w:i/>
                <w:color w:val="000000"/>
                <w:lang w:val="en-US" w:eastAsia="en-US"/>
              </w:rPr>
            </w:pPr>
            <w:r w:rsidRPr="008B2F56">
              <w:rPr>
                <w:rFonts w:ascii="Times New Roman" w:eastAsia="Calibri" w:hAnsi="Times New Roman" w:cs="Times New Roman"/>
                <w:i/>
                <w:color w:val="000000"/>
                <w:lang w:val="en-US" w:eastAsia="en-US"/>
              </w:rPr>
              <w:t>8% (17.1)</w:t>
            </w:r>
          </w:p>
        </w:tc>
        <w:tc>
          <w:tcPr>
            <w:tcW w:w="1715" w:type="dxa"/>
            <w:tcBorders>
              <w:top w:val="nil"/>
              <w:left w:val="dotted" w:sz="4" w:space="0" w:color="auto"/>
              <w:bottom w:val="dotted" w:sz="4" w:space="0" w:color="auto"/>
              <w:right w:val="dotted" w:sz="4" w:space="0" w:color="auto"/>
            </w:tcBorders>
            <w:shd w:val="clear" w:color="auto" w:fill="auto"/>
            <w:tcMar>
              <w:top w:w="15" w:type="dxa"/>
              <w:left w:w="108" w:type="dxa"/>
              <w:bottom w:w="0" w:type="dxa"/>
              <w:right w:w="108" w:type="dxa"/>
            </w:tcMar>
            <w:vAlign w:val="center"/>
            <w:hideMark/>
          </w:tcPr>
          <w:p w14:paraId="0EF68DDD" w14:textId="77777777" w:rsidR="00C337EB" w:rsidRPr="008B2F56" w:rsidRDefault="00C337EB" w:rsidP="008D76EF">
            <w:pPr>
              <w:spacing w:after="0" w:line="259" w:lineRule="auto"/>
              <w:jc w:val="both"/>
              <w:rPr>
                <w:rFonts w:ascii="Times New Roman" w:eastAsia="Calibri" w:hAnsi="Times New Roman" w:cs="Times New Roman"/>
                <w:i/>
                <w:color w:val="000000"/>
                <w:lang w:val="en-US" w:eastAsia="en-US"/>
              </w:rPr>
            </w:pPr>
            <w:r w:rsidRPr="008B2F56">
              <w:rPr>
                <w:rFonts w:ascii="Times New Roman" w:eastAsia="Calibri" w:hAnsi="Times New Roman" w:cs="Times New Roman"/>
                <w:i/>
                <w:color w:val="000000"/>
                <w:lang w:val="en-US" w:eastAsia="en-US"/>
              </w:rPr>
              <w:t>9% (11.8)</w:t>
            </w:r>
          </w:p>
        </w:tc>
        <w:tc>
          <w:tcPr>
            <w:tcW w:w="1715" w:type="dxa"/>
            <w:tcBorders>
              <w:top w:val="nil"/>
              <w:left w:val="dotted" w:sz="4" w:space="0" w:color="auto"/>
              <w:bottom w:val="dotted" w:sz="4" w:space="0" w:color="auto"/>
            </w:tcBorders>
            <w:shd w:val="clear" w:color="auto" w:fill="auto"/>
            <w:tcMar>
              <w:top w:w="15" w:type="dxa"/>
              <w:left w:w="108" w:type="dxa"/>
              <w:bottom w:w="0" w:type="dxa"/>
              <w:right w:w="108" w:type="dxa"/>
            </w:tcMar>
            <w:vAlign w:val="center"/>
            <w:hideMark/>
          </w:tcPr>
          <w:p w14:paraId="23AD036C" w14:textId="77777777" w:rsidR="00C337EB" w:rsidRPr="008B2F56" w:rsidRDefault="00C337EB" w:rsidP="008D76EF">
            <w:pPr>
              <w:spacing w:after="0" w:line="259" w:lineRule="auto"/>
              <w:jc w:val="both"/>
              <w:rPr>
                <w:rFonts w:ascii="Times New Roman" w:eastAsia="Calibri" w:hAnsi="Times New Roman" w:cs="Times New Roman"/>
                <w:i/>
                <w:color w:val="000000"/>
                <w:lang w:val="en-US" w:eastAsia="en-US"/>
              </w:rPr>
            </w:pPr>
            <w:r w:rsidRPr="008B2F56">
              <w:rPr>
                <w:rFonts w:ascii="Times New Roman" w:eastAsia="Calibri" w:hAnsi="Times New Roman" w:cs="Times New Roman"/>
                <w:i/>
                <w:color w:val="000000"/>
                <w:lang w:val="en-US" w:eastAsia="en-US"/>
              </w:rPr>
              <w:t xml:space="preserve">3.8% (7.6)  </w:t>
            </w:r>
          </w:p>
        </w:tc>
      </w:tr>
      <w:tr w:rsidR="00C337EB" w:rsidRPr="008B2F56" w14:paraId="7C3A73D3" w14:textId="77777777" w:rsidTr="00C337EB">
        <w:trPr>
          <w:cantSplit/>
          <w:trHeight w:val="20"/>
        </w:trPr>
        <w:tc>
          <w:tcPr>
            <w:tcW w:w="2610" w:type="dxa"/>
            <w:gridSpan w:val="2"/>
            <w:vMerge w:val="restart"/>
            <w:tcBorders>
              <w:top w:val="dotted" w:sz="4" w:space="0" w:color="auto"/>
              <w:left w:val="nil"/>
              <w:bottom w:val="nil"/>
              <w:right w:val="single" w:sz="8" w:space="0" w:color="000000"/>
            </w:tcBorders>
            <w:shd w:val="clear" w:color="auto" w:fill="auto"/>
            <w:tcMar>
              <w:top w:w="15" w:type="dxa"/>
              <w:left w:w="108" w:type="dxa"/>
              <w:bottom w:w="0" w:type="dxa"/>
              <w:right w:w="108" w:type="dxa"/>
            </w:tcMar>
            <w:vAlign w:val="center"/>
            <w:hideMark/>
          </w:tcPr>
          <w:p w14:paraId="392C6DB2"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Lower middle income</w:t>
            </w:r>
          </w:p>
        </w:tc>
        <w:tc>
          <w:tcPr>
            <w:tcW w:w="1515" w:type="dxa"/>
            <w:tcBorders>
              <w:top w:val="dotted" w:sz="4" w:space="0" w:color="auto"/>
              <w:left w:val="single" w:sz="8" w:space="0" w:color="000000"/>
              <w:bottom w:val="nil"/>
              <w:right w:val="dotted" w:sz="4" w:space="0" w:color="auto"/>
            </w:tcBorders>
            <w:shd w:val="clear" w:color="auto" w:fill="auto"/>
            <w:tcMar>
              <w:top w:w="15" w:type="dxa"/>
              <w:left w:w="108" w:type="dxa"/>
              <w:bottom w:w="0" w:type="dxa"/>
              <w:right w:w="108" w:type="dxa"/>
            </w:tcMar>
            <w:vAlign w:val="center"/>
            <w:hideMark/>
          </w:tcPr>
          <w:p w14:paraId="78791589"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p>
        </w:tc>
        <w:tc>
          <w:tcPr>
            <w:tcW w:w="1715" w:type="dxa"/>
            <w:tcBorders>
              <w:top w:val="dotted" w:sz="4" w:space="0" w:color="auto"/>
              <w:left w:val="dotted" w:sz="4" w:space="0" w:color="auto"/>
              <w:bottom w:val="nil"/>
              <w:right w:val="dotted" w:sz="4" w:space="0" w:color="auto"/>
            </w:tcBorders>
            <w:shd w:val="clear" w:color="auto" w:fill="auto"/>
            <w:tcMar>
              <w:top w:w="15" w:type="dxa"/>
              <w:left w:w="108" w:type="dxa"/>
              <w:bottom w:w="0" w:type="dxa"/>
              <w:right w:w="108" w:type="dxa"/>
            </w:tcMar>
            <w:vAlign w:val="center"/>
            <w:hideMark/>
          </w:tcPr>
          <w:p w14:paraId="583C1ABC"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p>
        </w:tc>
        <w:tc>
          <w:tcPr>
            <w:tcW w:w="1715" w:type="dxa"/>
            <w:tcBorders>
              <w:top w:val="dotted" w:sz="4" w:space="0" w:color="auto"/>
              <w:left w:val="dotted" w:sz="4" w:space="0" w:color="auto"/>
              <w:bottom w:val="nil"/>
              <w:right w:val="dotted" w:sz="4" w:space="0" w:color="auto"/>
            </w:tcBorders>
            <w:shd w:val="clear" w:color="auto" w:fill="auto"/>
            <w:tcMar>
              <w:top w:w="15" w:type="dxa"/>
              <w:left w:w="108" w:type="dxa"/>
              <w:bottom w:w="0" w:type="dxa"/>
              <w:right w:w="108" w:type="dxa"/>
            </w:tcMar>
            <w:vAlign w:val="center"/>
            <w:hideMark/>
          </w:tcPr>
          <w:p w14:paraId="14DA82C7"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129 (1081)</w:t>
            </w:r>
          </w:p>
        </w:tc>
        <w:tc>
          <w:tcPr>
            <w:tcW w:w="1715" w:type="dxa"/>
            <w:tcBorders>
              <w:top w:val="dotted" w:sz="4" w:space="0" w:color="auto"/>
              <w:left w:val="dotted" w:sz="4" w:space="0" w:color="auto"/>
              <w:bottom w:val="nil"/>
            </w:tcBorders>
            <w:shd w:val="clear" w:color="auto" w:fill="auto"/>
            <w:tcMar>
              <w:top w:w="15" w:type="dxa"/>
              <w:left w:w="108" w:type="dxa"/>
              <w:bottom w:w="0" w:type="dxa"/>
              <w:right w:w="108" w:type="dxa"/>
            </w:tcMar>
            <w:vAlign w:val="center"/>
            <w:hideMark/>
          </w:tcPr>
          <w:p w14:paraId="1DD7D606"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167 (1457)</w:t>
            </w:r>
          </w:p>
        </w:tc>
      </w:tr>
      <w:tr w:rsidR="00C337EB" w:rsidRPr="008B2F56" w14:paraId="72C20077" w14:textId="77777777" w:rsidTr="00C337EB">
        <w:trPr>
          <w:cantSplit/>
          <w:trHeight w:val="20"/>
        </w:trPr>
        <w:tc>
          <w:tcPr>
            <w:tcW w:w="2610" w:type="dxa"/>
            <w:gridSpan w:val="2"/>
            <w:vMerge/>
            <w:tcBorders>
              <w:top w:val="nil"/>
              <w:left w:val="nil"/>
              <w:bottom w:val="dotted" w:sz="4" w:space="0" w:color="auto"/>
              <w:right w:val="single" w:sz="8" w:space="0" w:color="000000"/>
            </w:tcBorders>
            <w:shd w:val="clear" w:color="auto" w:fill="auto"/>
            <w:vAlign w:val="center"/>
            <w:hideMark/>
          </w:tcPr>
          <w:p w14:paraId="697A6913"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p>
        </w:tc>
        <w:tc>
          <w:tcPr>
            <w:tcW w:w="1515" w:type="dxa"/>
            <w:tcBorders>
              <w:top w:val="nil"/>
              <w:left w:val="single" w:sz="8" w:space="0" w:color="000000"/>
              <w:bottom w:val="dotted" w:sz="4" w:space="0" w:color="auto"/>
              <w:right w:val="dotted" w:sz="4" w:space="0" w:color="auto"/>
            </w:tcBorders>
            <w:shd w:val="clear" w:color="auto" w:fill="auto"/>
            <w:tcMar>
              <w:top w:w="15" w:type="dxa"/>
              <w:left w:w="108" w:type="dxa"/>
              <w:bottom w:w="0" w:type="dxa"/>
              <w:right w:w="108" w:type="dxa"/>
            </w:tcMar>
            <w:vAlign w:val="center"/>
            <w:hideMark/>
          </w:tcPr>
          <w:p w14:paraId="181DEED2"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p>
        </w:tc>
        <w:tc>
          <w:tcPr>
            <w:tcW w:w="1715" w:type="dxa"/>
            <w:tcBorders>
              <w:top w:val="nil"/>
              <w:left w:val="dotted" w:sz="4" w:space="0" w:color="auto"/>
              <w:bottom w:val="dotted" w:sz="4" w:space="0" w:color="auto"/>
              <w:right w:val="dotted" w:sz="4" w:space="0" w:color="auto"/>
            </w:tcBorders>
            <w:shd w:val="clear" w:color="auto" w:fill="auto"/>
            <w:tcMar>
              <w:top w:w="15" w:type="dxa"/>
              <w:left w:w="108" w:type="dxa"/>
              <w:bottom w:w="0" w:type="dxa"/>
              <w:right w:w="108" w:type="dxa"/>
            </w:tcMar>
            <w:vAlign w:val="center"/>
            <w:hideMark/>
          </w:tcPr>
          <w:p w14:paraId="4F5FBDDD"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p>
        </w:tc>
        <w:tc>
          <w:tcPr>
            <w:tcW w:w="1715" w:type="dxa"/>
            <w:tcBorders>
              <w:top w:val="nil"/>
              <w:left w:val="dotted" w:sz="4" w:space="0" w:color="auto"/>
              <w:bottom w:val="dotted" w:sz="4" w:space="0" w:color="auto"/>
              <w:right w:val="dotted" w:sz="4" w:space="0" w:color="auto"/>
            </w:tcBorders>
            <w:shd w:val="clear" w:color="auto" w:fill="auto"/>
            <w:tcMar>
              <w:top w:w="15" w:type="dxa"/>
              <w:left w:w="108" w:type="dxa"/>
              <w:bottom w:w="0" w:type="dxa"/>
              <w:right w:w="108" w:type="dxa"/>
            </w:tcMar>
            <w:vAlign w:val="center"/>
            <w:hideMark/>
          </w:tcPr>
          <w:p w14:paraId="27039D61" w14:textId="77777777" w:rsidR="00C337EB" w:rsidRPr="008B2F56" w:rsidRDefault="00C337EB" w:rsidP="008D76EF">
            <w:pPr>
              <w:spacing w:after="0" w:line="259" w:lineRule="auto"/>
              <w:jc w:val="both"/>
              <w:rPr>
                <w:rFonts w:ascii="Times New Roman" w:eastAsia="Calibri" w:hAnsi="Times New Roman" w:cs="Times New Roman"/>
                <w:i/>
                <w:color w:val="000000"/>
                <w:lang w:val="en-US" w:eastAsia="en-US"/>
              </w:rPr>
            </w:pPr>
            <w:r w:rsidRPr="008B2F56">
              <w:rPr>
                <w:rFonts w:ascii="Times New Roman" w:eastAsia="Calibri" w:hAnsi="Times New Roman" w:cs="Times New Roman"/>
                <w:i/>
                <w:color w:val="000000"/>
                <w:lang w:val="en-US" w:eastAsia="en-US"/>
              </w:rPr>
              <w:t>3.5% (11.9)</w:t>
            </w:r>
          </w:p>
        </w:tc>
        <w:tc>
          <w:tcPr>
            <w:tcW w:w="1715" w:type="dxa"/>
            <w:tcBorders>
              <w:top w:val="nil"/>
              <w:left w:val="dotted" w:sz="4" w:space="0" w:color="auto"/>
              <w:bottom w:val="dotted" w:sz="4" w:space="0" w:color="auto"/>
            </w:tcBorders>
            <w:shd w:val="clear" w:color="auto" w:fill="auto"/>
            <w:tcMar>
              <w:top w:w="15" w:type="dxa"/>
              <w:left w:w="108" w:type="dxa"/>
              <w:bottom w:w="0" w:type="dxa"/>
              <w:right w:w="108" w:type="dxa"/>
            </w:tcMar>
            <w:vAlign w:val="center"/>
            <w:hideMark/>
          </w:tcPr>
          <w:p w14:paraId="50B960C3" w14:textId="77777777" w:rsidR="00C337EB" w:rsidRPr="008B2F56" w:rsidRDefault="00C337EB" w:rsidP="008D76EF">
            <w:pPr>
              <w:spacing w:after="0" w:line="259" w:lineRule="auto"/>
              <w:jc w:val="both"/>
              <w:rPr>
                <w:rFonts w:ascii="Times New Roman" w:eastAsia="Calibri" w:hAnsi="Times New Roman" w:cs="Times New Roman"/>
                <w:i/>
                <w:color w:val="000000"/>
                <w:lang w:val="en-US" w:eastAsia="en-US"/>
              </w:rPr>
            </w:pPr>
            <w:r w:rsidRPr="008B2F56">
              <w:rPr>
                <w:rFonts w:ascii="Times New Roman" w:eastAsia="Calibri" w:hAnsi="Times New Roman" w:cs="Times New Roman"/>
                <w:i/>
                <w:color w:val="000000"/>
                <w:lang w:val="en-US" w:eastAsia="en-US"/>
              </w:rPr>
              <w:t>4.6% (11.5)</w:t>
            </w:r>
          </w:p>
        </w:tc>
      </w:tr>
      <w:tr w:rsidR="00C337EB" w:rsidRPr="008B2F56" w14:paraId="3682E666" w14:textId="77777777" w:rsidTr="00C337EB">
        <w:trPr>
          <w:cantSplit/>
          <w:trHeight w:val="20"/>
        </w:trPr>
        <w:tc>
          <w:tcPr>
            <w:tcW w:w="2610" w:type="dxa"/>
            <w:gridSpan w:val="2"/>
            <w:vMerge w:val="restart"/>
            <w:tcBorders>
              <w:top w:val="dotted" w:sz="4" w:space="0" w:color="auto"/>
              <w:left w:val="nil"/>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98B717"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Low income</w:t>
            </w:r>
          </w:p>
        </w:tc>
        <w:tc>
          <w:tcPr>
            <w:tcW w:w="1515" w:type="dxa"/>
            <w:tcBorders>
              <w:top w:val="dotted" w:sz="4" w:space="0" w:color="auto"/>
              <w:left w:val="single" w:sz="8" w:space="0" w:color="000000"/>
              <w:bottom w:val="nil"/>
              <w:right w:val="dotted" w:sz="4" w:space="0" w:color="auto"/>
            </w:tcBorders>
            <w:shd w:val="clear" w:color="auto" w:fill="auto"/>
            <w:tcMar>
              <w:top w:w="15" w:type="dxa"/>
              <w:left w:w="108" w:type="dxa"/>
              <w:bottom w:w="0" w:type="dxa"/>
              <w:right w:w="108" w:type="dxa"/>
            </w:tcMar>
            <w:vAlign w:val="center"/>
            <w:hideMark/>
          </w:tcPr>
          <w:p w14:paraId="58B4A986"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p>
        </w:tc>
        <w:tc>
          <w:tcPr>
            <w:tcW w:w="1715" w:type="dxa"/>
            <w:tcBorders>
              <w:top w:val="dotted" w:sz="4" w:space="0" w:color="auto"/>
              <w:left w:val="dotted" w:sz="4" w:space="0" w:color="auto"/>
              <w:bottom w:val="nil"/>
              <w:right w:val="dotted" w:sz="4" w:space="0" w:color="auto"/>
            </w:tcBorders>
            <w:shd w:val="clear" w:color="auto" w:fill="auto"/>
            <w:tcMar>
              <w:top w:w="15" w:type="dxa"/>
              <w:left w:w="108" w:type="dxa"/>
              <w:bottom w:w="0" w:type="dxa"/>
              <w:right w:w="108" w:type="dxa"/>
            </w:tcMar>
            <w:vAlign w:val="center"/>
            <w:hideMark/>
          </w:tcPr>
          <w:p w14:paraId="25D84E0D"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p>
        </w:tc>
        <w:tc>
          <w:tcPr>
            <w:tcW w:w="1715" w:type="dxa"/>
            <w:tcBorders>
              <w:top w:val="dotted" w:sz="4" w:space="0" w:color="auto"/>
              <w:left w:val="dotted" w:sz="4" w:space="0" w:color="auto"/>
              <w:bottom w:val="nil"/>
              <w:right w:val="dotted" w:sz="4" w:space="0" w:color="auto"/>
            </w:tcBorders>
            <w:shd w:val="clear" w:color="auto" w:fill="auto"/>
            <w:tcMar>
              <w:top w:w="15" w:type="dxa"/>
              <w:left w:w="108" w:type="dxa"/>
              <w:bottom w:w="0" w:type="dxa"/>
              <w:right w:w="108" w:type="dxa"/>
            </w:tcMar>
            <w:vAlign w:val="center"/>
            <w:hideMark/>
          </w:tcPr>
          <w:p w14:paraId="7637106D"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p>
        </w:tc>
        <w:tc>
          <w:tcPr>
            <w:tcW w:w="1715" w:type="dxa"/>
            <w:tcBorders>
              <w:top w:val="dotted" w:sz="4" w:space="0" w:color="auto"/>
              <w:left w:val="dotted" w:sz="4" w:space="0" w:color="auto"/>
              <w:bottom w:val="nil"/>
            </w:tcBorders>
            <w:shd w:val="clear" w:color="auto" w:fill="auto"/>
            <w:tcMar>
              <w:top w:w="15" w:type="dxa"/>
              <w:left w:w="108" w:type="dxa"/>
              <w:bottom w:w="0" w:type="dxa"/>
              <w:right w:w="108" w:type="dxa"/>
            </w:tcMar>
            <w:vAlign w:val="center"/>
            <w:hideMark/>
          </w:tcPr>
          <w:p w14:paraId="397E1F48"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71 (465)</w:t>
            </w:r>
          </w:p>
        </w:tc>
      </w:tr>
      <w:tr w:rsidR="00C337EB" w:rsidRPr="008B2F56" w14:paraId="381FC5EA" w14:textId="77777777" w:rsidTr="00C337EB">
        <w:trPr>
          <w:cantSplit/>
          <w:trHeight w:val="20"/>
        </w:trPr>
        <w:tc>
          <w:tcPr>
            <w:tcW w:w="2610" w:type="dxa"/>
            <w:gridSpan w:val="2"/>
            <w:vMerge/>
            <w:tcBorders>
              <w:top w:val="nil"/>
              <w:left w:val="nil"/>
              <w:bottom w:val="single" w:sz="4" w:space="0" w:color="auto"/>
              <w:right w:val="single" w:sz="8" w:space="0" w:color="000000"/>
            </w:tcBorders>
            <w:shd w:val="clear" w:color="auto" w:fill="auto"/>
            <w:vAlign w:val="center"/>
            <w:hideMark/>
          </w:tcPr>
          <w:p w14:paraId="56CD9758"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p>
        </w:tc>
        <w:tc>
          <w:tcPr>
            <w:tcW w:w="1515" w:type="dxa"/>
            <w:tcBorders>
              <w:top w:val="nil"/>
              <w:left w:val="single" w:sz="8" w:space="0" w:color="000000"/>
              <w:bottom w:val="single" w:sz="4" w:space="0" w:color="auto"/>
              <w:right w:val="dotted" w:sz="4" w:space="0" w:color="auto"/>
            </w:tcBorders>
            <w:shd w:val="clear" w:color="auto" w:fill="auto"/>
            <w:tcMar>
              <w:top w:w="15" w:type="dxa"/>
              <w:left w:w="108" w:type="dxa"/>
              <w:bottom w:w="0" w:type="dxa"/>
              <w:right w:w="108" w:type="dxa"/>
            </w:tcMar>
            <w:vAlign w:val="center"/>
            <w:hideMark/>
          </w:tcPr>
          <w:p w14:paraId="2833DEF7" w14:textId="77777777" w:rsidR="00C337EB" w:rsidRPr="008B2F56" w:rsidRDefault="00C337EB" w:rsidP="008D76EF">
            <w:pPr>
              <w:spacing w:after="0" w:line="259" w:lineRule="auto"/>
              <w:jc w:val="both"/>
              <w:rPr>
                <w:rFonts w:ascii="Times New Roman" w:eastAsia="Calibri" w:hAnsi="Times New Roman" w:cs="Times New Roman"/>
                <w:i/>
                <w:color w:val="000000"/>
                <w:lang w:val="en-US" w:eastAsia="en-US"/>
              </w:rPr>
            </w:pPr>
          </w:p>
        </w:tc>
        <w:tc>
          <w:tcPr>
            <w:tcW w:w="1715" w:type="dxa"/>
            <w:tcBorders>
              <w:top w:val="nil"/>
              <w:left w:val="dotted" w:sz="4" w:space="0" w:color="auto"/>
              <w:bottom w:val="single" w:sz="4" w:space="0" w:color="auto"/>
              <w:right w:val="dotted" w:sz="4" w:space="0" w:color="auto"/>
            </w:tcBorders>
            <w:shd w:val="clear" w:color="auto" w:fill="auto"/>
            <w:tcMar>
              <w:top w:w="15" w:type="dxa"/>
              <w:left w:w="108" w:type="dxa"/>
              <w:bottom w:w="0" w:type="dxa"/>
              <w:right w:w="108" w:type="dxa"/>
            </w:tcMar>
            <w:vAlign w:val="center"/>
            <w:hideMark/>
          </w:tcPr>
          <w:p w14:paraId="68FD74F5" w14:textId="77777777" w:rsidR="00C337EB" w:rsidRPr="008B2F56" w:rsidRDefault="00C337EB" w:rsidP="008D76EF">
            <w:pPr>
              <w:spacing w:after="0" w:line="259" w:lineRule="auto"/>
              <w:jc w:val="both"/>
              <w:rPr>
                <w:rFonts w:ascii="Times New Roman" w:eastAsia="Calibri" w:hAnsi="Times New Roman" w:cs="Times New Roman"/>
                <w:i/>
                <w:color w:val="000000"/>
                <w:lang w:val="en-US" w:eastAsia="en-US"/>
              </w:rPr>
            </w:pPr>
          </w:p>
        </w:tc>
        <w:tc>
          <w:tcPr>
            <w:tcW w:w="1715" w:type="dxa"/>
            <w:tcBorders>
              <w:top w:val="nil"/>
              <w:left w:val="dotted" w:sz="4" w:space="0" w:color="auto"/>
              <w:bottom w:val="single" w:sz="4" w:space="0" w:color="auto"/>
              <w:right w:val="dotted" w:sz="4" w:space="0" w:color="auto"/>
            </w:tcBorders>
            <w:shd w:val="clear" w:color="auto" w:fill="auto"/>
            <w:tcMar>
              <w:top w:w="15" w:type="dxa"/>
              <w:left w:w="108" w:type="dxa"/>
              <w:bottom w:w="0" w:type="dxa"/>
              <w:right w:w="108" w:type="dxa"/>
            </w:tcMar>
            <w:vAlign w:val="center"/>
            <w:hideMark/>
          </w:tcPr>
          <w:p w14:paraId="5E7CC2EE" w14:textId="77777777" w:rsidR="00C337EB" w:rsidRPr="008B2F56" w:rsidRDefault="00C337EB" w:rsidP="008D76EF">
            <w:pPr>
              <w:spacing w:after="0" w:line="259" w:lineRule="auto"/>
              <w:jc w:val="both"/>
              <w:rPr>
                <w:rFonts w:ascii="Times New Roman" w:eastAsia="Calibri" w:hAnsi="Times New Roman" w:cs="Times New Roman"/>
                <w:i/>
                <w:color w:val="000000"/>
                <w:lang w:val="en-US" w:eastAsia="en-US"/>
              </w:rPr>
            </w:pPr>
          </w:p>
        </w:tc>
        <w:tc>
          <w:tcPr>
            <w:tcW w:w="1715" w:type="dxa"/>
            <w:tcBorders>
              <w:top w:val="nil"/>
              <w:left w:val="dotted" w:sz="4" w:space="0" w:color="auto"/>
              <w:bottom w:val="single" w:sz="4" w:space="0" w:color="auto"/>
            </w:tcBorders>
            <w:shd w:val="clear" w:color="auto" w:fill="auto"/>
            <w:tcMar>
              <w:top w:w="15" w:type="dxa"/>
              <w:left w:w="108" w:type="dxa"/>
              <w:bottom w:w="0" w:type="dxa"/>
              <w:right w:w="108" w:type="dxa"/>
            </w:tcMar>
            <w:vAlign w:val="center"/>
            <w:hideMark/>
          </w:tcPr>
          <w:p w14:paraId="734EFBD3" w14:textId="77777777" w:rsidR="00C337EB" w:rsidRPr="008B2F56" w:rsidRDefault="00C337EB" w:rsidP="008D76EF">
            <w:pPr>
              <w:spacing w:after="0" w:line="259" w:lineRule="auto"/>
              <w:jc w:val="both"/>
              <w:rPr>
                <w:rFonts w:ascii="Times New Roman" w:eastAsia="Calibri" w:hAnsi="Times New Roman" w:cs="Times New Roman"/>
                <w:i/>
                <w:color w:val="000000"/>
                <w:lang w:val="en-US" w:eastAsia="en-US"/>
              </w:rPr>
            </w:pPr>
            <w:r w:rsidRPr="008B2F56">
              <w:rPr>
                <w:rFonts w:ascii="Times New Roman" w:eastAsia="Calibri" w:hAnsi="Times New Roman" w:cs="Times New Roman"/>
                <w:i/>
                <w:color w:val="000000"/>
                <w:lang w:val="en-US" w:eastAsia="en-US"/>
              </w:rPr>
              <w:t>1.9% (15.3)</w:t>
            </w:r>
          </w:p>
        </w:tc>
      </w:tr>
      <w:tr w:rsidR="00C337EB" w:rsidRPr="008B2F56" w14:paraId="46C5C52B" w14:textId="77777777" w:rsidTr="00C337EB">
        <w:trPr>
          <w:gridBefore w:val="1"/>
          <w:wBefore w:w="90" w:type="dxa"/>
          <w:cantSplit/>
          <w:trHeight w:val="20"/>
        </w:trPr>
        <w:tc>
          <w:tcPr>
            <w:tcW w:w="2520" w:type="dxa"/>
            <w:tcBorders>
              <w:top w:val="single" w:sz="4" w:space="0" w:color="auto"/>
              <w:left w:val="nil"/>
              <w:bottom w:val="single" w:sz="4" w:space="0" w:color="auto"/>
              <w:right w:val="single" w:sz="8" w:space="0" w:color="000000"/>
            </w:tcBorders>
            <w:shd w:val="clear" w:color="auto" w:fill="auto"/>
            <w:vAlign w:val="center"/>
          </w:tcPr>
          <w:p w14:paraId="35F86A04"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Number and % of parties</w:t>
            </w:r>
            <w:r w:rsidRPr="008B2F56">
              <w:rPr>
                <w:rFonts w:ascii="Times New Roman" w:eastAsia="Calibri" w:hAnsi="Times New Roman" w:cs="Times New Roman"/>
                <w:color w:val="000000"/>
                <w:vertAlign w:val="superscript"/>
                <w:lang w:val="en-US" w:eastAsia="en-US"/>
              </w:rPr>
              <w:footnoteReference w:id="59"/>
            </w:r>
          </w:p>
        </w:tc>
        <w:tc>
          <w:tcPr>
            <w:tcW w:w="1515" w:type="dxa"/>
            <w:tcBorders>
              <w:top w:val="single" w:sz="4" w:space="0" w:color="auto"/>
              <w:left w:val="single" w:sz="8" w:space="0" w:color="000000"/>
              <w:bottom w:val="single" w:sz="4" w:space="0" w:color="auto"/>
              <w:right w:val="dotted" w:sz="4" w:space="0" w:color="auto"/>
            </w:tcBorders>
            <w:shd w:val="clear" w:color="auto" w:fill="auto"/>
            <w:tcMar>
              <w:top w:w="15" w:type="dxa"/>
              <w:left w:w="108" w:type="dxa"/>
              <w:bottom w:w="0" w:type="dxa"/>
              <w:right w:w="108" w:type="dxa"/>
            </w:tcMar>
            <w:vAlign w:val="center"/>
          </w:tcPr>
          <w:p w14:paraId="1607E449"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 xml:space="preserve">3230 </w:t>
            </w:r>
            <w:r w:rsidRPr="008B2F56">
              <w:rPr>
                <w:rFonts w:ascii="Times New Roman" w:eastAsia="Calibri" w:hAnsi="Times New Roman" w:cs="Times New Roman"/>
                <w:i/>
                <w:color w:val="000000"/>
                <w:lang w:val="en-US" w:eastAsia="en-US"/>
              </w:rPr>
              <w:t>(44.3%)</w:t>
            </w:r>
          </w:p>
        </w:tc>
        <w:tc>
          <w:tcPr>
            <w:tcW w:w="1715" w:type="dxa"/>
            <w:tcBorders>
              <w:top w:val="single" w:sz="4" w:space="0" w:color="auto"/>
              <w:left w:val="dotted" w:sz="4" w:space="0" w:color="auto"/>
              <w:bottom w:val="single" w:sz="4" w:space="0" w:color="auto"/>
              <w:right w:val="dotted" w:sz="4" w:space="0" w:color="auto"/>
            </w:tcBorders>
            <w:shd w:val="clear" w:color="auto" w:fill="auto"/>
            <w:tcMar>
              <w:top w:w="15" w:type="dxa"/>
              <w:left w:w="108" w:type="dxa"/>
              <w:bottom w:w="0" w:type="dxa"/>
              <w:right w:w="108" w:type="dxa"/>
            </w:tcMar>
            <w:vAlign w:val="center"/>
          </w:tcPr>
          <w:p w14:paraId="47CD8D46"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 xml:space="preserve">2059 </w:t>
            </w:r>
            <w:r w:rsidRPr="008B2F56">
              <w:rPr>
                <w:rFonts w:ascii="Times New Roman" w:eastAsia="Calibri" w:hAnsi="Times New Roman" w:cs="Times New Roman"/>
                <w:i/>
                <w:color w:val="000000"/>
                <w:lang w:val="en-US" w:eastAsia="en-US"/>
              </w:rPr>
              <w:t>(28.2%)</w:t>
            </w:r>
          </w:p>
        </w:tc>
        <w:tc>
          <w:tcPr>
            <w:tcW w:w="1715" w:type="dxa"/>
            <w:tcBorders>
              <w:top w:val="single" w:sz="4" w:space="0" w:color="auto"/>
              <w:left w:val="dotted" w:sz="4" w:space="0" w:color="auto"/>
              <w:bottom w:val="single" w:sz="4" w:space="0" w:color="auto"/>
              <w:right w:val="dotted" w:sz="4" w:space="0" w:color="auto"/>
            </w:tcBorders>
            <w:shd w:val="clear" w:color="auto" w:fill="auto"/>
            <w:tcMar>
              <w:top w:w="15" w:type="dxa"/>
              <w:left w:w="108" w:type="dxa"/>
              <w:bottom w:w="0" w:type="dxa"/>
              <w:right w:w="108" w:type="dxa"/>
            </w:tcMar>
            <w:vAlign w:val="center"/>
          </w:tcPr>
          <w:p w14:paraId="33B19E95"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 xml:space="preserve">1345 </w:t>
            </w:r>
            <w:r w:rsidRPr="008B2F56">
              <w:rPr>
                <w:rFonts w:ascii="Times New Roman" w:eastAsia="Calibri" w:hAnsi="Times New Roman" w:cs="Times New Roman"/>
                <w:i/>
                <w:color w:val="000000"/>
                <w:lang w:val="en-US" w:eastAsia="en-US"/>
              </w:rPr>
              <w:t>(18.4%)</w:t>
            </w:r>
          </w:p>
        </w:tc>
        <w:tc>
          <w:tcPr>
            <w:tcW w:w="1715" w:type="dxa"/>
            <w:tcBorders>
              <w:top w:val="single" w:sz="4" w:space="0" w:color="auto"/>
              <w:left w:val="dotted" w:sz="4" w:space="0" w:color="auto"/>
              <w:bottom w:val="single" w:sz="4" w:space="0" w:color="auto"/>
            </w:tcBorders>
            <w:shd w:val="clear" w:color="auto" w:fill="auto"/>
            <w:tcMar>
              <w:top w:w="15" w:type="dxa"/>
              <w:left w:w="108" w:type="dxa"/>
              <w:bottom w:w="0" w:type="dxa"/>
              <w:right w:w="108" w:type="dxa"/>
            </w:tcMar>
            <w:vAlign w:val="center"/>
          </w:tcPr>
          <w:p w14:paraId="401D800A" w14:textId="77777777" w:rsidR="00C337EB" w:rsidRPr="008B2F56" w:rsidRDefault="00C337EB"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 xml:space="preserve">664 </w:t>
            </w:r>
            <w:r w:rsidRPr="008B2F56">
              <w:rPr>
                <w:rFonts w:ascii="Times New Roman" w:eastAsia="Calibri" w:hAnsi="Times New Roman" w:cs="Times New Roman"/>
                <w:i/>
                <w:color w:val="000000"/>
                <w:lang w:val="en-US" w:eastAsia="en-US"/>
              </w:rPr>
              <w:t>(9.1%)</w:t>
            </w:r>
          </w:p>
        </w:tc>
      </w:tr>
    </w:tbl>
    <w:p w14:paraId="74323CF1" w14:textId="413C14DF" w:rsidR="005401FD" w:rsidRPr="008B2F56" w:rsidRDefault="005401FD" w:rsidP="008D76EF">
      <w:pPr>
        <w:jc w:val="both"/>
        <w:rPr>
          <w:rFonts w:ascii="Times New Roman" w:hAnsi="Times New Roman" w:cs="Times New Roman"/>
        </w:rPr>
      </w:pPr>
    </w:p>
    <w:p w14:paraId="145141C4" w14:textId="557DB12E" w:rsidR="0047027F" w:rsidRPr="008B2F56" w:rsidRDefault="00255D2D" w:rsidP="008D76EF">
      <w:pPr>
        <w:spacing w:before="24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In sum, there is little empirical evidence that IIAs have been instrumental in promoting FDI of importance to developing countries fulfilment of the RtD or attainment of sustainable development. </w:t>
      </w:r>
      <w:r w:rsidRPr="008B2F56">
        <w:rPr>
          <w:rFonts w:ascii="Times New Roman" w:hAnsi="Times New Roman" w:cs="Times New Roman"/>
          <w:color w:val="000000" w:themeColor="text1"/>
          <w:sz w:val="24"/>
          <w:szCs w:val="24"/>
          <w:lang w:val="en-US"/>
        </w:rPr>
        <w:lastRenderedPageBreak/>
        <w:t xml:space="preserve">The current design of IIAs and their </w:t>
      </w:r>
      <w:r w:rsidR="000F0251" w:rsidRPr="008B2F56">
        <w:rPr>
          <w:rFonts w:ascii="Times New Roman" w:hAnsi="Times New Roman" w:cs="Times New Roman"/>
          <w:color w:val="000000" w:themeColor="text1"/>
          <w:sz w:val="24"/>
          <w:szCs w:val="24"/>
          <w:lang w:val="en-US"/>
        </w:rPr>
        <w:t xml:space="preserve">geographical </w:t>
      </w:r>
      <w:r w:rsidRPr="008B2F56">
        <w:rPr>
          <w:rFonts w:ascii="Times New Roman" w:hAnsi="Times New Roman" w:cs="Times New Roman"/>
          <w:color w:val="000000" w:themeColor="text1"/>
          <w:sz w:val="24"/>
          <w:szCs w:val="24"/>
          <w:lang w:val="en-US"/>
        </w:rPr>
        <w:t>distribution indicate that they are unlikely to perform such functions in the relatively near future.</w:t>
      </w:r>
    </w:p>
    <w:p w14:paraId="399A5936" w14:textId="154C6CCD" w:rsidR="008E16BC" w:rsidRPr="008B2F56" w:rsidRDefault="008E16BC" w:rsidP="008D76EF">
      <w:pPr>
        <w:pStyle w:val="Heading2"/>
        <w:jc w:val="both"/>
        <w:rPr>
          <w:rFonts w:ascii="Times New Roman" w:hAnsi="Times New Roman" w:cs="Times New Roman"/>
          <w:lang w:val="en-US"/>
        </w:rPr>
      </w:pPr>
      <w:r w:rsidRPr="008B2F56">
        <w:rPr>
          <w:rFonts w:ascii="Times New Roman" w:hAnsi="Times New Roman" w:cs="Times New Roman"/>
          <w:lang w:val="en-US"/>
        </w:rPr>
        <w:t xml:space="preserve">3.4 </w:t>
      </w:r>
      <w:r w:rsidR="00A1791A" w:rsidRPr="008B2F56">
        <w:rPr>
          <w:rFonts w:ascii="Times New Roman" w:hAnsi="Times New Roman" w:cs="Times New Roman"/>
          <w:lang w:val="en-US"/>
        </w:rPr>
        <w:t>Promotion of FDI through investment legislation</w:t>
      </w:r>
    </w:p>
    <w:p w14:paraId="2249B48E" w14:textId="45A6DC9F" w:rsidR="007A4C4B" w:rsidRPr="008B2F56" w:rsidRDefault="00810E91"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As explained in section 3.1, the role of IIAs in promoting FDI cannot be fully explored without taking into account the extent to which countries may shift among alternative measures to attract FDI. </w:t>
      </w:r>
      <w:r w:rsidR="00C97AE3" w:rsidRPr="008B2F56">
        <w:rPr>
          <w:rFonts w:ascii="Times New Roman" w:hAnsi="Times New Roman" w:cs="Times New Roman"/>
          <w:color w:val="000000" w:themeColor="text1"/>
          <w:sz w:val="24"/>
          <w:szCs w:val="24"/>
          <w:lang w:val="en-US"/>
        </w:rPr>
        <w:t>In</w:t>
      </w:r>
      <w:r w:rsidRPr="008B2F56">
        <w:rPr>
          <w:rFonts w:ascii="Times New Roman" w:hAnsi="Times New Roman" w:cs="Times New Roman"/>
          <w:color w:val="000000" w:themeColor="text1"/>
          <w:sz w:val="24"/>
          <w:szCs w:val="24"/>
          <w:lang w:val="en-US"/>
        </w:rPr>
        <w:t xml:space="preserve"> particular</w:t>
      </w:r>
      <w:r w:rsidR="00C97AE3" w:rsidRPr="008B2F56">
        <w:rPr>
          <w:rFonts w:ascii="Times New Roman" w:hAnsi="Times New Roman" w:cs="Times New Roman"/>
          <w:color w:val="000000" w:themeColor="text1"/>
          <w:sz w:val="24"/>
          <w:szCs w:val="24"/>
          <w:lang w:val="en-US"/>
        </w:rPr>
        <w:t>,</w:t>
      </w:r>
      <w:r w:rsidRPr="008B2F56">
        <w:rPr>
          <w:rFonts w:ascii="Times New Roman" w:hAnsi="Times New Roman" w:cs="Times New Roman"/>
          <w:color w:val="000000" w:themeColor="text1"/>
          <w:sz w:val="24"/>
          <w:szCs w:val="24"/>
          <w:lang w:val="en-US"/>
        </w:rPr>
        <w:t xml:space="preserve"> countries may increase or decrease their reliance on IIAs relative</w:t>
      </w:r>
      <w:r w:rsidR="00C97AE3" w:rsidRPr="008B2F56">
        <w:rPr>
          <w:rFonts w:ascii="Times New Roman" w:hAnsi="Times New Roman" w:cs="Times New Roman"/>
          <w:color w:val="000000" w:themeColor="text1"/>
          <w:sz w:val="24"/>
          <w:szCs w:val="24"/>
          <w:lang w:val="en-US"/>
        </w:rPr>
        <w:t xml:space="preserve"> to legislation, concessions,</w:t>
      </w:r>
      <w:r w:rsidRPr="008B2F56">
        <w:rPr>
          <w:rFonts w:ascii="Times New Roman" w:hAnsi="Times New Roman" w:cs="Times New Roman"/>
          <w:color w:val="000000" w:themeColor="text1"/>
          <w:sz w:val="24"/>
          <w:szCs w:val="24"/>
          <w:lang w:val="en-US"/>
        </w:rPr>
        <w:t xml:space="preserve"> contracts</w:t>
      </w:r>
      <w:r w:rsidR="00C97AE3" w:rsidRPr="008B2F56">
        <w:rPr>
          <w:rFonts w:ascii="Times New Roman" w:hAnsi="Times New Roman" w:cs="Times New Roman"/>
          <w:color w:val="000000" w:themeColor="text1"/>
          <w:sz w:val="24"/>
          <w:szCs w:val="24"/>
          <w:lang w:val="en-US"/>
        </w:rPr>
        <w:t xml:space="preserve"> and insurance</w:t>
      </w:r>
      <w:r w:rsidRPr="008B2F56">
        <w:rPr>
          <w:rFonts w:ascii="Times New Roman" w:hAnsi="Times New Roman" w:cs="Times New Roman"/>
          <w:color w:val="000000" w:themeColor="text1"/>
          <w:sz w:val="24"/>
          <w:szCs w:val="24"/>
          <w:lang w:val="en-US"/>
        </w:rPr>
        <w:t xml:space="preserve">. </w:t>
      </w:r>
      <w:r w:rsidR="001E4B77" w:rsidRPr="008B2F56">
        <w:rPr>
          <w:rFonts w:ascii="Times New Roman" w:hAnsi="Times New Roman" w:cs="Times New Roman"/>
          <w:color w:val="000000" w:themeColor="text1"/>
          <w:sz w:val="24"/>
          <w:szCs w:val="24"/>
          <w:lang w:val="en-US"/>
        </w:rPr>
        <w:t xml:space="preserve">Given the </w:t>
      </w:r>
      <w:r w:rsidR="00C97AE3" w:rsidRPr="008B2F56">
        <w:rPr>
          <w:rFonts w:ascii="Times New Roman" w:hAnsi="Times New Roman" w:cs="Times New Roman"/>
          <w:color w:val="000000" w:themeColor="text1"/>
          <w:sz w:val="24"/>
          <w:szCs w:val="24"/>
          <w:lang w:val="en-US"/>
        </w:rPr>
        <w:t>limited</w:t>
      </w:r>
      <w:r w:rsidR="001E4B77" w:rsidRPr="008B2F56">
        <w:rPr>
          <w:rFonts w:ascii="Times New Roman" w:hAnsi="Times New Roman" w:cs="Times New Roman"/>
          <w:color w:val="000000" w:themeColor="text1"/>
          <w:sz w:val="24"/>
          <w:szCs w:val="24"/>
          <w:lang w:val="en-US"/>
        </w:rPr>
        <w:t xml:space="preserve"> participation </w:t>
      </w:r>
      <w:r w:rsidR="006C6582" w:rsidRPr="008B2F56">
        <w:rPr>
          <w:rFonts w:ascii="Times New Roman" w:hAnsi="Times New Roman" w:cs="Times New Roman"/>
          <w:color w:val="000000" w:themeColor="text1"/>
          <w:sz w:val="24"/>
          <w:szCs w:val="24"/>
          <w:lang w:val="en-US"/>
        </w:rPr>
        <w:t>of</w:t>
      </w:r>
      <w:r w:rsidR="001E4B77" w:rsidRPr="008B2F56">
        <w:rPr>
          <w:rFonts w:ascii="Times New Roman" w:hAnsi="Times New Roman" w:cs="Times New Roman"/>
          <w:color w:val="000000" w:themeColor="text1"/>
          <w:sz w:val="24"/>
          <w:szCs w:val="24"/>
          <w:lang w:val="en-US"/>
        </w:rPr>
        <w:t xml:space="preserve"> LDCs in IIAs, we may assume that investment legislation has a particularly important role to play in promoting investment for this group of countries. </w:t>
      </w:r>
      <w:r w:rsidR="00A1791A" w:rsidRPr="008B2F56">
        <w:rPr>
          <w:rFonts w:ascii="Times New Roman" w:hAnsi="Times New Roman" w:cs="Times New Roman"/>
          <w:color w:val="000000" w:themeColor="text1"/>
          <w:sz w:val="24"/>
          <w:szCs w:val="24"/>
          <w:lang w:val="en-US"/>
        </w:rPr>
        <w:t>T</w:t>
      </w:r>
      <w:r w:rsidR="007A4C4B" w:rsidRPr="008B2F56">
        <w:rPr>
          <w:rFonts w:ascii="Times New Roman" w:hAnsi="Times New Roman" w:cs="Times New Roman"/>
          <w:color w:val="000000" w:themeColor="text1"/>
          <w:sz w:val="24"/>
          <w:szCs w:val="24"/>
          <w:lang w:val="en-US"/>
        </w:rPr>
        <w:t xml:space="preserve">he World Bank has had a </w:t>
      </w:r>
      <w:r w:rsidR="006C6582" w:rsidRPr="008B2F56">
        <w:rPr>
          <w:rFonts w:ascii="Times New Roman" w:hAnsi="Times New Roman" w:cs="Times New Roman"/>
          <w:color w:val="000000" w:themeColor="text1"/>
          <w:sz w:val="24"/>
          <w:szCs w:val="24"/>
          <w:lang w:val="en-US"/>
        </w:rPr>
        <w:t xml:space="preserve">key function in this respect through its </w:t>
      </w:r>
      <w:r w:rsidR="007A4C4B" w:rsidRPr="008B2F56">
        <w:rPr>
          <w:rFonts w:ascii="Times New Roman" w:hAnsi="Times New Roman" w:cs="Times New Roman"/>
          <w:color w:val="000000" w:themeColor="text1"/>
          <w:sz w:val="24"/>
          <w:szCs w:val="24"/>
          <w:lang w:val="en-US"/>
        </w:rPr>
        <w:t xml:space="preserve">focus on national legislation and policies </w:t>
      </w:r>
      <w:r w:rsidR="006C6582" w:rsidRPr="008B2F56">
        <w:rPr>
          <w:rFonts w:ascii="Times New Roman" w:hAnsi="Times New Roman" w:cs="Times New Roman"/>
          <w:color w:val="000000" w:themeColor="text1"/>
          <w:sz w:val="24"/>
          <w:szCs w:val="24"/>
          <w:lang w:val="en-US"/>
        </w:rPr>
        <w:t>in</w:t>
      </w:r>
      <w:r w:rsidR="007A4C4B" w:rsidRPr="008B2F56">
        <w:rPr>
          <w:rFonts w:ascii="Times New Roman" w:hAnsi="Times New Roman" w:cs="Times New Roman"/>
          <w:color w:val="000000" w:themeColor="text1"/>
          <w:sz w:val="24"/>
          <w:szCs w:val="24"/>
          <w:lang w:val="en-US"/>
        </w:rPr>
        <w:t xml:space="preserve"> its long-term program to improve the “investment climate” of developing countries. </w:t>
      </w:r>
      <w:r w:rsidR="006C6582" w:rsidRPr="008B2F56">
        <w:rPr>
          <w:rFonts w:ascii="Times New Roman" w:hAnsi="Times New Roman" w:cs="Times New Roman"/>
          <w:color w:val="000000" w:themeColor="text1"/>
          <w:sz w:val="24"/>
          <w:szCs w:val="24"/>
          <w:lang w:val="en-US"/>
        </w:rPr>
        <w:t>In particular, the World Bank has provided country-by-country advice through its Facility for Investment Climate Advisory Services (former Foreign Investment Advisory Service) since 1985.</w:t>
      </w:r>
      <w:r w:rsidR="006C6582" w:rsidRPr="008B2F56">
        <w:rPr>
          <w:rStyle w:val="FootnoteReference"/>
          <w:rFonts w:ascii="Times New Roman" w:hAnsi="Times New Roman" w:cs="Times New Roman"/>
        </w:rPr>
        <w:footnoteReference w:id="60"/>
      </w:r>
      <w:r w:rsidR="006C6582" w:rsidRPr="008B2F56">
        <w:rPr>
          <w:rFonts w:ascii="Times New Roman" w:hAnsi="Times New Roman" w:cs="Times New Roman"/>
          <w:color w:val="000000" w:themeColor="text1"/>
          <w:sz w:val="24"/>
          <w:szCs w:val="24"/>
          <w:lang w:val="en-US"/>
        </w:rPr>
        <w:t xml:space="preserve"> As part of this program, </w:t>
      </w:r>
      <w:r w:rsidR="005824F1" w:rsidRPr="008B2F56">
        <w:rPr>
          <w:rFonts w:ascii="Times New Roman" w:hAnsi="Times New Roman" w:cs="Times New Roman"/>
          <w:color w:val="000000" w:themeColor="text1"/>
          <w:sz w:val="24"/>
          <w:szCs w:val="24"/>
          <w:lang w:val="en-US"/>
        </w:rPr>
        <w:t>the World Bank</w:t>
      </w:r>
      <w:r w:rsidR="007A4C4B" w:rsidRPr="008B2F56">
        <w:rPr>
          <w:rFonts w:ascii="Times New Roman" w:hAnsi="Times New Roman" w:cs="Times New Roman"/>
          <w:color w:val="000000" w:themeColor="text1"/>
          <w:sz w:val="24"/>
          <w:szCs w:val="24"/>
          <w:lang w:val="en-US"/>
        </w:rPr>
        <w:t xml:space="preserve"> issued guidelines 1992 and a handbook in 2010.</w:t>
      </w:r>
      <w:r w:rsidR="007A4C4B" w:rsidRPr="008B2F56">
        <w:rPr>
          <w:rStyle w:val="FootnoteReference"/>
          <w:rFonts w:ascii="Times New Roman" w:hAnsi="Times New Roman" w:cs="Times New Roman"/>
        </w:rPr>
        <w:footnoteReference w:id="61"/>
      </w:r>
      <w:r w:rsidR="007A4C4B" w:rsidRPr="008B2F56">
        <w:rPr>
          <w:rFonts w:ascii="Times New Roman" w:hAnsi="Times New Roman" w:cs="Times New Roman"/>
          <w:color w:val="000000" w:themeColor="text1"/>
          <w:sz w:val="24"/>
          <w:szCs w:val="24"/>
          <w:lang w:val="en-US"/>
        </w:rPr>
        <w:t xml:space="preserve"> </w:t>
      </w:r>
      <w:r w:rsidR="00F12E99" w:rsidRPr="008B2F56">
        <w:rPr>
          <w:rFonts w:ascii="Times New Roman" w:hAnsi="Times New Roman" w:cs="Times New Roman"/>
          <w:color w:val="000000" w:themeColor="text1"/>
          <w:sz w:val="24"/>
          <w:szCs w:val="24"/>
          <w:lang w:val="en-US"/>
        </w:rPr>
        <w:t xml:space="preserve">Given the lack of focus on FDI in the </w:t>
      </w:r>
      <w:r w:rsidR="005824F1" w:rsidRPr="008B2F56">
        <w:rPr>
          <w:rFonts w:ascii="Times New Roman" w:hAnsi="Times New Roman" w:cs="Times New Roman"/>
          <w:color w:val="000000" w:themeColor="text1"/>
          <w:sz w:val="24"/>
          <w:szCs w:val="24"/>
          <w:lang w:val="en-US"/>
        </w:rPr>
        <w:t>MDGs</w:t>
      </w:r>
      <w:r w:rsidR="00F12E99" w:rsidRPr="008B2F56">
        <w:rPr>
          <w:rFonts w:ascii="Times New Roman" w:hAnsi="Times New Roman" w:cs="Times New Roman"/>
          <w:color w:val="000000" w:themeColor="text1"/>
          <w:sz w:val="24"/>
          <w:szCs w:val="24"/>
          <w:lang w:val="en-US"/>
        </w:rPr>
        <w:t xml:space="preserve">, it is perhaps not surprising that the </w:t>
      </w:r>
      <w:r w:rsidR="006C6582" w:rsidRPr="008B2F56">
        <w:rPr>
          <w:rFonts w:ascii="Times New Roman" w:hAnsi="Times New Roman" w:cs="Times New Roman"/>
          <w:color w:val="000000" w:themeColor="text1"/>
          <w:sz w:val="24"/>
          <w:szCs w:val="24"/>
          <w:lang w:val="en-US"/>
        </w:rPr>
        <w:t xml:space="preserve">2010 </w:t>
      </w:r>
      <w:r w:rsidR="00F12E99" w:rsidRPr="008B2F56">
        <w:rPr>
          <w:rFonts w:ascii="Times New Roman" w:hAnsi="Times New Roman" w:cs="Times New Roman"/>
          <w:color w:val="000000" w:themeColor="text1"/>
          <w:sz w:val="24"/>
          <w:szCs w:val="24"/>
          <w:lang w:val="en-US"/>
        </w:rPr>
        <w:t xml:space="preserve">handbook </w:t>
      </w:r>
      <w:r w:rsidR="006C6582" w:rsidRPr="008B2F56">
        <w:rPr>
          <w:rFonts w:ascii="Times New Roman" w:hAnsi="Times New Roman" w:cs="Times New Roman"/>
          <w:color w:val="000000" w:themeColor="text1"/>
          <w:sz w:val="24"/>
          <w:szCs w:val="24"/>
          <w:lang w:val="en-US"/>
        </w:rPr>
        <w:t>does not contain</w:t>
      </w:r>
      <w:r w:rsidR="00F12E99" w:rsidRPr="008B2F56">
        <w:rPr>
          <w:rFonts w:ascii="Times New Roman" w:hAnsi="Times New Roman" w:cs="Times New Roman"/>
          <w:color w:val="000000" w:themeColor="text1"/>
          <w:sz w:val="24"/>
          <w:szCs w:val="24"/>
          <w:lang w:val="en-US"/>
        </w:rPr>
        <w:t xml:space="preserve"> </w:t>
      </w:r>
      <w:r w:rsidR="006C6582" w:rsidRPr="008B2F56">
        <w:rPr>
          <w:rFonts w:ascii="Times New Roman" w:hAnsi="Times New Roman" w:cs="Times New Roman"/>
          <w:color w:val="000000" w:themeColor="text1"/>
          <w:sz w:val="24"/>
          <w:szCs w:val="24"/>
          <w:lang w:val="en-US"/>
        </w:rPr>
        <w:t xml:space="preserve">any </w:t>
      </w:r>
      <w:r w:rsidR="00F12E99" w:rsidRPr="008B2F56">
        <w:rPr>
          <w:rFonts w:ascii="Times New Roman" w:hAnsi="Times New Roman" w:cs="Times New Roman"/>
          <w:color w:val="000000" w:themeColor="text1"/>
          <w:sz w:val="24"/>
          <w:szCs w:val="24"/>
          <w:lang w:val="en-US"/>
        </w:rPr>
        <w:t xml:space="preserve">references to the MDGs. However, </w:t>
      </w:r>
      <w:r w:rsidR="005824F1" w:rsidRPr="008B2F56">
        <w:rPr>
          <w:rFonts w:ascii="Times New Roman" w:hAnsi="Times New Roman" w:cs="Times New Roman"/>
          <w:color w:val="000000" w:themeColor="text1"/>
          <w:sz w:val="24"/>
          <w:szCs w:val="24"/>
          <w:lang w:val="en-US"/>
        </w:rPr>
        <w:t>the handbook</w:t>
      </w:r>
      <w:r w:rsidR="00F12E99" w:rsidRPr="008B2F56">
        <w:rPr>
          <w:rFonts w:ascii="Times New Roman" w:hAnsi="Times New Roman" w:cs="Times New Roman"/>
          <w:color w:val="000000" w:themeColor="text1"/>
          <w:sz w:val="24"/>
          <w:szCs w:val="24"/>
          <w:lang w:val="en-US"/>
        </w:rPr>
        <w:t xml:space="preserve"> hardly mentions the concept of sustainable development, </w:t>
      </w:r>
      <w:r w:rsidR="00D4767F" w:rsidRPr="008B2F56">
        <w:rPr>
          <w:rFonts w:ascii="Times New Roman" w:hAnsi="Times New Roman" w:cs="Times New Roman"/>
          <w:color w:val="000000" w:themeColor="text1"/>
          <w:sz w:val="24"/>
          <w:szCs w:val="24"/>
          <w:lang w:val="en-US"/>
        </w:rPr>
        <w:t>and is primarily focused on improving the investment climate from the perspective of foreign investors.</w:t>
      </w:r>
      <w:r w:rsidR="00260C73" w:rsidRPr="008B2F56">
        <w:rPr>
          <w:rFonts w:ascii="Times New Roman" w:hAnsi="Times New Roman" w:cs="Times New Roman"/>
          <w:color w:val="000000" w:themeColor="text1"/>
          <w:sz w:val="24"/>
          <w:szCs w:val="24"/>
          <w:lang w:val="en-US"/>
        </w:rPr>
        <w:t xml:space="preserve"> </w:t>
      </w:r>
    </w:p>
    <w:p w14:paraId="59E74045" w14:textId="27D94ECB" w:rsidR="007C2970" w:rsidRPr="008B2F56" w:rsidRDefault="005D7BB0"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One</w:t>
      </w:r>
      <w:r w:rsidR="005824F1" w:rsidRPr="008B2F56">
        <w:rPr>
          <w:rFonts w:ascii="Times New Roman" w:hAnsi="Times New Roman" w:cs="Times New Roman"/>
          <w:color w:val="000000" w:themeColor="text1"/>
          <w:sz w:val="24"/>
          <w:szCs w:val="24"/>
          <w:lang w:val="en-US"/>
        </w:rPr>
        <w:t xml:space="preserve"> fundamental question is</w:t>
      </w:r>
      <w:r w:rsidR="00260C73" w:rsidRPr="008B2F56">
        <w:rPr>
          <w:rFonts w:ascii="Times New Roman" w:hAnsi="Times New Roman" w:cs="Times New Roman"/>
          <w:color w:val="000000" w:themeColor="text1"/>
          <w:sz w:val="24"/>
          <w:szCs w:val="24"/>
          <w:lang w:val="en-US"/>
        </w:rPr>
        <w:t xml:space="preserve"> why developing countries should adopt general investment legislation. </w:t>
      </w:r>
      <w:r w:rsidR="007C2970" w:rsidRPr="008B2F56">
        <w:rPr>
          <w:rFonts w:ascii="Times New Roman" w:hAnsi="Times New Roman" w:cs="Times New Roman"/>
          <w:color w:val="000000" w:themeColor="text1"/>
          <w:sz w:val="24"/>
          <w:szCs w:val="24"/>
          <w:lang w:val="en-US"/>
        </w:rPr>
        <w:t xml:space="preserve">In his introduction to the handbook, Joseph Battat, the former Manager of the World Bank’s Investment Climate Advisory Services, answers this question </w:t>
      </w:r>
      <w:r w:rsidR="00D4767F" w:rsidRPr="008B2F56">
        <w:rPr>
          <w:rFonts w:ascii="Times New Roman" w:hAnsi="Times New Roman" w:cs="Times New Roman"/>
          <w:color w:val="000000" w:themeColor="text1"/>
          <w:sz w:val="24"/>
          <w:szCs w:val="24"/>
          <w:lang w:val="en-US"/>
        </w:rPr>
        <w:t>by emphasizing that investment laws contribute to “the quality and characteristics of the investment climate” and “</w:t>
      </w:r>
      <w:r w:rsidR="007C2970" w:rsidRPr="008B2F56">
        <w:rPr>
          <w:rFonts w:ascii="Times New Roman" w:hAnsi="Times New Roman" w:cs="Times New Roman"/>
          <w:color w:val="000000" w:themeColor="text1"/>
          <w:sz w:val="24"/>
          <w:szCs w:val="24"/>
          <w:lang w:val="en-US"/>
        </w:rPr>
        <w:t>provide in one place a succinct coverage of much of the investment policy of a country and its legal underpinning, as well as a signal that the government is welcoming investment.</w:t>
      </w:r>
      <w:r w:rsidR="00D4767F" w:rsidRPr="008B2F56">
        <w:rPr>
          <w:rFonts w:ascii="Times New Roman" w:hAnsi="Times New Roman" w:cs="Times New Roman"/>
          <w:color w:val="000000" w:themeColor="text1"/>
          <w:sz w:val="24"/>
          <w:szCs w:val="24"/>
          <w:lang w:val="en-US"/>
        </w:rPr>
        <w:t>”</w:t>
      </w:r>
      <w:r w:rsidR="007C2970" w:rsidRPr="008B2F56">
        <w:rPr>
          <w:rStyle w:val="FootnoteReference"/>
          <w:rFonts w:ascii="Times New Roman" w:hAnsi="Times New Roman" w:cs="Times New Roman"/>
        </w:rPr>
        <w:footnoteReference w:id="62"/>
      </w:r>
    </w:p>
    <w:p w14:paraId="35FE7605" w14:textId="4EA067F8" w:rsidR="00F2770B" w:rsidRPr="008B2F56" w:rsidRDefault="007C2970"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V</w:t>
      </w:r>
      <w:r w:rsidR="00D6304D" w:rsidRPr="008B2F56">
        <w:rPr>
          <w:rFonts w:ascii="Times New Roman" w:hAnsi="Times New Roman" w:cs="Times New Roman"/>
          <w:color w:val="000000" w:themeColor="text1"/>
          <w:sz w:val="24"/>
          <w:szCs w:val="24"/>
          <w:lang w:val="en-US"/>
        </w:rPr>
        <w:t>ery few</w:t>
      </w:r>
      <w:r w:rsidR="00260C73" w:rsidRPr="008B2F56">
        <w:rPr>
          <w:rFonts w:ascii="Times New Roman" w:hAnsi="Times New Roman" w:cs="Times New Roman"/>
          <w:color w:val="000000" w:themeColor="text1"/>
          <w:sz w:val="24"/>
          <w:szCs w:val="24"/>
          <w:lang w:val="en-US"/>
        </w:rPr>
        <w:t xml:space="preserve"> OECD countries have </w:t>
      </w:r>
      <w:r w:rsidRPr="008B2F56">
        <w:rPr>
          <w:rFonts w:ascii="Times New Roman" w:hAnsi="Times New Roman" w:cs="Times New Roman"/>
          <w:color w:val="000000" w:themeColor="text1"/>
          <w:sz w:val="24"/>
          <w:szCs w:val="24"/>
          <w:lang w:val="en-US"/>
        </w:rPr>
        <w:t>general investment laws;</w:t>
      </w:r>
      <w:r w:rsidR="00D6304D" w:rsidRPr="008B2F56">
        <w:rPr>
          <w:rFonts w:ascii="Times New Roman" w:hAnsi="Times New Roman" w:cs="Times New Roman"/>
          <w:color w:val="000000" w:themeColor="text1"/>
          <w:sz w:val="24"/>
          <w:szCs w:val="24"/>
          <w:lang w:val="en-US"/>
        </w:rPr>
        <w:t xml:space="preserve"> such l</w:t>
      </w:r>
      <w:r w:rsidRPr="008B2F56">
        <w:rPr>
          <w:rFonts w:ascii="Times New Roman" w:hAnsi="Times New Roman" w:cs="Times New Roman"/>
          <w:color w:val="000000" w:themeColor="text1"/>
          <w:sz w:val="24"/>
          <w:szCs w:val="24"/>
          <w:lang w:val="en-US"/>
        </w:rPr>
        <w:t>egislation</w:t>
      </w:r>
      <w:r w:rsidR="00D6304D" w:rsidRPr="008B2F56">
        <w:rPr>
          <w:rFonts w:ascii="Times New Roman" w:hAnsi="Times New Roman" w:cs="Times New Roman"/>
          <w:color w:val="000000" w:themeColor="text1"/>
          <w:sz w:val="24"/>
          <w:szCs w:val="24"/>
          <w:lang w:val="en-US"/>
        </w:rPr>
        <w:t xml:space="preserve"> is a phenomenon </w:t>
      </w:r>
      <w:r w:rsidR="008C18C1" w:rsidRPr="008B2F56">
        <w:rPr>
          <w:rFonts w:ascii="Times New Roman" w:hAnsi="Times New Roman" w:cs="Times New Roman"/>
          <w:color w:val="000000" w:themeColor="text1"/>
          <w:sz w:val="24"/>
          <w:szCs w:val="24"/>
          <w:lang w:val="en-US"/>
        </w:rPr>
        <w:t xml:space="preserve">mainly </w:t>
      </w:r>
      <w:r w:rsidR="00D6304D" w:rsidRPr="008B2F56">
        <w:rPr>
          <w:rFonts w:ascii="Times New Roman" w:hAnsi="Times New Roman" w:cs="Times New Roman"/>
          <w:color w:val="000000" w:themeColor="text1"/>
          <w:sz w:val="24"/>
          <w:szCs w:val="24"/>
          <w:lang w:val="en-US"/>
        </w:rPr>
        <w:t xml:space="preserve">found in </w:t>
      </w:r>
      <w:r w:rsidR="008C18C1" w:rsidRPr="008B2F56">
        <w:rPr>
          <w:rFonts w:ascii="Times New Roman" w:hAnsi="Times New Roman" w:cs="Times New Roman"/>
          <w:color w:val="000000" w:themeColor="text1"/>
          <w:sz w:val="24"/>
          <w:szCs w:val="24"/>
          <w:lang w:val="en-US"/>
        </w:rPr>
        <w:t>developing</w:t>
      </w:r>
      <w:r w:rsidR="00D6304D" w:rsidRPr="008B2F56">
        <w:rPr>
          <w:rFonts w:ascii="Times New Roman" w:hAnsi="Times New Roman" w:cs="Times New Roman"/>
          <w:color w:val="000000" w:themeColor="text1"/>
          <w:sz w:val="24"/>
          <w:szCs w:val="24"/>
          <w:lang w:val="en-US"/>
        </w:rPr>
        <w:t xml:space="preserve"> countries</w:t>
      </w:r>
      <w:r w:rsidR="00FA64A0" w:rsidRPr="008B2F56">
        <w:rPr>
          <w:rFonts w:ascii="Times New Roman" w:hAnsi="Times New Roman" w:cs="Times New Roman"/>
          <w:color w:val="000000" w:themeColor="text1"/>
          <w:sz w:val="24"/>
          <w:szCs w:val="24"/>
          <w:lang w:val="en-US"/>
        </w:rPr>
        <w:t xml:space="preserve"> and in particular in the </w:t>
      </w:r>
      <w:r w:rsidR="00096F93" w:rsidRPr="008B2F56">
        <w:rPr>
          <w:rFonts w:ascii="Times New Roman" w:hAnsi="Times New Roman" w:cs="Times New Roman"/>
          <w:color w:val="000000" w:themeColor="text1"/>
          <w:sz w:val="24"/>
          <w:szCs w:val="24"/>
          <w:lang w:val="en-US"/>
        </w:rPr>
        <w:t>LDCs</w:t>
      </w:r>
      <w:r w:rsidR="00E92ED2" w:rsidRPr="008B2F56">
        <w:rPr>
          <w:rFonts w:ascii="Times New Roman" w:hAnsi="Times New Roman" w:cs="Times New Roman"/>
          <w:color w:val="000000" w:themeColor="text1"/>
          <w:sz w:val="24"/>
          <w:szCs w:val="24"/>
          <w:lang w:val="en-US"/>
        </w:rPr>
        <w:t xml:space="preserve"> (figure 3)</w:t>
      </w:r>
      <w:r w:rsidR="00D6304D" w:rsidRPr="008B2F56">
        <w:rPr>
          <w:rFonts w:ascii="Times New Roman" w:hAnsi="Times New Roman" w:cs="Times New Roman"/>
          <w:color w:val="000000" w:themeColor="text1"/>
          <w:sz w:val="24"/>
          <w:szCs w:val="24"/>
          <w:lang w:val="en-US"/>
        </w:rPr>
        <w:t>.</w:t>
      </w:r>
      <w:r w:rsidR="00D6304D" w:rsidRPr="008B2F56">
        <w:rPr>
          <w:rStyle w:val="FootnoteReference"/>
          <w:rFonts w:ascii="Times New Roman" w:hAnsi="Times New Roman" w:cs="Times New Roman"/>
        </w:rPr>
        <w:footnoteReference w:id="63"/>
      </w:r>
      <w:r w:rsidR="00CA2499" w:rsidRPr="008B2F56">
        <w:rPr>
          <w:rFonts w:ascii="Times New Roman" w:hAnsi="Times New Roman" w:cs="Times New Roman"/>
          <w:color w:val="000000" w:themeColor="text1"/>
          <w:sz w:val="24"/>
          <w:szCs w:val="24"/>
          <w:lang w:val="en-US"/>
        </w:rPr>
        <w:t xml:space="preserve"> </w:t>
      </w:r>
      <w:r w:rsidR="00E92ED2" w:rsidRPr="008B2F56">
        <w:rPr>
          <w:rFonts w:ascii="Times New Roman" w:hAnsi="Times New Roman" w:cs="Times New Roman"/>
          <w:color w:val="000000" w:themeColor="text1"/>
          <w:sz w:val="24"/>
          <w:szCs w:val="24"/>
          <w:lang w:val="en-US"/>
        </w:rPr>
        <w:t xml:space="preserve">Moreover, sustainable development is the least frequently mentioned objective in the investment legislation of LDCs (figure 3). </w:t>
      </w:r>
    </w:p>
    <w:p w14:paraId="3D016F52" w14:textId="5891094C" w:rsidR="00F2770B" w:rsidRPr="008B2F56" w:rsidRDefault="00F2770B" w:rsidP="008D76EF">
      <w:pPr>
        <w:pStyle w:val="Heading3"/>
        <w:jc w:val="both"/>
        <w:rPr>
          <w:rFonts w:ascii="Times New Roman" w:hAnsi="Times New Roman" w:cs="Times New Roman"/>
          <w:lang w:val="en-US"/>
        </w:rPr>
      </w:pPr>
      <w:r w:rsidRPr="008B2F56">
        <w:rPr>
          <w:rFonts w:ascii="Times New Roman" w:hAnsi="Times New Roman" w:cs="Times New Roman"/>
          <w:lang w:val="en-US"/>
        </w:rPr>
        <w:lastRenderedPageBreak/>
        <w:t xml:space="preserve">Figure 3: </w:t>
      </w:r>
      <w:r w:rsidR="002438DD" w:rsidRPr="008B2F56">
        <w:rPr>
          <w:rFonts w:ascii="Times New Roman" w:hAnsi="Times New Roman" w:cs="Times New Roman"/>
          <w:lang w:val="en-US"/>
        </w:rPr>
        <w:t xml:space="preserve">Frequency of investment legislation </w:t>
      </w:r>
      <w:r w:rsidR="003B1FBC" w:rsidRPr="008B2F56">
        <w:rPr>
          <w:rFonts w:ascii="Times New Roman" w:hAnsi="Times New Roman" w:cs="Times New Roman"/>
          <w:lang w:val="en-US"/>
        </w:rPr>
        <w:t xml:space="preserve">within OECD and LDCs, </w:t>
      </w:r>
      <w:r w:rsidR="002438DD" w:rsidRPr="008B2F56">
        <w:rPr>
          <w:rFonts w:ascii="Times New Roman" w:hAnsi="Times New Roman" w:cs="Times New Roman"/>
          <w:lang w:val="en-US"/>
        </w:rPr>
        <w:t>and s</w:t>
      </w:r>
      <w:r w:rsidRPr="008B2F56">
        <w:rPr>
          <w:rFonts w:ascii="Times New Roman" w:hAnsi="Times New Roman" w:cs="Times New Roman"/>
          <w:lang w:val="en-US"/>
        </w:rPr>
        <w:t xml:space="preserve">tated objectives in </w:t>
      </w:r>
      <w:r w:rsidR="008925C2" w:rsidRPr="008B2F56">
        <w:rPr>
          <w:rFonts w:ascii="Times New Roman" w:hAnsi="Times New Roman" w:cs="Times New Roman"/>
          <w:lang w:val="en-US"/>
        </w:rPr>
        <w:t xml:space="preserve">LDCs </w:t>
      </w:r>
      <w:r w:rsidRPr="008B2F56">
        <w:rPr>
          <w:rFonts w:ascii="Times New Roman" w:hAnsi="Times New Roman" w:cs="Times New Roman"/>
          <w:lang w:val="en-US"/>
        </w:rPr>
        <w:t xml:space="preserve">investment </w:t>
      </w:r>
      <w:r w:rsidR="008925C2" w:rsidRPr="008B2F56">
        <w:rPr>
          <w:rFonts w:ascii="Times New Roman" w:hAnsi="Times New Roman" w:cs="Times New Roman"/>
          <w:lang w:val="en-US"/>
        </w:rPr>
        <w:t>laws</w:t>
      </w:r>
      <w:r w:rsidR="00CA2499" w:rsidRPr="008B2F56">
        <w:rPr>
          <w:rStyle w:val="FootnoteReference"/>
          <w:rFonts w:ascii="Times New Roman" w:hAnsi="Times New Roman" w:cs="Times New Roman"/>
        </w:rPr>
        <w:footnoteReference w:id="64"/>
      </w:r>
      <w:r w:rsidR="00CA2499" w:rsidRPr="008B2F56">
        <w:rPr>
          <w:rFonts w:ascii="Times New Roman" w:hAnsi="Times New Roman" w:cs="Times New Roman"/>
          <w:lang w:val="en-US"/>
        </w:rPr>
        <w:t xml:space="preserve">  </w:t>
      </w:r>
    </w:p>
    <w:p w14:paraId="54E9C747" w14:textId="08523D4C" w:rsidR="00112BED" w:rsidRPr="008B2F56" w:rsidRDefault="00112BED"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noProof/>
          <w:color w:val="000000" w:themeColor="text1"/>
          <w:sz w:val="24"/>
          <w:szCs w:val="24"/>
          <w:lang w:val="nb-NO" w:eastAsia="nb-NO"/>
        </w:rPr>
        <w:drawing>
          <wp:inline distT="0" distB="0" distL="0" distR="0" wp14:anchorId="5606330C" wp14:editId="438843EB">
            <wp:extent cx="5815584" cy="2040890"/>
            <wp:effectExtent l="0" t="0" r="13970" b="1651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780B17" w14:textId="532414BF" w:rsidR="00554BFC" w:rsidRPr="008B2F56" w:rsidRDefault="00CD4D12"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There are generally few conditions or restrictions on FDI in the </w:t>
      </w:r>
      <w:r w:rsidR="005D7BB0" w:rsidRPr="008B2F56">
        <w:rPr>
          <w:rFonts w:ascii="Times New Roman" w:hAnsi="Times New Roman" w:cs="Times New Roman"/>
          <w:color w:val="000000" w:themeColor="text1"/>
          <w:sz w:val="24"/>
          <w:szCs w:val="24"/>
          <w:lang w:val="en-US"/>
        </w:rPr>
        <w:t>investment legislation of LDCs</w:t>
      </w:r>
      <w:r w:rsidR="00ED1875" w:rsidRPr="008B2F56">
        <w:rPr>
          <w:rFonts w:ascii="Times New Roman" w:hAnsi="Times New Roman" w:cs="Times New Roman"/>
          <w:color w:val="000000" w:themeColor="text1"/>
          <w:sz w:val="24"/>
          <w:szCs w:val="24"/>
          <w:lang w:val="en-US"/>
        </w:rPr>
        <w:t xml:space="preserve">. </w:t>
      </w:r>
      <w:r w:rsidR="00724B69" w:rsidRPr="008B2F56">
        <w:rPr>
          <w:rFonts w:ascii="Times New Roman" w:hAnsi="Times New Roman" w:cs="Times New Roman"/>
          <w:color w:val="000000" w:themeColor="text1"/>
          <w:sz w:val="24"/>
          <w:szCs w:val="24"/>
          <w:lang w:val="en-US"/>
        </w:rPr>
        <w:t>According to data from UNCTAD, n</w:t>
      </w:r>
      <w:r w:rsidR="00ED1875" w:rsidRPr="008B2F56">
        <w:rPr>
          <w:rFonts w:ascii="Times New Roman" w:hAnsi="Times New Roman" w:cs="Times New Roman"/>
          <w:color w:val="000000" w:themeColor="text1"/>
          <w:sz w:val="24"/>
          <w:szCs w:val="24"/>
          <w:lang w:val="en-US"/>
        </w:rPr>
        <w:t>one of the</w:t>
      </w:r>
      <w:r w:rsidR="005D7BB0" w:rsidRPr="008B2F56">
        <w:rPr>
          <w:rFonts w:ascii="Times New Roman" w:hAnsi="Times New Roman" w:cs="Times New Roman"/>
          <w:color w:val="000000" w:themeColor="text1"/>
          <w:sz w:val="24"/>
          <w:szCs w:val="24"/>
          <w:lang w:val="en-US"/>
        </w:rPr>
        <w:t>se</w:t>
      </w:r>
      <w:r w:rsidR="00ED1875" w:rsidRPr="008B2F56">
        <w:rPr>
          <w:rFonts w:ascii="Times New Roman" w:hAnsi="Times New Roman" w:cs="Times New Roman"/>
          <w:color w:val="000000" w:themeColor="text1"/>
          <w:sz w:val="24"/>
          <w:szCs w:val="24"/>
          <w:lang w:val="en-US"/>
        </w:rPr>
        <w:t xml:space="preserve"> laws contain</w:t>
      </w:r>
      <w:r w:rsidR="00724B69" w:rsidRPr="008B2F56">
        <w:rPr>
          <w:rFonts w:ascii="Times New Roman" w:hAnsi="Times New Roman" w:cs="Times New Roman"/>
          <w:color w:val="000000" w:themeColor="text1"/>
          <w:sz w:val="24"/>
          <w:szCs w:val="24"/>
          <w:lang w:val="en-US"/>
        </w:rPr>
        <w:t>s</w:t>
      </w:r>
      <w:r w:rsidR="00ED1875" w:rsidRPr="008B2F56">
        <w:rPr>
          <w:rFonts w:ascii="Times New Roman" w:hAnsi="Times New Roman" w:cs="Times New Roman"/>
          <w:color w:val="000000" w:themeColor="text1"/>
          <w:sz w:val="24"/>
          <w:szCs w:val="24"/>
          <w:lang w:val="en-US"/>
        </w:rPr>
        <w:t xml:space="preserve"> performance requirements or restrictions on ownership of land, and only a few contain other conditions or restrictions (figure 4).</w:t>
      </w:r>
    </w:p>
    <w:p w14:paraId="13F90BCD" w14:textId="1200076B" w:rsidR="00554BFC" w:rsidRPr="008B2F56" w:rsidRDefault="00554BFC" w:rsidP="008D76EF">
      <w:pPr>
        <w:pStyle w:val="Heading3"/>
        <w:jc w:val="both"/>
        <w:rPr>
          <w:rFonts w:ascii="Times New Roman" w:hAnsi="Times New Roman" w:cs="Times New Roman"/>
          <w:lang w:val="en-US"/>
        </w:rPr>
      </w:pPr>
      <w:r w:rsidRPr="008B2F56">
        <w:rPr>
          <w:rFonts w:ascii="Times New Roman" w:hAnsi="Times New Roman" w:cs="Times New Roman"/>
          <w:lang w:val="en-US"/>
        </w:rPr>
        <w:t>Figure 4: Entry conditions for FDI</w:t>
      </w:r>
      <w:r w:rsidR="00457E4A" w:rsidRPr="008B2F56">
        <w:rPr>
          <w:rFonts w:ascii="Times New Roman" w:hAnsi="Times New Roman" w:cs="Times New Roman"/>
          <w:lang w:val="en-US"/>
        </w:rPr>
        <w:t xml:space="preserve"> in LDCs laws</w:t>
      </w:r>
      <w:r w:rsidR="00457E4A" w:rsidRPr="008B2F56">
        <w:rPr>
          <w:rStyle w:val="FootnoteReference"/>
          <w:rFonts w:ascii="Times New Roman" w:hAnsi="Times New Roman" w:cs="Times New Roman"/>
        </w:rPr>
        <w:footnoteReference w:id="65"/>
      </w:r>
    </w:p>
    <w:p w14:paraId="62F1CBBB" w14:textId="5BB8455B" w:rsidR="00554BFC" w:rsidRPr="008B2F56" w:rsidRDefault="00554BFC"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noProof/>
          <w:color w:val="000000" w:themeColor="text1"/>
          <w:sz w:val="24"/>
          <w:szCs w:val="24"/>
          <w:lang w:val="nb-NO" w:eastAsia="nb-NO"/>
        </w:rPr>
        <w:drawing>
          <wp:inline distT="0" distB="0" distL="0" distR="0" wp14:anchorId="4749AD4B" wp14:editId="68996E9A">
            <wp:extent cx="5486400" cy="1565452"/>
            <wp:effectExtent l="0" t="0" r="0" b="15875"/>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BE3266" w14:textId="1BFDD0F3" w:rsidR="00724B69" w:rsidRPr="008B2F56" w:rsidRDefault="00724B69"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One particularly salient feature of many investment laws is that </w:t>
      </w:r>
      <w:r w:rsidR="007875F9" w:rsidRPr="008B2F56">
        <w:rPr>
          <w:rFonts w:ascii="Times New Roman" w:hAnsi="Times New Roman" w:cs="Times New Roman"/>
          <w:color w:val="000000" w:themeColor="text1"/>
          <w:sz w:val="24"/>
          <w:szCs w:val="24"/>
          <w:lang w:val="en-US"/>
        </w:rPr>
        <w:t>they</w:t>
      </w:r>
      <w:r w:rsidRPr="008B2F56">
        <w:rPr>
          <w:rFonts w:ascii="Times New Roman" w:hAnsi="Times New Roman" w:cs="Times New Roman"/>
          <w:color w:val="000000" w:themeColor="text1"/>
          <w:sz w:val="24"/>
          <w:szCs w:val="24"/>
          <w:lang w:val="en-US"/>
        </w:rPr>
        <w:t xml:space="preserve"> provide consent to ISDS. In contrast to </w:t>
      </w:r>
      <w:r w:rsidR="007875F9" w:rsidRPr="008B2F56">
        <w:rPr>
          <w:rFonts w:ascii="Times New Roman" w:hAnsi="Times New Roman" w:cs="Times New Roman"/>
          <w:color w:val="000000" w:themeColor="text1"/>
          <w:sz w:val="24"/>
          <w:szCs w:val="24"/>
          <w:lang w:val="en-US"/>
        </w:rPr>
        <w:t xml:space="preserve">such </w:t>
      </w:r>
      <w:r w:rsidRPr="008B2F56">
        <w:rPr>
          <w:rFonts w:ascii="Times New Roman" w:hAnsi="Times New Roman" w:cs="Times New Roman"/>
          <w:color w:val="000000" w:themeColor="text1"/>
          <w:sz w:val="24"/>
          <w:szCs w:val="24"/>
          <w:lang w:val="en-US"/>
        </w:rPr>
        <w:t xml:space="preserve">consent in IIAs, investment laws </w:t>
      </w:r>
      <w:r w:rsidR="007875F9" w:rsidRPr="008B2F56">
        <w:rPr>
          <w:rFonts w:ascii="Times New Roman" w:hAnsi="Times New Roman" w:cs="Times New Roman"/>
          <w:color w:val="000000" w:themeColor="text1"/>
          <w:sz w:val="24"/>
          <w:szCs w:val="24"/>
          <w:lang w:val="en-US"/>
        </w:rPr>
        <w:t>provide a</w:t>
      </w:r>
      <w:r w:rsidRPr="008B2F56">
        <w:rPr>
          <w:rFonts w:ascii="Times New Roman" w:hAnsi="Times New Roman" w:cs="Times New Roman"/>
          <w:color w:val="000000" w:themeColor="text1"/>
          <w:sz w:val="24"/>
          <w:szCs w:val="24"/>
          <w:lang w:val="en-US"/>
        </w:rPr>
        <w:t xml:space="preserve"> unilateral </w:t>
      </w:r>
      <w:r w:rsidR="007875F9" w:rsidRPr="008B2F56">
        <w:rPr>
          <w:rFonts w:ascii="Times New Roman" w:hAnsi="Times New Roman" w:cs="Times New Roman"/>
          <w:color w:val="000000" w:themeColor="text1"/>
          <w:sz w:val="24"/>
          <w:szCs w:val="24"/>
          <w:lang w:val="en-US"/>
        </w:rPr>
        <w:t>consent that is</w:t>
      </w:r>
      <w:r w:rsidRPr="008B2F56">
        <w:rPr>
          <w:rFonts w:ascii="Times New Roman" w:hAnsi="Times New Roman" w:cs="Times New Roman"/>
          <w:color w:val="000000" w:themeColor="text1"/>
          <w:sz w:val="24"/>
          <w:szCs w:val="24"/>
          <w:lang w:val="en-US"/>
        </w:rPr>
        <w:t xml:space="preserve"> relatively easy to withdraw. </w:t>
      </w:r>
      <w:r w:rsidR="007875F9" w:rsidRPr="008B2F56">
        <w:rPr>
          <w:rFonts w:ascii="Times New Roman" w:hAnsi="Times New Roman" w:cs="Times New Roman"/>
          <w:color w:val="000000" w:themeColor="text1"/>
          <w:sz w:val="24"/>
          <w:szCs w:val="24"/>
          <w:lang w:val="en-US"/>
        </w:rPr>
        <w:t>However</w:t>
      </w:r>
      <w:r w:rsidRPr="008B2F56">
        <w:rPr>
          <w:rFonts w:ascii="Times New Roman" w:hAnsi="Times New Roman" w:cs="Times New Roman"/>
          <w:color w:val="000000" w:themeColor="text1"/>
          <w:sz w:val="24"/>
          <w:szCs w:val="24"/>
          <w:lang w:val="en-US"/>
        </w:rPr>
        <w:t xml:space="preserve">, withdrawal might </w:t>
      </w:r>
      <w:r w:rsidR="007875F9" w:rsidRPr="008B2F56">
        <w:rPr>
          <w:rFonts w:ascii="Times New Roman" w:hAnsi="Times New Roman" w:cs="Times New Roman"/>
          <w:color w:val="000000" w:themeColor="text1"/>
          <w:sz w:val="24"/>
          <w:szCs w:val="24"/>
          <w:lang w:val="en-US"/>
        </w:rPr>
        <w:t>not be available,</w:t>
      </w:r>
      <w:r w:rsidRPr="008B2F56">
        <w:rPr>
          <w:rFonts w:ascii="Times New Roman" w:hAnsi="Times New Roman" w:cs="Times New Roman"/>
          <w:color w:val="000000" w:themeColor="text1"/>
          <w:sz w:val="24"/>
          <w:szCs w:val="24"/>
          <w:lang w:val="en-US"/>
        </w:rPr>
        <w:t xml:space="preserve"> for example</w:t>
      </w:r>
      <w:r w:rsidR="007875F9" w:rsidRPr="008B2F56">
        <w:rPr>
          <w:rFonts w:ascii="Times New Roman" w:hAnsi="Times New Roman" w:cs="Times New Roman"/>
          <w:color w:val="000000" w:themeColor="text1"/>
          <w:sz w:val="24"/>
          <w:szCs w:val="24"/>
          <w:lang w:val="en-US"/>
        </w:rPr>
        <w:t xml:space="preserve"> because</w:t>
      </w:r>
      <w:r w:rsidRPr="008B2F56">
        <w:rPr>
          <w:rFonts w:ascii="Times New Roman" w:hAnsi="Times New Roman" w:cs="Times New Roman"/>
          <w:color w:val="000000" w:themeColor="text1"/>
          <w:sz w:val="24"/>
          <w:szCs w:val="24"/>
          <w:lang w:val="en-US"/>
        </w:rPr>
        <w:t xml:space="preserve"> it cannot apply retroactively in relation to established investments or disputes that have already emerged. Table 3 shows </w:t>
      </w:r>
      <w:r w:rsidR="007875F9" w:rsidRPr="008B2F56">
        <w:rPr>
          <w:rFonts w:ascii="Times New Roman" w:hAnsi="Times New Roman" w:cs="Times New Roman"/>
          <w:color w:val="000000" w:themeColor="text1"/>
          <w:sz w:val="24"/>
          <w:szCs w:val="24"/>
          <w:lang w:val="en-US"/>
        </w:rPr>
        <w:t>that the current unilateral consent through investment laws implies a fundamental shift in the exposure to ISDS among groups of countries from the exposure identified in table 2</w:t>
      </w:r>
      <w:r w:rsidRPr="008B2F56">
        <w:rPr>
          <w:rFonts w:ascii="Times New Roman" w:hAnsi="Times New Roman" w:cs="Times New Roman"/>
          <w:color w:val="000000" w:themeColor="text1"/>
          <w:sz w:val="24"/>
          <w:szCs w:val="24"/>
          <w:lang w:val="en-US"/>
        </w:rPr>
        <w:t>.</w:t>
      </w:r>
      <w:r w:rsidR="007875F9" w:rsidRPr="008B2F56">
        <w:rPr>
          <w:rFonts w:ascii="Times New Roman" w:hAnsi="Times New Roman" w:cs="Times New Roman"/>
          <w:color w:val="000000" w:themeColor="text1"/>
          <w:sz w:val="24"/>
          <w:szCs w:val="24"/>
          <w:lang w:val="en-US"/>
        </w:rPr>
        <w:t xml:space="preserve"> Low income countries have a much higher exposure to ISDS than any other group of countries with a saturation level of above 55 per cent, and their investors have the lowest access to ISDS. The contrast is particularly striking in relation to high income countries, where low income countries </w:t>
      </w:r>
      <w:r w:rsidR="007875F9" w:rsidRPr="008B2F56">
        <w:rPr>
          <w:rFonts w:ascii="Times New Roman" w:hAnsi="Times New Roman" w:cs="Times New Roman"/>
          <w:color w:val="000000" w:themeColor="text1"/>
          <w:sz w:val="24"/>
          <w:szCs w:val="24"/>
          <w:lang w:val="en-US"/>
        </w:rPr>
        <w:lastRenderedPageBreak/>
        <w:t xml:space="preserve">provide consent to ISDS in almost 57 per cent of all bilateral relationships, and the low income country investors have access to ISDS </w:t>
      </w:r>
      <w:r w:rsidR="00F85425" w:rsidRPr="008B2F56">
        <w:rPr>
          <w:rFonts w:ascii="Times New Roman" w:hAnsi="Times New Roman" w:cs="Times New Roman"/>
          <w:color w:val="000000" w:themeColor="text1"/>
          <w:sz w:val="24"/>
          <w:szCs w:val="24"/>
          <w:lang w:val="en-US"/>
        </w:rPr>
        <w:t>in less than 12 per cent of the bilateral relationships.</w:t>
      </w:r>
      <w:r w:rsidR="00702F13" w:rsidRPr="008B2F56">
        <w:rPr>
          <w:rFonts w:ascii="Times New Roman" w:hAnsi="Times New Roman" w:cs="Times New Roman"/>
          <w:color w:val="000000" w:themeColor="text1"/>
          <w:sz w:val="24"/>
          <w:szCs w:val="24"/>
          <w:lang w:val="en-US"/>
        </w:rPr>
        <w:t xml:space="preserve"> It seems likely that the practice of providing unilateral consent to ISDS undermines the opportunity to achieve reciprocal consent to ISDS through IIAs. </w:t>
      </w:r>
    </w:p>
    <w:p w14:paraId="61E54C32" w14:textId="2D6FDEAB" w:rsidR="00F54727" w:rsidRPr="008B2F56" w:rsidRDefault="00F54727" w:rsidP="008D76EF">
      <w:pPr>
        <w:pStyle w:val="Heading3"/>
        <w:jc w:val="both"/>
        <w:rPr>
          <w:rFonts w:ascii="Times New Roman" w:hAnsi="Times New Roman" w:cs="Times New Roman"/>
        </w:rPr>
      </w:pPr>
      <w:r w:rsidRPr="008B2F56">
        <w:rPr>
          <w:rFonts w:ascii="Times New Roman" w:hAnsi="Times New Roman" w:cs="Times New Roman"/>
        </w:rPr>
        <w:t xml:space="preserve">Table 3: </w:t>
      </w:r>
      <w:r w:rsidR="00F85425" w:rsidRPr="008B2F56">
        <w:rPr>
          <w:rFonts w:ascii="Times New Roman" w:hAnsi="Times New Roman" w:cs="Times New Roman"/>
        </w:rPr>
        <w:t>B</w:t>
      </w:r>
      <w:r w:rsidR="00834330" w:rsidRPr="008B2F56">
        <w:rPr>
          <w:rFonts w:ascii="Times New Roman" w:hAnsi="Times New Roman" w:cs="Times New Roman"/>
        </w:rPr>
        <w:t>ilateral and unilateral consent to ISDS according to World Bank income groups</w:t>
      </w:r>
      <w:r w:rsidRPr="008B2F56">
        <w:rPr>
          <w:rStyle w:val="FootnoteReference"/>
          <w:rFonts w:ascii="Times New Roman" w:hAnsi="Times New Roman" w:cs="Times New Roman"/>
        </w:rPr>
        <w:footnoteReference w:id="66"/>
      </w:r>
    </w:p>
    <w:tbl>
      <w:tblPr>
        <w:tblW w:w="8789" w:type="dxa"/>
        <w:tblCellMar>
          <w:left w:w="0" w:type="dxa"/>
          <w:right w:w="0" w:type="dxa"/>
        </w:tblCellMar>
        <w:tblLook w:val="04A0" w:firstRow="1" w:lastRow="0" w:firstColumn="1" w:lastColumn="0" w:noHBand="0" w:noVBand="1"/>
      </w:tblPr>
      <w:tblGrid>
        <w:gridCol w:w="90"/>
        <w:gridCol w:w="1470"/>
        <w:gridCol w:w="1417"/>
        <w:gridCol w:w="1559"/>
        <w:gridCol w:w="1560"/>
        <w:gridCol w:w="1417"/>
        <w:gridCol w:w="1276"/>
      </w:tblGrid>
      <w:tr w:rsidR="00F54727" w:rsidRPr="008B2F56" w14:paraId="5F6A104E" w14:textId="77777777" w:rsidTr="005E2F14">
        <w:trPr>
          <w:cantSplit/>
          <w:trHeight w:val="20"/>
        </w:trPr>
        <w:tc>
          <w:tcPr>
            <w:tcW w:w="1560" w:type="dxa"/>
            <w:gridSpan w:val="2"/>
            <w:tcBorders>
              <w:top w:val="nil"/>
              <w:left w:val="nil"/>
              <w:bottom w:val="single" w:sz="8" w:space="0" w:color="000000"/>
            </w:tcBorders>
            <w:shd w:val="clear" w:color="auto" w:fill="auto"/>
            <w:tcMar>
              <w:top w:w="15" w:type="dxa"/>
              <w:left w:w="108" w:type="dxa"/>
              <w:bottom w:w="0" w:type="dxa"/>
              <w:right w:w="108" w:type="dxa"/>
            </w:tcMar>
            <w:vAlign w:val="center"/>
          </w:tcPr>
          <w:p w14:paraId="21008C2C"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p>
        </w:tc>
        <w:tc>
          <w:tcPr>
            <w:tcW w:w="5953" w:type="dxa"/>
            <w:gridSpan w:val="4"/>
            <w:tcBorders>
              <w:top w:val="nil"/>
              <w:bottom w:val="single" w:sz="4" w:space="0" w:color="auto"/>
            </w:tcBorders>
            <w:shd w:val="clear" w:color="auto" w:fill="auto"/>
            <w:tcMar>
              <w:top w:w="15" w:type="dxa"/>
              <w:left w:w="108" w:type="dxa"/>
              <w:bottom w:w="0" w:type="dxa"/>
              <w:right w:w="108" w:type="dxa"/>
            </w:tcMar>
            <w:vAlign w:val="center"/>
          </w:tcPr>
          <w:p w14:paraId="2D0E4881" w14:textId="77777777" w:rsidR="00F54727" w:rsidRPr="008B2F56" w:rsidRDefault="00F54727" w:rsidP="008D76EF">
            <w:pPr>
              <w:spacing w:after="0" w:line="259" w:lineRule="auto"/>
              <w:jc w:val="both"/>
              <w:rPr>
                <w:rFonts w:ascii="Times New Roman" w:eastAsia="Calibri" w:hAnsi="Times New Roman" w:cs="Times New Roman"/>
                <w:b/>
                <w:color w:val="000000"/>
                <w:lang w:val="en-US" w:eastAsia="en-US"/>
              </w:rPr>
            </w:pPr>
            <w:r w:rsidRPr="008B2F56">
              <w:rPr>
                <w:rFonts w:ascii="Times New Roman" w:eastAsia="Calibri" w:hAnsi="Times New Roman" w:cs="Times New Roman"/>
                <w:b/>
                <w:color w:val="000000"/>
                <w:lang w:val="en-US" w:eastAsia="en-US"/>
              </w:rPr>
              <w:t>Countries consenting to ISDS</w:t>
            </w:r>
          </w:p>
        </w:tc>
        <w:tc>
          <w:tcPr>
            <w:tcW w:w="1276" w:type="dxa"/>
            <w:tcBorders>
              <w:top w:val="nil"/>
              <w:bottom w:val="single" w:sz="4" w:space="0" w:color="auto"/>
            </w:tcBorders>
          </w:tcPr>
          <w:p w14:paraId="18005282" w14:textId="77777777" w:rsidR="00F54727" w:rsidRPr="008B2F56" w:rsidRDefault="00F54727" w:rsidP="008D76EF">
            <w:pPr>
              <w:spacing w:after="0" w:line="259" w:lineRule="auto"/>
              <w:jc w:val="both"/>
              <w:rPr>
                <w:rFonts w:ascii="Times New Roman" w:eastAsia="Calibri" w:hAnsi="Times New Roman" w:cs="Times New Roman"/>
                <w:b/>
                <w:color w:val="000000"/>
                <w:lang w:val="en-US" w:eastAsia="en-US"/>
              </w:rPr>
            </w:pPr>
          </w:p>
        </w:tc>
      </w:tr>
      <w:tr w:rsidR="00F54727" w:rsidRPr="008B2F56" w14:paraId="4E757F17" w14:textId="77777777" w:rsidTr="005E2F14">
        <w:trPr>
          <w:cantSplit/>
          <w:trHeight w:val="20"/>
        </w:trPr>
        <w:tc>
          <w:tcPr>
            <w:tcW w:w="1560" w:type="dxa"/>
            <w:gridSpan w:val="2"/>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005A54" w14:textId="77777777" w:rsidR="00F54727" w:rsidRPr="008B2F56" w:rsidRDefault="00F54727" w:rsidP="008D76EF">
            <w:pPr>
              <w:spacing w:after="0" w:line="259" w:lineRule="auto"/>
              <w:jc w:val="both"/>
              <w:rPr>
                <w:rFonts w:ascii="Times New Roman" w:eastAsia="Calibri" w:hAnsi="Times New Roman" w:cs="Times New Roman"/>
                <w:b/>
                <w:color w:val="000000"/>
                <w:lang w:val="en-US" w:eastAsia="en-US"/>
              </w:rPr>
            </w:pPr>
            <w:r w:rsidRPr="008B2F56">
              <w:rPr>
                <w:rFonts w:ascii="Times New Roman" w:eastAsia="Calibri" w:hAnsi="Times New Roman" w:cs="Times New Roman"/>
                <w:b/>
                <w:color w:val="000000"/>
                <w:lang w:val="en-US" w:eastAsia="en-US"/>
              </w:rPr>
              <w:t>Benefiting countries</w:t>
            </w:r>
          </w:p>
        </w:tc>
        <w:tc>
          <w:tcPr>
            <w:tcW w:w="1417" w:type="dxa"/>
            <w:tcBorders>
              <w:top w:val="single" w:sz="4" w:space="0" w:color="auto"/>
              <w:left w:val="single" w:sz="8" w:space="0" w:color="000000"/>
              <w:bottom w:val="single" w:sz="8" w:space="0" w:color="000000"/>
              <w:right w:val="dotted" w:sz="4" w:space="0" w:color="auto"/>
            </w:tcBorders>
            <w:shd w:val="clear" w:color="auto" w:fill="auto"/>
            <w:tcMar>
              <w:top w:w="15" w:type="dxa"/>
              <w:left w:w="108" w:type="dxa"/>
              <w:bottom w:w="0" w:type="dxa"/>
              <w:right w:w="108" w:type="dxa"/>
            </w:tcMar>
            <w:vAlign w:val="center"/>
            <w:hideMark/>
          </w:tcPr>
          <w:p w14:paraId="3F9601C3"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High income</w:t>
            </w:r>
          </w:p>
        </w:tc>
        <w:tc>
          <w:tcPr>
            <w:tcW w:w="1559" w:type="dxa"/>
            <w:tcBorders>
              <w:top w:val="single" w:sz="4" w:space="0" w:color="auto"/>
              <w:left w:val="dotted" w:sz="4" w:space="0" w:color="auto"/>
              <w:bottom w:val="single" w:sz="8" w:space="0" w:color="000000"/>
              <w:right w:val="dotted" w:sz="4" w:space="0" w:color="auto"/>
            </w:tcBorders>
            <w:shd w:val="clear" w:color="auto" w:fill="auto"/>
            <w:tcMar>
              <w:top w:w="15" w:type="dxa"/>
              <w:left w:w="108" w:type="dxa"/>
              <w:bottom w:w="0" w:type="dxa"/>
              <w:right w:w="108" w:type="dxa"/>
            </w:tcMar>
            <w:vAlign w:val="center"/>
            <w:hideMark/>
          </w:tcPr>
          <w:p w14:paraId="78CE66FD"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Upper middle income</w:t>
            </w:r>
          </w:p>
        </w:tc>
        <w:tc>
          <w:tcPr>
            <w:tcW w:w="1560" w:type="dxa"/>
            <w:tcBorders>
              <w:top w:val="single" w:sz="4" w:space="0" w:color="auto"/>
              <w:left w:val="dotted" w:sz="4" w:space="0" w:color="auto"/>
              <w:bottom w:val="single" w:sz="8" w:space="0" w:color="000000"/>
              <w:right w:val="dotted" w:sz="4" w:space="0" w:color="auto"/>
            </w:tcBorders>
            <w:shd w:val="clear" w:color="auto" w:fill="auto"/>
            <w:tcMar>
              <w:top w:w="15" w:type="dxa"/>
              <w:left w:w="108" w:type="dxa"/>
              <w:bottom w:w="0" w:type="dxa"/>
              <w:right w:w="108" w:type="dxa"/>
            </w:tcMar>
            <w:vAlign w:val="center"/>
            <w:hideMark/>
          </w:tcPr>
          <w:p w14:paraId="2151DDE4"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Lower middle income</w:t>
            </w:r>
          </w:p>
        </w:tc>
        <w:tc>
          <w:tcPr>
            <w:tcW w:w="1417" w:type="dxa"/>
            <w:tcBorders>
              <w:top w:val="single" w:sz="4" w:space="0" w:color="auto"/>
              <w:left w:val="dotted" w:sz="4" w:space="0" w:color="auto"/>
              <w:bottom w:val="single" w:sz="8" w:space="0" w:color="000000"/>
            </w:tcBorders>
            <w:shd w:val="clear" w:color="auto" w:fill="auto"/>
            <w:tcMar>
              <w:top w:w="15" w:type="dxa"/>
              <w:left w:w="108" w:type="dxa"/>
              <w:bottom w:w="0" w:type="dxa"/>
              <w:right w:w="108" w:type="dxa"/>
            </w:tcMar>
            <w:vAlign w:val="center"/>
            <w:hideMark/>
          </w:tcPr>
          <w:p w14:paraId="5CBA2F8B"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Low income</w:t>
            </w:r>
          </w:p>
        </w:tc>
        <w:tc>
          <w:tcPr>
            <w:tcW w:w="1276" w:type="dxa"/>
            <w:tcBorders>
              <w:top w:val="single" w:sz="4" w:space="0" w:color="auto"/>
              <w:left w:val="dotted" w:sz="4" w:space="0" w:color="auto"/>
              <w:bottom w:val="single" w:sz="8" w:space="0" w:color="000000"/>
            </w:tcBorders>
          </w:tcPr>
          <w:p w14:paraId="6DBEDEC8"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No &amp; % of beneficiaries</w:t>
            </w:r>
          </w:p>
        </w:tc>
      </w:tr>
      <w:tr w:rsidR="00F54727" w:rsidRPr="008B2F56" w14:paraId="5A500C2D" w14:textId="77777777" w:rsidTr="005E2F14">
        <w:trPr>
          <w:cantSplit/>
          <w:trHeight w:val="20"/>
        </w:trPr>
        <w:tc>
          <w:tcPr>
            <w:tcW w:w="1560" w:type="dxa"/>
            <w:gridSpan w:val="2"/>
            <w:vMerge w:val="restart"/>
            <w:tcBorders>
              <w:top w:val="single" w:sz="8" w:space="0" w:color="000000"/>
              <w:left w:val="nil"/>
              <w:bottom w:val="nil"/>
              <w:right w:val="single" w:sz="8" w:space="0" w:color="000000"/>
            </w:tcBorders>
            <w:shd w:val="clear" w:color="auto" w:fill="auto"/>
            <w:tcMar>
              <w:top w:w="15" w:type="dxa"/>
              <w:left w:w="108" w:type="dxa"/>
              <w:bottom w:w="0" w:type="dxa"/>
              <w:right w:w="108" w:type="dxa"/>
            </w:tcMar>
            <w:vAlign w:val="center"/>
            <w:hideMark/>
          </w:tcPr>
          <w:p w14:paraId="0C996682"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High income</w:t>
            </w:r>
          </w:p>
        </w:tc>
        <w:tc>
          <w:tcPr>
            <w:tcW w:w="1417" w:type="dxa"/>
            <w:tcBorders>
              <w:top w:val="single" w:sz="8" w:space="0" w:color="000000"/>
              <w:left w:val="single" w:sz="8" w:space="0" w:color="000000"/>
              <w:bottom w:val="nil"/>
              <w:right w:val="dotted" w:sz="4" w:space="0" w:color="auto"/>
            </w:tcBorders>
            <w:shd w:val="clear" w:color="auto" w:fill="auto"/>
            <w:tcMar>
              <w:top w:w="15" w:type="dxa"/>
              <w:left w:w="108" w:type="dxa"/>
              <w:bottom w:w="0" w:type="dxa"/>
              <w:right w:w="108" w:type="dxa"/>
            </w:tcMar>
            <w:vAlign w:val="center"/>
            <w:hideMark/>
          </w:tcPr>
          <w:p w14:paraId="73FE31D6"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1412 (3540)</w:t>
            </w:r>
          </w:p>
        </w:tc>
        <w:tc>
          <w:tcPr>
            <w:tcW w:w="1559" w:type="dxa"/>
            <w:tcBorders>
              <w:top w:val="single" w:sz="8" w:space="0" w:color="000000"/>
              <w:left w:val="dotted" w:sz="4" w:space="0" w:color="auto"/>
              <w:bottom w:val="nil"/>
              <w:right w:val="dotted" w:sz="4" w:space="0" w:color="auto"/>
            </w:tcBorders>
            <w:shd w:val="clear" w:color="auto" w:fill="auto"/>
            <w:tcMar>
              <w:top w:w="15" w:type="dxa"/>
              <w:left w:w="108" w:type="dxa"/>
              <w:bottom w:w="0" w:type="dxa"/>
              <w:right w:w="108" w:type="dxa"/>
            </w:tcMar>
            <w:vAlign w:val="center"/>
            <w:hideMark/>
          </w:tcPr>
          <w:p w14:paraId="79CAC9D0"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1169 (3540)</w:t>
            </w:r>
          </w:p>
        </w:tc>
        <w:tc>
          <w:tcPr>
            <w:tcW w:w="1560" w:type="dxa"/>
            <w:tcBorders>
              <w:top w:val="single" w:sz="8" w:space="0" w:color="000000"/>
              <w:left w:val="dotted" w:sz="4" w:space="0" w:color="auto"/>
              <w:bottom w:val="nil"/>
              <w:right w:val="dotted" w:sz="4" w:space="0" w:color="auto"/>
            </w:tcBorders>
            <w:shd w:val="clear" w:color="auto" w:fill="auto"/>
            <w:tcMar>
              <w:top w:w="15" w:type="dxa"/>
              <w:left w:w="108" w:type="dxa"/>
              <w:bottom w:w="0" w:type="dxa"/>
              <w:right w:w="108" w:type="dxa"/>
            </w:tcMar>
            <w:vAlign w:val="center"/>
            <w:hideMark/>
          </w:tcPr>
          <w:p w14:paraId="73AD2021"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1059 (2820)</w:t>
            </w:r>
          </w:p>
        </w:tc>
        <w:tc>
          <w:tcPr>
            <w:tcW w:w="1417" w:type="dxa"/>
            <w:tcBorders>
              <w:top w:val="single" w:sz="8" w:space="0" w:color="000000"/>
              <w:left w:val="dotted" w:sz="4" w:space="0" w:color="auto"/>
              <w:bottom w:val="nil"/>
            </w:tcBorders>
            <w:shd w:val="clear" w:color="auto" w:fill="auto"/>
            <w:tcMar>
              <w:top w:w="15" w:type="dxa"/>
              <w:left w:w="108" w:type="dxa"/>
              <w:bottom w:w="0" w:type="dxa"/>
              <w:right w:w="108" w:type="dxa"/>
            </w:tcMar>
            <w:vAlign w:val="center"/>
            <w:hideMark/>
          </w:tcPr>
          <w:p w14:paraId="53B67DA9"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1068 (1860)</w:t>
            </w:r>
          </w:p>
        </w:tc>
        <w:tc>
          <w:tcPr>
            <w:tcW w:w="1276" w:type="dxa"/>
            <w:vMerge w:val="restart"/>
            <w:tcBorders>
              <w:top w:val="single" w:sz="8" w:space="0" w:color="000000"/>
              <w:left w:val="dotted" w:sz="4" w:space="0" w:color="auto"/>
            </w:tcBorders>
            <w:vAlign w:val="center"/>
          </w:tcPr>
          <w:p w14:paraId="1AFF96FC"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 xml:space="preserve">4708 </w:t>
            </w:r>
            <w:r w:rsidRPr="008B2F56">
              <w:rPr>
                <w:rFonts w:ascii="Times New Roman" w:eastAsia="Calibri" w:hAnsi="Times New Roman" w:cs="Times New Roman"/>
                <w:i/>
                <w:color w:val="000000"/>
                <w:lang w:val="en-US" w:eastAsia="en-US"/>
              </w:rPr>
              <w:t>(37.9%)</w:t>
            </w:r>
          </w:p>
        </w:tc>
      </w:tr>
      <w:tr w:rsidR="00F54727" w:rsidRPr="008B2F56" w14:paraId="0207DA24" w14:textId="77777777" w:rsidTr="005E2F14">
        <w:trPr>
          <w:cantSplit/>
          <w:trHeight w:val="20"/>
        </w:trPr>
        <w:tc>
          <w:tcPr>
            <w:tcW w:w="1560" w:type="dxa"/>
            <w:gridSpan w:val="2"/>
            <w:vMerge/>
            <w:tcBorders>
              <w:top w:val="single" w:sz="8" w:space="0" w:color="000000"/>
              <w:left w:val="nil"/>
              <w:bottom w:val="dotted" w:sz="4" w:space="0" w:color="auto"/>
              <w:right w:val="single" w:sz="8" w:space="0" w:color="000000"/>
            </w:tcBorders>
            <w:shd w:val="clear" w:color="auto" w:fill="auto"/>
            <w:vAlign w:val="center"/>
            <w:hideMark/>
          </w:tcPr>
          <w:p w14:paraId="4BEFF0E4"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p>
        </w:tc>
        <w:tc>
          <w:tcPr>
            <w:tcW w:w="1417" w:type="dxa"/>
            <w:tcBorders>
              <w:top w:val="nil"/>
              <w:left w:val="single" w:sz="8" w:space="0" w:color="000000"/>
              <w:bottom w:val="dotted" w:sz="4" w:space="0" w:color="auto"/>
              <w:right w:val="dotted" w:sz="4" w:space="0" w:color="auto"/>
            </w:tcBorders>
            <w:shd w:val="clear" w:color="auto" w:fill="auto"/>
            <w:tcMar>
              <w:top w:w="15" w:type="dxa"/>
              <w:left w:w="108" w:type="dxa"/>
              <w:bottom w:w="0" w:type="dxa"/>
              <w:right w:w="108" w:type="dxa"/>
            </w:tcMar>
            <w:vAlign w:val="center"/>
            <w:hideMark/>
          </w:tcPr>
          <w:p w14:paraId="4EF92CCD" w14:textId="77777777" w:rsidR="00F54727" w:rsidRPr="008B2F56" w:rsidRDefault="00F54727" w:rsidP="008D76EF">
            <w:pPr>
              <w:spacing w:after="0" w:line="259" w:lineRule="auto"/>
              <w:jc w:val="both"/>
              <w:rPr>
                <w:rFonts w:ascii="Times New Roman" w:eastAsia="Calibri" w:hAnsi="Times New Roman" w:cs="Times New Roman"/>
                <w:i/>
                <w:color w:val="000000"/>
                <w:lang w:val="en-US" w:eastAsia="en-US"/>
              </w:rPr>
            </w:pPr>
            <w:r w:rsidRPr="008B2F56">
              <w:rPr>
                <w:rFonts w:ascii="Times New Roman" w:eastAsia="Calibri" w:hAnsi="Times New Roman" w:cs="Times New Roman"/>
                <w:i/>
                <w:color w:val="000000"/>
                <w:lang w:val="en-US" w:eastAsia="en-US"/>
              </w:rPr>
              <w:t>11.4% (39.9)</w:t>
            </w:r>
          </w:p>
        </w:tc>
        <w:tc>
          <w:tcPr>
            <w:tcW w:w="1559" w:type="dxa"/>
            <w:tcBorders>
              <w:top w:val="nil"/>
              <w:left w:val="dotted" w:sz="4" w:space="0" w:color="auto"/>
              <w:bottom w:val="dotted" w:sz="4" w:space="0" w:color="auto"/>
              <w:right w:val="dotted" w:sz="4" w:space="0" w:color="auto"/>
            </w:tcBorders>
            <w:shd w:val="clear" w:color="auto" w:fill="auto"/>
            <w:tcMar>
              <w:top w:w="15" w:type="dxa"/>
              <w:left w:w="108" w:type="dxa"/>
              <w:bottom w:w="0" w:type="dxa"/>
              <w:right w:w="108" w:type="dxa"/>
            </w:tcMar>
            <w:vAlign w:val="center"/>
            <w:hideMark/>
          </w:tcPr>
          <w:p w14:paraId="4838835F" w14:textId="77777777" w:rsidR="00F54727" w:rsidRPr="008B2F56" w:rsidRDefault="00F54727" w:rsidP="008D76EF">
            <w:pPr>
              <w:spacing w:after="0" w:line="259" w:lineRule="auto"/>
              <w:jc w:val="both"/>
              <w:rPr>
                <w:rFonts w:ascii="Times New Roman" w:eastAsia="Calibri" w:hAnsi="Times New Roman" w:cs="Times New Roman"/>
                <w:i/>
                <w:color w:val="000000"/>
                <w:lang w:val="en-US" w:eastAsia="en-US"/>
              </w:rPr>
            </w:pPr>
            <w:r w:rsidRPr="008B2F56">
              <w:rPr>
                <w:rFonts w:ascii="Times New Roman" w:eastAsia="Calibri" w:hAnsi="Times New Roman" w:cs="Times New Roman"/>
                <w:i/>
                <w:color w:val="000000"/>
                <w:lang w:val="en-US" w:eastAsia="en-US"/>
              </w:rPr>
              <w:t>9.4% (33.0)</w:t>
            </w:r>
          </w:p>
        </w:tc>
        <w:tc>
          <w:tcPr>
            <w:tcW w:w="1560" w:type="dxa"/>
            <w:tcBorders>
              <w:top w:val="nil"/>
              <w:left w:val="dotted" w:sz="4" w:space="0" w:color="auto"/>
              <w:bottom w:val="dotted" w:sz="4" w:space="0" w:color="auto"/>
              <w:right w:val="dotted" w:sz="4" w:space="0" w:color="auto"/>
            </w:tcBorders>
            <w:shd w:val="clear" w:color="auto" w:fill="auto"/>
            <w:tcMar>
              <w:top w:w="15" w:type="dxa"/>
              <w:left w:w="108" w:type="dxa"/>
              <w:bottom w:w="0" w:type="dxa"/>
              <w:right w:w="108" w:type="dxa"/>
            </w:tcMar>
            <w:vAlign w:val="center"/>
            <w:hideMark/>
          </w:tcPr>
          <w:p w14:paraId="3B14B79E" w14:textId="77777777" w:rsidR="00F54727" w:rsidRPr="008B2F56" w:rsidRDefault="00F54727" w:rsidP="008D76EF">
            <w:pPr>
              <w:spacing w:after="0" w:line="259" w:lineRule="auto"/>
              <w:jc w:val="both"/>
              <w:rPr>
                <w:rFonts w:ascii="Times New Roman" w:eastAsia="Calibri" w:hAnsi="Times New Roman" w:cs="Times New Roman"/>
                <w:i/>
                <w:color w:val="000000"/>
                <w:lang w:val="en-US" w:eastAsia="en-US"/>
              </w:rPr>
            </w:pPr>
            <w:r w:rsidRPr="008B2F56">
              <w:rPr>
                <w:rFonts w:ascii="Times New Roman" w:eastAsia="Calibri" w:hAnsi="Times New Roman" w:cs="Times New Roman"/>
                <w:i/>
                <w:color w:val="000000"/>
                <w:lang w:val="en-US" w:eastAsia="en-US"/>
              </w:rPr>
              <w:t>8.5% (37.9)</w:t>
            </w:r>
          </w:p>
        </w:tc>
        <w:tc>
          <w:tcPr>
            <w:tcW w:w="1417" w:type="dxa"/>
            <w:tcBorders>
              <w:top w:val="nil"/>
              <w:left w:val="dotted" w:sz="4" w:space="0" w:color="auto"/>
              <w:bottom w:val="dotted" w:sz="4" w:space="0" w:color="auto"/>
            </w:tcBorders>
            <w:shd w:val="clear" w:color="auto" w:fill="auto"/>
            <w:tcMar>
              <w:top w:w="15" w:type="dxa"/>
              <w:left w:w="108" w:type="dxa"/>
              <w:bottom w:w="0" w:type="dxa"/>
              <w:right w:w="108" w:type="dxa"/>
            </w:tcMar>
            <w:vAlign w:val="center"/>
            <w:hideMark/>
          </w:tcPr>
          <w:p w14:paraId="24D4F5A7" w14:textId="77777777" w:rsidR="00F54727" w:rsidRPr="008B2F56" w:rsidRDefault="00F54727" w:rsidP="008D76EF">
            <w:pPr>
              <w:spacing w:after="0" w:line="259" w:lineRule="auto"/>
              <w:jc w:val="both"/>
              <w:rPr>
                <w:rFonts w:ascii="Times New Roman" w:eastAsia="Calibri" w:hAnsi="Times New Roman" w:cs="Times New Roman"/>
                <w:i/>
                <w:color w:val="000000"/>
                <w:lang w:val="en-US" w:eastAsia="en-US"/>
              </w:rPr>
            </w:pPr>
            <w:r w:rsidRPr="008B2F56">
              <w:rPr>
                <w:rFonts w:ascii="Times New Roman" w:eastAsia="Calibri" w:hAnsi="Times New Roman" w:cs="Times New Roman"/>
                <w:i/>
                <w:color w:val="000000"/>
                <w:lang w:val="en-US" w:eastAsia="en-US"/>
              </w:rPr>
              <w:t>8.7% (56.9)</w:t>
            </w:r>
          </w:p>
        </w:tc>
        <w:tc>
          <w:tcPr>
            <w:tcW w:w="1276" w:type="dxa"/>
            <w:vMerge/>
            <w:tcBorders>
              <w:left w:val="dotted" w:sz="4" w:space="0" w:color="auto"/>
              <w:bottom w:val="dotted" w:sz="4" w:space="0" w:color="auto"/>
            </w:tcBorders>
          </w:tcPr>
          <w:p w14:paraId="18E0C590" w14:textId="77777777" w:rsidR="00F54727" w:rsidRPr="008B2F56" w:rsidRDefault="00F54727" w:rsidP="008D76EF">
            <w:pPr>
              <w:spacing w:after="0" w:line="259" w:lineRule="auto"/>
              <w:jc w:val="both"/>
              <w:rPr>
                <w:rFonts w:ascii="Times New Roman" w:eastAsia="Calibri" w:hAnsi="Times New Roman" w:cs="Times New Roman"/>
                <w:i/>
                <w:color w:val="000000"/>
                <w:lang w:val="en-US" w:eastAsia="en-US"/>
              </w:rPr>
            </w:pPr>
          </w:p>
        </w:tc>
      </w:tr>
      <w:tr w:rsidR="00F54727" w:rsidRPr="008B2F56" w14:paraId="006F5E61" w14:textId="77777777" w:rsidTr="005E2F14">
        <w:trPr>
          <w:cantSplit/>
          <w:trHeight w:val="20"/>
        </w:trPr>
        <w:tc>
          <w:tcPr>
            <w:tcW w:w="1560" w:type="dxa"/>
            <w:gridSpan w:val="2"/>
            <w:vMerge w:val="restart"/>
            <w:tcBorders>
              <w:top w:val="dotted" w:sz="4" w:space="0" w:color="auto"/>
              <w:left w:val="nil"/>
              <w:bottom w:val="nil"/>
              <w:right w:val="single" w:sz="8" w:space="0" w:color="000000"/>
            </w:tcBorders>
            <w:shd w:val="clear" w:color="auto" w:fill="auto"/>
            <w:tcMar>
              <w:top w:w="15" w:type="dxa"/>
              <w:left w:w="108" w:type="dxa"/>
              <w:bottom w:w="0" w:type="dxa"/>
              <w:right w:w="108" w:type="dxa"/>
            </w:tcMar>
            <w:vAlign w:val="center"/>
            <w:hideMark/>
          </w:tcPr>
          <w:p w14:paraId="02484CBB"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Upper middle income</w:t>
            </w:r>
          </w:p>
        </w:tc>
        <w:tc>
          <w:tcPr>
            <w:tcW w:w="1417" w:type="dxa"/>
            <w:tcBorders>
              <w:top w:val="dotted" w:sz="4" w:space="0" w:color="auto"/>
              <w:left w:val="single" w:sz="8" w:space="0" w:color="000000"/>
              <w:bottom w:val="nil"/>
              <w:right w:val="dotted" w:sz="4" w:space="0" w:color="auto"/>
            </w:tcBorders>
            <w:shd w:val="clear" w:color="auto" w:fill="auto"/>
            <w:tcMar>
              <w:top w:w="15" w:type="dxa"/>
              <w:left w:w="108" w:type="dxa"/>
              <w:bottom w:w="0" w:type="dxa"/>
              <w:right w:w="108" w:type="dxa"/>
            </w:tcMar>
            <w:vAlign w:val="center"/>
            <w:hideMark/>
          </w:tcPr>
          <w:p w14:paraId="2AB45783"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1009 (3540)</w:t>
            </w:r>
          </w:p>
        </w:tc>
        <w:tc>
          <w:tcPr>
            <w:tcW w:w="1559" w:type="dxa"/>
            <w:tcBorders>
              <w:top w:val="dotted" w:sz="4" w:space="0" w:color="auto"/>
              <w:left w:val="dotted" w:sz="4" w:space="0" w:color="auto"/>
              <w:bottom w:val="nil"/>
              <w:right w:val="dotted" w:sz="4" w:space="0" w:color="auto"/>
            </w:tcBorders>
            <w:shd w:val="clear" w:color="auto" w:fill="auto"/>
            <w:tcMar>
              <w:top w:w="15" w:type="dxa"/>
              <w:left w:w="108" w:type="dxa"/>
              <w:bottom w:w="0" w:type="dxa"/>
              <w:right w:w="108" w:type="dxa"/>
            </w:tcMar>
            <w:vAlign w:val="center"/>
            <w:hideMark/>
          </w:tcPr>
          <w:p w14:paraId="638E0231"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801 (3422)</w:t>
            </w:r>
          </w:p>
        </w:tc>
        <w:tc>
          <w:tcPr>
            <w:tcW w:w="1560" w:type="dxa"/>
            <w:tcBorders>
              <w:top w:val="dotted" w:sz="4" w:space="0" w:color="auto"/>
              <w:left w:val="dotted" w:sz="4" w:space="0" w:color="auto"/>
              <w:bottom w:val="nil"/>
              <w:right w:val="dotted" w:sz="4" w:space="0" w:color="auto"/>
            </w:tcBorders>
            <w:shd w:val="clear" w:color="auto" w:fill="auto"/>
            <w:tcMar>
              <w:top w:w="15" w:type="dxa"/>
              <w:left w:w="108" w:type="dxa"/>
              <w:bottom w:w="0" w:type="dxa"/>
              <w:right w:w="108" w:type="dxa"/>
            </w:tcMar>
            <w:vAlign w:val="center"/>
            <w:hideMark/>
          </w:tcPr>
          <w:p w14:paraId="59F7008B"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854 (2773)</w:t>
            </w:r>
          </w:p>
        </w:tc>
        <w:tc>
          <w:tcPr>
            <w:tcW w:w="1417" w:type="dxa"/>
            <w:tcBorders>
              <w:top w:val="dotted" w:sz="4" w:space="0" w:color="auto"/>
              <w:left w:val="dotted" w:sz="4" w:space="0" w:color="auto"/>
              <w:bottom w:val="nil"/>
            </w:tcBorders>
            <w:shd w:val="clear" w:color="auto" w:fill="auto"/>
            <w:tcMar>
              <w:top w:w="15" w:type="dxa"/>
              <w:left w:w="108" w:type="dxa"/>
              <w:bottom w:w="0" w:type="dxa"/>
              <w:right w:w="108" w:type="dxa"/>
            </w:tcMar>
            <w:vAlign w:val="center"/>
            <w:hideMark/>
          </w:tcPr>
          <w:p w14:paraId="73DCC02A"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1007 (1829)</w:t>
            </w:r>
          </w:p>
        </w:tc>
        <w:tc>
          <w:tcPr>
            <w:tcW w:w="1276" w:type="dxa"/>
            <w:vMerge w:val="restart"/>
            <w:tcBorders>
              <w:top w:val="dotted" w:sz="4" w:space="0" w:color="auto"/>
              <w:left w:val="dotted" w:sz="4" w:space="0" w:color="auto"/>
            </w:tcBorders>
            <w:vAlign w:val="center"/>
          </w:tcPr>
          <w:p w14:paraId="76C50C22"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 xml:space="preserve">3671 </w:t>
            </w:r>
            <w:r w:rsidRPr="008B2F56">
              <w:rPr>
                <w:rFonts w:ascii="Times New Roman" w:eastAsia="Calibri" w:hAnsi="Times New Roman" w:cs="Times New Roman"/>
                <w:i/>
                <w:color w:val="000000"/>
                <w:lang w:val="en-US" w:eastAsia="en-US"/>
              </w:rPr>
              <w:t>(29.6%)</w:t>
            </w:r>
          </w:p>
        </w:tc>
      </w:tr>
      <w:tr w:rsidR="00F54727" w:rsidRPr="008B2F56" w14:paraId="7422156C" w14:textId="77777777" w:rsidTr="005E2F14">
        <w:trPr>
          <w:cantSplit/>
          <w:trHeight w:val="20"/>
        </w:trPr>
        <w:tc>
          <w:tcPr>
            <w:tcW w:w="1560" w:type="dxa"/>
            <w:gridSpan w:val="2"/>
            <w:vMerge/>
            <w:tcBorders>
              <w:top w:val="nil"/>
              <w:left w:val="nil"/>
              <w:bottom w:val="dotted" w:sz="4" w:space="0" w:color="auto"/>
              <w:right w:val="single" w:sz="8" w:space="0" w:color="000000"/>
            </w:tcBorders>
            <w:shd w:val="clear" w:color="auto" w:fill="auto"/>
            <w:vAlign w:val="center"/>
            <w:hideMark/>
          </w:tcPr>
          <w:p w14:paraId="4B84639D"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p>
        </w:tc>
        <w:tc>
          <w:tcPr>
            <w:tcW w:w="1417" w:type="dxa"/>
            <w:tcBorders>
              <w:top w:val="nil"/>
              <w:left w:val="single" w:sz="8" w:space="0" w:color="000000"/>
              <w:bottom w:val="dotted" w:sz="4" w:space="0" w:color="auto"/>
              <w:right w:val="dotted" w:sz="4" w:space="0" w:color="auto"/>
            </w:tcBorders>
            <w:shd w:val="clear" w:color="auto" w:fill="auto"/>
            <w:tcMar>
              <w:top w:w="15" w:type="dxa"/>
              <w:left w:w="108" w:type="dxa"/>
              <w:bottom w:w="0" w:type="dxa"/>
              <w:right w:w="108" w:type="dxa"/>
            </w:tcMar>
            <w:vAlign w:val="center"/>
            <w:hideMark/>
          </w:tcPr>
          <w:p w14:paraId="30EE569A" w14:textId="77777777" w:rsidR="00F54727" w:rsidRPr="008B2F56" w:rsidRDefault="00F54727" w:rsidP="008D76EF">
            <w:pPr>
              <w:spacing w:after="0" w:line="259" w:lineRule="auto"/>
              <w:jc w:val="both"/>
              <w:rPr>
                <w:rFonts w:ascii="Times New Roman" w:eastAsia="Calibri" w:hAnsi="Times New Roman" w:cs="Times New Roman"/>
                <w:i/>
                <w:color w:val="000000"/>
                <w:lang w:val="en-US" w:eastAsia="en-US"/>
              </w:rPr>
            </w:pPr>
            <w:r w:rsidRPr="008B2F56">
              <w:rPr>
                <w:rFonts w:ascii="Times New Roman" w:eastAsia="Calibri" w:hAnsi="Times New Roman" w:cs="Times New Roman"/>
                <w:i/>
                <w:color w:val="000000"/>
                <w:lang w:val="en-US" w:eastAsia="en-US"/>
              </w:rPr>
              <w:t>8.1% (28.5)</w:t>
            </w:r>
          </w:p>
        </w:tc>
        <w:tc>
          <w:tcPr>
            <w:tcW w:w="1559" w:type="dxa"/>
            <w:tcBorders>
              <w:top w:val="nil"/>
              <w:left w:val="dotted" w:sz="4" w:space="0" w:color="auto"/>
              <w:bottom w:val="dotted" w:sz="4" w:space="0" w:color="auto"/>
              <w:right w:val="dotted" w:sz="4" w:space="0" w:color="auto"/>
            </w:tcBorders>
            <w:shd w:val="clear" w:color="auto" w:fill="auto"/>
            <w:tcMar>
              <w:top w:w="15" w:type="dxa"/>
              <w:left w:w="108" w:type="dxa"/>
              <w:bottom w:w="0" w:type="dxa"/>
              <w:right w:w="108" w:type="dxa"/>
            </w:tcMar>
            <w:vAlign w:val="center"/>
            <w:hideMark/>
          </w:tcPr>
          <w:p w14:paraId="427D2BB6" w14:textId="77777777" w:rsidR="00F54727" w:rsidRPr="008B2F56" w:rsidRDefault="00F54727" w:rsidP="008D76EF">
            <w:pPr>
              <w:spacing w:after="0" w:line="259" w:lineRule="auto"/>
              <w:jc w:val="both"/>
              <w:rPr>
                <w:rFonts w:ascii="Times New Roman" w:eastAsia="Calibri" w:hAnsi="Times New Roman" w:cs="Times New Roman"/>
                <w:i/>
                <w:color w:val="000000"/>
                <w:lang w:val="en-US" w:eastAsia="en-US"/>
              </w:rPr>
            </w:pPr>
            <w:r w:rsidRPr="008B2F56">
              <w:rPr>
                <w:rFonts w:ascii="Times New Roman" w:eastAsia="Calibri" w:hAnsi="Times New Roman" w:cs="Times New Roman"/>
                <w:i/>
                <w:color w:val="000000"/>
                <w:lang w:val="en-US" w:eastAsia="en-US"/>
              </w:rPr>
              <w:t>6.4% (23.4)</w:t>
            </w:r>
          </w:p>
        </w:tc>
        <w:tc>
          <w:tcPr>
            <w:tcW w:w="1560" w:type="dxa"/>
            <w:tcBorders>
              <w:top w:val="nil"/>
              <w:left w:val="dotted" w:sz="4" w:space="0" w:color="auto"/>
              <w:bottom w:val="dotted" w:sz="4" w:space="0" w:color="auto"/>
              <w:right w:val="dotted" w:sz="4" w:space="0" w:color="auto"/>
            </w:tcBorders>
            <w:shd w:val="clear" w:color="auto" w:fill="auto"/>
            <w:tcMar>
              <w:top w:w="15" w:type="dxa"/>
              <w:left w:w="108" w:type="dxa"/>
              <w:bottom w:w="0" w:type="dxa"/>
              <w:right w:w="108" w:type="dxa"/>
            </w:tcMar>
            <w:vAlign w:val="center"/>
            <w:hideMark/>
          </w:tcPr>
          <w:p w14:paraId="5702AFD2" w14:textId="77777777" w:rsidR="00F54727" w:rsidRPr="008B2F56" w:rsidRDefault="00F54727" w:rsidP="008D76EF">
            <w:pPr>
              <w:spacing w:after="0" w:line="259" w:lineRule="auto"/>
              <w:jc w:val="both"/>
              <w:rPr>
                <w:rFonts w:ascii="Times New Roman" w:eastAsia="Calibri" w:hAnsi="Times New Roman" w:cs="Times New Roman"/>
                <w:i/>
                <w:color w:val="000000"/>
                <w:lang w:val="en-US" w:eastAsia="en-US"/>
              </w:rPr>
            </w:pPr>
            <w:r w:rsidRPr="008B2F56">
              <w:rPr>
                <w:rFonts w:ascii="Times New Roman" w:eastAsia="Calibri" w:hAnsi="Times New Roman" w:cs="Times New Roman"/>
                <w:i/>
                <w:color w:val="000000"/>
                <w:lang w:val="en-US" w:eastAsia="en-US"/>
              </w:rPr>
              <w:t>6.9% (30.8)</w:t>
            </w:r>
          </w:p>
        </w:tc>
        <w:tc>
          <w:tcPr>
            <w:tcW w:w="1417" w:type="dxa"/>
            <w:tcBorders>
              <w:top w:val="nil"/>
              <w:left w:val="dotted" w:sz="4" w:space="0" w:color="auto"/>
              <w:bottom w:val="dotted" w:sz="4" w:space="0" w:color="auto"/>
            </w:tcBorders>
            <w:shd w:val="clear" w:color="auto" w:fill="auto"/>
            <w:tcMar>
              <w:top w:w="15" w:type="dxa"/>
              <w:left w:w="108" w:type="dxa"/>
              <w:bottom w:w="0" w:type="dxa"/>
              <w:right w:w="108" w:type="dxa"/>
            </w:tcMar>
            <w:vAlign w:val="center"/>
            <w:hideMark/>
          </w:tcPr>
          <w:p w14:paraId="1D1FE8CD" w14:textId="77777777" w:rsidR="00F54727" w:rsidRPr="008B2F56" w:rsidRDefault="00F54727" w:rsidP="008D76EF">
            <w:pPr>
              <w:spacing w:after="0" w:line="259" w:lineRule="auto"/>
              <w:jc w:val="both"/>
              <w:rPr>
                <w:rFonts w:ascii="Times New Roman" w:eastAsia="Calibri" w:hAnsi="Times New Roman" w:cs="Times New Roman"/>
                <w:i/>
                <w:color w:val="000000"/>
                <w:lang w:val="en-US" w:eastAsia="en-US"/>
              </w:rPr>
            </w:pPr>
            <w:r w:rsidRPr="008B2F56">
              <w:rPr>
                <w:rFonts w:ascii="Times New Roman" w:eastAsia="Calibri" w:hAnsi="Times New Roman" w:cs="Times New Roman"/>
                <w:i/>
                <w:color w:val="000000"/>
                <w:lang w:val="en-US" w:eastAsia="en-US"/>
              </w:rPr>
              <w:t xml:space="preserve">8.1% (55.1)  </w:t>
            </w:r>
          </w:p>
        </w:tc>
        <w:tc>
          <w:tcPr>
            <w:tcW w:w="1276" w:type="dxa"/>
            <w:vMerge/>
            <w:tcBorders>
              <w:left w:val="dotted" w:sz="4" w:space="0" w:color="auto"/>
              <w:bottom w:val="dotted" w:sz="4" w:space="0" w:color="auto"/>
            </w:tcBorders>
          </w:tcPr>
          <w:p w14:paraId="6C32CE52" w14:textId="77777777" w:rsidR="00F54727" w:rsidRPr="008B2F56" w:rsidRDefault="00F54727" w:rsidP="008D76EF">
            <w:pPr>
              <w:spacing w:after="0" w:line="259" w:lineRule="auto"/>
              <w:jc w:val="both"/>
              <w:rPr>
                <w:rFonts w:ascii="Times New Roman" w:eastAsia="Calibri" w:hAnsi="Times New Roman" w:cs="Times New Roman"/>
                <w:i/>
                <w:color w:val="000000"/>
                <w:lang w:val="en-US" w:eastAsia="en-US"/>
              </w:rPr>
            </w:pPr>
          </w:p>
        </w:tc>
      </w:tr>
      <w:tr w:rsidR="00F54727" w:rsidRPr="008B2F56" w14:paraId="7C89B44C" w14:textId="77777777" w:rsidTr="005E2F14">
        <w:trPr>
          <w:cantSplit/>
          <w:trHeight w:val="20"/>
        </w:trPr>
        <w:tc>
          <w:tcPr>
            <w:tcW w:w="1560" w:type="dxa"/>
            <w:gridSpan w:val="2"/>
            <w:vMerge w:val="restart"/>
            <w:tcBorders>
              <w:top w:val="dotted" w:sz="4" w:space="0" w:color="auto"/>
              <w:left w:val="nil"/>
              <w:bottom w:val="nil"/>
              <w:right w:val="single" w:sz="8" w:space="0" w:color="000000"/>
            </w:tcBorders>
            <w:shd w:val="clear" w:color="auto" w:fill="auto"/>
            <w:tcMar>
              <w:top w:w="15" w:type="dxa"/>
              <w:left w:w="108" w:type="dxa"/>
              <w:bottom w:w="0" w:type="dxa"/>
              <w:right w:w="108" w:type="dxa"/>
            </w:tcMar>
            <w:vAlign w:val="center"/>
            <w:hideMark/>
          </w:tcPr>
          <w:p w14:paraId="5A9CD754"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Lower middle income</w:t>
            </w:r>
          </w:p>
        </w:tc>
        <w:tc>
          <w:tcPr>
            <w:tcW w:w="1417" w:type="dxa"/>
            <w:tcBorders>
              <w:top w:val="dotted" w:sz="4" w:space="0" w:color="auto"/>
              <w:left w:val="single" w:sz="8" w:space="0" w:color="000000"/>
              <w:bottom w:val="nil"/>
              <w:right w:val="dotted" w:sz="4" w:space="0" w:color="auto"/>
            </w:tcBorders>
            <w:shd w:val="clear" w:color="auto" w:fill="auto"/>
            <w:tcMar>
              <w:top w:w="15" w:type="dxa"/>
              <w:left w:w="108" w:type="dxa"/>
              <w:bottom w:w="0" w:type="dxa"/>
              <w:right w:w="108" w:type="dxa"/>
            </w:tcMar>
            <w:vAlign w:val="center"/>
            <w:hideMark/>
          </w:tcPr>
          <w:p w14:paraId="4DFD9E89"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593 (2820)</w:t>
            </w:r>
          </w:p>
        </w:tc>
        <w:tc>
          <w:tcPr>
            <w:tcW w:w="1559" w:type="dxa"/>
            <w:tcBorders>
              <w:top w:val="dotted" w:sz="4" w:space="0" w:color="auto"/>
              <w:left w:val="dotted" w:sz="4" w:space="0" w:color="auto"/>
              <w:bottom w:val="nil"/>
              <w:right w:val="dotted" w:sz="4" w:space="0" w:color="auto"/>
            </w:tcBorders>
            <w:shd w:val="clear" w:color="auto" w:fill="auto"/>
            <w:tcMar>
              <w:top w:w="15" w:type="dxa"/>
              <w:left w:w="108" w:type="dxa"/>
              <w:bottom w:w="0" w:type="dxa"/>
              <w:right w:w="108" w:type="dxa"/>
            </w:tcMar>
            <w:vAlign w:val="center"/>
            <w:hideMark/>
          </w:tcPr>
          <w:p w14:paraId="15B7D2A0"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530 (2773)</w:t>
            </w:r>
          </w:p>
        </w:tc>
        <w:tc>
          <w:tcPr>
            <w:tcW w:w="1560" w:type="dxa"/>
            <w:tcBorders>
              <w:top w:val="dotted" w:sz="4" w:space="0" w:color="auto"/>
              <w:left w:val="dotted" w:sz="4" w:space="0" w:color="auto"/>
              <w:bottom w:val="nil"/>
              <w:right w:val="dotted" w:sz="4" w:space="0" w:color="auto"/>
            </w:tcBorders>
            <w:shd w:val="clear" w:color="auto" w:fill="auto"/>
            <w:tcMar>
              <w:top w:w="15" w:type="dxa"/>
              <w:left w:w="108" w:type="dxa"/>
              <w:bottom w:w="0" w:type="dxa"/>
              <w:right w:w="108" w:type="dxa"/>
            </w:tcMar>
            <w:vAlign w:val="center"/>
            <w:hideMark/>
          </w:tcPr>
          <w:p w14:paraId="48180A55"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671 (2162)</w:t>
            </w:r>
          </w:p>
        </w:tc>
        <w:tc>
          <w:tcPr>
            <w:tcW w:w="1417" w:type="dxa"/>
            <w:tcBorders>
              <w:top w:val="dotted" w:sz="4" w:space="0" w:color="auto"/>
              <w:left w:val="dotted" w:sz="4" w:space="0" w:color="auto"/>
              <w:bottom w:val="nil"/>
            </w:tcBorders>
            <w:shd w:val="clear" w:color="auto" w:fill="auto"/>
            <w:tcMar>
              <w:top w:w="15" w:type="dxa"/>
              <w:left w:w="108" w:type="dxa"/>
              <w:bottom w:w="0" w:type="dxa"/>
              <w:right w:w="108" w:type="dxa"/>
            </w:tcMar>
            <w:vAlign w:val="center"/>
            <w:hideMark/>
          </w:tcPr>
          <w:p w14:paraId="5D514049"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807 (1457)</w:t>
            </w:r>
          </w:p>
        </w:tc>
        <w:tc>
          <w:tcPr>
            <w:tcW w:w="1276" w:type="dxa"/>
            <w:vMerge w:val="restart"/>
            <w:tcBorders>
              <w:top w:val="dotted" w:sz="4" w:space="0" w:color="auto"/>
              <w:left w:val="dotted" w:sz="4" w:space="0" w:color="auto"/>
            </w:tcBorders>
            <w:vAlign w:val="center"/>
          </w:tcPr>
          <w:p w14:paraId="111C0F75"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 xml:space="preserve">2601 </w:t>
            </w:r>
            <w:r w:rsidRPr="008B2F56">
              <w:rPr>
                <w:rFonts w:ascii="Times New Roman" w:eastAsia="Calibri" w:hAnsi="Times New Roman" w:cs="Times New Roman"/>
                <w:i/>
                <w:color w:val="000000"/>
                <w:lang w:val="en-US" w:eastAsia="en-US"/>
              </w:rPr>
              <w:t>(20.9%)</w:t>
            </w:r>
          </w:p>
        </w:tc>
      </w:tr>
      <w:tr w:rsidR="00F54727" w:rsidRPr="008B2F56" w14:paraId="587A3571" w14:textId="77777777" w:rsidTr="005E2F14">
        <w:trPr>
          <w:cantSplit/>
          <w:trHeight w:val="20"/>
        </w:trPr>
        <w:tc>
          <w:tcPr>
            <w:tcW w:w="1560" w:type="dxa"/>
            <w:gridSpan w:val="2"/>
            <w:vMerge/>
            <w:tcBorders>
              <w:top w:val="nil"/>
              <w:left w:val="nil"/>
              <w:bottom w:val="dotted" w:sz="4" w:space="0" w:color="auto"/>
              <w:right w:val="single" w:sz="8" w:space="0" w:color="000000"/>
            </w:tcBorders>
            <w:shd w:val="clear" w:color="auto" w:fill="auto"/>
            <w:vAlign w:val="center"/>
            <w:hideMark/>
          </w:tcPr>
          <w:p w14:paraId="49D6BBAC"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p>
        </w:tc>
        <w:tc>
          <w:tcPr>
            <w:tcW w:w="1417" w:type="dxa"/>
            <w:tcBorders>
              <w:top w:val="nil"/>
              <w:left w:val="single" w:sz="8" w:space="0" w:color="000000"/>
              <w:bottom w:val="dotted" w:sz="4" w:space="0" w:color="auto"/>
              <w:right w:val="dotted" w:sz="4" w:space="0" w:color="auto"/>
            </w:tcBorders>
            <w:shd w:val="clear" w:color="auto" w:fill="auto"/>
            <w:tcMar>
              <w:top w:w="15" w:type="dxa"/>
              <w:left w:w="108" w:type="dxa"/>
              <w:bottom w:w="0" w:type="dxa"/>
              <w:right w:w="108" w:type="dxa"/>
            </w:tcMar>
            <w:vAlign w:val="center"/>
            <w:hideMark/>
          </w:tcPr>
          <w:p w14:paraId="4DEA9D42"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i/>
                <w:color w:val="000000"/>
                <w:lang w:val="en-US" w:eastAsia="en-US"/>
              </w:rPr>
              <w:t>4.8% (21.0)</w:t>
            </w:r>
          </w:p>
        </w:tc>
        <w:tc>
          <w:tcPr>
            <w:tcW w:w="1559" w:type="dxa"/>
            <w:tcBorders>
              <w:top w:val="nil"/>
              <w:left w:val="dotted" w:sz="4" w:space="0" w:color="auto"/>
              <w:bottom w:val="dotted" w:sz="4" w:space="0" w:color="auto"/>
              <w:right w:val="dotted" w:sz="4" w:space="0" w:color="auto"/>
            </w:tcBorders>
            <w:shd w:val="clear" w:color="auto" w:fill="auto"/>
            <w:tcMar>
              <w:top w:w="15" w:type="dxa"/>
              <w:left w:w="108" w:type="dxa"/>
              <w:bottom w:w="0" w:type="dxa"/>
              <w:right w:w="108" w:type="dxa"/>
            </w:tcMar>
            <w:vAlign w:val="center"/>
            <w:hideMark/>
          </w:tcPr>
          <w:p w14:paraId="3C9FDCC5"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i/>
                <w:color w:val="000000"/>
                <w:lang w:val="en-US" w:eastAsia="en-US"/>
              </w:rPr>
              <w:t>4.3% (19.1)</w:t>
            </w:r>
          </w:p>
        </w:tc>
        <w:tc>
          <w:tcPr>
            <w:tcW w:w="1560" w:type="dxa"/>
            <w:tcBorders>
              <w:top w:val="nil"/>
              <w:left w:val="dotted" w:sz="4" w:space="0" w:color="auto"/>
              <w:bottom w:val="dotted" w:sz="4" w:space="0" w:color="auto"/>
              <w:right w:val="dotted" w:sz="4" w:space="0" w:color="auto"/>
            </w:tcBorders>
            <w:shd w:val="clear" w:color="auto" w:fill="auto"/>
            <w:tcMar>
              <w:top w:w="15" w:type="dxa"/>
              <w:left w:w="108" w:type="dxa"/>
              <w:bottom w:w="0" w:type="dxa"/>
              <w:right w:w="108" w:type="dxa"/>
            </w:tcMar>
            <w:vAlign w:val="center"/>
            <w:hideMark/>
          </w:tcPr>
          <w:p w14:paraId="5BE54BB4" w14:textId="77777777" w:rsidR="00F54727" w:rsidRPr="008B2F56" w:rsidRDefault="00F54727" w:rsidP="008D76EF">
            <w:pPr>
              <w:spacing w:after="0" w:line="259" w:lineRule="auto"/>
              <w:jc w:val="both"/>
              <w:rPr>
                <w:rFonts w:ascii="Times New Roman" w:eastAsia="Calibri" w:hAnsi="Times New Roman" w:cs="Times New Roman"/>
                <w:i/>
                <w:color w:val="000000"/>
                <w:lang w:val="en-US" w:eastAsia="en-US"/>
              </w:rPr>
            </w:pPr>
            <w:r w:rsidRPr="008B2F56">
              <w:rPr>
                <w:rFonts w:ascii="Times New Roman" w:eastAsia="Calibri" w:hAnsi="Times New Roman" w:cs="Times New Roman"/>
                <w:i/>
                <w:color w:val="000000"/>
                <w:lang w:val="en-US" w:eastAsia="en-US"/>
              </w:rPr>
              <w:t>5.4% (31.0)</w:t>
            </w:r>
          </w:p>
        </w:tc>
        <w:tc>
          <w:tcPr>
            <w:tcW w:w="1417" w:type="dxa"/>
            <w:tcBorders>
              <w:top w:val="nil"/>
              <w:left w:val="dotted" w:sz="4" w:space="0" w:color="auto"/>
              <w:bottom w:val="dotted" w:sz="4" w:space="0" w:color="auto"/>
            </w:tcBorders>
            <w:shd w:val="clear" w:color="auto" w:fill="auto"/>
            <w:tcMar>
              <w:top w:w="15" w:type="dxa"/>
              <w:left w:w="108" w:type="dxa"/>
              <w:bottom w:w="0" w:type="dxa"/>
              <w:right w:w="108" w:type="dxa"/>
            </w:tcMar>
            <w:vAlign w:val="center"/>
            <w:hideMark/>
          </w:tcPr>
          <w:p w14:paraId="069625F1" w14:textId="77777777" w:rsidR="00F54727" w:rsidRPr="008B2F56" w:rsidRDefault="00F54727" w:rsidP="008D76EF">
            <w:pPr>
              <w:spacing w:after="0" w:line="259" w:lineRule="auto"/>
              <w:jc w:val="both"/>
              <w:rPr>
                <w:rFonts w:ascii="Times New Roman" w:eastAsia="Calibri" w:hAnsi="Times New Roman" w:cs="Times New Roman"/>
                <w:i/>
                <w:color w:val="000000"/>
                <w:lang w:val="en-US" w:eastAsia="en-US"/>
              </w:rPr>
            </w:pPr>
            <w:r w:rsidRPr="008B2F56">
              <w:rPr>
                <w:rFonts w:ascii="Times New Roman" w:eastAsia="Calibri" w:hAnsi="Times New Roman" w:cs="Times New Roman"/>
                <w:i/>
                <w:color w:val="000000"/>
                <w:lang w:val="en-US" w:eastAsia="en-US"/>
              </w:rPr>
              <w:t>6.5% (55.4)</w:t>
            </w:r>
          </w:p>
        </w:tc>
        <w:tc>
          <w:tcPr>
            <w:tcW w:w="1276" w:type="dxa"/>
            <w:vMerge/>
            <w:tcBorders>
              <w:left w:val="dotted" w:sz="4" w:space="0" w:color="auto"/>
              <w:bottom w:val="dotted" w:sz="4" w:space="0" w:color="auto"/>
            </w:tcBorders>
          </w:tcPr>
          <w:p w14:paraId="493A3118" w14:textId="77777777" w:rsidR="00F54727" w:rsidRPr="008B2F56" w:rsidRDefault="00F54727" w:rsidP="008D76EF">
            <w:pPr>
              <w:spacing w:after="0" w:line="259" w:lineRule="auto"/>
              <w:jc w:val="both"/>
              <w:rPr>
                <w:rFonts w:ascii="Times New Roman" w:eastAsia="Calibri" w:hAnsi="Times New Roman" w:cs="Times New Roman"/>
                <w:i/>
                <w:color w:val="000000"/>
                <w:lang w:val="en-US" w:eastAsia="en-US"/>
              </w:rPr>
            </w:pPr>
          </w:p>
        </w:tc>
      </w:tr>
      <w:tr w:rsidR="00F54727" w:rsidRPr="008B2F56" w14:paraId="6ED05484" w14:textId="77777777" w:rsidTr="005E2F14">
        <w:trPr>
          <w:cantSplit/>
          <w:trHeight w:val="20"/>
        </w:trPr>
        <w:tc>
          <w:tcPr>
            <w:tcW w:w="1560" w:type="dxa"/>
            <w:gridSpan w:val="2"/>
            <w:vMerge w:val="restart"/>
            <w:tcBorders>
              <w:top w:val="dotted" w:sz="4" w:space="0" w:color="auto"/>
              <w:left w:val="nil"/>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611414"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Low income</w:t>
            </w:r>
          </w:p>
        </w:tc>
        <w:tc>
          <w:tcPr>
            <w:tcW w:w="1417" w:type="dxa"/>
            <w:tcBorders>
              <w:top w:val="dotted" w:sz="4" w:space="0" w:color="auto"/>
              <w:left w:val="single" w:sz="8" w:space="0" w:color="000000"/>
              <w:bottom w:val="nil"/>
              <w:right w:val="dotted" w:sz="4" w:space="0" w:color="auto"/>
            </w:tcBorders>
            <w:shd w:val="clear" w:color="auto" w:fill="auto"/>
            <w:tcMar>
              <w:top w:w="15" w:type="dxa"/>
              <w:left w:w="108" w:type="dxa"/>
              <w:bottom w:w="0" w:type="dxa"/>
              <w:right w:w="108" w:type="dxa"/>
            </w:tcMar>
            <w:vAlign w:val="center"/>
            <w:hideMark/>
          </w:tcPr>
          <w:p w14:paraId="1E4C2FEA"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216 (1860)</w:t>
            </w:r>
          </w:p>
        </w:tc>
        <w:tc>
          <w:tcPr>
            <w:tcW w:w="1559" w:type="dxa"/>
            <w:tcBorders>
              <w:top w:val="dotted" w:sz="4" w:space="0" w:color="auto"/>
              <w:left w:val="dotted" w:sz="4" w:space="0" w:color="auto"/>
              <w:bottom w:val="nil"/>
              <w:right w:val="dotted" w:sz="4" w:space="0" w:color="auto"/>
            </w:tcBorders>
            <w:shd w:val="clear" w:color="auto" w:fill="auto"/>
            <w:tcMar>
              <w:top w:w="15" w:type="dxa"/>
              <w:left w:w="108" w:type="dxa"/>
              <w:bottom w:w="0" w:type="dxa"/>
              <w:right w:w="108" w:type="dxa"/>
            </w:tcMar>
            <w:vAlign w:val="center"/>
            <w:hideMark/>
          </w:tcPr>
          <w:p w14:paraId="6BD6E604"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279 (1829)</w:t>
            </w:r>
          </w:p>
        </w:tc>
        <w:tc>
          <w:tcPr>
            <w:tcW w:w="1560" w:type="dxa"/>
            <w:tcBorders>
              <w:top w:val="dotted" w:sz="4" w:space="0" w:color="auto"/>
              <w:left w:val="dotted" w:sz="4" w:space="0" w:color="auto"/>
              <w:bottom w:val="nil"/>
              <w:right w:val="dotted" w:sz="4" w:space="0" w:color="auto"/>
            </w:tcBorders>
            <w:shd w:val="clear" w:color="auto" w:fill="auto"/>
            <w:tcMar>
              <w:top w:w="15" w:type="dxa"/>
              <w:left w:w="108" w:type="dxa"/>
              <w:bottom w:w="0" w:type="dxa"/>
              <w:right w:w="108" w:type="dxa"/>
            </w:tcMar>
            <w:vAlign w:val="center"/>
            <w:hideMark/>
          </w:tcPr>
          <w:p w14:paraId="2E4328A2"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426 (1457)</w:t>
            </w:r>
          </w:p>
        </w:tc>
        <w:tc>
          <w:tcPr>
            <w:tcW w:w="1417" w:type="dxa"/>
            <w:tcBorders>
              <w:top w:val="dotted" w:sz="4" w:space="0" w:color="auto"/>
              <w:left w:val="dotted" w:sz="4" w:space="0" w:color="auto"/>
              <w:bottom w:val="nil"/>
            </w:tcBorders>
            <w:shd w:val="clear" w:color="auto" w:fill="auto"/>
            <w:tcMar>
              <w:top w:w="15" w:type="dxa"/>
              <w:left w:w="108" w:type="dxa"/>
              <w:bottom w:w="0" w:type="dxa"/>
              <w:right w:w="108" w:type="dxa"/>
            </w:tcMar>
            <w:vAlign w:val="center"/>
            <w:hideMark/>
          </w:tcPr>
          <w:p w14:paraId="617A8805"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519 (930)</w:t>
            </w:r>
          </w:p>
        </w:tc>
        <w:tc>
          <w:tcPr>
            <w:tcW w:w="1276" w:type="dxa"/>
            <w:vMerge w:val="restart"/>
            <w:tcBorders>
              <w:top w:val="dotted" w:sz="4" w:space="0" w:color="auto"/>
              <w:left w:val="dotted" w:sz="4" w:space="0" w:color="auto"/>
            </w:tcBorders>
            <w:vAlign w:val="center"/>
          </w:tcPr>
          <w:p w14:paraId="34C1185C"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 xml:space="preserve">1440 </w:t>
            </w:r>
            <w:r w:rsidRPr="008B2F56">
              <w:rPr>
                <w:rFonts w:ascii="Times New Roman" w:eastAsia="Calibri" w:hAnsi="Times New Roman" w:cs="Times New Roman"/>
                <w:i/>
                <w:color w:val="000000"/>
                <w:lang w:val="en-US" w:eastAsia="en-US"/>
              </w:rPr>
              <w:t>(11.6%)</w:t>
            </w:r>
          </w:p>
        </w:tc>
      </w:tr>
      <w:tr w:rsidR="00F54727" w:rsidRPr="008B2F56" w14:paraId="2474F5B7" w14:textId="77777777" w:rsidTr="005E2F14">
        <w:trPr>
          <w:cantSplit/>
          <w:trHeight w:val="20"/>
        </w:trPr>
        <w:tc>
          <w:tcPr>
            <w:tcW w:w="1560" w:type="dxa"/>
            <w:gridSpan w:val="2"/>
            <w:vMerge/>
            <w:tcBorders>
              <w:top w:val="nil"/>
              <w:left w:val="nil"/>
              <w:bottom w:val="single" w:sz="4" w:space="0" w:color="auto"/>
              <w:right w:val="single" w:sz="8" w:space="0" w:color="000000"/>
            </w:tcBorders>
            <w:shd w:val="clear" w:color="auto" w:fill="auto"/>
            <w:vAlign w:val="center"/>
            <w:hideMark/>
          </w:tcPr>
          <w:p w14:paraId="494736A7"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p>
        </w:tc>
        <w:tc>
          <w:tcPr>
            <w:tcW w:w="1417" w:type="dxa"/>
            <w:tcBorders>
              <w:top w:val="nil"/>
              <w:left w:val="single" w:sz="8" w:space="0" w:color="000000"/>
              <w:bottom w:val="single" w:sz="4" w:space="0" w:color="auto"/>
              <w:right w:val="dotted" w:sz="4" w:space="0" w:color="auto"/>
            </w:tcBorders>
            <w:shd w:val="clear" w:color="auto" w:fill="auto"/>
            <w:tcMar>
              <w:top w:w="15" w:type="dxa"/>
              <w:left w:w="108" w:type="dxa"/>
              <w:bottom w:w="0" w:type="dxa"/>
              <w:right w:w="108" w:type="dxa"/>
            </w:tcMar>
            <w:vAlign w:val="center"/>
            <w:hideMark/>
          </w:tcPr>
          <w:p w14:paraId="4C087152" w14:textId="77777777" w:rsidR="00F54727" w:rsidRPr="008B2F56" w:rsidRDefault="00F54727" w:rsidP="008D76EF">
            <w:pPr>
              <w:spacing w:after="0" w:line="259" w:lineRule="auto"/>
              <w:jc w:val="both"/>
              <w:rPr>
                <w:rFonts w:ascii="Times New Roman" w:eastAsia="Calibri" w:hAnsi="Times New Roman" w:cs="Times New Roman"/>
                <w:i/>
                <w:color w:val="000000"/>
                <w:lang w:val="en-US" w:eastAsia="en-US"/>
              </w:rPr>
            </w:pPr>
            <w:r w:rsidRPr="008B2F56">
              <w:rPr>
                <w:rFonts w:ascii="Times New Roman" w:eastAsia="Calibri" w:hAnsi="Times New Roman" w:cs="Times New Roman"/>
                <w:i/>
                <w:color w:val="000000"/>
                <w:lang w:val="en-US" w:eastAsia="en-US"/>
              </w:rPr>
              <w:t>1.7% (11.6)</w:t>
            </w:r>
          </w:p>
        </w:tc>
        <w:tc>
          <w:tcPr>
            <w:tcW w:w="1559" w:type="dxa"/>
            <w:tcBorders>
              <w:top w:val="nil"/>
              <w:left w:val="dotted" w:sz="4" w:space="0" w:color="auto"/>
              <w:bottom w:val="single" w:sz="4" w:space="0" w:color="auto"/>
              <w:right w:val="dotted" w:sz="4" w:space="0" w:color="auto"/>
            </w:tcBorders>
            <w:shd w:val="clear" w:color="auto" w:fill="auto"/>
            <w:tcMar>
              <w:top w:w="15" w:type="dxa"/>
              <w:left w:w="108" w:type="dxa"/>
              <w:bottom w:w="0" w:type="dxa"/>
              <w:right w:w="108" w:type="dxa"/>
            </w:tcMar>
            <w:vAlign w:val="center"/>
            <w:hideMark/>
          </w:tcPr>
          <w:p w14:paraId="7AF029A8" w14:textId="77777777" w:rsidR="00F54727" w:rsidRPr="008B2F56" w:rsidRDefault="00F54727" w:rsidP="008D76EF">
            <w:pPr>
              <w:spacing w:after="0" w:line="259" w:lineRule="auto"/>
              <w:jc w:val="both"/>
              <w:rPr>
                <w:rFonts w:ascii="Times New Roman" w:eastAsia="Calibri" w:hAnsi="Times New Roman" w:cs="Times New Roman"/>
                <w:i/>
                <w:color w:val="000000"/>
                <w:lang w:val="en-US" w:eastAsia="en-US"/>
              </w:rPr>
            </w:pPr>
            <w:r w:rsidRPr="008B2F56">
              <w:rPr>
                <w:rFonts w:ascii="Times New Roman" w:eastAsia="Calibri" w:hAnsi="Times New Roman" w:cs="Times New Roman"/>
                <w:i/>
                <w:color w:val="000000"/>
                <w:lang w:val="en-US" w:eastAsia="en-US"/>
              </w:rPr>
              <w:t xml:space="preserve">2.2% (15.3)  </w:t>
            </w:r>
          </w:p>
        </w:tc>
        <w:tc>
          <w:tcPr>
            <w:tcW w:w="1560" w:type="dxa"/>
            <w:tcBorders>
              <w:top w:val="nil"/>
              <w:left w:val="dotted" w:sz="4" w:space="0" w:color="auto"/>
              <w:bottom w:val="single" w:sz="4" w:space="0" w:color="auto"/>
              <w:right w:val="dotted" w:sz="4" w:space="0" w:color="auto"/>
            </w:tcBorders>
            <w:shd w:val="clear" w:color="auto" w:fill="auto"/>
            <w:tcMar>
              <w:top w:w="15" w:type="dxa"/>
              <w:left w:w="108" w:type="dxa"/>
              <w:bottom w:w="0" w:type="dxa"/>
              <w:right w:w="108" w:type="dxa"/>
            </w:tcMar>
            <w:vAlign w:val="center"/>
            <w:hideMark/>
          </w:tcPr>
          <w:p w14:paraId="6A7B0E2F" w14:textId="77777777" w:rsidR="00F54727" w:rsidRPr="008B2F56" w:rsidRDefault="00F54727" w:rsidP="008D76EF">
            <w:pPr>
              <w:spacing w:after="0" w:line="259" w:lineRule="auto"/>
              <w:jc w:val="both"/>
              <w:rPr>
                <w:rFonts w:ascii="Times New Roman" w:eastAsia="Calibri" w:hAnsi="Times New Roman" w:cs="Times New Roman"/>
                <w:i/>
                <w:color w:val="000000"/>
                <w:lang w:val="en-US" w:eastAsia="en-US"/>
              </w:rPr>
            </w:pPr>
            <w:r w:rsidRPr="008B2F56">
              <w:rPr>
                <w:rFonts w:ascii="Times New Roman" w:eastAsia="Calibri" w:hAnsi="Times New Roman" w:cs="Times New Roman"/>
                <w:i/>
                <w:color w:val="000000"/>
                <w:lang w:val="en-US" w:eastAsia="en-US"/>
              </w:rPr>
              <w:t>3.4% (29.2)</w:t>
            </w:r>
          </w:p>
        </w:tc>
        <w:tc>
          <w:tcPr>
            <w:tcW w:w="1417" w:type="dxa"/>
            <w:tcBorders>
              <w:top w:val="nil"/>
              <w:left w:val="dotted" w:sz="4" w:space="0" w:color="auto"/>
              <w:bottom w:val="single" w:sz="4" w:space="0" w:color="auto"/>
            </w:tcBorders>
            <w:shd w:val="clear" w:color="auto" w:fill="auto"/>
            <w:tcMar>
              <w:top w:w="15" w:type="dxa"/>
              <w:left w:w="108" w:type="dxa"/>
              <w:bottom w:w="0" w:type="dxa"/>
              <w:right w:w="108" w:type="dxa"/>
            </w:tcMar>
            <w:vAlign w:val="center"/>
            <w:hideMark/>
          </w:tcPr>
          <w:p w14:paraId="0DDC2088" w14:textId="77777777" w:rsidR="00F54727" w:rsidRPr="008B2F56" w:rsidRDefault="00F54727" w:rsidP="008D76EF">
            <w:pPr>
              <w:spacing w:after="0" w:line="259" w:lineRule="auto"/>
              <w:jc w:val="both"/>
              <w:rPr>
                <w:rFonts w:ascii="Times New Roman" w:eastAsia="Calibri" w:hAnsi="Times New Roman" w:cs="Times New Roman"/>
                <w:i/>
                <w:color w:val="000000"/>
                <w:lang w:val="en-US" w:eastAsia="en-US"/>
              </w:rPr>
            </w:pPr>
            <w:r w:rsidRPr="008B2F56">
              <w:rPr>
                <w:rFonts w:ascii="Times New Roman" w:eastAsia="Calibri" w:hAnsi="Times New Roman" w:cs="Times New Roman"/>
                <w:i/>
                <w:color w:val="000000"/>
                <w:lang w:val="en-US" w:eastAsia="en-US"/>
              </w:rPr>
              <w:t>4.2% (55.8)</w:t>
            </w:r>
          </w:p>
        </w:tc>
        <w:tc>
          <w:tcPr>
            <w:tcW w:w="1276" w:type="dxa"/>
            <w:vMerge/>
            <w:tcBorders>
              <w:left w:val="dotted" w:sz="4" w:space="0" w:color="auto"/>
              <w:bottom w:val="single" w:sz="4" w:space="0" w:color="auto"/>
            </w:tcBorders>
          </w:tcPr>
          <w:p w14:paraId="50D8B3C2" w14:textId="77777777" w:rsidR="00F54727" w:rsidRPr="008B2F56" w:rsidRDefault="00F54727" w:rsidP="008D76EF">
            <w:pPr>
              <w:spacing w:after="0" w:line="259" w:lineRule="auto"/>
              <w:jc w:val="both"/>
              <w:rPr>
                <w:rFonts w:ascii="Times New Roman" w:eastAsia="Calibri" w:hAnsi="Times New Roman" w:cs="Times New Roman"/>
                <w:i/>
                <w:color w:val="000000"/>
                <w:lang w:val="en-US" w:eastAsia="en-US"/>
              </w:rPr>
            </w:pPr>
          </w:p>
        </w:tc>
      </w:tr>
      <w:tr w:rsidR="00F54727" w:rsidRPr="008B2F56" w14:paraId="72197F67" w14:textId="77777777" w:rsidTr="005E2F14">
        <w:trPr>
          <w:gridBefore w:val="1"/>
          <w:wBefore w:w="90" w:type="dxa"/>
          <w:cantSplit/>
          <w:trHeight w:val="293"/>
        </w:trPr>
        <w:tc>
          <w:tcPr>
            <w:tcW w:w="1470" w:type="dxa"/>
            <w:vMerge w:val="restart"/>
            <w:tcBorders>
              <w:top w:val="single" w:sz="4" w:space="0" w:color="auto"/>
              <w:left w:val="nil"/>
              <w:right w:val="single" w:sz="8" w:space="0" w:color="000000"/>
            </w:tcBorders>
            <w:shd w:val="clear" w:color="auto" w:fill="auto"/>
            <w:vAlign w:val="center"/>
          </w:tcPr>
          <w:p w14:paraId="360337F6"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No &amp; % of consents</w:t>
            </w:r>
          </w:p>
        </w:tc>
        <w:tc>
          <w:tcPr>
            <w:tcW w:w="1417" w:type="dxa"/>
            <w:vMerge w:val="restart"/>
            <w:tcBorders>
              <w:top w:val="single" w:sz="4" w:space="0" w:color="auto"/>
              <w:left w:val="single" w:sz="8" w:space="0" w:color="000000"/>
              <w:right w:val="dotted" w:sz="4" w:space="0" w:color="auto"/>
            </w:tcBorders>
            <w:shd w:val="clear" w:color="auto" w:fill="auto"/>
            <w:tcMar>
              <w:top w:w="15" w:type="dxa"/>
              <w:left w:w="108" w:type="dxa"/>
              <w:bottom w:w="0" w:type="dxa"/>
              <w:right w:w="108" w:type="dxa"/>
            </w:tcMar>
            <w:vAlign w:val="center"/>
          </w:tcPr>
          <w:p w14:paraId="3486A0F9"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 xml:space="preserve">3230 </w:t>
            </w:r>
            <w:r w:rsidRPr="008B2F56">
              <w:rPr>
                <w:rFonts w:ascii="Times New Roman" w:eastAsia="Calibri" w:hAnsi="Times New Roman" w:cs="Times New Roman"/>
                <w:i/>
                <w:color w:val="000000"/>
                <w:lang w:val="en-US" w:eastAsia="en-US"/>
              </w:rPr>
              <w:t>(26.0%)</w:t>
            </w:r>
          </w:p>
        </w:tc>
        <w:tc>
          <w:tcPr>
            <w:tcW w:w="1559" w:type="dxa"/>
            <w:vMerge w:val="restart"/>
            <w:tcBorders>
              <w:top w:val="single" w:sz="4" w:space="0" w:color="auto"/>
              <w:left w:val="dotted" w:sz="4" w:space="0" w:color="auto"/>
              <w:right w:val="dotted" w:sz="4" w:space="0" w:color="auto"/>
            </w:tcBorders>
            <w:shd w:val="clear" w:color="auto" w:fill="auto"/>
            <w:tcMar>
              <w:top w:w="15" w:type="dxa"/>
              <w:left w:w="108" w:type="dxa"/>
              <w:bottom w:w="0" w:type="dxa"/>
              <w:right w:w="108" w:type="dxa"/>
            </w:tcMar>
            <w:vAlign w:val="center"/>
          </w:tcPr>
          <w:p w14:paraId="2BDA4AAC"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 xml:space="preserve">2779 </w:t>
            </w:r>
            <w:r w:rsidRPr="008B2F56">
              <w:rPr>
                <w:rFonts w:ascii="Times New Roman" w:eastAsia="Calibri" w:hAnsi="Times New Roman" w:cs="Times New Roman"/>
                <w:i/>
                <w:color w:val="000000"/>
                <w:lang w:val="en-US" w:eastAsia="en-US"/>
              </w:rPr>
              <w:t>(22.4%)</w:t>
            </w:r>
          </w:p>
        </w:tc>
        <w:tc>
          <w:tcPr>
            <w:tcW w:w="1560" w:type="dxa"/>
            <w:vMerge w:val="restart"/>
            <w:tcBorders>
              <w:top w:val="single" w:sz="4" w:space="0" w:color="auto"/>
              <w:left w:val="dotted" w:sz="4" w:space="0" w:color="auto"/>
              <w:right w:val="dotted" w:sz="4" w:space="0" w:color="auto"/>
            </w:tcBorders>
            <w:shd w:val="clear" w:color="auto" w:fill="auto"/>
            <w:tcMar>
              <w:top w:w="15" w:type="dxa"/>
              <w:left w:w="108" w:type="dxa"/>
              <w:bottom w:w="0" w:type="dxa"/>
              <w:right w:w="108" w:type="dxa"/>
            </w:tcMar>
            <w:vAlign w:val="center"/>
          </w:tcPr>
          <w:p w14:paraId="706F76A2"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 xml:space="preserve">3010 </w:t>
            </w:r>
            <w:r w:rsidRPr="008B2F56">
              <w:rPr>
                <w:rFonts w:ascii="Times New Roman" w:eastAsia="Calibri" w:hAnsi="Times New Roman" w:cs="Times New Roman"/>
                <w:i/>
                <w:color w:val="000000"/>
                <w:lang w:val="en-US" w:eastAsia="en-US"/>
              </w:rPr>
              <w:t>(24.2%)</w:t>
            </w:r>
          </w:p>
        </w:tc>
        <w:tc>
          <w:tcPr>
            <w:tcW w:w="1417" w:type="dxa"/>
            <w:vMerge w:val="restart"/>
            <w:tcBorders>
              <w:top w:val="single" w:sz="4" w:space="0" w:color="auto"/>
              <w:left w:val="dotted" w:sz="4" w:space="0" w:color="auto"/>
            </w:tcBorders>
            <w:shd w:val="clear" w:color="auto" w:fill="auto"/>
            <w:tcMar>
              <w:top w:w="15" w:type="dxa"/>
              <w:left w:w="108" w:type="dxa"/>
              <w:bottom w:w="0" w:type="dxa"/>
              <w:right w:w="108" w:type="dxa"/>
            </w:tcMar>
            <w:vAlign w:val="center"/>
          </w:tcPr>
          <w:p w14:paraId="7F270FFF"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 xml:space="preserve">3402 </w:t>
            </w:r>
            <w:r w:rsidRPr="008B2F56">
              <w:rPr>
                <w:rFonts w:ascii="Times New Roman" w:eastAsia="Calibri" w:hAnsi="Times New Roman" w:cs="Times New Roman"/>
                <w:i/>
                <w:color w:val="000000"/>
                <w:lang w:val="en-US" w:eastAsia="en-US"/>
              </w:rPr>
              <w:t>(27.4%)</w:t>
            </w:r>
          </w:p>
        </w:tc>
        <w:tc>
          <w:tcPr>
            <w:tcW w:w="1276" w:type="dxa"/>
            <w:tcBorders>
              <w:top w:val="single" w:sz="4" w:space="0" w:color="auto"/>
              <w:left w:val="dotted" w:sz="4" w:space="0" w:color="auto"/>
            </w:tcBorders>
            <w:vAlign w:val="center"/>
          </w:tcPr>
          <w:p w14:paraId="189DA040"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12421</w:t>
            </w:r>
          </w:p>
        </w:tc>
      </w:tr>
      <w:tr w:rsidR="00F54727" w:rsidRPr="008B2F56" w14:paraId="32A84942" w14:textId="77777777" w:rsidTr="005E2F14">
        <w:trPr>
          <w:gridBefore w:val="1"/>
          <w:wBefore w:w="90" w:type="dxa"/>
          <w:cantSplit/>
          <w:trHeight w:val="292"/>
        </w:trPr>
        <w:tc>
          <w:tcPr>
            <w:tcW w:w="1470" w:type="dxa"/>
            <w:vMerge/>
            <w:tcBorders>
              <w:left w:val="nil"/>
              <w:bottom w:val="single" w:sz="4" w:space="0" w:color="auto"/>
              <w:right w:val="single" w:sz="8" w:space="0" w:color="000000"/>
            </w:tcBorders>
            <w:shd w:val="clear" w:color="auto" w:fill="auto"/>
            <w:vAlign w:val="center"/>
          </w:tcPr>
          <w:p w14:paraId="57398F8C"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p>
        </w:tc>
        <w:tc>
          <w:tcPr>
            <w:tcW w:w="1417" w:type="dxa"/>
            <w:vMerge/>
            <w:tcBorders>
              <w:left w:val="single" w:sz="8" w:space="0" w:color="000000"/>
              <w:bottom w:val="single" w:sz="4" w:space="0" w:color="auto"/>
              <w:right w:val="dotted" w:sz="4" w:space="0" w:color="auto"/>
            </w:tcBorders>
            <w:shd w:val="clear" w:color="auto" w:fill="auto"/>
            <w:tcMar>
              <w:top w:w="15" w:type="dxa"/>
              <w:left w:w="108" w:type="dxa"/>
              <w:bottom w:w="0" w:type="dxa"/>
              <w:right w:w="108" w:type="dxa"/>
            </w:tcMar>
            <w:vAlign w:val="center"/>
          </w:tcPr>
          <w:p w14:paraId="5644D4E2"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p>
        </w:tc>
        <w:tc>
          <w:tcPr>
            <w:tcW w:w="1559" w:type="dxa"/>
            <w:vMerge/>
            <w:tcBorders>
              <w:left w:val="dotted" w:sz="4" w:space="0" w:color="auto"/>
              <w:bottom w:val="single" w:sz="4" w:space="0" w:color="auto"/>
              <w:right w:val="dotted" w:sz="4" w:space="0" w:color="auto"/>
            </w:tcBorders>
            <w:shd w:val="clear" w:color="auto" w:fill="auto"/>
            <w:tcMar>
              <w:top w:w="15" w:type="dxa"/>
              <w:left w:w="108" w:type="dxa"/>
              <w:bottom w:w="0" w:type="dxa"/>
              <w:right w:w="108" w:type="dxa"/>
            </w:tcMar>
            <w:vAlign w:val="center"/>
          </w:tcPr>
          <w:p w14:paraId="29A7D8F1"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p>
        </w:tc>
        <w:tc>
          <w:tcPr>
            <w:tcW w:w="1560" w:type="dxa"/>
            <w:vMerge/>
            <w:tcBorders>
              <w:left w:val="dotted" w:sz="4" w:space="0" w:color="auto"/>
              <w:bottom w:val="single" w:sz="4" w:space="0" w:color="auto"/>
              <w:right w:val="dotted" w:sz="4" w:space="0" w:color="auto"/>
            </w:tcBorders>
            <w:shd w:val="clear" w:color="auto" w:fill="auto"/>
            <w:tcMar>
              <w:top w:w="15" w:type="dxa"/>
              <w:left w:w="108" w:type="dxa"/>
              <w:bottom w:w="0" w:type="dxa"/>
              <w:right w:w="108" w:type="dxa"/>
            </w:tcMar>
            <w:vAlign w:val="center"/>
          </w:tcPr>
          <w:p w14:paraId="273A4C2D"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p>
        </w:tc>
        <w:tc>
          <w:tcPr>
            <w:tcW w:w="1417" w:type="dxa"/>
            <w:vMerge/>
            <w:tcBorders>
              <w:left w:val="dotted" w:sz="4" w:space="0" w:color="auto"/>
              <w:bottom w:val="single" w:sz="4" w:space="0" w:color="auto"/>
            </w:tcBorders>
            <w:shd w:val="clear" w:color="auto" w:fill="auto"/>
            <w:tcMar>
              <w:top w:w="15" w:type="dxa"/>
              <w:left w:w="108" w:type="dxa"/>
              <w:bottom w:w="0" w:type="dxa"/>
              <w:right w:w="108" w:type="dxa"/>
            </w:tcMar>
            <w:vAlign w:val="center"/>
          </w:tcPr>
          <w:p w14:paraId="02891DCA"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p>
        </w:tc>
        <w:tc>
          <w:tcPr>
            <w:tcW w:w="1276" w:type="dxa"/>
            <w:tcBorders>
              <w:left w:val="dotted" w:sz="4" w:space="0" w:color="auto"/>
              <w:bottom w:val="single" w:sz="4" w:space="0" w:color="auto"/>
            </w:tcBorders>
            <w:vAlign w:val="center"/>
          </w:tcPr>
          <w:p w14:paraId="61486DC7" w14:textId="77777777" w:rsidR="00F54727" w:rsidRPr="008B2F56" w:rsidRDefault="00F54727" w:rsidP="008D76EF">
            <w:pPr>
              <w:spacing w:after="0" w:line="259" w:lineRule="auto"/>
              <w:jc w:val="both"/>
              <w:rPr>
                <w:rFonts w:ascii="Times New Roman" w:eastAsia="Calibri" w:hAnsi="Times New Roman" w:cs="Times New Roman"/>
                <w:color w:val="000000"/>
                <w:lang w:val="en-US" w:eastAsia="en-US"/>
              </w:rPr>
            </w:pPr>
            <w:r w:rsidRPr="008B2F56">
              <w:rPr>
                <w:rFonts w:ascii="Times New Roman" w:eastAsia="Calibri" w:hAnsi="Times New Roman" w:cs="Times New Roman"/>
                <w:color w:val="000000"/>
                <w:lang w:val="en-US" w:eastAsia="en-US"/>
              </w:rPr>
              <w:t>(38612) (32.2)</w:t>
            </w:r>
          </w:p>
        </w:tc>
      </w:tr>
    </w:tbl>
    <w:p w14:paraId="1461179C" w14:textId="49E55727" w:rsidR="002438DD" w:rsidRPr="008B2F56" w:rsidRDefault="002438DD"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In recent years, as exemplified </w:t>
      </w:r>
      <w:r w:rsidR="00457E4A" w:rsidRPr="008B2F56">
        <w:rPr>
          <w:rFonts w:ascii="Times New Roman" w:hAnsi="Times New Roman" w:cs="Times New Roman"/>
          <w:color w:val="000000" w:themeColor="text1"/>
          <w:sz w:val="24"/>
          <w:szCs w:val="24"/>
          <w:lang w:val="en-US"/>
        </w:rPr>
        <w:t>by its data collection and</w:t>
      </w:r>
      <w:r w:rsidRPr="008B2F56">
        <w:rPr>
          <w:rFonts w:ascii="Times New Roman" w:hAnsi="Times New Roman" w:cs="Times New Roman"/>
          <w:color w:val="000000" w:themeColor="text1"/>
          <w:sz w:val="24"/>
          <w:szCs w:val="24"/>
          <w:lang w:val="en-US"/>
        </w:rPr>
        <w:t xml:space="preserve"> work on investment policies and sustainable development, UNCTAD has focused more extensively on d</w:t>
      </w:r>
      <w:r w:rsidR="00457E4A" w:rsidRPr="008B2F56">
        <w:rPr>
          <w:rFonts w:ascii="Times New Roman" w:hAnsi="Times New Roman" w:cs="Times New Roman"/>
          <w:color w:val="000000" w:themeColor="text1"/>
          <w:sz w:val="24"/>
          <w:szCs w:val="24"/>
          <w:lang w:val="en-US"/>
        </w:rPr>
        <w:t xml:space="preserve">omestic investment legislation. </w:t>
      </w:r>
      <w:r w:rsidRPr="008B2F56">
        <w:rPr>
          <w:rFonts w:ascii="Times New Roman" w:hAnsi="Times New Roman" w:cs="Times New Roman"/>
          <w:color w:val="000000" w:themeColor="text1"/>
          <w:sz w:val="24"/>
          <w:szCs w:val="24"/>
          <w:lang w:val="en-US"/>
        </w:rPr>
        <w:t xml:space="preserve">UNCTAD has also provided country-by-country advice </w:t>
      </w:r>
      <w:r w:rsidRPr="008B2F56">
        <w:rPr>
          <w:rFonts w:ascii="Times New Roman" w:hAnsi="Times New Roman" w:cs="Times New Roman"/>
          <w:i/>
          <w:color w:val="000000" w:themeColor="text1"/>
          <w:sz w:val="24"/>
          <w:szCs w:val="24"/>
          <w:lang w:val="en-US"/>
        </w:rPr>
        <w:t>inter alia</w:t>
      </w:r>
      <w:r w:rsidRPr="008B2F56">
        <w:rPr>
          <w:rFonts w:ascii="Times New Roman" w:hAnsi="Times New Roman" w:cs="Times New Roman"/>
          <w:color w:val="000000" w:themeColor="text1"/>
          <w:sz w:val="24"/>
          <w:szCs w:val="24"/>
          <w:lang w:val="en-US"/>
        </w:rPr>
        <w:t xml:space="preserve"> through its Investment Policy Review </w:t>
      </w:r>
      <w:r w:rsidR="007B7F45" w:rsidRPr="008B2F56">
        <w:rPr>
          <w:rFonts w:ascii="Times New Roman" w:hAnsi="Times New Roman" w:cs="Times New Roman"/>
          <w:color w:val="000000" w:themeColor="text1"/>
          <w:sz w:val="24"/>
          <w:szCs w:val="24"/>
          <w:lang w:val="en-US"/>
        </w:rPr>
        <w:t>program</w:t>
      </w:r>
      <w:r w:rsidRPr="008B2F56">
        <w:rPr>
          <w:rFonts w:ascii="Times New Roman" w:hAnsi="Times New Roman" w:cs="Times New Roman"/>
          <w:color w:val="000000" w:themeColor="text1"/>
          <w:sz w:val="24"/>
          <w:szCs w:val="24"/>
          <w:lang w:val="en-US"/>
        </w:rPr>
        <w:t xml:space="preserve"> established in 1999.</w:t>
      </w:r>
      <w:r w:rsidRPr="008B2F56">
        <w:rPr>
          <w:rStyle w:val="FootnoteReference"/>
          <w:rFonts w:ascii="Times New Roman" w:hAnsi="Times New Roman" w:cs="Times New Roman"/>
        </w:rPr>
        <w:footnoteReference w:id="67"/>
      </w:r>
      <w:r w:rsidRPr="008B2F56">
        <w:rPr>
          <w:rFonts w:ascii="Times New Roman" w:hAnsi="Times New Roman" w:cs="Times New Roman"/>
          <w:color w:val="000000" w:themeColor="text1"/>
          <w:sz w:val="24"/>
          <w:szCs w:val="24"/>
          <w:lang w:val="en-US"/>
        </w:rPr>
        <w:t xml:space="preserve"> </w:t>
      </w:r>
      <w:r w:rsidR="007B7F45" w:rsidRPr="008B2F56">
        <w:rPr>
          <w:rFonts w:ascii="Times New Roman" w:hAnsi="Times New Roman" w:cs="Times New Roman"/>
          <w:color w:val="000000" w:themeColor="text1"/>
          <w:sz w:val="24"/>
          <w:szCs w:val="24"/>
          <w:lang w:val="en-US"/>
        </w:rPr>
        <w:t>To date, 17 LDCs have gone through the review process.</w:t>
      </w:r>
      <w:r w:rsidR="002B675E" w:rsidRPr="008B2F56">
        <w:rPr>
          <w:rStyle w:val="FootnoteReference"/>
          <w:rFonts w:ascii="Times New Roman" w:hAnsi="Times New Roman" w:cs="Times New Roman"/>
          <w:color w:val="000000" w:themeColor="text1"/>
          <w:sz w:val="24"/>
          <w:szCs w:val="24"/>
          <w:lang w:val="en-US"/>
        </w:rPr>
        <w:footnoteReference w:id="68"/>
      </w:r>
      <w:r w:rsidR="007B7F45" w:rsidRPr="008B2F56">
        <w:rPr>
          <w:rFonts w:ascii="Times New Roman" w:hAnsi="Times New Roman" w:cs="Times New Roman"/>
          <w:color w:val="000000" w:themeColor="text1"/>
          <w:sz w:val="24"/>
          <w:szCs w:val="24"/>
          <w:lang w:val="en-US"/>
        </w:rPr>
        <w:t xml:space="preserve"> </w:t>
      </w:r>
      <w:r w:rsidR="005D7BB0" w:rsidRPr="008B2F56">
        <w:rPr>
          <w:rFonts w:ascii="Times New Roman" w:hAnsi="Times New Roman" w:cs="Times New Roman"/>
          <w:color w:val="000000" w:themeColor="text1"/>
          <w:sz w:val="24"/>
          <w:szCs w:val="24"/>
          <w:lang w:val="en-US"/>
        </w:rPr>
        <w:t>However, t</w:t>
      </w:r>
      <w:r w:rsidR="007B7F45" w:rsidRPr="008B2F56">
        <w:rPr>
          <w:rFonts w:ascii="Times New Roman" w:hAnsi="Times New Roman" w:cs="Times New Roman"/>
          <w:color w:val="000000" w:themeColor="text1"/>
          <w:sz w:val="24"/>
          <w:szCs w:val="24"/>
          <w:lang w:val="en-US"/>
        </w:rPr>
        <w:t>he</w:t>
      </w:r>
      <w:r w:rsidR="001B3BE8" w:rsidRPr="008B2F56">
        <w:rPr>
          <w:rFonts w:ascii="Times New Roman" w:hAnsi="Times New Roman" w:cs="Times New Roman"/>
          <w:color w:val="000000" w:themeColor="text1"/>
          <w:sz w:val="24"/>
          <w:szCs w:val="24"/>
          <w:lang w:val="en-US"/>
        </w:rPr>
        <w:t xml:space="preserve"> above data </w:t>
      </w:r>
      <w:r w:rsidR="007B7F45" w:rsidRPr="008B2F56">
        <w:rPr>
          <w:rFonts w:ascii="Times New Roman" w:hAnsi="Times New Roman" w:cs="Times New Roman"/>
          <w:color w:val="000000" w:themeColor="text1"/>
          <w:sz w:val="24"/>
          <w:szCs w:val="24"/>
          <w:lang w:val="en-US"/>
        </w:rPr>
        <w:t xml:space="preserve">does not </w:t>
      </w:r>
      <w:r w:rsidR="001B3BE8" w:rsidRPr="008B2F56">
        <w:rPr>
          <w:rFonts w:ascii="Times New Roman" w:hAnsi="Times New Roman" w:cs="Times New Roman"/>
          <w:color w:val="000000" w:themeColor="text1"/>
          <w:sz w:val="24"/>
          <w:szCs w:val="24"/>
          <w:lang w:val="en-US"/>
        </w:rPr>
        <w:t xml:space="preserve">indicate that </w:t>
      </w:r>
      <w:r w:rsidR="005E2F14" w:rsidRPr="008B2F56">
        <w:rPr>
          <w:rFonts w:ascii="Times New Roman" w:hAnsi="Times New Roman" w:cs="Times New Roman"/>
          <w:color w:val="000000" w:themeColor="text1"/>
          <w:sz w:val="24"/>
          <w:szCs w:val="24"/>
          <w:lang w:val="en-US"/>
        </w:rPr>
        <w:t xml:space="preserve">the review process has had significant impact on the </w:t>
      </w:r>
      <w:r w:rsidR="007B7F45" w:rsidRPr="008B2F56">
        <w:rPr>
          <w:rFonts w:ascii="Times New Roman" w:hAnsi="Times New Roman" w:cs="Times New Roman"/>
          <w:color w:val="000000" w:themeColor="text1"/>
          <w:sz w:val="24"/>
          <w:szCs w:val="24"/>
          <w:lang w:val="en-US"/>
        </w:rPr>
        <w:t xml:space="preserve">incidence of sustainable development related clauses </w:t>
      </w:r>
      <w:r w:rsidR="00F30BA8" w:rsidRPr="008B2F56">
        <w:rPr>
          <w:rFonts w:ascii="Times New Roman" w:hAnsi="Times New Roman" w:cs="Times New Roman"/>
          <w:color w:val="000000" w:themeColor="text1"/>
          <w:sz w:val="24"/>
          <w:szCs w:val="24"/>
          <w:lang w:val="en-US"/>
        </w:rPr>
        <w:t xml:space="preserve">or </w:t>
      </w:r>
      <w:r w:rsidR="005E2F14" w:rsidRPr="008B2F56">
        <w:rPr>
          <w:rFonts w:ascii="Times New Roman" w:hAnsi="Times New Roman" w:cs="Times New Roman"/>
          <w:color w:val="000000" w:themeColor="text1"/>
          <w:sz w:val="24"/>
          <w:szCs w:val="24"/>
          <w:lang w:val="en-US"/>
        </w:rPr>
        <w:t xml:space="preserve">frequency of </w:t>
      </w:r>
      <w:r w:rsidR="00F30BA8" w:rsidRPr="008B2F56">
        <w:rPr>
          <w:rFonts w:ascii="Times New Roman" w:hAnsi="Times New Roman" w:cs="Times New Roman"/>
          <w:color w:val="000000" w:themeColor="text1"/>
          <w:sz w:val="24"/>
          <w:szCs w:val="24"/>
          <w:lang w:val="en-US"/>
        </w:rPr>
        <w:t xml:space="preserve">unilateral consent to ISDS </w:t>
      </w:r>
      <w:r w:rsidR="001B3BE8" w:rsidRPr="008B2F56">
        <w:rPr>
          <w:rFonts w:ascii="Times New Roman" w:hAnsi="Times New Roman" w:cs="Times New Roman"/>
          <w:color w:val="000000" w:themeColor="text1"/>
          <w:sz w:val="24"/>
          <w:szCs w:val="24"/>
          <w:lang w:val="en-US"/>
        </w:rPr>
        <w:t xml:space="preserve">in </w:t>
      </w:r>
      <w:r w:rsidR="005E2F14" w:rsidRPr="008B2F56">
        <w:rPr>
          <w:rFonts w:ascii="Times New Roman" w:hAnsi="Times New Roman" w:cs="Times New Roman"/>
          <w:color w:val="000000" w:themeColor="text1"/>
          <w:sz w:val="24"/>
          <w:szCs w:val="24"/>
          <w:lang w:val="en-US"/>
        </w:rPr>
        <w:t xml:space="preserve">the </w:t>
      </w:r>
      <w:r w:rsidR="00F30BA8" w:rsidRPr="008B2F56">
        <w:rPr>
          <w:rFonts w:ascii="Times New Roman" w:hAnsi="Times New Roman" w:cs="Times New Roman"/>
          <w:color w:val="000000" w:themeColor="text1"/>
          <w:sz w:val="24"/>
          <w:szCs w:val="24"/>
          <w:lang w:val="en-US"/>
        </w:rPr>
        <w:t>legislation</w:t>
      </w:r>
      <w:r w:rsidR="005E2F14" w:rsidRPr="008B2F56">
        <w:rPr>
          <w:rFonts w:ascii="Times New Roman" w:hAnsi="Times New Roman" w:cs="Times New Roman"/>
          <w:color w:val="000000" w:themeColor="text1"/>
          <w:sz w:val="24"/>
          <w:szCs w:val="24"/>
          <w:lang w:val="en-US"/>
        </w:rPr>
        <w:t xml:space="preserve"> of LDCs or low income countries</w:t>
      </w:r>
      <w:r w:rsidR="007B7F45" w:rsidRPr="008B2F56">
        <w:rPr>
          <w:rFonts w:ascii="Times New Roman" w:hAnsi="Times New Roman" w:cs="Times New Roman"/>
          <w:color w:val="000000" w:themeColor="text1"/>
          <w:sz w:val="24"/>
          <w:szCs w:val="24"/>
          <w:lang w:val="en-US"/>
        </w:rPr>
        <w:t xml:space="preserve">.  </w:t>
      </w:r>
    </w:p>
    <w:p w14:paraId="5CA7AF2B" w14:textId="77777777" w:rsidR="004B7DE1" w:rsidRPr="008B2F56" w:rsidRDefault="004B7DE1" w:rsidP="008D76EF">
      <w:pPr>
        <w:pStyle w:val="Heading2"/>
        <w:jc w:val="both"/>
        <w:rPr>
          <w:rFonts w:ascii="Times New Roman" w:hAnsi="Times New Roman" w:cs="Times New Roman"/>
          <w:lang w:val="en-US"/>
        </w:rPr>
      </w:pPr>
      <w:r w:rsidRPr="008B2F56">
        <w:rPr>
          <w:rFonts w:ascii="Times New Roman" w:hAnsi="Times New Roman" w:cs="Times New Roman"/>
          <w:lang w:val="en-US"/>
        </w:rPr>
        <w:t>3.5 Concluding remarks</w:t>
      </w:r>
    </w:p>
    <w:p w14:paraId="5D987A0B" w14:textId="52F0FCCD" w:rsidR="004C2C21" w:rsidRPr="008B2F56" w:rsidRDefault="00DB3798"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On a general level, we have found that </w:t>
      </w:r>
      <w:r w:rsidR="00812404" w:rsidRPr="008B2F56">
        <w:rPr>
          <w:rFonts w:ascii="Times New Roman" w:hAnsi="Times New Roman" w:cs="Times New Roman"/>
          <w:color w:val="000000" w:themeColor="text1"/>
          <w:sz w:val="24"/>
          <w:szCs w:val="24"/>
          <w:lang w:val="en-US"/>
        </w:rPr>
        <w:t xml:space="preserve">international rules governing trade and investment </w:t>
      </w:r>
      <w:r w:rsidRPr="008B2F56">
        <w:rPr>
          <w:rFonts w:ascii="Times New Roman" w:hAnsi="Times New Roman" w:cs="Times New Roman"/>
          <w:color w:val="000000" w:themeColor="text1"/>
          <w:sz w:val="24"/>
          <w:szCs w:val="24"/>
          <w:lang w:val="en-US"/>
        </w:rPr>
        <w:t xml:space="preserve">for </w:t>
      </w:r>
      <w:r w:rsidR="00812404" w:rsidRPr="008B2F56">
        <w:rPr>
          <w:rFonts w:ascii="Times New Roman" w:hAnsi="Times New Roman" w:cs="Times New Roman"/>
          <w:color w:val="000000" w:themeColor="text1"/>
          <w:sz w:val="24"/>
          <w:szCs w:val="24"/>
          <w:lang w:val="en-US"/>
        </w:rPr>
        <w:t xml:space="preserve">the </w:t>
      </w:r>
      <w:r w:rsidRPr="008B2F56">
        <w:rPr>
          <w:rFonts w:ascii="Times New Roman" w:hAnsi="Times New Roman" w:cs="Times New Roman"/>
          <w:color w:val="000000" w:themeColor="text1"/>
          <w:sz w:val="24"/>
          <w:szCs w:val="24"/>
          <w:lang w:val="en-US"/>
        </w:rPr>
        <w:t xml:space="preserve">promotion of FDI </w:t>
      </w:r>
      <w:r w:rsidR="003F59F8" w:rsidRPr="008B2F56">
        <w:rPr>
          <w:rFonts w:ascii="Times New Roman" w:hAnsi="Times New Roman" w:cs="Times New Roman"/>
          <w:color w:val="000000" w:themeColor="text1"/>
          <w:sz w:val="24"/>
          <w:szCs w:val="24"/>
          <w:lang w:val="en-US"/>
        </w:rPr>
        <w:t>do not address the responsibility of source countries to prevent FDI that would undermine or promote FDI that would contribute to fulfill the RtD and achieve SDGs in LDCs. To the contrary, we find that such rules limit</w:t>
      </w:r>
      <w:r w:rsidRPr="008B2F56">
        <w:rPr>
          <w:rFonts w:ascii="Times New Roman" w:hAnsi="Times New Roman" w:cs="Times New Roman"/>
          <w:color w:val="000000" w:themeColor="text1"/>
          <w:sz w:val="24"/>
          <w:szCs w:val="24"/>
          <w:lang w:val="en-US"/>
        </w:rPr>
        <w:t xml:space="preserve"> host countries’ policy space</w:t>
      </w:r>
      <w:r w:rsidR="004C2C21" w:rsidRPr="008B2F56">
        <w:rPr>
          <w:rFonts w:ascii="Times New Roman" w:hAnsi="Times New Roman" w:cs="Times New Roman"/>
          <w:color w:val="000000" w:themeColor="text1"/>
          <w:sz w:val="24"/>
          <w:szCs w:val="24"/>
          <w:lang w:val="en-US"/>
        </w:rPr>
        <w:t>, including the policy space</w:t>
      </w:r>
      <w:r w:rsidRPr="008B2F56">
        <w:rPr>
          <w:rFonts w:ascii="Times New Roman" w:hAnsi="Times New Roman" w:cs="Times New Roman"/>
          <w:color w:val="000000" w:themeColor="text1"/>
          <w:sz w:val="24"/>
          <w:szCs w:val="24"/>
          <w:lang w:val="en-US"/>
        </w:rPr>
        <w:t xml:space="preserve"> </w:t>
      </w:r>
      <w:r w:rsidRPr="008B2F56">
        <w:rPr>
          <w:rFonts w:ascii="Times New Roman" w:hAnsi="Times New Roman" w:cs="Times New Roman"/>
          <w:color w:val="000000" w:themeColor="text1"/>
          <w:sz w:val="24"/>
          <w:szCs w:val="24"/>
          <w:lang w:val="en-US"/>
        </w:rPr>
        <w:lastRenderedPageBreak/>
        <w:t xml:space="preserve">needed to fulfill the RtD and achieve SDGs. </w:t>
      </w:r>
      <w:r w:rsidR="00305EB0" w:rsidRPr="008B2F56">
        <w:rPr>
          <w:rFonts w:ascii="Times New Roman" w:hAnsi="Times New Roman" w:cs="Times New Roman"/>
          <w:color w:val="000000" w:themeColor="text1"/>
          <w:sz w:val="24"/>
          <w:szCs w:val="24"/>
          <w:lang w:val="en-US"/>
        </w:rPr>
        <w:t>We will explore t</w:t>
      </w:r>
      <w:r w:rsidR="003F59F8" w:rsidRPr="008B2F56">
        <w:rPr>
          <w:rFonts w:ascii="Times New Roman" w:hAnsi="Times New Roman" w:cs="Times New Roman"/>
          <w:color w:val="000000" w:themeColor="text1"/>
          <w:sz w:val="24"/>
          <w:szCs w:val="24"/>
          <w:lang w:val="en-US"/>
        </w:rPr>
        <w:t>he latter</w:t>
      </w:r>
      <w:r w:rsidR="00305EB0" w:rsidRPr="008B2F56">
        <w:rPr>
          <w:rFonts w:ascii="Times New Roman" w:hAnsi="Times New Roman" w:cs="Times New Roman"/>
          <w:color w:val="000000" w:themeColor="text1"/>
          <w:sz w:val="24"/>
          <w:szCs w:val="24"/>
          <w:lang w:val="en-US"/>
        </w:rPr>
        <w:t xml:space="preserve"> </w:t>
      </w:r>
      <w:r w:rsidR="003F59F8" w:rsidRPr="008B2F56">
        <w:rPr>
          <w:rFonts w:ascii="Times New Roman" w:hAnsi="Times New Roman" w:cs="Times New Roman"/>
          <w:color w:val="000000" w:themeColor="text1"/>
          <w:sz w:val="24"/>
          <w:szCs w:val="24"/>
          <w:lang w:val="en-US"/>
        </w:rPr>
        <w:t>aspects</w:t>
      </w:r>
      <w:r w:rsidR="00305EB0" w:rsidRPr="008B2F56">
        <w:rPr>
          <w:rFonts w:ascii="Times New Roman" w:hAnsi="Times New Roman" w:cs="Times New Roman"/>
          <w:color w:val="000000" w:themeColor="text1"/>
          <w:sz w:val="24"/>
          <w:szCs w:val="24"/>
          <w:lang w:val="en-US"/>
        </w:rPr>
        <w:t xml:space="preserve"> </w:t>
      </w:r>
      <w:r w:rsidR="003F59F8" w:rsidRPr="008B2F56">
        <w:rPr>
          <w:rFonts w:ascii="Times New Roman" w:hAnsi="Times New Roman" w:cs="Times New Roman"/>
          <w:color w:val="000000" w:themeColor="text1"/>
          <w:sz w:val="24"/>
          <w:szCs w:val="24"/>
          <w:lang w:val="en-US"/>
        </w:rPr>
        <w:t xml:space="preserve">of the rules protecting FDI </w:t>
      </w:r>
      <w:r w:rsidR="00305EB0" w:rsidRPr="008B2F56">
        <w:rPr>
          <w:rFonts w:ascii="Times New Roman" w:hAnsi="Times New Roman" w:cs="Times New Roman"/>
          <w:color w:val="000000" w:themeColor="text1"/>
          <w:sz w:val="24"/>
          <w:szCs w:val="24"/>
          <w:lang w:val="en-US"/>
        </w:rPr>
        <w:t xml:space="preserve">in more detail in section 4. </w:t>
      </w:r>
    </w:p>
    <w:p w14:paraId="13AB9043" w14:textId="1F082C53" w:rsidR="00DB3798" w:rsidRPr="008B2F56" w:rsidRDefault="00E41AA6"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The </w:t>
      </w:r>
      <w:r w:rsidR="004C2C21" w:rsidRPr="008B2F56">
        <w:rPr>
          <w:rFonts w:ascii="Times New Roman" w:hAnsi="Times New Roman" w:cs="Times New Roman"/>
          <w:color w:val="000000" w:themeColor="text1"/>
          <w:sz w:val="24"/>
          <w:szCs w:val="24"/>
          <w:lang w:val="en-US"/>
        </w:rPr>
        <w:t>current status</w:t>
      </w:r>
      <w:r w:rsidRPr="008B2F56">
        <w:rPr>
          <w:rFonts w:ascii="Times New Roman" w:hAnsi="Times New Roman" w:cs="Times New Roman"/>
          <w:color w:val="000000" w:themeColor="text1"/>
          <w:sz w:val="24"/>
          <w:szCs w:val="24"/>
          <w:lang w:val="en-US"/>
        </w:rPr>
        <w:t xml:space="preserve"> of the Doha round of multilateral trade negotiations indicates that </w:t>
      </w:r>
      <w:r w:rsidR="004C2C21" w:rsidRPr="008B2F56">
        <w:rPr>
          <w:rFonts w:ascii="Times New Roman" w:hAnsi="Times New Roman" w:cs="Times New Roman"/>
          <w:color w:val="000000" w:themeColor="text1"/>
          <w:sz w:val="24"/>
          <w:szCs w:val="24"/>
          <w:lang w:val="en-US"/>
        </w:rPr>
        <w:t xml:space="preserve">WTO </w:t>
      </w:r>
      <w:r w:rsidRPr="008B2F56">
        <w:rPr>
          <w:rFonts w:ascii="Times New Roman" w:hAnsi="Times New Roman" w:cs="Times New Roman"/>
          <w:color w:val="000000" w:themeColor="text1"/>
          <w:sz w:val="24"/>
          <w:szCs w:val="24"/>
          <w:lang w:val="en-US"/>
        </w:rPr>
        <w:t xml:space="preserve">reforms are unlikely to provide any significant means to </w:t>
      </w:r>
      <w:r w:rsidR="004C2C21" w:rsidRPr="008B2F56">
        <w:rPr>
          <w:rFonts w:ascii="Times New Roman" w:hAnsi="Times New Roman" w:cs="Times New Roman"/>
          <w:color w:val="000000" w:themeColor="text1"/>
          <w:sz w:val="24"/>
          <w:szCs w:val="24"/>
          <w:lang w:val="en-US"/>
        </w:rPr>
        <w:t>increase the</w:t>
      </w:r>
      <w:r w:rsidRPr="008B2F56">
        <w:rPr>
          <w:rFonts w:ascii="Times New Roman" w:hAnsi="Times New Roman" w:cs="Times New Roman"/>
          <w:color w:val="000000" w:themeColor="text1"/>
          <w:sz w:val="24"/>
          <w:szCs w:val="24"/>
          <w:lang w:val="en-US"/>
        </w:rPr>
        <w:t xml:space="preserve"> SDG-relevant FDI </w:t>
      </w:r>
      <w:r w:rsidR="00C207AE" w:rsidRPr="008B2F56">
        <w:rPr>
          <w:rFonts w:ascii="Times New Roman" w:hAnsi="Times New Roman" w:cs="Times New Roman"/>
          <w:color w:val="000000" w:themeColor="text1"/>
          <w:sz w:val="24"/>
          <w:szCs w:val="24"/>
          <w:lang w:val="en-US"/>
        </w:rPr>
        <w:t>to</w:t>
      </w:r>
      <w:r w:rsidR="00A748FD" w:rsidRPr="008B2F56">
        <w:rPr>
          <w:rFonts w:ascii="Times New Roman" w:hAnsi="Times New Roman" w:cs="Times New Roman"/>
          <w:color w:val="000000" w:themeColor="text1"/>
          <w:sz w:val="24"/>
          <w:szCs w:val="24"/>
          <w:lang w:val="en-US"/>
        </w:rPr>
        <w:t xml:space="preserve"> LDCs.</w:t>
      </w:r>
      <w:r w:rsidR="00C207AE" w:rsidRPr="008B2F56">
        <w:rPr>
          <w:rFonts w:ascii="Times New Roman" w:hAnsi="Times New Roman" w:cs="Times New Roman"/>
          <w:color w:val="000000" w:themeColor="text1"/>
          <w:sz w:val="24"/>
          <w:szCs w:val="24"/>
          <w:lang w:val="en-US"/>
        </w:rPr>
        <w:t xml:space="preserve"> C</w:t>
      </w:r>
      <w:r w:rsidRPr="008B2F56">
        <w:rPr>
          <w:rFonts w:ascii="Times New Roman" w:hAnsi="Times New Roman" w:cs="Times New Roman"/>
          <w:color w:val="000000" w:themeColor="text1"/>
          <w:sz w:val="24"/>
          <w:szCs w:val="24"/>
          <w:lang w:val="en-US"/>
        </w:rPr>
        <w:t xml:space="preserve">urrent debates concerning the legitimacy of </w:t>
      </w:r>
      <w:r w:rsidR="00A748FD" w:rsidRPr="008B2F56">
        <w:rPr>
          <w:rFonts w:ascii="Times New Roman" w:hAnsi="Times New Roman" w:cs="Times New Roman"/>
          <w:color w:val="000000" w:themeColor="text1"/>
          <w:sz w:val="24"/>
          <w:szCs w:val="24"/>
          <w:lang w:val="en-US"/>
        </w:rPr>
        <w:t>IIAs</w:t>
      </w:r>
      <w:r w:rsidRPr="008B2F56">
        <w:rPr>
          <w:rFonts w:ascii="Times New Roman" w:hAnsi="Times New Roman" w:cs="Times New Roman"/>
          <w:color w:val="000000" w:themeColor="text1"/>
          <w:sz w:val="24"/>
          <w:szCs w:val="24"/>
          <w:lang w:val="en-US"/>
        </w:rPr>
        <w:t xml:space="preserve"> and associated negotiations in UNCITRAL</w:t>
      </w:r>
      <w:r w:rsidR="00C207AE" w:rsidRPr="008B2F56">
        <w:rPr>
          <w:rStyle w:val="FootnoteReference"/>
          <w:rFonts w:ascii="Times New Roman" w:hAnsi="Times New Roman" w:cs="Times New Roman"/>
        </w:rPr>
        <w:footnoteReference w:id="69"/>
      </w:r>
      <w:r w:rsidRPr="008B2F56">
        <w:rPr>
          <w:rFonts w:ascii="Times New Roman" w:hAnsi="Times New Roman" w:cs="Times New Roman"/>
          <w:color w:val="000000" w:themeColor="text1"/>
          <w:sz w:val="24"/>
          <w:szCs w:val="24"/>
          <w:lang w:val="en-US"/>
        </w:rPr>
        <w:t xml:space="preserve"> </w:t>
      </w:r>
      <w:r w:rsidR="00C207AE" w:rsidRPr="008B2F56">
        <w:rPr>
          <w:rFonts w:ascii="Times New Roman" w:hAnsi="Times New Roman" w:cs="Times New Roman"/>
          <w:color w:val="000000" w:themeColor="text1"/>
          <w:sz w:val="24"/>
          <w:szCs w:val="24"/>
          <w:lang w:val="en-US"/>
        </w:rPr>
        <w:t>and UNTAD initiatives</w:t>
      </w:r>
      <w:r w:rsidR="00621636" w:rsidRPr="008B2F56">
        <w:rPr>
          <w:rStyle w:val="FootnoteReference"/>
          <w:rFonts w:ascii="Times New Roman" w:hAnsi="Times New Roman" w:cs="Times New Roman"/>
        </w:rPr>
        <w:footnoteReference w:id="70"/>
      </w:r>
      <w:r w:rsidR="00C207AE" w:rsidRPr="008B2F56">
        <w:rPr>
          <w:rFonts w:ascii="Times New Roman" w:hAnsi="Times New Roman" w:cs="Times New Roman"/>
          <w:color w:val="000000" w:themeColor="text1"/>
          <w:sz w:val="24"/>
          <w:szCs w:val="24"/>
          <w:lang w:val="en-US"/>
        </w:rPr>
        <w:t xml:space="preserve"> </w:t>
      </w:r>
      <w:r w:rsidRPr="008B2F56">
        <w:rPr>
          <w:rFonts w:ascii="Times New Roman" w:hAnsi="Times New Roman" w:cs="Times New Roman"/>
          <w:color w:val="000000" w:themeColor="text1"/>
          <w:sz w:val="24"/>
          <w:szCs w:val="24"/>
          <w:lang w:val="en-US"/>
        </w:rPr>
        <w:t xml:space="preserve">might be a stepping stone </w:t>
      </w:r>
      <w:r w:rsidR="002406C1" w:rsidRPr="008B2F56">
        <w:rPr>
          <w:rFonts w:ascii="Times New Roman" w:hAnsi="Times New Roman" w:cs="Times New Roman"/>
          <w:color w:val="000000" w:themeColor="text1"/>
          <w:sz w:val="24"/>
          <w:szCs w:val="24"/>
          <w:lang w:val="en-US"/>
        </w:rPr>
        <w:t xml:space="preserve">for reforms </w:t>
      </w:r>
      <w:r w:rsidRPr="008B2F56">
        <w:rPr>
          <w:rFonts w:ascii="Times New Roman" w:hAnsi="Times New Roman" w:cs="Times New Roman"/>
          <w:color w:val="000000" w:themeColor="text1"/>
          <w:sz w:val="24"/>
          <w:szCs w:val="24"/>
          <w:lang w:val="en-US"/>
        </w:rPr>
        <w:t xml:space="preserve">so that </w:t>
      </w:r>
      <w:r w:rsidR="00A748FD" w:rsidRPr="008B2F56">
        <w:rPr>
          <w:rFonts w:ascii="Times New Roman" w:hAnsi="Times New Roman" w:cs="Times New Roman"/>
          <w:color w:val="000000" w:themeColor="text1"/>
          <w:sz w:val="24"/>
          <w:szCs w:val="24"/>
          <w:lang w:val="en-US"/>
        </w:rPr>
        <w:t>IIAs</w:t>
      </w:r>
      <w:r w:rsidRPr="008B2F56">
        <w:rPr>
          <w:rFonts w:ascii="Times New Roman" w:hAnsi="Times New Roman" w:cs="Times New Roman"/>
          <w:color w:val="000000" w:themeColor="text1"/>
          <w:sz w:val="24"/>
          <w:szCs w:val="24"/>
          <w:lang w:val="en-US"/>
        </w:rPr>
        <w:t xml:space="preserve"> may better serve such purposes. </w:t>
      </w:r>
      <w:r w:rsidR="004C2C21" w:rsidRPr="008B2F56">
        <w:rPr>
          <w:rFonts w:ascii="Times New Roman" w:hAnsi="Times New Roman" w:cs="Times New Roman"/>
          <w:color w:val="000000" w:themeColor="text1"/>
          <w:sz w:val="24"/>
          <w:szCs w:val="24"/>
          <w:lang w:val="en-US"/>
        </w:rPr>
        <w:t xml:space="preserve">However, the UNCITRAL reform process </w:t>
      </w:r>
      <w:r w:rsidR="003F59F8" w:rsidRPr="008B2F56">
        <w:rPr>
          <w:rFonts w:ascii="Times New Roman" w:hAnsi="Times New Roman" w:cs="Times New Roman"/>
          <w:color w:val="000000" w:themeColor="text1"/>
          <w:sz w:val="24"/>
          <w:szCs w:val="24"/>
          <w:lang w:val="en-US"/>
        </w:rPr>
        <w:t xml:space="preserve">focuses </w:t>
      </w:r>
      <w:r w:rsidR="004C2C21" w:rsidRPr="008B2F56">
        <w:rPr>
          <w:rFonts w:ascii="Times New Roman" w:hAnsi="Times New Roman" w:cs="Times New Roman"/>
          <w:color w:val="000000" w:themeColor="text1"/>
          <w:sz w:val="24"/>
          <w:szCs w:val="24"/>
          <w:lang w:val="en-US"/>
        </w:rPr>
        <w:t xml:space="preserve">on procedural aspects and is unlikely to lead to significant reforms of substantive provisions in IIAs. </w:t>
      </w:r>
    </w:p>
    <w:p w14:paraId="3112EDF3" w14:textId="1B7E6E11" w:rsidR="00E41AA6" w:rsidRPr="008B2F56" w:rsidRDefault="00DB3798"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Investment legislation is widespread among LDCs and is therefore likely to have</w:t>
      </w:r>
      <w:r w:rsidR="004C2C21" w:rsidRPr="008B2F56">
        <w:rPr>
          <w:rFonts w:ascii="Times New Roman" w:hAnsi="Times New Roman" w:cs="Times New Roman"/>
          <w:color w:val="000000" w:themeColor="text1"/>
          <w:sz w:val="24"/>
          <w:szCs w:val="24"/>
          <w:lang w:val="en-US"/>
        </w:rPr>
        <w:t xml:space="preserve"> </w:t>
      </w:r>
      <w:r w:rsidR="00A748FD" w:rsidRPr="008B2F56">
        <w:rPr>
          <w:rFonts w:ascii="Times New Roman" w:hAnsi="Times New Roman" w:cs="Times New Roman"/>
          <w:color w:val="000000" w:themeColor="text1"/>
          <w:sz w:val="24"/>
          <w:szCs w:val="24"/>
          <w:lang w:val="en-US"/>
        </w:rPr>
        <w:t>significant</w:t>
      </w:r>
      <w:r w:rsidR="006D7929" w:rsidRPr="008B2F56">
        <w:rPr>
          <w:rFonts w:ascii="Times New Roman" w:hAnsi="Times New Roman" w:cs="Times New Roman"/>
          <w:color w:val="000000" w:themeColor="text1"/>
          <w:sz w:val="24"/>
          <w:szCs w:val="24"/>
          <w:lang w:val="en-US"/>
        </w:rPr>
        <w:t xml:space="preserve"> </w:t>
      </w:r>
      <w:r w:rsidR="004C2C21" w:rsidRPr="008B2F56">
        <w:rPr>
          <w:rFonts w:ascii="Times New Roman" w:hAnsi="Times New Roman" w:cs="Times New Roman"/>
          <w:color w:val="000000" w:themeColor="text1"/>
          <w:sz w:val="24"/>
          <w:szCs w:val="24"/>
          <w:lang w:val="en-US"/>
        </w:rPr>
        <w:t xml:space="preserve">impact </w:t>
      </w:r>
      <w:r w:rsidR="00BE6D71" w:rsidRPr="008B2F56">
        <w:rPr>
          <w:rFonts w:ascii="Times New Roman" w:hAnsi="Times New Roman" w:cs="Times New Roman"/>
          <w:color w:val="000000" w:themeColor="text1"/>
          <w:sz w:val="24"/>
          <w:szCs w:val="24"/>
          <w:lang w:val="en-US"/>
        </w:rPr>
        <w:t xml:space="preserve">on host countries’ policy space. </w:t>
      </w:r>
      <w:r w:rsidR="006D7929" w:rsidRPr="008B2F56">
        <w:rPr>
          <w:rFonts w:ascii="Times New Roman" w:hAnsi="Times New Roman" w:cs="Times New Roman"/>
          <w:color w:val="000000" w:themeColor="text1"/>
          <w:sz w:val="24"/>
          <w:szCs w:val="24"/>
          <w:lang w:val="en-US"/>
        </w:rPr>
        <w:t>C</w:t>
      </w:r>
      <w:r w:rsidR="00BE6D71" w:rsidRPr="008B2F56">
        <w:rPr>
          <w:rFonts w:ascii="Times New Roman" w:hAnsi="Times New Roman" w:cs="Times New Roman"/>
          <w:color w:val="000000" w:themeColor="text1"/>
          <w:sz w:val="24"/>
          <w:szCs w:val="24"/>
          <w:lang w:val="en-US"/>
        </w:rPr>
        <w:t xml:space="preserve">ountries have significant freedom to amend their investment legislation, and the impact may therefore be </w:t>
      </w:r>
      <w:r w:rsidR="002406C1" w:rsidRPr="008B2F56">
        <w:rPr>
          <w:rFonts w:ascii="Times New Roman" w:hAnsi="Times New Roman" w:cs="Times New Roman"/>
          <w:color w:val="000000" w:themeColor="text1"/>
          <w:sz w:val="24"/>
          <w:szCs w:val="24"/>
          <w:lang w:val="en-US"/>
        </w:rPr>
        <w:t>more short</w:t>
      </w:r>
      <w:r w:rsidR="00BE6D71" w:rsidRPr="008B2F56">
        <w:rPr>
          <w:rFonts w:ascii="Times New Roman" w:hAnsi="Times New Roman" w:cs="Times New Roman"/>
          <w:color w:val="000000" w:themeColor="text1"/>
          <w:sz w:val="24"/>
          <w:szCs w:val="24"/>
          <w:lang w:val="en-US"/>
        </w:rPr>
        <w:t xml:space="preserve">-term than international commitments. </w:t>
      </w:r>
      <w:r w:rsidR="00E41AA6" w:rsidRPr="008B2F56">
        <w:rPr>
          <w:rFonts w:ascii="Times New Roman" w:hAnsi="Times New Roman" w:cs="Times New Roman"/>
          <w:color w:val="000000" w:themeColor="text1"/>
          <w:sz w:val="24"/>
          <w:szCs w:val="24"/>
          <w:lang w:val="en-US"/>
        </w:rPr>
        <w:t xml:space="preserve">The lack of focus on issues concerning RtD and SDGs </w:t>
      </w:r>
      <w:r w:rsidR="006D7929" w:rsidRPr="008B2F56">
        <w:rPr>
          <w:rFonts w:ascii="Times New Roman" w:hAnsi="Times New Roman" w:cs="Times New Roman"/>
          <w:color w:val="000000" w:themeColor="text1"/>
          <w:sz w:val="24"/>
          <w:szCs w:val="24"/>
          <w:lang w:val="en-US"/>
        </w:rPr>
        <w:t xml:space="preserve">as well as </w:t>
      </w:r>
      <w:r w:rsidR="003A638A" w:rsidRPr="008B2F56">
        <w:rPr>
          <w:rFonts w:ascii="Times New Roman" w:hAnsi="Times New Roman" w:cs="Times New Roman"/>
          <w:color w:val="000000" w:themeColor="text1"/>
          <w:sz w:val="24"/>
          <w:szCs w:val="24"/>
          <w:lang w:val="en-US"/>
        </w:rPr>
        <w:t xml:space="preserve">on </w:t>
      </w:r>
      <w:r w:rsidR="006D7929" w:rsidRPr="008B2F56">
        <w:rPr>
          <w:rFonts w:ascii="Times New Roman" w:hAnsi="Times New Roman" w:cs="Times New Roman"/>
          <w:color w:val="000000" w:themeColor="text1"/>
          <w:sz w:val="24"/>
          <w:szCs w:val="24"/>
          <w:lang w:val="en-US"/>
        </w:rPr>
        <w:t xml:space="preserve">unilateral consent to ISDS </w:t>
      </w:r>
      <w:r w:rsidR="00E41AA6" w:rsidRPr="008B2F56">
        <w:rPr>
          <w:rFonts w:ascii="Times New Roman" w:hAnsi="Times New Roman" w:cs="Times New Roman"/>
          <w:color w:val="000000" w:themeColor="text1"/>
          <w:sz w:val="24"/>
          <w:szCs w:val="24"/>
          <w:lang w:val="en-US"/>
        </w:rPr>
        <w:t>in investment legislation of LDCs</w:t>
      </w:r>
      <w:r w:rsidR="003A638A" w:rsidRPr="008B2F56">
        <w:rPr>
          <w:rFonts w:ascii="Times New Roman" w:hAnsi="Times New Roman" w:cs="Times New Roman"/>
          <w:color w:val="000000" w:themeColor="text1"/>
          <w:sz w:val="24"/>
          <w:szCs w:val="24"/>
          <w:lang w:val="en-US"/>
        </w:rPr>
        <w:t>,</w:t>
      </w:r>
      <w:r w:rsidR="00E41AA6" w:rsidRPr="008B2F56">
        <w:rPr>
          <w:rFonts w:ascii="Times New Roman" w:hAnsi="Times New Roman" w:cs="Times New Roman"/>
          <w:color w:val="000000" w:themeColor="text1"/>
          <w:sz w:val="24"/>
          <w:szCs w:val="24"/>
          <w:lang w:val="en-US"/>
        </w:rPr>
        <w:t xml:space="preserve"> </w:t>
      </w:r>
      <w:r w:rsidR="00A748FD" w:rsidRPr="008B2F56">
        <w:rPr>
          <w:rFonts w:ascii="Times New Roman" w:hAnsi="Times New Roman" w:cs="Times New Roman"/>
          <w:color w:val="000000" w:themeColor="text1"/>
          <w:sz w:val="24"/>
          <w:szCs w:val="24"/>
          <w:lang w:val="en-US"/>
        </w:rPr>
        <w:t>shows that</w:t>
      </w:r>
      <w:r w:rsidR="006D7929" w:rsidRPr="008B2F56">
        <w:rPr>
          <w:rFonts w:ascii="Times New Roman" w:hAnsi="Times New Roman" w:cs="Times New Roman"/>
          <w:color w:val="000000" w:themeColor="text1"/>
          <w:sz w:val="24"/>
          <w:szCs w:val="24"/>
          <w:lang w:val="en-US"/>
        </w:rPr>
        <w:t xml:space="preserve"> further</w:t>
      </w:r>
      <w:r w:rsidR="00A748FD" w:rsidRPr="008B2F56">
        <w:rPr>
          <w:rFonts w:ascii="Times New Roman" w:hAnsi="Times New Roman" w:cs="Times New Roman"/>
          <w:color w:val="000000" w:themeColor="text1"/>
          <w:sz w:val="24"/>
          <w:szCs w:val="24"/>
          <w:lang w:val="en-US"/>
        </w:rPr>
        <w:t xml:space="preserve"> reform</w:t>
      </w:r>
      <w:r w:rsidR="006D7929" w:rsidRPr="008B2F56">
        <w:rPr>
          <w:rFonts w:ascii="Times New Roman" w:hAnsi="Times New Roman" w:cs="Times New Roman"/>
          <w:color w:val="000000" w:themeColor="text1"/>
          <w:sz w:val="24"/>
          <w:szCs w:val="24"/>
          <w:lang w:val="en-US"/>
        </w:rPr>
        <w:t xml:space="preserve"> initiatives </w:t>
      </w:r>
      <w:r w:rsidR="00A748FD" w:rsidRPr="008B2F56">
        <w:rPr>
          <w:rFonts w:ascii="Times New Roman" w:hAnsi="Times New Roman" w:cs="Times New Roman"/>
          <w:color w:val="000000" w:themeColor="text1"/>
          <w:sz w:val="24"/>
          <w:szCs w:val="24"/>
          <w:lang w:val="en-US"/>
        </w:rPr>
        <w:t xml:space="preserve">are needed </w:t>
      </w:r>
      <w:r w:rsidR="002406C1" w:rsidRPr="008B2F56">
        <w:rPr>
          <w:rFonts w:ascii="Times New Roman" w:hAnsi="Times New Roman" w:cs="Times New Roman"/>
          <w:color w:val="000000" w:themeColor="text1"/>
          <w:sz w:val="24"/>
          <w:szCs w:val="24"/>
          <w:lang w:val="en-US"/>
        </w:rPr>
        <w:t xml:space="preserve">to </w:t>
      </w:r>
      <w:r w:rsidR="00A748FD" w:rsidRPr="008B2F56">
        <w:rPr>
          <w:rFonts w:ascii="Times New Roman" w:hAnsi="Times New Roman" w:cs="Times New Roman"/>
          <w:color w:val="000000" w:themeColor="text1"/>
          <w:sz w:val="24"/>
          <w:szCs w:val="24"/>
          <w:lang w:val="en-US"/>
        </w:rPr>
        <w:t xml:space="preserve">bring such </w:t>
      </w:r>
      <w:r w:rsidR="002406C1" w:rsidRPr="008B2F56">
        <w:rPr>
          <w:rFonts w:ascii="Times New Roman" w:hAnsi="Times New Roman" w:cs="Times New Roman"/>
          <w:color w:val="000000" w:themeColor="text1"/>
          <w:sz w:val="24"/>
          <w:szCs w:val="24"/>
          <w:lang w:val="en-US"/>
        </w:rPr>
        <w:t xml:space="preserve">legislation </w:t>
      </w:r>
      <w:r w:rsidR="00A748FD" w:rsidRPr="008B2F56">
        <w:rPr>
          <w:rFonts w:ascii="Times New Roman" w:hAnsi="Times New Roman" w:cs="Times New Roman"/>
          <w:color w:val="000000" w:themeColor="text1"/>
          <w:sz w:val="24"/>
          <w:szCs w:val="24"/>
          <w:lang w:val="en-US"/>
        </w:rPr>
        <w:t>in line</w:t>
      </w:r>
      <w:r w:rsidR="00E41AA6" w:rsidRPr="008B2F56">
        <w:rPr>
          <w:rFonts w:ascii="Times New Roman" w:hAnsi="Times New Roman" w:cs="Times New Roman"/>
          <w:color w:val="000000" w:themeColor="text1"/>
          <w:sz w:val="24"/>
          <w:szCs w:val="24"/>
          <w:lang w:val="en-US"/>
        </w:rPr>
        <w:t xml:space="preserve"> with the RtD and SDGs. </w:t>
      </w:r>
    </w:p>
    <w:p w14:paraId="7971DC47" w14:textId="0BBDE239" w:rsidR="00621636" w:rsidRPr="008B2F56" w:rsidRDefault="003A638A"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Recent</w:t>
      </w:r>
      <w:r w:rsidR="00A748FD" w:rsidRPr="008B2F56">
        <w:rPr>
          <w:rFonts w:ascii="Times New Roman" w:hAnsi="Times New Roman" w:cs="Times New Roman"/>
          <w:color w:val="000000" w:themeColor="text1"/>
          <w:sz w:val="24"/>
          <w:szCs w:val="24"/>
          <w:lang w:val="en-US"/>
        </w:rPr>
        <w:t xml:space="preserve"> changes in the sources of FDI underline t</w:t>
      </w:r>
      <w:r w:rsidR="00621636" w:rsidRPr="008B2F56">
        <w:rPr>
          <w:rFonts w:ascii="Times New Roman" w:hAnsi="Times New Roman" w:cs="Times New Roman"/>
          <w:color w:val="000000" w:themeColor="text1"/>
          <w:sz w:val="24"/>
          <w:szCs w:val="24"/>
          <w:lang w:val="en-US"/>
        </w:rPr>
        <w:t>he importance of the</w:t>
      </w:r>
      <w:r w:rsidR="006D7929" w:rsidRPr="008B2F56">
        <w:rPr>
          <w:rFonts w:ascii="Times New Roman" w:hAnsi="Times New Roman" w:cs="Times New Roman"/>
          <w:color w:val="000000" w:themeColor="text1"/>
          <w:sz w:val="24"/>
          <w:szCs w:val="24"/>
          <w:lang w:val="en-US"/>
        </w:rPr>
        <w:t xml:space="preserve"> above</w:t>
      </w:r>
      <w:r w:rsidR="00A748FD" w:rsidRPr="008B2F56">
        <w:rPr>
          <w:rFonts w:ascii="Times New Roman" w:hAnsi="Times New Roman" w:cs="Times New Roman"/>
          <w:color w:val="000000" w:themeColor="text1"/>
          <w:sz w:val="24"/>
          <w:szCs w:val="24"/>
          <w:lang w:val="en-US"/>
        </w:rPr>
        <w:t xml:space="preserve"> issues</w:t>
      </w:r>
      <w:r w:rsidR="00621636" w:rsidRPr="008B2F56">
        <w:rPr>
          <w:rFonts w:ascii="Times New Roman" w:hAnsi="Times New Roman" w:cs="Times New Roman"/>
          <w:color w:val="000000" w:themeColor="text1"/>
          <w:sz w:val="24"/>
          <w:szCs w:val="24"/>
          <w:lang w:val="en-US"/>
        </w:rPr>
        <w:t xml:space="preserve">. One such </w:t>
      </w:r>
      <w:r w:rsidR="00A748FD" w:rsidRPr="008B2F56">
        <w:rPr>
          <w:rFonts w:ascii="Times New Roman" w:hAnsi="Times New Roman" w:cs="Times New Roman"/>
          <w:color w:val="000000" w:themeColor="text1"/>
          <w:sz w:val="24"/>
          <w:szCs w:val="24"/>
          <w:lang w:val="en-US"/>
        </w:rPr>
        <w:t>change</w:t>
      </w:r>
      <w:r w:rsidR="00621636" w:rsidRPr="008B2F56">
        <w:rPr>
          <w:rFonts w:ascii="Times New Roman" w:hAnsi="Times New Roman" w:cs="Times New Roman"/>
          <w:color w:val="000000" w:themeColor="text1"/>
          <w:sz w:val="24"/>
          <w:szCs w:val="24"/>
          <w:lang w:val="en-US"/>
        </w:rPr>
        <w:t xml:space="preserve"> is the emergence of China and Chinese investors as major source</w:t>
      </w:r>
      <w:r w:rsidR="006D7929" w:rsidRPr="008B2F56">
        <w:rPr>
          <w:rFonts w:ascii="Times New Roman" w:hAnsi="Times New Roman" w:cs="Times New Roman"/>
          <w:color w:val="000000" w:themeColor="text1"/>
          <w:sz w:val="24"/>
          <w:szCs w:val="24"/>
          <w:lang w:val="en-US"/>
        </w:rPr>
        <w:t>s</w:t>
      </w:r>
      <w:r w:rsidR="00621636" w:rsidRPr="008B2F56">
        <w:rPr>
          <w:rFonts w:ascii="Times New Roman" w:hAnsi="Times New Roman" w:cs="Times New Roman"/>
          <w:color w:val="000000" w:themeColor="text1"/>
          <w:sz w:val="24"/>
          <w:szCs w:val="24"/>
          <w:lang w:val="en-US"/>
        </w:rPr>
        <w:t xml:space="preserve"> of FDI, in particular for investment into LDCs. Another is the increasing role of a broad variety of institutional investors, in particular sovereign wealth funds. Significant changes in FDI actors and flows represent both challenges and opportunities for reforms of the regulatory regimes.</w:t>
      </w:r>
    </w:p>
    <w:p w14:paraId="24A2C6C5" w14:textId="6FFD2A27" w:rsidR="006A0D96" w:rsidRPr="008B2F56" w:rsidRDefault="006A0D96" w:rsidP="008D76EF">
      <w:pPr>
        <w:pStyle w:val="Heading1"/>
        <w:jc w:val="both"/>
        <w:rPr>
          <w:rFonts w:ascii="Times New Roman" w:hAnsi="Times New Roman" w:cs="Times New Roman"/>
          <w:lang w:val="en-US"/>
        </w:rPr>
      </w:pPr>
      <w:r w:rsidRPr="008B2F56">
        <w:rPr>
          <w:rFonts w:ascii="Times New Roman" w:hAnsi="Times New Roman" w:cs="Times New Roman"/>
          <w:lang w:val="en-US"/>
        </w:rPr>
        <w:t xml:space="preserve">4. </w:t>
      </w:r>
      <w:r w:rsidR="008A6088" w:rsidRPr="008B2F56">
        <w:rPr>
          <w:rFonts w:ascii="Times New Roman" w:hAnsi="Times New Roman" w:cs="Times New Roman"/>
          <w:lang w:val="en-US"/>
        </w:rPr>
        <w:t>Protection of FDI</w:t>
      </w:r>
    </w:p>
    <w:p w14:paraId="31A8068B" w14:textId="77777777" w:rsidR="0068288A" w:rsidRDefault="0068288A" w:rsidP="008D76EF">
      <w:pPr>
        <w:pStyle w:val="Heading2"/>
        <w:jc w:val="both"/>
        <w:rPr>
          <w:rFonts w:ascii="Times New Roman" w:hAnsi="Times New Roman" w:cs="Times New Roman"/>
          <w:lang w:val="en-US"/>
        </w:rPr>
      </w:pPr>
    </w:p>
    <w:p w14:paraId="6EEA532B" w14:textId="6E4D9708" w:rsidR="00E924A6" w:rsidRPr="008B2F56" w:rsidRDefault="00E924A6" w:rsidP="008D76EF">
      <w:pPr>
        <w:pStyle w:val="Heading2"/>
        <w:jc w:val="both"/>
        <w:rPr>
          <w:rFonts w:ascii="Times New Roman" w:hAnsi="Times New Roman" w:cs="Times New Roman"/>
          <w:lang w:val="en-US"/>
        </w:rPr>
      </w:pPr>
      <w:r w:rsidRPr="008B2F56">
        <w:rPr>
          <w:rFonts w:ascii="Times New Roman" w:hAnsi="Times New Roman" w:cs="Times New Roman"/>
          <w:lang w:val="en-US"/>
        </w:rPr>
        <w:t>4.1 Protection of FDI – a balancing exercise</w:t>
      </w:r>
    </w:p>
    <w:p w14:paraId="042D11FE" w14:textId="61CB5999" w:rsidR="00415472" w:rsidRPr="008B2F56" w:rsidRDefault="000916BB"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International </w:t>
      </w:r>
      <w:r w:rsidR="00E924A6" w:rsidRPr="008B2F56">
        <w:rPr>
          <w:rFonts w:ascii="Times New Roman" w:hAnsi="Times New Roman" w:cs="Times New Roman"/>
          <w:color w:val="000000" w:themeColor="text1"/>
          <w:sz w:val="24"/>
          <w:szCs w:val="24"/>
          <w:lang w:val="en-US"/>
        </w:rPr>
        <w:t xml:space="preserve">and national law to </w:t>
      </w:r>
      <w:r w:rsidR="00305EB0" w:rsidRPr="008B2F56">
        <w:rPr>
          <w:rFonts w:ascii="Times New Roman" w:hAnsi="Times New Roman" w:cs="Times New Roman"/>
          <w:color w:val="000000" w:themeColor="text1"/>
          <w:sz w:val="24"/>
          <w:szCs w:val="24"/>
          <w:lang w:val="en-US"/>
        </w:rPr>
        <w:t xml:space="preserve">protect </w:t>
      </w:r>
      <w:r w:rsidR="00E924A6" w:rsidRPr="008B2F56">
        <w:rPr>
          <w:rFonts w:ascii="Times New Roman" w:hAnsi="Times New Roman" w:cs="Times New Roman"/>
          <w:color w:val="000000" w:themeColor="text1"/>
          <w:sz w:val="24"/>
          <w:szCs w:val="24"/>
          <w:lang w:val="en-US"/>
        </w:rPr>
        <w:t>FDI have</w:t>
      </w:r>
      <w:r w:rsidRPr="008B2F56">
        <w:rPr>
          <w:rFonts w:ascii="Times New Roman" w:hAnsi="Times New Roman" w:cs="Times New Roman"/>
          <w:color w:val="000000" w:themeColor="text1"/>
          <w:sz w:val="24"/>
          <w:szCs w:val="24"/>
          <w:lang w:val="en-US"/>
        </w:rPr>
        <w:t xml:space="preserve"> traditionally focused on investment protection</w:t>
      </w:r>
      <w:r w:rsidR="00E924A6" w:rsidRPr="008B2F56">
        <w:rPr>
          <w:rFonts w:ascii="Times New Roman" w:hAnsi="Times New Roman" w:cs="Times New Roman"/>
          <w:color w:val="000000" w:themeColor="text1"/>
          <w:sz w:val="24"/>
          <w:szCs w:val="24"/>
          <w:lang w:val="en-US"/>
        </w:rPr>
        <w:t>, the former more so than the latter</w:t>
      </w:r>
      <w:r w:rsidRPr="008B2F56">
        <w:rPr>
          <w:rFonts w:ascii="Times New Roman" w:hAnsi="Times New Roman" w:cs="Times New Roman"/>
          <w:color w:val="000000" w:themeColor="text1"/>
          <w:sz w:val="24"/>
          <w:szCs w:val="24"/>
          <w:lang w:val="en-US"/>
        </w:rPr>
        <w:t xml:space="preserve">. </w:t>
      </w:r>
      <w:r w:rsidR="00E924A6" w:rsidRPr="008B2F56">
        <w:rPr>
          <w:rFonts w:ascii="Times New Roman" w:hAnsi="Times New Roman" w:cs="Times New Roman"/>
          <w:color w:val="000000" w:themeColor="text1"/>
          <w:sz w:val="24"/>
          <w:szCs w:val="24"/>
          <w:lang w:val="en-US"/>
        </w:rPr>
        <w:t xml:space="preserve">There are two competing interests associated with the level of investment protection; investors’ interest in low levels of risk and host countries interest in political flexibility. </w:t>
      </w:r>
      <w:r w:rsidRPr="008B2F56">
        <w:rPr>
          <w:rFonts w:ascii="Times New Roman" w:hAnsi="Times New Roman" w:cs="Times New Roman"/>
          <w:color w:val="000000" w:themeColor="text1"/>
          <w:sz w:val="24"/>
          <w:szCs w:val="24"/>
          <w:lang w:val="en-US"/>
        </w:rPr>
        <w:t xml:space="preserve">This </w:t>
      </w:r>
      <w:r w:rsidR="00E924A6" w:rsidRPr="008B2F56">
        <w:rPr>
          <w:rFonts w:ascii="Times New Roman" w:hAnsi="Times New Roman" w:cs="Times New Roman"/>
          <w:color w:val="000000" w:themeColor="text1"/>
          <w:sz w:val="24"/>
          <w:szCs w:val="24"/>
          <w:lang w:val="en-US"/>
        </w:rPr>
        <w:t xml:space="preserve">tension comes out clearly </w:t>
      </w:r>
      <w:r w:rsidRPr="008B2F56">
        <w:rPr>
          <w:rFonts w:ascii="Times New Roman" w:hAnsi="Times New Roman" w:cs="Times New Roman"/>
          <w:color w:val="000000" w:themeColor="text1"/>
          <w:sz w:val="24"/>
          <w:szCs w:val="24"/>
          <w:lang w:val="en-US"/>
        </w:rPr>
        <w:t xml:space="preserve">in </w:t>
      </w:r>
      <w:r w:rsidR="004C392B" w:rsidRPr="008B2F56">
        <w:rPr>
          <w:rFonts w:ascii="Times New Roman" w:hAnsi="Times New Roman" w:cs="Times New Roman"/>
          <w:color w:val="000000" w:themeColor="text1"/>
          <w:sz w:val="24"/>
          <w:szCs w:val="24"/>
          <w:lang w:val="en-US"/>
        </w:rPr>
        <w:t>UNCTAD</w:t>
      </w:r>
      <w:r w:rsidRPr="008B2F56">
        <w:rPr>
          <w:rFonts w:ascii="Times New Roman" w:hAnsi="Times New Roman" w:cs="Times New Roman"/>
          <w:color w:val="000000" w:themeColor="text1"/>
          <w:sz w:val="24"/>
          <w:szCs w:val="24"/>
          <w:lang w:val="en-US"/>
        </w:rPr>
        <w:t xml:space="preserve">’s </w:t>
      </w:r>
      <w:r w:rsidR="00E924A6" w:rsidRPr="008B2F56">
        <w:rPr>
          <w:rFonts w:ascii="Times New Roman" w:hAnsi="Times New Roman" w:cs="Times New Roman"/>
          <w:color w:val="000000" w:themeColor="text1"/>
          <w:sz w:val="24"/>
          <w:szCs w:val="24"/>
          <w:lang w:val="en-US"/>
        </w:rPr>
        <w:t>Core P</w:t>
      </w:r>
      <w:r w:rsidR="004C392B" w:rsidRPr="008B2F56">
        <w:rPr>
          <w:rFonts w:ascii="Times New Roman" w:hAnsi="Times New Roman" w:cs="Times New Roman"/>
          <w:color w:val="000000" w:themeColor="text1"/>
          <w:sz w:val="24"/>
          <w:szCs w:val="24"/>
          <w:lang w:val="en-US"/>
        </w:rPr>
        <w:t>rinciples</w:t>
      </w:r>
      <w:r w:rsidR="00E924A6" w:rsidRPr="008B2F56">
        <w:rPr>
          <w:rFonts w:ascii="Times New Roman" w:hAnsi="Times New Roman" w:cs="Times New Roman"/>
          <w:color w:val="000000" w:themeColor="text1"/>
          <w:sz w:val="24"/>
          <w:szCs w:val="24"/>
          <w:lang w:val="en-US"/>
        </w:rPr>
        <w:t xml:space="preserve"> for investment policymaking. On the one hand</w:t>
      </w:r>
      <w:r w:rsidR="00305EB0" w:rsidRPr="008B2F56">
        <w:rPr>
          <w:rFonts w:ascii="Times New Roman" w:hAnsi="Times New Roman" w:cs="Times New Roman"/>
          <w:color w:val="000000" w:themeColor="text1"/>
          <w:sz w:val="24"/>
          <w:szCs w:val="24"/>
          <w:lang w:val="en-US"/>
        </w:rPr>
        <w:t>,</w:t>
      </w:r>
      <w:r w:rsidR="00E924A6" w:rsidRPr="008B2F56">
        <w:rPr>
          <w:rFonts w:ascii="Times New Roman" w:hAnsi="Times New Roman" w:cs="Times New Roman"/>
          <w:color w:val="000000" w:themeColor="text1"/>
          <w:sz w:val="24"/>
          <w:szCs w:val="24"/>
          <w:lang w:val="en-US"/>
        </w:rPr>
        <w:t xml:space="preserve"> principles emphasize investor interests</w:t>
      </w:r>
      <w:r w:rsidR="00415472" w:rsidRPr="008B2F56">
        <w:rPr>
          <w:rFonts w:ascii="Times New Roman" w:hAnsi="Times New Roman" w:cs="Times New Roman"/>
          <w:color w:val="000000" w:themeColor="text1"/>
          <w:sz w:val="24"/>
          <w:szCs w:val="24"/>
          <w:lang w:val="en-US"/>
        </w:rPr>
        <w:t>:</w:t>
      </w:r>
    </w:p>
    <w:p w14:paraId="1CE08150" w14:textId="77777777" w:rsidR="003E2DE4" w:rsidRPr="008B2F56" w:rsidRDefault="003E2DE4" w:rsidP="008D76EF">
      <w:pPr>
        <w:pStyle w:val="ListParagraph"/>
        <w:numPr>
          <w:ilvl w:val="0"/>
          <w:numId w:val="33"/>
        </w:num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P</w:t>
      </w:r>
      <w:r w:rsidR="00E924A6" w:rsidRPr="008B2F56">
        <w:rPr>
          <w:rFonts w:ascii="Times New Roman" w:hAnsi="Times New Roman" w:cs="Times New Roman"/>
          <w:color w:val="000000" w:themeColor="text1"/>
          <w:sz w:val="24"/>
          <w:szCs w:val="24"/>
          <w:lang w:val="en-US"/>
        </w:rPr>
        <w:t>rinciple 2</w:t>
      </w:r>
      <w:r w:rsidR="00E32626" w:rsidRPr="008B2F56">
        <w:rPr>
          <w:rFonts w:ascii="Times New Roman" w:hAnsi="Times New Roman" w:cs="Times New Roman"/>
          <w:color w:val="000000" w:themeColor="text1"/>
          <w:sz w:val="24"/>
          <w:szCs w:val="24"/>
          <w:lang w:val="en-US"/>
        </w:rPr>
        <w:t>:</w:t>
      </w:r>
      <w:r w:rsidR="00E924A6" w:rsidRPr="008B2F56">
        <w:rPr>
          <w:rFonts w:ascii="Times New Roman" w:hAnsi="Times New Roman" w:cs="Times New Roman"/>
          <w:color w:val="000000" w:themeColor="text1"/>
          <w:sz w:val="24"/>
          <w:szCs w:val="24"/>
          <w:lang w:val="en-US"/>
        </w:rPr>
        <w:t xml:space="preserve"> </w:t>
      </w:r>
      <w:r w:rsidR="00E32626" w:rsidRPr="008B2F56">
        <w:rPr>
          <w:rFonts w:ascii="Times New Roman" w:hAnsi="Times New Roman" w:cs="Times New Roman"/>
          <w:color w:val="000000" w:themeColor="text1"/>
          <w:sz w:val="24"/>
          <w:szCs w:val="24"/>
          <w:lang w:val="en-US"/>
        </w:rPr>
        <w:t>I</w:t>
      </w:r>
      <w:r w:rsidR="00E924A6" w:rsidRPr="008B2F56">
        <w:rPr>
          <w:rFonts w:ascii="Times New Roman" w:hAnsi="Times New Roman" w:cs="Times New Roman"/>
          <w:color w:val="000000" w:themeColor="text1"/>
          <w:sz w:val="24"/>
          <w:szCs w:val="24"/>
          <w:lang w:val="en-US"/>
        </w:rPr>
        <w:t>nvestment policies should be “</w:t>
      </w:r>
      <w:r w:rsidR="004C392B" w:rsidRPr="008B2F56">
        <w:rPr>
          <w:rFonts w:ascii="Times New Roman" w:hAnsi="Times New Roman" w:cs="Times New Roman"/>
          <w:color w:val="000000" w:themeColor="text1"/>
          <w:sz w:val="24"/>
          <w:szCs w:val="24"/>
          <w:lang w:val="en-US"/>
        </w:rPr>
        <w:t>embedded in an institutional framework based on the rule of law that adheres to high standards of public governance and ensures predictable, efficient and transparent procedures for investors</w:t>
      </w:r>
      <w:r w:rsidR="00E924A6" w:rsidRPr="008B2F56">
        <w:rPr>
          <w:rFonts w:ascii="Times New Roman" w:hAnsi="Times New Roman" w:cs="Times New Roman"/>
          <w:color w:val="000000" w:themeColor="text1"/>
          <w:sz w:val="24"/>
          <w:szCs w:val="24"/>
          <w:lang w:val="en-US"/>
        </w:rPr>
        <w:t>”</w:t>
      </w:r>
    </w:p>
    <w:p w14:paraId="3446B53F" w14:textId="77777777" w:rsidR="003E2DE4" w:rsidRPr="008B2F56" w:rsidRDefault="003E2DE4" w:rsidP="008D76EF">
      <w:pPr>
        <w:pStyle w:val="ListParagraph"/>
        <w:numPr>
          <w:ilvl w:val="0"/>
          <w:numId w:val="33"/>
        </w:num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P</w:t>
      </w:r>
      <w:r w:rsidR="00E32626" w:rsidRPr="008B2F56">
        <w:rPr>
          <w:rFonts w:ascii="Times New Roman" w:hAnsi="Times New Roman" w:cs="Times New Roman"/>
          <w:color w:val="000000" w:themeColor="text1"/>
          <w:sz w:val="24"/>
          <w:szCs w:val="24"/>
          <w:lang w:val="en-US"/>
        </w:rPr>
        <w:t>rinciple 7: “Investment policies should provide adequate protection to established investors. The treatment of established investors should be non-discriminatory.”</w:t>
      </w:r>
      <w:r w:rsidR="00986C01" w:rsidRPr="008B2F56">
        <w:rPr>
          <w:rFonts w:ascii="Times New Roman" w:hAnsi="Times New Roman" w:cs="Times New Roman"/>
          <w:color w:val="000000" w:themeColor="text1"/>
          <w:sz w:val="24"/>
          <w:szCs w:val="24"/>
          <w:lang w:val="en-US"/>
        </w:rPr>
        <w:t xml:space="preserve"> </w:t>
      </w:r>
    </w:p>
    <w:p w14:paraId="279C873A" w14:textId="77777777" w:rsidR="003E2DE4" w:rsidRPr="008B2F56" w:rsidRDefault="00986C01"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On the other hand, </w:t>
      </w:r>
      <w:r w:rsidR="003E2DE4" w:rsidRPr="008B2F56">
        <w:rPr>
          <w:rFonts w:ascii="Times New Roman" w:hAnsi="Times New Roman" w:cs="Times New Roman"/>
          <w:color w:val="000000" w:themeColor="text1"/>
          <w:sz w:val="24"/>
          <w:szCs w:val="24"/>
          <w:lang w:val="en-US"/>
        </w:rPr>
        <w:t>principles emphasize countries the importance of policy space:</w:t>
      </w:r>
    </w:p>
    <w:p w14:paraId="545D4961" w14:textId="77777777" w:rsidR="003E2DE4" w:rsidRPr="008B2F56" w:rsidRDefault="003E2DE4" w:rsidP="008D76EF">
      <w:pPr>
        <w:pStyle w:val="ListParagraph"/>
        <w:numPr>
          <w:ilvl w:val="0"/>
          <w:numId w:val="34"/>
        </w:num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lastRenderedPageBreak/>
        <w:t>P</w:t>
      </w:r>
      <w:r w:rsidR="00986C01" w:rsidRPr="008B2F56">
        <w:rPr>
          <w:rFonts w:ascii="Times New Roman" w:hAnsi="Times New Roman" w:cs="Times New Roman"/>
          <w:color w:val="000000" w:themeColor="text1"/>
          <w:sz w:val="24"/>
          <w:szCs w:val="24"/>
          <w:lang w:val="en-US"/>
        </w:rPr>
        <w:t>rinciple 5</w:t>
      </w:r>
      <w:r w:rsidRPr="008B2F56">
        <w:rPr>
          <w:rFonts w:ascii="Times New Roman" w:hAnsi="Times New Roman" w:cs="Times New Roman"/>
          <w:color w:val="000000" w:themeColor="text1"/>
          <w:sz w:val="24"/>
          <w:szCs w:val="24"/>
          <w:lang w:val="en-US"/>
        </w:rPr>
        <w:t>: H</w:t>
      </w:r>
      <w:r w:rsidR="00986C01" w:rsidRPr="008B2F56">
        <w:rPr>
          <w:rFonts w:ascii="Times New Roman" w:hAnsi="Times New Roman" w:cs="Times New Roman"/>
          <w:color w:val="000000" w:themeColor="text1"/>
          <w:sz w:val="24"/>
          <w:szCs w:val="24"/>
          <w:lang w:val="en-US"/>
        </w:rPr>
        <w:t xml:space="preserve">ost countries have “the sovereign right to establish … operational conditions for foreign investment, subject to international commitments, in the interest of the public good and to minimize potential negative effects.” </w:t>
      </w:r>
    </w:p>
    <w:p w14:paraId="3E200795" w14:textId="6A586201" w:rsidR="004C392B" w:rsidRPr="008B2F56" w:rsidRDefault="00986C01"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The balancing exercise to be carried out is fleshed out on principle 4, which </w:t>
      </w:r>
      <w:r w:rsidR="009432DD" w:rsidRPr="008B2F56">
        <w:rPr>
          <w:rFonts w:ascii="Times New Roman" w:hAnsi="Times New Roman" w:cs="Times New Roman"/>
          <w:color w:val="000000" w:themeColor="text1"/>
          <w:sz w:val="24"/>
          <w:szCs w:val="24"/>
          <w:lang w:val="en-US"/>
        </w:rPr>
        <w:t>merely states the obvious</w:t>
      </w:r>
      <w:r w:rsidRPr="008B2F56">
        <w:rPr>
          <w:rFonts w:ascii="Times New Roman" w:hAnsi="Times New Roman" w:cs="Times New Roman"/>
          <w:color w:val="000000" w:themeColor="text1"/>
          <w:sz w:val="24"/>
          <w:szCs w:val="24"/>
          <w:lang w:val="en-US"/>
        </w:rPr>
        <w:t>: “Investment policies should be balanced in setting out rights and obligations of States and investors in the interest of development for all.”</w:t>
      </w:r>
    </w:p>
    <w:p w14:paraId="3B9C7354" w14:textId="77777777" w:rsidR="00C74851" w:rsidRPr="008B2F56" w:rsidRDefault="006838E3"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The crux of the issue is how to balance the interests of investors and various interests in the host country. As </w:t>
      </w:r>
      <w:r w:rsidR="0047186B" w:rsidRPr="008B2F56">
        <w:rPr>
          <w:rFonts w:ascii="Times New Roman" w:hAnsi="Times New Roman" w:cs="Times New Roman"/>
          <w:color w:val="000000" w:themeColor="text1"/>
          <w:sz w:val="24"/>
          <w:szCs w:val="24"/>
          <w:lang w:val="en-US"/>
        </w:rPr>
        <w:t xml:space="preserve">the </w:t>
      </w:r>
      <w:r w:rsidRPr="008B2F56">
        <w:rPr>
          <w:rFonts w:ascii="Times New Roman" w:hAnsi="Times New Roman" w:cs="Times New Roman"/>
          <w:color w:val="000000" w:themeColor="text1"/>
          <w:sz w:val="24"/>
          <w:szCs w:val="24"/>
          <w:lang w:val="en-US"/>
        </w:rPr>
        <w:t xml:space="preserve">relevant interests within host countries vary significantly from country to country and between sectors within a country, it is </w:t>
      </w:r>
      <w:r w:rsidR="00195023" w:rsidRPr="008B2F56">
        <w:rPr>
          <w:rFonts w:ascii="Times New Roman" w:hAnsi="Times New Roman" w:cs="Times New Roman"/>
          <w:color w:val="000000" w:themeColor="text1"/>
          <w:sz w:val="24"/>
          <w:szCs w:val="24"/>
          <w:lang w:val="en-US"/>
        </w:rPr>
        <w:t>challenging</w:t>
      </w:r>
      <w:r w:rsidRPr="008B2F56">
        <w:rPr>
          <w:rFonts w:ascii="Times New Roman" w:hAnsi="Times New Roman" w:cs="Times New Roman"/>
          <w:color w:val="000000" w:themeColor="text1"/>
          <w:sz w:val="24"/>
          <w:szCs w:val="24"/>
          <w:lang w:val="en-US"/>
        </w:rPr>
        <w:t xml:space="preserve"> to </w:t>
      </w:r>
      <w:r w:rsidR="0047186B" w:rsidRPr="008B2F56">
        <w:rPr>
          <w:rFonts w:ascii="Times New Roman" w:hAnsi="Times New Roman" w:cs="Times New Roman"/>
          <w:color w:val="000000" w:themeColor="text1"/>
          <w:sz w:val="24"/>
          <w:szCs w:val="24"/>
          <w:lang w:val="en-US"/>
        </w:rPr>
        <w:t xml:space="preserve">establish general rules </w:t>
      </w:r>
      <w:r w:rsidR="00195023" w:rsidRPr="008B2F56">
        <w:rPr>
          <w:rFonts w:ascii="Times New Roman" w:hAnsi="Times New Roman" w:cs="Times New Roman"/>
          <w:color w:val="000000" w:themeColor="text1"/>
          <w:sz w:val="24"/>
          <w:szCs w:val="24"/>
          <w:lang w:val="en-US"/>
        </w:rPr>
        <w:t>that</w:t>
      </w:r>
      <w:r w:rsidR="0047186B" w:rsidRPr="008B2F56">
        <w:rPr>
          <w:rFonts w:ascii="Times New Roman" w:hAnsi="Times New Roman" w:cs="Times New Roman"/>
          <w:color w:val="000000" w:themeColor="text1"/>
          <w:sz w:val="24"/>
          <w:szCs w:val="24"/>
          <w:lang w:val="en-US"/>
        </w:rPr>
        <w:t xml:space="preserve"> balance </w:t>
      </w:r>
      <w:r w:rsidR="00195023" w:rsidRPr="008B2F56">
        <w:rPr>
          <w:rFonts w:ascii="Times New Roman" w:hAnsi="Times New Roman" w:cs="Times New Roman"/>
          <w:color w:val="000000" w:themeColor="text1"/>
          <w:sz w:val="24"/>
          <w:szCs w:val="24"/>
          <w:lang w:val="en-US"/>
        </w:rPr>
        <w:t>such</w:t>
      </w:r>
      <w:r w:rsidR="0047186B" w:rsidRPr="008B2F56">
        <w:rPr>
          <w:rFonts w:ascii="Times New Roman" w:hAnsi="Times New Roman" w:cs="Times New Roman"/>
          <w:color w:val="000000" w:themeColor="text1"/>
          <w:sz w:val="24"/>
          <w:szCs w:val="24"/>
          <w:lang w:val="en-US"/>
        </w:rPr>
        <w:t xml:space="preserve"> interests. However, this is exactly what international and </w:t>
      </w:r>
      <w:r w:rsidR="003E2DE4" w:rsidRPr="008B2F56">
        <w:rPr>
          <w:rFonts w:ascii="Times New Roman" w:hAnsi="Times New Roman" w:cs="Times New Roman"/>
          <w:color w:val="000000" w:themeColor="text1"/>
          <w:sz w:val="24"/>
          <w:szCs w:val="24"/>
          <w:lang w:val="en-US"/>
        </w:rPr>
        <w:t xml:space="preserve">many </w:t>
      </w:r>
      <w:r w:rsidR="0047186B" w:rsidRPr="008B2F56">
        <w:rPr>
          <w:rFonts w:ascii="Times New Roman" w:hAnsi="Times New Roman" w:cs="Times New Roman"/>
          <w:color w:val="000000" w:themeColor="text1"/>
          <w:sz w:val="24"/>
          <w:szCs w:val="24"/>
          <w:lang w:val="en-US"/>
        </w:rPr>
        <w:t xml:space="preserve">domestic rules </w:t>
      </w:r>
      <w:r w:rsidR="003E2DE4" w:rsidRPr="008B2F56">
        <w:rPr>
          <w:rFonts w:ascii="Times New Roman" w:hAnsi="Times New Roman" w:cs="Times New Roman"/>
          <w:color w:val="000000" w:themeColor="text1"/>
          <w:sz w:val="24"/>
          <w:szCs w:val="24"/>
          <w:lang w:val="en-US"/>
        </w:rPr>
        <w:t>to</w:t>
      </w:r>
      <w:r w:rsidR="0047186B" w:rsidRPr="008B2F56">
        <w:rPr>
          <w:rFonts w:ascii="Times New Roman" w:hAnsi="Times New Roman" w:cs="Times New Roman"/>
          <w:color w:val="000000" w:themeColor="text1"/>
          <w:sz w:val="24"/>
          <w:szCs w:val="24"/>
          <w:lang w:val="en-US"/>
        </w:rPr>
        <w:t xml:space="preserve"> protect FDI seek to do. </w:t>
      </w:r>
    </w:p>
    <w:p w14:paraId="7D2B198F" w14:textId="2FE4586B" w:rsidR="00155D3A" w:rsidRPr="008B2F56" w:rsidRDefault="0047186B"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Arguably, balancing the interests of </w:t>
      </w:r>
      <w:r w:rsidR="00195023" w:rsidRPr="008B2F56">
        <w:rPr>
          <w:rFonts w:ascii="Times New Roman" w:hAnsi="Times New Roman" w:cs="Times New Roman"/>
          <w:color w:val="000000" w:themeColor="text1"/>
          <w:sz w:val="24"/>
          <w:szCs w:val="24"/>
          <w:lang w:val="en-US"/>
        </w:rPr>
        <w:t xml:space="preserve">foreign </w:t>
      </w:r>
      <w:r w:rsidRPr="008B2F56">
        <w:rPr>
          <w:rFonts w:ascii="Times New Roman" w:hAnsi="Times New Roman" w:cs="Times New Roman"/>
          <w:color w:val="000000" w:themeColor="text1"/>
          <w:sz w:val="24"/>
          <w:szCs w:val="24"/>
          <w:lang w:val="en-US"/>
        </w:rPr>
        <w:t xml:space="preserve">investors against interests </w:t>
      </w:r>
      <w:r w:rsidR="00195023" w:rsidRPr="008B2F56">
        <w:rPr>
          <w:rFonts w:ascii="Times New Roman" w:hAnsi="Times New Roman" w:cs="Times New Roman"/>
          <w:color w:val="000000" w:themeColor="text1"/>
          <w:sz w:val="24"/>
          <w:szCs w:val="24"/>
          <w:lang w:val="en-US"/>
        </w:rPr>
        <w:t>within</w:t>
      </w:r>
      <w:r w:rsidRPr="008B2F56">
        <w:rPr>
          <w:rFonts w:ascii="Times New Roman" w:hAnsi="Times New Roman" w:cs="Times New Roman"/>
          <w:color w:val="000000" w:themeColor="text1"/>
          <w:sz w:val="24"/>
          <w:szCs w:val="24"/>
          <w:lang w:val="en-US"/>
        </w:rPr>
        <w:t xml:space="preserve"> host countries increases in complexity the more significant variation </w:t>
      </w:r>
      <w:r w:rsidR="00F84BE0" w:rsidRPr="008B2F56">
        <w:rPr>
          <w:rFonts w:ascii="Times New Roman" w:hAnsi="Times New Roman" w:cs="Times New Roman"/>
          <w:color w:val="000000" w:themeColor="text1"/>
          <w:sz w:val="24"/>
          <w:szCs w:val="24"/>
          <w:lang w:val="en-US"/>
        </w:rPr>
        <w:t xml:space="preserve">there is </w:t>
      </w:r>
      <w:r w:rsidRPr="008B2F56">
        <w:rPr>
          <w:rFonts w:ascii="Times New Roman" w:hAnsi="Times New Roman" w:cs="Times New Roman"/>
          <w:color w:val="000000" w:themeColor="text1"/>
          <w:sz w:val="24"/>
          <w:szCs w:val="24"/>
          <w:lang w:val="en-US"/>
        </w:rPr>
        <w:t xml:space="preserve">in living conditions between different groups of the population in host countries. </w:t>
      </w:r>
      <w:r w:rsidR="00C74851" w:rsidRPr="008B2F56">
        <w:rPr>
          <w:rFonts w:ascii="Times New Roman" w:hAnsi="Times New Roman" w:cs="Times New Roman"/>
          <w:color w:val="000000" w:themeColor="text1"/>
          <w:sz w:val="24"/>
          <w:szCs w:val="24"/>
          <w:lang w:val="en-US"/>
        </w:rPr>
        <w:t xml:space="preserve">The main reason for this assumption is that significant inequalities necessitate that </w:t>
      </w:r>
      <w:r w:rsidR="00E3613C" w:rsidRPr="008B2F56">
        <w:rPr>
          <w:rFonts w:ascii="Times New Roman" w:hAnsi="Times New Roman" w:cs="Times New Roman"/>
          <w:color w:val="000000" w:themeColor="text1"/>
          <w:sz w:val="24"/>
          <w:szCs w:val="24"/>
          <w:lang w:val="en-US"/>
        </w:rPr>
        <w:t>authorities have the opportunity to tailor policy measures according</w:t>
      </w:r>
      <w:r w:rsidR="00C74851" w:rsidRPr="008B2F56">
        <w:rPr>
          <w:rFonts w:ascii="Times New Roman" w:hAnsi="Times New Roman" w:cs="Times New Roman"/>
          <w:color w:val="000000" w:themeColor="text1"/>
          <w:sz w:val="24"/>
          <w:szCs w:val="24"/>
          <w:lang w:val="en-US"/>
        </w:rPr>
        <w:t xml:space="preserve"> to the challenges of the various stakeholder groups. The particular issue </w:t>
      </w:r>
      <w:r w:rsidR="00E3613C" w:rsidRPr="008B2F56">
        <w:rPr>
          <w:rFonts w:ascii="Times New Roman" w:hAnsi="Times New Roman" w:cs="Times New Roman"/>
          <w:color w:val="000000" w:themeColor="text1"/>
          <w:sz w:val="24"/>
          <w:szCs w:val="24"/>
          <w:lang w:val="en-US"/>
        </w:rPr>
        <w:t>of inequality is addressed in</w:t>
      </w:r>
      <w:r w:rsidR="00A573ED" w:rsidRPr="008B2F56">
        <w:rPr>
          <w:rFonts w:ascii="Times New Roman" w:hAnsi="Times New Roman" w:cs="Times New Roman"/>
          <w:color w:val="000000" w:themeColor="text1"/>
          <w:sz w:val="24"/>
          <w:szCs w:val="24"/>
          <w:lang w:val="en-US"/>
        </w:rPr>
        <w:t xml:space="preserve"> SDG 10</w:t>
      </w:r>
      <w:r w:rsidR="00E3613C" w:rsidRPr="008B2F56">
        <w:rPr>
          <w:rFonts w:ascii="Times New Roman" w:hAnsi="Times New Roman" w:cs="Times New Roman"/>
          <w:color w:val="000000" w:themeColor="text1"/>
          <w:sz w:val="24"/>
          <w:szCs w:val="24"/>
          <w:lang w:val="en-US"/>
        </w:rPr>
        <w:t>: “Reduce inequality within and among countries”.</w:t>
      </w:r>
      <w:r w:rsidR="00A573ED" w:rsidRPr="008B2F56">
        <w:rPr>
          <w:rFonts w:ascii="Times New Roman" w:hAnsi="Times New Roman" w:cs="Times New Roman"/>
          <w:color w:val="000000" w:themeColor="text1"/>
          <w:sz w:val="24"/>
          <w:szCs w:val="24"/>
          <w:lang w:val="en-US"/>
        </w:rPr>
        <w:t xml:space="preserve"> </w:t>
      </w:r>
      <w:r w:rsidR="00155D3A" w:rsidRPr="008B2F56">
        <w:rPr>
          <w:rFonts w:ascii="Times New Roman" w:hAnsi="Times New Roman" w:cs="Times New Roman"/>
          <w:color w:val="000000" w:themeColor="text1"/>
          <w:sz w:val="24"/>
          <w:szCs w:val="24"/>
          <w:lang w:val="en-US"/>
        </w:rPr>
        <w:t>The associated targets include a</w:t>
      </w:r>
      <w:r w:rsidR="00A573ED" w:rsidRPr="008B2F56">
        <w:rPr>
          <w:rFonts w:ascii="Times New Roman" w:hAnsi="Times New Roman" w:cs="Times New Roman"/>
          <w:color w:val="000000" w:themeColor="text1"/>
          <w:sz w:val="24"/>
          <w:szCs w:val="24"/>
          <w:lang w:val="en-US"/>
        </w:rPr>
        <w:t xml:space="preserve"> broad range of policy measures, many of which may significant</w:t>
      </w:r>
      <w:r w:rsidR="00195023" w:rsidRPr="008B2F56">
        <w:rPr>
          <w:rFonts w:ascii="Times New Roman" w:hAnsi="Times New Roman" w:cs="Times New Roman"/>
          <w:color w:val="000000" w:themeColor="text1"/>
          <w:sz w:val="24"/>
          <w:szCs w:val="24"/>
          <w:lang w:val="en-US"/>
        </w:rPr>
        <w:t>ly a</w:t>
      </w:r>
      <w:r w:rsidR="00A573ED" w:rsidRPr="008B2F56">
        <w:rPr>
          <w:rFonts w:ascii="Times New Roman" w:hAnsi="Times New Roman" w:cs="Times New Roman"/>
          <w:color w:val="000000" w:themeColor="text1"/>
          <w:sz w:val="24"/>
          <w:szCs w:val="24"/>
          <w:lang w:val="en-US"/>
        </w:rPr>
        <w:t>ffect foreign investors.</w:t>
      </w:r>
      <w:r w:rsidR="00A573ED" w:rsidRPr="008B2F56">
        <w:rPr>
          <w:rStyle w:val="FootnoteReference"/>
          <w:rFonts w:ascii="Times New Roman" w:hAnsi="Times New Roman" w:cs="Times New Roman"/>
        </w:rPr>
        <w:footnoteReference w:id="71"/>
      </w:r>
      <w:r w:rsidR="00A573ED" w:rsidRPr="008B2F56">
        <w:rPr>
          <w:rFonts w:ascii="Times New Roman" w:hAnsi="Times New Roman" w:cs="Times New Roman"/>
          <w:color w:val="000000" w:themeColor="text1"/>
          <w:sz w:val="24"/>
          <w:szCs w:val="24"/>
          <w:lang w:val="en-US"/>
        </w:rPr>
        <w:t xml:space="preserve"> </w:t>
      </w:r>
      <w:r w:rsidR="00155D3A" w:rsidRPr="008B2F56">
        <w:rPr>
          <w:rFonts w:ascii="Times New Roman" w:hAnsi="Times New Roman" w:cs="Times New Roman"/>
          <w:color w:val="000000" w:themeColor="text1"/>
          <w:sz w:val="24"/>
          <w:szCs w:val="24"/>
          <w:lang w:val="en-US"/>
        </w:rPr>
        <w:t xml:space="preserve">The formulation of </w:t>
      </w:r>
      <w:r w:rsidR="00832F19" w:rsidRPr="008B2F56">
        <w:rPr>
          <w:rFonts w:ascii="Times New Roman" w:hAnsi="Times New Roman" w:cs="Times New Roman"/>
          <w:color w:val="000000" w:themeColor="text1"/>
          <w:sz w:val="24"/>
          <w:szCs w:val="24"/>
          <w:lang w:val="en-US"/>
        </w:rPr>
        <w:t>these targets</w:t>
      </w:r>
      <w:r w:rsidR="00155D3A" w:rsidRPr="008B2F56">
        <w:rPr>
          <w:rFonts w:ascii="Times New Roman" w:hAnsi="Times New Roman" w:cs="Times New Roman"/>
          <w:color w:val="000000" w:themeColor="text1"/>
          <w:sz w:val="24"/>
          <w:szCs w:val="24"/>
          <w:lang w:val="en-US"/>
        </w:rPr>
        <w:t xml:space="preserve"> demonstrates </w:t>
      </w:r>
      <w:r w:rsidR="00E3613C" w:rsidRPr="008B2F56">
        <w:rPr>
          <w:rFonts w:ascii="Times New Roman" w:hAnsi="Times New Roman" w:cs="Times New Roman"/>
          <w:color w:val="000000" w:themeColor="text1"/>
          <w:sz w:val="24"/>
          <w:szCs w:val="24"/>
          <w:lang w:val="en-US"/>
        </w:rPr>
        <w:t>support the hypothesis that</w:t>
      </w:r>
      <w:r w:rsidR="00155D3A" w:rsidRPr="008B2F56">
        <w:rPr>
          <w:rFonts w:ascii="Times New Roman" w:hAnsi="Times New Roman" w:cs="Times New Roman"/>
          <w:color w:val="000000" w:themeColor="text1"/>
          <w:sz w:val="24"/>
          <w:szCs w:val="24"/>
          <w:lang w:val="en-US"/>
        </w:rPr>
        <w:t xml:space="preserve"> countries need significant policy space</w:t>
      </w:r>
      <w:r w:rsidR="00832F19" w:rsidRPr="008B2F56">
        <w:rPr>
          <w:rFonts w:ascii="Times New Roman" w:hAnsi="Times New Roman" w:cs="Times New Roman"/>
          <w:color w:val="000000" w:themeColor="text1"/>
          <w:sz w:val="24"/>
          <w:szCs w:val="24"/>
          <w:lang w:val="en-US"/>
        </w:rPr>
        <w:t xml:space="preserve"> vis-à-vis </w:t>
      </w:r>
      <w:r w:rsidR="007D1CB7" w:rsidRPr="008B2F56">
        <w:rPr>
          <w:rFonts w:ascii="Times New Roman" w:hAnsi="Times New Roman" w:cs="Times New Roman"/>
          <w:color w:val="000000" w:themeColor="text1"/>
          <w:sz w:val="24"/>
          <w:szCs w:val="24"/>
          <w:lang w:val="en-US"/>
        </w:rPr>
        <w:t xml:space="preserve">the interests of </w:t>
      </w:r>
      <w:r w:rsidR="00832F19" w:rsidRPr="008B2F56">
        <w:rPr>
          <w:rFonts w:ascii="Times New Roman" w:hAnsi="Times New Roman" w:cs="Times New Roman"/>
          <w:color w:val="000000" w:themeColor="text1"/>
          <w:sz w:val="24"/>
          <w:szCs w:val="24"/>
          <w:lang w:val="en-US"/>
        </w:rPr>
        <w:t>foreign investors</w:t>
      </w:r>
      <w:r w:rsidR="00155D3A" w:rsidRPr="008B2F56">
        <w:rPr>
          <w:rFonts w:ascii="Times New Roman" w:hAnsi="Times New Roman" w:cs="Times New Roman"/>
          <w:color w:val="000000" w:themeColor="text1"/>
          <w:sz w:val="24"/>
          <w:szCs w:val="24"/>
          <w:lang w:val="en-US"/>
        </w:rPr>
        <w:t>.</w:t>
      </w:r>
    </w:p>
    <w:p w14:paraId="6247D0F5" w14:textId="19B13D3B" w:rsidR="003A1F76" w:rsidRPr="008B2F56" w:rsidRDefault="00F84BE0"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One way of measuring the degree of economic inequality within a country</w:t>
      </w:r>
      <w:r w:rsidR="005A6410" w:rsidRPr="008B2F56">
        <w:rPr>
          <w:rFonts w:ascii="Times New Roman" w:hAnsi="Times New Roman" w:cs="Times New Roman"/>
          <w:color w:val="000000" w:themeColor="text1"/>
          <w:sz w:val="24"/>
          <w:szCs w:val="24"/>
          <w:lang w:val="en-US"/>
        </w:rPr>
        <w:t xml:space="preserve"> is</w:t>
      </w:r>
      <w:r w:rsidRPr="008B2F56">
        <w:rPr>
          <w:rFonts w:ascii="Times New Roman" w:hAnsi="Times New Roman" w:cs="Times New Roman"/>
          <w:color w:val="000000" w:themeColor="text1"/>
          <w:sz w:val="24"/>
          <w:szCs w:val="24"/>
          <w:lang w:val="en-US"/>
        </w:rPr>
        <w:t xml:space="preserve"> through the G</w:t>
      </w:r>
      <w:r w:rsidR="005A6410" w:rsidRPr="008B2F56">
        <w:rPr>
          <w:rFonts w:ascii="Times New Roman" w:hAnsi="Times New Roman" w:cs="Times New Roman"/>
          <w:color w:val="000000" w:themeColor="text1"/>
          <w:sz w:val="24"/>
          <w:szCs w:val="24"/>
          <w:lang w:val="en-US"/>
        </w:rPr>
        <w:t xml:space="preserve">ini </w:t>
      </w:r>
      <w:r w:rsidR="00E658C0" w:rsidRPr="008B2F56">
        <w:rPr>
          <w:rFonts w:ascii="Times New Roman" w:hAnsi="Times New Roman" w:cs="Times New Roman"/>
          <w:color w:val="000000" w:themeColor="text1"/>
          <w:sz w:val="24"/>
          <w:szCs w:val="24"/>
          <w:lang w:val="en-US"/>
        </w:rPr>
        <w:t>coefficient</w:t>
      </w:r>
      <w:r w:rsidR="003E2DE4" w:rsidRPr="008B2F56">
        <w:rPr>
          <w:rFonts w:ascii="Times New Roman" w:hAnsi="Times New Roman" w:cs="Times New Roman"/>
          <w:color w:val="000000" w:themeColor="text1"/>
          <w:sz w:val="24"/>
          <w:szCs w:val="24"/>
          <w:lang w:val="en-US"/>
        </w:rPr>
        <w:t>,</w:t>
      </w:r>
      <w:r w:rsidR="005A6410" w:rsidRPr="008B2F56">
        <w:rPr>
          <w:rFonts w:ascii="Times New Roman" w:hAnsi="Times New Roman" w:cs="Times New Roman"/>
          <w:color w:val="000000" w:themeColor="text1"/>
          <w:sz w:val="24"/>
          <w:szCs w:val="24"/>
          <w:lang w:val="en-US"/>
        </w:rPr>
        <w:t xml:space="preserve"> which measures the extent to which the distribution of income</w:t>
      </w:r>
      <w:r w:rsidRPr="008B2F56">
        <w:rPr>
          <w:rFonts w:ascii="Times New Roman" w:hAnsi="Times New Roman" w:cs="Times New Roman"/>
          <w:color w:val="000000" w:themeColor="text1"/>
          <w:sz w:val="24"/>
          <w:szCs w:val="24"/>
          <w:lang w:val="en-US"/>
        </w:rPr>
        <w:t xml:space="preserve"> </w:t>
      </w:r>
      <w:r w:rsidR="005A6410" w:rsidRPr="008B2F56">
        <w:rPr>
          <w:rFonts w:ascii="Times New Roman" w:hAnsi="Times New Roman" w:cs="Times New Roman"/>
          <w:color w:val="000000" w:themeColor="text1"/>
          <w:sz w:val="24"/>
          <w:szCs w:val="24"/>
          <w:lang w:val="en-US"/>
        </w:rPr>
        <w:t>among individuals or households within an economy deviates from a perfectly equal distribution</w:t>
      </w:r>
      <w:r w:rsidRPr="008B2F56">
        <w:rPr>
          <w:rFonts w:ascii="Times New Roman" w:hAnsi="Times New Roman" w:cs="Times New Roman"/>
          <w:color w:val="000000" w:themeColor="text1"/>
          <w:sz w:val="24"/>
          <w:szCs w:val="24"/>
          <w:lang w:val="en-US"/>
        </w:rPr>
        <w:t>.</w:t>
      </w:r>
      <w:r w:rsidR="00423C69" w:rsidRPr="008B2F56">
        <w:rPr>
          <w:rStyle w:val="FootnoteReference"/>
          <w:rFonts w:ascii="Times New Roman" w:hAnsi="Times New Roman" w:cs="Times New Roman"/>
        </w:rPr>
        <w:footnoteReference w:id="72"/>
      </w:r>
      <w:r w:rsidR="005A6410" w:rsidRPr="008B2F56">
        <w:rPr>
          <w:rFonts w:ascii="Times New Roman" w:hAnsi="Times New Roman" w:cs="Times New Roman"/>
          <w:color w:val="000000" w:themeColor="text1"/>
          <w:sz w:val="24"/>
          <w:szCs w:val="24"/>
          <w:lang w:val="en-US"/>
        </w:rPr>
        <w:t xml:space="preserve"> A Gini </w:t>
      </w:r>
      <w:r w:rsidR="00E658C0" w:rsidRPr="008B2F56">
        <w:rPr>
          <w:rFonts w:ascii="Times New Roman" w:hAnsi="Times New Roman" w:cs="Times New Roman"/>
          <w:color w:val="000000" w:themeColor="text1"/>
          <w:sz w:val="24"/>
          <w:szCs w:val="24"/>
          <w:lang w:val="en-US"/>
        </w:rPr>
        <w:t>coefficient</w:t>
      </w:r>
      <w:r w:rsidR="005A6410" w:rsidRPr="008B2F56">
        <w:rPr>
          <w:rFonts w:ascii="Times New Roman" w:hAnsi="Times New Roman" w:cs="Times New Roman"/>
          <w:color w:val="000000" w:themeColor="text1"/>
          <w:sz w:val="24"/>
          <w:szCs w:val="24"/>
          <w:lang w:val="en-US"/>
        </w:rPr>
        <w:t xml:space="preserve"> of 0 repres</w:t>
      </w:r>
      <w:r w:rsidR="00E658C0" w:rsidRPr="008B2F56">
        <w:rPr>
          <w:rFonts w:ascii="Times New Roman" w:hAnsi="Times New Roman" w:cs="Times New Roman"/>
          <w:color w:val="000000" w:themeColor="text1"/>
          <w:sz w:val="24"/>
          <w:szCs w:val="24"/>
          <w:lang w:val="en-US"/>
        </w:rPr>
        <w:t xml:space="preserve">ents perfect equality, while a coefficient </w:t>
      </w:r>
      <w:r w:rsidR="005A6410" w:rsidRPr="008B2F56">
        <w:rPr>
          <w:rFonts w:ascii="Times New Roman" w:hAnsi="Times New Roman" w:cs="Times New Roman"/>
          <w:color w:val="000000" w:themeColor="text1"/>
          <w:sz w:val="24"/>
          <w:szCs w:val="24"/>
          <w:lang w:val="en-US"/>
        </w:rPr>
        <w:t>of 100 implies perfect inequality.</w:t>
      </w:r>
      <w:r w:rsidRPr="008B2F56">
        <w:rPr>
          <w:rStyle w:val="FootnoteReference"/>
          <w:rFonts w:ascii="Times New Roman" w:hAnsi="Times New Roman" w:cs="Times New Roman"/>
        </w:rPr>
        <w:footnoteReference w:id="73"/>
      </w:r>
      <w:r w:rsidR="003A1F76" w:rsidRPr="008B2F56">
        <w:rPr>
          <w:rFonts w:ascii="Times New Roman" w:hAnsi="Times New Roman" w:cs="Times New Roman"/>
          <w:color w:val="000000" w:themeColor="text1"/>
          <w:sz w:val="24"/>
          <w:szCs w:val="24"/>
          <w:lang w:val="en-US"/>
        </w:rPr>
        <w:t xml:space="preserve"> </w:t>
      </w:r>
      <w:r w:rsidR="003E2DE4" w:rsidRPr="008B2F56">
        <w:rPr>
          <w:rFonts w:ascii="Times New Roman" w:hAnsi="Times New Roman" w:cs="Times New Roman"/>
          <w:color w:val="000000" w:themeColor="text1"/>
          <w:sz w:val="24"/>
          <w:szCs w:val="24"/>
          <w:lang w:val="en-US"/>
        </w:rPr>
        <w:t>D</w:t>
      </w:r>
      <w:r w:rsidR="00E54E66" w:rsidRPr="008B2F56">
        <w:rPr>
          <w:rFonts w:ascii="Times New Roman" w:hAnsi="Times New Roman" w:cs="Times New Roman"/>
          <w:color w:val="000000" w:themeColor="text1"/>
          <w:sz w:val="24"/>
          <w:szCs w:val="24"/>
          <w:lang w:val="en-US"/>
        </w:rPr>
        <w:t xml:space="preserve">ue to lack of data and inaccuracies in how data is gathered, </w:t>
      </w:r>
      <w:r w:rsidR="007D1CB7" w:rsidRPr="008B2F56">
        <w:rPr>
          <w:rFonts w:ascii="Times New Roman" w:hAnsi="Times New Roman" w:cs="Times New Roman"/>
          <w:color w:val="000000" w:themeColor="text1"/>
          <w:sz w:val="24"/>
          <w:szCs w:val="24"/>
          <w:lang w:val="en-US"/>
        </w:rPr>
        <w:t>it is challenging</w:t>
      </w:r>
      <w:r w:rsidR="00D94DE2" w:rsidRPr="008B2F56">
        <w:rPr>
          <w:rFonts w:ascii="Times New Roman" w:hAnsi="Times New Roman" w:cs="Times New Roman"/>
          <w:color w:val="000000" w:themeColor="text1"/>
          <w:sz w:val="24"/>
          <w:szCs w:val="24"/>
          <w:lang w:val="en-US"/>
        </w:rPr>
        <w:t xml:space="preserve"> </w:t>
      </w:r>
      <w:r w:rsidR="007D1CB7" w:rsidRPr="008B2F56">
        <w:rPr>
          <w:rFonts w:ascii="Times New Roman" w:hAnsi="Times New Roman" w:cs="Times New Roman"/>
          <w:color w:val="000000" w:themeColor="text1"/>
          <w:sz w:val="24"/>
          <w:szCs w:val="24"/>
          <w:lang w:val="en-US"/>
        </w:rPr>
        <w:t xml:space="preserve">to </w:t>
      </w:r>
      <w:r w:rsidR="00D94DE2" w:rsidRPr="008B2F56">
        <w:rPr>
          <w:rFonts w:ascii="Times New Roman" w:hAnsi="Times New Roman" w:cs="Times New Roman"/>
          <w:color w:val="000000" w:themeColor="text1"/>
          <w:sz w:val="24"/>
          <w:szCs w:val="24"/>
          <w:lang w:val="en-US"/>
        </w:rPr>
        <w:t xml:space="preserve">use the </w:t>
      </w:r>
      <w:r w:rsidR="00E54E66" w:rsidRPr="008B2F56">
        <w:rPr>
          <w:rFonts w:ascii="Times New Roman" w:hAnsi="Times New Roman" w:cs="Times New Roman"/>
          <w:color w:val="000000" w:themeColor="text1"/>
          <w:sz w:val="24"/>
          <w:szCs w:val="24"/>
          <w:lang w:val="en-US"/>
        </w:rPr>
        <w:t xml:space="preserve">Gini </w:t>
      </w:r>
      <w:r w:rsidR="00E658C0" w:rsidRPr="008B2F56">
        <w:rPr>
          <w:rFonts w:ascii="Times New Roman" w:hAnsi="Times New Roman" w:cs="Times New Roman"/>
          <w:color w:val="000000" w:themeColor="text1"/>
          <w:sz w:val="24"/>
          <w:szCs w:val="24"/>
          <w:lang w:val="en-US"/>
        </w:rPr>
        <w:t>coefficient</w:t>
      </w:r>
      <w:r w:rsidR="00E54E66" w:rsidRPr="008B2F56">
        <w:rPr>
          <w:rFonts w:ascii="Times New Roman" w:hAnsi="Times New Roman" w:cs="Times New Roman"/>
          <w:color w:val="000000" w:themeColor="text1"/>
          <w:sz w:val="24"/>
          <w:szCs w:val="24"/>
          <w:lang w:val="en-US"/>
        </w:rPr>
        <w:t xml:space="preserve"> </w:t>
      </w:r>
      <w:r w:rsidR="00D94DE2" w:rsidRPr="008B2F56">
        <w:rPr>
          <w:rFonts w:ascii="Times New Roman" w:hAnsi="Times New Roman" w:cs="Times New Roman"/>
          <w:color w:val="000000" w:themeColor="text1"/>
          <w:sz w:val="24"/>
          <w:szCs w:val="24"/>
          <w:lang w:val="en-US"/>
        </w:rPr>
        <w:t>to measure inequality on a country level.</w:t>
      </w:r>
      <w:r w:rsidR="00D94DE2" w:rsidRPr="008B2F56">
        <w:rPr>
          <w:rStyle w:val="FootnoteReference"/>
          <w:rFonts w:ascii="Times New Roman" w:hAnsi="Times New Roman" w:cs="Times New Roman"/>
        </w:rPr>
        <w:footnoteReference w:id="74"/>
      </w:r>
      <w:r w:rsidR="00F573D5" w:rsidRPr="008B2F56">
        <w:rPr>
          <w:rFonts w:ascii="Times New Roman" w:hAnsi="Times New Roman" w:cs="Times New Roman"/>
          <w:color w:val="000000" w:themeColor="text1"/>
          <w:sz w:val="24"/>
          <w:szCs w:val="24"/>
          <w:lang w:val="en-US"/>
        </w:rPr>
        <w:t xml:space="preserve"> Nevertheless, the Gini </w:t>
      </w:r>
      <w:r w:rsidR="00E658C0" w:rsidRPr="008B2F56">
        <w:rPr>
          <w:rFonts w:ascii="Times New Roman" w:hAnsi="Times New Roman" w:cs="Times New Roman"/>
          <w:color w:val="000000" w:themeColor="text1"/>
          <w:sz w:val="24"/>
          <w:szCs w:val="24"/>
          <w:lang w:val="en-US"/>
        </w:rPr>
        <w:t>coefficient</w:t>
      </w:r>
      <w:r w:rsidR="00F573D5" w:rsidRPr="008B2F56">
        <w:rPr>
          <w:rFonts w:ascii="Times New Roman" w:hAnsi="Times New Roman" w:cs="Times New Roman"/>
          <w:color w:val="000000" w:themeColor="text1"/>
          <w:sz w:val="24"/>
          <w:szCs w:val="24"/>
          <w:lang w:val="en-US"/>
        </w:rPr>
        <w:t xml:space="preserve"> may provide some guidance on the extent of inequality within certain groups of countries and for some countries over time. In general, </w:t>
      </w:r>
      <w:r w:rsidR="00C975C5" w:rsidRPr="008B2F56">
        <w:rPr>
          <w:rFonts w:ascii="Times New Roman" w:hAnsi="Times New Roman" w:cs="Times New Roman"/>
          <w:color w:val="000000" w:themeColor="text1"/>
          <w:sz w:val="24"/>
          <w:szCs w:val="24"/>
          <w:lang w:val="en-US"/>
        </w:rPr>
        <w:t xml:space="preserve">the Gini coefficient </w:t>
      </w:r>
      <w:r w:rsidR="00347E99" w:rsidRPr="008B2F56">
        <w:rPr>
          <w:rFonts w:ascii="Times New Roman" w:hAnsi="Times New Roman" w:cs="Times New Roman"/>
          <w:color w:val="000000" w:themeColor="text1"/>
          <w:sz w:val="24"/>
          <w:szCs w:val="24"/>
          <w:lang w:val="en-US"/>
        </w:rPr>
        <w:t>indicates</w:t>
      </w:r>
      <w:r w:rsidR="003E2DE4" w:rsidRPr="008B2F56">
        <w:rPr>
          <w:rFonts w:ascii="Times New Roman" w:hAnsi="Times New Roman" w:cs="Times New Roman"/>
          <w:color w:val="000000" w:themeColor="text1"/>
          <w:sz w:val="24"/>
          <w:szCs w:val="24"/>
          <w:lang w:val="en-US"/>
        </w:rPr>
        <w:t xml:space="preserve"> that </w:t>
      </w:r>
      <w:r w:rsidR="00F573D5" w:rsidRPr="008B2F56">
        <w:rPr>
          <w:rFonts w:ascii="Times New Roman" w:hAnsi="Times New Roman" w:cs="Times New Roman"/>
          <w:color w:val="000000" w:themeColor="text1"/>
          <w:sz w:val="24"/>
          <w:szCs w:val="24"/>
          <w:lang w:val="en-US"/>
        </w:rPr>
        <w:t xml:space="preserve">the level of inequality </w:t>
      </w:r>
      <w:r w:rsidR="00347E99" w:rsidRPr="008B2F56">
        <w:rPr>
          <w:rFonts w:ascii="Times New Roman" w:hAnsi="Times New Roman" w:cs="Times New Roman"/>
          <w:color w:val="000000" w:themeColor="text1"/>
          <w:sz w:val="24"/>
          <w:szCs w:val="24"/>
          <w:lang w:val="en-US"/>
        </w:rPr>
        <w:t>is</w:t>
      </w:r>
      <w:r w:rsidR="00F573D5" w:rsidRPr="008B2F56">
        <w:rPr>
          <w:rFonts w:ascii="Times New Roman" w:hAnsi="Times New Roman" w:cs="Times New Roman"/>
          <w:color w:val="000000" w:themeColor="text1"/>
          <w:sz w:val="24"/>
          <w:szCs w:val="24"/>
          <w:lang w:val="en-US"/>
        </w:rPr>
        <w:t xml:space="preserve"> </w:t>
      </w:r>
      <w:r w:rsidR="00C647DA" w:rsidRPr="008B2F56">
        <w:rPr>
          <w:rFonts w:ascii="Times New Roman" w:hAnsi="Times New Roman" w:cs="Times New Roman"/>
          <w:color w:val="000000" w:themeColor="text1"/>
          <w:sz w:val="24"/>
          <w:szCs w:val="24"/>
          <w:lang w:val="en-US"/>
        </w:rPr>
        <w:t>markedly</w:t>
      </w:r>
      <w:r w:rsidR="00F573D5" w:rsidRPr="008B2F56">
        <w:rPr>
          <w:rFonts w:ascii="Times New Roman" w:hAnsi="Times New Roman" w:cs="Times New Roman"/>
          <w:color w:val="000000" w:themeColor="text1"/>
          <w:sz w:val="24"/>
          <w:szCs w:val="24"/>
          <w:lang w:val="en-US"/>
        </w:rPr>
        <w:t xml:space="preserve"> higher in </w:t>
      </w:r>
      <w:r w:rsidR="00F573D5" w:rsidRPr="008B2F56">
        <w:rPr>
          <w:rFonts w:ascii="Times New Roman" w:hAnsi="Times New Roman" w:cs="Times New Roman"/>
          <w:color w:val="000000" w:themeColor="text1"/>
          <w:sz w:val="24"/>
          <w:szCs w:val="24"/>
          <w:lang w:val="en-US"/>
        </w:rPr>
        <w:lastRenderedPageBreak/>
        <w:t>LDCs than in the world as a whole</w:t>
      </w:r>
      <w:r w:rsidR="00AA2906" w:rsidRPr="008B2F56">
        <w:rPr>
          <w:rFonts w:ascii="Times New Roman" w:hAnsi="Times New Roman" w:cs="Times New Roman"/>
          <w:color w:val="000000" w:themeColor="text1"/>
          <w:sz w:val="24"/>
          <w:szCs w:val="24"/>
          <w:lang w:val="en-US"/>
        </w:rPr>
        <w:t xml:space="preserve"> and </w:t>
      </w:r>
      <w:r w:rsidR="00EC1993" w:rsidRPr="008B2F56">
        <w:rPr>
          <w:rFonts w:ascii="Times New Roman" w:hAnsi="Times New Roman" w:cs="Times New Roman"/>
          <w:color w:val="000000" w:themeColor="text1"/>
          <w:sz w:val="24"/>
          <w:szCs w:val="24"/>
          <w:lang w:val="en-US"/>
        </w:rPr>
        <w:t>much</w:t>
      </w:r>
      <w:r w:rsidR="00AA2906" w:rsidRPr="008B2F56">
        <w:rPr>
          <w:rFonts w:ascii="Times New Roman" w:hAnsi="Times New Roman" w:cs="Times New Roman"/>
          <w:color w:val="000000" w:themeColor="text1"/>
          <w:sz w:val="24"/>
          <w:szCs w:val="24"/>
          <w:lang w:val="en-US"/>
        </w:rPr>
        <w:t xml:space="preserve"> higher than </w:t>
      </w:r>
      <w:r w:rsidR="0007002B" w:rsidRPr="008B2F56">
        <w:rPr>
          <w:rFonts w:ascii="Times New Roman" w:hAnsi="Times New Roman" w:cs="Times New Roman"/>
          <w:color w:val="000000" w:themeColor="text1"/>
          <w:sz w:val="24"/>
          <w:szCs w:val="24"/>
          <w:lang w:val="en-US"/>
        </w:rPr>
        <w:t xml:space="preserve">in </w:t>
      </w:r>
      <w:r w:rsidR="00AA2906" w:rsidRPr="008B2F56">
        <w:rPr>
          <w:rFonts w:ascii="Times New Roman" w:hAnsi="Times New Roman" w:cs="Times New Roman"/>
          <w:color w:val="000000" w:themeColor="text1"/>
          <w:sz w:val="24"/>
          <w:szCs w:val="24"/>
          <w:lang w:val="en-US"/>
        </w:rPr>
        <w:t>OECD countries</w:t>
      </w:r>
      <w:r w:rsidR="0007002B" w:rsidRPr="008B2F56">
        <w:rPr>
          <w:rFonts w:ascii="Times New Roman" w:hAnsi="Times New Roman" w:cs="Times New Roman"/>
          <w:color w:val="000000" w:themeColor="text1"/>
          <w:sz w:val="24"/>
          <w:szCs w:val="24"/>
          <w:lang w:val="en-US"/>
        </w:rPr>
        <w:t>.</w:t>
      </w:r>
      <w:r w:rsidR="00F573D5" w:rsidRPr="008B2F56">
        <w:rPr>
          <w:rStyle w:val="FootnoteReference"/>
          <w:rFonts w:ascii="Times New Roman" w:hAnsi="Times New Roman" w:cs="Times New Roman"/>
        </w:rPr>
        <w:footnoteReference w:id="75"/>
      </w:r>
      <w:r w:rsidR="00F573D5" w:rsidRPr="008B2F56">
        <w:rPr>
          <w:rFonts w:ascii="Times New Roman" w:hAnsi="Times New Roman" w:cs="Times New Roman"/>
          <w:color w:val="000000" w:themeColor="text1"/>
          <w:sz w:val="24"/>
          <w:szCs w:val="24"/>
          <w:lang w:val="en-US"/>
        </w:rPr>
        <w:t xml:space="preserve"> </w:t>
      </w:r>
      <w:r w:rsidR="00347E99" w:rsidRPr="008B2F56">
        <w:rPr>
          <w:rFonts w:ascii="Times New Roman" w:hAnsi="Times New Roman" w:cs="Times New Roman"/>
          <w:color w:val="000000" w:themeColor="text1"/>
          <w:sz w:val="24"/>
          <w:szCs w:val="24"/>
          <w:lang w:val="en-US"/>
        </w:rPr>
        <w:t>F</w:t>
      </w:r>
      <w:r w:rsidR="00F573D5" w:rsidRPr="008B2F56">
        <w:rPr>
          <w:rFonts w:ascii="Times New Roman" w:hAnsi="Times New Roman" w:cs="Times New Roman"/>
          <w:color w:val="000000" w:themeColor="text1"/>
          <w:sz w:val="24"/>
          <w:szCs w:val="24"/>
          <w:lang w:val="en-US"/>
        </w:rPr>
        <w:t>igure 5</w:t>
      </w:r>
      <w:r w:rsidR="00347E99" w:rsidRPr="008B2F56">
        <w:rPr>
          <w:rFonts w:ascii="Times New Roman" w:hAnsi="Times New Roman" w:cs="Times New Roman"/>
          <w:color w:val="000000" w:themeColor="text1"/>
          <w:sz w:val="24"/>
          <w:szCs w:val="24"/>
          <w:lang w:val="en-US"/>
        </w:rPr>
        <w:t xml:space="preserve"> indicates that</w:t>
      </w:r>
      <w:r w:rsidR="00F573D5" w:rsidRPr="008B2F56">
        <w:rPr>
          <w:rFonts w:ascii="Times New Roman" w:hAnsi="Times New Roman" w:cs="Times New Roman"/>
          <w:color w:val="000000" w:themeColor="text1"/>
          <w:sz w:val="24"/>
          <w:szCs w:val="24"/>
          <w:lang w:val="en-US"/>
        </w:rPr>
        <w:t xml:space="preserve"> the difference </w:t>
      </w:r>
      <w:r w:rsidR="0007002B" w:rsidRPr="008B2F56">
        <w:rPr>
          <w:rFonts w:ascii="Times New Roman" w:hAnsi="Times New Roman" w:cs="Times New Roman"/>
          <w:color w:val="000000" w:themeColor="text1"/>
          <w:sz w:val="24"/>
          <w:szCs w:val="24"/>
          <w:lang w:val="en-US"/>
        </w:rPr>
        <w:t xml:space="preserve">between LDCs and the world as a whole </w:t>
      </w:r>
      <w:r w:rsidR="00F573D5" w:rsidRPr="008B2F56">
        <w:rPr>
          <w:rFonts w:ascii="Times New Roman" w:hAnsi="Times New Roman" w:cs="Times New Roman"/>
          <w:color w:val="000000" w:themeColor="text1"/>
          <w:sz w:val="24"/>
          <w:szCs w:val="24"/>
          <w:lang w:val="en-US"/>
        </w:rPr>
        <w:t>increase</w:t>
      </w:r>
      <w:r w:rsidR="00347E99" w:rsidRPr="008B2F56">
        <w:rPr>
          <w:rFonts w:ascii="Times New Roman" w:hAnsi="Times New Roman" w:cs="Times New Roman"/>
          <w:color w:val="000000" w:themeColor="text1"/>
          <w:sz w:val="24"/>
          <w:szCs w:val="24"/>
          <w:lang w:val="en-US"/>
        </w:rPr>
        <w:t>s</w:t>
      </w:r>
      <w:r w:rsidR="00F573D5" w:rsidRPr="008B2F56">
        <w:rPr>
          <w:rFonts w:ascii="Times New Roman" w:hAnsi="Times New Roman" w:cs="Times New Roman"/>
          <w:color w:val="000000" w:themeColor="text1"/>
          <w:sz w:val="24"/>
          <w:szCs w:val="24"/>
          <w:lang w:val="en-US"/>
        </w:rPr>
        <w:t xml:space="preserve">. </w:t>
      </w:r>
      <w:r w:rsidR="00876A14" w:rsidRPr="008B2F56">
        <w:rPr>
          <w:rFonts w:ascii="Times New Roman" w:hAnsi="Times New Roman" w:cs="Times New Roman"/>
          <w:color w:val="000000" w:themeColor="text1"/>
          <w:sz w:val="24"/>
          <w:szCs w:val="24"/>
          <w:lang w:val="en-US"/>
        </w:rPr>
        <w:t xml:space="preserve">These </w:t>
      </w:r>
      <w:r w:rsidR="00347E99" w:rsidRPr="008B2F56">
        <w:rPr>
          <w:rFonts w:ascii="Times New Roman" w:hAnsi="Times New Roman" w:cs="Times New Roman"/>
          <w:color w:val="000000" w:themeColor="text1"/>
          <w:sz w:val="24"/>
          <w:szCs w:val="24"/>
          <w:lang w:val="en-US"/>
        </w:rPr>
        <w:t>data</w:t>
      </w:r>
      <w:r w:rsidR="00876A14" w:rsidRPr="008B2F56">
        <w:rPr>
          <w:rFonts w:ascii="Times New Roman" w:hAnsi="Times New Roman" w:cs="Times New Roman"/>
          <w:color w:val="000000" w:themeColor="text1"/>
          <w:sz w:val="24"/>
          <w:szCs w:val="24"/>
          <w:lang w:val="en-US"/>
        </w:rPr>
        <w:t xml:space="preserve"> support the hypothesis that the variation in living conditions among different groups of a country’s population is likely to decrease with higher level of development.</w:t>
      </w:r>
    </w:p>
    <w:p w14:paraId="2E9C8EAA" w14:textId="04AB1AC0" w:rsidR="00874298" w:rsidRPr="008B2F56" w:rsidRDefault="00874298" w:rsidP="008D76EF">
      <w:pPr>
        <w:pStyle w:val="Heading3"/>
        <w:jc w:val="both"/>
        <w:rPr>
          <w:rFonts w:ascii="Times New Roman" w:hAnsi="Times New Roman" w:cs="Times New Roman"/>
          <w:lang w:val="en-US"/>
        </w:rPr>
      </w:pPr>
      <w:r w:rsidRPr="008B2F56">
        <w:rPr>
          <w:rFonts w:ascii="Times New Roman" w:hAnsi="Times New Roman" w:cs="Times New Roman"/>
          <w:lang w:val="en-US"/>
        </w:rPr>
        <w:t xml:space="preserve">Figure 5: Gini </w:t>
      </w:r>
      <w:r w:rsidR="00E70454" w:rsidRPr="008B2F56">
        <w:rPr>
          <w:rFonts w:ascii="Times New Roman" w:hAnsi="Times New Roman" w:cs="Times New Roman"/>
          <w:lang w:val="en-US"/>
        </w:rPr>
        <w:t>coefficients</w:t>
      </w:r>
      <w:r w:rsidRPr="008B2F56">
        <w:rPr>
          <w:rFonts w:ascii="Times New Roman" w:hAnsi="Times New Roman" w:cs="Times New Roman"/>
          <w:lang w:val="en-US"/>
        </w:rPr>
        <w:t xml:space="preserve"> </w:t>
      </w:r>
      <w:r w:rsidR="00E70454" w:rsidRPr="008B2F56">
        <w:rPr>
          <w:rFonts w:ascii="Times New Roman" w:hAnsi="Times New Roman" w:cs="Times New Roman"/>
          <w:lang w:val="en-US"/>
        </w:rPr>
        <w:t>1985</w:t>
      </w:r>
      <w:r w:rsidRPr="008B2F56">
        <w:rPr>
          <w:rFonts w:ascii="Times New Roman" w:hAnsi="Times New Roman" w:cs="Times New Roman"/>
          <w:lang w:val="en-US"/>
        </w:rPr>
        <w:t xml:space="preserve">-2016 </w:t>
      </w:r>
      <w:r w:rsidR="003752D3" w:rsidRPr="008B2F56">
        <w:rPr>
          <w:rFonts w:ascii="Times New Roman" w:hAnsi="Times New Roman" w:cs="Times New Roman"/>
          <w:lang w:val="en-US"/>
        </w:rPr>
        <w:t xml:space="preserve">for </w:t>
      </w:r>
      <w:r w:rsidR="0007002B" w:rsidRPr="008B2F56">
        <w:rPr>
          <w:rFonts w:ascii="Times New Roman" w:hAnsi="Times New Roman" w:cs="Times New Roman"/>
          <w:lang w:val="en-US"/>
        </w:rPr>
        <w:t>LDCs, the world</w:t>
      </w:r>
      <w:r w:rsidR="00C975C5" w:rsidRPr="008B2F56">
        <w:rPr>
          <w:rFonts w:ascii="Times New Roman" w:hAnsi="Times New Roman" w:cs="Times New Roman"/>
          <w:lang w:val="en-US"/>
        </w:rPr>
        <w:t xml:space="preserve"> and</w:t>
      </w:r>
      <w:r w:rsidR="00AA2906" w:rsidRPr="008B2F56">
        <w:rPr>
          <w:rFonts w:ascii="Times New Roman" w:hAnsi="Times New Roman" w:cs="Times New Roman"/>
          <w:lang w:val="en-US"/>
        </w:rPr>
        <w:t xml:space="preserve"> OECD </w:t>
      </w:r>
      <w:r w:rsidRPr="008B2F56">
        <w:rPr>
          <w:rFonts w:ascii="Times New Roman" w:hAnsi="Times New Roman" w:cs="Times New Roman"/>
          <w:lang w:val="en-US"/>
        </w:rPr>
        <w:t>countries</w:t>
      </w:r>
      <w:r w:rsidR="002E544B" w:rsidRPr="008B2F56">
        <w:rPr>
          <w:rFonts w:ascii="Times New Roman" w:hAnsi="Times New Roman" w:cs="Times New Roman"/>
          <w:lang w:val="en-US"/>
        </w:rPr>
        <w:t xml:space="preserve"> (0=equal, 100=</w:t>
      </w:r>
      <w:r w:rsidR="003752D3" w:rsidRPr="008B2F56">
        <w:rPr>
          <w:rFonts w:ascii="Times New Roman" w:hAnsi="Times New Roman" w:cs="Times New Roman"/>
          <w:lang w:val="en-US"/>
        </w:rPr>
        <w:t>i</w:t>
      </w:r>
      <w:r w:rsidR="002E544B" w:rsidRPr="008B2F56">
        <w:rPr>
          <w:rFonts w:ascii="Times New Roman" w:hAnsi="Times New Roman" w:cs="Times New Roman"/>
          <w:lang w:val="en-US"/>
        </w:rPr>
        <w:t>nequal)</w:t>
      </w:r>
      <w:r w:rsidRPr="008B2F56">
        <w:rPr>
          <w:rStyle w:val="FootnoteReference"/>
          <w:rFonts w:ascii="Times New Roman" w:hAnsi="Times New Roman" w:cs="Times New Roman"/>
        </w:rPr>
        <w:footnoteReference w:id="76"/>
      </w:r>
    </w:p>
    <w:p w14:paraId="0E79C0F0" w14:textId="3A2CE9CD" w:rsidR="007B138A" w:rsidRPr="008B2F56" w:rsidRDefault="007B138A"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noProof/>
          <w:color w:val="000000" w:themeColor="text1"/>
          <w:sz w:val="24"/>
          <w:szCs w:val="24"/>
          <w:lang w:val="nb-NO" w:eastAsia="nb-NO"/>
        </w:rPr>
        <w:drawing>
          <wp:inline distT="0" distB="0" distL="0" distR="0" wp14:anchorId="712AB54A" wp14:editId="2AE4B614">
            <wp:extent cx="6079490" cy="1876507"/>
            <wp:effectExtent l="0" t="0" r="16510" b="9525"/>
            <wp:docPr id="10" name="Diagram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F028FC" w14:textId="1F3B2DC7" w:rsidR="006838E3" w:rsidRPr="008B2F56" w:rsidRDefault="00876A14"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If we take a closer look at data for the six LDCs for which </w:t>
      </w:r>
      <w:r w:rsidR="00347E99" w:rsidRPr="008B2F56">
        <w:rPr>
          <w:rFonts w:ascii="Times New Roman" w:hAnsi="Times New Roman" w:cs="Times New Roman"/>
          <w:color w:val="000000" w:themeColor="text1"/>
          <w:sz w:val="24"/>
          <w:szCs w:val="24"/>
          <w:lang w:val="en-US"/>
        </w:rPr>
        <w:t>the most extensive</w:t>
      </w:r>
      <w:r w:rsidRPr="008B2F56">
        <w:rPr>
          <w:rFonts w:ascii="Times New Roman" w:hAnsi="Times New Roman" w:cs="Times New Roman"/>
          <w:color w:val="000000" w:themeColor="text1"/>
          <w:sz w:val="24"/>
          <w:szCs w:val="24"/>
          <w:lang w:val="en-US"/>
        </w:rPr>
        <w:t xml:space="preserve"> data is available,</w:t>
      </w:r>
      <w:r w:rsidRPr="008B2F56">
        <w:rPr>
          <w:rStyle w:val="FootnoteReference"/>
          <w:rFonts w:ascii="Times New Roman" w:hAnsi="Times New Roman" w:cs="Times New Roman"/>
        </w:rPr>
        <w:footnoteReference w:id="77"/>
      </w:r>
      <w:r w:rsidRPr="008B2F56">
        <w:rPr>
          <w:rFonts w:ascii="Times New Roman" w:hAnsi="Times New Roman" w:cs="Times New Roman"/>
          <w:color w:val="000000" w:themeColor="text1"/>
          <w:sz w:val="24"/>
          <w:szCs w:val="24"/>
          <w:lang w:val="en-US"/>
        </w:rPr>
        <w:t xml:space="preserve"> we see significant variation among the LDCs in terms of both level of inequality and development trajectories (figure 6). </w:t>
      </w:r>
      <w:r w:rsidR="006E7A3F" w:rsidRPr="008B2F56">
        <w:rPr>
          <w:rFonts w:ascii="Times New Roman" w:hAnsi="Times New Roman" w:cs="Times New Roman"/>
          <w:color w:val="000000" w:themeColor="text1"/>
          <w:sz w:val="24"/>
          <w:szCs w:val="24"/>
          <w:lang w:val="en-US"/>
        </w:rPr>
        <w:t xml:space="preserve">While the </w:t>
      </w:r>
      <w:r w:rsidR="004E0A54" w:rsidRPr="008B2F56">
        <w:rPr>
          <w:rFonts w:ascii="Times New Roman" w:hAnsi="Times New Roman" w:cs="Times New Roman"/>
          <w:color w:val="000000" w:themeColor="text1"/>
          <w:sz w:val="24"/>
          <w:szCs w:val="24"/>
          <w:lang w:val="en-US"/>
        </w:rPr>
        <w:t>Gini coefficients</w:t>
      </w:r>
      <w:r w:rsidR="006E7A3F" w:rsidRPr="008B2F56">
        <w:rPr>
          <w:rFonts w:ascii="Times New Roman" w:hAnsi="Times New Roman" w:cs="Times New Roman"/>
          <w:color w:val="000000" w:themeColor="text1"/>
          <w:sz w:val="24"/>
          <w:szCs w:val="24"/>
          <w:lang w:val="en-US"/>
        </w:rPr>
        <w:t xml:space="preserve"> indicate that </w:t>
      </w:r>
      <w:r w:rsidR="00DB1D33" w:rsidRPr="008B2F56">
        <w:rPr>
          <w:rFonts w:ascii="Times New Roman" w:hAnsi="Times New Roman" w:cs="Times New Roman"/>
          <w:color w:val="000000" w:themeColor="text1"/>
          <w:sz w:val="24"/>
          <w:szCs w:val="24"/>
          <w:lang w:val="en-US"/>
        </w:rPr>
        <w:t xml:space="preserve">currently some LDCs have </w:t>
      </w:r>
      <w:r w:rsidR="006E7A3F" w:rsidRPr="008B2F56">
        <w:rPr>
          <w:rFonts w:ascii="Times New Roman" w:hAnsi="Times New Roman" w:cs="Times New Roman"/>
          <w:color w:val="000000" w:themeColor="text1"/>
          <w:sz w:val="24"/>
          <w:szCs w:val="24"/>
          <w:lang w:val="en-US"/>
        </w:rPr>
        <w:t xml:space="preserve">inequality </w:t>
      </w:r>
      <w:r w:rsidR="00DB1D33" w:rsidRPr="008B2F56">
        <w:rPr>
          <w:rFonts w:ascii="Times New Roman" w:hAnsi="Times New Roman" w:cs="Times New Roman"/>
          <w:color w:val="000000" w:themeColor="text1"/>
          <w:sz w:val="24"/>
          <w:szCs w:val="24"/>
          <w:lang w:val="en-US"/>
        </w:rPr>
        <w:t>levels that are</w:t>
      </w:r>
      <w:r w:rsidR="006E7A3F" w:rsidRPr="008B2F56">
        <w:rPr>
          <w:rFonts w:ascii="Times New Roman" w:hAnsi="Times New Roman" w:cs="Times New Roman"/>
          <w:color w:val="000000" w:themeColor="text1"/>
          <w:sz w:val="24"/>
          <w:szCs w:val="24"/>
          <w:lang w:val="en-US"/>
        </w:rPr>
        <w:t xml:space="preserve"> close to the average of OECD countries </w:t>
      </w:r>
      <w:r w:rsidR="00DB1D33" w:rsidRPr="008B2F56">
        <w:rPr>
          <w:rFonts w:ascii="Times New Roman" w:hAnsi="Times New Roman" w:cs="Times New Roman"/>
          <w:color w:val="000000" w:themeColor="text1"/>
          <w:sz w:val="24"/>
          <w:szCs w:val="24"/>
          <w:lang w:val="en-US"/>
        </w:rPr>
        <w:t>(</w:t>
      </w:r>
      <w:r w:rsidR="006E7A3F" w:rsidRPr="008B2F56">
        <w:rPr>
          <w:rFonts w:ascii="Times New Roman" w:hAnsi="Times New Roman" w:cs="Times New Roman"/>
          <w:color w:val="000000" w:themeColor="text1"/>
          <w:sz w:val="24"/>
          <w:szCs w:val="24"/>
          <w:lang w:val="en-US"/>
        </w:rPr>
        <w:t>Bangladesh, Mauretania</w:t>
      </w:r>
      <w:r w:rsidR="006838E3" w:rsidRPr="008B2F56">
        <w:rPr>
          <w:rFonts w:ascii="Times New Roman" w:hAnsi="Times New Roman" w:cs="Times New Roman"/>
          <w:color w:val="000000" w:themeColor="text1"/>
          <w:sz w:val="24"/>
          <w:szCs w:val="24"/>
          <w:lang w:val="en-US"/>
        </w:rPr>
        <w:t xml:space="preserve"> </w:t>
      </w:r>
      <w:r w:rsidR="006E7A3F" w:rsidRPr="008B2F56">
        <w:rPr>
          <w:rFonts w:ascii="Times New Roman" w:hAnsi="Times New Roman" w:cs="Times New Roman"/>
          <w:color w:val="000000" w:themeColor="text1"/>
          <w:sz w:val="24"/>
          <w:szCs w:val="24"/>
          <w:lang w:val="en-US"/>
        </w:rPr>
        <w:t>and Niger</w:t>
      </w:r>
      <w:r w:rsidR="00DB1D33" w:rsidRPr="008B2F56">
        <w:rPr>
          <w:rFonts w:ascii="Times New Roman" w:hAnsi="Times New Roman" w:cs="Times New Roman"/>
          <w:color w:val="000000" w:themeColor="text1"/>
          <w:sz w:val="24"/>
          <w:szCs w:val="24"/>
          <w:lang w:val="en-US"/>
        </w:rPr>
        <w:t>)</w:t>
      </w:r>
      <w:r w:rsidR="006E7A3F" w:rsidRPr="008B2F56">
        <w:rPr>
          <w:rFonts w:ascii="Times New Roman" w:hAnsi="Times New Roman" w:cs="Times New Roman"/>
          <w:color w:val="000000" w:themeColor="text1"/>
          <w:sz w:val="24"/>
          <w:szCs w:val="24"/>
          <w:lang w:val="en-US"/>
        </w:rPr>
        <w:t xml:space="preserve">, levels of inequality seem to be much higher in </w:t>
      </w:r>
      <w:r w:rsidR="00DB1D33" w:rsidRPr="008B2F56">
        <w:rPr>
          <w:rFonts w:ascii="Times New Roman" w:hAnsi="Times New Roman" w:cs="Times New Roman"/>
          <w:color w:val="000000" w:themeColor="text1"/>
          <w:sz w:val="24"/>
          <w:szCs w:val="24"/>
          <w:lang w:val="en-US"/>
        </w:rPr>
        <w:t>other LDCs (</w:t>
      </w:r>
      <w:r w:rsidR="006E7A3F" w:rsidRPr="008B2F56">
        <w:rPr>
          <w:rFonts w:ascii="Times New Roman" w:hAnsi="Times New Roman" w:cs="Times New Roman"/>
          <w:color w:val="000000" w:themeColor="text1"/>
          <w:sz w:val="24"/>
          <w:szCs w:val="24"/>
          <w:lang w:val="en-US"/>
        </w:rPr>
        <w:t>Madagascar, Uganda and Zambia</w:t>
      </w:r>
      <w:r w:rsidR="00DB1D33" w:rsidRPr="008B2F56">
        <w:rPr>
          <w:rFonts w:ascii="Times New Roman" w:hAnsi="Times New Roman" w:cs="Times New Roman"/>
          <w:color w:val="000000" w:themeColor="text1"/>
          <w:sz w:val="24"/>
          <w:szCs w:val="24"/>
          <w:lang w:val="en-US"/>
        </w:rPr>
        <w:t>)</w:t>
      </w:r>
      <w:r w:rsidR="006E7A3F" w:rsidRPr="008B2F56">
        <w:rPr>
          <w:rFonts w:ascii="Times New Roman" w:hAnsi="Times New Roman" w:cs="Times New Roman"/>
          <w:color w:val="000000" w:themeColor="text1"/>
          <w:sz w:val="24"/>
          <w:szCs w:val="24"/>
          <w:lang w:val="en-US"/>
        </w:rPr>
        <w:t xml:space="preserve">. </w:t>
      </w:r>
      <w:r w:rsidR="00DB1D33" w:rsidRPr="008B2F56">
        <w:rPr>
          <w:rFonts w:ascii="Times New Roman" w:hAnsi="Times New Roman" w:cs="Times New Roman"/>
          <w:color w:val="000000" w:themeColor="text1"/>
          <w:sz w:val="24"/>
          <w:szCs w:val="24"/>
          <w:lang w:val="en-US"/>
        </w:rPr>
        <w:t xml:space="preserve">Ten more </w:t>
      </w:r>
      <w:r w:rsidR="006E7A3F" w:rsidRPr="008B2F56">
        <w:rPr>
          <w:rFonts w:ascii="Times New Roman" w:hAnsi="Times New Roman" w:cs="Times New Roman"/>
          <w:color w:val="000000" w:themeColor="text1"/>
          <w:sz w:val="24"/>
          <w:szCs w:val="24"/>
          <w:lang w:val="en-US"/>
        </w:rPr>
        <w:t xml:space="preserve">LDCs </w:t>
      </w:r>
      <w:r w:rsidR="00DB1D33" w:rsidRPr="008B2F56">
        <w:rPr>
          <w:rFonts w:ascii="Times New Roman" w:hAnsi="Times New Roman" w:cs="Times New Roman"/>
          <w:color w:val="000000" w:themeColor="text1"/>
          <w:sz w:val="24"/>
          <w:szCs w:val="24"/>
          <w:lang w:val="en-US"/>
        </w:rPr>
        <w:t xml:space="preserve">have had </w:t>
      </w:r>
      <w:r w:rsidR="00347E99" w:rsidRPr="008B2F56">
        <w:rPr>
          <w:rFonts w:ascii="Times New Roman" w:hAnsi="Times New Roman" w:cs="Times New Roman"/>
          <w:color w:val="000000" w:themeColor="text1"/>
          <w:sz w:val="24"/>
          <w:szCs w:val="24"/>
          <w:lang w:val="en-US"/>
        </w:rPr>
        <w:t xml:space="preserve">particularly high levels of inequality </w:t>
      </w:r>
      <w:r w:rsidR="00FA15BE" w:rsidRPr="008B2F56">
        <w:rPr>
          <w:rFonts w:ascii="Times New Roman" w:hAnsi="Times New Roman" w:cs="Times New Roman"/>
          <w:color w:val="000000" w:themeColor="text1"/>
          <w:sz w:val="24"/>
          <w:szCs w:val="24"/>
          <w:lang w:val="en-US"/>
        </w:rPr>
        <w:t>in recent years</w:t>
      </w:r>
      <w:r w:rsidR="00347E99" w:rsidRPr="008B2F56">
        <w:rPr>
          <w:rFonts w:ascii="Times New Roman" w:hAnsi="Times New Roman" w:cs="Times New Roman"/>
          <w:color w:val="000000" w:themeColor="text1"/>
          <w:sz w:val="24"/>
          <w:szCs w:val="24"/>
          <w:lang w:val="en-US"/>
        </w:rPr>
        <w:t xml:space="preserve"> according to their Gini coefficients</w:t>
      </w:r>
      <w:r w:rsidR="00FC7DF4" w:rsidRPr="008B2F56">
        <w:rPr>
          <w:rFonts w:ascii="Times New Roman" w:hAnsi="Times New Roman" w:cs="Times New Roman"/>
          <w:color w:val="000000" w:themeColor="text1"/>
          <w:sz w:val="24"/>
          <w:szCs w:val="24"/>
          <w:lang w:val="en-US"/>
        </w:rPr>
        <w:t>.</w:t>
      </w:r>
      <w:r w:rsidR="00FC7DF4" w:rsidRPr="008B2F56">
        <w:rPr>
          <w:rStyle w:val="FootnoteReference"/>
          <w:rFonts w:ascii="Times New Roman" w:hAnsi="Times New Roman" w:cs="Times New Roman"/>
        </w:rPr>
        <w:footnoteReference w:id="78"/>
      </w:r>
      <w:r w:rsidR="00FA15BE" w:rsidRPr="008B2F56">
        <w:rPr>
          <w:rFonts w:ascii="Times New Roman" w:hAnsi="Times New Roman" w:cs="Times New Roman"/>
          <w:color w:val="000000" w:themeColor="text1"/>
          <w:sz w:val="24"/>
          <w:szCs w:val="24"/>
          <w:lang w:val="en-US"/>
        </w:rPr>
        <w:t xml:space="preserve"> </w:t>
      </w:r>
      <w:r w:rsidR="00347E99" w:rsidRPr="008B2F56">
        <w:rPr>
          <w:rFonts w:ascii="Times New Roman" w:hAnsi="Times New Roman" w:cs="Times New Roman"/>
          <w:color w:val="000000" w:themeColor="text1"/>
          <w:sz w:val="24"/>
          <w:szCs w:val="24"/>
          <w:lang w:val="en-US"/>
        </w:rPr>
        <w:t>If</w:t>
      </w:r>
      <w:r w:rsidR="00E70454" w:rsidRPr="008B2F56">
        <w:rPr>
          <w:rFonts w:ascii="Times New Roman" w:hAnsi="Times New Roman" w:cs="Times New Roman"/>
          <w:color w:val="000000" w:themeColor="text1"/>
          <w:sz w:val="24"/>
          <w:szCs w:val="24"/>
          <w:lang w:val="en-US"/>
        </w:rPr>
        <w:t xml:space="preserve"> a high</w:t>
      </w:r>
      <w:r w:rsidR="004E0A54" w:rsidRPr="008B2F56">
        <w:rPr>
          <w:rFonts w:ascii="Times New Roman" w:hAnsi="Times New Roman" w:cs="Times New Roman"/>
          <w:color w:val="000000" w:themeColor="text1"/>
          <w:sz w:val="24"/>
          <w:szCs w:val="24"/>
          <w:lang w:val="en-US"/>
        </w:rPr>
        <w:t xml:space="preserve"> </w:t>
      </w:r>
      <w:r w:rsidR="00E70454" w:rsidRPr="008B2F56">
        <w:rPr>
          <w:rFonts w:ascii="Times New Roman" w:hAnsi="Times New Roman" w:cs="Times New Roman"/>
          <w:color w:val="000000" w:themeColor="text1"/>
          <w:sz w:val="24"/>
          <w:szCs w:val="24"/>
          <w:lang w:val="en-US"/>
        </w:rPr>
        <w:t>level</w:t>
      </w:r>
      <w:r w:rsidR="004E0A54" w:rsidRPr="008B2F56">
        <w:rPr>
          <w:rFonts w:ascii="Times New Roman" w:hAnsi="Times New Roman" w:cs="Times New Roman"/>
          <w:color w:val="000000" w:themeColor="text1"/>
          <w:sz w:val="24"/>
          <w:szCs w:val="24"/>
          <w:lang w:val="en-US"/>
        </w:rPr>
        <w:t xml:space="preserve"> of inequality </w:t>
      </w:r>
      <w:r w:rsidR="00E70454" w:rsidRPr="008B2F56">
        <w:rPr>
          <w:rFonts w:ascii="Times New Roman" w:hAnsi="Times New Roman" w:cs="Times New Roman"/>
          <w:color w:val="000000" w:themeColor="text1"/>
          <w:sz w:val="24"/>
          <w:szCs w:val="24"/>
          <w:lang w:val="en-US"/>
        </w:rPr>
        <w:t>reduces a host country’s</w:t>
      </w:r>
      <w:r w:rsidR="004E0A54" w:rsidRPr="008B2F56">
        <w:rPr>
          <w:rFonts w:ascii="Times New Roman" w:hAnsi="Times New Roman" w:cs="Times New Roman"/>
          <w:color w:val="000000" w:themeColor="text1"/>
          <w:sz w:val="24"/>
          <w:szCs w:val="24"/>
          <w:lang w:val="en-US"/>
        </w:rPr>
        <w:t xml:space="preserve"> ability to </w:t>
      </w:r>
      <w:r w:rsidR="00E70454" w:rsidRPr="008B2F56">
        <w:rPr>
          <w:rFonts w:ascii="Times New Roman" w:hAnsi="Times New Roman" w:cs="Times New Roman"/>
          <w:color w:val="000000" w:themeColor="text1"/>
          <w:sz w:val="24"/>
          <w:szCs w:val="24"/>
          <w:lang w:val="en-US"/>
        </w:rPr>
        <w:t xml:space="preserve">establish general rules that </w:t>
      </w:r>
      <w:r w:rsidR="004E0A54" w:rsidRPr="008B2F56">
        <w:rPr>
          <w:rFonts w:ascii="Times New Roman" w:hAnsi="Times New Roman" w:cs="Times New Roman"/>
          <w:color w:val="000000" w:themeColor="text1"/>
          <w:sz w:val="24"/>
          <w:szCs w:val="24"/>
          <w:lang w:val="en-US"/>
        </w:rPr>
        <w:t xml:space="preserve">balance the interests of foreign investors against </w:t>
      </w:r>
      <w:r w:rsidR="00E70454" w:rsidRPr="008B2F56">
        <w:rPr>
          <w:rFonts w:ascii="Times New Roman" w:hAnsi="Times New Roman" w:cs="Times New Roman"/>
          <w:color w:val="000000" w:themeColor="text1"/>
          <w:sz w:val="24"/>
          <w:szCs w:val="24"/>
          <w:lang w:val="en-US"/>
        </w:rPr>
        <w:t xml:space="preserve">other </w:t>
      </w:r>
      <w:r w:rsidR="004E0A54" w:rsidRPr="008B2F56">
        <w:rPr>
          <w:rFonts w:ascii="Times New Roman" w:hAnsi="Times New Roman" w:cs="Times New Roman"/>
          <w:color w:val="000000" w:themeColor="text1"/>
          <w:sz w:val="24"/>
          <w:szCs w:val="24"/>
          <w:lang w:val="en-US"/>
        </w:rPr>
        <w:t xml:space="preserve">interests, </w:t>
      </w:r>
      <w:r w:rsidR="000D758A" w:rsidRPr="008B2F56">
        <w:rPr>
          <w:rFonts w:ascii="Times New Roman" w:hAnsi="Times New Roman" w:cs="Times New Roman"/>
          <w:color w:val="000000" w:themeColor="text1"/>
          <w:sz w:val="24"/>
          <w:szCs w:val="24"/>
          <w:lang w:val="en-US"/>
        </w:rPr>
        <w:t xml:space="preserve">the </w:t>
      </w:r>
      <w:r w:rsidR="00E70454" w:rsidRPr="008B2F56">
        <w:rPr>
          <w:rFonts w:ascii="Times New Roman" w:hAnsi="Times New Roman" w:cs="Times New Roman"/>
          <w:color w:val="000000" w:themeColor="text1"/>
          <w:sz w:val="24"/>
          <w:szCs w:val="24"/>
          <w:lang w:val="en-US"/>
        </w:rPr>
        <w:t>LDCs with a high Gini coefficient</w:t>
      </w:r>
      <w:r w:rsidR="000D758A" w:rsidRPr="008B2F56">
        <w:rPr>
          <w:rFonts w:ascii="Times New Roman" w:hAnsi="Times New Roman" w:cs="Times New Roman"/>
          <w:color w:val="000000" w:themeColor="text1"/>
          <w:sz w:val="24"/>
          <w:szCs w:val="24"/>
          <w:lang w:val="en-US"/>
        </w:rPr>
        <w:t xml:space="preserve"> should </w:t>
      </w:r>
      <w:r w:rsidR="00E70454" w:rsidRPr="008B2F56">
        <w:rPr>
          <w:rFonts w:ascii="Times New Roman" w:hAnsi="Times New Roman" w:cs="Times New Roman"/>
          <w:color w:val="000000" w:themeColor="text1"/>
          <w:sz w:val="24"/>
          <w:szCs w:val="24"/>
          <w:lang w:val="en-US"/>
        </w:rPr>
        <w:t>avoid</w:t>
      </w:r>
      <w:r w:rsidR="000D758A" w:rsidRPr="008B2F56">
        <w:rPr>
          <w:rFonts w:ascii="Times New Roman" w:hAnsi="Times New Roman" w:cs="Times New Roman"/>
          <w:color w:val="000000" w:themeColor="text1"/>
          <w:sz w:val="24"/>
          <w:szCs w:val="24"/>
          <w:lang w:val="en-US"/>
        </w:rPr>
        <w:t xml:space="preserve"> accept</w:t>
      </w:r>
      <w:r w:rsidR="00E70454" w:rsidRPr="008B2F56">
        <w:rPr>
          <w:rFonts w:ascii="Times New Roman" w:hAnsi="Times New Roman" w:cs="Times New Roman"/>
          <w:color w:val="000000" w:themeColor="text1"/>
          <w:sz w:val="24"/>
          <w:szCs w:val="24"/>
          <w:lang w:val="en-US"/>
        </w:rPr>
        <w:t>ing</w:t>
      </w:r>
      <w:r w:rsidR="000D758A" w:rsidRPr="008B2F56">
        <w:rPr>
          <w:rFonts w:ascii="Times New Roman" w:hAnsi="Times New Roman" w:cs="Times New Roman"/>
          <w:color w:val="000000" w:themeColor="text1"/>
          <w:sz w:val="24"/>
          <w:szCs w:val="24"/>
          <w:lang w:val="en-US"/>
        </w:rPr>
        <w:t xml:space="preserve"> </w:t>
      </w:r>
      <w:r w:rsidR="00166BA1" w:rsidRPr="008B2F56">
        <w:rPr>
          <w:rFonts w:ascii="Times New Roman" w:hAnsi="Times New Roman" w:cs="Times New Roman"/>
          <w:color w:val="000000" w:themeColor="text1"/>
          <w:sz w:val="24"/>
          <w:szCs w:val="24"/>
          <w:lang w:val="en-US"/>
        </w:rPr>
        <w:t>IIAs</w:t>
      </w:r>
      <w:r w:rsidR="000D758A" w:rsidRPr="008B2F56">
        <w:rPr>
          <w:rFonts w:ascii="Times New Roman" w:hAnsi="Times New Roman" w:cs="Times New Roman"/>
          <w:color w:val="000000" w:themeColor="text1"/>
          <w:sz w:val="24"/>
          <w:szCs w:val="24"/>
          <w:lang w:val="en-US"/>
        </w:rPr>
        <w:t xml:space="preserve"> or adopt </w:t>
      </w:r>
      <w:r w:rsidR="00E70454" w:rsidRPr="008B2F56">
        <w:rPr>
          <w:rFonts w:ascii="Times New Roman" w:hAnsi="Times New Roman" w:cs="Times New Roman"/>
          <w:color w:val="000000" w:themeColor="text1"/>
          <w:sz w:val="24"/>
          <w:szCs w:val="24"/>
          <w:lang w:val="en-US"/>
        </w:rPr>
        <w:t xml:space="preserve">general </w:t>
      </w:r>
      <w:r w:rsidR="000D758A" w:rsidRPr="008B2F56">
        <w:rPr>
          <w:rFonts w:ascii="Times New Roman" w:hAnsi="Times New Roman" w:cs="Times New Roman"/>
          <w:color w:val="000000" w:themeColor="text1"/>
          <w:sz w:val="24"/>
          <w:szCs w:val="24"/>
          <w:lang w:val="en-US"/>
        </w:rPr>
        <w:t xml:space="preserve">legislation that protect </w:t>
      </w:r>
      <w:r w:rsidR="00166BA1" w:rsidRPr="008B2F56">
        <w:rPr>
          <w:rFonts w:ascii="Times New Roman" w:hAnsi="Times New Roman" w:cs="Times New Roman"/>
          <w:color w:val="000000" w:themeColor="text1"/>
          <w:sz w:val="24"/>
          <w:szCs w:val="24"/>
          <w:lang w:val="en-US"/>
        </w:rPr>
        <w:t>FDI</w:t>
      </w:r>
      <w:r w:rsidR="000D758A" w:rsidRPr="008B2F56">
        <w:rPr>
          <w:rFonts w:ascii="Times New Roman" w:hAnsi="Times New Roman" w:cs="Times New Roman"/>
          <w:color w:val="000000" w:themeColor="text1"/>
          <w:sz w:val="24"/>
          <w:szCs w:val="24"/>
          <w:lang w:val="en-US"/>
        </w:rPr>
        <w:t>.</w:t>
      </w:r>
      <w:r w:rsidR="004E0A54" w:rsidRPr="008B2F56">
        <w:rPr>
          <w:rFonts w:ascii="Times New Roman" w:hAnsi="Times New Roman" w:cs="Times New Roman"/>
          <w:color w:val="000000" w:themeColor="text1"/>
          <w:sz w:val="24"/>
          <w:szCs w:val="24"/>
          <w:lang w:val="en-US"/>
        </w:rPr>
        <w:t xml:space="preserve"> </w:t>
      </w:r>
    </w:p>
    <w:p w14:paraId="2FB0233D" w14:textId="0B125CFB" w:rsidR="00876A14" w:rsidRPr="008B2F56" w:rsidRDefault="00A61DA6" w:rsidP="008D76EF">
      <w:pPr>
        <w:pStyle w:val="Heading3"/>
        <w:jc w:val="both"/>
        <w:rPr>
          <w:rFonts w:ascii="Times New Roman" w:hAnsi="Times New Roman" w:cs="Times New Roman"/>
          <w:lang w:val="en-US"/>
        </w:rPr>
      </w:pPr>
      <w:r w:rsidRPr="008B2F56">
        <w:rPr>
          <w:rFonts w:ascii="Times New Roman" w:hAnsi="Times New Roman" w:cs="Times New Roman"/>
          <w:noProof/>
          <w:color w:val="000000" w:themeColor="text1"/>
          <w:lang w:val="nb-NO" w:eastAsia="nb-NO"/>
        </w:rPr>
        <w:lastRenderedPageBreak/>
        <w:drawing>
          <wp:anchor distT="0" distB="0" distL="114300" distR="114300" simplePos="0" relativeHeight="251658240" behindDoc="0" locked="0" layoutInCell="1" allowOverlap="1" wp14:anchorId="3EAF780A" wp14:editId="2592CBDF">
            <wp:simplePos x="0" y="0"/>
            <wp:positionH relativeFrom="margin">
              <wp:align>right</wp:align>
            </wp:positionH>
            <wp:positionV relativeFrom="paragraph">
              <wp:posOffset>214630</wp:posOffset>
            </wp:positionV>
            <wp:extent cx="5939155" cy="2353310"/>
            <wp:effectExtent l="0" t="0" r="4445" b="8890"/>
            <wp:wrapSquare wrapText="bothSides"/>
            <wp:docPr id="8"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V relativeFrom="margin">
              <wp14:pctHeight>0</wp14:pctHeight>
            </wp14:sizeRelV>
          </wp:anchor>
        </w:drawing>
      </w:r>
      <w:r w:rsidR="00876A14" w:rsidRPr="008B2F56">
        <w:rPr>
          <w:rFonts w:ascii="Times New Roman" w:hAnsi="Times New Roman" w:cs="Times New Roman"/>
          <w:lang w:val="en-US"/>
        </w:rPr>
        <w:t>Figure 6:  Gini coefficients for six LDCs compared to the average coefficient for LDCs</w:t>
      </w:r>
    </w:p>
    <w:p w14:paraId="4415DEE2" w14:textId="049C633A" w:rsidR="00195023" w:rsidRPr="008B2F56" w:rsidRDefault="00876A14"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Against this background, we shall proceed to assess the level of protection offered to foreign investors by </w:t>
      </w:r>
      <w:r w:rsidR="002B3CE6" w:rsidRPr="008B2F56">
        <w:rPr>
          <w:rFonts w:ascii="Times New Roman" w:hAnsi="Times New Roman" w:cs="Times New Roman"/>
          <w:color w:val="000000" w:themeColor="text1"/>
          <w:sz w:val="24"/>
          <w:szCs w:val="24"/>
          <w:lang w:val="en-US"/>
        </w:rPr>
        <w:t>IIAs and investment legislation</w:t>
      </w:r>
      <w:r w:rsidR="00A61DA6" w:rsidRPr="008B2F56">
        <w:rPr>
          <w:rFonts w:ascii="Times New Roman" w:hAnsi="Times New Roman" w:cs="Times New Roman"/>
          <w:color w:val="000000" w:themeColor="text1"/>
          <w:sz w:val="24"/>
          <w:szCs w:val="24"/>
          <w:lang w:val="en-US"/>
        </w:rPr>
        <w:t xml:space="preserve">. Based on our findings in this regard, we shall </w:t>
      </w:r>
      <w:r w:rsidR="002B3CE6" w:rsidRPr="008B2F56">
        <w:rPr>
          <w:rFonts w:ascii="Times New Roman" w:hAnsi="Times New Roman" w:cs="Times New Roman"/>
          <w:color w:val="000000" w:themeColor="text1"/>
          <w:sz w:val="24"/>
          <w:szCs w:val="24"/>
          <w:lang w:val="en-US"/>
        </w:rPr>
        <w:t xml:space="preserve">discuss the extent to which the respective levels of protection represent a challenge to countries’ policy space needed to fulfil the RtD and achieve SDGs. </w:t>
      </w:r>
    </w:p>
    <w:p w14:paraId="756590C0" w14:textId="301D2B7E" w:rsidR="00656442" w:rsidRPr="008B2F56" w:rsidRDefault="00656442" w:rsidP="008D76EF">
      <w:pPr>
        <w:pStyle w:val="Heading2"/>
        <w:jc w:val="both"/>
        <w:rPr>
          <w:rFonts w:ascii="Times New Roman" w:hAnsi="Times New Roman" w:cs="Times New Roman"/>
          <w:lang w:val="en-US"/>
        </w:rPr>
      </w:pPr>
      <w:r w:rsidRPr="008B2F56">
        <w:rPr>
          <w:rFonts w:ascii="Times New Roman" w:hAnsi="Times New Roman" w:cs="Times New Roman"/>
          <w:lang w:val="en-US"/>
        </w:rPr>
        <w:t xml:space="preserve">4.2 Protection through </w:t>
      </w:r>
      <w:r w:rsidR="00DC1EAE" w:rsidRPr="008B2F56">
        <w:rPr>
          <w:rFonts w:ascii="Times New Roman" w:hAnsi="Times New Roman" w:cs="Times New Roman"/>
          <w:lang w:val="en-US"/>
        </w:rPr>
        <w:t>international investment agreements</w:t>
      </w:r>
    </w:p>
    <w:p w14:paraId="3D87BB6D" w14:textId="6E7521CF" w:rsidR="00554D01" w:rsidRPr="008B2F56" w:rsidRDefault="001B6A19"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Prior to the IIAs we have today, there has been a long history of treaty based </w:t>
      </w:r>
      <w:r w:rsidR="00DC1EAE" w:rsidRPr="008B2F56">
        <w:rPr>
          <w:rFonts w:ascii="Times New Roman" w:hAnsi="Times New Roman" w:cs="Times New Roman"/>
          <w:color w:val="000000" w:themeColor="text1"/>
          <w:sz w:val="24"/>
          <w:szCs w:val="24"/>
          <w:lang w:val="en-US"/>
        </w:rPr>
        <w:t>protection</w:t>
      </w:r>
      <w:r w:rsidRPr="008B2F56">
        <w:rPr>
          <w:rFonts w:ascii="Times New Roman" w:hAnsi="Times New Roman" w:cs="Times New Roman"/>
          <w:color w:val="000000" w:themeColor="text1"/>
          <w:sz w:val="24"/>
          <w:szCs w:val="24"/>
          <w:lang w:val="en-US"/>
        </w:rPr>
        <w:t xml:space="preserve"> of FDI. Johnson and Gomblett point out that the “notion of State responsibility for injuries to aliens began to emerge” in the middle of the eighteenth century.</w:t>
      </w:r>
      <w:r w:rsidRPr="008B2F56">
        <w:rPr>
          <w:rStyle w:val="FootnoteReference"/>
          <w:rFonts w:ascii="Times New Roman" w:hAnsi="Times New Roman" w:cs="Times New Roman"/>
        </w:rPr>
        <w:footnoteReference w:id="79"/>
      </w:r>
      <w:r w:rsidRPr="008B2F56">
        <w:rPr>
          <w:rFonts w:ascii="Times New Roman" w:hAnsi="Times New Roman" w:cs="Times New Roman"/>
          <w:color w:val="000000" w:themeColor="text1"/>
          <w:sz w:val="24"/>
          <w:szCs w:val="24"/>
          <w:lang w:val="en-US"/>
        </w:rPr>
        <w:t xml:space="preserve"> During this early period, FDI was protected </w:t>
      </w:r>
      <w:r w:rsidR="00077335" w:rsidRPr="008B2F56">
        <w:rPr>
          <w:rFonts w:ascii="Times New Roman" w:hAnsi="Times New Roman" w:cs="Times New Roman"/>
          <w:color w:val="000000" w:themeColor="text1"/>
          <w:sz w:val="24"/>
          <w:szCs w:val="24"/>
          <w:lang w:val="en-US"/>
        </w:rPr>
        <w:t xml:space="preserve">to a large extent </w:t>
      </w:r>
      <w:r w:rsidRPr="008B2F56">
        <w:rPr>
          <w:rFonts w:ascii="Times New Roman" w:hAnsi="Times New Roman" w:cs="Times New Roman"/>
          <w:color w:val="000000" w:themeColor="text1"/>
          <w:sz w:val="24"/>
          <w:szCs w:val="24"/>
          <w:lang w:val="en-US"/>
        </w:rPr>
        <w:t>through colonial legal systems. Where the host countries were not colonized, which was the situation for many Asian and Latin American countries, FDI was protected through “a blend of diplomacy and force” and eventually through “treaties resulting from the use of force</w:t>
      </w:r>
      <w:r w:rsidR="00A61DA6" w:rsidRPr="008B2F56">
        <w:rPr>
          <w:rFonts w:ascii="Times New Roman" w:hAnsi="Times New Roman" w:cs="Times New Roman"/>
          <w:color w:val="000000" w:themeColor="text1"/>
          <w:sz w:val="24"/>
          <w:szCs w:val="24"/>
          <w:lang w:val="en-US"/>
        </w:rPr>
        <w:t>,</w:t>
      </w:r>
      <w:r w:rsidRPr="008B2F56">
        <w:rPr>
          <w:rFonts w:ascii="Times New Roman" w:hAnsi="Times New Roman" w:cs="Times New Roman"/>
          <w:color w:val="000000" w:themeColor="text1"/>
          <w:sz w:val="24"/>
          <w:szCs w:val="24"/>
          <w:lang w:val="en-US"/>
        </w:rPr>
        <w:t>”</w:t>
      </w:r>
      <w:r w:rsidRPr="008B2F56">
        <w:rPr>
          <w:rStyle w:val="FootnoteReference"/>
          <w:rFonts w:ascii="Times New Roman" w:hAnsi="Times New Roman" w:cs="Times New Roman"/>
        </w:rPr>
        <w:footnoteReference w:id="80"/>
      </w:r>
      <w:r w:rsidRPr="008B2F56">
        <w:rPr>
          <w:rFonts w:ascii="Times New Roman" w:hAnsi="Times New Roman" w:cs="Times New Roman"/>
          <w:color w:val="000000" w:themeColor="text1"/>
          <w:sz w:val="24"/>
          <w:szCs w:val="24"/>
          <w:lang w:val="en-US"/>
        </w:rPr>
        <w:t xml:space="preserve"> often referred to as “unequal treaties</w:t>
      </w:r>
      <w:r w:rsidR="00A61DA6" w:rsidRPr="008B2F56">
        <w:rPr>
          <w:rFonts w:ascii="Times New Roman" w:hAnsi="Times New Roman" w:cs="Times New Roman"/>
          <w:color w:val="000000" w:themeColor="text1"/>
          <w:sz w:val="24"/>
          <w:szCs w:val="24"/>
          <w:lang w:val="en-US"/>
        </w:rPr>
        <w:t>.</w:t>
      </w:r>
      <w:r w:rsidRPr="008B2F56">
        <w:rPr>
          <w:rFonts w:ascii="Times New Roman" w:hAnsi="Times New Roman" w:cs="Times New Roman"/>
          <w:color w:val="000000" w:themeColor="text1"/>
          <w:sz w:val="24"/>
          <w:szCs w:val="24"/>
          <w:lang w:val="en-US"/>
        </w:rPr>
        <w:t>”</w:t>
      </w:r>
      <w:r w:rsidRPr="008B2F56">
        <w:rPr>
          <w:rStyle w:val="FootnoteReference"/>
          <w:rFonts w:ascii="Times New Roman" w:hAnsi="Times New Roman" w:cs="Times New Roman"/>
        </w:rPr>
        <w:footnoteReference w:id="81"/>
      </w:r>
      <w:r w:rsidRPr="008B2F56">
        <w:rPr>
          <w:rFonts w:ascii="Times New Roman" w:hAnsi="Times New Roman" w:cs="Times New Roman"/>
          <w:color w:val="000000" w:themeColor="text1"/>
          <w:sz w:val="24"/>
          <w:szCs w:val="24"/>
          <w:lang w:val="en-US"/>
        </w:rPr>
        <w:t xml:space="preserve"> Friendship, commerce and navigation (FCN) treaties, which were primarily negotiated by the US with its trading partners dating back to the eighteenth century, eventually included some protections of property rights. After the First World War, such treaties expanded </w:t>
      </w:r>
      <w:r w:rsidR="00DC1EAE" w:rsidRPr="008B2F56">
        <w:rPr>
          <w:rFonts w:ascii="Times New Roman" w:hAnsi="Times New Roman" w:cs="Times New Roman"/>
          <w:color w:val="000000" w:themeColor="text1"/>
          <w:sz w:val="24"/>
          <w:szCs w:val="24"/>
          <w:lang w:val="en-US"/>
        </w:rPr>
        <w:t xml:space="preserve">to protect </w:t>
      </w:r>
      <w:r w:rsidRPr="008B2F56">
        <w:rPr>
          <w:rFonts w:ascii="Times New Roman" w:hAnsi="Times New Roman" w:cs="Times New Roman"/>
          <w:color w:val="000000" w:themeColor="text1"/>
          <w:sz w:val="24"/>
          <w:szCs w:val="24"/>
          <w:lang w:val="en-US"/>
        </w:rPr>
        <w:t xml:space="preserve">“the rights of companies </w:t>
      </w:r>
      <w:r w:rsidR="00E3613C" w:rsidRPr="008B2F56">
        <w:rPr>
          <w:rFonts w:ascii="Times New Roman" w:hAnsi="Times New Roman" w:cs="Times New Roman"/>
          <w:color w:val="000000" w:themeColor="text1"/>
          <w:sz w:val="24"/>
          <w:szCs w:val="24"/>
          <w:lang w:val="en-US"/>
        </w:rPr>
        <w:t>abroad</w:t>
      </w:r>
      <w:r w:rsidRPr="008B2F56">
        <w:rPr>
          <w:rFonts w:ascii="Times New Roman" w:hAnsi="Times New Roman" w:cs="Times New Roman"/>
          <w:color w:val="000000" w:themeColor="text1"/>
          <w:sz w:val="24"/>
          <w:szCs w:val="24"/>
          <w:lang w:val="en-US"/>
        </w:rPr>
        <w:t xml:space="preserve"> and also set out to strengthen the protection of private property.”</w:t>
      </w:r>
      <w:r w:rsidRPr="008B2F56">
        <w:rPr>
          <w:rStyle w:val="FootnoteReference"/>
          <w:rFonts w:ascii="Times New Roman" w:hAnsi="Times New Roman" w:cs="Times New Roman"/>
        </w:rPr>
        <w:footnoteReference w:id="82"/>
      </w:r>
    </w:p>
    <w:p w14:paraId="407BFC92" w14:textId="1B1E4E7F" w:rsidR="008A6088" w:rsidRPr="008B2F56" w:rsidRDefault="001B6A19"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The current regime of IIAs was negotiated during the periods of decolonization and the emergence of new countries and economies in Eastern Europe and Asia.</w:t>
      </w:r>
      <w:r w:rsidR="00554D01" w:rsidRPr="008B2F56">
        <w:rPr>
          <w:rFonts w:ascii="Times New Roman" w:hAnsi="Times New Roman" w:cs="Times New Roman"/>
          <w:color w:val="000000" w:themeColor="text1"/>
          <w:sz w:val="24"/>
          <w:szCs w:val="24"/>
          <w:lang w:val="en-US"/>
        </w:rPr>
        <w:t xml:space="preserve"> After a long period during which </w:t>
      </w:r>
      <w:r w:rsidR="00554D01" w:rsidRPr="008B2F56">
        <w:rPr>
          <w:rFonts w:ascii="Times New Roman" w:hAnsi="Times New Roman" w:cs="Times New Roman"/>
          <w:color w:val="000000" w:themeColor="text1"/>
          <w:sz w:val="24"/>
          <w:szCs w:val="24"/>
          <w:lang w:val="en-US"/>
        </w:rPr>
        <w:lastRenderedPageBreak/>
        <w:t xml:space="preserve">these treaties almost exclusively focused on protection of the interests of foreign investors, </w:t>
      </w:r>
      <w:r w:rsidR="00E978E1" w:rsidRPr="008B2F56">
        <w:rPr>
          <w:rFonts w:ascii="Times New Roman" w:hAnsi="Times New Roman" w:cs="Times New Roman"/>
          <w:color w:val="000000" w:themeColor="text1"/>
          <w:sz w:val="24"/>
          <w:szCs w:val="24"/>
          <w:lang w:val="en-US"/>
        </w:rPr>
        <w:t xml:space="preserve">countries have adjusted </w:t>
      </w:r>
      <w:r w:rsidR="00554D01" w:rsidRPr="008B2F56">
        <w:rPr>
          <w:rFonts w:ascii="Times New Roman" w:hAnsi="Times New Roman" w:cs="Times New Roman"/>
          <w:color w:val="000000" w:themeColor="text1"/>
          <w:sz w:val="24"/>
          <w:szCs w:val="24"/>
          <w:lang w:val="en-US"/>
        </w:rPr>
        <w:t>t</w:t>
      </w:r>
      <w:r w:rsidR="008A6088" w:rsidRPr="008B2F56">
        <w:rPr>
          <w:rFonts w:ascii="Times New Roman" w:hAnsi="Times New Roman" w:cs="Times New Roman"/>
          <w:color w:val="000000" w:themeColor="text1"/>
          <w:sz w:val="24"/>
          <w:szCs w:val="24"/>
          <w:lang w:val="en-US"/>
        </w:rPr>
        <w:t>he</w:t>
      </w:r>
      <w:r w:rsidR="00554D01" w:rsidRPr="008B2F56">
        <w:rPr>
          <w:rFonts w:ascii="Times New Roman" w:hAnsi="Times New Roman" w:cs="Times New Roman"/>
          <w:color w:val="000000" w:themeColor="text1"/>
          <w:sz w:val="24"/>
          <w:szCs w:val="24"/>
          <w:lang w:val="en-US"/>
        </w:rPr>
        <w:t>ir</w:t>
      </w:r>
      <w:r w:rsidR="008A6088" w:rsidRPr="008B2F56">
        <w:rPr>
          <w:rFonts w:ascii="Times New Roman" w:hAnsi="Times New Roman" w:cs="Times New Roman"/>
          <w:color w:val="000000" w:themeColor="text1"/>
          <w:sz w:val="24"/>
          <w:szCs w:val="24"/>
          <w:lang w:val="en-US"/>
        </w:rPr>
        <w:t xml:space="preserve"> content </w:t>
      </w:r>
      <w:r w:rsidR="00E978E1" w:rsidRPr="008B2F56">
        <w:rPr>
          <w:rFonts w:ascii="Times New Roman" w:hAnsi="Times New Roman" w:cs="Times New Roman"/>
          <w:color w:val="000000" w:themeColor="text1"/>
          <w:sz w:val="24"/>
          <w:szCs w:val="24"/>
          <w:lang w:val="en-US"/>
        </w:rPr>
        <w:t xml:space="preserve">in recent years </w:t>
      </w:r>
      <w:r w:rsidR="00554D01" w:rsidRPr="008B2F56">
        <w:rPr>
          <w:rFonts w:ascii="Times New Roman" w:hAnsi="Times New Roman" w:cs="Times New Roman"/>
          <w:color w:val="000000" w:themeColor="text1"/>
          <w:sz w:val="24"/>
          <w:szCs w:val="24"/>
          <w:lang w:val="en-US"/>
        </w:rPr>
        <w:t xml:space="preserve">to reflect the need to </w:t>
      </w:r>
      <w:r w:rsidR="00510A23" w:rsidRPr="008B2F56">
        <w:rPr>
          <w:rFonts w:ascii="Times New Roman" w:hAnsi="Times New Roman" w:cs="Times New Roman"/>
          <w:color w:val="000000" w:themeColor="text1"/>
          <w:sz w:val="24"/>
          <w:szCs w:val="24"/>
          <w:lang w:val="en-US"/>
        </w:rPr>
        <w:t>promote</w:t>
      </w:r>
      <w:r w:rsidR="00554D01" w:rsidRPr="008B2F56">
        <w:rPr>
          <w:rFonts w:ascii="Times New Roman" w:hAnsi="Times New Roman" w:cs="Times New Roman"/>
          <w:color w:val="000000" w:themeColor="text1"/>
          <w:sz w:val="24"/>
          <w:szCs w:val="24"/>
          <w:lang w:val="en-US"/>
        </w:rPr>
        <w:t xml:space="preserve"> the </w:t>
      </w:r>
      <w:r w:rsidR="008A6088" w:rsidRPr="008B2F56">
        <w:rPr>
          <w:rFonts w:ascii="Times New Roman" w:hAnsi="Times New Roman" w:cs="Times New Roman"/>
          <w:color w:val="000000" w:themeColor="text1"/>
          <w:sz w:val="24"/>
          <w:szCs w:val="24"/>
          <w:lang w:val="en-US"/>
        </w:rPr>
        <w:t>sustainable development</w:t>
      </w:r>
      <w:r w:rsidR="00554D01" w:rsidRPr="008B2F56">
        <w:rPr>
          <w:rFonts w:ascii="Times New Roman" w:hAnsi="Times New Roman" w:cs="Times New Roman"/>
          <w:color w:val="000000" w:themeColor="text1"/>
          <w:sz w:val="24"/>
          <w:szCs w:val="24"/>
          <w:lang w:val="en-US"/>
        </w:rPr>
        <w:t xml:space="preserve"> </w:t>
      </w:r>
      <w:r w:rsidR="009E198C" w:rsidRPr="008B2F56">
        <w:rPr>
          <w:rFonts w:ascii="Times New Roman" w:hAnsi="Times New Roman" w:cs="Times New Roman"/>
          <w:color w:val="000000" w:themeColor="text1"/>
          <w:sz w:val="24"/>
          <w:szCs w:val="24"/>
          <w:lang w:val="en-US"/>
        </w:rPr>
        <w:t>within</w:t>
      </w:r>
      <w:r w:rsidR="00554D01" w:rsidRPr="008B2F56">
        <w:rPr>
          <w:rFonts w:ascii="Times New Roman" w:hAnsi="Times New Roman" w:cs="Times New Roman"/>
          <w:color w:val="000000" w:themeColor="text1"/>
          <w:sz w:val="24"/>
          <w:szCs w:val="24"/>
          <w:lang w:val="en-US"/>
        </w:rPr>
        <w:t xml:space="preserve"> host countries</w:t>
      </w:r>
      <w:r w:rsidR="008A6088" w:rsidRPr="008B2F56">
        <w:rPr>
          <w:rFonts w:ascii="Times New Roman" w:hAnsi="Times New Roman" w:cs="Times New Roman"/>
          <w:color w:val="000000" w:themeColor="text1"/>
          <w:sz w:val="24"/>
          <w:szCs w:val="24"/>
          <w:lang w:val="en-US"/>
        </w:rPr>
        <w:t>.</w:t>
      </w:r>
      <w:r w:rsidR="00270849" w:rsidRPr="008B2F56">
        <w:rPr>
          <w:rStyle w:val="FootnoteReference"/>
          <w:rFonts w:ascii="Times New Roman" w:hAnsi="Times New Roman" w:cs="Times New Roman"/>
          <w:color w:val="000000" w:themeColor="text1"/>
          <w:sz w:val="24"/>
          <w:szCs w:val="24"/>
          <w:lang w:val="en-US"/>
        </w:rPr>
        <w:footnoteReference w:id="83"/>
      </w:r>
      <w:r w:rsidR="008D44B7" w:rsidRPr="008B2F56">
        <w:rPr>
          <w:rFonts w:ascii="Times New Roman" w:hAnsi="Times New Roman" w:cs="Times New Roman"/>
          <w:color w:val="000000" w:themeColor="text1"/>
          <w:sz w:val="24"/>
          <w:szCs w:val="24"/>
          <w:lang w:val="en-US"/>
        </w:rPr>
        <w:t xml:space="preserve"> So far, the </w:t>
      </w:r>
      <w:r w:rsidR="00A61DA6" w:rsidRPr="008B2F56">
        <w:rPr>
          <w:rFonts w:ascii="Times New Roman" w:hAnsi="Times New Roman" w:cs="Times New Roman"/>
          <w:color w:val="000000" w:themeColor="text1"/>
          <w:sz w:val="24"/>
          <w:szCs w:val="24"/>
          <w:lang w:val="en-US"/>
        </w:rPr>
        <w:t>main effort has been to avoid</w:t>
      </w:r>
      <w:r w:rsidR="008D44B7" w:rsidRPr="008B2F56">
        <w:rPr>
          <w:rFonts w:ascii="Times New Roman" w:hAnsi="Times New Roman" w:cs="Times New Roman"/>
          <w:color w:val="000000" w:themeColor="text1"/>
          <w:sz w:val="24"/>
          <w:szCs w:val="24"/>
          <w:lang w:val="en-US"/>
        </w:rPr>
        <w:t xml:space="preserve"> negative effects of IIAs for sustainable development. To some extent, one has also started to explore how IIAs can contribute to sustainable development.</w:t>
      </w:r>
      <w:r w:rsidR="008A6088" w:rsidRPr="008B2F56">
        <w:rPr>
          <w:rStyle w:val="FootnoteReference"/>
          <w:rFonts w:ascii="Times New Roman" w:hAnsi="Times New Roman" w:cs="Times New Roman"/>
        </w:rPr>
        <w:footnoteReference w:id="84"/>
      </w:r>
      <w:r w:rsidR="008A6088" w:rsidRPr="008B2F56">
        <w:rPr>
          <w:rFonts w:ascii="Times New Roman" w:hAnsi="Times New Roman" w:cs="Times New Roman"/>
          <w:color w:val="000000" w:themeColor="text1"/>
          <w:sz w:val="24"/>
          <w:szCs w:val="24"/>
          <w:lang w:val="en-US"/>
        </w:rPr>
        <w:t xml:space="preserve"> Approximately </w:t>
      </w:r>
      <w:r w:rsidR="0005696B" w:rsidRPr="008B2F56">
        <w:rPr>
          <w:rFonts w:ascii="Times New Roman" w:hAnsi="Times New Roman" w:cs="Times New Roman"/>
          <w:color w:val="000000" w:themeColor="text1"/>
          <w:sz w:val="24"/>
          <w:szCs w:val="24"/>
          <w:lang w:val="en-US"/>
        </w:rPr>
        <w:t>nine</w:t>
      </w:r>
      <w:r w:rsidR="008A6088" w:rsidRPr="008B2F56">
        <w:rPr>
          <w:rFonts w:ascii="Times New Roman" w:hAnsi="Times New Roman" w:cs="Times New Roman"/>
          <w:color w:val="000000" w:themeColor="text1"/>
          <w:sz w:val="24"/>
          <w:szCs w:val="24"/>
          <w:lang w:val="en-US"/>
        </w:rPr>
        <w:t xml:space="preserve"> per cent of IIAs include statements in their preambles to this effect.</w:t>
      </w:r>
      <w:r w:rsidR="008A6088" w:rsidRPr="008B2F56">
        <w:rPr>
          <w:rStyle w:val="FootnoteReference"/>
          <w:rFonts w:ascii="Times New Roman" w:hAnsi="Times New Roman" w:cs="Times New Roman"/>
        </w:rPr>
        <w:footnoteReference w:id="85"/>
      </w:r>
      <w:r w:rsidR="008A6088" w:rsidRPr="008B2F56">
        <w:rPr>
          <w:rFonts w:ascii="Times New Roman" w:hAnsi="Times New Roman" w:cs="Times New Roman"/>
          <w:color w:val="000000" w:themeColor="text1"/>
          <w:sz w:val="24"/>
          <w:szCs w:val="24"/>
          <w:lang w:val="en-US"/>
        </w:rPr>
        <w:t xml:space="preserve"> </w:t>
      </w:r>
      <w:r w:rsidR="00DD3593" w:rsidRPr="008B2F56">
        <w:rPr>
          <w:rFonts w:ascii="Times New Roman" w:hAnsi="Times New Roman" w:cs="Times New Roman"/>
          <w:color w:val="000000" w:themeColor="text1"/>
          <w:sz w:val="24"/>
          <w:szCs w:val="24"/>
          <w:lang w:val="en-US"/>
        </w:rPr>
        <w:t xml:space="preserve">One relevant example is the IIA between Tanzania and Canada (2013) which states that the countries desire “to intensify economic co-operation and promote sustainable development for the mutual benefit of both countries.” </w:t>
      </w:r>
      <w:r w:rsidR="00985A56" w:rsidRPr="008B2F56">
        <w:rPr>
          <w:rFonts w:ascii="Times New Roman" w:hAnsi="Times New Roman" w:cs="Times New Roman"/>
          <w:color w:val="000000" w:themeColor="text1"/>
          <w:sz w:val="24"/>
          <w:szCs w:val="24"/>
          <w:lang w:val="en-US"/>
        </w:rPr>
        <w:t>Even more IIAs, approximately twelve</w:t>
      </w:r>
      <w:r w:rsidR="008A6088" w:rsidRPr="008B2F56">
        <w:rPr>
          <w:rFonts w:ascii="Times New Roman" w:hAnsi="Times New Roman" w:cs="Times New Roman"/>
          <w:color w:val="000000" w:themeColor="text1"/>
          <w:sz w:val="24"/>
          <w:szCs w:val="24"/>
          <w:lang w:val="en-US"/>
        </w:rPr>
        <w:t xml:space="preserve"> per cent, include substantive provisions on issues of relevance to sustainable development.</w:t>
      </w:r>
      <w:r w:rsidR="008A6088" w:rsidRPr="008B2F56">
        <w:rPr>
          <w:rStyle w:val="FootnoteReference"/>
          <w:rFonts w:ascii="Times New Roman" w:hAnsi="Times New Roman" w:cs="Times New Roman"/>
        </w:rPr>
        <w:footnoteReference w:id="86"/>
      </w:r>
      <w:r w:rsidR="008A6088" w:rsidRPr="008B2F56">
        <w:rPr>
          <w:rFonts w:ascii="Times New Roman" w:hAnsi="Times New Roman" w:cs="Times New Roman"/>
          <w:color w:val="000000" w:themeColor="text1"/>
          <w:sz w:val="24"/>
          <w:szCs w:val="24"/>
          <w:lang w:val="en-US"/>
        </w:rPr>
        <w:t xml:space="preserve"> </w:t>
      </w:r>
      <w:r w:rsidR="00C40C3F" w:rsidRPr="008B2F56">
        <w:rPr>
          <w:rFonts w:ascii="Times New Roman" w:hAnsi="Times New Roman" w:cs="Times New Roman"/>
          <w:color w:val="000000" w:themeColor="text1"/>
          <w:sz w:val="24"/>
          <w:szCs w:val="24"/>
          <w:lang w:val="en-US"/>
        </w:rPr>
        <w:t>These provisions are a recent phenomenon in IIAs.</w:t>
      </w:r>
      <w:r w:rsidR="00C40C3F" w:rsidRPr="008B2F56">
        <w:rPr>
          <w:rStyle w:val="FootnoteReference"/>
          <w:rFonts w:ascii="Times New Roman" w:hAnsi="Times New Roman" w:cs="Times New Roman"/>
        </w:rPr>
        <w:footnoteReference w:id="87"/>
      </w:r>
      <w:r w:rsidR="00C40C3F" w:rsidRPr="008B2F56">
        <w:rPr>
          <w:rFonts w:ascii="Times New Roman" w:hAnsi="Times New Roman" w:cs="Times New Roman"/>
          <w:color w:val="000000" w:themeColor="text1"/>
          <w:sz w:val="24"/>
          <w:szCs w:val="24"/>
          <w:lang w:val="en-US"/>
        </w:rPr>
        <w:t xml:space="preserve"> </w:t>
      </w:r>
      <w:r w:rsidR="008A6088" w:rsidRPr="008B2F56">
        <w:rPr>
          <w:rFonts w:ascii="Times New Roman" w:hAnsi="Times New Roman" w:cs="Times New Roman"/>
          <w:color w:val="000000" w:themeColor="text1"/>
          <w:sz w:val="24"/>
          <w:szCs w:val="24"/>
          <w:lang w:val="en-US"/>
        </w:rPr>
        <w:t xml:space="preserve">In general, </w:t>
      </w:r>
      <w:r w:rsidR="008C7130" w:rsidRPr="008B2F56">
        <w:rPr>
          <w:rFonts w:ascii="Times New Roman" w:hAnsi="Times New Roman" w:cs="Times New Roman"/>
          <w:color w:val="000000" w:themeColor="text1"/>
          <w:sz w:val="24"/>
          <w:szCs w:val="24"/>
          <w:lang w:val="en-US"/>
        </w:rPr>
        <w:t>they</w:t>
      </w:r>
      <w:r w:rsidR="008A6088" w:rsidRPr="008B2F56">
        <w:rPr>
          <w:rFonts w:ascii="Times New Roman" w:hAnsi="Times New Roman" w:cs="Times New Roman"/>
          <w:color w:val="000000" w:themeColor="text1"/>
          <w:sz w:val="24"/>
          <w:szCs w:val="24"/>
          <w:lang w:val="en-US"/>
        </w:rPr>
        <w:t xml:space="preserve"> are exceptions, recommendations and political commitments, and as such</w:t>
      </w:r>
      <w:r w:rsidR="00270849" w:rsidRPr="008B2F56">
        <w:rPr>
          <w:rFonts w:ascii="Times New Roman" w:hAnsi="Times New Roman" w:cs="Times New Roman"/>
          <w:color w:val="000000" w:themeColor="text1"/>
          <w:sz w:val="24"/>
          <w:szCs w:val="24"/>
          <w:lang w:val="en-US"/>
        </w:rPr>
        <w:t>,</w:t>
      </w:r>
      <w:r w:rsidR="008A6088" w:rsidRPr="008B2F56">
        <w:rPr>
          <w:rFonts w:ascii="Times New Roman" w:hAnsi="Times New Roman" w:cs="Times New Roman"/>
          <w:color w:val="000000" w:themeColor="text1"/>
          <w:sz w:val="24"/>
          <w:szCs w:val="24"/>
          <w:lang w:val="en-US"/>
        </w:rPr>
        <w:t xml:space="preserve"> they do not introduce legally binding obligations on states or investors to contribute to sustainable development. Nevertheless, they are likely to provide countries greater flexibility to design policies to </w:t>
      </w:r>
      <w:r w:rsidR="008C7130" w:rsidRPr="008B2F56">
        <w:rPr>
          <w:rFonts w:ascii="Times New Roman" w:hAnsi="Times New Roman" w:cs="Times New Roman"/>
          <w:color w:val="000000" w:themeColor="text1"/>
          <w:sz w:val="24"/>
          <w:szCs w:val="24"/>
          <w:lang w:val="en-US"/>
        </w:rPr>
        <w:t>support</w:t>
      </w:r>
      <w:r w:rsidR="008A6088" w:rsidRPr="008B2F56">
        <w:rPr>
          <w:rFonts w:ascii="Times New Roman" w:hAnsi="Times New Roman" w:cs="Times New Roman"/>
          <w:color w:val="000000" w:themeColor="text1"/>
          <w:sz w:val="24"/>
          <w:szCs w:val="24"/>
          <w:lang w:val="en-US"/>
        </w:rPr>
        <w:t xml:space="preserve"> sustainable FDI and </w:t>
      </w:r>
      <w:r w:rsidR="008C7130" w:rsidRPr="008B2F56">
        <w:rPr>
          <w:rFonts w:ascii="Times New Roman" w:hAnsi="Times New Roman" w:cs="Times New Roman"/>
          <w:color w:val="000000" w:themeColor="text1"/>
          <w:sz w:val="24"/>
          <w:szCs w:val="24"/>
          <w:lang w:val="en-US"/>
        </w:rPr>
        <w:t>limit</w:t>
      </w:r>
      <w:r w:rsidR="008A6088" w:rsidRPr="008B2F56">
        <w:rPr>
          <w:rFonts w:ascii="Times New Roman" w:hAnsi="Times New Roman" w:cs="Times New Roman"/>
          <w:color w:val="000000" w:themeColor="text1"/>
          <w:sz w:val="24"/>
          <w:szCs w:val="24"/>
          <w:lang w:val="en-US"/>
        </w:rPr>
        <w:t xml:space="preserve"> unsustainable </w:t>
      </w:r>
      <w:r w:rsidR="008C7130" w:rsidRPr="008B2F56">
        <w:rPr>
          <w:rFonts w:ascii="Times New Roman" w:hAnsi="Times New Roman" w:cs="Times New Roman"/>
          <w:color w:val="000000" w:themeColor="text1"/>
          <w:sz w:val="24"/>
          <w:szCs w:val="24"/>
          <w:lang w:val="en-US"/>
        </w:rPr>
        <w:t xml:space="preserve">effects of </w:t>
      </w:r>
      <w:r w:rsidR="008A6088" w:rsidRPr="008B2F56">
        <w:rPr>
          <w:rFonts w:ascii="Times New Roman" w:hAnsi="Times New Roman" w:cs="Times New Roman"/>
          <w:color w:val="000000" w:themeColor="text1"/>
          <w:sz w:val="24"/>
          <w:szCs w:val="24"/>
          <w:lang w:val="en-US"/>
        </w:rPr>
        <w:t>FDI</w:t>
      </w:r>
      <w:r w:rsidR="008C7130" w:rsidRPr="008B2F56">
        <w:rPr>
          <w:rFonts w:ascii="Times New Roman" w:hAnsi="Times New Roman" w:cs="Times New Roman"/>
          <w:color w:val="000000" w:themeColor="text1"/>
          <w:sz w:val="24"/>
          <w:szCs w:val="24"/>
          <w:lang w:val="en-US"/>
        </w:rPr>
        <w:t xml:space="preserve"> projects</w:t>
      </w:r>
      <w:r w:rsidR="008A6088" w:rsidRPr="008B2F56">
        <w:rPr>
          <w:rFonts w:ascii="Times New Roman" w:hAnsi="Times New Roman" w:cs="Times New Roman"/>
          <w:color w:val="000000" w:themeColor="text1"/>
          <w:sz w:val="24"/>
          <w:szCs w:val="24"/>
          <w:lang w:val="en-US"/>
        </w:rPr>
        <w:t xml:space="preserve">. </w:t>
      </w:r>
    </w:p>
    <w:p w14:paraId="6F95532A" w14:textId="4994AB4A" w:rsidR="008A6088" w:rsidRPr="008B2F56" w:rsidRDefault="008A6088"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The extent to which IIAs provide protection regardless of whether the relevant FDI contributes to sustainable development has been a controversial issue closely related to the interaction between the concepts of “investment” under IIAs and under the ICSID Convention. The general approach has been to adopt broad definitions of “investment” in IIAs. </w:t>
      </w:r>
      <w:r w:rsidR="00815C22" w:rsidRPr="008B2F56">
        <w:rPr>
          <w:rFonts w:ascii="Times New Roman" w:hAnsi="Times New Roman" w:cs="Times New Roman"/>
          <w:color w:val="000000" w:themeColor="text1"/>
          <w:sz w:val="24"/>
          <w:szCs w:val="24"/>
          <w:lang w:val="en-US"/>
        </w:rPr>
        <w:t xml:space="preserve">Only less than three per cent of IIAs </w:t>
      </w:r>
      <w:r w:rsidRPr="008B2F56">
        <w:rPr>
          <w:rFonts w:ascii="Times New Roman" w:hAnsi="Times New Roman" w:cs="Times New Roman"/>
          <w:color w:val="000000" w:themeColor="text1"/>
          <w:sz w:val="24"/>
          <w:szCs w:val="24"/>
          <w:lang w:val="en-US"/>
        </w:rPr>
        <w:t xml:space="preserve">exclude portfolio investments or include </w:t>
      </w:r>
      <w:r w:rsidR="00815C22" w:rsidRPr="008B2F56">
        <w:rPr>
          <w:rFonts w:ascii="Times New Roman" w:hAnsi="Times New Roman" w:cs="Times New Roman"/>
          <w:color w:val="000000" w:themeColor="text1"/>
          <w:sz w:val="24"/>
          <w:szCs w:val="24"/>
          <w:lang w:val="en-US"/>
        </w:rPr>
        <w:t xml:space="preserve">specific </w:t>
      </w:r>
      <w:r w:rsidRPr="008B2F56">
        <w:rPr>
          <w:rFonts w:ascii="Times New Roman" w:hAnsi="Times New Roman" w:cs="Times New Roman"/>
          <w:color w:val="000000" w:themeColor="text1"/>
          <w:sz w:val="24"/>
          <w:szCs w:val="24"/>
          <w:lang w:val="en-US"/>
        </w:rPr>
        <w:t xml:space="preserve">requirements </w:t>
      </w:r>
      <w:r w:rsidR="00815C22" w:rsidRPr="008B2F56">
        <w:rPr>
          <w:rFonts w:ascii="Times New Roman" w:hAnsi="Times New Roman" w:cs="Times New Roman"/>
          <w:color w:val="000000" w:themeColor="text1"/>
          <w:sz w:val="24"/>
          <w:szCs w:val="24"/>
          <w:lang w:val="en-US"/>
        </w:rPr>
        <w:t xml:space="preserve">to qualify as investment under the IIAs </w:t>
      </w:r>
      <w:r w:rsidRPr="008B2F56">
        <w:rPr>
          <w:rFonts w:ascii="Times New Roman" w:hAnsi="Times New Roman" w:cs="Times New Roman"/>
          <w:color w:val="000000" w:themeColor="text1"/>
          <w:sz w:val="24"/>
          <w:szCs w:val="24"/>
          <w:lang w:val="en-US"/>
        </w:rPr>
        <w:t>(e.g. duration or contribution to development).</w:t>
      </w:r>
      <w:r w:rsidRPr="008B2F56">
        <w:rPr>
          <w:rStyle w:val="FootnoteReference"/>
          <w:rFonts w:ascii="Times New Roman" w:hAnsi="Times New Roman" w:cs="Times New Roman"/>
        </w:rPr>
        <w:footnoteReference w:id="88"/>
      </w:r>
      <w:r w:rsidRPr="008B2F56">
        <w:rPr>
          <w:rFonts w:ascii="Times New Roman" w:hAnsi="Times New Roman" w:cs="Times New Roman"/>
          <w:color w:val="000000" w:themeColor="text1"/>
          <w:sz w:val="24"/>
          <w:szCs w:val="24"/>
          <w:lang w:val="en-US"/>
        </w:rPr>
        <w:t xml:space="preserve"> More importantly, almost </w:t>
      </w:r>
      <w:r w:rsidR="00815C22" w:rsidRPr="008B2F56">
        <w:rPr>
          <w:rFonts w:ascii="Times New Roman" w:hAnsi="Times New Roman" w:cs="Times New Roman"/>
          <w:color w:val="000000" w:themeColor="text1"/>
          <w:sz w:val="24"/>
          <w:szCs w:val="24"/>
          <w:lang w:val="en-US"/>
        </w:rPr>
        <w:t xml:space="preserve">64 per cent </w:t>
      </w:r>
      <w:r w:rsidRPr="008B2F56">
        <w:rPr>
          <w:rFonts w:ascii="Times New Roman" w:hAnsi="Times New Roman" w:cs="Times New Roman"/>
          <w:color w:val="000000" w:themeColor="text1"/>
          <w:sz w:val="24"/>
          <w:szCs w:val="24"/>
          <w:lang w:val="en-US"/>
        </w:rPr>
        <w:t xml:space="preserve">of </w:t>
      </w:r>
      <w:r w:rsidR="00815C22" w:rsidRPr="008B2F56">
        <w:rPr>
          <w:rFonts w:ascii="Times New Roman" w:hAnsi="Times New Roman" w:cs="Times New Roman"/>
          <w:color w:val="000000" w:themeColor="text1"/>
          <w:sz w:val="24"/>
          <w:szCs w:val="24"/>
          <w:lang w:val="en-US"/>
        </w:rPr>
        <w:t>IIAs</w:t>
      </w:r>
      <w:r w:rsidRPr="008B2F56">
        <w:rPr>
          <w:rFonts w:ascii="Times New Roman" w:hAnsi="Times New Roman" w:cs="Times New Roman"/>
          <w:color w:val="000000" w:themeColor="text1"/>
          <w:sz w:val="24"/>
          <w:szCs w:val="24"/>
          <w:lang w:val="en-US"/>
        </w:rPr>
        <w:t xml:space="preserve"> </w:t>
      </w:r>
      <w:r w:rsidRPr="008B2F56">
        <w:rPr>
          <w:rFonts w:ascii="Times New Roman" w:hAnsi="Times New Roman" w:cs="Times New Roman"/>
          <w:color w:val="000000" w:themeColor="text1"/>
          <w:sz w:val="24"/>
          <w:szCs w:val="24"/>
          <w:lang w:val="en-US"/>
        </w:rPr>
        <w:lastRenderedPageBreak/>
        <w:t>allow countries to adopt national legislation that limit the scope of investments covered (i.e. requirements that investments must be made in accordance with the host state’s legislation).</w:t>
      </w:r>
      <w:r w:rsidRPr="008B2F56">
        <w:rPr>
          <w:rStyle w:val="FootnoteReference"/>
          <w:rFonts w:ascii="Times New Roman" w:hAnsi="Times New Roman" w:cs="Times New Roman"/>
        </w:rPr>
        <w:footnoteReference w:id="89"/>
      </w:r>
      <w:r w:rsidRPr="008B2F56">
        <w:rPr>
          <w:rFonts w:ascii="Times New Roman" w:hAnsi="Times New Roman" w:cs="Times New Roman"/>
          <w:color w:val="000000" w:themeColor="text1"/>
          <w:sz w:val="24"/>
          <w:szCs w:val="24"/>
          <w:lang w:val="en-US"/>
        </w:rPr>
        <w:t xml:space="preserve"> </w:t>
      </w:r>
    </w:p>
    <w:p w14:paraId="4EA46233" w14:textId="199133D2" w:rsidR="008A6088" w:rsidRPr="008B2F56" w:rsidRDefault="008A6088"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For IIAs that refer to the ICSID Convention, the jurisprudence of investment tribunals has been divided on whether broad definitions of investment in IIAs can be set aside in individual cases based on a narrower investment concept in Article 25(1) of the ICSID Convention.</w:t>
      </w:r>
      <w:r w:rsidRPr="008B2F56">
        <w:rPr>
          <w:rStyle w:val="FootnoteReference"/>
          <w:rFonts w:ascii="Times New Roman" w:hAnsi="Times New Roman" w:cs="Times New Roman"/>
        </w:rPr>
        <w:footnoteReference w:id="90"/>
      </w:r>
      <w:r w:rsidRPr="008B2F56">
        <w:rPr>
          <w:rFonts w:ascii="Times New Roman" w:hAnsi="Times New Roman" w:cs="Times New Roman"/>
          <w:color w:val="000000" w:themeColor="text1"/>
          <w:sz w:val="24"/>
          <w:szCs w:val="24"/>
          <w:lang w:val="en-US"/>
        </w:rPr>
        <w:t xml:space="preserve"> This jurisprudence has considered four criteria for </w:t>
      </w:r>
      <w:r w:rsidR="00270849" w:rsidRPr="008B2F56">
        <w:rPr>
          <w:rFonts w:ascii="Times New Roman" w:hAnsi="Times New Roman" w:cs="Times New Roman"/>
          <w:color w:val="000000" w:themeColor="text1"/>
          <w:sz w:val="24"/>
          <w:szCs w:val="24"/>
          <w:lang w:val="en-US"/>
        </w:rPr>
        <w:t>qualifying as an “investment” under the ICSID Convention</w:t>
      </w:r>
      <w:r w:rsidRPr="008B2F56">
        <w:rPr>
          <w:rFonts w:ascii="Times New Roman" w:hAnsi="Times New Roman" w:cs="Times New Roman"/>
          <w:color w:val="000000" w:themeColor="text1"/>
          <w:sz w:val="24"/>
          <w:szCs w:val="24"/>
          <w:lang w:val="en-US"/>
        </w:rPr>
        <w:t>: contributions in assets or money, a certain duration, an element of risk, and contribution to economic development. The latter has been the most controversial.</w:t>
      </w:r>
      <w:r w:rsidRPr="008B2F56">
        <w:rPr>
          <w:rStyle w:val="FootnoteReference"/>
          <w:rFonts w:ascii="Times New Roman" w:hAnsi="Times New Roman" w:cs="Times New Roman"/>
        </w:rPr>
        <w:footnoteReference w:id="91"/>
      </w:r>
      <w:r w:rsidRPr="008B2F56">
        <w:rPr>
          <w:rFonts w:ascii="Times New Roman" w:hAnsi="Times New Roman" w:cs="Times New Roman"/>
          <w:color w:val="000000" w:themeColor="text1"/>
          <w:sz w:val="24"/>
          <w:szCs w:val="24"/>
          <w:lang w:val="en-US"/>
        </w:rPr>
        <w:t xml:space="preserve"> Tribunals have referred to the </w:t>
      </w:r>
      <w:r w:rsidR="00270849" w:rsidRPr="008B2F56">
        <w:rPr>
          <w:rFonts w:ascii="Times New Roman" w:hAnsi="Times New Roman" w:cs="Times New Roman"/>
          <w:color w:val="000000" w:themeColor="text1"/>
          <w:sz w:val="24"/>
          <w:szCs w:val="24"/>
          <w:lang w:val="en-US"/>
        </w:rPr>
        <w:t>reference to</w:t>
      </w:r>
      <w:r w:rsidRPr="008B2F56">
        <w:rPr>
          <w:rFonts w:ascii="Times New Roman" w:hAnsi="Times New Roman" w:cs="Times New Roman"/>
          <w:color w:val="000000" w:themeColor="text1"/>
          <w:sz w:val="24"/>
          <w:szCs w:val="24"/>
          <w:lang w:val="en-US"/>
        </w:rPr>
        <w:t xml:space="preserve"> “economic development” in the </w:t>
      </w:r>
      <w:r w:rsidR="0094470F" w:rsidRPr="008B2F56">
        <w:rPr>
          <w:rFonts w:ascii="Times New Roman" w:hAnsi="Times New Roman" w:cs="Times New Roman"/>
          <w:color w:val="000000" w:themeColor="text1"/>
          <w:sz w:val="24"/>
          <w:szCs w:val="24"/>
          <w:lang w:val="en-US"/>
        </w:rPr>
        <w:t xml:space="preserve">ICSID Convention </w:t>
      </w:r>
      <w:r w:rsidRPr="008B2F56">
        <w:rPr>
          <w:rFonts w:ascii="Times New Roman" w:hAnsi="Times New Roman" w:cs="Times New Roman"/>
          <w:color w:val="000000" w:themeColor="text1"/>
          <w:sz w:val="24"/>
          <w:szCs w:val="24"/>
          <w:lang w:val="en-US"/>
        </w:rPr>
        <w:t xml:space="preserve">preamble </w:t>
      </w:r>
      <w:r w:rsidR="0094470F" w:rsidRPr="008B2F56">
        <w:rPr>
          <w:rFonts w:ascii="Times New Roman" w:hAnsi="Times New Roman" w:cs="Times New Roman"/>
          <w:color w:val="000000" w:themeColor="text1"/>
          <w:sz w:val="24"/>
          <w:szCs w:val="24"/>
          <w:lang w:val="en-US"/>
        </w:rPr>
        <w:t>to justify</w:t>
      </w:r>
      <w:r w:rsidRPr="008B2F56">
        <w:rPr>
          <w:rFonts w:ascii="Times New Roman" w:hAnsi="Times New Roman" w:cs="Times New Roman"/>
          <w:color w:val="000000" w:themeColor="text1"/>
          <w:sz w:val="24"/>
          <w:szCs w:val="24"/>
          <w:lang w:val="en-US"/>
        </w:rPr>
        <w:t xml:space="preserve"> </w:t>
      </w:r>
      <w:r w:rsidR="0094470F" w:rsidRPr="008B2F56">
        <w:rPr>
          <w:rFonts w:ascii="Times New Roman" w:hAnsi="Times New Roman" w:cs="Times New Roman"/>
          <w:color w:val="000000" w:themeColor="text1"/>
          <w:sz w:val="24"/>
          <w:szCs w:val="24"/>
          <w:lang w:val="en-US"/>
        </w:rPr>
        <w:t>development</w:t>
      </w:r>
      <w:r w:rsidRPr="008B2F56">
        <w:rPr>
          <w:rFonts w:ascii="Times New Roman" w:hAnsi="Times New Roman" w:cs="Times New Roman"/>
          <w:color w:val="000000" w:themeColor="text1"/>
          <w:sz w:val="24"/>
          <w:szCs w:val="24"/>
          <w:lang w:val="en-US"/>
        </w:rPr>
        <w:t xml:space="preserve"> as a relevant criterion.</w:t>
      </w:r>
      <w:r w:rsidRPr="008B2F56">
        <w:rPr>
          <w:rStyle w:val="FootnoteReference"/>
          <w:rFonts w:ascii="Times New Roman" w:hAnsi="Times New Roman" w:cs="Times New Roman"/>
        </w:rPr>
        <w:footnoteReference w:id="92"/>
      </w:r>
      <w:r w:rsidRPr="008B2F56">
        <w:rPr>
          <w:rFonts w:ascii="Times New Roman" w:hAnsi="Times New Roman" w:cs="Times New Roman"/>
          <w:color w:val="000000" w:themeColor="text1"/>
          <w:sz w:val="24"/>
          <w:szCs w:val="24"/>
          <w:lang w:val="en-US"/>
        </w:rPr>
        <w:t xml:space="preserve"> </w:t>
      </w:r>
    </w:p>
    <w:p w14:paraId="0B2E1FB2" w14:textId="27AC6CF4" w:rsidR="009755A6" w:rsidRPr="008B2F56" w:rsidRDefault="00714312"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There is an extensive literature on the extent to which IIAs may limit countries ability to take measures to achieve sustainable development.</w:t>
      </w:r>
      <w:r w:rsidRPr="008B2F56">
        <w:rPr>
          <w:rStyle w:val="FootnoteReference"/>
          <w:rFonts w:ascii="Times New Roman" w:hAnsi="Times New Roman" w:cs="Times New Roman"/>
        </w:rPr>
        <w:footnoteReference w:id="93"/>
      </w:r>
      <w:r w:rsidRPr="008B2F56">
        <w:rPr>
          <w:rFonts w:ascii="Times New Roman" w:hAnsi="Times New Roman" w:cs="Times New Roman"/>
          <w:color w:val="000000" w:themeColor="text1"/>
          <w:sz w:val="24"/>
          <w:szCs w:val="24"/>
          <w:lang w:val="en-US"/>
        </w:rPr>
        <w:t xml:space="preserve"> The main substantive obligations in IIAs have traditionally been broadly phrased, in particular the provisions on fair and equitable treatment, full protection and security, non-discrimination, indirect expropriation, compliance with contractual obligations and transfer of funds. Generally, such provisions </w:t>
      </w:r>
      <w:r w:rsidR="000A3631" w:rsidRPr="008B2F56">
        <w:rPr>
          <w:rFonts w:ascii="Times New Roman" w:hAnsi="Times New Roman" w:cs="Times New Roman"/>
          <w:color w:val="000000" w:themeColor="text1"/>
          <w:sz w:val="24"/>
          <w:szCs w:val="24"/>
          <w:lang w:val="en-US"/>
        </w:rPr>
        <w:t xml:space="preserve">may seem to </w:t>
      </w:r>
      <w:r w:rsidRPr="008B2F56">
        <w:rPr>
          <w:rFonts w:ascii="Times New Roman" w:hAnsi="Times New Roman" w:cs="Times New Roman"/>
          <w:color w:val="000000" w:themeColor="text1"/>
          <w:sz w:val="24"/>
          <w:szCs w:val="24"/>
          <w:lang w:val="en-US"/>
        </w:rPr>
        <w:t xml:space="preserve">leave broad discretion to host countries. </w:t>
      </w:r>
      <w:r w:rsidR="00522EFD" w:rsidRPr="008B2F56">
        <w:rPr>
          <w:rFonts w:ascii="Times New Roman" w:hAnsi="Times New Roman" w:cs="Times New Roman"/>
          <w:color w:val="000000" w:themeColor="text1"/>
          <w:sz w:val="24"/>
          <w:szCs w:val="24"/>
          <w:lang w:val="en-US"/>
        </w:rPr>
        <w:t>W</w:t>
      </w:r>
      <w:r w:rsidRPr="008B2F56">
        <w:rPr>
          <w:rFonts w:ascii="Times New Roman" w:hAnsi="Times New Roman" w:cs="Times New Roman"/>
          <w:color w:val="000000" w:themeColor="text1"/>
          <w:sz w:val="24"/>
          <w:szCs w:val="24"/>
          <w:lang w:val="en-US"/>
        </w:rPr>
        <w:t xml:space="preserve">ith the increasing inclusion of consent to ISDS in IIAs and resort to </w:t>
      </w:r>
      <w:r w:rsidR="00522EFD" w:rsidRPr="008B2F56">
        <w:rPr>
          <w:rFonts w:ascii="Times New Roman" w:hAnsi="Times New Roman" w:cs="Times New Roman"/>
          <w:color w:val="000000" w:themeColor="text1"/>
          <w:sz w:val="24"/>
          <w:szCs w:val="24"/>
          <w:lang w:val="en-US"/>
        </w:rPr>
        <w:t>ISDS</w:t>
      </w:r>
      <w:r w:rsidRPr="008B2F56">
        <w:rPr>
          <w:rFonts w:ascii="Times New Roman" w:hAnsi="Times New Roman" w:cs="Times New Roman"/>
          <w:color w:val="000000" w:themeColor="text1"/>
          <w:sz w:val="24"/>
          <w:szCs w:val="24"/>
          <w:lang w:val="en-US"/>
        </w:rPr>
        <w:t xml:space="preserve"> by foreign investors, </w:t>
      </w:r>
      <w:r w:rsidR="000A3631" w:rsidRPr="008B2F56">
        <w:rPr>
          <w:rFonts w:ascii="Times New Roman" w:hAnsi="Times New Roman" w:cs="Times New Roman"/>
          <w:color w:val="000000" w:themeColor="text1"/>
          <w:sz w:val="24"/>
          <w:szCs w:val="24"/>
          <w:lang w:val="en-US"/>
        </w:rPr>
        <w:t>th</w:t>
      </w:r>
      <w:r w:rsidR="00522EFD" w:rsidRPr="008B2F56">
        <w:rPr>
          <w:rFonts w:ascii="Times New Roman" w:hAnsi="Times New Roman" w:cs="Times New Roman"/>
          <w:color w:val="000000" w:themeColor="text1"/>
          <w:sz w:val="24"/>
          <w:szCs w:val="24"/>
          <w:lang w:val="en-US"/>
        </w:rPr>
        <w:t>e</w:t>
      </w:r>
      <w:r w:rsidR="000A3631" w:rsidRPr="008B2F56">
        <w:rPr>
          <w:rFonts w:ascii="Times New Roman" w:hAnsi="Times New Roman" w:cs="Times New Roman"/>
          <w:color w:val="000000" w:themeColor="text1"/>
          <w:sz w:val="24"/>
          <w:szCs w:val="24"/>
          <w:lang w:val="en-US"/>
        </w:rPr>
        <w:t xml:space="preserve"> </w:t>
      </w:r>
      <w:r w:rsidRPr="008B2F56">
        <w:rPr>
          <w:rFonts w:ascii="Times New Roman" w:hAnsi="Times New Roman" w:cs="Times New Roman"/>
          <w:color w:val="000000" w:themeColor="text1"/>
          <w:sz w:val="24"/>
          <w:szCs w:val="24"/>
          <w:lang w:val="en-US"/>
        </w:rPr>
        <w:t xml:space="preserve">discretion </w:t>
      </w:r>
      <w:r w:rsidR="00522EFD" w:rsidRPr="008B2F56">
        <w:rPr>
          <w:rFonts w:ascii="Times New Roman" w:hAnsi="Times New Roman" w:cs="Times New Roman"/>
          <w:color w:val="000000" w:themeColor="text1"/>
          <w:sz w:val="24"/>
          <w:szCs w:val="24"/>
          <w:lang w:val="en-US"/>
        </w:rPr>
        <w:t>rests increasingly with</w:t>
      </w:r>
      <w:r w:rsidR="000A3631" w:rsidRPr="008B2F56">
        <w:rPr>
          <w:rFonts w:ascii="Times New Roman" w:hAnsi="Times New Roman" w:cs="Times New Roman"/>
          <w:color w:val="000000" w:themeColor="text1"/>
          <w:sz w:val="24"/>
          <w:szCs w:val="24"/>
          <w:lang w:val="en-US"/>
        </w:rPr>
        <w:t xml:space="preserve"> </w:t>
      </w:r>
      <w:r w:rsidRPr="008B2F56">
        <w:rPr>
          <w:rFonts w:ascii="Times New Roman" w:hAnsi="Times New Roman" w:cs="Times New Roman"/>
          <w:color w:val="000000" w:themeColor="text1"/>
          <w:sz w:val="24"/>
          <w:szCs w:val="24"/>
          <w:lang w:val="en-US"/>
        </w:rPr>
        <w:t xml:space="preserve">arbitration tribunals. Hence, the protection of </w:t>
      </w:r>
      <w:r w:rsidR="00522EFD" w:rsidRPr="008B2F56">
        <w:rPr>
          <w:rFonts w:ascii="Times New Roman" w:hAnsi="Times New Roman" w:cs="Times New Roman"/>
          <w:color w:val="000000" w:themeColor="text1"/>
          <w:sz w:val="24"/>
          <w:szCs w:val="24"/>
          <w:lang w:val="en-US"/>
        </w:rPr>
        <w:t>FDI</w:t>
      </w:r>
      <w:r w:rsidRPr="008B2F56">
        <w:rPr>
          <w:rFonts w:ascii="Times New Roman" w:hAnsi="Times New Roman" w:cs="Times New Roman"/>
          <w:color w:val="000000" w:themeColor="text1"/>
          <w:sz w:val="24"/>
          <w:szCs w:val="24"/>
          <w:lang w:val="en-US"/>
        </w:rPr>
        <w:t xml:space="preserve"> does extensively depend on the extent to which </w:t>
      </w:r>
      <w:r w:rsidR="00A72148" w:rsidRPr="008B2F56">
        <w:rPr>
          <w:rFonts w:ascii="Times New Roman" w:hAnsi="Times New Roman" w:cs="Times New Roman"/>
          <w:color w:val="000000" w:themeColor="text1"/>
          <w:sz w:val="24"/>
          <w:szCs w:val="24"/>
          <w:lang w:val="en-US"/>
        </w:rPr>
        <w:t>IIA</w:t>
      </w:r>
      <w:r w:rsidR="00522EFD" w:rsidRPr="008B2F56">
        <w:rPr>
          <w:rFonts w:ascii="Times New Roman" w:hAnsi="Times New Roman" w:cs="Times New Roman"/>
          <w:color w:val="000000" w:themeColor="text1"/>
          <w:sz w:val="24"/>
          <w:szCs w:val="24"/>
          <w:lang w:val="en-US"/>
        </w:rPr>
        <w:t>s</w:t>
      </w:r>
      <w:r w:rsidR="00A72148" w:rsidRPr="008B2F56">
        <w:rPr>
          <w:rFonts w:ascii="Times New Roman" w:hAnsi="Times New Roman" w:cs="Times New Roman"/>
          <w:color w:val="000000" w:themeColor="text1"/>
          <w:sz w:val="24"/>
          <w:szCs w:val="24"/>
          <w:lang w:val="en-US"/>
        </w:rPr>
        <w:t xml:space="preserve"> pro</w:t>
      </w:r>
      <w:r w:rsidR="00522EFD" w:rsidRPr="008B2F56">
        <w:rPr>
          <w:rFonts w:ascii="Times New Roman" w:hAnsi="Times New Roman" w:cs="Times New Roman"/>
          <w:color w:val="000000" w:themeColor="text1"/>
          <w:sz w:val="24"/>
          <w:szCs w:val="24"/>
          <w:lang w:val="en-US"/>
        </w:rPr>
        <w:t>vide</w:t>
      </w:r>
      <w:r w:rsidR="00A72148" w:rsidRPr="008B2F56">
        <w:rPr>
          <w:rFonts w:ascii="Times New Roman" w:hAnsi="Times New Roman" w:cs="Times New Roman"/>
          <w:color w:val="000000" w:themeColor="text1"/>
          <w:sz w:val="24"/>
          <w:szCs w:val="24"/>
          <w:lang w:val="en-US"/>
        </w:rPr>
        <w:t xml:space="preserve"> unconditional consent to </w:t>
      </w:r>
      <w:r w:rsidRPr="008B2F56">
        <w:rPr>
          <w:rFonts w:ascii="Times New Roman" w:hAnsi="Times New Roman" w:cs="Times New Roman"/>
          <w:color w:val="000000" w:themeColor="text1"/>
          <w:sz w:val="24"/>
          <w:szCs w:val="24"/>
          <w:lang w:val="en-US"/>
        </w:rPr>
        <w:t>ISDS</w:t>
      </w:r>
      <w:r w:rsidR="00A72148" w:rsidRPr="008B2F56">
        <w:rPr>
          <w:rFonts w:ascii="Times New Roman" w:hAnsi="Times New Roman" w:cs="Times New Roman"/>
          <w:color w:val="000000" w:themeColor="text1"/>
          <w:sz w:val="24"/>
          <w:szCs w:val="24"/>
          <w:lang w:val="en-US"/>
        </w:rPr>
        <w:t xml:space="preserve">. </w:t>
      </w:r>
      <w:r w:rsidRPr="008B2F56">
        <w:rPr>
          <w:rFonts w:ascii="Times New Roman" w:hAnsi="Times New Roman" w:cs="Times New Roman"/>
          <w:color w:val="000000" w:themeColor="text1"/>
          <w:sz w:val="24"/>
          <w:szCs w:val="24"/>
          <w:lang w:val="en-US"/>
        </w:rPr>
        <w:t>A</w:t>
      </w:r>
      <w:r w:rsidR="00D1481C" w:rsidRPr="008B2F56">
        <w:rPr>
          <w:rFonts w:ascii="Times New Roman" w:hAnsi="Times New Roman" w:cs="Times New Roman"/>
          <w:color w:val="000000" w:themeColor="text1"/>
          <w:sz w:val="24"/>
          <w:szCs w:val="24"/>
          <w:lang w:val="en-US"/>
        </w:rPr>
        <w:t xml:space="preserve">bout </w:t>
      </w:r>
      <w:r w:rsidRPr="008B2F56">
        <w:rPr>
          <w:rFonts w:ascii="Times New Roman" w:hAnsi="Times New Roman" w:cs="Times New Roman"/>
          <w:color w:val="000000" w:themeColor="text1"/>
          <w:sz w:val="24"/>
          <w:szCs w:val="24"/>
          <w:lang w:val="en-US"/>
        </w:rPr>
        <w:t>96</w:t>
      </w:r>
      <w:r w:rsidR="00D1481C" w:rsidRPr="008B2F56">
        <w:rPr>
          <w:rFonts w:ascii="Times New Roman" w:hAnsi="Times New Roman" w:cs="Times New Roman"/>
          <w:color w:val="000000" w:themeColor="text1"/>
          <w:sz w:val="24"/>
          <w:szCs w:val="24"/>
          <w:lang w:val="en-US"/>
        </w:rPr>
        <w:t xml:space="preserve"> per cent of IIAs provide unconditional consent to ISDS</w:t>
      </w:r>
      <w:r w:rsidRPr="008B2F56">
        <w:rPr>
          <w:rFonts w:ascii="Times New Roman" w:hAnsi="Times New Roman" w:cs="Times New Roman"/>
          <w:color w:val="000000" w:themeColor="text1"/>
          <w:sz w:val="24"/>
          <w:szCs w:val="24"/>
          <w:lang w:val="en-US"/>
        </w:rPr>
        <w:t xml:space="preserve"> and 87 per cent do not contain any </w:t>
      </w:r>
      <w:r w:rsidR="00D1481C" w:rsidRPr="008B2F56">
        <w:rPr>
          <w:rFonts w:ascii="Times New Roman" w:hAnsi="Times New Roman" w:cs="Times New Roman"/>
          <w:color w:val="000000" w:themeColor="text1"/>
          <w:sz w:val="24"/>
          <w:szCs w:val="24"/>
          <w:lang w:val="en-US"/>
        </w:rPr>
        <w:t>limitations on the scope of ISDS.</w:t>
      </w:r>
      <w:r w:rsidR="00A72148" w:rsidRPr="008B2F56">
        <w:rPr>
          <w:rStyle w:val="FootnoteReference"/>
          <w:rFonts w:ascii="Times New Roman" w:hAnsi="Times New Roman" w:cs="Times New Roman"/>
        </w:rPr>
        <w:footnoteReference w:id="94"/>
      </w:r>
    </w:p>
    <w:p w14:paraId="48EE7FB0" w14:textId="42401241" w:rsidR="008A6088" w:rsidRPr="008B2F56" w:rsidRDefault="00714312"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C</w:t>
      </w:r>
      <w:r w:rsidR="008A6088" w:rsidRPr="008B2F56">
        <w:rPr>
          <w:rFonts w:ascii="Times New Roman" w:hAnsi="Times New Roman" w:cs="Times New Roman"/>
          <w:color w:val="000000" w:themeColor="text1"/>
          <w:sz w:val="24"/>
          <w:szCs w:val="24"/>
          <w:lang w:val="en-US"/>
        </w:rPr>
        <w:t xml:space="preserve">ountries have become increasingly concerned that policy reforms might have to be defended before </w:t>
      </w:r>
      <w:r w:rsidR="00013D0A" w:rsidRPr="008B2F56">
        <w:rPr>
          <w:rFonts w:ascii="Times New Roman" w:hAnsi="Times New Roman" w:cs="Times New Roman"/>
          <w:color w:val="000000" w:themeColor="text1"/>
          <w:sz w:val="24"/>
          <w:szCs w:val="24"/>
          <w:lang w:val="en-US"/>
        </w:rPr>
        <w:t>arbitration</w:t>
      </w:r>
      <w:r w:rsidR="008A6088" w:rsidRPr="008B2F56">
        <w:rPr>
          <w:rFonts w:ascii="Times New Roman" w:hAnsi="Times New Roman" w:cs="Times New Roman"/>
          <w:color w:val="000000" w:themeColor="text1"/>
          <w:sz w:val="24"/>
          <w:szCs w:val="24"/>
          <w:lang w:val="en-US"/>
        </w:rPr>
        <w:t xml:space="preserve"> tribunals and that the</w:t>
      </w:r>
      <w:r w:rsidR="00013D0A" w:rsidRPr="008B2F56">
        <w:rPr>
          <w:rFonts w:ascii="Times New Roman" w:hAnsi="Times New Roman" w:cs="Times New Roman"/>
          <w:color w:val="000000" w:themeColor="text1"/>
          <w:sz w:val="24"/>
          <w:szCs w:val="24"/>
          <w:lang w:val="en-US"/>
        </w:rPr>
        <w:t>y may have</w:t>
      </w:r>
      <w:r w:rsidR="008A6088" w:rsidRPr="008B2F56">
        <w:rPr>
          <w:rFonts w:ascii="Times New Roman" w:hAnsi="Times New Roman" w:cs="Times New Roman"/>
          <w:color w:val="000000" w:themeColor="text1"/>
          <w:sz w:val="24"/>
          <w:szCs w:val="24"/>
          <w:lang w:val="en-US"/>
        </w:rPr>
        <w:t xml:space="preserve"> to pay compensation to foreign investors. This has led many countries to reform their IIAs in order to more clearly define the substantive protections and expand exceptions</w:t>
      </w:r>
      <w:r w:rsidR="000A3631" w:rsidRPr="008B2F56">
        <w:rPr>
          <w:rFonts w:ascii="Times New Roman" w:hAnsi="Times New Roman" w:cs="Times New Roman"/>
          <w:color w:val="000000" w:themeColor="text1"/>
          <w:sz w:val="24"/>
          <w:szCs w:val="24"/>
          <w:lang w:val="en-US"/>
        </w:rPr>
        <w:t>. A</w:t>
      </w:r>
      <w:r w:rsidR="008A6088" w:rsidRPr="008B2F56">
        <w:rPr>
          <w:rFonts w:ascii="Times New Roman" w:hAnsi="Times New Roman" w:cs="Times New Roman"/>
          <w:color w:val="000000" w:themeColor="text1"/>
          <w:sz w:val="24"/>
          <w:szCs w:val="24"/>
          <w:lang w:val="en-US"/>
        </w:rPr>
        <w:t xml:space="preserve">s shown in figure </w:t>
      </w:r>
      <w:r w:rsidR="00EC45DC" w:rsidRPr="008B2F56">
        <w:rPr>
          <w:rFonts w:ascii="Times New Roman" w:hAnsi="Times New Roman" w:cs="Times New Roman"/>
          <w:color w:val="000000" w:themeColor="text1"/>
          <w:sz w:val="24"/>
          <w:szCs w:val="24"/>
          <w:lang w:val="en-US"/>
        </w:rPr>
        <w:t>7</w:t>
      </w:r>
      <w:r w:rsidR="000A3631" w:rsidRPr="008B2F56">
        <w:rPr>
          <w:rFonts w:ascii="Times New Roman" w:hAnsi="Times New Roman" w:cs="Times New Roman"/>
          <w:color w:val="000000" w:themeColor="text1"/>
          <w:sz w:val="24"/>
          <w:szCs w:val="24"/>
          <w:lang w:val="en-US"/>
        </w:rPr>
        <w:t xml:space="preserve">, this is a relatively recent </w:t>
      </w:r>
      <w:r w:rsidR="00EC45DC" w:rsidRPr="008B2F56">
        <w:rPr>
          <w:rFonts w:ascii="Times New Roman" w:hAnsi="Times New Roman" w:cs="Times New Roman"/>
          <w:color w:val="000000" w:themeColor="text1"/>
          <w:sz w:val="24"/>
          <w:szCs w:val="24"/>
          <w:lang w:val="en-US"/>
        </w:rPr>
        <w:t xml:space="preserve">phenomenon, </w:t>
      </w:r>
      <w:r w:rsidR="00EC45DC" w:rsidRPr="008B2F56">
        <w:rPr>
          <w:rFonts w:ascii="Times New Roman" w:hAnsi="Times New Roman" w:cs="Times New Roman"/>
          <w:color w:val="000000" w:themeColor="text1"/>
          <w:sz w:val="24"/>
          <w:szCs w:val="24"/>
          <w:lang w:val="en-US"/>
        </w:rPr>
        <w:lastRenderedPageBreak/>
        <w:t>dating back to around 2009</w:t>
      </w:r>
      <w:r w:rsidR="008A6088" w:rsidRPr="008B2F56">
        <w:rPr>
          <w:rFonts w:ascii="Times New Roman" w:hAnsi="Times New Roman" w:cs="Times New Roman"/>
          <w:color w:val="000000" w:themeColor="text1"/>
          <w:sz w:val="24"/>
          <w:szCs w:val="24"/>
          <w:lang w:val="en-US"/>
        </w:rPr>
        <w:t>.</w:t>
      </w:r>
      <w:r w:rsidR="008A6088" w:rsidRPr="008B2F56">
        <w:rPr>
          <w:rStyle w:val="FootnoteReference"/>
          <w:rFonts w:ascii="Times New Roman" w:hAnsi="Times New Roman" w:cs="Times New Roman"/>
        </w:rPr>
        <w:footnoteReference w:id="95"/>
      </w:r>
      <w:r w:rsidR="008A6088" w:rsidRPr="008B2F56">
        <w:rPr>
          <w:rFonts w:ascii="Times New Roman" w:hAnsi="Times New Roman" w:cs="Times New Roman"/>
          <w:color w:val="000000" w:themeColor="text1"/>
          <w:sz w:val="24"/>
          <w:szCs w:val="24"/>
          <w:lang w:val="en-US"/>
        </w:rPr>
        <w:t xml:space="preserve"> The extent to which IIAs actually have a chilling effect on countries’ policies to promote sustainable development is hard to research and preliminary findings are fraught with uncertainty. It seems clear that regulatory chill would essentially depend on the availability of </w:t>
      </w:r>
      <w:r w:rsidR="002A24D2" w:rsidRPr="008B2F56">
        <w:rPr>
          <w:rFonts w:ascii="Times New Roman" w:hAnsi="Times New Roman" w:cs="Times New Roman"/>
          <w:color w:val="000000" w:themeColor="text1"/>
          <w:sz w:val="24"/>
          <w:szCs w:val="24"/>
          <w:lang w:val="en-US"/>
        </w:rPr>
        <w:t>ISDS</w:t>
      </w:r>
      <w:r w:rsidR="008A6088" w:rsidRPr="008B2F56">
        <w:rPr>
          <w:rFonts w:ascii="Times New Roman" w:hAnsi="Times New Roman" w:cs="Times New Roman"/>
          <w:color w:val="000000" w:themeColor="text1"/>
          <w:sz w:val="24"/>
          <w:szCs w:val="24"/>
          <w:lang w:val="en-US"/>
        </w:rPr>
        <w:t xml:space="preserve"> under the IIA in question.</w:t>
      </w:r>
      <w:r w:rsidR="008A6088" w:rsidRPr="008B2F56">
        <w:rPr>
          <w:rStyle w:val="FootnoteReference"/>
          <w:rFonts w:ascii="Times New Roman" w:hAnsi="Times New Roman" w:cs="Times New Roman"/>
        </w:rPr>
        <w:footnoteReference w:id="96"/>
      </w:r>
      <w:r w:rsidR="00EC45DC" w:rsidRPr="008B2F56">
        <w:rPr>
          <w:rFonts w:ascii="Times New Roman" w:hAnsi="Times New Roman" w:cs="Times New Roman"/>
          <w:color w:val="000000" w:themeColor="text1"/>
          <w:sz w:val="24"/>
          <w:szCs w:val="24"/>
          <w:lang w:val="en-US"/>
        </w:rPr>
        <w:t xml:space="preserve"> While the level of protection in IIAs has varied over time, the period during which protection levels were highest and had least variation (from 1988 to 2008) corresponds with the period during which countries signed the highest number of IIAs that are currently in force (83 per cent).</w:t>
      </w:r>
    </w:p>
    <w:p w14:paraId="5C7EE6CF" w14:textId="2049ECB5" w:rsidR="00FB3616" w:rsidRPr="008B2F56" w:rsidRDefault="00FB3616" w:rsidP="008D76EF">
      <w:pPr>
        <w:pStyle w:val="Heading3"/>
        <w:jc w:val="both"/>
        <w:rPr>
          <w:rFonts w:ascii="Times New Roman" w:hAnsi="Times New Roman" w:cs="Times New Roman"/>
          <w:lang w:val="en-US"/>
        </w:rPr>
      </w:pPr>
      <w:r w:rsidRPr="008B2F56">
        <w:rPr>
          <w:rFonts w:ascii="Times New Roman" w:hAnsi="Times New Roman" w:cs="Times New Roman"/>
          <w:lang w:val="en-US"/>
        </w:rPr>
        <w:t xml:space="preserve">Figure </w:t>
      </w:r>
      <w:r w:rsidR="00EC45DC" w:rsidRPr="008B2F56">
        <w:rPr>
          <w:rFonts w:ascii="Times New Roman" w:hAnsi="Times New Roman" w:cs="Times New Roman"/>
          <w:lang w:val="en-US"/>
        </w:rPr>
        <w:t>7</w:t>
      </w:r>
      <w:r w:rsidRPr="008B2F56">
        <w:rPr>
          <w:rFonts w:ascii="Times New Roman" w:hAnsi="Times New Roman" w:cs="Times New Roman"/>
          <w:lang w:val="en-US"/>
        </w:rPr>
        <w:t>: Level of protection under BITs</w:t>
      </w:r>
      <w:r w:rsidRPr="008B2F56">
        <w:rPr>
          <w:rStyle w:val="FootnoteReference"/>
          <w:rFonts w:ascii="Times New Roman" w:hAnsi="Times New Roman" w:cs="Times New Roman"/>
        </w:rPr>
        <w:footnoteReference w:id="97"/>
      </w:r>
    </w:p>
    <w:p w14:paraId="0B69865E" w14:textId="77777777" w:rsidR="00FB3616" w:rsidRPr="008B2F56" w:rsidRDefault="00FB3616"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noProof/>
          <w:color w:val="000000" w:themeColor="text1"/>
          <w:sz w:val="24"/>
          <w:szCs w:val="24"/>
          <w:lang w:val="nb-NO" w:eastAsia="nb-NO"/>
        </w:rPr>
        <w:drawing>
          <wp:inline distT="0" distB="0" distL="0" distR="0" wp14:anchorId="6A547E97" wp14:editId="6B288C0B">
            <wp:extent cx="5895975" cy="2743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6562" cy="2813263"/>
                    </a:xfrm>
                    <a:prstGeom prst="rect">
                      <a:avLst/>
                    </a:prstGeom>
                    <a:noFill/>
                  </pic:spPr>
                </pic:pic>
              </a:graphicData>
            </a:graphic>
          </wp:inline>
        </w:drawing>
      </w:r>
    </w:p>
    <w:p w14:paraId="0285F2D8" w14:textId="0B2908E2" w:rsidR="00013D0A" w:rsidRPr="008B2F56" w:rsidRDefault="00013D0A"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If we zoom in on the IIAs of LDCs, </w:t>
      </w:r>
      <w:r w:rsidR="008D5B6A" w:rsidRPr="008B2F56">
        <w:rPr>
          <w:rFonts w:ascii="Times New Roman" w:hAnsi="Times New Roman" w:cs="Times New Roman"/>
          <w:color w:val="000000" w:themeColor="text1"/>
          <w:sz w:val="24"/>
          <w:szCs w:val="24"/>
          <w:lang w:val="en-US"/>
        </w:rPr>
        <w:t xml:space="preserve">figure </w:t>
      </w:r>
      <w:r w:rsidR="00EC45DC" w:rsidRPr="008B2F56">
        <w:rPr>
          <w:rFonts w:ascii="Times New Roman" w:hAnsi="Times New Roman" w:cs="Times New Roman"/>
          <w:color w:val="000000" w:themeColor="text1"/>
          <w:sz w:val="24"/>
          <w:szCs w:val="24"/>
          <w:lang w:val="en-US"/>
        </w:rPr>
        <w:t>8</w:t>
      </w:r>
      <w:r w:rsidR="008D5B6A" w:rsidRPr="008B2F56">
        <w:rPr>
          <w:rFonts w:ascii="Times New Roman" w:hAnsi="Times New Roman" w:cs="Times New Roman"/>
          <w:color w:val="000000" w:themeColor="text1"/>
          <w:sz w:val="24"/>
          <w:szCs w:val="24"/>
          <w:lang w:val="en-US"/>
        </w:rPr>
        <w:t xml:space="preserve"> shows that </w:t>
      </w:r>
      <w:r w:rsidR="00E62202" w:rsidRPr="008B2F56">
        <w:rPr>
          <w:rFonts w:ascii="Times New Roman" w:hAnsi="Times New Roman" w:cs="Times New Roman"/>
          <w:color w:val="000000" w:themeColor="text1"/>
          <w:sz w:val="24"/>
          <w:szCs w:val="24"/>
          <w:lang w:val="en-US"/>
        </w:rPr>
        <w:t>these countries have a</w:t>
      </w:r>
      <w:r w:rsidRPr="008B2F56">
        <w:rPr>
          <w:rFonts w:ascii="Times New Roman" w:hAnsi="Times New Roman" w:cs="Times New Roman"/>
          <w:color w:val="000000" w:themeColor="text1"/>
          <w:sz w:val="24"/>
          <w:szCs w:val="24"/>
          <w:lang w:val="en-US"/>
        </w:rPr>
        <w:t xml:space="preserve"> slightly higher </w:t>
      </w:r>
      <w:r w:rsidR="00E62202" w:rsidRPr="008B2F56">
        <w:rPr>
          <w:rFonts w:ascii="Times New Roman" w:hAnsi="Times New Roman" w:cs="Times New Roman"/>
          <w:color w:val="000000" w:themeColor="text1"/>
          <w:sz w:val="24"/>
          <w:szCs w:val="24"/>
          <w:lang w:val="en-US"/>
        </w:rPr>
        <w:t xml:space="preserve">than average </w:t>
      </w:r>
      <w:r w:rsidRPr="008B2F56">
        <w:rPr>
          <w:rFonts w:ascii="Times New Roman" w:hAnsi="Times New Roman" w:cs="Times New Roman"/>
          <w:color w:val="000000" w:themeColor="text1"/>
          <w:sz w:val="24"/>
          <w:szCs w:val="24"/>
          <w:lang w:val="en-US"/>
        </w:rPr>
        <w:t xml:space="preserve">share of IIAs </w:t>
      </w:r>
      <w:r w:rsidR="00E62202" w:rsidRPr="008B2F56">
        <w:rPr>
          <w:rFonts w:ascii="Times New Roman" w:hAnsi="Times New Roman" w:cs="Times New Roman"/>
          <w:color w:val="000000" w:themeColor="text1"/>
          <w:sz w:val="24"/>
          <w:szCs w:val="24"/>
          <w:lang w:val="en-US"/>
        </w:rPr>
        <w:t xml:space="preserve">that </w:t>
      </w:r>
      <w:r w:rsidRPr="008B2F56">
        <w:rPr>
          <w:rFonts w:ascii="Times New Roman" w:hAnsi="Times New Roman" w:cs="Times New Roman"/>
          <w:color w:val="000000" w:themeColor="text1"/>
          <w:sz w:val="24"/>
          <w:szCs w:val="24"/>
          <w:lang w:val="en-US"/>
        </w:rPr>
        <w:t>includes sustainable development relevant language</w:t>
      </w:r>
      <w:r w:rsidR="00DF6170" w:rsidRPr="008B2F56">
        <w:rPr>
          <w:rFonts w:ascii="Times New Roman" w:hAnsi="Times New Roman" w:cs="Times New Roman"/>
          <w:color w:val="000000" w:themeColor="text1"/>
          <w:sz w:val="24"/>
          <w:szCs w:val="24"/>
          <w:lang w:val="en-US"/>
        </w:rPr>
        <w:t>. Moreover</w:t>
      </w:r>
      <w:r w:rsidRPr="008B2F56">
        <w:rPr>
          <w:rFonts w:ascii="Times New Roman" w:hAnsi="Times New Roman" w:cs="Times New Roman"/>
          <w:color w:val="000000" w:themeColor="text1"/>
          <w:sz w:val="24"/>
          <w:szCs w:val="24"/>
          <w:lang w:val="en-US"/>
        </w:rPr>
        <w:t xml:space="preserve">, </w:t>
      </w:r>
      <w:r w:rsidR="00DF6170" w:rsidRPr="008B2F56">
        <w:rPr>
          <w:rFonts w:ascii="Times New Roman" w:hAnsi="Times New Roman" w:cs="Times New Roman"/>
          <w:color w:val="000000" w:themeColor="text1"/>
          <w:sz w:val="24"/>
          <w:szCs w:val="24"/>
          <w:lang w:val="en-US"/>
        </w:rPr>
        <w:t xml:space="preserve">a lower </w:t>
      </w:r>
      <w:r w:rsidR="00E62202" w:rsidRPr="008B2F56">
        <w:rPr>
          <w:rFonts w:ascii="Times New Roman" w:hAnsi="Times New Roman" w:cs="Times New Roman"/>
          <w:color w:val="000000" w:themeColor="text1"/>
          <w:sz w:val="24"/>
          <w:szCs w:val="24"/>
          <w:lang w:val="en-US"/>
        </w:rPr>
        <w:t xml:space="preserve">than average </w:t>
      </w:r>
      <w:r w:rsidR="00DF6170" w:rsidRPr="008B2F56">
        <w:rPr>
          <w:rFonts w:ascii="Times New Roman" w:hAnsi="Times New Roman" w:cs="Times New Roman"/>
          <w:color w:val="000000" w:themeColor="text1"/>
          <w:sz w:val="24"/>
          <w:szCs w:val="24"/>
          <w:lang w:val="en-US"/>
        </w:rPr>
        <w:t>share of IIAs in force for LDCs were signed during the period of high levels of protection (</w:t>
      </w:r>
      <w:r w:rsidR="008D5B6A" w:rsidRPr="008B2F56">
        <w:rPr>
          <w:rFonts w:ascii="Times New Roman" w:hAnsi="Times New Roman" w:cs="Times New Roman"/>
          <w:color w:val="000000" w:themeColor="text1"/>
          <w:sz w:val="24"/>
          <w:szCs w:val="24"/>
          <w:lang w:val="en-US"/>
        </w:rPr>
        <w:t>68</w:t>
      </w:r>
      <w:r w:rsidR="00DF6170" w:rsidRPr="008B2F56">
        <w:rPr>
          <w:rFonts w:ascii="Times New Roman" w:hAnsi="Times New Roman" w:cs="Times New Roman"/>
          <w:color w:val="000000" w:themeColor="text1"/>
          <w:sz w:val="24"/>
          <w:szCs w:val="24"/>
          <w:lang w:val="en-US"/>
        </w:rPr>
        <w:t xml:space="preserve"> per cent)</w:t>
      </w:r>
      <w:r w:rsidR="008D5B6A" w:rsidRPr="008B2F56">
        <w:rPr>
          <w:rFonts w:ascii="Times New Roman" w:hAnsi="Times New Roman" w:cs="Times New Roman"/>
          <w:color w:val="000000" w:themeColor="text1"/>
          <w:sz w:val="24"/>
          <w:szCs w:val="24"/>
          <w:lang w:val="en-US"/>
        </w:rPr>
        <w:t xml:space="preserve"> and a significantly higher share of LDCs’ IIAs </w:t>
      </w:r>
      <w:r w:rsidR="00EB7874" w:rsidRPr="008B2F56">
        <w:rPr>
          <w:rFonts w:ascii="Times New Roman" w:hAnsi="Times New Roman" w:cs="Times New Roman"/>
          <w:color w:val="000000" w:themeColor="text1"/>
          <w:sz w:val="24"/>
          <w:szCs w:val="24"/>
          <w:lang w:val="en-US"/>
        </w:rPr>
        <w:t>do not consent to</w:t>
      </w:r>
      <w:r w:rsidR="008D5B6A" w:rsidRPr="008B2F56">
        <w:rPr>
          <w:rFonts w:ascii="Times New Roman" w:hAnsi="Times New Roman" w:cs="Times New Roman"/>
          <w:color w:val="000000" w:themeColor="text1"/>
          <w:sz w:val="24"/>
          <w:szCs w:val="24"/>
          <w:lang w:val="en-US"/>
        </w:rPr>
        <w:t xml:space="preserve"> ISDS (15 per cent)</w:t>
      </w:r>
      <w:r w:rsidR="00DF6170" w:rsidRPr="008B2F56">
        <w:rPr>
          <w:rFonts w:ascii="Times New Roman" w:hAnsi="Times New Roman" w:cs="Times New Roman"/>
          <w:color w:val="000000" w:themeColor="text1"/>
          <w:sz w:val="24"/>
          <w:szCs w:val="24"/>
          <w:lang w:val="en-US"/>
        </w:rPr>
        <w:t xml:space="preserve">. </w:t>
      </w:r>
      <w:r w:rsidR="00EC45DC" w:rsidRPr="008B2F56">
        <w:rPr>
          <w:rFonts w:ascii="Times New Roman" w:hAnsi="Times New Roman" w:cs="Times New Roman"/>
          <w:color w:val="000000" w:themeColor="text1"/>
          <w:sz w:val="24"/>
          <w:szCs w:val="24"/>
          <w:lang w:val="en-US"/>
        </w:rPr>
        <w:t>While these factors indicate</w:t>
      </w:r>
      <w:r w:rsidR="00E62202" w:rsidRPr="008B2F56">
        <w:rPr>
          <w:rFonts w:ascii="Times New Roman" w:hAnsi="Times New Roman" w:cs="Times New Roman"/>
          <w:color w:val="000000" w:themeColor="text1"/>
          <w:sz w:val="24"/>
          <w:szCs w:val="24"/>
          <w:lang w:val="en-US"/>
        </w:rPr>
        <w:t xml:space="preserve"> that the IIAs of LDCs have a </w:t>
      </w:r>
      <w:r w:rsidR="008D5B6A" w:rsidRPr="008B2F56">
        <w:rPr>
          <w:rFonts w:ascii="Times New Roman" w:hAnsi="Times New Roman" w:cs="Times New Roman"/>
          <w:color w:val="000000" w:themeColor="text1"/>
          <w:sz w:val="24"/>
          <w:szCs w:val="24"/>
          <w:lang w:val="en-US"/>
        </w:rPr>
        <w:t xml:space="preserve">significantly </w:t>
      </w:r>
      <w:r w:rsidR="00E62202" w:rsidRPr="008B2F56">
        <w:rPr>
          <w:rFonts w:ascii="Times New Roman" w:hAnsi="Times New Roman" w:cs="Times New Roman"/>
          <w:color w:val="000000" w:themeColor="text1"/>
          <w:sz w:val="24"/>
          <w:szCs w:val="24"/>
          <w:lang w:val="en-US"/>
        </w:rPr>
        <w:t>lower than average level of protection</w:t>
      </w:r>
      <w:r w:rsidR="00DF6170" w:rsidRPr="008B2F56">
        <w:rPr>
          <w:rFonts w:ascii="Times New Roman" w:hAnsi="Times New Roman" w:cs="Times New Roman"/>
          <w:color w:val="000000" w:themeColor="text1"/>
          <w:sz w:val="24"/>
          <w:szCs w:val="24"/>
          <w:lang w:val="en-US"/>
        </w:rPr>
        <w:t xml:space="preserve">, </w:t>
      </w:r>
      <w:r w:rsidR="00EC45DC" w:rsidRPr="008B2F56">
        <w:rPr>
          <w:rFonts w:ascii="Times New Roman" w:hAnsi="Times New Roman" w:cs="Times New Roman"/>
          <w:color w:val="000000" w:themeColor="text1"/>
          <w:sz w:val="24"/>
          <w:szCs w:val="24"/>
          <w:lang w:val="en-US"/>
        </w:rPr>
        <w:t xml:space="preserve">one </w:t>
      </w:r>
      <w:r w:rsidR="008D5B6A" w:rsidRPr="008B2F56">
        <w:rPr>
          <w:rFonts w:ascii="Times New Roman" w:hAnsi="Times New Roman" w:cs="Times New Roman"/>
          <w:color w:val="000000" w:themeColor="text1"/>
          <w:sz w:val="24"/>
          <w:szCs w:val="24"/>
          <w:lang w:val="en-US"/>
        </w:rPr>
        <w:t>factor point</w:t>
      </w:r>
      <w:r w:rsidR="00EC45DC" w:rsidRPr="008B2F56">
        <w:rPr>
          <w:rFonts w:ascii="Times New Roman" w:hAnsi="Times New Roman" w:cs="Times New Roman"/>
          <w:color w:val="000000" w:themeColor="text1"/>
          <w:sz w:val="24"/>
          <w:szCs w:val="24"/>
          <w:lang w:val="en-US"/>
        </w:rPr>
        <w:t>s</w:t>
      </w:r>
      <w:r w:rsidR="008D5B6A" w:rsidRPr="008B2F56">
        <w:rPr>
          <w:rFonts w:ascii="Times New Roman" w:hAnsi="Times New Roman" w:cs="Times New Roman"/>
          <w:color w:val="000000" w:themeColor="text1"/>
          <w:sz w:val="24"/>
          <w:szCs w:val="24"/>
          <w:lang w:val="en-US"/>
        </w:rPr>
        <w:t xml:space="preserve"> towards higher levels of protection</w:t>
      </w:r>
      <w:r w:rsidR="00EC45DC" w:rsidRPr="008B2F56">
        <w:rPr>
          <w:rFonts w:ascii="Times New Roman" w:hAnsi="Times New Roman" w:cs="Times New Roman"/>
          <w:color w:val="000000" w:themeColor="text1"/>
          <w:sz w:val="24"/>
          <w:szCs w:val="24"/>
          <w:lang w:val="en-US"/>
        </w:rPr>
        <w:t xml:space="preserve"> within such IIAs; </w:t>
      </w:r>
      <w:r w:rsidRPr="008B2F56">
        <w:rPr>
          <w:rFonts w:ascii="Times New Roman" w:hAnsi="Times New Roman" w:cs="Times New Roman"/>
          <w:color w:val="000000" w:themeColor="text1"/>
          <w:sz w:val="24"/>
          <w:szCs w:val="24"/>
          <w:lang w:val="en-US"/>
        </w:rPr>
        <w:t xml:space="preserve">a significantly lower share of </w:t>
      </w:r>
      <w:r w:rsidR="00EC45DC" w:rsidRPr="008B2F56">
        <w:rPr>
          <w:rFonts w:ascii="Times New Roman" w:hAnsi="Times New Roman" w:cs="Times New Roman"/>
          <w:color w:val="000000" w:themeColor="text1"/>
          <w:sz w:val="24"/>
          <w:szCs w:val="24"/>
          <w:lang w:val="en-US"/>
        </w:rPr>
        <w:t xml:space="preserve">LDCs </w:t>
      </w:r>
      <w:r w:rsidRPr="008B2F56">
        <w:rPr>
          <w:rFonts w:ascii="Times New Roman" w:hAnsi="Times New Roman" w:cs="Times New Roman"/>
          <w:color w:val="000000" w:themeColor="text1"/>
          <w:sz w:val="24"/>
          <w:szCs w:val="24"/>
          <w:lang w:val="en-US"/>
        </w:rPr>
        <w:t>IIAs excludes or allows countries to ex</w:t>
      </w:r>
      <w:r w:rsidR="00F07427" w:rsidRPr="008B2F56">
        <w:rPr>
          <w:rFonts w:ascii="Times New Roman" w:hAnsi="Times New Roman" w:cs="Times New Roman"/>
          <w:color w:val="000000" w:themeColor="text1"/>
          <w:sz w:val="24"/>
          <w:szCs w:val="24"/>
          <w:lang w:val="en-US"/>
        </w:rPr>
        <w:t>clude certain categories of FDI</w:t>
      </w:r>
      <w:r w:rsidR="004D3ED2" w:rsidRPr="008B2F56">
        <w:rPr>
          <w:rFonts w:ascii="Times New Roman" w:hAnsi="Times New Roman" w:cs="Times New Roman"/>
          <w:color w:val="000000" w:themeColor="text1"/>
          <w:sz w:val="24"/>
          <w:szCs w:val="24"/>
          <w:lang w:val="en-US"/>
        </w:rPr>
        <w:t xml:space="preserve">. </w:t>
      </w:r>
    </w:p>
    <w:p w14:paraId="67C20A2E" w14:textId="7A25896B" w:rsidR="00013D0A" w:rsidRPr="008B2F56" w:rsidRDefault="00013D0A" w:rsidP="008D76EF">
      <w:pPr>
        <w:pStyle w:val="Heading3"/>
        <w:jc w:val="both"/>
        <w:rPr>
          <w:rFonts w:ascii="Times New Roman" w:hAnsi="Times New Roman" w:cs="Times New Roman"/>
          <w:lang w:val="en-US"/>
        </w:rPr>
      </w:pPr>
      <w:r w:rsidRPr="008B2F56">
        <w:rPr>
          <w:rFonts w:ascii="Times New Roman" w:hAnsi="Times New Roman" w:cs="Times New Roman"/>
          <w:lang w:val="en-US"/>
        </w:rPr>
        <w:lastRenderedPageBreak/>
        <w:t xml:space="preserve">Figure </w:t>
      </w:r>
      <w:r w:rsidR="00793F04" w:rsidRPr="008B2F56">
        <w:rPr>
          <w:rFonts w:ascii="Times New Roman" w:hAnsi="Times New Roman" w:cs="Times New Roman"/>
          <w:lang w:val="en-US"/>
        </w:rPr>
        <w:t>8</w:t>
      </w:r>
      <w:r w:rsidRPr="008B2F56">
        <w:rPr>
          <w:rFonts w:ascii="Times New Roman" w:hAnsi="Times New Roman" w:cs="Times New Roman"/>
          <w:lang w:val="en-US"/>
        </w:rPr>
        <w:t>: Percentage of IIAs containing sustainable development relevant clauses</w:t>
      </w:r>
      <w:r w:rsidRPr="008B2F56">
        <w:rPr>
          <w:rStyle w:val="FootnoteReference"/>
          <w:rFonts w:ascii="Times New Roman" w:hAnsi="Times New Roman" w:cs="Times New Roman"/>
        </w:rPr>
        <w:footnoteReference w:id="98"/>
      </w:r>
    </w:p>
    <w:p w14:paraId="1A0D6C05" w14:textId="6850E906" w:rsidR="00013D0A" w:rsidRPr="008B2F56" w:rsidRDefault="00013D0A"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noProof/>
          <w:color w:val="000000" w:themeColor="text1"/>
          <w:sz w:val="24"/>
          <w:szCs w:val="24"/>
          <w:lang w:val="nb-NO" w:eastAsia="nb-NO"/>
        </w:rPr>
        <w:drawing>
          <wp:inline distT="0" distB="0" distL="0" distR="0" wp14:anchorId="0FF5B61D" wp14:editId="5EC42622">
            <wp:extent cx="5486400" cy="2790749"/>
            <wp:effectExtent l="0" t="0" r="0" b="10160"/>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8B2F56">
        <w:rPr>
          <w:rFonts w:ascii="Times New Roman" w:hAnsi="Times New Roman" w:cs="Times New Roman"/>
          <w:color w:val="000000" w:themeColor="text1"/>
          <w:sz w:val="24"/>
          <w:szCs w:val="24"/>
          <w:lang w:val="en-US"/>
        </w:rPr>
        <w:t xml:space="preserve"> </w:t>
      </w:r>
    </w:p>
    <w:p w14:paraId="03088A0A" w14:textId="5408B91A" w:rsidR="00EC45DC" w:rsidRPr="008B2F56" w:rsidRDefault="00EC45DC"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In sum, there has been a general willingness and interest in including sustainable development relevant language in IIAs with LDCs</w:t>
      </w:r>
      <w:r w:rsidR="004C4693" w:rsidRPr="008B2F56">
        <w:rPr>
          <w:rFonts w:ascii="Times New Roman" w:hAnsi="Times New Roman" w:cs="Times New Roman"/>
          <w:color w:val="000000" w:themeColor="text1"/>
          <w:sz w:val="24"/>
          <w:szCs w:val="24"/>
          <w:lang w:val="en-US"/>
        </w:rPr>
        <w:t xml:space="preserve">. Moreover, </w:t>
      </w:r>
      <w:r w:rsidRPr="008B2F56">
        <w:rPr>
          <w:rFonts w:ascii="Times New Roman" w:hAnsi="Times New Roman" w:cs="Times New Roman"/>
          <w:color w:val="000000" w:themeColor="text1"/>
          <w:sz w:val="24"/>
          <w:szCs w:val="24"/>
          <w:lang w:val="en-US"/>
        </w:rPr>
        <w:t xml:space="preserve">such IIAs </w:t>
      </w:r>
      <w:r w:rsidR="004C4693" w:rsidRPr="008B2F56">
        <w:rPr>
          <w:rFonts w:ascii="Times New Roman" w:hAnsi="Times New Roman" w:cs="Times New Roman"/>
          <w:color w:val="000000" w:themeColor="text1"/>
          <w:sz w:val="24"/>
          <w:szCs w:val="24"/>
          <w:lang w:val="en-US"/>
        </w:rPr>
        <w:t xml:space="preserve">seem to </w:t>
      </w:r>
      <w:r w:rsidRPr="008B2F56">
        <w:rPr>
          <w:rFonts w:ascii="Times New Roman" w:hAnsi="Times New Roman" w:cs="Times New Roman"/>
          <w:color w:val="000000" w:themeColor="text1"/>
          <w:sz w:val="24"/>
          <w:szCs w:val="24"/>
          <w:lang w:val="en-US"/>
        </w:rPr>
        <w:t>allow LDCs broader than average policy space to implement policy measures</w:t>
      </w:r>
      <w:r w:rsidR="004C4693" w:rsidRPr="008B2F56">
        <w:rPr>
          <w:rFonts w:ascii="Times New Roman" w:hAnsi="Times New Roman" w:cs="Times New Roman"/>
          <w:color w:val="000000" w:themeColor="text1"/>
          <w:sz w:val="24"/>
          <w:szCs w:val="24"/>
          <w:lang w:val="en-US"/>
        </w:rPr>
        <w:t xml:space="preserve"> to fulfil the RtD and achieve SDGs</w:t>
      </w:r>
      <w:r w:rsidRPr="008B2F56">
        <w:rPr>
          <w:rFonts w:ascii="Times New Roman" w:hAnsi="Times New Roman" w:cs="Times New Roman"/>
          <w:color w:val="000000" w:themeColor="text1"/>
          <w:sz w:val="24"/>
          <w:szCs w:val="24"/>
          <w:lang w:val="en-US"/>
        </w:rPr>
        <w:t>.</w:t>
      </w:r>
      <w:r w:rsidR="004C4693" w:rsidRPr="008B2F56">
        <w:rPr>
          <w:rFonts w:ascii="Times New Roman" w:hAnsi="Times New Roman" w:cs="Times New Roman"/>
          <w:color w:val="000000" w:themeColor="text1"/>
          <w:sz w:val="24"/>
          <w:szCs w:val="24"/>
          <w:lang w:val="en-US"/>
        </w:rPr>
        <w:t xml:space="preserve"> However, the general differences that exist between the IIAs of LDCs and IIAs in general are small and may not be important in practice. The limited diffusion of IIAs among LDCs (table 2) further strengthen this point of view. </w:t>
      </w:r>
    </w:p>
    <w:p w14:paraId="2E42F301" w14:textId="6592C075" w:rsidR="004B0F73" w:rsidRPr="008B2F56" w:rsidRDefault="004B0F73" w:rsidP="008D76EF">
      <w:pPr>
        <w:pStyle w:val="Heading2"/>
        <w:jc w:val="both"/>
        <w:rPr>
          <w:rFonts w:ascii="Times New Roman" w:hAnsi="Times New Roman" w:cs="Times New Roman"/>
          <w:lang w:val="en-US"/>
        </w:rPr>
      </w:pPr>
      <w:r w:rsidRPr="008B2F56">
        <w:rPr>
          <w:rFonts w:ascii="Times New Roman" w:hAnsi="Times New Roman" w:cs="Times New Roman"/>
          <w:lang w:val="en-US"/>
        </w:rPr>
        <w:t xml:space="preserve">4.3 Protection through investment </w:t>
      </w:r>
      <w:r w:rsidR="00FC5C44" w:rsidRPr="008B2F56">
        <w:rPr>
          <w:rFonts w:ascii="Times New Roman" w:hAnsi="Times New Roman" w:cs="Times New Roman"/>
          <w:lang w:val="en-US"/>
        </w:rPr>
        <w:t>laws</w:t>
      </w:r>
    </w:p>
    <w:p w14:paraId="3390CB0D" w14:textId="08CCCB15" w:rsidR="00471461" w:rsidRPr="008B2F56" w:rsidRDefault="002D0612"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Almost four </w:t>
      </w:r>
      <w:r w:rsidR="00C22367" w:rsidRPr="008B2F56">
        <w:rPr>
          <w:rFonts w:ascii="Times New Roman" w:hAnsi="Times New Roman" w:cs="Times New Roman"/>
          <w:color w:val="000000" w:themeColor="text1"/>
          <w:sz w:val="24"/>
          <w:szCs w:val="24"/>
          <w:lang w:val="en-US"/>
        </w:rPr>
        <w:t xml:space="preserve">out of </w:t>
      </w:r>
      <w:r w:rsidRPr="008B2F56">
        <w:rPr>
          <w:rFonts w:ascii="Times New Roman" w:hAnsi="Times New Roman" w:cs="Times New Roman"/>
          <w:color w:val="000000" w:themeColor="text1"/>
          <w:sz w:val="24"/>
          <w:szCs w:val="24"/>
          <w:lang w:val="en-US"/>
        </w:rPr>
        <w:t>five LDCs have adopted investment laws</w:t>
      </w:r>
      <w:r w:rsidR="004C4693" w:rsidRPr="008B2F56">
        <w:rPr>
          <w:rFonts w:ascii="Times New Roman" w:hAnsi="Times New Roman" w:cs="Times New Roman"/>
          <w:color w:val="000000" w:themeColor="text1"/>
          <w:sz w:val="24"/>
          <w:szCs w:val="24"/>
          <w:lang w:val="en-US"/>
        </w:rPr>
        <w:t xml:space="preserve">. The scope of </w:t>
      </w:r>
      <w:r w:rsidRPr="008B2F56">
        <w:rPr>
          <w:rFonts w:ascii="Times New Roman" w:hAnsi="Times New Roman" w:cs="Times New Roman"/>
          <w:color w:val="000000" w:themeColor="text1"/>
          <w:sz w:val="24"/>
          <w:szCs w:val="24"/>
          <w:lang w:val="en-US"/>
        </w:rPr>
        <w:t xml:space="preserve">such legislation </w:t>
      </w:r>
      <w:r w:rsidR="004C4693" w:rsidRPr="008B2F56">
        <w:rPr>
          <w:rFonts w:ascii="Times New Roman" w:hAnsi="Times New Roman" w:cs="Times New Roman"/>
          <w:color w:val="000000" w:themeColor="text1"/>
          <w:sz w:val="24"/>
          <w:szCs w:val="24"/>
          <w:lang w:val="en-US"/>
        </w:rPr>
        <w:t>is</w:t>
      </w:r>
      <w:r w:rsidRPr="008B2F56">
        <w:rPr>
          <w:rFonts w:ascii="Times New Roman" w:hAnsi="Times New Roman" w:cs="Times New Roman"/>
          <w:color w:val="000000" w:themeColor="text1"/>
          <w:sz w:val="24"/>
          <w:szCs w:val="24"/>
          <w:lang w:val="en-US"/>
        </w:rPr>
        <w:t xml:space="preserve"> similar to that of II</w:t>
      </w:r>
      <w:r w:rsidR="00471461" w:rsidRPr="008B2F56">
        <w:rPr>
          <w:rFonts w:ascii="Times New Roman" w:hAnsi="Times New Roman" w:cs="Times New Roman"/>
          <w:color w:val="000000" w:themeColor="text1"/>
          <w:sz w:val="24"/>
          <w:szCs w:val="24"/>
          <w:lang w:val="en-US"/>
        </w:rPr>
        <w:t>As in terms of investment covered</w:t>
      </w:r>
      <w:r w:rsidR="004C4693" w:rsidRPr="008B2F56">
        <w:rPr>
          <w:rFonts w:ascii="Times New Roman" w:hAnsi="Times New Roman" w:cs="Times New Roman"/>
          <w:color w:val="000000" w:themeColor="text1"/>
          <w:sz w:val="24"/>
          <w:szCs w:val="24"/>
          <w:lang w:val="en-US"/>
        </w:rPr>
        <w:t>. However</w:t>
      </w:r>
      <w:r w:rsidR="00471461" w:rsidRPr="008B2F56">
        <w:rPr>
          <w:rFonts w:ascii="Times New Roman" w:hAnsi="Times New Roman" w:cs="Times New Roman"/>
          <w:color w:val="000000" w:themeColor="text1"/>
          <w:sz w:val="24"/>
          <w:szCs w:val="24"/>
          <w:lang w:val="en-US"/>
        </w:rPr>
        <w:t xml:space="preserve">, </w:t>
      </w:r>
      <w:r w:rsidR="00EB7874" w:rsidRPr="008B2F56">
        <w:rPr>
          <w:rFonts w:ascii="Times New Roman" w:hAnsi="Times New Roman" w:cs="Times New Roman"/>
          <w:color w:val="000000" w:themeColor="text1"/>
          <w:sz w:val="24"/>
          <w:szCs w:val="24"/>
          <w:lang w:val="en-US"/>
        </w:rPr>
        <w:t>the</w:t>
      </w:r>
      <w:r w:rsidR="004C4693" w:rsidRPr="008B2F56">
        <w:rPr>
          <w:rFonts w:ascii="Times New Roman" w:hAnsi="Times New Roman" w:cs="Times New Roman"/>
          <w:color w:val="000000" w:themeColor="text1"/>
          <w:sz w:val="24"/>
          <w:szCs w:val="24"/>
          <w:lang w:val="en-US"/>
        </w:rPr>
        <w:t xml:space="preserve"> scope </w:t>
      </w:r>
      <w:r w:rsidR="00471461" w:rsidRPr="008B2F56">
        <w:rPr>
          <w:rFonts w:ascii="Times New Roman" w:hAnsi="Times New Roman" w:cs="Times New Roman"/>
          <w:color w:val="000000" w:themeColor="text1"/>
          <w:sz w:val="24"/>
          <w:szCs w:val="24"/>
          <w:lang w:val="en-US"/>
        </w:rPr>
        <w:t xml:space="preserve">in terms of foreign investors </w:t>
      </w:r>
      <w:r w:rsidR="004C4693" w:rsidRPr="008B2F56">
        <w:rPr>
          <w:rFonts w:ascii="Times New Roman" w:hAnsi="Times New Roman" w:cs="Times New Roman"/>
          <w:color w:val="000000" w:themeColor="text1"/>
          <w:sz w:val="24"/>
          <w:szCs w:val="24"/>
          <w:lang w:val="en-US"/>
        </w:rPr>
        <w:t xml:space="preserve">covered </w:t>
      </w:r>
      <w:r w:rsidR="00EB7874" w:rsidRPr="008B2F56">
        <w:rPr>
          <w:rFonts w:ascii="Times New Roman" w:hAnsi="Times New Roman" w:cs="Times New Roman"/>
          <w:color w:val="000000" w:themeColor="text1"/>
          <w:sz w:val="24"/>
          <w:szCs w:val="24"/>
          <w:lang w:val="en-US"/>
        </w:rPr>
        <w:t xml:space="preserve">is much broader </w:t>
      </w:r>
      <w:r w:rsidR="00471461" w:rsidRPr="008B2F56">
        <w:rPr>
          <w:rFonts w:ascii="Times New Roman" w:hAnsi="Times New Roman" w:cs="Times New Roman"/>
          <w:color w:val="000000" w:themeColor="text1"/>
          <w:sz w:val="24"/>
          <w:szCs w:val="24"/>
          <w:lang w:val="en-US"/>
        </w:rPr>
        <w:t>since the legislation normally applies to all foreign investors regardless of country of origin</w:t>
      </w:r>
      <w:r w:rsidR="00EB7874" w:rsidRPr="008B2F56">
        <w:rPr>
          <w:rFonts w:ascii="Times New Roman" w:hAnsi="Times New Roman" w:cs="Times New Roman"/>
          <w:color w:val="000000" w:themeColor="text1"/>
          <w:sz w:val="24"/>
          <w:szCs w:val="24"/>
          <w:lang w:val="en-US"/>
        </w:rPr>
        <w:t xml:space="preserve"> (see table 3)</w:t>
      </w:r>
      <w:r w:rsidR="00471461" w:rsidRPr="008B2F56">
        <w:rPr>
          <w:rFonts w:ascii="Times New Roman" w:hAnsi="Times New Roman" w:cs="Times New Roman"/>
          <w:color w:val="000000" w:themeColor="text1"/>
          <w:sz w:val="24"/>
          <w:szCs w:val="24"/>
          <w:lang w:val="en-US"/>
        </w:rPr>
        <w:t xml:space="preserve">. Since LDCs in general have few IIAs with other countries, investment legislation therefore has the potential to </w:t>
      </w:r>
      <w:r w:rsidRPr="008B2F56">
        <w:rPr>
          <w:rFonts w:ascii="Times New Roman" w:hAnsi="Times New Roman" w:cs="Times New Roman"/>
          <w:color w:val="000000" w:themeColor="text1"/>
          <w:sz w:val="24"/>
          <w:szCs w:val="24"/>
          <w:lang w:val="en-US"/>
        </w:rPr>
        <w:t xml:space="preserve">provide much more </w:t>
      </w:r>
      <w:r w:rsidR="004C4693" w:rsidRPr="008B2F56">
        <w:rPr>
          <w:rFonts w:ascii="Times New Roman" w:hAnsi="Times New Roman" w:cs="Times New Roman"/>
          <w:color w:val="000000" w:themeColor="text1"/>
          <w:sz w:val="24"/>
          <w:szCs w:val="24"/>
          <w:lang w:val="en-US"/>
        </w:rPr>
        <w:t>extensive protection</w:t>
      </w:r>
      <w:r w:rsidR="00471461" w:rsidRPr="008B2F56">
        <w:rPr>
          <w:rFonts w:ascii="Times New Roman" w:hAnsi="Times New Roman" w:cs="Times New Roman"/>
          <w:color w:val="000000" w:themeColor="text1"/>
          <w:sz w:val="24"/>
          <w:szCs w:val="24"/>
          <w:lang w:val="en-US"/>
        </w:rPr>
        <w:t xml:space="preserve"> to foreign investors </w:t>
      </w:r>
      <w:r w:rsidR="004C4693" w:rsidRPr="008B2F56">
        <w:rPr>
          <w:rFonts w:ascii="Times New Roman" w:hAnsi="Times New Roman" w:cs="Times New Roman"/>
          <w:color w:val="000000" w:themeColor="text1"/>
          <w:sz w:val="24"/>
          <w:szCs w:val="24"/>
          <w:lang w:val="en-US"/>
        </w:rPr>
        <w:t>when adopted by</w:t>
      </w:r>
      <w:r w:rsidR="00471461" w:rsidRPr="008B2F56">
        <w:rPr>
          <w:rFonts w:ascii="Times New Roman" w:hAnsi="Times New Roman" w:cs="Times New Roman"/>
          <w:color w:val="000000" w:themeColor="text1"/>
          <w:sz w:val="24"/>
          <w:szCs w:val="24"/>
          <w:lang w:val="en-US"/>
        </w:rPr>
        <w:t xml:space="preserve"> LDCs than </w:t>
      </w:r>
      <w:r w:rsidR="004C4693" w:rsidRPr="008B2F56">
        <w:rPr>
          <w:rFonts w:ascii="Times New Roman" w:hAnsi="Times New Roman" w:cs="Times New Roman"/>
          <w:color w:val="000000" w:themeColor="text1"/>
          <w:sz w:val="24"/>
          <w:szCs w:val="24"/>
          <w:lang w:val="en-US"/>
        </w:rPr>
        <w:t>when adopted by</w:t>
      </w:r>
      <w:r w:rsidR="00471461" w:rsidRPr="008B2F56">
        <w:rPr>
          <w:rFonts w:ascii="Times New Roman" w:hAnsi="Times New Roman" w:cs="Times New Roman"/>
          <w:color w:val="000000" w:themeColor="text1"/>
          <w:sz w:val="24"/>
          <w:szCs w:val="24"/>
          <w:lang w:val="en-US"/>
        </w:rPr>
        <w:t xml:space="preserve"> other countries. </w:t>
      </w:r>
    </w:p>
    <w:p w14:paraId="1318A7F9" w14:textId="12AB078B" w:rsidR="004B0F73" w:rsidRPr="008B2F56" w:rsidRDefault="00471461"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As to the level of protection offered by LDCs i</w:t>
      </w:r>
      <w:r w:rsidR="00FC5C44" w:rsidRPr="008B2F56">
        <w:rPr>
          <w:rFonts w:ascii="Times New Roman" w:hAnsi="Times New Roman" w:cs="Times New Roman"/>
          <w:color w:val="000000" w:themeColor="text1"/>
          <w:sz w:val="24"/>
          <w:szCs w:val="24"/>
          <w:lang w:val="en-US"/>
        </w:rPr>
        <w:t>nvestment laws</w:t>
      </w:r>
      <w:r w:rsidRPr="008B2F56">
        <w:rPr>
          <w:rFonts w:ascii="Times New Roman" w:hAnsi="Times New Roman" w:cs="Times New Roman"/>
          <w:color w:val="000000" w:themeColor="text1"/>
          <w:sz w:val="24"/>
          <w:szCs w:val="24"/>
          <w:lang w:val="en-US"/>
        </w:rPr>
        <w:t xml:space="preserve">, we find that </w:t>
      </w:r>
      <w:r w:rsidR="00B47197" w:rsidRPr="008B2F56">
        <w:rPr>
          <w:rFonts w:ascii="Times New Roman" w:hAnsi="Times New Roman" w:cs="Times New Roman"/>
          <w:color w:val="000000" w:themeColor="text1"/>
          <w:sz w:val="24"/>
          <w:szCs w:val="24"/>
          <w:lang w:val="en-US"/>
        </w:rPr>
        <w:t>they contain</w:t>
      </w:r>
      <w:r w:rsidR="00FC5C44" w:rsidRPr="008B2F56">
        <w:rPr>
          <w:rFonts w:ascii="Times New Roman" w:hAnsi="Times New Roman" w:cs="Times New Roman"/>
          <w:color w:val="000000" w:themeColor="text1"/>
          <w:sz w:val="24"/>
          <w:szCs w:val="24"/>
          <w:lang w:val="en-US"/>
        </w:rPr>
        <w:t xml:space="preserve"> </w:t>
      </w:r>
      <w:r w:rsidRPr="008B2F56">
        <w:rPr>
          <w:rFonts w:ascii="Times New Roman" w:hAnsi="Times New Roman" w:cs="Times New Roman"/>
          <w:color w:val="000000" w:themeColor="text1"/>
          <w:sz w:val="24"/>
          <w:szCs w:val="24"/>
          <w:lang w:val="en-US"/>
        </w:rPr>
        <w:t>some</w:t>
      </w:r>
      <w:r w:rsidR="00FC5C44" w:rsidRPr="008B2F56">
        <w:rPr>
          <w:rFonts w:ascii="Times New Roman" w:hAnsi="Times New Roman" w:cs="Times New Roman"/>
          <w:color w:val="000000" w:themeColor="text1"/>
          <w:sz w:val="24"/>
          <w:szCs w:val="24"/>
          <w:lang w:val="en-US"/>
        </w:rPr>
        <w:t xml:space="preserve"> of the same protections as IIAs. </w:t>
      </w:r>
      <w:r w:rsidR="009305CC" w:rsidRPr="008B2F56">
        <w:rPr>
          <w:rFonts w:ascii="Times New Roman" w:hAnsi="Times New Roman" w:cs="Times New Roman"/>
          <w:color w:val="000000" w:themeColor="text1"/>
          <w:sz w:val="24"/>
          <w:szCs w:val="24"/>
          <w:lang w:val="en-US"/>
        </w:rPr>
        <w:t xml:space="preserve">As shown in figure </w:t>
      </w:r>
      <w:r w:rsidR="000F6D91" w:rsidRPr="008B2F56">
        <w:rPr>
          <w:rFonts w:ascii="Times New Roman" w:hAnsi="Times New Roman" w:cs="Times New Roman"/>
          <w:color w:val="000000" w:themeColor="text1"/>
          <w:sz w:val="24"/>
          <w:szCs w:val="24"/>
          <w:lang w:val="en-US"/>
        </w:rPr>
        <w:t>9</w:t>
      </w:r>
      <w:r w:rsidR="009305CC" w:rsidRPr="008B2F56">
        <w:rPr>
          <w:rFonts w:ascii="Times New Roman" w:hAnsi="Times New Roman" w:cs="Times New Roman"/>
          <w:color w:val="000000" w:themeColor="text1"/>
          <w:sz w:val="24"/>
          <w:szCs w:val="24"/>
          <w:lang w:val="en-US"/>
        </w:rPr>
        <w:t>, t</w:t>
      </w:r>
      <w:r w:rsidR="00FC5C44" w:rsidRPr="008B2F56">
        <w:rPr>
          <w:rFonts w:ascii="Times New Roman" w:hAnsi="Times New Roman" w:cs="Times New Roman"/>
          <w:color w:val="000000" w:themeColor="text1"/>
          <w:sz w:val="24"/>
          <w:szCs w:val="24"/>
          <w:lang w:val="en-US"/>
        </w:rPr>
        <w:t xml:space="preserve">he most frequent </w:t>
      </w:r>
      <w:r w:rsidR="00C60146" w:rsidRPr="008B2F56">
        <w:rPr>
          <w:rFonts w:ascii="Times New Roman" w:hAnsi="Times New Roman" w:cs="Times New Roman"/>
          <w:color w:val="000000" w:themeColor="text1"/>
          <w:sz w:val="24"/>
          <w:szCs w:val="24"/>
          <w:lang w:val="en-US"/>
        </w:rPr>
        <w:t>protection</w:t>
      </w:r>
      <w:r w:rsidRPr="008B2F56">
        <w:rPr>
          <w:rFonts w:ascii="Times New Roman" w:hAnsi="Times New Roman" w:cs="Times New Roman"/>
          <w:color w:val="000000" w:themeColor="text1"/>
          <w:sz w:val="24"/>
          <w:szCs w:val="24"/>
          <w:lang w:val="en-US"/>
        </w:rPr>
        <w:t>s</w:t>
      </w:r>
      <w:r w:rsidR="00C60146" w:rsidRPr="008B2F56">
        <w:rPr>
          <w:rFonts w:ascii="Times New Roman" w:hAnsi="Times New Roman" w:cs="Times New Roman"/>
          <w:color w:val="000000" w:themeColor="text1"/>
          <w:sz w:val="24"/>
          <w:szCs w:val="24"/>
          <w:lang w:val="en-US"/>
        </w:rPr>
        <w:t xml:space="preserve"> </w:t>
      </w:r>
      <w:r w:rsidRPr="008B2F56">
        <w:rPr>
          <w:rFonts w:ascii="Times New Roman" w:hAnsi="Times New Roman" w:cs="Times New Roman"/>
          <w:color w:val="000000" w:themeColor="text1"/>
          <w:sz w:val="24"/>
          <w:szCs w:val="24"/>
          <w:lang w:val="en-US"/>
        </w:rPr>
        <w:t>are again</w:t>
      </w:r>
      <w:r w:rsidR="00C60146" w:rsidRPr="008B2F56">
        <w:rPr>
          <w:rFonts w:ascii="Times New Roman" w:hAnsi="Times New Roman" w:cs="Times New Roman"/>
          <w:color w:val="000000" w:themeColor="text1"/>
          <w:sz w:val="24"/>
          <w:szCs w:val="24"/>
          <w:lang w:val="en-US"/>
        </w:rPr>
        <w:t xml:space="preserve">st direct expropriation, restrictions on transfer of assets, and discrimination against foreign investors. </w:t>
      </w:r>
      <w:r w:rsidR="0014224B" w:rsidRPr="008B2F56">
        <w:rPr>
          <w:rFonts w:ascii="Times New Roman" w:hAnsi="Times New Roman" w:cs="Times New Roman"/>
          <w:color w:val="000000" w:themeColor="text1"/>
          <w:sz w:val="24"/>
          <w:szCs w:val="24"/>
          <w:lang w:val="en-US"/>
        </w:rPr>
        <w:t>However, t</w:t>
      </w:r>
      <w:r w:rsidR="009305CC" w:rsidRPr="008B2F56">
        <w:rPr>
          <w:rFonts w:ascii="Times New Roman" w:hAnsi="Times New Roman" w:cs="Times New Roman"/>
          <w:color w:val="000000" w:themeColor="text1"/>
          <w:sz w:val="24"/>
          <w:szCs w:val="24"/>
          <w:lang w:val="en-US"/>
        </w:rPr>
        <w:t>wo</w:t>
      </w:r>
      <w:r w:rsidR="00C60146" w:rsidRPr="008B2F56">
        <w:rPr>
          <w:rFonts w:ascii="Times New Roman" w:hAnsi="Times New Roman" w:cs="Times New Roman"/>
          <w:color w:val="000000" w:themeColor="text1"/>
          <w:sz w:val="24"/>
          <w:szCs w:val="24"/>
          <w:lang w:val="en-US"/>
        </w:rPr>
        <w:t xml:space="preserve"> of the most frequently occurring </w:t>
      </w:r>
      <w:r w:rsidR="009305CC" w:rsidRPr="008B2F56">
        <w:rPr>
          <w:rFonts w:ascii="Times New Roman" w:hAnsi="Times New Roman" w:cs="Times New Roman"/>
          <w:color w:val="000000" w:themeColor="text1"/>
          <w:sz w:val="24"/>
          <w:szCs w:val="24"/>
          <w:lang w:val="en-US"/>
        </w:rPr>
        <w:t>protections i</w:t>
      </w:r>
      <w:r w:rsidR="00C60146" w:rsidRPr="008B2F56">
        <w:rPr>
          <w:rFonts w:ascii="Times New Roman" w:hAnsi="Times New Roman" w:cs="Times New Roman"/>
          <w:color w:val="000000" w:themeColor="text1"/>
          <w:sz w:val="24"/>
          <w:szCs w:val="24"/>
          <w:lang w:val="en-US"/>
        </w:rPr>
        <w:t>n IIAs</w:t>
      </w:r>
      <w:r w:rsidR="00942A06" w:rsidRPr="008B2F56">
        <w:rPr>
          <w:rFonts w:ascii="Times New Roman" w:hAnsi="Times New Roman" w:cs="Times New Roman"/>
          <w:color w:val="000000" w:themeColor="text1"/>
          <w:sz w:val="24"/>
          <w:szCs w:val="24"/>
          <w:lang w:val="en-US"/>
        </w:rPr>
        <w:t xml:space="preserve"> – </w:t>
      </w:r>
      <w:r w:rsidR="009305CC" w:rsidRPr="008B2F56">
        <w:rPr>
          <w:rFonts w:ascii="Times New Roman" w:hAnsi="Times New Roman" w:cs="Times New Roman"/>
          <w:color w:val="000000" w:themeColor="text1"/>
          <w:sz w:val="24"/>
          <w:szCs w:val="24"/>
          <w:lang w:val="en-US"/>
        </w:rPr>
        <w:t>against indirect expropriation and un</w:t>
      </w:r>
      <w:r w:rsidR="00C60146" w:rsidRPr="008B2F56">
        <w:rPr>
          <w:rFonts w:ascii="Times New Roman" w:hAnsi="Times New Roman" w:cs="Times New Roman"/>
          <w:color w:val="000000" w:themeColor="text1"/>
          <w:sz w:val="24"/>
          <w:szCs w:val="24"/>
          <w:lang w:val="en-US"/>
        </w:rPr>
        <w:t xml:space="preserve">fair and </w:t>
      </w:r>
      <w:r w:rsidR="009305CC" w:rsidRPr="008B2F56">
        <w:rPr>
          <w:rFonts w:ascii="Times New Roman" w:hAnsi="Times New Roman" w:cs="Times New Roman"/>
          <w:color w:val="000000" w:themeColor="text1"/>
          <w:sz w:val="24"/>
          <w:szCs w:val="24"/>
          <w:lang w:val="en-US"/>
        </w:rPr>
        <w:t>in</w:t>
      </w:r>
      <w:r w:rsidR="00C60146" w:rsidRPr="008B2F56">
        <w:rPr>
          <w:rFonts w:ascii="Times New Roman" w:hAnsi="Times New Roman" w:cs="Times New Roman"/>
          <w:color w:val="000000" w:themeColor="text1"/>
          <w:sz w:val="24"/>
          <w:szCs w:val="24"/>
          <w:lang w:val="en-US"/>
        </w:rPr>
        <w:t>equitable treatment</w:t>
      </w:r>
      <w:r w:rsidR="00942A06" w:rsidRPr="008B2F56">
        <w:rPr>
          <w:rFonts w:ascii="Times New Roman" w:hAnsi="Times New Roman" w:cs="Times New Roman"/>
          <w:color w:val="000000" w:themeColor="text1"/>
          <w:sz w:val="24"/>
          <w:szCs w:val="24"/>
          <w:lang w:val="en-US"/>
        </w:rPr>
        <w:t xml:space="preserve"> – </w:t>
      </w:r>
      <w:r w:rsidR="00A62AA8" w:rsidRPr="008B2F56">
        <w:rPr>
          <w:rFonts w:ascii="Times New Roman" w:hAnsi="Times New Roman" w:cs="Times New Roman"/>
          <w:color w:val="000000" w:themeColor="text1"/>
          <w:sz w:val="24"/>
          <w:szCs w:val="24"/>
          <w:lang w:val="en-US"/>
        </w:rPr>
        <w:t xml:space="preserve">occur only </w:t>
      </w:r>
      <w:r w:rsidR="00C60146" w:rsidRPr="008B2F56">
        <w:rPr>
          <w:rFonts w:ascii="Times New Roman" w:hAnsi="Times New Roman" w:cs="Times New Roman"/>
          <w:color w:val="000000" w:themeColor="text1"/>
          <w:sz w:val="24"/>
          <w:szCs w:val="24"/>
          <w:lang w:val="en-US"/>
        </w:rPr>
        <w:t xml:space="preserve">in </w:t>
      </w:r>
      <w:r w:rsidR="00A62AA8" w:rsidRPr="008B2F56">
        <w:rPr>
          <w:rFonts w:ascii="Times New Roman" w:hAnsi="Times New Roman" w:cs="Times New Roman"/>
          <w:color w:val="000000" w:themeColor="text1"/>
          <w:sz w:val="24"/>
          <w:szCs w:val="24"/>
          <w:lang w:val="en-US"/>
        </w:rPr>
        <w:t xml:space="preserve">few </w:t>
      </w:r>
      <w:r w:rsidR="00942A06" w:rsidRPr="008B2F56">
        <w:rPr>
          <w:rFonts w:ascii="Times New Roman" w:hAnsi="Times New Roman" w:cs="Times New Roman"/>
          <w:color w:val="000000" w:themeColor="text1"/>
          <w:sz w:val="24"/>
          <w:szCs w:val="24"/>
          <w:lang w:val="en-US"/>
        </w:rPr>
        <w:t xml:space="preserve">LDCs </w:t>
      </w:r>
      <w:r w:rsidR="00C60146" w:rsidRPr="008B2F56">
        <w:rPr>
          <w:rFonts w:ascii="Times New Roman" w:hAnsi="Times New Roman" w:cs="Times New Roman"/>
          <w:color w:val="000000" w:themeColor="text1"/>
          <w:sz w:val="24"/>
          <w:szCs w:val="24"/>
          <w:lang w:val="en-US"/>
        </w:rPr>
        <w:t xml:space="preserve">investment </w:t>
      </w:r>
      <w:r w:rsidR="00942A06" w:rsidRPr="008B2F56">
        <w:rPr>
          <w:rFonts w:ascii="Times New Roman" w:hAnsi="Times New Roman" w:cs="Times New Roman"/>
          <w:color w:val="000000" w:themeColor="text1"/>
          <w:sz w:val="24"/>
          <w:szCs w:val="24"/>
          <w:lang w:val="en-US"/>
        </w:rPr>
        <w:t>laws</w:t>
      </w:r>
      <w:r w:rsidR="00C60146" w:rsidRPr="008B2F56">
        <w:rPr>
          <w:rFonts w:ascii="Times New Roman" w:hAnsi="Times New Roman" w:cs="Times New Roman"/>
          <w:color w:val="000000" w:themeColor="text1"/>
          <w:sz w:val="24"/>
          <w:szCs w:val="24"/>
          <w:lang w:val="en-US"/>
        </w:rPr>
        <w:t>.</w:t>
      </w:r>
      <w:r w:rsidR="00B47197" w:rsidRPr="008B2F56">
        <w:rPr>
          <w:rFonts w:ascii="Times New Roman" w:hAnsi="Times New Roman" w:cs="Times New Roman"/>
          <w:color w:val="000000" w:themeColor="text1"/>
          <w:sz w:val="24"/>
          <w:szCs w:val="24"/>
          <w:lang w:val="en-US"/>
        </w:rPr>
        <w:t xml:space="preserve"> Hence,</w:t>
      </w:r>
      <w:r w:rsidR="00F1336B" w:rsidRPr="008B2F56">
        <w:rPr>
          <w:rFonts w:ascii="Times New Roman" w:hAnsi="Times New Roman" w:cs="Times New Roman"/>
          <w:color w:val="000000" w:themeColor="text1"/>
          <w:sz w:val="24"/>
          <w:szCs w:val="24"/>
          <w:lang w:val="en-US"/>
        </w:rPr>
        <w:t xml:space="preserve"> some protections normally offered in IIAs are </w:t>
      </w:r>
      <w:r w:rsidR="00942A06" w:rsidRPr="008B2F56">
        <w:rPr>
          <w:rFonts w:ascii="Times New Roman" w:hAnsi="Times New Roman" w:cs="Times New Roman"/>
          <w:color w:val="000000" w:themeColor="text1"/>
          <w:sz w:val="24"/>
          <w:szCs w:val="24"/>
          <w:lang w:val="en-US"/>
        </w:rPr>
        <w:t>rare</w:t>
      </w:r>
      <w:r w:rsidR="00F1336B" w:rsidRPr="008B2F56">
        <w:rPr>
          <w:rFonts w:ascii="Times New Roman" w:hAnsi="Times New Roman" w:cs="Times New Roman"/>
          <w:color w:val="000000" w:themeColor="text1"/>
          <w:sz w:val="24"/>
          <w:szCs w:val="24"/>
          <w:lang w:val="en-US"/>
        </w:rPr>
        <w:t xml:space="preserve"> </w:t>
      </w:r>
      <w:r w:rsidR="00942A06" w:rsidRPr="008B2F56">
        <w:rPr>
          <w:rFonts w:ascii="Times New Roman" w:hAnsi="Times New Roman" w:cs="Times New Roman"/>
          <w:color w:val="000000" w:themeColor="text1"/>
          <w:sz w:val="24"/>
          <w:szCs w:val="24"/>
          <w:lang w:val="en-US"/>
        </w:rPr>
        <w:t xml:space="preserve">or completely absent in </w:t>
      </w:r>
      <w:r w:rsidR="00F1336B" w:rsidRPr="008B2F56">
        <w:rPr>
          <w:rFonts w:ascii="Times New Roman" w:hAnsi="Times New Roman" w:cs="Times New Roman"/>
          <w:color w:val="000000" w:themeColor="text1"/>
          <w:sz w:val="24"/>
          <w:szCs w:val="24"/>
          <w:lang w:val="en-US"/>
        </w:rPr>
        <w:t xml:space="preserve">investment </w:t>
      </w:r>
      <w:r w:rsidR="00B47197" w:rsidRPr="008B2F56">
        <w:rPr>
          <w:rFonts w:ascii="Times New Roman" w:hAnsi="Times New Roman" w:cs="Times New Roman"/>
          <w:color w:val="000000" w:themeColor="text1"/>
          <w:sz w:val="24"/>
          <w:szCs w:val="24"/>
          <w:lang w:val="en-US"/>
        </w:rPr>
        <w:t>laws. On the other hand</w:t>
      </w:r>
      <w:r w:rsidR="00F1336B" w:rsidRPr="008B2F56">
        <w:rPr>
          <w:rFonts w:ascii="Times New Roman" w:hAnsi="Times New Roman" w:cs="Times New Roman"/>
          <w:color w:val="000000" w:themeColor="text1"/>
          <w:sz w:val="24"/>
          <w:szCs w:val="24"/>
          <w:lang w:val="en-US"/>
        </w:rPr>
        <w:t xml:space="preserve">, </w:t>
      </w:r>
      <w:r w:rsidR="000F6D91" w:rsidRPr="008B2F56">
        <w:rPr>
          <w:rFonts w:ascii="Times New Roman" w:hAnsi="Times New Roman" w:cs="Times New Roman"/>
          <w:color w:val="000000" w:themeColor="text1"/>
          <w:sz w:val="24"/>
          <w:szCs w:val="24"/>
          <w:lang w:val="en-US"/>
        </w:rPr>
        <w:t xml:space="preserve">such </w:t>
      </w:r>
      <w:r w:rsidR="00B47197" w:rsidRPr="008B2F56">
        <w:rPr>
          <w:rFonts w:ascii="Times New Roman" w:hAnsi="Times New Roman" w:cs="Times New Roman"/>
          <w:color w:val="000000" w:themeColor="text1"/>
          <w:sz w:val="24"/>
          <w:szCs w:val="24"/>
          <w:lang w:val="en-US"/>
        </w:rPr>
        <w:t>laws</w:t>
      </w:r>
      <w:r w:rsidR="00F1336B" w:rsidRPr="008B2F56">
        <w:rPr>
          <w:rFonts w:ascii="Times New Roman" w:hAnsi="Times New Roman" w:cs="Times New Roman"/>
          <w:color w:val="000000" w:themeColor="text1"/>
          <w:sz w:val="24"/>
          <w:szCs w:val="24"/>
          <w:lang w:val="en-US"/>
        </w:rPr>
        <w:t xml:space="preserve"> contain </w:t>
      </w:r>
      <w:r w:rsidR="00942A06" w:rsidRPr="008B2F56">
        <w:rPr>
          <w:rFonts w:ascii="Times New Roman" w:hAnsi="Times New Roman" w:cs="Times New Roman"/>
          <w:color w:val="000000" w:themeColor="text1"/>
          <w:sz w:val="24"/>
          <w:szCs w:val="24"/>
          <w:lang w:val="en-US"/>
        </w:rPr>
        <w:t xml:space="preserve">other </w:t>
      </w:r>
      <w:r w:rsidR="00F1336B" w:rsidRPr="008B2F56">
        <w:rPr>
          <w:rFonts w:ascii="Times New Roman" w:hAnsi="Times New Roman" w:cs="Times New Roman"/>
          <w:color w:val="000000" w:themeColor="text1"/>
          <w:sz w:val="24"/>
          <w:szCs w:val="24"/>
          <w:lang w:val="en-US"/>
        </w:rPr>
        <w:t xml:space="preserve">protections </w:t>
      </w:r>
      <w:r w:rsidR="00942A06" w:rsidRPr="008B2F56">
        <w:rPr>
          <w:rFonts w:ascii="Times New Roman" w:hAnsi="Times New Roman" w:cs="Times New Roman"/>
          <w:color w:val="000000" w:themeColor="text1"/>
          <w:sz w:val="24"/>
          <w:szCs w:val="24"/>
          <w:lang w:val="en-US"/>
        </w:rPr>
        <w:t xml:space="preserve">that </w:t>
      </w:r>
      <w:r w:rsidR="00B47197" w:rsidRPr="008B2F56">
        <w:rPr>
          <w:rFonts w:ascii="Times New Roman" w:hAnsi="Times New Roman" w:cs="Times New Roman"/>
          <w:color w:val="000000" w:themeColor="text1"/>
          <w:sz w:val="24"/>
          <w:szCs w:val="24"/>
          <w:lang w:val="en-US"/>
        </w:rPr>
        <w:t>frequently</w:t>
      </w:r>
      <w:r w:rsidR="00942A06" w:rsidRPr="008B2F56">
        <w:rPr>
          <w:rFonts w:ascii="Times New Roman" w:hAnsi="Times New Roman" w:cs="Times New Roman"/>
          <w:color w:val="000000" w:themeColor="text1"/>
          <w:sz w:val="24"/>
          <w:szCs w:val="24"/>
          <w:lang w:val="en-US"/>
        </w:rPr>
        <w:t xml:space="preserve"> are absent in</w:t>
      </w:r>
      <w:r w:rsidR="00F1336B" w:rsidRPr="008B2F56">
        <w:rPr>
          <w:rFonts w:ascii="Times New Roman" w:hAnsi="Times New Roman" w:cs="Times New Roman"/>
          <w:color w:val="000000" w:themeColor="text1"/>
          <w:sz w:val="24"/>
          <w:szCs w:val="24"/>
          <w:lang w:val="en-US"/>
        </w:rPr>
        <w:t xml:space="preserve"> IIAs, in particular the right </w:t>
      </w:r>
      <w:r w:rsidR="00F1336B" w:rsidRPr="008B2F56">
        <w:rPr>
          <w:rFonts w:ascii="Times New Roman" w:hAnsi="Times New Roman" w:cs="Times New Roman"/>
          <w:color w:val="000000" w:themeColor="text1"/>
          <w:sz w:val="24"/>
          <w:szCs w:val="24"/>
          <w:lang w:val="en-US"/>
        </w:rPr>
        <w:lastRenderedPageBreak/>
        <w:t xml:space="preserve">of access to land, protection of intellectual property rights and stabilization clauses. One important factor that significantly reduces the protections offered by many investment laws is that a significant number </w:t>
      </w:r>
      <w:r w:rsidR="004C0224" w:rsidRPr="008B2F56">
        <w:rPr>
          <w:rFonts w:ascii="Times New Roman" w:hAnsi="Times New Roman" w:cs="Times New Roman"/>
          <w:color w:val="000000" w:themeColor="text1"/>
          <w:sz w:val="24"/>
          <w:szCs w:val="24"/>
          <w:lang w:val="en-US"/>
        </w:rPr>
        <w:t xml:space="preserve">(13 of 37) </w:t>
      </w:r>
      <w:r w:rsidR="00F1336B" w:rsidRPr="008B2F56">
        <w:rPr>
          <w:rFonts w:ascii="Times New Roman" w:hAnsi="Times New Roman" w:cs="Times New Roman"/>
          <w:color w:val="000000" w:themeColor="text1"/>
          <w:sz w:val="24"/>
          <w:szCs w:val="24"/>
          <w:lang w:val="en-US"/>
        </w:rPr>
        <w:t xml:space="preserve">does not </w:t>
      </w:r>
      <w:r w:rsidR="000F6D91" w:rsidRPr="008B2F56">
        <w:rPr>
          <w:rFonts w:ascii="Times New Roman" w:hAnsi="Times New Roman" w:cs="Times New Roman"/>
          <w:color w:val="000000" w:themeColor="text1"/>
          <w:sz w:val="24"/>
          <w:szCs w:val="24"/>
          <w:lang w:val="en-US"/>
        </w:rPr>
        <w:t>include</w:t>
      </w:r>
      <w:r w:rsidR="00F1336B" w:rsidRPr="008B2F56">
        <w:rPr>
          <w:rFonts w:ascii="Times New Roman" w:hAnsi="Times New Roman" w:cs="Times New Roman"/>
          <w:color w:val="000000" w:themeColor="text1"/>
          <w:sz w:val="24"/>
          <w:szCs w:val="24"/>
          <w:lang w:val="en-US"/>
        </w:rPr>
        <w:t xml:space="preserve"> consent to international arbitration. </w:t>
      </w:r>
    </w:p>
    <w:p w14:paraId="5146FE41" w14:textId="421499A4" w:rsidR="008925C2" w:rsidRPr="008B2F56" w:rsidRDefault="008925C2" w:rsidP="008D76EF">
      <w:pPr>
        <w:pStyle w:val="Heading3"/>
        <w:jc w:val="both"/>
        <w:rPr>
          <w:rFonts w:ascii="Times New Roman" w:hAnsi="Times New Roman" w:cs="Times New Roman"/>
          <w:lang w:val="en-US"/>
        </w:rPr>
      </w:pPr>
      <w:r w:rsidRPr="008B2F56">
        <w:rPr>
          <w:rFonts w:ascii="Times New Roman" w:hAnsi="Times New Roman" w:cs="Times New Roman"/>
          <w:lang w:val="en-US"/>
        </w:rPr>
        <w:t xml:space="preserve">Figure </w:t>
      </w:r>
      <w:r w:rsidR="00793F04" w:rsidRPr="008B2F56">
        <w:rPr>
          <w:rFonts w:ascii="Times New Roman" w:hAnsi="Times New Roman" w:cs="Times New Roman"/>
          <w:lang w:val="en-US"/>
        </w:rPr>
        <w:t>9</w:t>
      </w:r>
      <w:r w:rsidRPr="008B2F56">
        <w:rPr>
          <w:rFonts w:ascii="Times New Roman" w:hAnsi="Times New Roman" w:cs="Times New Roman"/>
          <w:lang w:val="en-US"/>
        </w:rPr>
        <w:t>: Protection clauses in LDCs investment laws</w:t>
      </w:r>
      <w:r w:rsidR="00942A06" w:rsidRPr="008B2F56">
        <w:rPr>
          <w:rFonts w:ascii="Times New Roman" w:hAnsi="Times New Roman" w:cs="Times New Roman"/>
          <w:lang w:val="en-US"/>
        </w:rPr>
        <w:t xml:space="preserve"> (N=37)</w:t>
      </w:r>
      <w:r w:rsidRPr="008B2F56">
        <w:rPr>
          <w:rStyle w:val="FootnoteReference"/>
          <w:rFonts w:ascii="Times New Roman" w:hAnsi="Times New Roman" w:cs="Times New Roman"/>
        </w:rPr>
        <w:footnoteReference w:id="99"/>
      </w:r>
    </w:p>
    <w:p w14:paraId="0E41776E" w14:textId="0F701FEC" w:rsidR="00FC5C44" w:rsidRPr="008B2F56" w:rsidRDefault="00FC5C44"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noProof/>
          <w:color w:val="000000" w:themeColor="text1"/>
          <w:sz w:val="24"/>
          <w:szCs w:val="24"/>
          <w:lang w:val="nb-NO" w:eastAsia="nb-NO"/>
        </w:rPr>
        <w:drawing>
          <wp:inline distT="0" distB="0" distL="0" distR="0" wp14:anchorId="54DD7039" wp14:editId="07179DE4">
            <wp:extent cx="5955030" cy="1749287"/>
            <wp:effectExtent l="0" t="0" r="7620" b="381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93A389B" w14:textId="48610C9D" w:rsidR="000F6D91" w:rsidRPr="008B2F56" w:rsidRDefault="000F6D91" w:rsidP="008D76EF">
      <w:pPr>
        <w:pStyle w:val="Heading2"/>
        <w:jc w:val="both"/>
        <w:rPr>
          <w:rFonts w:ascii="Times New Roman" w:hAnsi="Times New Roman" w:cs="Times New Roman"/>
          <w:lang w:val="en-US"/>
        </w:rPr>
      </w:pPr>
      <w:r w:rsidRPr="008B2F56">
        <w:rPr>
          <w:rFonts w:ascii="Times New Roman" w:hAnsi="Times New Roman" w:cs="Times New Roman"/>
          <w:lang w:val="en-US"/>
        </w:rPr>
        <w:t>4.4 Concluding remarks</w:t>
      </w:r>
    </w:p>
    <w:p w14:paraId="0F8C8D8D" w14:textId="6524CBAF" w:rsidR="003A2900" w:rsidRPr="008B2F56" w:rsidRDefault="00A948B6"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The protection of FDI through IIAs and investment laws shows that investment tribunals have extensive discretionary power</w:t>
      </w:r>
      <w:r w:rsidR="000B7417" w:rsidRPr="008B2F56">
        <w:rPr>
          <w:rFonts w:ascii="Times New Roman" w:hAnsi="Times New Roman" w:cs="Times New Roman"/>
          <w:color w:val="000000" w:themeColor="text1"/>
          <w:sz w:val="24"/>
          <w:szCs w:val="24"/>
          <w:lang w:val="en-US"/>
        </w:rPr>
        <w:t>. Consequently, t</w:t>
      </w:r>
      <w:r w:rsidRPr="008B2F56">
        <w:rPr>
          <w:rFonts w:ascii="Times New Roman" w:hAnsi="Times New Roman" w:cs="Times New Roman"/>
          <w:color w:val="000000" w:themeColor="text1"/>
          <w:sz w:val="24"/>
          <w:szCs w:val="24"/>
          <w:lang w:val="en-US"/>
        </w:rPr>
        <w:t xml:space="preserve">he level of protection </w:t>
      </w:r>
      <w:r w:rsidR="000B7417" w:rsidRPr="008B2F56">
        <w:rPr>
          <w:rFonts w:ascii="Times New Roman" w:hAnsi="Times New Roman" w:cs="Times New Roman"/>
          <w:color w:val="000000" w:themeColor="text1"/>
          <w:sz w:val="24"/>
          <w:szCs w:val="24"/>
          <w:lang w:val="en-US"/>
        </w:rPr>
        <w:t xml:space="preserve">of FDI </w:t>
      </w:r>
      <w:r w:rsidRPr="008B2F56">
        <w:rPr>
          <w:rFonts w:ascii="Times New Roman" w:hAnsi="Times New Roman" w:cs="Times New Roman"/>
          <w:color w:val="000000" w:themeColor="text1"/>
          <w:sz w:val="24"/>
          <w:szCs w:val="24"/>
          <w:lang w:val="en-US"/>
        </w:rPr>
        <w:t xml:space="preserve">in practice </w:t>
      </w:r>
      <w:r w:rsidR="00C10236" w:rsidRPr="008B2F56">
        <w:rPr>
          <w:rFonts w:ascii="Times New Roman" w:hAnsi="Times New Roman" w:cs="Times New Roman"/>
          <w:color w:val="000000" w:themeColor="text1"/>
          <w:sz w:val="24"/>
          <w:szCs w:val="24"/>
          <w:lang w:val="en-US"/>
        </w:rPr>
        <w:t>and</w:t>
      </w:r>
      <w:r w:rsidRPr="008B2F56">
        <w:rPr>
          <w:rFonts w:ascii="Times New Roman" w:hAnsi="Times New Roman" w:cs="Times New Roman"/>
          <w:color w:val="000000" w:themeColor="text1"/>
          <w:sz w:val="24"/>
          <w:szCs w:val="24"/>
          <w:lang w:val="en-US"/>
        </w:rPr>
        <w:t xml:space="preserve"> the associated limitations on host countries’ policy space depend significantly on the availability of ISDS. </w:t>
      </w:r>
      <w:r w:rsidR="000A5FFD" w:rsidRPr="008B2F56">
        <w:rPr>
          <w:rFonts w:ascii="Times New Roman" w:hAnsi="Times New Roman" w:cs="Times New Roman"/>
          <w:color w:val="000000" w:themeColor="text1"/>
          <w:sz w:val="24"/>
          <w:szCs w:val="24"/>
          <w:lang w:val="en-US"/>
        </w:rPr>
        <w:t>Among low income countries, t</w:t>
      </w:r>
      <w:r w:rsidRPr="008B2F56">
        <w:rPr>
          <w:rFonts w:ascii="Times New Roman" w:hAnsi="Times New Roman" w:cs="Times New Roman"/>
          <w:color w:val="000000" w:themeColor="text1"/>
          <w:sz w:val="24"/>
          <w:szCs w:val="24"/>
          <w:lang w:val="en-US"/>
        </w:rPr>
        <w:t xml:space="preserve">he </w:t>
      </w:r>
      <w:r w:rsidR="006B5848" w:rsidRPr="008B2F56">
        <w:rPr>
          <w:rFonts w:ascii="Times New Roman" w:hAnsi="Times New Roman" w:cs="Times New Roman"/>
          <w:color w:val="000000" w:themeColor="text1"/>
          <w:sz w:val="24"/>
          <w:szCs w:val="24"/>
          <w:lang w:val="en-US"/>
        </w:rPr>
        <w:t xml:space="preserve">high level of consent to ISDS in investment laws </w:t>
      </w:r>
      <w:r w:rsidR="000A5FFD" w:rsidRPr="008B2F56">
        <w:rPr>
          <w:rFonts w:ascii="Times New Roman" w:hAnsi="Times New Roman" w:cs="Times New Roman"/>
          <w:color w:val="000000" w:themeColor="text1"/>
          <w:sz w:val="24"/>
          <w:szCs w:val="24"/>
          <w:lang w:val="en-US"/>
        </w:rPr>
        <w:t xml:space="preserve">seems to more than compensate their </w:t>
      </w:r>
      <w:r w:rsidRPr="008B2F56">
        <w:rPr>
          <w:rFonts w:ascii="Times New Roman" w:hAnsi="Times New Roman" w:cs="Times New Roman"/>
          <w:color w:val="000000" w:themeColor="text1"/>
          <w:sz w:val="24"/>
          <w:szCs w:val="24"/>
          <w:lang w:val="en-US"/>
        </w:rPr>
        <w:t>relatively low participation in IIAs</w:t>
      </w:r>
      <w:r w:rsidR="000A5FFD" w:rsidRPr="008B2F56">
        <w:rPr>
          <w:rFonts w:ascii="Times New Roman" w:hAnsi="Times New Roman" w:cs="Times New Roman"/>
          <w:color w:val="000000" w:themeColor="text1"/>
          <w:sz w:val="24"/>
          <w:szCs w:val="24"/>
          <w:lang w:val="en-US"/>
        </w:rPr>
        <w:t xml:space="preserve"> and investment treaty arbitration</w:t>
      </w:r>
      <w:r w:rsidR="006B5848" w:rsidRPr="008B2F56">
        <w:rPr>
          <w:rFonts w:ascii="Times New Roman" w:hAnsi="Times New Roman" w:cs="Times New Roman"/>
          <w:color w:val="000000" w:themeColor="text1"/>
          <w:sz w:val="24"/>
          <w:szCs w:val="24"/>
          <w:lang w:val="en-US"/>
        </w:rPr>
        <w:t xml:space="preserve"> (see tables 2 and 3). </w:t>
      </w:r>
      <w:r w:rsidR="000A5FFD" w:rsidRPr="008B2F56">
        <w:rPr>
          <w:rFonts w:ascii="Times New Roman" w:hAnsi="Times New Roman" w:cs="Times New Roman"/>
          <w:color w:val="000000" w:themeColor="text1"/>
          <w:sz w:val="24"/>
          <w:szCs w:val="24"/>
          <w:lang w:val="en-US"/>
        </w:rPr>
        <w:t>Hence, LDCs are more likely than other countries to be subject to significant limitations on their policy space through treaties and legislation that protect FDI</w:t>
      </w:r>
      <w:r w:rsidR="000B7417" w:rsidRPr="008B2F56">
        <w:rPr>
          <w:rFonts w:ascii="Times New Roman" w:hAnsi="Times New Roman" w:cs="Times New Roman"/>
          <w:color w:val="000000" w:themeColor="text1"/>
          <w:sz w:val="24"/>
          <w:szCs w:val="24"/>
          <w:lang w:val="en-US"/>
        </w:rPr>
        <w:t xml:space="preserve">. </w:t>
      </w:r>
    </w:p>
    <w:p w14:paraId="0B48C18A" w14:textId="50DE0992" w:rsidR="00C6003B" w:rsidRPr="008B2F56" w:rsidRDefault="00C6003B"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At first glance, it might seem that investment laws limit the policy space of LDCs more than do IIAs. However, it is generally easier for host countries to amend legislation than IIAs, and LDCs may consequently expand their policy space </w:t>
      </w:r>
      <w:r w:rsidR="00582848" w:rsidRPr="008B2F56">
        <w:rPr>
          <w:rFonts w:ascii="Times New Roman" w:hAnsi="Times New Roman" w:cs="Times New Roman"/>
          <w:color w:val="000000" w:themeColor="text1"/>
          <w:sz w:val="24"/>
          <w:szCs w:val="24"/>
          <w:lang w:val="en-US"/>
        </w:rPr>
        <w:t xml:space="preserve">more easily </w:t>
      </w:r>
      <w:r w:rsidRPr="008B2F56">
        <w:rPr>
          <w:rFonts w:ascii="Times New Roman" w:hAnsi="Times New Roman" w:cs="Times New Roman"/>
          <w:color w:val="000000" w:themeColor="text1"/>
          <w:sz w:val="24"/>
          <w:szCs w:val="24"/>
          <w:lang w:val="en-US"/>
        </w:rPr>
        <w:t xml:space="preserve">by amending investment laws than by renegotiating or withdrawing from IIAs. Nevertheless, the pressure that might exist from investors, other countries and international institutions to maintain a high level of protection of FDI in investment laws should not be underestimated. Moreover, the existing legislation may prevent host countries from limiting the protection </w:t>
      </w:r>
      <w:r w:rsidR="009A0590" w:rsidRPr="008B2F56">
        <w:rPr>
          <w:rFonts w:ascii="Times New Roman" w:hAnsi="Times New Roman" w:cs="Times New Roman"/>
          <w:color w:val="000000" w:themeColor="text1"/>
          <w:sz w:val="24"/>
          <w:szCs w:val="24"/>
          <w:lang w:val="en-US"/>
        </w:rPr>
        <w:t>of</w:t>
      </w:r>
      <w:r w:rsidRPr="008B2F56">
        <w:rPr>
          <w:rFonts w:ascii="Times New Roman" w:hAnsi="Times New Roman" w:cs="Times New Roman"/>
          <w:color w:val="000000" w:themeColor="text1"/>
          <w:sz w:val="24"/>
          <w:szCs w:val="24"/>
          <w:lang w:val="en-US"/>
        </w:rPr>
        <w:t xml:space="preserve"> FDI at the time of investment. </w:t>
      </w:r>
    </w:p>
    <w:p w14:paraId="2364B8E0" w14:textId="77777777" w:rsidR="0099242A" w:rsidRPr="008B2F56" w:rsidRDefault="0099242A"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The significant differences between investment laws and IIAs mean that protections under one instrument in most cases would not correspond to the protections under the other. Hence, from the perspective of foreign investors, the existence of protections under IIAs would not necessarily make protections under investment laws redundant, and vice versa. It would therefore be in the interest of foreign investors to benefit from the protection of both IIAs and general investment laws. </w:t>
      </w:r>
    </w:p>
    <w:p w14:paraId="228FAEBE" w14:textId="1266B1CD" w:rsidR="00A948B6" w:rsidRPr="008B2F56" w:rsidRDefault="00792323"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lastRenderedPageBreak/>
        <w:t xml:space="preserve">In addition, </w:t>
      </w:r>
      <w:r w:rsidR="009A0590" w:rsidRPr="008B2F56">
        <w:rPr>
          <w:rFonts w:ascii="Times New Roman" w:hAnsi="Times New Roman" w:cs="Times New Roman"/>
          <w:color w:val="000000" w:themeColor="text1"/>
          <w:sz w:val="24"/>
          <w:szCs w:val="24"/>
          <w:lang w:val="en-US"/>
        </w:rPr>
        <w:t>IIAs and investment laws</w:t>
      </w:r>
      <w:r w:rsidR="00A948B6" w:rsidRPr="008B2F56">
        <w:rPr>
          <w:rFonts w:ascii="Times New Roman" w:hAnsi="Times New Roman" w:cs="Times New Roman"/>
          <w:color w:val="000000" w:themeColor="text1"/>
          <w:sz w:val="24"/>
          <w:szCs w:val="24"/>
          <w:lang w:val="en-US"/>
        </w:rPr>
        <w:t xml:space="preserve"> </w:t>
      </w:r>
      <w:r w:rsidR="009A0590" w:rsidRPr="008B2F56">
        <w:rPr>
          <w:rFonts w:ascii="Times New Roman" w:hAnsi="Times New Roman" w:cs="Times New Roman"/>
          <w:color w:val="000000" w:themeColor="text1"/>
          <w:sz w:val="24"/>
          <w:szCs w:val="24"/>
          <w:lang w:val="en-US"/>
        </w:rPr>
        <w:t xml:space="preserve">most </w:t>
      </w:r>
      <w:r w:rsidR="00A948B6" w:rsidRPr="008B2F56">
        <w:rPr>
          <w:rFonts w:ascii="Times New Roman" w:hAnsi="Times New Roman" w:cs="Times New Roman"/>
          <w:color w:val="000000" w:themeColor="text1"/>
          <w:sz w:val="24"/>
          <w:szCs w:val="24"/>
          <w:lang w:val="en-US"/>
        </w:rPr>
        <w:t xml:space="preserve">likely </w:t>
      </w:r>
      <w:r w:rsidRPr="008B2F56">
        <w:rPr>
          <w:rFonts w:ascii="Times New Roman" w:hAnsi="Times New Roman" w:cs="Times New Roman"/>
          <w:color w:val="000000" w:themeColor="text1"/>
          <w:sz w:val="24"/>
          <w:szCs w:val="24"/>
          <w:lang w:val="en-US"/>
        </w:rPr>
        <w:t xml:space="preserve">increase the bargaining power of foreign investors when </w:t>
      </w:r>
      <w:r w:rsidR="009A0590" w:rsidRPr="008B2F56">
        <w:rPr>
          <w:rFonts w:ascii="Times New Roman" w:hAnsi="Times New Roman" w:cs="Times New Roman"/>
          <w:color w:val="000000" w:themeColor="text1"/>
          <w:sz w:val="24"/>
          <w:szCs w:val="24"/>
          <w:lang w:val="en-US"/>
        </w:rPr>
        <w:t>negotiating</w:t>
      </w:r>
      <w:r w:rsidRPr="008B2F56">
        <w:rPr>
          <w:rFonts w:ascii="Times New Roman" w:hAnsi="Times New Roman" w:cs="Times New Roman"/>
          <w:color w:val="000000" w:themeColor="text1"/>
          <w:sz w:val="24"/>
          <w:szCs w:val="24"/>
          <w:lang w:val="en-US"/>
        </w:rPr>
        <w:t xml:space="preserve"> contracts and concessions with host countries.</w:t>
      </w:r>
      <w:r w:rsidR="00A948B6" w:rsidRPr="008B2F56">
        <w:rPr>
          <w:rFonts w:ascii="Times New Roman" w:hAnsi="Times New Roman" w:cs="Times New Roman"/>
          <w:color w:val="000000" w:themeColor="text1"/>
          <w:sz w:val="24"/>
          <w:szCs w:val="24"/>
          <w:lang w:val="en-US"/>
        </w:rPr>
        <w:t xml:space="preserve"> Such negotiations </w:t>
      </w:r>
      <w:r w:rsidR="00E30D15" w:rsidRPr="008B2F56">
        <w:rPr>
          <w:rFonts w:ascii="Times New Roman" w:hAnsi="Times New Roman" w:cs="Times New Roman"/>
          <w:color w:val="000000" w:themeColor="text1"/>
          <w:sz w:val="24"/>
          <w:szCs w:val="24"/>
          <w:lang w:val="en-US"/>
        </w:rPr>
        <w:t>frequently</w:t>
      </w:r>
      <w:r w:rsidR="00221E08" w:rsidRPr="008B2F56">
        <w:rPr>
          <w:rFonts w:ascii="Times New Roman" w:hAnsi="Times New Roman" w:cs="Times New Roman"/>
          <w:color w:val="000000" w:themeColor="text1"/>
          <w:sz w:val="24"/>
          <w:szCs w:val="24"/>
          <w:lang w:val="en-US"/>
        </w:rPr>
        <w:t xml:space="preserve"> </w:t>
      </w:r>
      <w:r w:rsidR="00E30D15" w:rsidRPr="008B2F56">
        <w:rPr>
          <w:rFonts w:ascii="Times New Roman" w:hAnsi="Times New Roman" w:cs="Times New Roman"/>
          <w:color w:val="000000" w:themeColor="text1"/>
          <w:sz w:val="24"/>
          <w:szCs w:val="24"/>
          <w:lang w:val="en-US"/>
        </w:rPr>
        <w:t>involve</w:t>
      </w:r>
      <w:r w:rsidR="00A948B6" w:rsidRPr="008B2F56">
        <w:rPr>
          <w:rFonts w:ascii="Times New Roman" w:hAnsi="Times New Roman" w:cs="Times New Roman"/>
          <w:color w:val="000000" w:themeColor="text1"/>
          <w:sz w:val="24"/>
          <w:szCs w:val="24"/>
          <w:lang w:val="en-US"/>
        </w:rPr>
        <w:t xml:space="preserve"> </w:t>
      </w:r>
      <w:r w:rsidR="00E30D15" w:rsidRPr="008B2F56">
        <w:rPr>
          <w:rFonts w:ascii="Times New Roman" w:hAnsi="Times New Roman" w:cs="Times New Roman"/>
          <w:color w:val="000000" w:themeColor="text1"/>
          <w:sz w:val="24"/>
          <w:szCs w:val="24"/>
          <w:lang w:val="en-US"/>
        </w:rPr>
        <w:t>provisions</w:t>
      </w:r>
      <w:r w:rsidR="00A948B6" w:rsidRPr="008B2F56">
        <w:rPr>
          <w:rFonts w:ascii="Times New Roman" w:hAnsi="Times New Roman" w:cs="Times New Roman"/>
          <w:color w:val="000000" w:themeColor="text1"/>
          <w:sz w:val="24"/>
          <w:szCs w:val="24"/>
          <w:lang w:val="en-US"/>
        </w:rPr>
        <w:t xml:space="preserve"> to reduce </w:t>
      </w:r>
      <w:r w:rsidR="00221E08" w:rsidRPr="008B2F56">
        <w:rPr>
          <w:rFonts w:ascii="Times New Roman" w:hAnsi="Times New Roman" w:cs="Times New Roman"/>
          <w:color w:val="000000" w:themeColor="text1"/>
          <w:sz w:val="24"/>
          <w:szCs w:val="24"/>
          <w:lang w:val="en-US"/>
        </w:rPr>
        <w:t xml:space="preserve">the </w:t>
      </w:r>
      <w:r w:rsidR="00A948B6" w:rsidRPr="008B2F56">
        <w:rPr>
          <w:rFonts w:ascii="Times New Roman" w:hAnsi="Times New Roman" w:cs="Times New Roman"/>
          <w:color w:val="000000" w:themeColor="text1"/>
          <w:sz w:val="24"/>
          <w:szCs w:val="24"/>
          <w:lang w:val="en-US"/>
        </w:rPr>
        <w:t>political risks</w:t>
      </w:r>
      <w:r w:rsidR="00221E08" w:rsidRPr="008B2F56">
        <w:rPr>
          <w:rFonts w:ascii="Times New Roman" w:hAnsi="Times New Roman" w:cs="Times New Roman"/>
          <w:color w:val="000000" w:themeColor="text1"/>
          <w:sz w:val="24"/>
          <w:szCs w:val="24"/>
          <w:lang w:val="en-US"/>
        </w:rPr>
        <w:t xml:space="preserve"> associated with FDI</w:t>
      </w:r>
      <w:r w:rsidR="00A948B6" w:rsidRPr="008B2F56">
        <w:rPr>
          <w:rFonts w:ascii="Times New Roman" w:hAnsi="Times New Roman" w:cs="Times New Roman"/>
          <w:color w:val="000000" w:themeColor="text1"/>
          <w:sz w:val="24"/>
          <w:szCs w:val="24"/>
          <w:lang w:val="en-US"/>
        </w:rPr>
        <w:t xml:space="preserve">, </w:t>
      </w:r>
      <w:r w:rsidR="00E30D15" w:rsidRPr="008B2F56">
        <w:rPr>
          <w:rFonts w:ascii="Times New Roman" w:hAnsi="Times New Roman" w:cs="Times New Roman"/>
          <w:color w:val="000000" w:themeColor="text1"/>
          <w:sz w:val="24"/>
          <w:szCs w:val="24"/>
          <w:lang w:val="en-US"/>
        </w:rPr>
        <w:t>for example</w:t>
      </w:r>
      <w:r w:rsidR="00A948B6" w:rsidRPr="008B2F56">
        <w:rPr>
          <w:rFonts w:ascii="Times New Roman" w:hAnsi="Times New Roman" w:cs="Times New Roman"/>
          <w:color w:val="000000" w:themeColor="text1"/>
          <w:sz w:val="24"/>
          <w:szCs w:val="24"/>
          <w:lang w:val="en-US"/>
        </w:rPr>
        <w:t xml:space="preserve"> “stabilization clauses”.</w:t>
      </w:r>
      <w:r w:rsidR="00F246C2" w:rsidRPr="008B2F56">
        <w:rPr>
          <w:rFonts w:ascii="Times New Roman" w:hAnsi="Times New Roman" w:cs="Times New Roman"/>
          <w:color w:val="000000" w:themeColor="text1"/>
          <w:sz w:val="24"/>
          <w:szCs w:val="24"/>
          <w:lang w:val="en-US"/>
        </w:rPr>
        <w:t xml:space="preserve"> </w:t>
      </w:r>
      <w:r w:rsidR="009A0590" w:rsidRPr="008B2F56">
        <w:rPr>
          <w:rFonts w:ascii="Times New Roman" w:hAnsi="Times New Roman" w:cs="Times New Roman"/>
          <w:color w:val="000000" w:themeColor="text1"/>
          <w:sz w:val="24"/>
          <w:szCs w:val="24"/>
          <w:lang w:val="en-US"/>
        </w:rPr>
        <w:t>These</w:t>
      </w:r>
      <w:r w:rsidR="00F246C2" w:rsidRPr="008B2F56">
        <w:rPr>
          <w:rFonts w:ascii="Times New Roman" w:hAnsi="Times New Roman" w:cs="Times New Roman"/>
          <w:color w:val="000000" w:themeColor="text1"/>
          <w:sz w:val="24"/>
          <w:szCs w:val="24"/>
          <w:lang w:val="en-US"/>
        </w:rPr>
        <w:t xml:space="preserve"> </w:t>
      </w:r>
      <w:r w:rsidR="00C10236" w:rsidRPr="008B2F56">
        <w:rPr>
          <w:rFonts w:ascii="Times New Roman" w:hAnsi="Times New Roman" w:cs="Times New Roman"/>
          <w:color w:val="000000" w:themeColor="text1"/>
          <w:sz w:val="24"/>
          <w:szCs w:val="24"/>
          <w:lang w:val="en-US"/>
        </w:rPr>
        <w:t>clauses</w:t>
      </w:r>
      <w:r w:rsidR="00F246C2" w:rsidRPr="008B2F56">
        <w:rPr>
          <w:rFonts w:ascii="Times New Roman" w:hAnsi="Times New Roman" w:cs="Times New Roman"/>
          <w:color w:val="000000" w:themeColor="text1"/>
          <w:sz w:val="24"/>
          <w:szCs w:val="24"/>
          <w:lang w:val="en-US"/>
        </w:rPr>
        <w:t xml:space="preserve"> </w:t>
      </w:r>
      <w:r w:rsidR="00C10236" w:rsidRPr="008B2F56">
        <w:rPr>
          <w:rFonts w:ascii="Times New Roman" w:hAnsi="Times New Roman" w:cs="Times New Roman"/>
          <w:color w:val="000000" w:themeColor="text1"/>
          <w:sz w:val="24"/>
          <w:szCs w:val="24"/>
          <w:lang w:val="en-US"/>
        </w:rPr>
        <w:t xml:space="preserve">are </w:t>
      </w:r>
      <w:r w:rsidR="00E30D15" w:rsidRPr="008B2F56">
        <w:rPr>
          <w:rFonts w:ascii="Times New Roman" w:hAnsi="Times New Roman" w:cs="Times New Roman"/>
          <w:color w:val="000000" w:themeColor="text1"/>
          <w:sz w:val="24"/>
          <w:szCs w:val="24"/>
          <w:lang w:val="en-US"/>
        </w:rPr>
        <w:t>generally</w:t>
      </w:r>
      <w:r w:rsidR="00C10236" w:rsidRPr="008B2F56">
        <w:rPr>
          <w:rFonts w:ascii="Times New Roman" w:hAnsi="Times New Roman" w:cs="Times New Roman"/>
          <w:color w:val="000000" w:themeColor="text1"/>
          <w:sz w:val="24"/>
          <w:szCs w:val="24"/>
          <w:lang w:val="en-US"/>
        </w:rPr>
        <w:t xml:space="preserve"> </w:t>
      </w:r>
      <w:r w:rsidR="00F246C2" w:rsidRPr="008B2F56">
        <w:rPr>
          <w:rFonts w:ascii="Times New Roman" w:hAnsi="Times New Roman" w:cs="Times New Roman"/>
          <w:color w:val="000000" w:themeColor="text1"/>
          <w:sz w:val="24"/>
          <w:szCs w:val="24"/>
          <w:lang w:val="en-US"/>
        </w:rPr>
        <w:t xml:space="preserve">confidential, </w:t>
      </w:r>
      <w:r w:rsidR="00C10236" w:rsidRPr="008B2F56">
        <w:rPr>
          <w:rFonts w:ascii="Times New Roman" w:hAnsi="Times New Roman" w:cs="Times New Roman"/>
          <w:color w:val="000000" w:themeColor="text1"/>
          <w:sz w:val="24"/>
          <w:szCs w:val="24"/>
          <w:lang w:val="en-US"/>
        </w:rPr>
        <w:t xml:space="preserve">and </w:t>
      </w:r>
      <w:r w:rsidR="00F246C2" w:rsidRPr="008B2F56">
        <w:rPr>
          <w:rFonts w:ascii="Times New Roman" w:hAnsi="Times New Roman" w:cs="Times New Roman"/>
          <w:color w:val="000000" w:themeColor="text1"/>
          <w:sz w:val="24"/>
          <w:szCs w:val="24"/>
          <w:lang w:val="en-US"/>
        </w:rPr>
        <w:t xml:space="preserve">it is </w:t>
      </w:r>
      <w:r w:rsidR="00C10236" w:rsidRPr="008B2F56">
        <w:rPr>
          <w:rFonts w:ascii="Times New Roman" w:hAnsi="Times New Roman" w:cs="Times New Roman"/>
          <w:color w:val="000000" w:themeColor="text1"/>
          <w:sz w:val="24"/>
          <w:szCs w:val="24"/>
          <w:lang w:val="en-US"/>
        </w:rPr>
        <w:t xml:space="preserve">therefore </w:t>
      </w:r>
      <w:r w:rsidR="00F246C2" w:rsidRPr="008B2F56">
        <w:rPr>
          <w:rFonts w:ascii="Times New Roman" w:hAnsi="Times New Roman" w:cs="Times New Roman"/>
          <w:color w:val="000000" w:themeColor="text1"/>
          <w:sz w:val="24"/>
          <w:szCs w:val="24"/>
          <w:lang w:val="en-US"/>
        </w:rPr>
        <w:t xml:space="preserve">difficult to research the effects of IIAs and investment laws on the extent of protection afforded </w:t>
      </w:r>
      <w:r w:rsidR="00C10236" w:rsidRPr="008B2F56">
        <w:rPr>
          <w:rFonts w:ascii="Times New Roman" w:hAnsi="Times New Roman" w:cs="Times New Roman"/>
          <w:color w:val="000000" w:themeColor="text1"/>
          <w:sz w:val="24"/>
          <w:szCs w:val="24"/>
          <w:lang w:val="en-US"/>
        </w:rPr>
        <w:t>by</w:t>
      </w:r>
      <w:r w:rsidR="00F246C2" w:rsidRPr="008B2F56">
        <w:rPr>
          <w:rFonts w:ascii="Times New Roman" w:hAnsi="Times New Roman" w:cs="Times New Roman"/>
          <w:color w:val="000000" w:themeColor="text1"/>
          <w:sz w:val="24"/>
          <w:szCs w:val="24"/>
          <w:lang w:val="en-US"/>
        </w:rPr>
        <w:t xml:space="preserve"> contracts and concessions. Nevertheless, we may assume that such effects are significant and that they should be </w:t>
      </w:r>
      <w:r w:rsidR="009A0590" w:rsidRPr="008B2F56">
        <w:rPr>
          <w:rFonts w:ascii="Times New Roman" w:hAnsi="Times New Roman" w:cs="Times New Roman"/>
          <w:color w:val="000000" w:themeColor="text1"/>
          <w:sz w:val="24"/>
          <w:szCs w:val="24"/>
          <w:lang w:val="en-US"/>
        </w:rPr>
        <w:t>taken into account</w:t>
      </w:r>
      <w:r w:rsidR="00F246C2" w:rsidRPr="008B2F56">
        <w:rPr>
          <w:rFonts w:ascii="Times New Roman" w:hAnsi="Times New Roman" w:cs="Times New Roman"/>
          <w:color w:val="000000" w:themeColor="text1"/>
          <w:sz w:val="24"/>
          <w:szCs w:val="24"/>
          <w:lang w:val="en-US"/>
        </w:rPr>
        <w:t xml:space="preserve"> when assessing the needs for reform of IIAs and investment laws.</w:t>
      </w:r>
    </w:p>
    <w:p w14:paraId="0DA52D86" w14:textId="604601E2" w:rsidR="00506F5D" w:rsidRPr="008B2F56" w:rsidRDefault="00E81367"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In sum, the level of protection in IIAs and investment </w:t>
      </w:r>
      <w:r w:rsidR="00F9753F" w:rsidRPr="008B2F56">
        <w:rPr>
          <w:rFonts w:ascii="Times New Roman" w:hAnsi="Times New Roman" w:cs="Times New Roman"/>
          <w:color w:val="000000" w:themeColor="text1"/>
          <w:sz w:val="24"/>
          <w:szCs w:val="24"/>
          <w:lang w:val="en-US"/>
        </w:rPr>
        <w:t>lasw</w:t>
      </w:r>
      <w:r w:rsidRPr="008B2F56">
        <w:rPr>
          <w:rFonts w:ascii="Times New Roman" w:hAnsi="Times New Roman" w:cs="Times New Roman"/>
          <w:color w:val="000000" w:themeColor="text1"/>
          <w:sz w:val="24"/>
          <w:szCs w:val="24"/>
          <w:lang w:val="en-US"/>
        </w:rPr>
        <w:t xml:space="preserve"> is likely to have the effect of significantly restricting the ability of developing countries in general and LDCs in particular to fulfil the RtD and achieving their SDGs. Such effects are probably most serious for developing countries with high levels of internal inequality.</w:t>
      </w:r>
      <w:r w:rsidR="00506F5D" w:rsidRPr="008B2F56">
        <w:rPr>
          <w:rFonts w:ascii="Times New Roman" w:hAnsi="Times New Roman" w:cs="Times New Roman"/>
          <w:color w:val="000000" w:themeColor="text1"/>
          <w:sz w:val="24"/>
          <w:szCs w:val="24"/>
          <w:lang w:val="en-US"/>
        </w:rPr>
        <w:t xml:space="preserve"> </w:t>
      </w:r>
    </w:p>
    <w:p w14:paraId="6322BCBC" w14:textId="5D339FF6" w:rsidR="00D16CE8" w:rsidRPr="008B2F56" w:rsidRDefault="00D16CE8" w:rsidP="008D76EF">
      <w:pPr>
        <w:pStyle w:val="Heading1"/>
        <w:jc w:val="both"/>
        <w:rPr>
          <w:rFonts w:ascii="Times New Roman" w:hAnsi="Times New Roman" w:cs="Times New Roman"/>
          <w:lang w:val="en-US"/>
        </w:rPr>
      </w:pPr>
      <w:r w:rsidRPr="008B2F56">
        <w:rPr>
          <w:rFonts w:ascii="Times New Roman" w:hAnsi="Times New Roman" w:cs="Times New Roman"/>
          <w:lang w:val="en-US"/>
        </w:rPr>
        <w:t xml:space="preserve">5. Responsibility of </w:t>
      </w:r>
      <w:r w:rsidR="00063796" w:rsidRPr="008B2F56">
        <w:rPr>
          <w:rFonts w:ascii="Times New Roman" w:hAnsi="Times New Roman" w:cs="Times New Roman"/>
          <w:lang w:val="en-US"/>
        </w:rPr>
        <w:t xml:space="preserve">foreign </w:t>
      </w:r>
      <w:r w:rsidRPr="008B2F56">
        <w:rPr>
          <w:rFonts w:ascii="Times New Roman" w:hAnsi="Times New Roman" w:cs="Times New Roman"/>
          <w:lang w:val="en-US"/>
        </w:rPr>
        <w:t>investors</w:t>
      </w:r>
    </w:p>
    <w:p w14:paraId="765445A4" w14:textId="77777777" w:rsidR="0068288A" w:rsidRDefault="0068288A" w:rsidP="008D76EF">
      <w:pPr>
        <w:pStyle w:val="Heading2"/>
        <w:jc w:val="both"/>
        <w:rPr>
          <w:rFonts w:ascii="Times New Roman" w:hAnsi="Times New Roman" w:cs="Times New Roman"/>
          <w:lang w:val="en-US"/>
        </w:rPr>
      </w:pPr>
    </w:p>
    <w:p w14:paraId="29C9FD96" w14:textId="160FC70F" w:rsidR="00E1126A" w:rsidRPr="008B2F56" w:rsidRDefault="00E1126A" w:rsidP="008D76EF">
      <w:pPr>
        <w:pStyle w:val="Heading2"/>
        <w:jc w:val="both"/>
        <w:rPr>
          <w:rFonts w:ascii="Times New Roman" w:hAnsi="Times New Roman" w:cs="Times New Roman"/>
          <w:lang w:val="en-US"/>
        </w:rPr>
      </w:pPr>
      <w:r w:rsidRPr="008B2F56">
        <w:rPr>
          <w:rFonts w:ascii="Times New Roman" w:hAnsi="Times New Roman" w:cs="Times New Roman"/>
          <w:lang w:val="en-US"/>
        </w:rPr>
        <w:t>5.1 Engaging investors’ home countries and the international community</w:t>
      </w:r>
    </w:p>
    <w:p w14:paraId="555CE975" w14:textId="5286BD82" w:rsidR="00330780" w:rsidRPr="008B2F56" w:rsidRDefault="009B4DF2"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We can approach the issue of holding </w:t>
      </w:r>
      <w:r w:rsidR="00330780" w:rsidRPr="008B2F56">
        <w:rPr>
          <w:rFonts w:ascii="Times New Roman" w:hAnsi="Times New Roman" w:cs="Times New Roman"/>
          <w:color w:val="000000" w:themeColor="text1"/>
          <w:sz w:val="24"/>
          <w:szCs w:val="24"/>
          <w:lang w:val="en-US"/>
        </w:rPr>
        <w:t xml:space="preserve">foreign investors </w:t>
      </w:r>
      <w:r w:rsidRPr="008B2F56">
        <w:rPr>
          <w:rFonts w:ascii="Times New Roman" w:hAnsi="Times New Roman" w:cs="Times New Roman"/>
          <w:color w:val="000000" w:themeColor="text1"/>
          <w:sz w:val="24"/>
          <w:szCs w:val="24"/>
          <w:lang w:val="en-US"/>
        </w:rPr>
        <w:t xml:space="preserve">responsible for activities that undermine the RtD and SDGs </w:t>
      </w:r>
      <w:r w:rsidR="005A18AD" w:rsidRPr="008B2F56">
        <w:rPr>
          <w:rFonts w:ascii="Times New Roman" w:hAnsi="Times New Roman" w:cs="Times New Roman"/>
          <w:color w:val="000000" w:themeColor="text1"/>
          <w:sz w:val="24"/>
          <w:szCs w:val="24"/>
          <w:lang w:val="en-US"/>
        </w:rPr>
        <w:t>from two main perspectives. First, f</w:t>
      </w:r>
      <w:r w:rsidR="00330780" w:rsidRPr="008B2F56">
        <w:rPr>
          <w:rFonts w:ascii="Times New Roman" w:hAnsi="Times New Roman" w:cs="Times New Roman"/>
          <w:color w:val="000000" w:themeColor="text1"/>
          <w:sz w:val="24"/>
          <w:szCs w:val="24"/>
          <w:lang w:val="en-US"/>
        </w:rPr>
        <w:t>rom the perspective of a</w:t>
      </w:r>
      <w:r w:rsidR="00320CB1" w:rsidRPr="008B2F56">
        <w:rPr>
          <w:rFonts w:ascii="Times New Roman" w:hAnsi="Times New Roman" w:cs="Times New Roman"/>
          <w:color w:val="000000" w:themeColor="text1"/>
          <w:sz w:val="24"/>
          <w:szCs w:val="24"/>
          <w:lang w:val="en-US"/>
        </w:rPr>
        <w:t xml:space="preserve"> host </w:t>
      </w:r>
      <w:r w:rsidR="00330780" w:rsidRPr="008B2F56">
        <w:rPr>
          <w:rFonts w:ascii="Times New Roman" w:hAnsi="Times New Roman" w:cs="Times New Roman"/>
          <w:color w:val="000000" w:themeColor="text1"/>
          <w:sz w:val="24"/>
          <w:szCs w:val="24"/>
          <w:lang w:val="en-US"/>
        </w:rPr>
        <w:t xml:space="preserve">country, </w:t>
      </w:r>
      <w:r w:rsidRPr="008B2F56">
        <w:rPr>
          <w:rFonts w:ascii="Times New Roman" w:hAnsi="Times New Roman" w:cs="Times New Roman"/>
          <w:color w:val="000000" w:themeColor="text1"/>
          <w:sz w:val="24"/>
          <w:szCs w:val="24"/>
          <w:lang w:val="en-US"/>
        </w:rPr>
        <w:t xml:space="preserve">the question is how </w:t>
      </w:r>
      <w:r w:rsidR="00330780" w:rsidRPr="008B2F56">
        <w:rPr>
          <w:rFonts w:ascii="Times New Roman" w:hAnsi="Times New Roman" w:cs="Times New Roman"/>
          <w:color w:val="000000" w:themeColor="text1"/>
          <w:sz w:val="24"/>
          <w:szCs w:val="24"/>
          <w:lang w:val="en-US"/>
        </w:rPr>
        <w:t xml:space="preserve">host country authorities </w:t>
      </w:r>
      <w:r w:rsidRPr="008B2F56">
        <w:rPr>
          <w:rFonts w:ascii="Times New Roman" w:hAnsi="Times New Roman" w:cs="Times New Roman"/>
          <w:color w:val="000000" w:themeColor="text1"/>
          <w:sz w:val="24"/>
          <w:szCs w:val="24"/>
          <w:lang w:val="en-US"/>
        </w:rPr>
        <w:t xml:space="preserve">can </w:t>
      </w:r>
      <w:r w:rsidR="00330780" w:rsidRPr="008B2F56">
        <w:rPr>
          <w:rFonts w:ascii="Times New Roman" w:hAnsi="Times New Roman" w:cs="Times New Roman"/>
          <w:color w:val="000000" w:themeColor="text1"/>
          <w:sz w:val="24"/>
          <w:szCs w:val="24"/>
          <w:lang w:val="en-US"/>
        </w:rPr>
        <w:t>ensure that the foreign investor repair damage and compensate victims</w:t>
      </w:r>
      <w:r w:rsidRPr="008B2F56">
        <w:rPr>
          <w:rFonts w:ascii="Times New Roman" w:hAnsi="Times New Roman" w:cs="Times New Roman"/>
          <w:color w:val="000000" w:themeColor="text1"/>
          <w:sz w:val="24"/>
          <w:szCs w:val="24"/>
          <w:lang w:val="en-US"/>
        </w:rPr>
        <w:t xml:space="preserve">. </w:t>
      </w:r>
      <w:r w:rsidR="00330780" w:rsidRPr="008B2F56">
        <w:rPr>
          <w:rFonts w:ascii="Times New Roman" w:hAnsi="Times New Roman" w:cs="Times New Roman"/>
          <w:color w:val="000000" w:themeColor="text1"/>
          <w:sz w:val="24"/>
          <w:szCs w:val="24"/>
          <w:lang w:val="en-US"/>
        </w:rPr>
        <w:t xml:space="preserve">Such </w:t>
      </w:r>
      <w:r w:rsidR="002254B7" w:rsidRPr="008B2F56">
        <w:rPr>
          <w:rFonts w:ascii="Times New Roman" w:hAnsi="Times New Roman" w:cs="Times New Roman"/>
          <w:color w:val="000000" w:themeColor="text1"/>
          <w:sz w:val="24"/>
          <w:szCs w:val="24"/>
          <w:lang w:val="en-US"/>
        </w:rPr>
        <w:t xml:space="preserve">questions </w:t>
      </w:r>
      <w:r w:rsidR="00330780" w:rsidRPr="008B2F56">
        <w:rPr>
          <w:rFonts w:ascii="Times New Roman" w:hAnsi="Times New Roman" w:cs="Times New Roman"/>
          <w:color w:val="000000" w:themeColor="text1"/>
          <w:sz w:val="24"/>
          <w:szCs w:val="24"/>
          <w:lang w:val="en-US"/>
        </w:rPr>
        <w:t>w</w:t>
      </w:r>
      <w:r w:rsidR="00320CB1" w:rsidRPr="008B2F56">
        <w:rPr>
          <w:rFonts w:ascii="Times New Roman" w:hAnsi="Times New Roman" w:cs="Times New Roman"/>
          <w:color w:val="000000" w:themeColor="text1"/>
          <w:sz w:val="24"/>
          <w:szCs w:val="24"/>
          <w:lang w:val="en-US"/>
        </w:rPr>
        <w:t xml:space="preserve">ould typically </w:t>
      </w:r>
      <w:r w:rsidR="002254B7" w:rsidRPr="008B2F56">
        <w:rPr>
          <w:rFonts w:ascii="Times New Roman" w:hAnsi="Times New Roman" w:cs="Times New Roman"/>
          <w:color w:val="000000" w:themeColor="text1"/>
          <w:sz w:val="24"/>
          <w:szCs w:val="24"/>
          <w:lang w:val="en-US"/>
        </w:rPr>
        <w:t>become urgent</w:t>
      </w:r>
      <w:r w:rsidR="00320CB1" w:rsidRPr="008B2F56">
        <w:rPr>
          <w:rFonts w:ascii="Times New Roman" w:hAnsi="Times New Roman" w:cs="Times New Roman"/>
          <w:color w:val="000000" w:themeColor="text1"/>
          <w:sz w:val="24"/>
          <w:szCs w:val="24"/>
          <w:lang w:val="en-US"/>
        </w:rPr>
        <w:t xml:space="preserve"> </w:t>
      </w:r>
      <w:r w:rsidR="00FD0406" w:rsidRPr="008B2F56">
        <w:rPr>
          <w:rFonts w:ascii="Times New Roman" w:hAnsi="Times New Roman" w:cs="Times New Roman"/>
          <w:color w:val="000000" w:themeColor="text1"/>
          <w:sz w:val="24"/>
          <w:szCs w:val="24"/>
          <w:lang w:val="en-US"/>
        </w:rPr>
        <w:t>whe</w:t>
      </w:r>
      <w:r w:rsidR="002254B7" w:rsidRPr="008B2F56">
        <w:rPr>
          <w:rFonts w:ascii="Times New Roman" w:hAnsi="Times New Roman" w:cs="Times New Roman"/>
          <w:color w:val="000000" w:themeColor="text1"/>
          <w:sz w:val="24"/>
          <w:szCs w:val="24"/>
          <w:lang w:val="en-US"/>
        </w:rPr>
        <w:t>n</w:t>
      </w:r>
      <w:r w:rsidR="00FD0406" w:rsidRPr="008B2F56">
        <w:rPr>
          <w:rFonts w:ascii="Times New Roman" w:hAnsi="Times New Roman" w:cs="Times New Roman"/>
          <w:color w:val="000000" w:themeColor="text1"/>
          <w:sz w:val="24"/>
          <w:szCs w:val="24"/>
          <w:lang w:val="en-US"/>
        </w:rPr>
        <w:t xml:space="preserve"> the investor has caused </w:t>
      </w:r>
      <w:r w:rsidR="00320CB1" w:rsidRPr="008B2F56">
        <w:rPr>
          <w:rFonts w:ascii="Times New Roman" w:hAnsi="Times New Roman" w:cs="Times New Roman"/>
          <w:color w:val="000000" w:themeColor="text1"/>
          <w:sz w:val="24"/>
          <w:szCs w:val="24"/>
          <w:lang w:val="en-US"/>
        </w:rPr>
        <w:t xml:space="preserve">serious harm and </w:t>
      </w:r>
      <w:r w:rsidR="00FD0406" w:rsidRPr="008B2F56">
        <w:rPr>
          <w:rFonts w:ascii="Times New Roman" w:hAnsi="Times New Roman" w:cs="Times New Roman"/>
          <w:color w:val="000000" w:themeColor="text1"/>
          <w:sz w:val="24"/>
          <w:szCs w:val="24"/>
          <w:lang w:val="en-US"/>
        </w:rPr>
        <w:t>has</w:t>
      </w:r>
      <w:r w:rsidR="00751026" w:rsidRPr="008B2F56">
        <w:rPr>
          <w:rFonts w:ascii="Times New Roman" w:hAnsi="Times New Roman" w:cs="Times New Roman"/>
          <w:color w:val="000000" w:themeColor="text1"/>
          <w:sz w:val="24"/>
          <w:szCs w:val="24"/>
          <w:lang w:val="en-US"/>
        </w:rPr>
        <w:t xml:space="preserve"> transferred or abandoned the investment. </w:t>
      </w:r>
      <w:r w:rsidR="002254B7" w:rsidRPr="008B2F56">
        <w:rPr>
          <w:rFonts w:ascii="Times New Roman" w:hAnsi="Times New Roman" w:cs="Times New Roman"/>
          <w:color w:val="000000" w:themeColor="text1"/>
          <w:sz w:val="24"/>
          <w:szCs w:val="24"/>
          <w:lang w:val="en-US"/>
        </w:rPr>
        <w:t>The extent to which such situations seriously affect a host country’s ability to fulfil the RtD and achieve SDGs d</w:t>
      </w:r>
      <w:r w:rsidR="009E0D42" w:rsidRPr="008B2F56">
        <w:rPr>
          <w:rFonts w:ascii="Times New Roman" w:hAnsi="Times New Roman" w:cs="Times New Roman"/>
          <w:color w:val="000000" w:themeColor="text1"/>
          <w:sz w:val="24"/>
          <w:szCs w:val="24"/>
          <w:lang w:val="en-US"/>
        </w:rPr>
        <w:t>epend</w:t>
      </w:r>
      <w:r w:rsidR="002254B7" w:rsidRPr="008B2F56">
        <w:rPr>
          <w:rFonts w:ascii="Times New Roman" w:hAnsi="Times New Roman" w:cs="Times New Roman"/>
          <w:color w:val="000000" w:themeColor="text1"/>
          <w:sz w:val="24"/>
          <w:szCs w:val="24"/>
          <w:lang w:val="en-US"/>
        </w:rPr>
        <w:t>s</w:t>
      </w:r>
      <w:r w:rsidR="009E0D42" w:rsidRPr="008B2F56">
        <w:rPr>
          <w:rFonts w:ascii="Times New Roman" w:hAnsi="Times New Roman" w:cs="Times New Roman"/>
          <w:color w:val="000000" w:themeColor="text1"/>
          <w:sz w:val="24"/>
          <w:szCs w:val="24"/>
          <w:lang w:val="en-US"/>
        </w:rPr>
        <w:t xml:space="preserve"> on the </w:t>
      </w:r>
      <w:r w:rsidR="002254B7" w:rsidRPr="008B2F56">
        <w:rPr>
          <w:rFonts w:ascii="Times New Roman" w:hAnsi="Times New Roman" w:cs="Times New Roman"/>
          <w:color w:val="000000" w:themeColor="text1"/>
          <w:sz w:val="24"/>
          <w:szCs w:val="24"/>
          <w:lang w:val="en-US"/>
        </w:rPr>
        <w:t>ability of the host country to undertake compensatory measures. F</w:t>
      </w:r>
      <w:r w:rsidR="009E0D42" w:rsidRPr="008B2F56">
        <w:rPr>
          <w:rFonts w:ascii="Times New Roman" w:hAnsi="Times New Roman" w:cs="Times New Roman"/>
          <w:color w:val="000000" w:themeColor="text1"/>
          <w:sz w:val="24"/>
          <w:szCs w:val="24"/>
          <w:lang w:val="en-US"/>
        </w:rPr>
        <w:t xml:space="preserve">or </w:t>
      </w:r>
      <w:r w:rsidR="002254B7" w:rsidRPr="008B2F56">
        <w:rPr>
          <w:rFonts w:ascii="Times New Roman" w:hAnsi="Times New Roman" w:cs="Times New Roman"/>
          <w:color w:val="000000" w:themeColor="text1"/>
          <w:sz w:val="24"/>
          <w:szCs w:val="24"/>
          <w:lang w:val="en-US"/>
        </w:rPr>
        <w:t xml:space="preserve">particularly </w:t>
      </w:r>
      <w:r w:rsidR="009E0D42" w:rsidRPr="008B2F56">
        <w:rPr>
          <w:rFonts w:ascii="Times New Roman" w:hAnsi="Times New Roman" w:cs="Times New Roman"/>
          <w:color w:val="000000" w:themeColor="text1"/>
          <w:sz w:val="24"/>
          <w:szCs w:val="24"/>
          <w:lang w:val="en-US"/>
        </w:rPr>
        <w:t xml:space="preserve">vulnerable countries, including </w:t>
      </w:r>
      <w:r w:rsidR="002254B7" w:rsidRPr="008B2F56">
        <w:rPr>
          <w:rFonts w:ascii="Times New Roman" w:hAnsi="Times New Roman" w:cs="Times New Roman"/>
          <w:color w:val="000000" w:themeColor="text1"/>
          <w:sz w:val="24"/>
          <w:szCs w:val="24"/>
          <w:lang w:val="en-US"/>
        </w:rPr>
        <w:t>some</w:t>
      </w:r>
      <w:r w:rsidR="009E0D42" w:rsidRPr="008B2F56">
        <w:rPr>
          <w:rFonts w:ascii="Times New Roman" w:hAnsi="Times New Roman" w:cs="Times New Roman"/>
          <w:color w:val="000000" w:themeColor="text1"/>
          <w:sz w:val="24"/>
          <w:szCs w:val="24"/>
          <w:lang w:val="en-US"/>
        </w:rPr>
        <w:t xml:space="preserve"> LDCs, such situations may </w:t>
      </w:r>
      <w:r w:rsidR="002254B7" w:rsidRPr="008B2F56">
        <w:rPr>
          <w:rFonts w:ascii="Times New Roman" w:hAnsi="Times New Roman" w:cs="Times New Roman"/>
          <w:color w:val="000000" w:themeColor="text1"/>
          <w:sz w:val="24"/>
          <w:szCs w:val="24"/>
          <w:lang w:val="en-US"/>
        </w:rPr>
        <w:t>affect</w:t>
      </w:r>
      <w:r w:rsidR="009E0D42" w:rsidRPr="008B2F56">
        <w:rPr>
          <w:rFonts w:ascii="Times New Roman" w:hAnsi="Times New Roman" w:cs="Times New Roman"/>
          <w:color w:val="000000" w:themeColor="text1"/>
          <w:sz w:val="24"/>
          <w:szCs w:val="24"/>
          <w:lang w:val="en-US"/>
        </w:rPr>
        <w:t xml:space="preserve"> their </w:t>
      </w:r>
      <w:r w:rsidR="005A18AD" w:rsidRPr="008B2F56">
        <w:rPr>
          <w:rFonts w:ascii="Times New Roman" w:hAnsi="Times New Roman" w:cs="Times New Roman"/>
          <w:color w:val="000000" w:themeColor="text1"/>
          <w:sz w:val="24"/>
          <w:szCs w:val="24"/>
          <w:lang w:val="en-US"/>
        </w:rPr>
        <w:t xml:space="preserve">long-term </w:t>
      </w:r>
      <w:r w:rsidR="009E0D42" w:rsidRPr="008B2F56">
        <w:rPr>
          <w:rFonts w:ascii="Times New Roman" w:hAnsi="Times New Roman" w:cs="Times New Roman"/>
          <w:color w:val="000000" w:themeColor="text1"/>
          <w:sz w:val="24"/>
          <w:szCs w:val="24"/>
          <w:lang w:val="en-US"/>
        </w:rPr>
        <w:t xml:space="preserve">ability to fulfil the RtD and achieve SDGs. </w:t>
      </w:r>
      <w:r w:rsidR="005A18AD" w:rsidRPr="008B2F56">
        <w:rPr>
          <w:rFonts w:ascii="Times New Roman" w:hAnsi="Times New Roman" w:cs="Times New Roman"/>
          <w:color w:val="000000" w:themeColor="text1"/>
          <w:sz w:val="24"/>
          <w:szCs w:val="24"/>
          <w:lang w:val="en-US"/>
        </w:rPr>
        <w:t>Secondly, f</w:t>
      </w:r>
      <w:r w:rsidR="00751026" w:rsidRPr="008B2F56">
        <w:rPr>
          <w:rFonts w:ascii="Times New Roman" w:hAnsi="Times New Roman" w:cs="Times New Roman"/>
          <w:color w:val="000000" w:themeColor="text1"/>
          <w:sz w:val="24"/>
          <w:szCs w:val="24"/>
          <w:lang w:val="en-US"/>
        </w:rPr>
        <w:t>rom the p</w:t>
      </w:r>
      <w:r w:rsidR="005038C3" w:rsidRPr="008B2F56">
        <w:rPr>
          <w:rFonts w:ascii="Times New Roman" w:hAnsi="Times New Roman" w:cs="Times New Roman"/>
          <w:color w:val="000000" w:themeColor="text1"/>
          <w:sz w:val="24"/>
          <w:szCs w:val="24"/>
          <w:lang w:val="en-US"/>
        </w:rPr>
        <w:t>erspective of foreign investors</w:t>
      </w:r>
      <w:r w:rsidR="00751026" w:rsidRPr="008B2F56">
        <w:rPr>
          <w:rFonts w:ascii="Times New Roman" w:hAnsi="Times New Roman" w:cs="Times New Roman"/>
          <w:color w:val="000000" w:themeColor="text1"/>
          <w:sz w:val="24"/>
          <w:szCs w:val="24"/>
          <w:lang w:val="en-US"/>
        </w:rPr>
        <w:t xml:space="preserve"> </w:t>
      </w:r>
      <w:r w:rsidR="005A18AD" w:rsidRPr="008B2F56">
        <w:rPr>
          <w:rFonts w:ascii="Times New Roman" w:hAnsi="Times New Roman" w:cs="Times New Roman"/>
          <w:color w:val="000000" w:themeColor="text1"/>
          <w:sz w:val="24"/>
          <w:szCs w:val="24"/>
          <w:lang w:val="en-US"/>
        </w:rPr>
        <w:t>a key issue regarding</w:t>
      </w:r>
      <w:r w:rsidR="00FD0406" w:rsidRPr="008B2F56">
        <w:rPr>
          <w:rFonts w:ascii="Times New Roman" w:hAnsi="Times New Roman" w:cs="Times New Roman"/>
          <w:color w:val="000000" w:themeColor="text1"/>
          <w:sz w:val="24"/>
          <w:szCs w:val="24"/>
          <w:lang w:val="en-US"/>
        </w:rPr>
        <w:t xml:space="preserve"> their responsibility for harm</w:t>
      </w:r>
      <w:r w:rsidR="005A18AD" w:rsidRPr="008B2F56">
        <w:rPr>
          <w:rFonts w:ascii="Times New Roman" w:hAnsi="Times New Roman" w:cs="Times New Roman"/>
          <w:color w:val="000000" w:themeColor="text1"/>
          <w:sz w:val="24"/>
          <w:szCs w:val="24"/>
          <w:lang w:val="en-US"/>
        </w:rPr>
        <w:t>ful activities</w:t>
      </w:r>
      <w:r w:rsidR="00FD0406" w:rsidRPr="008B2F56">
        <w:rPr>
          <w:rFonts w:ascii="Times New Roman" w:hAnsi="Times New Roman" w:cs="Times New Roman"/>
          <w:color w:val="000000" w:themeColor="text1"/>
          <w:sz w:val="24"/>
          <w:szCs w:val="24"/>
          <w:lang w:val="en-US"/>
        </w:rPr>
        <w:t xml:space="preserve"> </w:t>
      </w:r>
      <w:r w:rsidR="00C013BB" w:rsidRPr="008B2F56">
        <w:rPr>
          <w:rFonts w:ascii="Times New Roman" w:hAnsi="Times New Roman" w:cs="Times New Roman"/>
          <w:color w:val="000000" w:themeColor="text1"/>
          <w:sz w:val="24"/>
          <w:szCs w:val="24"/>
          <w:lang w:val="en-US"/>
        </w:rPr>
        <w:t>is</w:t>
      </w:r>
      <w:r w:rsidR="00751026" w:rsidRPr="008B2F56">
        <w:rPr>
          <w:rFonts w:ascii="Times New Roman" w:hAnsi="Times New Roman" w:cs="Times New Roman"/>
          <w:color w:val="000000" w:themeColor="text1"/>
          <w:sz w:val="24"/>
          <w:szCs w:val="24"/>
          <w:lang w:val="en-US"/>
        </w:rPr>
        <w:t xml:space="preserve"> their vulnerability to abuse of power by local, regional or national public authorities. </w:t>
      </w:r>
      <w:r w:rsidR="005038C3" w:rsidRPr="008B2F56">
        <w:rPr>
          <w:rFonts w:ascii="Times New Roman" w:hAnsi="Times New Roman" w:cs="Times New Roman"/>
          <w:color w:val="000000" w:themeColor="text1"/>
          <w:sz w:val="24"/>
          <w:szCs w:val="24"/>
          <w:lang w:val="en-US"/>
        </w:rPr>
        <w:t xml:space="preserve">Investors can claim that such abuse of power is the real reason why the harm occurred. Investors would be particularly vulnerable to abuse of power </w:t>
      </w:r>
      <w:r w:rsidR="00751026" w:rsidRPr="008B2F56">
        <w:rPr>
          <w:rFonts w:ascii="Times New Roman" w:hAnsi="Times New Roman" w:cs="Times New Roman"/>
          <w:color w:val="000000" w:themeColor="text1"/>
          <w:sz w:val="24"/>
          <w:szCs w:val="24"/>
          <w:lang w:val="en-US"/>
        </w:rPr>
        <w:t xml:space="preserve">when </w:t>
      </w:r>
      <w:r w:rsidR="005A18AD" w:rsidRPr="008B2F56">
        <w:rPr>
          <w:rFonts w:ascii="Times New Roman" w:hAnsi="Times New Roman" w:cs="Times New Roman"/>
          <w:color w:val="000000" w:themeColor="text1"/>
          <w:sz w:val="24"/>
          <w:szCs w:val="24"/>
          <w:lang w:val="en-US"/>
        </w:rPr>
        <w:t>FDI is</w:t>
      </w:r>
      <w:r w:rsidR="00D76751" w:rsidRPr="008B2F56">
        <w:rPr>
          <w:rFonts w:ascii="Times New Roman" w:hAnsi="Times New Roman" w:cs="Times New Roman"/>
          <w:color w:val="000000" w:themeColor="text1"/>
          <w:sz w:val="24"/>
          <w:szCs w:val="24"/>
          <w:lang w:val="en-US"/>
        </w:rPr>
        <w:t xml:space="preserve"> long</w:t>
      </w:r>
      <w:r w:rsidR="005038C3" w:rsidRPr="008B2F56">
        <w:rPr>
          <w:rFonts w:ascii="Times New Roman" w:hAnsi="Times New Roman" w:cs="Times New Roman"/>
          <w:color w:val="000000" w:themeColor="text1"/>
          <w:sz w:val="24"/>
          <w:szCs w:val="24"/>
          <w:lang w:val="en-US"/>
        </w:rPr>
        <w:t>-</w:t>
      </w:r>
      <w:r w:rsidR="00D76751" w:rsidRPr="008B2F56">
        <w:rPr>
          <w:rFonts w:ascii="Times New Roman" w:hAnsi="Times New Roman" w:cs="Times New Roman"/>
          <w:color w:val="000000" w:themeColor="text1"/>
          <w:sz w:val="24"/>
          <w:szCs w:val="24"/>
          <w:lang w:val="en-US"/>
        </w:rPr>
        <w:t xml:space="preserve">term, capital intensive and </w:t>
      </w:r>
      <w:r w:rsidR="00FD0406" w:rsidRPr="008B2F56">
        <w:rPr>
          <w:rFonts w:ascii="Times New Roman" w:hAnsi="Times New Roman" w:cs="Times New Roman"/>
          <w:color w:val="000000" w:themeColor="text1"/>
          <w:sz w:val="24"/>
          <w:szCs w:val="24"/>
          <w:lang w:val="en-US"/>
        </w:rPr>
        <w:t>difficult to</w:t>
      </w:r>
      <w:r w:rsidR="00330780" w:rsidRPr="008B2F56">
        <w:rPr>
          <w:rFonts w:ascii="Times New Roman" w:hAnsi="Times New Roman" w:cs="Times New Roman"/>
          <w:color w:val="000000" w:themeColor="text1"/>
          <w:sz w:val="24"/>
          <w:szCs w:val="24"/>
          <w:lang w:val="en-US"/>
        </w:rPr>
        <w:t xml:space="preserve"> transfer. </w:t>
      </w:r>
      <w:r w:rsidR="005038C3" w:rsidRPr="008B2F56">
        <w:rPr>
          <w:rFonts w:ascii="Times New Roman" w:hAnsi="Times New Roman" w:cs="Times New Roman"/>
          <w:color w:val="000000" w:themeColor="text1"/>
          <w:sz w:val="24"/>
          <w:szCs w:val="24"/>
          <w:lang w:val="en-US"/>
        </w:rPr>
        <w:t xml:space="preserve">Section 4 discussed rules in IIAs and investment laws that serve to protect investors in such situations, and </w:t>
      </w:r>
      <w:r w:rsidR="00621ACB" w:rsidRPr="008B2F56">
        <w:rPr>
          <w:rFonts w:ascii="Times New Roman" w:hAnsi="Times New Roman" w:cs="Times New Roman"/>
          <w:color w:val="000000" w:themeColor="text1"/>
          <w:sz w:val="24"/>
          <w:szCs w:val="24"/>
          <w:lang w:val="en-US"/>
        </w:rPr>
        <w:t xml:space="preserve">we shall not explore </w:t>
      </w:r>
      <w:r w:rsidR="005038C3" w:rsidRPr="008B2F56">
        <w:rPr>
          <w:rFonts w:ascii="Times New Roman" w:hAnsi="Times New Roman" w:cs="Times New Roman"/>
          <w:color w:val="000000" w:themeColor="text1"/>
          <w:sz w:val="24"/>
          <w:szCs w:val="24"/>
          <w:lang w:val="en-US"/>
        </w:rPr>
        <w:t xml:space="preserve">these rules </w:t>
      </w:r>
      <w:r w:rsidR="00621ACB" w:rsidRPr="008B2F56">
        <w:rPr>
          <w:rFonts w:ascii="Times New Roman" w:hAnsi="Times New Roman" w:cs="Times New Roman"/>
          <w:color w:val="000000" w:themeColor="text1"/>
          <w:sz w:val="24"/>
          <w:szCs w:val="24"/>
          <w:lang w:val="en-US"/>
        </w:rPr>
        <w:t>h</w:t>
      </w:r>
      <w:r w:rsidR="005038C3" w:rsidRPr="008B2F56">
        <w:rPr>
          <w:rFonts w:ascii="Times New Roman" w:hAnsi="Times New Roman" w:cs="Times New Roman"/>
          <w:color w:val="000000" w:themeColor="text1"/>
          <w:sz w:val="24"/>
          <w:szCs w:val="24"/>
          <w:lang w:val="en-US"/>
        </w:rPr>
        <w:t>ere.</w:t>
      </w:r>
      <w:r w:rsidR="00330780" w:rsidRPr="008B2F56">
        <w:rPr>
          <w:rFonts w:ascii="Times New Roman" w:hAnsi="Times New Roman" w:cs="Times New Roman"/>
          <w:color w:val="000000" w:themeColor="text1"/>
          <w:sz w:val="24"/>
          <w:szCs w:val="24"/>
          <w:lang w:val="en-US"/>
        </w:rPr>
        <w:t xml:space="preserve"> </w:t>
      </w:r>
    </w:p>
    <w:p w14:paraId="1BDD76F6" w14:textId="40BB110D" w:rsidR="001B6A19" w:rsidRPr="008B2F56" w:rsidRDefault="007B2019"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IIAs </w:t>
      </w:r>
      <w:r w:rsidR="001B6A19" w:rsidRPr="008B2F56">
        <w:rPr>
          <w:rFonts w:ascii="Times New Roman" w:hAnsi="Times New Roman" w:cs="Times New Roman"/>
          <w:color w:val="000000" w:themeColor="text1"/>
          <w:sz w:val="24"/>
          <w:szCs w:val="24"/>
          <w:lang w:val="en-US"/>
        </w:rPr>
        <w:t xml:space="preserve">generally </w:t>
      </w:r>
      <w:r w:rsidR="00621ACB" w:rsidRPr="008B2F56">
        <w:rPr>
          <w:rFonts w:ascii="Times New Roman" w:hAnsi="Times New Roman" w:cs="Times New Roman"/>
          <w:color w:val="000000" w:themeColor="text1"/>
          <w:sz w:val="24"/>
          <w:szCs w:val="24"/>
          <w:lang w:val="en-US"/>
        </w:rPr>
        <w:t xml:space="preserve">do </w:t>
      </w:r>
      <w:r w:rsidR="001B6A19" w:rsidRPr="008B2F56">
        <w:rPr>
          <w:rFonts w:ascii="Times New Roman" w:hAnsi="Times New Roman" w:cs="Times New Roman"/>
          <w:color w:val="000000" w:themeColor="text1"/>
          <w:sz w:val="24"/>
          <w:szCs w:val="24"/>
          <w:lang w:val="en-US"/>
        </w:rPr>
        <w:t xml:space="preserve">not impose duties on investors or their home countries. Indeed, </w:t>
      </w:r>
      <w:r w:rsidR="00C8711B" w:rsidRPr="008B2F56">
        <w:rPr>
          <w:rFonts w:ascii="Times New Roman" w:hAnsi="Times New Roman" w:cs="Times New Roman"/>
          <w:color w:val="000000" w:themeColor="text1"/>
          <w:sz w:val="24"/>
          <w:szCs w:val="24"/>
          <w:lang w:val="en-US"/>
        </w:rPr>
        <w:t>countries have</w:t>
      </w:r>
      <w:r w:rsidR="001B6A19" w:rsidRPr="008B2F56">
        <w:rPr>
          <w:rFonts w:ascii="Times New Roman" w:hAnsi="Times New Roman" w:cs="Times New Roman"/>
          <w:color w:val="000000" w:themeColor="text1"/>
          <w:sz w:val="24"/>
          <w:szCs w:val="24"/>
          <w:lang w:val="en-US"/>
        </w:rPr>
        <w:t xml:space="preserve"> only recently accepted that </w:t>
      </w:r>
      <w:r w:rsidR="00DB5DFE" w:rsidRPr="008B2F56">
        <w:rPr>
          <w:rFonts w:ascii="Times New Roman" w:hAnsi="Times New Roman" w:cs="Times New Roman"/>
          <w:color w:val="000000" w:themeColor="text1"/>
          <w:sz w:val="24"/>
          <w:szCs w:val="24"/>
          <w:lang w:val="en-US"/>
        </w:rPr>
        <w:t>corporations</w:t>
      </w:r>
      <w:r w:rsidR="001B6A19" w:rsidRPr="008B2F56">
        <w:rPr>
          <w:rFonts w:ascii="Times New Roman" w:hAnsi="Times New Roman" w:cs="Times New Roman"/>
          <w:color w:val="000000" w:themeColor="text1"/>
          <w:sz w:val="24"/>
          <w:szCs w:val="24"/>
          <w:lang w:val="en-US"/>
        </w:rPr>
        <w:t xml:space="preserve"> can incur responsibility under international law, essentially in the form of criminal </w:t>
      </w:r>
      <w:r w:rsidR="00DB5DFE" w:rsidRPr="008B2F56">
        <w:rPr>
          <w:rFonts w:ascii="Times New Roman" w:hAnsi="Times New Roman" w:cs="Times New Roman"/>
          <w:color w:val="000000" w:themeColor="text1"/>
          <w:sz w:val="24"/>
          <w:szCs w:val="24"/>
          <w:lang w:val="en-US"/>
        </w:rPr>
        <w:t>responsibility</w:t>
      </w:r>
      <w:r w:rsidR="001B6A19" w:rsidRPr="008B2F56">
        <w:rPr>
          <w:rFonts w:ascii="Times New Roman" w:hAnsi="Times New Roman" w:cs="Times New Roman"/>
          <w:color w:val="000000" w:themeColor="text1"/>
          <w:sz w:val="24"/>
          <w:szCs w:val="24"/>
          <w:lang w:val="en-US"/>
        </w:rPr>
        <w:t>.</w:t>
      </w:r>
      <w:r w:rsidR="002543BB" w:rsidRPr="008B2F56">
        <w:rPr>
          <w:rStyle w:val="FootnoteReference"/>
          <w:rFonts w:ascii="Times New Roman" w:hAnsi="Times New Roman" w:cs="Times New Roman"/>
        </w:rPr>
        <w:footnoteReference w:id="100"/>
      </w:r>
      <w:r w:rsidR="001B6A19" w:rsidRPr="008B2F56">
        <w:rPr>
          <w:rFonts w:ascii="Times New Roman" w:hAnsi="Times New Roman" w:cs="Times New Roman"/>
          <w:color w:val="000000" w:themeColor="text1"/>
          <w:sz w:val="24"/>
          <w:szCs w:val="24"/>
          <w:lang w:val="en-US"/>
        </w:rPr>
        <w:t xml:space="preserve"> </w:t>
      </w:r>
      <w:r w:rsidR="003A3102" w:rsidRPr="008B2F56">
        <w:rPr>
          <w:rFonts w:ascii="Times New Roman" w:hAnsi="Times New Roman" w:cs="Times New Roman"/>
          <w:color w:val="000000" w:themeColor="text1"/>
          <w:sz w:val="24"/>
          <w:szCs w:val="24"/>
          <w:lang w:val="en-US"/>
        </w:rPr>
        <w:t xml:space="preserve">The general argument is that </w:t>
      </w:r>
      <w:r w:rsidR="00DB5DFE" w:rsidRPr="008B2F56">
        <w:rPr>
          <w:rFonts w:ascii="Times New Roman" w:hAnsi="Times New Roman" w:cs="Times New Roman"/>
          <w:color w:val="000000" w:themeColor="text1"/>
          <w:sz w:val="24"/>
          <w:szCs w:val="24"/>
          <w:lang w:val="en-US"/>
        </w:rPr>
        <w:t>it is for host countries to establish and enforce rules regarding the activities of foreign investors within their territories. However</w:t>
      </w:r>
      <w:r w:rsidR="001B6A19" w:rsidRPr="008B2F56">
        <w:rPr>
          <w:rFonts w:ascii="Times New Roman" w:hAnsi="Times New Roman" w:cs="Times New Roman"/>
          <w:color w:val="000000" w:themeColor="text1"/>
          <w:sz w:val="24"/>
          <w:szCs w:val="24"/>
          <w:lang w:val="en-US"/>
        </w:rPr>
        <w:t xml:space="preserve">, with the increasing protection of </w:t>
      </w:r>
      <w:r w:rsidR="00DB5DFE" w:rsidRPr="008B2F56">
        <w:rPr>
          <w:rFonts w:ascii="Times New Roman" w:hAnsi="Times New Roman" w:cs="Times New Roman"/>
          <w:color w:val="000000" w:themeColor="text1"/>
          <w:sz w:val="24"/>
          <w:szCs w:val="24"/>
          <w:lang w:val="en-US"/>
        </w:rPr>
        <w:t xml:space="preserve">the </w:t>
      </w:r>
      <w:r w:rsidR="003A3102" w:rsidRPr="008B2F56">
        <w:rPr>
          <w:rFonts w:ascii="Times New Roman" w:hAnsi="Times New Roman" w:cs="Times New Roman"/>
          <w:color w:val="000000" w:themeColor="text1"/>
          <w:sz w:val="24"/>
          <w:szCs w:val="24"/>
          <w:lang w:val="en-US"/>
        </w:rPr>
        <w:t>interests</w:t>
      </w:r>
      <w:r w:rsidR="00DB5DFE" w:rsidRPr="008B2F56">
        <w:rPr>
          <w:rFonts w:ascii="Times New Roman" w:hAnsi="Times New Roman" w:cs="Times New Roman"/>
          <w:color w:val="000000" w:themeColor="text1"/>
          <w:sz w:val="24"/>
          <w:szCs w:val="24"/>
          <w:lang w:val="en-US"/>
        </w:rPr>
        <w:t xml:space="preserve"> of corporations</w:t>
      </w:r>
      <w:r w:rsidR="001B6A19" w:rsidRPr="008B2F56">
        <w:rPr>
          <w:rFonts w:ascii="Times New Roman" w:hAnsi="Times New Roman" w:cs="Times New Roman"/>
          <w:color w:val="000000" w:themeColor="text1"/>
          <w:sz w:val="24"/>
          <w:szCs w:val="24"/>
          <w:lang w:val="en-US"/>
        </w:rPr>
        <w:t xml:space="preserve"> under international law, </w:t>
      </w:r>
      <w:r w:rsidR="003A3102" w:rsidRPr="008B2F56">
        <w:rPr>
          <w:rFonts w:ascii="Times New Roman" w:hAnsi="Times New Roman" w:cs="Times New Roman"/>
          <w:color w:val="000000" w:themeColor="text1"/>
          <w:sz w:val="24"/>
          <w:szCs w:val="24"/>
          <w:lang w:val="en-US"/>
        </w:rPr>
        <w:t xml:space="preserve">we see </w:t>
      </w:r>
      <w:r w:rsidR="001F2B78" w:rsidRPr="008B2F56">
        <w:rPr>
          <w:rFonts w:ascii="Times New Roman" w:hAnsi="Times New Roman" w:cs="Times New Roman"/>
          <w:color w:val="000000" w:themeColor="text1"/>
          <w:sz w:val="24"/>
          <w:szCs w:val="24"/>
          <w:lang w:val="en-US"/>
        </w:rPr>
        <w:t xml:space="preserve">more and more examples that </w:t>
      </w:r>
      <w:r w:rsidR="00DB5DFE" w:rsidRPr="008B2F56">
        <w:rPr>
          <w:rFonts w:ascii="Times New Roman" w:hAnsi="Times New Roman" w:cs="Times New Roman"/>
          <w:color w:val="000000" w:themeColor="text1"/>
          <w:sz w:val="24"/>
          <w:szCs w:val="24"/>
          <w:lang w:val="en-US"/>
        </w:rPr>
        <w:t>they</w:t>
      </w:r>
      <w:r w:rsidR="001B6A19" w:rsidRPr="008B2F56">
        <w:rPr>
          <w:rFonts w:ascii="Times New Roman" w:hAnsi="Times New Roman" w:cs="Times New Roman"/>
          <w:color w:val="000000" w:themeColor="text1"/>
          <w:sz w:val="24"/>
          <w:szCs w:val="24"/>
          <w:lang w:val="en-US"/>
        </w:rPr>
        <w:t xml:space="preserve"> may lose such </w:t>
      </w:r>
      <w:r w:rsidR="003A3102" w:rsidRPr="008B2F56">
        <w:rPr>
          <w:rFonts w:ascii="Times New Roman" w:hAnsi="Times New Roman" w:cs="Times New Roman"/>
          <w:color w:val="000000" w:themeColor="text1"/>
          <w:sz w:val="24"/>
          <w:szCs w:val="24"/>
          <w:lang w:val="en-US"/>
        </w:rPr>
        <w:t>protection</w:t>
      </w:r>
      <w:r w:rsidR="001B6A19" w:rsidRPr="008B2F56">
        <w:rPr>
          <w:rFonts w:ascii="Times New Roman" w:hAnsi="Times New Roman" w:cs="Times New Roman"/>
          <w:color w:val="000000" w:themeColor="text1"/>
          <w:sz w:val="24"/>
          <w:szCs w:val="24"/>
          <w:lang w:val="en-US"/>
        </w:rPr>
        <w:t xml:space="preserve"> </w:t>
      </w:r>
      <w:r w:rsidR="00621ACB" w:rsidRPr="008B2F56">
        <w:rPr>
          <w:rFonts w:ascii="Times New Roman" w:hAnsi="Times New Roman" w:cs="Times New Roman"/>
          <w:color w:val="000000" w:themeColor="text1"/>
          <w:sz w:val="24"/>
          <w:szCs w:val="24"/>
          <w:lang w:val="en-US"/>
        </w:rPr>
        <w:t>because</w:t>
      </w:r>
      <w:r w:rsidR="001B6A19" w:rsidRPr="008B2F56">
        <w:rPr>
          <w:rFonts w:ascii="Times New Roman" w:hAnsi="Times New Roman" w:cs="Times New Roman"/>
          <w:color w:val="000000" w:themeColor="text1"/>
          <w:sz w:val="24"/>
          <w:szCs w:val="24"/>
          <w:lang w:val="en-US"/>
        </w:rPr>
        <w:t xml:space="preserve"> of </w:t>
      </w:r>
      <w:r w:rsidR="001B6A19" w:rsidRPr="008B2F56">
        <w:rPr>
          <w:rFonts w:ascii="Times New Roman" w:hAnsi="Times New Roman" w:cs="Times New Roman"/>
          <w:color w:val="000000" w:themeColor="text1"/>
          <w:sz w:val="24"/>
          <w:szCs w:val="24"/>
          <w:lang w:val="en-US"/>
        </w:rPr>
        <w:lastRenderedPageBreak/>
        <w:t>undesired conduct.</w:t>
      </w:r>
      <w:r w:rsidR="001B6A19" w:rsidRPr="008B2F56">
        <w:rPr>
          <w:rStyle w:val="FootnoteReference"/>
          <w:rFonts w:ascii="Times New Roman" w:hAnsi="Times New Roman" w:cs="Times New Roman"/>
        </w:rPr>
        <w:footnoteReference w:id="101"/>
      </w:r>
      <w:r w:rsidR="001B6A19" w:rsidRPr="008B2F56">
        <w:rPr>
          <w:rFonts w:ascii="Times New Roman" w:hAnsi="Times New Roman" w:cs="Times New Roman"/>
          <w:color w:val="000000" w:themeColor="text1"/>
          <w:sz w:val="24"/>
          <w:szCs w:val="24"/>
          <w:lang w:val="en-US"/>
        </w:rPr>
        <w:t xml:space="preserve"> T</w:t>
      </w:r>
      <w:r w:rsidR="00A06A73" w:rsidRPr="008B2F56">
        <w:rPr>
          <w:rFonts w:ascii="Times New Roman" w:hAnsi="Times New Roman" w:cs="Times New Roman"/>
          <w:color w:val="000000" w:themeColor="text1"/>
          <w:sz w:val="24"/>
          <w:szCs w:val="24"/>
          <w:lang w:val="en-US"/>
        </w:rPr>
        <w:t>he</w:t>
      </w:r>
      <w:r w:rsidR="00DB5DFE" w:rsidRPr="008B2F56">
        <w:rPr>
          <w:rFonts w:ascii="Times New Roman" w:hAnsi="Times New Roman" w:cs="Times New Roman"/>
          <w:color w:val="000000" w:themeColor="text1"/>
          <w:sz w:val="24"/>
          <w:szCs w:val="24"/>
          <w:lang w:val="en-US"/>
        </w:rPr>
        <w:t xml:space="preserve"> </w:t>
      </w:r>
      <w:r w:rsidR="001B6A19" w:rsidRPr="008B2F56">
        <w:rPr>
          <w:rFonts w:ascii="Times New Roman" w:hAnsi="Times New Roman" w:cs="Times New Roman"/>
          <w:color w:val="000000" w:themeColor="text1"/>
          <w:sz w:val="24"/>
          <w:szCs w:val="24"/>
          <w:lang w:val="en-US"/>
        </w:rPr>
        <w:t>inclu</w:t>
      </w:r>
      <w:r w:rsidR="00A06A73" w:rsidRPr="008B2F56">
        <w:rPr>
          <w:rFonts w:ascii="Times New Roman" w:hAnsi="Times New Roman" w:cs="Times New Roman"/>
          <w:color w:val="000000" w:themeColor="text1"/>
          <w:sz w:val="24"/>
          <w:szCs w:val="24"/>
          <w:lang w:val="en-US"/>
        </w:rPr>
        <w:t>sion of</w:t>
      </w:r>
      <w:r w:rsidR="001B6A19" w:rsidRPr="008B2F56">
        <w:rPr>
          <w:rFonts w:ascii="Times New Roman" w:hAnsi="Times New Roman" w:cs="Times New Roman"/>
          <w:color w:val="000000" w:themeColor="text1"/>
          <w:sz w:val="24"/>
          <w:szCs w:val="24"/>
          <w:lang w:val="en-US"/>
        </w:rPr>
        <w:t xml:space="preserve"> provisions in IIAs concerning duties of investors is likely to </w:t>
      </w:r>
      <w:r w:rsidR="00A06A73" w:rsidRPr="008B2F56">
        <w:rPr>
          <w:rFonts w:ascii="Times New Roman" w:hAnsi="Times New Roman" w:cs="Times New Roman"/>
          <w:color w:val="000000" w:themeColor="text1"/>
          <w:sz w:val="24"/>
          <w:szCs w:val="24"/>
          <w:lang w:val="en-US"/>
        </w:rPr>
        <w:t xml:space="preserve">be more controversial than initiatives </w:t>
      </w:r>
      <w:r w:rsidR="009E0D42" w:rsidRPr="008B2F56">
        <w:rPr>
          <w:rFonts w:ascii="Times New Roman" w:hAnsi="Times New Roman" w:cs="Times New Roman"/>
          <w:color w:val="000000" w:themeColor="text1"/>
          <w:sz w:val="24"/>
          <w:szCs w:val="24"/>
          <w:lang w:val="en-US"/>
        </w:rPr>
        <w:t>to engage the responsibility of home countries</w:t>
      </w:r>
      <w:r w:rsidR="00D53E4D" w:rsidRPr="008B2F56">
        <w:rPr>
          <w:rFonts w:ascii="Times New Roman" w:hAnsi="Times New Roman" w:cs="Times New Roman"/>
          <w:color w:val="000000" w:themeColor="text1"/>
          <w:sz w:val="24"/>
          <w:szCs w:val="24"/>
          <w:lang w:val="en-US"/>
        </w:rPr>
        <w:t xml:space="preserve"> to ensure that their investors repair and compensate harm done in host countries</w:t>
      </w:r>
      <w:r w:rsidR="00A06A73" w:rsidRPr="008B2F56">
        <w:rPr>
          <w:rFonts w:ascii="Times New Roman" w:hAnsi="Times New Roman" w:cs="Times New Roman"/>
          <w:color w:val="000000" w:themeColor="text1"/>
          <w:sz w:val="24"/>
          <w:szCs w:val="24"/>
          <w:lang w:val="en-US"/>
        </w:rPr>
        <w:t>. However, s</w:t>
      </w:r>
      <w:r w:rsidR="009E0D42" w:rsidRPr="008B2F56">
        <w:rPr>
          <w:rFonts w:ascii="Times New Roman" w:hAnsi="Times New Roman" w:cs="Times New Roman"/>
          <w:color w:val="000000" w:themeColor="text1"/>
          <w:sz w:val="24"/>
          <w:szCs w:val="24"/>
          <w:lang w:val="en-US"/>
        </w:rPr>
        <w:t>o far there are few signs that IIAs include such mechanisms.</w:t>
      </w:r>
    </w:p>
    <w:p w14:paraId="6EB5F7AC" w14:textId="3B82B585" w:rsidR="00E1126A" w:rsidRPr="008B2F56" w:rsidRDefault="009C7248"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Nevertheless, there are some trends in international norms and institutions towards acknowledging responsibility and liability of foreign investors and their home countries.</w:t>
      </w:r>
      <w:r w:rsidR="002F3328" w:rsidRPr="008B2F56">
        <w:rPr>
          <w:rStyle w:val="FootnoteReference"/>
          <w:rFonts w:ascii="Times New Roman" w:hAnsi="Times New Roman" w:cs="Times New Roman"/>
        </w:rPr>
        <w:footnoteReference w:id="102"/>
      </w:r>
      <w:r w:rsidRPr="008B2F56">
        <w:rPr>
          <w:rFonts w:ascii="Times New Roman" w:hAnsi="Times New Roman" w:cs="Times New Roman"/>
          <w:color w:val="000000" w:themeColor="text1"/>
          <w:sz w:val="24"/>
          <w:szCs w:val="24"/>
          <w:lang w:val="en-US"/>
        </w:rPr>
        <w:t xml:space="preserve"> These developments build on a reckoning that </w:t>
      </w:r>
      <w:r w:rsidR="00DA07BF" w:rsidRPr="008B2F56">
        <w:rPr>
          <w:rFonts w:ascii="Times New Roman" w:hAnsi="Times New Roman" w:cs="Times New Roman"/>
          <w:color w:val="000000" w:themeColor="text1"/>
          <w:sz w:val="24"/>
          <w:szCs w:val="24"/>
          <w:lang w:val="en-US"/>
        </w:rPr>
        <w:t xml:space="preserve">host countries may not be able or willing to </w:t>
      </w:r>
      <w:r w:rsidR="00853E9B" w:rsidRPr="008B2F56">
        <w:rPr>
          <w:rFonts w:ascii="Times New Roman" w:hAnsi="Times New Roman" w:cs="Times New Roman"/>
          <w:color w:val="000000" w:themeColor="text1"/>
          <w:sz w:val="24"/>
          <w:szCs w:val="24"/>
          <w:lang w:val="en-US"/>
        </w:rPr>
        <w:t>enforce</w:t>
      </w:r>
      <w:r w:rsidR="00DA07BF" w:rsidRPr="008B2F56">
        <w:rPr>
          <w:rFonts w:ascii="Times New Roman" w:hAnsi="Times New Roman" w:cs="Times New Roman"/>
          <w:color w:val="000000" w:themeColor="text1"/>
          <w:sz w:val="24"/>
          <w:szCs w:val="24"/>
          <w:lang w:val="en-US"/>
        </w:rPr>
        <w:t xml:space="preserve"> responsibility or liability of foreign investors</w:t>
      </w:r>
      <w:r w:rsidR="00314470" w:rsidRPr="008B2F56">
        <w:rPr>
          <w:rFonts w:ascii="Times New Roman" w:hAnsi="Times New Roman" w:cs="Times New Roman"/>
          <w:color w:val="000000" w:themeColor="text1"/>
          <w:sz w:val="24"/>
          <w:szCs w:val="24"/>
          <w:lang w:val="en-US"/>
        </w:rPr>
        <w:t xml:space="preserve"> for harm caused to third party interests</w:t>
      </w:r>
      <w:r w:rsidR="00853E9B" w:rsidRPr="008B2F56">
        <w:rPr>
          <w:rFonts w:ascii="Times New Roman" w:hAnsi="Times New Roman" w:cs="Times New Roman"/>
          <w:color w:val="000000" w:themeColor="text1"/>
          <w:sz w:val="24"/>
          <w:szCs w:val="24"/>
          <w:lang w:val="en-US"/>
        </w:rPr>
        <w:t xml:space="preserve">. </w:t>
      </w:r>
      <w:r w:rsidR="00E1126A" w:rsidRPr="008B2F56">
        <w:rPr>
          <w:rFonts w:ascii="Times New Roman" w:hAnsi="Times New Roman" w:cs="Times New Roman"/>
          <w:color w:val="000000" w:themeColor="text1"/>
          <w:sz w:val="24"/>
          <w:szCs w:val="24"/>
          <w:lang w:val="en-US"/>
        </w:rPr>
        <w:t>In the following, we shall look closer at three fields in which significant initiatives have been taken; treaties to combat corruption, the OECD Guidelines for Multinational Enterprises, and the construction of a regime to address human rights abuses in a transnational context.</w:t>
      </w:r>
    </w:p>
    <w:p w14:paraId="04EA3382" w14:textId="1B6EC39F" w:rsidR="00E1126A" w:rsidRPr="008B2F56" w:rsidRDefault="00E1126A" w:rsidP="008D76EF">
      <w:pPr>
        <w:pStyle w:val="Heading2"/>
        <w:jc w:val="both"/>
        <w:rPr>
          <w:rFonts w:ascii="Times New Roman" w:hAnsi="Times New Roman" w:cs="Times New Roman"/>
          <w:lang w:val="en-US"/>
        </w:rPr>
      </w:pPr>
      <w:r w:rsidRPr="008B2F56">
        <w:rPr>
          <w:rFonts w:ascii="Times New Roman" w:hAnsi="Times New Roman" w:cs="Times New Roman"/>
          <w:lang w:val="en-US"/>
        </w:rPr>
        <w:t>5.2 Combating corruption</w:t>
      </w:r>
    </w:p>
    <w:p w14:paraId="133A54D5" w14:textId="16E85AED" w:rsidR="0060588D" w:rsidRPr="008B2F56" w:rsidRDefault="0060588D"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C</w:t>
      </w:r>
      <w:r w:rsidR="00F61964" w:rsidRPr="008B2F56">
        <w:rPr>
          <w:rFonts w:ascii="Times New Roman" w:hAnsi="Times New Roman" w:cs="Times New Roman"/>
          <w:color w:val="000000" w:themeColor="text1"/>
          <w:sz w:val="24"/>
          <w:szCs w:val="24"/>
          <w:lang w:val="en-US"/>
        </w:rPr>
        <w:t xml:space="preserve">orruption </w:t>
      </w:r>
      <w:r w:rsidR="005C0A74" w:rsidRPr="008B2F56">
        <w:rPr>
          <w:rFonts w:ascii="Times New Roman" w:hAnsi="Times New Roman" w:cs="Times New Roman"/>
          <w:color w:val="000000" w:themeColor="text1"/>
          <w:sz w:val="24"/>
          <w:szCs w:val="24"/>
          <w:lang w:val="en-US"/>
        </w:rPr>
        <w:t xml:space="preserve">and bribery </w:t>
      </w:r>
      <w:r w:rsidR="006F3D70" w:rsidRPr="008B2F56">
        <w:rPr>
          <w:rFonts w:ascii="Times New Roman" w:hAnsi="Times New Roman" w:cs="Times New Roman"/>
          <w:color w:val="000000" w:themeColor="text1"/>
          <w:sz w:val="24"/>
          <w:szCs w:val="24"/>
          <w:lang w:val="en-US"/>
        </w:rPr>
        <w:t>must</w:t>
      </w:r>
      <w:r w:rsidR="00F61964" w:rsidRPr="008B2F56">
        <w:rPr>
          <w:rFonts w:ascii="Times New Roman" w:hAnsi="Times New Roman" w:cs="Times New Roman"/>
          <w:color w:val="000000" w:themeColor="text1"/>
          <w:sz w:val="24"/>
          <w:szCs w:val="24"/>
          <w:lang w:val="en-US"/>
        </w:rPr>
        <w:t xml:space="preserve"> be “substantially reduced”</w:t>
      </w:r>
      <w:r w:rsidR="006F3D70" w:rsidRPr="008B2F56">
        <w:rPr>
          <w:rFonts w:ascii="Times New Roman" w:hAnsi="Times New Roman" w:cs="Times New Roman"/>
          <w:color w:val="000000" w:themeColor="text1"/>
          <w:sz w:val="24"/>
          <w:szCs w:val="24"/>
          <w:lang w:val="en-US"/>
        </w:rPr>
        <w:t xml:space="preserve"> in order to meet </w:t>
      </w:r>
      <w:r w:rsidR="00D53E4D" w:rsidRPr="008B2F56">
        <w:rPr>
          <w:rFonts w:ascii="Times New Roman" w:hAnsi="Times New Roman" w:cs="Times New Roman"/>
          <w:color w:val="000000" w:themeColor="text1"/>
          <w:sz w:val="24"/>
          <w:szCs w:val="24"/>
          <w:lang w:val="en-US"/>
        </w:rPr>
        <w:t>SDG 16</w:t>
      </w:r>
      <w:r w:rsidR="00516699" w:rsidRPr="008B2F56">
        <w:rPr>
          <w:rFonts w:ascii="Times New Roman" w:hAnsi="Times New Roman" w:cs="Times New Roman"/>
          <w:color w:val="000000" w:themeColor="text1"/>
          <w:sz w:val="24"/>
          <w:szCs w:val="24"/>
          <w:lang w:val="en-US"/>
        </w:rPr>
        <w:t xml:space="preserve"> </w:t>
      </w:r>
      <w:r w:rsidRPr="008B2F56">
        <w:rPr>
          <w:rFonts w:ascii="Times New Roman" w:hAnsi="Times New Roman" w:cs="Times New Roman"/>
          <w:color w:val="000000" w:themeColor="text1"/>
          <w:sz w:val="24"/>
          <w:szCs w:val="24"/>
          <w:lang w:val="en-US"/>
        </w:rPr>
        <w:t>(SDG target 16.5)</w:t>
      </w:r>
      <w:r w:rsidR="006F3D70" w:rsidRPr="008B2F56">
        <w:rPr>
          <w:rFonts w:ascii="Times New Roman" w:hAnsi="Times New Roman" w:cs="Times New Roman"/>
          <w:color w:val="000000" w:themeColor="text1"/>
          <w:sz w:val="24"/>
          <w:szCs w:val="24"/>
          <w:lang w:val="en-US"/>
        </w:rPr>
        <w:t>.</w:t>
      </w:r>
      <w:r w:rsidR="00F61964" w:rsidRPr="008B2F56">
        <w:rPr>
          <w:rFonts w:ascii="Times New Roman" w:hAnsi="Times New Roman" w:cs="Times New Roman"/>
          <w:color w:val="000000" w:themeColor="text1"/>
          <w:sz w:val="24"/>
          <w:szCs w:val="24"/>
          <w:lang w:val="en-US"/>
        </w:rPr>
        <w:t xml:space="preserve"> </w:t>
      </w:r>
      <w:r w:rsidR="0072257F" w:rsidRPr="008B2F56">
        <w:rPr>
          <w:rFonts w:ascii="Times New Roman" w:hAnsi="Times New Roman" w:cs="Times New Roman"/>
          <w:color w:val="000000" w:themeColor="text1"/>
          <w:sz w:val="24"/>
          <w:szCs w:val="24"/>
          <w:lang w:val="en-US"/>
        </w:rPr>
        <w:t>While the Declaration on the Right to Development</w:t>
      </w:r>
      <w:r w:rsidRPr="008B2F56">
        <w:rPr>
          <w:rFonts w:ascii="Times New Roman" w:hAnsi="Times New Roman" w:cs="Times New Roman"/>
          <w:color w:val="000000" w:themeColor="text1"/>
          <w:sz w:val="24"/>
          <w:szCs w:val="24"/>
          <w:lang w:val="en-US"/>
        </w:rPr>
        <w:t xml:space="preserve"> does not contain any reference</w:t>
      </w:r>
      <w:r w:rsidR="00516699" w:rsidRPr="008B2F56">
        <w:rPr>
          <w:rFonts w:ascii="Times New Roman" w:hAnsi="Times New Roman" w:cs="Times New Roman"/>
          <w:color w:val="000000" w:themeColor="text1"/>
          <w:sz w:val="24"/>
          <w:szCs w:val="24"/>
          <w:lang w:val="en-US"/>
        </w:rPr>
        <w:t>s</w:t>
      </w:r>
      <w:r w:rsidR="0072257F" w:rsidRPr="008B2F56">
        <w:rPr>
          <w:rFonts w:ascii="Times New Roman" w:hAnsi="Times New Roman" w:cs="Times New Roman"/>
          <w:color w:val="000000" w:themeColor="text1"/>
          <w:sz w:val="24"/>
          <w:szCs w:val="24"/>
          <w:lang w:val="en-US"/>
        </w:rPr>
        <w:t xml:space="preserve"> to corruption, the</w:t>
      </w:r>
      <w:r w:rsidR="00156333" w:rsidRPr="008B2F56">
        <w:rPr>
          <w:rFonts w:ascii="Times New Roman" w:hAnsi="Times New Roman" w:cs="Times New Roman"/>
          <w:color w:val="000000" w:themeColor="text1"/>
          <w:sz w:val="24"/>
          <w:szCs w:val="24"/>
          <w:lang w:val="en-US"/>
        </w:rPr>
        <w:t xml:space="preserve"> </w:t>
      </w:r>
      <w:r w:rsidR="0072257F" w:rsidRPr="008B2F56">
        <w:rPr>
          <w:rFonts w:ascii="Times New Roman" w:hAnsi="Times New Roman" w:cs="Times New Roman"/>
          <w:color w:val="000000" w:themeColor="text1"/>
          <w:sz w:val="24"/>
          <w:szCs w:val="24"/>
          <w:lang w:val="en-US"/>
        </w:rPr>
        <w:t>UN General Assembly</w:t>
      </w:r>
      <w:r w:rsidR="00156333" w:rsidRPr="008B2F56">
        <w:rPr>
          <w:rFonts w:ascii="Times New Roman" w:hAnsi="Times New Roman" w:cs="Times New Roman"/>
          <w:color w:val="000000" w:themeColor="text1"/>
          <w:sz w:val="24"/>
          <w:szCs w:val="24"/>
          <w:lang w:val="en-US"/>
        </w:rPr>
        <w:t>’s</w:t>
      </w:r>
      <w:r w:rsidR="0072257F" w:rsidRPr="008B2F56">
        <w:rPr>
          <w:rFonts w:ascii="Times New Roman" w:hAnsi="Times New Roman" w:cs="Times New Roman"/>
          <w:color w:val="000000" w:themeColor="text1"/>
          <w:sz w:val="24"/>
          <w:szCs w:val="24"/>
          <w:lang w:val="en-US"/>
        </w:rPr>
        <w:t xml:space="preserve"> resolution </w:t>
      </w:r>
      <w:r w:rsidR="00156333" w:rsidRPr="008B2F56">
        <w:rPr>
          <w:rFonts w:ascii="Times New Roman" w:hAnsi="Times New Roman" w:cs="Times New Roman"/>
          <w:color w:val="000000" w:themeColor="text1"/>
          <w:sz w:val="24"/>
          <w:szCs w:val="24"/>
          <w:lang w:val="en-US"/>
        </w:rPr>
        <w:t xml:space="preserve">on the </w:t>
      </w:r>
      <w:r w:rsidR="00640C2E" w:rsidRPr="008B2F56">
        <w:rPr>
          <w:rFonts w:ascii="Times New Roman" w:hAnsi="Times New Roman" w:cs="Times New Roman"/>
          <w:color w:val="000000" w:themeColor="text1"/>
          <w:sz w:val="24"/>
          <w:szCs w:val="24"/>
          <w:lang w:val="en-US"/>
        </w:rPr>
        <w:t>RtD</w:t>
      </w:r>
      <w:r w:rsidR="00156333" w:rsidRPr="008B2F56">
        <w:rPr>
          <w:rFonts w:ascii="Times New Roman" w:hAnsi="Times New Roman" w:cs="Times New Roman"/>
          <w:color w:val="000000" w:themeColor="text1"/>
          <w:sz w:val="24"/>
          <w:szCs w:val="24"/>
          <w:lang w:val="en-US"/>
        </w:rPr>
        <w:t xml:space="preserve"> of 2017 emphasizes “</w:t>
      </w:r>
      <w:r w:rsidR="006F3D70" w:rsidRPr="008B2F56">
        <w:rPr>
          <w:rFonts w:ascii="Times New Roman" w:hAnsi="Times New Roman" w:cs="Times New Roman"/>
          <w:color w:val="000000" w:themeColor="text1"/>
          <w:sz w:val="24"/>
          <w:szCs w:val="24"/>
          <w:lang w:val="en-US"/>
        </w:rPr>
        <w:t>the urgent need to take concrete and effective measures to prevent, combat and criminalize all forms of corruption at all levels</w:t>
      </w:r>
      <w:r w:rsidR="00156333" w:rsidRPr="008B2F56">
        <w:rPr>
          <w:rFonts w:ascii="Times New Roman" w:hAnsi="Times New Roman" w:cs="Times New Roman"/>
          <w:color w:val="000000" w:themeColor="text1"/>
          <w:sz w:val="24"/>
          <w:szCs w:val="24"/>
          <w:lang w:val="en-US"/>
        </w:rPr>
        <w:t>.”</w:t>
      </w:r>
      <w:r w:rsidR="00156333" w:rsidRPr="008B2F56">
        <w:rPr>
          <w:rStyle w:val="FootnoteReference"/>
          <w:rFonts w:ascii="Times New Roman" w:hAnsi="Times New Roman" w:cs="Times New Roman"/>
        </w:rPr>
        <w:footnoteReference w:id="103"/>
      </w:r>
      <w:r w:rsidRPr="008B2F56">
        <w:rPr>
          <w:rFonts w:ascii="Times New Roman" w:hAnsi="Times New Roman" w:cs="Times New Roman"/>
          <w:color w:val="000000" w:themeColor="text1"/>
          <w:sz w:val="24"/>
          <w:szCs w:val="24"/>
          <w:lang w:val="en-US"/>
        </w:rPr>
        <w:t xml:space="preserve"> Hence, efforts to address the responsibility of foreign investors </w:t>
      </w:r>
      <w:r w:rsidR="00516699" w:rsidRPr="008B2F56">
        <w:rPr>
          <w:rFonts w:ascii="Times New Roman" w:hAnsi="Times New Roman" w:cs="Times New Roman"/>
          <w:color w:val="000000" w:themeColor="text1"/>
          <w:sz w:val="24"/>
          <w:szCs w:val="24"/>
          <w:lang w:val="en-US"/>
        </w:rPr>
        <w:t xml:space="preserve">and their home countries </w:t>
      </w:r>
      <w:r w:rsidRPr="008B2F56">
        <w:rPr>
          <w:rFonts w:ascii="Times New Roman" w:hAnsi="Times New Roman" w:cs="Times New Roman"/>
          <w:color w:val="000000" w:themeColor="text1"/>
          <w:sz w:val="24"/>
          <w:szCs w:val="24"/>
          <w:lang w:val="en-US"/>
        </w:rPr>
        <w:t xml:space="preserve">for corruption and bribery in developing countries remains important from the perspectives of sustainable development and the </w:t>
      </w:r>
      <w:r w:rsidR="00D53E4D" w:rsidRPr="008B2F56">
        <w:rPr>
          <w:rFonts w:ascii="Times New Roman" w:hAnsi="Times New Roman" w:cs="Times New Roman"/>
          <w:color w:val="000000" w:themeColor="text1"/>
          <w:sz w:val="24"/>
          <w:szCs w:val="24"/>
          <w:lang w:val="en-US"/>
        </w:rPr>
        <w:t>RtD</w:t>
      </w:r>
      <w:r w:rsidRPr="008B2F56">
        <w:rPr>
          <w:rFonts w:ascii="Times New Roman" w:hAnsi="Times New Roman" w:cs="Times New Roman"/>
          <w:color w:val="000000" w:themeColor="text1"/>
          <w:sz w:val="24"/>
          <w:szCs w:val="24"/>
          <w:lang w:val="en-US"/>
        </w:rPr>
        <w:t>.</w:t>
      </w:r>
      <w:r w:rsidR="000A3B24" w:rsidRPr="008B2F56">
        <w:rPr>
          <w:rFonts w:ascii="Times New Roman" w:hAnsi="Times New Roman" w:cs="Times New Roman"/>
          <w:color w:val="000000" w:themeColor="text1"/>
          <w:sz w:val="24"/>
          <w:szCs w:val="24"/>
          <w:lang w:val="en-US"/>
        </w:rPr>
        <w:t xml:space="preserve"> Some countries have taken significant initiatives to ensure that investors do not engage in corruption in other countries.</w:t>
      </w:r>
      <w:r w:rsidR="000A3B24" w:rsidRPr="008B2F56">
        <w:rPr>
          <w:rStyle w:val="FootnoteReference"/>
          <w:rFonts w:ascii="Times New Roman" w:hAnsi="Times New Roman" w:cs="Times New Roman"/>
          <w:color w:val="000000" w:themeColor="text1"/>
          <w:sz w:val="24"/>
          <w:szCs w:val="24"/>
          <w:lang w:val="en-US"/>
        </w:rPr>
        <w:footnoteReference w:id="104"/>
      </w:r>
    </w:p>
    <w:p w14:paraId="408F54E1" w14:textId="3515CA9B" w:rsidR="004D79D0" w:rsidRPr="008B2F56" w:rsidRDefault="000A1E32"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T</w:t>
      </w:r>
      <w:r w:rsidR="00A91C62" w:rsidRPr="008B2F56">
        <w:rPr>
          <w:rFonts w:ascii="Times New Roman" w:hAnsi="Times New Roman" w:cs="Times New Roman"/>
          <w:color w:val="000000" w:themeColor="text1"/>
          <w:sz w:val="24"/>
          <w:szCs w:val="24"/>
          <w:lang w:val="en-US"/>
        </w:rPr>
        <w:t xml:space="preserve">he </w:t>
      </w:r>
      <w:r w:rsidR="00441B5B" w:rsidRPr="008B2F56">
        <w:rPr>
          <w:rFonts w:ascii="Times New Roman" w:hAnsi="Times New Roman" w:cs="Times New Roman"/>
          <w:color w:val="000000" w:themeColor="text1"/>
          <w:sz w:val="24"/>
          <w:szCs w:val="24"/>
          <w:lang w:val="en-US"/>
        </w:rPr>
        <w:t>UN</w:t>
      </w:r>
      <w:r w:rsidR="00A91C62" w:rsidRPr="008B2F56">
        <w:rPr>
          <w:rFonts w:ascii="Times New Roman" w:hAnsi="Times New Roman" w:cs="Times New Roman"/>
          <w:color w:val="000000" w:themeColor="text1"/>
          <w:sz w:val="24"/>
          <w:szCs w:val="24"/>
          <w:lang w:val="en-US"/>
        </w:rPr>
        <w:t xml:space="preserve"> Convention against Corruption</w:t>
      </w:r>
      <w:r w:rsidR="00516699" w:rsidRPr="008B2F56">
        <w:rPr>
          <w:rFonts w:ascii="Times New Roman" w:hAnsi="Times New Roman" w:cs="Times New Roman"/>
          <w:color w:val="000000" w:themeColor="text1"/>
          <w:sz w:val="24"/>
          <w:szCs w:val="24"/>
          <w:lang w:val="en-US"/>
        </w:rPr>
        <w:t xml:space="preserve"> (2003)</w:t>
      </w:r>
      <w:r w:rsidR="00DA1D01" w:rsidRPr="008B2F56">
        <w:rPr>
          <w:rFonts w:ascii="Times New Roman" w:hAnsi="Times New Roman" w:cs="Times New Roman"/>
          <w:color w:val="000000" w:themeColor="text1"/>
          <w:sz w:val="24"/>
          <w:szCs w:val="24"/>
          <w:lang w:val="en-US"/>
        </w:rPr>
        <w:t xml:space="preserve"> </w:t>
      </w:r>
      <w:r w:rsidR="009017BF" w:rsidRPr="008B2F56">
        <w:rPr>
          <w:rFonts w:ascii="Times New Roman" w:hAnsi="Times New Roman" w:cs="Times New Roman"/>
          <w:color w:val="000000" w:themeColor="text1"/>
          <w:sz w:val="24"/>
          <w:szCs w:val="24"/>
          <w:lang w:val="en-US"/>
        </w:rPr>
        <w:t>has almost universal adherence</w:t>
      </w:r>
      <w:r w:rsidR="00441B5B" w:rsidRPr="008B2F56">
        <w:rPr>
          <w:rFonts w:ascii="Times New Roman" w:hAnsi="Times New Roman" w:cs="Times New Roman"/>
          <w:color w:val="000000" w:themeColor="text1"/>
          <w:sz w:val="24"/>
          <w:szCs w:val="24"/>
          <w:lang w:val="en-US"/>
        </w:rPr>
        <w:t>.</w:t>
      </w:r>
      <w:r w:rsidR="005E6B73" w:rsidRPr="008B2F56">
        <w:rPr>
          <w:rStyle w:val="FootnoteReference"/>
          <w:rFonts w:ascii="Times New Roman" w:hAnsi="Times New Roman" w:cs="Times New Roman"/>
        </w:rPr>
        <w:footnoteReference w:id="105"/>
      </w:r>
      <w:r w:rsidR="006F3D70" w:rsidRPr="008B2F56">
        <w:rPr>
          <w:rFonts w:ascii="Times New Roman" w:hAnsi="Times New Roman" w:cs="Times New Roman"/>
          <w:color w:val="000000" w:themeColor="text1"/>
          <w:sz w:val="24"/>
          <w:szCs w:val="24"/>
          <w:lang w:val="en-US"/>
        </w:rPr>
        <w:t xml:space="preserve"> </w:t>
      </w:r>
      <w:r w:rsidR="00441B5B" w:rsidRPr="008B2F56">
        <w:rPr>
          <w:rFonts w:ascii="Times New Roman" w:hAnsi="Times New Roman" w:cs="Times New Roman"/>
          <w:color w:val="000000" w:themeColor="text1"/>
          <w:sz w:val="24"/>
          <w:szCs w:val="24"/>
          <w:lang w:val="en-US"/>
        </w:rPr>
        <w:t xml:space="preserve">It </w:t>
      </w:r>
      <w:r w:rsidRPr="008B2F56">
        <w:rPr>
          <w:rFonts w:ascii="Times New Roman" w:hAnsi="Times New Roman" w:cs="Times New Roman"/>
          <w:color w:val="000000" w:themeColor="text1"/>
          <w:sz w:val="24"/>
          <w:szCs w:val="24"/>
          <w:lang w:val="en-US"/>
        </w:rPr>
        <w:t xml:space="preserve">sets out rules of particular interest </w:t>
      </w:r>
      <w:r w:rsidR="007B1562" w:rsidRPr="008B2F56">
        <w:rPr>
          <w:rFonts w:ascii="Times New Roman" w:hAnsi="Times New Roman" w:cs="Times New Roman"/>
          <w:color w:val="000000" w:themeColor="text1"/>
          <w:sz w:val="24"/>
          <w:szCs w:val="24"/>
          <w:lang w:val="en-US"/>
        </w:rPr>
        <w:t xml:space="preserve">to FDI </w:t>
      </w:r>
      <w:r w:rsidRPr="008B2F56">
        <w:rPr>
          <w:rFonts w:ascii="Times New Roman" w:hAnsi="Times New Roman" w:cs="Times New Roman"/>
          <w:color w:val="000000" w:themeColor="text1"/>
          <w:sz w:val="24"/>
          <w:szCs w:val="24"/>
          <w:lang w:val="en-US"/>
        </w:rPr>
        <w:t>regarding bribery of foreign officials (art. 16), liability of legal persons (art. 26)</w:t>
      </w:r>
      <w:r w:rsidR="002F3F8F" w:rsidRPr="008B2F56">
        <w:rPr>
          <w:rFonts w:ascii="Times New Roman" w:hAnsi="Times New Roman" w:cs="Times New Roman"/>
          <w:color w:val="000000" w:themeColor="text1"/>
          <w:sz w:val="24"/>
          <w:szCs w:val="24"/>
          <w:lang w:val="en-US"/>
        </w:rPr>
        <w:t>, extent of national jurisdiction (art. 42)</w:t>
      </w:r>
      <w:r w:rsidR="00441B5B" w:rsidRPr="008B2F56">
        <w:rPr>
          <w:rFonts w:ascii="Times New Roman" w:hAnsi="Times New Roman" w:cs="Times New Roman"/>
          <w:color w:val="000000" w:themeColor="text1"/>
          <w:sz w:val="24"/>
          <w:szCs w:val="24"/>
          <w:lang w:val="en-US"/>
        </w:rPr>
        <w:t>,</w:t>
      </w:r>
      <w:r w:rsidRPr="008B2F56">
        <w:rPr>
          <w:rFonts w:ascii="Times New Roman" w:hAnsi="Times New Roman" w:cs="Times New Roman"/>
          <w:color w:val="000000" w:themeColor="text1"/>
          <w:sz w:val="24"/>
          <w:szCs w:val="24"/>
          <w:lang w:val="en-US"/>
        </w:rPr>
        <w:t xml:space="preserve"> </w:t>
      </w:r>
      <w:r w:rsidR="002F3F8F" w:rsidRPr="008B2F56">
        <w:rPr>
          <w:rFonts w:ascii="Times New Roman" w:hAnsi="Times New Roman" w:cs="Times New Roman"/>
          <w:color w:val="000000" w:themeColor="text1"/>
          <w:sz w:val="24"/>
          <w:szCs w:val="24"/>
          <w:lang w:val="en-US"/>
        </w:rPr>
        <w:t xml:space="preserve">international cooperation during prosecution of crimes (part IV), and recovery of assets that have been lost due to corruption (part V). In this context, it should be noted that the UN General Assembly has identified the rules on asset recovery as particularly important in relation to the </w:t>
      </w:r>
      <w:r w:rsidR="007B1562" w:rsidRPr="008B2F56">
        <w:rPr>
          <w:rFonts w:ascii="Times New Roman" w:hAnsi="Times New Roman" w:cs="Times New Roman"/>
          <w:color w:val="000000" w:themeColor="text1"/>
          <w:sz w:val="24"/>
          <w:szCs w:val="24"/>
          <w:lang w:val="en-US"/>
        </w:rPr>
        <w:t>RtD</w:t>
      </w:r>
      <w:r w:rsidR="002F3F8F" w:rsidRPr="008B2F56">
        <w:rPr>
          <w:rFonts w:ascii="Times New Roman" w:hAnsi="Times New Roman" w:cs="Times New Roman"/>
          <w:color w:val="000000" w:themeColor="text1"/>
          <w:sz w:val="24"/>
          <w:szCs w:val="24"/>
          <w:lang w:val="en-US"/>
        </w:rPr>
        <w:t>.</w:t>
      </w:r>
      <w:r w:rsidR="002F3F8F" w:rsidRPr="008B2F56">
        <w:rPr>
          <w:rStyle w:val="FootnoteReference"/>
          <w:rFonts w:ascii="Times New Roman" w:hAnsi="Times New Roman" w:cs="Times New Roman"/>
        </w:rPr>
        <w:footnoteReference w:id="106"/>
      </w:r>
      <w:r w:rsidR="002F3F8F" w:rsidRPr="008B2F56">
        <w:rPr>
          <w:rFonts w:ascii="Times New Roman" w:hAnsi="Times New Roman" w:cs="Times New Roman"/>
          <w:color w:val="000000" w:themeColor="text1"/>
          <w:sz w:val="24"/>
          <w:szCs w:val="24"/>
          <w:lang w:val="en-US"/>
        </w:rPr>
        <w:t xml:space="preserve"> This is a recognition that foreign investors’ home countries ha</w:t>
      </w:r>
      <w:r w:rsidR="000A3B24" w:rsidRPr="008B2F56">
        <w:rPr>
          <w:rFonts w:ascii="Times New Roman" w:hAnsi="Times New Roman" w:cs="Times New Roman"/>
          <w:color w:val="000000" w:themeColor="text1"/>
          <w:sz w:val="24"/>
          <w:szCs w:val="24"/>
          <w:lang w:val="en-US"/>
        </w:rPr>
        <w:t>ve</w:t>
      </w:r>
      <w:r w:rsidR="002F3F8F" w:rsidRPr="008B2F56">
        <w:rPr>
          <w:rFonts w:ascii="Times New Roman" w:hAnsi="Times New Roman" w:cs="Times New Roman"/>
          <w:color w:val="000000" w:themeColor="text1"/>
          <w:sz w:val="24"/>
          <w:szCs w:val="24"/>
          <w:lang w:val="en-US"/>
        </w:rPr>
        <w:t xml:space="preserve"> </w:t>
      </w:r>
      <w:r w:rsidR="00797BA8" w:rsidRPr="008B2F56">
        <w:rPr>
          <w:rFonts w:ascii="Times New Roman" w:hAnsi="Times New Roman" w:cs="Times New Roman"/>
          <w:color w:val="000000" w:themeColor="text1"/>
          <w:sz w:val="24"/>
          <w:szCs w:val="24"/>
          <w:lang w:val="en-US"/>
        </w:rPr>
        <w:t xml:space="preserve">a duty to ensure that benefits achieved by their investors in other countries through </w:t>
      </w:r>
      <w:r w:rsidR="00797BA8" w:rsidRPr="008B2F56">
        <w:rPr>
          <w:rFonts w:ascii="Times New Roman" w:hAnsi="Times New Roman" w:cs="Times New Roman"/>
          <w:color w:val="000000" w:themeColor="text1"/>
          <w:sz w:val="24"/>
          <w:szCs w:val="24"/>
          <w:lang w:val="en-US"/>
        </w:rPr>
        <w:lastRenderedPageBreak/>
        <w:t xml:space="preserve">corruption or bribery are returned to such countries. Such a duty is of particular importance in relation to </w:t>
      </w:r>
      <w:r w:rsidR="00441B5B" w:rsidRPr="008B2F56">
        <w:rPr>
          <w:rFonts w:ascii="Times New Roman" w:hAnsi="Times New Roman" w:cs="Times New Roman"/>
          <w:color w:val="000000" w:themeColor="text1"/>
          <w:sz w:val="24"/>
          <w:szCs w:val="24"/>
          <w:lang w:val="en-US"/>
        </w:rPr>
        <w:t xml:space="preserve">those </w:t>
      </w:r>
      <w:r w:rsidR="00797BA8" w:rsidRPr="008B2F56">
        <w:rPr>
          <w:rFonts w:ascii="Times New Roman" w:hAnsi="Times New Roman" w:cs="Times New Roman"/>
          <w:color w:val="000000" w:themeColor="text1"/>
          <w:sz w:val="24"/>
          <w:szCs w:val="24"/>
          <w:lang w:val="en-US"/>
        </w:rPr>
        <w:t>countries that have limited means to combat corruption.</w:t>
      </w:r>
    </w:p>
    <w:p w14:paraId="597AC0B6" w14:textId="1752EAEF" w:rsidR="00FB018B" w:rsidRPr="008B2F56" w:rsidRDefault="00441B5B"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The OECD </w:t>
      </w:r>
      <w:r w:rsidR="00FB018B" w:rsidRPr="008B2F56">
        <w:rPr>
          <w:rFonts w:ascii="Times New Roman" w:hAnsi="Times New Roman" w:cs="Times New Roman"/>
          <w:color w:val="000000" w:themeColor="text1"/>
          <w:sz w:val="24"/>
          <w:szCs w:val="24"/>
          <w:lang w:val="en-US"/>
        </w:rPr>
        <w:t>and the Council of Europe have elaborated convention</w:t>
      </w:r>
      <w:r w:rsidR="007B1562" w:rsidRPr="008B2F56">
        <w:rPr>
          <w:rFonts w:ascii="Times New Roman" w:hAnsi="Times New Roman" w:cs="Times New Roman"/>
          <w:color w:val="000000" w:themeColor="text1"/>
          <w:sz w:val="24"/>
          <w:szCs w:val="24"/>
          <w:lang w:val="en-US"/>
        </w:rPr>
        <w:t>s</w:t>
      </w:r>
      <w:r w:rsidR="00FB018B" w:rsidRPr="008B2F56">
        <w:rPr>
          <w:rFonts w:ascii="Times New Roman" w:hAnsi="Times New Roman" w:cs="Times New Roman"/>
          <w:color w:val="000000" w:themeColor="text1"/>
          <w:sz w:val="24"/>
          <w:szCs w:val="24"/>
          <w:lang w:val="en-US"/>
        </w:rPr>
        <w:t xml:space="preserve"> of particular interest in terms of home country responsibilities in corruption cases. </w:t>
      </w:r>
      <w:r w:rsidR="007B1562" w:rsidRPr="008B2F56">
        <w:rPr>
          <w:rFonts w:ascii="Times New Roman" w:hAnsi="Times New Roman" w:cs="Times New Roman"/>
          <w:color w:val="000000" w:themeColor="text1"/>
          <w:sz w:val="24"/>
          <w:szCs w:val="24"/>
          <w:lang w:val="en-US"/>
        </w:rPr>
        <w:t>Article 1 of t</w:t>
      </w:r>
      <w:r w:rsidR="00FB018B" w:rsidRPr="008B2F56">
        <w:rPr>
          <w:rFonts w:ascii="Times New Roman" w:hAnsi="Times New Roman" w:cs="Times New Roman"/>
          <w:color w:val="000000" w:themeColor="text1"/>
          <w:sz w:val="24"/>
          <w:szCs w:val="24"/>
          <w:lang w:val="en-US"/>
        </w:rPr>
        <w:t>he OECD Convention on Combating Bribery of Foreign Public Officials in International Business Transactions (1997</w:t>
      </w:r>
      <w:r w:rsidR="007B1562" w:rsidRPr="008B2F56">
        <w:rPr>
          <w:rFonts w:ascii="Times New Roman" w:hAnsi="Times New Roman" w:cs="Times New Roman"/>
          <w:color w:val="000000" w:themeColor="text1"/>
          <w:sz w:val="24"/>
          <w:szCs w:val="24"/>
          <w:lang w:val="en-US"/>
        </w:rPr>
        <w:t>) states that</w:t>
      </w:r>
      <w:r w:rsidR="00FB018B" w:rsidRPr="008B2F56">
        <w:rPr>
          <w:rFonts w:ascii="Times New Roman" w:hAnsi="Times New Roman" w:cs="Times New Roman"/>
          <w:color w:val="000000" w:themeColor="text1"/>
          <w:sz w:val="24"/>
          <w:szCs w:val="24"/>
          <w:lang w:val="en-US"/>
        </w:rPr>
        <w:t xml:space="preserve">: </w:t>
      </w:r>
    </w:p>
    <w:p w14:paraId="67A15838" w14:textId="1209368F" w:rsidR="00FB018B" w:rsidRPr="008B2F56" w:rsidRDefault="00FB018B" w:rsidP="008D76EF">
      <w:pPr>
        <w:spacing w:before="160" w:after="160"/>
        <w:ind w:left="72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Each Party shall take such measures as may be necessary to establish that it is a criminal offence under its law for any person intentionally to offer, promise or give any undue pecuniary or other advantage, whether directly or through intermediaries, to a foreign public official, for that official or for a third party, in order that the official act or refrain from acting in relation to the performance of official duties, in order to obtain or retain business or other improper advantage in the conduct of international business.</w:t>
      </w:r>
    </w:p>
    <w:p w14:paraId="59BB474A" w14:textId="04298506" w:rsidR="00FB018B" w:rsidRPr="008B2F56" w:rsidRDefault="00FB018B"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With important reservations, this duty extend</w:t>
      </w:r>
      <w:r w:rsidR="007B1562" w:rsidRPr="008B2F56">
        <w:rPr>
          <w:rFonts w:ascii="Times New Roman" w:hAnsi="Times New Roman" w:cs="Times New Roman"/>
          <w:color w:val="000000" w:themeColor="text1"/>
          <w:sz w:val="24"/>
          <w:szCs w:val="24"/>
          <w:lang w:val="en-US"/>
        </w:rPr>
        <w:t>s</w:t>
      </w:r>
      <w:r w:rsidRPr="008B2F56">
        <w:rPr>
          <w:rFonts w:ascii="Times New Roman" w:hAnsi="Times New Roman" w:cs="Times New Roman"/>
          <w:color w:val="000000" w:themeColor="text1"/>
          <w:sz w:val="24"/>
          <w:szCs w:val="24"/>
          <w:lang w:val="en-US"/>
        </w:rPr>
        <w:t xml:space="preserve"> to “legal persons” (art. 2). Under this Convention, data is collected on the e</w:t>
      </w:r>
      <w:r w:rsidR="005C729D" w:rsidRPr="008B2F56">
        <w:rPr>
          <w:rFonts w:ascii="Times New Roman" w:hAnsi="Times New Roman" w:cs="Times New Roman"/>
          <w:color w:val="000000" w:themeColor="text1"/>
          <w:sz w:val="24"/>
          <w:szCs w:val="24"/>
          <w:lang w:val="en-US"/>
        </w:rPr>
        <w:t>xtent to which the parties (all OECD countries and eight other countries) prosecute cases of bribery of foreign public officials. By the end of 2017, almost half of the parties had not reported any relevant cases</w:t>
      </w:r>
      <w:r w:rsidR="007B1562" w:rsidRPr="008B2F56">
        <w:rPr>
          <w:rFonts w:ascii="Times New Roman" w:hAnsi="Times New Roman" w:cs="Times New Roman"/>
          <w:color w:val="000000" w:themeColor="text1"/>
          <w:sz w:val="24"/>
          <w:szCs w:val="24"/>
          <w:lang w:val="en-US"/>
        </w:rPr>
        <w:t xml:space="preserve">. </w:t>
      </w:r>
      <w:r w:rsidR="009D2002" w:rsidRPr="008B2F56">
        <w:rPr>
          <w:rFonts w:ascii="Times New Roman" w:hAnsi="Times New Roman" w:cs="Times New Roman"/>
          <w:color w:val="000000" w:themeColor="text1"/>
          <w:sz w:val="24"/>
          <w:szCs w:val="24"/>
          <w:lang w:val="en-US"/>
        </w:rPr>
        <w:t xml:space="preserve">Germany and the USA alone had prosecuted approximately 74 per cent of </w:t>
      </w:r>
      <w:r w:rsidR="005C729D" w:rsidRPr="008B2F56">
        <w:rPr>
          <w:rFonts w:ascii="Times New Roman" w:hAnsi="Times New Roman" w:cs="Times New Roman"/>
          <w:color w:val="000000" w:themeColor="text1"/>
          <w:sz w:val="24"/>
          <w:szCs w:val="24"/>
          <w:lang w:val="en-US"/>
        </w:rPr>
        <w:t xml:space="preserve">the 560 individuals and 184 legal persons that </w:t>
      </w:r>
      <w:r w:rsidR="007B1562" w:rsidRPr="008B2F56">
        <w:rPr>
          <w:rFonts w:ascii="Times New Roman" w:hAnsi="Times New Roman" w:cs="Times New Roman"/>
          <w:color w:val="000000" w:themeColor="text1"/>
          <w:sz w:val="24"/>
          <w:szCs w:val="24"/>
          <w:lang w:val="en-US"/>
        </w:rPr>
        <w:t xml:space="preserve">reportedly </w:t>
      </w:r>
      <w:r w:rsidR="005C729D" w:rsidRPr="008B2F56">
        <w:rPr>
          <w:rFonts w:ascii="Times New Roman" w:hAnsi="Times New Roman" w:cs="Times New Roman"/>
          <w:color w:val="000000" w:themeColor="text1"/>
          <w:sz w:val="24"/>
          <w:szCs w:val="24"/>
          <w:lang w:val="en-US"/>
        </w:rPr>
        <w:t>had received criminal sanctions for foreign bribery.</w:t>
      </w:r>
      <w:r w:rsidR="005C729D" w:rsidRPr="008B2F56">
        <w:rPr>
          <w:rStyle w:val="FootnoteReference"/>
          <w:rFonts w:ascii="Times New Roman" w:hAnsi="Times New Roman" w:cs="Times New Roman"/>
        </w:rPr>
        <w:footnoteReference w:id="107"/>
      </w:r>
      <w:r w:rsidR="005C729D" w:rsidRPr="008B2F56">
        <w:rPr>
          <w:rFonts w:ascii="Times New Roman" w:hAnsi="Times New Roman" w:cs="Times New Roman"/>
          <w:color w:val="000000" w:themeColor="text1"/>
          <w:sz w:val="24"/>
          <w:szCs w:val="24"/>
          <w:lang w:val="en-US"/>
        </w:rPr>
        <w:t xml:space="preserve"> </w:t>
      </w:r>
      <w:r w:rsidR="00CF348D" w:rsidRPr="008B2F56">
        <w:rPr>
          <w:rFonts w:ascii="Times New Roman" w:hAnsi="Times New Roman" w:cs="Times New Roman"/>
          <w:color w:val="000000" w:themeColor="text1"/>
          <w:sz w:val="24"/>
          <w:szCs w:val="24"/>
          <w:lang w:val="en-US"/>
        </w:rPr>
        <w:t>Moreover, two other countries</w:t>
      </w:r>
      <w:r w:rsidR="009D2002" w:rsidRPr="008B2F56">
        <w:rPr>
          <w:rFonts w:ascii="Times New Roman" w:hAnsi="Times New Roman" w:cs="Times New Roman"/>
          <w:color w:val="000000" w:themeColor="text1"/>
          <w:sz w:val="24"/>
          <w:szCs w:val="24"/>
          <w:lang w:val="en-US"/>
        </w:rPr>
        <w:t>, Belgium and Finland,</w:t>
      </w:r>
      <w:r w:rsidR="00CF348D" w:rsidRPr="008B2F56">
        <w:rPr>
          <w:rFonts w:ascii="Times New Roman" w:hAnsi="Times New Roman" w:cs="Times New Roman"/>
          <w:color w:val="000000" w:themeColor="text1"/>
          <w:sz w:val="24"/>
          <w:szCs w:val="24"/>
          <w:lang w:val="en-US"/>
        </w:rPr>
        <w:t xml:space="preserve"> have a surprisingly high share of acquittals</w:t>
      </w:r>
      <w:r w:rsidR="009D2002" w:rsidRPr="008B2F56">
        <w:rPr>
          <w:rFonts w:ascii="Times New Roman" w:hAnsi="Times New Roman" w:cs="Times New Roman"/>
          <w:color w:val="000000" w:themeColor="text1"/>
          <w:sz w:val="24"/>
          <w:szCs w:val="24"/>
          <w:lang w:val="en-US"/>
        </w:rPr>
        <w:t>.</w:t>
      </w:r>
      <w:r w:rsidR="00CF348D" w:rsidRPr="008B2F56">
        <w:rPr>
          <w:rStyle w:val="FootnoteReference"/>
          <w:rFonts w:ascii="Times New Roman" w:hAnsi="Times New Roman" w:cs="Times New Roman"/>
        </w:rPr>
        <w:footnoteReference w:id="108"/>
      </w:r>
      <w:r w:rsidR="007B1562" w:rsidRPr="008B2F56">
        <w:rPr>
          <w:rFonts w:ascii="Times New Roman" w:hAnsi="Times New Roman" w:cs="Times New Roman"/>
          <w:color w:val="000000" w:themeColor="text1"/>
          <w:sz w:val="24"/>
          <w:szCs w:val="24"/>
          <w:lang w:val="en-US"/>
        </w:rPr>
        <w:t xml:space="preserve"> </w:t>
      </w:r>
      <w:r w:rsidR="005C729D" w:rsidRPr="008B2F56">
        <w:rPr>
          <w:rFonts w:ascii="Times New Roman" w:hAnsi="Times New Roman" w:cs="Times New Roman"/>
          <w:color w:val="000000" w:themeColor="text1"/>
          <w:sz w:val="24"/>
          <w:szCs w:val="24"/>
          <w:lang w:val="en-US"/>
        </w:rPr>
        <w:t>These are clear signs that the</w:t>
      </w:r>
      <w:r w:rsidR="009D2002" w:rsidRPr="008B2F56">
        <w:rPr>
          <w:rFonts w:ascii="Times New Roman" w:hAnsi="Times New Roman" w:cs="Times New Roman"/>
          <w:color w:val="000000" w:themeColor="text1"/>
          <w:sz w:val="24"/>
          <w:szCs w:val="24"/>
          <w:lang w:val="en-US"/>
        </w:rPr>
        <w:t xml:space="preserve"> implementation of the</w:t>
      </w:r>
      <w:r w:rsidR="005C729D" w:rsidRPr="008B2F56">
        <w:rPr>
          <w:rFonts w:ascii="Times New Roman" w:hAnsi="Times New Roman" w:cs="Times New Roman"/>
          <w:color w:val="000000" w:themeColor="text1"/>
          <w:sz w:val="24"/>
          <w:szCs w:val="24"/>
          <w:lang w:val="en-US"/>
        </w:rPr>
        <w:t xml:space="preserve"> Convention </w:t>
      </w:r>
      <w:r w:rsidR="009D2002" w:rsidRPr="008B2F56">
        <w:rPr>
          <w:rFonts w:ascii="Times New Roman" w:hAnsi="Times New Roman" w:cs="Times New Roman"/>
          <w:color w:val="000000" w:themeColor="text1"/>
          <w:sz w:val="24"/>
          <w:szCs w:val="24"/>
          <w:lang w:val="en-US"/>
        </w:rPr>
        <w:t xml:space="preserve">varies significantly among parties </w:t>
      </w:r>
      <w:r w:rsidR="007B1562" w:rsidRPr="008B2F56">
        <w:rPr>
          <w:rFonts w:ascii="Times New Roman" w:hAnsi="Times New Roman" w:cs="Times New Roman"/>
          <w:color w:val="000000" w:themeColor="text1"/>
          <w:sz w:val="24"/>
          <w:szCs w:val="24"/>
          <w:lang w:val="en-US"/>
        </w:rPr>
        <w:t xml:space="preserve">despite </w:t>
      </w:r>
      <w:r w:rsidR="009D2002" w:rsidRPr="008B2F56">
        <w:rPr>
          <w:rFonts w:ascii="Times New Roman" w:hAnsi="Times New Roman" w:cs="Times New Roman"/>
          <w:color w:val="000000" w:themeColor="text1"/>
          <w:sz w:val="24"/>
          <w:szCs w:val="24"/>
          <w:lang w:val="en-US"/>
        </w:rPr>
        <w:t>the fact that it has</w:t>
      </w:r>
      <w:r w:rsidR="007B1562" w:rsidRPr="008B2F56">
        <w:rPr>
          <w:rFonts w:ascii="Times New Roman" w:hAnsi="Times New Roman" w:cs="Times New Roman"/>
          <w:color w:val="000000" w:themeColor="text1"/>
          <w:sz w:val="24"/>
          <w:szCs w:val="24"/>
          <w:lang w:val="en-US"/>
        </w:rPr>
        <w:t xml:space="preserve"> been in force for two decades</w:t>
      </w:r>
      <w:r w:rsidR="005C729D" w:rsidRPr="008B2F56">
        <w:rPr>
          <w:rFonts w:ascii="Times New Roman" w:hAnsi="Times New Roman" w:cs="Times New Roman"/>
          <w:color w:val="000000" w:themeColor="text1"/>
          <w:sz w:val="24"/>
          <w:szCs w:val="24"/>
          <w:lang w:val="en-US"/>
        </w:rPr>
        <w:t xml:space="preserve">. </w:t>
      </w:r>
    </w:p>
    <w:p w14:paraId="2645EF6A" w14:textId="5B221A4A" w:rsidR="008C7013" w:rsidRPr="008B2F56" w:rsidRDefault="007B1562"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T</w:t>
      </w:r>
      <w:r w:rsidR="008C7013" w:rsidRPr="008B2F56">
        <w:rPr>
          <w:rFonts w:ascii="Times New Roman" w:hAnsi="Times New Roman" w:cs="Times New Roman"/>
          <w:color w:val="000000" w:themeColor="text1"/>
          <w:sz w:val="24"/>
          <w:szCs w:val="24"/>
          <w:lang w:val="en-US"/>
        </w:rPr>
        <w:t>he Council of Europe has adopted several convention relating to transborder corruption, including in particular the Criminal Law Convention on Corruption (1999) with an Additional Protocol and the Civil Law Convention on Corruption (1999). Based on these two conventions, members of the Council of Europe have formed a Group of States against Corruption (GRECO</w:t>
      </w:r>
      <w:r w:rsidRPr="008B2F56">
        <w:rPr>
          <w:rFonts w:ascii="Times New Roman" w:hAnsi="Times New Roman" w:cs="Times New Roman"/>
          <w:color w:val="000000" w:themeColor="text1"/>
          <w:sz w:val="24"/>
          <w:szCs w:val="24"/>
          <w:lang w:val="en-US"/>
        </w:rPr>
        <w:t>) with</w:t>
      </w:r>
      <w:r w:rsidR="00032E24" w:rsidRPr="008B2F56">
        <w:rPr>
          <w:rFonts w:ascii="Times New Roman" w:hAnsi="Times New Roman" w:cs="Times New Roman"/>
          <w:color w:val="000000" w:themeColor="text1"/>
          <w:sz w:val="24"/>
          <w:szCs w:val="24"/>
          <w:lang w:val="en-US"/>
        </w:rPr>
        <w:t xml:space="preserve"> 49 member states</w:t>
      </w:r>
      <w:r w:rsidR="008C7013" w:rsidRPr="008B2F56">
        <w:rPr>
          <w:rFonts w:ascii="Times New Roman" w:hAnsi="Times New Roman" w:cs="Times New Roman"/>
          <w:color w:val="000000" w:themeColor="text1"/>
          <w:sz w:val="24"/>
          <w:szCs w:val="24"/>
          <w:lang w:val="en-US"/>
        </w:rPr>
        <w:t>.</w:t>
      </w:r>
      <w:r w:rsidR="008C7013" w:rsidRPr="008B2F56">
        <w:rPr>
          <w:rStyle w:val="FootnoteReference"/>
          <w:rFonts w:ascii="Times New Roman" w:hAnsi="Times New Roman" w:cs="Times New Roman"/>
        </w:rPr>
        <w:footnoteReference w:id="109"/>
      </w:r>
      <w:r w:rsidR="005C018E" w:rsidRPr="008B2F56">
        <w:rPr>
          <w:rFonts w:ascii="Times New Roman" w:hAnsi="Times New Roman" w:cs="Times New Roman"/>
          <w:color w:val="000000" w:themeColor="text1"/>
          <w:sz w:val="24"/>
          <w:szCs w:val="24"/>
          <w:lang w:val="en-US"/>
        </w:rPr>
        <w:t xml:space="preserve"> </w:t>
      </w:r>
      <w:r w:rsidRPr="008B2F56">
        <w:rPr>
          <w:rFonts w:ascii="Times New Roman" w:hAnsi="Times New Roman" w:cs="Times New Roman"/>
          <w:color w:val="000000" w:themeColor="text1"/>
          <w:sz w:val="24"/>
          <w:szCs w:val="24"/>
          <w:lang w:val="en-US"/>
        </w:rPr>
        <w:t>N</w:t>
      </w:r>
      <w:r w:rsidR="005C018E" w:rsidRPr="008B2F56">
        <w:rPr>
          <w:rFonts w:ascii="Times New Roman" w:hAnsi="Times New Roman" w:cs="Times New Roman"/>
          <w:color w:val="000000" w:themeColor="text1"/>
          <w:sz w:val="24"/>
          <w:szCs w:val="24"/>
          <w:lang w:val="en-US"/>
        </w:rPr>
        <w:t>ot all members of GRECO have ratified the two conventions</w:t>
      </w:r>
      <w:r w:rsidR="00A55610" w:rsidRPr="008B2F56">
        <w:rPr>
          <w:rFonts w:ascii="Times New Roman" w:hAnsi="Times New Roman" w:cs="Times New Roman"/>
          <w:color w:val="000000" w:themeColor="text1"/>
          <w:sz w:val="24"/>
          <w:szCs w:val="24"/>
          <w:lang w:val="en-US"/>
        </w:rPr>
        <w:t>.</w:t>
      </w:r>
      <w:r w:rsidR="005C018E" w:rsidRPr="008B2F56">
        <w:rPr>
          <w:rStyle w:val="FootnoteReference"/>
          <w:rFonts w:ascii="Times New Roman" w:hAnsi="Times New Roman" w:cs="Times New Roman"/>
        </w:rPr>
        <w:footnoteReference w:id="110"/>
      </w:r>
      <w:r w:rsidR="005C018E" w:rsidRPr="008B2F56">
        <w:rPr>
          <w:rFonts w:ascii="Times New Roman" w:hAnsi="Times New Roman" w:cs="Times New Roman"/>
          <w:color w:val="000000" w:themeColor="text1"/>
          <w:sz w:val="24"/>
          <w:szCs w:val="24"/>
          <w:lang w:val="en-US"/>
        </w:rPr>
        <w:t xml:space="preserve"> While the Criminal Law Convention overlaps significantly with the OECD Convention, the Civil Law Convention was the first to address issues </w:t>
      </w:r>
      <w:r w:rsidR="001E1B3E" w:rsidRPr="008B2F56">
        <w:rPr>
          <w:rFonts w:ascii="Times New Roman" w:hAnsi="Times New Roman" w:cs="Times New Roman"/>
          <w:color w:val="000000" w:themeColor="text1"/>
          <w:sz w:val="24"/>
          <w:szCs w:val="24"/>
          <w:lang w:val="en-US"/>
        </w:rPr>
        <w:t xml:space="preserve">concerning </w:t>
      </w:r>
      <w:r w:rsidR="005C018E" w:rsidRPr="008B2F56">
        <w:rPr>
          <w:rFonts w:ascii="Times New Roman" w:hAnsi="Times New Roman" w:cs="Times New Roman"/>
          <w:color w:val="000000" w:themeColor="text1"/>
          <w:sz w:val="24"/>
          <w:szCs w:val="24"/>
          <w:lang w:val="en-US"/>
        </w:rPr>
        <w:t>countries’ duties to adopt legislation concerning civil liability for corruption.</w:t>
      </w:r>
    </w:p>
    <w:p w14:paraId="6DDE83FA" w14:textId="12FF31B8" w:rsidR="001E1B3E" w:rsidRPr="008B2F56" w:rsidRDefault="007B1562"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A key question is whether the development of international rules and institutions in the field of corruption has had significant effects for the level of corruption in vulnerable countries. </w:t>
      </w:r>
      <w:r w:rsidR="001E1B3E" w:rsidRPr="008B2F56">
        <w:rPr>
          <w:rFonts w:ascii="Times New Roman" w:hAnsi="Times New Roman" w:cs="Times New Roman"/>
          <w:color w:val="000000" w:themeColor="text1"/>
          <w:sz w:val="24"/>
          <w:szCs w:val="24"/>
          <w:lang w:val="en-US"/>
        </w:rPr>
        <w:t xml:space="preserve">Based on </w:t>
      </w:r>
      <w:r w:rsidR="001E1B3E" w:rsidRPr="008B2F56">
        <w:rPr>
          <w:rFonts w:ascii="Times New Roman" w:hAnsi="Times New Roman" w:cs="Times New Roman"/>
          <w:color w:val="000000" w:themeColor="text1"/>
          <w:sz w:val="24"/>
          <w:szCs w:val="24"/>
          <w:lang w:val="en-US"/>
        </w:rPr>
        <w:lastRenderedPageBreak/>
        <w:t xml:space="preserve">corruption indexes </w:t>
      </w:r>
      <w:r w:rsidR="00D17FBC" w:rsidRPr="008B2F56">
        <w:rPr>
          <w:rFonts w:ascii="Times New Roman" w:hAnsi="Times New Roman" w:cs="Times New Roman"/>
          <w:color w:val="000000" w:themeColor="text1"/>
          <w:sz w:val="24"/>
          <w:szCs w:val="24"/>
          <w:lang w:val="en-US"/>
        </w:rPr>
        <w:t>established as part of Varieties of Democracy (V-Dem),</w:t>
      </w:r>
      <w:r w:rsidR="00D17FBC" w:rsidRPr="008B2F56">
        <w:rPr>
          <w:rStyle w:val="FootnoteReference"/>
          <w:rFonts w:ascii="Times New Roman" w:hAnsi="Times New Roman" w:cs="Times New Roman"/>
        </w:rPr>
        <w:footnoteReference w:id="111"/>
      </w:r>
      <w:r w:rsidR="00D17FBC" w:rsidRPr="008B2F56">
        <w:rPr>
          <w:rFonts w:ascii="Times New Roman" w:hAnsi="Times New Roman" w:cs="Times New Roman"/>
          <w:color w:val="000000" w:themeColor="text1"/>
          <w:sz w:val="24"/>
          <w:szCs w:val="24"/>
          <w:lang w:val="en-US"/>
        </w:rPr>
        <w:t xml:space="preserve"> we can trace how corruption </w:t>
      </w:r>
      <w:r w:rsidRPr="008B2F56">
        <w:rPr>
          <w:rFonts w:ascii="Times New Roman" w:hAnsi="Times New Roman" w:cs="Times New Roman"/>
          <w:color w:val="000000" w:themeColor="text1"/>
          <w:sz w:val="24"/>
          <w:szCs w:val="24"/>
          <w:lang w:val="en-US"/>
        </w:rPr>
        <w:t xml:space="preserve">has </w:t>
      </w:r>
      <w:r w:rsidR="00D17FBC" w:rsidRPr="008B2F56">
        <w:rPr>
          <w:rFonts w:ascii="Times New Roman" w:hAnsi="Times New Roman" w:cs="Times New Roman"/>
          <w:color w:val="000000" w:themeColor="text1"/>
          <w:sz w:val="24"/>
          <w:szCs w:val="24"/>
          <w:lang w:val="en-US"/>
        </w:rPr>
        <w:t>evolve</w:t>
      </w:r>
      <w:r w:rsidRPr="008B2F56">
        <w:rPr>
          <w:rFonts w:ascii="Times New Roman" w:hAnsi="Times New Roman" w:cs="Times New Roman"/>
          <w:color w:val="000000" w:themeColor="text1"/>
          <w:sz w:val="24"/>
          <w:szCs w:val="24"/>
          <w:lang w:val="en-US"/>
        </w:rPr>
        <w:t>d</w:t>
      </w:r>
      <w:r w:rsidR="00D17FBC" w:rsidRPr="008B2F56">
        <w:rPr>
          <w:rFonts w:ascii="Times New Roman" w:hAnsi="Times New Roman" w:cs="Times New Roman"/>
          <w:color w:val="000000" w:themeColor="text1"/>
          <w:sz w:val="24"/>
          <w:szCs w:val="24"/>
          <w:lang w:val="en-US"/>
        </w:rPr>
        <w:t xml:space="preserve"> in groups of countries over time. The most aggregate of these indexes is the Political Corruption Index. In figure </w:t>
      </w:r>
      <w:r w:rsidR="00793F04" w:rsidRPr="008B2F56">
        <w:rPr>
          <w:rFonts w:ascii="Times New Roman" w:hAnsi="Times New Roman" w:cs="Times New Roman"/>
          <w:color w:val="000000" w:themeColor="text1"/>
          <w:sz w:val="24"/>
          <w:szCs w:val="24"/>
          <w:lang w:val="en-US"/>
        </w:rPr>
        <w:t>10</w:t>
      </w:r>
      <w:r w:rsidR="00D17FBC" w:rsidRPr="008B2F56">
        <w:rPr>
          <w:rFonts w:ascii="Times New Roman" w:hAnsi="Times New Roman" w:cs="Times New Roman"/>
          <w:color w:val="000000" w:themeColor="text1"/>
          <w:sz w:val="24"/>
          <w:szCs w:val="24"/>
          <w:lang w:val="en-US"/>
        </w:rPr>
        <w:t xml:space="preserve">, we can see </w:t>
      </w:r>
      <w:r w:rsidR="00B37EC6" w:rsidRPr="008B2F56">
        <w:rPr>
          <w:rFonts w:ascii="Times New Roman" w:hAnsi="Times New Roman" w:cs="Times New Roman"/>
          <w:color w:val="000000" w:themeColor="text1"/>
          <w:sz w:val="24"/>
          <w:szCs w:val="24"/>
          <w:lang w:val="en-US"/>
        </w:rPr>
        <w:t>the trajectory of</w:t>
      </w:r>
      <w:r w:rsidR="00D17FBC" w:rsidRPr="008B2F56">
        <w:rPr>
          <w:rFonts w:ascii="Times New Roman" w:hAnsi="Times New Roman" w:cs="Times New Roman"/>
          <w:color w:val="000000" w:themeColor="text1"/>
          <w:sz w:val="24"/>
          <w:szCs w:val="24"/>
          <w:lang w:val="en-US"/>
        </w:rPr>
        <w:t xml:space="preserve"> the level of corruption in two groups of countries, LDCs and OECD members, since 1970. The data indicate that corruption in LDCs increased until the mid-1990s, and thereafter stabilized, and has fallen significantly since 2012. Corruption in OECD countries has seen a gradual decrease throughout the period</w:t>
      </w:r>
      <w:r w:rsidR="00B37EC6" w:rsidRPr="008B2F56">
        <w:rPr>
          <w:rFonts w:ascii="Times New Roman" w:hAnsi="Times New Roman" w:cs="Times New Roman"/>
          <w:color w:val="000000" w:themeColor="text1"/>
          <w:sz w:val="24"/>
          <w:szCs w:val="24"/>
          <w:lang w:val="en-US"/>
        </w:rPr>
        <w:t xml:space="preserve"> despite starting from a much lower level</w:t>
      </w:r>
      <w:r w:rsidR="00D17FBC" w:rsidRPr="008B2F56">
        <w:rPr>
          <w:rFonts w:ascii="Times New Roman" w:hAnsi="Times New Roman" w:cs="Times New Roman"/>
          <w:color w:val="000000" w:themeColor="text1"/>
          <w:sz w:val="24"/>
          <w:szCs w:val="24"/>
          <w:lang w:val="en-US"/>
        </w:rPr>
        <w:t>.</w:t>
      </w:r>
    </w:p>
    <w:p w14:paraId="452FBDB9" w14:textId="7DDB0942" w:rsidR="00441B5B" w:rsidRPr="008B2F56" w:rsidRDefault="00BA5A41" w:rsidP="008D76EF">
      <w:pPr>
        <w:pStyle w:val="Heading3"/>
        <w:jc w:val="both"/>
        <w:rPr>
          <w:rFonts w:ascii="Times New Roman" w:hAnsi="Times New Roman" w:cs="Times New Roman"/>
          <w:lang w:val="en-US"/>
        </w:rPr>
      </w:pPr>
      <w:r w:rsidRPr="008B2F56">
        <w:rPr>
          <w:rFonts w:ascii="Times New Roman" w:hAnsi="Times New Roman" w:cs="Times New Roman"/>
          <w:lang w:val="en-US"/>
        </w:rPr>
        <w:t xml:space="preserve">Figure </w:t>
      </w:r>
      <w:r w:rsidR="00793F04" w:rsidRPr="008B2F56">
        <w:rPr>
          <w:rFonts w:ascii="Times New Roman" w:hAnsi="Times New Roman" w:cs="Times New Roman"/>
          <w:lang w:val="en-US"/>
        </w:rPr>
        <w:t>10</w:t>
      </w:r>
      <w:r w:rsidRPr="008B2F56">
        <w:rPr>
          <w:rFonts w:ascii="Times New Roman" w:hAnsi="Times New Roman" w:cs="Times New Roman"/>
          <w:lang w:val="en-US"/>
        </w:rPr>
        <w:t>: V-Dem Political Corruption Index</w:t>
      </w:r>
      <w:r w:rsidR="007B4492" w:rsidRPr="008B2F56">
        <w:rPr>
          <w:rFonts w:ascii="Times New Roman" w:hAnsi="Times New Roman" w:cs="Times New Roman"/>
          <w:lang w:val="en-US"/>
        </w:rPr>
        <w:t>, 1970-2017</w:t>
      </w:r>
      <w:r w:rsidRPr="008B2F56">
        <w:rPr>
          <w:rStyle w:val="FootnoteReference"/>
          <w:rFonts w:ascii="Times New Roman" w:hAnsi="Times New Roman" w:cs="Times New Roman"/>
        </w:rPr>
        <w:footnoteReference w:id="112"/>
      </w:r>
    </w:p>
    <w:p w14:paraId="6202216A" w14:textId="1BCBA2B3" w:rsidR="00CA6C9C" w:rsidRPr="008B2F56" w:rsidRDefault="00CA6C9C"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noProof/>
          <w:color w:val="000000" w:themeColor="text1"/>
          <w:sz w:val="24"/>
          <w:szCs w:val="24"/>
          <w:lang w:val="nb-NO" w:eastAsia="nb-NO"/>
        </w:rPr>
        <w:drawing>
          <wp:inline distT="0" distB="0" distL="0" distR="0" wp14:anchorId="1EE72974" wp14:editId="7DF0B59A">
            <wp:extent cx="5701085" cy="1987550"/>
            <wp:effectExtent l="0" t="0" r="13970" b="12700"/>
            <wp:docPr id="11" name="Diagra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D950FFD" w14:textId="4DFE6ECA" w:rsidR="00793F04" w:rsidRPr="008B2F56" w:rsidRDefault="00B37EC6" w:rsidP="008D76EF">
      <w:pPr>
        <w:spacing w:before="160" w:after="160"/>
        <w:jc w:val="both"/>
        <w:rPr>
          <w:rFonts w:ascii="Times New Roman" w:hAnsi="Times New Roman" w:cs="Times New Roman"/>
          <w:sz w:val="24"/>
          <w:szCs w:val="24"/>
          <w:lang w:val="en-US"/>
        </w:rPr>
      </w:pPr>
      <w:r w:rsidRPr="008B2F56">
        <w:rPr>
          <w:rFonts w:ascii="Times New Roman" w:hAnsi="Times New Roman" w:cs="Times New Roman"/>
          <w:sz w:val="24"/>
          <w:szCs w:val="24"/>
          <w:lang w:val="en-US"/>
        </w:rPr>
        <w:t>T</w:t>
      </w:r>
      <w:r w:rsidR="009A6C36" w:rsidRPr="008B2F56">
        <w:rPr>
          <w:rFonts w:ascii="Times New Roman" w:hAnsi="Times New Roman" w:cs="Times New Roman"/>
          <w:sz w:val="24"/>
          <w:szCs w:val="24"/>
          <w:lang w:val="en-US"/>
        </w:rPr>
        <w:t>he t</w:t>
      </w:r>
      <w:r w:rsidR="009F38E1" w:rsidRPr="008B2F56">
        <w:rPr>
          <w:rFonts w:ascii="Times New Roman" w:hAnsi="Times New Roman" w:cs="Times New Roman"/>
          <w:sz w:val="24"/>
          <w:szCs w:val="24"/>
          <w:lang w:val="en-US"/>
        </w:rPr>
        <w:t xml:space="preserve">wo V-Dem indexes </w:t>
      </w:r>
      <w:r w:rsidR="00582214" w:rsidRPr="008B2F56">
        <w:rPr>
          <w:rFonts w:ascii="Times New Roman" w:hAnsi="Times New Roman" w:cs="Times New Roman"/>
          <w:sz w:val="24"/>
          <w:szCs w:val="24"/>
          <w:lang w:val="en-US"/>
        </w:rPr>
        <w:t>for</w:t>
      </w:r>
      <w:r w:rsidR="009F38E1" w:rsidRPr="008B2F56">
        <w:rPr>
          <w:rFonts w:ascii="Times New Roman" w:hAnsi="Times New Roman" w:cs="Times New Roman"/>
          <w:sz w:val="24"/>
          <w:szCs w:val="24"/>
          <w:lang w:val="en-US"/>
        </w:rPr>
        <w:t xml:space="preserve"> </w:t>
      </w:r>
      <w:r w:rsidR="009A6C36" w:rsidRPr="008B2F56">
        <w:rPr>
          <w:rFonts w:ascii="Times New Roman" w:hAnsi="Times New Roman" w:cs="Times New Roman"/>
          <w:sz w:val="24"/>
          <w:szCs w:val="24"/>
          <w:lang w:val="en-US"/>
        </w:rPr>
        <w:t xml:space="preserve">corruption in </w:t>
      </w:r>
      <w:r w:rsidR="009F38E1" w:rsidRPr="008B2F56">
        <w:rPr>
          <w:rFonts w:ascii="Times New Roman" w:hAnsi="Times New Roman" w:cs="Times New Roman"/>
          <w:sz w:val="24"/>
          <w:szCs w:val="24"/>
          <w:lang w:val="en-US"/>
        </w:rPr>
        <w:t xml:space="preserve">the executive branch and </w:t>
      </w:r>
      <w:r w:rsidR="009A6C36" w:rsidRPr="008B2F56">
        <w:rPr>
          <w:rFonts w:ascii="Times New Roman" w:hAnsi="Times New Roman" w:cs="Times New Roman"/>
          <w:sz w:val="24"/>
          <w:szCs w:val="24"/>
          <w:lang w:val="en-US"/>
        </w:rPr>
        <w:t>in the public</w:t>
      </w:r>
      <w:r w:rsidR="009F38E1" w:rsidRPr="008B2F56">
        <w:rPr>
          <w:rFonts w:ascii="Times New Roman" w:hAnsi="Times New Roman" w:cs="Times New Roman"/>
          <w:sz w:val="24"/>
          <w:szCs w:val="24"/>
          <w:lang w:val="en-US"/>
        </w:rPr>
        <w:t xml:space="preserve"> public sector </w:t>
      </w:r>
      <w:r w:rsidRPr="008B2F56">
        <w:rPr>
          <w:rFonts w:ascii="Times New Roman" w:hAnsi="Times New Roman" w:cs="Times New Roman"/>
          <w:sz w:val="24"/>
          <w:szCs w:val="24"/>
          <w:lang w:val="en-US"/>
        </w:rPr>
        <w:t>follow</w:t>
      </w:r>
      <w:r w:rsidR="009F38E1" w:rsidRPr="008B2F56">
        <w:rPr>
          <w:rFonts w:ascii="Times New Roman" w:hAnsi="Times New Roman" w:cs="Times New Roman"/>
          <w:sz w:val="24"/>
          <w:szCs w:val="24"/>
          <w:lang w:val="en-US"/>
        </w:rPr>
        <w:t xml:space="preserve"> very similar patterns. </w:t>
      </w:r>
      <w:r w:rsidR="009A6C36" w:rsidRPr="008B2F56">
        <w:rPr>
          <w:rFonts w:ascii="Times New Roman" w:hAnsi="Times New Roman" w:cs="Times New Roman"/>
          <w:sz w:val="24"/>
          <w:szCs w:val="24"/>
          <w:lang w:val="en-US"/>
        </w:rPr>
        <w:t>Figure 11 shows that the difference</w:t>
      </w:r>
      <w:r w:rsidR="00AC6126" w:rsidRPr="008B2F56">
        <w:rPr>
          <w:rFonts w:ascii="Times New Roman" w:hAnsi="Times New Roman" w:cs="Times New Roman"/>
          <w:sz w:val="24"/>
          <w:szCs w:val="24"/>
          <w:lang w:val="en-US"/>
        </w:rPr>
        <w:t>s</w:t>
      </w:r>
      <w:r w:rsidR="009A6C36" w:rsidRPr="008B2F56">
        <w:rPr>
          <w:rFonts w:ascii="Times New Roman" w:hAnsi="Times New Roman" w:cs="Times New Roman"/>
          <w:sz w:val="24"/>
          <w:szCs w:val="24"/>
          <w:lang w:val="en-US"/>
        </w:rPr>
        <w:t xml:space="preserve"> between the level of corruption in LDCs and OECD countries </w:t>
      </w:r>
      <w:r w:rsidR="00AC6126" w:rsidRPr="008B2F56">
        <w:rPr>
          <w:rFonts w:ascii="Times New Roman" w:hAnsi="Times New Roman" w:cs="Times New Roman"/>
          <w:sz w:val="24"/>
          <w:szCs w:val="24"/>
          <w:lang w:val="en-US"/>
        </w:rPr>
        <w:t>within all</w:t>
      </w:r>
      <w:r w:rsidR="009A6C36" w:rsidRPr="008B2F56">
        <w:rPr>
          <w:rFonts w:ascii="Times New Roman" w:hAnsi="Times New Roman" w:cs="Times New Roman"/>
          <w:sz w:val="24"/>
          <w:szCs w:val="24"/>
          <w:lang w:val="en-US"/>
        </w:rPr>
        <w:t xml:space="preserve"> three categories of corruption</w:t>
      </w:r>
      <w:r w:rsidR="00AC6126" w:rsidRPr="008B2F56">
        <w:rPr>
          <w:rFonts w:ascii="Times New Roman" w:hAnsi="Times New Roman" w:cs="Times New Roman"/>
          <w:sz w:val="24"/>
          <w:szCs w:val="24"/>
          <w:lang w:val="en-US"/>
        </w:rPr>
        <w:t xml:space="preserve"> have</w:t>
      </w:r>
      <w:r w:rsidR="00793F04" w:rsidRPr="008B2F56">
        <w:rPr>
          <w:rFonts w:ascii="Times New Roman" w:hAnsi="Times New Roman" w:cs="Times New Roman"/>
          <w:sz w:val="24"/>
          <w:szCs w:val="24"/>
          <w:lang w:val="en-US"/>
        </w:rPr>
        <w:t xml:space="preserve"> increased significantly during the period</w:t>
      </w:r>
      <w:r w:rsidR="00AC6126" w:rsidRPr="008B2F56">
        <w:rPr>
          <w:rFonts w:ascii="Times New Roman" w:hAnsi="Times New Roman" w:cs="Times New Roman"/>
          <w:sz w:val="24"/>
          <w:szCs w:val="24"/>
          <w:lang w:val="en-US"/>
        </w:rPr>
        <w:t>. E</w:t>
      </w:r>
      <w:r w:rsidR="00374B3D" w:rsidRPr="008B2F56">
        <w:rPr>
          <w:rFonts w:ascii="Times New Roman" w:hAnsi="Times New Roman" w:cs="Times New Roman"/>
          <w:sz w:val="24"/>
          <w:szCs w:val="24"/>
          <w:lang w:val="en-US"/>
        </w:rPr>
        <w:t xml:space="preserve">ven if the differences </w:t>
      </w:r>
      <w:r w:rsidR="00AC6126" w:rsidRPr="008B2F56">
        <w:rPr>
          <w:rFonts w:ascii="Times New Roman" w:hAnsi="Times New Roman" w:cs="Times New Roman"/>
          <w:sz w:val="24"/>
          <w:szCs w:val="24"/>
          <w:lang w:val="en-US"/>
        </w:rPr>
        <w:t>between LDCs and OECD countries became smaller</w:t>
      </w:r>
      <w:r w:rsidR="00374B3D" w:rsidRPr="008B2F56">
        <w:rPr>
          <w:rFonts w:ascii="Times New Roman" w:hAnsi="Times New Roman" w:cs="Times New Roman"/>
          <w:sz w:val="24"/>
          <w:szCs w:val="24"/>
          <w:lang w:val="en-US"/>
        </w:rPr>
        <w:t xml:space="preserve"> in recent years, </w:t>
      </w:r>
      <w:r w:rsidR="00AC6126" w:rsidRPr="008B2F56">
        <w:rPr>
          <w:rFonts w:ascii="Times New Roman" w:hAnsi="Times New Roman" w:cs="Times New Roman"/>
          <w:sz w:val="24"/>
          <w:szCs w:val="24"/>
          <w:lang w:val="en-US"/>
        </w:rPr>
        <w:t>in particular for the executive sector, corruption</w:t>
      </w:r>
      <w:r w:rsidR="009F38E1" w:rsidRPr="008B2F56">
        <w:rPr>
          <w:rFonts w:ascii="Times New Roman" w:hAnsi="Times New Roman" w:cs="Times New Roman"/>
          <w:sz w:val="24"/>
          <w:szCs w:val="24"/>
          <w:lang w:val="en-US"/>
        </w:rPr>
        <w:t xml:space="preserve"> </w:t>
      </w:r>
      <w:r w:rsidR="00374B3D" w:rsidRPr="008B2F56">
        <w:rPr>
          <w:rFonts w:ascii="Times New Roman" w:hAnsi="Times New Roman" w:cs="Times New Roman"/>
          <w:sz w:val="24"/>
          <w:szCs w:val="24"/>
          <w:lang w:val="en-US"/>
        </w:rPr>
        <w:t>remains</w:t>
      </w:r>
      <w:r w:rsidR="009F38E1" w:rsidRPr="008B2F56">
        <w:rPr>
          <w:rFonts w:ascii="Times New Roman" w:hAnsi="Times New Roman" w:cs="Times New Roman"/>
          <w:sz w:val="24"/>
          <w:szCs w:val="24"/>
          <w:lang w:val="en-US"/>
        </w:rPr>
        <w:t xml:space="preserve"> </w:t>
      </w:r>
      <w:r w:rsidR="00AC6126" w:rsidRPr="008B2F56">
        <w:rPr>
          <w:rFonts w:ascii="Times New Roman" w:hAnsi="Times New Roman" w:cs="Times New Roman"/>
          <w:sz w:val="24"/>
          <w:szCs w:val="24"/>
          <w:lang w:val="en-US"/>
        </w:rPr>
        <w:t xml:space="preserve">a much </w:t>
      </w:r>
      <w:r w:rsidR="009F38E1" w:rsidRPr="008B2F56">
        <w:rPr>
          <w:rFonts w:ascii="Times New Roman" w:hAnsi="Times New Roman" w:cs="Times New Roman"/>
          <w:sz w:val="24"/>
          <w:szCs w:val="24"/>
          <w:lang w:val="en-US"/>
        </w:rPr>
        <w:t xml:space="preserve">more severe </w:t>
      </w:r>
      <w:r w:rsidR="00AC6126" w:rsidRPr="008B2F56">
        <w:rPr>
          <w:rFonts w:ascii="Times New Roman" w:hAnsi="Times New Roman" w:cs="Times New Roman"/>
          <w:sz w:val="24"/>
          <w:szCs w:val="24"/>
          <w:lang w:val="en-US"/>
        </w:rPr>
        <w:t xml:space="preserve">problem for </w:t>
      </w:r>
      <w:r w:rsidR="009F38E1" w:rsidRPr="008B2F56">
        <w:rPr>
          <w:rFonts w:ascii="Times New Roman" w:hAnsi="Times New Roman" w:cs="Times New Roman"/>
          <w:sz w:val="24"/>
          <w:szCs w:val="24"/>
          <w:lang w:val="en-US"/>
        </w:rPr>
        <w:t>LDCs</w:t>
      </w:r>
      <w:r w:rsidR="00374B3D" w:rsidRPr="008B2F56">
        <w:rPr>
          <w:rFonts w:ascii="Times New Roman" w:hAnsi="Times New Roman" w:cs="Times New Roman"/>
          <w:sz w:val="24"/>
          <w:szCs w:val="24"/>
          <w:lang w:val="en-US"/>
        </w:rPr>
        <w:t xml:space="preserve"> </w:t>
      </w:r>
      <w:r w:rsidR="00AC6126" w:rsidRPr="008B2F56">
        <w:rPr>
          <w:rFonts w:ascii="Times New Roman" w:hAnsi="Times New Roman" w:cs="Times New Roman"/>
          <w:sz w:val="24"/>
          <w:szCs w:val="24"/>
          <w:lang w:val="en-US"/>
        </w:rPr>
        <w:t xml:space="preserve">when compared to OECD countries than during </w:t>
      </w:r>
      <w:r w:rsidR="00374B3D" w:rsidRPr="008B2F56">
        <w:rPr>
          <w:rFonts w:ascii="Times New Roman" w:hAnsi="Times New Roman" w:cs="Times New Roman"/>
          <w:sz w:val="24"/>
          <w:szCs w:val="24"/>
          <w:lang w:val="en-US"/>
        </w:rPr>
        <w:t xml:space="preserve">the 1970s. </w:t>
      </w:r>
    </w:p>
    <w:p w14:paraId="0BCFBB58" w14:textId="79C6D3B4" w:rsidR="00446EB3" w:rsidRPr="008B2F56" w:rsidRDefault="009E4A8D" w:rsidP="008D76EF">
      <w:pPr>
        <w:pStyle w:val="Heading3"/>
        <w:jc w:val="both"/>
        <w:rPr>
          <w:rFonts w:ascii="Times New Roman" w:hAnsi="Times New Roman" w:cs="Times New Roman"/>
          <w:color w:val="000000" w:themeColor="text1"/>
          <w:lang w:val="en-US"/>
        </w:rPr>
      </w:pPr>
      <w:r w:rsidRPr="008B2F56">
        <w:rPr>
          <w:rFonts w:ascii="Times New Roman" w:hAnsi="Times New Roman" w:cs="Times New Roman"/>
          <w:lang w:val="en-US"/>
        </w:rPr>
        <w:lastRenderedPageBreak/>
        <w:t>Figure 1</w:t>
      </w:r>
      <w:r w:rsidR="00793F04" w:rsidRPr="008B2F56">
        <w:rPr>
          <w:rFonts w:ascii="Times New Roman" w:hAnsi="Times New Roman" w:cs="Times New Roman"/>
          <w:lang w:val="en-US"/>
        </w:rPr>
        <w:t>1</w:t>
      </w:r>
      <w:r w:rsidR="008C6C64" w:rsidRPr="008B2F56">
        <w:rPr>
          <w:rFonts w:ascii="Times New Roman" w:hAnsi="Times New Roman" w:cs="Times New Roman"/>
          <w:lang w:val="en-US"/>
        </w:rPr>
        <w:t>: Difference in level of corruption between LDC</w:t>
      </w:r>
      <w:r w:rsidR="00AC6126" w:rsidRPr="008B2F56">
        <w:rPr>
          <w:rFonts w:ascii="Times New Roman" w:hAnsi="Times New Roman" w:cs="Times New Roman"/>
          <w:lang w:val="en-US"/>
        </w:rPr>
        <w:t>s</w:t>
      </w:r>
      <w:r w:rsidR="008C6C64" w:rsidRPr="008B2F56">
        <w:rPr>
          <w:rFonts w:ascii="Times New Roman" w:hAnsi="Times New Roman" w:cs="Times New Roman"/>
          <w:lang w:val="en-US"/>
        </w:rPr>
        <w:t xml:space="preserve"> and OECD countries</w:t>
      </w:r>
      <w:r w:rsidRPr="008B2F56">
        <w:rPr>
          <w:rFonts w:ascii="Times New Roman" w:hAnsi="Times New Roman" w:cs="Times New Roman"/>
          <w:lang w:val="en-US"/>
        </w:rPr>
        <w:t xml:space="preserve"> </w:t>
      </w:r>
      <w:r w:rsidR="001E1B3E" w:rsidRPr="008B2F56">
        <w:rPr>
          <w:rFonts w:ascii="Times New Roman" w:hAnsi="Times New Roman" w:cs="Times New Roman"/>
          <w:lang w:val="en-US"/>
        </w:rPr>
        <w:t>based on V-Dem indexes for</w:t>
      </w:r>
      <w:r w:rsidRPr="008B2F56">
        <w:rPr>
          <w:rFonts w:ascii="Times New Roman" w:hAnsi="Times New Roman" w:cs="Times New Roman"/>
          <w:lang w:val="en-US"/>
        </w:rPr>
        <w:t xml:space="preserve"> political, executive and public sector corruption</w:t>
      </w:r>
      <w:r w:rsidR="007B4492" w:rsidRPr="008B2F56">
        <w:rPr>
          <w:rFonts w:ascii="Times New Roman" w:hAnsi="Times New Roman" w:cs="Times New Roman"/>
          <w:lang w:val="en-US"/>
        </w:rPr>
        <w:t>, 1970-2017</w:t>
      </w:r>
      <w:r w:rsidRPr="008B2F56">
        <w:rPr>
          <w:rStyle w:val="FootnoteReference"/>
          <w:rFonts w:ascii="Times New Roman" w:hAnsi="Times New Roman" w:cs="Times New Roman"/>
        </w:rPr>
        <w:footnoteReference w:id="113"/>
      </w:r>
    </w:p>
    <w:p w14:paraId="0E7B13D4" w14:textId="76A5BDB3" w:rsidR="00446EB3" w:rsidRPr="008B2F56" w:rsidRDefault="008C6C64"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noProof/>
          <w:color w:val="000000" w:themeColor="text1"/>
          <w:sz w:val="24"/>
          <w:szCs w:val="24"/>
          <w:lang w:val="nb-NO" w:eastAsia="nb-NO"/>
        </w:rPr>
        <w:drawing>
          <wp:inline distT="0" distB="0" distL="0" distR="0" wp14:anchorId="4F6B82E6" wp14:editId="74926768">
            <wp:extent cx="5899868" cy="1693545"/>
            <wp:effectExtent l="0" t="0" r="5715" b="1905"/>
            <wp:docPr id="18" name="Diagra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ACF4B04" w14:textId="77777777" w:rsidR="000E5B45" w:rsidRPr="008B2F56" w:rsidRDefault="00894A5E" w:rsidP="008D76EF">
      <w:pPr>
        <w:spacing w:before="160" w:after="160"/>
        <w:jc w:val="both"/>
        <w:rPr>
          <w:rFonts w:ascii="Times New Roman" w:hAnsi="Times New Roman" w:cs="Times New Roman"/>
          <w:sz w:val="24"/>
          <w:szCs w:val="24"/>
          <w:lang w:val="en-US"/>
        </w:rPr>
      </w:pPr>
      <w:r w:rsidRPr="008B2F56">
        <w:rPr>
          <w:rFonts w:ascii="Times New Roman" w:hAnsi="Times New Roman" w:cs="Times New Roman"/>
          <w:sz w:val="24"/>
          <w:szCs w:val="24"/>
          <w:lang w:val="en-US"/>
        </w:rPr>
        <w:t>These findings</w:t>
      </w:r>
      <w:r w:rsidR="00793F04" w:rsidRPr="008B2F56">
        <w:rPr>
          <w:rFonts w:ascii="Times New Roman" w:hAnsi="Times New Roman" w:cs="Times New Roman"/>
          <w:sz w:val="24"/>
          <w:szCs w:val="24"/>
          <w:lang w:val="en-US"/>
        </w:rPr>
        <w:t xml:space="preserve"> support </w:t>
      </w:r>
      <w:r w:rsidR="004A73C8" w:rsidRPr="008B2F56">
        <w:rPr>
          <w:rFonts w:ascii="Times New Roman" w:hAnsi="Times New Roman" w:cs="Times New Roman"/>
          <w:sz w:val="24"/>
          <w:szCs w:val="24"/>
          <w:lang w:val="en-US"/>
        </w:rPr>
        <w:t>the hypothesis</w:t>
      </w:r>
      <w:r w:rsidR="00793F04" w:rsidRPr="008B2F56">
        <w:rPr>
          <w:rFonts w:ascii="Times New Roman" w:hAnsi="Times New Roman" w:cs="Times New Roman"/>
          <w:sz w:val="24"/>
          <w:szCs w:val="24"/>
          <w:lang w:val="en-US"/>
        </w:rPr>
        <w:t xml:space="preserve"> that </w:t>
      </w:r>
      <w:r w:rsidR="004A73C8" w:rsidRPr="008B2F56">
        <w:rPr>
          <w:rFonts w:ascii="Times New Roman" w:hAnsi="Times New Roman" w:cs="Times New Roman"/>
          <w:sz w:val="24"/>
          <w:szCs w:val="24"/>
          <w:lang w:val="en-US"/>
        </w:rPr>
        <w:t xml:space="preserve">the corruption treaties and </w:t>
      </w:r>
      <w:r w:rsidRPr="008B2F56">
        <w:rPr>
          <w:rFonts w:ascii="Times New Roman" w:hAnsi="Times New Roman" w:cs="Times New Roman"/>
          <w:sz w:val="24"/>
          <w:szCs w:val="24"/>
          <w:lang w:val="en-US"/>
        </w:rPr>
        <w:t xml:space="preserve">their </w:t>
      </w:r>
      <w:r w:rsidR="004A73C8" w:rsidRPr="008B2F56">
        <w:rPr>
          <w:rFonts w:ascii="Times New Roman" w:hAnsi="Times New Roman" w:cs="Times New Roman"/>
          <w:sz w:val="24"/>
          <w:szCs w:val="24"/>
          <w:lang w:val="en-US"/>
        </w:rPr>
        <w:t>associated institutional framework</w:t>
      </w:r>
      <w:r w:rsidR="00F056AA" w:rsidRPr="008B2F56">
        <w:rPr>
          <w:rFonts w:ascii="Times New Roman" w:hAnsi="Times New Roman" w:cs="Times New Roman"/>
          <w:sz w:val="24"/>
          <w:szCs w:val="24"/>
          <w:lang w:val="en-US"/>
        </w:rPr>
        <w:t>, which emerged from the late 1990s,</w:t>
      </w:r>
      <w:r w:rsidR="004A73C8" w:rsidRPr="008B2F56">
        <w:rPr>
          <w:rFonts w:ascii="Times New Roman" w:hAnsi="Times New Roman" w:cs="Times New Roman"/>
          <w:sz w:val="24"/>
          <w:szCs w:val="24"/>
          <w:lang w:val="en-US"/>
        </w:rPr>
        <w:t xml:space="preserve"> have</w:t>
      </w:r>
      <w:r w:rsidR="00793F04" w:rsidRPr="008B2F56">
        <w:rPr>
          <w:rFonts w:ascii="Times New Roman" w:hAnsi="Times New Roman" w:cs="Times New Roman"/>
          <w:sz w:val="24"/>
          <w:szCs w:val="24"/>
          <w:lang w:val="en-US"/>
        </w:rPr>
        <w:t xml:space="preserve"> </w:t>
      </w:r>
      <w:r w:rsidR="00F056AA" w:rsidRPr="008B2F56">
        <w:rPr>
          <w:rFonts w:ascii="Times New Roman" w:hAnsi="Times New Roman" w:cs="Times New Roman"/>
          <w:sz w:val="24"/>
          <w:szCs w:val="24"/>
          <w:lang w:val="en-US"/>
        </w:rPr>
        <w:t>contributed to</w:t>
      </w:r>
      <w:r w:rsidR="00793F04" w:rsidRPr="008B2F56">
        <w:rPr>
          <w:rFonts w:ascii="Times New Roman" w:hAnsi="Times New Roman" w:cs="Times New Roman"/>
          <w:sz w:val="24"/>
          <w:szCs w:val="24"/>
          <w:lang w:val="en-US"/>
        </w:rPr>
        <w:t xml:space="preserve"> </w:t>
      </w:r>
      <w:r w:rsidRPr="008B2F56">
        <w:rPr>
          <w:rFonts w:ascii="Times New Roman" w:hAnsi="Times New Roman" w:cs="Times New Roman"/>
          <w:sz w:val="24"/>
          <w:szCs w:val="24"/>
          <w:lang w:val="en-US"/>
        </w:rPr>
        <w:t xml:space="preserve">gradually reducing the level of corruption </w:t>
      </w:r>
      <w:r w:rsidR="00793F04" w:rsidRPr="008B2F56">
        <w:rPr>
          <w:rFonts w:ascii="Times New Roman" w:hAnsi="Times New Roman" w:cs="Times New Roman"/>
          <w:sz w:val="24"/>
          <w:szCs w:val="24"/>
          <w:lang w:val="en-US"/>
        </w:rPr>
        <w:t xml:space="preserve">in </w:t>
      </w:r>
      <w:r w:rsidR="00AC6126" w:rsidRPr="008B2F56">
        <w:rPr>
          <w:rFonts w:ascii="Times New Roman" w:hAnsi="Times New Roman" w:cs="Times New Roman"/>
          <w:sz w:val="24"/>
          <w:szCs w:val="24"/>
          <w:lang w:val="en-US"/>
        </w:rPr>
        <w:t>OECD countries</w:t>
      </w:r>
      <w:r w:rsidRPr="008B2F56">
        <w:rPr>
          <w:rFonts w:ascii="Times New Roman" w:hAnsi="Times New Roman" w:cs="Times New Roman"/>
          <w:sz w:val="24"/>
          <w:szCs w:val="24"/>
          <w:lang w:val="en-US"/>
        </w:rPr>
        <w:t xml:space="preserve"> from a level that already was much lower than </w:t>
      </w:r>
      <w:r w:rsidR="00F056AA" w:rsidRPr="008B2F56">
        <w:rPr>
          <w:rFonts w:ascii="Times New Roman" w:hAnsi="Times New Roman" w:cs="Times New Roman"/>
          <w:sz w:val="24"/>
          <w:szCs w:val="24"/>
          <w:lang w:val="en-US"/>
        </w:rPr>
        <w:t>for</w:t>
      </w:r>
      <w:r w:rsidRPr="008B2F56">
        <w:rPr>
          <w:rFonts w:ascii="Times New Roman" w:hAnsi="Times New Roman" w:cs="Times New Roman"/>
          <w:sz w:val="24"/>
          <w:szCs w:val="24"/>
          <w:lang w:val="en-US"/>
        </w:rPr>
        <w:t xml:space="preserve"> other countries</w:t>
      </w:r>
      <w:r w:rsidR="00AC6126" w:rsidRPr="008B2F56">
        <w:rPr>
          <w:rFonts w:ascii="Times New Roman" w:hAnsi="Times New Roman" w:cs="Times New Roman"/>
          <w:sz w:val="24"/>
          <w:szCs w:val="24"/>
          <w:lang w:val="en-US"/>
        </w:rPr>
        <w:t xml:space="preserve">. </w:t>
      </w:r>
      <w:r w:rsidRPr="008B2F56">
        <w:rPr>
          <w:rFonts w:ascii="Times New Roman" w:hAnsi="Times New Roman" w:cs="Times New Roman"/>
          <w:sz w:val="24"/>
          <w:szCs w:val="24"/>
          <w:lang w:val="en-US"/>
        </w:rPr>
        <w:t>For LDCs, h</w:t>
      </w:r>
      <w:r w:rsidR="00793F04" w:rsidRPr="008B2F56">
        <w:rPr>
          <w:rFonts w:ascii="Times New Roman" w:hAnsi="Times New Roman" w:cs="Times New Roman"/>
          <w:sz w:val="24"/>
          <w:szCs w:val="24"/>
          <w:lang w:val="en-US"/>
        </w:rPr>
        <w:t xml:space="preserve">owever, </w:t>
      </w:r>
      <w:r w:rsidRPr="008B2F56">
        <w:rPr>
          <w:rFonts w:ascii="Times New Roman" w:hAnsi="Times New Roman" w:cs="Times New Roman"/>
          <w:sz w:val="24"/>
          <w:szCs w:val="24"/>
          <w:lang w:val="en-US"/>
        </w:rPr>
        <w:t xml:space="preserve">the data indicates that the international regime has been </w:t>
      </w:r>
      <w:r w:rsidR="00F056AA" w:rsidRPr="008B2F56">
        <w:rPr>
          <w:rFonts w:ascii="Times New Roman" w:hAnsi="Times New Roman" w:cs="Times New Roman"/>
          <w:sz w:val="24"/>
          <w:szCs w:val="24"/>
          <w:lang w:val="en-US"/>
        </w:rPr>
        <w:t xml:space="preserve">relatively ineffective </w:t>
      </w:r>
      <w:r w:rsidR="000E5B45" w:rsidRPr="008B2F56">
        <w:rPr>
          <w:rFonts w:ascii="Times New Roman" w:hAnsi="Times New Roman" w:cs="Times New Roman"/>
          <w:sz w:val="24"/>
          <w:szCs w:val="24"/>
          <w:lang w:val="en-US"/>
        </w:rPr>
        <w:t xml:space="preserve">in reducing corruption from historically high levels </w:t>
      </w:r>
      <w:r w:rsidR="00F056AA" w:rsidRPr="008B2F56">
        <w:rPr>
          <w:rFonts w:ascii="Times New Roman" w:hAnsi="Times New Roman" w:cs="Times New Roman"/>
          <w:sz w:val="24"/>
          <w:szCs w:val="24"/>
          <w:lang w:val="en-US"/>
        </w:rPr>
        <w:t>until around 2010</w:t>
      </w:r>
      <w:r w:rsidR="000E5B45" w:rsidRPr="008B2F56">
        <w:rPr>
          <w:rFonts w:ascii="Times New Roman" w:hAnsi="Times New Roman" w:cs="Times New Roman"/>
          <w:sz w:val="24"/>
          <w:szCs w:val="24"/>
          <w:lang w:val="en-US"/>
        </w:rPr>
        <w:t xml:space="preserve">. It also indicates that in recent years the international regime has been more effective in combating </w:t>
      </w:r>
      <w:r w:rsidR="00F056AA" w:rsidRPr="008B2F56">
        <w:rPr>
          <w:rFonts w:ascii="Times New Roman" w:hAnsi="Times New Roman" w:cs="Times New Roman"/>
          <w:sz w:val="24"/>
          <w:szCs w:val="24"/>
          <w:lang w:val="en-US"/>
        </w:rPr>
        <w:t xml:space="preserve">corruption in the executive </w:t>
      </w:r>
      <w:r w:rsidR="000E5B45" w:rsidRPr="008B2F56">
        <w:rPr>
          <w:rFonts w:ascii="Times New Roman" w:hAnsi="Times New Roman" w:cs="Times New Roman"/>
          <w:sz w:val="24"/>
          <w:szCs w:val="24"/>
          <w:lang w:val="en-US"/>
        </w:rPr>
        <w:t xml:space="preserve">sector </w:t>
      </w:r>
      <w:r w:rsidR="00F056AA" w:rsidRPr="008B2F56">
        <w:rPr>
          <w:rFonts w:ascii="Times New Roman" w:hAnsi="Times New Roman" w:cs="Times New Roman"/>
          <w:sz w:val="24"/>
          <w:szCs w:val="24"/>
          <w:lang w:val="en-US"/>
        </w:rPr>
        <w:t>than in other public sectors</w:t>
      </w:r>
      <w:r w:rsidR="000E5B45" w:rsidRPr="008B2F56">
        <w:rPr>
          <w:rFonts w:ascii="Times New Roman" w:hAnsi="Times New Roman" w:cs="Times New Roman"/>
          <w:sz w:val="24"/>
          <w:szCs w:val="24"/>
          <w:lang w:val="en-US"/>
        </w:rPr>
        <w:t xml:space="preserve"> of LDCs</w:t>
      </w:r>
      <w:r w:rsidR="00F056AA" w:rsidRPr="008B2F56">
        <w:rPr>
          <w:rFonts w:ascii="Times New Roman" w:hAnsi="Times New Roman" w:cs="Times New Roman"/>
          <w:sz w:val="24"/>
          <w:szCs w:val="24"/>
          <w:lang w:val="en-US"/>
        </w:rPr>
        <w:t xml:space="preserve">. </w:t>
      </w:r>
    </w:p>
    <w:p w14:paraId="38A026ED" w14:textId="378E7E94" w:rsidR="008C6C64" w:rsidRPr="008B2F56" w:rsidRDefault="00E2646C" w:rsidP="008D76EF">
      <w:pPr>
        <w:spacing w:before="160" w:after="160"/>
        <w:jc w:val="both"/>
        <w:rPr>
          <w:rFonts w:ascii="Times New Roman" w:hAnsi="Times New Roman" w:cs="Times New Roman"/>
          <w:sz w:val="24"/>
          <w:szCs w:val="24"/>
          <w:lang w:val="en-US"/>
        </w:rPr>
      </w:pPr>
      <w:r w:rsidRPr="008B2F56">
        <w:rPr>
          <w:rFonts w:ascii="Times New Roman" w:hAnsi="Times New Roman" w:cs="Times New Roman"/>
          <w:sz w:val="24"/>
          <w:szCs w:val="24"/>
          <w:lang w:val="en-US"/>
        </w:rPr>
        <w:t>Another corruption index</w:t>
      </w:r>
      <w:r w:rsidR="000E5B45" w:rsidRPr="008B2F56">
        <w:rPr>
          <w:rFonts w:ascii="Times New Roman" w:hAnsi="Times New Roman" w:cs="Times New Roman"/>
          <w:sz w:val="24"/>
          <w:szCs w:val="24"/>
          <w:lang w:val="en-US"/>
        </w:rPr>
        <w:t>,</w:t>
      </w:r>
      <w:r w:rsidRPr="008B2F56">
        <w:rPr>
          <w:rFonts w:ascii="Times New Roman" w:hAnsi="Times New Roman" w:cs="Times New Roman"/>
          <w:sz w:val="24"/>
          <w:szCs w:val="24"/>
          <w:lang w:val="en-US"/>
        </w:rPr>
        <w:t xml:space="preserve"> which contains sufficiently long time series to be of interest here, is Transp</w:t>
      </w:r>
      <w:r w:rsidR="00686A94" w:rsidRPr="008B2F56">
        <w:rPr>
          <w:rFonts w:ascii="Times New Roman" w:hAnsi="Times New Roman" w:cs="Times New Roman"/>
          <w:sz w:val="24"/>
          <w:szCs w:val="24"/>
          <w:lang w:val="en-US"/>
        </w:rPr>
        <w:t>arency International</w:t>
      </w:r>
      <w:r w:rsidR="000E5B45" w:rsidRPr="008B2F56">
        <w:rPr>
          <w:rFonts w:ascii="Times New Roman" w:hAnsi="Times New Roman" w:cs="Times New Roman"/>
          <w:sz w:val="24"/>
          <w:szCs w:val="24"/>
          <w:lang w:val="en-US"/>
        </w:rPr>
        <w:t>’s perception of corruption index</w:t>
      </w:r>
      <w:r w:rsidR="00686A94" w:rsidRPr="008B2F56">
        <w:rPr>
          <w:rFonts w:ascii="Times New Roman" w:hAnsi="Times New Roman" w:cs="Times New Roman"/>
          <w:sz w:val="24"/>
          <w:szCs w:val="24"/>
          <w:lang w:val="en-US"/>
        </w:rPr>
        <w:t xml:space="preserve">. </w:t>
      </w:r>
      <w:r w:rsidR="000E5B45" w:rsidRPr="008B2F56">
        <w:rPr>
          <w:rFonts w:ascii="Times New Roman" w:hAnsi="Times New Roman" w:cs="Times New Roman"/>
          <w:sz w:val="24"/>
          <w:szCs w:val="24"/>
          <w:lang w:val="en-US"/>
        </w:rPr>
        <w:t>It</w:t>
      </w:r>
      <w:r w:rsidR="00686A94" w:rsidRPr="008B2F56">
        <w:rPr>
          <w:rFonts w:ascii="Times New Roman" w:hAnsi="Times New Roman" w:cs="Times New Roman"/>
          <w:sz w:val="24"/>
          <w:szCs w:val="24"/>
          <w:lang w:val="en-US"/>
        </w:rPr>
        <w:t xml:space="preserve"> </w:t>
      </w:r>
      <w:r w:rsidRPr="008B2F56">
        <w:rPr>
          <w:rFonts w:ascii="Times New Roman" w:hAnsi="Times New Roman" w:cs="Times New Roman"/>
          <w:sz w:val="24"/>
          <w:szCs w:val="24"/>
          <w:lang w:val="en-US"/>
        </w:rPr>
        <w:t>has better data f</w:t>
      </w:r>
      <w:r w:rsidR="00686A94" w:rsidRPr="008B2F56">
        <w:rPr>
          <w:rFonts w:ascii="Times New Roman" w:hAnsi="Times New Roman" w:cs="Times New Roman"/>
          <w:sz w:val="24"/>
          <w:szCs w:val="24"/>
          <w:lang w:val="en-US"/>
        </w:rPr>
        <w:t>or OECD countries than for LDCs,</w:t>
      </w:r>
      <w:r w:rsidRPr="008B2F56">
        <w:rPr>
          <w:rStyle w:val="FootnoteReference"/>
          <w:rFonts w:ascii="Times New Roman" w:hAnsi="Times New Roman" w:cs="Times New Roman"/>
          <w:sz w:val="24"/>
          <w:szCs w:val="24"/>
        </w:rPr>
        <w:footnoteReference w:id="114"/>
      </w:r>
      <w:r w:rsidRPr="008B2F56">
        <w:rPr>
          <w:rFonts w:ascii="Times New Roman" w:hAnsi="Times New Roman" w:cs="Times New Roman"/>
          <w:sz w:val="24"/>
          <w:szCs w:val="24"/>
          <w:lang w:val="en-US"/>
        </w:rPr>
        <w:t xml:space="preserve"> </w:t>
      </w:r>
      <w:r w:rsidR="000E5B45" w:rsidRPr="008B2F56">
        <w:rPr>
          <w:rFonts w:ascii="Times New Roman" w:hAnsi="Times New Roman" w:cs="Times New Roman"/>
          <w:sz w:val="24"/>
          <w:szCs w:val="24"/>
          <w:lang w:val="en-US"/>
        </w:rPr>
        <w:t>but the</w:t>
      </w:r>
      <w:r w:rsidR="00686A94" w:rsidRPr="008B2F56">
        <w:rPr>
          <w:rFonts w:ascii="Times New Roman" w:hAnsi="Times New Roman" w:cs="Times New Roman"/>
          <w:sz w:val="24"/>
          <w:szCs w:val="24"/>
          <w:lang w:val="en-US"/>
        </w:rPr>
        <w:t xml:space="preserve"> data for</w:t>
      </w:r>
      <w:r w:rsidR="00086819" w:rsidRPr="008B2F56">
        <w:rPr>
          <w:rFonts w:ascii="Times New Roman" w:hAnsi="Times New Roman" w:cs="Times New Roman"/>
          <w:sz w:val="24"/>
          <w:szCs w:val="24"/>
          <w:lang w:val="en-US"/>
        </w:rPr>
        <w:t xml:space="preserve"> recent years</w:t>
      </w:r>
      <w:r w:rsidR="00686A94" w:rsidRPr="008B2F56">
        <w:rPr>
          <w:rFonts w:ascii="Times New Roman" w:hAnsi="Times New Roman" w:cs="Times New Roman"/>
          <w:sz w:val="24"/>
          <w:szCs w:val="24"/>
          <w:lang w:val="en-US"/>
        </w:rPr>
        <w:t xml:space="preserve"> </w:t>
      </w:r>
      <w:r w:rsidR="000E5B45" w:rsidRPr="008B2F56">
        <w:rPr>
          <w:rFonts w:ascii="Times New Roman" w:hAnsi="Times New Roman" w:cs="Times New Roman"/>
          <w:sz w:val="24"/>
          <w:szCs w:val="24"/>
          <w:lang w:val="en-US"/>
        </w:rPr>
        <w:t>covers a broad range of</w:t>
      </w:r>
      <w:r w:rsidR="00086819" w:rsidRPr="008B2F56">
        <w:rPr>
          <w:rFonts w:ascii="Times New Roman" w:hAnsi="Times New Roman" w:cs="Times New Roman"/>
          <w:sz w:val="24"/>
          <w:szCs w:val="24"/>
          <w:lang w:val="en-US"/>
        </w:rPr>
        <w:t xml:space="preserve"> LDCs.</w:t>
      </w:r>
      <w:r w:rsidR="00213497" w:rsidRPr="008B2F56">
        <w:rPr>
          <w:rFonts w:ascii="Times New Roman" w:hAnsi="Times New Roman" w:cs="Times New Roman"/>
          <w:sz w:val="24"/>
          <w:szCs w:val="24"/>
          <w:lang w:val="en-US"/>
        </w:rPr>
        <w:t xml:space="preserve"> This index differs from the V-Dem indexes in the sense that it</w:t>
      </w:r>
      <w:r w:rsidR="00E07D17" w:rsidRPr="008B2F56">
        <w:rPr>
          <w:rFonts w:ascii="Times New Roman" w:hAnsi="Times New Roman" w:cs="Times New Roman"/>
          <w:sz w:val="24"/>
          <w:szCs w:val="24"/>
          <w:lang w:val="en-US"/>
        </w:rPr>
        <w:t xml:space="preserve"> more directly </w:t>
      </w:r>
      <w:r w:rsidR="00213497" w:rsidRPr="008B2F56">
        <w:rPr>
          <w:rFonts w:ascii="Times New Roman" w:hAnsi="Times New Roman" w:cs="Times New Roman"/>
          <w:sz w:val="24"/>
          <w:szCs w:val="24"/>
          <w:lang w:val="en-US"/>
        </w:rPr>
        <w:t>aim</w:t>
      </w:r>
      <w:r w:rsidR="00E07D17" w:rsidRPr="008B2F56">
        <w:rPr>
          <w:rFonts w:ascii="Times New Roman" w:hAnsi="Times New Roman" w:cs="Times New Roman"/>
          <w:sz w:val="24"/>
          <w:szCs w:val="24"/>
          <w:lang w:val="en-US"/>
        </w:rPr>
        <w:t>s at</w:t>
      </w:r>
      <w:r w:rsidR="00213497" w:rsidRPr="008B2F56">
        <w:rPr>
          <w:rFonts w:ascii="Times New Roman" w:hAnsi="Times New Roman" w:cs="Times New Roman"/>
          <w:sz w:val="24"/>
          <w:szCs w:val="24"/>
          <w:lang w:val="en-US"/>
        </w:rPr>
        <w:t xml:space="preserve"> rank</w:t>
      </w:r>
      <w:r w:rsidR="00E07D17" w:rsidRPr="008B2F56">
        <w:rPr>
          <w:rFonts w:ascii="Times New Roman" w:hAnsi="Times New Roman" w:cs="Times New Roman"/>
          <w:sz w:val="24"/>
          <w:szCs w:val="24"/>
          <w:lang w:val="en-US"/>
        </w:rPr>
        <w:t>ing</w:t>
      </w:r>
      <w:r w:rsidR="00213497" w:rsidRPr="008B2F56">
        <w:rPr>
          <w:rFonts w:ascii="Times New Roman" w:hAnsi="Times New Roman" w:cs="Times New Roman"/>
          <w:sz w:val="24"/>
          <w:szCs w:val="24"/>
          <w:lang w:val="en-US"/>
        </w:rPr>
        <w:t xml:space="preserve"> countries relative to other countries</w:t>
      </w:r>
      <w:r w:rsidR="00E07D17" w:rsidRPr="008B2F56">
        <w:rPr>
          <w:rFonts w:ascii="Times New Roman" w:hAnsi="Times New Roman" w:cs="Times New Roman"/>
          <w:sz w:val="24"/>
          <w:szCs w:val="24"/>
          <w:lang w:val="en-US"/>
        </w:rPr>
        <w:t xml:space="preserve"> and that it focuses more directly on perceptions among key market actors</w:t>
      </w:r>
      <w:r w:rsidR="000E5B45" w:rsidRPr="008B2F56">
        <w:rPr>
          <w:rFonts w:ascii="Times New Roman" w:hAnsi="Times New Roman" w:cs="Times New Roman"/>
          <w:sz w:val="24"/>
          <w:szCs w:val="24"/>
          <w:lang w:val="en-US"/>
        </w:rPr>
        <w:t>, including foreign investors</w:t>
      </w:r>
      <w:r w:rsidR="00E07D17" w:rsidRPr="008B2F56">
        <w:rPr>
          <w:rFonts w:ascii="Times New Roman" w:hAnsi="Times New Roman" w:cs="Times New Roman"/>
          <w:sz w:val="24"/>
          <w:szCs w:val="24"/>
          <w:lang w:val="en-US"/>
        </w:rPr>
        <w:t xml:space="preserve">. </w:t>
      </w:r>
      <w:r w:rsidR="00686A94" w:rsidRPr="008B2F56">
        <w:rPr>
          <w:rFonts w:ascii="Times New Roman" w:hAnsi="Times New Roman" w:cs="Times New Roman"/>
          <w:sz w:val="24"/>
          <w:szCs w:val="24"/>
          <w:lang w:val="en-US"/>
        </w:rPr>
        <w:t>F</w:t>
      </w:r>
      <w:r w:rsidR="00E07D17" w:rsidRPr="008B2F56">
        <w:rPr>
          <w:rFonts w:ascii="Times New Roman" w:hAnsi="Times New Roman" w:cs="Times New Roman"/>
          <w:sz w:val="24"/>
          <w:szCs w:val="24"/>
          <w:lang w:val="en-US"/>
        </w:rPr>
        <w:t>igure 1</w:t>
      </w:r>
      <w:r w:rsidR="00686A94" w:rsidRPr="008B2F56">
        <w:rPr>
          <w:rFonts w:ascii="Times New Roman" w:hAnsi="Times New Roman" w:cs="Times New Roman"/>
          <w:sz w:val="24"/>
          <w:szCs w:val="24"/>
          <w:lang w:val="en-US"/>
        </w:rPr>
        <w:t>2</w:t>
      </w:r>
      <w:r w:rsidR="00E07D17" w:rsidRPr="008B2F56">
        <w:rPr>
          <w:rFonts w:ascii="Times New Roman" w:hAnsi="Times New Roman" w:cs="Times New Roman"/>
          <w:sz w:val="24"/>
          <w:szCs w:val="24"/>
          <w:lang w:val="en-US"/>
        </w:rPr>
        <w:t xml:space="preserve"> indicates that </w:t>
      </w:r>
      <w:r w:rsidR="00686A94" w:rsidRPr="008B2F56">
        <w:rPr>
          <w:rFonts w:ascii="Times New Roman" w:hAnsi="Times New Roman" w:cs="Times New Roman"/>
          <w:sz w:val="24"/>
          <w:szCs w:val="24"/>
          <w:lang w:val="en-US"/>
        </w:rPr>
        <w:t xml:space="preserve">in recent years the perception of the level of corruption in LDCs has been remarkably stable when compared to the </w:t>
      </w:r>
      <w:r w:rsidR="006B1896" w:rsidRPr="008B2F56">
        <w:rPr>
          <w:rFonts w:ascii="Times New Roman" w:hAnsi="Times New Roman" w:cs="Times New Roman"/>
          <w:sz w:val="24"/>
          <w:szCs w:val="24"/>
          <w:lang w:val="en-US"/>
        </w:rPr>
        <w:t xml:space="preserve">V-Dem indexes and when compared to the </w:t>
      </w:r>
      <w:r w:rsidR="00686A94" w:rsidRPr="008B2F56">
        <w:rPr>
          <w:rFonts w:ascii="Times New Roman" w:hAnsi="Times New Roman" w:cs="Times New Roman"/>
          <w:sz w:val="24"/>
          <w:szCs w:val="24"/>
          <w:lang w:val="en-US"/>
        </w:rPr>
        <w:t>perception of corruption in OECD</w:t>
      </w:r>
      <w:r w:rsidR="006B1896" w:rsidRPr="008B2F56">
        <w:rPr>
          <w:rFonts w:ascii="Times New Roman" w:hAnsi="Times New Roman" w:cs="Times New Roman"/>
          <w:sz w:val="24"/>
          <w:szCs w:val="24"/>
          <w:lang w:val="en-US"/>
        </w:rPr>
        <w:t xml:space="preserve"> countries</w:t>
      </w:r>
      <w:r w:rsidR="00686A94" w:rsidRPr="008B2F56">
        <w:rPr>
          <w:rFonts w:ascii="Times New Roman" w:hAnsi="Times New Roman" w:cs="Times New Roman"/>
          <w:sz w:val="24"/>
          <w:szCs w:val="24"/>
          <w:lang w:val="en-US"/>
        </w:rPr>
        <w:t xml:space="preserve">. </w:t>
      </w:r>
      <w:r w:rsidR="006B1896" w:rsidRPr="008B2F56">
        <w:rPr>
          <w:rFonts w:ascii="Times New Roman" w:hAnsi="Times New Roman" w:cs="Times New Roman"/>
          <w:sz w:val="24"/>
          <w:szCs w:val="24"/>
          <w:lang w:val="en-US"/>
        </w:rPr>
        <w:t xml:space="preserve">These findings seem to contradict the above findings that levels of corruption in LDCs have improved significantly since 2010. </w:t>
      </w:r>
      <w:r w:rsidR="00686A94" w:rsidRPr="008B2F56">
        <w:rPr>
          <w:rFonts w:ascii="Times New Roman" w:hAnsi="Times New Roman" w:cs="Times New Roman"/>
          <w:sz w:val="24"/>
          <w:szCs w:val="24"/>
          <w:lang w:val="en-US"/>
        </w:rPr>
        <w:t>W</w:t>
      </w:r>
      <w:r w:rsidR="00E07D17" w:rsidRPr="008B2F56">
        <w:rPr>
          <w:rFonts w:ascii="Times New Roman" w:hAnsi="Times New Roman" w:cs="Times New Roman"/>
          <w:sz w:val="24"/>
          <w:szCs w:val="24"/>
          <w:lang w:val="en-US"/>
        </w:rPr>
        <w:t xml:space="preserve">e may </w:t>
      </w:r>
      <w:r w:rsidR="00686A94" w:rsidRPr="008B2F56">
        <w:rPr>
          <w:rFonts w:ascii="Times New Roman" w:hAnsi="Times New Roman" w:cs="Times New Roman"/>
          <w:sz w:val="24"/>
          <w:szCs w:val="24"/>
          <w:lang w:val="en-US"/>
        </w:rPr>
        <w:t xml:space="preserve">therefore </w:t>
      </w:r>
      <w:r w:rsidR="00E07D17" w:rsidRPr="008B2F56">
        <w:rPr>
          <w:rFonts w:ascii="Times New Roman" w:hAnsi="Times New Roman" w:cs="Times New Roman"/>
          <w:sz w:val="24"/>
          <w:szCs w:val="24"/>
          <w:lang w:val="en-US"/>
        </w:rPr>
        <w:t xml:space="preserve">question whether the </w:t>
      </w:r>
      <w:r w:rsidR="00686A94" w:rsidRPr="008B2F56">
        <w:rPr>
          <w:rFonts w:ascii="Times New Roman" w:hAnsi="Times New Roman" w:cs="Times New Roman"/>
          <w:sz w:val="24"/>
          <w:szCs w:val="24"/>
          <w:lang w:val="en-US"/>
        </w:rPr>
        <w:t xml:space="preserve">recent </w:t>
      </w:r>
      <w:r w:rsidR="006B1896" w:rsidRPr="008B2F56">
        <w:rPr>
          <w:rFonts w:ascii="Times New Roman" w:hAnsi="Times New Roman" w:cs="Times New Roman"/>
          <w:sz w:val="24"/>
          <w:szCs w:val="24"/>
          <w:lang w:val="en-US"/>
        </w:rPr>
        <w:t>reduction</w:t>
      </w:r>
      <w:r w:rsidR="00E07D17" w:rsidRPr="008B2F56">
        <w:rPr>
          <w:rFonts w:ascii="Times New Roman" w:hAnsi="Times New Roman" w:cs="Times New Roman"/>
          <w:sz w:val="24"/>
          <w:szCs w:val="24"/>
          <w:lang w:val="en-US"/>
        </w:rPr>
        <w:t xml:space="preserve"> in LDC</w:t>
      </w:r>
      <w:r w:rsidR="00686A94" w:rsidRPr="008B2F56">
        <w:rPr>
          <w:rFonts w:ascii="Times New Roman" w:hAnsi="Times New Roman" w:cs="Times New Roman"/>
          <w:sz w:val="24"/>
          <w:szCs w:val="24"/>
          <w:lang w:val="en-US"/>
        </w:rPr>
        <w:t>s</w:t>
      </w:r>
      <w:r w:rsidR="00E07D17" w:rsidRPr="008B2F56">
        <w:rPr>
          <w:rFonts w:ascii="Times New Roman" w:hAnsi="Times New Roman" w:cs="Times New Roman"/>
          <w:sz w:val="24"/>
          <w:szCs w:val="24"/>
          <w:lang w:val="en-US"/>
        </w:rPr>
        <w:t xml:space="preserve"> corruption levels </w:t>
      </w:r>
      <w:r w:rsidR="00686A94" w:rsidRPr="008B2F56">
        <w:rPr>
          <w:rFonts w:ascii="Times New Roman" w:hAnsi="Times New Roman" w:cs="Times New Roman"/>
          <w:sz w:val="24"/>
          <w:szCs w:val="24"/>
          <w:lang w:val="en-US"/>
        </w:rPr>
        <w:t xml:space="preserve">in </w:t>
      </w:r>
      <w:r w:rsidR="000E5B45" w:rsidRPr="008B2F56">
        <w:rPr>
          <w:rFonts w:ascii="Times New Roman" w:hAnsi="Times New Roman" w:cs="Times New Roman"/>
          <w:sz w:val="24"/>
          <w:szCs w:val="24"/>
          <w:lang w:val="en-US"/>
        </w:rPr>
        <w:t xml:space="preserve">the </w:t>
      </w:r>
      <w:r w:rsidR="00686A94" w:rsidRPr="008B2F56">
        <w:rPr>
          <w:rFonts w:ascii="Times New Roman" w:hAnsi="Times New Roman" w:cs="Times New Roman"/>
          <w:sz w:val="24"/>
          <w:szCs w:val="24"/>
          <w:lang w:val="en-US"/>
        </w:rPr>
        <w:t>V-Dem indexes is</w:t>
      </w:r>
      <w:r w:rsidR="00E07D17" w:rsidRPr="008B2F56">
        <w:rPr>
          <w:rFonts w:ascii="Times New Roman" w:hAnsi="Times New Roman" w:cs="Times New Roman"/>
          <w:sz w:val="24"/>
          <w:szCs w:val="24"/>
          <w:lang w:val="en-US"/>
        </w:rPr>
        <w:t xml:space="preserve"> indicative </w:t>
      </w:r>
      <w:r w:rsidR="006B1896" w:rsidRPr="008B2F56">
        <w:rPr>
          <w:rFonts w:ascii="Times New Roman" w:hAnsi="Times New Roman" w:cs="Times New Roman"/>
          <w:sz w:val="24"/>
          <w:szCs w:val="24"/>
          <w:lang w:val="en-US"/>
        </w:rPr>
        <w:t xml:space="preserve">of </w:t>
      </w:r>
      <w:r w:rsidR="00E07D17" w:rsidRPr="008B2F56">
        <w:rPr>
          <w:rFonts w:ascii="Times New Roman" w:hAnsi="Times New Roman" w:cs="Times New Roman"/>
          <w:sz w:val="24"/>
          <w:szCs w:val="24"/>
          <w:lang w:val="en-US"/>
        </w:rPr>
        <w:t>any fundamental change in the levels of corruption in these countries.</w:t>
      </w:r>
    </w:p>
    <w:p w14:paraId="1F168550" w14:textId="1353CA5A" w:rsidR="00694833" w:rsidRPr="008B2F56" w:rsidRDefault="007B4492" w:rsidP="008D76EF">
      <w:pPr>
        <w:pStyle w:val="Heading3"/>
        <w:jc w:val="both"/>
        <w:rPr>
          <w:rFonts w:ascii="Times New Roman" w:hAnsi="Times New Roman" w:cs="Times New Roman"/>
          <w:lang w:val="en-US"/>
        </w:rPr>
      </w:pPr>
      <w:r w:rsidRPr="008B2F56">
        <w:rPr>
          <w:rFonts w:ascii="Times New Roman" w:hAnsi="Times New Roman" w:cs="Times New Roman"/>
          <w:lang w:val="en-US"/>
        </w:rPr>
        <w:lastRenderedPageBreak/>
        <w:t>Figure 1</w:t>
      </w:r>
      <w:r w:rsidR="00686A94" w:rsidRPr="008B2F56">
        <w:rPr>
          <w:rFonts w:ascii="Times New Roman" w:hAnsi="Times New Roman" w:cs="Times New Roman"/>
          <w:lang w:val="en-US"/>
        </w:rPr>
        <w:t>2</w:t>
      </w:r>
      <w:r w:rsidR="00AC3F32" w:rsidRPr="008B2F56">
        <w:rPr>
          <w:rFonts w:ascii="Times New Roman" w:hAnsi="Times New Roman" w:cs="Times New Roman"/>
          <w:lang w:val="en-US"/>
        </w:rPr>
        <w:t>: Transparency</w:t>
      </w:r>
      <w:r w:rsidR="006B1896" w:rsidRPr="008B2F56">
        <w:rPr>
          <w:rFonts w:ascii="Times New Roman" w:hAnsi="Times New Roman" w:cs="Times New Roman"/>
          <w:lang w:val="en-US"/>
        </w:rPr>
        <w:t xml:space="preserve"> International</w:t>
      </w:r>
      <w:r w:rsidR="00AC3F32" w:rsidRPr="008B2F56">
        <w:rPr>
          <w:rFonts w:ascii="Times New Roman" w:hAnsi="Times New Roman" w:cs="Times New Roman"/>
          <w:lang w:val="en-US"/>
        </w:rPr>
        <w:t>’s perception of corruption index, 1998-2018</w:t>
      </w:r>
      <w:r w:rsidR="00AC3F32" w:rsidRPr="008B2F56">
        <w:rPr>
          <w:rStyle w:val="FootnoteReference"/>
          <w:rFonts w:ascii="Times New Roman" w:hAnsi="Times New Roman" w:cs="Times New Roman"/>
        </w:rPr>
        <w:footnoteReference w:id="115"/>
      </w:r>
    </w:p>
    <w:p w14:paraId="7BE86214" w14:textId="0A840EB2" w:rsidR="00AC3F32" w:rsidRPr="008B2F56" w:rsidRDefault="00AC3F32"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noProof/>
          <w:sz w:val="24"/>
          <w:szCs w:val="24"/>
          <w:lang w:val="nb-NO" w:eastAsia="nb-NO"/>
        </w:rPr>
        <w:drawing>
          <wp:inline distT="0" distB="0" distL="0" distR="0" wp14:anchorId="3653C928" wp14:editId="57C87B81">
            <wp:extent cx="5947410" cy="1757238"/>
            <wp:effectExtent l="0" t="0" r="15240" b="14605"/>
            <wp:docPr id="15" name="Diagra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7347ADD" w14:textId="08693CE2" w:rsidR="00686A94" w:rsidRPr="008B2F56" w:rsidRDefault="00686A94"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In sum, international cooperation to control and reduce corruption seems to have been effective in assisting LDCs to prevent corruption</w:t>
      </w:r>
      <w:r w:rsidR="00CF6EAA" w:rsidRPr="008B2F56">
        <w:rPr>
          <w:rFonts w:ascii="Times New Roman" w:hAnsi="Times New Roman" w:cs="Times New Roman"/>
          <w:color w:val="000000" w:themeColor="text1"/>
          <w:sz w:val="24"/>
          <w:szCs w:val="24"/>
          <w:lang w:val="en-US"/>
        </w:rPr>
        <w:t xml:space="preserve"> in recent years</w:t>
      </w:r>
      <w:r w:rsidRPr="008B2F56">
        <w:rPr>
          <w:rFonts w:ascii="Times New Roman" w:hAnsi="Times New Roman" w:cs="Times New Roman"/>
          <w:color w:val="000000" w:themeColor="text1"/>
          <w:sz w:val="24"/>
          <w:szCs w:val="24"/>
          <w:lang w:val="en-US"/>
        </w:rPr>
        <w:t xml:space="preserve">. However, </w:t>
      </w:r>
      <w:r w:rsidR="00CF6EAA" w:rsidRPr="008B2F56">
        <w:rPr>
          <w:rFonts w:ascii="Times New Roman" w:hAnsi="Times New Roman" w:cs="Times New Roman"/>
          <w:color w:val="000000" w:themeColor="text1"/>
          <w:sz w:val="24"/>
          <w:szCs w:val="24"/>
          <w:lang w:val="en-US"/>
        </w:rPr>
        <w:t>foreign actors do not seem to perceive that there has been any significant decline in corruption levels in LDCs. D</w:t>
      </w:r>
      <w:r w:rsidRPr="008B2F56">
        <w:rPr>
          <w:rFonts w:ascii="Times New Roman" w:hAnsi="Times New Roman" w:cs="Times New Roman"/>
          <w:color w:val="000000" w:themeColor="text1"/>
          <w:sz w:val="24"/>
          <w:szCs w:val="24"/>
          <w:lang w:val="en-US"/>
        </w:rPr>
        <w:t>eveloped home countries assist</w:t>
      </w:r>
      <w:r w:rsidR="00CF6EAA" w:rsidRPr="008B2F56">
        <w:rPr>
          <w:rFonts w:ascii="Times New Roman" w:hAnsi="Times New Roman" w:cs="Times New Roman"/>
          <w:color w:val="000000" w:themeColor="text1"/>
          <w:sz w:val="24"/>
          <w:szCs w:val="24"/>
          <w:lang w:val="en-US"/>
        </w:rPr>
        <w:t>ance to</w:t>
      </w:r>
      <w:r w:rsidRPr="008B2F56">
        <w:rPr>
          <w:rFonts w:ascii="Times New Roman" w:hAnsi="Times New Roman" w:cs="Times New Roman"/>
          <w:color w:val="000000" w:themeColor="text1"/>
          <w:sz w:val="24"/>
          <w:szCs w:val="24"/>
          <w:lang w:val="en-US"/>
        </w:rPr>
        <w:t xml:space="preserve"> LDCs when foreign investors have been involved in corruption do</w:t>
      </w:r>
      <w:r w:rsidR="00CF6EAA" w:rsidRPr="008B2F56">
        <w:rPr>
          <w:rFonts w:ascii="Times New Roman" w:hAnsi="Times New Roman" w:cs="Times New Roman"/>
          <w:color w:val="000000" w:themeColor="text1"/>
          <w:sz w:val="24"/>
          <w:szCs w:val="24"/>
          <w:lang w:val="en-US"/>
        </w:rPr>
        <w:t xml:space="preserve">es so far seem </w:t>
      </w:r>
      <w:r w:rsidR="00992029" w:rsidRPr="008B2F56">
        <w:rPr>
          <w:rFonts w:ascii="Times New Roman" w:hAnsi="Times New Roman" w:cs="Times New Roman"/>
          <w:color w:val="000000" w:themeColor="text1"/>
          <w:sz w:val="24"/>
          <w:szCs w:val="24"/>
          <w:lang w:val="en-US"/>
        </w:rPr>
        <w:t>to be limited to criminal prosecution. Moreover, significant challenges seem to remain in terms of coherent implementation of treaty obligations.</w:t>
      </w:r>
      <w:r w:rsidR="00526856" w:rsidRPr="008B2F56">
        <w:rPr>
          <w:rFonts w:ascii="Times New Roman" w:hAnsi="Times New Roman" w:cs="Times New Roman"/>
          <w:color w:val="000000" w:themeColor="text1"/>
          <w:sz w:val="24"/>
          <w:szCs w:val="24"/>
          <w:lang w:val="en-US"/>
        </w:rPr>
        <w:t xml:space="preserve"> </w:t>
      </w:r>
      <w:r w:rsidR="002955DA" w:rsidRPr="008B2F56">
        <w:rPr>
          <w:rFonts w:ascii="Times New Roman" w:hAnsi="Times New Roman" w:cs="Times New Roman"/>
          <w:color w:val="000000" w:themeColor="text1"/>
          <w:sz w:val="24"/>
          <w:szCs w:val="24"/>
          <w:lang w:val="en-US"/>
        </w:rPr>
        <w:t xml:space="preserve">The ability of these treaty regimes in terms of contributing to resolving specific instances of </w:t>
      </w:r>
      <w:r w:rsidR="00CF6EAA" w:rsidRPr="008B2F56">
        <w:rPr>
          <w:rFonts w:ascii="Times New Roman" w:hAnsi="Times New Roman" w:cs="Times New Roman"/>
          <w:color w:val="000000" w:themeColor="text1"/>
          <w:sz w:val="24"/>
          <w:szCs w:val="24"/>
          <w:lang w:val="en-US"/>
        </w:rPr>
        <w:t>harm</w:t>
      </w:r>
      <w:r w:rsidR="002955DA" w:rsidRPr="008B2F56">
        <w:rPr>
          <w:rFonts w:ascii="Times New Roman" w:hAnsi="Times New Roman" w:cs="Times New Roman"/>
          <w:color w:val="000000" w:themeColor="text1"/>
          <w:sz w:val="24"/>
          <w:szCs w:val="24"/>
          <w:lang w:val="en-US"/>
        </w:rPr>
        <w:t xml:space="preserve"> associated with corruption remain limited.</w:t>
      </w:r>
    </w:p>
    <w:p w14:paraId="193CD3E4" w14:textId="00CFF9B1" w:rsidR="00E1126A" w:rsidRPr="008B2F56" w:rsidRDefault="00E1126A" w:rsidP="008D76EF">
      <w:pPr>
        <w:pStyle w:val="Heading2"/>
        <w:jc w:val="both"/>
        <w:rPr>
          <w:rFonts w:ascii="Times New Roman" w:hAnsi="Times New Roman" w:cs="Times New Roman"/>
          <w:lang w:val="en-US"/>
        </w:rPr>
      </w:pPr>
      <w:r w:rsidRPr="008B2F56">
        <w:rPr>
          <w:rFonts w:ascii="Times New Roman" w:hAnsi="Times New Roman" w:cs="Times New Roman"/>
          <w:lang w:val="en-US"/>
        </w:rPr>
        <w:t>5.3 OECD Guidelines for Multinational Enterprises</w:t>
      </w:r>
    </w:p>
    <w:p w14:paraId="1804BFD5" w14:textId="7418D743" w:rsidR="008D367B" w:rsidRPr="008B2F56" w:rsidRDefault="00314470"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The main</w:t>
      </w:r>
      <w:r w:rsidR="00853E9B" w:rsidRPr="008B2F56">
        <w:rPr>
          <w:rFonts w:ascii="Times New Roman" w:hAnsi="Times New Roman" w:cs="Times New Roman"/>
          <w:color w:val="000000" w:themeColor="text1"/>
          <w:sz w:val="24"/>
          <w:szCs w:val="24"/>
          <w:lang w:val="en-US"/>
        </w:rPr>
        <w:t xml:space="preserve"> </w:t>
      </w:r>
      <w:r w:rsidR="00526856" w:rsidRPr="008B2F56">
        <w:rPr>
          <w:rFonts w:ascii="Times New Roman" w:hAnsi="Times New Roman" w:cs="Times New Roman"/>
          <w:color w:val="000000" w:themeColor="text1"/>
          <w:sz w:val="24"/>
          <w:szCs w:val="24"/>
          <w:lang w:val="en-US"/>
        </w:rPr>
        <w:t xml:space="preserve">general </w:t>
      </w:r>
      <w:r w:rsidR="00853E9B" w:rsidRPr="008B2F56">
        <w:rPr>
          <w:rFonts w:ascii="Times New Roman" w:hAnsi="Times New Roman" w:cs="Times New Roman"/>
          <w:color w:val="000000" w:themeColor="text1"/>
          <w:sz w:val="24"/>
          <w:szCs w:val="24"/>
          <w:lang w:val="en-US"/>
        </w:rPr>
        <w:t xml:space="preserve">mechanism </w:t>
      </w:r>
      <w:r w:rsidR="00526856" w:rsidRPr="008B2F56">
        <w:rPr>
          <w:rFonts w:ascii="Times New Roman" w:hAnsi="Times New Roman" w:cs="Times New Roman"/>
          <w:color w:val="000000" w:themeColor="text1"/>
          <w:sz w:val="24"/>
          <w:szCs w:val="24"/>
          <w:lang w:val="en-US"/>
        </w:rPr>
        <w:t xml:space="preserve">to engage with the responsibility of foreign investors in specific cases </w:t>
      </w:r>
      <w:r w:rsidR="00853E9B" w:rsidRPr="008B2F56">
        <w:rPr>
          <w:rFonts w:ascii="Times New Roman" w:hAnsi="Times New Roman" w:cs="Times New Roman"/>
          <w:color w:val="000000" w:themeColor="text1"/>
          <w:sz w:val="24"/>
          <w:szCs w:val="24"/>
          <w:lang w:val="en-US"/>
        </w:rPr>
        <w:t>is the OECD Guidelines for Multinational Enterprises</w:t>
      </w:r>
      <w:r w:rsidR="00941973" w:rsidRPr="008B2F56">
        <w:rPr>
          <w:rFonts w:ascii="Times New Roman" w:hAnsi="Times New Roman" w:cs="Times New Roman"/>
          <w:color w:val="000000" w:themeColor="text1"/>
          <w:sz w:val="24"/>
          <w:szCs w:val="24"/>
          <w:lang w:val="en-US"/>
        </w:rPr>
        <w:t xml:space="preserve"> with their associated National Contact Points for Responsible Business Conduct.</w:t>
      </w:r>
      <w:r w:rsidR="00941973" w:rsidRPr="008B2F56">
        <w:rPr>
          <w:rStyle w:val="FootnoteReference"/>
          <w:rFonts w:ascii="Times New Roman" w:hAnsi="Times New Roman" w:cs="Times New Roman"/>
        </w:rPr>
        <w:footnoteReference w:id="116"/>
      </w:r>
      <w:r w:rsidR="00941973" w:rsidRPr="008B2F56">
        <w:rPr>
          <w:rFonts w:ascii="Times New Roman" w:hAnsi="Times New Roman" w:cs="Times New Roman"/>
          <w:color w:val="000000" w:themeColor="text1"/>
          <w:sz w:val="24"/>
          <w:szCs w:val="24"/>
          <w:lang w:val="en-US"/>
        </w:rPr>
        <w:t xml:space="preserve"> The Guidelines</w:t>
      </w:r>
      <w:r w:rsidRPr="008B2F56">
        <w:rPr>
          <w:rFonts w:ascii="Times New Roman" w:hAnsi="Times New Roman" w:cs="Times New Roman"/>
          <w:color w:val="000000" w:themeColor="text1"/>
          <w:sz w:val="24"/>
          <w:szCs w:val="24"/>
          <w:lang w:val="en-US"/>
        </w:rPr>
        <w:t xml:space="preserve"> </w:t>
      </w:r>
      <w:r w:rsidR="00284C4E" w:rsidRPr="008B2F56">
        <w:rPr>
          <w:rFonts w:ascii="Times New Roman" w:hAnsi="Times New Roman" w:cs="Times New Roman"/>
          <w:color w:val="000000" w:themeColor="text1"/>
          <w:sz w:val="24"/>
          <w:szCs w:val="24"/>
          <w:lang w:val="en-US"/>
        </w:rPr>
        <w:t>dat</w:t>
      </w:r>
      <w:r w:rsidRPr="008B2F56">
        <w:rPr>
          <w:rFonts w:ascii="Times New Roman" w:hAnsi="Times New Roman" w:cs="Times New Roman"/>
          <w:color w:val="000000" w:themeColor="text1"/>
          <w:sz w:val="24"/>
          <w:szCs w:val="24"/>
          <w:lang w:val="en-US"/>
        </w:rPr>
        <w:t>e</w:t>
      </w:r>
      <w:r w:rsidR="00284C4E" w:rsidRPr="008B2F56">
        <w:rPr>
          <w:rFonts w:ascii="Times New Roman" w:hAnsi="Times New Roman" w:cs="Times New Roman"/>
          <w:color w:val="000000" w:themeColor="text1"/>
          <w:sz w:val="24"/>
          <w:szCs w:val="24"/>
          <w:lang w:val="en-US"/>
        </w:rPr>
        <w:t xml:space="preserve"> back to 1976</w:t>
      </w:r>
      <w:r w:rsidRPr="008B2F56">
        <w:rPr>
          <w:rFonts w:ascii="Times New Roman" w:hAnsi="Times New Roman" w:cs="Times New Roman"/>
          <w:color w:val="000000" w:themeColor="text1"/>
          <w:sz w:val="24"/>
          <w:szCs w:val="24"/>
          <w:lang w:val="en-US"/>
        </w:rPr>
        <w:t xml:space="preserve"> and cover </w:t>
      </w:r>
      <w:r w:rsidR="00C51E02" w:rsidRPr="008B2F56">
        <w:rPr>
          <w:rFonts w:ascii="Times New Roman" w:hAnsi="Times New Roman" w:cs="Times New Roman"/>
          <w:color w:val="000000" w:themeColor="text1"/>
          <w:sz w:val="24"/>
          <w:szCs w:val="24"/>
          <w:lang w:val="en-US"/>
        </w:rPr>
        <w:t>48 countries</w:t>
      </w:r>
      <w:r w:rsidR="00941973" w:rsidRPr="008B2F56">
        <w:rPr>
          <w:rFonts w:ascii="Times New Roman" w:hAnsi="Times New Roman" w:cs="Times New Roman"/>
          <w:color w:val="000000" w:themeColor="text1"/>
          <w:sz w:val="24"/>
          <w:szCs w:val="24"/>
          <w:lang w:val="en-US"/>
        </w:rPr>
        <w:t>. Very few IIAs refer to the Guidelines d</w:t>
      </w:r>
      <w:r w:rsidR="003D2163" w:rsidRPr="008B2F56">
        <w:rPr>
          <w:rFonts w:ascii="Times New Roman" w:hAnsi="Times New Roman" w:cs="Times New Roman"/>
          <w:color w:val="000000" w:themeColor="text1"/>
          <w:sz w:val="24"/>
          <w:szCs w:val="24"/>
          <w:lang w:val="en-US"/>
        </w:rPr>
        <w:t xml:space="preserve">espite the close links </w:t>
      </w:r>
      <w:r w:rsidR="008D367B" w:rsidRPr="008B2F56">
        <w:rPr>
          <w:rFonts w:ascii="Times New Roman" w:hAnsi="Times New Roman" w:cs="Times New Roman"/>
          <w:color w:val="000000" w:themeColor="text1"/>
          <w:sz w:val="24"/>
          <w:szCs w:val="24"/>
          <w:lang w:val="en-US"/>
        </w:rPr>
        <w:t xml:space="preserve">that have existed </w:t>
      </w:r>
      <w:r w:rsidR="003D2163" w:rsidRPr="008B2F56">
        <w:rPr>
          <w:rFonts w:ascii="Times New Roman" w:hAnsi="Times New Roman" w:cs="Times New Roman"/>
          <w:color w:val="000000" w:themeColor="text1"/>
          <w:sz w:val="24"/>
          <w:szCs w:val="24"/>
          <w:lang w:val="en-US"/>
        </w:rPr>
        <w:t xml:space="preserve">between the Guidelines and the </w:t>
      </w:r>
      <w:r w:rsidR="00F9715B" w:rsidRPr="008B2F56">
        <w:rPr>
          <w:rFonts w:ascii="Times New Roman" w:hAnsi="Times New Roman" w:cs="Times New Roman"/>
          <w:color w:val="000000" w:themeColor="text1"/>
          <w:sz w:val="24"/>
          <w:szCs w:val="24"/>
          <w:lang w:val="en-US"/>
        </w:rPr>
        <w:t>proliferation</w:t>
      </w:r>
      <w:r w:rsidR="003D2163" w:rsidRPr="008B2F56">
        <w:rPr>
          <w:rFonts w:ascii="Times New Roman" w:hAnsi="Times New Roman" w:cs="Times New Roman"/>
          <w:color w:val="000000" w:themeColor="text1"/>
          <w:sz w:val="24"/>
          <w:szCs w:val="24"/>
          <w:lang w:val="en-US"/>
        </w:rPr>
        <w:t xml:space="preserve"> of </w:t>
      </w:r>
      <w:r w:rsidR="00941973" w:rsidRPr="008B2F56">
        <w:rPr>
          <w:rFonts w:ascii="Times New Roman" w:hAnsi="Times New Roman" w:cs="Times New Roman"/>
          <w:color w:val="000000" w:themeColor="text1"/>
          <w:sz w:val="24"/>
          <w:szCs w:val="24"/>
          <w:lang w:val="en-US"/>
        </w:rPr>
        <w:t>IIAs</w:t>
      </w:r>
      <w:r w:rsidR="003D2163" w:rsidRPr="008B2F56">
        <w:rPr>
          <w:rFonts w:ascii="Times New Roman" w:hAnsi="Times New Roman" w:cs="Times New Roman"/>
          <w:color w:val="000000" w:themeColor="text1"/>
          <w:sz w:val="24"/>
          <w:szCs w:val="24"/>
          <w:lang w:val="en-US"/>
        </w:rPr>
        <w:t>.</w:t>
      </w:r>
      <w:r w:rsidR="00C51E02" w:rsidRPr="008B2F56">
        <w:rPr>
          <w:rStyle w:val="FootnoteReference"/>
          <w:rFonts w:ascii="Times New Roman" w:hAnsi="Times New Roman" w:cs="Times New Roman"/>
        </w:rPr>
        <w:footnoteReference w:id="117"/>
      </w:r>
      <w:r w:rsidR="00F04487" w:rsidRPr="008B2F56">
        <w:rPr>
          <w:rFonts w:ascii="Times New Roman" w:hAnsi="Times New Roman" w:cs="Times New Roman"/>
          <w:color w:val="000000" w:themeColor="text1"/>
          <w:sz w:val="24"/>
          <w:szCs w:val="24"/>
          <w:lang w:val="en-US"/>
        </w:rPr>
        <w:t xml:space="preserve"> </w:t>
      </w:r>
      <w:r w:rsidR="00853E9B" w:rsidRPr="008B2F56">
        <w:rPr>
          <w:rFonts w:ascii="Times New Roman" w:hAnsi="Times New Roman" w:cs="Times New Roman"/>
          <w:color w:val="000000" w:themeColor="text1"/>
          <w:sz w:val="24"/>
          <w:szCs w:val="24"/>
          <w:lang w:val="en-US"/>
        </w:rPr>
        <w:t>The Guidelines make clear that their observance by enterprises is “voluntary and not legally enforceable</w:t>
      </w:r>
      <w:r w:rsidR="00F04487" w:rsidRPr="008B2F56">
        <w:rPr>
          <w:rFonts w:ascii="Times New Roman" w:hAnsi="Times New Roman" w:cs="Times New Roman"/>
          <w:color w:val="000000" w:themeColor="text1"/>
          <w:sz w:val="24"/>
          <w:szCs w:val="24"/>
          <w:lang w:val="en-US"/>
        </w:rPr>
        <w:t>.</w:t>
      </w:r>
      <w:r w:rsidR="00853E9B" w:rsidRPr="008B2F56">
        <w:rPr>
          <w:rFonts w:ascii="Times New Roman" w:hAnsi="Times New Roman" w:cs="Times New Roman"/>
          <w:color w:val="000000" w:themeColor="text1"/>
          <w:sz w:val="24"/>
          <w:szCs w:val="24"/>
          <w:lang w:val="en-US"/>
        </w:rPr>
        <w:t>”</w:t>
      </w:r>
      <w:r w:rsidR="00063796" w:rsidRPr="008B2F56">
        <w:rPr>
          <w:rFonts w:ascii="Times New Roman" w:hAnsi="Times New Roman" w:cs="Times New Roman"/>
          <w:color w:val="000000" w:themeColor="text1"/>
          <w:sz w:val="24"/>
          <w:szCs w:val="24"/>
          <w:lang w:val="en-US"/>
        </w:rPr>
        <w:t xml:space="preserve"> </w:t>
      </w:r>
      <w:r w:rsidR="00853E9B" w:rsidRPr="008B2F56">
        <w:rPr>
          <w:rFonts w:ascii="Times New Roman" w:hAnsi="Times New Roman" w:cs="Times New Roman"/>
          <w:color w:val="000000" w:themeColor="text1"/>
          <w:sz w:val="24"/>
          <w:szCs w:val="24"/>
          <w:lang w:val="en-US"/>
        </w:rPr>
        <w:t xml:space="preserve">Home countries undertake to “encourage” </w:t>
      </w:r>
      <w:r w:rsidR="003B6F47" w:rsidRPr="008B2F56">
        <w:rPr>
          <w:rFonts w:ascii="Times New Roman" w:hAnsi="Times New Roman" w:cs="Times New Roman"/>
          <w:color w:val="000000" w:themeColor="text1"/>
          <w:sz w:val="24"/>
          <w:szCs w:val="24"/>
          <w:lang w:val="en-US"/>
        </w:rPr>
        <w:lastRenderedPageBreak/>
        <w:t xml:space="preserve">their </w:t>
      </w:r>
      <w:r w:rsidR="00853E9B" w:rsidRPr="008B2F56">
        <w:rPr>
          <w:rFonts w:ascii="Times New Roman" w:hAnsi="Times New Roman" w:cs="Times New Roman"/>
          <w:color w:val="000000" w:themeColor="text1"/>
          <w:sz w:val="24"/>
          <w:szCs w:val="24"/>
          <w:lang w:val="en-US"/>
        </w:rPr>
        <w:t xml:space="preserve">enterprises </w:t>
      </w:r>
      <w:r w:rsidR="003B6F47" w:rsidRPr="008B2F56">
        <w:rPr>
          <w:rFonts w:ascii="Times New Roman" w:hAnsi="Times New Roman" w:cs="Times New Roman"/>
          <w:color w:val="000000" w:themeColor="text1"/>
          <w:sz w:val="24"/>
          <w:szCs w:val="24"/>
          <w:lang w:val="en-US"/>
        </w:rPr>
        <w:t>“</w:t>
      </w:r>
      <w:r w:rsidR="00853E9B" w:rsidRPr="008B2F56">
        <w:rPr>
          <w:rFonts w:ascii="Times New Roman" w:hAnsi="Times New Roman" w:cs="Times New Roman"/>
          <w:color w:val="000000" w:themeColor="text1"/>
          <w:sz w:val="24"/>
          <w:szCs w:val="24"/>
          <w:lang w:val="en-US"/>
        </w:rPr>
        <w:t>to observe the Guidelines</w:t>
      </w:r>
      <w:r w:rsidR="003B6F47" w:rsidRPr="008B2F56">
        <w:rPr>
          <w:rFonts w:ascii="Times New Roman" w:hAnsi="Times New Roman" w:cs="Times New Roman"/>
          <w:color w:val="000000" w:themeColor="text1"/>
          <w:sz w:val="24"/>
          <w:szCs w:val="24"/>
          <w:lang w:val="en-US"/>
        </w:rPr>
        <w:t xml:space="preserve"> </w:t>
      </w:r>
      <w:r w:rsidR="00853E9B" w:rsidRPr="008B2F56">
        <w:rPr>
          <w:rFonts w:ascii="Times New Roman" w:hAnsi="Times New Roman" w:cs="Times New Roman"/>
          <w:color w:val="000000" w:themeColor="text1"/>
          <w:sz w:val="24"/>
          <w:szCs w:val="24"/>
          <w:lang w:val="en-US"/>
        </w:rPr>
        <w:t>wherever they operate, while taking into account the particular circumstances of each host country</w:t>
      </w:r>
      <w:r w:rsidR="00F04487" w:rsidRPr="008B2F56">
        <w:rPr>
          <w:rFonts w:ascii="Times New Roman" w:hAnsi="Times New Roman" w:cs="Times New Roman"/>
          <w:color w:val="000000" w:themeColor="text1"/>
          <w:sz w:val="24"/>
          <w:szCs w:val="24"/>
          <w:lang w:val="en-US"/>
        </w:rPr>
        <w:t>.</w:t>
      </w:r>
      <w:r w:rsidR="003B6F47" w:rsidRPr="008B2F56">
        <w:rPr>
          <w:rFonts w:ascii="Times New Roman" w:hAnsi="Times New Roman" w:cs="Times New Roman"/>
          <w:color w:val="000000" w:themeColor="text1"/>
          <w:sz w:val="24"/>
          <w:szCs w:val="24"/>
          <w:lang w:val="en-US"/>
        </w:rPr>
        <w:t>”</w:t>
      </w:r>
      <w:r w:rsidR="00853E9B" w:rsidRPr="008B2F56">
        <w:rPr>
          <w:rFonts w:ascii="Times New Roman" w:hAnsi="Times New Roman" w:cs="Times New Roman"/>
          <w:color w:val="000000" w:themeColor="text1"/>
          <w:sz w:val="24"/>
          <w:szCs w:val="24"/>
          <w:lang w:val="en-US"/>
        </w:rPr>
        <w:t xml:space="preserve">  </w:t>
      </w:r>
      <w:r w:rsidR="00D2004A" w:rsidRPr="008B2F56">
        <w:rPr>
          <w:rFonts w:ascii="Times New Roman" w:hAnsi="Times New Roman" w:cs="Times New Roman"/>
          <w:color w:val="000000" w:themeColor="text1"/>
          <w:sz w:val="24"/>
          <w:szCs w:val="24"/>
          <w:lang w:val="en-US"/>
        </w:rPr>
        <w:t>The OECD Investment Committee, which has the task of following up the implementation of the Guidelines, “shall not reach conclusions on the conduct of individual enterprises.”</w:t>
      </w:r>
      <w:r w:rsidR="00D2004A" w:rsidRPr="008B2F56">
        <w:rPr>
          <w:rStyle w:val="FootnoteReference"/>
          <w:rFonts w:ascii="Times New Roman" w:hAnsi="Times New Roman" w:cs="Times New Roman"/>
        </w:rPr>
        <w:footnoteReference w:id="118"/>
      </w:r>
      <w:r w:rsidR="00D2004A" w:rsidRPr="008B2F56">
        <w:rPr>
          <w:rFonts w:ascii="Times New Roman" w:hAnsi="Times New Roman" w:cs="Times New Roman"/>
          <w:color w:val="000000" w:themeColor="text1"/>
          <w:sz w:val="24"/>
          <w:szCs w:val="24"/>
          <w:lang w:val="en-US"/>
        </w:rPr>
        <w:t xml:space="preserve"> </w:t>
      </w:r>
      <w:r w:rsidR="003B6F47" w:rsidRPr="008B2F56">
        <w:rPr>
          <w:rFonts w:ascii="Times New Roman" w:hAnsi="Times New Roman" w:cs="Times New Roman"/>
          <w:color w:val="000000" w:themeColor="text1"/>
          <w:sz w:val="24"/>
          <w:szCs w:val="24"/>
          <w:lang w:val="en-US"/>
        </w:rPr>
        <w:t>The National Contact Points are to “act as a forum for discussion of all matters relating to the Guidelines</w:t>
      </w:r>
      <w:r w:rsidR="00F04487" w:rsidRPr="008B2F56">
        <w:rPr>
          <w:rFonts w:ascii="Times New Roman" w:hAnsi="Times New Roman" w:cs="Times New Roman"/>
          <w:color w:val="000000" w:themeColor="text1"/>
          <w:sz w:val="24"/>
          <w:szCs w:val="24"/>
          <w:lang w:val="en-US"/>
        </w:rPr>
        <w:t>.</w:t>
      </w:r>
      <w:r w:rsidR="003B6F47" w:rsidRPr="008B2F56">
        <w:rPr>
          <w:rFonts w:ascii="Times New Roman" w:hAnsi="Times New Roman" w:cs="Times New Roman"/>
          <w:color w:val="000000" w:themeColor="text1"/>
          <w:sz w:val="24"/>
          <w:szCs w:val="24"/>
          <w:lang w:val="en-US"/>
        </w:rPr>
        <w:t>”</w:t>
      </w:r>
      <w:r w:rsidR="00D23BD9" w:rsidRPr="008B2F56">
        <w:rPr>
          <w:rStyle w:val="FootnoteReference"/>
          <w:rFonts w:ascii="Times New Roman" w:hAnsi="Times New Roman" w:cs="Times New Roman"/>
        </w:rPr>
        <w:footnoteReference w:id="119"/>
      </w:r>
      <w:r w:rsidR="003B6F47" w:rsidRPr="008B2F56">
        <w:rPr>
          <w:rFonts w:ascii="Times New Roman" w:hAnsi="Times New Roman" w:cs="Times New Roman"/>
          <w:color w:val="000000" w:themeColor="text1"/>
          <w:sz w:val="24"/>
          <w:szCs w:val="24"/>
          <w:lang w:val="en-US"/>
        </w:rPr>
        <w:t xml:space="preserve"> </w:t>
      </w:r>
      <w:r w:rsidR="00B05D78" w:rsidRPr="008B2F56">
        <w:rPr>
          <w:rFonts w:ascii="Times New Roman" w:hAnsi="Times New Roman" w:cs="Times New Roman"/>
          <w:color w:val="000000" w:themeColor="text1"/>
          <w:sz w:val="24"/>
          <w:szCs w:val="24"/>
          <w:lang w:val="en-US"/>
        </w:rPr>
        <w:t>The Guidelines thereby establish a country-by-country follow</w:t>
      </w:r>
      <w:r w:rsidR="008D367B" w:rsidRPr="008B2F56">
        <w:rPr>
          <w:rFonts w:ascii="Times New Roman" w:hAnsi="Times New Roman" w:cs="Times New Roman"/>
          <w:color w:val="000000" w:themeColor="text1"/>
          <w:sz w:val="24"/>
          <w:szCs w:val="24"/>
          <w:lang w:val="en-US"/>
        </w:rPr>
        <w:t>-</w:t>
      </w:r>
      <w:r w:rsidR="00B05D78" w:rsidRPr="008B2F56">
        <w:rPr>
          <w:rFonts w:ascii="Times New Roman" w:hAnsi="Times New Roman" w:cs="Times New Roman"/>
          <w:color w:val="000000" w:themeColor="text1"/>
          <w:sz w:val="24"/>
          <w:szCs w:val="24"/>
          <w:lang w:val="en-US"/>
        </w:rPr>
        <w:t xml:space="preserve">up mechanism that potentially can function as a third party assessment of </w:t>
      </w:r>
      <w:r w:rsidR="00D2004A" w:rsidRPr="008B2F56">
        <w:rPr>
          <w:rFonts w:ascii="Times New Roman" w:hAnsi="Times New Roman" w:cs="Times New Roman"/>
          <w:color w:val="000000" w:themeColor="text1"/>
          <w:sz w:val="24"/>
          <w:szCs w:val="24"/>
          <w:lang w:val="en-US"/>
        </w:rPr>
        <w:t xml:space="preserve">enterprises’ </w:t>
      </w:r>
      <w:r w:rsidR="00B05D78" w:rsidRPr="008B2F56">
        <w:rPr>
          <w:rFonts w:ascii="Times New Roman" w:hAnsi="Times New Roman" w:cs="Times New Roman"/>
          <w:color w:val="000000" w:themeColor="text1"/>
          <w:sz w:val="24"/>
          <w:szCs w:val="24"/>
          <w:lang w:val="en-US"/>
        </w:rPr>
        <w:t>compliance with the Guidelines. The extent to which National Contact Points in reality fulfil such a function varies significantly.</w:t>
      </w:r>
      <w:r w:rsidR="001C7CB2" w:rsidRPr="008B2F56">
        <w:rPr>
          <w:rStyle w:val="FootnoteReference"/>
          <w:rFonts w:ascii="Times New Roman" w:hAnsi="Times New Roman" w:cs="Times New Roman"/>
        </w:rPr>
        <w:footnoteReference w:id="120"/>
      </w:r>
      <w:r w:rsidR="00B05D78" w:rsidRPr="008B2F56">
        <w:rPr>
          <w:rFonts w:ascii="Times New Roman" w:hAnsi="Times New Roman" w:cs="Times New Roman"/>
          <w:color w:val="000000" w:themeColor="text1"/>
          <w:sz w:val="24"/>
          <w:szCs w:val="24"/>
          <w:lang w:val="en-US"/>
        </w:rPr>
        <w:t xml:space="preserve"> </w:t>
      </w:r>
    </w:p>
    <w:p w14:paraId="5FA19AC6" w14:textId="62770979" w:rsidR="00D2004A" w:rsidRPr="008B2F56" w:rsidRDefault="00D2004A"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The OECD has established a Database on Specific Instances, which lists 429 cases initiated before National Contact Points during the period from 2000 to 2018.</w:t>
      </w:r>
      <w:r w:rsidRPr="008B2F56">
        <w:rPr>
          <w:rStyle w:val="FootnoteReference"/>
          <w:rFonts w:ascii="Times New Roman" w:hAnsi="Times New Roman" w:cs="Times New Roman"/>
        </w:rPr>
        <w:footnoteReference w:id="121"/>
      </w:r>
      <w:r w:rsidRPr="008B2F56">
        <w:rPr>
          <w:rFonts w:ascii="Times New Roman" w:hAnsi="Times New Roman" w:cs="Times New Roman"/>
          <w:color w:val="000000" w:themeColor="text1"/>
          <w:sz w:val="24"/>
          <w:szCs w:val="24"/>
          <w:lang w:val="en-US"/>
        </w:rPr>
        <w:t xml:space="preserve"> Some of these (16 per cent) involve a small group of LDCs.</w:t>
      </w:r>
      <w:r w:rsidRPr="008B2F56">
        <w:rPr>
          <w:rStyle w:val="FootnoteReference"/>
          <w:rFonts w:ascii="Times New Roman" w:hAnsi="Times New Roman" w:cs="Times New Roman"/>
        </w:rPr>
        <w:footnoteReference w:id="122"/>
      </w:r>
      <w:r w:rsidRPr="008B2F56">
        <w:rPr>
          <w:rFonts w:ascii="Times New Roman" w:hAnsi="Times New Roman" w:cs="Times New Roman"/>
          <w:color w:val="000000" w:themeColor="text1"/>
          <w:sz w:val="24"/>
          <w:szCs w:val="24"/>
          <w:lang w:val="en-US"/>
        </w:rPr>
        <w:t xml:space="preserve"> The most important sectors addressed in these cases are mining and quarrying, manufacturing, and wholesale and retail trade – sectors that are important from the perspective of the RtD and SDGs.</w:t>
      </w:r>
      <w:r w:rsidRPr="008B2F56">
        <w:rPr>
          <w:rStyle w:val="FootnoteReference"/>
          <w:rFonts w:ascii="Times New Roman" w:hAnsi="Times New Roman" w:cs="Times New Roman"/>
        </w:rPr>
        <w:footnoteReference w:id="123"/>
      </w:r>
      <w:r w:rsidRPr="008B2F56">
        <w:rPr>
          <w:rFonts w:ascii="Times New Roman" w:hAnsi="Times New Roman" w:cs="Times New Roman"/>
          <w:color w:val="000000" w:themeColor="text1"/>
          <w:sz w:val="24"/>
          <w:szCs w:val="24"/>
          <w:lang w:val="en-US"/>
        </w:rPr>
        <w:t xml:space="preserve"> Nevertheless, the practical contribution of the Guidelines to assist LDCs in achieving the RtD and SDGs seems to be limited due to the low number of LDC-related cases and the limited range of LDCs involved in the cases.</w:t>
      </w:r>
    </w:p>
    <w:p w14:paraId="6CE252DA" w14:textId="6022D3A6" w:rsidR="00F9715B" w:rsidRPr="008B2F56" w:rsidRDefault="00D2004A"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T</w:t>
      </w:r>
      <w:r w:rsidR="00F9715B" w:rsidRPr="008B2F56">
        <w:rPr>
          <w:rFonts w:ascii="Times New Roman" w:hAnsi="Times New Roman" w:cs="Times New Roman"/>
          <w:color w:val="000000" w:themeColor="text1"/>
          <w:sz w:val="24"/>
          <w:szCs w:val="24"/>
          <w:lang w:val="en-US"/>
        </w:rPr>
        <w:t xml:space="preserve">he Guidelines </w:t>
      </w:r>
      <w:r w:rsidRPr="008B2F56">
        <w:rPr>
          <w:rFonts w:ascii="Times New Roman" w:hAnsi="Times New Roman" w:cs="Times New Roman"/>
          <w:color w:val="000000" w:themeColor="text1"/>
          <w:sz w:val="24"/>
          <w:szCs w:val="24"/>
          <w:lang w:val="en-US"/>
        </w:rPr>
        <w:t xml:space="preserve">could have </w:t>
      </w:r>
      <w:r w:rsidR="00F9715B" w:rsidRPr="008B2F56">
        <w:rPr>
          <w:rFonts w:ascii="Times New Roman" w:hAnsi="Times New Roman" w:cs="Times New Roman"/>
          <w:color w:val="000000" w:themeColor="text1"/>
          <w:sz w:val="24"/>
          <w:szCs w:val="24"/>
          <w:lang w:val="en-US"/>
        </w:rPr>
        <w:t>contribute</w:t>
      </w:r>
      <w:r w:rsidRPr="008B2F56">
        <w:rPr>
          <w:rFonts w:ascii="Times New Roman" w:hAnsi="Times New Roman" w:cs="Times New Roman"/>
          <w:color w:val="000000" w:themeColor="text1"/>
          <w:sz w:val="24"/>
          <w:szCs w:val="24"/>
          <w:lang w:val="en-US"/>
        </w:rPr>
        <w:t xml:space="preserve">d significantly </w:t>
      </w:r>
      <w:r w:rsidR="00F9715B" w:rsidRPr="008B2F56">
        <w:rPr>
          <w:rFonts w:ascii="Times New Roman" w:hAnsi="Times New Roman" w:cs="Times New Roman"/>
          <w:color w:val="000000" w:themeColor="text1"/>
          <w:sz w:val="24"/>
          <w:szCs w:val="24"/>
          <w:lang w:val="en-US"/>
        </w:rPr>
        <w:t>to home countries’ engagement with the responsibility of foreign investors in cases involving harm to LDCs and other developing countries. So far, developed countries’ willingness to enhance the impact of the Guidelines through references in IIAs and investment laws has been close to non-existent. Current debates concerning the legitimacy of international investment law and associated negotiations in UNCITRAL</w:t>
      </w:r>
      <w:r w:rsidR="00F9715B" w:rsidRPr="008B2F56">
        <w:rPr>
          <w:rStyle w:val="FootnoteReference"/>
          <w:rFonts w:ascii="Times New Roman" w:hAnsi="Times New Roman" w:cs="Times New Roman"/>
        </w:rPr>
        <w:footnoteReference w:id="124"/>
      </w:r>
      <w:r w:rsidR="00F9715B" w:rsidRPr="008B2F56">
        <w:rPr>
          <w:rFonts w:ascii="Times New Roman" w:hAnsi="Times New Roman" w:cs="Times New Roman"/>
          <w:color w:val="000000" w:themeColor="text1"/>
          <w:sz w:val="24"/>
          <w:szCs w:val="24"/>
          <w:lang w:val="en-US"/>
        </w:rPr>
        <w:t xml:space="preserve"> and UNTAD initiatives</w:t>
      </w:r>
      <w:r w:rsidR="00F9715B" w:rsidRPr="008B2F56">
        <w:rPr>
          <w:rStyle w:val="FootnoteReference"/>
          <w:rFonts w:ascii="Times New Roman" w:hAnsi="Times New Roman" w:cs="Times New Roman"/>
        </w:rPr>
        <w:footnoteReference w:id="125"/>
      </w:r>
      <w:r w:rsidR="00F9715B" w:rsidRPr="008B2F56">
        <w:rPr>
          <w:rFonts w:ascii="Times New Roman" w:hAnsi="Times New Roman" w:cs="Times New Roman"/>
          <w:color w:val="000000" w:themeColor="text1"/>
          <w:sz w:val="24"/>
          <w:szCs w:val="24"/>
          <w:lang w:val="en-US"/>
        </w:rPr>
        <w:t xml:space="preserve"> might provide a window of opportunity to enhance the status and effect of the Guidelines as a means to support the RtD and SDGs.</w:t>
      </w:r>
    </w:p>
    <w:p w14:paraId="49BB9964" w14:textId="5294E27B" w:rsidR="008D367B" w:rsidRPr="008B2F56" w:rsidRDefault="008D367B" w:rsidP="008D76EF">
      <w:pPr>
        <w:spacing w:before="160" w:after="160"/>
        <w:jc w:val="both"/>
        <w:rPr>
          <w:rFonts w:ascii="Times New Roman" w:hAnsi="Times New Roman" w:cs="Times New Roman"/>
          <w:color w:val="000000" w:themeColor="text1"/>
          <w:sz w:val="24"/>
          <w:szCs w:val="24"/>
          <w:lang w:val="en-US"/>
        </w:rPr>
      </w:pPr>
    </w:p>
    <w:p w14:paraId="2F5DAA1D" w14:textId="32112FED" w:rsidR="00E1126A" w:rsidRPr="008B2F56" w:rsidRDefault="00E1126A" w:rsidP="008D76EF">
      <w:pPr>
        <w:pStyle w:val="Heading2"/>
        <w:jc w:val="both"/>
        <w:rPr>
          <w:rFonts w:ascii="Times New Roman" w:hAnsi="Times New Roman" w:cs="Times New Roman"/>
          <w:lang w:val="en-US"/>
        </w:rPr>
      </w:pPr>
      <w:r w:rsidRPr="008B2F56">
        <w:rPr>
          <w:rFonts w:ascii="Times New Roman" w:hAnsi="Times New Roman" w:cs="Times New Roman"/>
          <w:lang w:val="en-US"/>
        </w:rPr>
        <w:lastRenderedPageBreak/>
        <w:t xml:space="preserve">5.4 </w:t>
      </w:r>
      <w:r w:rsidR="003B216D" w:rsidRPr="008B2F56">
        <w:rPr>
          <w:rFonts w:ascii="Times New Roman" w:hAnsi="Times New Roman" w:cs="Times New Roman"/>
          <w:lang w:val="en-US"/>
        </w:rPr>
        <w:t>Transnational corporations and human rights</w:t>
      </w:r>
    </w:p>
    <w:p w14:paraId="13C3512A" w14:textId="79E1056A" w:rsidR="00D2018C" w:rsidRPr="008B2F56" w:rsidRDefault="00EF7EED"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The </w:t>
      </w:r>
      <w:r w:rsidR="000E743D" w:rsidRPr="008B2F56">
        <w:rPr>
          <w:rFonts w:ascii="Times New Roman" w:hAnsi="Times New Roman" w:cs="Times New Roman"/>
          <w:color w:val="000000" w:themeColor="text1"/>
          <w:sz w:val="24"/>
          <w:szCs w:val="24"/>
          <w:lang w:val="en-US"/>
        </w:rPr>
        <w:t>UN</w:t>
      </w:r>
      <w:r w:rsidR="001F20DE" w:rsidRPr="008B2F56">
        <w:rPr>
          <w:rFonts w:ascii="Times New Roman" w:hAnsi="Times New Roman" w:cs="Times New Roman"/>
          <w:color w:val="000000" w:themeColor="text1"/>
          <w:sz w:val="24"/>
          <w:szCs w:val="24"/>
          <w:lang w:val="en-US"/>
        </w:rPr>
        <w:t xml:space="preserve"> Human Rights Council and the High Commissioner for Human Rights have initiated three</w:t>
      </w:r>
      <w:r w:rsidRPr="008B2F56">
        <w:rPr>
          <w:rFonts w:ascii="Times New Roman" w:hAnsi="Times New Roman" w:cs="Times New Roman"/>
          <w:color w:val="000000" w:themeColor="text1"/>
          <w:sz w:val="24"/>
          <w:szCs w:val="24"/>
          <w:lang w:val="en-US"/>
        </w:rPr>
        <w:t xml:space="preserve"> </w:t>
      </w:r>
      <w:r w:rsidR="00247489" w:rsidRPr="008B2F56">
        <w:rPr>
          <w:rFonts w:ascii="Times New Roman" w:hAnsi="Times New Roman" w:cs="Times New Roman"/>
          <w:color w:val="000000" w:themeColor="text1"/>
          <w:sz w:val="24"/>
          <w:szCs w:val="24"/>
          <w:lang w:val="en-US"/>
        </w:rPr>
        <w:t xml:space="preserve">tracks of particular interest to issues of responsibility of foreign investors based on </w:t>
      </w:r>
      <w:r w:rsidR="003B18FD" w:rsidRPr="008B2F56">
        <w:rPr>
          <w:rFonts w:ascii="Times New Roman" w:hAnsi="Times New Roman" w:cs="Times New Roman"/>
          <w:color w:val="000000" w:themeColor="text1"/>
          <w:sz w:val="24"/>
          <w:szCs w:val="24"/>
          <w:lang w:val="en-US"/>
        </w:rPr>
        <w:t xml:space="preserve">the </w:t>
      </w:r>
      <w:r w:rsidR="00247489" w:rsidRPr="008B2F56">
        <w:rPr>
          <w:rFonts w:ascii="Times New Roman" w:hAnsi="Times New Roman" w:cs="Times New Roman"/>
          <w:color w:val="000000" w:themeColor="text1"/>
          <w:sz w:val="24"/>
          <w:szCs w:val="24"/>
          <w:lang w:val="en-US"/>
        </w:rPr>
        <w:t>Guiding Principles on Business and Human Rights</w:t>
      </w:r>
      <w:r w:rsidR="00217081" w:rsidRPr="008B2F56">
        <w:rPr>
          <w:rFonts w:ascii="Times New Roman" w:hAnsi="Times New Roman" w:cs="Times New Roman"/>
          <w:color w:val="000000" w:themeColor="text1"/>
          <w:sz w:val="24"/>
          <w:szCs w:val="24"/>
          <w:lang w:val="en-US"/>
        </w:rPr>
        <w:t>.</w:t>
      </w:r>
      <w:r w:rsidR="00217081" w:rsidRPr="008B2F56">
        <w:rPr>
          <w:rStyle w:val="FootnoteReference"/>
          <w:rFonts w:ascii="Times New Roman" w:hAnsi="Times New Roman" w:cs="Times New Roman"/>
        </w:rPr>
        <w:footnoteReference w:id="126"/>
      </w:r>
      <w:r w:rsidR="0080670F" w:rsidRPr="008B2F56">
        <w:rPr>
          <w:rFonts w:ascii="Times New Roman" w:hAnsi="Times New Roman" w:cs="Times New Roman"/>
          <w:color w:val="000000" w:themeColor="text1"/>
          <w:sz w:val="24"/>
          <w:szCs w:val="24"/>
          <w:lang w:val="en-US"/>
        </w:rPr>
        <w:t xml:space="preserve"> These initiatives refer to</w:t>
      </w:r>
      <w:r w:rsidR="003B18FD" w:rsidRPr="008B2F56">
        <w:rPr>
          <w:rFonts w:ascii="Times New Roman" w:hAnsi="Times New Roman" w:cs="Times New Roman"/>
          <w:color w:val="000000" w:themeColor="text1"/>
          <w:sz w:val="24"/>
          <w:szCs w:val="24"/>
          <w:lang w:val="en-US"/>
        </w:rPr>
        <w:t xml:space="preserve"> the International Bill of Human Rights</w:t>
      </w:r>
      <w:r w:rsidR="003B18FD" w:rsidRPr="008B2F56">
        <w:rPr>
          <w:rStyle w:val="FootnoteReference"/>
          <w:rFonts w:ascii="Times New Roman" w:hAnsi="Times New Roman" w:cs="Times New Roman"/>
        </w:rPr>
        <w:footnoteReference w:id="127"/>
      </w:r>
      <w:r w:rsidR="003B18FD" w:rsidRPr="008B2F56">
        <w:rPr>
          <w:rFonts w:ascii="Times New Roman" w:hAnsi="Times New Roman" w:cs="Times New Roman"/>
          <w:color w:val="000000" w:themeColor="text1"/>
          <w:sz w:val="24"/>
          <w:szCs w:val="24"/>
          <w:lang w:val="en-US"/>
        </w:rPr>
        <w:t xml:space="preserve"> </w:t>
      </w:r>
      <w:r w:rsidR="0080670F" w:rsidRPr="008B2F56">
        <w:rPr>
          <w:rFonts w:ascii="Times New Roman" w:hAnsi="Times New Roman" w:cs="Times New Roman"/>
          <w:color w:val="000000" w:themeColor="text1"/>
          <w:sz w:val="24"/>
          <w:szCs w:val="24"/>
          <w:lang w:val="en-US"/>
        </w:rPr>
        <w:t xml:space="preserve">as well as the </w:t>
      </w:r>
      <w:r w:rsidR="003B18FD" w:rsidRPr="008B2F56">
        <w:rPr>
          <w:rFonts w:ascii="Times New Roman" w:hAnsi="Times New Roman" w:cs="Times New Roman"/>
          <w:color w:val="000000" w:themeColor="text1"/>
          <w:sz w:val="24"/>
          <w:szCs w:val="24"/>
          <w:lang w:val="en-US"/>
        </w:rPr>
        <w:t>eight ILO core conventions as set out in the Declaration on Fundamental Principles and Rights at Work</w:t>
      </w:r>
      <w:r w:rsidR="0080670F" w:rsidRPr="008B2F56">
        <w:rPr>
          <w:rFonts w:ascii="Times New Roman" w:hAnsi="Times New Roman" w:cs="Times New Roman"/>
          <w:color w:val="000000" w:themeColor="text1"/>
          <w:sz w:val="24"/>
          <w:szCs w:val="24"/>
          <w:lang w:val="en-US"/>
        </w:rPr>
        <w:t xml:space="preserve"> (Guiding Principle no. 12)</w:t>
      </w:r>
      <w:r w:rsidR="00D2018C" w:rsidRPr="008B2F56">
        <w:rPr>
          <w:rFonts w:ascii="Times New Roman" w:hAnsi="Times New Roman" w:cs="Times New Roman"/>
          <w:color w:val="000000" w:themeColor="text1"/>
          <w:sz w:val="24"/>
          <w:szCs w:val="24"/>
          <w:lang w:val="en-US"/>
        </w:rPr>
        <w:t>. They are thereby highly relevant to the RtD and a broad range of SDGs</w:t>
      </w:r>
      <w:r w:rsidR="003B18FD" w:rsidRPr="008B2F56">
        <w:rPr>
          <w:rFonts w:ascii="Times New Roman" w:hAnsi="Times New Roman" w:cs="Times New Roman"/>
          <w:color w:val="000000" w:themeColor="text1"/>
          <w:sz w:val="24"/>
          <w:szCs w:val="24"/>
          <w:lang w:val="en-US"/>
        </w:rPr>
        <w:t>.</w:t>
      </w:r>
      <w:r w:rsidR="00C33677" w:rsidRPr="008B2F56">
        <w:rPr>
          <w:rFonts w:ascii="Times New Roman" w:hAnsi="Times New Roman" w:cs="Times New Roman"/>
          <w:color w:val="000000" w:themeColor="text1"/>
          <w:sz w:val="24"/>
          <w:szCs w:val="24"/>
          <w:lang w:val="en-US"/>
        </w:rPr>
        <w:t xml:space="preserve"> </w:t>
      </w:r>
    </w:p>
    <w:p w14:paraId="4D7AB802" w14:textId="4D9695EE" w:rsidR="00B0537D" w:rsidRPr="008B2F56" w:rsidRDefault="00C33677"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The first track is the follow</w:t>
      </w:r>
      <w:r w:rsidR="00D2018C" w:rsidRPr="008B2F56">
        <w:rPr>
          <w:rFonts w:ascii="Times New Roman" w:hAnsi="Times New Roman" w:cs="Times New Roman"/>
          <w:color w:val="000000" w:themeColor="text1"/>
          <w:sz w:val="24"/>
          <w:szCs w:val="24"/>
          <w:lang w:val="en-US"/>
        </w:rPr>
        <w:t>-</w:t>
      </w:r>
      <w:r w:rsidRPr="008B2F56">
        <w:rPr>
          <w:rFonts w:ascii="Times New Roman" w:hAnsi="Times New Roman" w:cs="Times New Roman"/>
          <w:color w:val="000000" w:themeColor="text1"/>
          <w:sz w:val="24"/>
          <w:szCs w:val="24"/>
          <w:lang w:val="en-US"/>
        </w:rPr>
        <w:t xml:space="preserve">up of the Guiding Principles by the Working Group on the issue of human rights and transnational corporations and other business enterprises, established </w:t>
      </w:r>
      <w:r w:rsidR="00D2018C" w:rsidRPr="008B2F56">
        <w:rPr>
          <w:rFonts w:ascii="Times New Roman" w:hAnsi="Times New Roman" w:cs="Times New Roman"/>
          <w:color w:val="000000" w:themeColor="text1"/>
          <w:sz w:val="24"/>
          <w:szCs w:val="24"/>
          <w:lang w:val="en-US"/>
        </w:rPr>
        <w:t xml:space="preserve">in </w:t>
      </w:r>
      <w:r w:rsidRPr="008B2F56">
        <w:rPr>
          <w:rFonts w:ascii="Times New Roman" w:hAnsi="Times New Roman" w:cs="Times New Roman"/>
          <w:color w:val="000000" w:themeColor="text1"/>
          <w:sz w:val="24"/>
          <w:szCs w:val="24"/>
          <w:lang w:val="en-US"/>
        </w:rPr>
        <w:t>2011.</w:t>
      </w:r>
      <w:r w:rsidRPr="008B2F56">
        <w:rPr>
          <w:rStyle w:val="FootnoteReference"/>
          <w:rFonts w:ascii="Times New Roman" w:hAnsi="Times New Roman" w:cs="Times New Roman"/>
        </w:rPr>
        <w:footnoteReference w:id="128"/>
      </w:r>
      <w:r w:rsidRPr="008B2F56">
        <w:rPr>
          <w:rFonts w:ascii="Times New Roman" w:hAnsi="Times New Roman" w:cs="Times New Roman"/>
          <w:color w:val="000000" w:themeColor="text1"/>
          <w:sz w:val="24"/>
          <w:szCs w:val="24"/>
          <w:lang w:val="en-US"/>
        </w:rPr>
        <w:t xml:space="preserve"> One tasks </w:t>
      </w:r>
      <w:r w:rsidR="00D2018C" w:rsidRPr="008B2F56">
        <w:rPr>
          <w:rFonts w:ascii="Times New Roman" w:hAnsi="Times New Roman" w:cs="Times New Roman"/>
          <w:color w:val="000000" w:themeColor="text1"/>
          <w:sz w:val="24"/>
          <w:szCs w:val="24"/>
          <w:lang w:val="en-US"/>
        </w:rPr>
        <w:t xml:space="preserve">of particular relevance to FDI </w:t>
      </w:r>
      <w:r w:rsidRPr="008B2F56">
        <w:rPr>
          <w:rFonts w:ascii="Times New Roman" w:hAnsi="Times New Roman" w:cs="Times New Roman"/>
          <w:color w:val="000000" w:themeColor="text1"/>
          <w:sz w:val="24"/>
          <w:szCs w:val="24"/>
          <w:lang w:val="en-US"/>
        </w:rPr>
        <w:t>is to “explore options and make recommendations at the national, regional and international levels for enhancing access to effective remedies available to those whose human rights are affected by corporate activities.”</w:t>
      </w:r>
      <w:r w:rsidRPr="008B2F56">
        <w:rPr>
          <w:rStyle w:val="FootnoteReference"/>
          <w:rFonts w:ascii="Times New Roman" w:hAnsi="Times New Roman" w:cs="Times New Roman"/>
        </w:rPr>
        <w:footnoteReference w:id="129"/>
      </w:r>
      <w:r w:rsidRPr="008B2F56">
        <w:rPr>
          <w:rFonts w:ascii="Times New Roman" w:hAnsi="Times New Roman" w:cs="Times New Roman"/>
          <w:color w:val="000000" w:themeColor="text1"/>
          <w:sz w:val="24"/>
          <w:szCs w:val="24"/>
          <w:lang w:val="en-US"/>
        </w:rPr>
        <w:t xml:space="preserve"> The Guiding Principles are weak in terms of specific obligations to ensure effective access to remedies </w:t>
      </w:r>
      <w:r w:rsidR="005D59E6" w:rsidRPr="008B2F56">
        <w:rPr>
          <w:rFonts w:ascii="Times New Roman" w:hAnsi="Times New Roman" w:cs="Times New Roman"/>
          <w:color w:val="000000" w:themeColor="text1"/>
          <w:sz w:val="24"/>
          <w:szCs w:val="24"/>
          <w:lang w:val="en-US"/>
        </w:rPr>
        <w:t>for</w:t>
      </w:r>
      <w:r w:rsidRPr="008B2F56">
        <w:rPr>
          <w:rFonts w:ascii="Times New Roman" w:hAnsi="Times New Roman" w:cs="Times New Roman"/>
          <w:color w:val="000000" w:themeColor="text1"/>
          <w:sz w:val="24"/>
          <w:szCs w:val="24"/>
          <w:lang w:val="en-US"/>
        </w:rPr>
        <w:t xml:space="preserve"> harm caused through activities funded </w:t>
      </w:r>
      <w:r w:rsidR="005D59E6" w:rsidRPr="008B2F56">
        <w:rPr>
          <w:rFonts w:ascii="Times New Roman" w:hAnsi="Times New Roman" w:cs="Times New Roman"/>
          <w:color w:val="000000" w:themeColor="text1"/>
          <w:sz w:val="24"/>
          <w:szCs w:val="24"/>
          <w:lang w:val="en-US"/>
        </w:rPr>
        <w:t>through</w:t>
      </w:r>
      <w:r w:rsidRPr="008B2F56">
        <w:rPr>
          <w:rFonts w:ascii="Times New Roman" w:hAnsi="Times New Roman" w:cs="Times New Roman"/>
          <w:color w:val="000000" w:themeColor="text1"/>
          <w:sz w:val="24"/>
          <w:szCs w:val="24"/>
          <w:lang w:val="en-US"/>
        </w:rPr>
        <w:t xml:space="preserve"> FDI (</w:t>
      </w:r>
      <w:r w:rsidR="00D2018C" w:rsidRPr="008B2F56">
        <w:rPr>
          <w:rFonts w:ascii="Times New Roman" w:hAnsi="Times New Roman" w:cs="Times New Roman"/>
          <w:color w:val="000000" w:themeColor="text1"/>
          <w:sz w:val="24"/>
          <w:szCs w:val="24"/>
          <w:lang w:val="en-US"/>
        </w:rPr>
        <w:t xml:space="preserve">see </w:t>
      </w:r>
      <w:r w:rsidRPr="008B2F56">
        <w:rPr>
          <w:rFonts w:ascii="Times New Roman" w:hAnsi="Times New Roman" w:cs="Times New Roman"/>
          <w:color w:val="000000" w:themeColor="text1"/>
          <w:sz w:val="24"/>
          <w:szCs w:val="24"/>
          <w:lang w:val="en-US"/>
        </w:rPr>
        <w:t>principles 26, 27 and 31).</w:t>
      </w:r>
      <w:r w:rsidR="0010091B" w:rsidRPr="008B2F56">
        <w:rPr>
          <w:rFonts w:ascii="Times New Roman" w:hAnsi="Times New Roman" w:cs="Times New Roman"/>
          <w:color w:val="000000" w:themeColor="text1"/>
          <w:sz w:val="24"/>
          <w:szCs w:val="24"/>
          <w:lang w:val="en-US"/>
        </w:rPr>
        <w:t xml:space="preserve"> When renewing the mandate of the Working Group in 2014</w:t>
      </w:r>
      <w:r w:rsidR="009043AD" w:rsidRPr="008B2F56">
        <w:rPr>
          <w:rFonts w:ascii="Times New Roman" w:hAnsi="Times New Roman" w:cs="Times New Roman"/>
          <w:color w:val="000000" w:themeColor="text1"/>
          <w:sz w:val="24"/>
          <w:szCs w:val="24"/>
          <w:lang w:val="en-US"/>
        </w:rPr>
        <w:t xml:space="preserve"> and 2017</w:t>
      </w:r>
      <w:r w:rsidR="0010091B" w:rsidRPr="008B2F56">
        <w:rPr>
          <w:rFonts w:ascii="Times New Roman" w:hAnsi="Times New Roman" w:cs="Times New Roman"/>
          <w:color w:val="000000" w:themeColor="text1"/>
          <w:sz w:val="24"/>
          <w:szCs w:val="24"/>
          <w:lang w:val="en-US"/>
        </w:rPr>
        <w:t xml:space="preserve">, the </w:t>
      </w:r>
      <w:r w:rsidR="000E743D" w:rsidRPr="008B2F56">
        <w:rPr>
          <w:rFonts w:ascii="Times New Roman" w:hAnsi="Times New Roman" w:cs="Times New Roman"/>
          <w:color w:val="000000" w:themeColor="text1"/>
          <w:sz w:val="24"/>
          <w:szCs w:val="24"/>
          <w:lang w:val="en-US"/>
        </w:rPr>
        <w:t xml:space="preserve">Human Rights Council </w:t>
      </w:r>
      <w:r w:rsidR="0010091B" w:rsidRPr="008B2F56">
        <w:rPr>
          <w:rFonts w:ascii="Times New Roman" w:hAnsi="Times New Roman" w:cs="Times New Roman"/>
          <w:color w:val="000000" w:themeColor="text1"/>
          <w:sz w:val="24"/>
          <w:szCs w:val="24"/>
          <w:lang w:val="en-US"/>
        </w:rPr>
        <w:t>expressed concern about the “legal and practical barriers to remedies for business-related human rights abuses, which may leave those aggrieved without opportunity for effective remedy, including through judicial and non-judicial avenues, and recognizing that it may be further considered whether relevant legal frameworks would provide more effective avenues of remedy for affected individuals and communities</w:t>
      </w:r>
      <w:r w:rsidR="000E743D" w:rsidRPr="008B2F56">
        <w:rPr>
          <w:rFonts w:ascii="Times New Roman" w:hAnsi="Times New Roman" w:cs="Times New Roman"/>
          <w:color w:val="000000" w:themeColor="text1"/>
          <w:sz w:val="24"/>
          <w:szCs w:val="24"/>
          <w:lang w:val="en-US"/>
        </w:rPr>
        <w:t>.</w:t>
      </w:r>
      <w:r w:rsidR="0010091B" w:rsidRPr="008B2F56">
        <w:rPr>
          <w:rFonts w:ascii="Times New Roman" w:hAnsi="Times New Roman" w:cs="Times New Roman"/>
          <w:color w:val="000000" w:themeColor="text1"/>
          <w:sz w:val="24"/>
          <w:szCs w:val="24"/>
          <w:lang w:val="en-US"/>
        </w:rPr>
        <w:t>”</w:t>
      </w:r>
      <w:r w:rsidR="000E743D" w:rsidRPr="008B2F56">
        <w:rPr>
          <w:rFonts w:ascii="Times New Roman" w:hAnsi="Times New Roman" w:cs="Times New Roman"/>
          <w:color w:val="000000" w:themeColor="text1"/>
          <w:sz w:val="24"/>
          <w:szCs w:val="24"/>
          <w:lang w:val="en-US"/>
        </w:rPr>
        <w:t xml:space="preserve"> The Working Group’s follow-up regarding access to effective remedies became a central topic in resolutions of the Human Rights Council</w:t>
      </w:r>
      <w:r w:rsidR="00D82486" w:rsidRPr="008B2F56">
        <w:rPr>
          <w:rFonts w:ascii="Times New Roman" w:hAnsi="Times New Roman" w:cs="Times New Roman"/>
          <w:color w:val="000000" w:themeColor="text1"/>
          <w:sz w:val="24"/>
          <w:szCs w:val="24"/>
          <w:lang w:val="en-US"/>
        </w:rPr>
        <w:t xml:space="preserve"> and has increasingly focused on “cross-border cases</w:t>
      </w:r>
      <w:r w:rsidR="000E743D" w:rsidRPr="008B2F56">
        <w:rPr>
          <w:rFonts w:ascii="Times New Roman" w:hAnsi="Times New Roman" w:cs="Times New Roman"/>
          <w:color w:val="000000" w:themeColor="text1"/>
          <w:sz w:val="24"/>
          <w:szCs w:val="24"/>
          <w:lang w:val="en-US"/>
        </w:rPr>
        <w:t>.</w:t>
      </w:r>
      <w:r w:rsidR="00D82486" w:rsidRPr="008B2F56">
        <w:rPr>
          <w:rFonts w:ascii="Times New Roman" w:hAnsi="Times New Roman" w:cs="Times New Roman"/>
          <w:color w:val="000000" w:themeColor="text1"/>
          <w:sz w:val="24"/>
          <w:szCs w:val="24"/>
          <w:lang w:val="en-US"/>
        </w:rPr>
        <w:t>”</w:t>
      </w:r>
      <w:r w:rsidR="0010091B" w:rsidRPr="008B2F56">
        <w:rPr>
          <w:rStyle w:val="FootnoteReference"/>
          <w:rFonts w:ascii="Times New Roman" w:hAnsi="Times New Roman" w:cs="Times New Roman"/>
        </w:rPr>
        <w:footnoteReference w:id="130"/>
      </w:r>
      <w:r w:rsidR="00B0537D" w:rsidRPr="008B2F56">
        <w:rPr>
          <w:rFonts w:ascii="Times New Roman" w:hAnsi="Times New Roman" w:cs="Times New Roman"/>
          <w:color w:val="000000" w:themeColor="text1"/>
          <w:sz w:val="24"/>
          <w:szCs w:val="24"/>
          <w:lang w:val="en-US"/>
        </w:rPr>
        <w:t xml:space="preserve"> </w:t>
      </w:r>
      <w:r w:rsidR="00F27C39" w:rsidRPr="008B2F56">
        <w:rPr>
          <w:rFonts w:ascii="Times New Roman" w:hAnsi="Times New Roman" w:cs="Times New Roman"/>
          <w:color w:val="000000" w:themeColor="text1"/>
          <w:sz w:val="24"/>
          <w:szCs w:val="24"/>
          <w:lang w:val="en-US"/>
        </w:rPr>
        <w:t xml:space="preserve">However, the </w:t>
      </w:r>
      <w:r w:rsidR="0041300A" w:rsidRPr="008B2F56">
        <w:rPr>
          <w:rFonts w:ascii="Times New Roman" w:hAnsi="Times New Roman" w:cs="Times New Roman"/>
          <w:color w:val="000000" w:themeColor="text1"/>
          <w:sz w:val="24"/>
          <w:szCs w:val="24"/>
          <w:lang w:val="en-US"/>
        </w:rPr>
        <w:t xml:space="preserve">Working Group </w:t>
      </w:r>
      <w:r w:rsidR="00F27C39" w:rsidRPr="008B2F56">
        <w:rPr>
          <w:rFonts w:ascii="Times New Roman" w:hAnsi="Times New Roman" w:cs="Times New Roman"/>
          <w:color w:val="000000" w:themeColor="text1"/>
          <w:sz w:val="24"/>
          <w:szCs w:val="24"/>
          <w:lang w:val="en-US"/>
        </w:rPr>
        <w:t>initiatives have so far had limited</w:t>
      </w:r>
      <w:r w:rsidR="0041300A" w:rsidRPr="008B2F56">
        <w:rPr>
          <w:rFonts w:ascii="Times New Roman" w:hAnsi="Times New Roman" w:cs="Times New Roman"/>
          <w:color w:val="000000" w:themeColor="text1"/>
          <w:sz w:val="24"/>
          <w:szCs w:val="24"/>
          <w:lang w:val="en-US"/>
        </w:rPr>
        <w:t xml:space="preserve"> results in terms of improved access to remedies</w:t>
      </w:r>
      <w:r w:rsidR="00F27C39" w:rsidRPr="008B2F56">
        <w:rPr>
          <w:rFonts w:ascii="Times New Roman" w:hAnsi="Times New Roman" w:cs="Times New Roman"/>
          <w:color w:val="000000" w:themeColor="text1"/>
          <w:sz w:val="24"/>
          <w:szCs w:val="24"/>
          <w:lang w:val="en-US"/>
        </w:rPr>
        <w:t xml:space="preserve"> in cases involving </w:t>
      </w:r>
      <w:r w:rsidR="005D59E6" w:rsidRPr="008B2F56">
        <w:rPr>
          <w:rFonts w:ascii="Times New Roman" w:hAnsi="Times New Roman" w:cs="Times New Roman"/>
          <w:color w:val="000000" w:themeColor="text1"/>
          <w:sz w:val="24"/>
          <w:szCs w:val="24"/>
          <w:lang w:val="en-US"/>
        </w:rPr>
        <w:t>FDI</w:t>
      </w:r>
      <w:r w:rsidR="00F27C39" w:rsidRPr="008B2F56">
        <w:rPr>
          <w:rFonts w:ascii="Times New Roman" w:hAnsi="Times New Roman" w:cs="Times New Roman"/>
          <w:color w:val="000000" w:themeColor="text1"/>
          <w:sz w:val="24"/>
          <w:szCs w:val="24"/>
          <w:lang w:val="en-US"/>
        </w:rPr>
        <w:t>.</w:t>
      </w:r>
    </w:p>
    <w:p w14:paraId="75B05068" w14:textId="2BDA9726" w:rsidR="00F91C19" w:rsidRPr="008B2F56" w:rsidRDefault="00B0537D"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The second track started </w:t>
      </w:r>
      <w:r w:rsidR="00D2018C" w:rsidRPr="008B2F56">
        <w:rPr>
          <w:rFonts w:ascii="Times New Roman" w:hAnsi="Times New Roman" w:cs="Times New Roman"/>
          <w:color w:val="000000" w:themeColor="text1"/>
          <w:sz w:val="24"/>
          <w:szCs w:val="24"/>
          <w:lang w:val="en-US"/>
        </w:rPr>
        <w:t xml:space="preserve">in 2014 </w:t>
      </w:r>
      <w:r w:rsidRPr="008B2F56">
        <w:rPr>
          <w:rFonts w:ascii="Times New Roman" w:hAnsi="Times New Roman" w:cs="Times New Roman"/>
          <w:color w:val="000000" w:themeColor="text1"/>
          <w:sz w:val="24"/>
          <w:szCs w:val="24"/>
          <w:lang w:val="en-US"/>
        </w:rPr>
        <w:t xml:space="preserve">with the establishment of an </w:t>
      </w:r>
      <w:r w:rsidR="002A462E" w:rsidRPr="008B2F56">
        <w:rPr>
          <w:rFonts w:ascii="Times New Roman" w:hAnsi="Times New Roman" w:cs="Times New Roman"/>
          <w:color w:val="000000" w:themeColor="text1"/>
          <w:sz w:val="24"/>
          <w:szCs w:val="24"/>
          <w:lang w:val="en-US"/>
        </w:rPr>
        <w:t>“</w:t>
      </w:r>
      <w:r w:rsidRPr="008B2F56">
        <w:rPr>
          <w:rFonts w:ascii="Times New Roman" w:hAnsi="Times New Roman" w:cs="Times New Roman"/>
          <w:color w:val="000000" w:themeColor="text1"/>
          <w:sz w:val="24"/>
          <w:szCs w:val="24"/>
          <w:lang w:val="en-US"/>
        </w:rPr>
        <w:t>open-ended intergovernmental working group on transnational corporations and other business enterprises with respect to human rights</w:t>
      </w:r>
      <w:r w:rsidR="002A462E" w:rsidRPr="008B2F56">
        <w:rPr>
          <w:rFonts w:ascii="Times New Roman" w:hAnsi="Times New Roman" w:cs="Times New Roman"/>
          <w:color w:val="000000" w:themeColor="text1"/>
          <w:sz w:val="24"/>
          <w:szCs w:val="24"/>
          <w:lang w:val="en-US"/>
        </w:rPr>
        <w:t>”</w:t>
      </w:r>
      <w:r w:rsidRPr="008B2F56">
        <w:rPr>
          <w:rFonts w:ascii="Times New Roman" w:hAnsi="Times New Roman" w:cs="Times New Roman"/>
          <w:color w:val="000000" w:themeColor="text1"/>
          <w:sz w:val="24"/>
          <w:szCs w:val="24"/>
          <w:lang w:val="en-US"/>
        </w:rPr>
        <w:t xml:space="preserve"> </w:t>
      </w:r>
      <w:r w:rsidR="002A462E" w:rsidRPr="008B2F56">
        <w:rPr>
          <w:rFonts w:ascii="Times New Roman" w:hAnsi="Times New Roman" w:cs="Times New Roman"/>
          <w:color w:val="000000" w:themeColor="text1"/>
          <w:sz w:val="24"/>
          <w:szCs w:val="24"/>
          <w:lang w:val="en-US"/>
        </w:rPr>
        <w:t xml:space="preserve">whose task is </w:t>
      </w:r>
      <w:r w:rsidRPr="008B2F56">
        <w:rPr>
          <w:rFonts w:ascii="Times New Roman" w:hAnsi="Times New Roman" w:cs="Times New Roman"/>
          <w:color w:val="000000" w:themeColor="text1"/>
          <w:sz w:val="24"/>
          <w:szCs w:val="24"/>
          <w:lang w:val="en-US"/>
        </w:rPr>
        <w:t>to elaborate an “international legally binding instrument on transnational corporations and other business enterprises with respect to human rights.”</w:t>
      </w:r>
      <w:r w:rsidRPr="008B2F56">
        <w:rPr>
          <w:rStyle w:val="FootnoteReference"/>
          <w:rFonts w:ascii="Times New Roman" w:hAnsi="Times New Roman" w:cs="Times New Roman"/>
        </w:rPr>
        <w:footnoteReference w:id="131"/>
      </w:r>
      <w:r w:rsidR="002A462E" w:rsidRPr="008B2F56">
        <w:rPr>
          <w:rFonts w:ascii="Times New Roman" w:hAnsi="Times New Roman" w:cs="Times New Roman"/>
          <w:color w:val="000000" w:themeColor="text1"/>
          <w:sz w:val="24"/>
          <w:szCs w:val="24"/>
          <w:lang w:val="en-US"/>
        </w:rPr>
        <w:t xml:space="preserve"> </w:t>
      </w:r>
      <w:r w:rsidR="00055556" w:rsidRPr="008B2F56">
        <w:rPr>
          <w:rFonts w:ascii="Times New Roman" w:hAnsi="Times New Roman" w:cs="Times New Roman"/>
          <w:color w:val="000000" w:themeColor="text1"/>
          <w:sz w:val="24"/>
          <w:szCs w:val="24"/>
          <w:lang w:val="en-US"/>
        </w:rPr>
        <w:t xml:space="preserve">At its fourth session </w:t>
      </w:r>
      <w:r w:rsidR="00055556" w:rsidRPr="008B2F56">
        <w:rPr>
          <w:rFonts w:ascii="Times New Roman" w:hAnsi="Times New Roman" w:cs="Times New Roman"/>
          <w:color w:val="000000" w:themeColor="text1"/>
          <w:sz w:val="24"/>
          <w:szCs w:val="24"/>
          <w:lang w:val="en-US"/>
        </w:rPr>
        <w:lastRenderedPageBreak/>
        <w:t xml:space="preserve">in </w:t>
      </w:r>
      <w:r w:rsidR="002A462E" w:rsidRPr="008B2F56">
        <w:rPr>
          <w:rFonts w:ascii="Times New Roman" w:hAnsi="Times New Roman" w:cs="Times New Roman"/>
          <w:color w:val="000000" w:themeColor="text1"/>
          <w:sz w:val="24"/>
          <w:szCs w:val="24"/>
          <w:lang w:val="en-US"/>
        </w:rPr>
        <w:t>2018, the</w:t>
      </w:r>
      <w:r w:rsidR="00055556" w:rsidRPr="008B2F56">
        <w:rPr>
          <w:rFonts w:ascii="Times New Roman" w:hAnsi="Times New Roman" w:cs="Times New Roman"/>
          <w:color w:val="000000" w:themeColor="text1"/>
          <w:sz w:val="24"/>
          <w:szCs w:val="24"/>
          <w:lang w:val="en-US"/>
        </w:rPr>
        <w:t xml:space="preserve"> working group carried out its first reading of a draft instrument.</w:t>
      </w:r>
      <w:r w:rsidR="00055556" w:rsidRPr="008B2F56">
        <w:rPr>
          <w:rStyle w:val="FootnoteReference"/>
          <w:rFonts w:ascii="Times New Roman" w:hAnsi="Times New Roman" w:cs="Times New Roman"/>
        </w:rPr>
        <w:footnoteReference w:id="132"/>
      </w:r>
      <w:r w:rsidR="00055556" w:rsidRPr="008B2F56">
        <w:rPr>
          <w:rFonts w:ascii="Times New Roman" w:hAnsi="Times New Roman" w:cs="Times New Roman"/>
          <w:color w:val="000000" w:themeColor="text1"/>
          <w:sz w:val="24"/>
          <w:szCs w:val="24"/>
          <w:lang w:val="en-US"/>
        </w:rPr>
        <w:t xml:space="preserve"> </w:t>
      </w:r>
      <w:r w:rsidR="00F91C19" w:rsidRPr="008B2F56">
        <w:rPr>
          <w:rFonts w:ascii="Times New Roman" w:hAnsi="Times New Roman" w:cs="Times New Roman"/>
          <w:color w:val="000000" w:themeColor="text1"/>
          <w:sz w:val="24"/>
          <w:szCs w:val="24"/>
          <w:lang w:val="en-US"/>
        </w:rPr>
        <w:t>Article 10 of the draft proposes rules on “legal liability” and establishes the following starting point:</w:t>
      </w:r>
    </w:p>
    <w:p w14:paraId="7CD29800" w14:textId="70AE74CE" w:rsidR="00F91C19" w:rsidRPr="008B2F56" w:rsidRDefault="00F91C19" w:rsidP="008D76EF">
      <w:pPr>
        <w:spacing w:before="160" w:after="160"/>
        <w:ind w:left="72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State Parties shall ensure through their domestic law that natural and legal persons may be held criminally, civil or administratively liable for violations of human rights undertaken in the context of business activities of transnational character. Such liability shall be subject to effective, proportionate, and dissuasive criminal and non-criminal sanctions, including monetary sanctions. Liability of legal persons shall be without prejudice to the liability of natural persons.</w:t>
      </w:r>
    </w:p>
    <w:p w14:paraId="1D5ACF48" w14:textId="14FB7BC9" w:rsidR="0075420D" w:rsidRPr="008B2F56" w:rsidRDefault="001248A6"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In addition, article 11 proposes elaborate rules on “mutual legal assistance” in individual cases. </w:t>
      </w:r>
      <w:r w:rsidR="00E111BF" w:rsidRPr="008B2F56">
        <w:rPr>
          <w:rFonts w:ascii="Times New Roman" w:hAnsi="Times New Roman" w:cs="Times New Roman"/>
          <w:color w:val="000000" w:themeColor="text1"/>
          <w:sz w:val="24"/>
          <w:szCs w:val="24"/>
          <w:lang w:val="en-US"/>
        </w:rPr>
        <w:t xml:space="preserve">The draft proposes to establish an “International Fund for Victims” (art. 8.7). </w:t>
      </w:r>
      <w:r w:rsidR="009204C9" w:rsidRPr="008B2F56">
        <w:rPr>
          <w:rFonts w:ascii="Times New Roman" w:hAnsi="Times New Roman" w:cs="Times New Roman"/>
          <w:color w:val="000000" w:themeColor="text1"/>
          <w:sz w:val="24"/>
          <w:szCs w:val="24"/>
          <w:lang w:val="en-US"/>
        </w:rPr>
        <w:t>It</w:t>
      </w:r>
      <w:r w:rsidR="00E111BF" w:rsidRPr="008B2F56">
        <w:rPr>
          <w:rFonts w:ascii="Times New Roman" w:hAnsi="Times New Roman" w:cs="Times New Roman"/>
          <w:color w:val="000000" w:themeColor="text1"/>
          <w:sz w:val="24"/>
          <w:szCs w:val="24"/>
          <w:lang w:val="en-US"/>
        </w:rPr>
        <w:t xml:space="preserve"> includes an</w:t>
      </w:r>
      <w:r w:rsidR="001F20DE" w:rsidRPr="008B2F56">
        <w:rPr>
          <w:rFonts w:ascii="Times New Roman" w:hAnsi="Times New Roman" w:cs="Times New Roman"/>
          <w:color w:val="000000" w:themeColor="text1"/>
          <w:sz w:val="24"/>
          <w:szCs w:val="24"/>
          <w:lang w:val="en-US"/>
        </w:rPr>
        <w:t xml:space="preserve"> optional protocol </w:t>
      </w:r>
      <w:r w:rsidR="0031691C" w:rsidRPr="008B2F56">
        <w:rPr>
          <w:rFonts w:ascii="Times New Roman" w:hAnsi="Times New Roman" w:cs="Times New Roman"/>
          <w:color w:val="000000" w:themeColor="text1"/>
          <w:sz w:val="24"/>
          <w:szCs w:val="24"/>
          <w:lang w:val="en-US"/>
        </w:rPr>
        <w:t xml:space="preserve">that </w:t>
      </w:r>
      <w:r w:rsidR="00E111BF" w:rsidRPr="008B2F56">
        <w:rPr>
          <w:rFonts w:ascii="Times New Roman" w:hAnsi="Times New Roman" w:cs="Times New Roman"/>
          <w:color w:val="000000" w:themeColor="text1"/>
          <w:sz w:val="24"/>
          <w:szCs w:val="24"/>
          <w:lang w:val="en-US"/>
        </w:rPr>
        <w:t xml:space="preserve">would establish </w:t>
      </w:r>
      <w:r w:rsidR="0031691C" w:rsidRPr="008B2F56">
        <w:rPr>
          <w:rFonts w:ascii="Times New Roman" w:hAnsi="Times New Roman" w:cs="Times New Roman"/>
          <w:color w:val="000000" w:themeColor="text1"/>
          <w:sz w:val="24"/>
          <w:szCs w:val="24"/>
          <w:lang w:val="en-US"/>
        </w:rPr>
        <w:t xml:space="preserve">“National Implementation Mechanisms”, similar to the National Contact Points of the OECD Guidelines, </w:t>
      </w:r>
      <w:r w:rsidR="001F20DE" w:rsidRPr="008B2F56">
        <w:rPr>
          <w:rFonts w:ascii="Times New Roman" w:hAnsi="Times New Roman" w:cs="Times New Roman"/>
          <w:color w:val="000000" w:themeColor="text1"/>
          <w:sz w:val="24"/>
          <w:szCs w:val="24"/>
          <w:lang w:val="en-US"/>
        </w:rPr>
        <w:t xml:space="preserve">and </w:t>
      </w:r>
      <w:r w:rsidR="00E111BF" w:rsidRPr="008B2F56">
        <w:rPr>
          <w:rFonts w:ascii="Times New Roman" w:hAnsi="Times New Roman" w:cs="Times New Roman"/>
          <w:color w:val="000000" w:themeColor="text1"/>
          <w:sz w:val="24"/>
          <w:szCs w:val="24"/>
          <w:lang w:val="en-US"/>
        </w:rPr>
        <w:t xml:space="preserve">allow </w:t>
      </w:r>
      <w:r w:rsidR="001F20DE" w:rsidRPr="008B2F56">
        <w:rPr>
          <w:rFonts w:ascii="Times New Roman" w:hAnsi="Times New Roman" w:cs="Times New Roman"/>
          <w:color w:val="000000" w:themeColor="text1"/>
          <w:sz w:val="24"/>
          <w:szCs w:val="24"/>
          <w:lang w:val="en-US"/>
        </w:rPr>
        <w:t xml:space="preserve">the committee </w:t>
      </w:r>
      <w:r w:rsidR="00E111BF" w:rsidRPr="008B2F56">
        <w:rPr>
          <w:rFonts w:ascii="Times New Roman" w:hAnsi="Times New Roman" w:cs="Times New Roman"/>
          <w:color w:val="000000" w:themeColor="text1"/>
          <w:sz w:val="24"/>
          <w:szCs w:val="24"/>
          <w:lang w:val="en-US"/>
        </w:rPr>
        <w:t>established by the main instrument to</w:t>
      </w:r>
      <w:r w:rsidR="001F20DE" w:rsidRPr="008B2F56">
        <w:rPr>
          <w:rFonts w:ascii="Times New Roman" w:hAnsi="Times New Roman" w:cs="Times New Roman"/>
          <w:color w:val="000000" w:themeColor="text1"/>
          <w:sz w:val="24"/>
          <w:szCs w:val="24"/>
          <w:lang w:val="en-US"/>
        </w:rPr>
        <w:t xml:space="preserve"> receive and consider communications in specific cases.</w:t>
      </w:r>
      <w:r w:rsidR="000A5894" w:rsidRPr="008B2F56">
        <w:rPr>
          <w:rFonts w:ascii="Times New Roman" w:hAnsi="Times New Roman" w:cs="Times New Roman"/>
          <w:color w:val="000000" w:themeColor="text1"/>
          <w:sz w:val="24"/>
          <w:szCs w:val="24"/>
          <w:lang w:val="en-US"/>
        </w:rPr>
        <w:t xml:space="preserve"> </w:t>
      </w:r>
      <w:r w:rsidR="00270601" w:rsidRPr="008B2F56">
        <w:rPr>
          <w:rFonts w:ascii="Times New Roman" w:hAnsi="Times New Roman" w:cs="Times New Roman"/>
          <w:color w:val="000000" w:themeColor="text1"/>
          <w:sz w:val="24"/>
          <w:szCs w:val="24"/>
          <w:lang w:val="en-US"/>
        </w:rPr>
        <w:t xml:space="preserve">The draft instrument </w:t>
      </w:r>
      <w:r w:rsidR="000A5894" w:rsidRPr="008B2F56">
        <w:rPr>
          <w:rFonts w:ascii="Times New Roman" w:hAnsi="Times New Roman" w:cs="Times New Roman"/>
          <w:color w:val="000000" w:themeColor="text1"/>
          <w:sz w:val="24"/>
          <w:szCs w:val="24"/>
          <w:lang w:val="en-US"/>
        </w:rPr>
        <w:t>and protocol are</w:t>
      </w:r>
      <w:r w:rsidR="00270601" w:rsidRPr="008B2F56">
        <w:rPr>
          <w:rFonts w:ascii="Times New Roman" w:hAnsi="Times New Roman" w:cs="Times New Roman"/>
          <w:color w:val="000000" w:themeColor="text1"/>
          <w:sz w:val="24"/>
          <w:szCs w:val="24"/>
          <w:lang w:val="en-US"/>
        </w:rPr>
        <w:t xml:space="preserve"> still, more than four years after the establishment of the Working Group, in an early phase</w:t>
      </w:r>
      <w:r w:rsidR="00FF5346" w:rsidRPr="008B2F56">
        <w:rPr>
          <w:rFonts w:ascii="Times New Roman" w:hAnsi="Times New Roman" w:cs="Times New Roman"/>
          <w:color w:val="000000" w:themeColor="text1"/>
          <w:sz w:val="24"/>
          <w:szCs w:val="24"/>
          <w:lang w:val="en-US"/>
        </w:rPr>
        <w:t xml:space="preserve"> of development</w:t>
      </w:r>
      <w:r w:rsidR="00270601" w:rsidRPr="008B2F56">
        <w:rPr>
          <w:rFonts w:ascii="Times New Roman" w:hAnsi="Times New Roman" w:cs="Times New Roman"/>
          <w:color w:val="000000" w:themeColor="text1"/>
          <w:sz w:val="24"/>
          <w:szCs w:val="24"/>
          <w:lang w:val="en-US"/>
        </w:rPr>
        <w:t>.</w:t>
      </w:r>
    </w:p>
    <w:p w14:paraId="29232BA4" w14:textId="5E90E75B" w:rsidR="00B0537D" w:rsidRPr="008B2F56" w:rsidRDefault="0075420D"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Th</w:t>
      </w:r>
      <w:r w:rsidR="0012035A" w:rsidRPr="008B2F56">
        <w:rPr>
          <w:rFonts w:ascii="Times New Roman" w:hAnsi="Times New Roman" w:cs="Times New Roman"/>
          <w:color w:val="000000" w:themeColor="text1"/>
          <w:sz w:val="24"/>
          <w:szCs w:val="24"/>
          <w:lang w:val="en-US"/>
        </w:rPr>
        <w:t>e th</w:t>
      </w:r>
      <w:r w:rsidRPr="008B2F56">
        <w:rPr>
          <w:rFonts w:ascii="Times New Roman" w:hAnsi="Times New Roman" w:cs="Times New Roman"/>
          <w:color w:val="000000" w:themeColor="text1"/>
          <w:sz w:val="24"/>
          <w:szCs w:val="24"/>
          <w:lang w:val="en-US"/>
        </w:rPr>
        <w:t>ird track</w:t>
      </w:r>
      <w:r w:rsidR="009204C9" w:rsidRPr="008B2F56">
        <w:rPr>
          <w:rFonts w:ascii="Times New Roman" w:hAnsi="Times New Roman" w:cs="Times New Roman"/>
          <w:color w:val="000000" w:themeColor="text1"/>
          <w:sz w:val="24"/>
          <w:szCs w:val="24"/>
          <w:lang w:val="en-US"/>
        </w:rPr>
        <w:t>,</w:t>
      </w:r>
      <w:r w:rsidR="0012035A" w:rsidRPr="008B2F56">
        <w:rPr>
          <w:rFonts w:ascii="Times New Roman" w:hAnsi="Times New Roman" w:cs="Times New Roman"/>
          <w:color w:val="000000" w:themeColor="text1"/>
          <w:sz w:val="24"/>
          <w:szCs w:val="24"/>
          <w:lang w:val="en-US"/>
        </w:rPr>
        <w:t xml:space="preserve"> the Accountability and Remedy Project</w:t>
      </w:r>
      <w:r w:rsidR="009204C9" w:rsidRPr="008B2F56">
        <w:rPr>
          <w:rFonts w:ascii="Times New Roman" w:hAnsi="Times New Roman" w:cs="Times New Roman"/>
          <w:color w:val="000000" w:themeColor="text1"/>
          <w:sz w:val="24"/>
          <w:szCs w:val="24"/>
          <w:lang w:val="en-US"/>
        </w:rPr>
        <w:t>,</w:t>
      </w:r>
      <w:r w:rsidR="0012035A" w:rsidRPr="008B2F56">
        <w:rPr>
          <w:rFonts w:ascii="Times New Roman" w:hAnsi="Times New Roman" w:cs="Times New Roman"/>
          <w:color w:val="000000" w:themeColor="text1"/>
          <w:sz w:val="24"/>
          <w:szCs w:val="24"/>
          <w:lang w:val="en-US"/>
        </w:rPr>
        <w:t xml:space="preserve"> was initiated by the High Commissioner for Human Rights in 2014.</w:t>
      </w:r>
      <w:r w:rsidR="000C6275" w:rsidRPr="008B2F56">
        <w:rPr>
          <w:rStyle w:val="FootnoteReference"/>
          <w:rFonts w:ascii="Times New Roman" w:hAnsi="Times New Roman" w:cs="Times New Roman"/>
        </w:rPr>
        <w:footnoteReference w:id="133"/>
      </w:r>
      <w:r w:rsidR="0012035A" w:rsidRPr="008B2F56">
        <w:rPr>
          <w:rFonts w:ascii="Times New Roman" w:hAnsi="Times New Roman" w:cs="Times New Roman"/>
          <w:color w:val="000000" w:themeColor="text1"/>
          <w:sz w:val="24"/>
          <w:szCs w:val="24"/>
          <w:lang w:val="en-US"/>
        </w:rPr>
        <w:t xml:space="preserve"> </w:t>
      </w:r>
      <w:r w:rsidR="009204C9" w:rsidRPr="008B2F56">
        <w:rPr>
          <w:rFonts w:ascii="Times New Roman" w:hAnsi="Times New Roman" w:cs="Times New Roman"/>
          <w:color w:val="000000" w:themeColor="text1"/>
          <w:sz w:val="24"/>
          <w:szCs w:val="24"/>
          <w:lang w:val="en-US"/>
        </w:rPr>
        <w:t>This track seeks to provide countries with practical advice on how to design and implement accountability mechanisms in the domestic context. Its</w:t>
      </w:r>
      <w:r w:rsidR="000C6275" w:rsidRPr="008B2F56">
        <w:rPr>
          <w:rFonts w:ascii="Times New Roman" w:hAnsi="Times New Roman" w:cs="Times New Roman"/>
          <w:color w:val="000000" w:themeColor="text1"/>
          <w:sz w:val="24"/>
          <w:szCs w:val="24"/>
          <w:lang w:val="en-US"/>
        </w:rPr>
        <w:t xml:space="preserve"> first phase aims at </w:t>
      </w:r>
      <w:r w:rsidR="00A84D6C" w:rsidRPr="008B2F56">
        <w:rPr>
          <w:rFonts w:ascii="Times New Roman" w:hAnsi="Times New Roman" w:cs="Times New Roman"/>
          <w:color w:val="000000" w:themeColor="text1"/>
          <w:sz w:val="24"/>
          <w:szCs w:val="24"/>
          <w:lang w:val="en-US"/>
        </w:rPr>
        <w:t>e</w:t>
      </w:r>
      <w:r w:rsidR="000C6275" w:rsidRPr="008B2F56">
        <w:rPr>
          <w:rFonts w:ascii="Times New Roman" w:hAnsi="Times New Roman" w:cs="Times New Roman"/>
          <w:color w:val="000000" w:themeColor="text1"/>
          <w:sz w:val="24"/>
          <w:szCs w:val="24"/>
          <w:lang w:val="en-US"/>
        </w:rPr>
        <w:t>nhancing effectiveness of judicial mechanisms in cases of business-related human rights abuse</w:t>
      </w:r>
      <w:r w:rsidR="009204C9" w:rsidRPr="008B2F56">
        <w:rPr>
          <w:rFonts w:ascii="Times New Roman" w:hAnsi="Times New Roman" w:cs="Times New Roman"/>
          <w:color w:val="000000" w:themeColor="text1"/>
          <w:sz w:val="24"/>
          <w:szCs w:val="24"/>
          <w:lang w:val="en-US"/>
        </w:rPr>
        <w:t>s</w:t>
      </w:r>
      <w:r w:rsidR="00A84D6C" w:rsidRPr="008B2F56">
        <w:rPr>
          <w:rFonts w:ascii="Times New Roman" w:hAnsi="Times New Roman" w:cs="Times New Roman"/>
          <w:color w:val="000000" w:themeColor="text1"/>
          <w:sz w:val="24"/>
          <w:szCs w:val="24"/>
          <w:lang w:val="en-US"/>
        </w:rPr>
        <w:t>. A main report to this effect was submitted to the Human Rights Council in 2016, and this phase remains ongoing.</w:t>
      </w:r>
      <w:r w:rsidR="00A84D6C" w:rsidRPr="008B2F56">
        <w:rPr>
          <w:rStyle w:val="FootnoteReference"/>
          <w:rFonts w:ascii="Times New Roman" w:hAnsi="Times New Roman" w:cs="Times New Roman"/>
        </w:rPr>
        <w:footnoteReference w:id="134"/>
      </w:r>
      <w:r w:rsidR="00A84D6C" w:rsidRPr="008B2F56">
        <w:rPr>
          <w:rFonts w:ascii="Times New Roman" w:hAnsi="Times New Roman" w:cs="Times New Roman"/>
          <w:color w:val="000000" w:themeColor="text1"/>
          <w:sz w:val="24"/>
          <w:szCs w:val="24"/>
          <w:lang w:val="en-US"/>
        </w:rPr>
        <w:t xml:space="preserve"> </w:t>
      </w:r>
      <w:r w:rsidR="009204C9" w:rsidRPr="008B2F56">
        <w:rPr>
          <w:rFonts w:ascii="Times New Roman" w:hAnsi="Times New Roman" w:cs="Times New Roman"/>
          <w:color w:val="000000" w:themeColor="text1"/>
          <w:sz w:val="24"/>
          <w:szCs w:val="24"/>
          <w:lang w:val="en-US"/>
        </w:rPr>
        <w:t>Phases two and three of the project consider o</w:t>
      </w:r>
      <w:r w:rsidR="00BC37D2" w:rsidRPr="008B2F56">
        <w:rPr>
          <w:rFonts w:ascii="Times New Roman" w:hAnsi="Times New Roman" w:cs="Times New Roman"/>
          <w:color w:val="000000" w:themeColor="text1"/>
          <w:sz w:val="24"/>
          <w:szCs w:val="24"/>
          <w:lang w:val="en-US"/>
        </w:rPr>
        <w:t>ther relevant mechanisms.</w:t>
      </w:r>
      <w:r w:rsidR="00E244F4" w:rsidRPr="008B2F56">
        <w:rPr>
          <w:rStyle w:val="FootnoteReference"/>
          <w:rFonts w:ascii="Times New Roman" w:hAnsi="Times New Roman" w:cs="Times New Roman"/>
        </w:rPr>
        <w:footnoteReference w:id="135"/>
      </w:r>
      <w:r w:rsidR="00BC37D2" w:rsidRPr="008B2F56">
        <w:rPr>
          <w:rFonts w:ascii="Times New Roman" w:hAnsi="Times New Roman" w:cs="Times New Roman"/>
          <w:color w:val="000000" w:themeColor="text1"/>
          <w:sz w:val="24"/>
          <w:szCs w:val="24"/>
          <w:lang w:val="en-US"/>
        </w:rPr>
        <w:t xml:space="preserve"> </w:t>
      </w:r>
      <w:r w:rsidR="005916B7" w:rsidRPr="008B2F56">
        <w:rPr>
          <w:rFonts w:ascii="Times New Roman" w:hAnsi="Times New Roman" w:cs="Times New Roman"/>
          <w:color w:val="000000" w:themeColor="text1"/>
          <w:sz w:val="24"/>
          <w:szCs w:val="24"/>
          <w:lang w:val="en-US"/>
        </w:rPr>
        <w:t xml:space="preserve">The information and recommendations flowing from this project are essential as support to the </w:t>
      </w:r>
      <w:r w:rsidR="00B5430A" w:rsidRPr="008B2F56">
        <w:rPr>
          <w:rFonts w:ascii="Times New Roman" w:hAnsi="Times New Roman" w:cs="Times New Roman"/>
          <w:color w:val="000000" w:themeColor="text1"/>
          <w:sz w:val="24"/>
          <w:szCs w:val="24"/>
          <w:lang w:val="en-US"/>
        </w:rPr>
        <w:t>first and second tracks</w:t>
      </w:r>
      <w:r w:rsidR="005916B7" w:rsidRPr="008B2F56">
        <w:rPr>
          <w:rFonts w:ascii="Times New Roman" w:hAnsi="Times New Roman" w:cs="Times New Roman"/>
          <w:color w:val="000000" w:themeColor="text1"/>
          <w:sz w:val="24"/>
          <w:szCs w:val="24"/>
          <w:lang w:val="en-US"/>
        </w:rPr>
        <w:t>.</w:t>
      </w:r>
    </w:p>
    <w:p w14:paraId="45D6B326" w14:textId="618052B6" w:rsidR="00595320" w:rsidRPr="008B2F56" w:rsidRDefault="00595320"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The</w:t>
      </w:r>
      <w:r w:rsidR="00AC3D99" w:rsidRPr="008B2F56">
        <w:rPr>
          <w:rFonts w:ascii="Times New Roman" w:hAnsi="Times New Roman" w:cs="Times New Roman"/>
          <w:color w:val="000000" w:themeColor="text1"/>
          <w:sz w:val="24"/>
          <w:szCs w:val="24"/>
          <w:lang w:val="en-US"/>
        </w:rPr>
        <w:t xml:space="preserve">se three tracks </w:t>
      </w:r>
      <w:r w:rsidR="009204C9" w:rsidRPr="008B2F56">
        <w:rPr>
          <w:rFonts w:ascii="Times New Roman" w:hAnsi="Times New Roman" w:cs="Times New Roman"/>
          <w:color w:val="000000" w:themeColor="text1"/>
          <w:sz w:val="24"/>
          <w:szCs w:val="24"/>
          <w:lang w:val="en-US"/>
        </w:rPr>
        <w:t>demonstrates</w:t>
      </w:r>
      <w:r w:rsidRPr="008B2F56">
        <w:rPr>
          <w:rFonts w:ascii="Times New Roman" w:hAnsi="Times New Roman" w:cs="Times New Roman"/>
          <w:color w:val="000000" w:themeColor="text1"/>
          <w:sz w:val="24"/>
          <w:szCs w:val="24"/>
          <w:lang w:val="en-US"/>
        </w:rPr>
        <w:t xml:space="preserve"> significantly increased attention </w:t>
      </w:r>
      <w:r w:rsidR="00AC3D99" w:rsidRPr="008B2F56">
        <w:rPr>
          <w:rFonts w:ascii="Times New Roman" w:hAnsi="Times New Roman" w:cs="Times New Roman"/>
          <w:color w:val="000000" w:themeColor="text1"/>
          <w:sz w:val="24"/>
          <w:szCs w:val="24"/>
          <w:lang w:val="en-US"/>
        </w:rPr>
        <w:t xml:space="preserve">within key UN human rights institutions </w:t>
      </w:r>
      <w:r w:rsidRPr="008B2F56">
        <w:rPr>
          <w:rFonts w:ascii="Times New Roman" w:hAnsi="Times New Roman" w:cs="Times New Roman"/>
          <w:color w:val="000000" w:themeColor="text1"/>
          <w:sz w:val="24"/>
          <w:szCs w:val="24"/>
          <w:lang w:val="en-US"/>
        </w:rPr>
        <w:t xml:space="preserve">to </w:t>
      </w:r>
      <w:r w:rsidR="00AC3D99" w:rsidRPr="008B2F56">
        <w:rPr>
          <w:rFonts w:ascii="Times New Roman" w:hAnsi="Times New Roman" w:cs="Times New Roman"/>
          <w:color w:val="000000" w:themeColor="text1"/>
          <w:sz w:val="24"/>
          <w:szCs w:val="24"/>
          <w:lang w:val="en-US"/>
        </w:rPr>
        <w:t>the availability of judicial remedies</w:t>
      </w:r>
      <w:r w:rsidRPr="008B2F56">
        <w:rPr>
          <w:rFonts w:ascii="Times New Roman" w:hAnsi="Times New Roman" w:cs="Times New Roman"/>
          <w:color w:val="000000" w:themeColor="text1"/>
          <w:sz w:val="24"/>
          <w:szCs w:val="24"/>
          <w:lang w:val="en-US"/>
        </w:rPr>
        <w:t xml:space="preserve"> to address human rights violations </w:t>
      </w:r>
      <w:r w:rsidR="00AC3D99" w:rsidRPr="008B2F56">
        <w:rPr>
          <w:rFonts w:ascii="Times New Roman" w:hAnsi="Times New Roman" w:cs="Times New Roman"/>
          <w:color w:val="000000" w:themeColor="text1"/>
          <w:sz w:val="24"/>
          <w:szCs w:val="24"/>
          <w:lang w:val="en-US"/>
        </w:rPr>
        <w:t xml:space="preserve">in the context of FDI. This is a sign that we may see new mechanisms emerging at the national and international level that increase the responsibility of home countries for remedying harm caused by their corporations when investing abroad. However, </w:t>
      </w:r>
      <w:r w:rsidR="00394E68" w:rsidRPr="008B2F56">
        <w:rPr>
          <w:rFonts w:ascii="Times New Roman" w:hAnsi="Times New Roman" w:cs="Times New Roman"/>
          <w:color w:val="000000" w:themeColor="text1"/>
          <w:sz w:val="24"/>
          <w:szCs w:val="24"/>
          <w:lang w:val="en-US"/>
        </w:rPr>
        <w:t xml:space="preserve">the extent to which </w:t>
      </w:r>
      <w:r w:rsidR="009204C9" w:rsidRPr="008B2F56">
        <w:rPr>
          <w:rFonts w:ascii="Times New Roman" w:hAnsi="Times New Roman" w:cs="Times New Roman"/>
          <w:color w:val="000000" w:themeColor="text1"/>
          <w:sz w:val="24"/>
          <w:szCs w:val="24"/>
          <w:lang w:val="en-US"/>
        </w:rPr>
        <w:t xml:space="preserve">important home states </w:t>
      </w:r>
      <w:r w:rsidR="00394E68" w:rsidRPr="008B2F56">
        <w:rPr>
          <w:rFonts w:ascii="Times New Roman" w:hAnsi="Times New Roman" w:cs="Times New Roman"/>
          <w:color w:val="000000" w:themeColor="text1"/>
          <w:sz w:val="24"/>
          <w:szCs w:val="24"/>
          <w:lang w:val="en-US"/>
        </w:rPr>
        <w:t>will accept</w:t>
      </w:r>
      <w:r w:rsidR="009204C9" w:rsidRPr="008B2F56">
        <w:rPr>
          <w:rFonts w:ascii="Times New Roman" w:hAnsi="Times New Roman" w:cs="Times New Roman"/>
          <w:color w:val="000000" w:themeColor="text1"/>
          <w:sz w:val="24"/>
          <w:szCs w:val="24"/>
          <w:lang w:val="en-US"/>
        </w:rPr>
        <w:t xml:space="preserve"> and respect the decisions of</w:t>
      </w:r>
      <w:r w:rsidR="00394E68" w:rsidRPr="008B2F56">
        <w:rPr>
          <w:rFonts w:ascii="Times New Roman" w:hAnsi="Times New Roman" w:cs="Times New Roman"/>
          <w:color w:val="000000" w:themeColor="text1"/>
          <w:sz w:val="24"/>
          <w:szCs w:val="24"/>
          <w:lang w:val="en-US"/>
        </w:rPr>
        <w:t xml:space="preserve"> </w:t>
      </w:r>
      <w:r w:rsidR="009204C9" w:rsidRPr="008B2F56">
        <w:rPr>
          <w:rFonts w:ascii="Times New Roman" w:hAnsi="Times New Roman" w:cs="Times New Roman"/>
          <w:color w:val="000000" w:themeColor="text1"/>
          <w:sz w:val="24"/>
          <w:szCs w:val="24"/>
          <w:lang w:val="en-US"/>
        </w:rPr>
        <w:t xml:space="preserve">such mechanisms </w:t>
      </w:r>
      <w:r w:rsidR="00394E68" w:rsidRPr="008B2F56">
        <w:rPr>
          <w:rFonts w:ascii="Times New Roman" w:hAnsi="Times New Roman" w:cs="Times New Roman"/>
          <w:color w:val="000000" w:themeColor="text1"/>
          <w:sz w:val="24"/>
          <w:szCs w:val="24"/>
          <w:lang w:val="en-US"/>
        </w:rPr>
        <w:t xml:space="preserve">remains to be seen. Mechanisms need to be </w:t>
      </w:r>
      <w:r w:rsidR="009204C9" w:rsidRPr="008B2F56">
        <w:rPr>
          <w:rFonts w:ascii="Times New Roman" w:hAnsi="Times New Roman" w:cs="Times New Roman"/>
          <w:color w:val="000000" w:themeColor="text1"/>
          <w:sz w:val="24"/>
          <w:szCs w:val="24"/>
          <w:lang w:val="en-US"/>
        </w:rPr>
        <w:t>established</w:t>
      </w:r>
      <w:r w:rsidR="00394E68" w:rsidRPr="008B2F56">
        <w:rPr>
          <w:rFonts w:ascii="Times New Roman" w:hAnsi="Times New Roman" w:cs="Times New Roman"/>
          <w:color w:val="000000" w:themeColor="text1"/>
          <w:sz w:val="24"/>
          <w:szCs w:val="24"/>
          <w:lang w:val="en-US"/>
        </w:rPr>
        <w:t xml:space="preserve"> to avoid “free-riding” by countries benefitting from welcoming corporations that seek to avoid responsibility. The </w:t>
      </w:r>
      <w:r w:rsidR="00AC45C9" w:rsidRPr="008B2F56">
        <w:rPr>
          <w:rFonts w:ascii="Times New Roman" w:hAnsi="Times New Roman" w:cs="Times New Roman"/>
          <w:color w:val="000000" w:themeColor="text1"/>
          <w:sz w:val="24"/>
          <w:szCs w:val="24"/>
          <w:lang w:val="en-US"/>
        </w:rPr>
        <w:t xml:space="preserve">cumbersome and long-term efforts to prevent countries from acting as </w:t>
      </w:r>
      <w:r w:rsidR="00AC45C9" w:rsidRPr="008B2F56">
        <w:rPr>
          <w:rFonts w:ascii="Times New Roman" w:hAnsi="Times New Roman" w:cs="Times New Roman"/>
          <w:color w:val="000000" w:themeColor="text1"/>
          <w:sz w:val="24"/>
          <w:szCs w:val="24"/>
          <w:lang w:val="en-US"/>
        </w:rPr>
        <w:lastRenderedPageBreak/>
        <w:t xml:space="preserve">“tax havens” and providing “flags of convenience” demonstrate the </w:t>
      </w:r>
      <w:r w:rsidR="00394E68" w:rsidRPr="008B2F56">
        <w:rPr>
          <w:rFonts w:ascii="Times New Roman" w:hAnsi="Times New Roman" w:cs="Times New Roman"/>
          <w:color w:val="000000" w:themeColor="text1"/>
          <w:sz w:val="24"/>
          <w:szCs w:val="24"/>
          <w:lang w:val="en-US"/>
        </w:rPr>
        <w:t xml:space="preserve">complexity of resolving </w:t>
      </w:r>
      <w:r w:rsidR="00AC45C9" w:rsidRPr="008B2F56">
        <w:rPr>
          <w:rFonts w:ascii="Times New Roman" w:hAnsi="Times New Roman" w:cs="Times New Roman"/>
          <w:color w:val="000000" w:themeColor="text1"/>
          <w:sz w:val="24"/>
          <w:szCs w:val="24"/>
          <w:lang w:val="en-US"/>
        </w:rPr>
        <w:t xml:space="preserve">issues concerning responsibility for foreign investors </w:t>
      </w:r>
      <w:r w:rsidR="00C20294" w:rsidRPr="008B2F56">
        <w:rPr>
          <w:rFonts w:ascii="Times New Roman" w:hAnsi="Times New Roman" w:cs="Times New Roman"/>
          <w:color w:val="000000" w:themeColor="text1"/>
          <w:sz w:val="24"/>
          <w:szCs w:val="24"/>
          <w:lang w:val="en-US"/>
        </w:rPr>
        <w:t>for human rights violations</w:t>
      </w:r>
      <w:r w:rsidR="00AC45C9" w:rsidRPr="008B2F56">
        <w:rPr>
          <w:rFonts w:ascii="Times New Roman" w:hAnsi="Times New Roman" w:cs="Times New Roman"/>
          <w:color w:val="000000" w:themeColor="text1"/>
          <w:sz w:val="24"/>
          <w:szCs w:val="24"/>
          <w:lang w:val="en-US"/>
        </w:rPr>
        <w:t>.</w:t>
      </w:r>
    </w:p>
    <w:p w14:paraId="0B3BE7B4" w14:textId="06FE9FCB" w:rsidR="00D16CE8" w:rsidRPr="008B2F56" w:rsidRDefault="005D63E1" w:rsidP="008D76EF">
      <w:pPr>
        <w:pStyle w:val="Heading1"/>
        <w:jc w:val="both"/>
        <w:rPr>
          <w:rFonts w:ascii="Times New Roman" w:hAnsi="Times New Roman" w:cs="Times New Roman"/>
          <w:lang w:val="en-US"/>
        </w:rPr>
      </w:pPr>
      <w:r w:rsidRPr="008B2F56">
        <w:rPr>
          <w:rFonts w:ascii="Times New Roman" w:hAnsi="Times New Roman" w:cs="Times New Roman"/>
          <w:lang w:val="en-US"/>
        </w:rPr>
        <w:t>6. Conclu</w:t>
      </w:r>
      <w:r w:rsidR="00B84AA9" w:rsidRPr="008B2F56">
        <w:rPr>
          <w:rFonts w:ascii="Times New Roman" w:hAnsi="Times New Roman" w:cs="Times New Roman"/>
          <w:lang w:val="en-US"/>
        </w:rPr>
        <w:t>sions</w:t>
      </w:r>
    </w:p>
    <w:p w14:paraId="1C38EBB1" w14:textId="36DF7F70" w:rsidR="0083501F" w:rsidRPr="008B2F56" w:rsidRDefault="0040572B"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While there seems to be broad agreement that FDI is important to realize the RtD and achieve SDGs, there are many unresolved questions </w:t>
      </w:r>
      <w:r w:rsidR="00683373" w:rsidRPr="008B2F56">
        <w:rPr>
          <w:rFonts w:ascii="Times New Roman" w:hAnsi="Times New Roman" w:cs="Times New Roman"/>
          <w:color w:val="000000" w:themeColor="text1"/>
          <w:sz w:val="24"/>
          <w:szCs w:val="24"/>
          <w:lang w:val="en-US"/>
        </w:rPr>
        <w:t>regarding</w:t>
      </w:r>
      <w:r w:rsidRPr="008B2F56">
        <w:rPr>
          <w:rFonts w:ascii="Times New Roman" w:hAnsi="Times New Roman" w:cs="Times New Roman"/>
          <w:color w:val="000000" w:themeColor="text1"/>
          <w:sz w:val="24"/>
          <w:szCs w:val="24"/>
          <w:lang w:val="en-US"/>
        </w:rPr>
        <w:t xml:space="preserve"> how to achieve this</w:t>
      </w:r>
      <w:r w:rsidR="00975A5C" w:rsidRPr="008B2F56">
        <w:rPr>
          <w:rFonts w:ascii="Times New Roman" w:hAnsi="Times New Roman" w:cs="Times New Roman"/>
          <w:color w:val="000000" w:themeColor="text1"/>
          <w:sz w:val="24"/>
          <w:szCs w:val="24"/>
          <w:lang w:val="en-US"/>
        </w:rPr>
        <w:t xml:space="preserve">. </w:t>
      </w:r>
      <w:r w:rsidR="00DE42FF" w:rsidRPr="008B2F56">
        <w:rPr>
          <w:rFonts w:ascii="Times New Roman" w:hAnsi="Times New Roman" w:cs="Times New Roman"/>
          <w:color w:val="000000" w:themeColor="text1"/>
          <w:sz w:val="24"/>
          <w:szCs w:val="24"/>
        </w:rPr>
        <w:t xml:space="preserve"> </w:t>
      </w:r>
      <w:r w:rsidR="002F733A" w:rsidRPr="008B2F56">
        <w:rPr>
          <w:rFonts w:ascii="Times New Roman" w:hAnsi="Times New Roman" w:cs="Times New Roman"/>
          <w:color w:val="000000" w:themeColor="text1"/>
          <w:sz w:val="24"/>
          <w:szCs w:val="24"/>
          <w:lang w:val="en-US"/>
        </w:rPr>
        <w:t>This chapter has</w:t>
      </w:r>
      <w:r w:rsidRPr="008B2F56">
        <w:rPr>
          <w:rFonts w:ascii="Times New Roman" w:hAnsi="Times New Roman" w:cs="Times New Roman"/>
          <w:color w:val="000000" w:themeColor="text1"/>
          <w:sz w:val="24"/>
          <w:szCs w:val="24"/>
          <w:lang w:val="en-US"/>
        </w:rPr>
        <w:t xml:space="preserve"> looked closer at how to approach these questions from the perspective</w:t>
      </w:r>
      <w:r w:rsidR="0083501F" w:rsidRPr="008B2F56">
        <w:rPr>
          <w:rFonts w:ascii="Times New Roman" w:hAnsi="Times New Roman" w:cs="Times New Roman"/>
          <w:color w:val="000000" w:themeColor="text1"/>
          <w:sz w:val="24"/>
          <w:szCs w:val="24"/>
          <w:lang w:val="en-US"/>
        </w:rPr>
        <w:t>s</w:t>
      </w:r>
      <w:r w:rsidRPr="008B2F56">
        <w:rPr>
          <w:rFonts w:ascii="Times New Roman" w:hAnsi="Times New Roman" w:cs="Times New Roman"/>
          <w:color w:val="000000" w:themeColor="text1"/>
          <w:sz w:val="24"/>
          <w:szCs w:val="24"/>
          <w:lang w:val="en-US"/>
        </w:rPr>
        <w:t xml:space="preserve"> of international </w:t>
      </w:r>
      <w:r w:rsidR="0083501F" w:rsidRPr="008B2F56">
        <w:rPr>
          <w:rFonts w:ascii="Times New Roman" w:hAnsi="Times New Roman" w:cs="Times New Roman"/>
          <w:color w:val="000000" w:themeColor="text1"/>
          <w:sz w:val="24"/>
          <w:szCs w:val="24"/>
          <w:lang w:val="en-US"/>
        </w:rPr>
        <w:t xml:space="preserve">and national </w:t>
      </w:r>
      <w:r w:rsidR="00683373" w:rsidRPr="008B2F56">
        <w:rPr>
          <w:rFonts w:ascii="Times New Roman" w:hAnsi="Times New Roman" w:cs="Times New Roman"/>
          <w:color w:val="000000" w:themeColor="text1"/>
          <w:sz w:val="24"/>
          <w:szCs w:val="24"/>
          <w:lang w:val="en-US"/>
        </w:rPr>
        <w:t>law. It</w:t>
      </w:r>
      <w:r w:rsidRPr="008B2F56">
        <w:rPr>
          <w:rFonts w:ascii="Times New Roman" w:hAnsi="Times New Roman" w:cs="Times New Roman"/>
          <w:color w:val="000000" w:themeColor="text1"/>
          <w:sz w:val="24"/>
          <w:szCs w:val="24"/>
          <w:lang w:val="en-US"/>
        </w:rPr>
        <w:t xml:space="preserve"> emphasizes the need to take a law-in-context perspective. It </w:t>
      </w:r>
      <w:r w:rsidR="00DE42FF" w:rsidRPr="008B2F56">
        <w:rPr>
          <w:rFonts w:ascii="Times New Roman" w:hAnsi="Times New Roman" w:cs="Times New Roman"/>
          <w:color w:val="000000" w:themeColor="text1"/>
          <w:sz w:val="24"/>
          <w:szCs w:val="24"/>
          <w:lang w:val="en-US"/>
        </w:rPr>
        <w:t>is</w:t>
      </w:r>
      <w:r w:rsidRPr="008B2F56">
        <w:rPr>
          <w:rFonts w:ascii="Times New Roman" w:hAnsi="Times New Roman" w:cs="Times New Roman"/>
          <w:color w:val="000000" w:themeColor="text1"/>
          <w:sz w:val="24"/>
          <w:szCs w:val="24"/>
          <w:lang w:val="en-US"/>
        </w:rPr>
        <w:t xml:space="preserve"> importan</w:t>
      </w:r>
      <w:r w:rsidR="00DE42FF" w:rsidRPr="008B2F56">
        <w:rPr>
          <w:rFonts w:ascii="Times New Roman" w:hAnsi="Times New Roman" w:cs="Times New Roman"/>
          <w:color w:val="000000" w:themeColor="text1"/>
          <w:sz w:val="24"/>
          <w:szCs w:val="24"/>
          <w:lang w:val="en-US"/>
        </w:rPr>
        <w:t>t</w:t>
      </w:r>
      <w:r w:rsidRPr="008B2F56">
        <w:rPr>
          <w:rFonts w:ascii="Times New Roman" w:hAnsi="Times New Roman" w:cs="Times New Roman"/>
          <w:color w:val="000000" w:themeColor="text1"/>
          <w:sz w:val="24"/>
          <w:szCs w:val="24"/>
          <w:lang w:val="en-US"/>
        </w:rPr>
        <w:t xml:space="preserve"> for </w:t>
      </w:r>
      <w:r w:rsidR="00EA6C91" w:rsidRPr="008B2F56">
        <w:rPr>
          <w:rFonts w:ascii="Times New Roman" w:hAnsi="Times New Roman" w:cs="Times New Roman"/>
          <w:color w:val="000000" w:themeColor="text1"/>
          <w:sz w:val="24"/>
          <w:szCs w:val="24"/>
          <w:lang w:val="en-US"/>
        </w:rPr>
        <w:t>the represent</w:t>
      </w:r>
      <w:r w:rsidR="00DE42FF" w:rsidRPr="008B2F56">
        <w:rPr>
          <w:rFonts w:ascii="Times New Roman" w:hAnsi="Times New Roman" w:cs="Times New Roman"/>
          <w:color w:val="000000" w:themeColor="text1"/>
          <w:sz w:val="24"/>
          <w:szCs w:val="24"/>
          <w:lang w:val="en-US"/>
        </w:rPr>
        <w:t>atives of</w:t>
      </w:r>
      <w:r w:rsidR="00EA6C91" w:rsidRPr="008B2F56">
        <w:rPr>
          <w:rFonts w:ascii="Times New Roman" w:hAnsi="Times New Roman" w:cs="Times New Roman"/>
          <w:color w:val="000000" w:themeColor="text1"/>
          <w:sz w:val="24"/>
          <w:szCs w:val="24"/>
          <w:lang w:val="en-US"/>
        </w:rPr>
        <w:t xml:space="preserve"> countries and international institutions</w:t>
      </w:r>
      <w:r w:rsidRPr="008B2F56">
        <w:rPr>
          <w:rFonts w:ascii="Times New Roman" w:hAnsi="Times New Roman" w:cs="Times New Roman"/>
          <w:color w:val="000000" w:themeColor="text1"/>
          <w:sz w:val="24"/>
          <w:szCs w:val="24"/>
          <w:lang w:val="en-US"/>
        </w:rPr>
        <w:t xml:space="preserve"> to engage with how the regulatory and institutional regimes work in practice</w:t>
      </w:r>
      <w:r w:rsidR="00EA6C91" w:rsidRPr="008B2F56">
        <w:rPr>
          <w:rFonts w:ascii="Times New Roman" w:hAnsi="Times New Roman" w:cs="Times New Roman"/>
          <w:color w:val="000000" w:themeColor="text1"/>
          <w:sz w:val="24"/>
          <w:szCs w:val="24"/>
          <w:lang w:val="en-US"/>
        </w:rPr>
        <w:t xml:space="preserve"> as a basis for determining what </w:t>
      </w:r>
      <w:r w:rsidR="0083501F" w:rsidRPr="008B2F56">
        <w:rPr>
          <w:rFonts w:ascii="Times New Roman" w:hAnsi="Times New Roman" w:cs="Times New Roman"/>
          <w:color w:val="000000" w:themeColor="text1"/>
          <w:sz w:val="24"/>
          <w:szCs w:val="24"/>
          <w:lang w:val="en-US"/>
        </w:rPr>
        <w:t xml:space="preserve">we </w:t>
      </w:r>
      <w:r w:rsidR="00EA6C91" w:rsidRPr="008B2F56">
        <w:rPr>
          <w:rFonts w:ascii="Times New Roman" w:hAnsi="Times New Roman" w:cs="Times New Roman"/>
          <w:color w:val="000000" w:themeColor="text1"/>
          <w:sz w:val="24"/>
          <w:szCs w:val="24"/>
          <w:lang w:val="en-US"/>
        </w:rPr>
        <w:t xml:space="preserve">realistically </w:t>
      </w:r>
      <w:r w:rsidR="0083501F" w:rsidRPr="008B2F56">
        <w:rPr>
          <w:rFonts w:ascii="Times New Roman" w:hAnsi="Times New Roman" w:cs="Times New Roman"/>
          <w:color w:val="000000" w:themeColor="text1"/>
          <w:sz w:val="24"/>
          <w:szCs w:val="24"/>
          <w:lang w:val="en-US"/>
        </w:rPr>
        <w:t xml:space="preserve">can </w:t>
      </w:r>
      <w:r w:rsidR="00EA6C91" w:rsidRPr="008B2F56">
        <w:rPr>
          <w:rFonts w:ascii="Times New Roman" w:hAnsi="Times New Roman" w:cs="Times New Roman"/>
          <w:color w:val="000000" w:themeColor="text1"/>
          <w:sz w:val="24"/>
          <w:szCs w:val="24"/>
          <w:lang w:val="en-US"/>
        </w:rPr>
        <w:t>achieve through regulatory and institutional reforms.</w:t>
      </w:r>
    </w:p>
    <w:p w14:paraId="37D16F17" w14:textId="0426CB8F" w:rsidR="00E50F9C" w:rsidRPr="008B2F56" w:rsidRDefault="00DE42FF"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This contribution </w:t>
      </w:r>
      <w:r w:rsidR="00EE796D" w:rsidRPr="008B2F56">
        <w:rPr>
          <w:rFonts w:ascii="Times New Roman" w:hAnsi="Times New Roman" w:cs="Times New Roman"/>
          <w:color w:val="000000" w:themeColor="text1"/>
          <w:sz w:val="24"/>
          <w:szCs w:val="24"/>
          <w:lang w:val="en-US"/>
        </w:rPr>
        <w:t xml:space="preserve">suggests that efforts should focus more on engaging the responsibility of investors’ home countries. </w:t>
      </w:r>
      <w:r w:rsidRPr="008B2F56">
        <w:rPr>
          <w:rFonts w:ascii="Times New Roman" w:hAnsi="Times New Roman" w:cs="Times New Roman"/>
          <w:color w:val="000000" w:themeColor="text1"/>
          <w:sz w:val="24"/>
          <w:szCs w:val="24"/>
          <w:lang w:val="en-US"/>
        </w:rPr>
        <w:t>S</w:t>
      </w:r>
      <w:r w:rsidR="00EE796D" w:rsidRPr="008B2F56">
        <w:rPr>
          <w:rFonts w:ascii="Times New Roman" w:hAnsi="Times New Roman" w:cs="Times New Roman"/>
          <w:color w:val="000000" w:themeColor="text1"/>
          <w:sz w:val="24"/>
          <w:szCs w:val="24"/>
          <w:lang w:val="en-US"/>
        </w:rPr>
        <w:t>uch initiatives</w:t>
      </w:r>
      <w:r w:rsidRPr="008B2F56">
        <w:rPr>
          <w:rFonts w:ascii="Times New Roman" w:hAnsi="Times New Roman" w:cs="Times New Roman"/>
          <w:color w:val="000000" w:themeColor="text1"/>
          <w:sz w:val="24"/>
          <w:szCs w:val="24"/>
          <w:lang w:val="en-US"/>
        </w:rPr>
        <w:t xml:space="preserve"> can build on achievements so far through the limited use of environmental and sustainability impact assessments and reforms of IIAs. Reforms of dispute settlement mechanisms that </w:t>
      </w:r>
      <w:r w:rsidR="00E50F9C" w:rsidRPr="008B2F56">
        <w:rPr>
          <w:rFonts w:ascii="Times New Roman" w:hAnsi="Times New Roman" w:cs="Times New Roman"/>
          <w:color w:val="000000" w:themeColor="text1"/>
          <w:sz w:val="24"/>
          <w:szCs w:val="24"/>
          <w:lang w:val="en-US"/>
        </w:rPr>
        <w:t xml:space="preserve">engages with the responsibility of foreign investors’ home states is another potential approach. </w:t>
      </w:r>
      <w:r w:rsidR="00AE3D45" w:rsidRPr="008B2F56">
        <w:rPr>
          <w:rFonts w:ascii="Times New Roman" w:hAnsi="Times New Roman" w:cs="Times New Roman"/>
          <w:color w:val="000000" w:themeColor="text1"/>
          <w:sz w:val="24"/>
          <w:szCs w:val="24"/>
          <w:lang w:val="en-US"/>
        </w:rPr>
        <w:t>Home countries have taken some initiatives to deal with corruption of their enterprises abroad</w:t>
      </w:r>
      <w:r w:rsidR="00EE796D" w:rsidRPr="008B2F56">
        <w:rPr>
          <w:rFonts w:ascii="Times New Roman" w:hAnsi="Times New Roman" w:cs="Times New Roman"/>
          <w:color w:val="000000" w:themeColor="text1"/>
          <w:sz w:val="24"/>
          <w:szCs w:val="24"/>
          <w:lang w:val="en-US"/>
        </w:rPr>
        <w:t xml:space="preserve">, but </w:t>
      </w:r>
      <w:r w:rsidR="00AE3D45" w:rsidRPr="008B2F56">
        <w:rPr>
          <w:rFonts w:ascii="Times New Roman" w:hAnsi="Times New Roman" w:cs="Times New Roman"/>
          <w:color w:val="000000" w:themeColor="text1"/>
          <w:sz w:val="24"/>
          <w:szCs w:val="24"/>
          <w:lang w:val="en-US"/>
        </w:rPr>
        <w:t xml:space="preserve">data indicate that home countries </w:t>
      </w:r>
      <w:r w:rsidR="00EE796D" w:rsidRPr="008B2F56">
        <w:rPr>
          <w:rFonts w:ascii="Times New Roman" w:hAnsi="Times New Roman" w:cs="Times New Roman"/>
          <w:color w:val="000000" w:themeColor="text1"/>
          <w:sz w:val="24"/>
          <w:szCs w:val="24"/>
          <w:lang w:val="en-US"/>
        </w:rPr>
        <w:t xml:space="preserve">have been slow to develop and implement </w:t>
      </w:r>
      <w:r w:rsidR="00AE3D45" w:rsidRPr="008B2F56">
        <w:rPr>
          <w:rFonts w:ascii="Times New Roman" w:hAnsi="Times New Roman" w:cs="Times New Roman"/>
          <w:color w:val="000000" w:themeColor="text1"/>
          <w:sz w:val="24"/>
          <w:szCs w:val="24"/>
          <w:lang w:val="en-US"/>
        </w:rPr>
        <w:t xml:space="preserve">appropriate measures </w:t>
      </w:r>
      <w:r w:rsidR="00EE796D" w:rsidRPr="008B2F56">
        <w:rPr>
          <w:rFonts w:ascii="Times New Roman" w:hAnsi="Times New Roman" w:cs="Times New Roman"/>
          <w:color w:val="000000" w:themeColor="text1"/>
          <w:sz w:val="24"/>
          <w:szCs w:val="24"/>
          <w:lang w:val="en-US"/>
        </w:rPr>
        <w:t xml:space="preserve">and </w:t>
      </w:r>
      <w:r w:rsidR="00AE3D45" w:rsidRPr="008B2F56">
        <w:rPr>
          <w:rFonts w:ascii="Times New Roman" w:hAnsi="Times New Roman" w:cs="Times New Roman"/>
          <w:color w:val="000000" w:themeColor="text1"/>
          <w:sz w:val="24"/>
          <w:szCs w:val="24"/>
          <w:lang w:val="en-US"/>
        </w:rPr>
        <w:t xml:space="preserve">that such measures </w:t>
      </w:r>
      <w:r w:rsidR="00EE796D" w:rsidRPr="008B2F56">
        <w:rPr>
          <w:rFonts w:ascii="Times New Roman" w:hAnsi="Times New Roman" w:cs="Times New Roman"/>
          <w:color w:val="000000" w:themeColor="text1"/>
          <w:sz w:val="24"/>
          <w:szCs w:val="24"/>
          <w:lang w:val="en-US"/>
        </w:rPr>
        <w:t>have had limited success</w:t>
      </w:r>
      <w:r w:rsidR="00AE3D45" w:rsidRPr="008B2F56">
        <w:rPr>
          <w:rFonts w:ascii="Times New Roman" w:hAnsi="Times New Roman" w:cs="Times New Roman"/>
          <w:color w:val="000000" w:themeColor="text1"/>
          <w:sz w:val="24"/>
          <w:szCs w:val="24"/>
          <w:lang w:val="en-US"/>
        </w:rPr>
        <w:t xml:space="preserve"> so far</w:t>
      </w:r>
      <w:r w:rsidR="00EE796D" w:rsidRPr="008B2F56">
        <w:rPr>
          <w:rFonts w:ascii="Times New Roman" w:hAnsi="Times New Roman" w:cs="Times New Roman"/>
          <w:color w:val="000000" w:themeColor="text1"/>
          <w:sz w:val="24"/>
          <w:szCs w:val="24"/>
          <w:lang w:val="en-US"/>
        </w:rPr>
        <w:t xml:space="preserve">. </w:t>
      </w:r>
    </w:p>
    <w:p w14:paraId="514EEE64" w14:textId="69AF2084" w:rsidR="007A14D9" w:rsidRPr="008B2F56" w:rsidRDefault="002F06AF"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There seem</w:t>
      </w:r>
      <w:r w:rsidR="007A14D9" w:rsidRPr="008B2F56">
        <w:rPr>
          <w:rFonts w:ascii="Times New Roman" w:hAnsi="Times New Roman" w:cs="Times New Roman"/>
          <w:color w:val="000000" w:themeColor="text1"/>
          <w:sz w:val="24"/>
          <w:szCs w:val="24"/>
          <w:lang w:val="en-US"/>
        </w:rPr>
        <w:t xml:space="preserve"> to be </w:t>
      </w:r>
      <w:r w:rsidRPr="008B2F56">
        <w:rPr>
          <w:rFonts w:ascii="Times New Roman" w:hAnsi="Times New Roman" w:cs="Times New Roman"/>
          <w:color w:val="000000" w:themeColor="text1"/>
          <w:sz w:val="24"/>
          <w:szCs w:val="24"/>
          <w:lang w:val="en-US"/>
        </w:rPr>
        <w:t xml:space="preserve">important </w:t>
      </w:r>
      <w:r w:rsidR="007A14D9" w:rsidRPr="008B2F56">
        <w:rPr>
          <w:rFonts w:ascii="Times New Roman" w:hAnsi="Times New Roman" w:cs="Times New Roman"/>
          <w:color w:val="000000" w:themeColor="text1"/>
          <w:sz w:val="24"/>
          <w:szCs w:val="24"/>
          <w:lang w:val="en-US"/>
        </w:rPr>
        <w:t xml:space="preserve">opportunities </w:t>
      </w:r>
      <w:r w:rsidRPr="008B2F56">
        <w:rPr>
          <w:rFonts w:ascii="Times New Roman" w:hAnsi="Times New Roman" w:cs="Times New Roman"/>
          <w:color w:val="000000" w:themeColor="text1"/>
          <w:sz w:val="24"/>
          <w:szCs w:val="24"/>
          <w:lang w:val="en-US"/>
        </w:rPr>
        <w:t xml:space="preserve">for improving </w:t>
      </w:r>
      <w:r w:rsidR="007A14D9" w:rsidRPr="008B2F56">
        <w:rPr>
          <w:rFonts w:ascii="Times New Roman" w:hAnsi="Times New Roman" w:cs="Times New Roman"/>
          <w:color w:val="000000" w:themeColor="text1"/>
          <w:sz w:val="24"/>
          <w:szCs w:val="24"/>
          <w:lang w:val="en-US"/>
        </w:rPr>
        <w:t xml:space="preserve">investment legislation in developing countries. There seems to be support for the view that countries should avoid investment legislation that does not distinguish between categories of investment based on their relationship to the RtD and SDGs. </w:t>
      </w:r>
      <w:r w:rsidR="00AE3D45" w:rsidRPr="008B2F56">
        <w:rPr>
          <w:rFonts w:ascii="Times New Roman" w:hAnsi="Times New Roman" w:cs="Times New Roman"/>
          <w:color w:val="000000" w:themeColor="text1"/>
          <w:sz w:val="24"/>
          <w:szCs w:val="24"/>
          <w:lang w:val="en-US"/>
        </w:rPr>
        <w:t>Moreover, there are strong arguments that host countries, in particular LDCs, need to consider closely whether it is in their interest to consent unilaterally to ISDS in investment laws.</w:t>
      </w:r>
    </w:p>
    <w:p w14:paraId="6247FFE2" w14:textId="1C540D83" w:rsidR="00AE3D45" w:rsidRPr="008B2F56" w:rsidRDefault="007A14D9"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There are strong arguments that more attention should be paid to the role of the level of inequality within countries when designing policies to promote and protect FDI. </w:t>
      </w:r>
      <w:r w:rsidR="00AE3D45" w:rsidRPr="008B2F56">
        <w:rPr>
          <w:rFonts w:ascii="Times New Roman" w:hAnsi="Times New Roman" w:cs="Times New Roman"/>
          <w:color w:val="000000" w:themeColor="text1"/>
          <w:sz w:val="24"/>
          <w:szCs w:val="24"/>
          <w:lang w:val="en-US"/>
        </w:rPr>
        <w:t>We have found some</w:t>
      </w:r>
      <w:r w:rsidRPr="008B2F56">
        <w:rPr>
          <w:rFonts w:ascii="Times New Roman" w:hAnsi="Times New Roman" w:cs="Times New Roman"/>
          <w:color w:val="000000" w:themeColor="text1"/>
          <w:sz w:val="24"/>
          <w:szCs w:val="24"/>
          <w:lang w:val="en-US"/>
        </w:rPr>
        <w:t xml:space="preserve"> support for the hypothesis that countries with high levels of inequality need significant policy space in order to ensure that FDI will contribute to fulfil the RtD and contribute to SDGs. </w:t>
      </w:r>
      <w:r w:rsidR="00C70F99" w:rsidRPr="008B2F56">
        <w:rPr>
          <w:rFonts w:ascii="Times New Roman" w:hAnsi="Times New Roman" w:cs="Times New Roman"/>
          <w:color w:val="000000" w:themeColor="text1"/>
          <w:sz w:val="24"/>
          <w:szCs w:val="24"/>
          <w:lang w:val="en-US"/>
        </w:rPr>
        <w:t>However, there is limited data on the level of inequality within many developing countries and need for more research in order to determine whether this hypothesis is sufficiently strong to form the basis for significant policy reforms.</w:t>
      </w:r>
    </w:p>
    <w:p w14:paraId="5F971AA7" w14:textId="24319340" w:rsidR="00AE3D45" w:rsidRPr="008B2F56" w:rsidRDefault="00AE3D45" w:rsidP="008D76EF">
      <w:pPr>
        <w:spacing w:before="160" w:after="160"/>
        <w:jc w:val="both"/>
        <w:rPr>
          <w:rFonts w:ascii="Times New Roman" w:hAnsi="Times New Roman" w:cs="Times New Roman"/>
          <w:color w:val="000000" w:themeColor="text1"/>
          <w:sz w:val="24"/>
          <w:szCs w:val="24"/>
          <w:lang w:val="en-US"/>
        </w:rPr>
      </w:pPr>
      <w:r w:rsidRPr="008B2F56">
        <w:rPr>
          <w:rFonts w:ascii="Times New Roman" w:hAnsi="Times New Roman" w:cs="Times New Roman"/>
          <w:color w:val="000000" w:themeColor="text1"/>
          <w:sz w:val="24"/>
          <w:szCs w:val="24"/>
          <w:lang w:val="en-US"/>
        </w:rPr>
        <w:t xml:space="preserve">The most promising way forward may seem to be the </w:t>
      </w:r>
      <w:r w:rsidR="00445990" w:rsidRPr="008B2F56">
        <w:rPr>
          <w:rFonts w:ascii="Times New Roman" w:hAnsi="Times New Roman" w:cs="Times New Roman"/>
          <w:color w:val="000000" w:themeColor="text1"/>
          <w:sz w:val="24"/>
          <w:szCs w:val="24"/>
          <w:lang w:val="en-US"/>
        </w:rPr>
        <w:t xml:space="preserve">UNCITRAL </w:t>
      </w:r>
      <w:r w:rsidRPr="008B2F56">
        <w:rPr>
          <w:rFonts w:ascii="Times New Roman" w:hAnsi="Times New Roman" w:cs="Times New Roman"/>
          <w:color w:val="000000" w:themeColor="text1"/>
          <w:sz w:val="24"/>
          <w:szCs w:val="24"/>
          <w:lang w:val="en-US"/>
        </w:rPr>
        <w:t>reform processes associated with IIAs</w:t>
      </w:r>
      <w:r w:rsidR="00445990" w:rsidRPr="008B2F56">
        <w:rPr>
          <w:rFonts w:ascii="Times New Roman" w:hAnsi="Times New Roman" w:cs="Times New Roman"/>
          <w:color w:val="000000" w:themeColor="text1"/>
          <w:sz w:val="24"/>
          <w:szCs w:val="24"/>
          <w:lang w:val="en-US"/>
        </w:rPr>
        <w:t xml:space="preserve"> taken together with UNCTAD’s initiatives to promote sustainable development-oriented reforms of IIAs and investment laws. These initiatives provide</w:t>
      </w:r>
      <w:r w:rsidRPr="008B2F56">
        <w:rPr>
          <w:rFonts w:ascii="Times New Roman" w:hAnsi="Times New Roman" w:cs="Times New Roman"/>
          <w:color w:val="000000" w:themeColor="text1"/>
          <w:sz w:val="24"/>
          <w:szCs w:val="24"/>
          <w:lang w:val="en-US"/>
        </w:rPr>
        <w:t xml:space="preserve"> an important “window of opportunity.” However, significant uncertainty remains regarding how to approach issues concerning contracts and concessions established between host countries and foreign investors, as well as how to deal with home countries that may choose a strategy of “free-riding” by offering </w:t>
      </w:r>
      <w:r w:rsidRPr="008B2F56">
        <w:rPr>
          <w:rFonts w:ascii="Times New Roman" w:hAnsi="Times New Roman" w:cs="Times New Roman"/>
          <w:color w:val="000000" w:themeColor="text1"/>
          <w:sz w:val="24"/>
          <w:szCs w:val="24"/>
          <w:lang w:val="en-US"/>
        </w:rPr>
        <w:lastRenderedPageBreak/>
        <w:t>protection to investors through their IIAs without taking measures to prevent such investors’ misconduct.</w:t>
      </w:r>
      <w:r w:rsidR="00445990" w:rsidRPr="008B2F56">
        <w:rPr>
          <w:rFonts w:ascii="Times New Roman" w:hAnsi="Times New Roman" w:cs="Times New Roman"/>
          <w:color w:val="000000" w:themeColor="text1"/>
          <w:sz w:val="24"/>
          <w:szCs w:val="24"/>
          <w:lang w:val="en-US"/>
        </w:rPr>
        <w:t xml:space="preserve"> </w:t>
      </w:r>
    </w:p>
    <w:p w14:paraId="1DBEF1B1" w14:textId="235C1D5D" w:rsidR="00AE3D45" w:rsidRPr="008B2F56" w:rsidRDefault="00B67EE6" w:rsidP="008D76EF">
      <w:pPr>
        <w:spacing w:before="160" w:after="160"/>
        <w:jc w:val="both"/>
        <w:rPr>
          <w:rFonts w:ascii="Times New Roman" w:hAnsi="Times New Roman" w:cs="Times New Roman"/>
          <w:color w:val="000000" w:themeColor="text1"/>
          <w:sz w:val="24"/>
          <w:szCs w:val="24"/>
        </w:rPr>
      </w:pPr>
      <w:r w:rsidRPr="008B2F56">
        <w:rPr>
          <w:rFonts w:ascii="Times New Roman" w:hAnsi="Times New Roman" w:cs="Times New Roman"/>
          <w:color w:val="000000" w:themeColor="text1"/>
          <w:sz w:val="24"/>
          <w:szCs w:val="24"/>
          <w:lang w:val="en-US"/>
        </w:rPr>
        <w:t>The negotiations</w:t>
      </w:r>
      <w:r w:rsidR="00445990" w:rsidRPr="008B2F56">
        <w:rPr>
          <w:rFonts w:ascii="Times New Roman" w:hAnsi="Times New Roman" w:cs="Times New Roman"/>
          <w:color w:val="000000" w:themeColor="text1"/>
          <w:sz w:val="24"/>
          <w:szCs w:val="24"/>
          <w:lang w:val="en-US"/>
        </w:rPr>
        <w:t xml:space="preserve"> of </w:t>
      </w:r>
      <w:r w:rsidRPr="008B2F56">
        <w:rPr>
          <w:rFonts w:ascii="Times New Roman" w:hAnsi="Times New Roman" w:cs="Times New Roman"/>
          <w:color w:val="000000" w:themeColor="text1"/>
          <w:sz w:val="24"/>
          <w:szCs w:val="24"/>
          <w:lang w:val="en-US"/>
        </w:rPr>
        <w:t xml:space="preserve">a </w:t>
      </w:r>
      <w:r w:rsidR="00445990" w:rsidRPr="008B2F56">
        <w:rPr>
          <w:rFonts w:ascii="Times New Roman" w:hAnsi="Times New Roman" w:cs="Times New Roman"/>
          <w:color w:val="000000" w:themeColor="text1"/>
          <w:sz w:val="24"/>
          <w:szCs w:val="24"/>
          <w:lang w:val="en-US"/>
        </w:rPr>
        <w:t xml:space="preserve">legally binding instrument on the RtD might contribute to support and refocus existing processes under the auspices of the UN Human Rights Council and the High Commissioner for Human Rights based on the Guiding Principles on Business and Human Rights. </w:t>
      </w:r>
      <w:r w:rsidRPr="008B2F56">
        <w:rPr>
          <w:rFonts w:ascii="Times New Roman" w:hAnsi="Times New Roman" w:cs="Times New Roman"/>
          <w:color w:val="000000" w:themeColor="text1"/>
          <w:sz w:val="24"/>
          <w:szCs w:val="24"/>
          <w:lang w:val="en-US"/>
        </w:rPr>
        <w:t>One example is support of judicial remedies to address human rights violations in the context of FDI. The RtD negotiations may also be relevant for the reform processes of IIAs</w:t>
      </w:r>
      <w:r w:rsidR="00441E5C" w:rsidRPr="008B2F56">
        <w:rPr>
          <w:rFonts w:ascii="Times New Roman" w:hAnsi="Times New Roman" w:cs="Times New Roman"/>
          <w:color w:val="000000" w:themeColor="text1"/>
          <w:sz w:val="24"/>
          <w:szCs w:val="24"/>
          <w:lang w:val="en-US"/>
        </w:rPr>
        <w:t xml:space="preserve"> and investment laws, for example</w:t>
      </w:r>
      <w:r w:rsidRPr="008B2F56">
        <w:rPr>
          <w:rFonts w:ascii="Times New Roman" w:hAnsi="Times New Roman" w:cs="Times New Roman"/>
          <w:color w:val="000000" w:themeColor="text1"/>
          <w:sz w:val="24"/>
          <w:szCs w:val="24"/>
          <w:lang w:val="en-US"/>
        </w:rPr>
        <w:t xml:space="preserve"> by supporting the establishment of safeguard mechanisms so that host countries have sufficient policy space to </w:t>
      </w:r>
      <w:r w:rsidR="00441E5C" w:rsidRPr="008B2F56">
        <w:rPr>
          <w:rFonts w:ascii="Times New Roman" w:hAnsi="Times New Roman" w:cs="Times New Roman"/>
          <w:color w:val="000000" w:themeColor="text1"/>
          <w:sz w:val="24"/>
          <w:szCs w:val="24"/>
          <w:lang w:val="en-US"/>
        </w:rPr>
        <w:t>fulfil their development obligations</w:t>
      </w:r>
      <w:r w:rsidRPr="008B2F56">
        <w:rPr>
          <w:rFonts w:ascii="Times New Roman" w:hAnsi="Times New Roman" w:cs="Times New Roman"/>
          <w:color w:val="000000" w:themeColor="text1"/>
          <w:sz w:val="24"/>
          <w:szCs w:val="24"/>
          <w:lang w:val="en-US"/>
        </w:rPr>
        <w:t>.</w:t>
      </w:r>
      <w:r w:rsidR="00AE3D45" w:rsidRPr="008B2F56">
        <w:rPr>
          <w:rFonts w:ascii="Times New Roman" w:hAnsi="Times New Roman" w:cs="Times New Roman"/>
          <w:color w:val="000000" w:themeColor="text1"/>
          <w:sz w:val="24"/>
          <w:szCs w:val="24"/>
          <w:lang w:val="en-US"/>
        </w:rPr>
        <w:t xml:space="preserve"> </w:t>
      </w:r>
    </w:p>
    <w:sectPr w:rsidR="00AE3D45" w:rsidRPr="008B2F56">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43779" w14:textId="77777777" w:rsidR="00B82B0B" w:rsidRDefault="00B82B0B" w:rsidP="00436212">
      <w:pPr>
        <w:spacing w:after="0" w:line="240" w:lineRule="auto"/>
      </w:pPr>
      <w:r>
        <w:separator/>
      </w:r>
    </w:p>
  </w:endnote>
  <w:endnote w:type="continuationSeparator" w:id="0">
    <w:p w14:paraId="165855F5" w14:textId="77777777" w:rsidR="00B82B0B" w:rsidRDefault="00B82B0B" w:rsidP="00436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ewBaskerville">
    <w:altName w:val="ITC New Baskerville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2115000"/>
      <w:docPartObj>
        <w:docPartGallery w:val="Page Numbers (Bottom of Page)"/>
        <w:docPartUnique/>
      </w:docPartObj>
    </w:sdtPr>
    <w:sdtEndPr>
      <w:rPr>
        <w:sz w:val="24"/>
      </w:rPr>
    </w:sdtEndPr>
    <w:sdtContent>
      <w:p w14:paraId="046FF619" w14:textId="6D041282" w:rsidR="008B2F56" w:rsidRPr="00BA09D0" w:rsidRDefault="008B2F56">
        <w:pPr>
          <w:pStyle w:val="Footer"/>
          <w:jc w:val="center"/>
          <w:rPr>
            <w:sz w:val="24"/>
          </w:rPr>
        </w:pPr>
        <w:r w:rsidRPr="00BA09D0">
          <w:rPr>
            <w:sz w:val="24"/>
          </w:rPr>
          <w:fldChar w:fldCharType="begin"/>
        </w:r>
        <w:r w:rsidRPr="00BA09D0">
          <w:rPr>
            <w:sz w:val="24"/>
          </w:rPr>
          <w:instrText>PAGE   \* MERGEFORMAT</w:instrText>
        </w:r>
        <w:r w:rsidRPr="00BA09D0">
          <w:rPr>
            <w:sz w:val="24"/>
          </w:rPr>
          <w:fldChar w:fldCharType="separate"/>
        </w:r>
        <w:r w:rsidRPr="00F3747A">
          <w:rPr>
            <w:noProof/>
            <w:sz w:val="24"/>
            <w:lang w:val="nb-NO"/>
          </w:rPr>
          <w:t>1</w:t>
        </w:r>
        <w:r w:rsidRPr="00BA09D0">
          <w:rPr>
            <w:sz w:val="24"/>
          </w:rPr>
          <w:fldChar w:fldCharType="end"/>
        </w:r>
      </w:p>
    </w:sdtContent>
  </w:sdt>
  <w:p w14:paraId="7A5E08A3" w14:textId="77777777" w:rsidR="008B2F56" w:rsidRDefault="008B2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D92A0" w14:textId="77777777" w:rsidR="00B82B0B" w:rsidRDefault="00B82B0B" w:rsidP="00436212">
      <w:pPr>
        <w:spacing w:after="0" w:line="240" w:lineRule="auto"/>
      </w:pPr>
      <w:r>
        <w:separator/>
      </w:r>
    </w:p>
  </w:footnote>
  <w:footnote w:type="continuationSeparator" w:id="0">
    <w:p w14:paraId="59273244" w14:textId="77777777" w:rsidR="00B82B0B" w:rsidRDefault="00B82B0B" w:rsidP="00436212">
      <w:pPr>
        <w:spacing w:after="0" w:line="240" w:lineRule="auto"/>
      </w:pPr>
      <w:r>
        <w:continuationSeparator/>
      </w:r>
    </w:p>
  </w:footnote>
  <w:footnote w:id="1">
    <w:p w14:paraId="1E0AEF7C" w14:textId="01947EA8" w:rsidR="00D447FA" w:rsidRDefault="00D447FA" w:rsidP="00B10589">
      <w:pPr>
        <w:pStyle w:val="FootnoteText"/>
        <w:jc w:val="both"/>
        <w:rPr>
          <w:rFonts w:ascii="Times New Roman" w:hAnsi="Times New Roman" w:cs="Times New Roman"/>
          <w:sz w:val="22"/>
          <w:szCs w:val="22"/>
        </w:rPr>
      </w:pPr>
      <w:r w:rsidRPr="00B10589">
        <w:rPr>
          <w:rFonts w:ascii="Times New Roman" w:hAnsi="Times New Roman" w:cs="Times New Roman"/>
          <w:sz w:val="22"/>
          <w:szCs w:val="22"/>
        </w:rPr>
        <w:t xml:space="preserve">* </w:t>
      </w:r>
      <w:r w:rsidR="00B10589" w:rsidRPr="00B10589">
        <w:rPr>
          <w:rFonts w:ascii="Times New Roman" w:hAnsi="Times New Roman" w:cs="Times New Roman"/>
          <w:sz w:val="22"/>
          <w:szCs w:val="22"/>
        </w:rPr>
        <w:t>Professor, Faculty of Law, Department of Public and International Law, University of Oslo. I am very grateful to the United Nations University for Peace for hosting me while conducting research for this chapter, Professor Mihir Kanade for inspiring discussions, and Maxim Usynin for comments on a draft. Research for this chapter has been funded by the Norwegian Research Council through project no. 276009 - Responses to the legitimacy crisis of international investment law.</w:t>
      </w:r>
    </w:p>
    <w:p w14:paraId="38CBA48F" w14:textId="77777777" w:rsidR="00B10589" w:rsidRPr="00B10589" w:rsidRDefault="00B10589" w:rsidP="00B10589">
      <w:pPr>
        <w:pStyle w:val="FootnoteText"/>
        <w:jc w:val="both"/>
        <w:rPr>
          <w:rFonts w:ascii="Times New Roman" w:hAnsi="Times New Roman" w:cs="Times New Roman"/>
          <w:sz w:val="22"/>
          <w:szCs w:val="22"/>
        </w:rPr>
      </w:pPr>
    </w:p>
    <w:p w14:paraId="37F9F183" w14:textId="4689583D" w:rsidR="00E04A74" w:rsidRPr="00B10589" w:rsidRDefault="00E04A74">
      <w:pPr>
        <w:pStyle w:val="FootnoteText"/>
        <w:rPr>
          <w:rFonts w:ascii="Times New Roman" w:hAnsi="Times New Roman" w:cs="Times New Roman"/>
          <w:sz w:val="22"/>
          <w:szCs w:val="22"/>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00D447FA" w:rsidRPr="00B10589">
        <w:rPr>
          <w:rFonts w:ascii="Times New Roman" w:hAnsi="Times New Roman" w:cs="Times New Roman"/>
          <w:sz w:val="22"/>
          <w:szCs w:val="22"/>
          <w:lang w:val="en-US"/>
        </w:rPr>
        <w:t>UNGA resolution A/RES/70/1, 25 September 2015 (without a vote). These goals build on the Millennium Development Goals which were to be reached by 2015.</w:t>
      </w:r>
    </w:p>
  </w:footnote>
  <w:footnote w:id="2">
    <w:p w14:paraId="387C9C2C" w14:textId="1FBDBC5C"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The four criteria were famously cornered by the tribunal in Salini Costruttori S.p.A. &amp; Italstrade S.p.A. v. Kingdom of Morocco, ICSID Case No. ARB/00/4, Decision on Jurisdiction (21 July 2001) paras. 52 and 57, and have subsequently been subject to much attention in negotiations, international institutions and international judicial decisions.</w:t>
      </w:r>
    </w:p>
  </w:footnote>
  <w:footnote w:id="3">
    <w:p w14:paraId="6C4C98D7" w14:textId="4BC7ADC1"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See </w:t>
      </w:r>
      <w:hyperlink r:id="rId1" w:history="1">
        <w:r w:rsidRPr="00B10589">
          <w:rPr>
            <w:rStyle w:val="Hyperlink"/>
            <w:rFonts w:ascii="Times New Roman" w:hAnsi="Times New Roman" w:cs="Times New Roman"/>
            <w:sz w:val="22"/>
            <w:szCs w:val="22"/>
          </w:rPr>
          <w:t>http://www.oecd.org/dac/stats/type-aid.htm</w:t>
        </w:r>
      </w:hyperlink>
      <w:r w:rsidRPr="00B10589">
        <w:rPr>
          <w:rFonts w:ascii="Times New Roman" w:hAnsi="Times New Roman" w:cs="Times New Roman"/>
          <w:sz w:val="22"/>
          <w:szCs w:val="22"/>
        </w:rPr>
        <w:t xml:space="preserve">. </w:t>
      </w:r>
    </w:p>
  </w:footnote>
  <w:footnote w:id="4">
    <w:p w14:paraId="6FB223AB" w14:textId="144B5884"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See inter alia, R Echandi, Be Careful with What You Wish: Saving Developing Countries from Development and the Risk of Overlooking the Importance of a Multilateral Rule-Based System on Investment in the Twenty-First Century, in Bungenberg et al (eds) European Yearbook of International Economic Law, vol. 7 (2016) pp. 233-271. For the opposing view, see M Sornarajah: International Investment Law as Development Law: The Obsolescence of a Fraudulent System, in ibid. pp. 209-231.</w:t>
      </w:r>
    </w:p>
  </w:footnote>
  <w:footnote w:id="5">
    <w:p w14:paraId="6901BF3D" w14:textId="50FE355C"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The adoption of the Rio Declaration on Environment and Development and Agenda 21 by the United Nations Conference on Environment and Development (UNCED) in Rio de Janeiro, 3-14 June 1992 forms a basic starting point, which has since been supplemented by the eight Millennium Development Goals (2000-2015) and seventeen Sustainable Development Goals (2015-2030).</w:t>
      </w:r>
    </w:p>
  </w:footnote>
  <w:footnote w:id="6">
    <w:p w14:paraId="69DD79CE"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The World Commission on Environment and Development, Our Common Future (OUP 1987) pp. 85-87. The Commission paid little attention to the role of FDI beyond references to the objective of ensuring responsibility for FDI of transnational corporations. M Gehring &amp; A Newcombe, An Introduction to Sustainable Development in World Investment Law, in M-C Cordonier Segger, M Gehring &amp; A Newcombe (eds) Sustainable Development in Investment Law (Wolters Kluwer 2011) pp. 3-6 provides an overview of the follow-up in relevant international policy documents.</w:t>
      </w:r>
    </w:p>
  </w:footnote>
  <w:footnote w:id="7">
    <w:p w14:paraId="7096BA2F"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See e.g., TH Moran, Harnessing Foreign Direct Investment for Development: Policies for Developed and Developing Countries (Brookings Institution Press 2006).</w:t>
      </w:r>
    </w:p>
  </w:footnote>
  <w:footnote w:id="8">
    <w:p w14:paraId="0FDCFA78" w14:textId="67C14AFC"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A/RES/70/1</w:t>
      </w:r>
    </w:p>
  </w:footnote>
  <w:footnote w:id="9">
    <w:p w14:paraId="2453A2B5" w14:textId="1FE3E718"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 xml:space="preserve">See Millennium Development Goal (MDG) 8 and the associated targets. None of the MDG indicators referred to FDI, see </w:t>
      </w:r>
      <w:hyperlink r:id="rId2" w:history="1">
        <w:r w:rsidRPr="00B10589">
          <w:rPr>
            <w:rStyle w:val="Hyperlink"/>
            <w:rFonts w:ascii="Times New Roman" w:hAnsi="Times New Roman" w:cs="Times New Roman"/>
            <w:sz w:val="22"/>
            <w:szCs w:val="22"/>
            <w:lang w:val="en-US"/>
          </w:rPr>
          <w:t>http://mdgs.un.org/unsd/mdg/Host.aspx?Content=Indicators/OfficialList.htm</w:t>
        </w:r>
      </w:hyperlink>
      <w:r w:rsidRPr="00B10589">
        <w:rPr>
          <w:rFonts w:ascii="Times New Roman" w:hAnsi="Times New Roman" w:cs="Times New Roman"/>
          <w:sz w:val="22"/>
          <w:szCs w:val="22"/>
          <w:lang w:val="en-US"/>
        </w:rPr>
        <w:t xml:space="preserve">. </w:t>
      </w:r>
    </w:p>
  </w:footnote>
  <w:footnote w:id="10">
    <w:p w14:paraId="21D42621" w14:textId="09038593"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UNGA resolution A/RES/70/1, targets 1.a, 1.b, 2.a, 7.a, 7.b, 10.b, and 17.3.</w:t>
      </w:r>
    </w:p>
  </w:footnote>
  <w:footnote w:id="11">
    <w:p w14:paraId="62C77629" w14:textId="77777777" w:rsidR="008B2F56" w:rsidRPr="00B10589" w:rsidRDefault="008B2F56" w:rsidP="008D76EF">
      <w:pPr>
        <w:pStyle w:val="FootnoteText"/>
        <w:jc w:val="both"/>
        <w:rPr>
          <w:rFonts w:ascii="Times New Roman" w:hAnsi="Times New Roman" w:cs="Times New Roman"/>
          <w:sz w:val="22"/>
          <w:szCs w:val="22"/>
          <w:lang w:val="es-CR"/>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s-CR"/>
        </w:rPr>
        <w:t xml:space="preserve"> Ibid. goal 10, para. 10.b.</w:t>
      </w:r>
    </w:p>
  </w:footnote>
  <w:footnote w:id="12">
    <w:p w14:paraId="190CE940"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s-CR"/>
        </w:rPr>
        <w:t xml:space="preserve"> Ibid. para. </w:t>
      </w:r>
      <w:r w:rsidRPr="00B10589">
        <w:rPr>
          <w:rFonts w:ascii="Times New Roman" w:hAnsi="Times New Roman" w:cs="Times New Roman"/>
          <w:sz w:val="22"/>
          <w:szCs w:val="22"/>
          <w:lang w:val="en-US"/>
        </w:rPr>
        <w:t>22.</w:t>
      </w:r>
    </w:p>
  </w:footnote>
  <w:footnote w:id="13">
    <w:p w14:paraId="1F5CF460"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Ibid. paras. 41, 67.</w:t>
      </w:r>
    </w:p>
  </w:footnote>
  <w:footnote w:id="14">
    <w:p w14:paraId="4D81A603" w14:textId="6A56879A"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See indicators 7.b.1, 10.b.1, 17.3.1, and 17.5.1.</w:t>
      </w:r>
    </w:p>
  </w:footnote>
  <w:footnote w:id="15">
    <w:p w14:paraId="7FB51D0B" w14:textId="5BEA96D3"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UNGA resolution A/RES/69/313, 27 July 2015 (without a vote).</w:t>
      </w:r>
    </w:p>
  </w:footnote>
  <w:footnote w:id="16">
    <w:p w14:paraId="54B5A649" w14:textId="3F1BBFDD" w:rsidR="008B2F56" w:rsidRPr="00B10589" w:rsidRDefault="008B2F56" w:rsidP="008D76EF">
      <w:pPr>
        <w:pStyle w:val="FootnoteText"/>
        <w:jc w:val="both"/>
        <w:rPr>
          <w:rFonts w:ascii="Times New Roman" w:hAnsi="Times New Roman" w:cs="Times New Roman"/>
          <w:sz w:val="22"/>
          <w:szCs w:val="22"/>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Ibid paras. 35 and 45-46.</w:t>
      </w:r>
    </w:p>
  </w:footnote>
  <w:footnote w:id="17">
    <w:p w14:paraId="018735C9" w14:textId="4081A443" w:rsidR="008B2F56" w:rsidRPr="00B10589" w:rsidRDefault="008B2F56" w:rsidP="008D76EF">
      <w:pPr>
        <w:pStyle w:val="FootnoteText"/>
        <w:jc w:val="both"/>
        <w:rPr>
          <w:rFonts w:ascii="Times New Roman" w:hAnsi="Times New Roman" w:cs="Times New Roman"/>
          <w:sz w:val="22"/>
          <w:szCs w:val="22"/>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UNGA resolution </w:t>
      </w:r>
      <w:r w:rsidRPr="00B10589">
        <w:rPr>
          <w:rFonts w:ascii="Times New Roman" w:hAnsi="Times New Roman" w:cs="Times New Roman"/>
          <w:sz w:val="22"/>
          <w:szCs w:val="22"/>
          <w:lang w:val="en-US"/>
        </w:rPr>
        <w:t>A/RES/41/128, 4 December 1986 (vote: 148 in favour, 1 against, 8 abstentions).</w:t>
      </w:r>
    </w:p>
  </w:footnote>
  <w:footnote w:id="18">
    <w:p w14:paraId="683D8FB7"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 xml:space="preserve">See Report of the high-level task force on the implementation of the right to development on its sixth session, 8 March 2010, doc. A/HRC/15/WG.2/TF/2/Add.2, pp. 8-13, in particular criteria 1(b), 1(g) and 3(b). Relevant documents from the task force are available at </w:t>
      </w:r>
      <w:hyperlink r:id="rId3" w:history="1">
        <w:r w:rsidRPr="00B10589">
          <w:rPr>
            <w:rStyle w:val="Hyperlink"/>
            <w:rFonts w:ascii="Times New Roman" w:hAnsi="Times New Roman" w:cs="Times New Roman"/>
            <w:sz w:val="22"/>
            <w:szCs w:val="22"/>
            <w:lang w:val="en-US"/>
          </w:rPr>
          <w:t>https://www.ohchr.org/EN/Issues/Development/Pages/HighLevelTaskForce.aspx</w:t>
        </w:r>
      </w:hyperlink>
      <w:r w:rsidRPr="00B10589">
        <w:rPr>
          <w:rFonts w:ascii="Times New Roman" w:hAnsi="Times New Roman" w:cs="Times New Roman"/>
          <w:sz w:val="22"/>
          <w:szCs w:val="22"/>
          <w:lang w:val="en-US"/>
        </w:rPr>
        <w:t xml:space="preserve">. </w:t>
      </w:r>
    </w:p>
  </w:footnote>
  <w:footnote w:id="19">
    <w:p w14:paraId="1CBF59B1" w14:textId="73BBB180"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 xml:space="preserve">The issue was a main issue on the agenda of the Working Group during its annual sessions since 2010, see annual reports available at: </w:t>
      </w:r>
      <w:hyperlink r:id="rId4" w:history="1">
        <w:r w:rsidRPr="00B10589">
          <w:rPr>
            <w:rStyle w:val="Hyperlink"/>
            <w:rFonts w:ascii="Times New Roman" w:hAnsi="Times New Roman" w:cs="Times New Roman"/>
            <w:sz w:val="22"/>
            <w:szCs w:val="22"/>
            <w:lang w:val="en-US"/>
          </w:rPr>
          <w:t>https://www.ohchr.org/EN/Issues/Development/Pages/WGRightToDevelopment.aspx</w:t>
        </w:r>
      </w:hyperlink>
      <w:r w:rsidRPr="00B10589">
        <w:rPr>
          <w:rFonts w:ascii="Times New Roman" w:hAnsi="Times New Roman" w:cs="Times New Roman"/>
          <w:sz w:val="22"/>
          <w:szCs w:val="22"/>
          <w:lang w:val="en-US"/>
        </w:rPr>
        <w:t xml:space="preserve">. The stalemate of these discussions are in stark contrast to the work on indicators for SDG targets, which has been endorsed by the UNGA resolution A/RES/71/313, 6 July 2017 (without a vote) and is carried out under the auspices of the UN Statistical Commission, see </w:t>
      </w:r>
      <w:hyperlink r:id="rId5" w:history="1">
        <w:r w:rsidRPr="00B10589">
          <w:rPr>
            <w:rStyle w:val="Hyperlink"/>
            <w:rFonts w:ascii="Times New Roman" w:hAnsi="Times New Roman" w:cs="Times New Roman"/>
            <w:sz w:val="22"/>
            <w:szCs w:val="22"/>
            <w:lang w:val="en-US"/>
          </w:rPr>
          <w:t>https://unstats.un.org/sdgs/iaeg-sdgs/</w:t>
        </w:r>
      </w:hyperlink>
      <w:r w:rsidRPr="00B10589">
        <w:rPr>
          <w:rFonts w:ascii="Times New Roman" w:hAnsi="Times New Roman" w:cs="Times New Roman"/>
          <w:sz w:val="22"/>
          <w:szCs w:val="22"/>
          <w:lang w:val="en-US"/>
        </w:rPr>
        <w:t xml:space="preserve">. </w:t>
      </w:r>
    </w:p>
  </w:footnote>
  <w:footnote w:id="20">
    <w:p w14:paraId="7E1C7E98" w14:textId="466F900D" w:rsidR="008B2F56" w:rsidRPr="00B10589" w:rsidRDefault="008B2F56" w:rsidP="008D76EF">
      <w:pPr>
        <w:pStyle w:val="FootnoteText"/>
        <w:jc w:val="both"/>
        <w:rPr>
          <w:rFonts w:ascii="Times New Roman" w:hAnsi="Times New Roman" w:cs="Times New Roman"/>
          <w:sz w:val="22"/>
          <w:szCs w:val="22"/>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Human Rights Council resolution 39/9, 27 September 2018 (vote: 30 in favour {Afghanistan, Angola, Brazil, Burundi, Chile, China, Côte d’Ivoire, Cuba, D.R. Congo, Ecuador, Egypt, Ethiopia, Iraq, Kenya, Kyrgyzstan, Mongolia, Nepal, Nigeria, Pakistan, Peru, Philippines, Qatar, Rwanda, Saudi Arabia, Senegal, South Africa, Togo, Tunisia, United Arab Emirates, Venezuela}. 12 against {Australia, Belgium, Croatia, Georgia, Germany, Hungary, Slovakia, Slovenia, Spain, Switzerland, Ukraine, United Kingdom}, 5 abstentions [Iceland, Japan, Mexico, Panama, Republic of Korea}).</w:t>
      </w:r>
    </w:p>
  </w:footnote>
  <w:footnote w:id="21">
    <w:p w14:paraId="5DBD8726" w14:textId="05A46D6A"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 xml:space="preserve">See Work Plan for Tier III Indicators, </w:t>
      </w:r>
      <w:hyperlink r:id="rId6" w:history="1">
        <w:r w:rsidRPr="00B10589">
          <w:rPr>
            <w:rStyle w:val="Hyperlink"/>
            <w:rFonts w:ascii="Times New Roman" w:hAnsi="Times New Roman" w:cs="Times New Roman"/>
            <w:sz w:val="22"/>
            <w:szCs w:val="22"/>
            <w:lang w:val="en-US"/>
          </w:rPr>
          <w:t>https://unstats.un.org/sdgs/tierIII-indicators/</w:t>
        </w:r>
      </w:hyperlink>
      <w:r w:rsidRPr="00B10589">
        <w:rPr>
          <w:rFonts w:ascii="Times New Roman" w:hAnsi="Times New Roman" w:cs="Times New Roman"/>
          <w:sz w:val="22"/>
          <w:szCs w:val="22"/>
          <w:lang w:val="en-US"/>
        </w:rPr>
        <w:t xml:space="preserve"> and </w:t>
      </w:r>
      <w:hyperlink r:id="rId7" w:history="1">
        <w:r w:rsidRPr="00B10589">
          <w:rPr>
            <w:rStyle w:val="Hyperlink"/>
            <w:rFonts w:ascii="Times New Roman" w:hAnsi="Times New Roman" w:cs="Times New Roman"/>
            <w:sz w:val="22"/>
            <w:szCs w:val="22"/>
            <w:lang w:val="en-US"/>
          </w:rPr>
          <w:t>https://unstats.un.org/sdgs/tierIII-indicators/files/Tier3-17-05-01.pdf</w:t>
        </w:r>
      </w:hyperlink>
      <w:r w:rsidRPr="00B10589">
        <w:rPr>
          <w:rFonts w:ascii="Times New Roman" w:hAnsi="Times New Roman" w:cs="Times New Roman"/>
          <w:sz w:val="22"/>
          <w:szCs w:val="22"/>
          <w:lang w:val="en-US"/>
        </w:rPr>
        <w:t xml:space="preserve">. </w:t>
      </w:r>
    </w:p>
  </w:footnote>
  <w:footnote w:id="22">
    <w:p w14:paraId="29FCAE24" w14:textId="0071BC8C"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color w:val="404040"/>
          <w:sz w:val="22"/>
          <w:szCs w:val="22"/>
          <w:lang w:val="en-US"/>
        </w:rPr>
        <w:t>UNCTAD, World Investment Report 2014. Investing in the SDGs: An Action Plan, 2014, p. xi.</w:t>
      </w:r>
    </w:p>
  </w:footnote>
  <w:footnote w:id="23">
    <w:p w14:paraId="0A20A083" w14:textId="548C01CD"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See UNCTAD, Development and Globalization: Facts and Figures, 2016, pp. 165-166. UNCTAD identifies “four broad categories: investment facilitation; ‘investment incentives’; special economic zones (SEZ) and other.”</w:t>
      </w:r>
    </w:p>
  </w:footnote>
  <w:footnote w:id="24">
    <w:p w14:paraId="02A1C091" w14:textId="46DA7A2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 xml:space="preserve">See UNGA resolution A/RES/71/313, indicators 2.a.2, 3.b.2, 4.b.1, 6.a.1, 9.a.1, 10.b.1, 15.a.1, 15.b.1, 17.2.1, and 17.3.1. </w:t>
      </w:r>
    </w:p>
  </w:footnote>
  <w:footnote w:id="25">
    <w:p w14:paraId="1E4C93E9" w14:textId="4DA2608D" w:rsidR="008B2F56" w:rsidRPr="00B10589" w:rsidRDefault="008B2F56" w:rsidP="008D76EF">
      <w:pPr>
        <w:pStyle w:val="FootnoteText"/>
        <w:jc w:val="both"/>
        <w:rPr>
          <w:rFonts w:ascii="Times New Roman" w:hAnsi="Times New Roman" w:cs="Times New Roman"/>
          <w:sz w:val="22"/>
          <w:szCs w:val="22"/>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See, e.g., T Betz and A Kerner, The influence of interest: Real US interest rates and bilateral investment treaties, 11(4) Review of International Organizations (2016) pp. 419-448. </w:t>
      </w:r>
    </w:p>
  </w:footnote>
  <w:footnote w:id="26">
    <w:p w14:paraId="1A6DB02B" w14:textId="11D26623"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The trade-off between international commitments and loss of policy space was acknowledged in UNGA resolution A/65/RES/1, 22 September 2010 (without a vote), para. 37. On the evolving view on the benefits of such commitments in UNGA resolutions, see HM Haugen, Trade and investment agreements. What role for economic, social, and cultural rights in international economic law? In E Riedel, G Giacca and C Golay (eds.), Economic, Social, and Cultural Rights in International Law (OUP 2014) pp. 234-236.</w:t>
      </w:r>
    </w:p>
  </w:footnote>
  <w:footnote w:id="27">
    <w:p w14:paraId="700255FC" w14:textId="79082E58"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 xml:space="preserve">See, e.g., articles 1.2, 2.1 and 55 of the UN Charter. See also N Schrijver, Self-determination of peoples </w:t>
      </w:r>
    </w:p>
    <w:p w14:paraId="4ACF25AB" w14:textId="06A23A1C" w:rsidR="008B2F56" w:rsidRPr="00B10589" w:rsidRDefault="008B2F56" w:rsidP="008D76EF">
      <w:pPr>
        <w:pStyle w:val="FootnoteText"/>
        <w:jc w:val="both"/>
        <w:rPr>
          <w:rFonts w:ascii="Times New Roman" w:hAnsi="Times New Roman" w:cs="Times New Roman"/>
          <w:sz w:val="22"/>
          <w:szCs w:val="22"/>
          <w:lang w:val="en-US"/>
        </w:rPr>
      </w:pPr>
      <w:r w:rsidRPr="00B10589">
        <w:rPr>
          <w:rFonts w:ascii="Times New Roman" w:hAnsi="Times New Roman" w:cs="Times New Roman"/>
          <w:sz w:val="22"/>
          <w:szCs w:val="22"/>
          <w:lang w:val="en-US"/>
        </w:rPr>
        <w:t>and sovereignty over natural wealth and resources, in Office for the High Commissioner for Human Rights, Realizing the Right to Development: Essays in Commemoration of 25 Years of the United Nations Declaration on the Right to Development, 2013, pp. 95-102.</w:t>
      </w:r>
    </w:p>
  </w:footnote>
  <w:footnote w:id="28">
    <w:p w14:paraId="3595868F" w14:textId="19254AD9"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See articles 1 of the International Covenants on Civil and Political Rights and on Economic, Social and Cultural Rights, UNGA resolutions 1803(XVII), Permanent sovereignty over natural resources, 14 December 1962 (vote: 87 in favour, 2 against, 12 abstentions) and 3281(XXIX), Charter of Economic Rights and Duties of States, 12 December 1974 (vote: 115 in favour, 6 against, 10 abstentions), and principle 2 of the Rio Declaration, endorsed in UNGA resolution A/RES/47/190, 22 December 1992 (without a vote).</w:t>
      </w:r>
    </w:p>
  </w:footnote>
  <w:footnote w:id="29">
    <w:p w14:paraId="45858BD9"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UNCTAD, Investment Policy Framework for Sustainable Development, 2015,</w:t>
      </w:r>
      <w:r w:rsidRPr="00B10589">
        <w:rPr>
          <w:rFonts w:ascii="Times New Roman" w:hAnsi="Times New Roman" w:cs="Times New Roman"/>
          <w:sz w:val="22"/>
          <w:szCs w:val="22"/>
          <w:lang w:val="en-US"/>
        </w:rPr>
        <w:t xml:space="preserve"> pp. 27 ff.</w:t>
      </w:r>
    </w:p>
  </w:footnote>
  <w:footnote w:id="30">
    <w:p w14:paraId="4AE99C0D" w14:textId="73B8BB5C"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For a thorough discussion of policy space and associated concepts and their relationship to the RtD, see M Kanade, The Multilateral Trading System and Human Rights: A Governance Space Theory on Linkages, Routledge, 2018. On such issues as related to international investment law, see T Broude, YZ Haftel and A Thompson, The Trans-Pacific Partnership and regulatory space: A comparison of treaty texts, 20(2) Journal of International Economic Law (2017), pp. 397-402, and T Broude, YZ Haftel and A Thompson, Who cares about regulatory space in BITs? A comparative international approach, in A Roberts et al. (eds.), Comparative international law (OUP 2018), pp. 535-540.</w:t>
      </w:r>
    </w:p>
  </w:footnote>
  <w:footnote w:id="31">
    <w:p w14:paraId="1CD90DD4" w14:textId="644EBD4E"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Studies of such practices are generally done on a country-by-country basis by inter-governmental institutions (e.g. UNCTAD and the World Bank) and non-governmental institutions (e.g. the Colombia Center for Sustainable Investment).</w:t>
      </w:r>
    </w:p>
  </w:footnote>
  <w:footnote w:id="32">
    <w:p w14:paraId="4B2419A6" w14:textId="383D5AEA"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 xml:space="preserve">Data gathered from the WTO Services Database, </w:t>
      </w:r>
      <w:hyperlink r:id="rId8" w:history="1">
        <w:r w:rsidRPr="00B10589">
          <w:rPr>
            <w:rStyle w:val="Hyperlink"/>
            <w:rFonts w:ascii="Times New Roman" w:hAnsi="Times New Roman" w:cs="Times New Roman"/>
            <w:sz w:val="22"/>
            <w:szCs w:val="22"/>
            <w:lang w:val="en-US"/>
          </w:rPr>
          <w:t>http://i-tip.wto.org/services/Search.aspx</w:t>
        </w:r>
      </w:hyperlink>
      <w:r w:rsidRPr="00B10589">
        <w:rPr>
          <w:rFonts w:ascii="Times New Roman" w:hAnsi="Times New Roman" w:cs="Times New Roman"/>
          <w:sz w:val="22"/>
          <w:szCs w:val="22"/>
          <w:lang w:val="en-US"/>
        </w:rPr>
        <w:t xml:space="preserve">. </w:t>
      </w:r>
    </w:p>
  </w:footnote>
  <w:footnote w:id="33">
    <w:p w14:paraId="04CDE0A4" w14:textId="026AE6CD"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The Columbia Center for Sustainable Investment has conducted a survey of the local content frameworks of a number of countries within the mining and petroleum sectors, the results of which is made available on a country-by-country basis, see </w:t>
      </w:r>
      <w:hyperlink r:id="rId9" w:history="1">
        <w:r w:rsidRPr="00B10589">
          <w:rPr>
            <w:rStyle w:val="Hyperlink"/>
            <w:rFonts w:ascii="Times New Roman" w:hAnsi="Times New Roman" w:cs="Times New Roman"/>
            <w:sz w:val="22"/>
            <w:szCs w:val="22"/>
          </w:rPr>
          <w:t>http://ccsi.columbia.edu/work/projects/local-content-laws-contractual-provisions/</w:t>
        </w:r>
      </w:hyperlink>
      <w:r w:rsidRPr="00B10589">
        <w:rPr>
          <w:rFonts w:ascii="Times New Roman" w:hAnsi="Times New Roman" w:cs="Times New Roman"/>
          <w:sz w:val="22"/>
          <w:szCs w:val="22"/>
        </w:rPr>
        <w:t>. LDCs that have been surveyed include Angola, Tanzania, Uganda and Zambia.</w:t>
      </w:r>
    </w:p>
  </w:footnote>
  <w:footnote w:id="34">
    <w:p w14:paraId="6F0C2E8D" w14:textId="456D026E"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 xml:space="preserve"> </w:t>
      </w:r>
      <w:hyperlink r:id="rId10" w:anchor="selected_agreement" w:history="1">
        <w:r w:rsidRPr="00B10589">
          <w:rPr>
            <w:rStyle w:val="Hyperlink"/>
            <w:rFonts w:ascii="Times New Roman" w:hAnsi="Times New Roman" w:cs="Times New Roman"/>
            <w:sz w:val="22"/>
            <w:szCs w:val="22"/>
            <w:lang w:val="en-US"/>
          </w:rPr>
          <w:t>https://www.wto.org/english/tratop_e/dispu_e/dispu_agreements_index_e.htm?id=A25#selected_agreement</w:t>
        </w:r>
      </w:hyperlink>
      <w:r w:rsidRPr="00B10589">
        <w:rPr>
          <w:rFonts w:ascii="Times New Roman" w:hAnsi="Times New Roman" w:cs="Times New Roman"/>
          <w:sz w:val="22"/>
          <w:szCs w:val="22"/>
          <w:lang w:val="en-US"/>
        </w:rPr>
        <w:t xml:space="preserve">. </w:t>
      </w:r>
    </w:p>
  </w:footnote>
  <w:footnote w:id="35">
    <w:p w14:paraId="05BF5D3D"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 xml:space="preserve"> </w:t>
      </w:r>
      <w:hyperlink r:id="rId11" w:anchor="selected_agreement" w:history="1">
        <w:r w:rsidRPr="00B10589">
          <w:rPr>
            <w:rStyle w:val="Hyperlink"/>
            <w:rFonts w:ascii="Times New Roman" w:hAnsi="Times New Roman" w:cs="Times New Roman"/>
            <w:sz w:val="22"/>
            <w:szCs w:val="22"/>
            <w:lang w:val="en-US"/>
          </w:rPr>
          <w:t>https://www.wto.org/english/tratop_e/dispu_e/dispu_agreements_index_e.htm?id=A26#selected_agreement</w:t>
        </w:r>
      </w:hyperlink>
      <w:r w:rsidRPr="00B10589">
        <w:rPr>
          <w:rFonts w:ascii="Times New Roman" w:hAnsi="Times New Roman" w:cs="Times New Roman"/>
          <w:sz w:val="22"/>
          <w:szCs w:val="22"/>
          <w:lang w:val="en-US"/>
        </w:rPr>
        <w:t xml:space="preserve">.  </w:t>
      </w:r>
    </w:p>
  </w:footnote>
  <w:footnote w:id="36">
    <w:p w14:paraId="43A699B9" w14:textId="5B945CA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WTO Ministerial Council, Doha, 20 November 2001, Declaration on the TRIPS agreement and public health, WTO doc. WT/MIN(01)/DEC/2, paras. 4 and 5.</w:t>
      </w:r>
    </w:p>
  </w:footnote>
  <w:footnote w:id="37">
    <w:p w14:paraId="6FE3F8E5" w14:textId="120D8D4C"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Ibid. para. 6 and WTO doc. WT/L/540 and Corr.1.</w:t>
      </w:r>
    </w:p>
  </w:footnote>
  <w:footnote w:id="38">
    <w:p w14:paraId="1DA95AB9" w14:textId="10E81FC9"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For a listing of acceptance, s</w:t>
      </w:r>
      <w:r w:rsidRPr="00B10589">
        <w:rPr>
          <w:rFonts w:ascii="Times New Roman" w:hAnsi="Times New Roman" w:cs="Times New Roman"/>
          <w:sz w:val="22"/>
          <w:szCs w:val="22"/>
          <w:lang w:val="en-US"/>
        </w:rPr>
        <w:t xml:space="preserve">ee </w:t>
      </w:r>
      <w:hyperlink r:id="rId12" w:history="1">
        <w:r w:rsidRPr="00B10589">
          <w:rPr>
            <w:rStyle w:val="Hyperlink"/>
            <w:rFonts w:ascii="Times New Roman" w:hAnsi="Times New Roman" w:cs="Times New Roman"/>
            <w:sz w:val="22"/>
            <w:szCs w:val="22"/>
            <w:lang w:val="en-US"/>
          </w:rPr>
          <w:t>https://www.wto.org/english/tratop_e/trips_e/amendment_e.htm</w:t>
        </w:r>
      </w:hyperlink>
      <w:r w:rsidRPr="00B10589">
        <w:rPr>
          <w:rFonts w:ascii="Times New Roman" w:hAnsi="Times New Roman" w:cs="Times New Roman"/>
          <w:sz w:val="22"/>
          <w:szCs w:val="22"/>
          <w:lang w:val="en-US"/>
        </w:rPr>
        <w:t>. By the end of 2018, only 17 of 36 LDC WTO members had accepted the amendment.</w:t>
      </w:r>
    </w:p>
  </w:footnote>
  <w:footnote w:id="39">
    <w:p w14:paraId="235BFA32" w14:textId="1D36694E"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See WTO doc. IP/N/9/RWA/1 and WTO, WIPO and WHO, Promoting Access to Medical Technologies and Innovation: Intersections between public health, intellectual property and trade, 2012, pp. 177-180.</w:t>
      </w:r>
    </w:p>
  </w:footnote>
  <w:footnote w:id="40">
    <w:p w14:paraId="5A7302CA" w14:textId="65F01AB3"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See WTO doc. IP/C/28 of 20 February 2003.</w:t>
      </w:r>
    </w:p>
  </w:footnote>
  <w:footnote w:id="41">
    <w:p w14:paraId="54191FDA" w14:textId="7B5E52A6"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See WTO doc. IP/C/W/640 of 16 February 2018.</w:t>
      </w:r>
    </w:p>
  </w:footnote>
  <w:footnote w:id="42">
    <w:p w14:paraId="61733F5E"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See P Egger &amp; V Merlo, The Impact of Bilateral Investment Treaties on FDI Dynamics, 30(10) The World Economy (2007) pp. 1536-1549.</w:t>
      </w:r>
    </w:p>
  </w:footnote>
  <w:footnote w:id="43">
    <w:p w14:paraId="1D52F455"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See D Swenson, Why do Developing Countries Sign MITs?, 12 UC Davis Journal of International Law &amp; Policy (2005) pp. 131-155; T Büthe &amp; HV Milner, Bilateral Investment Treaties and Foreign Direct Investment: A Political Analysis, in K Sauvant &amp; L Sachs (eds) The Effect of Treaties on Foreign Direct Investment: Bilateral Investment Treaties, Double Taxation Treaties, and Investment Flows (OUP 2009) pp. 171-224.</w:t>
      </w:r>
    </w:p>
  </w:footnote>
  <w:footnote w:id="44">
    <w:p w14:paraId="12742C09"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P Egger &amp; M Pfaffermayr, The Impact of Bilateral Investment Treaties on Foreign Direct Investment, 32(4) Journal of Comparative Economics (2004) pp. 788-804; YZ Haftel, Ratification Counts: US Investment Treaties and FDI Flows into Developing Countries, 17(2) Review of International Political Economy (2010) pp. 348-377.</w:t>
      </w:r>
    </w:p>
  </w:footnote>
  <w:footnote w:id="45">
    <w:p w14:paraId="0DCA0FDE" w14:textId="430F5A9F"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E Neumayer &amp; L Spess, Do Bilateral Investment Treaties Increase Foreign Direct Investment to Developing Countries? in Sauvant &amp; Sachs (n 42) pp. 225-252; JL Tobin &amp; S Rose-Ackerman, When Bits Have Some Bite: The Political-Economic Environment for Bilateral Investment Treaties, 6(1) The Review of International Organization (2011) pp. 1-32. For a literature review, see UNCTAD, The Role of International Investment Agreements in Attracting Foreign Direct Investment to Developing Countries (UNCTAD 2009).</w:t>
      </w:r>
    </w:p>
  </w:footnote>
  <w:footnote w:id="46">
    <w:p w14:paraId="1BCF6CC6" w14:textId="365EC6D5"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R Grosse &amp; LJ Trevino, New Institutional Economics and FDI Location in Central and Eastern Europe, in Sauvant &amp; Sachs (n 42) pp. 273-294; J Dixon &amp; PA Haslam, Does the Quality of Investment Protection Affect FDI Flows to Developing Countries? Evidence from Latin America, 39(8) The World Economy (2016) pp. 1080-1108.</w:t>
      </w:r>
    </w:p>
  </w:footnote>
  <w:footnote w:id="47">
    <w:p w14:paraId="7F8CB973"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L Colen, D Persyn &amp; A Guariso, Bilateral Investment Treaties and FDI: Does the Sector Matter? 83 World Development (2016) pp. 193-206.</w:t>
      </w:r>
    </w:p>
  </w:footnote>
  <w:footnote w:id="48">
    <w:p w14:paraId="54B36298"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T Allee &amp; C Peinhardt, Contingent Credibility: The Impact of Investment Treaty Violations on Foreign Direct Investment, 65(3) International Organization (2011) pp. 401-432.</w:t>
      </w:r>
    </w:p>
  </w:footnote>
  <w:footnote w:id="49">
    <w:p w14:paraId="00DA37C4" w14:textId="36FFB3B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See e.g., Z Elkins, A Guzman &amp; B Simmons, Competing for Capital: The Diffusion of Bilateral Investment Treaties, 1960-2000, 60(4) International Organization (2006) pp. 811-846; A Kerner, Why Should I Believe You? The Costs and Consequences of Bilateral Investment Treaties, 53(1) International Studies Quarterly (2009) pp. 73-102; M Busse, J Königer &amp; P Nunnenkamp, FDI Promotion through Bilateral Investment Treaties: More Than a Bit? 146(1) Review of World Economics (2010) pp. 147-177; E Aisbett, Bilateral Investment Treaties and Foreign Direct Investment: Correlation Versus Causation, in Sauvant &amp; Sachs (n 42) pp. 395-435; A Berger et al, Do Trade and Investment Agreements Lead to more FDI? Accounting for Key Provisions inside the Black Box, 10(2) International Economics and Economic Policy (2013) pp. 247-275.</w:t>
      </w:r>
    </w:p>
  </w:footnote>
  <w:footnote w:id="50">
    <w:p w14:paraId="4E9A05D0" w14:textId="343BAE76"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J Yackee, Do BITs Really Work? Revisiting the Empirical Link between Investment Treaties and Foreign Direct Investment, in Sauvant &amp; Sachs (n 42) pp. 379-394.</w:t>
      </w:r>
    </w:p>
  </w:footnote>
  <w:footnote w:id="51">
    <w:p w14:paraId="05DDCB78"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E Bierman &amp; H Bezuidenhout, FDI in the Economic Transformation of the Post-civil war Economies of Angola and Mozambique, in V Ibokwe, N Turner &amp; O Aginam (eds) Foreign Direct Investment in Post Conflict Countries: Opportunities and Challenges (Adonis &amp; Abbey Publishers 2010) pp. 229-268.</w:t>
      </w:r>
    </w:p>
  </w:footnote>
  <w:footnote w:id="52">
    <w:p w14:paraId="28D35D70"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Ibid. p. 246.</w:t>
      </w:r>
    </w:p>
  </w:footnote>
  <w:footnote w:id="53">
    <w:p w14:paraId="4FB456EC" w14:textId="51C9E143"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VC Igbokwe, ICSID Jurisdiction and the Legal Security of Foreign Investment in Post-Conflict Countries, in Ibokwe, Turner and Aginam (n 50) p. 120.</w:t>
      </w:r>
    </w:p>
  </w:footnote>
  <w:footnote w:id="54">
    <w:p w14:paraId="409C8E89" w14:textId="1EF26A34"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TL Berge &amp; T St John, Translating International Templates into Domestic Laws: The World Bank and National Investment Laws with Arbitration. Paper presented at the 60th Annual meeting of the International Studies Association, Toronto, March 2019.</w:t>
      </w:r>
    </w:p>
  </w:footnote>
  <w:footnote w:id="55">
    <w:p w14:paraId="73F54BBC" w14:textId="727E0B7B"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 xml:space="preserve">Data from UNCTAD’s IIA Mapping Project. For relevant coding, see p. 17 of the Project’s Codebook </w:t>
      </w:r>
      <w:hyperlink r:id="rId13" w:history="1">
        <w:r w:rsidRPr="00B10589">
          <w:rPr>
            <w:rStyle w:val="Hyperlink"/>
            <w:rFonts w:ascii="Times New Roman" w:hAnsi="Times New Roman" w:cs="Times New Roman"/>
            <w:sz w:val="22"/>
            <w:szCs w:val="22"/>
            <w:lang w:val="en-US"/>
          </w:rPr>
          <w:t>http://investmentpolicyhub.unctad.org/Upload/Documents/Mapping%20Project%20Description%20and%20Methodology.pdf</w:t>
        </w:r>
      </w:hyperlink>
      <w:r w:rsidRPr="00B10589">
        <w:rPr>
          <w:rFonts w:ascii="Times New Roman" w:hAnsi="Times New Roman" w:cs="Times New Roman"/>
          <w:sz w:val="22"/>
          <w:szCs w:val="22"/>
          <w:lang w:val="en-US"/>
        </w:rPr>
        <w:t>. Of the 2673 IIAs in force at the end of 2017, the mapping project had coded 2045. Among these 284 were found to include relevant provisions.</w:t>
      </w:r>
    </w:p>
  </w:footnote>
  <w:footnote w:id="56">
    <w:p w14:paraId="326DB1F9" w14:textId="2404DC22"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Ibid. pp. 9-10. Among the coded treaties (N=2045), 126 of the IIAs had both national treatment (NT) and most favoured nation (MFN) clauses that cover pre-establishment, an additional 26 IIAs had only MFN clauses and 12 had only NT clauses, bringing the total IIAs containing such clauses to 164.</w:t>
      </w:r>
    </w:p>
  </w:footnote>
  <w:footnote w:id="57">
    <w:p w14:paraId="7AC32CE0" w14:textId="09334565" w:rsidR="008B2F56" w:rsidRPr="00B10589" w:rsidRDefault="008B2F56" w:rsidP="008D76EF">
      <w:pPr>
        <w:pStyle w:val="FootnoteText"/>
        <w:jc w:val="both"/>
        <w:rPr>
          <w:rFonts w:ascii="Times New Roman" w:hAnsi="Times New Roman" w:cs="Times New Roman"/>
          <w:sz w:val="22"/>
          <w:szCs w:val="22"/>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See, inter alia, H Mann, K von Moltke, L E Peterson &amp; A Cosbey, IISD Model International Agreement on Investment for Sustainable Development (International Institute for Sustainable Development 2005), and J A VanDuzer, P Simons &amp; G Mayeda, </w:t>
      </w:r>
      <w:r w:rsidRPr="00B10589">
        <w:rPr>
          <w:rFonts w:ascii="Times New Roman" w:hAnsi="Times New Roman" w:cs="Times New Roman"/>
          <w:iCs/>
          <w:sz w:val="22"/>
          <w:szCs w:val="22"/>
        </w:rPr>
        <w:t>Integrating Sustainable Development into International Investment Agreements: A Guide for Developing Countries (</w:t>
      </w:r>
      <w:r w:rsidRPr="00B10589">
        <w:rPr>
          <w:rFonts w:ascii="Times New Roman" w:hAnsi="Times New Roman" w:cs="Times New Roman"/>
          <w:sz w:val="22"/>
          <w:szCs w:val="22"/>
        </w:rPr>
        <w:t>Commonwealth Secretariat 2012).</w:t>
      </w:r>
    </w:p>
  </w:footnote>
  <w:footnote w:id="58">
    <w:p w14:paraId="0C54B78D" w14:textId="3FBB5D3E"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Data </w:t>
      </w:r>
      <w:r w:rsidRPr="00B10589">
        <w:rPr>
          <w:rFonts w:ascii="Times New Roman" w:hAnsi="Times New Roman" w:cs="Times New Roman"/>
          <w:sz w:val="22"/>
          <w:szCs w:val="22"/>
        </w:rPr>
        <w:t>regarding BITs are in essence based on UNCTAD’s International Investment Agreements Navigator (ibid.), updated until the end of</w:t>
      </w:r>
      <w:r w:rsidRPr="00B10589">
        <w:rPr>
          <w:rFonts w:ascii="Times New Roman" w:hAnsi="Times New Roman" w:cs="Times New Roman"/>
          <w:sz w:val="22"/>
          <w:szCs w:val="22"/>
          <w:lang w:val="en-US"/>
        </w:rPr>
        <w:t xml:space="preserve"> 2018.</w:t>
      </w:r>
      <w:r w:rsidRPr="00B10589">
        <w:rPr>
          <w:rFonts w:ascii="Times New Roman" w:hAnsi="Times New Roman" w:cs="Times New Roman"/>
          <w:sz w:val="22"/>
          <w:szCs w:val="22"/>
        </w:rPr>
        <w:t xml:space="preserve"> Where there is overlap between agreements, ISDS relationships are counted only once. All multilateral IIAs have been mapped according to the bilateral ISDS relationships they establish. There was 3649 unique ISDS relationships out of a theoretical number of 19 306 such relationships (based on the number of potential countries being 197). Each entry in the table contains the following information: number of ISDS relationships, potential number of ISDS relationships (within parentheses), percentage of total ISDS relationships, and saturation of ISDS relationships – 100 being complete saturation (within parentheses). </w:t>
      </w:r>
      <w:r w:rsidRPr="00B10589">
        <w:rPr>
          <w:rFonts w:ascii="Times New Roman" w:hAnsi="Times New Roman" w:cs="Times New Roman"/>
          <w:sz w:val="22"/>
          <w:szCs w:val="22"/>
          <w:lang w:val="en-US"/>
        </w:rPr>
        <w:t>An earlier version of this table has been produced in collaboration with Tarald Laudal Berge.</w:t>
      </w:r>
    </w:p>
  </w:footnote>
  <w:footnote w:id="59">
    <w:p w14:paraId="2C29CBAD" w14:textId="77777777" w:rsidR="008B2F56" w:rsidRPr="00B10589" w:rsidRDefault="008B2F56" w:rsidP="008D76EF">
      <w:pPr>
        <w:pStyle w:val="FootnoteText"/>
        <w:jc w:val="both"/>
        <w:rPr>
          <w:rFonts w:ascii="Times New Roman" w:hAnsi="Times New Roman" w:cs="Times New Roman"/>
          <w:sz w:val="22"/>
          <w:szCs w:val="22"/>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The total number of treaty parties is 7298.</w:t>
      </w:r>
    </w:p>
  </w:footnote>
  <w:footnote w:id="60">
    <w:p w14:paraId="5F15D318"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The World Bank Group, 2015 Annual Review: FIAS Celebrating 30 Years of Partnership (World Bank 2016) p. 6.</w:t>
      </w:r>
    </w:p>
  </w:footnote>
  <w:footnote w:id="61">
    <w:p w14:paraId="5B1C02E9"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I Shihata, Legal Treatment of Foreign Investment: ‘The World Bank Guidelines’ (Martinus Nijhoff 1993); The World Bank Investment Climate Advisory Services, Investment Law Reform: A Handbook for Development Practitioners (World Bank 2010).</w:t>
      </w:r>
    </w:p>
  </w:footnote>
  <w:footnote w:id="62">
    <w:p w14:paraId="17996FA2"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The World Bank Investment Climate Advisory Services, Investment Law Reform: A Handbook for Development Practitioners (World Bank 2010), p. ix.</w:t>
      </w:r>
    </w:p>
  </w:footnote>
  <w:footnote w:id="63">
    <w:p w14:paraId="32E93334" w14:textId="602447B1"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According to UNCTAD’s Investment Laws Navigator (</w:t>
      </w:r>
      <w:hyperlink r:id="rId14" w:history="1">
        <w:r w:rsidRPr="00B10589">
          <w:rPr>
            <w:rStyle w:val="Hyperlink"/>
            <w:rFonts w:ascii="Times New Roman" w:hAnsi="Times New Roman" w:cs="Times New Roman"/>
            <w:sz w:val="22"/>
            <w:szCs w:val="22"/>
            <w:lang w:val="en-US"/>
          </w:rPr>
          <w:t>https://investmentpolicyhub.unctad.org/InvestmentLaws</w:t>
        </w:r>
      </w:hyperlink>
      <w:r w:rsidRPr="00B10589">
        <w:rPr>
          <w:rFonts w:ascii="Times New Roman" w:hAnsi="Times New Roman" w:cs="Times New Roman"/>
          <w:sz w:val="22"/>
          <w:szCs w:val="22"/>
          <w:lang w:val="en-US"/>
        </w:rPr>
        <w:t>), which provides information on investment laws of 109 countries (as of March 2019), only 6 of 36 OECD countries have general investment laws (Chile, Iceland, Lithuania, Mexico, Spain and Turkey), and 37 of 47 LDCs have such legislation.</w:t>
      </w:r>
    </w:p>
  </w:footnote>
  <w:footnote w:id="64">
    <w:p w14:paraId="05BEA2F3" w14:textId="2AC2682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UNCTAD’s Investment Laws Navigator (</w:t>
      </w:r>
      <w:hyperlink r:id="rId15" w:history="1">
        <w:r w:rsidRPr="00B10589">
          <w:rPr>
            <w:rStyle w:val="Hyperlink"/>
            <w:rFonts w:ascii="Times New Roman" w:hAnsi="Times New Roman" w:cs="Times New Roman"/>
            <w:sz w:val="22"/>
            <w:szCs w:val="22"/>
            <w:lang w:val="en-US"/>
          </w:rPr>
          <w:t>https://investmentpolicyhub.unctad.org/InvestmentLaws</w:t>
        </w:r>
      </w:hyperlink>
      <w:r w:rsidRPr="00B10589">
        <w:rPr>
          <w:rFonts w:ascii="Times New Roman" w:hAnsi="Times New Roman" w:cs="Times New Roman"/>
          <w:sz w:val="22"/>
          <w:szCs w:val="22"/>
          <w:lang w:val="en-US"/>
        </w:rPr>
        <w:t>), which provides information on investment laws of 109 countries (as of March 2019).</w:t>
      </w:r>
    </w:p>
  </w:footnote>
  <w:footnote w:id="65">
    <w:p w14:paraId="262956C9" w14:textId="3FA95CE5"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 xml:space="preserve">Ibid.  </w:t>
      </w:r>
    </w:p>
  </w:footnote>
  <w:footnote w:id="66">
    <w:p w14:paraId="34A8F222" w14:textId="07368DB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For data regarding IIAs, see n 57. Data </w:t>
      </w:r>
      <w:r w:rsidRPr="00B10589">
        <w:rPr>
          <w:rFonts w:ascii="Times New Roman" w:hAnsi="Times New Roman" w:cs="Times New Roman"/>
          <w:sz w:val="22"/>
          <w:szCs w:val="22"/>
        </w:rPr>
        <w:t xml:space="preserve">regarding consent to ISDS in investment legislation is based on data from T L Berge &amp; T St John, Translating International Templates into Domestic Laws: The World Bank and National Investment Laws with Arbitration. Paper presented at the 60th Annual meeting of the International Studies Association (March 2019, Toronto). </w:t>
      </w:r>
    </w:p>
  </w:footnote>
  <w:footnote w:id="67">
    <w:p w14:paraId="6BD3755D" w14:textId="7836B41E"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See UNCTAD, The investment policy reviews: Shaping investment policies around the world (2012).</w:t>
      </w:r>
    </w:p>
  </w:footnote>
  <w:footnote w:id="68">
    <w:p w14:paraId="5F8CA85B" w14:textId="23188B40" w:rsidR="008B2F56" w:rsidRPr="00B10589" w:rsidRDefault="008B2F56" w:rsidP="008D76EF">
      <w:pPr>
        <w:pStyle w:val="FootnoteText"/>
        <w:jc w:val="both"/>
        <w:rPr>
          <w:rFonts w:ascii="Times New Roman" w:hAnsi="Times New Roman" w:cs="Times New Roman"/>
          <w:sz w:val="22"/>
          <w:szCs w:val="22"/>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See overview of countries covered to date: </w:t>
      </w:r>
      <w:hyperlink r:id="rId16" w:history="1">
        <w:r w:rsidRPr="00B10589">
          <w:rPr>
            <w:rStyle w:val="Hyperlink"/>
            <w:rFonts w:ascii="Times New Roman" w:hAnsi="Times New Roman" w:cs="Times New Roman"/>
            <w:sz w:val="22"/>
            <w:szCs w:val="22"/>
          </w:rPr>
          <w:t>https://unctad.org/en/Pages/DIAE/Investment%20Policy%20Reviews/Investment-Policy-Reviews.aspx</w:t>
        </w:r>
      </w:hyperlink>
      <w:r w:rsidRPr="00B10589">
        <w:rPr>
          <w:rFonts w:ascii="Times New Roman" w:hAnsi="Times New Roman" w:cs="Times New Roman"/>
          <w:sz w:val="22"/>
          <w:szCs w:val="22"/>
        </w:rPr>
        <w:t>, visited 25 September 2019.</w:t>
      </w:r>
    </w:p>
  </w:footnote>
  <w:footnote w:id="69">
    <w:p w14:paraId="35ABC099" w14:textId="5C4963AC"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 xml:space="preserve">See </w:t>
      </w:r>
      <w:hyperlink r:id="rId17" w:history="1">
        <w:r w:rsidRPr="00B10589">
          <w:rPr>
            <w:rStyle w:val="Hyperlink"/>
            <w:rFonts w:ascii="Times New Roman" w:hAnsi="Times New Roman" w:cs="Times New Roman"/>
            <w:sz w:val="22"/>
            <w:szCs w:val="22"/>
            <w:lang w:val="en-US"/>
          </w:rPr>
          <w:t>http://www.uncitral.org/uncitral/en/commission/working_groups/3Investor_State.html</w:t>
        </w:r>
      </w:hyperlink>
      <w:r w:rsidRPr="00B10589">
        <w:rPr>
          <w:rFonts w:ascii="Times New Roman" w:hAnsi="Times New Roman" w:cs="Times New Roman"/>
          <w:sz w:val="22"/>
          <w:szCs w:val="22"/>
          <w:lang w:val="en-US"/>
        </w:rPr>
        <w:t xml:space="preserve">. </w:t>
      </w:r>
    </w:p>
  </w:footnote>
  <w:footnote w:id="70">
    <w:p w14:paraId="4975B11A" w14:textId="6B8C66E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 xml:space="preserve">See </w:t>
      </w:r>
      <w:r w:rsidRPr="00B10589">
        <w:rPr>
          <w:rFonts w:ascii="Times New Roman" w:hAnsi="Times New Roman" w:cs="Times New Roman"/>
          <w:sz w:val="22"/>
          <w:szCs w:val="22"/>
        </w:rPr>
        <w:t>UNCTAD, Investment Policy Framework for Sustainable Development, 2015.</w:t>
      </w:r>
    </w:p>
  </w:footnote>
  <w:footnote w:id="71">
    <w:p w14:paraId="477A58A6" w14:textId="004771E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See targets 10.1 and 10.4 regarding wages and social protection, 10.5 concerning regulation of financial markets, 10.7 regarding mobility of persons, and 10.b on the role of FDI.</w:t>
      </w:r>
    </w:p>
  </w:footnote>
  <w:footnote w:id="72">
    <w:p w14:paraId="3C910C0A" w14:textId="0E57BC0B"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The Gini coefficient is not mentioned among the indicators for SDG 10, see UNGA res. 71/313.</w:t>
      </w:r>
    </w:p>
  </w:footnote>
  <w:footnote w:id="73">
    <w:p w14:paraId="3390459C" w14:textId="368B972F"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See </w:t>
      </w:r>
      <w:hyperlink r:id="rId18" w:history="1">
        <w:r w:rsidRPr="00B10589">
          <w:rPr>
            <w:rStyle w:val="Hyperlink"/>
            <w:rFonts w:ascii="Times New Roman" w:hAnsi="Times New Roman" w:cs="Times New Roman"/>
            <w:sz w:val="22"/>
            <w:szCs w:val="22"/>
          </w:rPr>
          <w:t>https://data.worldbank.org/indicator/SI.POV.GINI</w:t>
        </w:r>
      </w:hyperlink>
      <w:r w:rsidRPr="00B10589">
        <w:rPr>
          <w:rFonts w:ascii="Times New Roman" w:hAnsi="Times New Roman" w:cs="Times New Roman"/>
          <w:sz w:val="22"/>
          <w:szCs w:val="22"/>
        </w:rPr>
        <w:t xml:space="preserve">. </w:t>
      </w:r>
    </w:p>
  </w:footnote>
  <w:footnote w:id="74">
    <w:p w14:paraId="40C00B87" w14:textId="2EB3C4FA"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 xml:space="preserve">For example, among LDCs, there is no data for 4 countries (Afghanistan, Cambodia, Eritrea and Somalia), and only data for one year for 7 countries (Haiti, Kiribati, Myanmar, South Sudan, Sudan, Tuvalu and Vanuatu) and two years for 8 countries (Angola, Chad, Comoros, DRC, Liberia, Sao Tome and Principe, Sierra Leone and Solomon Islands). For all LDCs, there are only 132 datapoints available between 1980 and 2016 (9.6 %). The failure of collecting data for LDCs stand in stark contrast to the increasing efforts at collecting such data for OECD countries, see </w:t>
      </w:r>
      <w:hyperlink r:id="rId19" w:history="1">
        <w:r w:rsidRPr="00B10589">
          <w:rPr>
            <w:rStyle w:val="Hyperlink"/>
            <w:rFonts w:ascii="Times New Roman" w:hAnsi="Times New Roman" w:cs="Times New Roman"/>
            <w:sz w:val="22"/>
            <w:szCs w:val="22"/>
            <w:lang w:val="en-US"/>
          </w:rPr>
          <w:t>http://www.oecd.org/els/soc/income-distribution-database.htm</w:t>
        </w:r>
      </w:hyperlink>
      <w:r w:rsidRPr="00B10589">
        <w:rPr>
          <w:rFonts w:ascii="Times New Roman" w:hAnsi="Times New Roman" w:cs="Times New Roman"/>
          <w:sz w:val="22"/>
          <w:szCs w:val="22"/>
          <w:lang w:val="en-US"/>
        </w:rPr>
        <w:t xml:space="preserve">. </w:t>
      </w:r>
    </w:p>
  </w:footnote>
  <w:footnote w:id="75">
    <w:p w14:paraId="0DB3DCDC" w14:textId="18CB8894"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The average measured Gini coefficient for the world in the period 1980-2016 is 39.4, while the average for LDCs is sligthly higher at 41.5 and for OECD is significantly lower at 32.8.</w:t>
      </w:r>
    </w:p>
  </w:footnote>
  <w:footnote w:id="76">
    <w:p w14:paraId="217DB2B3" w14:textId="6725A57F"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 xml:space="preserve">Data from the World Bank, </w:t>
      </w:r>
      <w:hyperlink r:id="rId20" w:history="1">
        <w:r w:rsidRPr="00B10589">
          <w:rPr>
            <w:rStyle w:val="Hyperlink"/>
            <w:rFonts w:ascii="Times New Roman" w:hAnsi="Times New Roman" w:cs="Times New Roman"/>
            <w:sz w:val="22"/>
            <w:szCs w:val="22"/>
          </w:rPr>
          <w:t>https://data.worldbank.org/indicator/SI.POV.GINI</w:t>
        </w:r>
      </w:hyperlink>
      <w:r w:rsidRPr="00B10589">
        <w:rPr>
          <w:rFonts w:ascii="Times New Roman" w:hAnsi="Times New Roman" w:cs="Times New Roman"/>
          <w:sz w:val="22"/>
          <w:szCs w:val="22"/>
        </w:rPr>
        <w:t xml:space="preserve">. details on how the data has been used available upon request. </w:t>
      </w:r>
    </w:p>
  </w:footnote>
  <w:footnote w:id="77">
    <w:p w14:paraId="6E4296E3"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These are the LDCs for which between six and nine datapoints are available between 1980 and 2016.</w:t>
      </w:r>
    </w:p>
  </w:footnote>
  <w:footnote w:id="78">
    <w:p w14:paraId="26D7A16C" w14:textId="3A5200EC"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Benin, Chad, Comoros, Djibouti, Guinea-Bissau, Lesotho, Malawi, Mozambique, Rwanda and Togo</w:t>
      </w:r>
      <w:r w:rsidRPr="00B10589">
        <w:rPr>
          <w:rFonts w:ascii="Times New Roman" w:hAnsi="Times New Roman" w:cs="Times New Roman"/>
          <w:sz w:val="22"/>
          <w:szCs w:val="22"/>
          <w:lang w:val="en-US"/>
        </w:rPr>
        <w:t xml:space="preserve"> had their most recent Gini coefficients above 43.</w:t>
      </w:r>
    </w:p>
  </w:footnote>
  <w:footnote w:id="79">
    <w:p w14:paraId="4250D977"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OT Johnson &amp; J Gimblett, From Gunboats to BITs: The Evolution of Modern International Investment Law, in K Sauvant (ed) Yearbook on International Investment Law &amp;Policy 2010-2011 (OUP 2012) p. 649.</w:t>
      </w:r>
    </w:p>
  </w:footnote>
  <w:footnote w:id="80">
    <w:p w14:paraId="32B38D5D"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M Sornarajah, The International Law on Foreign Investment, Fourth Edition (CUP 2017) p. 24.</w:t>
      </w:r>
    </w:p>
  </w:footnote>
  <w:footnote w:id="81">
    <w:p w14:paraId="2D42E82D"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MR Auslin, Negotiating with Imperialism: The Unequal Treaties and the Culture of Japanese Diplomacy (Harvard University Press 2004).</w:t>
      </w:r>
    </w:p>
  </w:footnote>
  <w:footnote w:id="82">
    <w:p w14:paraId="7AD1D372"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W Alschner, Americanization of the BIT Universe: The Influence of Friendship, Commerce and Navigation (FCN) Treaties on Modern Investment Treaty Law, 5(2) Göttingen Journal of International Law (2013) p. 462.</w:t>
      </w:r>
    </w:p>
  </w:footnote>
  <w:footnote w:id="83">
    <w:p w14:paraId="2B8E1CBA" w14:textId="49E5F401" w:rsidR="008B2F56" w:rsidRPr="00B10589" w:rsidRDefault="008B2F56" w:rsidP="008D76EF">
      <w:pPr>
        <w:pStyle w:val="FootnoteText"/>
        <w:jc w:val="both"/>
        <w:rPr>
          <w:rFonts w:ascii="Times New Roman" w:hAnsi="Times New Roman" w:cs="Times New Roman"/>
          <w:sz w:val="22"/>
          <w:szCs w:val="22"/>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For an exhaustive survey, see JA VanDuzer, P Simons &amp; G Mayeda, </w:t>
      </w:r>
      <w:r w:rsidRPr="00B10589">
        <w:rPr>
          <w:rFonts w:ascii="Times New Roman" w:hAnsi="Times New Roman" w:cs="Times New Roman"/>
          <w:iCs/>
          <w:sz w:val="22"/>
          <w:szCs w:val="22"/>
        </w:rPr>
        <w:t>Integrating Sustainable Development into International Investment Agreements: A Guide for Developing Countries (Commonwealth Secretariat 2012).</w:t>
      </w:r>
    </w:p>
  </w:footnote>
  <w:footnote w:id="84">
    <w:p w14:paraId="2A28AC91"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See M Gehring, S Stephenson &amp; M-C Cordonier Segger, Sustainability Impact Assessments as Inputs and as Interpretative Aids in International Investment Law, 18(1) The Journal of World Investment &amp; Trade (2017) pp. 163-199.</w:t>
      </w:r>
    </w:p>
  </w:footnote>
  <w:footnote w:id="85">
    <w:p w14:paraId="757109FE" w14:textId="752A13EC"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Data from UNCTAD’s IIA Mapping Project as of the end of 2017. For relevant coding, see p. 4 of the Project’s Codebook (n 54). Of the 2045 IIAs in force, 49 referred to sustainable development, 102 to environment and 165 to social investment aspects such as human rights, labor, health, corporate social responsibility and poverty reduction. A total of 192 IIAs contained one or more of these clauses (N=2045).</w:t>
      </w:r>
    </w:p>
  </w:footnote>
  <w:footnote w:id="86">
    <w:p w14:paraId="0C9954E1" w14:textId="019DEC69"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Ibid. p. 16. Of the 2045 IIAs in force, 247 included substantive provisions on one or more of the following subjects: 210 referred to environment and health, 70 to labor standards, 89 to the right to regulate, 17 to corporate social responsibility, 31 to corruption, and 75 to not lowering standards. An example of an IIA containing all these elements is chapter 10 of the Protocolo Adicional al Acuerdo Marco de la Alianza del Pacífico (2014) between Chile, Colombia, Mexico and Peru.</w:t>
      </w:r>
    </w:p>
  </w:footnote>
  <w:footnote w:id="87">
    <w:p w14:paraId="57235F2F" w14:textId="1CFFC89E"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K Gordon, J Pohl and M Bouchard, Investment Treaty Law, Sustainable Development and Responsible Business Conduct: A Fact Finding Survey, OECD Working Papers on International Investment, 2014/01, </w:t>
      </w:r>
      <w:hyperlink r:id="rId21" w:history="1">
        <w:r w:rsidRPr="00B10589">
          <w:rPr>
            <w:rStyle w:val="Hyperlink"/>
            <w:rFonts w:ascii="Times New Roman" w:hAnsi="Times New Roman" w:cs="Times New Roman"/>
            <w:sz w:val="22"/>
            <w:szCs w:val="22"/>
          </w:rPr>
          <w:t>http://dx.doi.org/10.1787/5jz0xvgx1zlt-en</w:t>
        </w:r>
      </w:hyperlink>
      <w:r w:rsidRPr="00B10589">
        <w:rPr>
          <w:rFonts w:ascii="Times New Roman" w:hAnsi="Times New Roman" w:cs="Times New Roman"/>
          <w:sz w:val="22"/>
          <w:szCs w:val="22"/>
        </w:rPr>
        <w:t xml:space="preserve">. </w:t>
      </w:r>
    </w:p>
  </w:footnote>
  <w:footnote w:id="88">
    <w:p w14:paraId="7159FC19" w14:textId="5651E4F3"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Data from UNCTAD’s IIA Mapping Project as of the end of 2017. For relevant coding, see pp. 5-6 of the Project’s Codebook (n 54). Of the 2045 IIAs in force, only 9 exclude portfolio investment and 52 include specific requirements.</w:t>
      </w:r>
    </w:p>
  </w:footnote>
  <w:footnote w:id="89">
    <w:p w14:paraId="24294C69" w14:textId="32188E4E"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Ibid. p. 6. Of the 2045 IIAs in force, 1303 IIAs included reservations regarding domestic legislation.</w:t>
      </w:r>
    </w:p>
  </w:footnote>
  <w:footnote w:id="90">
    <w:p w14:paraId="5F651F66"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See e.g., RC de Figueiredo, The Investment Requirement of the ICSID Convention and the Role of Investment Treaties, 26(3) The American Review of International Arbitration (2015) pp. 453-482.</w:t>
      </w:r>
    </w:p>
  </w:footnote>
  <w:footnote w:id="91">
    <w:p w14:paraId="4572824B"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See e.g., OE García-Bolívar, Economic Development at the Core of the International Investment Regime, in C Brown &amp; K Miles (eds) Evolution in Investment Treaty Law and Arbitration (CUP 2011) pp. 586-605; LJE Timmer, The Meaning of ‘Investment’ as a Requirement for Jurisdiction Ratione Materiae of the ICSID Centre, 29 Journal of International Arbitration (2012), p. 367.</w:t>
      </w:r>
    </w:p>
  </w:footnote>
  <w:footnote w:id="92">
    <w:p w14:paraId="54FD42D9"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Salini Costruttori S.p.A. &amp; Italstrade S.p.A. v. Kingdom of Morocco, ICSID Case No. ARB/00/4, Decision on Jurisdiction (21 July 2001) paras. 52, 57.</w:t>
      </w:r>
    </w:p>
  </w:footnote>
  <w:footnote w:id="93">
    <w:p w14:paraId="186A8073"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See for example M-C Cordonier Segger, M Gehring &amp; A Newcombe (eds) Sustainable Development in Investment Law (Wolters Kluwer 2011).</w:t>
      </w:r>
    </w:p>
  </w:footnote>
  <w:footnote w:id="94">
    <w:p w14:paraId="76EFDE8A" w14:textId="7384C7B6"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Data from UNCTAD’s IIA Mapping Project as of the end of 2017. For relevant coding, see page 19 of the Project’s Codebook (n 54). Of the 2045 IIAs in force, 85 contained no consent to arbitration, and a further 184 contain limitations regarding which clauses of the IIAs could be subject to ISDS or exclude policy areas.</w:t>
      </w:r>
    </w:p>
  </w:footnote>
  <w:footnote w:id="95">
    <w:p w14:paraId="4123838D"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See e.g., A. Keene, The Incorporation and Interpretation of WTO-Style Environmental Exceptions in International Investment Agreements, 18(1) Journal of World Investment &amp; Trade (2017) pp. 62-99.</w:t>
      </w:r>
    </w:p>
  </w:footnote>
  <w:footnote w:id="96">
    <w:p w14:paraId="0A7A8627" w14:textId="51AC771C"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K Tienhaara, Regulatory Chill and the Threat of Arbitration: A View from Political Science, in Brown &amp; Miles (n 90) pp. 606-627.</w:t>
      </w:r>
    </w:p>
  </w:footnote>
  <w:footnote w:id="97">
    <w:p w14:paraId="5F463E49" w14:textId="4ECAC4A1"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Figure 7 has been produced in collaboration with Tarald Laudal Berge based on data from UNCTAD’s IIA Mapping Project as of mid-2017 (see n 54), covering coded BITs in force (BLEU treaties counted twice as they are trilateral treaties, N=2385). The BITs are allocated to year of signature. We have taken into account seven categories of protection clauses with weighted positive values, three flexibility clauses with weighted negative values, and adjusted the results depending on availability of ISDS. Coding details are available upon request.</w:t>
      </w:r>
    </w:p>
  </w:footnote>
  <w:footnote w:id="98">
    <w:p w14:paraId="332231D0" w14:textId="6013532A"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Based on d</w:t>
      </w:r>
      <w:r w:rsidRPr="00B10589">
        <w:rPr>
          <w:rFonts w:ascii="Times New Roman" w:hAnsi="Times New Roman" w:cs="Times New Roman"/>
          <w:sz w:val="22"/>
          <w:szCs w:val="22"/>
          <w:lang w:val="en-US"/>
        </w:rPr>
        <w:t>ata from UNCTAD’s IIA Mapping Project as of the end of 2017 (n 54). The number of IIAs for LDCs is higher than the number of IIAs for low income countries (compare table 2) since the two groups do not correspond.</w:t>
      </w:r>
    </w:p>
  </w:footnote>
  <w:footnote w:id="99">
    <w:p w14:paraId="52BD42DA" w14:textId="7C713B74"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UNCTAD’s Investment Laws Navigator (n 63).</w:t>
      </w:r>
    </w:p>
  </w:footnote>
  <w:footnote w:id="100">
    <w:p w14:paraId="5C2835F3" w14:textId="192D97B6"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 xml:space="preserve">OK Fauchald &amp; J Stigen, </w:t>
      </w:r>
      <w:hyperlink r:id="rId22" w:history="1">
        <w:r w:rsidRPr="00B10589">
          <w:rPr>
            <w:rFonts w:ascii="Times New Roman" w:hAnsi="Times New Roman" w:cs="Times New Roman"/>
            <w:sz w:val="22"/>
            <w:szCs w:val="22"/>
            <w:lang w:val="en-US"/>
          </w:rPr>
          <w:t>Corporate Responsibility before International Institutions</w:t>
        </w:r>
      </w:hyperlink>
      <w:r w:rsidRPr="00B10589">
        <w:rPr>
          <w:rFonts w:ascii="Times New Roman" w:hAnsi="Times New Roman" w:cs="Times New Roman"/>
          <w:sz w:val="22"/>
          <w:szCs w:val="22"/>
          <w:lang w:val="en-US"/>
        </w:rPr>
        <w:t>, 40(4) George Washington International Law Review (2009) pp. 1033–51.</w:t>
      </w:r>
    </w:p>
  </w:footnote>
  <w:footnote w:id="101">
    <w:p w14:paraId="1A2974C4" w14:textId="624C1666"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n-US"/>
        </w:rPr>
        <w:t xml:space="preserve"> Ibid. pp. 1051–64.</w:t>
      </w:r>
    </w:p>
  </w:footnote>
  <w:footnote w:id="102">
    <w:p w14:paraId="50620708" w14:textId="4E9AC2CA"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See, inter alia, UNGA resolution A/RES/72/167 19 December 2017 (vote 140 in favour, 10 against, 38 abstentions) para. 20.</w:t>
      </w:r>
    </w:p>
  </w:footnote>
  <w:footnote w:id="103">
    <w:p w14:paraId="06391AEB" w14:textId="3B80C020"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Ibid. para. 41. See also Report of the high-level task force on the implementation of the right to development, HRC doc. A/HRC/15/WG.2/TF/2/Add.2, criteria 2(e), p. 14.</w:t>
      </w:r>
    </w:p>
  </w:footnote>
  <w:footnote w:id="104">
    <w:p w14:paraId="09658083" w14:textId="77777777" w:rsidR="008B2F56" w:rsidRPr="00B10589" w:rsidRDefault="008B2F56" w:rsidP="008D76EF">
      <w:pPr>
        <w:pStyle w:val="FootnoteText"/>
        <w:jc w:val="both"/>
        <w:rPr>
          <w:rFonts w:ascii="Times New Roman" w:hAnsi="Times New Roman" w:cs="Times New Roman"/>
          <w:sz w:val="22"/>
          <w:szCs w:val="22"/>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See, in particular, the USA Foreign Corrupt Practices Act of 1977, as amended, 15 U.S.C. §§ 78dd-1, et seq.</w:t>
      </w:r>
    </w:p>
  </w:footnote>
  <w:footnote w:id="105">
    <w:p w14:paraId="4A67D976" w14:textId="6E434C69"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As of March 2019, the Convention has 186 parties. </w:t>
      </w:r>
      <w:r w:rsidRPr="00B10589">
        <w:rPr>
          <w:rFonts w:ascii="Times New Roman" w:hAnsi="Times New Roman" w:cs="Times New Roman"/>
          <w:sz w:val="22"/>
          <w:szCs w:val="22"/>
          <w:lang w:val="en-US"/>
        </w:rPr>
        <w:t xml:space="preserve">Non-parties include </w:t>
      </w:r>
      <w:r w:rsidRPr="00B10589">
        <w:rPr>
          <w:rFonts w:ascii="Times New Roman" w:hAnsi="Times New Roman" w:cs="Times New Roman"/>
          <w:sz w:val="22"/>
          <w:szCs w:val="22"/>
        </w:rPr>
        <w:t>Andorra, Barbados, Eritrea, Monaco, North Korea, Saint Kitts and Nevis, Saint Vincent and the Grenadines, San Marino, Somalia, Suriname, Syria and Tonga.</w:t>
      </w:r>
    </w:p>
  </w:footnote>
  <w:footnote w:id="106">
    <w:p w14:paraId="79E01C27" w14:textId="05E66F7F"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s-CR"/>
        </w:rPr>
        <w:t xml:space="preserve"> UNGA resolution A/RES/72/167 para. </w:t>
      </w:r>
      <w:r w:rsidRPr="00B10589">
        <w:rPr>
          <w:rFonts w:ascii="Times New Roman" w:hAnsi="Times New Roman" w:cs="Times New Roman"/>
          <w:sz w:val="22"/>
          <w:szCs w:val="22"/>
          <w:lang w:val="en-US"/>
        </w:rPr>
        <w:t>41.</w:t>
      </w:r>
    </w:p>
  </w:footnote>
  <w:footnote w:id="107">
    <w:p w14:paraId="0CBCFA87" w14:textId="4CEF0C0D" w:rsidR="008B2F56" w:rsidRPr="00B10589" w:rsidRDefault="008B2F56" w:rsidP="008D76EF">
      <w:pPr>
        <w:pStyle w:val="FootnoteText"/>
        <w:jc w:val="both"/>
        <w:rPr>
          <w:rFonts w:ascii="Times New Roman" w:hAnsi="Times New Roman" w:cs="Times New Roman"/>
          <w:sz w:val="22"/>
          <w:szCs w:val="22"/>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Germany had criminal sanctions against 316 individuals and 11 legal persons, while the corresponding numbers for the USA were 99 and 125, see OECD, 2017 Enforcement of the Anti-Bribery Convention, November 2018, pp, 5-6.</w:t>
      </w:r>
    </w:p>
  </w:footnote>
  <w:footnote w:id="108">
    <w:p w14:paraId="2E33E46E" w14:textId="61F66243"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Belgium and </w:t>
      </w:r>
      <w:r w:rsidRPr="00B10589">
        <w:rPr>
          <w:rFonts w:ascii="Times New Roman" w:hAnsi="Times New Roman" w:cs="Times New Roman"/>
          <w:sz w:val="22"/>
          <w:szCs w:val="22"/>
          <w:lang w:val="en-US"/>
        </w:rPr>
        <w:t>Finland had 42.5 per cent of the acquittals of individuals, and 75 per cent of the acquittals of legal persons.</w:t>
      </w:r>
    </w:p>
  </w:footnote>
  <w:footnote w:id="109">
    <w:p w14:paraId="64C9C046" w14:textId="21D18BB3"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See </w:t>
      </w:r>
      <w:hyperlink r:id="rId23" w:history="1">
        <w:r w:rsidRPr="00B10589">
          <w:rPr>
            <w:rStyle w:val="Hyperlink"/>
            <w:rFonts w:ascii="Times New Roman" w:hAnsi="Times New Roman" w:cs="Times New Roman"/>
            <w:sz w:val="22"/>
            <w:szCs w:val="22"/>
          </w:rPr>
          <w:t>https://www.coe.int/en/web/greco/home</w:t>
        </w:r>
      </w:hyperlink>
      <w:r w:rsidRPr="00B10589">
        <w:rPr>
          <w:rFonts w:ascii="Times New Roman" w:hAnsi="Times New Roman" w:cs="Times New Roman"/>
          <w:sz w:val="22"/>
          <w:szCs w:val="22"/>
        </w:rPr>
        <w:t xml:space="preserve">. </w:t>
      </w:r>
    </w:p>
  </w:footnote>
  <w:footnote w:id="110">
    <w:p w14:paraId="17232602" w14:textId="3C858505"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As of March 2019, 48 countries had ratified t</w:t>
      </w:r>
      <w:r w:rsidRPr="00B10589">
        <w:rPr>
          <w:rFonts w:ascii="Times New Roman" w:hAnsi="Times New Roman" w:cs="Times New Roman"/>
          <w:sz w:val="22"/>
          <w:szCs w:val="22"/>
          <w:lang w:val="en-US"/>
        </w:rPr>
        <w:t>he Criminal Law Convention and only 35 countries had ratified the Civil Law Convention.</w:t>
      </w:r>
    </w:p>
  </w:footnote>
  <w:footnote w:id="111">
    <w:p w14:paraId="144A2CF8" w14:textId="1503CE0A"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 xml:space="preserve">See </w:t>
      </w:r>
      <w:hyperlink r:id="rId24" w:history="1">
        <w:r w:rsidRPr="00B10589">
          <w:rPr>
            <w:rStyle w:val="Hyperlink"/>
            <w:rFonts w:ascii="Times New Roman" w:hAnsi="Times New Roman" w:cs="Times New Roman"/>
            <w:sz w:val="22"/>
            <w:szCs w:val="22"/>
            <w:lang w:val="en-US"/>
          </w:rPr>
          <w:t>https://www.v-dem.net/en/</w:t>
        </w:r>
      </w:hyperlink>
      <w:r w:rsidRPr="00B10589">
        <w:rPr>
          <w:rFonts w:ascii="Times New Roman" w:hAnsi="Times New Roman" w:cs="Times New Roman"/>
          <w:sz w:val="22"/>
          <w:szCs w:val="22"/>
          <w:lang w:val="en-US"/>
        </w:rPr>
        <w:t xml:space="preserve">. </w:t>
      </w:r>
    </w:p>
  </w:footnote>
  <w:footnote w:id="112">
    <w:p w14:paraId="3B71574C" w14:textId="781AE4F0"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McMann et al. (2016, V-Dem Working Paper Series 2016:23); V-Dem Codebook section 4.0.19: “The corruption index includes measures of six distinct types of corruption that cover both different areas and levels of the polity realm, distinguishing between executive, legislative and judicial corruption.”</w:t>
      </w:r>
    </w:p>
  </w:footnote>
  <w:footnote w:id="113">
    <w:p w14:paraId="1681B1E3" w14:textId="0941FEC2"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Ibid. and ibid. sections 4.0.23 (executive corruption): «How routinely do members of the executive, or their agents grant favors in exchange for bribes, kickbacks, or other material inducements, and how often do they steal, embezzle, or misappropriate public funds or other state resources for personal or family use?» and 4.0.33 (public sector corruption): «To what extent do public sector employees grant favors in exchange for bribes, kickbacks, or other material inducements, and how often do they steal, embezzle, or misappropriate public funds or other state resources for personal or family use?».</w:t>
      </w:r>
    </w:p>
  </w:footnote>
  <w:footnote w:id="114">
    <w:p w14:paraId="1C814820" w14:textId="104D4B29"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See </w:t>
      </w:r>
      <w:hyperlink r:id="rId25" w:history="1">
        <w:r w:rsidRPr="00B10589">
          <w:rPr>
            <w:rStyle w:val="Hyperlink"/>
            <w:rFonts w:ascii="Times New Roman" w:hAnsi="Times New Roman" w:cs="Times New Roman"/>
            <w:sz w:val="22"/>
            <w:szCs w:val="22"/>
          </w:rPr>
          <w:t>https://www.transparency.org/</w:t>
        </w:r>
      </w:hyperlink>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 xml:space="preserve">While LDCs have 15 data points on average for 46 countries, OECD countries have 23 data points. There were 24 possible data points between 1995 and 2018. </w:t>
      </w:r>
    </w:p>
  </w:footnote>
  <w:footnote w:id="115">
    <w:p w14:paraId="31F64F9F" w14:textId="4397875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Coded based on data from Transparency International. Transparency International used a scale from 0 to 10 where 10 is least corrupt from 1995 to 2011. Initially, the index was based on “how international businessmen and financial journalists perceive corruption.” By 2011 the index had become based on “different assessments and business opinion surveys carried out by independent and reputable institutions.” There was a major reform of the index in 2012. The scale was changed to 0-100 where 100 is the least corrupt, and the index has become “a composite index, a combination of surveys and assessments of corruption, collected by a variety of reputable institutions.” Figure 12 is based on recoding the data from Transparency International’s indexes into a scale from 0 to 1 where 1 is the most corrupt. Figure 12 does not include data from 1995-1997 since few countries were covered and the data indicated low reliability.</w:t>
      </w:r>
    </w:p>
  </w:footnote>
  <w:footnote w:id="116">
    <w:p w14:paraId="60047DC2"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 xml:space="preserve">See </w:t>
      </w:r>
      <w:hyperlink r:id="rId26" w:history="1">
        <w:r w:rsidRPr="00B10589">
          <w:rPr>
            <w:rStyle w:val="Hyperlink"/>
            <w:rFonts w:ascii="Times New Roman" w:hAnsi="Times New Roman" w:cs="Times New Roman"/>
            <w:sz w:val="22"/>
            <w:szCs w:val="22"/>
            <w:lang w:val="en-US"/>
          </w:rPr>
          <w:t>http://mneguidelines.oecd.org/</w:t>
        </w:r>
      </w:hyperlink>
      <w:r w:rsidRPr="00B10589">
        <w:rPr>
          <w:rFonts w:ascii="Times New Roman" w:hAnsi="Times New Roman" w:cs="Times New Roman"/>
          <w:sz w:val="22"/>
          <w:szCs w:val="22"/>
          <w:lang w:val="en-US"/>
        </w:rPr>
        <w:t xml:space="preserve">. </w:t>
      </w:r>
    </w:p>
  </w:footnote>
  <w:footnote w:id="117">
    <w:p w14:paraId="766D9000" w14:textId="7BC2D7F5"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Pohl and Bouchard (n </w:t>
      </w:r>
      <w:r w:rsidRPr="00B10589">
        <w:rPr>
          <w:rFonts w:ascii="Times New Roman" w:hAnsi="Times New Roman" w:cs="Times New Roman"/>
          <w:sz w:val="22"/>
          <w:szCs w:val="22"/>
          <w:shd w:val="clear" w:color="auto" w:fill="FFFFFF" w:themeFill="background1"/>
        </w:rPr>
        <w:t>86)</w:t>
      </w:r>
      <w:r w:rsidRPr="00B10589">
        <w:rPr>
          <w:rFonts w:ascii="Times New Roman" w:hAnsi="Times New Roman" w:cs="Times New Roman"/>
          <w:sz w:val="22"/>
          <w:szCs w:val="22"/>
        </w:rPr>
        <w:t xml:space="preserve"> p. 9. The 1998 draft of the OECD Multilateral Agreement on Investment included a proposal to annex the Guidelines to the Agreement, see OECD doc. DAFFE/MAI(98)7/REV1 pp. 95-96. The BIT between the Netherlands and the United Arab Emirates (2013) includes a reference to the Guidelines in art. 2.3: “Each Contracting Party shall promote as far as possible and in accordance with their domestic laws the application of the OECD Guidelines for Multinational Enterprises to the extent that is not contrary to their domestic laws.” Interestingly, this text is located in the provision on “investment promotion.”</w:t>
      </w:r>
    </w:p>
  </w:footnote>
  <w:footnote w:id="118">
    <w:p w14:paraId="024A13B6"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OECD Investment Committee, Amendment of the Decision of the Council on the OECD Guidelines for Multinational Enterprises, 2011, section II, para. 4. See also Procedural Guidance, section I.C, para. 3(c).</w:t>
      </w:r>
    </w:p>
  </w:footnote>
  <w:footnote w:id="119">
    <w:p w14:paraId="63BA0CD8" w14:textId="4603DE3A" w:rsidR="008B2F56" w:rsidRPr="00B10589" w:rsidRDefault="008B2F56" w:rsidP="008D76EF">
      <w:pPr>
        <w:pStyle w:val="FootnoteText"/>
        <w:jc w:val="both"/>
        <w:rPr>
          <w:rFonts w:ascii="Times New Roman" w:hAnsi="Times New Roman" w:cs="Times New Roman"/>
          <w:sz w:val="22"/>
          <w:szCs w:val="22"/>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OECD Guidelines for Multinational Enterprises: Recommendations for responsible business conduct  </w:t>
      </w:r>
    </w:p>
    <w:p w14:paraId="67B71CB0" w14:textId="72A5CEDE" w:rsidR="008B2F56" w:rsidRPr="00B10589" w:rsidRDefault="008B2F56" w:rsidP="008D76EF">
      <w:pPr>
        <w:pStyle w:val="FootnoteText"/>
        <w:jc w:val="both"/>
        <w:rPr>
          <w:rFonts w:ascii="Times New Roman" w:hAnsi="Times New Roman" w:cs="Times New Roman"/>
          <w:sz w:val="22"/>
          <w:szCs w:val="22"/>
          <w:lang w:val="en-US"/>
        </w:rPr>
      </w:pPr>
      <w:r w:rsidRPr="00B10589">
        <w:rPr>
          <w:rFonts w:ascii="Times New Roman" w:hAnsi="Times New Roman" w:cs="Times New Roman"/>
          <w:sz w:val="22"/>
          <w:szCs w:val="22"/>
        </w:rPr>
        <w:t>in a global context, 2011, section I, paras. 1, 2 and 11.</w:t>
      </w:r>
    </w:p>
  </w:footnote>
  <w:footnote w:id="120">
    <w:p w14:paraId="3B196320" w14:textId="63635173"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R Saner, Increasing the relevance and global reach of the OECD Guidelines for Multinational Enterprises, in N Bonucci and C Kessedjian (eds.), 40 Years of the OECD Guidelines for Multinational Enterprises (A. Pedone 2018) </w:t>
      </w:r>
      <w:r w:rsidRPr="00B10589">
        <w:rPr>
          <w:rFonts w:ascii="Times New Roman" w:hAnsi="Times New Roman" w:cs="Times New Roman"/>
          <w:sz w:val="22"/>
          <w:szCs w:val="22"/>
          <w:lang w:val="en-US"/>
        </w:rPr>
        <w:t>p. 161.</w:t>
      </w:r>
    </w:p>
  </w:footnote>
  <w:footnote w:id="121">
    <w:p w14:paraId="7ADC159D"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 xml:space="preserve">See </w:t>
      </w:r>
      <w:hyperlink r:id="rId27" w:history="1">
        <w:r w:rsidRPr="00B10589">
          <w:rPr>
            <w:rStyle w:val="Hyperlink"/>
            <w:rFonts w:ascii="Times New Roman" w:hAnsi="Times New Roman" w:cs="Times New Roman"/>
            <w:sz w:val="22"/>
            <w:szCs w:val="22"/>
            <w:lang w:val="en-US"/>
          </w:rPr>
          <w:t>http://mneguidelines.oecd.org/database/</w:t>
        </w:r>
      </w:hyperlink>
      <w:r w:rsidRPr="00B10589">
        <w:rPr>
          <w:rFonts w:ascii="Times New Roman" w:hAnsi="Times New Roman" w:cs="Times New Roman"/>
          <w:sz w:val="22"/>
          <w:szCs w:val="22"/>
          <w:lang w:val="en-US"/>
        </w:rPr>
        <w:t>.</w:t>
      </w:r>
    </w:p>
  </w:footnote>
  <w:footnote w:id="122">
    <w:p w14:paraId="68362B02" w14:textId="23906239"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Ibid. </w:t>
      </w:r>
      <w:r w:rsidRPr="00B10589">
        <w:rPr>
          <w:rFonts w:ascii="Times New Roman" w:hAnsi="Times New Roman" w:cs="Times New Roman"/>
          <w:sz w:val="22"/>
          <w:szCs w:val="22"/>
          <w:lang w:val="en-US"/>
        </w:rPr>
        <w:t>67 cases involved one or more of 14 LDCs. The Democratic Republic of Congo was involved in most cases (30), followed by Bangladesh (8) and Myanmar (6).</w:t>
      </w:r>
    </w:p>
  </w:footnote>
  <w:footnote w:id="123">
    <w:p w14:paraId="011CD90D"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On sustainable development related issues concerning extraction and consumption of natural resources, s</w:t>
      </w:r>
      <w:r w:rsidRPr="00B10589">
        <w:rPr>
          <w:rFonts w:ascii="Times New Roman" w:hAnsi="Times New Roman" w:cs="Times New Roman"/>
          <w:sz w:val="22"/>
          <w:szCs w:val="22"/>
          <w:lang w:val="en-US"/>
        </w:rPr>
        <w:t>ee International Resources Panel, Global Resources Outlook 2019: Natural Resources for the Future We Want (UNEP 2019).</w:t>
      </w:r>
    </w:p>
  </w:footnote>
  <w:footnote w:id="124">
    <w:p w14:paraId="18040CD8"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 xml:space="preserve">See </w:t>
      </w:r>
      <w:hyperlink r:id="rId28" w:history="1">
        <w:r w:rsidRPr="00B10589">
          <w:rPr>
            <w:rStyle w:val="Hyperlink"/>
            <w:rFonts w:ascii="Times New Roman" w:hAnsi="Times New Roman" w:cs="Times New Roman"/>
            <w:sz w:val="22"/>
            <w:szCs w:val="22"/>
            <w:lang w:val="en-US"/>
          </w:rPr>
          <w:t>http://www.uncitral.org/uncitral/en/commission/working_groups/3Investor_State.html</w:t>
        </w:r>
      </w:hyperlink>
      <w:r w:rsidRPr="00B10589">
        <w:rPr>
          <w:rFonts w:ascii="Times New Roman" w:hAnsi="Times New Roman" w:cs="Times New Roman"/>
          <w:sz w:val="22"/>
          <w:szCs w:val="22"/>
          <w:lang w:val="en-US"/>
        </w:rPr>
        <w:t xml:space="preserve">. </w:t>
      </w:r>
    </w:p>
  </w:footnote>
  <w:footnote w:id="125">
    <w:p w14:paraId="6E6D8C23" w14:textId="77777777"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 xml:space="preserve">See </w:t>
      </w:r>
      <w:r w:rsidRPr="00B10589">
        <w:rPr>
          <w:rFonts w:ascii="Times New Roman" w:hAnsi="Times New Roman" w:cs="Times New Roman"/>
          <w:sz w:val="22"/>
          <w:szCs w:val="22"/>
        </w:rPr>
        <w:t>UNCTAD, Investment Policy Framework for Sustainable Development, 2015.</w:t>
      </w:r>
    </w:p>
  </w:footnote>
  <w:footnote w:id="126">
    <w:p w14:paraId="4E650A28" w14:textId="27C28C22"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See HRC docs. A/HRC/RES/17/4 and A/HRC/17/31.</w:t>
      </w:r>
    </w:p>
  </w:footnote>
  <w:footnote w:id="127">
    <w:p w14:paraId="7185F3EE" w14:textId="7B569FF2"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Including the Universal Declaration of Human Rights (1948), the International Covenant on Civil and Political Rights (1966), and the International Covenant on Economic, Social and Cultural Rights (1966).</w:t>
      </w:r>
    </w:p>
  </w:footnote>
  <w:footnote w:id="128">
    <w:p w14:paraId="3F08A98A" w14:textId="6BC68EB3"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See HRC docs. A/HRC/RES/17/4, A/HRC/RES/26/22, and A/HRC/RES/35/7.</w:t>
      </w:r>
    </w:p>
  </w:footnote>
  <w:footnote w:id="129">
    <w:p w14:paraId="2AB0892D" w14:textId="6371AC70"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lang w:val="es-CR"/>
        </w:rPr>
        <w:t xml:space="preserve"> HRC doc. A/HRC/RES/17/4, para. </w:t>
      </w:r>
      <w:r w:rsidRPr="00B10589">
        <w:rPr>
          <w:rFonts w:ascii="Times New Roman" w:hAnsi="Times New Roman" w:cs="Times New Roman"/>
          <w:sz w:val="22"/>
          <w:szCs w:val="22"/>
          <w:lang w:val="en-US"/>
        </w:rPr>
        <w:t>6(e).</w:t>
      </w:r>
    </w:p>
  </w:footnote>
  <w:footnote w:id="130">
    <w:p w14:paraId="645137D4" w14:textId="1A62D1C3"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HRC doc. A/HRC/RES/26/22, preamble and paras. 5, 7 and 9, and A/HRC/RES/35/7, preamble (almost identical wording) and paras. 6, 10. See also A/HRC/RES/32/10 on improving accountability and access to remedy. See also relevant reports: HRC doc. A/HRC/35/33 and UNGA doc. A/72/162.</w:t>
      </w:r>
    </w:p>
  </w:footnote>
  <w:footnote w:id="131">
    <w:p w14:paraId="697002C8" w14:textId="350F7F78"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 xml:space="preserve">HRC doc. A/HRC/RES/26/9, see </w:t>
      </w:r>
      <w:hyperlink r:id="rId29" w:history="1">
        <w:r w:rsidRPr="00B10589">
          <w:rPr>
            <w:rStyle w:val="Hyperlink"/>
            <w:rFonts w:ascii="Times New Roman" w:hAnsi="Times New Roman" w:cs="Times New Roman"/>
            <w:sz w:val="22"/>
            <w:szCs w:val="22"/>
            <w:lang w:val="en-US"/>
          </w:rPr>
          <w:t>https://www.ohchr.org/EN/HRBodies/HRC/WGTransCorp/Pages/IGWGOnTNC.aspx</w:t>
        </w:r>
      </w:hyperlink>
      <w:r w:rsidRPr="00B10589">
        <w:rPr>
          <w:rFonts w:ascii="Times New Roman" w:hAnsi="Times New Roman" w:cs="Times New Roman"/>
          <w:sz w:val="22"/>
          <w:szCs w:val="22"/>
          <w:lang w:val="en-US"/>
        </w:rPr>
        <w:t xml:space="preserve">. </w:t>
      </w:r>
    </w:p>
  </w:footnote>
  <w:footnote w:id="132">
    <w:p w14:paraId="1E87CF4D" w14:textId="2B29496A"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Draft “Legally binding instrument to regulate, in international human rights law, the activities of transnational corporations and other business enterprises” of 16 July 2018, see HRC doc. A/HRC/40/48.</w:t>
      </w:r>
    </w:p>
  </w:footnote>
  <w:footnote w:id="133">
    <w:p w14:paraId="74B61D54" w14:textId="79EADC70"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 xml:space="preserve">See </w:t>
      </w:r>
      <w:hyperlink r:id="rId30" w:history="1">
        <w:r w:rsidRPr="00B10589">
          <w:rPr>
            <w:rStyle w:val="Hyperlink"/>
            <w:rFonts w:ascii="Times New Roman" w:hAnsi="Times New Roman" w:cs="Times New Roman"/>
            <w:sz w:val="22"/>
            <w:szCs w:val="22"/>
            <w:lang w:val="en-US"/>
          </w:rPr>
          <w:t>https://www.ohchr.org/EN/Issues/Business/Pages/OHCHRaccountabilityandremedyproject.aspx</w:t>
        </w:r>
      </w:hyperlink>
      <w:r w:rsidRPr="00B10589">
        <w:rPr>
          <w:rFonts w:ascii="Times New Roman" w:hAnsi="Times New Roman" w:cs="Times New Roman"/>
          <w:sz w:val="22"/>
          <w:szCs w:val="22"/>
          <w:lang w:val="en-US"/>
        </w:rPr>
        <w:t xml:space="preserve">. </w:t>
      </w:r>
    </w:p>
  </w:footnote>
  <w:footnote w:id="134">
    <w:p w14:paraId="7B96D654" w14:textId="52AF7013"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See HRC doc. A/HRC/RES/32/10.</w:t>
      </w:r>
    </w:p>
  </w:footnote>
  <w:footnote w:id="135">
    <w:p w14:paraId="08B0151F" w14:textId="6F5BBDCE" w:rsidR="008B2F56" w:rsidRPr="00B10589" w:rsidRDefault="008B2F56" w:rsidP="008D76EF">
      <w:pPr>
        <w:pStyle w:val="FootnoteText"/>
        <w:jc w:val="both"/>
        <w:rPr>
          <w:rFonts w:ascii="Times New Roman" w:hAnsi="Times New Roman" w:cs="Times New Roman"/>
          <w:sz w:val="22"/>
          <w:szCs w:val="22"/>
          <w:lang w:val="en-US"/>
        </w:rPr>
      </w:pPr>
      <w:r w:rsidRPr="00B10589">
        <w:rPr>
          <w:rStyle w:val="FootnoteReference"/>
          <w:rFonts w:ascii="Times New Roman" w:hAnsi="Times New Roman" w:cs="Times New Roman"/>
          <w:sz w:val="22"/>
          <w:szCs w:val="22"/>
        </w:rPr>
        <w:footnoteRef/>
      </w:r>
      <w:r w:rsidRPr="00B10589">
        <w:rPr>
          <w:rFonts w:ascii="Times New Roman" w:hAnsi="Times New Roman" w:cs="Times New Roman"/>
          <w:sz w:val="22"/>
          <w:szCs w:val="22"/>
        </w:rPr>
        <w:t xml:space="preserve"> </w:t>
      </w:r>
      <w:r w:rsidRPr="00B10589">
        <w:rPr>
          <w:rFonts w:ascii="Times New Roman" w:hAnsi="Times New Roman" w:cs="Times New Roman"/>
          <w:sz w:val="22"/>
          <w:szCs w:val="22"/>
          <w:lang w:val="en-US"/>
        </w:rPr>
        <w:t>See HRC docs. A/HRC/RES/32/10 (state-based mechanisms, initiated in 2016) and A/HRC/RES/38/13 (non-state-based mechanisms, initiated in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7C2A"/>
    <w:multiLevelType w:val="hybridMultilevel"/>
    <w:tmpl w:val="42CA92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D131C7"/>
    <w:multiLevelType w:val="hybridMultilevel"/>
    <w:tmpl w:val="95E26D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1F0A5C"/>
    <w:multiLevelType w:val="multilevel"/>
    <w:tmpl w:val="13E0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92328"/>
    <w:multiLevelType w:val="hybridMultilevel"/>
    <w:tmpl w:val="ECAE97D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69A4D5E"/>
    <w:multiLevelType w:val="hybridMultilevel"/>
    <w:tmpl w:val="A7A62E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CFB0507"/>
    <w:multiLevelType w:val="hybridMultilevel"/>
    <w:tmpl w:val="2C8E9A0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1100C36"/>
    <w:multiLevelType w:val="hybridMultilevel"/>
    <w:tmpl w:val="637AAB70"/>
    <w:lvl w:ilvl="0" w:tplc="0809000F">
      <w:start w:val="1"/>
      <w:numFmt w:val="decimal"/>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7" w15:restartNumberingAfterBreak="0">
    <w:nsid w:val="213C2763"/>
    <w:multiLevelType w:val="hybridMultilevel"/>
    <w:tmpl w:val="637AAB70"/>
    <w:lvl w:ilvl="0" w:tplc="0809000F">
      <w:start w:val="1"/>
      <w:numFmt w:val="decimal"/>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8" w15:restartNumberingAfterBreak="0">
    <w:nsid w:val="21805C0F"/>
    <w:multiLevelType w:val="hybridMultilevel"/>
    <w:tmpl w:val="F3DE326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2177430"/>
    <w:multiLevelType w:val="hybridMultilevel"/>
    <w:tmpl w:val="49964CD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3727C59"/>
    <w:multiLevelType w:val="hybridMultilevel"/>
    <w:tmpl w:val="8F62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285396"/>
    <w:multiLevelType w:val="hybridMultilevel"/>
    <w:tmpl w:val="DF1CE62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9CD54AA"/>
    <w:multiLevelType w:val="multilevel"/>
    <w:tmpl w:val="92CC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F2790"/>
    <w:multiLevelType w:val="hybridMultilevel"/>
    <w:tmpl w:val="ED94F06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350534D"/>
    <w:multiLevelType w:val="hybridMultilevel"/>
    <w:tmpl w:val="FDFE90F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606B94"/>
    <w:multiLevelType w:val="hybridMultilevel"/>
    <w:tmpl w:val="D408CF5A"/>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16" w15:restartNumberingAfterBreak="0">
    <w:nsid w:val="3B8F1C00"/>
    <w:multiLevelType w:val="multilevel"/>
    <w:tmpl w:val="AE50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A30AFA"/>
    <w:multiLevelType w:val="hybridMultilevel"/>
    <w:tmpl w:val="77A6A9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D631681"/>
    <w:multiLevelType w:val="hybridMultilevel"/>
    <w:tmpl w:val="F208D9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F4A210D"/>
    <w:multiLevelType w:val="hybridMultilevel"/>
    <w:tmpl w:val="688C49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0F57DF3"/>
    <w:multiLevelType w:val="hybridMultilevel"/>
    <w:tmpl w:val="34BEB3A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19F15D8"/>
    <w:multiLevelType w:val="multilevel"/>
    <w:tmpl w:val="6578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025724"/>
    <w:multiLevelType w:val="hybridMultilevel"/>
    <w:tmpl w:val="B11E67F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36355C4"/>
    <w:multiLevelType w:val="hybridMultilevel"/>
    <w:tmpl w:val="155E35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636124A"/>
    <w:multiLevelType w:val="hybridMultilevel"/>
    <w:tmpl w:val="3A5A03EC"/>
    <w:lvl w:ilvl="0" w:tplc="7818CF8E">
      <w:start w:val="6"/>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7FB70F0"/>
    <w:multiLevelType w:val="hybridMultilevel"/>
    <w:tmpl w:val="F57C2A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1D86488"/>
    <w:multiLevelType w:val="hybridMultilevel"/>
    <w:tmpl w:val="3538ED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CE737DD"/>
    <w:multiLevelType w:val="hybridMultilevel"/>
    <w:tmpl w:val="541E83A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D232A87"/>
    <w:multiLevelType w:val="hybridMultilevel"/>
    <w:tmpl w:val="93BAB95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7090177E"/>
    <w:multiLevelType w:val="hybridMultilevel"/>
    <w:tmpl w:val="DA4411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379380E"/>
    <w:multiLevelType w:val="hybridMultilevel"/>
    <w:tmpl w:val="5DA05A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68936A7"/>
    <w:multiLevelType w:val="multilevel"/>
    <w:tmpl w:val="A5D0B7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22"/>
  </w:num>
  <w:num w:numId="3">
    <w:abstractNumId w:val="6"/>
  </w:num>
  <w:num w:numId="4">
    <w:abstractNumId w:val="1"/>
  </w:num>
  <w:num w:numId="5">
    <w:abstractNumId w:val="31"/>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8"/>
  </w:num>
  <w:num w:numId="11">
    <w:abstractNumId w:val="9"/>
  </w:num>
  <w:num w:numId="12">
    <w:abstractNumId w:val="20"/>
  </w:num>
  <w:num w:numId="13">
    <w:abstractNumId w:val="11"/>
  </w:num>
  <w:num w:numId="14">
    <w:abstractNumId w:val="28"/>
  </w:num>
  <w:num w:numId="15">
    <w:abstractNumId w:val="13"/>
  </w:num>
  <w:num w:numId="16">
    <w:abstractNumId w:val="12"/>
  </w:num>
  <w:num w:numId="17">
    <w:abstractNumId w:val="2"/>
  </w:num>
  <w:num w:numId="18">
    <w:abstractNumId w:val="19"/>
  </w:num>
  <w:num w:numId="19">
    <w:abstractNumId w:val="30"/>
  </w:num>
  <w:num w:numId="20">
    <w:abstractNumId w:val="25"/>
  </w:num>
  <w:num w:numId="21">
    <w:abstractNumId w:val="27"/>
  </w:num>
  <w:num w:numId="22">
    <w:abstractNumId w:val="4"/>
  </w:num>
  <w:num w:numId="23">
    <w:abstractNumId w:val="15"/>
  </w:num>
  <w:num w:numId="24">
    <w:abstractNumId w:val="14"/>
  </w:num>
  <w:num w:numId="25">
    <w:abstractNumId w:val="0"/>
  </w:num>
  <w:num w:numId="26">
    <w:abstractNumId w:val="29"/>
  </w:num>
  <w:num w:numId="27">
    <w:abstractNumId w:val="7"/>
  </w:num>
  <w:num w:numId="28">
    <w:abstractNumId w:val="26"/>
  </w:num>
  <w:num w:numId="29">
    <w:abstractNumId w:val="21"/>
  </w:num>
  <w:num w:numId="30">
    <w:abstractNumId w:val="16"/>
  </w:num>
  <w:num w:numId="31">
    <w:abstractNumId w:val="8"/>
  </w:num>
  <w:num w:numId="32">
    <w:abstractNumId w:val="10"/>
  </w:num>
  <w:num w:numId="33">
    <w:abstractNumId w:val="23"/>
  </w:num>
  <w:num w:numId="34">
    <w:abstractNumId w:val="17"/>
  </w:num>
  <w:num w:numId="35">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n-GB" w:vendorID="64" w:dllVersion="6" w:nlCheck="1" w:checkStyle="0"/>
  <w:activeWritingStyle w:appName="MSWord" w:lang="en-US" w:vendorID="64" w:dllVersion="6" w:nlCheck="1" w:checkStyle="0"/>
  <w:activeWritingStyle w:appName="MSWord" w:lang="nb-NO" w:vendorID="64" w:dllVersion="6" w:nlCheck="1" w:checkStyle="0"/>
  <w:activeWritingStyle w:appName="MSWord" w:lang="fr-FR" w:vendorID="64" w:dllVersion="6" w:nlCheck="1" w:checkStyle="0"/>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s-CR" w:vendorID="64" w:dllVersion="0"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EC3"/>
    <w:rsid w:val="00001395"/>
    <w:rsid w:val="00003D28"/>
    <w:rsid w:val="00006DE9"/>
    <w:rsid w:val="00007AC4"/>
    <w:rsid w:val="00010A3C"/>
    <w:rsid w:val="000125AD"/>
    <w:rsid w:val="00012788"/>
    <w:rsid w:val="00012EF6"/>
    <w:rsid w:val="0001358A"/>
    <w:rsid w:val="00013D0A"/>
    <w:rsid w:val="00015CC0"/>
    <w:rsid w:val="00015D0D"/>
    <w:rsid w:val="00016A69"/>
    <w:rsid w:val="000175AC"/>
    <w:rsid w:val="000223A2"/>
    <w:rsid w:val="0002640E"/>
    <w:rsid w:val="000268A5"/>
    <w:rsid w:val="00026F2D"/>
    <w:rsid w:val="000318AD"/>
    <w:rsid w:val="00032E24"/>
    <w:rsid w:val="00033B9A"/>
    <w:rsid w:val="00033D84"/>
    <w:rsid w:val="00034CE1"/>
    <w:rsid w:val="00035D1B"/>
    <w:rsid w:val="0004097C"/>
    <w:rsid w:val="00041B29"/>
    <w:rsid w:val="00042A3F"/>
    <w:rsid w:val="00047DA7"/>
    <w:rsid w:val="00047DBF"/>
    <w:rsid w:val="0005252A"/>
    <w:rsid w:val="00052F6D"/>
    <w:rsid w:val="000538C4"/>
    <w:rsid w:val="00053BC4"/>
    <w:rsid w:val="00053C68"/>
    <w:rsid w:val="00053CEA"/>
    <w:rsid w:val="0005415E"/>
    <w:rsid w:val="0005430F"/>
    <w:rsid w:val="00054788"/>
    <w:rsid w:val="00055556"/>
    <w:rsid w:val="000560D6"/>
    <w:rsid w:val="0005696B"/>
    <w:rsid w:val="0005698C"/>
    <w:rsid w:val="00056F21"/>
    <w:rsid w:val="0006038E"/>
    <w:rsid w:val="0006062B"/>
    <w:rsid w:val="000608C4"/>
    <w:rsid w:val="00060BD4"/>
    <w:rsid w:val="00061FD0"/>
    <w:rsid w:val="000620BA"/>
    <w:rsid w:val="00063796"/>
    <w:rsid w:val="000674D7"/>
    <w:rsid w:val="0007002B"/>
    <w:rsid w:val="000714D6"/>
    <w:rsid w:val="000722CF"/>
    <w:rsid w:val="00073532"/>
    <w:rsid w:val="0007536A"/>
    <w:rsid w:val="000769A4"/>
    <w:rsid w:val="000769AA"/>
    <w:rsid w:val="00077335"/>
    <w:rsid w:val="000774DB"/>
    <w:rsid w:val="0007796D"/>
    <w:rsid w:val="00080E4C"/>
    <w:rsid w:val="00081A62"/>
    <w:rsid w:val="00082499"/>
    <w:rsid w:val="00084676"/>
    <w:rsid w:val="00084ED7"/>
    <w:rsid w:val="00084FBA"/>
    <w:rsid w:val="0008675E"/>
    <w:rsid w:val="00086819"/>
    <w:rsid w:val="00086D8C"/>
    <w:rsid w:val="00087AB1"/>
    <w:rsid w:val="000905CE"/>
    <w:rsid w:val="000916BB"/>
    <w:rsid w:val="00092F00"/>
    <w:rsid w:val="00096A1C"/>
    <w:rsid w:val="00096CA8"/>
    <w:rsid w:val="00096F93"/>
    <w:rsid w:val="00097AEE"/>
    <w:rsid w:val="00097F3F"/>
    <w:rsid w:val="000A054D"/>
    <w:rsid w:val="000A0BCF"/>
    <w:rsid w:val="000A12F9"/>
    <w:rsid w:val="000A1E04"/>
    <w:rsid w:val="000A1E32"/>
    <w:rsid w:val="000A3082"/>
    <w:rsid w:val="000A3631"/>
    <w:rsid w:val="000A365E"/>
    <w:rsid w:val="000A3A6E"/>
    <w:rsid w:val="000A3B24"/>
    <w:rsid w:val="000A5894"/>
    <w:rsid w:val="000A5FFD"/>
    <w:rsid w:val="000A64B7"/>
    <w:rsid w:val="000A738F"/>
    <w:rsid w:val="000A7D52"/>
    <w:rsid w:val="000B105A"/>
    <w:rsid w:val="000B1262"/>
    <w:rsid w:val="000B2158"/>
    <w:rsid w:val="000B2434"/>
    <w:rsid w:val="000B716F"/>
    <w:rsid w:val="000B7417"/>
    <w:rsid w:val="000C0335"/>
    <w:rsid w:val="000C038E"/>
    <w:rsid w:val="000C209E"/>
    <w:rsid w:val="000C37FC"/>
    <w:rsid w:val="000C38AE"/>
    <w:rsid w:val="000C3C32"/>
    <w:rsid w:val="000C3FA6"/>
    <w:rsid w:val="000C434C"/>
    <w:rsid w:val="000C43A5"/>
    <w:rsid w:val="000C5B46"/>
    <w:rsid w:val="000C5C5B"/>
    <w:rsid w:val="000C6275"/>
    <w:rsid w:val="000C7777"/>
    <w:rsid w:val="000C79C6"/>
    <w:rsid w:val="000C7AF0"/>
    <w:rsid w:val="000D00A4"/>
    <w:rsid w:val="000D13A5"/>
    <w:rsid w:val="000D2004"/>
    <w:rsid w:val="000D3332"/>
    <w:rsid w:val="000D4631"/>
    <w:rsid w:val="000D49D8"/>
    <w:rsid w:val="000D758A"/>
    <w:rsid w:val="000E0052"/>
    <w:rsid w:val="000E29EE"/>
    <w:rsid w:val="000E2C4E"/>
    <w:rsid w:val="000E2D26"/>
    <w:rsid w:val="000E4F6A"/>
    <w:rsid w:val="000E58FD"/>
    <w:rsid w:val="000E5B45"/>
    <w:rsid w:val="000E6D9E"/>
    <w:rsid w:val="000E6DF8"/>
    <w:rsid w:val="000E70E1"/>
    <w:rsid w:val="000E743D"/>
    <w:rsid w:val="000F0251"/>
    <w:rsid w:val="000F1C1C"/>
    <w:rsid w:val="000F1DFA"/>
    <w:rsid w:val="000F5C83"/>
    <w:rsid w:val="000F69C9"/>
    <w:rsid w:val="000F6D91"/>
    <w:rsid w:val="0010091B"/>
    <w:rsid w:val="00102B89"/>
    <w:rsid w:val="00103F68"/>
    <w:rsid w:val="001041FE"/>
    <w:rsid w:val="00110110"/>
    <w:rsid w:val="00110EDA"/>
    <w:rsid w:val="00112BED"/>
    <w:rsid w:val="00114012"/>
    <w:rsid w:val="00114731"/>
    <w:rsid w:val="00114EE4"/>
    <w:rsid w:val="001176C2"/>
    <w:rsid w:val="00117B27"/>
    <w:rsid w:val="0012035A"/>
    <w:rsid w:val="001206FC"/>
    <w:rsid w:val="00120716"/>
    <w:rsid w:val="001216AB"/>
    <w:rsid w:val="00122A52"/>
    <w:rsid w:val="00122A81"/>
    <w:rsid w:val="0012387E"/>
    <w:rsid w:val="001248A6"/>
    <w:rsid w:val="00124D0D"/>
    <w:rsid w:val="00127770"/>
    <w:rsid w:val="00130F50"/>
    <w:rsid w:val="00132317"/>
    <w:rsid w:val="00132CC1"/>
    <w:rsid w:val="00133165"/>
    <w:rsid w:val="00133FE1"/>
    <w:rsid w:val="001350B7"/>
    <w:rsid w:val="00135699"/>
    <w:rsid w:val="00135790"/>
    <w:rsid w:val="00136062"/>
    <w:rsid w:val="001362F9"/>
    <w:rsid w:val="00136F80"/>
    <w:rsid w:val="00140053"/>
    <w:rsid w:val="0014144B"/>
    <w:rsid w:val="001421B9"/>
    <w:rsid w:val="0014224B"/>
    <w:rsid w:val="00145501"/>
    <w:rsid w:val="0014668A"/>
    <w:rsid w:val="00146F37"/>
    <w:rsid w:val="00151296"/>
    <w:rsid w:val="00152923"/>
    <w:rsid w:val="00153117"/>
    <w:rsid w:val="001543BB"/>
    <w:rsid w:val="00155683"/>
    <w:rsid w:val="00155D3A"/>
    <w:rsid w:val="00156333"/>
    <w:rsid w:val="00156672"/>
    <w:rsid w:val="001566BD"/>
    <w:rsid w:val="00166BA1"/>
    <w:rsid w:val="00167A3C"/>
    <w:rsid w:val="00167B9D"/>
    <w:rsid w:val="001702C9"/>
    <w:rsid w:val="00170AF8"/>
    <w:rsid w:val="00172F34"/>
    <w:rsid w:val="001731A9"/>
    <w:rsid w:val="001741BE"/>
    <w:rsid w:val="00176AC5"/>
    <w:rsid w:val="00176CBD"/>
    <w:rsid w:val="001779DD"/>
    <w:rsid w:val="00181E09"/>
    <w:rsid w:val="00182992"/>
    <w:rsid w:val="00182B01"/>
    <w:rsid w:val="00185684"/>
    <w:rsid w:val="001865F2"/>
    <w:rsid w:val="0018672F"/>
    <w:rsid w:val="00186902"/>
    <w:rsid w:val="00186E28"/>
    <w:rsid w:val="001870D7"/>
    <w:rsid w:val="00187B69"/>
    <w:rsid w:val="00195023"/>
    <w:rsid w:val="0019726B"/>
    <w:rsid w:val="0019789B"/>
    <w:rsid w:val="00197D60"/>
    <w:rsid w:val="001A0064"/>
    <w:rsid w:val="001A00E2"/>
    <w:rsid w:val="001A0497"/>
    <w:rsid w:val="001A1F0F"/>
    <w:rsid w:val="001A26BD"/>
    <w:rsid w:val="001A5B57"/>
    <w:rsid w:val="001A5E46"/>
    <w:rsid w:val="001B0C10"/>
    <w:rsid w:val="001B3BE8"/>
    <w:rsid w:val="001B4B82"/>
    <w:rsid w:val="001B6A19"/>
    <w:rsid w:val="001C2E1D"/>
    <w:rsid w:val="001C394C"/>
    <w:rsid w:val="001C67D1"/>
    <w:rsid w:val="001C782B"/>
    <w:rsid w:val="001C7CB2"/>
    <w:rsid w:val="001D08CF"/>
    <w:rsid w:val="001D1AB2"/>
    <w:rsid w:val="001D276E"/>
    <w:rsid w:val="001D4D6A"/>
    <w:rsid w:val="001D6334"/>
    <w:rsid w:val="001D671C"/>
    <w:rsid w:val="001E0816"/>
    <w:rsid w:val="001E0AEF"/>
    <w:rsid w:val="001E1B3E"/>
    <w:rsid w:val="001E4B77"/>
    <w:rsid w:val="001E5900"/>
    <w:rsid w:val="001E68AD"/>
    <w:rsid w:val="001E7248"/>
    <w:rsid w:val="001F0016"/>
    <w:rsid w:val="001F1738"/>
    <w:rsid w:val="001F1B0C"/>
    <w:rsid w:val="001F20DE"/>
    <w:rsid w:val="001F238D"/>
    <w:rsid w:val="001F2B78"/>
    <w:rsid w:val="001F3A14"/>
    <w:rsid w:val="001F7026"/>
    <w:rsid w:val="001F79A6"/>
    <w:rsid w:val="001F7EBD"/>
    <w:rsid w:val="002003E5"/>
    <w:rsid w:val="0020350E"/>
    <w:rsid w:val="00203FC9"/>
    <w:rsid w:val="0020473D"/>
    <w:rsid w:val="00205000"/>
    <w:rsid w:val="00210FBD"/>
    <w:rsid w:val="002115CF"/>
    <w:rsid w:val="00213497"/>
    <w:rsid w:val="00214C4B"/>
    <w:rsid w:val="00215DAA"/>
    <w:rsid w:val="002160C0"/>
    <w:rsid w:val="00216639"/>
    <w:rsid w:val="00217081"/>
    <w:rsid w:val="00221D12"/>
    <w:rsid w:val="00221E08"/>
    <w:rsid w:val="00221F40"/>
    <w:rsid w:val="002233A0"/>
    <w:rsid w:val="00224BBE"/>
    <w:rsid w:val="002250A4"/>
    <w:rsid w:val="002254B7"/>
    <w:rsid w:val="00225D91"/>
    <w:rsid w:val="00227EE4"/>
    <w:rsid w:val="00231109"/>
    <w:rsid w:val="00232DE8"/>
    <w:rsid w:val="0023399D"/>
    <w:rsid w:val="00235861"/>
    <w:rsid w:val="002369AA"/>
    <w:rsid w:val="002406C1"/>
    <w:rsid w:val="002438DD"/>
    <w:rsid w:val="0024568E"/>
    <w:rsid w:val="00246950"/>
    <w:rsid w:val="00246E97"/>
    <w:rsid w:val="00246F06"/>
    <w:rsid w:val="00246FD3"/>
    <w:rsid w:val="00247489"/>
    <w:rsid w:val="00250E3D"/>
    <w:rsid w:val="00251374"/>
    <w:rsid w:val="002514EC"/>
    <w:rsid w:val="0025188A"/>
    <w:rsid w:val="00251A6C"/>
    <w:rsid w:val="00252E23"/>
    <w:rsid w:val="00253FD8"/>
    <w:rsid w:val="00254325"/>
    <w:rsid w:val="002543BB"/>
    <w:rsid w:val="00254543"/>
    <w:rsid w:val="00254FF5"/>
    <w:rsid w:val="00255D2D"/>
    <w:rsid w:val="0025626C"/>
    <w:rsid w:val="00256A8C"/>
    <w:rsid w:val="00257DC4"/>
    <w:rsid w:val="00260C73"/>
    <w:rsid w:val="00263108"/>
    <w:rsid w:val="002643AA"/>
    <w:rsid w:val="00264C24"/>
    <w:rsid w:val="00267E0A"/>
    <w:rsid w:val="0027023B"/>
    <w:rsid w:val="00270601"/>
    <w:rsid w:val="00270849"/>
    <w:rsid w:val="002732F5"/>
    <w:rsid w:val="002744E4"/>
    <w:rsid w:val="00274612"/>
    <w:rsid w:val="00275FEE"/>
    <w:rsid w:val="00280116"/>
    <w:rsid w:val="0028221D"/>
    <w:rsid w:val="00283F60"/>
    <w:rsid w:val="00284C4E"/>
    <w:rsid w:val="0028617C"/>
    <w:rsid w:val="00287410"/>
    <w:rsid w:val="00287E8A"/>
    <w:rsid w:val="00290630"/>
    <w:rsid w:val="0029433D"/>
    <w:rsid w:val="002955DA"/>
    <w:rsid w:val="00295E14"/>
    <w:rsid w:val="00296E5C"/>
    <w:rsid w:val="002A07C5"/>
    <w:rsid w:val="002A24D2"/>
    <w:rsid w:val="002A2FE5"/>
    <w:rsid w:val="002A3E48"/>
    <w:rsid w:val="002A453C"/>
    <w:rsid w:val="002A462E"/>
    <w:rsid w:val="002A5196"/>
    <w:rsid w:val="002A5504"/>
    <w:rsid w:val="002A59C1"/>
    <w:rsid w:val="002A5AEE"/>
    <w:rsid w:val="002A5E0D"/>
    <w:rsid w:val="002A6549"/>
    <w:rsid w:val="002A74C9"/>
    <w:rsid w:val="002B04C6"/>
    <w:rsid w:val="002B119C"/>
    <w:rsid w:val="002B11AB"/>
    <w:rsid w:val="002B132C"/>
    <w:rsid w:val="002B3428"/>
    <w:rsid w:val="002B3CE6"/>
    <w:rsid w:val="002B5863"/>
    <w:rsid w:val="002B6408"/>
    <w:rsid w:val="002B675E"/>
    <w:rsid w:val="002B776B"/>
    <w:rsid w:val="002C0FD0"/>
    <w:rsid w:val="002C1801"/>
    <w:rsid w:val="002C3733"/>
    <w:rsid w:val="002C6222"/>
    <w:rsid w:val="002C66A5"/>
    <w:rsid w:val="002C69BF"/>
    <w:rsid w:val="002C7A8C"/>
    <w:rsid w:val="002C7F48"/>
    <w:rsid w:val="002D0612"/>
    <w:rsid w:val="002D077C"/>
    <w:rsid w:val="002D35C1"/>
    <w:rsid w:val="002D47B0"/>
    <w:rsid w:val="002D6702"/>
    <w:rsid w:val="002E02B9"/>
    <w:rsid w:val="002E0486"/>
    <w:rsid w:val="002E22D1"/>
    <w:rsid w:val="002E311D"/>
    <w:rsid w:val="002E3CDF"/>
    <w:rsid w:val="002E43ED"/>
    <w:rsid w:val="002E4A4D"/>
    <w:rsid w:val="002E53D6"/>
    <w:rsid w:val="002E544B"/>
    <w:rsid w:val="002E7D2C"/>
    <w:rsid w:val="002F06AF"/>
    <w:rsid w:val="002F0745"/>
    <w:rsid w:val="002F0FDE"/>
    <w:rsid w:val="002F193B"/>
    <w:rsid w:val="002F1C41"/>
    <w:rsid w:val="002F27EB"/>
    <w:rsid w:val="002F3328"/>
    <w:rsid w:val="002F3F8F"/>
    <w:rsid w:val="002F42BA"/>
    <w:rsid w:val="002F673E"/>
    <w:rsid w:val="002F6BA5"/>
    <w:rsid w:val="002F733A"/>
    <w:rsid w:val="00300966"/>
    <w:rsid w:val="00302801"/>
    <w:rsid w:val="0030578D"/>
    <w:rsid w:val="0030592D"/>
    <w:rsid w:val="00305EB0"/>
    <w:rsid w:val="00306D6F"/>
    <w:rsid w:val="00311297"/>
    <w:rsid w:val="00314470"/>
    <w:rsid w:val="0031691C"/>
    <w:rsid w:val="003200D0"/>
    <w:rsid w:val="003209CF"/>
    <w:rsid w:val="00320CB1"/>
    <w:rsid w:val="0032148A"/>
    <w:rsid w:val="003217DD"/>
    <w:rsid w:val="003219A1"/>
    <w:rsid w:val="003227AA"/>
    <w:rsid w:val="00323C4B"/>
    <w:rsid w:val="00324589"/>
    <w:rsid w:val="00324CCC"/>
    <w:rsid w:val="00325654"/>
    <w:rsid w:val="00327CBE"/>
    <w:rsid w:val="00330780"/>
    <w:rsid w:val="00331374"/>
    <w:rsid w:val="00333B2E"/>
    <w:rsid w:val="00333FD4"/>
    <w:rsid w:val="00334C8B"/>
    <w:rsid w:val="0033730D"/>
    <w:rsid w:val="00342FDA"/>
    <w:rsid w:val="00343AE5"/>
    <w:rsid w:val="00343DEB"/>
    <w:rsid w:val="003441DB"/>
    <w:rsid w:val="003441E5"/>
    <w:rsid w:val="0034462B"/>
    <w:rsid w:val="00347960"/>
    <w:rsid w:val="00347E99"/>
    <w:rsid w:val="00350478"/>
    <w:rsid w:val="00351516"/>
    <w:rsid w:val="003517B5"/>
    <w:rsid w:val="00352880"/>
    <w:rsid w:val="0035296C"/>
    <w:rsid w:val="00354BB0"/>
    <w:rsid w:val="0035688E"/>
    <w:rsid w:val="00357D03"/>
    <w:rsid w:val="0036546E"/>
    <w:rsid w:val="00365C69"/>
    <w:rsid w:val="003669A4"/>
    <w:rsid w:val="00366EAE"/>
    <w:rsid w:val="00374B3D"/>
    <w:rsid w:val="00374F52"/>
    <w:rsid w:val="003752D3"/>
    <w:rsid w:val="00375717"/>
    <w:rsid w:val="00377136"/>
    <w:rsid w:val="00377546"/>
    <w:rsid w:val="00377DFF"/>
    <w:rsid w:val="0038005B"/>
    <w:rsid w:val="0038288A"/>
    <w:rsid w:val="00386061"/>
    <w:rsid w:val="00387376"/>
    <w:rsid w:val="003902D9"/>
    <w:rsid w:val="00390521"/>
    <w:rsid w:val="00390890"/>
    <w:rsid w:val="00391965"/>
    <w:rsid w:val="00391DEE"/>
    <w:rsid w:val="00394E68"/>
    <w:rsid w:val="00396F96"/>
    <w:rsid w:val="0039710A"/>
    <w:rsid w:val="00397971"/>
    <w:rsid w:val="003A0F19"/>
    <w:rsid w:val="003A1C50"/>
    <w:rsid w:val="003A1F76"/>
    <w:rsid w:val="003A209A"/>
    <w:rsid w:val="003A2667"/>
    <w:rsid w:val="003A2870"/>
    <w:rsid w:val="003A2900"/>
    <w:rsid w:val="003A29E4"/>
    <w:rsid w:val="003A3102"/>
    <w:rsid w:val="003A3E7E"/>
    <w:rsid w:val="003A638A"/>
    <w:rsid w:val="003A65AE"/>
    <w:rsid w:val="003B0D64"/>
    <w:rsid w:val="003B18FD"/>
    <w:rsid w:val="003B1FBC"/>
    <w:rsid w:val="003B216D"/>
    <w:rsid w:val="003B2665"/>
    <w:rsid w:val="003B6F47"/>
    <w:rsid w:val="003C0B4F"/>
    <w:rsid w:val="003C22AC"/>
    <w:rsid w:val="003C3ED1"/>
    <w:rsid w:val="003C4F68"/>
    <w:rsid w:val="003C5EAC"/>
    <w:rsid w:val="003C66CD"/>
    <w:rsid w:val="003C6F79"/>
    <w:rsid w:val="003D0985"/>
    <w:rsid w:val="003D2163"/>
    <w:rsid w:val="003D5BA7"/>
    <w:rsid w:val="003D6B89"/>
    <w:rsid w:val="003E12F2"/>
    <w:rsid w:val="003E1810"/>
    <w:rsid w:val="003E19CE"/>
    <w:rsid w:val="003E2001"/>
    <w:rsid w:val="003E285E"/>
    <w:rsid w:val="003E2DE4"/>
    <w:rsid w:val="003E3DF7"/>
    <w:rsid w:val="003E5DF6"/>
    <w:rsid w:val="003E7278"/>
    <w:rsid w:val="003E7EF2"/>
    <w:rsid w:val="003F3EF3"/>
    <w:rsid w:val="003F59F8"/>
    <w:rsid w:val="003F6D27"/>
    <w:rsid w:val="00400156"/>
    <w:rsid w:val="00400805"/>
    <w:rsid w:val="00402D00"/>
    <w:rsid w:val="00403D81"/>
    <w:rsid w:val="004043CA"/>
    <w:rsid w:val="0040572B"/>
    <w:rsid w:val="00406A9F"/>
    <w:rsid w:val="00407DBC"/>
    <w:rsid w:val="00411098"/>
    <w:rsid w:val="00411972"/>
    <w:rsid w:val="004126D4"/>
    <w:rsid w:val="0041300A"/>
    <w:rsid w:val="00413947"/>
    <w:rsid w:val="00414199"/>
    <w:rsid w:val="00415472"/>
    <w:rsid w:val="00416788"/>
    <w:rsid w:val="004167D7"/>
    <w:rsid w:val="004220AC"/>
    <w:rsid w:val="00423C69"/>
    <w:rsid w:val="0042407F"/>
    <w:rsid w:val="004260A5"/>
    <w:rsid w:val="004261BF"/>
    <w:rsid w:val="004261D6"/>
    <w:rsid w:val="00432357"/>
    <w:rsid w:val="004329EA"/>
    <w:rsid w:val="00433118"/>
    <w:rsid w:val="00436212"/>
    <w:rsid w:val="00436BEF"/>
    <w:rsid w:val="004413A5"/>
    <w:rsid w:val="00441B5B"/>
    <w:rsid w:val="00441E5C"/>
    <w:rsid w:val="00442738"/>
    <w:rsid w:val="00442CDE"/>
    <w:rsid w:val="004443F3"/>
    <w:rsid w:val="00444CEE"/>
    <w:rsid w:val="00445990"/>
    <w:rsid w:val="00446EB3"/>
    <w:rsid w:val="0044768E"/>
    <w:rsid w:val="0045166F"/>
    <w:rsid w:val="004517CB"/>
    <w:rsid w:val="0045277E"/>
    <w:rsid w:val="004530B6"/>
    <w:rsid w:val="00454524"/>
    <w:rsid w:val="004547A9"/>
    <w:rsid w:val="00456489"/>
    <w:rsid w:val="004566AB"/>
    <w:rsid w:val="00457E4A"/>
    <w:rsid w:val="0046074C"/>
    <w:rsid w:val="00461633"/>
    <w:rsid w:val="004623B9"/>
    <w:rsid w:val="00462728"/>
    <w:rsid w:val="00463194"/>
    <w:rsid w:val="0046409B"/>
    <w:rsid w:val="00466423"/>
    <w:rsid w:val="004676F2"/>
    <w:rsid w:val="0046791C"/>
    <w:rsid w:val="0047027F"/>
    <w:rsid w:val="00471231"/>
    <w:rsid w:val="00471461"/>
    <w:rsid w:val="0047186B"/>
    <w:rsid w:val="00471957"/>
    <w:rsid w:val="00473895"/>
    <w:rsid w:val="004738C8"/>
    <w:rsid w:val="00474174"/>
    <w:rsid w:val="0047457A"/>
    <w:rsid w:val="00475406"/>
    <w:rsid w:val="004800EE"/>
    <w:rsid w:val="0048082A"/>
    <w:rsid w:val="00480ECE"/>
    <w:rsid w:val="00480F7F"/>
    <w:rsid w:val="00483F1C"/>
    <w:rsid w:val="00486DB6"/>
    <w:rsid w:val="0049100C"/>
    <w:rsid w:val="004910B9"/>
    <w:rsid w:val="00491380"/>
    <w:rsid w:val="00493079"/>
    <w:rsid w:val="00495047"/>
    <w:rsid w:val="004A1289"/>
    <w:rsid w:val="004A15CC"/>
    <w:rsid w:val="004A2C20"/>
    <w:rsid w:val="004A413F"/>
    <w:rsid w:val="004A5626"/>
    <w:rsid w:val="004A5866"/>
    <w:rsid w:val="004A6D9C"/>
    <w:rsid w:val="004A73C8"/>
    <w:rsid w:val="004A7CA9"/>
    <w:rsid w:val="004B0AA0"/>
    <w:rsid w:val="004B0F73"/>
    <w:rsid w:val="004B14F1"/>
    <w:rsid w:val="004B1E2F"/>
    <w:rsid w:val="004B301B"/>
    <w:rsid w:val="004B4487"/>
    <w:rsid w:val="004B52FD"/>
    <w:rsid w:val="004B5873"/>
    <w:rsid w:val="004B5B83"/>
    <w:rsid w:val="004B7DE1"/>
    <w:rsid w:val="004C0224"/>
    <w:rsid w:val="004C02CE"/>
    <w:rsid w:val="004C0C83"/>
    <w:rsid w:val="004C125E"/>
    <w:rsid w:val="004C1C4C"/>
    <w:rsid w:val="004C210B"/>
    <w:rsid w:val="004C2C21"/>
    <w:rsid w:val="004C392B"/>
    <w:rsid w:val="004C4693"/>
    <w:rsid w:val="004D0517"/>
    <w:rsid w:val="004D2352"/>
    <w:rsid w:val="004D3D89"/>
    <w:rsid w:val="004D3ED2"/>
    <w:rsid w:val="004D4567"/>
    <w:rsid w:val="004D7823"/>
    <w:rsid w:val="004D79D0"/>
    <w:rsid w:val="004D7DFC"/>
    <w:rsid w:val="004E031E"/>
    <w:rsid w:val="004E0A54"/>
    <w:rsid w:val="004E0EA7"/>
    <w:rsid w:val="004E27A3"/>
    <w:rsid w:val="004E3E78"/>
    <w:rsid w:val="004E4224"/>
    <w:rsid w:val="004E5614"/>
    <w:rsid w:val="004E5E88"/>
    <w:rsid w:val="004E6331"/>
    <w:rsid w:val="004E6F68"/>
    <w:rsid w:val="004F28F6"/>
    <w:rsid w:val="004F4D82"/>
    <w:rsid w:val="004F4EE6"/>
    <w:rsid w:val="004F584A"/>
    <w:rsid w:val="004F7DFB"/>
    <w:rsid w:val="00501782"/>
    <w:rsid w:val="00502620"/>
    <w:rsid w:val="0050291B"/>
    <w:rsid w:val="005038C3"/>
    <w:rsid w:val="0050592F"/>
    <w:rsid w:val="00506F5D"/>
    <w:rsid w:val="00507CBA"/>
    <w:rsid w:val="00510A23"/>
    <w:rsid w:val="00510D65"/>
    <w:rsid w:val="00513128"/>
    <w:rsid w:val="00514B2C"/>
    <w:rsid w:val="00516699"/>
    <w:rsid w:val="00516702"/>
    <w:rsid w:val="00520C4F"/>
    <w:rsid w:val="00522405"/>
    <w:rsid w:val="00522EFD"/>
    <w:rsid w:val="005233ED"/>
    <w:rsid w:val="00523C05"/>
    <w:rsid w:val="00524D94"/>
    <w:rsid w:val="005258CC"/>
    <w:rsid w:val="00526856"/>
    <w:rsid w:val="00527C31"/>
    <w:rsid w:val="00530C45"/>
    <w:rsid w:val="005315C4"/>
    <w:rsid w:val="005367C9"/>
    <w:rsid w:val="005367FD"/>
    <w:rsid w:val="005401FD"/>
    <w:rsid w:val="00541227"/>
    <w:rsid w:val="00546C3B"/>
    <w:rsid w:val="00552ED8"/>
    <w:rsid w:val="005540B0"/>
    <w:rsid w:val="00554370"/>
    <w:rsid w:val="0055465E"/>
    <w:rsid w:val="00554BFC"/>
    <w:rsid w:val="00554C72"/>
    <w:rsid w:val="00554D01"/>
    <w:rsid w:val="005559FD"/>
    <w:rsid w:val="005566DE"/>
    <w:rsid w:val="005609FC"/>
    <w:rsid w:val="00562085"/>
    <w:rsid w:val="005642E8"/>
    <w:rsid w:val="005655C2"/>
    <w:rsid w:val="00566487"/>
    <w:rsid w:val="00570C59"/>
    <w:rsid w:val="00573267"/>
    <w:rsid w:val="005734AD"/>
    <w:rsid w:val="00573A46"/>
    <w:rsid w:val="005766A0"/>
    <w:rsid w:val="0058139A"/>
    <w:rsid w:val="00582214"/>
    <w:rsid w:val="005824F1"/>
    <w:rsid w:val="005826E2"/>
    <w:rsid w:val="00582848"/>
    <w:rsid w:val="005865D4"/>
    <w:rsid w:val="00586C41"/>
    <w:rsid w:val="005872BB"/>
    <w:rsid w:val="00590855"/>
    <w:rsid w:val="0059119B"/>
    <w:rsid w:val="005916B7"/>
    <w:rsid w:val="005933EC"/>
    <w:rsid w:val="00593E0E"/>
    <w:rsid w:val="00594761"/>
    <w:rsid w:val="00595320"/>
    <w:rsid w:val="0059544C"/>
    <w:rsid w:val="00597787"/>
    <w:rsid w:val="00597AA2"/>
    <w:rsid w:val="00597FDF"/>
    <w:rsid w:val="005A1029"/>
    <w:rsid w:val="005A18AD"/>
    <w:rsid w:val="005A2684"/>
    <w:rsid w:val="005A4213"/>
    <w:rsid w:val="005A4589"/>
    <w:rsid w:val="005A574B"/>
    <w:rsid w:val="005A6090"/>
    <w:rsid w:val="005A6410"/>
    <w:rsid w:val="005A6DEA"/>
    <w:rsid w:val="005A724A"/>
    <w:rsid w:val="005A76C6"/>
    <w:rsid w:val="005B3E0B"/>
    <w:rsid w:val="005B45F4"/>
    <w:rsid w:val="005B5142"/>
    <w:rsid w:val="005B5D2B"/>
    <w:rsid w:val="005B6631"/>
    <w:rsid w:val="005B7200"/>
    <w:rsid w:val="005C018E"/>
    <w:rsid w:val="005C02BF"/>
    <w:rsid w:val="005C0A74"/>
    <w:rsid w:val="005C0BBD"/>
    <w:rsid w:val="005C16F7"/>
    <w:rsid w:val="005C3156"/>
    <w:rsid w:val="005C3DF5"/>
    <w:rsid w:val="005C4432"/>
    <w:rsid w:val="005C63CA"/>
    <w:rsid w:val="005C729D"/>
    <w:rsid w:val="005D1C8F"/>
    <w:rsid w:val="005D2F1C"/>
    <w:rsid w:val="005D4766"/>
    <w:rsid w:val="005D59E6"/>
    <w:rsid w:val="005D63E1"/>
    <w:rsid w:val="005D72E1"/>
    <w:rsid w:val="005D7BB0"/>
    <w:rsid w:val="005E1931"/>
    <w:rsid w:val="005E2104"/>
    <w:rsid w:val="005E24E1"/>
    <w:rsid w:val="005E2F14"/>
    <w:rsid w:val="005E40BC"/>
    <w:rsid w:val="005E420D"/>
    <w:rsid w:val="005E654A"/>
    <w:rsid w:val="005E6B73"/>
    <w:rsid w:val="005F2684"/>
    <w:rsid w:val="005F3AB6"/>
    <w:rsid w:val="005F42FA"/>
    <w:rsid w:val="005F6BCC"/>
    <w:rsid w:val="006016DE"/>
    <w:rsid w:val="0060262D"/>
    <w:rsid w:val="00602714"/>
    <w:rsid w:val="006029F5"/>
    <w:rsid w:val="00603190"/>
    <w:rsid w:val="00603199"/>
    <w:rsid w:val="006048CC"/>
    <w:rsid w:val="00604C9B"/>
    <w:rsid w:val="0060588D"/>
    <w:rsid w:val="0060683D"/>
    <w:rsid w:val="00611CA5"/>
    <w:rsid w:val="00614835"/>
    <w:rsid w:val="00615B17"/>
    <w:rsid w:val="00616082"/>
    <w:rsid w:val="0061755C"/>
    <w:rsid w:val="00620F0F"/>
    <w:rsid w:val="00621636"/>
    <w:rsid w:val="00621ACB"/>
    <w:rsid w:val="00623691"/>
    <w:rsid w:val="006267FF"/>
    <w:rsid w:val="00626863"/>
    <w:rsid w:val="00626BA8"/>
    <w:rsid w:val="00630CFC"/>
    <w:rsid w:val="00633410"/>
    <w:rsid w:val="00640C2E"/>
    <w:rsid w:val="006462C5"/>
    <w:rsid w:val="006464FF"/>
    <w:rsid w:val="00647D43"/>
    <w:rsid w:val="00650549"/>
    <w:rsid w:val="0065077B"/>
    <w:rsid w:val="00653514"/>
    <w:rsid w:val="00656442"/>
    <w:rsid w:val="00657A74"/>
    <w:rsid w:val="006601D4"/>
    <w:rsid w:val="006615E8"/>
    <w:rsid w:val="00662368"/>
    <w:rsid w:val="00665496"/>
    <w:rsid w:val="0067069E"/>
    <w:rsid w:val="0067207A"/>
    <w:rsid w:val="006720EE"/>
    <w:rsid w:val="0067435F"/>
    <w:rsid w:val="0067499A"/>
    <w:rsid w:val="00675CFD"/>
    <w:rsid w:val="00675DD1"/>
    <w:rsid w:val="006770E2"/>
    <w:rsid w:val="006800D5"/>
    <w:rsid w:val="00680A22"/>
    <w:rsid w:val="00680EAB"/>
    <w:rsid w:val="00681D38"/>
    <w:rsid w:val="0068242E"/>
    <w:rsid w:val="0068288A"/>
    <w:rsid w:val="00682CE1"/>
    <w:rsid w:val="00682E18"/>
    <w:rsid w:val="006830EA"/>
    <w:rsid w:val="00683373"/>
    <w:rsid w:val="006838E3"/>
    <w:rsid w:val="00684164"/>
    <w:rsid w:val="0068478D"/>
    <w:rsid w:val="0068679F"/>
    <w:rsid w:val="006868E3"/>
    <w:rsid w:val="00686A94"/>
    <w:rsid w:val="00686F41"/>
    <w:rsid w:val="00690CE3"/>
    <w:rsid w:val="00691979"/>
    <w:rsid w:val="00694833"/>
    <w:rsid w:val="00694D36"/>
    <w:rsid w:val="00695E9E"/>
    <w:rsid w:val="006A0326"/>
    <w:rsid w:val="006A0D96"/>
    <w:rsid w:val="006A1F69"/>
    <w:rsid w:val="006A5F9C"/>
    <w:rsid w:val="006A6095"/>
    <w:rsid w:val="006A6169"/>
    <w:rsid w:val="006A7C1E"/>
    <w:rsid w:val="006B1896"/>
    <w:rsid w:val="006B23A7"/>
    <w:rsid w:val="006B334B"/>
    <w:rsid w:val="006B5848"/>
    <w:rsid w:val="006B60DC"/>
    <w:rsid w:val="006B738B"/>
    <w:rsid w:val="006C0D8B"/>
    <w:rsid w:val="006C126D"/>
    <w:rsid w:val="006C2ADF"/>
    <w:rsid w:val="006C3E88"/>
    <w:rsid w:val="006C505A"/>
    <w:rsid w:val="006C61DF"/>
    <w:rsid w:val="006C6582"/>
    <w:rsid w:val="006C6D5F"/>
    <w:rsid w:val="006C73B2"/>
    <w:rsid w:val="006D2AF7"/>
    <w:rsid w:val="006D2EFE"/>
    <w:rsid w:val="006D3383"/>
    <w:rsid w:val="006D3E13"/>
    <w:rsid w:val="006D50CB"/>
    <w:rsid w:val="006D5303"/>
    <w:rsid w:val="006D67FC"/>
    <w:rsid w:val="006D7929"/>
    <w:rsid w:val="006D7AF5"/>
    <w:rsid w:val="006E0339"/>
    <w:rsid w:val="006E08E3"/>
    <w:rsid w:val="006E363D"/>
    <w:rsid w:val="006E7072"/>
    <w:rsid w:val="006E7A3F"/>
    <w:rsid w:val="006E7ADC"/>
    <w:rsid w:val="006F0204"/>
    <w:rsid w:val="006F0955"/>
    <w:rsid w:val="006F28E1"/>
    <w:rsid w:val="006F3A16"/>
    <w:rsid w:val="006F3D70"/>
    <w:rsid w:val="006F3FB1"/>
    <w:rsid w:val="006F3FFB"/>
    <w:rsid w:val="006F44F4"/>
    <w:rsid w:val="006F53C3"/>
    <w:rsid w:val="006F61A7"/>
    <w:rsid w:val="006F6AE8"/>
    <w:rsid w:val="006F7302"/>
    <w:rsid w:val="00700C81"/>
    <w:rsid w:val="00702BDF"/>
    <w:rsid w:val="00702F13"/>
    <w:rsid w:val="00704454"/>
    <w:rsid w:val="00705AA9"/>
    <w:rsid w:val="00710735"/>
    <w:rsid w:val="00710A76"/>
    <w:rsid w:val="00713A28"/>
    <w:rsid w:val="00713B6D"/>
    <w:rsid w:val="00714312"/>
    <w:rsid w:val="00716A11"/>
    <w:rsid w:val="00716C99"/>
    <w:rsid w:val="007171E9"/>
    <w:rsid w:val="007179F4"/>
    <w:rsid w:val="007210A7"/>
    <w:rsid w:val="00721C0D"/>
    <w:rsid w:val="0072257F"/>
    <w:rsid w:val="0072396C"/>
    <w:rsid w:val="00724B69"/>
    <w:rsid w:val="0072633E"/>
    <w:rsid w:val="007268E6"/>
    <w:rsid w:val="007309A0"/>
    <w:rsid w:val="00730A0D"/>
    <w:rsid w:val="00730D06"/>
    <w:rsid w:val="0073196C"/>
    <w:rsid w:val="00731B35"/>
    <w:rsid w:val="007320FA"/>
    <w:rsid w:val="00732168"/>
    <w:rsid w:val="00733E8A"/>
    <w:rsid w:val="00735508"/>
    <w:rsid w:val="007359DB"/>
    <w:rsid w:val="00735A87"/>
    <w:rsid w:val="00736CE5"/>
    <w:rsid w:val="0073717A"/>
    <w:rsid w:val="00737760"/>
    <w:rsid w:val="00737B2D"/>
    <w:rsid w:val="00737BD2"/>
    <w:rsid w:val="00737BE3"/>
    <w:rsid w:val="0074028D"/>
    <w:rsid w:val="00740A0A"/>
    <w:rsid w:val="00741DE6"/>
    <w:rsid w:val="00742C00"/>
    <w:rsid w:val="007457CA"/>
    <w:rsid w:val="007470C1"/>
    <w:rsid w:val="007473C0"/>
    <w:rsid w:val="00751026"/>
    <w:rsid w:val="0075420D"/>
    <w:rsid w:val="00754925"/>
    <w:rsid w:val="007553DD"/>
    <w:rsid w:val="007554A9"/>
    <w:rsid w:val="0075639C"/>
    <w:rsid w:val="00762BC9"/>
    <w:rsid w:val="00762FCD"/>
    <w:rsid w:val="007636A2"/>
    <w:rsid w:val="00763D95"/>
    <w:rsid w:val="00764C55"/>
    <w:rsid w:val="007661FE"/>
    <w:rsid w:val="00767FC9"/>
    <w:rsid w:val="0077236F"/>
    <w:rsid w:val="00774BA9"/>
    <w:rsid w:val="007761AF"/>
    <w:rsid w:val="00776231"/>
    <w:rsid w:val="00780B72"/>
    <w:rsid w:val="00784234"/>
    <w:rsid w:val="007856FE"/>
    <w:rsid w:val="007875F9"/>
    <w:rsid w:val="00792323"/>
    <w:rsid w:val="00792F91"/>
    <w:rsid w:val="00793F04"/>
    <w:rsid w:val="00793F0D"/>
    <w:rsid w:val="0079723E"/>
    <w:rsid w:val="00797411"/>
    <w:rsid w:val="00797BA8"/>
    <w:rsid w:val="007A07E1"/>
    <w:rsid w:val="007A14D9"/>
    <w:rsid w:val="007A29DB"/>
    <w:rsid w:val="007A3490"/>
    <w:rsid w:val="007A4C4B"/>
    <w:rsid w:val="007A7479"/>
    <w:rsid w:val="007B084A"/>
    <w:rsid w:val="007B1136"/>
    <w:rsid w:val="007B138A"/>
    <w:rsid w:val="007B1562"/>
    <w:rsid w:val="007B19AB"/>
    <w:rsid w:val="007B2019"/>
    <w:rsid w:val="007B32F3"/>
    <w:rsid w:val="007B3571"/>
    <w:rsid w:val="007B4090"/>
    <w:rsid w:val="007B4492"/>
    <w:rsid w:val="007B5C27"/>
    <w:rsid w:val="007B7F45"/>
    <w:rsid w:val="007C1696"/>
    <w:rsid w:val="007C2970"/>
    <w:rsid w:val="007C2FC8"/>
    <w:rsid w:val="007C364A"/>
    <w:rsid w:val="007C36F3"/>
    <w:rsid w:val="007C4F0B"/>
    <w:rsid w:val="007D1CB7"/>
    <w:rsid w:val="007D3601"/>
    <w:rsid w:val="007D5EA0"/>
    <w:rsid w:val="007E1BB7"/>
    <w:rsid w:val="007E24EE"/>
    <w:rsid w:val="007E28E6"/>
    <w:rsid w:val="007E2ED7"/>
    <w:rsid w:val="007E6468"/>
    <w:rsid w:val="007E783B"/>
    <w:rsid w:val="007F02C2"/>
    <w:rsid w:val="007F111A"/>
    <w:rsid w:val="007F24AD"/>
    <w:rsid w:val="007F308F"/>
    <w:rsid w:val="007F3DDC"/>
    <w:rsid w:val="007F4B50"/>
    <w:rsid w:val="007F5631"/>
    <w:rsid w:val="007F61A4"/>
    <w:rsid w:val="007F6D1B"/>
    <w:rsid w:val="007F7EEE"/>
    <w:rsid w:val="00800C59"/>
    <w:rsid w:val="00801600"/>
    <w:rsid w:val="008038CA"/>
    <w:rsid w:val="008064D7"/>
    <w:rsid w:val="0080670F"/>
    <w:rsid w:val="00807D77"/>
    <w:rsid w:val="00810E91"/>
    <w:rsid w:val="00812404"/>
    <w:rsid w:val="008127C1"/>
    <w:rsid w:val="00812EC4"/>
    <w:rsid w:val="00813B7E"/>
    <w:rsid w:val="00813D60"/>
    <w:rsid w:val="00815C22"/>
    <w:rsid w:val="00825D30"/>
    <w:rsid w:val="00830D2F"/>
    <w:rsid w:val="0083193A"/>
    <w:rsid w:val="00832087"/>
    <w:rsid w:val="00832F19"/>
    <w:rsid w:val="00834330"/>
    <w:rsid w:val="0083501F"/>
    <w:rsid w:val="008350F3"/>
    <w:rsid w:val="00835A4C"/>
    <w:rsid w:val="00835A7D"/>
    <w:rsid w:val="00836F08"/>
    <w:rsid w:val="00837445"/>
    <w:rsid w:val="00842264"/>
    <w:rsid w:val="00845AF0"/>
    <w:rsid w:val="008504D7"/>
    <w:rsid w:val="008507CC"/>
    <w:rsid w:val="008508DA"/>
    <w:rsid w:val="00851007"/>
    <w:rsid w:val="00853E9B"/>
    <w:rsid w:val="0085585D"/>
    <w:rsid w:val="00857241"/>
    <w:rsid w:val="008607AE"/>
    <w:rsid w:val="00860DC5"/>
    <w:rsid w:val="00862F30"/>
    <w:rsid w:val="0086322C"/>
    <w:rsid w:val="008645B6"/>
    <w:rsid w:val="00866761"/>
    <w:rsid w:val="00866C41"/>
    <w:rsid w:val="00867487"/>
    <w:rsid w:val="00873439"/>
    <w:rsid w:val="00873F86"/>
    <w:rsid w:val="00874298"/>
    <w:rsid w:val="00874EEC"/>
    <w:rsid w:val="00876A14"/>
    <w:rsid w:val="008809B6"/>
    <w:rsid w:val="00882F85"/>
    <w:rsid w:val="00883A57"/>
    <w:rsid w:val="00884195"/>
    <w:rsid w:val="00887D57"/>
    <w:rsid w:val="00890EC1"/>
    <w:rsid w:val="00892087"/>
    <w:rsid w:val="008925C2"/>
    <w:rsid w:val="00892A12"/>
    <w:rsid w:val="00894A5E"/>
    <w:rsid w:val="00895435"/>
    <w:rsid w:val="00897349"/>
    <w:rsid w:val="008A0B4B"/>
    <w:rsid w:val="008A1E34"/>
    <w:rsid w:val="008A4B85"/>
    <w:rsid w:val="008A6088"/>
    <w:rsid w:val="008A6194"/>
    <w:rsid w:val="008A6399"/>
    <w:rsid w:val="008A6926"/>
    <w:rsid w:val="008B0E6D"/>
    <w:rsid w:val="008B2F56"/>
    <w:rsid w:val="008B3096"/>
    <w:rsid w:val="008B4F51"/>
    <w:rsid w:val="008B52CD"/>
    <w:rsid w:val="008B6972"/>
    <w:rsid w:val="008B6ED1"/>
    <w:rsid w:val="008C18C1"/>
    <w:rsid w:val="008C3A0E"/>
    <w:rsid w:val="008C3A3B"/>
    <w:rsid w:val="008C4397"/>
    <w:rsid w:val="008C4B19"/>
    <w:rsid w:val="008C5BF5"/>
    <w:rsid w:val="008C5EE1"/>
    <w:rsid w:val="008C6C64"/>
    <w:rsid w:val="008C7013"/>
    <w:rsid w:val="008C7130"/>
    <w:rsid w:val="008D1661"/>
    <w:rsid w:val="008D298D"/>
    <w:rsid w:val="008D2B66"/>
    <w:rsid w:val="008D35E7"/>
    <w:rsid w:val="008D367B"/>
    <w:rsid w:val="008D3B06"/>
    <w:rsid w:val="008D44B7"/>
    <w:rsid w:val="008D5B6A"/>
    <w:rsid w:val="008D76EF"/>
    <w:rsid w:val="008E0838"/>
    <w:rsid w:val="008E16BC"/>
    <w:rsid w:val="008E1DBC"/>
    <w:rsid w:val="008E1DFA"/>
    <w:rsid w:val="008E337B"/>
    <w:rsid w:val="008E5F5B"/>
    <w:rsid w:val="008E5FDA"/>
    <w:rsid w:val="008E66E9"/>
    <w:rsid w:val="008E6FC4"/>
    <w:rsid w:val="008E74D3"/>
    <w:rsid w:val="008E77A9"/>
    <w:rsid w:val="008F0EE7"/>
    <w:rsid w:val="008F1C68"/>
    <w:rsid w:val="008F4696"/>
    <w:rsid w:val="008F561E"/>
    <w:rsid w:val="008F5D56"/>
    <w:rsid w:val="009017BF"/>
    <w:rsid w:val="0090180E"/>
    <w:rsid w:val="009024F4"/>
    <w:rsid w:val="009043AD"/>
    <w:rsid w:val="0090442D"/>
    <w:rsid w:val="00906CBF"/>
    <w:rsid w:val="009135FE"/>
    <w:rsid w:val="009147B4"/>
    <w:rsid w:val="0091500A"/>
    <w:rsid w:val="00916D52"/>
    <w:rsid w:val="0091740D"/>
    <w:rsid w:val="00920285"/>
    <w:rsid w:val="00920327"/>
    <w:rsid w:val="009204C9"/>
    <w:rsid w:val="0092309B"/>
    <w:rsid w:val="009257CA"/>
    <w:rsid w:val="0092641E"/>
    <w:rsid w:val="009270DF"/>
    <w:rsid w:val="00927A19"/>
    <w:rsid w:val="009305CC"/>
    <w:rsid w:val="00931202"/>
    <w:rsid w:val="009312C3"/>
    <w:rsid w:val="00934561"/>
    <w:rsid w:val="00937273"/>
    <w:rsid w:val="00937364"/>
    <w:rsid w:val="00941452"/>
    <w:rsid w:val="00941973"/>
    <w:rsid w:val="00941ECC"/>
    <w:rsid w:val="00942A06"/>
    <w:rsid w:val="009432DD"/>
    <w:rsid w:val="009439C1"/>
    <w:rsid w:val="0094470F"/>
    <w:rsid w:val="00945575"/>
    <w:rsid w:val="0094568C"/>
    <w:rsid w:val="00946AB7"/>
    <w:rsid w:val="00950DBE"/>
    <w:rsid w:val="009517E0"/>
    <w:rsid w:val="00953A98"/>
    <w:rsid w:val="00953FAB"/>
    <w:rsid w:val="00954BB2"/>
    <w:rsid w:val="00955DBC"/>
    <w:rsid w:val="00956E1C"/>
    <w:rsid w:val="00962653"/>
    <w:rsid w:val="00963D9C"/>
    <w:rsid w:val="0096492E"/>
    <w:rsid w:val="0096678D"/>
    <w:rsid w:val="00967008"/>
    <w:rsid w:val="0097134A"/>
    <w:rsid w:val="0097162F"/>
    <w:rsid w:val="009719A1"/>
    <w:rsid w:val="00972832"/>
    <w:rsid w:val="009729EC"/>
    <w:rsid w:val="00972E3D"/>
    <w:rsid w:val="009733DC"/>
    <w:rsid w:val="00973883"/>
    <w:rsid w:val="009755A6"/>
    <w:rsid w:val="009756C9"/>
    <w:rsid w:val="00975A5C"/>
    <w:rsid w:val="0097732E"/>
    <w:rsid w:val="009800C4"/>
    <w:rsid w:val="00980DAA"/>
    <w:rsid w:val="009817C3"/>
    <w:rsid w:val="00982294"/>
    <w:rsid w:val="00985A56"/>
    <w:rsid w:val="00986C01"/>
    <w:rsid w:val="00990CA6"/>
    <w:rsid w:val="00990DFE"/>
    <w:rsid w:val="00992029"/>
    <w:rsid w:val="0099242A"/>
    <w:rsid w:val="00992835"/>
    <w:rsid w:val="00992C01"/>
    <w:rsid w:val="009A0048"/>
    <w:rsid w:val="009A044F"/>
    <w:rsid w:val="009A0590"/>
    <w:rsid w:val="009A0C06"/>
    <w:rsid w:val="009A1217"/>
    <w:rsid w:val="009A2ECC"/>
    <w:rsid w:val="009A2F50"/>
    <w:rsid w:val="009A32FA"/>
    <w:rsid w:val="009A4B0F"/>
    <w:rsid w:val="009A4D46"/>
    <w:rsid w:val="009A4F42"/>
    <w:rsid w:val="009A61BF"/>
    <w:rsid w:val="009A61C0"/>
    <w:rsid w:val="009A6C36"/>
    <w:rsid w:val="009A75F4"/>
    <w:rsid w:val="009B34FB"/>
    <w:rsid w:val="009B35D9"/>
    <w:rsid w:val="009B3E5A"/>
    <w:rsid w:val="009B3ECB"/>
    <w:rsid w:val="009B43F5"/>
    <w:rsid w:val="009B4632"/>
    <w:rsid w:val="009B4DF2"/>
    <w:rsid w:val="009B5ADB"/>
    <w:rsid w:val="009B6AF7"/>
    <w:rsid w:val="009C1D93"/>
    <w:rsid w:val="009C2CB3"/>
    <w:rsid w:val="009C3F10"/>
    <w:rsid w:val="009C41DE"/>
    <w:rsid w:val="009C442F"/>
    <w:rsid w:val="009C5E93"/>
    <w:rsid w:val="009C7248"/>
    <w:rsid w:val="009C762E"/>
    <w:rsid w:val="009C7D3B"/>
    <w:rsid w:val="009D0096"/>
    <w:rsid w:val="009D2002"/>
    <w:rsid w:val="009D2C1A"/>
    <w:rsid w:val="009D600B"/>
    <w:rsid w:val="009D66FF"/>
    <w:rsid w:val="009D6B34"/>
    <w:rsid w:val="009D7A0D"/>
    <w:rsid w:val="009E0B46"/>
    <w:rsid w:val="009E0D42"/>
    <w:rsid w:val="009E198C"/>
    <w:rsid w:val="009E1DF5"/>
    <w:rsid w:val="009E3658"/>
    <w:rsid w:val="009E4359"/>
    <w:rsid w:val="009E4849"/>
    <w:rsid w:val="009E4A8D"/>
    <w:rsid w:val="009E5155"/>
    <w:rsid w:val="009E6207"/>
    <w:rsid w:val="009E6E81"/>
    <w:rsid w:val="009E6E87"/>
    <w:rsid w:val="009E7378"/>
    <w:rsid w:val="009F11B7"/>
    <w:rsid w:val="009F1200"/>
    <w:rsid w:val="009F1545"/>
    <w:rsid w:val="009F1805"/>
    <w:rsid w:val="009F38E1"/>
    <w:rsid w:val="009F3C91"/>
    <w:rsid w:val="009F5277"/>
    <w:rsid w:val="00A00C60"/>
    <w:rsid w:val="00A02558"/>
    <w:rsid w:val="00A025D0"/>
    <w:rsid w:val="00A0335F"/>
    <w:rsid w:val="00A035BE"/>
    <w:rsid w:val="00A06A73"/>
    <w:rsid w:val="00A10D26"/>
    <w:rsid w:val="00A11AE9"/>
    <w:rsid w:val="00A11EF4"/>
    <w:rsid w:val="00A12000"/>
    <w:rsid w:val="00A130C3"/>
    <w:rsid w:val="00A13103"/>
    <w:rsid w:val="00A14EEF"/>
    <w:rsid w:val="00A15A52"/>
    <w:rsid w:val="00A1791A"/>
    <w:rsid w:val="00A20749"/>
    <w:rsid w:val="00A21473"/>
    <w:rsid w:val="00A21A6C"/>
    <w:rsid w:val="00A23BE7"/>
    <w:rsid w:val="00A23C0A"/>
    <w:rsid w:val="00A2416D"/>
    <w:rsid w:val="00A243D6"/>
    <w:rsid w:val="00A25248"/>
    <w:rsid w:val="00A25427"/>
    <w:rsid w:val="00A27A59"/>
    <w:rsid w:val="00A31821"/>
    <w:rsid w:val="00A32487"/>
    <w:rsid w:val="00A359A8"/>
    <w:rsid w:val="00A3662B"/>
    <w:rsid w:val="00A3762C"/>
    <w:rsid w:val="00A37643"/>
    <w:rsid w:val="00A37747"/>
    <w:rsid w:val="00A37CCA"/>
    <w:rsid w:val="00A408B1"/>
    <w:rsid w:val="00A408B4"/>
    <w:rsid w:val="00A41678"/>
    <w:rsid w:val="00A4193D"/>
    <w:rsid w:val="00A41CDD"/>
    <w:rsid w:val="00A41CFE"/>
    <w:rsid w:val="00A41FD1"/>
    <w:rsid w:val="00A4205E"/>
    <w:rsid w:val="00A4454C"/>
    <w:rsid w:val="00A4743D"/>
    <w:rsid w:val="00A4774F"/>
    <w:rsid w:val="00A50AB6"/>
    <w:rsid w:val="00A51F06"/>
    <w:rsid w:val="00A55610"/>
    <w:rsid w:val="00A573ED"/>
    <w:rsid w:val="00A57DA2"/>
    <w:rsid w:val="00A61DA6"/>
    <w:rsid w:val="00A61FC2"/>
    <w:rsid w:val="00A62386"/>
    <w:rsid w:val="00A6278F"/>
    <w:rsid w:val="00A62843"/>
    <w:rsid w:val="00A62AA8"/>
    <w:rsid w:val="00A651C6"/>
    <w:rsid w:val="00A66877"/>
    <w:rsid w:val="00A67016"/>
    <w:rsid w:val="00A6756F"/>
    <w:rsid w:val="00A72148"/>
    <w:rsid w:val="00A74352"/>
    <w:rsid w:val="00A748FD"/>
    <w:rsid w:val="00A756FC"/>
    <w:rsid w:val="00A81A04"/>
    <w:rsid w:val="00A81BE5"/>
    <w:rsid w:val="00A82A46"/>
    <w:rsid w:val="00A82C2F"/>
    <w:rsid w:val="00A8328E"/>
    <w:rsid w:val="00A84452"/>
    <w:rsid w:val="00A84D6C"/>
    <w:rsid w:val="00A85A2A"/>
    <w:rsid w:val="00A85F41"/>
    <w:rsid w:val="00A91C62"/>
    <w:rsid w:val="00A92339"/>
    <w:rsid w:val="00A92F39"/>
    <w:rsid w:val="00A9318D"/>
    <w:rsid w:val="00A93943"/>
    <w:rsid w:val="00A943A4"/>
    <w:rsid w:val="00A948B6"/>
    <w:rsid w:val="00A94A49"/>
    <w:rsid w:val="00A94EA2"/>
    <w:rsid w:val="00A965C4"/>
    <w:rsid w:val="00A969A3"/>
    <w:rsid w:val="00AA126D"/>
    <w:rsid w:val="00AA18A1"/>
    <w:rsid w:val="00AA1EA6"/>
    <w:rsid w:val="00AA24E6"/>
    <w:rsid w:val="00AA2906"/>
    <w:rsid w:val="00AA47AC"/>
    <w:rsid w:val="00AA5C16"/>
    <w:rsid w:val="00AA6BE8"/>
    <w:rsid w:val="00AA6D3E"/>
    <w:rsid w:val="00AB1F16"/>
    <w:rsid w:val="00AB3284"/>
    <w:rsid w:val="00AC02D6"/>
    <w:rsid w:val="00AC052C"/>
    <w:rsid w:val="00AC0A77"/>
    <w:rsid w:val="00AC17C7"/>
    <w:rsid w:val="00AC30A8"/>
    <w:rsid w:val="00AC3D99"/>
    <w:rsid w:val="00AC3F32"/>
    <w:rsid w:val="00AC45C9"/>
    <w:rsid w:val="00AC460B"/>
    <w:rsid w:val="00AC6126"/>
    <w:rsid w:val="00AC6E3D"/>
    <w:rsid w:val="00AD0C8D"/>
    <w:rsid w:val="00AD1CDF"/>
    <w:rsid w:val="00AD4F39"/>
    <w:rsid w:val="00AD6E38"/>
    <w:rsid w:val="00AE3BA7"/>
    <w:rsid w:val="00AE3D45"/>
    <w:rsid w:val="00AE4D7E"/>
    <w:rsid w:val="00AE7092"/>
    <w:rsid w:val="00AE7727"/>
    <w:rsid w:val="00AE7CC5"/>
    <w:rsid w:val="00AE7DC2"/>
    <w:rsid w:val="00AF3E31"/>
    <w:rsid w:val="00AF4F15"/>
    <w:rsid w:val="00AF57CE"/>
    <w:rsid w:val="00AF6A87"/>
    <w:rsid w:val="00B00AF5"/>
    <w:rsid w:val="00B0240A"/>
    <w:rsid w:val="00B0451E"/>
    <w:rsid w:val="00B0537D"/>
    <w:rsid w:val="00B05624"/>
    <w:rsid w:val="00B05D78"/>
    <w:rsid w:val="00B07246"/>
    <w:rsid w:val="00B10589"/>
    <w:rsid w:val="00B125BA"/>
    <w:rsid w:val="00B13DE4"/>
    <w:rsid w:val="00B14192"/>
    <w:rsid w:val="00B14F0D"/>
    <w:rsid w:val="00B162F2"/>
    <w:rsid w:val="00B17CAE"/>
    <w:rsid w:val="00B216F2"/>
    <w:rsid w:val="00B22BDB"/>
    <w:rsid w:val="00B23359"/>
    <w:rsid w:val="00B23DDC"/>
    <w:rsid w:val="00B246CA"/>
    <w:rsid w:val="00B26E5F"/>
    <w:rsid w:val="00B304A9"/>
    <w:rsid w:val="00B30669"/>
    <w:rsid w:val="00B31F57"/>
    <w:rsid w:val="00B327ED"/>
    <w:rsid w:val="00B33759"/>
    <w:rsid w:val="00B34108"/>
    <w:rsid w:val="00B34280"/>
    <w:rsid w:val="00B3476C"/>
    <w:rsid w:val="00B36139"/>
    <w:rsid w:val="00B363FB"/>
    <w:rsid w:val="00B367E7"/>
    <w:rsid w:val="00B36A4C"/>
    <w:rsid w:val="00B37EC6"/>
    <w:rsid w:val="00B40CCB"/>
    <w:rsid w:val="00B412C2"/>
    <w:rsid w:val="00B456A3"/>
    <w:rsid w:val="00B47197"/>
    <w:rsid w:val="00B508CA"/>
    <w:rsid w:val="00B51346"/>
    <w:rsid w:val="00B5430A"/>
    <w:rsid w:val="00B54C7C"/>
    <w:rsid w:val="00B56308"/>
    <w:rsid w:val="00B602D3"/>
    <w:rsid w:val="00B61BAA"/>
    <w:rsid w:val="00B67EE6"/>
    <w:rsid w:val="00B708F8"/>
    <w:rsid w:val="00B70BEF"/>
    <w:rsid w:val="00B70E5E"/>
    <w:rsid w:val="00B71D18"/>
    <w:rsid w:val="00B72ED6"/>
    <w:rsid w:val="00B74D88"/>
    <w:rsid w:val="00B7502C"/>
    <w:rsid w:val="00B75BB5"/>
    <w:rsid w:val="00B7647E"/>
    <w:rsid w:val="00B81ACF"/>
    <w:rsid w:val="00B82B0B"/>
    <w:rsid w:val="00B84AA9"/>
    <w:rsid w:val="00B90643"/>
    <w:rsid w:val="00B90C28"/>
    <w:rsid w:val="00B91AA0"/>
    <w:rsid w:val="00B92DAE"/>
    <w:rsid w:val="00B930C6"/>
    <w:rsid w:val="00B94636"/>
    <w:rsid w:val="00B95A91"/>
    <w:rsid w:val="00BA09D0"/>
    <w:rsid w:val="00BA166A"/>
    <w:rsid w:val="00BA35BF"/>
    <w:rsid w:val="00BA458C"/>
    <w:rsid w:val="00BA54AC"/>
    <w:rsid w:val="00BA59B3"/>
    <w:rsid w:val="00BA5A41"/>
    <w:rsid w:val="00BA5FDD"/>
    <w:rsid w:val="00BB0831"/>
    <w:rsid w:val="00BB38FC"/>
    <w:rsid w:val="00BB3D84"/>
    <w:rsid w:val="00BB405B"/>
    <w:rsid w:val="00BB6718"/>
    <w:rsid w:val="00BC37D2"/>
    <w:rsid w:val="00BD396B"/>
    <w:rsid w:val="00BD3EBD"/>
    <w:rsid w:val="00BE2F98"/>
    <w:rsid w:val="00BE3981"/>
    <w:rsid w:val="00BE400F"/>
    <w:rsid w:val="00BE6038"/>
    <w:rsid w:val="00BE6D71"/>
    <w:rsid w:val="00BF29E5"/>
    <w:rsid w:val="00BF338F"/>
    <w:rsid w:val="00BF3877"/>
    <w:rsid w:val="00BF55C3"/>
    <w:rsid w:val="00BF779F"/>
    <w:rsid w:val="00C00C7C"/>
    <w:rsid w:val="00C013BB"/>
    <w:rsid w:val="00C01870"/>
    <w:rsid w:val="00C01ADB"/>
    <w:rsid w:val="00C044E4"/>
    <w:rsid w:val="00C048DE"/>
    <w:rsid w:val="00C062B2"/>
    <w:rsid w:val="00C07CBB"/>
    <w:rsid w:val="00C07E8E"/>
    <w:rsid w:val="00C10236"/>
    <w:rsid w:val="00C11C1F"/>
    <w:rsid w:val="00C137EF"/>
    <w:rsid w:val="00C13BEC"/>
    <w:rsid w:val="00C13CAD"/>
    <w:rsid w:val="00C1491E"/>
    <w:rsid w:val="00C16E5E"/>
    <w:rsid w:val="00C17504"/>
    <w:rsid w:val="00C177BF"/>
    <w:rsid w:val="00C17AF6"/>
    <w:rsid w:val="00C17F36"/>
    <w:rsid w:val="00C20294"/>
    <w:rsid w:val="00C2066B"/>
    <w:rsid w:val="00C207AE"/>
    <w:rsid w:val="00C211FB"/>
    <w:rsid w:val="00C21320"/>
    <w:rsid w:val="00C22367"/>
    <w:rsid w:val="00C23A77"/>
    <w:rsid w:val="00C23F4A"/>
    <w:rsid w:val="00C241F1"/>
    <w:rsid w:val="00C258B0"/>
    <w:rsid w:val="00C27B45"/>
    <w:rsid w:val="00C3123F"/>
    <w:rsid w:val="00C33677"/>
    <w:rsid w:val="00C337EB"/>
    <w:rsid w:val="00C35760"/>
    <w:rsid w:val="00C3697A"/>
    <w:rsid w:val="00C40C3F"/>
    <w:rsid w:val="00C42CF3"/>
    <w:rsid w:val="00C43F15"/>
    <w:rsid w:val="00C440BE"/>
    <w:rsid w:val="00C446D3"/>
    <w:rsid w:val="00C45FD7"/>
    <w:rsid w:val="00C46C49"/>
    <w:rsid w:val="00C51889"/>
    <w:rsid w:val="00C51E02"/>
    <w:rsid w:val="00C523A3"/>
    <w:rsid w:val="00C528AA"/>
    <w:rsid w:val="00C52E25"/>
    <w:rsid w:val="00C5463E"/>
    <w:rsid w:val="00C567EB"/>
    <w:rsid w:val="00C6003B"/>
    <w:rsid w:val="00C60146"/>
    <w:rsid w:val="00C63A2C"/>
    <w:rsid w:val="00C647DA"/>
    <w:rsid w:val="00C64F16"/>
    <w:rsid w:val="00C65167"/>
    <w:rsid w:val="00C666CD"/>
    <w:rsid w:val="00C7056C"/>
    <w:rsid w:val="00C70F99"/>
    <w:rsid w:val="00C72C9E"/>
    <w:rsid w:val="00C735EC"/>
    <w:rsid w:val="00C737CC"/>
    <w:rsid w:val="00C74851"/>
    <w:rsid w:val="00C748E1"/>
    <w:rsid w:val="00C74979"/>
    <w:rsid w:val="00C756EC"/>
    <w:rsid w:val="00C76B7C"/>
    <w:rsid w:val="00C77C45"/>
    <w:rsid w:val="00C80A9E"/>
    <w:rsid w:val="00C81278"/>
    <w:rsid w:val="00C81868"/>
    <w:rsid w:val="00C84955"/>
    <w:rsid w:val="00C85D5C"/>
    <w:rsid w:val="00C86C38"/>
    <w:rsid w:val="00C8711B"/>
    <w:rsid w:val="00C87A0D"/>
    <w:rsid w:val="00C9093B"/>
    <w:rsid w:val="00C92F90"/>
    <w:rsid w:val="00C931EA"/>
    <w:rsid w:val="00C93BCF"/>
    <w:rsid w:val="00C93DB2"/>
    <w:rsid w:val="00C9607B"/>
    <w:rsid w:val="00C975C5"/>
    <w:rsid w:val="00C97AE3"/>
    <w:rsid w:val="00CA1EC0"/>
    <w:rsid w:val="00CA2499"/>
    <w:rsid w:val="00CA3121"/>
    <w:rsid w:val="00CA594D"/>
    <w:rsid w:val="00CA6C9C"/>
    <w:rsid w:val="00CB1CB1"/>
    <w:rsid w:val="00CB3AE4"/>
    <w:rsid w:val="00CB3CA9"/>
    <w:rsid w:val="00CB43BB"/>
    <w:rsid w:val="00CB54E0"/>
    <w:rsid w:val="00CC0986"/>
    <w:rsid w:val="00CC0DFE"/>
    <w:rsid w:val="00CC1D11"/>
    <w:rsid w:val="00CC4983"/>
    <w:rsid w:val="00CC4DEA"/>
    <w:rsid w:val="00CC568A"/>
    <w:rsid w:val="00CC593B"/>
    <w:rsid w:val="00CC6E03"/>
    <w:rsid w:val="00CC7C38"/>
    <w:rsid w:val="00CC7C6B"/>
    <w:rsid w:val="00CD4D12"/>
    <w:rsid w:val="00CD4EF3"/>
    <w:rsid w:val="00CE0543"/>
    <w:rsid w:val="00CE1BE8"/>
    <w:rsid w:val="00CE2620"/>
    <w:rsid w:val="00CF0439"/>
    <w:rsid w:val="00CF0C83"/>
    <w:rsid w:val="00CF13A6"/>
    <w:rsid w:val="00CF18FC"/>
    <w:rsid w:val="00CF28FD"/>
    <w:rsid w:val="00CF348D"/>
    <w:rsid w:val="00CF3CA8"/>
    <w:rsid w:val="00CF3F9A"/>
    <w:rsid w:val="00CF4556"/>
    <w:rsid w:val="00CF56DA"/>
    <w:rsid w:val="00CF5A84"/>
    <w:rsid w:val="00CF6944"/>
    <w:rsid w:val="00CF6EAA"/>
    <w:rsid w:val="00CF7975"/>
    <w:rsid w:val="00D00DFB"/>
    <w:rsid w:val="00D00F7F"/>
    <w:rsid w:val="00D02370"/>
    <w:rsid w:val="00D02E95"/>
    <w:rsid w:val="00D036E5"/>
    <w:rsid w:val="00D06810"/>
    <w:rsid w:val="00D06EEC"/>
    <w:rsid w:val="00D07F0F"/>
    <w:rsid w:val="00D10F62"/>
    <w:rsid w:val="00D12EA2"/>
    <w:rsid w:val="00D1318E"/>
    <w:rsid w:val="00D1481C"/>
    <w:rsid w:val="00D1513A"/>
    <w:rsid w:val="00D16CE8"/>
    <w:rsid w:val="00D17098"/>
    <w:rsid w:val="00D17FBC"/>
    <w:rsid w:val="00D2004A"/>
    <w:rsid w:val="00D2018C"/>
    <w:rsid w:val="00D2051F"/>
    <w:rsid w:val="00D211B3"/>
    <w:rsid w:val="00D218F7"/>
    <w:rsid w:val="00D22101"/>
    <w:rsid w:val="00D23BD9"/>
    <w:rsid w:val="00D24371"/>
    <w:rsid w:val="00D30A0E"/>
    <w:rsid w:val="00D32859"/>
    <w:rsid w:val="00D33EED"/>
    <w:rsid w:val="00D3558B"/>
    <w:rsid w:val="00D376F3"/>
    <w:rsid w:val="00D3782C"/>
    <w:rsid w:val="00D42B75"/>
    <w:rsid w:val="00D4324D"/>
    <w:rsid w:val="00D435CC"/>
    <w:rsid w:val="00D447FA"/>
    <w:rsid w:val="00D4488B"/>
    <w:rsid w:val="00D459A7"/>
    <w:rsid w:val="00D4767F"/>
    <w:rsid w:val="00D51214"/>
    <w:rsid w:val="00D530DC"/>
    <w:rsid w:val="00D53E4D"/>
    <w:rsid w:val="00D57856"/>
    <w:rsid w:val="00D60F02"/>
    <w:rsid w:val="00D6304D"/>
    <w:rsid w:val="00D656E5"/>
    <w:rsid w:val="00D670E3"/>
    <w:rsid w:val="00D678FB"/>
    <w:rsid w:val="00D715CD"/>
    <w:rsid w:val="00D71C9F"/>
    <w:rsid w:val="00D73B65"/>
    <w:rsid w:val="00D76751"/>
    <w:rsid w:val="00D77D13"/>
    <w:rsid w:val="00D82486"/>
    <w:rsid w:val="00D83EA7"/>
    <w:rsid w:val="00D83EB6"/>
    <w:rsid w:val="00D87C8B"/>
    <w:rsid w:val="00D90CEC"/>
    <w:rsid w:val="00D90D9F"/>
    <w:rsid w:val="00D91E8F"/>
    <w:rsid w:val="00D94DE2"/>
    <w:rsid w:val="00D960FB"/>
    <w:rsid w:val="00D96CA0"/>
    <w:rsid w:val="00D97A36"/>
    <w:rsid w:val="00DA07BF"/>
    <w:rsid w:val="00DA1D01"/>
    <w:rsid w:val="00DA306F"/>
    <w:rsid w:val="00DA3FB7"/>
    <w:rsid w:val="00DA4A73"/>
    <w:rsid w:val="00DA4CD1"/>
    <w:rsid w:val="00DA58C5"/>
    <w:rsid w:val="00DA5C6E"/>
    <w:rsid w:val="00DA603C"/>
    <w:rsid w:val="00DB108B"/>
    <w:rsid w:val="00DB15FB"/>
    <w:rsid w:val="00DB1D33"/>
    <w:rsid w:val="00DB3798"/>
    <w:rsid w:val="00DB3844"/>
    <w:rsid w:val="00DB39DF"/>
    <w:rsid w:val="00DB4249"/>
    <w:rsid w:val="00DB5DFE"/>
    <w:rsid w:val="00DC1379"/>
    <w:rsid w:val="00DC1EAE"/>
    <w:rsid w:val="00DC28A3"/>
    <w:rsid w:val="00DC4EA2"/>
    <w:rsid w:val="00DC7506"/>
    <w:rsid w:val="00DC759D"/>
    <w:rsid w:val="00DC7A93"/>
    <w:rsid w:val="00DD1991"/>
    <w:rsid w:val="00DD3593"/>
    <w:rsid w:val="00DD5575"/>
    <w:rsid w:val="00DD5FF1"/>
    <w:rsid w:val="00DD681F"/>
    <w:rsid w:val="00DE42FF"/>
    <w:rsid w:val="00DE4C01"/>
    <w:rsid w:val="00DE5036"/>
    <w:rsid w:val="00DE55ED"/>
    <w:rsid w:val="00DE5A7B"/>
    <w:rsid w:val="00DE6894"/>
    <w:rsid w:val="00DE7EC4"/>
    <w:rsid w:val="00DF094B"/>
    <w:rsid w:val="00DF0FE1"/>
    <w:rsid w:val="00DF29F3"/>
    <w:rsid w:val="00DF2A7F"/>
    <w:rsid w:val="00DF2BCB"/>
    <w:rsid w:val="00DF3840"/>
    <w:rsid w:val="00DF3EDB"/>
    <w:rsid w:val="00DF4C15"/>
    <w:rsid w:val="00DF4F1A"/>
    <w:rsid w:val="00DF53C8"/>
    <w:rsid w:val="00DF6170"/>
    <w:rsid w:val="00E00098"/>
    <w:rsid w:val="00E01518"/>
    <w:rsid w:val="00E01C52"/>
    <w:rsid w:val="00E020DB"/>
    <w:rsid w:val="00E03969"/>
    <w:rsid w:val="00E04A74"/>
    <w:rsid w:val="00E07D17"/>
    <w:rsid w:val="00E10695"/>
    <w:rsid w:val="00E111BF"/>
    <w:rsid w:val="00E1126A"/>
    <w:rsid w:val="00E11513"/>
    <w:rsid w:val="00E11670"/>
    <w:rsid w:val="00E169CF"/>
    <w:rsid w:val="00E1742D"/>
    <w:rsid w:val="00E244F4"/>
    <w:rsid w:val="00E25E01"/>
    <w:rsid w:val="00E25F94"/>
    <w:rsid w:val="00E26090"/>
    <w:rsid w:val="00E261EF"/>
    <w:rsid w:val="00E2646C"/>
    <w:rsid w:val="00E27B8C"/>
    <w:rsid w:val="00E3014F"/>
    <w:rsid w:val="00E30297"/>
    <w:rsid w:val="00E30D15"/>
    <w:rsid w:val="00E31B4A"/>
    <w:rsid w:val="00E32626"/>
    <w:rsid w:val="00E339B1"/>
    <w:rsid w:val="00E33D99"/>
    <w:rsid w:val="00E351B8"/>
    <w:rsid w:val="00E35EE0"/>
    <w:rsid w:val="00E3613C"/>
    <w:rsid w:val="00E36227"/>
    <w:rsid w:val="00E40628"/>
    <w:rsid w:val="00E415D0"/>
    <w:rsid w:val="00E41A83"/>
    <w:rsid w:val="00E41AA6"/>
    <w:rsid w:val="00E41ADD"/>
    <w:rsid w:val="00E41D65"/>
    <w:rsid w:val="00E4271F"/>
    <w:rsid w:val="00E42CAA"/>
    <w:rsid w:val="00E43408"/>
    <w:rsid w:val="00E44A74"/>
    <w:rsid w:val="00E44C3E"/>
    <w:rsid w:val="00E44EF6"/>
    <w:rsid w:val="00E472E7"/>
    <w:rsid w:val="00E50B37"/>
    <w:rsid w:val="00E50D47"/>
    <w:rsid w:val="00E50F9C"/>
    <w:rsid w:val="00E52325"/>
    <w:rsid w:val="00E53194"/>
    <w:rsid w:val="00E54E66"/>
    <w:rsid w:val="00E5616A"/>
    <w:rsid w:val="00E57670"/>
    <w:rsid w:val="00E57B52"/>
    <w:rsid w:val="00E60796"/>
    <w:rsid w:val="00E62202"/>
    <w:rsid w:val="00E62D2B"/>
    <w:rsid w:val="00E658C0"/>
    <w:rsid w:val="00E70454"/>
    <w:rsid w:val="00E712A9"/>
    <w:rsid w:val="00E71DC0"/>
    <w:rsid w:val="00E7256B"/>
    <w:rsid w:val="00E72EF6"/>
    <w:rsid w:val="00E73F09"/>
    <w:rsid w:val="00E73FCE"/>
    <w:rsid w:val="00E74CED"/>
    <w:rsid w:val="00E770E5"/>
    <w:rsid w:val="00E81367"/>
    <w:rsid w:val="00E822D5"/>
    <w:rsid w:val="00E829B6"/>
    <w:rsid w:val="00E82E3E"/>
    <w:rsid w:val="00E87623"/>
    <w:rsid w:val="00E91955"/>
    <w:rsid w:val="00E92449"/>
    <w:rsid w:val="00E924A6"/>
    <w:rsid w:val="00E925B3"/>
    <w:rsid w:val="00E92ED2"/>
    <w:rsid w:val="00E954EE"/>
    <w:rsid w:val="00E95635"/>
    <w:rsid w:val="00E95EDF"/>
    <w:rsid w:val="00E978E1"/>
    <w:rsid w:val="00E97930"/>
    <w:rsid w:val="00EA2392"/>
    <w:rsid w:val="00EA2B68"/>
    <w:rsid w:val="00EA321A"/>
    <w:rsid w:val="00EA373B"/>
    <w:rsid w:val="00EA3C73"/>
    <w:rsid w:val="00EA3EE0"/>
    <w:rsid w:val="00EA654D"/>
    <w:rsid w:val="00EA6C91"/>
    <w:rsid w:val="00EA7008"/>
    <w:rsid w:val="00EA7A9D"/>
    <w:rsid w:val="00EB22D8"/>
    <w:rsid w:val="00EB32E8"/>
    <w:rsid w:val="00EB5373"/>
    <w:rsid w:val="00EB7008"/>
    <w:rsid w:val="00EB7874"/>
    <w:rsid w:val="00EC1993"/>
    <w:rsid w:val="00EC2761"/>
    <w:rsid w:val="00EC2BA9"/>
    <w:rsid w:val="00EC45DC"/>
    <w:rsid w:val="00EC46B6"/>
    <w:rsid w:val="00EC4EB3"/>
    <w:rsid w:val="00EC5DE6"/>
    <w:rsid w:val="00ED0513"/>
    <w:rsid w:val="00ED14F0"/>
    <w:rsid w:val="00ED1875"/>
    <w:rsid w:val="00ED18CD"/>
    <w:rsid w:val="00ED1EB0"/>
    <w:rsid w:val="00ED31E0"/>
    <w:rsid w:val="00ED4EEE"/>
    <w:rsid w:val="00ED5F63"/>
    <w:rsid w:val="00ED6C75"/>
    <w:rsid w:val="00ED7FF2"/>
    <w:rsid w:val="00EE0618"/>
    <w:rsid w:val="00EE0DEC"/>
    <w:rsid w:val="00EE3114"/>
    <w:rsid w:val="00EE44C3"/>
    <w:rsid w:val="00EE6387"/>
    <w:rsid w:val="00EE6EE9"/>
    <w:rsid w:val="00EE796D"/>
    <w:rsid w:val="00EF23E6"/>
    <w:rsid w:val="00EF4997"/>
    <w:rsid w:val="00EF5B37"/>
    <w:rsid w:val="00EF7B44"/>
    <w:rsid w:val="00EF7EED"/>
    <w:rsid w:val="00F0014C"/>
    <w:rsid w:val="00F01872"/>
    <w:rsid w:val="00F01BD1"/>
    <w:rsid w:val="00F03C0A"/>
    <w:rsid w:val="00F04487"/>
    <w:rsid w:val="00F0545B"/>
    <w:rsid w:val="00F056AA"/>
    <w:rsid w:val="00F07427"/>
    <w:rsid w:val="00F10F4E"/>
    <w:rsid w:val="00F12E99"/>
    <w:rsid w:val="00F1336B"/>
    <w:rsid w:val="00F13B1B"/>
    <w:rsid w:val="00F145C2"/>
    <w:rsid w:val="00F14832"/>
    <w:rsid w:val="00F20939"/>
    <w:rsid w:val="00F215FF"/>
    <w:rsid w:val="00F216BA"/>
    <w:rsid w:val="00F246C2"/>
    <w:rsid w:val="00F2606C"/>
    <w:rsid w:val="00F264C0"/>
    <w:rsid w:val="00F27573"/>
    <w:rsid w:val="00F27619"/>
    <w:rsid w:val="00F2770B"/>
    <w:rsid w:val="00F27C39"/>
    <w:rsid w:val="00F30BA8"/>
    <w:rsid w:val="00F3128F"/>
    <w:rsid w:val="00F31A8C"/>
    <w:rsid w:val="00F33025"/>
    <w:rsid w:val="00F33B40"/>
    <w:rsid w:val="00F3597D"/>
    <w:rsid w:val="00F3747A"/>
    <w:rsid w:val="00F44A39"/>
    <w:rsid w:val="00F45AEF"/>
    <w:rsid w:val="00F4726F"/>
    <w:rsid w:val="00F47C40"/>
    <w:rsid w:val="00F5129D"/>
    <w:rsid w:val="00F540A6"/>
    <w:rsid w:val="00F54727"/>
    <w:rsid w:val="00F571CA"/>
    <w:rsid w:val="00F573D5"/>
    <w:rsid w:val="00F60805"/>
    <w:rsid w:val="00F61964"/>
    <w:rsid w:val="00F61E06"/>
    <w:rsid w:val="00F62531"/>
    <w:rsid w:val="00F63EE5"/>
    <w:rsid w:val="00F66562"/>
    <w:rsid w:val="00F71345"/>
    <w:rsid w:val="00F720CC"/>
    <w:rsid w:val="00F734EA"/>
    <w:rsid w:val="00F740DA"/>
    <w:rsid w:val="00F74442"/>
    <w:rsid w:val="00F74744"/>
    <w:rsid w:val="00F749DE"/>
    <w:rsid w:val="00F7562E"/>
    <w:rsid w:val="00F75EC3"/>
    <w:rsid w:val="00F768C2"/>
    <w:rsid w:val="00F77769"/>
    <w:rsid w:val="00F77E04"/>
    <w:rsid w:val="00F81F66"/>
    <w:rsid w:val="00F82363"/>
    <w:rsid w:val="00F82BAF"/>
    <w:rsid w:val="00F83B0D"/>
    <w:rsid w:val="00F83D88"/>
    <w:rsid w:val="00F84BE0"/>
    <w:rsid w:val="00F84C05"/>
    <w:rsid w:val="00F84E54"/>
    <w:rsid w:val="00F85425"/>
    <w:rsid w:val="00F879C9"/>
    <w:rsid w:val="00F903BE"/>
    <w:rsid w:val="00F91536"/>
    <w:rsid w:val="00F91C19"/>
    <w:rsid w:val="00F920A9"/>
    <w:rsid w:val="00F9708F"/>
    <w:rsid w:val="00F9715B"/>
    <w:rsid w:val="00F971A8"/>
    <w:rsid w:val="00F9753F"/>
    <w:rsid w:val="00FA15BE"/>
    <w:rsid w:val="00FA23DB"/>
    <w:rsid w:val="00FA26FA"/>
    <w:rsid w:val="00FA3883"/>
    <w:rsid w:val="00FA397A"/>
    <w:rsid w:val="00FA41EE"/>
    <w:rsid w:val="00FA64A0"/>
    <w:rsid w:val="00FA7B38"/>
    <w:rsid w:val="00FB018B"/>
    <w:rsid w:val="00FB112B"/>
    <w:rsid w:val="00FB1D86"/>
    <w:rsid w:val="00FB1DED"/>
    <w:rsid w:val="00FB1FE6"/>
    <w:rsid w:val="00FB2779"/>
    <w:rsid w:val="00FB3616"/>
    <w:rsid w:val="00FB520D"/>
    <w:rsid w:val="00FB760F"/>
    <w:rsid w:val="00FC0F51"/>
    <w:rsid w:val="00FC1EF3"/>
    <w:rsid w:val="00FC20C5"/>
    <w:rsid w:val="00FC20F9"/>
    <w:rsid w:val="00FC2241"/>
    <w:rsid w:val="00FC5C44"/>
    <w:rsid w:val="00FC5C80"/>
    <w:rsid w:val="00FC7DF4"/>
    <w:rsid w:val="00FD0406"/>
    <w:rsid w:val="00FD0874"/>
    <w:rsid w:val="00FD1F41"/>
    <w:rsid w:val="00FD2092"/>
    <w:rsid w:val="00FD2369"/>
    <w:rsid w:val="00FD44B6"/>
    <w:rsid w:val="00FD61D0"/>
    <w:rsid w:val="00FD634C"/>
    <w:rsid w:val="00FD6E0D"/>
    <w:rsid w:val="00FD76F5"/>
    <w:rsid w:val="00FE09F4"/>
    <w:rsid w:val="00FE1D0C"/>
    <w:rsid w:val="00FE2904"/>
    <w:rsid w:val="00FE2F15"/>
    <w:rsid w:val="00FE39BE"/>
    <w:rsid w:val="00FE4D90"/>
    <w:rsid w:val="00FE4E8E"/>
    <w:rsid w:val="00FE6F39"/>
    <w:rsid w:val="00FE7E96"/>
    <w:rsid w:val="00FF07D0"/>
    <w:rsid w:val="00FF19CF"/>
    <w:rsid w:val="00FF4308"/>
    <w:rsid w:val="00FF5346"/>
    <w:rsid w:val="00FF590A"/>
    <w:rsid w:val="00FF5A38"/>
    <w:rsid w:val="00FF65C5"/>
    <w:rsid w:val="00FF6AC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95FFF"/>
  <w15:docId w15:val="{647831E8-3DB5-4097-954F-A1C2D424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F13A6"/>
    <w:pPr>
      <w:keepNext/>
      <w:keepLines/>
      <w:spacing w:before="24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CF0439"/>
    <w:pPr>
      <w:keepNext/>
      <w:keepLines/>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8B0E6D"/>
    <w:pPr>
      <w:keepNext/>
      <w:keepLines/>
      <w:spacing w:before="40" w:after="0"/>
      <w:outlineLvl w:val="2"/>
    </w:pPr>
    <w:rPr>
      <w:rFonts w:ascii="Calibri" w:eastAsiaTheme="majorEastAsia" w:hAnsi="Calibri" w:cstheme="majorBidi"/>
      <w:b/>
      <w:color w:val="243F60" w:themeColor="accent1" w:themeShade="7F"/>
      <w:sz w:val="24"/>
      <w:szCs w:val="24"/>
    </w:rPr>
  </w:style>
  <w:style w:type="paragraph" w:styleId="Heading4">
    <w:name w:val="heading 4"/>
    <w:basedOn w:val="Normal"/>
    <w:next w:val="Normal"/>
    <w:link w:val="Heading4Char"/>
    <w:uiPriority w:val="9"/>
    <w:semiHidden/>
    <w:unhideWhenUsed/>
    <w:qFormat/>
    <w:rsid w:val="00FF19C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A004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EC3"/>
    <w:rPr>
      <w:color w:val="0000FF" w:themeColor="hyperlink"/>
      <w:u w:val="single"/>
    </w:rPr>
  </w:style>
  <w:style w:type="paragraph" w:styleId="PlainText">
    <w:name w:val="Plain Text"/>
    <w:basedOn w:val="Normal"/>
    <w:link w:val="PlainTextChar"/>
    <w:uiPriority w:val="99"/>
    <w:unhideWhenUsed/>
    <w:rsid w:val="006C126D"/>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6C126D"/>
    <w:rPr>
      <w:rFonts w:ascii="Calibri" w:hAnsi="Calibri"/>
      <w:szCs w:val="21"/>
    </w:rPr>
  </w:style>
  <w:style w:type="character" w:styleId="FollowedHyperlink">
    <w:name w:val="FollowedHyperlink"/>
    <w:basedOn w:val="DefaultParagraphFont"/>
    <w:uiPriority w:val="99"/>
    <w:semiHidden/>
    <w:unhideWhenUsed/>
    <w:rsid w:val="006C126D"/>
    <w:rPr>
      <w:color w:val="800080" w:themeColor="followedHyperlink"/>
      <w:u w:val="single"/>
    </w:rPr>
  </w:style>
  <w:style w:type="paragraph" w:styleId="Title">
    <w:name w:val="Title"/>
    <w:basedOn w:val="Normal"/>
    <w:next w:val="Normal"/>
    <w:link w:val="TitleChar"/>
    <w:uiPriority w:val="10"/>
    <w:qFormat/>
    <w:rsid w:val="00AE77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727"/>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CF13A6"/>
    <w:rPr>
      <w:rFonts w:asciiTheme="majorHAnsi" w:eastAsiaTheme="majorEastAsia" w:hAnsiTheme="majorHAnsi" w:cstheme="majorBidi"/>
      <w:b/>
      <w:sz w:val="28"/>
      <w:szCs w:val="32"/>
      <w:lang w:val="en-GB"/>
    </w:rPr>
  </w:style>
  <w:style w:type="paragraph" w:styleId="ListParagraph">
    <w:name w:val="List Paragraph"/>
    <w:basedOn w:val="Normal"/>
    <w:uiPriority w:val="34"/>
    <w:qFormat/>
    <w:rsid w:val="00AE7727"/>
    <w:pPr>
      <w:ind w:left="720"/>
      <w:contextualSpacing/>
    </w:pPr>
  </w:style>
  <w:style w:type="character" w:styleId="Emphasis">
    <w:name w:val="Emphasis"/>
    <w:basedOn w:val="DefaultParagraphFont"/>
    <w:uiPriority w:val="20"/>
    <w:qFormat/>
    <w:rsid w:val="00AE7727"/>
    <w:rPr>
      <w:i/>
      <w:iCs/>
    </w:rPr>
  </w:style>
  <w:style w:type="character" w:styleId="Strong">
    <w:name w:val="Strong"/>
    <w:basedOn w:val="DefaultParagraphFont"/>
    <w:uiPriority w:val="22"/>
    <w:qFormat/>
    <w:rsid w:val="00AE7727"/>
    <w:rPr>
      <w:b/>
      <w:bCs/>
    </w:rPr>
  </w:style>
  <w:style w:type="character" w:customStyle="1" w:styleId="deftext">
    <w:name w:val="def_text"/>
    <w:basedOn w:val="DefaultParagraphFont"/>
    <w:rsid w:val="00D83EA7"/>
  </w:style>
  <w:style w:type="character" w:customStyle="1" w:styleId="Heading2Char">
    <w:name w:val="Heading 2 Char"/>
    <w:basedOn w:val="DefaultParagraphFont"/>
    <w:link w:val="Heading2"/>
    <w:uiPriority w:val="9"/>
    <w:rsid w:val="00CF0439"/>
    <w:rPr>
      <w:rFonts w:asciiTheme="majorHAnsi" w:eastAsiaTheme="majorEastAsia" w:hAnsiTheme="majorHAnsi" w:cstheme="majorBidi"/>
      <w:b/>
      <w:sz w:val="24"/>
      <w:szCs w:val="26"/>
      <w:lang w:val="en-GB"/>
    </w:rPr>
  </w:style>
  <w:style w:type="character" w:customStyle="1" w:styleId="Heading3Char">
    <w:name w:val="Heading 3 Char"/>
    <w:basedOn w:val="DefaultParagraphFont"/>
    <w:link w:val="Heading3"/>
    <w:uiPriority w:val="9"/>
    <w:rsid w:val="008B0E6D"/>
    <w:rPr>
      <w:rFonts w:ascii="Calibri" w:eastAsiaTheme="majorEastAsia" w:hAnsi="Calibri" w:cstheme="majorBidi"/>
      <w:b/>
      <w:color w:val="243F60" w:themeColor="accent1" w:themeShade="7F"/>
      <w:sz w:val="24"/>
      <w:szCs w:val="24"/>
      <w:lang w:val="en-GB"/>
    </w:rPr>
  </w:style>
  <w:style w:type="paragraph" w:styleId="NormalWeb">
    <w:name w:val="Normal (Web)"/>
    <w:basedOn w:val="Normal"/>
    <w:uiPriority w:val="99"/>
    <w:semiHidden/>
    <w:unhideWhenUsed/>
    <w:rsid w:val="00C523A3"/>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cell-info">
    <w:name w:val="cell-info"/>
    <w:basedOn w:val="DefaultParagraphFont"/>
    <w:rsid w:val="00FE09F4"/>
  </w:style>
  <w:style w:type="paragraph" w:styleId="FootnoteText">
    <w:name w:val="footnote text"/>
    <w:aliases w:val="Footnote Text Char1,Footnote Text Char Char,Footnote Text Char1 Char Char,Footnote Text Char Char Char Char,Footnote Text Char Char1,A-stor Fotnotetekst,vFootnote Text,single space Char,single space,Footnote reference,FA Fu,fn,f,Footnotes"/>
    <w:basedOn w:val="Normal"/>
    <w:link w:val="FootnoteTextChar"/>
    <w:uiPriority w:val="99"/>
    <w:unhideWhenUsed/>
    <w:qFormat/>
    <w:rsid w:val="00436212"/>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 Char1 Char,A-stor Fotnotetekst Char,vFootnote Text Char,single space Char Char,fn Char"/>
    <w:basedOn w:val="DefaultParagraphFont"/>
    <w:link w:val="FootnoteText"/>
    <w:uiPriority w:val="99"/>
    <w:rsid w:val="00436212"/>
    <w:rPr>
      <w:sz w:val="20"/>
      <w:szCs w:val="20"/>
      <w:lang w:val="en-GB"/>
    </w:rPr>
  </w:style>
  <w:style w:type="character" w:styleId="FootnoteReference">
    <w:name w:val="footnote reference"/>
    <w:aliases w:val="Footnotes refss,Footnote Ref,16 Point,Superscript 6 Point,Ref,de nota al pie,Footnote Refernece,Footnote Refernece + (Latein) Arial,10 pt,Blau,BVI fnr,callout,Fußnotenzeichen_Raxen,Footnote Reference Number, BVI fnr,ftref,fr,(Dipl..."/>
    <w:basedOn w:val="DefaultParagraphFont"/>
    <w:uiPriority w:val="99"/>
    <w:unhideWhenUsed/>
    <w:qFormat/>
    <w:rsid w:val="00436212"/>
    <w:rPr>
      <w:vertAlign w:val="superscript"/>
    </w:rPr>
  </w:style>
  <w:style w:type="character" w:styleId="CommentReference">
    <w:name w:val="annotation reference"/>
    <w:basedOn w:val="DefaultParagraphFont"/>
    <w:uiPriority w:val="99"/>
    <w:semiHidden/>
    <w:unhideWhenUsed/>
    <w:rsid w:val="00737BD2"/>
    <w:rPr>
      <w:sz w:val="16"/>
      <w:szCs w:val="16"/>
    </w:rPr>
  </w:style>
  <w:style w:type="paragraph" w:styleId="CommentText">
    <w:name w:val="annotation text"/>
    <w:basedOn w:val="Normal"/>
    <w:link w:val="CommentTextChar"/>
    <w:uiPriority w:val="99"/>
    <w:semiHidden/>
    <w:unhideWhenUsed/>
    <w:rsid w:val="00737BD2"/>
    <w:pPr>
      <w:spacing w:line="240" w:lineRule="auto"/>
    </w:pPr>
    <w:rPr>
      <w:sz w:val="20"/>
      <w:szCs w:val="20"/>
    </w:rPr>
  </w:style>
  <w:style w:type="character" w:customStyle="1" w:styleId="CommentTextChar">
    <w:name w:val="Comment Text Char"/>
    <w:basedOn w:val="DefaultParagraphFont"/>
    <w:link w:val="CommentText"/>
    <w:uiPriority w:val="99"/>
    <w:semiHidden/>
    <w:rsid w:val="00737BD2"/>
    <w:rPr>
      <w:sz w:val="20"/>
      <w:szCs w:val="20"/>
      <w:lang w:val="en-GB"/>
    </w:rPr>
  </w:style>
  <w:style w:type="paragraph" w:styleId="CommentSubject">
    <w:name w:val="annotation subject"/>
    <w:basedOn w:val="CommentText"/>
    <w:next w:val="CommentText"/>
    <w:link w:val="CommentSubjectChar"/>
    <w:uiPriority w:val="99"/>
    <w:semiHidden/>
    <w:unhideWhenUsed/>
    <w:rsid w:val="00737BD2"/>
    <w:rPr>
      <w:b/>
      <w:bCs/>
    </w:rPr>
  </w:style>
  <w:style w:type="character" w:customStyle="1" w:styleId="CommentSubjectChar">
    <w:name w:val="Comment Subject Char"/>
    <w:basedOn w:val="CommentTextChar"/>
    <w:link w:val="CommentSubject"/>
    <w:uiPriority w:val="99"/>
    <w:semiHidden/>
    <w:rsid w:val="00737BD2"/>
    <w:rPr>
      <w:b/>
      <w:bCs/>
      <w:sz w:val="20"/>
      <w:szCs w:val="20"/>
      <w:lang w:val="en-GB"/>
    </w:rPr>
  </w:style>
  <w:style w:type="paragraph" w:styleId="BalloonText">
    <w:name w:val="Balloon Text"/>
    <w:basedOn w:val="Normal"/>
    <w:link w:val="BalloonTextChar"/>
    <w:uiPriority w:val="99"/>
    <w:semiHidden/>
    <w:unhideWhenUsed/>
    <w:rsid w:val="00737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BD2"/>
    <w:rPr>
      <w:rFonts w:ascii="Segoe UI" w:hAnsi="Segoe UI" w:cs="Segoe UI"/>
      <w:sz w:val="18"/>
      <w:szCs w:val="18"/>
      <w:lang w:val="en-GB"/>
    </w:rPr>
  </w:style>
  <w:style w:type="paragraph" w:styleId="Header">
    <w:name w:val="header"/>
    <w:basedOn w:val="Normal"/>
    <w:link w:val="HeaderChar"/>
    <w:uiPriority w:val="99"/>
    <w:unhideWhenUsed/>
    <w:rsid w:val="00B141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4192"/>
    <w:rPr>
      <w:lang w:val="en-GB"/>
    </w:rPr>
  </w:style>
  <w:style w:type="paragraph" w:styleId="Footer">
    <w:name w:val="footer"/>
    <w:basedOn w:val="Normal"/>
    <w:link w:val="FooterChar"/>
    <w:uiPriority w:val="99"/>
    <w:unhideWhenUsed/>
    <w:rsid w:val="00B141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4192"/>
    <w:rPr>
      <w:lang w:val="en-GB"/>
    </w:rPr>
  </w:style>
  <w:style w:type="character" w:customStyle="1" w:styleId="UnresolvedMention1">
    <w:name w:val="Unresolved Mention1"/>
    <w:basedOn w:val="DefaultParagraphFont"/>
    <w:uiPriority w:val="99"/>
    <w:semiHidden/>
    <w:unhideWhenUsed/>
    <w:rsid w:val="00EE6EE9"/>
    <w:rPr>
      <w:color w:val="605E5C"/>
      <w:shd w:val="clear" w:color="auto" w:fill="E1DFDD"/>
    </w:rPr>
  </w:style>
  <w:style w:type="paragraph" w:styleId="Revision">
    <w:name w:val="Revision"/>
    <w:hidden/>
    <w:uiPriority w:val="99"/>
    <w:semiHidden/>
    <w:rsid w:val="00A23BE7"/>
    <w:pPr>
      <w:spacing w:after="0" w:line="240" w:lineRule="auto"/>
    </w:pPr>
    <w:rPr>
      <w:lang w:val="en-GB"/>
    </w:rPr>
  </w:style>
  <w:style w:type="paragraph" w:customStyle="1" w:styleId="Document">
    <w:name w:val="_Document"/>
    <w:basedOn w:val="Normal"/>
    <w:rsid w:val="00B34280"/>
    <w:pPr>
      <w:widowControl w:val="0"/>
      <w:suppressLineNumbers/>
      <w:tabs>
        <w:tab w:val="left" w:pos="0"/>
        <w:tab w:val="left" w:pos="230"/>
        <w:tab w:val="left" w:pos="620"/>
      </w:tabs>
      <w:spacing w:before="20" w:after="0" w:line="260" w:lineRule="exact"/>
      <w:ind w:firstLine="230"/>
      <w:jc w:val="both"/>
    </w:pPr>
    <w:rPr>
      <w:rFonts w:ascii="NewBaskerville" w:eastAsia="Times New Roman" w:hAnsi="NewBaskerville" w:cs="Times New Roman"/>
      <w:sz w:val="23"/>
      <w:szCs w:val="20"/>
      <w:lang w:val="en-US" w:eastAsia="en-US"/>
    </w:rPr>
  </w:style>
  <w:style w:type="paragraph" w:customStyle="1" w:styleId="FootNote">
    <w:name w:val="_FootNote"/>
    <w:basedOn w:val="Document"/>
    <w:rsid w:val="00B34280"/>
    <w:pPr>
      <w:tabs>
        <w:tab w:val="clear" w:pos="0"/>
        <w:tab w:val="clear" w:pos="230"/>
        <w:tab w:val="clear" w:pos="620"/>
        <w:tab w:val="right" w:pos="480"/>
        <w:tab w:val="left" w:pos="640"/>
      </w:tabs>
      <w:spacing w:line="200" w:lineRule="exact"/>
      <w:ind w:firstLine="0"/>
    </w:pPr>
    <w:rPr>
      <w:sz w:val="17"/>
    </w:rPr>
  </w:style>
  <w:style w:type="character" w:customStyle="1" w:styleId="NoterefInText">
    <w:name w:val="_NoterefInText"/>
    <w:basedOn w:val="DefaultParagraphFont"/>
    <w:rsid w:val="00B34280"/>
    <w:rPr>
      <w:rFonts w:ascii="NewBaskerville" w:hAnsi="NewBaskerville"/>
      <w:sz w:val="23"/>
      <w:vertAlign w:val="superscript"/>
    </w:rPr>
  </w:style>
  <w:style w:type="character" w:customStyle="1" w:styleId="NoterefInNote">
    <w:name w:val="_NoterefInNote"/>
    <w:basedOn w:val="DefaultParagraphFont"/>
    <w:rsid w:val="00B34280"/>
    <w:rPr>
      <w:rFonts w:ascii="NewBaskerville" w:hAnsi="NewBaskerville"/>
      <w:sz w:val="17"/>
      <w:vertAlign w:val="baseline"/>
    </w:rPr>
  </w:style>
  <w:style w:type="character" w:customStyle="1" w:styleId="Heading4Char">
    <w:name w:val="Heading 4 Char"/>
    <w:basedOn w:val="DefaultParagraphFont"/>
    <w:link w:val="Heading4"/>
    <w:uiPriority w:val="9"/>
    <w:semiHidden/>
    <w:rsid w:val="00FF19CF"/>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9A0048"/>
    <w:rPr>
      <w:rFonts w:asciiTheme="majorHAnsi" w:eastAsiaTheme="majorEastAsia" w:hAnsiTheme="majorHAnsi" w:cstheme="majorBidi"/>
      <w:color w:val="365F91" w:themeColor="accent1" w:themeShade="BF"/>
      <w:lang w:val="en-GB"/>
    </w:rPr>
  </w:style>
  <w:style w:type="table" w:styleId="TableGrid">
    <w:name w:val="Table Grid"/>
    <w:basedOn w:val="TableNormal"/>
    <w:uiPriority w:val="59"/>
    <w:rsid w:val="00E95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xs-10">
    <w:name w:val="col-xs-10"/>
    <w:basedOn w:val="DefaultParagraphFont"/>
    <w:rsid w:val="00C07CBB"/>
  </w:style>
  <w:style w:type="paragraph" w:styleId="Caption">
    <w:name w:val="caption"/>
    <w:basedOn w:val="Normal"/>
    <w:next w:val="Normal"/>
    <w:uiPriority w:val="35"/>
    <w:unhideWhenUsed/>
    <w:qFormat/>
    <w:rsid w:val="00694833"/>
    <w:pPr>
      <w:spacing w:line="240" w:lineRule="auto"/>
    </w:pPr>
    <w:rPr>
      <w:i/>
      <w:iCs/>
      <w:color w:val="1F497D" w:themeColor="text2"/>
      <w:sz w:val="18"/>
      <w:szCs w:val="18"/>
    </w:rPr>
  </w:style>
  <w:style w:type="character" w:styleId="EndnoteReference">
    <w:name w:val="endnote reference"/>
    <w:basedOn w:val="DefaultParagraphFont"/>
    <w:uiPriority w:val="99"/>
    <w:semiHidden/>
    <w:unhideWhenUsed/>
    <w:rsid w:val="002E0486"/>
    <w:rPr>
      <w:vertAlign w:val="superscript"/>
    </w:rPr>
  </w:style>
  <w:style w:type="character" w:customStyle="1" w:styleId="headinggrey">
    <w:name w:val="headinggrey"/>
    <w:basedOn w:val="DefaultParagraphFont"/>
    <w:rsid w:val="001A0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1219">
      <w:bodyDiv w:val="1"/>
      <w:marLeft w:val="0"/>
      <w:marRight w:val="0"/>
      <w:marTop w:val="0"/>
      <w:marBottom w:val="0"/>
      <w:divBdr>
        <w:top w:val="none" w:sz="0" w:space="0" w:color="auto"/>
        <w:left w:val="none" w:sz="0" w:space="0" w:color="auto"/>
        <w:bottom w:val="none" w:sz="0" w:space="0" w:color="auto"/>
        <w:right w:val="none" w:sz="0" w:space="0" w:color="auto"/>
      </w:divBdr>
      <w:divsChild>
        <w:div w:id="41370663">
          <w:marLeft w:val="0"/>
          <w:marRight w:val="0"/>
          <w:marTop w:val="0"/>
          <w:marBottom w:val="0"/>
          <w:divBdr>
            <w:top w:val="none" w:sz="0" w:space="0" w:color="auto"/>
            <w:left w:val="none" w:sz="0" w:space="0" w:color="auto"/>
            <w:bottom w:val="none" w:sz="0" w:space="0" w:color="auto"/>
            <w:right w:val="none" w:sz="0" w:space="0" w:color="auto"/>
          </w:divBdr>
        </w:div>
        <w:div w:id="103812930">
          <w:marLeft w:val="0"/>
          <w:marRight w:val="0"/>
          <w:marTop w:val="0"/>
          <w:marBottom w:val="0"/>
          <w:divBdr>
            <w:top w:val="none" w:sz="0" w:space="0" w:color="auto"/>
            <w:left w:val="none" w:sz="0" w:space="0" w:color="auto"/>
            <w:bottom w:val="none" w:sz="0" w:space="0" w:color="auto"/>
            <w:right w:val="none" w:sz="0" w:space="0" w:color="auto"/>
          </w:divBdr>
        </w:div>
        <w:div w:id="152991673">
          <w:marLeft w:val="0"/>
          <w:marRight w:val="0"/>
          <w:marTop w:val="0"/>
          <w:marBottom w:val="0"/>
          <w:divBdr>
            <w:top w:val="none" w:sz="0" w:space="0" w:color="auto"/>
            <w:left w:val="none" w:sz="0" w:space="0" w:color="auto"/>
            <w:bottom w:val="none" w:sz="0" w:space="0" w:color="auto"/>
            <w:right w:val="none" w:sz="0" w:space="0" w:color="auto"/>
          </w:divBdr>
        </w:div>
        <w:div w:id="224997943">
          <w:marLeft w:val="0"/>
          <w:marRight w:val="0"/>
          <w:marTop w:val="0"/>
          <w:marBottom w:val="0"/>
          <w:divBdr>
            <w:top w:val="none" w:sz="0" w:space="0" w:color="auto"/>
            <w:left w:val="none" w:sz="0" w:space="0" w:color="auto"/>
            <w:bottom w:val="none" w:sz="0" w:space="0" w:color="auto"/>
            <w:right w:val="none" w:sz="0" w:space="0" w:color="auto"/>
          </w:divBdr>
        </w:div>
        <w:div w:id="270481674">
          <w:marLeft w:val="0"/>
          <w:marRight w:val="0"/>
          <w:marTop w:val="0"/>
          <w:marBottom w:val="0"/>
          <w:divBdr>
            <w:top w:val="none" w:sz="0" w:space="0" w:color="auto"/>
            <w:left w:val="none" w:sz="0" w:space="0" w:color="auto"/>
            <w:bottom w:val="none" w:sz="0" w:space="0" w:color="auto"/>
            <w:right w:val="none" w:sz="0" w:space="0" w:color="auto"/>
          </w:divBdr>
        </w:div>
        <w:div w:id="325479470">
          <w:marLeft w:val="0"/>
          <w:marRight w:val="0"/>
          <w:marTop w:val="0"/>
          <w:marBottom w:val="0"/>
          <w:divBdr>
            <w:top w:val="none" w:sz="0" w:space="0" w:color="auto"/>
            <w:left w:val="none" w:sz="0" w:space="0" w:color="auto"/>
            <w:bottom w:val="none" w:sz="0" w:space="0" w:color="auto"/>
            <w:right w:val="none" w:sz="0" w:space="0" w:color="auto"/>
          </w:divBdr>
        </w:div>
        <w:div w:id="639770712">
          <w:marLeft w:val="0"/>
          <w:marRight w:val="0"/>
          <w:marTop w:val="0"/>
          <w:marBottom w:val="0"/>
          <w:divBdr>
            <w:top w:val="none" w:sz="0" w:space="0" w:color="auto"/>
            <w:left w:val="none" w:sz="0" w:space="0" w:color="auto"/>
            <w:bottom w:val="none" w:sz="0" w:space="0" w:color="auto"/>
            <w:right w:val="none" w:sz="0" w:space="0" w:color="auto"/>
          </w:divBdr>
        </w:div>
        <w:div w:id="672727313">
          <w:marLeft w:val="0"/>
          <w:marRight w:val="0"/>
          <w:marTop w:val="0"/>
          <w:marBottom w:val="0"/>
          <w:divBdr>
            <w:top w:val="none" w:sz="0" w:space="0" w:color="auto"/>
            <w:left w:val="none" w:sz="0" w:space="0" w:color="auto"/>
            <w:bottom w:val="none" w:sz="0" w:space="0" w:color="auto"/>
            <w:right w:val="none" w:sz="0" w:space="0" w:color="auto"/>
          </w:divBdr>
        </w:div>
        <w:div w:id="784269683">
          <w:marLeft w:val="0"/>
          <w:marRight w:val="0"/>
          <w:marTop w:val="0"/>
          <w:marBottom w:val="0"/>
          <w:divBdr>
            <w:top w:val="none" w:sz="0" w:space="0" w:color="auto"/>
            <w:left w:val="none" w:sz="0" w:space="0" w:color="auto"/>
            <w:bottom w:val="none" w:sz="0" w:space="0" w:color="auto"/>
            <w:right w:val="none" w:sz="0" w:space="0" w:color="auto"/>
          </w:divBdr>
        </w:div>
        <w:div w:id="880290989">
          <w:marLeft w:val="0"/>
          <w:marRight w:val="0"/>
          <w:marTop w:val="0"/>
          <w:marBottom w:val="0"/>
          <w:divBdr>
            <w:top w:val="none" w:sz="0" w:space="0" w:color="auto"/>
            <w:left w:val="none" w:sz="0" w:space="0" w:color="auto"/>
            <w:bottom w:val="none" w:sz="0" w:space="0" w:color="auto"/>
            <w:right w:val="none" w:sz="0" w:space="0" w:color="auto"/>
          </w:divBdr>
        </w:div>
        <w:div w:id="1150562804">
          <w:marLeft w:val="0"/>
          <w:marRight w:val="0"/>
          <w:marTop w:val="0"/>
          <w:marBottom w:val="0"/>
          <w:divBdr>
            <w:top w:val="none" w:sz="0" w:space="0" w:color="auto"/>
            <w:left w:val="none" w:sz="0" w:space="0" w:color="auto"/>
            <w:bottom w:val="none" w:sz="0" w:space="0" w:color="auto"/>
            <w:right w:val="none" w:sz="0" w:space="0" w:color="auto"/>
          </w:divBdr>
        </w:div>
        <w:div w:id="1188372805">
          <w:marLeft w:val="0"/>
          <w:marRight w:val="0"/>
          <w:marTop w:val="0"/>
          <w:marBottom w:val="0"/>
          <w:divBdr>
            <w:top w:val="none" w:sz="0" w:space="0" w:color="auto"/>
            <w:left w:val="none" w:sz="0" w:space="0" w:color="auto"/>
            <w:bottom w:val="none" w:sz="0" w:space="0" w:color="auto"/>
            <w:right w:val="none" w:sz="0" w:space="0" w:color="auto"/>
          </w:divBdr>
        </w:div>
        <w:div w:id="1300498037">
          <w:marLeft w:val="0"/>
          <w:marRight w:val="0"/>
          <w:marTop w:val="0"/>
          <w:marBottom w:val="0"/>
          <w:divBdr>
            <w:top w:val="none" w:sz="0" w:space="0" w:color="auto"/>
            <w:left w:val="none" w:sz="0" w:space="0" w:color="auto"/>
            <w:bottom w:val="none" w:sz="0" w:space="0" w:color="auto"/>
            <w:right w:val="none" w:sz="0" w:space="0" w:color="auto"/>
          </w:divBdr>
        </w:div>
        <w:div w:id="1423717880">
          <w:marLeft w:val="0"/>
          <w:marRight w:val="0"/>
          <w:marTop w:val="0"/>
          <w:marBottom w:val="0"/>
          <w:divBdr>
            <w:top w:val="none" w:sz="0" w:space="0" w:color="auto"/>
            <w:left w:val="none" w:sz="0" w:space="0" w:color="auto"/>
            <w:bottom w:val="none" w:sz="0" w:space="0" w:color="auto"/>
            <w:right w:val="none" w:sz="0" w:space="0" w:color="auto"/>
          </w:divBdr>
        </w:div>
        <w:div w:id="1630891027">
          <w:marLeft w:val="0"/>
          <w:marRight w:val="0"/>
          <w:marTop w:val="0"/>
          <w:marBottom w:val="0"/>
          <w:divBdr>
            <w:top w:val="none" w:sz="0" w:space="0" w:color="auto"/>
            <w:left w:val="none" w:sz="0" w:space="0" w:color="auto"/>
            <w:bottom w:val="none" w:sz="0" w:space="0" w:color="auto"/>
            <w:right w:val="none" w:sz="0" w:space="0" w:color="auto"/>
          </w:divBdr>
        </w:div>
        <w:div w:id="1816407069">
          <w:marLeft w:val="0"/>
          <w:marRight w:val="0"/>
          <w:marTop w:val="0"/>
          <w:marBottom w:val="0"/>
          <w:divBdr>
            <w:top w:val="none" w:sz="0" w:space="0" w:color="auto"/>
            <w:left w:val="none" w:sz="0" w:space="0" w:color="auto"/>
            <w:bottom w:val="none" w:sz="0" w:space="0" w:color="auto"/>
            <w:right w:val="none" w:sz="0" w:space="0" w:color="auto"/>
          </w:divBdr>
        </w:div>
        <w:div w:id="1878160983">
          <w:marLeft w:val="0"/>
          <w:marRight w:val="0"/>
          <w:marTop w:val="0"/>
          <w:marBottom w:val="0"/>
          <w:divBdr>
            <w:top w:val="none" w:sz="0" w:space="0" w:color="auto"/>
            <w:left w:val="none" w:sz="0" w:space="0" w:color="auto"/>
            <w:bottom w:val="none" w:sz="0" w:space="0" w:color="auto"/>
            <w:right w:val="none" w:sz="0" w:space="0" w:color="auto"/>
          </w:divBdr>
        </w:div>
        <w:div w:id="1906603788">
          <w:marLeft w:val="0"/>
          <w:marRight w:val="0"/>
          <w:marTop w:val="0"/>
          <w:marBottom w:val="0"/>
          <w:divBdr>
            <w:top w:val="none" w:sz="0" w:space="0" w:color="auto"/>
            <w:left w:val="none" w:sz="0" w:space="0" w:color="auto"/>
            <w:bottom w:val="none" w:sz="0" w:space="0" w:color="auto"/>
            <w:right w:val="none" w:sz="0" w:space="0" w:color="auto"/>
          </w:divBdr>
        </w:div>
      </w:divsChild>
    </w:div>
    <w:div w:id="15081052">
      <w:bodyDiv w:val="1"/>
      <w:marLeft w:val="0"/>
      <w:marRight w:val="0"/>
      <w:marTop w:val="0"/>
      <w:marBottom w:val="0"/>
      <w:divBdr>
        <w:top w:val="none" w:sz="0" w:space="0" w:color="auto"/>
        <w:left w:val="none" w:sz="0" w:space="0" w:color="auto"/>
        <w:bottom w:val="none" w:sz="0" w:space="0" w:color="auto"/>
        <w:right w:val="none" w:sz="0" w:space="0" w:color="auto"/>
      </w:divBdr>
    </w:div>
    <w:div w:id="32072659">
      <w:bodyDiv w:val="1"/>
      <w:marLeft w:val="0"/>
      <w:marRight w:val="0"/>
      <w:marTop w:val="0"/>
      <w:marBottom w:val="0"/>
      <w:divBdr>
        <w:top w:val="none" w:sz="0" w:space="0" w:color="auto"/>
        <w:left w:val="none" w:sz="0" w:space="0" w:color="auto"/>
        <w:bottom w:val="none" w:sz="0" w:space="0" w:color="auto"/>
        <w:right w:val="none" w:sz="0" w:space="0" w:color="auto"/>
      </w:divBdr>
      <w:divsChild>
        <w:div w:id="1893154810">
          <w:marLeft w:val="0"/>
          <w:marRight w:val="0"/>
          <w:marTop w:val="0"/>
          <w:marBottom w:val="0"/>
          <w:divBdr>
            <w:top w:val="none" w:sz="0" w:space="0" w:color="auto"/>
            <w:left w:val="none" w:sz="0" w:space="0" w:color="auto"/>
            <w:bottom w:val="none" w:sz="0" w:space="0" w:color="auto"/>
            <w:right w:val="none" w:sz="0" w:space="0" w:color="auto"/>
          </w:divBdr>
          <w:divsChild>
            <w:div w:id="123739841">
              <w:marLeft w:val="0"/>
              <w:marRight w:val="0"/>
              <w:marTop w:val="0"/>
              <w:marBottom w:val="0"/>
              <w:divBdr>
                <w:top w:val="none" w:sz="0" w:space="0" w:color="auto"/>
                <w:left w:val="none" w:sz="0" w:space="0" w:color="auto"/>
                <w:bottom w:val="none" w:sz="0" w:space="0" w:color="auto"/>
                <w:right w:val="none" w:sz="0" w:space="0" w:color="auto"/>
              </w:divBdr>
              <w:divsChild>
                <w:div w:id="1121147020">
                  <w:marLeft w:val="0"/>
                  <w:marRight w:val="0"/>
                  <w:marTop w:val="0"/>
                  <w:marBottom w:val="0"/>
                  <w:divBdr>
                    <w:top w:val="none" w:sz="0" w:space="0" w:color="auto"/>
                    <w:left w:val="none" w:sz="0" w:space="0" w:color="auto"/>
                    <w:bottom w:val="none" w:sz="0" w:space="0" w:color="auto"/>
                    <w:right w:val="none" w:sz="0" w:space="0" w:color="auto"/>
                  </w:divBdr>
                  <w:divsChild>
                    <w:div w:id="1676423834">
                      <w:marLeft w:val="0"/>
                      <w:marRight w:val="0"/>
                      <w:marTop w:val="0"/>
                      <w:marBottom w:val="0"/>
                      <w:divBdr>
                        <w:top w:val="none" w:sz="0" w:space="0" w:color="auto"/>
                        <w:left w:val="none" w:sz="0" w:space="0" w:color="auto"/>
                        <w:bottom w:val="none" w:sz="0" w:space="0" w:color="auto"/>
                        <w:right w:val="none" w:sz="0" w:space="0" w:color="auto"/>
                      </w:divBdr>
                      <w:divsChild>
                        <w:div w:id="761952310">
                          <w:marLeft w:val="0"/>
                          <w:marRight w:val="0"/>
                          <w:marTop w:val="0"/>
                          <w:marBottom w:val="0"/>
                          <w:divBdr>
                            <w:top w:val="none" w:sz="0" w:space="0" w:color="auto"/>
                            <w:left w:val="none" w:sz="0" w:space="0" w:color="auto"/>
                            <w:bottom w:val="none" w:sz="0" w:space="0" w:color="auto"/>
                            <w:right w:val="none" w:sz="0" w:space="0" w:color="auto"/>
                          </w:divBdr>
                          <w:divsChild>
                            <w:div w:id="430047954">
                              <w:marLeft w:val="0"/>
                              <w:marRight w:val="0"/>
                              <w:marTop w:val="0"/>
                              <w:marBottom w:val="0"/>
                              <w:divBdr>
                                <w:top w:val="none" w:sz="0" w:space="0" w:color="auto"/>
                                <w:left w:val="none" w:sz="0" w:space="0" w:color="auto"/>
                                <w:bottom w:val="none" w:sz="0" w:space="0" w:color="auto"/>
                                <w:right w:val="none" w:sz="0" w:space="0" w:color="auto"/>
                              </w:divBdr>
                              <w:divsChild>
                                <w:div w:id="396362526">
                                  <w:marLeft w:val="0"/>
                                  <w:marRight w:val="0"/>
                                  <w:marTop w:val="0"/>
                                  <w:marBottom w:val="0"/>
                                  <w:divBdr>
                                    <w:top w:val="none" w:sz="0" w:space="0" w:color="auto"/>
                                    <w:left w:val="none" w:sz="0" w:space="0" w:color="auto"/>
                                    <w:bottom w:val="none" w:sz="0" w:space="0" w:color="auto"/>
                                    <w:right w:val="none" w:sz="0" w:space="0" w:color="auto"/>
                                  </w:divBdr>
                                  <w:divsChild>
                                    <w:div w:id="577129534">
                                      <w:marLeft w:val="0"/>
                                      <w:marRight w:val="0"/>
                                      <w:marTop w:val="0"/>
                                      <w:marBottom w:val="0"/>
                                      <w:divBdr>
                                        <w:top w:val="none" w:sz="0" w:space="0" w:color="auto"/>
                                        <w:left w:val="none" w:sz="0" w:space="0" w:color="auto"/>
                                        <w:bottom w:val="none" w:sz="0" w:space="0" w:color="auto"/>
                                        <w:right w:val="none" w:sz="0" w:space="0" w:color="auto"/>
                                      </w:divBdr>
                                      <w:divsChild>
                                        <w:div w:id="1143157898">
                                          <w:marLeft w:val="0"/>
                                          <w:marRight w:val="0"/>
                                          <w:marTop w:val="300"/>
                                          <w:marBottom w:val="0"/>
                                          <w:divBdr>
                                            <w:top w:val="none" w:sz="0" w:space="0" w:color="auto"/>
                                            <w:left w:val="none" w:sz="0" w:space="0" w:color="auto"/>
                                            <w:bottom w:val="none" w:sz="0" w:space="0" w:color="auto"/>
                                            <w:right w:val="none" w:sz="0" w:space="0" w:color="auto"/>
                                          </w:divBdr>
                                          <w:divsChild>
                                            <w:div w:id="1523786983">
                                              <w:marLeft w:val="0"/>
                                              <w:marRight w:val="0"/>
                                              <w:marTop w:val="0"/>
                                              <w:marBottom w:val="0"/>
                                              <w:divBdr>
                                                <w:top w:val="none" w:sz="0" w:space="0" w:color="auto"/>
                                                <w:left w:val="none" w:sz="0" w:space="0" w:color="auto"/>
                                                <w:bottom w:val="none" w:sz="0" w:space="0" w:color="auto"/>
                                                <w:right w:val="none" w:sz="0" w:space="0" w:color="auto"/>
                                              </w:divBdr>
                                              <w:divsChild>
                                                <w:div w:id="1517887776">
                                                  <w:marLeft w:val="0"/>
                                                  <w:marRight w:val="0"/>
                                                  <w:marTop w:val="0"/>
                                                  <w:marBottom w:val="0"/>
                                                  <w:divBdr>
                                                    <w:top w:val="none" w:sz="0" w:space="0" w:color="auto"/>
                                                    <w:left w:val="none" w:sz="0" w:space="0" w:color="auto"/>
                                                    <w:bottom w:val="none" w:sz="0" w:space="0" w:color="auto"/>
                                                    <w:right w:val="none" w:sz="0" w:space="0" w:color="auto"/>
                                                  </w:divBdr>
                                                  <w:divsChild>
                                                    <w:div w:id="559708337">
                                                      <w:marLeft w:val="0"/>
                                                      <w:marRight w:val="0"/>
                                                      <w:marTop w:val="0"/>
                                                      <w:marBottom w:val="0"/>
                                                      <w:divBdr>
                                                        <w:top w:val="none" w:sz="0" w:space="0" w:color="auto"/>
                                                        <w:left w:val="none" w:sz="0" w:space="0" w:color="auto"/>
                                                        <w:bottom w:val="none" w:sz="0" w:space="0" w:color="auto"/>
                                                        <w:right w:val="none" w:sz="0" w:space="0" w:color="auto"/>
                                                      </w:divBdr>
                                                      <w:divsChild>
                                                        <w:div w:id="1508324230">
                                                          <w:marLeft w:val="0"/>
                                                          <w:marRight w:val="0"/>
                                                          <w:marTop w:val="0"/>
                                                          <w:marBottom w:val="0"/>
                                                          <w:divBdr>
                                                            <w:top w:val="none" w:sz="0" w:space="0" w:color="auto"/>
                                                            <w:left w:val="none" w:sz="0" w:space="0" w:color="auto"/>
                                                            <w:bottom w:val="none" w:sz="0" w:space="0" w:color="auto"/>
                                                            <w:right w:val="none" w:sz="0" w:space="0" w:color="auto"/>
                                                          </w:divBdr>
                                                          <w:divsChild>
                                                            <w:div w:id="1932427188">
                                                              <w:marLeft w:val="0"/>
                                                              <w:marRight w:val="0"/>
                                                              <w:marTop w:val="0"/>
                                                              <w:marBottom w:val="0"/>
                                                              <w:divBdr>
                                                                <w:top w:val="none" w:sz="0" w:space="0" w:color="auto"/>
                                                                <w:left w:val="none" w:sz="0" w:space="0" w:color="auto"/>
                                                                <w:bottom w:val="none" w:sz="0" w:space="0" w:color="auto"/>
                                                                <w:right w:val="none" w:sz="0" w:space="0" w:color="auto"/>
                                                              </w:divBdr>
                                                              <w:divsChild>
                                                                <w:div w:id="1387876187">
                                                                  <w:marLeft w:val="0"/>
                                                                  <w:marRight w:val="0"/>
                                                                  <w:marTop w:val="0"/>
                                                                  <w:marBottom w:val="0"/>
                                                                  <w:divBdr>
                                                                    <w:top w:val="none" w:sz="0" w:space="0" w:color="auto"/>
                                                                    <w:left w:val="none" w:sz="0" w:space="0" w:color="auto"/>
                                                                    <w:bottom w:val="none" w:sz="0" w:space="0" w:color="auto"/>
                                                                    <w:right w:val="none" w:sz="0" w:space="0" w:color="auto"/>
                                                                  </w:divBdr>
                                                                  <w:divsChild>
                                                                    <w:div w:id="157885428">
                                                                      <w:marLeft w:val="0"/>
                                                                      <w:marRight w:val="0"/>
                                                                      <w:marTop w:val="0"/>
                                                                      <w:marBottom w:val="0"/>
                                                                      <w:divBdr>
                                                                        <w:top w:val="none" w:sz="0" w:space="0" w:color="auto"/>
                                                                        <w:left w:val="none" w:sz="0" w:space="0" w:color="auto"/>
                                                                        <w:bottom w:val="none" w:sz="0" w:space="0" w:color="auto"/>
                                                                        <w:right w:val="none" w:sz="0" w:space="0" w:color="auto"/>
                                                                      </w:divBdr>
                                                                      <w:divsChild>
                                                                        <w:div w:id="38207698">
                                                                          <w:marLeft w:val="0"/>
                                                                          <w:marRight w:val="0"/>
                                                                          <w:marTop w:val="0"/>
                                                                          <w:marBottom w:val="0"/>
                                                                          <w:divBdr>
                                                                            <w:top w:val="none" w:sz="0" w:space="0" w:color="auto"/>
                                                                            <w:left w:val="none" w:sz="0" w:space="0" w:color="auto"/>
                                                                            <w:bottom w:val="none" w:sz="0" w:space="0" w:color="auto"/>
                                                                            <w:right w:val="none" w:sz="0" w:space="0" w:color="auto"/>
                                                                          </w:divBdr>
                                                                          <w:divsChild>
                                                                            <w:div w:id="122624422">
                                                                              <w:marLeft w:val="0"/>
                                                                              <w:marRight w:val="0"/>
                                                                              <w:marTop w:val="0"/>
                                                                              <w:marBottom w:val="0"/>
                                                                              <w:divBdr>
                                                                                <w:top w:val="none" w:sz="0" w:space="0" w:color="auto"/>
                                                                                <w:left w:val="none" w:sz="0" w:space="0" w:color="auto"/>
                                                                                <w:bottom w:val="none" w:sz="0" w:space="0" w:color="auto"/>
                                                                                <w:right w:val="none" w:sz="0" w:space="0" w:color="auto"/>
                                                                              </w:divBdr>
                                                                              <w:divsChild>
                                                                                <w:div w:id="587274142">
                                                                                  <w:marLeft w:val="0"/>
                                                                                  <w:marRight w:val="0"/>
                                                                                  <w:marTop w:val="0"/>
                                                                                  <w:marBottom w:val="0"/>
                                                                                  <w:divBdr>
                                                                                    <w:top w:val="single" w:sz="6" w:space="8" w:color="1F6095"/>
                                                                                    <w:left w:val="single" w:sz="6" w:space="8" w:color="1F6095"/>
                                                                                    <w:bottom w:val="single" w:sz="6" w:space="8" w:color="1F6095"/>
                                                                                    <w:right w:val="single" w:sz="6" w:space="8" w:color="1F6095"/>
                                                                                  </w:divBdr>
                                                                                  <w:divsChild>
                                                                                    <w:div w:id="14052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02421">
      <w:bodyDiv w:val="1"/>
      <w:marLeft w:val="0"/>
      <w:marRight w:val="0"/>
      <w:marTop w:val="0"/>
      <w:marBottom w:val="0"/>
      <w:divBdr>
        <w:top w:val="none" w:sz="0" w:space="0" w:color="auto"/>
        <w:left w:val="none" w:sz="0" w:space="0" w:color="auto"/>
        <w:bottom w:val="none" w:sz="0" w:space="0" w:color="auto"/>
        <w:right w:val="none" w:sz="0" w:space="0" w:color="auto"/>
      </w:divBdr>
      <w:divsChild>
        <w:div w:id="1672100558">
          <w:marLeft w:val="0"/>
          <w:marRight w:val="0"/>
          <w:marTop w:val="0"/>
          <w:marBottom w:val="0"/>
          <w:divBdr>
            <w:top w:val="none" w:sz="0" w:space="0" w:color="auto"/>
            <w:left w:val="none" w:sz="0" w:space="0" w:color="auto"/>
            <w:bottom w:val="none" w:sz="0" w:space="0" w:color="auto"/>
            <w:right w:val="none" w:sz="0" w:space="0" w:color="auto"/>
          </w:divBdr>
        </w:div>
        <w:div w:id="246497885">
          <w:marLeft w:val="0"/>
          <w:marRight w:val="0"/>
          <w:marTop w:val="0"/>
          <w:marBottom w:val="0"/>
          <w:divBdr>
            <w:top w:val="none" w:sz="0" w:space="0" w:color="auto"/>
            <w:left w:val="none" w:sz="0" w:space="0" w:color="auto"/>
            <w:bottom w:val="none" w:sz="0" w:space="0" w:color="auto"/>
            <w:right w:val="none" w:sz="0" w:space="0" w:color="auto"/>
          </w:divBdr>
        </w:div>
        <w:div w:id="2053382910">
          <w:marLeft w:val="0"/>
          <w:marRight w:val="0"/>
          <w:marTop w:val="0"/>
          <w:marBottom w:val="0"/>
          <w:divBdr>
            <w:top w:val="none" w:sz="0" w:space="0" w:color="auto"/>
            <w:left w:val="none" w:sz="0" w:space="0" w:color="auto"/>
            <w:bottom w:val="none" w:sz="0" w:space="0" w:color="auto"/>
            <w:right w:val="none" w:sz="0" w:space="0" w:color="auto"/>
          </w:divBdr>
        </w:div>
      </w:divsChild>
    </w:div>
    <w:div w:id="80807180">
      <w:bodyDiv w:val="1"/>
      <w:marLeft w:val="0"/>
      <w:marRight w:val="0"/>
      <w:marTop w:val="0"/>
      <w:marBottom w:val="0"/>
      <w:divBdr>
        <w:top w:val="none" w:sz="0" w:space="0" w:color="auto"/>
        <w:left w:val="none" w:sz="0" w:space="0" w:color="auto"/>
        <w:bottom w:val="none" w:sz="0" w:space="0" w:color="auto"/>
        <w:right w:val="none" w:sz="0" w:space="0" w:color="auto"/>
      </w:divBdr>
      <w:divsChild>
        <w:div w:id="1085145959">
          <w:marLeft w:val="0"/>
          <w:marRight w:val="0"/>
          <w:marTop w:val="0"/>
          <w:marBottom w:val="0"/>
          <w:divBdr>
            <w:top w:val="none" w:sz="0" w:space="0" w:color="auto"/>
            <w:left w:val="none" w:sz="0" w:space="0" w:color="auto"/>
            <w:bottom w:val="none" w:sz="0" w:space="0" w:color="auto"/>
            <w:right w:val="none" w:sz="0" w:space="0" w:color="auto"/>
          </w:divBdr>
          <w:divsChild>
            <w:div w:id="413548383">
              <w:marLeft w:val="0"/>
              <w:marRight w:val="0"/>
              <w:marTop w:val="0"/>
              <w:marBottom w:val="0"/>
              <w:divBdr>
                <w:top w:val="none" w:sz="0" w:space="0" w:color="auto"/>
                <w:left w:val="none" w:sz="0" w:space="0" w:color="auto"/>
                <w:bottom w:val="none" w:sz="0" w:space="0" w:color="auto"/>
                <w:right w:val="none" w:sz="0" w:space="0" w:color="auto"/>
              </w:divBdr>
              <w:divsChild>
                <w:div w:id="2113627077">
                  <w:marLeft w:val="0"/>
                  <w:marRight w:val="0"/>
                  <w:marTop w:val="0"/>
                  <w:marBottom w:val="0"/>
                  <w:divBdr>
                    <w:top w:val="none" w:sz="0" w:space="0" w:color="auto"/>
                    <w:left w:val="none" w:sz="0" w:space="0" w:color="auto"/>
                    <w:bottom w:val="none" w:sz="0" w:space="0" w:color="auto"/>
                    <w:right w:val="none" w:sz="0" w:space="0" w:color="auto"/>
                  </w:divBdr>
                  <w:divsChild>
                    <w:div w:id="2016417036">
                      <w:marLeft w:val="0"/>
                      <w:marRight w:val="0"/>
                      <w:marTop w:val="300"/>
                      <w:marBottom w:val="0"/>
                      <w:divBdr>
                        <w:top w:val="none" w:sz="0" w:space="0" w:color="auto"/>
                        <w:left w:val="none" w:sz="0" w:space="0" w:color="auto"/>
                        <w:bottom w:val="none" w:sz="0" w:space="0" w:color="auto"/>
                        <w:right w:val="none" w:sz="0" w:space="0" w:color="auto"/>
                      </w:divBdr>
                      <w:divsChild>
                        <w:div w:id="743914159">
                          <w:marLeft w:val="0"/>
                          <w:marRight w:val="0"/>
                          <w:marTop w:val="0"/>
                          <w:marBottom w:val="0"/>
                          <w:divBdr>
                            <w:top w:val="none" w:sz="0" w:space="0" w:color="auto"/>
                            <w:left w:val="none" w:sz="0" w:space="0" w:color="auto"/>
                            <w:bottom w:val="none" w:sz="0" w:space="0" w:color="auto"/>
                            <w:right w:val="none" w:sz="0" w:space="0" w:color="auto"/>
                          </w:divBdr>
                          <w:divsChild>
                            <w:div w:id="1050421339">
                              <w:marLeft w:val="0"/>
                              <w:marRight w:val="0"/>
                              <w:marTop w:val="0"/>
                              <w:marBottom w:val="0"/>
                              <w:divBdr>
                                <w:top w:val="none" w:sz="0" w:space="0" w:color="auto"/>
                                <w:left w:val="none" w:sz="0" w:space="0" w:color="auto"/>
                                <w:bottom w:val="none" w:sz="0" w:space="0" w:color="auto"/>
                                <w:right w:val="none" w:sz="0" w:space="0" w:color="auto"/>
                              </w:divBdr>
                              <w:divsChild>
                                <w:div w:id="1277180433">
                                  <w:marLeft w:val="0"/>
                                  <w:marRight w:val="0"/>
                                  <w:marTop w:val="0"/>
                                  <w:marBottom w:val="0"/>
                                  <w:divBdr>
                                    <w:top w:val="none" w:sz="0" w:space="0" w:color="auto"/>
                                    <w:left w:val="none" w:sz="0" w:space="0" w:color="auto"/>
                                    <w:bottom w:val="none" w:sz="0" w:space="0" w:color="auto"/>
                                    <w:right w:val="none" w:sz="0" w:space="0" w:color="auto"/>
                                  </w:divBdr>
                                  <w:divsChild>
                                    <w:div w:id="541291663">
                                      <w:marLeft w:val="0"/>
                                      <w:marRight w:val="0"/>
                                      <w:marTop w:val="0"/>
                                      <w:marBottom w:val="240"/>
                                      <w:divBdr>
                                        <w:top w:val="single" w:sz="6" w:space="12" w:color="BDBDAE"/>
                                        <w:left w:val="single" w:sz="6" w:space="12" w:color="BDBDAE"/>
                                        <w:bottom w:val="single" w:sz="6" w:space="12" w:color="BDBDAE"/>
                                        <w:right w:val="single" w:sz="6" w:space="12" w:color="BDBDAE"/>
                                      </w:divBdr>
                                      <w:divsChild>
                                        <w:div w:id="87625723">
                                          <w:marLeft w:val="0"/>
                                          <w:marRight w:val="0"/>
                                          <w:marTop w:val="0"/>
                                          <w:marBottom w:val="0"/>
                                          <w:divBdr>
                                            <w:top w:val="none" w:sz="0" w:space="0" w:color="auto"/>
                                            <w:left w:val="none" w:sz="0" w:space="0" w:color="auto"/>
                                            <w:bottom w:val="none" w:sz="0" w:space="0" w:color="auto"/>
                                            <w:right w:val="none" w:sz="0" w:space="0" w:color="auto"/>
                                          </w:divBdr>
                                          <w:divsChild>
                                            <w:div w:id="38555490">
                                              <w:marLeft w:val="0"/>
                                              <w:marRight w:val="0"/>
                                              <w:marTop w:val="150"/>
                                              <w:marBottom w:val="0"/>
                                              <w:divBdr>
                                                <w:top w:val="none" w:sz="0" w:space="0" w:color="auto"/>
                                                <w:left w:val="none" w:sz="0" w:space="0" w:color="auto"/>
                                                <w:bottom w:val="none" w:sz="0" w:space="0" w:color="auto"/>
                                                <w:right w:val="none" w:sz="0" w:space="0" w:color="auto"/>
                                              </w:divBdr>
                                              <w:divsChild>
                                                <w:div w:id="357202956">
                                                  <w:marLeft w:val="0"/>
                                                  <w:marRight w:val="0"/>
                                                  <w:marTop w:val="0"/>
                                                  <w:marBottom w:val="0"/>
                                                  <w:divBdr>
                                                    <w:top w:val="none" w:sz="0" w:space="0" w:color="auto"/>
                                                    <w:left w:val="none" w:sz="0" w:space="0" w:color="auto"/>
                                                    <w:bottom w:val="none" w:sz="0" w:space="0" w:color="auto"/>
                                                    <w:right w:val="none" w:sz="0" w:space="0" w:color="auto"/>
                                                  </w:divBdr>
                                                  <w:divsChild>
                                                    <w:div w:id="39090709">
                                                      <w:marLeft w:val="0"/>
                                                      <w:marRight w:val="0"/>
                                                      <w:marTop w:val="0"/>
                                                      <w:marBottom w:val="0"/>
                                                      <w:divBdr>
                                                        <w:top w:val="none" w:sz="0" w:space="0" w:color="auto"/>
                                                        <w:left w:val="none" w:sz="0" w:space="0" w:color="auto"/>
                                                        <w:bottom w:val="none" w:sz="0" w:space="0" w:color="auto"/>
                                                        <w:right w:val="none" w:sz="0" w:space="0" w:color="auto"/>
                                                      </w:divBdr>
                                                      <w:divsChild>
                                                        <w:div w:id="9446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557239">
      <w:bodyDiv w:val="1"/>
      <w:marLeft w:val="0"/>
      <w:marRight w:val="0"/>
      <w:marTop w:val="0"/>
      <w:marBottom w:val="0"/>
      <w:divBdr>
        <w:top w:val="none" w:sz="0" w:space="0" w:color="auto"/>
        <w:left w:val="none" w:sz="0" w:space="0" w:color="auto"/>
        <w:bottom w:val="none" w:sz="0" w:space="0" w:color="auto"/>
        <w:right w:val="none" w:sz="0" w:space="0" w:color="auto"/>
      </w:divBdr>
      <w:divsChild>
        <w:div w:id="290718390">
          <w:marLeft w:val="0"/>
          <w:marRight w:val="0"/>
          <w:marTop w:val="0"/>
          <w:marBottom w:val="0"/>
          <w:divBdr>
            <w:top w:val="none" w:sz="0" w:space="0" w:color="auto"/>
            <w:left w:val="none" w:sz="0" w:space="0" w:color="auto"/>
            <w:bottom w:val="none" w:sz="0" w:space="0" w:color="auto"/>
            <w:right w:val="none" w:sz="0" w:space="0" w:color="auto"/>
          </w:divBdr>
        </w:div>
        <w:div w:id="2123304428">
          <w:marLeft w:val="0"/>
          <w:marRight w:val="0"/>
          <w:marTop w:val="0"/>
          <w:marBottom w:val="0"/>
          <w:divBdr>
            <w:top w:val="none" w:sz="0" w:space="0" w:color="auto"/>
            <w:left w:val="none" w:sz="0" w:space="0" w:color="auto"/>
            <w:bottom w:val="none" w:sz="0" w:space="0" w:color="auto"/>
            <w:right w:val="none" w:sz="0" w:space="0" w:color="auto"/>
          </w:divBdr>
        </w:div>
        <w:div w:id="495264253">
          <w:marLeft w:val="0"/>
          <w:marRight w:val="0"/>
          <w:marTop w:val="0"/>
          <w:marBottom w:val="0"/>
          <w:divBdr>
            <w:top w:val="none" w:sz="0" w:space="0" w:color="auto"/>
            <w:left w:val="none" w:sz="0" w:space="0" w:color="auto"/>
            <w:bottom w:val="none" w:sz="0" w:space="0" w:color="auto"/>
            <w:right w:val="none" w:sz="0" w:space="0" w:color="auto"/>
          </w:divBdr>
        </w:div>
      </w:divsChild>
    </w:div>
    <w:div w:id="117795655">
      <w:bodyDiv w:val="1"/>
      <w:marLeft w:val="0"/>
      <w:marRight w:val="0"/>
      <w:marTop w:val="0"/>
      <w:marBottom w:val="0"/>
      <w:divBdr>
        <w:top w:val="none" w:sz="0" w:space="0" w:color="auto"/>
        <w:left w:val="none" w:sz="0" w:space="0" w:color="auto"/>
        <w:bottom w:val="none" w:sz="0" w:space="0" w:color="auto"/>
        <w:right w:val="none" w:sz="0" w:space="0" w:color="auto"/>
      </w:divBdr>
      <w:divsChild>
        <w:div w:id="37364695">
          <w:marLeft w:val="0"/>
          <w:marRight w:val="0"/>
          <w:marTop w:val="0"/>
          <w:marBottom w:val="0"/>
          <w:divBdr>
            <w:top w:val="none" w:sz="0" w:space="0" w:color="auto"/>
            <w:left w:val="none" w:sz="0" w:space="0" w:color="auto"/>
            <w:bottom w:val="none" w:sz="0" w:space="0" w:color="auto"/>
            <w:right w:val="none" w:sz="0" w:space="0" w:color="auto"/>
          </w:divBdr>
        </w:div>
        <w:div w:id="132018964">
          <w:marLeft w:val="0"/>
          <w:marRight w:val="0"/>
          <w:marTop w:val="0"/>
          <w:marBottom w:val="0"/>
          <w:divBdr>
            <w:top w:val="none" w:sz="0" w:space="0" w:color="auto"/>
            <w:left w:val="none" w:sz="0" w:space="0" w:color="auto"/>
            <w:bottom w:val="none" w:sz="0" w:space="0" w:color="auto"/>
            <w:right w:val="none" w:sz="0" w:space="0" w:color="auto"/>
          </w:divBdr>
        </w:div>
        <w:div w:id="2121099329">
          <w:marLeft w:val="0"/>
          <w:marRight w:val="0"/>
          <w:marTop w:val="0"/>
          <w:marBottom w:val="0"/>
          <w:divBdr>
            <w:top w:val="none" w:sz="0" w:space="0" w:color="auto"/>
            <w:left w:val="none" w:sz="0" w:space="0" w:color="auto"/>
            <w:bottom w:val="none" w:sz="0" w:space="0" w:color="auto"/>
            <w:right w:val="none" w:sz="0" w:space="0" w:color="auto"/>
          </w:divBdr>
        </w:div>
        <w:div w:id="637419803">
          <w:marLeft w:val="0"/>
          <w:marRight w:val="0"/>
          <w:marTop w:val="0"/>
          <w:marBottom w:val="0"/>
          <w:divBdr>
            <w:top w:val="none" w:sz="0" w:space="0" w:color="auto"/>
            <w:left w:val="none" w:sz="0" w:space="0" w:color="auto"/>
            <w:bottom w:val="none" w:sz="0" w:space="0" w:color="auto"/>
            <w:right w:val="none" w:sz="0" w:space="0" w:color="auto"/>
          </w:divBdr>
        </w:div>
        <w:div w:id="1267426566">
          <w:marLeft w:val="0"/>
          <w:marRight w:val="0"/>
          <w:marTop w:val="0"/>
          <w:marBottom w:val="0"/>
          <w:divBdr>
            <w:top w:val="none" w:sz="0" w:space="0" w:color="auto"/>
            <w:left w:val="none" w:sz="0" w:space="0" w:color="auto"/>
            <w:bottom w:val="none" w:sz="0" w:space="0" w:color="auto"/>
            <w:right w:val="none" w:sz="0" w:space="0" w:color="auto"/>
          </w:divBdr>
        </w:div>
        <w:div w:id="1086655214">
          <w:marLeft w:val="0"/>
          <w:marRight w:val="0"/>
          <w:marTop w:val="0"/>
          <w:marBottom w:val="0"/>
          <w:divBdr>
            <w:top w:val="none" w:sz="0" w:space="0" w:color="auto"/>
            <w:left w:val="none" w:sz="0" w:space="0" w:color="auto"/>
            <w:bottom w:val="none" w:sz="0" w:space="0" w:color="auto"/>
            <w:right w:val="none" w:sz="0" w:space="0" w:color="auto"/>
          </w:divBdr>
        </w:div>
        <w:div w:id="1450006010">
          <w:marLeft w:val="0"/>
          <w:marRight w:val="0"/>
          <w:marTop w:val="0"/>
          <w:marBottom w:val="0"/>
          <w:divBdr>
            <w:top w:val="none" w:sz="0" w:space="0" w:color="auto"/>
            <w:left w:val="none" w:sz="0" w:space="0" w:color="auto"/>
            <w:bottom w:val="none" w:sz="0" w:space="0" w:color="auto"/>
            <w:right w:val="none" w:sz="0" w:space="0" w:color="auto"/>
          </w:divBdr>
        </w:div>
        <w:div w:id="1989553427">
          <w:marLeft w:val="0"/>
          <w:marRight w:val="0"/>
          <w:marTop w:val="0"/>
          <w:marBottom w:val="0"/>
          <w:divBdr>
            <w:top w:val="none" w:sz="0" w:space="0" w:color="auto"/>
            <w:left w:val="none" w:sz="0" w:space="0" w:color="auto"/>
            <w:bottom w:val="none" w:sz="0" w:space="0" w:color="auto"/>
            <w:right w:val="none" w:sz="0" w:space="0" w:color="auto"/>
          </w:divBdr>
        </w:div>
        <w:div w:id="1357270239">
          <w:marLeft w:val="0"/>
          <w:marRight w:val="0"/>
          <w:marTop w:val="0"/>
          <w:marBottom w:val="0"/>
          <w:divBdr>
            <w:top w:val="none" w:sz="0" w:space="0" w:color="auto"/>
            <w:left w:val="none" w:sz="0" w:space="0" w:color="auto"/>
            <w:bottom w:val="none" w:sz="0" w:space="0" w:color="auto"/>
            <w:right w:val="none" w:sz="0" w:space="0" w:color="auto"/>
          </w:divBdr>
        </w:div>
        <w:div w:id="864907418">
          <w:marLeft w:val="0"/>
          <w:marRight w:val="0"/>
          <w:marTop w:val="0"/>
          <w:marBottom w:val="0"/>
          <w:divBdr>
            <w:top w:val="none" w:sz="0" w:space="0" w:color="auto"/>
            <w:left w:val="none" w:sz="0" w:space="0" w:color="auto"/>
            <w:bottom w:val="none" w:sz="0" w:space="0" w:color="auto"/>
            <w:right w:val="none" w:sz="0" w:space="0" w:color="auto"/>
          </w:divBdr>
        </w:div>
        <w:div w:id="1621034755">
          <w:marLeft w:val="0"/>
          <w:marRight w:val="0"/>
          <w:marTop w:val="0"/>
          <w:marBottom w:val="0"/>
          <w:divBdr>
            <w:top w:val="none" w:sz="0" w:space="0" w:color="auto"/>
            <w:left w:val="none" w:sz="0" w:space="0" w:color="auto"/>
            <w:bottom w:val="none" w:sz="0" w:space="0" w:color="auto"/>
            <w:right w:val="none" w:sz="0" w:space="0" w:color="auto"/>
          </w:divBdr>
        </w:div>
        <w:div w:id="145513254">
          <w:marLeft w:val="0"/>
          <w:marRight w:val="0"/>
          <w:marTop w:val="0"/>
          <w:marBottom w:val="0"/>
          <w:divBdr>
            <w:top w:val="none" w:sz="0" w:space="0" w:color="auto"/>
            <w:left w:val="none" w:sz="0" w:space="0" w:color="auto"/>
            <w:bottom w:val="none" w:sz="0" w:space="0" w:color="auto"/>
            <w:right w:val="none" w:sz="0" w:space="0" w:color="auto"/>
          </w:divBdr>
        </w:div>
        <w:div w:id="1696540745">
          <w:marLeft w:val="0"/>
          <w:marRight w:val="0"/>
          <w:marTop w:val="0"/>
          <w:marBottom w:val="0"/>
          <w:divBdr>
            <w:top w:val="none" w:sz="0" w:space="0" w:color="auto"/>
            <w:left w:val="none" w:sz="0" w:space="0" w:color="auto"/>
            <w:bottom w:val="none" w:sz="0" w:space="0" w:color="auto"/>
            <w:right w:val="none" w:sz="0" w:space="0" w:color="auto"/>
          </w:divBdr>
        </w:div>
        <w:div w:id="2124223280">
          <w:marLeft w:val="0"/>
          <w:marRight w:val="0"/>
          <w:marTop w:val="0"/>
          <w:marBottom w:val="0"/>
          <w:divBdr>
            <w:top w:val="none" w:sz="0" w:space="0" w:color="auto"/>
            <w:left w:val="none" w:sz="0" w:space="0" w:color="auto"/>
            <w:bottom w:val="none" w:sz="0" w:space="0" w:color="auto"/>
            <w:right w:val="none" w:sz="0" w:space="0" w:color="auto"/>
          </w:divBdr>
        </w:div>
        <w:div w:id="711687790">
          <w:marLeft w:val="0"/>
          <w:marRight w:val="0"/>
          <w:marTop w:val="0"/>
          <w:marBottom w:val="0"/>
          <w:divBdr>
            <w:top w:val="none" w:sz="0" w:space="0" w:color="auto"/>
            <w:left w:val="none" w:sz="0" w:space="0" w:color="auto"/>
            <w:bottom w:val="none" w:sz="0" w:space="0" w:color="auto"/>
            <w:right w:val="none" w:sz="0" w:space="0" w:color="auto"/>
          </w:divBdr>
        </w:div>
        <w:div w:id="1574195607">
          <w:marLeft w:val="0"/>
          <w:marRight w:val="0"/>
          <w:marTop w:val="0"/>
          <w:marBottom w:val="0"/>
          <w:divBdr>
            <w:top w:val="none" w:sz="0" w:space="0" w:color="auto"/>
            <w:left w:val="none" w:sz="0" w:space="0" w:color="auto"/>
            <w:bottom w:val="none" w:sz="0" w:space="0" w:color="auto"/>
            <w:right w:val="none" w:sz="0" w:space="0" w:color="auto"/>
          </w:divBdr>
        </w:div>
        <w:div w:id="1044676321">
          <w:marLeft w:val="0"/>
          <w:marRight w:val="0"/>
          <w:marTop w:val="0"/>
          <w:marBottom w:val="0"/>
          <w:divBdr>
            <w:top w:val="none" w:sz="0" w:space="0" w:color="auto"/>
            <w:left w:val="none" w:sz="0" w:space="0" w:color="auto"/>
            <w:bottom w:val="none" w:sz="0" w:space="0" w:color="auto"/>
            <w:right w:val="none" w:sz="0" w:space="0" w:color="auto"/>
          </w:divBdr>
        </w:div>
        <w:div w:id="715277561">
          <w:marLeft w:val="0"/>
          <w:marRight w:val="0"/>
          <w:marTop w:val="0"/>
          <w:marBottom w:val="0"/>
          <w:divBdr>
            <w:top w:val="none" w:sz="0" w:space="0" w:color="auto"/>
            <w:left w:val="none" w:sz="0" w:space="0" w:color="auto"/>
            <w:bottom w:val="none" w:sz="0" w:space="0" w:color="auto"/>
            <w:right w:val="none" w:sz="0" w:space="0" w:color="auto"/>
          </w:divBdr>
        </w:div>
        <w:div w:id="627318353">
          <w:marLeft w:val="0"/>
          <w:marRight w:val="0"/>
          <w:marTop w:val="0"/>
          <w:marBottom w:val="0"/>
          <w:divBdr>
            <w:top w:val="none" w:sz="0" w:space="0" w:color="auto"/>
            <w:left w:val="none" w:sz="0" w:space="0" w:color="auto"/>
            <w:bottom w:val="none" w:sz="0" w:space="0" w:color="auto"/>
            <w:right w:val="none" w:sz="0" w:space="0" w:color="auto"/>
          </w:divBdr>
        </w:div>
        <w:div w:id="227112672">
          <w:marLeft w:val="0"/>
          <w:marRight w:val="0"/>
          <w:marTop w:val="0"/>
          <w:marBottom w:val="0"/>
          <w:divBdr>
            <w:top w:val="none" w:sz="0" w:space="0" w:color="auto"/>
            <w:left w:val="none" w:sz="0" w:space="0" w:color="auto"/>
            <w:bottom w:val="none" w:sz="0" w:space="0" w:color="auto"/>
            <w:right w:val="none" w:sz="0" w:space="0" w:color="auto"/>
          </w:divBdr>
        </w:div>
        <w:div w:id="201402588">
          <w:marLeft w:val="0"/>
          <w:marRight w:val="0"/>
          <w:marTop w:val="0"/>
          <w:marBottom w:val="0"/>
          <w:divBdr>
            <w:top w:val="none" w:sz="0" w:space="0" w:color="auto"/>
            <w:left w:val="none" w:sz="0" w:space="0" w:color="auto"/>
            <w:bottom w:val="none" w:sz="0" w:space="0" w:color="auto"/>
            <w:right w:val="none" w:sz="0" w:space="0" w:color="auto"/>
          </w:divBdr>
        </w:div>
        <w:div w:id="80151962">
          <w:marLeft w:val="0"/>
          <w:marRight w:val="0"/>
          <w:marTop w:val="0"/>
          <w:marBottom w:val="0"/>
          <w:divBdr>
            <w:top w:val="none" w:sz="0" w:space="0" w:color="auto"/>
            <w:left w:val="none" w:sz="0" w:space="0" w:color="auto"/>
            <w:bottom w:val="none" w:sz="0" w:space="0" w:color="auto"/>
            <w:right w:val="none" w:sz="0" w:space="0" w:color="auto"/>
          </w:divBdr>
        </w:div>
        <w:div w:id="1640264220">
          <w:marLeft w:val="0"/>
          <w:marRight w:val="0"/>
          <w:marTop w:val="0"/>
          <w:marBottom w:val="0"/>
          <w:divBdr>
            <w:top w:val="none" w:sz="0" w:space="0" w:color="auto"/>
            <w:left w:val="none" w:sz="0" w:space="0" w:color="auto"/>
            <w:bottom w:val="none" w:sz="0" w:space="0" w:color="auto"/>
            <w:right w:val="none" w:sz="0" w:space="0" w:color="auto"/>
          </w:divBdr>
        </w:div>
        <w:div w:id="1130830529">
          <w:marLeft w:val="0"/>
          <w:marRight w:val="0"/>
          <w:marTop w:val="0"/>
          <w:marBottom w:val="0"/>
          <w:divBdr>
            <w:top w:val="none" w:sz="0" w:space="0" w:color="auto"/>
            <w:left w:val="none" w:sz="0" w:space="0" w:color="auto"/>
            <w:bottom w:val="none" w:sz="0" w:space="0" w:color="auto"/>
            <w:right w:val="none" w:sz="0" w:space="0" w:color="auto"/>
          </w:divBdr>
        </w:div>
        <w:div w:id="2037730669">
          <w:marLeft w:val="0"/>
          <w:marRight w:val="0"/>
          <w:marTop w:val="0"/>
          <w:marBottom w:val="0"/>
          <w:divBdr>
            <w:top w:val="none" w:sz="0" w:space="0" w:color="auto"/>
            <w:left w:val="none" w:sz="0" w:space="0" w:color="auto"/>
            <w:bottom w:val="none" w:sz="0" w:space="0" w:color="auto"/>
            <w:right w:val="none" w:sz="0" w:space="0" w:color="auto"/>
          </w:divBdr>
        </w:div>
        <w:div w:id="1714159925">
          <w:marLeft w:val="0"/>
          <w:marRight w:val="0"/>
          <w:marTop w:val="0"/>
          <w:marBottom w:val="0"/>
          <w:divBdr>
            <w:top w:val="none" w:sz="0" w:space="0" w:color="auto"/>
            <w:left w:val="none" w:sz="0" w:space="0" w:color="auto"/>
            <w:bottom w:val="none" w:sz="0" w:space="0" w:color="auto"/>
            <w:right w:val="none" w:sz="0" w:space="0" w:color="auto"/>
          </w:divBdr>
        </w:div>
        <w:div w:id="1516725019">
          <w:marLeft w:val="0"/>
          <w:marRight w:val="0"/>
          <w:marTop w:val="0"/>
          <w:marBottom w:val="0"/>
          <w:divBdr>
            <w:top w:val="none" w:sz="0" w:space="0" w:color="auto"/>
            <w:left w:val="none" w:sz="0" w:space="0" w:color="auto"/>
            <w:bottom w:val="none" w:sz="0" w:space="0" w:color="auto"/>
            <w:right w:val="none" w:sz="0" w:space="0" w:color="auto"/>
          </w:divBdr>
        </w:div>
        <w:div w:id="530997300">
          <w:marLeft w:val="0"/>
          <w:marRight w:val="0"/>
          <w:marTop w:val="0"/>
          <w:marBottom w:val="0"/>
          <w:divBdr>
            <w:top w:val="none" w:sz="0" w:space="0" w:color="auto"/>
            <w:left w:val="none" w:sz="0" w:space="0" w:color="auto"/>
            <w:bottom w:val="none" w:sz="0" w:space="0" w:color="auto"/>
            <w:right w:val="none" w:sz="0" w:space="0" w:color="auto"/>
          </w:divBdr>
        </w:div>
        <w:div w:id="1629773634">
          <w:marLeft w:val="0"/>
          <w:marRight w:val="0"/>
          <w:marTop w:val="0"/>
          <w:marBottom w:val="0"/>
          <w:divBdr>
            <w:top w:val="none" w:sz="0" w:space="0" w:color="auto"/>
            <w:left w:val="none" w:sz="0" w:space="0" w:color="auto"/>
            <w:bottom w:val="none" w:sz="0" w:space="0" w:color="auto"/>
            <w:right w:val="none" w:sz="0" w:space="0" w:color="auto"/>
          </w:divBdr>
        </w:div>
        <w:div w:id="2082948714">
          <w:marLeft w:val="0"/>
          <w:marRight w:val="0"/>
          <w:marTop w:val="0"/>
          <w:marBottom w:val="0"/>
          <w:divBdr>
            <w:top w:val="none" w:sz="0" w:space="0" w:color="auto"/>
            <w:left w:val="none" w:sz="0" w:space="0" w:color="auto"/>
            <w:bottom w:val="none" w:sz="0" w:space="0" w:color="auto"/>
            <w:right w:val="none" w:sz="0" w:space="0" w:color="auto"/>
          </w:divBdr>
        </w:div>
        <w:div w:id="1760521485">
          <w:marLeft w:val="0"/>
          <w:marRight w:val="0"/>
          <w:marTop w:val="0"/>
          <w:marBottom w:val="0"/>
          <w:divBdr>
            <w:top w:val="none" w:sz="0" w:space="0" w:color="auto"/>
            <w:left w:val="none" w:sz="0" w:space="0" w:color="auto"/>
            <w:bottom w:val="none" w:sz="0" w:space="0" w:color="auto"/>
            <w:right w:val="none" w:sz="0" w:space="0" w:color="auto"/>
          </w:divBdr>
        </w:div>
        <w:div w:id="753013911">
          <w:marLeft w:val="0"/>
          <w:marRight w:val="0"/>
          <w:marTop w:val="0"/>
          <w:marBottom w:val="0"/>
          <w:divBdr>
            <w:top w:val="none" w:sz="0" w:space="0" w:color="auto"/>
            <w:left w:val="none" w:sz="0" w:space="0" w:color="auto"/>
            <w:bottom w:val="none" w:sz="0" w:space="0" w:color="auto"/>
            <w:right w:val="none" w:sz="0" w:space="0" w:color="auto"/>
          </w:divBdr>
        </w:div>
        <w:div w:id="1979844819">
          <w:marLeft w:val="0"/>
          <w:marRight w:val="0"/>
          <w:marTop w:val="0"/>
          <w:marBottom w:val="0"/>
          <w:divBdr>
            <w:top w:val="none" w:sz="0" w:space="0" w:color="auto"/>
            <w:left w:val="none" w:sz="0" w:space="0" w:color="auto"/>
            <w:bottom w:val="none" w:sz="0" w:space="0" w:color="auto"/>
            <w:right w:val="none" w:sz="0" w:space="0" w:color="auto"/>
          </w:divBdr>
        </w:div>
        <w:div w:id="175122757">
          <w:marLeft w:val="0"/>
          <w:marRight w:val="0"/>
          <w:marTop w:val="0"/>
          <w:marBottom w:val="0"/>
          <w:divBdr>
            <w:top w:val="none" w:sz="0" w:space="0" w:color="auto"/>
            <w:left w:val="none" w:sz="0" w:space="0" w:color="auto"/>
            <w:bottom w:val="none" w:sz="0" w:space="0" w:color="auto"/>
            <w:right w:val="none" w:sz="0" w:space="0" w:color="auto"/>
          </w:divBdr>
        </w:div>
        <w:div w:id="1327972555">
          <w:marLeft w:val="0"/>
          <w:marRight w:val="0"/>
          <w:marTop w:val="0"/>
          <w:marBottom w:val="0"/>
          <w:divBdr>
            <w:top w:val="none" w:sz="0" w:space="0" w:color="auto"/>
            <w:left w:val="none" w:sz="0" w:space="0" w:color="auto"/>
            <w:bottom w:val="none" w:sz="0" w:space="0" w:color="auto"/>
            <w:right w:val="none" w:sz="0" w:space="0" w:color="auto"/>
          </w:divBdr>
        </w:div>
        <w:div w:id="1330407351">
          <w:marLeft w:val="0"/>
          <w:marRight w:val="0"/>
          <w:marTop w:val="0"/>
          <w:marBottom w:val="0"/>
          <w:divBdr>
            <w:top w:val="none" w:sz="0" w:space="0" w:color="auto"/>
            <w:left w:val="none" w:sz="0" w:space="0" w:color="auto"/>
            <w:bottom w:val="none" w:sz="0" w:space="0" w:color="auto"/>
            <w:right w:val="none" w:sz="0" w:space="0" w:color="auto"/>
          </w:divBdr>
        </w:div>
        <w:div w:id="201989554">
          <w:marLeft w:val="0"/>
          <w:marRight w:val="0"/>
          <w:marTop w:val="0"/>
          <w:marBottom w:val="0"/>
          <w:divBdr>
            <w:top w:val="none" w:sz="0" w:space="0" w:color="auto"/>
            <w:left w:val="none" w:sz="0" w:space="0" w:color="auto"/>
            <w:bottom w:val="none" w:sz="0" w:space="0" w:color="auto"/>
            <w:right w:val="none" w:sz="0" w:space="0" w:color="auto"/>
          </w:divBdr>
        </w:div>
        <w:div w:id="1423800384">
          <w:marLeft w:val="0"/>
          <w:marRight w:val="0"/>
          <w:marTop w:val="0"/>
          <w:marBottom w:val="0"/>
          <w:divBdr>
            <w:top w:val="none" w:sz="0" w:space="0" w:color="auto"/>
            <w:left w:val="none" w:sz="0" w:space="0" w:color="auto"/>
            <w:bottom w:val="none" w:sz="0" w:space="0" w:color="auto"/>
            <w:right w:val="none" w:sz="0" w:space="0" w:color="auto"/>
          </w:divBdr>
        </w:div>
        <w:div w:id="1700353182">
          <w:marLeft w:val="0"/>
          <w:marRight w:val="0"/>
          <w:marTop w:val="0"/>
          <w:marBottom w:val="0"/>
          <w:divBdr>
            <w:top w:val="none" w:sz="0" w:space="0" w:color="auto"/>
            <w:left w:val="none" w:sz="0" w:space="0" w:color="auto"/>
            <w:bottom w:val="none" w:sz="0" w:space="0" w:color="auto"/>
            <w:right w:val="none" w:sz="0" w:space="0" w:color="auto"/>
          </w:divBdr>
        </w:div>
        <w:div w:id="1322155568">
          <w:marLeft w:val="0"/>
          <w:marRight w:val="0"/>
          <w:marTop w:val="0"/>
          <w:marBottom w:val="0"/>
          <w:divBdr>
            <w:top w:val="none" w:sz="0" w:space="0" w:color="auto"/>
            <w:left w:val="none" w:sz="0" w:space="0" w:color="auto"/>
            <w:bottom w:val="none" w:sz="0" w:space="0" w:color="auto"/>
            <w:right w:val="none" w:sz="0" w:space="0" w:color="auto"/>
          </w:divBdr>
        </w:div>
        <w:div w:id="554465031">
          <w:marLeft w:val="0"/>
          <w:marRight w:val="0"/>
          <w:marTop w:val="0"/>
          <w:marBottom w:val="0"/>
          <w:divBdr>
            <w:top w:val="none" w:sz="0" w:space="0" w:color="auto"/>
            <w:left w:val="none" w:sz="0" w:space="0" w:color="auto"/>
            <w:bottom w:val="none" w:sz="0" w:space="0" w:color="auto"/>
            <w:right w:val="none" w:sz="0" w:space="0" w:color="auto"/>
          </w:divBdr>
        </w:div>
        <w:div w:id="1889414579">
          <w:marLeft w:val="0"/>
          <w:marRight w:val="0"/>
          <w:marTop w:val="0"/>
          <w:marBottom w:val="0"/>
          <w:divBdr>
            <w:top w:val="none" w:sz="0" w:space="0" w:color="auto"/>
            <w:left w:val="none" w:sz="0" w:space="0" w:color="auto"/>
            <w:bottom w:val="none" w:sz="0" w:space="0" w:color="auto"/>
            <w:right w:val="none" w:sz="0" w:space="0" w:color="auto"/>
          </w:divBdr>
        </w:div>
        <w:div w:id="1205019604">
          <w:marLeft w:val="0"/>
          <w:marRight w:val="0"/>
          <w:marTop w:val="0"/>
          <w:marBottom w:val="0"/>
          <w:divBdr>
            <w:top w:val="none" w:sz="0" w:space="0" w:color="auto"/>
            <w:left w:val="none" w:sz="0" w:space="0" w:color="auto"/>
            <w:bottom w:val="none" w:sz="0" w:space="0" w:color="auto"/>
            <w:right w:val="none" w:sz="0" w:space="0" w:color="auto"/>
          </w:divBdr>
        </w:div>
        <w:div w:id="417485991">
          <w:marLeft w:val="0"/>
          <w:marRight w:val="0"/>
          <w:marTop w:val="0"/>
          <w:marBottom w:val="0"/>
          <w:divBdr>
            <w:top w:val="none" w:sz="0" w:space="0" w:color="auto"/>
            <w:left w:val="none" w:sz="0" w:space="0" w:color="auto"/>
            <w:bottom w:val="none" w:sz="0" w:space="0" w:color="auto"/>
            <w:right w:val="none" w:sz="0" w:space="0" w:color="auto"/>
          </w:divBdr>
        </w:div>
        <w:div w:id="425535346">
          <w:marLeft w:val="0"/>
          <w:marRight w:val="0"/>
          <w:marTop w:val="0"/>
          <w:marBottom w:val="0"/>
          <w:divBdr>
            <w:top w:val="none" w:sz="0" w:space="0" w:color="auto"/>
            <w:left w:val="none" w:sz="0" w:space="0" w:color="auto"/>
            <w:bottom w:val="none" w:sz="0" w:space="0" w:color="auto"/>
            <w:right w:val="none" w:sz="0" w:space="0" w:color="auto"/>
          </w:divBdr>
        </w:div>
        <w:div w:id="1273048230">
          <w:marLeft w:val="0"/>
          <w:marRight w:val="0"/>
          <w:marTop w:val="0"/>
          <w:marBottom w:val="0"/>
          <w:divBdr>
            <w:top w:val="none" w:sz="0" w:space="0" w:color="auto"/>
            <w:left w:val="none" w:sz="0" w:space="0" w:color="auto"/>
            <w:bottom w:val="none" w:sz="0" w:space="0" w:color="auto"/>
            <w:right w:val="none" w:sz="0" w:space="0" w:color="auto"/>
          </w:divBdr>
        </w:div>
        <w:div w:id="1922445267">
          <w:marLeft w:val="0"/>
          <w:marRight w:val="0"/>
          <w:marTop w:val="0"/>
          <w:marBottom w:val="0"/>
          <w:divBdr>
            <w:top w:val="none" w:sz="0" w:space="0" w:color="auto"/>
            <w:left w:val="none" w:sz="0" w:space="0" w:color="auto"/>
            <w:bottom w:val="none" w:sz="0" w:space="0" w:color="auto"/>
            <w:right w:val="none" w:sz="0" w:space="0" w:color="auto"/>
          </w:divBdr>
        </w:div>
        <w:div w:id="888490346">
          <w:marLeft w:val="0"/>
          <w:marRight w:val="0"/>
          <w:marTop w:val="0"/>
          <w:marBottom w:val="0"/>
          <w:divBdr>
            <w:top w:val="none" w:sz="0" w:space="0" w:color="auto"/>
            <w:left w:val="none" w:sz="0" w:space="0" w:color="auto"/>
            <w:bottom w:val="none" w:sz="0" w:space="0" w:color="auto"/>
            <w:right w:val="none" w:sz="0" w:space="0" w:color="auto"/>
          </w:divBdr>
        </w:div>
        <w:div w:id="86342373">
          <w:marLeft w:val="0"/>
          <w:marRight w:val="0"/>
          <w:marTop w:val="0"/>
          <w:marBottom w:val="0"/>
          <w:divBdr>
            <w:top w:val="none" w:sz="0" w:space="0" w:color="auto"/>
            <w:left w:val="none" w:sz="0" w:space="0" w:color="auto"/>
            <w:bottom w:val="none" w:sz="0" w:space="0" w:color="auto"/>
            <w:right w:val="none" w:sz="0" w:space="0" w:color="auto"/>
          </w:divBdr>
        </w:div>
        <w:div w:id="1430858316">
          <w:marLeft w:val="0"/>
          <w:marRight w:val="0"/>
          <w:marTop w:val="0"/>
          <w:marBottom w:val="0"/>
          <w:divBdr>
            <w:top w:val="none" w:sz="0" w:space="0" w:color="auto"/>
            <w:left w:val="none" w:sz="0" w:space="0" w:color="auto"/>
            <w:bottom w:val="none" w:sz="0" w:space="0" w:color="auto"/>
            <w:right w:val="none" w:sz="0" w:space="0" w:color="auto"/>
          </w:divBdr>
        </w:div>
        <w:div w:id="885067877">
          <w:marLeft w:val="0"/>
          <w:marRight w:val="0"/>
          <w:marTop w:val="0"/>
          <w:marBottom w:val="0"/>
          <w:divBdr>
            <w:top w:val="none" w:sz="0" w:space="0" w:color="auto"/>
            <w:left w:val="none" w:sz="0" w:space="0" w:color="auto"/>
            <w:bottom w:val="none" w:sz="0" w:space="0" w:color="auto"/>
            <w:right w:val="none" w:sz="0" w:space="0" w:color="auto"/>
          </w:divBdr>
        </w:div>
        <w:div w:id="1989698672">
          <w:marLeft w:val="0"/>
          <w:marRight w:val="0"/>
          <w:marTop w:val="0"/>
          <w:marBottom w:val="0"/>
          <w:divBdr>
            <w:top w:val="none" w:sz="0" w:space="0" w:color="auto"/>
            <w:left w:val="none" w:sz="0" w:space="0" w:color="auto"/>
            <w:bottom w:val="none" w:sz="0" w:space="0" w:color="auto"/>
            <w:right w:val="none" w:sz="0" w:space="0" w:color="auto"/>
          </w:divBdr>
        </w:div>
        <w:div w:id="1326934405">
          <w:marLeft w:val="0"/>
          <w:marRight w:val="0"/>
          <w:marTop w:val="0"/>
          <w:marBottom w:val="0"/>
          <w:divBdr>
            <w:top w:val="none" w:sz="0" w:space="0" w:color="auto"/>
            <w:left w:val="none" w:sz="0" w:space="0" w:color="auto"/>
            <w:bottom w:val="none" w:sz="0" w:space="0" w:color="auto"/>
            <w:right w:val="none" w:sz="0" w:space="0" w:color="auto"/>
          </w:divBdr>
        </w:div>
        <w:div w:id="1268999867">
          <w:marLeft w:val="0"/>
          <w:marRight w:val="0"/>
          <w:marTop w:val="0"/>
          <w:marBottom w:val="0"/>
          <w:divBdr>
            <w:top w:val="none" w:sz="0" w:space="0" w:color="auto"/>
            <w:left w:val="none" w:sz="0" w:space="0" w:color="auto"/>
            <w:bottom w:val="none" w:sz="0" w:space="0" w:color="auto"/>
            <w:right w:val="none" w:sz="0" w:space="0" w:color="auto"/>
          </w:divBdr>
        </w:div>
        <w:div w:id="829639065">
          <w:marLeft w:val="0"/>
          <w:marRight w:val="0"/>
          <w:marTop w:val="0"/>
          <w:marBottom w:val="0"/>
          <w:divBdr>
            <w:top w:val="none" w:sz="0" w:space="0" w:color="auto"/>
            <w:left w:val="none" w:sz="0" w:space="0" w:color="auto"/>
            <w:bottom w:val="none" w:sz="0" w:space="0" w:color="auto"/>
            <w:right w:val="none" w:sz="0" w:space="0" w:color="auto"/>
          </w:divBdr>
        </w:div>
        <w:div w:id="428546502">
          <w:marLeft w:val="0"/>
          <w:marRight w:val="0"/>
          <w:marTop w:val="0"/>
          <w:marBottom w:val="0"/>
          <w:divBdr>
            <w:top w:val="none" w:sz="0" w:space="0" w:color="auto"/>
            <w:left w:val="none" w:sz="0" w:space="0" w:color="auto"/>
            <w:bottom w:val="none" w:sz="0" w:space="0" w:color="auto"/>
            <w:right w:val="none" w:sz="0" w:space="0" w:color="auto"/>
          </w:divBdr>
        </w:div>
        <w:div w:id="1123688738">
          <w:marLeft w:val="0"/>
          <w:marRight w:val="0"/>
          <w:marTop w:val="0"/>
          <w:marBottom w:val="0"/>
          <w:divBdr>
            <w:top w:val="none" w:sz="0" w:space="0" w:color="auto"/>
            <w:left w:val="none" w:sz="0" w:space="0" w:color="auto"/>
            <w:bottom w:val="none" w:sz="0" w:space="0" w:color="auto"/>
            <w:right w:val="none" w:sz="0" w:space="0" w:color="auto"/>
          </w:divBdr>
        </w:div>
        <w:div w:id="652609987">
          <w:marLeft w:val="0"/>
          <w:marRight w:val="0"/>
          <w:marTop w:val="0"/>
          <w:marBottom w:val="0"/>
          <w:divBdr>
            <w:top w:val="none" w:sz="0" w:space="0" w:color="auto"/>
            <w:left w:val="none" w:sz="0" w:space="0" w:color="auto"/>
            <w:bottom w:val="none" w:sz="0" w:space="0" w:color="auto"/>
            <w:right w:val="none" w:sz="0" w:space="0" w:color="auto"/>
          </w:divBdr>
        </w:div>
        <w:div w:id="326062172">
          <w:marLeft w:val="0"/>
          <w:marRight w:val="0"/>
          <w:marTop w:val="0"/>
          <w:marBottom w:val="0"/>
          <w:divBdr>
            <w:top w:val="none" w:sz="0" w:space="0" w:color="auto"/>
            <w:left w:val="none" w:sz="0" w:space="0" w:color="auto"/>
            <w:bottom w:val="none" w:sz="0" w:space="0" w:color="auto"/>
            <w:right w:val="none" w:sz="0" w:space="0" w:color="auto"/>
          </w:divBdr>
        </w:div>
        <w:div w:id="31463893">
          <w:marLeft w:val="0"/>
          <w:marRight w:val="0"/>
          <w:marTop w:val="0"/>
          <w:marBottom w:val="0"/>
          <w:divBdr>
            <w:top w:val="none" w:sz="0" w:space="0" w:color="auto"/>
            <w:left w:val="none" w:sz="0" w:space="0" w:color="auto"/>
            <w:bottom w:val="none" w:sz="0" w:space="0" w:color="auto"/>
            <w:right w:val="none" w:sz="0" w:space="0" w:color="auto"/>
          </w:divBdr>
        </w:div>
        <w:div w:id="2115205224">
          <w:marLeft w:val="0"/>
          <w:marRight w:val="0"/>
          <w:marTop w:val="0"/>
          <w:marBottom w:val="0"/>
          <w:divBdr>
            <w:top w:val="none" w:sz="0" w:space="0" w:color="auto"/>
            <w:left w:val="none" w:sz="0" w:space="0" w:color="auto"/>
            <w:bottom w:val="none" w:sz="0" w:space="0" w:color="auto"/>
            <w:right w:val="none" w:sz="0" w:space="0" w:color="auto"/>
          </w:divBdr>
        </w:div>
        <w:div w:id="1703050096">
          <w:marLeft w:val="0"/>
          <w:marRight w:val="0"/>
          <w:marTop w:val="0"/>
          <w:marBottom w:val="0"/>
          <w:divBdr>
            <w:top w:val="none" w:sz="0" w:space="0" w:color="auto"/>
            <w:left w:val="none" w:sz="0" w:space="0" w:color="auto"/>
            <w:bottom w:val="none" w:sz="0" w:space="0" w:color="auto"/>
            <w:right w:val="none" w:sz="0" w:space="0" w:color="auto"/>
          </w:divBdr>
        </w:div>
        <w:div w:id="626354184">
          <w:marLeft w:val="0"/>
          <w:marRight w:val="0"/>
          <w:marTop w:val="0"/>
          <w:marBottom w:val="0"/>
          <w:divBdr>
            <w:top w:val="none" w:sz="0" w:space="0" w:color="auto"/>
            <w:left w:val="none" w:sz="0" w:space="0" w:color="auto"/>
            <w:bottom w:val="none" w:sz="0" w:space="0" w:color="auto"/>
            <w:right w:val="none" w:sz="0" w:space="0" w:color="auto"/>
          </w:divBdr>
        </w:div>
        <w:div w:id="594169044">
          <w:marLeft w:val="0"/>
          <w:marRight w:val="0"/>
          <w:marTop w:val="0"/>
          <w:marBottom w:val="0"/>
          <w:divBdr>
            <w:top w:val="none" w:sz="0" w:space="0" w:color="auto"/>
            <w:left w:val="none" w:sz="0" w:space="0" w:color="auto"/>
            <w:bottom w:val="none" w:sz="0" w:space="0" w:color="auto"/>
            <w:right w:val="none" w:sz="0" w:space="0" w:color="auto"/>
          </w:divBdr>
        </w:div>
        <w:div w:id="2140684918">
          <w:marLeft w:val="0"/>
          <w:marRight w:val="0"/>
          <w:marTop w:val="0"/>
          <w:marBottom w:val="0"/>
          <w:divBdr>
            <w:top w:val="none" w:sz="0" w:space="0" w:color="auto"/>
            <w:left w:val="none" w:sz="0" w:space="0" w:color="auto"/>
            <w:bottom w:val="none" w:sz="0" w:space="0" w:color="auto"/>
            <w:right w:val="none" w:sz="0" w:space="0" w:color="auto"/>
          </w:divBdr>
        </w:div>
        <w:div w:id="921333685">
          <w:marLeft w:val="0"/>
          <w:marRight w:val="0"/>
          <w:marTop w:val="0"/>
          <w:marBottom w:val="0"/>
          <w:divBdr>
            <w:top w:val="none" w:sz="0" w:space="0" w:color="auto"/>
            <w:left w:val="none" w:sz="0" w:space="0" w:color="auto"/>
            <w:bottom w:val="none" w:sz="0" w:space="0" w:color="auto"/>
            <w:right w:val="none" w:sz="0" w:space="0" w:color="auto"/>
          </w:divBdr>
        </w:div>
        <w:div w:id="719015126">
          <w:marLeft w:val="0"/>
          <w:marRight w:val="0"/>
          <w:marTop w:val="0"/>
          <w:marBottom w:val="0"/>
          <w:divBdr>
            <w:top w:val="none" w:sz="0" w:space="0" w:color="auto"/>
            <w:left w:val="none" w:sz="0" w:space="0" w:color="auto"/>
            <w:bottom w:val="none" w:sz="0" w:space="0" w:color="auto"/>
            <w:right w:val="none" w:sz="0" w:space="0" w:color="auto"/>
          </w:divBdr>
        </w:div>
        <w:div w:id="1077098759">
          <w:marLeft w:val="0"/>
          <w:marRight w:val="0"/>
          <w:marTop w:val="0"/>
          <w:marBottom w:val="0"/>
          <w:divBdr>
            <w:top w:val="none" w:sz="0" w:space="0" w:color="auto"/>
            <w:left w:val="none" w:sz="0" w:space="0" w:color="auto"/>
            <w:bottom w:val="none" w:sz="0" w:space="0" w:color="auto"/>
            <w:right w:val="none" w:sz="0" w:space="0" w:color="auto"/>
          </w:divBdr>
        </w:div>
        <w:div w:id="1613169349">
          <w:marLeft w:val="0"/>
          <w:marRight w:val="0"/>
          <w:marTop w:val="0"/>
          <w:marBottom w:val="0"/>
          <w:divBdr>
            <w:top w:val="none" w:sz="0" w:space="0" w:color="auto"/>
            <w:left w:val="none" w:sz="0" w:space="0" w:color="auto"/>
            <w:bottom w:val="none" w:sz="0" w:space="0" w:color="auto"/>
            <w:right w:val="none" w:sz="0" w:space="0" w:color="auto"/>
          </w:divBdr>
        </w:div>
        <w:div w:id="1338000916">
          <w:marLeft w:val="0"/>
          <w:marRight w:val="0"/>
          <w:marTop w:val="0"/>
          <w:marBottom w:val="0"/>
          <w:divBdr>
            <w:top w:val="none" w:sz="0" w:space="0" w:color="auto"/>
            <w:left w:val="none" w:sz="0" w:space="0" w:color="auto"/>
            <w:bottom w:val="none" w:sz="0" w:space="0" w:color="auto"/>
            <w:right w:val="none" w:sz="0" w:space="0" w:color="auto"/>
          </w:divBdr>
        </w:div>
        <w:div w:id="425737989">
          <w:marLeft w:val="0"/>
          <w:marRight w:val="0"/>
          <w:marTop w:val="0"/>
          <w:marBottom w:val="0"/>
          <w:divBdr>
            <w:top w:val="none" w:sz="0" w:space="0" w:color="auto"/>
            <w:left w:val="none" w:sz="0" w:space="0" w:color="auto"/>
            <w:bottom w:val="none" w:sz="0" w:space="0" w:color="auto"/>
            <w:right w:val="none" w:sz="0" w:space="0" w:color="auto"/>
          </w:divBdr>
        </w:div>
        <w:div w:id="1010568246">
          <w:marLeft w:val="0"/>
          <w:marRight w:val="0"/>
          <w:marTop w:val="0"/>
          <w:marBottom w:val="0"/>
          <w:divBdr>
            <w:top w:val="none" w:sz="0" w:space="0" w:color="auto"/>
            <w:left w:val="none" w:sz="0" w:space="0" w:color="auto"/>
            <w:bottom w:val="none" w:sz="0" w:space="0" w:color="auto"/>
            <w:right w:val="none" w:sz="0" w:space="0" w:color="auto"/>
          </w:divBdr>
        </w:div>
        <w:div w:id="122501185">
          <w:marLeft w:val="0"/>
          <w:marRight w:val="0"/>
          <w:marTop w:val="0"/>
          <w:marBottom w:val="0"/>
          <w:divBdr>
            <w:top w:val="none" w:sz="0" w:space="0" w:color="auto"/>
            <w:left w:val="none" w:sz="0" w:space="0" w:color="auto"/>
            <w:bottom w:val="none" w:sz="0" w:space="0" w:color="auto"/>
            <w:right w:val="none" w:sz="0" w:space="0" w:color="auto"/>
          </w:divBdr>
        </w:div>
        <w:div w:id="636102795">
          <w:marLeft w:val="0"/>
          <w:marRight w:val="0"/>
          <w:marTop w:val="0"/>
          <w:marBottom w:val="0"/>
          <w:divBdr>
            <w:top w:val="none" w:sz="0" w:space="0" w:color="auto"/>
            <w:left w:val="none" w:sz="0" w:space="0" w:color="auto"/>
            <w:bottom w:val="none" w:sz="0" w:space="0" w:color="auto"/>
            <w:right w:val="none" w:sz="0" w:space="0" w:color="auto"/>
          </w:divBdr>
        </w:div>
        <w:div w:id="2028291944">
          <w:marLeft w:val="0"/>
          <w:marRight w:val="0"/>
          <w:marTop w:val="0"/>
          <w:marBottom w:val="0"/>
          <w:divBdr>
            <w:top w:val="none" w:sz="0" w:space="0" w:color="auto"/>
            <w:left w:val="none" w:sz="0" w:space="0" w:color="auto"/>
            <w:bottom w:val="none" w:sz="0" w:space="0" w:color="auto"/>
            <w:right w:val="none" w:sz="0" w:space="0" w:color="auto"/>
          </w:divBdr>
        </w:div>
        <w:div w:id="1995600988">
          <w:marLeft w:val="0"/>
          <w:marRight w:val="0"/>
          <w:marTop w:val="0"/>
          <w:marBottom w:val="0"/>
          <w:divBdr>
            <w:top w:val="none" w:sz="0" w:space="0" w:color="auto"/>
            <w:left w:val="none" w:sz="0" w:space="0" w:color="auto"/>
            <w:bottom w:val="none" w:sz="0" w:space="0" w:color="auto"/>
            <w:right w:val="none" w:sz="0" w:space="0" w:color="auto"/>
          </w:divBdr>
        </w:div>
        <w:div w:id="683170371">
          <w:marLeft w:val="0"/>
          <w:marRight w:val="0"/>
          <w:marTop w:val="0"/>
          <w:marBottom w:val="0"/>
          <w:divBdr>
            <w:top w:val="none" w:sz="0" w:space="0" w:color="auto"/>
            <w:left w:val="none" w:sz="0" w:space="0" w:color="auto"/>
            <w:bottom w:val="none" w:sz="0" w:space="0" w:color="auto"/>
            <w:right w:val="none" w:sz="0" w:space="0" w:color="auto"/>
          </w:divBdr>
        </w:div>
        <w:div w:id="1392538543">
          <w:marLeft w:val="0"/>
          <w:marRight w:val="0"/>
          <w:marTop w:val="0"/>
          <w:marBottom w:val="0"/>
          <w:divBdr>
            <w:top w:val="none" w:sz="0" w:space="0" w:color="auto"/>
            <w:left w:val="none" w:sz="0" w:space="0" w:color="auto"/>
            <w:bottom w:val="none" w:sz="0" w:space="0" w:color="auto"/>
            <w:right w:val="none" w:sz="0" w:space="0" w:color="auto"/>
          </w:divBdr>
        </w:div>
        <w:div w:id="800415631">
          <w:marLeft w:val="0"/>
          <w:marRight w:val="0"/>
          <w:marTop w:val="0"/>
          <w:marBottom w:val="0"/>
          <w:divBdr>
            <w:top w:val="none" w:sz="0" w:space="0" w:color="auto"/>
            <w:left w:val="none" w:sz="0" w:space="0" w:color="auto"/>
            <w:bottom w:val="none" w:sz="0" w:space="0" w:color="auto"/>
            <w:right w:val="none" w:sz="0" w:space="0" w:color="auto"/>
          </w:divBdr>
        </w:div>
        <w:div w:id="424763770">
          <w:marLeft w:val="0"/>
          <w:marRight w:val="0"/>
          <w:marTop w:val="0"/>
          <w:marBottom w:val="0"/>
          <w:divBdr>
            <w:top w:val="none" w:sz="0" w:space="0" w:color="auto"/>
            <w:left w:val="none" w:sz="0" w:space="0" w:color="auto"/>
            <w:bottom w:val="none" w:sz="0" w:space="0" w:color="auto"/>
            <w:right w:val="none" w:sz="0" w:space="0" w:color="auto"/>
          </w:divBdr>
        </w:div>
        <w:div w:id="987055784">
          <w:marLeft w:val="0"/>
          <w:marRight w:val="0"/>
          <w:marTop w:val="0"/>
          <w:marBottom w:val="0"/>
          <w:divBdr>
            <w:top w:val="none" w:sz="0" w:space="0" w:color="auto"/>
            <w:left w:val="none" w:sz="0" w:space="0" w:color="auto"/>
            <w:bottom w:val="none" w:sz="0" w:space="0" w:color="auto"/>
            <w:right w:val="none" w:sz="0" w:space="0" w:color="auto"/>
          </w:divBdr>
        </w:div>
        <w:div w:id="917516849">
          <w:marLeft w:val="0"/>
          <w:marRight w:val="0"/>
          <w:marTop w:val="0"/>
          <w:marBottom w:val="0"/>
          <w:divBdr>
            <w:top w:val="none" w:sz="0" w:space="0" w:color="auto"/>
            <w:left w:val="none" w:sz="0" w:space="0" w:color="auto"/>
            <w:bottom w:val="none" w:sz="0" w:space="0" w:color="auto"/>
            <w:right w:val="none" w:sz="0" w:space="0" w:color="auto"/>
          </w:divBdr>
        </w:div>
        <w:div w:id="532111876">
          <w:marLeft w:val="0"/>
          <w:marRight w:val="0"/>
          <w:marTop w:val="0"/>
          <w:marBottom w:val="0"/>
          <w:divBdr>
            <w:top w:val="none" w:sz="0" w:space="0" w:color="auto"/>
            <w:left w:val="none" w:sz="0" w:space="0" w:color="auto"/>
            <w:bottom w:val="none" w:sz="0" w:space="0" w:color="auto"/>
            <w:right w:val="none" w:sz="0" w:space="0" w:color="auto"/>
          </w:divBdr>
        </w:div>
        <w:div w:id="1495072837">
          <w:marLeft w:val="0"/>
          <w:marRight w:val="0"/>
          <w:marTop w:val="0"/>
          <w:marBottom w:val="0"/>
          <w:divBdr>
            <w:top w:val="none" w:sz="0" w:space="0" w:color="auto"/>
            <w:left w:val="none" w:sz="0" w:space="0" w:color="auto"/>
            <w:bottom w:val="none" w:sz="0" w:space="0" w:color="auto"/>
            <w:right w:val="none" w:sz="0" w:space="0" w:color="auto"/>
          </w:divBdr>
        </w:div>
        <w:div w:id="1869026305">
          <w:marLeft w:val="0"/>
          <w:marRight w:val="0"/>
          <w:marTop w:val="0"/>
          <w:marBottom w:val="0"/>
          <w:divBdr>
            <w:top w:val="none" w:sz="0" w:space="0" w:color="auto"/>
            <w:left w:val="none" w:sz="0" w:space="0" w:color="auto"/>
            <w:bottom w:val="none" w:sz="0" w:space="0" w:color="auto"/>
            <w:right w:val="none" w:sz="0" w:space="0" w:color="auto"/>
          </w:divBdr>
        </w:div>
        <w:div w:id="155845964">
          <w:marLeft w:val="0"/>
          <w:marRight w:val="0"/>
          <w:marTop w:val="0"/>
          <w:marBottom w:val="0"/>
          <w:divBdr>
            <w:top w:val="none" w:sz="0" w:space="0" w:color="auto"/>
            <w:left w:val="none" w:sz="0" w:space="0" w:color="auto"/>
            <w:bottom w:val="none" w:sz="0" w:space="0" w:color="auto"/>
            <w:right w:val="none" w:sz="0" w:space="0" w:color="auto"/>
          </w:divBdr>
        </w:div>
        <w:div w:id="1194420570">
          <w:marLeft w:val="0"/>
          <w:marRight w:val="0"/>
          <w:marTop w:val="0"/>
          <w:marBottom w:val="0"/>
          <w:divBdr>
            <w:top w:val="none" w:sz="0" w:space="0" w:color="auto"/>
            <w:left w:val="none" w:sz="0" w:space="0" w:color="auto"/>
            <w:bottom w:val="none" w:sz="0" w:space="0" w:color="auto"/>
            <w:right w:val="none" w:sz="0" w:space="0" w:color="auto"/>
          </w:divBdr>
        </w:div>
        <w:div w:id="1253121358">
          <w:marLeft w:val="0"/>
          <w:marRight w:val="0"/>
          <w:marTop w:val="0"/>
          <w:marBottom w:val="0"/>
          <w:divBdr>
            <w:top w:val="none" w:sz="0" w:space="0" w:color="auto"/>
            <w:left w:val="none" w:sz="0" w:space="0" w:color="auto"/>
            <w:bottom w:val="none" w:sz="0" w:space="0" w:color="auto"/>
            <w:right w:val="none" w:sz="0" w:space="0" w:color="auto"/>
          </w:divBdr>
        </w:div>
        <w:div w:id="1507089066">
          <w:marLeft w:val="0"/>
          <w:marRight w:val="0"/>
          <w:marTop w:val="0"/>
          <w:marBottom w:val="0"/>
          <w:divBdr>
            <w:top w:val="none" w:sz="0" w:space="0" w:color="auto"/>
            <w:left w:val="none" w:sz="0" w:space="0" w:color="auto"/>
            <w:bottom w:val="none" w:sz="0" w:space="0" w:color="auto"/>
            <w:right w:val="none" w:sz="0" w:space="0" w:color="auto"/>
          </w:divBdr>
        </w:div>
        <w:div w:id="1097751379">
          <w:marLeft w:val="0"/>
          <w:marRight w:val="0"/>
          <w:marTop w:val="0"/>
          <w:marBottom w:val="0"/>
          <w:divBdr>
            <w:top w:val="none" w:sz="0" w:space="0" w:color="auto"/>
            <w:left w:val="none" w:sz="0" w:space="0" w:color="auto"/>
            <w:bottom w:val="none" w:sz="0" w:space="0" w:color="auto"/>
            <w:right w:val="none" w:sz="0" w:space="0" w:color="auto"/>
          </w:divBdr>
        </w:div>
        <w:div w:id="786895129">
          <w:marLeft w:val="0"/>
          <w:marRight w:val="0"/>
          <w:marTop w:val="0"/>
          <w:marBottom w:val="0"/>
          <w:divBdr>
            <w:top w:val="none" w:sz="0" w:space="0" w:color="auto"/>
            <w:left w:val="none" w:sz="0" w:space="0" w:color="auto"/>
            <w:bottom w:val="none" w:sz="0" w:space="0" w:color="auto"/>
            <w:right w:val="none" w:sz="0" w:space="0" w:color="auto"/>
          </w:divBdr>
        </w:div>
        <w:div w:id="2124376213">
          <w:marLeft w:val="0"/>
          <w:marRight w:val="0"/>
          <w:marTop w:val="0"/>
          <w:marBottom w:val="0"/>
          <w:divBdr>
            <w:top w:val="none" w:sz="0" w:space="0" w:color="auto"/>
            <w:left w:val="none" w:sz="0" w:space="0" w:color="auto"/>
            <w:bottom w:val="none" w:sz="0" w:space="0" w:color="auto"/>
            <w:right w:val="none" w:sz="0" w:space="0" w:color="auto"/>
          </w:divBdr>
        </w:div>
        <w:div w:id="1393887474">
          <w:marLeft w:val="0"/>
          <w:marRight w:val="0"/>
          <w:marTop w:val="0"/>
          <w:marBottom w:val="0"/>
          <w:divBdr>
            <w:top w:val="none" w:sz="0" w:space="0" w:color="auto"/>
            <w:left w:val="none" w:sz="0" w:space="0" w:color="auto"/>
            <w:bottom w:val="none" w:sz="0" w:space="0" w:color="auto"/>
            <w:right w:val="none" w:sz="0" w:space="0" w:color="auto"/>
          </w:divBdr>
        </w:div>
        <w:div w:id="760490454">
          <w:marLeft w:val="0"/>
          <w:marRight w:val="0"/>
          <w:marTop w:val="0"/>
          <w:marBottom w:val="0"/>
          <w:divBdr>
            <w:top w:val="none" w:sz="0" w:space="0" w:color="auto"/>
            <w:left w:val="none" w:sz="0" w:space="0" w:color="auto"/>
            <w:bottom w:val="none" w:sz="0" w:space="0" w:color="auto"/>
            <w:right w:val="none" w:sz="0" w:space="0" w:color="auto"/>
          </w:divBdr>
        </w:div>
        <w:div w:id="81806818">
          <w:marLeft w:val="0"/>
          <w:marRight w:val="0"/>
          <w:marTop w:val="0"/>
          <w:marBottom w:val="0"/>
          <w:divBdr>
            <w:top w:val="none" w:sz="0" w:space="0" w:color="auto"/>
            <w:left w:val="none" w:sz="0" w:space="0" w:color="auto"/>
            <w:bottom w:val="none" w:sz="0" w:space="0" w:color="auto"/>
            <w:right w:val="none" w:sz="0" w:space="0" w:color="auto"/>
          </w:divBdr>
        </w:div>
        <w:div w:id="359626685">
          <w:marLeft w:val="0"/>
          <w:marRight w:val="0"/>
          <w:marTop w:val="0"/>
          <w:marBottom w:val="0"/>
          <w:divBdr>
            <w:top w:val="none" w:sz="0" w:space="0" w:color="auto"/>
            <w:left w:val="none" w:sz="0" w:space="0" w:color="auto"/>
            <w:bottom w:val="none" w:sz="0" w:space="0" w:color="auto"/>
            <w:right w:val="none" w:sz="0" w:space="0" w:color="auto"/>
          </w:divBdr>
        </w:div>
        <w:div w:id="713426337">
          <w:marLeft w:val="0"/>
          <w:marRight w:val="0"/>
          <w:marTop w:val="0"/>
          <w:marBottom w:val="0"/>
          <w:divBdr>
            <w:top w:val="none" w:sz="0" w:space="0" w:color="auto"/>
            <w:left w:val="none" w:sz="0" w:space="0" w:color="auto"/>
            <w:bottom w:val="none" w:sz="0" w:space="0" w:color="auto"/>
            <w:right w:val="none" w:sz="0" w:space="0" w:color="auto"/>
          </w:divBdr>
        </w:div>
      </w:divsChild>
    </w:div>
    <w:div w:id="131213885">
      <w:bodyDiv w:val="1"/>
      <w:marLeft w:val="0"/>
      <w:marRight w:val="0"/>
      <w:marTop w:val="0"/>
      <w:marBottom w:val="0"/>
      <w:divBdr>
        <w:top w:val="none" w:sz="0" w:space="0" w:color="auto"/>
        <w:left w:val="none" w:sz="0" w:space="0" w:color="auto"/>
        <w:bottom w:val="none" w:sz="0" w:space="0" w:color="auto"/>
        <w:right w:val="none" w:sz="0" w:space="0" w:color="auto"/>
      </w:divBdr>
      <w:divsChild>
        <w:div w:id="1795899543">
          <w:marLeft w:val="0"/>
          <w:marRight w:val="0"/>
          <w:marTop w:val="0"/>
          <w:marBottom w:val="0"/>
          <w:divBdr>
            <w:top w:val="none" w:sz="0" w:space="0" w:color="auto"/>
            <w:left w:val="none" w:sz="0" w:space="0" w:color="auto"/>
            <w:bottom w:val="none" w:sz="0" w:space="0" w:color="auto"/>
            <w:right w:val="none" w:sz="0" w:space="0" w:color="auto"/>
          </w:divBdr>
          <w:divsChild>
            <w:div w:id="238055134">
              <w:marLeft w:val="0"/>
              <w:marRight w:val="0"/>
              <w:marTop w:val="0"/>
              <w:marBottom w:val="0"/>
              <w:divBdr>
                <w:top w:val="none" w:sz="0" w:space="0" w:color="auto"/>
                <w:left w:val="none" w:sz="0" w:space="0" w:color="auto"/>
                <w:bottom w:val="none" w:sz="0" w:space="0" w:color="auto"/>
                <w:right w:val="none" w:sz="0" w:space="0" w:color="auto"/>
              </w:divBdr>
              <w:divsChild>
                <w:div w:id="2076782035">
                  <w:marLeft w:val="0"/>
                  <w:marRight w:val="0"/>
                  <w:marTop w:val="0"/>
                  <w:marBottom w:val="0"/>
                  <w:divBdr>
                    <w:top w:val="none" w:sz="0" w:space="0" w:color="auto"/>
                    <w:left w:val="none" w:sz="0" w:space="0" w:color="auto"/>
                    <w:bottom w:val="none" w:sz="0" w:space="0" w:color="auto"/>
                    <w:right w:val="none" w:sz="0" w:space="0" w:color="auto"/>
                  </w:divBdr>
                  <w:divsChild>
                    <w:div w:id="1277642640">
                      <w:marLeft w:val="0"/>
                      <w:marRight w:val="0"/>
                      <w:marTop w:val="0"/>
                      <w:marBottom w:val="0"/>
                      <w:divBdr>
                        <w:top w:val="none" w:sz="0" w:space="0" w:color="auto"/>
                        <w:left w:val="none" w:sz="0" w:space="0" w:color="auto"/>
                        <w:bottom w:val="none" w:sz="0" w:space="0" w:color="auto"/>
                        <w:right w:val="none" w:sz="0" w:space="0" w:color="auto"/>
                      </w:divBdr>
                      <w:divsChild>
                        <w:div w:id="849373390">
                          <w:marLeft w:val="0"/>
                          <w:marRight w:val="0"/>
                          <w:marTop w:val="0"/>
                          <w:marBottom w:val="0"/>
                          <w:divBdr>
                            <w:top w:val="none" w:sz="0" w:space="0" w:color="auto"/>
                            <w:left w:val="none" w:sz="0" w:space="0" w:color="auto"/>
                            <w:bottom w:val="none" w:sz="0" w:space="0" w:color="auto"/>
                            <w:right w:val="none" w:sz="0" w:space="0" w:color="auto"/>
                          </w:divBdr>
                          <w:divsChild>
                            <w:div w:id="1001393761">
                              <w:marLeft w:val="0"/>
                              <w:marRight w:val="0"/>
                              <w:marTop w:val="0"/>
                              <w:marBottom w:val="0"/>
                              <w:divBdr>
                                <w:top w:val="none" w:sz="0" w:space="0" w:color="auto"/>
                                <w:left w:val="none" w:sz="0" w:space="0" w:color="auto"/>
                                <w:bottom w:val="none" w:sz="0" w:space="0" w:color="auto"/>
                                <w:right w:val="none" w:sz="0" w:space="0" w:color="auto"/>
                              </w:divBdr>
                              <w:divsChild>
                                <w:div w:id="956831130">
                                  <w:marLeft w:val="0"/>
                                  <w:marRight w:val="0"/>
                                  <w:marTop w:val="0"/>
                                  <w:marBottom w:val="0"/>
                                  <w:divBdr>
                                    <w:top w:val="none" w:sz="0" w:space="0" w:color="auto"/>
                                    <w:left w:val="none" w:sz="0" w:space="0" w:color="auto"/>
                                    <w:bottom w:val="none" w:sz="0" w:space="0" w:color="auto"/>
                                    <w:right w:val="none" w:sz="0" w:space="0" w:color="auto"/>
                                  </w:divBdr>
                                  <w:divsChild>
                                    <w:div w:id="10420612">
                                      <w:marLeft w:val="0"/>
                                      <w:marRight w:val="0"/>
                                      <w:marTop w:val="0"/>
                                      <w:marBottom w:val="0"/>
                                      <w:divBdr>
                                        <w:top w:val="none" w:sz="0" w:space="0" w:color="auto"/>
                                        <w:left w:val="none" w:sz="0" w:space="0" w:color="auto"/>
                                        <w:bottom w:val="none" w:sz="0" w:space="0" w:color="auto"/>
                                        <w:right w:val="none" w:sz="0" w:space="0" w:color="auto"/>
                                      </w:divBdr>
                                      <w:divsChild>
                                        <w:div w:id="2008551932">
                                          <w:marLeft w:val="0"/>
                                          <w:marRight w:val="0"/>
                                          <w:marTop w:val="300"/>
                                          <w:marBottom w:val="0"/>
                                          <w:divBdr>
                                            <w:top w:val="none" w:sz="0" w:space="0" w:color="auto"/>
                                            <w:left w:val="none" w:sz="0" w:space="0" w:color="auto"/>
                                            <w:bottom w:val="none" w:sz="0" w:space="0" w:color="auto"/>
                                            <w:right w:val="none" w:sz="0" w:space="0" w:color="auto"/>
                                          </w:divBdr>
                                          <w:divsChild>
                                            <w:div w:id="1143086535">
                                              <w:marLeft w:val="0"/>
                                              <w:marRight w:val="0"/>
                                              <w:marTop w:val="0"/>
                                              <w:marBottom w:val="0"/>
                                              <w:divBdr>
                                                <w:top w:val="none" w:sz="0" w:space="0" w:color="auto"/>
                                                <w:left w:val="none" w:sz="0" w:space="0" w:color="auto"/>
                                                <w:bottom w:val="none" w:sz="0" w:space="0" w:color="auto"/>
                                                <w:right w:val="none" w:sz="0" w:space="0" w:color="auto"/>
                                              </w:divBdr>
                                              <w:divsChild>
                                                <w:div w:id="1088040711">
                                                  <w:marLeft w:val="0"/>
                                                  <w:marRight w:val="0"/>
                                                  <w:marTop w:val="0"/>
                                                  <w:marBottom w:val="0"/>
                                                  <w:divBdr>
                                                    <w:top w:val="none" w:sz="0" w:space="0" w:color="auto"/>
                                                    <w:left w:val="none" w:sz="0" w:space="0" w:color="auto"/>
                                                    <w:bottom w:val="none" w:sz="0" w:space="0" w:color="auto"/>
                                                    <w:right w:val="none" w:sz="0" w:space="0" w:color="auto"/>
                                                  </w:divBdr>
                                                  <w:divsChild>
                                                    <w:div w:id="1849903211">
                                                      <w:marLeft w:val="0"/>
                                                      <w:marRight w:val="0"/>
                                                      <w:marTop w:val="0"/>
                                                      <w:marBottom w:val="0"/>
                                                      <w:divBdr>
                                                        <w:top w:val="none" w:sz="0" w:space="0" w:color="auto"/>
                                                        <w:left w:val="none" w:sz="0" w:space="0" w:color="auto"/>
                                                        <w:bottom w:val="none" w:sz="0" w:space="0" w:color="auto"/>
                                                        <w:right w:val="none" w:sz="0" w:space="0" w:color="auto"/>
                                                      </w:divBdr>
                                                      <w:divsChild>
                                                        <w:div w:id="927230893">
                                                          <w:marLeft w:val="0"/>
                                                          <w:marRight w:val="0"/>
                                                          <w:marTop w:val="0"/>
                                                          <w:marBottom w:val="0"/>
                                                          <w:divBdr>
                                                            <w:top w:val="none" w:sz="0" w:space="0" w:color="auto"/>
                                                            <w:left w:val="none" w:sz="0" w:space="0" w:color="auto"/>
                                                            <w:bottom w:val="none" w:sz="0" w:space="0" w:color="auto"/>
                                                            <w:right w:val="none" w:sz="0" w:space="0" w:color="auto"/>
                                                          </w:divBdr>
                                                          <w:divsChild>
                                                            <w:div w:id="1187018048">
                                                              <w:marLeft w:val="0"/>
                                                              <w:marRight w:val="0"/>
                                                              <w:marTop w:val="0"/>
                                                              <w:marBottom w:val="0"/>
                                                              <w:divBdr>
                                                                <w:top w:val="none" w:sz="0" w:space="0" w:color="auto"/>
                                                                <w:left w:val="none" w:sz="0" w:space="0" w:color="auto"/>
                                                                <w:bottom w:val="none" w:sz="0" w:space="0" w:color="auto"/>
                                                                <w:right w:val="none" w:sz="0" w:space="0" w:color="auto"/>
                                                              </w:divBdr>
                                                              <w:divsChild>
                                                                <w:div w:id="473136072">
                                                                  <w:marLeft w:val="0"/>
                                                                  <w:marRight w:val="0"/>
                                                                  <w:marTop w:val="0"/>
                                                                  <w:marBottom w:val="0"/>
                                                                  <w:divBdr>
                                                                    <w:top w:val="none" w:sz="0" w:space="0" w:color="auto"/>
                                                                    <w:left w:val="none" w:sz="0" w:space="0" w:color="auto"/>
                                                                    <w:bottom w:val="none" w:sz="0" w:space="0" w:color="auto"/>
                                                                    <w:right w:val="none" w:sz="0" w:space="0" w:color="auto"/>
                                                                  </w:divBdr>
                                                                  <w:divsChild>
                                                                    <w:div w:id="336927243">
                                                                      <w:marLeft w:val="0"/>
                                                                      <w:marRight w:val="0"/>
                                                                      <w:marTop w:val="0"/>
                                                                      <w:marBottom w:val="0"/>
                                                                      <w:divBdr>
                                                                        <w:top w:val="none" w:sz="0" w:space="0" w:color="auto"/>
                                                                        <w:left w:val="none" w:sz="0" w:space="0" w:color="auto"/>
                                                                        <w:bottom w:val="none" w:sz="0" w:space="0" w:color="auto"/>
                                                                        <w:right w:val="none" w:sz="0" w:space="0" w:color="auto"/>
                                                                      </w:divBdr>
                                                                      <w:divsChild>
                                                                        <w:div w:id="1699310650">
                                                                          <w:marLeft w:val="0"/>
                                                                          <w:marRight w:val="0"/>
                                                                          <w:marTop w:val="0"/>
                                                                          <w:marBottom w:val="0"/>
                                                                          <w:divBdr>
                                                                            <w:top w:val="none" w:sz="0" w:space="0" w:color="auto"/>
                                                                            <w:left w:val="none" w:sz="0" w:space="0" w:color="auto"/>
                                                                            <w:bottom w:val="none" w:sz="0" w:space="0" w:color="auto"/>
                                                                            <w:right w:val="none" w:sz="0" w:space="0" w:color="auto"/>
                                                                          </w:divBdr>
                                                                          <w:divsChild>
                                                                            <w:div w:id="25446861">
                                                                              <w:marLeft w:val="0"/>
                                                                              <w:marRight w:val="0"/>
                                                                              <w:marTop w:val="0"/>
                                                                              <w:marBottom w:val="0"/>
                                                                              <w:divBdr>
                                                                                <w:top w:val="none" w:sz="0" w:space="0" w:color="auto"/>
                                                                                <w:left w:val="none" w:sz="0" w:space="0" w:color="auto"/>
                                                                                <w:bottom w:val="none" w:sz="0" w:space="0" w:color="auto"/>
                                                                                <w:right w:val="none" w:sz="0" w:space="0" w:color="auto"/>
                                                                              </w:divBdr>
                                                                              <w:divsChild>
                                                                                <w:div w:id="983000555">
                                                                                  <w:marLeft w:val="0"/>
                                                                                  <w:marRight w:val="0"/>
                                                                                  <w:marTop w:val="0"/>
                                                                                  <w:marBottom w:val="0"/>
                                                                                  <w:divBdr>
                                                                                    <w:top w:val="single" w:sz="6" w:space="8" w:color="1F6095"/>
                                                                                    <w:left w:val="single" w:sz="6" w:space="8" w:color="1F6095"/>
                                                                                    <w:bottom w:val="single" w:sz="6" w:space="8" w:color="1F6095"/>
                                                                                    <w:right w:val="single" w:sz="6" w:space="8" w:color="1F6095"/>
                                                                                  </w:divBdr>
                                                                                  <w:divsChild>
                                                                                    <w:div w:id="7904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30640">
      <w:bodyDiv w:val="1"/>
      <w:marLeft w:val="0"/>
      <w:marRight w:val="0"/>
      <w:marTop w:val="0"/>
      <w:marBottom w:val="0"/>
      <w:divBdr>
        <w:top w:val="none" w:sz="0" w:space="0" w:color="auto"/>
        <w:left w:val="none" w:sz="0" w:space="0" w:color="auto"/>
        <w:bottom w:val="none" w:sz="0" w:space="0" w:color="auto"/>
        <w:right w:val="none" w:sz="0" w:space="0" w:color="auto"/>
      </w:divBdr>
      <w:divsChild>
        <w:div w:id="1986229553">
          <w:marLeft w:val="480"/>
          <w:marRight w:val="0"/>
          <w:marTop w:val="0"/>
          <w:marBottom w:val="0"/>
          <w:divBdr>
            <w:top w:val="none" w:sz="0" w:space="0" w:color="auto"/>
            <w:left w:val="none" w:sz="0" w:space="0" w:color="auto"/>
            <w:bottom w:val="none" w:sz="0" w:space="0" w:color="auto"/>
            <w:right w:val="none" w:sz="0" w:space="0" w:color="auto"/>
          </w:divBdr>
          <w:divsChild>
            <w:div w:id="11725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5495">
      <w:bodyDiv w:val="1"/>
      <w:marLeft w:val="0"/>
      <w:marRight w:val="0"/>
      <w:marTop w:val="0"/>
      <w:marBottom w:val="0"/>
      <w:divBdr>
        <w:top w:val="none" w:sz="0" w:space="0" w:color="auto"/>
        <w:left w:val="none" w:sz="0" w:space="0" w:color="auto"/>
        <w:bottom w:val="none" w:sz="0" w:space="0" w:color="auto"/>
        <w:right w:val="none" w:sz="0" w:space="0" w:color="auto"/>
      </w:divBdr>
      <w:divsChild>
        <w:div w:id="1657807704">
          <w:marLeft w:val="0"/>
          <w:marRight w:val="0"/>
          <w:marTop w:val="0"/>
          <w:marBottom w:val="0"/>
          <w:divBdr>
            <w:top w:val="none" w:sz="0" w:space="0" w:color="auto"/>
            <w:left w:val="none" w:sz="0" w:space="0" w:color="auto"/>
            <w:bottom w:val="none" w:sz="0" w:space="0" w:color="auto"/>
            <w:right w:val="none" w:sz="0" w:space="0" w:color="auto"/>
          </w:divBdr>
          <w:divsChild>
            <w:div w:id="2105373036">
              <w:marLeft w:val="0"/>
              <w:marRight w:val="0"/>
              <w:marTop w:val="0"/>
              <w:marBottom w:val="0"/>
              <w:divBdr>
                <w:top w:val="none" w:sz="0" w:space="0" w:color="auto"/>
                <w:left w:val="none" w:sz="0" w:space="0" w:color="auto"/>
                <w:bottom w:val="none" w:sz="0" w:space="0" w:color="auto"/>
                <w:right w:val="none" w:sz="0" w:space="0" w:color="auto"/>
              </w:divBdr>
              <w:divsChild>
                <w:div w:id="525338161">
                  <w:marLeft w:val="0"/>
                  <w:marRight w:val="0"/>
                  <w:marTop w:val="0"/>
                  <w:marBottom w:val="0"/>
                  <w:divBdr>
                    <w:top w:val="none" w:sz="0" w:space="0" w:color="auto"/>
                    <w:left w:val="none" w:sz="0" w:space="0" w:color="auto"/>
                    <w:bottom w:val="none" w:sz="0" w:space="0" w:color="auto"/>
                    <w:right w:val="none" w:sz="0" w:space="0" w:color="auto"/>
                  </w:divBdr>
                  <w:divsChild>
                    <w:div w:id="1398935934">
                      <w:marLeft w:val="0"/>
                      <w:marRight w:val="0"/>
                      <w:marTop w:val="0"/>
                      <w:marBottom w:val="0"/>
                      <w:divBdr>
                        <w:top w:val="none" w:sz="0" w:space="0" w:color="auto"/>
                        <w:left w:val="none" w:sz="0" w:space="0" w:color="auto"/>
                        <w:bottom w:val="none" w:sz="0" w:space="0" w:color="auto"/>
                        <w:right w:val="none" w:sz="0" w:space="0" w:color="auto"/>
                      </w:divBdr>
                      <w:divsChild>
                        <w:div w:id="1964262153">
                          <w:marLeft w:val="0"/>
                          <w:marRight w:val="0"/>
                          <w:marTop w:val="0"/>
                          <w:marBottom w:val="0"/>
                          <w:divBdr>
                            <w:top w:val="none" w:sz="0" w:space="0" w:color="auto"/>
                            <w:left w:val="none" w:sz="0" w:space="0" w:color="auto"/>
                            <w:bottom w:val="none" w:sz="0" w:space="0" w:color="auto"/>
                            <w:right w:val="none" w:sz="0" w:space="0" w:color="auto"/>
                          </w:divBdr>
                          <w:divsChild>
                            <w:div w:id="805515060">
                              <w:marLeft w:val="0"/>
                              <w:marRight w:val="0"/>
                              <w:marTop w:val="0"/>
                              <w:marBottom w:val="0"/>
                              <w:divBdr>
                                <w:top w:val="none" w:sz="0" w:space="0" w:color="auto"/>
                                <w:left w:val="none" w:sz="0" w:space="0" w:color="auto"/>
                                <w:bottom w:val="none" w:sz="0" w:space="0" w:color="auto"/>
                                <w:right w:val="none" w:sz="0" w:space="0" w:color="auto"/>
                              </w:divBdr>
                              <w:divsChild>
                                <w:div w:id="1220167733">
                                  <w:marLeft w:val="0"/>
                                  <w:marRight w:val="0"/>
                                  <w:marTop w:val="0"/>
                                  <w:marBottom w:val="0"/>
                                  <w:divBdr>
                                    <w:top w:val="none" w:sz="0" w:space="0" w:color="auto"/>
                                    <w:left w:val="none" w:sz="0" w:space="0" w:color="auto"/>
                                    <w:bottom w:val="none" w:sz="0" w:space="0" w:color="auto"/>
                                    <w:right w:val="none" w:sz="0" w:space="0" w:color="auto"/>
                                  </w:divBdr>
                                  <w:divsChild>
                                    <w:div w:id="1213885619">
                                      <w:marLeft w:val="0"/>
                                      <w:marRight w:val="0"/>
                                      <w:marTop w:val="0"/>
                                      <w:marBottom w:val="0"/>
                                      <w:divBdr>
                                        <w:top w:val="none" w:sz="0" w:space="0" w:color="auto"/>
                                        <w:left w:val="none" w:sz="0" w:space="0" w:color="auto"/>
                                        <w:bottom w:val="none" w:sz="0" w:space="0" w:color="auto"/>
                                        <w:right w:val="none" w:sz="0" w:space="0" w:color="auto"/>
                                      </w:divBdr>
                                      <w:divsChild>
                                        <w:div w:id="966814326">
                                          <w:marLeft w:val="0"/>
                                          <w:marRight w:val="0"/>
                                          <w:marTop w:val="300"/>
                                          <w:marBottom w:val="0"/>
                                          <w:divBdr>
                                            <w:top w:val="none" w:sz="0" w:space="0" w:color="auto"/>
                                            <w:left w:val="none" w:sz="0" w:space="0" w:color="auto"/>
                                            <w:bottom w:val="none" w:sz="0" w:space="0" w:color="auto"/>
                                            <w:right w:val="none" w:sz="0" w:space="0" w:color="auto"/>
                                          </w:divBdr>
                                          <w:divsChild>
                                            <w:div w:id="349915206">
                                              <w:marLeft w:val="0"/>
                                              <w:marRight w:val="0"/>
                                              <w:marTop w:val="0"/>
                                              <w:marBottom w:val="0"/>
                                              <w:divBdr>
                                                <w:top w:val="none" w:sz="0" w:space="0" w:color="auto"/>
                                                <w:left w:val="none" w:sz="0" w:space="0" w:color="auto"/>
                                                <w:bottom w:val="none" w:sz="0" w:space="0" w:color="auto"/>
                                                <w:right w:val="none" w:sz="0" w:space="0" w:color="auto"/>
                                              </w:divBdr>
                                              <w:divsChild>
                                                <w:div w:id="1696497487">
                                                  <w:marLeft w:val="0"/>
                                                  <w:marRight w:val="0"/>
                                                  <w:marTop w:val="0"/>
                                                  <w:marBottom w:val="0"/>
                                                  <w:divBdr>
                                                    <w:top w:val="none" w:sz="0" w:space="0" w:color="auto"/>
                                                    <w:left w:val="none" w:sz="0" w:space="0" w:color="auto"/>
                                                    <w:bottom w:val="none" w:sz="0" w:space="0" w:color="auto"/>
                                                    <w:right w:val="none" w:sz="0" w:space="0" w:color="auto"/>
                                                  </w:divBdr>
                                                  <w:divsChild>
                                                    <w:div w:id="1251280225">
                                                      <w:marLeft w:val="0"/>
                                                      <w:marRight w:val="0"/>
                                                      <w:marTop w:val="0"/>
                                                      <w:marBottom w:val="0"/>
                                                      <w:divBdr>
                                                        <w:top w:val="none" w:sz="0" w:space="0" w:color="auto"/>
                                                        <w:left w:val="none" w:sz="0" w:space="0" w:color="auto"/>
                                                        <w:bottom w:val="none" w:sz="0" w:space="0" w:color="auto"/>
                                                        <w:right w:val="none" w:sz="0" w:space="0" w:color="auto"/>
                                                      </w:divBdr>
                                                      <w:divsChild>
                                                        <w:div w:id="101153289">
                                                          <w:marLeft w:val="0"/>
                                                          <w:marRight w:val="0"/>
                                                          <w:marTop w:val="0"/>
                                                          <w:marBottom w:val="0"/>
                                                          <w:divBdr>
                                                            <w:top w:val="none" w:sz="0" w:space="0" w:color="auto"/>
                                                            <w:left w:val="none" w:sz="0" w:space="0" w:color="auto"/>
                                                            <w:bottom w:val="none" w:sz="0" w:space="0" w:color="auto"/>
                                                            <w:right w:val="none" w:sz="0" w:space="0" w:color="auto"/>
                                                          </w:divBdr>
                                                          <w:divsChild>
                                                            <w:div w:id="466363044">
                                                              <w:marLeft w:val="0"/>
                                                              <w:marRight w:val="0"/>
                                                              <w:marTop w:val="0"/>
                                                              <w:marBottom w:val="0"/>
                                                              <w:divBdr>
                                                                <w:top w:val="none" w:sz="0" w:space="0" w:color="auto"/>
                                                                <w:left w:val="none" w:sz="0" w:space="0" w:color="auto"/>
                                                                <w:bottom w:val="none" w:sz="0" w:space="0" w:color="auto"/>
                                                                <w:right w:val="none" w:sz="0" w:space="0" w:color="auto"/>
                                                              </w:divBdr>
                                                              <w:divsChild>
                                                                <w:div w:id="1364595914">
                                                                  <w:marLeft w:val="0"/>
                                                                  <w:marRight w:val="0"/>
                                                                  <w:marTop w:val="0"/>
                                                                  <w:marBottom w:val="0"/>
                                                                  <w:divBdr>
                                                                    <w:top w:val="none" w:sz="0" w:space="0" w:color="auto"/>
                                                                    <w:left w:val="none" w:sz="0" w:space="0" w:color="auto"/>
                                                                    <w:bottom w:val="none" w:sz="0" w:space="0" w:color="auto"/>
                                                                    <w:right w:val="none" w:sz="0" w:space="0" w:color="auto"/>
                                                                  </w:divBdr>
                                                                  <w:divsChild>
                                                                    <w:div w:id="719944204">
                                                                      <w:marLeft w:val="0"/>
                                                                      <w:marRight w:val="0"/>
                                                                      <w:marTop w:val="0"/>
                                                                      <w:marBottom w:val="0"/>
                                                                      <w:divBdr>
                                                                        <w:top w:val="none" w:sz="0" w:space="0" w:color="auto"/>
                                                                        <w:left w:val="none" w:sz="0" w:space="0" w:color="auto"/>
                                                                        <w:bottom w:val="none" w:sz="0" w:space="0" w:color="auto"/>
                                                                        <w:right w:val="none" w:sz="0" w:space="0" w:color="auto"/>
                                                                      </w:divBdr>
                                                                      <w:divsChild>
                                                                        <w:div w:id="1954437751">
                                                                          <w:marLeft w:val="0"/>
                                                                          <w:marRight w:val="0"/>
                                                                          <w:marTop w:val="0"/>
                                                                          <w:marBottom w:val="0"/>
                                                                          <w:divBdr>
                                                                            <w:top w:val="none" w:sz="0" w:space="0" w:color="auto"/>
                                                                            <w:left w:val="none" w:sz="0" w:space="0" w:color="auto"/>
                                                                            <w:bottom w:val="none" w:sz="0" w:space="0" w:color="auto"/>
                                                                            <w:right w:val="none" w:sz="0" w:space="0" w:color="auto"/>
                                                                          </w:divBdr>
                                                                          <w:divsChild>
                                                                            <w:div w:id="1563447391">
                                                                              <w:marLeft w:val="0"/>
                                                                              <w:marRight w:val="0"/>
                                                                              <w:marTop w:val="0"/>
                                                                              <w:marBottom w:val="0"/>
                                                                              <w:divBdr>
                                                                                <w:top w:val="none" w:sz="0" w:space="0" w:color="auto"/>
                                                                                <w:left w:val="none" w:sz="0" w:space="0" w:color="auto"/>
                                                                                <w:bottom w:val="none" w:sz="0" w:space="0" w:color="auto"/>
                                                                                <w:right w:val="none" w:sz="0" w:space="0" w:color="auto"/>
                                                                              </w:divBdr>
                                                                              <w:divsChild>
                                                                                <w:div w:id="2062558760">
                                                                                  <w:marLeft w:val="0"/>
                                                                                  <w:marRight w:val="0"/>
                                                                                  <w:marTop w:val="0"/>
                                                                                  <w:marBottom w:val="0"/>
                                                                                  <w:divBdr>
                                                                                    <w:top w:val="single" w:sz="6" w:space="8" w:color="1F6095"/>
                                                                                    <w:left w:val="single" w:sz="6" w:space="8" w:color="1F6095"/>
                                                                                    <w:bottom w:val="single" w:sz="6" w:space="8" w:color="1F6095"/>
                                                                                    <w:right w:val="single" w:sz="6" w:space="8" w:color="1F6095"/>
                                                                                  </w:divBdr>
                                                                                  <w:divsChild>
                                                                                    <w:div w:id="9187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59941">
      <w:bodyDiv w:val="1"/>
      <w:marLeft w:val="0"/>
      <w:marRight w:val="0"/>
      <w:marTop w:val="0"/>
      <w:marBottom w:val="0"/>
      <w:divBdr>
        <w:top w:val="none" w:sz="0" w:space="0" w:color="auto"/>
        <w:left w:val="none" w:sz="0" w:space="0" w:color="auto"/>
        <w:bottom w:val="none" w:sz="0" w:space="0" w:color="auto"/>
        <w:right w:val="none" w:sz="0" w:space="0" w:color="auto"/>
      </w:divBdr>
      <w:divsChild>
        <w:div w:id="1057975958">
          <w:marLeft w:val="0"/>
          <w:marRight w:val="0"/>
          <w:marTop w:val="0"/>
          <w:marBottom w:val="0"/>
          <w:divBdr>
            <w:top w:val="none" w:sz="0" w:space="0" w:color="auto"/>
            <w:left w:val="none" w:sz="0" w:space="0" w:color="auto"/>
            <w:bottom w:val="none" w:sz="0" w:space="0" w:color="auto"/>
            <w:right w:val="none" w:sz="0" w:space="0" w:color="auto"/>
          </w:divBdr>
        </w:div>
      </w:divsChild>
    </w:div>
    <w:div w:id="164323575">
      <w:bodyDiv w:val="1"/>
      <w:marLeft w:val="0"/>
      <w:marRight w:val="0"/>
      <w:marTop w:val="0"/>
      <w:marBottom w:val="0"/>
      <w:divBdr>
        <w:top w:val="none" w:sz="0" w:space="0" w:color="auto"/>
        <w:left w:val="none" w:sz="0" w:space="0" w:color="auto"/>
        <w:bottom w:val="none" w:sz="0" w:space="0" w:color="auto"/>
        <w:right w:val="none" w:sz="0" w:space="0" w:color="auto"/>
      </w:divBdr>
      <w:divsChild>
        <w:div w:id="1310985892">
          <w:marLeft w:val="0"/>
          <w:marRight w:val="0"/>
          <w:marTop w:val="0"/>
          <w:marBottom w:val="0"/>
          <w:divBdr>
            <w:top w:val="none" w:sz="0" w:space="0" w:color="auto"/>
            <w:left w:val="none" w:sz="0" w:space="0" w:color="auto"/>
            <w:bottom w:val="none" w:sz="0" w:space="0" w:color="auto"/>
            <w:right w:val="none" w:sz="0" w:space="0" w:color="auto"/>
          </w:divBdr>
        </w:div>
        <w:div w:id="1140340168">
          <w:marLeft w:val="0"/>
          <w:marRight w:val="0"/>
          <w:marTop w:val="0"/>
          <w:marBottom w:val="0"/>
          <w:divBdr>
            <w:top w:val="none" w:sz="0" w:space="0" w:color="auto"/>
            <w:left w:val="none" w:sz="0" w:space="0" w:color="auto"/>
            <w:bottom w:val="none" w:sz="0" w:space="0" w:color="auto"/>
            <w:right w:val="none" w:sz="0" w:space="0" w:color="auto"/>
          </w:divBdr>
        </w:div>
        <w:div w:id="1278025029">
          <w:marLeft w:val="0"/>
          <w:marRight w:val="0"/>
          <w:marTop w:val="0"/>
          <w:marBottom w:val="0"/>
          <w:divBdr>
            <w:top w:val="none" w:sz="0" w:space="0" w:color="auto"/>
            <w:left w:val="none" w:sz="0" w:space="0" w:color="auto"/>
            <w:bottom w:val="none" w:sz="0" w:space="0" w:color="auto"/>
            <w:right w:val="none" w:sz="0" w:space="0" w:color="auto"/>
          </w:divBdr>
        </w:div>
        <w:div w:id="1916086115">
          <w:marLeft w:val="0"/>
          <w:marRight w:val="0"/>
          <w:marTop w:val="0"/>
          <w:marBottom w:val="0"/>
          <w:divBdr>
            <w:top w:val="none" w:sz="0" w:space="0" w:color="auto"/>
            <w:left w:val="none" w:sz="0" w:space="0" w:color="auto"/>
            <w:bottom w:val="none" w:sz="0" w:space="0" w:color="auto"/>
            <w:right w:val="none" w:sz="0" w:space="0" w:color="auto"/>
          </w:divBdr>
        </w:div>
      </w:divsChild>
    </w:div>
    <w:div w:id="170532403">
      <w:bodyDiv w:val="1"/>
      <w:marLeft w:val="0"/>
      <w:marRight w:val="0"/>
      <w:marTop w:val="0"/>
      <w:marBottom w:val="0"/>
      <w:divBdr>
        <w:top w:val="none" w:sz="0" w:space="0" w:color="auto"/>
        <w:left w:val="none" w:sz="0" w:space="0" w:color="auto"/>
        <w:bottom w:val="none" w:sz="0" w:space="0" w:color="auto"/>
        <w:right w:val="none" w:sz="0" w:space="0" w:color="auto"/>
      </w:divBdr>
      <w:divsChild>
        <w:div w:id="48387041">
          <w:marLeft w:val="0"/>
          <w:marRight w:val="0"/>
          <w:marTop w:val="0"/>
          <w:marBottom w:val="0"/>
          <w:divBdr>
            <w:top w:val="none" w:sz="0" w:space="0" w:color="auto"/>
            <w:left w:val="none" w:sz="0" w:space="0" w:color="auto"/>
            <w:bottom w:val="none" w:sz="0" w:space="0" w:color="auto"/>
            <w:right w:val="none" w:sz="0" w:space="0" w:color="auto"/>
          </w:divBdr>
        </w:div>
        <w:div w:id="62458130">
          <w:marLeft w:val="0"/>
          <w:marRight w:val="0"/>
          <w:marTop w:val="0"/>
          <w:marBottom w:val="0"/>
          <w:divBdr>
            <w:top w:val="none" w:sz="0" w:space="0" w:color="auto"/>
            <w:left w:val="none" w:sz="0" w:space="0" w:color="auto"/>
            <w:bottom w:val="none" w:sz="0" w:space="0" w:color="auto"/>
            <w:right w:val="none" w:sz="0" w:space="0" w:color="auto"/>
          </w:divBdr>
        </w:div>
      </w:divsChild>
    </w:div>
    <w:div w:id="194395042">
      <w:bodyDiv w:val="1"/>
      <w:marLeft w:val="0"/>
      <w:marRight w:val="0"/>
      <w:marTop w:val="0"/>
      <w:marBottom w:val="0"/>
      <w:divBdr>
        <w:top w:val="none" w:sz="0" w:space="0" w:color="auto"/>
        <w:left w:val="none" w:sz="0" w:space="0" w:color="auto"/>
        <w:bottom w:val="none" w:sz="0" w:space="0" w:color="auto"/>
        <w:right w:val="none" w:sz="0" w:space="0" w:color="auto"/>
      </w:divBdr>
      <w:divsChild>
        <w:div w:id="221210174">
          <w:marLeft w:val="0"/>
          <w:marRight w:val="0"/>
          <w:marTop w:val="0"/>
          <w:marBottom w:val="0"/>
          <w:divBdr>
            <w:top w:val="none" w:sz="0" w:space="0" w:color="auto"/>
            <w:left w:val="none" w:sz="0" w:space="0" w:color="auto"/>
            <w:bottom w:val="none" w:sz="0" w:space="0" w:color="auto"/>
            <w:right w:val="none" w:sz="0" w:space="0" w:color="auto"/>
          </w:divBdr>
        </w:div>
        <w:div w:id="1237546413">
          <w:marLeft w:val="0"/>
          <w:marRight w:val="0"/>
          <w:marTop w:val="0"/>
          <w:marBottom w:val="0"/>
          <w:divBdr>
            <w:top w:val="none" w:sz="0" w:space="0" w:color="auto"/>
            <w:left w:val="none" w:sz="0" w:space="0" w:color="auto"/>
            <w:bottom w:val="none" w:sz="0" w:space="0" w:color="auto"/>
            <w:right w:val="none" w:sz="0" w:space="0" w:color="auto"/>
          </w:divBdr>
        </w:div>
      </w:divsChild>
    </w:div>
    <w:div w:id="197164614">
      <w:bodyDiv w:val="1"/>
      <w:marLeft w:val="0"/>
      <w:marRight w:val="0"/>
      <w:marTop w:val="0"/>
      <w:marBottom w:val="0"/>
      <w:divBdr>
        <w:top w:val="none" w:sz="0" w:space="0" w:color="auto"/>
        <w:left w:val="none" w:sz="0" w:space="0" w:color="auto"/>
        <w:bottom w:val="none" w:sz="0" w:space="0" w:color="auto"/>
        <w:right w:val="none" w:sz="0" w:space="0" w:color="auto"/>
      </w:divBdr>
      <w:divsChild>
        <w:div w:id="1987397575">
          <w:marLeft w:val="0"/>
          <w:marRight w:val="0"/>
          <w:marTop w:val="0"/>
          <w:marBottom w:val="0"/>
          <w:divBdr>
            <w:top w:val="none" w:sz="0" w:space="0" w:color="auto"/>
            <w:left w:val="none" w:sz="0" w:space="0" w:color="auto"/>
            <w:bottom w:val="none" w:sz="0" w:space="0" w:color="auto"/>
            <w:right w:val="none" w:sz="0" w:space="0" w:color="auto"/>
          </w:divBdr>
        </w:div>
        <w:div w:id="1300571783">
          <w:marLeft w:val="0"/>
          <w:marRight w:val="0"/>
          <w:marTop w:val="0"/>
          <w:marBottom w:val="0"/>
          <w:divBdr>
            <w:top w:val="none" w:sz="0" w:space="0" w:color="auto"/>
            <w:left w:val="none" w:sz="0" w:space="0" w:color="auto"/>
            <w:bottom w:val="none" w:sz="0" w:space="0" w:color="auto"/>
            <w:right w:val="none" w:sz="0" w:space="0" w:color="auto"/>
          </w:divBdr>
        </w:div>
      </w:divsChild>
    </w:div>
    <w:div w:id="208998284">
      <w:bodyDiv w:val="1"/>
      <w:marLeft w:val="0"/>
      <w:marRight w:val="0"/>
      <w:marTop w:val="0"/>
      <w:marBottom w:val="0"/>
      <w:divBdr>
        <w:top w:val="none" w:sz="0" w:space="0" w:color="auto"/>
        <w:left w:val="none" w:sz="0" w:space="0" w:color="auto"/>
        <w:bottom w:val="none" w:sz="0" w:space="0" w:color="auto"/>
        <w:right w:val="none" w:sz="0" w:space="0" w:color="auto"/>
      </w:divBdr>
      <w:divsChild>
        <w:div w:id="1410033303">
          <w:marLeft w:val="0"/>
          <w:marRight w:val="0"/>
          <w:marTop w:val="0"/>
          <w:marBottom w:val="0"/>
          <w:divBdr>
            <w:top w:val="none" w:sz="0" w:space="0" w:color="auto"/>
            <w:left w:val="none" w:sz="0" w:space="0" w:color="auto"/>
            <w:bottom w:val="none" w:sz="0" w:space="0" w:color="auto"/>
            <w:right w:val="none" w:sz="0" w:space="0" w:color="auto"/>
          </w:divBdr>
        </w:div>
        <w:div w:id="1445882717">
          <w:marLeft w:val="0"/>
          <w:marRight w:val="0"/>
          <w:marTop w:val="0"/>
          <w:marBottom w:val="0"/>
          <w:divBdr>
            <w:top w:val="none" w:sz="0" w:space="0" w:color="auto"/>
            <w:left w:val="none" w:sz="0" w:space="0" w:color="auto"/>
            <w:bottom w:val="none" w:sz="0" w:space="0" w:color="auto"/>
            <w:right w:val="none" w:sz="0" w:space="0" w:color="auto"/>
          </w:divBdr>
        </w:div>
        <w:div w:id="2006517191">
          <w:marLeft w:val="0"/>
          <w:marRight w:val="0"/>
          <w:marTop w:val="0"/>
          <w:marBottom w:val="0"/>
          <w:divBdr>
            <w:top w:val="none" w:sz="0" w:space="0" w:color="auto"/>
            <w:left w:val="none" w:sz="0" w:space="0" w:color="auto"/>
            <w:bottom w:val="none" w:sz="0" w:space="0" w:color="auto"/>
            <w:right w:val="none" w:sz="0" w:space="0" w:color="auto"/>
          </w:divBdr>
        </w:div>
        <w:div w:id="776365021">
          <w:marLeft w:val="0"/>
          <w:marRight w:val="0"/>
          <w:marTop w:val="0"/>
          <w:marBottom w:val="0"/>
          <w:divBdr>
            <w:top w:val="none" w:sz="0" w:space="0" w:color="auto"/>
            <w:left w:val="none" w:sz="0" w:space="0" w:color="auto"/>
            <w:bottom w:val="none" w:sz="0" w:space="0" w:color="auto"/>
            <w:right w:val="none" w:sz="0" w:space="0" w:color="auto"/>
          </w:divBdr>
        </w:div>
        <w:div w:id="1065421518">
          <w:marLeft w:val="0"/>
          <w:marRight w:val="0"/>
          <w:marTop w:val="0"/>
          <w:marBottom w:val="0"/>
          <w:divBdr>
            <w:top w:val="none" w:sz="0" w:space="0" w:color="auto"/>
            <w:left w:val="none" w:sz="0" w:space="0" w:color="auto"/>
            <w:bottom w:val="none" w:sz="0" w:space="0" w:color="auto"/>
            <w:right w:val="none" w:sz="0" w:space="0" w:color="auto"/>
          </w:divBdr>
        </w:div>
        <w:div w:id="344599298">
          <w:marLeft w:val="0"/>
          <w:marRight w:val="0"/>
          <w:marTop w:val="0"/>
          <w:marBottom w:val="0"/>
          <w:divBdr>
            <w:top w:val="none" w:sz="0" w:space="0" w:color="auto"/>
            <w:left w:val="none" w:sz="0" w:space="0" w:color="auto"/>
            <w:bottom w:val="none" w:sz="0" w:space="0" w:color="auto"/>
            <w:right w:val="none" w:sz="0" w:space="0" w:color="auto"/>
          </w:divBdr>
        </w:div>
        <w:div w:id="1854539342">
          <w:marLeft w:val="0"/>
          <w:marRight w:val="0"/>
          <w:marTop w:val="0"/>
          <w:marBottom w:val="0"/>
          <w:divBdr>
            <w:top w:val="none" w:sz="0" w:space="0" w:color="auto"/>
            <w:left w:val="none" w:sz="0" w:space="0" w:color="auto"/>
            <w:bottom w:val="none" w:sz="0" w:space="0" w:color="auto"/>
            <w:right w:val="none" w:sz="0" w:space="0" w:color="auto"/>
          </w:divBdr>
        </w:div>
        <w:div w:id="1691565147">
          <w:marLeft w:val="0"/>
          <w:marRight w:val="0"/>
          <w:marTop w:val="0"/>
          <w:marBottom w:val="0"/>
          <w:divBdr>
            <w:top w:val="none" w:sz="0" w:space="0" w:color="auto"/>
            <w:left w:val="none" w:sz="0" w:space="0" w:color="auto"/>
            <w:bottom w:val="none" w:sz="0" w:space="0" w:color="auto"/>
            <w:right w:val="none" w:sz="0" w:space="0" w:color="auto"/>
          </w:divBdr>
        </w:div>
        <w:div w:id="268240829">
          <w:marLeft w:val="0"/>
          <w:marRight w:val="0"/>
          <w:marTop w:val="0"/>
          <w:marBottom w:val="0"/>
          <w:divBdr>
            <w:top w:val="none" w:sz="0" w:space="0" w:color="auto"/>
            <w:left w:val="none" w:sz="0" w:space="0" w:color="auto"/>
            <w:bottom w:val="none" w:sz="0" w:space="0" w:color="auto"/>
            <w:right w:val="none" w:sz="0" w:space="0" w:color="auto"/>
          </w:divBdr>
        </w:div>
        <w:div w:id="2044479212">
          <w:marLeft w:val="0"/>
          <w:marRight w:val="0"/>
          <w:marTop w:val="0"/>
          <w:marBottom w:val="0"/>
          <w:divBdr>
            <w:top w:val="none" w:sz="0" w:space="0" w:color="auto"/>
            <w:left w:val="none" w:sz="0" w:space="0" w:color="auto"/>
            <w:bottom w:val="none" w:sz="0" w:space="0" w:color="auto"/>
            <w:right w:val="none" w:sz="0" w:space="0" w:color="auto"/>
          </w:divBdr>
        </w:div>
        <w:div w:id="1620187545">
          <w:marLeft w:val="0"/>
          <w:marRight w:val="0"/>
          <w:marTop w:val="0"/>
          <w:marBottom w:val="0"/>
          <w:divBdr>
            <w:top w:val="none" w:sz="0" w:space="0" w:color="auto"/>
            <w:left w:val="none" w:sz="0" w:space="0" w:color="auto"/>
            <w:bottom w:val="none" w:sz="0" w:space="0" w:color="auto"/>
            <w:right w:val="none" w:sz="0" w:space="0" w:color="auto"/>
          </w:divBdr>
        </w:div>
        <w:div w:id="435446397">
          <w:marLeft w:val="0"/>
          <w:marRight w:val="0"/>
          <w:marTop w:val="0"/>
          <w:marBottom w:val="0"/>
          <w:divBdr>
            <w:top w:val="none" w:sz="0" w:space="0" w:color="auto"/>
            <w:left w:val="none" w:sz="0" w:space="0" w:color="auto"/>
            <w:bottom w:val="none" w:sz="0" w:space="0" w:color="auto"/>
            <w:right w:val="none" w:sz="0" w:space="0" w:color="auto"/>
          </w:divBdr>
        </w:div>
      </w:divsChild>
    </w:div>
    <w:div w:id="209265550">
      <w:bodyDiv w:val="1"/>
      <w:marLeft w:val="0"/>
      <w:marRight w:val="0"/>
      <w:marTop w:val="0"/>
      <w:marBottom w:val="0"/>
      <w:divBdr>
        <w:top w:val="none" w:sz="0" w:space="0" w:color="auto"/>
        <w:left w:val="none" w:sz="0" w:space="0" w:color="auto"/>
        <w:bottom w:val="none" w:sz="0" w:space="0" w:color="auto"/>
        <w:right w:val="none" w:sz="0" w:space="0" w:color="auto"/>
      </w:divBdr>
      <w:divsChild>
        <w:div w:id="574049451">
          <w:marLeft w:val="0"/>
          <w:marRight w:val="0"/>
          <w:marTop w:val="0"/>
          <w:marBottom w:val="0"/>
          <w:divBdr>
            <w:top w:val="none" w:sz="0" w:space="0" w:color="auto"/>
            <w:left w:val="none" w:sz="0" w:space="0" w:color="auto"/>
            <w:bottom w:val="none" w:sz="0" w:space="0" w:color="auto"/>
            <w:right w:val="none" w:sz="0" w:space="0" w:color="auto"/>
          </w:divBdr>
        </w:div>
        <w:div w:id="685442033">
          <w:marLeft w:val="0"/>
          <w:marRight w:val="0"/>
          <w:marTop w:val="0"/>
          <w:marBottom w:val="0"/>
          <w:divBdr>
            <w:top w:val="none" w:sz="0" w:space="0" w:color="auto"/>
            <w:left w:val="none" w:sz="0" w:space="0" w:color="auto"/>
            <w:bottom w:val="none" w:sz="0" w:space="0" w:color="auto"/>
            <w:right w:val="none" w:sz="0" w:space="0" w:color="auto"/>
          </w:divBdr>
        </w:div>
        <w:div w:id="999041699">
          <w:marLeft w:val="0"/>
          <w:marRight w:val="0"/>
          <w:marTop w:val="0"/>
          <w:marBottom w:val="0"/>
          <w:divBdr>
            <w:top w:val="none" w:sz="0" w:space="0" w:color="auto"/>
            <w:left w:val="none" w:sz="0" w:space="0" w:color="auto"/>
            <w:bottom w:val="none" w:sz="0" w:space="0" w:color="auto"/>
            <w:right w:val="none" w:sz="0" w:space="0" w:color="auto"/>
          </w:divBdr>
        </w:div>
        <w:div w:id="1117527498">
          <w:marLeft w:val="0"/>
          <w:marRight w:val="0"/>
          <w:marTop w:val="0"/>
          <w:marBottom w:val="0"/>
          <w:divBdr>
            <w:top w:val="none" w:sz="0" w:space="0" w:color="auto"/>
            <w:left w:val="none" w:sz="0" w:space="0" w:color="auto"/>
            <w:bottom w:val="none" w:sz="0" w:space="0" w:color="auto"/>
            <w:right w:val="none" w:sz="0" w:space="0" w:color="auto"/>
          </w:divBdr>
        </w:div>
        <w:div w:id="1160075426">
          <w:marLeft w:val="0"/>
          <w:marRight w:val="0"/>
          <w:marTop w:val="0"/>
          <w:marBottom w:val="0"/>
          <w:divBdr>
            <w:top w:val="none" w:sz="0" w:space="0" w:color="auto"/>
            <w:left w:val="none" w:sz="0" w:space="0" w:color="auto"/>
            <w:bottom w:val="none" w:sz="0" w:space="0" w:color="auto"/>
            <w:right w:val="none" w:sz="0" w:space="0" w:color="auto"/>
          </w:divBdr>
        </w:div>
        <w:div w:id="1318262490">
          <w:marLeft w:val="0"/>
          <w:marRight w:val="0"/>
          <w:marTop w:val="0"/>
          <w:marBottom w:val="0"/>
          <w:divBdr>
            <w:top w:val="none" w:sz="0" w:space="0" w:color="auto"/>
            <w:left w:val="none" w:sz="0" w:space="0" w:color="auto"/>
            <w:bottom w:val="none" w:sz="0" w:space="0" w:color="auto"/>
            <w:right w:val="none" w:sz="0" w:space="0" w:color="auto"/>
          </w:divBdr>
        </w:div>
        <w:div w:id="1532306257">
          <w:marLeft w:val="0"/>
          <w:marRight w:val="0"/>
          <w:marTop w:val="0"/>
          <w:marBottom w:val="0"/>
          <w:divBdr>
            <w:top w:val="none" w:sz="0" w:space="0" w:color="auto"/>
            <w:left w:val="none" w:sz="0" w:space="0" w:color="auto"/>
            <w:bottom w:val="none" w:sz="0" w:space="0" w:color="auto"/>
            <w:right w:val="none" w:sz="0" w:space="0" w:color="auto"/>
          </w:divBdr>
        </w:div>
        <w:div w:id="1536577779">
          <w:marLeft w:val="0"/>
          <w:marRight w:val="0"/>
          <w:marTop w:val="0"/>
          <w:marBottom w:val="0"/>
          <w:divBdr>
            <w:top w:val="none" w:sz="0" w:space="0" w:color="auto"/>
            <w:left w:val="none" w:sz="0" w:space="0" w:color="auto"/>
            <w:bottom w:val="none" w:sz="0" w:space="0" w:color="auto"/>
            <w:right w:val="none" w:sz="0" w:space="0" w:color="auto"/>
          </w:divBdr>
        </w:div>
        <w:div w:id="1548681862">
          <w:marLeft w:val="0"/>
          <w:marRight w:val="0"/>
          <w:marTop w:val="0"/>
          <w:marBottom w:val="0"/>
          <w:divBdr>
            <w:top w:val="none" w:sz="0" w:space="0" w:color="auto"/>
            <w:left w:val="none" w:sz="0" w:space="0" w:color="auto"/>
            <w:bottom w:val="none" w:sz="0" w:space="0" w:color="auto"/>
            <w:right w:val="none" w:sz="0" w:space="0" w:color="auto"/>
          </w:divBdr>
        </w:div>
        <w:div w:id="1856188993">
          <w:marLeft w:val="0"/>
          <w:marRight w:val="0"/>
          <w:marTop w:val="0"/>
          <w:marBottom w:val="0"/>
          <w:divBdr>
            <w:top w:val="none" w:sz="0" w:space="0" w:color="auto"/>
            <w:left w:val="none" w:sz="0" w:space="0" w:color="auto"/>
            <w:bottom w:val="none" w:sz="0" w:space="0" w:color="auto"/>
            <w:right w:val="none" w:sz="0" w:space="0" w:color="auto"/>
          </w:divBdr>
        </w:div>
        <w:div w:id="1856382187">
          <w:marLeft w:val="0"/>
          <w:marRight w:val="0"/>
          <w:marTop w:val="0"/>
          <w:marBottom w:val="0"/>
          <w:divBdr>
            <w:top w:val="none" w:sz="0" w:space="0" w:color="auto"/>
            <w:left w:val="none" w:sz="0" w:space="0" w:color="auto"/>
            <w:bottom w:val="none" w:sz="0" w:space="0" w:color="auto"/>
            <w:right w:val="none" w:sz="0" w:space="0" w:color="auto"/>
          </w:divBdr>
        </w:div>
      </w:divsChild>
    </w:div>
    <w:div w:id="216204304">
      <w:bodyDiv w:val="1"/>
      <w:marLeft w:val="0"/>
      <w:marRight w:val="0"/>
      <w:marTop w:val="0"/>
      <w:marBottom w:val="0"/>
      <w:divBdr>
        <w:top w:val="none" w:sz="0" w:space="0" w:color="auto"/>
        <w:left w:val="none" w:sz="0" w:space="0" w:color="auto"/>
        <w:bottom w:val="none" w:sz="0" w:space="0" w:color="auto"/>
        <w:right w:val="none" w:sz="0" w:space="0" w:color="auto"/>
      </w:divBdr>
      <w:divsChild>
        <w:div w:id="824737375">
          <w:marLeft w:val="0"/>
          <w:marRight w:val="0"/>
          <w:marTop w:val="0"/>
          <w:marBottom w:val="0"/>
          <w:divBdr>
            <w:top w:val="none" w:sz="0" w:space="0" w:color="auto"/>
            <w:left w:val="none" w:sz="0" w:space="0" w:color="auto"/>
            <w:bottom w:val="none" w:sz="0" w:space="0" w:color="auto"/>
            <w:right w:val="none" w:sz="0" w:space="0" w:color="auto"/>
          </w:divBdr>
        </w:div>
        <w:div w:id="1051542785">
          <w:marLeft w:val="0"/>
          <w:marRight w:val="0"/>
          <w:marTop w:val="0"/>
          <w:marBottom w:val="0"/>
          <w:divBdr>
            <w:top w:val="none" w:sz="0" w:space="0" w:color="auto"/>
            <w:left w:val="none" w:sz="0" w:space="0" w:color="auto"/>
            <w:bottom w:val="none" w:sz="0" w:space="0" w:color="auto"/>
            <w:right w:val="none" w:sz="0" w:space="0" w:color="auto"/>
          </w:divBdr>
        </w:div>
        <w:div w:id="1139149857">
          <w:marLeft w:val="0"/>
          <w:marRight w:val="0"/>
          <w:marTop w:val="0"/>
          <w:marBottom w:val="0"/>
          <w:divBdr>
            <w:top w:val="none" w:sz="0" w:space="0" w:color="auto"/>
            <w:left w:val="none" w:sz="0" w:space="0" w:color="auto"/>
            <w:bottom w:val="none" w:sz="0" w:space="0" w:color="auto"/>
            <w:right w:val="none" w:sz="0" w:space="0" w:color="auto"/>
          </w:divBdr>
        </w:div>
        <w:div w:id="1181050209">
          <w:marLeft w:val="0"/>
          <w:marRight w:val="0"/>
          <w:marTop w:val="0"/>
          <w:marBottom w:val="0"/>
          <w:divBdr>
            <w:top w:val="none" w:sz="0" w:space="0" w:color="auto"/>
            <w:left w:val="none" w:sz="0" w:space="0" w:color="auto"/>
            <w:bottom w:val="none" w:sz="0" w:space="0" w:color="auto"/>
            <w:right w:val="none" w:sz="0" w:space="0" w:color="auto"/>
          </w:divBdr>
        </w:div>
        <w:div w:id="1544780952">
          <w:marLeft w:val="0"/>
          <w:marRight w:val="0"/>
          <w:marTop w:val="0"/>
          <w:marBottom w:val="0"/>
          <w:divBdr>
            <w:top w:val="none" w:sz="0" w:space="0" w:color="auto"/>
            <w:left w:val="none" w:sz="0" w:space="0" w:color="auto"/>
            <w:bottom w:val="none" w:sz="0" w:space="0" w:color="auto"/>
            <w:right w:val="none" w:sz="0" w:space="0" w:color="auto"/>
          </w:divBdr>
        </w:div>
        <w:div w:id="1590508483">
          <w:marLeft w:val="0"/>
          <w:marRight w:val="0"/>
          <w:marTop w:val="0"/>
          <w:marBottom w:val="0"/>
          <w:divBdr>
            <w:top w:val="none" w:sz="0" w:space="0" w:color="auto"/>
            <w:left w:val="none" w:sz="0" w:space="0" w:color="auto"/>
            <w:bottom w:val="none" w:sz="0" w:space="0" w:color="auto"/>
            <w:right w:val="none" w:sz="0" w:space="0" w:color="auto"/>
          </w:divBdr>
        </w:div>
        <w:div w:id="2104447936">
          <w:marLeft w:val="0"/>
          <w:marRight w:val="0"/>
          <w:marTop w:val="0"/>
          <w:marBottom w:val="0"/>
          <w:divBdr>
            <w:top w:val="none" w:sz="0" w:space="0" w:color="auto"/>
            <w:left w:val="none" w:sz="0" w:space="0" w:color="auto"/>
            <w:bottom w:val="none" w:sz="0" w:space="0" w:color="auto"/>
            <w:right w:val="none" w:sz="0" w:space="0" w:color="auto"/>
          </w:divBdr>
        </w:div>
      </w:divsChild>
    </w:div>
    <w:div w:id="224802609">
      <w:bodyDiv w:val="1"/>
      <w:marLeft w:val="0"/>
      <w:marRight w:val="0"/>
      <w:marTop w:val="0"/>
      <w:marBottom w:val="0"/>
      <w:divBdr>
        <w:top w:val="none" w:sz="0" w:space="0" w:color="auto"/>
        <w:left w:val="none" w:sz="0" w:space="0" w:color="auto"/>
        <w:bottom w:val="none" w:sz="0" w:space="0" w:color="auto"/>
        <w:right w:val="none" w:sz="0" w:space="0" w:color="auto"/>
      </w:divBdr>
      <w:divsChild>
        <w:div w:id="60979979">
          <w:marLeft w:val="0"/>
          <w:marRight w:val="0"/>
          <w:marTop w:val="0"/>
          <w:marBottom w:val="0"/>
          <w:divBdr>
            <w:top w:val="none" w:sz="0" w:space="0" w:color="auto"/>
            <w:left w:val="none" w:sz="0" w:space="0" w:color="auto"/>
            <w:bottom w:val="none" w:sz="0" w:space="0" w:color="auto"/>
            <w:right w:val="none" w:sz="0" w:space="0" w:color="auto"/>
          </w:divBdr>
        </w:div>
        <w:div w:id="129175363">
          <w:marLeft w:val="0"/>
          <w:marRight w:val="0"/>
          <w:marTop w:val="0"/>
          <w:marBottom w:val="0"/>
          <w:divBdr>
            <w:top w:val="none" w:sz="0" w:space="0" w:color="auto"/>
            <w:left w:val="none" w:sz="0" w:space="0" w:color="auto"/>
            <w:bottom w:val="none" w:sz="0" w:space="0" w:color="auto"/>
            <w:right w:val="none" w:sz="0" w:space="0" w:color="auto"/>
          </w:divBdr>
        </w:div>
      </w:divsChild>
    </w:div>
    <w:div w:id="231502952">
      <w:bodyDiv w:val="1"/>
      <w:marLeft w:val="0"/>
      <w:marRight w:val="0"/>
      <w:marTop w:val="0"/>
      <w:marBottom w:val="0"/>
      <w:divBdr>
        <w:top w:val="none" w:sz="0" w:space="0" w:color="auto"/>
        <w:left w:val="none" w:sz="0" w:space="0" w:color="auto"/>
        <w:bottom w:val="none" w:sz="0" w:space="0" w:color="auto"/>
        <w:right w:val="none" w:sz="0" w:space="0" w:color="auto"/>
      </w:divBdr>
      <w:divsChild>
        <w:div w:id="599728331">
          <w:marLeft w:val="0"/>
          <w:marRight w:val="0"/>
          <w:marTop w:val="0"/>
          <w:marBottom w:val="0"/>
          <w:divBdr>
            <w:top w:val="none" w:sz="0" w:space="0" w:color="auto"/>
            <w:left w:val="none" w:sz="0" w:space="0" w:color="auto"/>
            <w:bottom w:val="none" w:sz="0" w:space="0" w:color="auto"/>
            <w:right w:val="none" w:sz="0" w:space="0" w:color="auto"/>
          </w:divBdr>
        </w:div>
      </w:divsChild>
    </w:div>
    <w:div w:id="261227675">
      <w:bodyDiv w:val="1"/>
      <w:marLeft w:val="0"/>
      <w:marRight w:val="0"/>
      <w:marTop w:val="0"/>
      <w:marBottom w:val="0"/>
      <w:divBdr>
        <w:top w:val="none" w:sz="0" w:space="0" w:color="auto"/>
        <w:left w:val="none" w:sz="0" w:space="0" w:color="auto"/>
        <w:bottom w:val="none" w:sz="0" w:space="0" w:color="auto"/>
        <w:right w:val="none" w:sz="0" w:space="0" w:color="auto"/>
      </w:divBdr>
      <w:divsChild>
        <w:div w:id="111942085">
          <w:marLeft w:val="0"/>
          <w:marRight w:val="0"/>
          <w:marTop w:val="0"/>
          <w:marBottom w:val="0"/>
          <w:divBdr>
            <w:top w:val="none" w:sz="0" w:space="0" w:color="auto"/>
            <w:left w:val="none" w:sz="0" w:space="0" w:color="auto"/>
            <w:bottom w:val="none" w:sz="0" w:space="0" w:color="auto"/>
            <w:right w:val="none" w:sz="0" w:space="0" w:color="auto"/>
          </w:divBdr>
        </w:div>
        <w:div w:id="165632290">
          <w:marLeft w:val="0"/>
          <w:marRight w:val="0"/>
          <w:marTop w:val="0"/>
          <w:marBottom w:val="0"/>
          <w:divBdr>
            <w:top w:val="none" w:sz="0" w:space="0" w:color="auto"/>
            <w:left w:val="none" w:sz="0" w:space="0" w:color="auto"/>
            <w:bottom w:val="none" w:sz="0" w:space="0" w:color="auto"/>
            <w:right w:val="none" w:sz="0" w:space="0" w:color="auto"/>
          </w:divBdr>
        </w:div>
        <w:div w:id="209388243">
          <w:marLeft w:val="0"/>
          <w:marRight w:val="0"/>
          <w:marTop w:val="0"/>
          <w:marBottom w:val="0"/>
          <w:divBdr>
            <w:top w:val="none" w:sz="0" w:space="0" w:color="auto"/>
            <w:left w:val="none" w:sz="0" w:space="0" w:color="auto"/>
            <w:bottom w:val="none" w:sz="0" w:space="0" w:color="auto"/>
            <w:right w:val="none" w:sz="0" w:space="0" w:color="auto"/>
          </w:divBdr>
        </w:div>
        <w:div w:id="273631812">
          <w:marLeft w:val="0"/>
          <w:marRight w:val="0"/>
          <w:marTop w:val="0"/>
          <w:marBottom w:val="0"/>
          <w:divBdr>
            <w:top w:val="none" w:sz="0" w:space="0" w:color="auto"/>
            <w:left w:val="none" w:sz="0" w:space="0" w:color="auto"/>
            <w:bottom w:val="none" w:sz="0" w:space="0" w:color="auto"/>
            <w:right w:val="none" w:sz="0" w:space="0" w:color="auto"/>
          </w:divBdr>
        </w:div>
        <w:div w:id="442966935">
          <w:marLeft w:val="0"/>
          <w:marRight w:val="0"/>
          <w:marTop w:val="0"/>
          <w:marBottom w:val="0"/>
          <w:divBdr>
            <w:top w:val="none" w:sz="0" w:space="0" w:color="auto"/>
            <w:left w:val="none" w:sz="0" w:space="0" w:color="auto"/>
            <w:bottom w:val="none" w:sz="0" w:space="0" w:color="auto"/>
            <w:right w:val="none" w:sz="0" w:space="0" w:color="auto"/>
          </w:divBdr>
        </w:div>
        <w:div w:id="579481192">
          <w:marLeft w:val="0"/>
          <w:marRight w:val="0"/>
          <w:marTop w:val="0"/>
          <w:marBottom w:val="0"/>
          <w:divBdr>
            <w:top w:val="none" w:sz="0" w:space="0" w:color="auto"/>
            <w:left w:val="none" w:sz="0" w:space="0" w:color="auto"/>
            <w:bottom w:val="none" w:sz="0" w:space="0" w:color="auto"/>
            <w:right w:val="none" w:sz="0" w:space="0" w:color="auto"/>
          </w:divBdr>
        </w:div>
        <w:div w:id="757024584">
          <w:marLeft w:val="0"/>
          <w:marRight w:val="0"/>
          <w:marTop w:val="0"/>
          <w:marBottom w:val="0"/>
          <w:divBdr>
            <w:top w:val="none" w:sz="0" w:space="0" w:color="auto"/>
            <w:left w:val="none" w:sz="0" w:space="0" w:color="auto"/>
            <w:bottom w:val="none" w:sz="0" w:space="0" w:color="auto"/>
            <w:right w:val="none" w:sz="0" w:space="0" w:color="auto"/>
          </w:divBdr>
        </w:div>
        <w:div w:id="764768129">
          <w:marLeft w:val="0"/>
          <w:marRight w:val="0"/>
          <w:marTop w:val="0"/>
          <w:marBottom w:val="0"/>
          <w:divBdr>
            <w:top w:val="none" w:sz="0" w:space="0" w:color="auto"/>
            <w:left w:val="none" w:sz="0" w:space="0" w:color="auto"/>
            <w:bottom w:val="none" w:sz="0" w:space="0" w:color="auto"/>
            <w:right w:val="none" w:sz="0" w:space="0" w:color="auto"/>
          </w:divBdr>
        </w:div>
        <w:div w:id="892693242">
          <w:marLeft w:val="0"/>
          <w:marRight w:val="0"/>
          <w:marTop w:val="0"/>
          <w:marBottom w:val="0"/>
          <w:divBdr>
            <w:top w:val="none" w:sz="0" w:space="0" w:color="auto"/>
            <w:left w:val="none" w:sz="0" w:space="0" w:color="auto"/>
            <w:bottom w:val="none" w:sz="0" w:space="0" w:color="auto"/>
            <w:right w:val="none" w:sz="0" w:space="0" w:color="auto"/>
          </w:divBdr>
        </w:div>
        <w:div w:id="902182385">
          <w:marLeft w:val="0"/>
          <w:marRight w:val="0"/>
          <w:marTop w:val="0"/>
          <w:marBottom w:val="0"/>
          <w:divBdr>
            <w:top w:val="none" w:sz="0" w:space="0" w:color="auto"/>
            <w:left w:val="none" w:sz="0" w:space="0" w:color="auto"/>
            <w:bottom w:val="none" w:sz="0" w:space="0" w:color="auto"/>
            <w:right w:val="none" w:sz="0" w:space="0" w:color="auto"/>
          </w:divBdr>
        </w:div>
        <w:div w:id="958142160">
          <w:marLeft w:val="0"/>
          <w:marRight w:val="0"/>
          <w:marTop w:val="0"/>
          <w:marBottom w:val="0"/>
          <w:divBdr>
            <w:top w:val="none" w:sz="0" w:space="0" w:color="auto"/>
            <w:left w:val="none" w:sz="0" w:space="0" w:color="auto"/>
            <w:bottom w:val="none" w:sz="0" w:space="0" w:color="auto"/>
            <w:right w:val="none" w:sz="0" w:space="0" w:color="auto"/>
          </w:divBdr>
        </w:div>
        <w:div w:id="1029919264">
          <w:marLeft w:val="0"/>
          <w:marRight w:val="0"/>
          <w:marTop w:val="0"/>
          <w:marBottom w:val="0"/>
          <w:divBdr>
            <w:top w:val="none" w:sz="0" w:space="0" w:color="auto"/>
            <w:left w:val="none" w:sz="0" w:space="0" w:color="auto"/>
            <w:bottom w:val="none" w:sz="0" w:space="0" w:color="auto"/>
            <w:right w:val="none" w:sz="0" w:space="0" w:color="auto"/>
          </w:divBdr>
        </w:div>
        <w:div w:id="1050882579">
          <w:marLeft w:val="0"/>
          <w:marRight w:val="0"/>
          <w:marTop w:val="0"/>
          <w:marBottom w:val="0"/>
          <w:divBdr>
            <w:top w:val="none" w:sz="0" w:space="0" w:color="auto"/>
            <w:left w:val="none" w:sz="0" w:space="0" w:color="auto"/>
            <w:bottom w:val="none" w:sz="0" w:space="0" w:color="auto"/>
            <w:right w:val="none" w:sz="0" w:space="0" w:color="auto"/>
          </w:divBdr>
        </w:div>
        <w:div w:id="1133644848">
          <w:marLeft w:val="0"/>
          <w:marRight w:val="0"/>
          <w:marTop w:val="0"/>
          <w:marBottom w:val="0"/>
          <w:divBdr>
            <w:top w:val="none" w:sz="0" w:space="0" w:color="auto"/>
            <w:left w:val="none" w:sz="0" w:space="0" w:color="auto"/>
            <w:bottom w:val="none" w:sz="0" w:space="0" w:color="auto"/>
            <w:right w:val="none" w:sz="0" w:space="0" w:color="auto"/>
          </w:divBdr>
        </w:div>
        <w:div w:id="1166244204">
          <w:marLeft w:val="0"/>
          <w:marRight w:val="0"/>
          <w:marTop w:val="0"/>
          <w:marBottom w:val="0"/>
          <w:divBdr>
            <w:top w:val="none" w:sz="0" w:space="0" w:color="auto"/>
            <w:left w:val="none" w:sz="0" w:space="0" w:color="auto"/>
            <w:bottom w:val="none" w:sz="0" w:space="0" w:color="auto"/>
            <w:right w:val="none" w:sz="0" w:space="0" w:color="auto"/>
          </w:divBdr>
        </w:div>
        <w:div w:id="1407190423">
          <w:marLeft w:val="0"/>
          <w:marRight w:val="0"/>
          <w:marTop w:val="0"/>
          <w:marBottom w:val="0"/>
          <w:divBdr>
            <w:top w:val="none" w:sz="0" w:space="0" w:color="auto"/>
            <w:left w:val="none" w:sz="0" w:space="0" w:color="auto"/>
            <w:bottom w:val="none" w:sz="0" w:space="0" w:color="auto"/>
            <w:right w:val="none" w:sz="0" w:space="0" w:color="auto"/>
          </w:divBdr>
        </w:div>
        <w:div w:id="1480998858">
          <w:marLeft w:val="0"/>
          <w:marRight w:val="0"/>
          <w:marTop w:val="0"/>
          <w:marBottom w:val="0"/>
          <w:divBdr>
            <w:top w:val="none" w:sz="0" w:space="0" w:color="auto"/>
            <w:left w:val="none" w:sz="0" w:space="0" w:color="auto"/>
            <w:bottom w:val="none" w:sz="0" w:space="0" w:color="auto"/>
            <w:right w:val="none" w:sz="0" w:space="0" w:color="auto"/>
          </w:divBdr>
        </w:div>
        <w:div w:id="1505512203">
          <w:marLeft w:val="0"/>
          <w:marRight w:val="0"/>
          <w:marTop w:val="0"/>
          <w:marBottom w:val="0"/>
          <w:divBdr>
            <w:top w:val="none" w:sz="0" w:space="0" w:color="auto"/>
            <w:left w:val="none" w:sz="0" w:space="0" w:color="auto"/>
            <w:bottom w:val="none" w:sz="0" w:space="0" w:color="auto"/>
            <w:right w:val="none" w:sz="0" w:space="0" w:color="auto"/>
          </w:divBdr>
        </w:div>
        <w:div w:id="1612399829">
          <w:marLeft w:val="0"/>
          <w:marRight w:val="0"/>
          <w:marTop w:val="0"/>
          <w:marBottom w:val="0"/>
          <w:divBdr>
            <w:top w:val="none" w:sz="0" w:space="0" w:color="auto"/>
            <w:left w:val="none" w:sz="0" w:space="0" w:color="auto"/>
            <w:bottom w:val="none" w:sz="0" w:space="0" w:color="auto"/>
            <w:right w:val="none" w:sz="0" w:space="0" w:color="auto"/>
          </w:divBdr>
        </w:div>
        <w:div w:id="1702634132">
          <w:marLeft w:val="0"/>
          <w:marRight w:val="0"/>
          <w:marTop w:val="0"/>
          <w:marBottom w:val="0"/>
          <w:divBdr>
            <w:top w:val="none" w:sz="0" w:space="0" w:color="auto"/>
            <w:left w:val="none" w:sz="0" w:space="0" w:color="auto"/>
            <w:bottom w:val="none" w:sz="0" w:space="0" w:color="auto"/>
            <w:right w:val="none" w:sz="0" w:space="0" w:color="auto"/>
          </w:divBdr>
        </w:div>
        <w:div w:id="1811051962">
          <w:marLeft w:val="0"/>
          <w:marRight w:val="0"/>
          <w:marTop w:val="0"/>
          <w:marBottom w:val="0"/>
          <w:divBdr>
            <w:top w:val="none" w:sz="0" w:space="0" w:color="auto"/>
            <w:left w:val="none" w:sz="0" w:space="0" w:color="auto"/>
            <w:bottom w:val="none" w:sz="0" w:space="0" w:color="auto"/>
            <w:right w:val="none" w:sz="0" w:space="0" w:color="auto"/>
          </w:divBdr>
        </w:div>
      </w:divsChild>
    </w:div>
    <w:div w:id="266158348">
      <w:bodyDiv w:val="1"/>
      <w:marLeft w:val="0"/>
      <w:marRight w:val="0"/>
      <w:marTop w:val="0"/>
      <w:marBottom w:val="0"/>
      <w:divBdr>
        <w:top w:val="none" w:sz="0" w:space="0" w:color="auto"/>
        <w:left w:val="none" w:sz="0" w:space="0" w:color="auto"/>
        <w:bottom w:val="none" w:sz="0" w:space="0" w:color="auto"/>
        <w:right w:val="none" w:sz="0" w:space="0" w:color="auto"/>
      </w:divBdr>
      <w:divsChild>
        <w:div w:id="357241718">
          <w:marLeft w:val="0"/>
          <w:marRight w:val="0"/>
          <w:marTop w:val="0"/>
          <w:marBottom w:val="0"/>
          <w:divBdr>
            <w:top w:val="none" w:sz="0" w:space="0" w:color="auto"/>
            <w:left w:val="none" w:sz="0" w:space="0" w:color="auto"/>
            <w:bottom w:val="none" w:sz="0" w:space="0" w:color="auto"/>
            <w:right w:val="none" w:sz="0" w:space="0" w:color="auto"/>
          </w:divBdr>
        </w:div>
        <w:div w:id="416678089">
          <w:marLeft w:val="0"/>
          <w:marRight w:val="0"/>
          <w:marTop w:val="0"/>
          <w:marBottom w:val="0"/>
          <w:divBdr>
            <w:top w:val="none" w:sz="0" w:space="0" w:color="auto"/>
            <w:left w:val="none" w:sz="0" w:space="0" w:color="auto"/>
            <w:bottom w:val="none" w:sz="0" w:space="0" w:color="auto"/>
            <w:right w:val="none" w:sz="0" w:space="0" w:color="auto"/>
          </w:divBdr>
        </w:div>
        <w:div w:id="645815919">
          <w:marLeft w:val="0"/>
          <w:marRight w:val="0"/>
          <w:marTop w:val="0"/>
          <w:marBottom w:val="0"/>
          <w:divBdr>
            <w:top w:val="none" w:sz="0" w:space="0" w:color="auto"/>
            <w:left w:val="none" w:sz="0" w:space="0" w:color="auto"/>
            <w:bottom w:val="none" w:sz="0" w:space="0" w:color="auto"/>
            <w:right w:val="none" w:sz="0" w:space="0" w:color="auto"/>
          </w:divBdr>
        </w:div>
        <w:div w:id="2017342990">
          <w:marLeft w:val="0"/>
          <w:marRight w:val="0"/>
          <w:marTop w:val="0"/>
          <w:marBottom w:val="0"/>
          <w:divBdr>
            <w:top w:val="none" w:sz="0" w:space="0" w:color="auto"/>
            <w:left w:val="none" w:sz="0" w:space="0" w:color="auto"/>
            <w:bottom w:val="none" w:sz="0" w:space="0" w:color="auto"/>
            <w:right w:val="none" w:sz="0" w:space="0" w:color="auto"/>
          </w:divBdr>
        </w:div>
        <w:div w:id="1372921109">
          <w:marLeft w:val="0"/>
          <w:marRight w:val="0"/>
          <w:marTop w:val="0"/>
          <w:marBottom w:val="0"/>
          <w:divBdr>
            <w:top w:val="none" w:sz="0" w:space="0" w:color="auto"/>
            <w:left w:val="none" w:sz="0" w:space="0" w:color="auto"/>
            <w:bottom w:val="none" w:sz="0" w:space="0" w:color="auto"/>
            <w:right w:val="none" w:sz="0" w:space="0" w:color="auto"/>
          </w:divBdr>
        </w:div>
        <w:div w:id="1150244631">
          <w:marLeft w:val="0"/>
          <w:marRight w:val="0"/>
          <w:marTop w:val="0"/>
          <w:marBottom w:val="0"/>
          <w:divBdr>
            <w:top w:val="none" w:sz="0" w:space="0" w:color="auto"/>
            <w:left w:val="none" w:sz="0" w:space="0" w:color="auto"/>
            <w:bottom w:val="none" w:sz="0" w:space="0" w:color="auto"/>
            <w:right w:val="none" w:sz="0" w:space="0" w:color="auto"/>
          </w:divBdr>
        </w:div>
        <w:div w:id="979650145">
          <w:marLeft w:val="0"/>
          <w:marRight w:val="0"/>
          <w:marTop w:val="0"/>
          <w:marBottom w:val="0"/>
          <w:divBdr>
            <w:top w:val="none" w:sz="0" w:space="0" w:color="auto"/>
            <w:left w:val="none" w:sz="0" w:space="0" w:color="auto"/>
            <w:bottom w:val="none" w:sz="0" w:space="0" w:color="auto"/>
            <w:right w:val="none" w:sz="0" w:space="0" w:color="auto"/>
          </w:divBdr>
        </w:div>
        <w:div w:id="194661055">
          <w:marLeft w:val="0"/>
          <w:marRight w:val="0"/>
          <w:marTop w:val="0"/>
          <w:marBottom w:val="0"/>
          <w:divBdr>
            <w:top w:val="none" w:sz="0" w:space="0" w:color="auto"/>
            <w:left w:val="none" w:sz="0" w:space="0" w:color="auto"/>
            <w:bottom w:val="none" w:sz="0" w:space="0" w:color="auto"/>
            <w:right w:val="none" w:sz="0" w:space="0" w:color="auto"/>
          </w:divBdr>
        </w:div>
        <w:div w:id="459958203">
          <w:marLeft w:val="0"/>
          <w:marRight w:val="0"/>
          <w:marTop w:val="0"/>
          <w:marBottom w:val="0"/>
          <w:divBdr>
            <w:top w:val="none" w:sz="0" w:space="0" w:color="auto"/>
            <w:left w:val="none" w:sz="0" w:space="0" w:color="auto"/>
            <w:bottom w:val="none" w:sz="0" w:space="0" w:color="auto"/>
            <w:right w:val="none" w:sz="0" w:space="0" w:color="auto"/>
          </w:divBdr>
        </w:div>
      </w:divsChild>
    </w:div>
    <w:div w:id="267323504">
      <w:bodyDiv w:val="1"/>
      <w:marLeft w:val="0"/>
      <w:marRight w:val="0"/>
      <w:marTop w:val="0"/>
      <w:marBottom w:val="0"/>
      <w:divBdr>
        <w:top w:val="none" w:sz="0" w:space="0" w:color="auto"/>
        <w:left w:val="none" w:sz="0" w:space="0" w:color="auto"/>
        <w:bottom w:val="none" w:sz="0" w:space="0" w:color="auto"/>
        <w:right w:val="none" w:sz="0" w:space="0" w:color="auto"/>
      </w:divBdr>
    </w:div>
    <w:div w:id="273244327">
      <w:bodyDiv w:val="1"/>
      <w:marLeft w:val="0"/>
      <w:marRight w:val="0"/>
      <w:marTop w:val="0"/>
      <w:marBottom w:val="0"/>
      <w:divBdr>
        <w:top w:val="none" w:sz="0" w:space="0" w:color="auto"/>
        <w:left w:val="none" w:sz="0" w:space="0" w:color="auto"/>
        <w:bottom w:val="none" w:sz="0" w:space="0" w:color="auto"/>
        <w:right w:val="none" w:sz="0" w:space="0" w:color="auto"/>
      </w:divBdr>
      <w:divsChild>
        <w:div w:id="1297372507">
          <w:marLeft w:val="0"/>
          <w:marRight w:val="0"/>
          <w:marTop w:val="0"/>
          <w:marBottom w:val="0"/>
          <w:divBdr>
            <w:top w:val="none" w:sz="0" w:space="0" w:color="auto"/>
            <w:left w:val="none" w:sz="0" w:space="0" w:color="auto"/>
            <w:bottom w:val="none" w:sz="0" w:space="0" w:color="auto"/>
            <w:right w:val="none" w:sz="0" w:space="0" w:color="auto"/>
          </w:divBdr>
        </w:div>
        <w:div w:id="946549363">
          <w:marLeft w:val="0"/>
          <w:marRight w:val="0"/>
          <w:marTop w:val="0"/>
          <w:marBottom w:val="0"/>
          <w:divBdr>
            <w:top w:val="none" w:sz="0" w:space="0" w:color="auto"/>
            <w:left w:val="none" w:sz="0" w:space="0" w:color="auto"/>
            <w:bottom w:val="none" w:sz="0" w:space="0" w:color="auto"/>
            <w:right w:val="none" w:sz="0" w:space="0" w:color="auto"/>
          </w:divBdr>
        </w:div>
        <w:div w:id="1878813003">
          <w:marLeft w:val="0"/>
          <w:marRight w:val="0"/>
          <w:marTop w:val="0"/>
          <w:marBottom w:val="0"/>
          <w:divBdr>
            <w:top w:val="none" w:sz="0" w:space="0" w:color="auto"/>
            <w:left w:val="none" w:sz="0" w:space="0" w:color="auto"/>
            <w:bottom w:val="none" w:sz="0" w:space="0" w:color="auto"/>
            <w:right w:val="none" w:sz="0" w:space="0" w:color="auto"/>
          </w:divBdr>
        </w:div>
        <w:div w:id="259605828">
          <w:marLeft w:val="0"/>
          <w:marRight w:val="0"/>
          <w:marTop w:val="0"/>
          <w:marBottom w:val="0"/>
          <w:divBdr>
            <w:top w:val="none" w:sz="0" w:space="0" w:color="auto"/>
            <w:left w:val="none" w:sz="0" w:space="0" w:color="auto"/>
            <w:bottom w:val="none" w:sz="0" w:space="0" w:color="auto"/>
            <w:right w:val="none" w:sz="0" w:space="0" w:color="auto"/>
          </w:divBdr>
        </w:div>
        <w:div w:id="1620575085">
          <w:marLeft w:val="0"/>
          <w:marRight w:val="0"/>
          <w:marTop w:val="0"/>
          <w:marBottom w:val="0"/>
          <w:divBdr>
            <w:top w:val="none" w:sz="0" w:space="0" w:color="auto"/>
            <w:left w:val="none" w:sz="0" w:space="0" w:color="auto"/>
            <w:bottom w:val="none" w:sz="0" w:space="0" w:color="auto"/>
            <w:right w:val="none" w:sz="0" w:space="0" w:color="auto"/>
          </w:divBdr>
        </w:div>
        <w:div w:id="1811166749">
          <w:marLeft w:val="0"/>
          <w:marRight w:val="0"/>
          <w:marTop w:val="0"/>
          <w:marBottom w:val="0"/>
          <w:divBdr>
            <w:top w:val="none" w:sz="0" w:space="0" w:color="auto"/>
            <w:left w:val="none" w:sz="0" w:space="0" w:color="auto"/>
            <w:bottom w:val="none" w:sz="0" w:space="0" w:color="auto"/>
            <w:right w:val="none" w:sz="0" w:space="0" w:color="auto"/>
          </w:divBdr>
        </w:div>
      </w:divsChild>
    </w:div>
    <w:div w:id="277031329">
      <w:bodyDiv w:val="1"/>
      <w:marLeft w:val="0"/>
      <w:marRight w:val="0"/>
      <w:marTop w:val="0"/>
      <w:marBottom w:val="0"/>
      <w:divBdr>
        <w:top w:val="none" w:sz="0" w:space="0" w:color="auto"/>
        <w:left w:val="none" w:sz="0" w:space="0" w:color="auto"/>
        <w:bottom w:val="none" w:sz="0" w:space="0" w:color="auto"/>
        <w:right w:val="none" w:sz="0" w:space="0" w:color="auto"/>
      </w:divBdr>
      <w:divsChild>
        <w:div w:id="1193610228">
          <w:marLeft w:val="0"/>
          <w:marRight w:val="0"/>
          <w:marTop w:val="0"/>
          <w:marBottom w:val="0"/>
          <w:divBdr>
            <w:top w:val="none" w:sz="0" w:space="0" w:color="auto"/>
            <w:left w:val="none" w:sz="0" w:space="0" w:color="auto"/>
            <w:bottom w:val="none" w:sz="0" w:space="0" w:color="auto"/>
            <w:right w:val="none" w:sz="0" w:space="0" w:color="auto"/>
          </w:divBdr>
        </w:div>
        <w:div w:id="301036139">
          <w:marLeft w:val="0"/>
          <w:marRight w:val="0"/>
          <w:marTop w:val="0"/>
          <w:marBottom w:val="0"/>
          <w:divBdr>
            <w:top w:val="none" w:sz="0" w:space="0" w:color="auto"/>
            <w:left w:val="none" w:sz="0" w:space="0" w:color="auto"/>
            <w:bottom w:val="none" w:sz="0" w:space="0" w:color="auto"/>
            <w:right w:val="none" w:sz="0" w:space="0" w:color="auto"/>
          </w:divBdr>
        </w:div>
      </w:divsChild>
    </w:div>
    <w:div w:id="284241318">
      <w:bodyDiv w:val="1"/>
      <w:marLeft w:val="0"/>
      <w:marRight w:val="0"/>
      <w:marTop w:val="0"/>
      <w:marBottom w:val="0"/>
      <w:divBdr>
        <w:top w:val="none" w:sz="0" w:space="0" w:color="auto"/>
        <w:left w:val="none" w:sz="0" w:space="0" w:color="auto"/>
        <w:bottom w:val="none" w:sz="0" w:space="0" w:color="auto"/>
        <w:right w:val="none" w:sz="0" w:space="0" w:color="auto"/>
      </w:divBdr>
      <w:divsChild>
        <w:div w:id="1557281310">
          <w:marLeft w:val="0"/>
          <w:marRight w:val="0"/>
          <w:marTop w:val="0"/>
          <w:marBottom w:val="0"/>
          <w:divBdr>
            <w:top w:val="none" w:sz="0" w:space="0" w:color="auto"/>
            <w:left w:val="none" w:sz="0" w:space="0" w:color="auto"/>
            <w:bottom w:val="none" w:sz="0" w:space="0" w:color="auto"/>
            <w:right w:val="none" w:sz="0" w:space="0" w:color="auto"/>
          </w:divBdr>
        </w:div>
        <w:div w:id="389423266">
          <w:marLeft w:val="0"/>
          <w:marRight w:val="0"/>
          <w:marTop w:val="0"/>
          <w:marBottom w:val="0"/>
          <w:divBdr>
            <w:top w:val="none" w:sz="0" w:space="0" w:color="auto"/>
            <w:left w:val="none" w:sz="0" w:space="0" w:color="auto"/>
            <w:bottom w:val="none" w:sz="0" w:space="0" w:color="auto"/>
            <w:right w:val="none" w:sz="0" w:space="0" w:color="auto"/>
          </w:divBdr>
        </w:div>
        <w:div w:id="1982299812">
          <w:marLeft w:val="0"/>
          <w:marRight w:val="0"/>
          <w:marTop w:val="0"/>
          <w:marBottom w:val="0"/>
          <w:divBdr>
            <w:top w:val="none" w:sz="0" w:space="0" w:color="auto"/>
            <w:left w:val="none" w:sz="0" w:space="0" w:color="auto"/>
            <w:bottom w:val="none" w:sz="0" w:space="0" w:color="auto"/>
            <w:right w:val="none" w:sz="0" w:space="0" w:color="auto"/>
          </w:divBdr>
        </w:div>
      </w:divsChild>
    </w:div>
    <w:div w:id="320157968">
      <w:bodyDiv w:val="1"/>
      <w:marLeft w:val="0"/>
      <w:marRight w:val="0"/>
      <w:marTop w:val="0"/>
      <w:marBottom w:val="0"/>
      <w:divBdr>
        <w:top w:val="none" w:sz="0" w:space="0" w:color="auto"/>
        <w:left w:val="none" w:sz="0" w:space="0" w:color="auto"/>
        <w:bottom w:val="none" w:sz="0" w:space="0" w:color="auto"/>
        <w:right w:val="none" w:sz="0" w:space="0" w:color="auto"/>
      </w:divBdr>
      <w:divsChild>
        <w:div w:id="988560731">
          <w:marLeft w:val="0"/>
          <w:marRight w:val="0"/>
          <w:marTop w:val="0"/>
          <w:marBottom w:val="0"/>
          <w:divBdr>
            <w:top w:val="none" w:sz="0" w:space="0" w:color="auto"/>
            <w:left w:val="none" w:sz="0" w:space="0" w:color="auto"/>
            <w:bottom w:val="none" w:sz="0" w:space="0" w:color="auto"/>
            <w:right w:val="none" w:sz="0" w:space="0" w:color="auto"/>
          </w:divBdr>
        </w:div>
        <w:div w:id="1409882454">
          <w:marLeft w:val="0"/>
          <w:marRight w:val="0"/>
          <w:marTop w:val="0"/>
          <w:marBottom w:val="0"/>
          <w:divBdr>
            <w:top w:val="none" w:sz="0" w:space="0" w:color="auto"/>
            <w:left w:val="none" w:sz="0" w:space="0" w:color="auto"/>
            <w:bottom w:val="none" w:sz="0" w:space="0" w:color="auto"/>
            <w:right w:val="none" w:sz="0" w:space="0" w:color="auto"/>
          </w:divBdr>
        </w:div>
        <w:div w:id="2093117137">
          <w:marLeft w:val="0"/>
          <w:marRight w:val="0"/>
          <w:marTop w:val="0"/>
          <w:marBottom w:val="0"/>
          <w:divBdr>
            <w:top w:val="none" w:sz="0" w:space="0" w:color="auto"/>
            <w:left w:val="none" w:sz="0" w:space="0" w:color="auto"/>
            <w:bottom w:val="none" w:sz="0" w:space="0" w:color="auto"/>
            <w:right w:val="none" w:sz="0" w:space="0" w:color="auto"/>
          </w:divBdr>
        </w:div>
        <w:div w:id="1970893535">
          <w:marLeft w:val="0"/>
          <w:marRight w:val="0"/>
          <w:marTop w:val="0"/>
          <w:marBottom w:val="0"/>
          <w:divBdr>
            <w:top w:val="none" w:sz="0" w:space="0" w:color="auto"/>
            <w:left w:val="none" w:sz="0" w:space="0" w:color="auto"/>
            <w:bottom w:val="none" w:sz="0" w:space="0" w:color="auto"/>
            <w:right w:val="none" w:sz="0" w:space="0" w:color="auto"/>
          </w:divBdr>
        </w:div>
        <w:div w:id="1974599914">
          <w:marLeft w:val="0"/>
          <w:marRight w:val="0"/>
          <w:marTop w:val="0"/>
          <w:marBottom w:val="0"/>
          <w:divBdr>
            <w:top w:val="none" w:sz="0" w:space="0" w:color="auto"/>
            <w:left w:val="none" w:sz="0" w:space="0" w:color="auto"/>
            <w:bottom w:val="none" w:sz="0" w:space="0" w:color="auto"/>
            <w:right w:val="none" w:sz="0" w:space="0" w:color="auto"/>
          </w:divBdr>
        </w:div>
        <w:div w:id="545727886">
          <w:marLeft w:val="0"/>
          <w:marRight w:val="0"/>
          <w:marTop w:val="0"/>
          <w:marBottom w:val="0"/>
          <w:divBdr>
            <w:top w:val="none" w:sz="0" w:space="0" w:color="auto"/>
            <w:left w:val="none" w:sz="0" w:space="0" w:color="auto"/>
            <w:bottom w:val="none" w:sz="0" w:space="0" w:color="auto"/>
            <w:right w:val="none" w:sz="0" w:space="0" w:color="auto"/>
          </w:divBdr>
        </w:div>
        <w:div w:id="1477642328">
          <w:marLeft w:val="0"/>
          <w:marRight w:val="0"/>
          <w:marTop w:val="0"/>
          <w:marBottom w:val="0"/>
          <w:divBdr>
            <w:top w:val="none" w:sz="0" w:space="0" w:color="auto"/>
            <w:left w:val="none" w:sz="0" w:space="0" w:color="auto"/>
            <w:bottom w:val="none" w:sz="0" w:space="0" w:color="auto"/>
            <w:right w:val="none" w:sz="0" w:space="0" w:color="auto"/>
          </w:divBdr>
        </w:div>
      </w:divsChild>
    </w:div>
    <w:div w:id="325595429">
      <w:bodyDiv w:val="1"/>
      <w:marLeft w:val="0"/>
      <w:marRight w:val="0"/>
      <w:marTop w:val="0"/>
      <w:marBottom w:val="0"/>
      <w:divBdr>
        <w:top w:val="none" w:sz="0" w:space="0" w:color="auto"/>
        <w:left w:val="none" w:sz="0" w:space="0" w:color="auto"/>
        <w:bottom w:val="none" w:sz="0" w:space="0" w:color="auto"/>
        <w:right w:val="none" w:sz="0" w:space="0" w:color="auto"/>
      </w:divBdr>
    </w:div>
    <w:div w:id="328942166">
      <w:bodyDiv w:val="1"/>
      <w:marLeft w:val="0"/>
      <w:marRight w:val="0"/>
      <w:marTop w:val="0"/>
      <w:marBottom w:val="0"/>
      <w:divBdr>
        <w:top w:val="none" w:sz="0" w:space="0" w:color="auto"/>
        <w:left w:val="none" w:sz="0" w:space="0" w:color="auto"/>
        <w:bottom w:val="none" w:sz="0" w:space="0" w:color="auto"/>
        <w:right w:val="none" w:sz="0" w:space="0" w:color="auto"/>
      </w:divBdr>
    </w:div>
    <w:div w:id="332411812">
      <w:bodyDiv w:val="1"/>
      <w:marLeft w:val="0"/>
      <w:marRight w:val="0"/>
      <w:marTop w:val="0"/>
      <w:marBottom w:val="0"/>
      <w:divBdr>
        <w:top w:val="none" w:sz="0" w:space="0" w:color="auto"/>
        <w:left w:val="none" w:sz="0" w:space="0" w:color="auto"/>
        <w:bottom w:val="none" w:sz="0" w:space="0" w:color="auto"/>
        <w:right w:val="none" w:sz="0" w:space="0" w:color="auto"/>
      </w:divBdr>
      <w:divsChild>
        <w:div w:id="821846690">
          <w:marLeft w:val="0"/>
          <w:marRight w:val="0"/>
          <w:marTop w:val="0"/>
          <w:marBottom w:val="0"/>
          <w:divBdr>
            <w:top w:val="none" w:sz="0" w:space="0" w:color="auto"/>
            <w:left w:val="none" w:sz="0" w:space="0" w:color="auto"/>
            <w:bottom w:val="none" w:sz="0" w:space="0" w:color="auto"/>
            <w:right w:val="none" w:sz="0" w:space="0" w:color="auto"/>
          </w:divBdr>
        </w:div>
        <w:div w:id="1776364161">
          <w:marLeft w:val="0"/>
          <w:marRight w:val="0"/>
          <w:marTop w:val="0"/>
          <w:marBottom w:val="0"/>
          <w:divBdr>
            <w:top w:val="none" w:sz="0" w:space="0" w:color="auto"/>
            <w:left w:val="none" w:sz="0" w:space="0" w:color="auto"/>
            <w:bottom w:val="none" w:sz="0" w:space="0" w:color="auto"/>
            <w:right w:val="none" w:sz="0" w:space="0" w:color="auto"/>
          </w:divBdr>
        </w:div>
        <w:div w:id="1929314794">
          <w:marLeft w:val="0"/>
          <w:marRight w:val="0"/>
          <w:marTop w:val="0"/>
          <w:marBottom w:val="0"/>
          <w:divBdr>
            <w:top w:val="none" w:sz="0" w:space="0" w:color="auto"/>
            <w:left w:val="none" w:sz="0" w:space="0" w:color="auto"/>
            <w:bottom w:val="none" w:sz="0" w:space="0" w:color="auto"/>
            <w:right w:val="none" w:sz="0" w:space="0" w:color="auto"/>
          </w:divBdr>
        </w:div>
      </w:divsChild>
    </w:div>
    <w:div w:id="350491416">
      <w:bodyDiv w:val="1"/>
      <w:marLeft w:val="0"/>
      <w:marRight w:val="0"/>
      <w:marTop w:val="0"/>
      <w:marBottom w:val="0"/>
      <w:divBdr>
        <w:top w:val="none" w:sz="0" w:space="0" w:color="auto"/>
        <w:left w:val="none" w:sz="0" w:space="0" w:color="auto"/>
        <w:bottom w:val="none" w:sz="0" w:space="0" w:color="auto"/>
        <w:right w:val="none" w:sz="0" w:space="0" w:color="auto"/>
      </w:divBdr>
      <w:divsChild>
        <w:div w:id="1306013740">
          <w:marLeft w:val="0"/>
          <w:marRight w:val="0"/>
          <w:marTop w:val="0"/>
          <w:marBottom w:val="0"/>
          <w:divBdr>
            <w:top w:val="none" w:sz="0" w:space="0" w:color="auto"/>
            <w:left w:val="none" w:sz="0" w:space="0" w:color="auto"/>
            <w:bottom w:val="none" w:sz="0" w:space="0" w:color="auto"/>
            <w:right w:val="none" w:sz="0" w:space="0" w:color="auto"/>
          </w:divBdr>
        </w:div>
        <w:div w:id="1635796373">
          <w:marLeft w:val="0"/>
          <w:marRight w:val="0"/>
          <w:marTop w:val="0"/>
          <w:marBottom w:val="0"/>
          <w:divBdr>
            <w:top w:val="none" w:sz="0" w:space="0" w:color="auto"/>
            <w:left w:val="none" w:sz="0" w:space="0" w:color="auto"/>
            <w:bottom w:val="none" w:sz="0" w:space="0" w:color="auto"/>
            <w:right w:val="none" w:sz="0" w:space="0" w:color="auto"/>
          </w:divBdr>
        </w:div>
        <w:div w:id="2069910773">
          <w:marLeft w:val="0"/>
          <w:marRight w:val="0"/>
          <w:marTop w:val="0"/>
          <w:marBottom w:val="0"/>
          <w:divBdr>
            <w:top w:val="none" w:sz="0" w:space="0" w:color="auto"/>
            <w:left w:val="none" w:sz="0" w:space="0" w:color="auto"/>
            <w:bottom w:val="none" w:sz="0" w:space="0" w:color="auto"/>
            <w:right w:val="none" w:sz="0" w:space="0" w:color="auto"/>
          </w:divBdr>
        </w:div>
      </w:divsChild>
    </w:div>
    <w:div w:id="352876398">
      <w:bodyDiv w:val="1"/>
      <w:marLeft w:val="0"/>
      <w:marRight w:val="0"/>
      <w:marTop w:val="0"/>
      <w:marBottom w:val="0"/>
      <w:divBdr>
        <w:top w:val="none" w:sz="0" w:space="0" w:color="auto"/>
        <w:left w:val="none" w:sz="0" w:space="0" w:color="auto"/>
        <w:bottom w:val="none" w:sz="0" w:space="0" w:color="auto"/>
        <w:right w:val="none" w:sz="0" w:space="0" w:color="auto"/>
      </w:divBdr>
      <w:divsChild>
        <w:div w:id="626080592">
          <w:marLeft w:val="0"/>
          <w:marRight w:val="0"/>
          <w:marTop w:val="0"/>
          <w:marBottom w:val="0"/>
          <w:divBdr>
            <w:top w:val="none" w:sz="0" w:space="0" w:color="auto"/>
            <w:left w:val="none" w:sz="0" w:space="0" w:color="auto"/>
            <w:bottom w:val="none" w:sz="0" w:space="0" w:color="auto"/>
            <w:right w:val="none" w:sz="0" w:space="0" w:color="auto"/>
          </w:divBdr>
        </w:div>
      </w:divsChild>
    </w:div>
    <w:div w:id="372735944">
      <w:bodyDiv w:val="1"/>
      <w:marLeft w:val="0"/>
      <w:marRight w:val="0"/>
      <w:marTop w:val="0"/>
      <w:marBottom w:val="0"/>
      <w:divBdr>
        <w:top w:val="none" w:sz="0" w:space="0" w:color="auto"/>
        <w:left w:val="none" w:sz="0" w:space="0" w:color="auto"/>
        <w:bottom w:val="none" w:sz="0" w:space="0" w:color="auto"/>
        <w:right w:val="none" w:sz="0" w:space="0" w:color="auto"/>
      </w:divBdr>
      <w:divsChild>
        <w:div w:id="46536118">
          <w:marLeft w:val="0"/>
          <w:marRight w:val="0"/>
          <w:marTop w:val="0"/>
          <w:marBottom w:val="0"/>
          <w:divBdr>
            <w:top w:val="none" w:sz="0" w:space="0" w:color="auto"/>
            <w:left w:val="none" w:sz="0" w:space="0" w:color="auto"/>
            <w:bottom w:val="none" w:sz="0" w:space="0" w:color="auto"/>
            <w:right w:val="none" w:sz="0" w:space="0" w:color="auto"/>
          </w:divBdr>
        </w:div>
        <w:div w:id="1881165313">
          <w:marLeft w:val="0"/>
          <w:marRight w:val="0"/>
          <w:marTop w:val="0"/>
          <w:marBottom w:val="0"/>
          <w:divBdr>
            <w:top w:val="none" w:sz="0" w:space="0" w:color="auto"/>
            <w:left w:val="none" w:sz="0" w:space="0" w:color="auto"/>
            <w:bottom w:val="none" w:sz="0" w:space="0" w:color="auto"/>
            <w:right w:val="none" w:sz="0" w:space="0" w:color="auto"/>
          </w:divBdr>
        </w:div>
        <w:div w:id="769815279">
          <w:marLeft w:val="0"/>
          <w:marRight w:val="0"/>
          <w:marTop w:val="0"/>
          <w:marBottom w:val="0"/>
          <w:divBdr>
            <w:top w:val="none" w:sz="0" w:space="0" w:color="auto"/>
            <w:left w:val="none" w:sz="0" w:space="0" w:color="auto"/>
            <w:bottom w:val="none" w:sz="0" w:space="0" w:color="auto"/>
            <w:right w:val="none" w:sz="0" w:space="0" w:color="auto"/>
          </w:divBdr>
        </w:div>
        <w:div w:id="1416827991">
          <w:marLeft w:val="0"/>
          <w:marRight w:val="0"/>
          <w:marTop w:val="0"/>
          <w:marBottom w:val="0"/>
          <w:divBdr>
            <w:top w:val="none" w:sz="0" w:space="0" w:color="auto"/>
            <w:left w:val="none" w:sz="0" w:space="0" w:color="auto"/>
            <w:bottom w:val="none" w:sz="0" w:space="0" w:color="auto"/>
            <w:right w:val="none" w:sz="0" w:space="0" w:color="auto"/>
          </w:divBdr>
        </w:div>
        <w:div w:id="1442997254">
          <w:marLeft w:val="0"/>
          <w:marRight w:val="0"/>
          <w:marTop w:val="0"/>
          <w:marBottom w:val="0"/>
          <w:divBdr>
            <w:top w:val="none" w:sz="0" w:space="0" w:color="auto"/>
            <w:left w:val="none" w:sz="0" w:space="0" w:color="auto"/>
            <w:bottom w:val="none" w:sz="0" w:space="0" w:color="auto"/>
            <w:right w:val="none" w:sz="0" w:space="0" w:color="auto"/>
          </w:divBdr>
        </w:div>
        <w:div w:id="1648047226">
          <w:marLeft w:val="0"/>
          <w:marRight w:val="0"/>
          <w:marTop w:val="0"/>
          <w:marBottom w:val="0"/>
          <w:divBdr>
            <w:top w:val="none" w:sz="0" w:space="0" w:color="auto"/>
            <w:left w:val="none" w:sz="0" w:space="0" w:color="auto"/>
            <w:bottom w:val="none" w:sz="0" w:space="0" w:color="auto"/>
            <w:right w:val="none" w:sz="0" w:space="0" w:color="auto"/>
          </w:divBdr>
        </w:div>
        <w:div w:id="1246380942">
          <w:marLeft w:val="0"/>
          <w:marRight w:val="0"/>
          <w:marTop w:val="0"/>
          <w:marBottom w:val="0"/>
          <w:divBdr>
            <w:top w:val="none" w:sz="0" w:space="0" w:color="auto"/>
            <w:left w:val="none" w:sz="0" w:space="0" w:color="auto"/>
            <w:bottom w:val="none" w:sz="0" w:space="0" w:color="auto"/>
            <w:right w:val="none" w:sz="0" w:space="0" w:color="auto"/>
          </w:divBdr>
        </w:div>
        <w:div w:id="1145121393">
          <w:marLeft w:val="0"/>
          <w:marRight w:val="0"/>
          <w:marTop w:val="0"/>
          <w:marBottom w:val="0"/>
          <w:divBdr>
            <w:top w:val="none" w:sz="0" w:space="0" w:color="auto"/>
            <w:left w:val="none" w:sz="0" w:space="0" w:color="auto"/>
            <w:bottom w:val="none" w:sz="0" w:space="0" w:color="auto"/>
            <w:right w:val="none" w:sz="0" w:space="0" w:color="auto"/>
          </w:divBdr>
        </w:div>
        <w:div w:id="1207765725">
          <w:marLeft w:val="0"/>
          <w:marRight w:val="0"/>
          <w:marTop w:val="0"/>
          <w:marBottom w:val="0"/>
          <w:divBdr>
            <w:top w:val="none" w:sz="0" w:space="0" w:color="auto"/>
            <w:left w:val="none" w:sz="0" w:space="0" w:color="auto"/>
            <w:bottom w:val="none" w:sz="0" w:space="0" w:color="auto"/>
            <w:right w:val="none" w:sz="0" w:space="0" w:color="auto"/>
          </w:divBdr>
        </w:div>
        <w:div w:id="1571498382">
          <w:marLeft w:val="0"/>
          <w:marRight w:val="0"/>
          <w:marTop w:val="0"/>
          <w:marBottom w:val="0"/>
          <w:divBdr>
            <w:top w:val="none" w:sz="0" w:space="0" w:color="auto"/>
            <w:left w:val="none" w:sz="0" w:space="0" w:color="auto"/>
            <w:bottom w:val="none" w:sz="0" w:space="0" w:color="auto"/>
            <w:right w:val="none" w:sz="0" w:space="0" w:color="auto"/>
          </w:divBdr>
        </w:div>
        <w:div w:id="1129006015">
          <w:marLeft w:val="0"/>
          <w:marRight w:val="0"/>
          <w:marTop w:val="0"/>
          <w:marBottom w:val="0"/>
          <w:divBdr>
            <w:top w:val="none" w:sz="0" w:space="0" w:color="auto"/>
            <w:left w:val="none" w:sz="0" w:space="0" w:color="auto"/>
            <w:bottom w:val="none" w:sz="0" w:space="0" w:color="auto"/>
            <w:right w:val="none" w:sz="0" w:space="0" w:color="auto"/>
          </w:divBdr>
        </w:div>
      </w:divsChild>
    </w:div>
    <w:div w:id="382412840">
      <w:bodyDiv w:val="1"/>
      <w:marLeft w:val="0"/>
      <w:marRight w:val="0"/>
      <w:marTop w:val="0"/>
      <w:marBottom w:val="0"/>
      <w:divBdr>
        <w:top w:val="none" w:sz="0" w:space="0" w:color="auto"/>
        <w:left w:val="none" w:sz="0" w:space="0" w:color="auto"/>
        <w:bottom w:val="none" w:sz="0" w:space="0" w:color="auto"/>
        <w:right w:val="none" w:sz="0" w:space="0" w:color="auto"/>
      </w:divBdr>
      <w:divsChild>
        <w:div w:id="1236355436">
          <w:marLeft w:val="0"/>
          <w:marRight w:val="0"/>
          <w:marTop w:val="0"/>
          <w:marBottom w:val="0"/>
          <w:divBdr>
            <w:top w:val="none" w:sz="0" w:space="0" w:color="auto"/>
            <w:left w:val="none" w:sz="0" w:space="0" w:color="auto"/>
            <w:bottom w:val="none" w:sz="0" w:space="0" w:color="auto"/>
            <w:right w:val="none" w:sz="0" w:space="0" w:color="auto"/>
          </w:divBdr>
        </w:div>
        <w:div w:id="1406948431">
          <w:marLeft w:val="0"/>
          <w:marRight w:val="0"/>
          <w:marTop w:val="0"/>
          <w:marBottom w:val="0"/>
          <w:divBdr>
            <w:top w:val="none" w:sz="0" w:space="0" w:color="auto"/>
            <w:left w:val="none" w:sz="0" w:space="0" w:color="auto"/>
            <w:bottom w:val="none" w:sz="0" w:space="0" w:color="auto"/>
            <w:right w:val="none" w:sz="0" w:space="0" w:color="auto"/>
          </w:divBdr>
        </w:div>
        <w:div w:id="173887324">
          <w:marLeft w:val="0"/>
          <w:marRight w:val="0"/>
          <w:marTop w:val="0"/>
          <w:marBottom w:val="0"/>
          <w:divBdr>
            <w:top w:val="none" w:sz="0" w:space="0" w:color="auto"/>
            <w:left w:val="none" w:sz="0" w:space="0" w:color="auto"/>
            <w:bottom w:val="none" w:sz="0" w:space="0" w:color="auto"/>
            <w:right w:val="none" w:sz="0" w:space="0" w:color="auto"/>
          </w:divBdr>
        </w:div>
      </w:divsChild>
    </w:div>
    <w:div w:id="388070552">
      <w:bodyDiv w:val="1"/>
      <w:marLeft w:val="0"/>
      <w:marRight w:val="0"/>
      <w:marTop w:val="0"/>
      <w:marBottom w:val="0"/>
      <w:divBdr>
        <w:top w:val="none" w:sz="0" w:space="0" w:color="auto"/>
        <w:left w:val="none" w:sz="0" w:space="0" w:color="auto"/>
        <w:bottom w:val="none" w:sz="0" w:space="0" w:color="auto"/>
        <w:right w:val="none" w:sz="0" w:space="0" w:color="auto"/>
      </w:divBdr>
    </w:div>
    <w:div w:id="390425491">
      <w:bodyDiv w:val="1"/>
      <w:marLeft w:val="0"/>
      <w:marRight w:val="0"/>
      <w:marTop w:val="0"/>
      <w:marBottom w:val="0"/>
      <w:divBdr>
        <w:top w:val="none" w:sz="0" w:space="0" w:color="auto"/>
        <w:left w:val="none" w:sz="0" w:space="0" w:color="auto"/>
        <w:bottom w:val="none" w:sz="0" w:space="0" w:color="auto"/>
        <w:right w:val="none" w:sz="0" w:space="0" w:color="auto"/>
      </w:divBdr>
    </w:div>
    <w:div w:id="407072095">
      <w:bodyDiv w:val="1"/>
      <w:marLeft w:val="0"/>
      <w:marRight w:val="0"/>
      <w:marTop w:val="0"/>
      <w:marBottom w:val="0"/>
      <w:divBdr>
        <w:top w:val="none" w:sz="0" w:space="0" w:color="auto"/>
        <w:left w:val="none" w:sz="0" w:space="0" w:color="auto"/>
        <w:bottom w:val="none" w:sz="0" w:space="0" w:color="auto"/>
        <w:right w:val="none" w:sz="0" w:space="0" w:color="auto"/>
      </w:divBdr>
      <w:divsChild>
        <w:div w:id="892810719">
          <w:marLeft w:val="0"/>
          <w:marRight w:val="0"/>
          <w:marTop w:val="0"/>
          <w:marBottom w:val="0"/>
          <w:divBdr>
            <w:top w:val="none" w:sz="0" w:space="0" w:color="auto"/>
            <w:left w:val="none" w:sz="0" w:space="0" w:color="auto"/>
            <w:bottom w:val="none" w:sz="0" w:space="0" w:color="auto"/>
            <w:right w:val="none" w:sz="0" w:space="0" w:color="auto"/>
          </w:divBdr>
        </w:div>
        <w:div w:id="1140539996">
          <w:marLeft w:val="0"/>
          <w:marRight w:val="0"/>
          <w:marTop w:val="0"/>
          <w:marBottom w:val="0"/>
          <w:divBdr>
            <w:top w:val="none" w:sz="0" w:space="0" w:color="auto"/>
            <w:left w:val="none" w:sz="0" w:space="0" w:color="auto"/>
            <w:bottom w:val="none" w:sz="0" w:space="0" w:color="auto"/>
            <w:right w:val="none" w:sz="0" w:space="0" w:color="auto"/>
          </w:divBdr>
        </w:div>
        <w:div w:id="1905410003">
          <w:marLeft w:val="0"/>
          <w:marRight w:val="0"/>
          <w:marTop w:val="0"/>
          <w:marBottom w:val="0"/>
          <w:divBdr>
            <w:top w:val="none" w:sz="0" w:space="0" w:color="auto"/>
            <w:left w:val="none" w:sz="0" w:space="0" w:color="auto"/>
            <w:bottom w:val="none" w:sz="0" w:space="0" w:color="auto"/>
            <w:right w:val="none" w:sz="0" w:space="0" w:color="auto"/>
          </w:divBdr>
        </w:div>
      </w:divsChild>
    </w:div>
    <w:div w:id="420294544">
      <w:bodyDiv w:val="1"/>
      <w:marLeft w:val="0"/>
      <w:marRight w:val="0"/>
      <w:marTop w:val="0"/>
      <w:marBottom w:val="0"/>
      <w:divBdr>
        <w:top w:val="none" w:sz="0" w:space="0" w:color="auto"/>
        <w:left w:val="none" w:sz="0" w:space="0" w:color="auto"/>
        <w:bottom w:val="none" w:sz="0" w:space="0" w:color="auto"/>
        <w:right w:val="none" w:sz="0" w:space="0" w:color="auto"/>
      </w:divBdr>
      <w:divsChild>
        <w:div w:id="32466190">
          <w:marLeft w:val="0"/>
          <w:marRight w:val="0"/>
          <w:marTop w:val="0"/>
          <w:marBottom w:val="0"/>
          <w:divBdr>
            <w:top w:val="none" w:sz="0" w:space="0" w:color="auto"/>
            <w:left w:val="none" w:sz="0" w:space="0" w:color="auto"/>
            <w:bottom w:val="none" w:sz="0" w:space="0" w:color="auto"/>
            <w:right w:val="none" w:sz="0" w:space="0" w:color="auto"/>
          </w:divBdr>
        </w:div>
        <w:div w:id="240138984">
          <w:marLeft w:val="0"/>
          <w:marRight w:val="0"/>
          <w:marTop w:val="0"/>
          <w:marBottom w:val="0"/>
          <w:divBdr>
            <w:top w:val="none" w:sz="0" w:space="0" w:color="auto"/>
            <w:left w:val="none" w:sz="0" w:space="0" w:color="auto"/>
            <w:bottom w:val="none" w:sz="0" w:space="0" w:color="auto"/>
            <w:right w:val="none" w:sz="0" w:space="0" w:color="auto"/>
          </w:divBdr>
        </w:div>
        <w:div w:id="743382250">
          <w:marLeft w:val="0"/>
          <w:marRight w:val="0"/>
          <w:marTop w:val="0"/>
          <w:marBottom w:val="0"/>
          <w:divBdr>
            <w:top w:val="none" w:sz="0" w:space="0" w:color="auto"/>
            <w:left w:val="none" w:sz="0" w:space="0" w:color="auto"/>
            <w:bottom w:val="none" w:sz="0" w:space="0" w:color="auto"/>
            <w:right w:val="none" w:sz="0" w:space="0" w:color="auto"/>
          </w:divBdr>
        </w:div>
        <w:div w:id="809173832">
          <w:marLeft w:val="0"/>
          <w:marRight w:val="0"/>
          <w:marTop w:val="0"/>
          <w:marBottom w:val="0"/>
          <w:divBdr>
            <w:top w:val="none" w:sz="0" w:space="0" w:color="auto"/>
            <w:left w:val="none" w:sz="0" w:space="0" w:color="auto"/>
            <w:bottom w:val="none" w:sz="0" w:space="0" w:color="auto"/>
            <w:right w:val="none" w:sz="0" w:space="0" w:color="auto"/>
          </w:divBdr>
        </w:div>
        <w:div w:id="981619942">
          <w:marLeft w:val="0"/>
          <w:marRight w:val="0"/>
          <w:marTop w:val="0"/>
          <w:marBottom w:val="0"/>
          <w:divBdr>
            <w:top w:val="none" w:sz="0" w:space="0" w:color="auto"/>
            <w:left w:val="none" w:sz="0" w:space="0" w:color="auto"/>
            <w:bottom w:val="none" w:sz="0" w:space="0" w:color="auto"/>
            <w:right w:val="none" w:sz="0" w:space="0" w:color="auto"/>
          </w:divBdr>
        </w:div>
        <w:div w:id="1180463572">
          <w:marLeft w:val="0"/>
          <w:marRight w:val="0"/>
          <w:marTop w:val="0"/>
          <w:marBottom w:val="0"/>
          <w:divBdr>
            <w:top w:val="none" w:sz="0" w:space="0" w:color="auto"/>
            <w:left w:val="none" w:sz="0" w:space="0" w:color="auto"/>
            <w:bottom w:val="none" w:sz="0" w:space="0" w:color="auto"/>
            <w:right w:val="none" w:sz="0" w:space="0" w:color="auto"/>
          </w:divBdr>
        </w:div>
        <w:div w:id="1257858151">
          <w:marLeft w:val="0"/>
          <w:marRight w:val="0"/>
          <w:marTop w:val="0"/>
          <w:marBottom w:val="0"/>
          <w:divBdr>
            <w:top w:val="none" w:sz="0" w:space="0" w:color="auto"/>
            <w:left w:val="none" w:sz="0" w:space="0" w:color="auto"/>
            <w:bottom w:val="none" w:sz="0" w:space="0" w:color="auto"/>
            <w:right w:val="none" w:sz="0" w:space="0" w:color="auto"/>
          </w:divBdr>
        </w:div>
        <w:div w:id="1260330275">
          <w:marLeft w:val="0"/>
          <w:marRight w:val="0"/>
          <w:marTop w:val="0"/>
          <w:marBottom w:val="0"/>
          <w:divBdr>
            <w:top w:val="none" w:sz="0" w:space="0" w:color="auto"/>
            <w:left w:val="none" w:sz="0" w:space="0" w:color="auto"/>
            <w:bottom w:val="none" w:sz="0" w:space="0" w:color="auto"/>
            <w:right w:val="none" w:sz="0" w:space="0" w:color="auto"/>
          </w:divBdr>
        </w:div>
        <w:div w:id="1291472446">
          <w:marLeft w:val="0"/>
          <w:marRight w:val="0"/>
          <w:marTop w:val="0"/>
          <w:marBottom w:val="0"/>
          <w:divBdr>
            <w:top w:val="none" w:sz="0" w:space="0" w:color="auto"/>
            <w:left w:val="none" w:sz="0" w:space="0" w:color="auto"/>
            <w:bottom w:val="none" w:sz="0" w:space="0" w:color="auto"/>
            <w:right w:val="none" w:sz="0" w:space="0" w:color="auto"/>
          </w:divBdr>
        </w:div>
        <w:div w:id="1338078874">
          <w:marLeft w:val="0"/>
          <w:marRight w:val="0"/>
          <w:marTop w:val="0"/>
          <w:marBottom w:val="0"/>
          <w:divBdr>
            <w:top w:val="none" w:sz="0" w:space="0" w:color="auto"/>
            <w:left w:val="none" w:sz="0" w:space="0" w:color="auto"/>
            <w:bottom w:val="none" w:sz="0" w:space="0" w:color="auto"/>
            <w:right w:val="none" w:sz="0" w:space="0" w:color="auto"/>
          </w:divBdr>
        </w:div>
        <w:div w:id="1401753877">
          <w:marLeft w:val="0"/>
          <w:marRight w:val="0"/>
          <w:marTop w:val="0"/>
          <w:marBottom w:val="0"/>
          <w:divBdr>
            <w:top w:val="none" w:sz="0" w:space="0" w:color="auto"/>
            <w:left w:val="none" w:sz="0" w:space="0" w:color="auto"/>
            <w:bottom w:val="none" w:sz="0" w:space="0" w:color="auto"/>
            <w:right w:val="none" w:sz="0" w:space="0" w:color="auto"/>
          </w:divBdr>
        </w:div>
        <w:div w:id="1426923248">
          <w:marLeft w:val="0"/>
          <w:marRight w:val="0"/>
          <w:marTop w:val="0"/>
          <w:marBottom w:val="0"/>
          <w:divBdr>
            <w:top w:val="none" w:sz="0" w:space="0" w:color="auto"/>
            <w:left w:val="none" w:sz="0" w:space="0" w:color="auto"/>
            <w:bottom w:val="none" w:sz="0" w:space="0" w:color="auto"/>
            <w:right w:val="none" w:sz="0" w:space="0" w:color="auto"/>
          </w:divBdr>
        </w:div>
        <w:div w:id="1586299411">
          <w:marLeft w:val="0"/>
          <w:marRight w:val="0"/>
          <w:marTop w:val="0"/>
          <w:marBottom w:val="0"/>
          <w:divBdr>
            <w:top w:val="none" w:sz="0" w:space="0" w:color="auto"/>
            <w:left w:val="none" w:sz="0" w:space="0" w:color="auto"/>
            <w:bottom w:val="none" w:sz="0" w:space="0" w:color="auto"/>
            <w:right w:val="none" w:sz="0" w:space="0" w:color="auto"/>
          </w:divBdr>
        </w:div>
        <w:div w:id="1757900142">
          <w:marLeft w:val="0"/>
          <w:marRight w:val="0"/>
          <w:marTop w:val="0"/>
          <w:marBottom w:val="0"/>
          <w:divBdr>
            <w:top w:val="none" w:sz="0" w:space="0" w:color="auto"/>
            <w:left w:val="none" w:sz="0" w:space="0" w:color="auto"/>
            <w:bottom w:val="none" w:sz="0" w:space="0" w:color="auto"/>
            <w:right w:val="none" w:sz="0" w:space="0" w:color="auto"/>
          </w:divBdr>
        </w:div>
        <w:div w:id="1785034662">
          <w:marLeft w:val="0"/>
          <w:marRight w:val="0"/>
          <w:marTop w:val="0"/>
          <w:marBottom w:val="0"/>
          <w:divBdr>
            <w:top w:val="none" w:sz="0" w:space="0" w:color="auto"/>
            <w:left w:val="none" w:sz="0" w:space="0" w:color="auto"/>
            <w:bottom w:val="none" w:sz="0" w:space="0" w:color="auto"/>
            <w:right w:val="none" w:sz="0" w:space="0" w:color="auto"/>
          </w:divBdr>
        </w:div>
        <w:div w:id="1799957719">
          <w:marLeft w:val="0"/>
          <w:marRight w:val="0"/>
          <w:marTop w:val="0"/>
          <w:marBottom w:val="0"/>
          <w:divBdr>
            <w:top w:val="none" w:sz="0" w:space="0" w:color="auto"/>
            <w:left w:val="none" w:sz="0" w:space="0" w:color="auto"/>
            <w:bottom w:val="none" w:sz="0" w:space="0" w:color="auto"/>
            <w:right w:val="none" w:sz="0" w:space="0" w:color="auto"/>
          </w:divBdr>
        </w:div>
        <w:div w:id="1816406888">
          <w:marLeft w:val="0"/>
          <w:marRight w:val="0"/>
          <w:marTop w:val="0"/>
          <w:marBottom w:val="0"/>
          <w:divBdr>
            <w:top w:val="none" w:sz="0" w:space="0" w:color="auto"/>
            <w:left w:val="none" w:sz="0" w:space="0" w:color="auto"/>
            <w:bottom w:val="none" w:sz="0" w:space="0" w:color="auto"/>
            <w:right w:val="none" w:sz="0" w:space="0" w:color="auto"/>
          </w:divBdr>
        </w:div>
        <w:div w:id="1926527980">
          <w:marLeft w:val="0"/>
          <w:marRight w:val="0"/>
          <w:marTop w:val="0"/>
          <w:marBottom w:val="0"/>
          <w:divBdr>
            <w:top w:val="none" w:sz="0" w:space="0" w:color="auto"/>
            <w:left w:val="none" w:sz="0" w:space="0" w:color="auto"/>
            <w:bottom w:val="none" w:sz="0" w:space="0" w:color="auto"/>
            <w:right w:val="none" w:sz="0" w:space="0" w:color="auto"/>
          </w:divBdr>
        </w:div>
        <w:div w:id="2043245312">
          <w:marLeft w:val="0"/>
          <w:marRight w:val="0"/>
          <w:marTop w:val="0"/>
          <w:marBottom w:val="0"/>
          <w:divBdr>
            <w:top w:val="none" w:sz="0" w:space="0" w:color="auto"/>
            <w:left w:val="none" w:sz="0" w:space="0" w:color="auto"/>
            <w:bottom w:val="none" w:sz="0" w:space="0" w:color="auto"/>
            <w:right w:val="none" w:sz="0" w:space="0" w:color="auto"/>
          </w:divBdr>
        </w:div>
        <w:div w:id="2126120760">
          <w:marLeft w:val="0"/>
          <w:marRight w:val="0"/>
          <w:marTop w:val="0"/>
          <w:marBottom w:val="0"/>
          <w:divBdr>
            <w:top w:val="none" w:sz="0" w:space="0" w:color="auto"/>
            <w:left w:val="none" w:sz="0" w:space="0" w:color="auto"/>
            <w:bottom w:val="none" w:sz="0" w:space="0" w:color="auto"/>
            <w:right w:val="none" w:sz="0" w:space="0" w:color="auto"/>
          </w:divBdr>
        </w:div>
      </w:divsChild>
    </w:div>
    <w:div w:id="432165139">
      <w:bodyDiv w:val="1"/>
      <w:marLeft w:val="0"/>
      <w:marRight w:val="0"/>
      <w:marTop w:val="0"/>
      <w:marBottom w:val="0"/>
      <w:divBdr>
        <w:top w:val="none" w:sz="0" w:space="0" w:color="auto"/>
        <w:left w:val="none" w:sz="0" w:space="0" w:color="auto"/>
        <w:bottom w:val="none" w:sz="0" w:space="0" w:color="auto"/>
        <w:right w:val="none" w:sz="0" w:space="0" w:color="auto"/>
      </w:divBdr>
      <w:divsChild>
        <w:div w:id="530268922">
          <w:marLeft w:val="0"/>
          <w:marRight w:val="0"/>
          <w:marTop w:val="0"/>
          <w:marBottom w:val="0"/>
          <w:divBdr>
            <w:top w:val="none" w:sz="0" w:space="0" w:color="auto"/>
            <w:left w:val="none" w:sz="0" w:space="0" w:color="auto"/>
            <w:bottom w:val="none" w:sz="0" w:space="0" w:color="auto"/>
            <w:right w:val="none" w:sz="0" w:space="0" w:color="auto"/>
          </w:divBdr>
        </w:div>
        <w:div w:id="1270308497">
          <w:marLeft w:val="0"/>
          <w:marRight w:val="0"/>
          <w:marTop w:val="0"/>
          <w:marBottom w:val="0"/>
          <w:divBdr>
            <w:top w:val="none" w:sz="0" w:space="0" w:color="auto"/>
            <w:left w:val="none" w:sz="0" w:space="0" w:color="auto"/>
            <w:bottom w:val="none" w:sz="0" w:space="0" w:color="auto"/>
            <w:right w:val="none" w:sz="0" w:space="0" w:color="auto"/>
          </w:divBdr>
        </w:div>
        <w:div w:id="1628513600">
          <w:marLeft w:val="0"/>
          <w:marRight w:val="0"/>
          <w:marTop w:val="0"/>
          <w:marBottom w:val="0"/>
          <w:divBdr>
            <w:top w:val="none" w:sz="0" w:space="0" w:color="auto"/>
            <w:left w:val="none" w:sz="0" w:space="0" w:color="auto"/>
            <w:bottom w:val="none" w:sz="0" w:space="0" w:color="auto"/>
            <w:right w:val="none" w:sz="0" w:space="0" w:color="auto"/>
          </w:divBdr>
        </w:div>
        <w:div w:id="2109960336">
          <w:marLeft w:val="0"/>
          <w:marRight w:val="0"/>
          <w:marTop w:val="0"/>
          <w:marBottom w:val="0"/>
          <w:divBdr>
            <w:top w:val="none" w:sz="0" w:space="0" w:color="auto"/>
            <w:left w:val="none" w:sz="0" w:space="0" w:color="auto"/>
            <w:bottom w:val="none" w:sz="0" w:space="0" w:color="auto"/>
            <w:right w:val="none" w:sz="0" w:space="0" w:color="auto"/>
          </w:divBdr>
        </w:div>
      </w:divsChild>
    </w:div>
    <w:div w:id="433983201">
      <w:bodyDiv w:val="1"/>
      <w:marLeft w:val="0"/>
      <w:marRight w:val="0"/>
      <w:marTop w:val="0"/>
      <w:marBottom w:val="0"/>
      <w:divBdr>
        <w:top w:val="none" w:sz="0" w:space="0" w:color="auto"/>
        <w:left w:val="none" w:sz="0" w:space="0" w:color="auto"/>
        <w:bottom w:val="none" w:sz="0" w:space="0" w:color="auto"/>
        <w:right w:val="none" w:sz="0" w:space="0" w:color="auto"/>
      </w:divBdr>
      <w:divsChild>
        <w:div w:id="20786449">
          <w:marLeft w:val="0"/>
          <w:marRight w:val="0"/>
          <w:marTop w:val="0"/>
          <w:marBottom w:val="0"/>
          <w:divBdr>
            <w:top w:val="none" w:sz="0" w:space="0" w:color="auto"/>
            <w:left w:val="none" w:sz="0" w:space="0" w:color="auto"/>
            <w:bottom w:val="none" w:sz="0" w:space="0" w:color="auto"/>
            <w:right w:val="none" w:sz="0" w:space="0" w:color="auto"/>
          </w:divBdr>
        </w:div>
        <w:div w:id="43062891">
          <w:marLeft w:val="0"/>
          <w:marRight w:val="0"/>
          <w:marTop w:val="0"/>
          <w:marBottom w:val="0"/>
          <w:divBdr>
            <w:top w:val="none" w:sz="0" w:space="0" w:color="auto"/>
            <w:left w:val="none" w:sz="0" w:space="0" w:color="auto"/>
            <w:bottom w:val="none" w:sz="0" w:space="0" w:color="auto"/>
            <w:right w:val="none" w:sz="0" w:space="0" w:color="auto"/>
          </w:divBdr>
        </w:div>
        <w:div w:id="138042510">
          <w:marLeft w:val="0"/>
          <w:marRight w:val="0"/>
          <w:marTop w:val="0"/>
          <w:marBottom w:val="0"/>
          <w:divBdr>
            <w:top w:val="none" w:sz="0" w:space="0" w:color="auto"/>
            <w:left w:val="none" w:sz="0" w:space="0" w:color="auto"/>
            <w:bottom w:val="none" w:sz="0" w:space="0" w:color="auto"/>
            <w:right w:val="none" w:sz="0" w:space="0" w:color="auto"/>
          </w:divBdr>
        </w:div>
        <w:div w:id="161315599">
          <w:marLeft w:val="0"/>
          <w:marRight w:val="0"/>
          <w:marTop w:val="0"/>
          <w:marBottom w:val="0"/>
          <w:divBdr>
            <w:top w:val="none" w:sz="0" w:space="0" w:color="auto"/>
            <w:left w:val="none" w:sz="0" w:space="0" w:color="auto"/>
            <w:bottom w:val="none" w:sz="0" w:space="0" w:color="auto"/>
            <w:right w:val="none" w:sz="0" w:space="0" w:color="auto"/>
          </w:divBdr>
        </w:div>
        <w:div w:id="274480450">
          <w:marLeft w:val="0"/>
          <w:marRight w:val="0"/>
          <w:marTop w:val="0"/>
          <w:marBottom w:val="0"/>
          <w:divBdr>
            <w:top w:val="none" w:sz="0" w:space="0" w:color="auto"/>
            <w:left w:val="none" w:sz="0" w:space="0" w:color="auto"/>
            <w:bottom w:val="none" w:sz="0" w:space="0" w:color="auto"/>
            <w:right w:val="none" w:sz="0" w:space="0" w:color="auto"/>
          </w:divBdr>
        </w:div>
        <w:div w:id="362288056">
          <w:marLeft w:val="0"/>
          <w:marRight w:val="0"/>
          <w:marTop w:val="0"/>
          <w:marBottom w:val="0"/>
          <w:divBdr>
            <w:top w:val="none" w:sz="0" w:space="0" w:color="auto"/>
            <w:left w:val="none" w:sz="0" w:space="0" w:color="auto"/>
            <w:bottom w:val="none" w:sz="0" w:space="0" w:color="auto"/>
            <w:right w:val="none" w:sz="0" w:space="0" w:color="auto"/>
          </w:divBdr>
        </w:div>
        <w:div w:id="457141406">
          <w:marLeft w:val="0"/>
          <w:marRight w:val="0"/>
          <w:marTop w:val="0"/>
          <w:marBottom w:val="0"/>
          <w:divBdr>
            <w:top w:val="none" w:sz="0" w:space="0" w:color="auto"/>
            <w:left w:val="none" w:sz="0" w:space="0" w:color="auto"/>
            <w:bottom w:val="none" w:sz="0" w:space="0" w:color="auto"/>
            <w:right w:val="none" w:sz="0" w:space="0" w:color="auto"/>
          </w:divBdr>
        </w:div>
        <w:div w:id="508369899">
          <w:marLeft w:val="0"/>
          <w:marRight w:val="0"/>
          <w:marTop w:val="0"/>
          <w:marBottom w:val="0"/>
          <w:divBdr>
            <w:top w:val="none" w:sz="0" w:space="0" w:color="auto"/>
            <w:left w:val="none" w:sz="0" w:space="0" w:color="auto"/>
            <w:bottom w:val="none" w:sz="0" w:space="0" w:color="auto"/>
            <w:right w:val="none" w:sz="0" w:space="0" w:color="auto"/>
          </w:divBdr>
        </w:div>
        <w:div w:id="551502346">
          <w:marLeft w:val="0"/>
          <w:marRight w:val="0"/>
          <w:marTop w:val="0"/>
          <w:marBottom w:val="0"/>
          <w:divBdr>
            <w:top w:val="none" w:sz="0" w:space="0" w:color="auto"/>
            <w:left w:val="none" w:sz="0" w:space="0" w:color="auto"/>
            <w:bottom w:val="none" w:sz="0" w:space="0" w:color="auto"/>
            <w:right w:val="none" w:sz="0" w:space="0" w:color="auto"/>
          </w:divBdr>
        </w:div>
        <w:div w:id="646201445">
          <w:marLeft w:val="0"/>
          <w:marRight w:val="0"/>
          <w:marTop w:val="0"/>
          <w:marBottom w:val="0"/>
          <w:divBdr>
            <w:top w:val="none" w:sz="0" w:space="0" w:color="auto"/>
            <w:left w:val="none" w:sz="0" w:space="0" w:color="auto"/>
            <w:bottom w:val="none" w:sz="0" w:space="0" w:color="auto"/>
            <w:right w:val="none" w:sz="0" w:space="0" w:color="auto"/>
          </w:divBdr>
        </w:div>
        <w:div w:id="668095086">
          <w:marLeft w:val="0"/>
          <w:marRight w:val="0"/>
          <w:marTop w:val="0"/>
          <w:marBottom w:val="0"/>
          <w:divBdr>
            <w:top w:val="none" w:sz="0" w:space="0" w:color="auto"/>
            <w:left w:val="none" w:sz="0" w:space="0" w:color="auto"/>
            <w:bottom w:val="none" w:sz="0" w:space="0" w:color="auto"/>
            <w:right w:val="none" w:sz="0" w:space="0" w:color="auto"/>
          </w:divBdr>
        </w:div>
        <w:div w:id="685407801">
          <w:marLeft w:val="0"/>
          <w:marRight w:val="0"/>
          <w:marTop w:val="0"/>
          <w:marBottom w:val="0"/>
          <w:divBdr>
            <w:top w:val="none" w:sz="0" w:space="0" w:color="auto"/>
            <w:left w:val="none" w:sz="0" w:space="0" w:color="auto"/>
            <w:bottom w:val="none" w:sz="0" w:space="0" w:color="auto"/>
            <w:right w:val="none" w:sz="0" w:space="0" w:color="auto"/>
          </w:divBdr>
        </w:div>
        <w:div w:id="1097292516">
          <w:marLeft w:val="0"/>
          <w:marRight w:val="0"/>
          <w:marTop w:val="0"/>
          <w:marBottom w:val="0"/>
          <w:divBdr>
            <w:top w:val="none" w:sz="0" w:space="0" w:color="auto"/>
            <w:left w:val="none" w:sz="0" w:space="0" w:color="auto"/>
            <w:bottom w:val="none" w:sz="0" w:space="0" w:color="auto"/>
            <w:right w:val="none" w:sz="0" w:space="0" w:color="auto"/>
          </w:divBdr>
        </w:div>
        <w:div w:id="1171867678">
          <w:marLeft w:val="0"/>
          <w:marRight w:val="0"/>
          <w:marTop w:val="0"/>
          <w:marBottom w:val="0"/>
          <w:divBdr>
            <w:top w:val="none" w:sz="0" w:space="0" w:color="auto"/>
            <w:left w:val="none" w:sz="0" w:space="0" w:color="auto"/>
            <w:bottom w:val="none" w:sz="0" w:space="0" w:color="auto"/>
            <w:right w:val="none" w:sz="0" w:space="0" w:color="auto"/>
          </w:divBdr>
        </w:div>
        <w:div w:id="1464813686">
          <w:marLeft w:val="0"/>
          <w:marRight w:val="0"/>
          <w:marTop w:val="0"/>
          <w:marBottom w:val="0"/>
          <w:divBdr>
            <w:top w:val="none" w:sz="0" w:space="0" w:color="auto"/>
            <w:left w:val="none" w:sz="0" w:space="0" w:color="auto"/>
            <w:bottom w:val="none" w:sz="0" w:space="0" w:color="auto"/>
            <w:right w:val="none" w:sz="0" w:space="0" w:color="auto"/>
          </w:divBdr>
        </w:div>
        <w:div w:id="1706638875">
          <w:marLeft w:val="0"/>
          <w:marRight w:val="0"/>
          <w:marTop w:val="0"/>
          <w:marBottom w:val="0"/>
          <w:divBdr>
            <w:top w:val="none" w:sz="0" w:space="0" w:color="auto"/>
            <w:left w:val="none" w:sz="0" w:space="0" w:color="auto"/>
            <w:bottom w:val="none" w:sz="0" w:space="0" w:color="auto"/>
            <w:right w:val="none" w:sz="0" w:space="0" w:color="auto"/>
          </w:divBdr>
        </w:div>
        <w:div w:id="1842312825">
          <w:marLeft w:val="0"/>
          <w:marRight w:val="0"/>
          <w:marTop w:val="0"/>
          <w:marBottom w:val="0"/>
          <w:divBdr>
            <w:top w:val="none" w:sz="0" w:space="0" w:color="auto"/>
            <w:left w:val="none" w:sz="0" w:space="0" w:color="auto"/>
            <w:bottom w:val="none" w:sz="0" w:space="0" w:color="auto"/>
            <w:right w:val="none" w:sz="0" w:space="0" w:color="auto"/>
          </w:divBdr>
        </w:div>
        <w:div w:id="1995835399">
          <w:marLeft w:val="0"/>
          <w:marRight w:val="0"/>
          <w:marTop w:val="0"/>
          <w:marBottom w:val="0"/>
          <w:divBdr>
            <w:top w:val="none" w:sz="0" w:space="0" w:color="auto"/>
            <w:left w:val="none" w:sz="0" w:space="0" w:color="auto"/>
            <w:bottom w:val="none" w:sz="0" w:space="0" w:color="auto"/>
            <w:right w:val="none" w:sz="0" w:space="0" w:color="auto"/>
          </w:divBdr>
        </w:div>
        <w:div w:id="2102986947">
          <w:marLeft w:val="0"/>
          <w:marRight w:val="0"/>
          <w:marTop w:val="0"/>
          <w:marBottom w:val="0"/>
          <w:divBdr>
            <w:top w:val="none" w:sz="0" w:space="0" w:color="auto"/>
            <w:left w:val="none" w:sz="0" w:space="0" w:color="auto"/>
            <w:bottom w:val="none" w:sz="0" w:space="0" w:color="auto"/>
            <w:right w:val="none" w:sz="0" w:space="0" w:color="auto"/>
          </w:divBdr>
        </w:div>
      </w:divsChild>
    </w:div>
    <w:div w:id="441875669">
      <w:bodyDiv w:val="1"/>
      <w:marLeft w:val="0"/>
      <w:marRight w:val="0"/>
      <w:marTop w:val="0"/>
      <w:marBottom w:val="0"/>
      <w:divBdr>
        <w:top w:val="none" w:sz="0" w:space="0" w:color="auto"/>
        <w:left w:val="none" w:sz="0" w:space="0" w:color="auto"/>
        <w:bottom w:val="none" w:sz="0" w:space="0" w:color="auto"/>
        <w:right w:val="none" w:sz="0" w:space="0" w:color="auto"/>
      </w:divBdr>
      <w:divsChild>
        <w:div w:id="63072060">
          <w:marLeft w:val="0"/>
          <w:marRight w:val="0"/>
          <w:marTop w:val="0"/>
          <w:marBottom w:val="0"/>
          <w:divBdr>
            <w:top w:val="none" w:sz="0" w:space="0" w:color="auto"/>
            <w:left w:val="none" w:sz="0" w:space="0" w:color="auto"/>
            <w:bottom w:val="none" w:sz="0" w:space="0" w:color="auto"/>
            <w:right w:val="none" w:sz="0" w:space="0" w:color="auto"/>
          </w:divBdr>
        </w:div>
        <w:div w:id="534656568">
          <w:marLeft w:val="0"/>
          <w:marRight w:val="0"/>
          <w:marTop w:val="0"/>
          <w:marBottom w:val="0"/>
          <w:divBdr>
            <w:top w:val="none" w:sz="0" w:space="0" w:color="auto"/>
            <w:left w:val="none" w:sz="0" w:space="0" w:color="auto"/>
            <w:bottom w:val="none" w:sz="0" w:space="0" w:color="auto"/>
            <w:right w:val="none" w:sz="0" w:space="0" w:color="auto"/>
          </w:divBdr>
        </w:div>
      </w:divsChild>
    </w:div>
    <w:div w:id="452402785">
      <w:bodyDiv w:val="1"/>
      <w:marLeft w:val="0"/>
      <w:marRight w:val="0"/>
      <w:marTop w:val="0"/>
      <w:marBottom w:val="0"/>
      <w:divBdr>
        <w:top w:val="none" w:sz="0" w:space="0" w:color="auto"/>
        <w:left w:val="none" w:sz="0" w:space="0" w:color="auto"/>
        <w:bottom w:val="none" w:sz="0" w:space="0" w:color="auto"/>
        <w:right w:val="none" w:sz="0" w:space="0" w:color="auto"/>
      </w:divBdr>
    </w:div>
    <w:div w:id="455369638">
      <w:bodyDiv w:val="1"/>
      <w:marLeft w:val="0"/>
      <w:marRight w:val="0"/>
      <w:marTop w:val="0"/>
      <w:marBottom w:val="0"/>
      <w:divBdr>
        <w:top w:val="none" w:sz="0" w:space="0" w:color="auto"/>
        <w:left w:val="none" w:sz="0" w:space="0" w:color="auto"/>
        <w:bottom w:val="none" w:sz="0" w:space="0" w:color="auto"/>
        <w:right w:val="none" w:sz="0" w:space="0" w:color="auto"/>
      </w:divBdr>
      <w:divsChild>
        <w:div w:id="394857697">
          <w:marLeft w:val="0"/>
          <w:marRight w:val="0"/>
          <w:marTop w:val="0"/>
          <w:marBottom w:val="0"/>
          <w:divBdr>
            <w:top w:val="none" w:sz="0" w:space="0" w:color="auto"/>
            <w:left w:val="none" w:sz="0" w:space="0" w:color="auto"/>
            <w:bottom w:val="none" w:sz="0" w:space="0" w:color="auto"/>
            <w:right w:val="none" w:sz="0" w:space="0" w:color="auto"/>
          </w:divBdr>
        </w:div>
        <w:div w:id="573198913">
          <w:marLeft w:val="0"/>
          <w:marRight w:val="0"/>
          <w:marTop w:val="0"/>
          <w:marBottom w:val="0"/>
          <w:divBdr>
            <w:top w:val="none" w:sz="0" w:space="0" w:color="auto"/>
            <w:left w:val="none" w:sz="0" w:space="0" w:color="auto"/>
            <w:bottom w:val="none" w:sz="0" w:space="0" w:color="auto"/>
            <w:right w:val="none" w:sz="0" w:space="0" w:color="auto"/>
          </w:divBdr>
        </w:div>
        <w:div w:id="779034537">
          <w:marLeft w:val="0"/>
          <w:marRight w:val="0"/>
          <w:marTop w:val="0"/>
          <w:marBottom w:val="0"/>
          <w:divBdr>
            <w:top w:val="none" w:sz="0" w:space="0" w:color="auto"/>
            <w:left w:val="none" w:sz="0" w:space="0" w:color="auto"/>
            <w:bottom w:val="none" w:sz="0" w:space="0" w:color="auto"/>
            <w:right w:val="none" w:sz="0" w:space="0" w:color="auto"/>
          </w:divBdr>
        </w:div>
        <w:div w:id="839000843">
          <w:marLeft w:val="0"/>
          <w:marRight w:val="0"/>
          <w:marTop w:val="0"/>
          <w:marBottom w:val="0"/>
          <w:divBdr>
            <w:top w:val="none" w:sz="0" w:space="0" w:color="auto"/>
            <w:left w:val="none" w:sz="0" w:space="0" w:color="auto"/>
            <w:bottom w:val="none" w:sz="0" w:space="0" w:color="auto"/>
            <w:right w:val="none" w:sz="0" w:space="0" w:color="auto"/>
          </w:divBdr>
        </w:div>
        <w:div w:id="862783376">
          <w:marLeft w:val="0"/>
          <w:marRight w:val="0"/>
          <w:marTop w:val="0"/>
          <w:marBottom w:val="0"/>
          <w:divBdr>
            <w:top w:val="none" w:sz="0" w:space="0" w:color="auto"/>
            <w:left w:val="none" w:sz="0" w:space="0" w:color="auto"/>
            <w:bottom w:val="none" w:sz="0" w:space="0" w:color="auto"/>
            <w:right w:val="none" w:sz="0" w:space="0" w:color="auto"/>
          </w:divBdr>
        </w:div>
        <w:div w:id="930627046">
          <w:marLeft w:val="0"/>
          <w:marRight w:val="0"/>
          <w:marTop w:val="0"/>
          <w:marBottom w:val="0"/>
          <w:divBdr>
            <w:top w:val="none" w:sz="0" w:space="0" w:color="auto"/>
            <w:left w:val="none" w:sz="0" w:space="0" w:color="auto"/>
            <w:bottom w:val="none" w:sz="0" w:space="0" w:color="auto"/>
            <w:right w:val="none" w:sz="0" w:space="0" w:color="auto"/>
          </w:divBdr>
        </w:div>
        <w:div w:id="941960893">
          <w:marLeft w:val="0"/>
          <w:marRight w:val="0"/>
          <w:marTop w:val="0"/>
          <w:marBottom w:val="0"/>
          <w:divBdr>
            <w:top w:val="none" w:sz="0" w:space="0" w:color="auto"/>
            <w:left w:val="none" w:sz="0" w:space="0" w:color="auto"/>
            <w:bottom w:val="none" w:sz="0" w:space="0" w:color="auto"/>
            <w:right w:val="none" w:sz="0" w:space="0" w:color="auto"/>
          </w:divBdr>
        </w:div>
        <w:div w:id="1190293366">
          <w:marLeft w:val="0"/>
          <w:marRight w:val="0"/>
          <w:marTop w:val="0"/>
          <w:marBottom w:val="0"/>
          <w:divBdr>
            <w:top w:val="none" w:sz="0" w:space="0" w:color="auto"/>
            <w:left w:val="none" w:sz="0" w:space="0" w:color="auto"/>
            <w:bottom w:val="none" w:sz="0" w:space="0" w:color="auto"/>
            <w:right w:val="none" w:sz="0" w:space="0" w:color="auto"/>
          </w:divBdr>
        </w:div>
        <w:div w:id="1305312773">
          <w:marLeft w:val="0"/>
          <w:marRight w:val="0"/>
          <w:marTop w:val="0"/>
          <w:marBottom w:val="0"/>
          <w:divBdr>
            <w:top w:val="none" w:sz="0" w:space="0" w:color="auto"/>
            <w:left w:val="none" w:sz="0" w:space="0" w:color="auto"/>
            <w:bottom w:val="none" w:sz="0" w:space="0" w:color="auto"/>
            <w:right w:val="none" w:sz="0" w:space="0" w:color="auto"/>
          </w:divBdr>
        </w:div>
        <w:div w:id="1447848686">
          <w:marLeft w:val="0"/>
          <w:marRight w:val="0"/>
          <w:marTop w:val="0"/>
          <w:marBottom w:val="0"/>
          <w:divBdr>
            <w:top w:val="none" w:sz="0" w:space="0" w:color="auto"/>
            <w:left w:val="none" w:sz="0" w:space="0" w:color="auto"/>
            <w:bottom w:val="none" w:sz="0" w:space="0" w:color="auto"/>
            <w:right w:val="none" w:sz="0" w:space="0" w:color="auto"/>
          </w:divBdr>
        </w:div>
        <w:div w:id="1693218299">
          <w:marLeft w:val="0"/>
          <w:marRight w:val="0"/>
          <w:marTop w:val="0"/>
          <w:marBottom w:val="0"/>
          <w:divBdr>
            <w:top w:val="none" w:sz="0" w:space="0" w:color="auto"/>
            <w:left w:val="none" w:sz="0" w:space="0" w:color="auto"/>
            <w:bottom w:val="none" w:sz="0" w:space="0" w:color="auto"/>
            <w:right w:val="none" w:sz="0" w:space="0" w:color="auto"/>
          </w:divBdr>
        </w:div>
      </w:divsChild>
    </w:div>
    <w:div w:id="460194535">
      <w:bodyDiv w:val="1"/>
      <w:marLeft w:val="0"/>
      <w:marRight w:val="0"/>
      <w:marTop w:val="0"/>
      <w:marBottom w:val="0"/>
      <w:divBdr>
        <w:top w:val="none" w:sz="0" w:space="0" w:color="auto"/>
        <w:left w:val="none" w:sz="0" w:space="0" w:color="auto"/>
        <w:bottom w:val="none" w:sz="0" w:space="0" w:color="auto"/>
        <w:right w:val="none" w:sz="0" w:space="0" w:color="auto"/>
      </w:divBdr>
      <w:divsChild>
        <w:div w:id="1918779247">
          <w:marLeft w:val="480"/>
          <w:marRight w:val="0"/>
          <w:marTop w:val="0"/>
          <w:marBottom w:val="0"/>
          <w:divBdr>
            <w:top w:val="none" w:sz="0" w:space="0" w:color="auto"/>
            <w:left w:val="none" w:sz="0" w:space="0" w:color="auto"/>
            <w:bottom w:val="none" w:sz="0" w:space="0" w:color="auto"/>
            <w:right w:val="none" w:sz="0" w:space="0" w:color="auto"/>
          </w:divBdr>
          <w:divsChild>
            <w:div w:id="108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7554">
      <w:bodyDiv w:val="1"/>
      <w:marLeft w:val="0"/>
      <w:marRight w:val="0"/>
      <w:marTop w:val="0"/>
      <w:marBottom w:val="0"/>
      <w:divBdr>
        <w:top w:val="none" w:sz="0" w:space="0" w:color="auto"/>
        <w:left w:val="none" w:sz="0" w:space="0" w:color="auto"/>
        <w:bottom w:val="none" w:sz="0" w:space="0" w:color="auto"/>
        <w:right w:val="none" w:sz="0" w:space="0" w:color="auto"/>
      </w:divBdr>
      <w:divsChild>
        <w:div w:id="176121317">
          <w:marLeft w:val="480"/>
          <w:marRight w:val="0"/>
          <w:marTop w:val="0"/>
          <w:marBottom w:val="0"/>
          <w:divBdr>
            <w:top w:val="none" w:sz="0" w:space="0" w:color="auto"/>
            <w:left w:val="none" w:sz="0" w:space="0" w:color="auto"/>
            <w:bottom w:val="none" w:sz="0" w:space="0" w:color="auto"/>
            <w:right w:val="none" w:sz="0" w:space="0" w:color="auto"/>
          </w:divBdr>
          <w:divsChild>
            <w:div w:id="15421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73001">
      <w:bodyDiv w:val="1"/>
      <w:marLeft w:val="0"/>
      <w:marRight w:val="0"/>
      <w:marTop w:val="0"/>
      <w:marBottom w:val="0"/>
      <w:divBdr>
        <w:top w:val="none" w:sz="0" w:space="0" w:color="auto"/>
        <w:left w:val="none" w:sz="0" w:space="0" w:color="auto"/>
        <w:bottom w:val="none" w:sz="0" w:space="0" w:color="auto"/>
        <w:right w:val="none" w:sz="0" w:space="0" w:color="auto"/>
      </w:divBdr>
      <w:divsChild>
        <w:div w:id="119420809">
          <w:marLeft w:val="0"/>
          <w:marRight w:val="0"/>
          <w:marTop w:val="0"/>
          <w:marBottom w:val="0"/>
          <w:divBdr>
            <w:top w:val="none" w:sz="0" w:space="0" w:color="auto"/>
            <w:left w:val="none" w:sz="0" w:space="0" w:color="auto"/>
            <w:bottom w:val="none" w:sz="0" w:space="0" w:color="auto"/>
            <w:right w:val="none" w:sz="0" w:space="0" w:color="auto"/>
          </w:divBdr>
        </w:div>
        <w:div w:id="153496091">
          <w:marLeft w:val="0"/>
          <w:marRight w:val="0"/>
          <w:marTop w:val="0"/>
          <w:marBottom w:val="0"/>
          <w:divBdr>
            <w:top w:val="none" w:sz="0" w:space="0" w:color="auto"/>
            <w:left w:val="none" w:sz="0" w:space="0" w:color="auto"/>
            <w:bottom w:val="none" w:sz="0" w:space="0" w:color="auto"/>
            <w:right w:val="none" w:sz="0" w:space="0" w:color="auto"/>
          </w:divBdr>
        </w:div>
        <w:div w:id="267205191">
          <w:marLeft w:val="0"/>
          <w:marRight w:val="0"/>
          <w:marTop w:val="0"/>
          <w:marBottom w:val="0"/>
          <w:divBdr>
            <w:top w:val="none" w:sz="0" w:space="0" w:color="auto"/>
            <w:left w:val="none" w:sz="0" w:space="0" w:color="auto"/>
            <w:bottom w:val="none" w:sz="0" w:space="0" w:color="auto"/>
            <w:right w:val="none" w:sz="0" w:space="0" w:color="auto"/>
          </w:divBdr>
        </w:div>
        <w:div w:id="517351754">
          <w:marLeft w:val="0"/>
          <w:marRight w:val="0"/>
          <w:marTop w:val="0"/>
          <w:marBottom w:val="0"/>
          <w:divBdr>
            <w:top w:val="none" w:sz="0" w:space="0" w:color="auto"/>
            <w:left w:val="none" w:sz="0" w:space="0" w:color="auto"/>
            <w:bottom w:val="none" w:sz="0" w:space="0" w:color="auto"/>
            <w:right w:val="none" w:sz="0" w:space="0" w:color="auto"/>
          </w:divBdr>
        </w:div>
        <w:div w:id="526526395">
          <w:marLeft w:val="0"/>
          <w:marRight w:val="0"/>
          <w:marTop w:val="0"/>
          <w:marBottom w:val="0"/>
          <w:divBdr>
            <w:top w:val="none" w:sz="0" w:space="0" w:color="auto"/>
            <w:left w:val="none" w:sz="0" w:space="0" w:color="auto"/>
            <w:bottom w:val="none" w:sz="0" w:space="0" w:color="auto"/>
            <w:right w:val="none" w:sz="0" w:space="0" w:color="auto"/>
          </w:divBdr>
        </w:div>
        <w:div w:id="687953511">
          <w:marLeft w:val="0"/>
          <w:marRight w:val="0"/>
          <w:marTop w:val="0"/>
          <w:marBottom w:val="0"/>
          <w:divBdr>
            <w:top w:val="none" w:sz="0" w:space="0" w:color="auto"/>
            <w:left w:val="none" w:sz="0" w:space="0" w:color="auto"/>
            <w:bottom w:val="none" w:sz="0" w:space="0" w:color="auto"/>
            <w:right w:val="none" w:sz="0" w:space="0" w:color="auto"/>
          </w:divBdr>
        </w:div>
        <w:div w:id="1030034758">
          <w:marLeft w:val="0"/>
          <w:marRight w:val="0"/>
          <w:marTop w:val="0"/>
          <w:marBottom w:val="0"/>
          <w:divBdr>
            <w:top w:val="none" w:sz="0" w:space="0" w:color="auto"/>
            <w:left w:val="none" w:sz="0" w:space="0" w:color="auto"/>
            <w:bottom w:val="none" w:sz="0" w:space="0" w:color="auto"/>
            <w:right w:val="none" w:sz="0" w:space="0" w:color="auto"/>
          </w:divBdr>
        </w:div>
        <w:div w:id="1077284944">
          <w:marLeft w:val="0"/>
          <w:marRight w:val="0"/>
          <w:marTop w:val="0"/>
          <w:marBottom w:val="0"/>
          <w:divBdr>
            <w:top w:val="none" w:sz="0" w:space="0" w:color="auto"/>
            <w:left w:val="none" w:sz="0" w:space="0" w:color="auto"/>
            <w:bottom w:val="none" w:sz="0" w:space="0" w:color="auto"/>
            <w:right w:val="none" w:sz="0" w:space="0" w:color="auto"/>
          </w:divBdr>
        </w:div>
        <w:div w:id="1159418594">
          <w:marLeft w:val="0"/>
          <w:marRight w:val="0"/>
          <w:marTop w:val="0"/>
          <w:marBottom w:val="0"/>
          <w:divBdr>
            <w:top w:val="none" w:sz="0" w:space="0" w:color="auto"/>
            <w:left w:val="none" w:sz="0" w:space="0" w:color="auto"/>
            <w:bottom w:val="none" w:sz="0" w:space="0" w:color="auto"/>
            <w:right w:val="none" w:sz="0" w:space="0" w:color="auto"/>
          </w:divBdr>
        </w:div>
        <w:div w:id="1182816803">
          <w:marLeft w:val="0"/>
          <w:marRight w:val="0"/>
          <w:marTop w:val="0"/>
          <w:marBottom w:val="0"/>
          <w:divBdr>
            <w:top w:val="none" w:sz="0" w:space="0" w:color="auto"/>
            <w:left w:val="none" w:sz="0" w:space="0" w:color="auto"/>
            <w:bottom w:val="none" w:sz="0" w:space="0" w:color="auto"/>
            <w:right w:val="none" w:sz="0" w:space="0" w:color="auto"/>
          </w:divBdr>
        </w:div>
        <w:div w:id="1259094675">
          <w:marLeft w:val="0"/>
          <w:marRight w:val="0"/>
          <w:marTop w:val="0"/>
          <w:marBottom w:val="0"/>
          <w:divBdr>
            <w:top w:val="none" w:sz="0" w:space="0" w:color="auto"/>
            <w:left w:val="none" w:sz="0" w:space="0" w:color="auto"/>
            <w:bottom w:val="none" w:sz="0" w:space="0" w:color="auto"/>
            <w:right w:val="none" w:sz="0" w:space="0" w:color="auto"/>
          </w:divBdr>
        </w:div>
        <w:div w:id="1420441831">
          <w:marLeft w:val="0"/>
          <w:marRight w:val="0"/>
          <w:marTop w:val="0"/>
          <w:marBottom w:val="0"/>
          <w:divBdr>
            <w:top w:val="none" w:sz="0" w:space="0" w:color="auto"/>
            <w:left w:val="none" w:sz="0" w:space="0" w:color="auto"/>
            <w:bottom w:val="none" w:sz="0" w:space="0" w:color="auto"/>
            <w:right w:val="none" w:sz="0" w:space="0" w:color="auto"/>
          </w:divBdr>
        </w:div>
        <w:div w:id="1701008177">
          <w:marLeft w:val="0"/>
          <w:marRight w:val="0"/>
          <w:marTop w:val="0"/>
          <w:marBottom w:val="0"/>
          <w:divBdr>
            <w:top w:val="none" w:sz="0" w:space="0" w:color="auto"/>
            <w:left w:val="none" w:sz="0" w:space="0" w:color="auto"/>
            <w:bottom w:val="none" w:sz="0" w:space="0" w:color="auto"/>
            <w:right w:val="none" w:sz="0" w:space="0" w:color="auto"/>
          </w:divBdr>
        </w:div>
        <w:div w:id="1752123796">
          <w:marLeft w:val="0"/>
          <w:marRight w:val="0"/>
          <w:marTop w:val="0"/>
          <w:marBottom w:val="0"/>
          <w:divBdr>
            <w:top w:val="none" w:sz="0" w:space="0" w:color="auto"/>
            <w:left w:val="none" w:sz="0" w:space="0" w:color="auto"/>
            <w:bottom w:val="none" w:sz="0" w:space="0" w:color="auto"/>
            <w:right w:val="none" w:sz="0" w:space="0" w:color="auto"/>
          </w:divBdr>
        </w:div>
      </w:divsChild>
    </w:div>
    <w:div w:id="492990876">
      <w:bodyDiv w:val="1"/>
      <w:marLeft w:val="0"/>
      <w:marRight w:val="0"/>
      <w:marTop w:val="0"/>
      <w:marBottom w:val="0"/>
      <w:divBdr>
        <w:top w:val="none" w:sz="0" w:space="0" w:color="auto"/>
        <w:left w:val="none" w:sz="0" w:space="0" w:color="auto"/>
        <w:bottom w:val="none" w:sz="0" w:space="0" w:color="auto"/>
        <w:right w:val="none" w:sz="0" w:space="0" w:color="auto"/>
      </w:divBdr>
      <w:divsChild>
        <w:div w:id="288977027">
          <w:marLeft w:val="0"/>
          <w:marRight w:val="0"/>
          <w:marTop w:val="0"/>
          <w:marBottom w:val="0"/>
          <w:divBdr>
            <w:top w:val="none" w:sz="0" w:space="0" w:color="auto"/>
            <w:left w:val="none" w:sz="0" w:space="0" w:color="auto"/>
            <w:bottom w:val="none" w:sz="0" w:space="0" w:color="auto"/>
            <w:right w:val="none" w:sz="0" w:space="0" w:color="auto"/>
          </w:divBdr>
        </w:div>
        <w:div w:id="302124528">
          <w:marLeft w:val="0"/>
          <w:marRight w:val="0"/>
          <w:marTop w:val="0"/>
          <w:marBottom w:val="0"/>
          <w:divBdr>
            <w:top w:val="none" w:sz="0" w:space="0" w:color="auto"/>
            <w:left w:val="none" w:sz="0" w:space="0" w:color="auto"/>
            <w:bottom w:val="none" w:sz="0" w:space="0" w:color="auto"/>
            <w:right w:val="none" w:sz="0" w:space="0" w:color="auto"/>
          </w:divBdr>
        </w:div>
        <w:div w:id="330719687">
          <w:marLeft w:val="0"/>
          <w:marRight w:val="0"/>
          <w:marTop w:val="0"/>
          <w:marBottom w:val="0"/>
          <w:divBdr>
            <w:top w:val="none" w:sz="0" w:space="0" w:color="auto"/>
            <w:left w:val="none" w:sz="0" w:space="0" w:color="auto"/>
            <w:bottom w:val="none" w:sz="0" w:space="0" w:color="auto"/>
            <w:right w:val="none" w:sz="0" w:space="0" w:color="auto"/>
          </w:divBdr>
        </w:div>
        <w:div w:id="456991345">
          <w:marLeft w:val="0"/>
          <w:marRight w:val="0"/>
          <w:marTop w:val="0"/>
          <w:marBottom w:val="0"/>
          <w:divBdr>
            <w:top w:val="none" w:sz="0" w:space="0" w:color="auto"/>
            <w:left w:val="none" w:sz="0" w:space="0" w:color="auto"/>
            <w:bottom w:val="none" w:sz="0" w:space="0" w:color="auto"/>
            <w:right w:val="none" w:sz="0" w:space="0" w:color="auto"/>
          </w:divBdr>
        </w:div>
        <w:div w:id="479003174">
          <w:marLeft w:val="0"/>
          <w:marRight w:val="0"/>
          <w:marTop w:val="0"/>
          <w:marBottom w:val="0"/>
          <w:divBdr>
            <w:top w:val="none" w:sz="0" w:space="0" w:color="auto"/>
            <w:left w:val="none" w:sz="0" w:space="0" w:color="auto"/>
            <w:bottom w:val="none" w:sz="0" w:space="0" w:color="auto"/>
            <w:right w:val="none" w:sz="0" w:space="0" w:color="auto"/>
          </w:divBdr>
        </w:div>
        <w:div w:id="588661839">
          <w:marLeft w:val="0"/>
          <w:marRight w:val="0"/>
          <w:marTop w:val="0"/>
          <w:marBottom w:val="0"/>
          <w:divBdr>
            <w:top w:val="none" w:sz="0" w:space="0" w:color="auto"/>
            <w:left w:val="none" w:sz="0" w:space="0" w:color="auto"/>
            <w:bottom w:val="none" w:sz="0" w:space="0" w:color="auto"/>
            <w:right w:val="none" w:sz="0" w:space="0" w:color="auto"/>
          </w:divBdr>
        </w:div>
        <w:div w:id="654378210">
          <w:marLeft w:val="0"/>
          <w:marRight w:val="0"/>
          <w:marTop w:val="0"/>
          <w:marBottom w:val="0"/>
          <w:divBdr>
            <w:top w:val="none" w:sz="0" w:space="0" w:color="auto"/>
            <w:left w:val="none" w:sz="0" w:space="0" w:color="auto"/>
            <w:bottom w:val="none" w:sz="0" w:space="0" w:color="auto"/>
            <w:right w:val="none" w:sz="0" w:space="0" w:color="auto"/>
          </w:divBdr>
        </w:div>
        <w:div w:id="663165278">
          <w:marLeft w:val="0"/>
          <w:marRight w:val="0"/>
          <w:marTop w:val="0"/>
          <w:marBottom w:val="0"/>
          <w:divBdr>
            <w:top w:val="none" w:sz="0" w:space="0" w:color="auto"/>
            <w:left w:val="none" w:sz="0" w:space="0" w:color="auto"/>
            <w:bottom w:val="none" w:sz="0" w:space="0" w:color="auto"/>
            <w:right w:val="none" w:sz="0" w:space="0" w:color="auto"/>
          </w:divBdr>
        </w:div>
        <w:div w:id="666203125">
          <w:marLeft w:val="0"/>
          <w:marRight w:val="0"/>
          <w:marTop w:val="0"/>
          <w:marBottom w:val="0"/>
          <w:divBdr>
            <w:top w:val="none" w:sz="0" w:space="0" w:color="auto"/>
            <w:left w:val="none" w:sz="0" w:space="0" w:color="auto"/>
            <w:bottom w:val="none" w:sz="0" w:space="0" w:color="auto"/>
            <w:right w:val="none" w:sz="0" w:space="0" w:color="auto"/>
          </w:divBdr>
        </w:div>
        <w:div w:id="712193646">
          <w:marLeft w:val="0"/>
          <w:marRight w:val="0"/>
          <w:marTop w:val="0"/>
          <w:marBottom w:val="0"/>
          <w:divBdr>
            <w:top w:val="none" w:sz="0" w:space="0" w:color="auto"/>
            <w:left w:val="none" w:sz="0" w:space="0" w:color="auto"/>
            <w:bottom w:val="none" w:sz="0" w:space="0" w:color="auto"/>
            <w:right w:val="none" w:sz="0" w:space="0" w:color="auto"/>
          </w:divBdr>
        </w:div>
        <w:div w:id="909658354">
          <w:marLeft w:val="0"/>
          <w:marRight w:val="0"/>
          <w:marTop w:val="0"/>
          <w:marBottom w:val="0"/>
          <w:divBdr>
            <w:top w:val="none" w:sz="0" w:space="0" w:color="auto"/>
            <w:left w:val="none" w:sz="0" w:space="0" w:color="auto"/>
            <w:bottom w:val="none" w:sz="0" w:space="0" w:color="auto"/>
            <w:right w:val="none" w:sz="0" w:space="0" w:color="auto"/>
          </w:divBdr>
        </w:div>
        <w:div w:id="914827556">
          <w:marLeft w:val="0"/>
          <w:marRight w:val="0"/>
          <w:marTop w:val="0"/>
          <w:marBottom w:val="0"/>
          <w:divBdr>
            <w:top w:val="none" w:sz="0" w:space="0" w:color="auto"/>
            <w:left w:val="none" w:sz="0" w:space="0" w:color="auto"/>
            <w:bottom w:val="none" w:sz="0" w:space="0" w:color="auto"/>
            <w:right w:val="none" w:sz="0" w:space="0" w:color="auto"/>
          </w:divBdr>
        </w:div>
        <w:div w:id="945313855">
          <w:marLeft w:val="0"/>
          <w:marRight w:val="0"/>
          <w:marTop w:val="0"/>
          <w:marBottom w:val="0"/>
          <w:divBdr>
            <w:top w:val="none" w:sz="0" w:space="0" w:color="auto"/>
            <w:left w:val="none" w:sz="0" w:space="0" w:color="auto"/>
            <w:bottom w:val="none" w:sz="0" w:space="0" w:color="auto"/>
            <w:right w:val="none" w:sz="0" w:space="0" w:color="auto"/>
          </w:divBdr>
        </w:div>
        <w:div w:id="1046219841">
          <w:marLeft w:val="0"/>
          <w:marRight w:val="0"/>
          <w:marTop w:val="0"/>
          <w:marBottom w:val="0"/>
          <w:divBdr>
            <w:top w:val="none" w:sz="0" w:space="0" w:color="auto"/>
            <w:left w:val="none" w:sz="0" w:space="0" w:color="auto"/>
            <w:bottom w:val="none" w:sz="0" w:space="0" w:color="auto"/>
            <w:right w:val="none" w:sz="0" w:space="0" w:color="auto"/>
          </w:divBdr>
        </w:div>
        <w:div w:id="1099133818">
          <w:marLeft w:val="0"/>
          <w:marRight w:val="0"/>
          <w:marTop w:val="0"/>
          <w:marBottom w:val="0"/>
          <w:divBdr>
            <w:top w:val="none" w:sz="0" w:space="0" w:color="auto"/>
            <w:left w:val="none" w:sz="0" w:space="0" w:color="auto"/>
            <w:bottom w:val="none" w:sz="0" w:space="0" w:color="auto"/>
            <w:right w:val="none" w:sz="0" w:space="0" w:color="auto"/>
          </w:divBdr>
        </w:div>
        <w:div w:id="1421295221">
          <w:marLeft w:val="0"/>
          <w:marRight w:val="0"/>
          <w:marTop w:val="0"/>
          <w:marBottom w:val="0"/>
          <w:divBdr>
            <w:top w:val="none" w:sz="0" w:space="0" w:color="auto"/>
            <w:left w:val="none" w:sz="0" w:space="0" w:color="auto"/>
            <w:bottom w:val="none" w:sz="0" w:space="0" w:color="auto"/>
            <w:right w:val="none" w:sz="0" w:space="0" w:color="auto"/>
          </w:divBdr>
        </w:div>
        <w:div w:id="1423992870">
          <w:marLeft w:val="0"/>
          <w:marRight w:val="0"/>
          <w:marTop w:val="0"/>
          <w:marBottom w:val="0"/>
          <w:divBdr>
            <w:top w:val="none" w:sz="0" w:space="0" w:color="auto"/>
            <w:left w:val="none" w:sz="0" w:space="0" w:color="auto"/>
            <w:bottom w:val="none" w:sz="0" w:space="0" w:color="auto"/>
            <w:right w:val="none" w:sz="0" w:space="0" w:color="auto"/>
          </w:divBdr>
        </w:div>
        <w:div w:id="1448086761">
          <w:marLeft w:val="0"/>
          <w:marRight w:val="0"/>
          <w:marTop w:val="0"/>
          <w:marBottom w:val="0"/>
          <w:divBdr>
            <w:top w:val="none" w:sz="0" w:space="0" w:color="auto"/>
            <w:left w:val="none" w:sz="0" w:space="0" w:color="auto"/>
            <w:bottom w:val="none" w:sz="0" w:space="0" w:color="auto"/>
            <w:right w:val="none" w:sz="0" w:space="0" w:color="auto"/>
          </w:divBdr>
        </w:div>
        <w:div w:id="1592156650">
          <w:marLeft w:val="0"/>
          <w:marRight w:val="0"/>
          <w:marTop w:val="0"/>
          <w:marBottom w:val="0"/>
          <w:divBdr>
            <w:top w:val="none" w:sz="0" w:space="0" w:color="auto"/>
            <w:left w:val="none" w:sz="0" w:space="0" w:color="auto"/>
            <w:bottom w:val="none" w:sz="0" w:space="0" w:color="auto"/>
            <w:right w:val="none" w:sz="0" w:space="0" w:color="auto"/>
          </w:divBdr>
        </w:div>
        <w:div w:id="1932153565">
          <w:marLeft w:val="0"/>
          <w:marRight w:val="0"/>
          <w:marTop w:val="0"/>
          <w:marBottom w:val="0"/>
          <w:divBdr>
            <w:top w:val="none" w:sz="0" w:space="0" w:color="auto"/>
            <w:left w:val="none" w:sz="0" w:space="0" w:color="auto"/>
            <w:bottom w:val="none" w:sz="0" w:space="0" w:color="auto"/>
            <w:right w:val="none" w:sz="0" w:space="0" w:color="auto"/>
          </w:divBdr>
        </w:div>
        <w:div w:id="2015719355">
          <w:marLeft w:val="0"/>
          <w:marRight w:val="0"/>
          <w:marTop w:val="0"/>
          <w:marBottom w:val="0"/>
          <w:divBdr>
            <w:top w:val="none" w:sz="0" w:space="0" w:color="auto"/>
            <w:left w:val="none" w:sz="0" w:space="0" w:color="auto"/>
            <w:bottom w:val="none" w:sz="0" w:space="0" w:color="auto"/>
            <w:right w:val="none" w:sz="0" w:space="0" w:color="auto"/>
          </w:divBdr>
        </w:div>
        <w:div w:id="2084571164">
          <w:marLeft w:val="0"/>
          <w:marRight w:val="0"/>
          <w:marTop w:val="0"/>
          <w:marBottom w:val="0"/>
          <w:divBdr>
            <w:top w:val="none" w:sz="0" w:space="0" w:color="auto"/>
            <w:left w:val="none" w:sz="0" w:space="0" w:color="auto"/>
            <w:bottom w:val="none" w:sz="0" w:space="0" w:color="auto"/>
            <w:right w:val="none" w:sz="0" w:space="0" w:color="auto"/>
          </w:divBdr>
        </w:div>
        <w:div w:id="2138833200">
          <w:marLeft w:val="0"/>
          <w:marRight w:val="0"/>
          <w:marTop w:val="0"/>
          <w:marBottom w:val="0"/>
          <w:divBdr>
            <w:top w:val="none" w:sz="0" w:space="0" w:color="auto"/>
            <w:left w:val="none" w:sz="0" w:space="0" w:color="auto"/>
            <w:bottom w:val="none" w:sz="0" w:space="0" w:color="auto"/>
            <w:right w:val="none" w:sz="0" w:space="0" w:color="auto"/>
          </w:divBdr>
        </w:div>
      </w:divsChild>
    </w:div>
    <w:div w:id="503202247">
      <w:bodyDiv w:val="1"/>
      <w:marLeft w:val="0"/>
      <w:marRight w:val="0"/>
      <w:marTop w:val="0"/>
      <w:marBottom w:val="0"/>
      <w:divBdr>
        <w:top w:val="none" w:sz="0" w:space="0" w:color="auto"/>
        <w:left w:val="none" w:sz="0" w:space="0" w:color="auto"/>
        <w:bottom w:val="none" w:sz="0" w:space="0" w:color="auto"/>
        <w:right w:val="none" w:sz="0" w:space="0" w:color="auto"/>
      </w:divBdr>
      <w:divsChild>
        <w:div w:id="650715841">
          <w:marLeft w:val="0"/>
          <w:marRight w:val="0"/>
          <w:marTop w:val="0"/>
          <w:marBottom w:val="0"/>
          <w:divBdr>
            <w:top w:val="none" w:sz="0" w:space="0" w:color="auto"/>
            <w:left w:val="none" w:sz="0" w:space="0" w:color="auto"/>
            <w:bottom w:val="none" w:sz="0" w:space="0" w:color="auto"/>
            <w:right w:val="none" w:sz="0" w:space="0" w:color="auto"/>
          </w:divBdr>
        </w:div>
        <w:div w:id="1593662790">
          <w:marLeft w:val="0"/>
          <w:marRight w:val="0"/>
          <w:marTop w:val="0"/>
          <w:marBottom w:val="0"/>
          <w:divBdr>
            <w:top w:val="none" w:sz="0" w:space="0" w:color="auto"/>
            <w:left w:val="none" w:sz="0" w:space="0" w:color="auto"/>
            <w:bottom w:val="none" w:sz="0" w:space="0" w:color="auto"/>
            <w:right w:val="none" w:sz="0" w:space="0" w:color="auto"/>
          </w:divBdr>
        </w:div>
        <w:div w:id="2104297006">
          <w:marLeft w:val="0"/>
          <w:marRight w:val="0"/>
          <w:marTop w:val="0"/>
          <w:marBottom w:val="0"/>
          <w:divBdr>
            <w:top w:val="none" w:sz="0" w:space="0" w:color="auto"/>
            <w:left w:val="none" w:sz="0" w:space="0" w:color="auto"/>
            <w:bottom w:val="none" w:sz="0" w:space="0" w:color="auto"/>
            <w:right w:val="none" w:sz="0" w:space="0" w:color="auto"/>
          </w:divBdr>
        </w:div>
      </w:divsChild>
    </w:div>
    <w:div w:id="510341173">
      <w:bodyDiv w:val="1"/>
      <w:marLeft w:val="0"/>
      <w:marRight w:val="0"/>
      <w:marTop w:val="0"/>
      <w:marBottom w:val="0"/>
      <w:divBdr>
        <w:top w:val="none" w:sz="0" w:space="0" w:color="auto"/>
        <w:left w:val="none" w:sz="0" w:space="0" w:color="auto"/>
        <w:bottom w:val="none" w:sz="0" w:space="0" w:color="auto"/>
        <w:right w:val="none" w:sz="0" w:space="0" w:color="auto"/>
      </w:divBdr>
      <w:divsChild>
        <w:div w:id="247349513">
          <w:marLeft w:val="0"/>
          <w:marRight w:val="0"/>
          <w:marTop w:val="0"/>
          <w:marBottom w:val="0"/>
          <w:divBdr>
            <w:top w:val="none" w:sz="0" w:space="0" w:color="auto"/>
            <w:left w:val="none" w:sz="0" w:space="0" w:color="auto"/>
            <w:bottom w:val="none" w:sz="0" w:space="0" w:color="auto"/>
            <w:right w:val="none" w:sz="0" w:space="0" w:color="auto"/>
          </w:divBdr>
        </w:div>
        <w:div w:id="664363365">
          <w:marLeft w:val="0"/>
          <w:marRight w:val="0"/>
          <w:marTop w:val="0"/>
          <w:marBottom w:val="0"/>
          <w:divBdr>
            <w:top w:val="none" w:sz="0" w:space="0" w:color="auto"/>
            <w:left w:val="none" w:sz="0" w:space="0" w:color="auto"/>
            <w:bottom w:val="none" w:sz="0" w:space="0" w:color="auto"/>
            <w:right w:val="none" w:sz="0" w:space="0" w:color="auto"/>
          </w:divBdr>
        </w:div>
        <w:div w:id="1033190298">
          <w:marLeft w:val="0"/>
          <w:marRight w:val="0"/>
          <w:marTop w:val="0"/>
          <w:marBottom w:val="0"/>
          <w:divBdr>
            <w:top w:val="none" w:sz="0" w:space="0" w:color="auto"/>
            <w:left w:val="none" w:sz="0" w:space="0" w:color="auto"/>
            <w:bottom w:val="none" w:sz="0" w:space="0" w:color="auto"/>
            <w:right w:val="none" w:sz="0" w:space="0" w:color="auto"/>
          </w:divBdr>
        </w:div>
        <w:div w:id="1911423353">
          <w:marLeft w:val="0"/>
          <w:marRight w:val="0"/>
          <w:marTop w:val="0"/>
          <w:marBottom w:val="0"/>
          <w:divBdr>
            <w:top w:val="none" w:sz="0" w:space="0" w:color="auto"/>
            <w:left w:val="none" w:sz="0" w:space="0" w:color="auto"/>
            <w:bottom w:val="none" w:sz="0" w:space="0" w:color="auto"/>
            <w:right w:val="none" w:sz="0" w:space="0" w:color="auto"/>
          </w:divBdr>
        </w:div>
        <w:div w:id="2082167516">
          <w:marLeft w:val="0"/>
          <w:marRight w:val="0"/>
          <w:marTop w:val="0"/>
          <w:marBottom w:val="0"/>
          <w:divBdr>
            <w:top w:val="none" w:sz="0" w:space="0" w:color="auto"/>
            <w:left w:val="none" w:sz="0" w:space="0" w:color="auto"/>
            <w:bottom w:val="none" w:sz="0" w:space="0" w:color="auto"/>
            <w:right w:val="none" w:sz="0" w:space="0" w:color="auto"/>
          </w:divBdr>
        </w:div>
      </w:divsChild>
    </w:div>
    <w:div w:id="512495569">
      <w:bodyDiv w:val="1"/>
      <w:marLeft w:val="0"/>
      <w:marRight w:val="0"/>
      <w:marTop w:val="0"/>
      <w:marBottom w:val="0"/>
      <w:divBdr>
        <w:top w:val="none" w:sz="0" w:space="0" w:color="auto"/>
        <w:left w:val="none" w:sz="0" w:space="0" w:color="auto"/>
        <w:bottom w:val="none" w:sz="0" w:space="0" w:color="auto"/>
        <w:right w:val="none" w:sz="0" w:space="0" w:color="auto"/>
      </w:divBdr>
      <w:divsChild>
        <w:div w:id="269318648">
          <w:marLeft w:val="0"/>
          <w:marRight w:val="0"/>
          <w:marTop w:val="0"/>
          <w:marBottom w:val="0"/>
          <w:divBdr>
            <w:top w:val="none" w:sz="0" w:space="0" w:color="auto"/>
            <w:left w:val="none" w:sz="0" w:space="0" w:color="auto"/>
            <w:bottom w:val="none" w:sz="0" w:space="0" w:color="auto"/>
            <w:right w:val="none" w:sz="0" w:space="0" w:color="auto"/>
          </w:divBdr>
        </w:div>
        <w:div w:id="1000548755">
          <w:marLeft w:val="0"/>
          <w:marRight w:val="0"/>
          <w:marTop w:val="0"/>
          <w:marBottom w:val="0"/>
          <w:divBdr>
            <w:top w:val="none" w:sz="0" w:space="0" w:color="auto"/>
            <w:left w:val="none" w:sz="0" w:space="0" w:color="auto"/>
            <w:bottom w:val="none" w:sz="0" w:space="0" w:color="auto"/>
            <w:right w:val="none" w:sz="0" w:space="0" w:color="auto"/>
          </w:divBdr>
        </w:div>
        <w:div w:id="2043899217">
          <w:marLeft w:val="0"/>
          <w:marRight w:val="0"/>
          <w:marTop w:val="0"/>
          <w:marBottom w:val="0"/>
          <w:divBdr>
            <w:top w:val="none" w:sz="0" w:space="0" w:color="auto"/>
            <w:left w:val="none" w:sz="0" w:space="0" w:color="auto"/>
            <w:bottom w:val="none" w:sz="0" w:space="0" w:color="auto"/>
            <w:right w:val="none" w:sz="0" w:space="0" w:color="auto"/>
          </w:divBdr>
        </w:div>
        <w:div w:id="1415126195">
          <w:marLeft w:val="0"/>
          <w:marRight w:val="0"/>
          <w:marTop w:val="0"/>
          <w:marBottom w:val="0"/>
          <w:divBdr>
            <w:top w:val="none" w:sz="0" w:space="0" w:color="auto"/>
            <w:left w:val="none" w:sz="0" w:space="0" w:color="auto"/>
            <w:bottom w:val="none" w:sz="0" w:space="0" w:color="auto"/>
            <w:right w:val="none" w:sz="0" w:space="0" w:color="auto"/>
          </w:divBdr>
        </w:div>
      </w:divsChild>
    </w:div>
    <w:div w:id="513223450">
      <w:bodyDiv w:val="1"/>
      <w:marLeft w:val="0"/>
      <w:marRight w:val="0"/>
      <w:marTop w:val="0"/>
      <w:marBottom w:val="0"/>
      <w:divBdr>
        <w:top w:val="none" w:sz="0" w:space="0" w:color="auto"/>
        <w:left w:val="none" w:sz="0" w:space="0" w:color="auto"/>
        <w:bottom w:val="none" w:sz="0" w:space="0" w:color="auto"/>
        <w:right w:val="none" w:sz="0" w:space="0" w:color="auto"/>
      </w:divBdr>
    </w:div>
    <w:div w:id="515853742">
      <w:bodyDiv w:val="1"/>
      <w:marLeft w:val="0"/>
      <w:marRight w:val="0"/>
      <w:marTop w:val="0"/>
      <w:marBottom w:val="0"/>
      <w:divBdr>
        <w:top w:val="none" w:sz="0" w:space="0" w:color="auto"/>
        <w:left w:val="none" w:sz="0" w:space="0" w:color="auto"/>
        <w:bottom w:val="none" w:sz="0" w:space="0" w:color="auto"/>
        <w:right w:val="none" w:sz="0" w:space="0" w:color="auto"/>
      </w:divBdr>
      <w:divsChild>
        <w:div w:id="2144153561">
          <w:marLeft w:val="0"/>
          <w:marRight w:val="0"/>
          <w:marTop w:val="0"/>
          <w:marBottom w:val="0"/>
          <w:divBdr>
            <w:top w:val="none" w:sz="0" w:space="0" w:color="auto"/>
            <w:left w:val="none" w:sz="0" w:space="0" w:color="auto"/>
            <w:bottom w:val="none" w:sz="0" w:space="0" w:color="auto"/>
            <w:right w:val="none" w:sz="0" w:space="0" w:color="auto"/>
          </w:divBdr>
        </w:div>
        <w:div w:id="680353169">
          <w:marLeft w:val="0"/>
          <w:marRight w:val="0"/>
          <w:marTop w:val="0"/>
          <w:marBottom w:val="0"/>
          <w:divBdr>
            <w:top w:val="none" w:sz="0" w:space="0" w:color="auto"/>
            <w:left w:val="none" w:sz="0" w:space="0" w:color="auto"/>
            <w:bottom w:val="none" w:sz="0" w:space="0" w:color="auto"/>
            <w:right w:val="none" w:sz="0" w:space="0" w:color="auto"/>
          </w:divBdr>
        </w:div>
        <w:div w:id="504247533">
          <w:marLeft w:val="0"/>
          <w:marRight w:val="0"/>
          <w:marTop w:val="0"/>
          <w:marBottom w:val="0"/>
          <w:divBdr>
            <w:top w:val="none" w:sz="0" w:space="0" w:color="auto"/>
            <w:left w:val="none" w:sz="0" w:space="0" w:color="auto"/>
            <w:bottom w:val="none" w:sz="0" w:space="0" w:color="auto"/>
            <w:right w:val="none" w:sz="0" w:space="0" w:color="auto"/>
          </w:divBdr>
        </w:div>
        <w:div w:id="232205811">
          <w:marLeft w:val="0"/>
          <w:marRight w:val="0"/>
          <w:marTop w:val="0"/>
          <w:marBottom w:val="0"/>
          <w:divBdr>
            <w:top w:val="none" w:sz="0" w:space="0" w:color="auto"/>
            <w:left w:val="none" w:sz="0" w:space="0" w:color="auto"/>
            <w:bottom w:val="none" w:sz="0" w:space="0" w:color="auto"/>
            <w:right w:val="none" w:sz="0" w:space="0" w:color="auto"/>
          </w:divBdr>
        </w:div>
        <w:div w:id="1449541434">
          <w:marLeft w:val="0"/>
          <w:marRight w:val="0"/>
          <w:marTop w:val="0"/>
          <w:marBottom w:val="0"/>
          <w:divBdr>
            <w:top w:val="none" w:sz="0" w:space="0" w:color="auto"/>
            <w:left w:val="none" w:sz="0" w:space="0" w:color="auto"/>
            <w:bottom w:val="none" w:sz="0" w:space="0" w:color="auto"/>
            <w:right w:val="none" w:sz="0" w:space="0" w:color="auto"/>
          </w:divBdr>
        </w:div>
      </w:divsChild>
    </w:div>
    <w:div w:id="532888523">
      <w:bodyDiv w:val="1"/>
      <w:marLeft w:val="0"/>
      <w:marRight w:val="0"/>
      <w:marTop w:val="0"/>
      <w:marBottom w:val="0"/>
      <w:divBdr>
        <w:top w:val="none" w:sz="0" w:space="0" w:color="auto"/>
        <w:left w:val="none" w:sz="0" w:space="0" w:color="auto"/>
        <w:bottom w:val="none" w:sz="0" w:space="0" w:color="auto"/>
        <w:right w:val="none" w:sz="0" w:space="0" w:color="auto"/>
      </w:divBdr>
      <w:divsChild>
        <w:div w:id="1594433909">
          <w:marLeft w:val="0"/>
          <w:marRight w:val="0"/>
          <w:marTop w:val="0"/>
          <w:marBottom w:val="0"/>
          <w:divBdr>
            <w:top w:val="none" w:sz="0" w:space="0" w:color="auto"/>
            <w:left w:val="none" w:sz="0" w:space="0" w:color="auto"/>
            <w:bottom w:val="none" w:sz="0" w:space="0" w:color="auto"/>
            <w:right w:val="none" w:sz="0" w:space="0" w:color="auto"/>
          </w:divBdr>
          <w:divsChild>
            <w:div w:id="1793548557">
              <w:marLeft w:val="0"/>
              <w:marRight w:val="0"/>
              <w:marTop w:val="0"/>
              <w:marBottom w:val="0"/>
              <w:divBdr>
                <w:top w:val="none" w:sz="0" w:space="0" w:color="auto"/>
                <w:left w:val="none" w:sz="0" w:space="0" w:color="auto"/>
                <w:bottom w:val="none" w:sz="0" w:space="0" w:color="auto"/>
                <w:right w:val="none" w:sz="0" w:space="0" w:color="auto"/>
              </w:divBdr>
              <w:divsChild>
                <w:div w:id="2010592429">
                  <w:marLeft w:val="0"/>
                  <w:marRight w:val="0"/>
                  <w:marTop w:val="0"/>
                  <w:marBottom w:val="0"/>
                  <w:divBdr>
                    <w:top w:val="none" w:sz="0" w:space="0" w:color="auto"/>
                    <w:left w:val="none" w:sz="0" w:space="0" w:color="auto"/>
                    <w:bottom w:val="none" w:sz="0" w:space="0" w:color="auto"/>
                    <w:right w:val="none" w:sz="0" w:space="0" w:color="auto"/>
                  </w:divBdr>
                  <w:divsChild>
                    <w:div w:id="210193983">
                      <w:marLeft w:val="0"/>
                      <w:marRight w:val="0"/>
                      <w:marTop w:val="0"/>
                      <w:marBottom w:val="0"/>
                      <w:divBdr>
                        <w:top w:val="none" w:sz="0" w:space="0" w:color="auto"/>
                        <w:left w:val="none" w:sz="0" w:space="0" w:color="auto"/>
                        <w:bottom w:val="none" w:sz="0" w:space="0" w:color="auto"/>
                        <w:right w:val="none" w:sz="0" w:space="0" w:color="auto"/>
                      </w:divBdr>
                      <w:divsChild>
                        <w:div w:id="2020890851">
                          <w:marLeft w:val="0"/>
                          <w:marRight w:val="0"/>
                          <w:marTop w:val="0"/>
                          <w:marBottom w:val="0"/>
                          <w:divBdr>
                            <w:top w:val="none" w:sz="0" w:space="0" w:color="auto"/>
                            <w:left w:val="none" w:sz="0" w:space="0" w:color="auto"/>
                            <w:bottom w:val="none" w:sz="0" w:space="0" w:color="auto"/>
                            <w:right w:val="none" w:sz="0" w:space="0" w:color="auto"/>
                          </w:divBdr>
                          <w:divsChild>
                            <w:div w:id="2011449959">
                              <w:marLeft w:val="0"/>
                              <w:marRight w:val="0"/>
                              <w:marTop w:val="0"/>
                              <w:marBottom w:val="0"/>
                              <w:divBdr>
                                <w:top w:val="none" w:sz="0" w:space="0" w:color="auto"/>
                                <w:left w:val="none" w:sz="0" w:space="0" w:color="auto"/>
                                <w:bottom w:val="none" w:sz="0" w:space="0" w:color="auto"/>
                                <w:right w:val="none" w:sz="0" w:space="0" w:color="auto"/>
                              </w:divBdr>
                              <w:divsChild>
                                <w:div w:id="1474520481">
                                  <w:marLeft w:val="0"/>
                                  <w:marRight w:val="0"/>
                                  <w:marTop w:val="0"/>
                                  <w:marBottom w:val="0"/>
                                  <w:divBdr>
                                    <w:top w:val="none" w:sz="0" w:space="0" w:color="auto"/>
                                    <w:left w:val="none" w:sz="0" w:space="0" w:color="auto"/>
                                    <w:bottom w:val="none" w:sz="0" w:space="0" w:color="auto"/>
                                    <w:right w:val="none" w:sz="0" w:space="0" w:color="auto"/>
                                  </w:divBdr>
                                  <w:divsChild>
                                    <w:div w:id="1821462162">
                                      <w:marLeft w:val="0"/>
                                      <w:marRight w:val="0"/>
                                      <w:marTop w:val="0"/>
                                      <w:marBottom w:val="0"/>
                                      <w:divBdr>
                                        <w:top w:val="none" w:sz="0" w:space="0" w:color="auto"/>
                                        <w:left w:val="none" w:sz="0" w:space="0" w:color="auto"/>
                                        <w:bottom w:val="none" w:sz="0" w:space="0" w:color="auto"/>
                                        <w:right w:val="none" w:sz="0" w:space="0" w:color="auto"/>
                                      </w:divBdr>
                                      <w:divsChild>
                                        <w:div w:id="192109480">
                                          <w:marLeft w:val="0"/>
                                          <w:marRight w:val="0"/>
                                          <w:marTop w:val="300"/>
                                          <w:marBottom w:val="0"/>
                                          <w:divBdr>
                                            <w:top w:val="none" w:sz="0" w:space="0" w:color="auto"/>
                                            <w:left w:val="none" w:sz="0" w:space="0" w:color="auto"/>
                                            <w:bottom w:val="none" w:sz="0" w:space="0" w:color="auto"/>
                                            <w:right w:val="none" w:sz="0" w:space="0" w:color="auto"/>
                                          </w:divBdr>
                                          <w:divsChild>
                                            <w:div w:id="1795902566">
                                              <w:marLeft w:val="0"/>
                                              <w:marRight w:val="0"/>
                                              <w:marTop w:val="0"/>
                                              <w:marBottom w:val="0"/>
                                              <w:divBdr>
                                                <w:top w:val="none" w:sz="0" w:space="0" w:color="auto"/>
                                                <w:left w:val="none" w:sz="0" w:space="0" w:color="auto"/>
                                                <w:bottom w:val="none" w:sz="0" w:space="0" w:color="auto"/>
                                                <w:right w:val="none" w:sz="0" w:space="0" w:color="auto"/>
                                              </w:divBdr>
                                              <w:divsChild>
                                                <w:div w:id="206375823">
                                                  <w:marLeft w:val="0"/>
                                                  <w:marRight w:val="0"/>
                                                  <w:marTop w:val="0"/>
                                                  <w:marBottom w:val="0"/>
                                                  <w:divBdr>
                                                    <w:top w:val="none" w:sz="0" w:space="0" w:color="auto"/>
                                                    <w:left w:val="none" w:sz="0" w:space="0" w:color="auto"/>
                                                    <w:bottom w:val="none" w:sz="0" w:space="0" w:color="auto"/>
                                                    <w:right w:val="none" w:sz="0" w:space="0" w:color="auto"/>
                                                  </w:divBdr>
                                                  <w:divsChild>
                                                    <w:div w:id="1526361152">
                                                      <w:marLeft w:val="0"/>
                                                      <w:marRight w:val="0"/>
                                                      <w:marTop w:val="0"/>
                                                      <w:marBottom w:val="0"/>
                                                      <w:divBdr>
                                                        <w:top w:val="none" w:sz="0" w:space="0" w:color="auto"/>
                                                        <w:left w:val="none" w:sz="0" w:space="0" w:color="auto"/>
                                                        <w:bottom w:val="none" w:sz="0" w:space="0" w:color="auto"/>
                                                        <w:right w:val="none" w:sz="0" w:space="0" w:color="auto"/>
                                                      </w:divBdr>
                                                      <w:divsChild>
                                                        <w:div w:id="1564951863">
                                                          <w:marLeft w:val="0"/>
                                                          <w:marRight w:val="0"/>
                                                          <w:marTop w:val="0"/>
                                                          <w:marBottom w:val="0"/>
                                                          <w:divBdr>
                                                            <w:top w:val="none" w:sz="0" w:space="0" w:color="auto"/>
                                                            <w:left w:val="none" w:sz="0" w:space="0" w:color="auto"/>
                                                            <w:bottom w:val="none" w:sz="0" w:space="0" w:color="auto"/>
                                                            <w:right w:val="none" w:sz="0" w:space="0" w:color="auto"/>
                                                          </w:divBdr>
                                                          <w:divsChild>
                                                            <w:div w:id="762920426">
                                                              <w:marLeft w:val="0"/>
                                                              <w:marRight w:val="0"/>
                                                              <w:marTop w:val="0"/>
                                                              <w:marBottom w:val="0"/>
                                                              <w:divBdr>
                                                                <w:top w:val="none" w:sz="0" w:space="0" w:color="auto"/>
                                                                <w:left w:val="none" w:sz="0" w:space="0" w:color="auto"/>
                                                                <w:bottom w:val="none" w:sz="0" w:space="0" w:color="auto"/>
                                                                <w:right w:val="none" w:sz="0" w:space="0" w:color="auto"/>
                                                              </w:divBdr>
                                                              <w:divsChild>
                                                                <w:div w:id="2092773430">
                                                                  <w:marLeft w:val="0"/>
                                                                  <w:marRight w:val="0"/>
                                                                  <w:marTop w:val="0"/>
                                                                  <w:marBottom w:val="0"/>
                                                                  <w:divBdr>
                                                                    <w:top w:val="none" w:sz="0" w:space="0" w:color="auto"/>
                                                                    <w:left w:val="none" w:sz="0" w:space="0" w:color="auto"/>
                                                                    <w:bottom w:val="none" w:sz="0" w:space="0" w:color="auto"/>
                                                                    <w:right w:val="none" w:sz="0" w:space="0" w:color="auto"/>
                                                                  </w:divBdr>
                                                                  <w:divsChild>
                                                                    <w:div w:id="1226644729">
                                                                      <w:marLeft w:val="0"/>
                                                                      <w:marRight w:val="0"/>
                                                                      <w:marTop w:val="0"/>
                                                                      <w:marBottom w:val="0"/>
                                                                      <w:divBdr>
                                                                        <w:top w:val="none" w:sz="0" w:space="0" w:color="auto"/>
                                                                        <w:left w:val="none" w:sz="0" w:space="0" w:color="auto"/>
                                                                        <w:bottom w:val="none" w:sz="0" w:space="0" w:color="auto"/>
                                                                        <w:right w:val="none" w:sz="0" w:space="0" w:color="auto"/>
                                                                      </w:divBdr>
                                                                      <w:divsChild>
                                                                        <w:div w:id="1569654636">
                                                                          <w:marLeft w:val="0"/>
                                                                          <w:marRight w:val="0"/>
                                                                          <w:marTop w:val="0"/>
                                                                          <w:marBottom w:val="0"/>
                                                                          <w:divBdr>
                                                                            <w:top w:val="none" w:sz="0" w:space="0" w:color="auto"/>
                                                                            <w:left w:val="none" w:sz="0" w:space="0" w:color="auto"/>
                                                                            <w:bottom w:val="none" w:sz="0" w:space="0" w:color="auto"/>
                                                                            <w:right w:val="none" w:sz="0" w:space="0" w:color="auto"/>
                                                                          </w:divBdr>
                                                                          <w:divsChild>
                                                                            <w:div w:id="947009933">
                                                                              <w:marLeft w:val="0"/>
                                                                              <w:marRight w:val="0"/>
                                                                              <w:marTop w:val="0"/>
                                                                              <w:marBottom w:val="0"/>
                                                                              <w:divBdr>
                                                                                <w:top w:val="none" w:sz="0" w:space="0" w:color="auto"/>
                                                                                <w:left w:val="none" w:sz="0" w:space="0" w:color="auto"/>
                                                                                <w:bottom w:val="none" w:sz="0" w:space="0" w:color="auto"/>
                                                                                <w:right w:val="none" w:sz="0" w:space="0" w:color="auto"/>
                                                                              </w:divBdr>
                                                                              <w:divsChild>
                                                                                <w:div w:id="404034733">
                                                                                  <w:marLeft w:val="0"/>
                                                                                  <w:marRight w:val="0"/>
                                                                                  <w:marTop w:val="0"/>
                                                                                  <w:marBottom w:val="0"/>
                                                                                  <w:divBdr>
                                                                                    <w:top w:val="single" w:sz="6" w:space="8" w:color="1F6095"/>
                                                                                    <w:left w:val="single" w:sz="6" w:space="8" w:color="1F6095"/>
                                                                                    <w:bottom w:val="single" w:sz="6" w:space="8" w:color="1F6095"/>
                                                                                    <w:right w:val="single" w:sz="6" w:space="8" w:color="1F6095"/>
                                                                                  </w:divBdr>
                                                                                  <w:divsChild>
                                                                                    <w:div w:id="12541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698838">
      <w:bodyDiv w:val="1"/>
      <w:marLeft w:val="0"/>
      <w:marRight w:val="0"/>
      <w:marTop w:val="0"/>
      <w:marBottom w:val="0"/>
      <w:divBdr>
        <w:top w:val="none" w:sz="0" w:space="0" w:color="auto"/>
        <w:left w:val="none" w:sz="0" w:space="0" w:color="auto"/>
        <w:bottom w:val="none" w:sz="0" w:space="0" w:color="auto"/>
        <w:right w:val="none" w:sz="0" w:space="0" w:color="auto"/>
      </w:divBdr>
    </w:div>
    <w:div w:id="559286769">
      <w:bodyDiv w:val="1"/>
      <w:marLeft w:val="0"/>
      <w:marRight w:val="0"/>
      <w:marTop w:val="0"/>
      <w:marBottom w:val="0"/>
      <w:divBdr>
        <w:top w:val="none" w:sz="0" w:space="0" w:color="auto"/>
        <w:left w:val="none" w:sz="0" w:space="0" w:color="auto"/>
        <w:bottom w:val="none" w:sz="0" w:space="0" w:color="auto"/>
        <w:right w:val="none" w:sz="0" w:space="0" w:color="auto"/>
      </w:divBdr>
      <w:divsChild>
        <w:div w:id="387874472">
          <w:marLeft w:val="0"/>
          <w:marRight w:val="0"/>
          <w:marTop w:val="0"/>
          <w:marBottom w:val="0"/>
          <w:divBdr>
            <w:top w:val="none" w:sz="0" w:space="0" w:color="auto"/>
            <w:left w:val="none" w:sz="0" w:space="0" w:color="auto"/>
            <w:bottom w:val="none" w:sz="0" w:space="0" w:color="auto"/>
            <w:right w:val="none" w:sz="0" w:space="0" w:color="auto"/>
          </w:divBdr>
        </w:div>
        <w:div w:id="511993187">
          <w:marLeft w:val="0"/>
          <w:marRight w:val="0"/>
          <w:marTop w:val="0"/>
          <w:marBottom w:val="0"/>
          <w:divBdr>
            <w:top w:val="none" w:sz="0" w:space="0" w:color="auto"/>
            <w:left w:val="none" w:sz="0" w:space="0" w:color="auto"/>
            <w:bottom w:val="none" w:sz="0" w:space="0" w:color="auto"/>
            <w:right w:val="none" w:sz="0" w:space="0" w:color="auto"/>
          </w:divBdr>
        </w:div>
        <w:div w:id="1020204417">
          <w:marLeft w:val="0"/>
          <w:marRight w:val="0"/>
          <w:marTop w:val="0"/>
          <w:marBottom w:val="0"/>
          <w:divBdr>
            <w:top w:val="none" w:sz="0" w:space="0" w:color="auto"/>
            <w:left w:val="none" w:sz="0" w:space="0" w:color="auto"/>
            <w:bottom w:val="none" w:sz="0" w:space="0" w:color="auto"/>
            <w:right w:val="none" w:sz="0" w:space="0" w:color="auto"/>
          </w:divBdr>
        </w:div>
        <w:div w:id="2107572885">
          <w:marLeft w:val="0"/>
          <w:marRight w:val="0"/>
          <w:marTop w:val="0"/>
          <w:marBottom w:val="0"/>
          <w:divBdr>
            <w:top w:val="none" w:sz="0" w:space="0" w:color="auto"/>
            <w:left w:val="none" w:sz="0" w:space="0" w:color="auto"/>
            <w:bottom w:val="none" w:sz="0" w:space="0" w:color="auto"/>
            <w:right w:val="none" w:sz="0" w:space="0" w:color="auto"/>
          </w:divBdr>
        </w:div>
        <w:div w:id="2128697735">
          <w:marLeft w:val="0"/>
          <w:marRight w:val="0"/>
          <w:marTop w:val="0"/>
          <w:marBottom w:val="0"/>
          <w:divBdr>
            <w:top w:val="none" w:sz="0" w:space="0" w:color="auto"/>
            <w:left w:val="none" w:sz="0" w:space="0" w:color="auto"/>
            <w:bottom w:val="none" w:sz="0" w:space="0" w:color="auto"/>
            <w:right w:val="none" w:sz="0" w:space="0" w:color="auto"/>
          </w:divBdr>
        </w:div>
      </w:divsChild>
    </w:div>
    <w:div w:id="560479882">
      <w:bodyDiv w:val="1"/>
      <w:marLeft w:val="0"/>
      <w:marRight w:val="0"/>
      <w:marTop w:val="0"/>
      <w:marBottom w:val="0"/>
      <w:divBdr>
        <w:top w:val="none" w:sz="0" w:space="0" w:color="auto"/>
        <w:left w:val="none" w:sz="0" w:space="0" w:color="auto"/>
        <w:bottom w:val="none" w:sz="0" w:space="0" w:color="auto"/>
        <w:right w:val="none" w:sz="0" w:space="0" w:color="auto"/>
      </w:divBdr>
      <w:divsChild>
        <w:div w:id="92478348">
          <w:marLeft w:val="0"/>
          <w:marRight w:val="0"/>
          <w:marTop w:val="0"/>
          <w:marBottom w:val="0"/>
          <w:divBdr>
            <w:top w:val="none" w:sz="0" w:space="0" w:color="auto"/>
            <w:left w:val="none" w:sz="0" w:space="0" w:color="auto"/>
            <w:bottom w:val="none" w:sz="0" w:space="0" w:color="auto"/>
            <w:right w:val="none" w:sz="0" w:space="0" w:color="auto"/>
          </w:divBdr>
        </w:div>
        <w:div w:id="135027452">
          <w:marLeft w:val="0"/>
          <w:marRight w:val="0"/>
          <w:marTop w:val="0"/>
          <w:marBottom w:val="0"/>
          <w:divBdr>
            <w:top w:val="none" w:sz="0" w:space="0" w:color="auto"/>
            <w:left w:val="none" w:sz="0" w:space="0" w:color="auto"/>
            <w:bottom w:val="none" w:sz="0" w:space="0" w:color="auto"/>
            <w:right w:val="none" w:sz="0" w:space="0" w:color="auto"/>
          </w:divBdr>
        </w:div>
        <w:div w:id="186068104">
          <w:marLeft w:val="0"/>
          <w:marRight w:val="0"/>
          <w:marTop w:val="0"/>
          <w:marBottom w:val="0"/>
          <w:divBdr>
            <w:top w:val="none" w:sz="0" w:space="0" w:color="auto"/>
            <w:left w:val="none" w:sz="0" w:space="0" w:color="auto"/>
            <w:bottom w:val="none" w:sz="0" w:space="0" w:color="auto"/>
            <w:right w:val="none" w:sz="0" w:space="0" w:color="auto"/>
          </w:divBdr>
        </w:div>
        <w:div w:id="1316300506">
          <w:marLeft w:val="0"/>
          <w:marRight w:val="0"/>
          <w:marTop w:val="0"/>
          <w:marBottom w:val="0"/>
          <w:divBdr>
            <w:top w:val="none" w:sz="0" w:space="0" w:color="auto"/>
            <w:left w:val="none" w:sz="0" w:space="0" w:color="auto"/>
            <w:bottom w:val="none" w:sz="0" w:space="0" w:color="auto"/>
            <w:right w:val="none" w:sz="0" w:space="0" w:color="auto"/>
          </w:divBdr>
        </w:div>
        <w:div w:id="1370374871">
          <w:marLeft w:val="0"/>
          <w:marRight w:val="0"/>
          <w:marTop w:val="0"/>
          <w:marBottom w:val="0"/>
          <w:divBdr>
            <w:top w:val="none" w:sz="0" w:space="0" w:color="auto"/>
            <w:left w:val="none" w:sz="0" w:space="0" w:color="auto"/>
            <w:bottom w:val="none" w:sz="0" w:space="0" w:color="auto"/>
            <w:right w:val="none" w:sz="0" w:space="0" w:color="auto"/>
          </w:divBdr>
        </w:div>
        <w:div w:id="1440906582">
          <w:marLeft w:val="0"/>
          <w:marRight w:val="0"/>
          <w:marTop w:val="0"/>
          <w:marBottom w:val="0"/>
          <w:divBdr>
            <w:top w:val="none" w:sz="0" w:space="0" w:color="auto"/>
            <w:left w:val="none" w:sz="0" w:space="0" w:color="auto"/>
            <w:bottom w:val="none" w:sz="0" w:space="0" w:color="auto"/>
            <w:right w:val="none" w:sz="0" w:space="0" w:color="auto"/>
          </w:divBdr>
        </w:div>
        <w:div w:id="1539119947">
          <w:marLeft w:val="0"/>
          <w:marRight w:val="0"/>
          <w:marTop w:val="0"/>
          <w:marBottom w:val="0"/>
          <w:divBdr>
            <w:top w:val="none" w:sz="0" w:space="0" w:color="auto"/>
            <w:left w:val="none" w:sz="0" w:space="0" w:color="auto"/>
            <w:bottom w:val="none" w:sz="0" w:space="0" w:color="auto"/>
            <w:right w:val="none" w:sz="0" w:space="0" w:color="auto"/>
          </w:divBdr>
        </w:div>
        <w:div w:id="1604072881">
          <w:marLeft w:val="0"/>
          <w:marRight w:val="0"/>
          <w:marTop w:val="0"/>
          <w:marBottom w:val="0"/>
          <w:divBdr>
            <w:top w:val="none" w:sz="0" w:space="0" w:color="auto"/>
            <w:left w:val="none" w:sz="0" w:space="0" w:color="auto"/>
            <w:bottom w:val="none" w:sz="0" w:space="0" w:color="auto"/>
            <w:right w:val="none" w:sz="0" w:space="0" w:color="auto"/>
          </w:divBdr>
        </w:div>
        <w:div w:id="2095009703">
          <w:marLeft w:val="0"/>
          <w:marRight w:val="0"/>
          <w:marTop w:val="0"/>
          <w:marBottom w:val="0"/>
          <w:divBdr>
            <w:top w:val="none" w:sz="0" w:space="0" w:color="auto"/>
            <w:left w:val="none" w:sz="0" w:space="0" w:color="auto"/>
            <w:bottom w:val="none" w:sz="0" w:space="0" w:color="auto"/>
            <w:right w:val="none" w:sz="0" w:space="0" w:color="auto"/>
          </w:divBdr>
        </w:div>
        <w:div w:id="2115319695">
          <w:marLeft w:val="0"/>
          <w:marRight w:val="0"/>
          <w:marTop w:val="0"/>
          <w:marBottom w:val="0"/>
          <w:divBdr>
            <w:top w:val="none" w:sz="0" w:space="0" w:color="auto"/>
            <w:left w:val="none" w:sz="0" w:space="0" w:color="auto"/>
            <w:bottom w:val="none" w:sz="0" w:space="0" w:color="auto"/>
            <w:right w:val="none" w:sz="0" w:space="0" w:color="auto"/>
          </w:divBdr>
        </w:div>
        <w:div w:id="2123719437">
          <w:marLeft w:val="0"/>
          <w:marRight w:val="0"/>
          <w:marTop w:val="0"/>
          <w:marBottom w:val="0"/>
          <w:divBdr>
            <w:top w:val="none" w:sz="0" w:space="0" w:color="auto"/>
            <w:left w:val="none" w:sz="0" w:space="0" w:color="auto"/>
            <w:bottom w:val="none" w:sz="0" w:space="0" w:color="auto"/>
            <w:right w:val="none" w:sz="0" w:space="0" w:color="auto"/>
          </w:divBdr>
        </w:div>
      </w:divsChild>
    </w:div>
    <w:div w:id="611279469">
      <w:bodyDiv w:val="1"/>
      <w:marLeft w:val="0"/>
      <w:marRight w:val="0"/>
      <w:marTop w:val="0"/>
      <w:marBottom w:val="0"/>
      <w:divBdr>
        <w:top w:val="none" w:sz="0" w:space="0" w:color="auto"/>
        <w:left w:val="none" w:sz="0" w:space="0" w:color="auto"/>
        <w:bottom w:val="none" w:sz="0" w:space="0" w:color="auto"/>
        <w:right w:val="none" w:sz="0" w:space="0" w:color="auto"/>
      </w:divBdr>
      <w:divsChild>
        <w:div w:id="1569456683">
          <w:marLeft w:val="0"/>
          <w:marRight w:val="0"/>
          <w:marTop w:val="0"/>
          <w:marBottom w:val="0"/>
          <w:divBdr>
            <w:top w:val="none" w:sz="0" w:space="0" w:color="auto"/>
            <w:left w:val="none" w:sz="0" w:space="0" w:color="auto"/>
            <w:bottom w:val="none" w:sz="0" w:space="0" w:color="auto"/>
            <w:right w:val="none" w:sz="0" w:space="0" w:color="auto"/>
          </w:divBdr>
          <w:divsChild>
            <w:div w:id="1534613175">
              <w:marLeft w:val="0"/>
              <w:marRight w:val="0"/>
              <w:marTop w:val="0"/>
              <w:marBottom w:val="0"/>
              <w:divBdr>
                <w:top w:val="none" w:sz="0" w:space="0" w:color="auto"/>
                <w:left w:val="none" w:sz="0" w:space="0" w:color="auto"/>
                <w:bottom w:val="none" w:sz="0" w:space="0" w:color="auto"/>
                <w:right w:val="none" w:sz="0" w:space="0" w:color="auto"/>
              </w:divBdr>
              <w:divsChild>
                <w:div w:id="902759026">
                  <w:marLeft w:val="0"/>
                  <w:marRight w:val="0"/>
                  <w:marTop w:val="0"/>
                  <w:marBottom w:val="0"/>
                  <w:divBdr>
                    <w:top w:val="none" w:sz="0" w:space="0" w:color="auto"/>
                    <w:left w:val="none" w:sz="0" w:space="0" w:color="auto"/>
                    <w:bottom w:val="none" w:sz="0" w:space="0" w:color="auto"/>
                    <w:right w:val="none" w:sz="0" w:space="0" w:color="auto"/>
                  </w:divBdr>
                  <w:divsChild>
                    <w:div w:id="321813257">
                      <w:marLeft w:val="0"/>
                      <w:marRight w:val="0"/>
                      <w:marTop w:val="0"/>
                      <w:marBottom w:val="0"/>
                      <w:divBdr>
                        <w:top w:val="none" w:sz="0" w:space="0" w:color="auto"/>
                        <w:left w:val="none" w:sz="0" w:space="0" w:color="auto"/>
                        <w:bottom w:val="none" w:sz="0" w:space="0" w:color="auto"/>
                        <w:right w:val="none" w:sz="0" w:space="0" w:color="auto"/>
                      </w:divBdr>
                      <w:divsChild>
                        <w:div w:id="1645235729">
                          <w:marLeft w:val="0"/>
                          <w:marRight w:val="0"/>
                          <w:marTop w:val="0"/>
                          <w:marBottom w:val="0"/>
                          <w:divBdr>
                            <w:top w:val="none" w:sz="0" w:space="0" w:color="auto"/>
                            <w:left w:val="none" w:sz="0" w:space="0" w:color="auto"/>
                            <w:bottom w:val="none" w:sz="0" w:space="0" w:color="auto"/>
                            <w:right w:val="none" w:sz="0" w:space="0" w:color="auto"/>
                          </w:divBdr>
                          <w:divsChild>
                            <w:div w:id="1756169112">
                              <w:marLeft w:val="0"/>
                              <w:marRight w:val="0"/>
                              <w:marTop w:val="0"/>
                              <w:marBottom w:val="0"/>
                              <w:divBdr>
                                <w:top w:val="none" w:sz="0" w:space="0" w:color="auto"/>
                                <w:left w:val="none" w:sz="0" w:space="0" w:color="auto"/>
                                <w:bottom w:val="none" w:sz="0" w:space="0" w:color="auto"/>
                                <w:right w:val="none" w:sz="0" w:space="0" w:color="auto"/>
                              </w:divBdr>
                              <w:divsChild>
                                <w:div w:id="694304905">
                                  <w:marLeft w:val="0"/>
                                  <w:marRight w:val="0"/>
                                  <w:marTop w:val="0"/>
                                  <w:marBottom w:val="0"/>
                                  <w:divBdr>
                                    <w:top w:val="none" w:sz="0" w:space="0" w:color="auto"/>
                                    <w:left w:val="none" w:sz="0" w:space="0" w:color="auto"/>
                                    <w:bottom w:val="none" w:sz="0" w:space="0" w:color="auto"/>
                                    <w:right w:val="none" w:sz="0" w:space="0" w:color="auto"/>
                                  </w:divBdr>
                                  <w:divsChild>
                                    <w:div w:id="1630283796">
                                      <w:marLeft w:val="0"/>
                                      <w:marRight w:val="0"/>
                                      <w:marTop w:val="0"/>
                                      <w:marBottom w:val="0"/>
                                      <w:divBdr>
                                        <w:top w:val="none" w:sz="0" w:space="0" w:color="auto"/>
                                        <w:left w:val="none" w:sz="0" w:space="0" w:color="auto"/>
                                        <w:bottom w:val="none" w:sz="0" w:space="0" w:color="auto"/>
                                        <w:right w:val="none" w:sz="0" w:space="0" w:color="auto"/>
                                      </w:divBdr>
                                      <w:divsChild>
                                        <w:div w:id="794719936">
                                          <w:marLeft w:val="0"/>
                                          <w:marRight w:val="0"/>
                                          <w:marTop w:val="300"/>
                                          <w:marBottom w:val="0"/>
                                          <w:divBdr>
                                            <w:top w:val="none" w:sz="0" w:space="0" w:color="auto"/>
                                            <w:left w:val="none" w:sz="0" w:space="0" w:color="auto"/>
                                            <w:bottom w:val="none" w:sz="0" w:space="0" w:color="auto"/>
                                            <w:right w:val="none" w:sz="0" w:space="0" w:color="auto"/>
                                          </w:divBdr>
                                          <w:divsChild>
                                            <w:div w:id="761294800">
                                              <w:marLeft w:val="0"/>
                                              <w:marRight w:val="0"/>
                                              <w:marTop w:val="0"/>
                                              <w:marBottom w:val="0"/>
                                              <w:divBdr>
                                                <w:top w:val="none" w:sz="0" w:space="0" w:color="auto"/>
                                                <w:left w:val="none" w:sz="0" w:space="0" w:color="auto"/>
                                                <w:bottom w:val="none" w:sz="0" w:space="0" w:color="auto"/>
                                                <w:right w:val="none" w:sz="0" w:space="0" w:color="auto"/>
                                              </w:divBdr>
                                              <w:divsChild>
                                                <w:div w:id="782770937">
                                                  <w:marLeft w:val="0"/>
                                                  <w:marRight w:val="0"/>
                                                  <w:marTop w:val="0"/>
                                                  <w:marBottom w:val="0"/>
                                                  <w:divBdr>
                                                    <w:top w:val="none" w:sz="0" w:space="0" w:color="auto"/>
                                                    <w:left w:val="none" w:sz="0" w:space="0" w:color="auto"/>
                                                    <w:bottom w:val="none" w:sz="0" w:space="0" w:color="auto"/>
                                                    <w:right w:val="none" w:sz="0" w:space="0" w:color="auto"/>
                                                  </w:divBdr>
                                                  <w:divsChild>
                                                    <w:div w:id="1505630898">
                                                      <w:marLeft w:val="0"/>
                                                      <w:marRight w:val="0"/>
                                                      <w:marTop w:val="0"/>
                                                      <w:marBottom w:val="0"/>
                                                      <w:divBdr>
                                                        <w:top w:val="none" w:sz="0" w:space="0" w:color="auto"/>
                                                        <w:left w:val="none" w:sz="0" w:space="0" w:color="auto"/>
                                                        <w:bottom w:val="none" w:sz="0" w:space="0" w:color="auto"/>
                                                        <w:right w:val="none" w:sz="0" w:space="0" w:color="auto"/>
                                                      </w:divBdr>
                                                      <w:divsChild>
                                                        <w:div w:id="1345126786">
                                                          <w:marLeft w:val="0"/>
                                                          <w:marRight w:val="0"/>
                                                          <w:marTop w:val="0"/>
                                                          <w:marBottom w:val="0"/>
                                                          <w:divBdr>
                                                            <w:top w:val="none" w:sz="0" w:space="0" w:color="auto"/>
                                                            <w:left w:val="none" w:sz="0" w:space="0" w:color="auto"/>
                                                            <w:bottom w:val="none" w:sz="0" w:space="0" w:color="auto"/>
                                                            <w:right w:val="none" w:sz="0" w:space="0" w:color="auto"/>
                                                          </w:divBdr>
                                                          <w:divsChild>
                                                            <w:div w:id="549732562">
                                                              <w:marLeft w:val="0"/>
                                                              <w:marRight w:val="0"/>
                                                              <w:marTop w:val="0"/>
                                                              <w:marBottom w:val="0"/>
                                                              <w:divBdr>
                                                                <w:top w:val="none" w:sz="0" w:space="0" w:color="auto"/>
                                                                <w:left w:val="none" w:sz="0" w:space="0" w:color="auto"/>
                                                                <w:bottom w:val="none" w:sz="0" w:space="0" w:color="auto"/>
                                                                <w:right w:val="none" w:sz="0" w:space="0" w:color="auto"/>
                                                              </w:divBdr>
                                                              <w:divsChild>
                                                                <w:div w:id="1829904747">
                                                                  <w:marLeft w:val="0"/>
                                                                  <w:marRight w:val="0"/>
                                                                  <w:marTop w:val="0"/>
                                                                  <w:marBottom w:val="0"/>
                                                                  <w:divBdr>
                                                                    <w:top w:val="none" w:sz="0" w:space="0" w:color="auto"/>
                                                                    <w:left w:val="none" w:sz="0" w:space="0" w:color="auto"/>
                                                                    <w:bottom w:val="none" w:sz="0" w:space="0" w:color="auto"/>
                                                                    <w:right w:val="none" w:sz="0" w:space="0" w:color="auto"/>
                                                                  </w:divBdr>
                                                                  <w:divsChild>
                                                                    <w:div w:id="484517370">
                                                                      <w:marLeft w:val="0"/>
                                                                      <w:marRight w:val="0"/>
                                                                      <w:marTop w:val="0"/>
                                                                      <w:marBottom w:val="0"/>
                                                                      <w:divBdr>
                                                                        <w:top w:val="none" w:sz="0" w:space="0" w:color="auto"/>
                                                                        <w:left w:val="none" w:sz="0" w:space="0" w:color="auto"/>
                                                                        <w:bottom w:val="none" w:sz="0" w:space="0" w:color="auto"/>
                                                                        <w:right w:val="none" w:sz="0" w:space="0" w:color="auto"/>
                                                                      </w:divBdr>
                                                                      <w:divsChild>
                                                                        <w:div w:id="2143694498">
                                                                          <w:marLeft w:val="0"/>
                                                                          <w:marRight w:val="0"/>
                                                                          <w:marTop w:val="0"/>
                                                                          <w:marBottom w:val="0"/>
                                                                          <w:divBdr>
                                                                            <w:top w:val="none" w:sz="0" w:space="0" w:color="auto"/>
                                                                            <w:left w:val="none" w:sz="0" w:space="0" w:color="auto"/>
                                                                            <w:bottom w:val="none" w:sz="0" w:space="0" w:color="auto"/>
                                                                            <w:right w:val="none" w:sz="0" w:space="0" w:color="auto"/>
                                                                          </w:divBdr>
                                                                          <w:divsChild>
                                                                            <w:div w:id="318463159">
                                                                              <w:marLeft w:val="0"/>
                                                                              <w:marRight w:val="0"/>
                                                                              <w:marTop w:val="0"/>
                                                                              <w:marBottom w:val="0"/>
                                                                              <w:divBdr>
                                                                                <w:top w:val="none" w:sz="0" w:space="0" w:color="auto"/>
                                                                                <w:left w:val="none" w:sz="0" w:space="0" w:color="auto"/>
                                                                                <w:bottom w:val="none" w:sz="0" w:space="0" w:color="auto"/>
                                                                                <w:right w:val="none" w:sz="0" w:space="0" w:color="auto"/>
                                                                              </w:divBdr>
                                                                              <w:divsChild>
                                                                                <w:div w:id="1677340869">
                                                                                  <w:marLeft w:val="0"/>
                                                                                  <w:marRight w:val="0"/>
                                                                                  <w:marTop w:val="0"/>
                                                                                  <w:marBottom w:val="0"/>
                                                                                  <w:divBdr>
                                                                                    <w:top w:val="single" w:sz="6" w:space="8" w:color="1F6095"/>
                                                                                    <w:left w:val="single" w:sz="6" w:space="8" w:color="1F6095"/>
                                                                                    <w:bottom w:val="single" w:sz="6" w:space="8" w:color="1F6095"/>
                                                                                    <w:right w:val="single" w:sz="6" w:space="8" w:color="1F6095"/>
                                                                                  </w:divBdr>
                                                                                  <w:divsChild>
                                                                                    <w:div w:id="4477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0579288">
      <w:bodyDiv w:val="1"/>
      <w:marLeft w:val="0"/>
      <w:marRight w:val="0"/>
      <w:marTop w:val="0"/>
      <w:marBottom w:val="0"/>
      <w:divBdr>
        <w:top w:val="none" w:sz="0" w:space="0" w:color="auto"/>
        <w:left w:val="none" w:sz="0" w:space="0" w:color="auto"/>
        <w:bottom w:val="none" w:sz="0" w:space="0" w:color="auto"/>
        <w:right w:val="none" w:sz="0" w:space="0" w:color="auto"/>
      </w:divBdr>
    </w:div>
    <w:div w:id="624577524">
      <w:bodyDiv w:val="1"/>
      <w:marLeft w:val="0"/>
      <w:marRight w:val="0"/>
      <w:marTop w:val="0"/>
      <w:marBottom w:val="0"/>
      <w:divBdr>
        <w:top w:val="none" w:sz="0" w:space="0" w:color="auto"/>
        <w:left w:val="none" w:sz="0" w:space="0" w:color="auto"/>
        <w:bottom w:val="none" w:sz="0" w:space="0" w:color="auto"/>
        <w:right w:val="none" w:sz="0" w:space="0" w:color="auto"/>
      </w:divBdr>
      <w:divsChild>
        <w:div w:id="622614085">
          <w:marLeft w:val="0"/>
          <w:marRight w:val="0"/>
          <w:marTop w:val="0"/>
          <w:marBottom w:val="0"/>
          <w:divBdr>
            <w:top w:val="none" w:sz="0" w:space="0" w:color="auto"/>
            <w:left w:val="none" w:sz="0" w:space="0" w:color="auto"/>
            <w:bottom w:val="none" w:sz="0" w:space="0" w:color="auto"/>
            <w:right w:val="none" w:sz="0" w:space="0" w:color="auto"/>
          </w:divBdr>
        </w:div>
        <w:div w:id="926428386">
          <w:marLeft w:val="0"/>
          <w:marRight w:val="0"/>
          <w:marTop w:val="0"/>
          <w:marBottom w:val="0"/>
          <w:divBdr>
            <w:top w:val="none" w:sz="0" w:space="0" w:color="auto"/>
            <w:left w:val="none" w:sz="0" w:space="0" w:color="auto"/>
            <w:bottom w:val="none" w:sz="0" w:space="0" w:color="auto"/>
            <w:right w:val="none" w:sz="0" w:space="0" w:color="auto"/>
          </w:divBdr>
        </w:div>
        <w:div w:id="1158690657">
          <w:marLeft w:val="0"/>
          <w:marRight w:val="0"/>
          <w:marTop w:val="0"/>
          <w:marBottom w:val="0"/>
          <w:divBdr>
            <w:top w:val="none" w:sz="0" w:space="0" w:color="auto"/>
            <w:left w:val="none" w:sz="0" w:space="0" w:color="auto"/>
            <w:bottom w:val="none" w:sz="0" w:space="0" w:color="auto"/>
            <w:right w:val="none" w:sz="0" w:space="0" w:color="auto"/>
          </w:divBdr>
        </w:div>
        <w:div w:id="1551574284">
          <w:marLeft w:val="0"/>
          <w:marRight w:val="0"/>
          <w:marTop w:val="0"/>
          <w:marBottom w:val="0"/>
          <w:divBdr>
            <w:top w:val="none" w:sz="0" w:space="0" w:color="auto"/>
            <w:left w:val="none" w:sz="0" w:space="0" w:color="auto"/>
            <w:bottom w:val="none" w:sz="0" w:space="0" w:color="auto"/>
            <w:right w:val="none" w:sz="0" w:space="0" w:color="auto"/>
          </w:divBdr>
        </w:div>
      </w:divsChild>
    </w:div>
    <w:div w:id="648628606">
      <w:bodyDiv w:val="1"/>
      <w:marLeft w:val="0"/>
      <w:marRight w:val="0"/>
      <w:marTop w:val="0"/>
      <w:marBottom w:val="0"/>
      <w:divBdr>
        <w:top w:val="none" w:sz="0" w:space="0" w:color="auto"/>
        <w:left w:val="none" w:sz="0" w:space="0" w:color="auto"/>
        <w:bottom w:val="none" w:sz="0" w:space="0" w:color="auto"/>
        <w:right w:val="none" w:sz="0" w:space="0" w:color="auto"/>
      </w:divBdr>
    </w:div>
    <w:div w:id="660350015">
      <w:bodyDiv w:val="1"/>
      <w:marLeft w:val="0"/>
      <w:marRight w:val="0"/>
      <w:marTop w:val="0"/>
      <w:marBottom w:val="0"/>
      <w:divBdr>
        <w:top w:val="none" w:sz="0" w:space="0" w:color="auto"/>
        <w:left w:val="none" w:sz="0" w:space="0" w:color="auto"/>
        <w:bottom w:val="none" w:sz="0" w:space="0" w:color="auto"/>
        <w:right w:val="none" w:sz="0" w:space="0" w:color="auto"/>
      </w:divBdr>
    </w:div>
    <w:div w:id="661546101">
      <w:bodyDiv w:val="1"/>
      <w:marLeft w:val="0"/>
      <w:marRight w:val="0"/>
      <w:marTop w:val="0"/>
      <w:marBottom w:val="0"/>
      <w:divBdr>
        <w:top w:val="none" w:sz="0" w:space="0" w:color="auto"/>
        <w:left w:val="none" w:sz="0" w:space="0" w:color="auto"/>
        <w:bottom w:val="none" w:sz="0" w:space="0" w:color="auto"/>
        <w:right w:val="none" w:sz="0" w:space="0" w:color="auto"/>
      </w:divBdr>
      <w:divsChild>
        <w:div w:id="604188764">
          <w:marLeft w:val="0"/>
          <w:marRight w:val="0"/>
          <w:marTop w:val="0"/>
          <w:marBottom w:val="0"/>
          <w:divBdr>
            <w:top w:val="none" w:sz="0" w:space="0" w:color="auto"/>
            <w:left w:val="none" w:sz="0" w:space="0" w:color="auto"/>
            <w:bottom w:val="none" w:sz="0" w:space="0" w:color="auto"/>
            <w:right w:val="none" w:sz="0" w:space="0" w:color="auto"/>
          </w:divBdr>
        </w:div>
        <w:div w:id="1525170017">
          <w:marLeft w:val="0"/>
          <w:marRight w:val="0"/>
          <w:marTop w:val="0"/>
          <w:marBottom w:val="0"/>
          <w:divBdr>
            <w:top w:val="none" w:sz="0" w:space="0" w:color="auto"/>
            <w:left w:val="none" w:sz="0" w:space="0" w:color="auto"/>
            <w:bottom w:val="none" w:sz="0" w:space="0" w:color="auto"/>
            <w:right w:val="none" w:sz="0" w:space="0" w:color="auto"/>
          </w:divBdr>
        </w:div>
        <w:div w:id="91323937">
          <w:marLeft w:val="0"/>
          <w:marRight w:val="0"/>
          <w:marTop w:val="0"/>
          <w:marBottom w:val="0"/>
          <w:divBdr>
            <w:top w:val="none" w:sz="0" w:space="0" w:color="auto"/>
            <w:left w:val="none" w:sz="0" w:space="0" w:color="auto"/>
            <w:bottom w:val="none" w:sz="0" w:space="0" w:color="auto"/>
            <w:right w:val="none" w:sz="0" w:space="0" w:color="auto"/>
          </w:divBdr>
        </w:div>
        <w:div w:id="1591157416">
          <w:marLeft w:val="0"/>
          <w:marRight w:val="0"/>
          <w:marTop w:val="0"/>
          <w:marBottom w:val="0"/>
          <w:divBdr>
            <w:top w:val="none" w:sz="0" w:space="0" w:color="auto"/>
            <w:left w:val="none" w:sz="0" w:space="0" w:color="auto"/>
            <w:bottom w:val="none" w:sz="0" w:space="0" w:color="auto"/>
            <w:right w:val="none" w:sz="0" w:space="0" w:color="auto"/>
          </w:divBdr>
        </w:div>
      </w:divsChild>
    </w:div>
    <w:div w:id="662465536">
      <w:bodyDiv w:val="1"/>
      <w:marLeft w:val="0"/>
      <w:marRight w:val="0"/>
      <w:marTop w:val="0"/>
      <w:marBottom w:val="0"/>
      <w:divBdr>
        <w:top w:val="none" w:sz="0" w:space="0" w:color="auto"/>
        <w:left w:val="none" w:sz="0" w:space="0" w:color="auto"/>
        <w:bottom w:val="none" w:sz="0" w:space="0" w:color="auto"/>
        <w:right w:val="none" w:sz="0" w:space="0" w:color="auto"/>
      </w:divBdr>
    </w:div>
    <w:div w:id="672874695">
      <w:bodyDiv w:val="1"/>
      <w:marLeft w:val="0"/>
      <w:marRight w:val="0"/>
      <w:marTop w:val="0"/>
      <w:marBottom w:val="0"/>
      <w:divBdr>
        <w:top w:val="none" w:sz="0" w:space="0" w:color="auto"/>
        <w:left w:val="none" w:sz="0" w:space="0" w:color="auto"/>
        <w:bottom w:val="none" w:sz="0" w:space="0" w:color="auto"/>
        <w:right w:val="none" w:sz="0" w:space="0" w:color="auto"/>
      </w:divBdr>
      <w:divsChild>
        <w:div w:id="349524372">
          <w:marLeft w:val="0"/>
          <w:marRight w:val="0"/>
          <w:marTop w:val="0"/>
          <w:marBottom w:val="0"/>
          <w:divBdr>
            <w:top w:val="none" w:sz="0" w:space="0" w:color="auto"/>
            <w:left w:val="none" w:sz="0" w:space="0" w:color="auto"/>
            <w:bottom w:val="none" w:sz="0" w:space="0" w:color="auto"/>
            <w:right w:val="none" w:sz="0" w:space="0" w:color="auto"/>
          </w:divBdr>
        </w:div>
        <w:div w:id="751585459">
          <w:marLeft w:val="0"/>
          <w:marRight w:val="0"/>
          <w:marTop w:val="0"/>
          <w:marBottom w:val="0"/>
          <w:divBdr>
            <w:top w:val="none" w:sz="0" w:space="0" w:color="auto"/>
            <w:left w:val="none" w:sz="0" w:space="0" w:color="auto"/>
            <w:bottom w:val="none" w:sz="0" w:space="0" w:color="auto"/>
            <w:right w:val="none" w:sz="0" w:space="0" w:color="auto"/>
          </w:divBdr>
        </w:div>
        <w:div w:id="381371955">
          <w:marLeft w:val="0"/>
          <w:marRight w:val="0"/>
          <w:marTop w:val="0"/>
          <w:marBottom w:val="0"/>
          <w:divBdr>
            <w:top w:val="none" w:sz="0" w:space="0" w:color="auto"/>
            <w:left w:val="none" w:sz="0" w:space="0" w:color="auto"/>
            <w:bottom w:val="none" w:sz="0" w:space="0" w:color="auto"/>
            <w:right w:val="none" w:sz="0" w:space="0" w:color="auto"/>
          </w:divBdr>
        </w:div>
      </w:divsChild>
    </w:div>
    <w:div w:id="679553529">
      <w:bodyDiv w:val="1"/>
      <w:marLeft w:val="0"/>
      <w:marRight w:val="0"/>
      <w:marTop w:val="0"/>
      <w:marBottom w:val="0"/>
      <w:divBdr>
        <w:top w:val="none" w:sz="0" w:space="0" w:color="auto"/>
        <w:left w:val="none" w:sz="0" w:space="0" w:color="auto"/>
        <w:bottom w:val="none" w:sz="0" w:space="0" w:color="auto"/>
        <w:right w:val="none" w:sz="0" w:space="0" w:color="auto"/>
      </w:divBdr>
      <w:divsChild>
        <w:div w:id="461774175">
          <w:marLeft w:val="0"/>
          <w:marRight w:val="0"/>
          <w:marTop w:val="0"/>
          <w:marBottom w:val="0"/>
          <w:divBdr>
            <w:top w:val="none" w:sz="0" w:space="0" w:color="auto"/>
            <w:left w:val="none" w:sz="0" w:space="0" w:color="auto"/>
            <w:bottom w:val="none" w:sz="0" w:space="0" w:color="auto"/>
            <w:right w:val="none" w:sz="0" w:space="0" w:color="auto"/>
          </w:divBdr>
        </w:div>
        <w:div w:id="541207211">
          <w:marLeft w:val="0"/>
          <w:marRight w:val="0"/>
          <w:marTop w:val="0"/>
          <w:marBottom w:val="0"/>
          <w:divBdr>
            <w:top w:val="none" w:sz="0" w:space="0" w:color="auto"/>
            <w:left w:val="none" w:sz="0" w:space="0" w:color="auto"/>
            <w:bottom w:val="none" w:sz="0" w:space="0" w:color="auto"/>
            <w:right w:val="none" w:sz="0" w:space="0" w:color="auto"/>
          </w:divBdr>
        </w:div>
        <w:div w:id="1036350836">
          <w:marLeft w:val="0"/>
          <w:marRight w:val="0"/>
          <w:marTop w:val="0"/>
          <w:marBottom w:val="0"/>
          <w:divBdr>
            <w:top w:val="none" w:sz="0" w:space="0" w:color="auto"/>
            <w:left w:val="none" w:sz="0" w:space="0" w:color="auto"/>
            <w:bottom w:val="none" w:sz="0" w:space="0" w:color="auto"/>
            <w:right w:val="none" w:sz="0" w:space="0" w:color="auto"/>
          </w:divBdr>
        </w:div>
        <w:div w:id="1091127806">
          <w:marLeft w:val="0"/>
          <w:marRight w:val="0"/>
          <w:marTop w:val="0"/>
          <w:marBottom w:val="0"/>
          <w:divBdr>
            <w:top w:val="none" w:sz="0" w:space="0" w:color="auto"/>
            <w:left w:val="none" w:sz="0" w:space="0" w:color="auto"/>
            <w:bottom w:val="none" w:sz="0" w:space="0" w:color="auto"/>
            <w:right w:val="none" w:sz="0" w:space="0" w:color="auto"/>
          </w:divBdr>
        </w:div>
        <w:div w:id="1289121998">
          <w:marLeft w:val="0"/>
          <w:marRight w:val="0"/>
          <w:marTop w:val="0"/>
          <w:marBottom w:val="0"/>
          <w:divBdr>
            <w:top w:val="none" w:sz="0" w:space="0" w:color="auto"/>
            <w:left w:val="none" w:sz="0" w:space="0" w:color="auto"/>
            <w:bottom w:val="none" w:sz="0" w:space="0" w:color="auto"/>
            <w:right w:val="none" w:sz="0" w:space="0" w:color="auto"/>
          </w:divBdr>
        </w:div>
        <w:div w:id="1473055647">
          <w:marLeft w:val="0"/>
          <w:marRight w:val="0"/>
          <w:marTop w:val="0"/>
          <w:marBottom w:val="0"/>
          <w:divBdr>
            <w:top w:val="none" w:sz="0" w:space="0" w:color="auto"/>
            <w:left w:val="none" w:sz="0" w:space="0" w:color="auto"/>
            <w:bottom w:val="none" w:sz="0" w:space="0" w:color="auto"/>
            <w:right w:val="none" w:sz="0" w:space="0" w:color="auto"/>
          </w:divBdr>
        </w:div>
        <w:div w:id="1666981716">
          <w:marLeft w:val="0"/>
          <w:marRight w:val="0"/>
          <w:marTop w:val="0"/>
          <w:marBottom w:val="0"/>
          <w:divBdr>
            <w:top w:val="none" w:sz="0" w:space="0" w:color="auto"/>
            <w:left w:val="none" w:sz="0" w:space="0" w:color="auto"/>
            <w:bottom w:val="none" w:sz="0" w:space="0" w:color="auto"/>
            <w:right w:val="none" w:sz="0" w:space="0" w:color="auto"/>
          </w:divBdr>
        </w:div>
        <w:div w:id="1960647797">
          <w:marLeft w:val="0"/>
          <w:marRight w:val="0"/>
          <w:marTop w:val="0"/>
          <w:marBottom w:val="0"/>
          <w:divBdr>
            <w:top w:val="none" w:sz="0" w:space="0" w:color="auto"/>
            <w:left w:val="none" w:sz="0" w:space="0" w:color="auto"/>
            <w:bottom w:val="none" w:sz="0" w:space="0" w:color="auto"/>
            <w:right w:val="none" w:sz="0" w:space="0" w:color="auto"/>
          </w:divBdr>
        </w:div>
        <w:div w:id="2002853001">
          <w:marLeft w:val="0"/>
          <w:marRight w:val="0"/>
          <w:marTop w:val="0"/>
          <w:marBottom w:val="0"/>
          <w:divBdr>
            <w:top w:val="none" w:sz="0" w:space="0" w:color="auto"/>
            <w:left w:val="none" w:sz="0" w:space="0" w:color="auto"/>
            <w:bottom w:val="none" w:sz="0" w:space="0" w:color="auto"/>
            <w:right w:val="none" w:sz="0" w:space="0" w:color="auto"/>
          </w:divBdr>
        </w:div>
      </w:divsChild>
    </w:div>
    <w:div w:id="679620772">
      <w:bodyDiv w:val="1"/>
      <w:marLeft w:val="0"/>
      <w:marRight w:val="0"/>
      <w:marTop w:val="0"/>
      <w:marBottom w:val="0"/>
      <w:divBdr>
        <w:top w:val="none" w:sz="0" w:space="0" w:color="auto"/>
        <w:left w:val="none" w:sz="0" w:space="0" w:color="auto"/>
        <w:bottom w:val="none" w:sz="0" w:space="0" w:color="auto"/>
        <w:right w:val="none" w:sz="0" w:space="0" w:color="auto"/>
      </w:divBdr>
      <w:divsChild>
        <w:div w:id="157431402">
          <w:marLeft w:val="0"/>
          <w:marRight w:val="0"/>
          <w:marTop w:val="0"/>
          <w:marBottom w:val="0"/>
          <w:divBdr>
            <w:top w:val="none" w:sz="0" w:space="0" w:color="auto"/>
            <w:left w:val="none" w:sz="0" w:space="0" w:color="auto"/>
            <w:bottom w:val="none" w:sz="0" w:space="0" w:color="auto"/>
            <w:right w:val="none" w:sz="0" w:space="0" w:color="auto"/>
          </w:divBdr>
        </w:div>
        <w:div w:id="229851201">
          <w:marLeft w:val="0"/>
          <w:marRight w:val="0"/>
          <w:marTop w:val="0"/>
          <w:marBottom w:val="0"/>
          <w:divBdr>
            <w:top w:val="none" w:sz="0" w:space="0" w:color="auto"/>
            <w:left w:val="none" w:sz="0" w:space="0" w:color="auto"/>
            <w:bottom w:val="none" w:sz="0" w:space="0" w:color="auto"/>
            <w:right w:val="none" w:sz="0" w:space="0" w:color="auto"/>
          </w:divBdr>
        </w:div>
        <w:div w:id="913315982">
          <w:marLeft w:val="0"/>
          <w:marRight w:val="0"/>
          <w:marTop w:val="0"/>
          <w:marBottom w:val="0"/>
          <w:divBdr>
            <w:top w:val="none" w:sz="0" w:space="0" w:color="auto"/>
            <w:left w:val="none" w:sz="0" w:space="0" w:color="auto"/>
            <w:bottom w:val="none" w:sz="0" w:space="0" w:color="auto"/>
            <w:right w:val="none" w:sz="0" w:space="0" w:color="auto"/>
          </w:divBdr>
        </w:div>
        <w:div w:id="1398819146">
          <w:marLeft w:val="0"/>
          <w:marRight w:val="0"/>
          <w:marTop w:val="0"/>
          <w:marBottom w:val="0"/>
          <w:divBdr>
            <w:top w:val="none" w:sz="0" w:space="0" w:color="auto"/>
            <w:left w:val="none" w:sz="0" w:space="0" w:color="auto"/>
            <w:bottom w:val="none" w:sz="0" w:space="0" w:color="auto"/>
            <w:right w:val="none" w:sz="0" w:space="0" w:color="auto"/>
          </w:divBdr>
        </w:div>
      </w:divsChild>
    </w:div>
    <w:div w:id="688485079">
      <w:bodyDiv w:val="1"/>
      <w:marLeft w:val="0"/>
      <w:marRight w:val="0"/>
      <w:marTop w:val="0"/>
      <w:marBottom w:val="0"/>
      <w:divBdr>
        <w:top w:val="none" w:sz="0" w:space="0" w:color="auto"/>
        <w:left w:val="none" w:sz="0" w:space="0" w:color="auto"/>
        <w:bottom w:val="none" w:sz="0" w:space="0" w:color="auto"/>
        <w:right w:val="none" w:sz="0" w:space="0" w:color="auto"/>
      </w:divBdr>
      <w:divsChild>
        <w:div w:id="190187451">
          <w:marLeft w:val="0"/>
          <w:marRight w:val="0"/>
          <w:marTop w:val="0"/>
          <w:marBottom w:val="0"/>
          <w:divBdr>
            <w:top w:val="none" w:sz="0" w:space="0" w:color="auto"/>
            <w:left w:val="none" w:sz="0" w:space="0" w:color="auto"/>
            <w:bottom w:val="none" w:sz="0" w:space="0" w:color="auto"/>
            <w:right w:val="none" w:sz="0" w:space="0" w:color="auto"/>
          </w:divBdr>
        </w:div>
        <w:div w:id="277029941">
          <w:marLeft w:val="0"/>
          <w:marRight w:val="0"/>
          <w:marTop w:val="0"/>
          <w:marBottom w:val="0"/>
          <w:divBdr>
            <w:top w:val="none" w:sz="0" w:space="0" w:color="auto"/>
            <w:left w:val="none" w:sz="0" w:space="0" w:color="auto"/>
            <w:bottom w:val="none" w:sz="0" w:space="0" w:color="auto"/>
            <w:right w:val="none" w:sz="0" w:space="0" w:color="auto"/>
          </w:divBdr>
        </w:div>
        <w:div w:id="488714318">
          <w:marLeft w:val="0"/>
          <w:marRight w:val="0"/>
          <w:marTop w:val="0"/>
          <w:marBottom w:val="0"/>
          <w:divBdr>
            <w:top w:val="none" w:sz="0" w:space="0" w:color="auto"/>
            <w:left w:val="none" w:sz="0" w:space="0" w:color="auto"/>
            <w:bottom w:val="none" w:sz="0" w:space="0" w:color="auto"/>
            <w:right w:val="none" w:sz="0" w:space="0" w:color="auto"/>
          </w:divBdr>
        </w:div>
        <w:div w:id="672220709">
          <w:marLeft w:val="0"/>
          <w:marRight w:val="0"/>
          <w:marTop w:val="0"/>
          <w:marBottom w:val="0"/>
          <w:divBdr>
            <w:top w:val="none" w:sz="0" w:space="0" w:color="auto"/>
            <w:left w:val="none" w:sz="0" w:space="0" w:color="auto"/>
            <w:bottom w:val="none" w:sz="0" w:space="0" w:color="auto"/>
            <w:right w:val="none" w:sz="0" w:space="0" w:color="auto"/>
          </w:divBdr>
        </w:div>
        <w:div w:id="1131291233">
          <w:marLeft w:val="0"/>
          <w:marRight w:val="0"/>
          <w:marTop w:val="0"/>
          <w:marBottom w:val="0"/>
          <w:divBdr>
            <w:top w:val="none" w:sz="0" w:space="0" w:color="auto"/>
            <w:left w:val="none" w:sz="0" w:space="0" w:color="auto"/>
            <w:bottom w:val="none" w:sz="0" w:space="0" w:color="auto"/>
            <w:right w:val="none" w:sz="0" w:space="0" w:color="auto"/>
          </w:divBdr>
        </w:div>
        <w:div w:id="1160734036">
          <w:marLeft w:val="0"/>
          <w:marRight w:val="0"/>
          <w:marTop w:val="0"/>
          <w:marBottom w:val="0"/>
          <w:divBdr>
            <w:top w:val="none" w:sz="0" w:space="0" w:color="auto"/>
            <w:left w:val="none" w:sz="0" w:space="0" w:color="auto"/>
            <w:bottom w:val="none" w:sz="0" w:space="0" w:color="auto"/>
            <w:right w:val="none" w:sz="0" w:space="0" w:color="auto"/>
          </w:divBdr>
        </w:div>
        <w:div w:id="1749040300">
          <w:marLeft w:val="0"/>
          <w:marRight w:val="0"/>
          <w:marTop w:val="0"/>
          <w:marBottom w:val="0"/>
          <w:divBdr>
            <w:top w:val="none" w:sz="0" w:space="0" w:color="auto"/>
            <w:left w:val="none" w:sz="0" w:space="0" w:color="auto"/>
            <w:bottom w:val="none" w:sz="0" w:space="0" w:color="auto"/>
            <w:right w:val="none" w:sz="0" w:space="0" w:color="auto"/>
          </w:divBdr>
        </w:div>
        <w:div w:id="1957250348">
          <w:marLeft w:val="0"/>
          <w:marRight w:val="0"/>
          <w:marTop w:val="0"/>
          <w:marBottom w:val="0"/>
          <w:divBdr>
            <w:top w:val="none" w:sz="0" w:space="0" w:color="auto"/>
            <w:left w:val="none" w:sz="0" w:space="0" w:color="auto"/>
            <w:bottom w:val="none" w:sz="0" w:space="0" w:color="auto"/>
            <w:right w:val="none" w:sz="0" w:space="0" w:color="auto"/>
          </w:divBdr>
        </w:div>
        <w:div w:id="1967614212">
          <w:marLeft w:val="0"/>
          <w:marRight w:val="0"/>
          <w:marTop w:val="0"/>
          <w:marBottom w:val="0"/>
          <w:divBdr>
            <w:top w:val="none" w:sz="0" w:space="0" w:color="auto"/>
            <w:left w:val="none" w:sz="0" w:space="0" w:color="auto"/>
            <w:bottom w:val="none" w:sz="0" w:space="0" w:color="auto"/>
            <w:right w:val="none" w:sz="0" w:space="0" w:color="auto"/>
          </w:divBdr>
        </w:div>
        <w:div w:id="1979648741">
          <w:marLeft w:val="0"/>
          <w:marRight w:val="0"/>
          <w:marTop w:val="0"/>
          <w:marBottom w:val="0"/>
          <w:divBdr>
            <w:top w:val="none" w:sz="0" w:space="0" w:color="auto"/>
            <w:left w:val="none" w:sz="0" w:space="0" w:color="auto"/>
            <w:bottom w:val="none" w:sz="0" w:space="0" w:color="auto"/>
            <w:right w:val="none" w:sz="0" w:space="0" w:color="auto"/>
          </w:divBdr>
        </w:div>
        <w:div w:id="1981039036">
          <w:marLeft w:val="0"/>
          <w:marRight w:val="0"/>
          <w:marTop w:val="0"/>
          <w:marBottom w:val="0"/>
          <w:divBdr>
            <w:top w:val="none" w:sz="0" w:space="0" w:color="auto"/>
            <w:left w:val="none" w:sz="0" w:space="0" w:color="auto"/>
            <w:bottom w:val="none" w:sz="0" w:space="0" w:color="auto"/>
            <w:right w:val="none" w:sz="0" w:space="0" w:color="auto"/>
          </w:divBdr>
        </w:div>
      </w:divsChild>
    </w:div>
    <w:div w:id="690106719">
      <w:bodyDiv w:val="1"/>
      <w:marLeft w:val="0"/>
      <w:marRight w:val="0"/>
      <w:marTop w:val="0"/>
      <w:marBottom w:val="0"/>
      <w:divBdr>
        <w:top w:val="none" w:sz="0" w:space="0" w:color="auto"/>
        <w:left w:val="none" w:sz="0" w:space="0" w:color="auto"/>
        <w:bottom w:val="none" w:sz="0" w:space="0" w:color="auto"/>
        <w:right w:val="none" w:sz="0" w:space="0" w:color="auto"/>
      </w:divBdr>
      <w:divsChild>
        <w:div w:id="1617712527">
          <w:marLeft w:val="0"/>
          <w:marRight w:val="0"/>
          <w:marTop w:val="0"/>
          <w:marBottom w:val="0"/>
          <w:divBdr>
            <w:top w:val="none" w:sz="0" w:space="0" w:color="auto"/>
            <w:left w:val="none" w:sz="0" w:space="0" w:color="auto"/>
            <w:bottom w:val="none" w:sz="0" w:space="0" w:color="auto"/>
            <w:right w:val="none" w:sz="0" w:space="0" w:color="auto"/>
          </w:divBdr>
        </w:div>
        <w:div w:id="1810707909">
          <w:marLeft w:val="0"/>
          <w:marRight w:val="0"/>
          <w:marTop w:val="0"/>
          <w:marBottom w:val="0"/>
          <w:divBdr>
            <w:top w:val="none" w:sz="0" w:space="0" w:color="auto"/>
            <w:left w:val="none" w:sz="0" w:space="0" w:color="auto"/>
            <w:bottom w:val="none" w:sz="0" w:space="0" w:color="auto"/>
            <w:right w:val="none" w:sz="0" w:space="0" w:color="auto"/>
          </w:divBdr>
        </w:div>
        <w:div w:id="1843465456">
          <w:marLeft w:val="0"/>
          <w:marRight w:val="0"/>
          <w:marTop w:val="0"/>
          <w:marBottom w:val="0"/>
          <w:divBdr>
            <w:top w:val="none" w:sz="0" w:space="0" w:color="auto"/>
            <w:left w:val="none" w:sz="0" w:space="0" w:color="auto"/>
            <w:bottom w:val="none" w:sz="0" w:space="0" w:color="auto"/>
            <w:right w:val="none" w:sz="0" w:space="0" w:color="auto"/>
          </w:divBdr>
        </w:div>
        <w:div w:id="1831556410">
          <w:marLeft w:val="0"/>
          <w:marRight w:val="0"/>
          <w:marTop w:val="0"/>
          <w:marBottom w:val="0"/>
          <w:divBdr>
            <w:top w:val="none" w:sz="0" w:space="0" w:color="auto"/>
            <w:left w:val="none" w:sz="0" w:space="0" w:color="auto"/>
            <w:bottom w:val="none" w:sz="0" w:space="0" w:color="auto"/>
            <w:right w:val="none" w:sz="0" w:space="0" w:color="auto"/>
          </w:divBdr>
        </w:div>
      </w:divsChild>
    </w:div>
    <w:div w:id="690305565">
      <w:bodyDiv w:val="1"/>
      <w:marLeft w:val="0"/>
      <w:marRight w:val="0"/>
      <w:marTop w:val="0"/>
      <w:marBottom w:val="0"/>
      <w:divBdr>
        <w:top w:val="none" w:sz="0" w:space="0" w:color="auto"/>
        <w:left w:val="none" w:sz="0" w:space="0" w:color="auto"/>
        <w:bottom w:val="none" w:sz="0" w:space="0" w:color="auto"/>
        <w:right w:val="none" w:sz="0" w:space="0" w:color="auto"/>
      </w:divBdr>
    </w:div>
    <w:div w:id="698119859">
      <w:bodyDiv w:val="1"/>
      <w:marLeft w:val="0"/>
      <w:marRight w:val="0"/>
      <w:marTop w:val="0"/>
      <w:marBottom w:val="0"/>
      <w:divBdr>
        <w:top w:val="none" w:sz="0" w:space="0" w:color="auto"/>
        <w:left w:val="none" w:sz="0" w:space="0" w:color="auto"/>
        <w:bottom w:val="none" w:sz="0" w:space="0" w:color="auto"/>
        <w:right w:val="none" w:sz="0" w:space="0" w:color="auto"/>
      </w:divBdr>
      <w:divsChild>
        <w:div w:id="526142329">
          <w:marLeft w:val="0"/>
          <w:marRight w:val="0"/>
          <w:marTop w:val="0"/>
          <w:marBottom w:val="0"/>
          <w:divBdr>
            <w:top w:val="none" w:sz="0" w:space="0" w:color="auto"/>
            <w:left w:val="none" w:sz="0" w:space="0" w:color="auto"/>
            <w:bottom w:val="none" w:sz="0" w:space="0" w:color="auto"/>
            <w:right w:val="none" w:sz="0" w:space="0" w:color="auto"/>
          </w:divBdr>
        </w:div>
        <w:div w:id="46923894">
          <w:marLeft w:val="0"/>
          <w:marRight w:val="0"/>
          <w:marTop w:val="0"/>
          <w:marBottom w:val="0"/>
          <w:divBdr>
            <w:top w:val="none" w:sz="0" w:space="0" w:color="auto"/>
            <w:left w:val="none" w:sz="0" w:space="0" w:color="auto"/>
            <w:bottom w:val="none" w:sz="0" w:space="0" w:color="auto"/>
            <w:right w:val="none" w:sz="0" w:space="0" w:color="auto"/>
          </w:divBdr>
        </w:div>
        <w:div w:id="1204487198">
          <w:marLeft w:val="0"/>
          <w:marRight w:val="0"/>
          <w:marTop w:val="0"/>
          <w:marBottom w:val="0"/>
          <w:divBdr>
            <w:top w:val="none" w:sz="0" w:space="0" w:color="auto"/>
            <w:left w:val="none" w:sz="0" w:space="0" w:color="auto"/>
            <w:bottom w:val="none" w:sz="0" w:space="0" w:color="auto"/>
            <w:right w:val="none" w:sz="0" w:space="0" w:color="auto"/>
          </w:divBdr>
        </w:div>
        <w:div w:id="1982613538">
          <w:marLeft w:val="0"/>
          <w:marRight w:val="0"/>
          <w:marTop w:val="0"/>
          <w:marBottom w:val="0"/>
          <w:divBdr>
            <w:top w:val="none" w:sz="0" w:space="0" w:color="auto"/>
            <w:left w:val="none" w:sz="0" w:space="0" w:color="auto"/>
            <w:bottom w:val="none" w:sz="0" w:space="0" w:color="auto"/>
            <w:right w:val="none" w:sz="0" w:space="0" w:color="auto"/>
          </w:divBdr>
        </w:div>
        <w:div w:id="1544706058">
          <w:marLeft w:val="0"/>
          <w:marRight w:val="0"/>
          <w:marTop w:val="0"/>
          <w:marBottom w:val="0"/>
          <w:divBdr>
            <w:top w:val="none" w:sz="0" w:space="0" w:color="auto"/>
            <w:left w:val="none" w:sz="0" w:space="0" w:color="auto"/>
            <w:bottom w:val="none" w:sz="0" w:space="0" w:color="auto"/>
            <w:right w:val="none" w:sz="0" w:space="0" w:color="auto"/>
          </w:divBdr>
        </w:div>
      </w:divsChild>
    </w:div>
    <w:div w:id="721634450">
      <w:bodyDiv w:val="1"/>
      <w:marLeft w:val="0"/>
      <w:marRight w:val="0"/>
      <w:marTop w:val="0"/>
      <w:marBottom w:val="0"/>
      <w:divBdr>
        <w:top w:val="none" w:sz="0" w:space="0" w:color="auto"/>
        <w:left w:val="none" w:sz="0" w:space="0" w:color="auto"/>
        <w:bottom w:val="none" w:sz="0" w:space="0" w:color="auto"/>
        <w:right w:val="none" w:sz="0" w:space="0" w:color="auto"/>
      </w:divBdr>
      <w:divsChild>
        <w:div w:id="948901783">
          <w:marLeft w:val="0"/>
          <w:marRight w:val="0"/>
          <w:marTop w:val="0"/>
          <w:marBottom w:val="0"/>
          <w:divBdr>
            <w:top w:val="none" w:sz="0" w:space="0" w:color="auto"/>
            <w:left w:val="none" w:sz="0" w:space="0" w:color="auto"/>
            <w:bottom w:val="none" w:sz="0" w:space="0" w:color="auto"/>
            <w:right w:val="none" w:sz="0" w:space="0" w:color="auto"/>
          </w:divBdr>
        </w:div>
        <w:div w:id="193007408">
          <w:marLeft w:val="0"/>
          <w:marRight w:val="0"/>
          <w:marTop w:val="0"/>
          <w:marBottom w:val="0"/>
          <w:divBdr>
            <w:top w:val="none" w:sz="0" w:space="0" w:color="auto"/>
            <w:left w:val="none" w:sz="0" w:space="0" w:color="auto"/>
            <w:bottom w:val="none" w:sz="0" w:space="0" w:color="auto"/>
            <w:right w:val="none" w:sz="0" w:space="0" w:color="auto"/>
          </w:divBdr>
        </w:div>
      </w:divsChild>
    </w:div>
    <w:div w:id="725565370">
      <w:bodyDiv w:val="1"/>
      <w:marLeft w:val="0"/>
      <w:marRight w:val="0"/>
      <w:marTop w:val="0"/>
      <w:marBottom w:val="0"/>
      <w:divBdr>
        <w:top w:val="none" w:sz="0" w:space="0" w:color="auto"/>
        <w:left w:val="none" w:sz="0" w:space="0" w:color="auto"/>
        <w:bottom w:val="none" w:sz="0" w:space="0" w:color="auto"/>
        <w:right w:val="none" w:sz="0" w:space="0" w:color="auto"/>
      </w:divBdr>
      <w:divsChild>
        <w:div w:id="1058633086">
          <w:marLeft w:val="0"/>
          <w:marRight w:val="0"/>
          <w:marTop w:val="0"/>
          <w:marBottom w:val="0"/>
          <w:divBdr>
            <w:top w:val="none" w:sz="0" w:space="0" w:color="auto"/>
            <w:left w:val="none" w:sz="0" w:space="0" w:color="auto"/>
            <w:bottom w:val="none" w:sz="0" w:space="0" w:color="auto"/>
            <w:right w:val="none" w:sz="0" w:space="0" w:color="auto"/>
          </w:divBdr>
        </w:div>
        <w:div w:id="438306280">
          <w:marLeft w:val="0"/>
          <w:marRight w:val="0"/>
          <w:marTop w:val="0"/>
          <w:marBottom w:val="0"/>
          <w:divBdr>
            <w:top w:val="none" w:sz="0" w:space="0" w:color="auto"/>
            <w:left w:val="none" w:sz="0" w:space="0" w:color="auto"/>
            <w:bottom w:val="none" w:sz="0" w:space="0" w:color="auto"/>
            <w:right w:val="none" w:sz="0" w:space="0" w:color="auto"/>
          </w:divBdr>
        </w:div>
      </w:divsChild>
    </w:div>
    <w:div w:id="773285191">
      <w:bodyDiv w:val="1"/>
      <w:marLeft w:val="0"/>
      <w:marRight w:val="0"/>
      <w:marTop w:val="0"/>
      <w:marBottom w:val="0"/>
      <w:divBdr>
        <w:top w:val="none" w:sz="0" w:space="0" w:color="auto"/>
        <w:left w:val="none" w:sz="0" w:space="0" w:color="auto"/>
        <w:bottom w:val="none" w:sz="0" w:space="0" w:color="auto"/>
        <w:right w:val="none" w:sz="0" w:space="0" w:color="auto"/>
      </w:divBdr>
      <w:divsChild>
        <w:div w:id="138764716">
          <w:marLeft w:val="0"/>
          <w:marRight w:val="0"/>
          <w:marTop w:val="0"/>
          <w:marBottom w:val="0"/>
          <w:divBdr>
            <w:top w:val="none" w:sz="0" w:space="0" w:color="auto"/>
            <w:left w:val="none" w:sz="0" w:space="0" w:color="auto"/>
            <w:bottom w:val="none" w:sz="0" w:space="0" w:color="auto"/>
            <w:right w:val="none" w:sz="0" w:space="0" w:color="auto"/>
          </w:divBdr>
          <w:divsChild>
            <w:div w:id="915479652">
              <w:marLeft w:val="0"/>
              <w:marRight w:val="0"/>
              <w:marTop w:val="0"/>
              <w:marBottom w:val="0"/>
              <w:divBdr>
                <w:top w:val="none" w:sz="0" w:space="0" w:color="auto"/>
                <w:left w:val="none" w:sz="0" w:space="0" w:color="auto"/>
                <w:bottom w:val="none" w:sz="0" w:space="0" w:color="auto"/>
                <w:right w:val="none" w:sz="0" w:space="0" w:color="auto"/>
              </w:divBdr>
              <w:divsChild>
                <w:div w:id="796988555">
                  <w:marLeft w:val="0"/>
                  <w:marRight w:val="0"/>
                  <w:marTop w:val="0"/>
                  <w:marBottom w:val="0"/>
                  <w:divBdr>
                    <w:top w:val="none" w:sz="0" w:space="0" w:color="auto"/>
                    <w:left w:val="none" w:sz="0" w:space="0" w:color="auto"/>
                    <w:bottom w:val="none" w:sz="0" w:space="0" w:color="auto"/>
                    <w:right w:val="none" w:sz="0" w:space="0" w:color="auto"/>
                  </w:divBdr>
                </w:div>
              </w:divsChild>
            </w:div>
            <w:div w:id="706609549">
              <w:marLeft w:val="0"/>
              <w:marRight w:val="0"/>
              <w:marTop w:val="0"/>
              <w:marBottom w:val="0"/>
              <w:divBdr>
                <w:top w:val="none" w:sz="0" w:space="0" w:color="auto"/>
                <w:left w:val="none" w:sz="0" w:space="0" w:color="auto"/>
                <w:bottom w:val="none" w:sz="0" w:space="0" w:color="auto"/>
                <w:right w:val="none" w:sz="0" w:space="0" w:color="auto"/>
              </w:divBdr>
              <w:divsChild>
                <w:div w:id="126808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11168">
      <w:bodyDiv w:val="1"/>
      <w:marLeft w:val="0"/>
      <w:marRight w:val="0"/>
      <w:marTop w:val="0"/>
      <w:marBottom w:val="0"/>
      <w:divBdr>
        <w:top w:val="none" w:sz="0" w:space="0" w:color="auto"/>
        <w:left w:val="none" w:sz="0" w:space="0" w:color="auto"/>
        <w:bottom w:val="none" w:sz="0" w:space="0" w:color="auto"/>
        <w:right w:val="none" w:sz="0" w:space="0" w:color="auto"/>
      </w:divBdr>
      <w:divsChild>
        <w:div w:id="68768319">
          <w:marLeft w:val="0"/>
          <w:marRight w:val="0"/>
          <w:marTop w:val="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36419316">
          <w:marLeft w:val="0"/>
          <w:marRight w:val="0"/>
          <w:marTop w:val="0"/>
          <w:marBottom w:val="0"/>
          <w:divBdr>
            <w:top w:val="none" w:sz="0" w:space="0" w:color="auto"/>
            <w:left w:val="none" w:sz="0" w:space="0" w:color="auto"/>
            <w:bottom w:val="none" w:sz="0" w:space="0" w:color="auto"/>
            <w:right w:val="none" w:sz="0" w:space="0" w:color="auto"/>
          </w:divBdr>
        </w:div>
        <w:div w:id="337662007">
          <w:marLeft w:val="0"/>
          <w:marRight w:val="0"/>
          <w:marTop w:val="0"/>
          <w:marBottom w:val="0"/>
          <w:divBdr>
            <w:top w:val="none" w:sz="0" w:space="0" w:color="auto"/>
            <w:left w:val="none" w:sz="0" w:space="0" w:color="auto"/>
            <w:bottom w:val="none" w:sz="0" w:space="0" w:color="auto"/>
            <w:right w:val="none" w:sz="0" w:space="0" w:color="auto"/>
          </w:divBdr>
        </w:div>
        <w:div w:id="471755779">
          <w:marLeft w:val="0"/>
          <w:marRight w:val="0"/>
          <w:marTop w:val="0"/>
          <w:marBottom w:val="0"/>
          <w:divBdr>
            <w:top w:val="none" w:sz="0" w:space="0" w:color="auto"/>
            <w:left w:val="none" w:sz="0" w:space="0" w:color="auto"/>
            <w:bottom w:val="none" w:sz="0" w:space="0" w:color="auto"/>
            <w:right w:val="none" w:sz="0" w:space="0" w:color="auto"/>
          </w:divBdr>
        </w:div>
        <w:div w:id="501704794">
          <w:marLeft w:val="0"/>
          <w:marRight w:val="0"/>
          <w:marTop w:val="0"/>
          <w:marBottom w:val="0"/>
          <w:divBdr>
            <w:top w:val="none" w:sz="0" w:space="0" w:color="auto"/>
            <w:left w:val="none" w:sz="0" w:space="0" w:color="auto"/>
            <w:bottom w:val="none" w:sz="0" w:space="0" w:color="auto"/>
            <w:right w:val="none" w:sz="0" w:space="0" w:color="auto"/>
          </w:divBdr>
        </w:div>
        <w:div w:id="600722420">
          <w:marLeft w:val="0"/>
          <w:marRight w:val="0"/>
          <w:marTop w:val="0"/>
          <w:marBottom w:val="0"/>
          <w:divBdr>
            <w:top w:val="none" w:sz="0" w:space="0" w:color="auto"/>
            <w:left w:val="none" w:sz="0" w:space="0" w:color="auto"/>
            <w:bottom w:val="none" w:sz="0" w:space="0" w:color="auto"/>
            <w:right w:val="none" w:sz="0" w:space="0" w:color="auto"/>
          </w:divBdr>
        </w:div>
        <w:div w:id="623772358">
          <w:marLeft w:val="0"/>
          <w:marRight w:val="0"/>
          <w:marTop w:val="0"/>
          <w:marBottom w:val="0"/>
          <w:divBdr>
            <w:top w:val="none" w:sz="0" w:space="0" w:color="auto"/>
            <w:left w:val="none" w:sz="0" w:space="0" w:color="auto"/>
            <w:bottom w:val="none" w:sz="0" w:space="0" w:color="auto"/>
            <w:right w:val="none" w:sz="0" w:space="0" w:color="auto"/>
          </w:divBdr>
        </w:div>
        <w:div w:id="740950734">
          <w:marLeft w:val="0"/>
          <w:marRight w:val="0"/>
          <w:marTop w:val="0"/>
          <w:marBottom w:val="0"/>
          <w:divBdr>
            <w:top w:val="none" w:sz="0" w:space="0" w:color="auto"/>
            <w:left w:val="none" w:sz="0" w:space="0" w:color="auto"/>
            <w:bottom w:val="none" w:sz="0" w:space="0" w:color="auto"/>
            <w:right w:val="none" w:sz="0" w:space="0" w:color="auto"/>
          </w:divBdr>
        </w:div>
        <w:div w:id="815687752">
          <w:marLeft w:val="0"/>
          <w:marRight w:val="0"/>
          <w:marTop w:val="0"/>
          <w:marBottom w:val="0"/>
          <w:divBdr>
            <w:top w:val="none" w:sz="0" w:space="0" w:color="auto"/>
            <w:left w:val="none" w:sz="0" w:space="0" w:color="auto"/>
            <w:bottom w:val="none" w:sz="0" w:space="0" w:color="auto"/>
            <w:right w:val="none" w:sz="0" w:space="0" w:color="auto"/>
          </w:divBdr>
        </w:div>
        <w:div w:id="1183663126">
          <w:marLeft w:val="0"/>
          <w:marRight w:val="0"/>
          <w:marTop w:val="0"/>
          <w:marBottom w:val="0"/>
          <w:divBdr>
            <w:top w:val="none" w:sz="0" w:space="0" w:color="auto"/>
            <w:left w:val="none" w:sz="0" w:space="0" w:color="auto"/>
            <w:bottom w:val="none" w:sz="0" w:space="0" w:color="auto"/>
            <w:right w:val="none" w:sz="0" w:space="0" w:color="auto"/>
          </w:divBdr>
        </w:div>
        <w:div w:id="1256982013">
          <w:marLeft w:val="0"/>
          <w:marRight w:val="0"/>
          <w:marTop w:val="0"/>
          <w:marBottom w:val="0"/>
          <w:divBdr>
            <w:top w:val="none" w:sz="0" w:space="0" w:color="auto"/>
            <w:left w:val="none" w:sz="0" w:space="0" w:color="auto"/>
            <w:bottom w:val="none" w:sz="0" w:space="0" w:color="auto"/>
            <w:right w:val="none" w:sz="0" w:space="0" w:color="auto"/>
          </w:divBdr>
        </w:div>
        <w:div w:id="1503013770">
          <w:marLeft w:val="0"/>
          <w:marRight w:val="0"/>
          <w:marTop w:val="0"/>
          <w:marBottom w:val="0"/>
          <w:divBdr>
            <w:top w:val="none" w:sz="0" w:space="0" w:color="auto"/>
            <w:left w:val="none" w:sz="0" w:space="0" w:color="auto"/>
            <w:bottom w:val="none" w:sz="0" w:space="0" w:color="auto"/>
            <w:right w:val="none" w:sz="0" w:space="0" w:color="auto"/>
          </w:divBdr>
        </w:div>
        <w:div w:id="1525434989">
          <w:marLeft w:val="0"/>
          <w:marRight w:val="0"/>
          <w:marTop w:val="0"/>
          <w:marBottom w:val="0"/>
          <w:divBdr>
            <w:top w:val="none" w:sz="0" w:space="0" w:color="auto"/>
            <w:left w:val="none" w:sz="0" w:space="0" w:color="auto"/>
            <w:bottom w:val="none" w:sz="0" w:space="0" w:color="auto"/>
            <w:right w:val="none" w:sz="0" w:space="0" w:color="auto"/>
          </w:divBdr>
        </w:div>
        <w:div w:id="1555002032">
          <w:marLeft w:val="0"/>
          <w:marRight w:val="0"/>
          <w:marTop w:val="0"/>
          <w:marBottom w:val="0"/>
          <w:divBdr>
            <w:top w:val="none" w:sz="0" w:space="0" w:color="auto"/>
            <w:left w:val="none" w:sz="0" w:space="0" w:color="auto"/>
            <w:bottom w:val="none" w:sz="0" w:space="0" w:color="auto"/>
            <w:right w:val="none" w:sz="0" w:space="0" w:color="auto"/>
          </w:divBdr>
        </w:div>
        <w:div w:id="1613055358">
          <w:marLeft w:val="0"/>
          <w:marRight w:val="0"/>
          <w:marTop w:val="0"/>
          <w:marBottom w:val="0"/>
          <w:divBdr>
            <w:top w:val="none" w:sz="0" w:space="0" w:color="auto"/>
            <w:left w:val="none" w:sz="0" w:space="0" w:color="auto"/>
            <w:bottom w:val="none" w:sz="0" w:space="0" w:color="auto"/>
            <w:right w:val="none" w:sz="0" w:space="0" w:color="auto"/>
          </w:divBdr>
        </w:div>
        <w:div w:id="1736319207">
          <w:marLeft w:val="0"/>
          <w:marRight w:val="0"/>
          <w:marTop w:val="0"/>
          <w:marBottom w:val="0"/>
          <w:divBdr>
            <w:top w:val="none" w:sz="0" w:space="0" w:color="auto"/>
            <w:left w:val="none" w:sz="0" w:space="0" w:color="auto"/>
            <w:bottom w:val="none" w:sz="0" w:space="0" w:color="auto"/>
            <w:right w:val="none" w:sz="0" w:space="0" w:color="auto"/>
          </w:divBdr>
        </w:div>
        <w:div w:id="1748112329">
          <w:marLeft w:val="0"/>
          <w:marRight w:val="0"/>
          <w:marTop w:val="0"/>
          <w:marBottom w:val="0"/>
          <w:divBdr>
            <w:top w:val="none" w:sz="0" w:space="0" w:color="auto"/>
            <w:left w:val="none" w:sz="0" w:space="0" w:color="auto"/>
            <w:bottom w:val="none" w:sz="0" w:space="0" w:color="auto"/>
            <w:right w:val="none" w:sz="0" w:space="0" w:color="auto"/>
          </w:divBdr>
        </w:div>
        <w:div w:id="1864709741">
          <w:marLeft w:val="0"/>
          <w:marRight w:val="0"/>
          <w:marTop w:val="0"/>
          <w:marBottom w:val="0"/>
          <w:divBdr>
            <w:top w:val="none" w:sz="0" w:space="0" w:color="auto"/>
            <w:left w:val="none" w:sz="0" w:space="0" w:color="auto"/>
            <w:bottom w:val="none" w:sz="0" w:space="0" w:color="auto"/>
            <w:right w:val="none" w:sz="0" w:space="0" w:color="auto"/>
          </w:divBdr>
        </w:div>
        <w:div w:id="1874225780">
          <w:marLeft w:val="0"/>
          <w:marRight w:val="0"/>
          <w:marTop w:val="0"/>
          <w:marBottom w:val="0"/>
          <w:divBdr>
            <w:top w:val="none" w:sz="0" w:space="0" w:color="auto"/>
            <w:left w:val="none" w:sz="0" w:space="0" w:color="auto"/>
            <w:bottom w:val="none" w:sz="0" w:space="0" w:color="auto"/>
            <w:right w:val="none" w:sz="0" w:space="0" w:color="auto"/>
          </w:divBdr>
        </w:div>
        <w:div w:id="2055275589">
          <w:marLeft w:val="0"/>
          <w:marRight w:val="0"/>
          <w:marTop w:val="0"/>
          <w:marBottom w:val="0"/>
          <w:divBdr>
            <w:top w:val="none" w:sz="0" w:space="0" w:color="auto"/>
            <w:left w:val="none" w:sz="0" w:space="0" w:color="auto"/>
            <w:bottom w:val="none" w:sz="0" w:space="0" w:color="auto"/>
            <w:right w:val="none" w:sz="0" w:space="0" w:color="auto"/>
          </w:divBdr>
        </w:div>
        <w:div w:id="2125690165">
          <w:marLeft w:val="0"/>
          <w:marRight w:val="0"/>
          <w:marTop w:val="0"/>
          <w:marBottom w:val="0"/>
          <w:divBdr>
            <w:top w:val="none" w:sz="0" w:space="0" w:color="auto"/>
            <w:left w:val="none" w:sz="0" w:space="0" w:color="auto"/>
            <w:bottom w:val="none" w:sz="0" w:space="0" w:color="auto"/>
            <w:right w:val="none" w:sz="0" w:space="0" w:color="auto"/>
          </w:divBdr>
        </w:div>
        <w:div w:id="2143956621">
          <w:marLeft w:val="0"/>
          <w:marRight w:val="0"/>
          <w:marTop w:val="0"/>
          <w:marBottom w:val="0"/>
          <w:divBdr>
            <w:top w:val="none" w:sz="0" w:space="0" w:color="auto"/>
            <w:left w:val="none" w:sz="0" w:space="0" w:color="auto"/>
            <w:bottom w:val="none" w:sz="0" w:space="0" w:color="auto"/>
            <w:right w:val="none" w:sz="0" w:space="0" w:color="auto"/>
          </w:divBdr>
        </w:div>
        <w:div w:id="2146921746">
          <w:marLeft w:val="0"/>
          <w:marRight w:val="0"/>
          <w:marTop w:val="0"/>
          <w:marBottom w:val="0"/>
          <w:divBdr>
            <w:top w:val="none" w:sz="0" w:space="0" w:color="auto"/>
            <w:left w:val="none" w:sz="0" w:space="0" w:color="auto"/>
            <w:bottom w:val="none" w:sz="0" w:space="0" w:color="auto"/>
            <w:right w:val="none" w:sz="0" w:space="0" w:color="auto"/>
          </w:divBdr>
        </w:div>
      </w:divsChild>
    </w:div>
    <w:div w:id="779688873">
      <w:bodyDiv w:val="1"/>
      <w:marLeft w:val="0"/>
      <w:marRight w:val="0"/>
      <w:marTop w:val="0"/>
      <w:marBottom w:val="0"/>
      <w:divBdr>
        <w:top w:val="none" w:sz="0" w:space="0" w:color="auto"/>
        <w:left w:val="none" w:sz="0" w:space="0" w:color="auto"/>
        <w:bottom w:val="none" w:sz="0" w:space="0" w:color="auto"/>
        <w:right w:val="none" w:sz="0" w:space="0" w:color="auto"/>
      </w:divBdr>
      <w:divsChild>
        <w:div w:id="161164992">
          <w:marLeft w:val="0"/>
          <w:marRight w:val="0"/>
          <w:marTop w:val="0"/>
          <w:marBottom w:val="0"/>
          <w:divBdr>
            <w:top w:val="none" w:sz="0" w:space="0" w:color="auto"/>
            <w:left w:val="none" w:sz="0" w:space="0" w:color="auto"/>
            <w:bottom w:val="none" w:sz="0" w:space="0" w:color="auto"/>
            <w:right w:val="none" w:sz="0" w:space="0" w:color="auto"/>
          </w:divBdr>
        </w:div>
        <w:div w:id="144201223">
          <w:marLeft w:val="0"/>
          <w:marRight w:val="0"/>
          <w:marTop w:val="0"/>
          <w:marBottom w:val="0"/>
          <w:divBdr>
            <w:top w:val="none" w:sz="0" w:space="0" w:color="auto"/>
            <w:left w:val="none" w:sz="0" w:space="0" w:color="auto"/>
            <w:bottom w:val="none" w:sz="0" w:space="0" w:color="auto"/>
            <w:right w:val="none" w:sz="0" w:space="0" w:color="auto"/>
          </w:divBdr>
        </w:div>
        <w:div w:id="1642536344">
          <w:marLeft w:val="0"/>
          <w:marRight w:val="0"/>
          <w:marTop w:val="0"/>
          <w:marBottom w:val="0"/>
          <w:divBdr>
            <w:top w:val="none" w:sz="0" w:space="0" w:color="auto"/>
            <w:left w:val="none" w:sz="0" w:space="0" w:color="auto"/>
            <w:bottom w:val="none" w:sz="0" w:space="0" w:color="auto"/>
            <w:right w:val="none" w:sz="0" w:space="0" w:color="auto"/>
          </w:divBdr>
        </w:div>
        <w:div w:id="1812941196">
          <w:marLeft w:val="0"/>
          <w:marRight w:val="0"/>
          <w:marTop w:val="0"/>
          <w:marBottom w:val="0"/>
          <w:divBdr>
            <w:top w:val="none" w:sz="0" w:space="0" w:color="auto"/>
            <w:left w:val="none" w:sz="0" w:space="0" w:color="auto"/>
            <w:bottom w:val="none" w:sz="0" w:space="0" w:color="auto"/>
            <w:right w:val="none" w:sz="0" w:space="0" w:color="auto"/>
          </w:divBdr>
        </w:div>
        <w:div w:id="799104229">
          <w:marLeft w:val="0"/>
          <w:marRight w:val="0"/>
          <w:marTop w:val="0"/>
          <w:marBottom w:val="0"/>
          <w:divBdr>
            <w:top w:val="none" w:sz="0" w:space="0" w:color="auto"/>
            <w:left w:val="none" w:sz="0" w:space="0" w:color="auto"/>
            <w:bottom w:val="none" w:sz="0" w:space="0" w:color="auto"/>
            <w:right w:val="none" w:sz="0" w:space="0" w:color="auto"/>
          </w:divBdr>
        </w:div>
        <w:div w:id="1343895959">
          <w:marLeft w:val="0"/>
          <w:marRight w:val="0"/>
          <w:marTop w:val="0"/>
          <w:marBottom w:val="0"/>
          <w:divBdr>
            <w:top w:val="none" w:sz="0" w:space="0" w:color="auto"/>
            <w:left w:val="none" w:sz="0" w:space="0" w:color="auto"/>
            <w:bottom w:val="none" w:sz="0" w:space="0" w:color="auto"/>
            <w:right w:val="none" w:sz="0" w:space="0" w:color="auto"/>
          </w:divBdr>
        </w:div>
        <w:div w:id="1886672125">
          <w:marLeft w:val="0"/>
          <w:marRight w:val="0"/>
          <w:marTop w:val="0"/>
          <w:marBottom w:val="0"/>
          <w:divBdr>
            <w:top w:val="none" w:sz="0" w:space="0" w:color="auto"/>
            <w:left w:val="none" w:sz="0" w:space="0" w:color="auto"/>
            <w:bottom w:val="none" w:sz="0" w:space="0" w:color="auto"/>
            <w:right w:val="none" w:sz="0" w:space="0" w:color="auto"/>
          </w:divBdr>
        </w:div>
        <w:div w:id="174658890">
          <w:marLeft w:val="0"/>
          <w:marRight w:val="0"/>
          <w:marTop w:val="0"/>
          <w:marBottom w:val="0"/>
          <w:divBdr>
            <w:top w:val="none" w:sz="0" w:space="0" w:color="auto"/>
            <w:left w:val="none" w:sz="0" w:space="0" w:color="auto"/>
            <w:bottom w:val="none" w:sz="0" w:space="0" w:color="auto"/>
            <w:right w:val="none" w:sz="0" w:space="0" w:color="auto"/>
          </w:divBdr>
        </w:div>
        <w:div w:id="1233467075">
          <w:marLeft w:val="0"/>
          <w:marRight w:val="0"/>
          <w:marTop w:val="0"/>
          <w:marBottom w:val="0"/>
          <w:divBdr>
            <w:top w:val="none" w:sz="0" w:space="0" w:color="auto"/>
            <w:left w:val="none" w:sz="0" w:space="0" w:color="auto"/>
            <w:bottom w:val="none" w:sz="0" w:space="0" w:color="auto"/>
            <w:right w:val="none" w:sz="0" w:space="0" w:color="auto"/>
          </w:divBdr>
        </w:div>
        <w:div w:id="1874804722">
          <w:marLeft w:val="0"/>
          <w:marRight w:val="0"/>
          <w:marTop w:val="0"/>
          <w:marBottom w:val="0"/>
          <w:divBdr>
            <w:top w:val="none" w:sz="0" w:space="0" w:color="auto"/>
            <w:left w:val="none" w:sz="0" w:space="0" w:color="auto"/>
            <w:bottom w:val="none" w:sz="0" w:space="0" w:color="auto"/>
            <w:right w:val="none" w:sz="0" w:space="0" w:color="auto"/>
          </w:divBdr>
        </w:div>
        <w:div w:id="1210844369">
          <w:marLeft w:val="0"/>
          <w:marRight w:val="0"/>
          <w:marTop w:val="0"/>
          <w:marBottom w:val="0"/>
          <w:divBdr>
            <w:top w:val="none" w:sz="0" w:space="0" w:color="auto"/>
            <w:left w:val="none" w:sz="0" w:space="0" w:color="auto"/>
            <w:bottom w:val="none" w:sz="0" w:space="0" w:color="auto"/>
            <w:right w:val="none" w:sz="0" w:space="0" w:color="auto"/>
          </w:divBdr>
        </w:div>
        <w:div w:id="1064907561">
          <w:marLeft w:val="0"/>
          <w:marRight w:val="0"/>
          <w:marTop w:val="0"/>
          <w:marBottom w:val="0"/>
          <w:divBdr>
            <w:top w:val="none" w:sz="0" w:space="0" w:color="auto"/>
            <w:left w:val="none" w:sz="0" w:space="0" w:color="auto"/>
            <w:bottom w:val="none" w:sz="0" w:space="0" w:color="auto"/>
            <w:right w:val="none" w:sz="0" w:space="0" w:color="auto"/>
          </w:divBdr>
        </w:div>
        <w:div w:id="1423835811">
          <w:marLeft w:val="0"/>
          <w:marRight w:val="0"/>
          <w:marTop w:val="0"/>
          <w:marBottom w:val="0"/>
          <w:divBdr>
            <w:top w:val="none" w:sz="0" w:space="0" w:color="auto"/>
            <w:left w:val="none" w:sz="0" w:space="0" w:color="auto"/>
            <w:bottom w:val="none" w:sz="0" w:space="0" w:color="auto"/>
            <w:right w:val="none" w:sz="0" w:space="0" w:color="auto"/>
          </w:divBdr>
        </w:div>
        <w:div w:id="644285182">
          <w:marLeft w:val="0"/>
          <w:marRight w:val="0"/>
          <w:marTop w:val="0"/>
          <w:marBottom w:val="0"/>
          <w:divBdr>
            <w:top w:val="none" w:sz="0" w:space="0" w:color="auto"/>
            <w:left w:val="none" w:sz="0" w:space="0" w:color="auto"/>
            <w:bottom w:val="none" w:sz="0" w:space="0" w:color="auto"/>
            <w:right w:val="none" w:sz="0" w:space="0" w:color="auto"/>
          </w:divBdr>
        </w:div>
        <w:div w:id="1361590387">
          <w:marLeft w:val="0"/>
          <w:marRight w:val="0"/>
          <w:marTop w:val="0"/>
          <w:marBottom w:val="0"/>
          <w:divBdr>
            <w:top w:val="none" w:sz="0" w:space="0" w:color="auto"/>
            <w:left w:val="none" w:sz="0" w:space="0" w:color="auto"/>
            <w:bottom w:val="none" w:sz="0" w:space="0" w:color="auto"/>
            <w:right w:val="none" w:sz="0" w:space="0" w:color="auto"/>
          </w:divBdr>
        </w:div>
        <w:div w:id="983894059">
          <w:marLeft w:val="0"/>
          <w:marRight w:val="0"/>
          <w:marTop w:val="0"/>
          <w:marBottom w:val="0"/>
          <w:divBdr>
            <w:top w:val="none" w:sz="0" w:space="0" w:color="auto"/>
            <w:left w:val="none" w:sz="0" w:space="0" w:color="auto"/>
            <w:bottom w:val="none" w:sz="0" w:space="0" w:color="auto"/>
            <w:right w:val="none" w:sz="0" w:space="0" w:color="auto"/>
          </w:divBdr>
        </w:div>
        <w:div w:id="1947346632">
          <w:marLeft w:val="0"/>
          <w:marRight w:val="0"/>
          <w:marTop w:val="0"/>
          <w:marBottom w:val="0"/>
          <w:divBdr>
            <w:top w:val="none" w:sz="0" w:space="0" w:color="auto"/>
            <w:left w:val="none" w:sz="0" w:space="0" w:color="auto"/>
            <w:bottom w:val="none" w:sz="0" w:space="0" w:color="auto"/>
            <w:right w:val="none" w:sz="0" w:space="0" w:color="auto"/>
          </w:divBdr>
        </w:div>
        <w:div w:id="1493107529">
          <w:marLeft w:val="0"/>
          <w:marRight w:val="0"/>
          <w:marTop w:val="0"/>
          <w:marBottom w:val="0"/>
          <w:divBdr>
            <w:top w:val="none" w:sz="0" w:space="0" w:color="auto"/>
            <w:left w:val="none" w:sz="0" w:space="0" w:color="auto"/>
            <w:bottom w:val="none" w:sz="0" w:space="0" w:color="auto"/>
            <w:right w:val="none" w:sz="0" w:space="0" w:color="auto"/>
          </w:divBdr>
        </w:div>
        <w:div w:id="252475823">
          <w:marLeft w:val="0"/>
          <w:marRight w:val="0"/>
          <w:marTop w:val="0"/>
          <w:marBottom w:val="0"/>
          <w:divBdr>
            <w:top w:val="none" w:sz="0" w:space="0" w:color="auto"/>
            <w:left w:val="none" w:sz="0" w:space="0" w:color="auto"/>
            <w:bottom w:val="none" w:sz="0" w:space="0" w:color="auto"/>
            <w:right w:val="none" w:sz="0" w:space="0" w:color="auto"/>
          </w:divBdr>
        </w:div>
        <w:div w:id="1222598570">
          <w:marLeft w:val="0"/>
          <w:marRight w:val="0"/>
          <w:marTop w:val="0"/>
          <w:marBottom w:val="0"/>
          <w:divBdr>
            <w:top w:val="none" w:sz="0" w:space="0" w:color="auto"/>
            <w:left w:val="none" w:sz="0" w:space="0" w:color="auto"/>
            <w:bottom w:val="none" w:sz="0" w:space="0" w:color="auto"/>
            <w:right w:val="none" w:sz="0" w:space="0" w:color="auto"/>
          </w:divBdr>
        </w:div>
        <w:div w:id="478807779">
          <w:marLeft w:val="0"/>
          <w:marRight w:val="0"/>
          <w:marTop w:val="0"/>
          <w:marBottom w:val="0"/>
          <w:divBdr>
            <w:top w:val="none" w:sz="0" w:space="0" w:color="auto"/>
            <w:left w:val="none" w:sz="0" w:space="0" w:color="auto"/>
            <w:bottom w:val="none" w:sz="0" w:space="0" w:color="auto"/>
            <w:right w:val="none" w:sz="0" w:space="0" w:color="auto"/>
          </w:divBdr>
        </w:div>
        <w:div w:id="1307585821">
          <w:marLeft w:val="0"/>
          <w:marRight w:val="0"/>
          <w:marTop w:val="0"/>
          <w:marBottom w:val="0"/>
          <w:divBdr>
            <w:top w:val="none" w:sz="0" w:space="0" w:color="auto"/>
            <w:left w:val="none" w:sz="0" w:space="0" w:color="auto"/>
            <w:bottom w:val="none" w:sz="0" w:space="0" w:color="auto"/>
            <w:right w:val="none" w:sz="0" w:space="0" w:color="auto"/>
          </w:divBdr>
        </w:div>
        <w:div w:id="1160198301">
          <w:marLeft w:val="0"/>
          <w:marRight w:val="0"/>
          <w:marTop w:val="0"/>
          <w:marBottom w:val="0"/>
          <w:divBdr>
            <w:top w:val="none" w:sz="0" w:space="0" w:color="auto"/>
            <w:left w:val="none" w:sz="0" w:space="0" w:color="auto"/>
            <w:bottom w:val="none" w:sz="0" w:space="0" w:color="auto"/>
            <w:right w:val="none" w:sz="0" w:space="0" w:color="auto"/>
          </w:divBdr>
        </w:div>
        <w:div w:id="1854953825">
          <w:marLeft w:val="0"/>
          <w:marRight w:val="0"/>
          <w:marTop w:val="0"/>
          <w:marBottom w:val="0"/>
          <w:divBdr>
            <w:top w:val="none" w:sz="0" w:space="0" w:color="auto"/>
            <w:left w:val="none" w:sz="0" w:space="0" w:color="auto"/>
            <w:bottom w:val="none" w:sz="0" w:space="0" w:color="auto"/>
            <w:right w:val="none" w:sz="0" w:space="0" w:color="auto"/>
          </w:divBdr>
        </w:div>
        <w:div w:id="263079860">
          <w:marLeft w:val="0"/>
          <w:marRight w:val="0"/>
          <w:marTop w:val="0"/>
          <w:marBottom w:val="0"/>
          <w:divBdr>
            <w:top w:val="none" w:sz="0" w:space="0" w:color="auto"/>
            <w:left w:val="none" w:sz="0" w:space="0" w:color="auto"/>
            <w:bottom w:val="none" w:sz="0" w:space="0" w:color="auto"/>
            <w:right w:val="none" w:sz="0" w:space="0" w:color="auto"/>
          </w:divBdr>
        </w:div>
        <w:div w:id="1426269765">
          <w:marLeft w:val="0"/>
          <w:marRight w:val="0"/>
          <w:marTop w:val="0"/>
          <w:marBottom w:val="0"/>
          <w:divBdr>
            <w:top w:val="none" w:sz="0" w:space="0" w:color="auto"/>
            <w:left w:val="none" w:sz="0" w:space="0" w:color="auto"/>
            <w:bottom w:val="none" w:sz="0" w:space="0" w:color="auto"/>
            <w:right w:val="none" w:sz="0" w:space="0" w:color="auto"/>
          </w:divBdr>
        </w:div>
      </w:divsChild>
    </w:div>
    <w:div w:id="787168409">
      <w:bodyDiv w:val="1"/>
      <w:marLeft w:val="0"/>
      <w:marRight w:val="0"/>
      <w:marTop w:val="0"/>
      <w:marBottom w:val="0"/>
      <w:divBdr>
        <w:top w:val="none" w:sz="0" w:space="0" w:color="auto"/>
        <w:left w:val="none" w:sz="0" w:space="0" w:color="auto"/>
        <w:bottom w:val="none" w:sz="0" w:space="0" w:color="auto"/>
        <w:right w:val="none" w:sz="0" w:space="0" w:color="auto"/>
      </w:divBdr>
      <w:divsChild>
        <w:div w:id="234514426">
          <w:marLeft w:val="0"/>
          <w:marRight w:val="0"/>
          <w:marTop w:val="0"/>
          <w:marBottom w:val="0"/>
          <w:divBdr>
            <w:top w:val="none" w:sz="0" w:space="0" w:color="auto"/>
            <w:left w:val="none" w:sz="0" w:space="0" w:color="auto"/>
            <w:bottom w:val="none" w:sz="0" w:space="0" w:color="auto"/>
            <w:right w:val="none" w:sz="0" w:space="0" w:color="auto"/>
          </w:divBdr>
        </w:div>
        <w:div w:id="235019636">
          <w:marLeft w:val="0"/>
          <w:marRight w:val="0"/>
          <w:marTop w:val="0"/>
          <w:marBottom w:val="0"/>
          <w:divBdr>
            <w:top w:val="none" w:sz="0" w:space="0" w:color="auto"/>
            <w:left w:val="none" w:sz="0" w:space="0" w:color="auto"/>
            <w:bottom w:val="none" w:sz="0" w:space="0" w:color="auto"/>
            <w:right w:val="none" w:sz="0" w:space="0" w:color="auto"/>
          </w:divBdr>
        </w:div>
        <w:div w:id="1785077173">
          <w:marLeft w:val="0"/>
          <w:marRight w:val="0"/>
          <w:marTop w:val="0"/>
          <w:marBottom w:val="0"/>
          <w:divBdr>
            <w:top w:val="none" w:sz="0" w:space="0" w:color="auto"/>
            <w:left w:val="none" w:sz="0" w:space="0" w:color="auto"/>
            <w:bottom w:val="none" w:sz="0" w:space="0" w:color="auto"/>
            <w:right w:val="none" w:sz="0" w:space="0" w:color="auto"/>
          </w:divBdr>
        </w:div>
        <w:div w:id="2088065273">
          <w:marLeft w:val="0"/>
          <w:marRight w:val="0"/>
          <w:marTop w:val="0"/>
          <w:marBottom w:val="0"/>
          <w:divBdr>
            <w:top w:val="none" w:sz="0" w:space="0" w:color="auto"/>
            <w:left w:val="none" w:sz="0" w:space="0" w:color="auto"/>
            <w:bottom w:val="none" w:sz="0" w:space="0" w:color="auto"/>
            <w:right w:val="none" w:sz="0" w:space="0" w:color="auto"/>
          </w:divBdr>
        </w:div>
      </w:divsChild>
    </w:div>
    <w:div w:id="791366110">
      <w:bodyDiv w:val="1"/>
      <w:marLeft w:val="0"/>
      <w:marRight w:val="0"/>
      <w:marTop w:val="0"/>
      <w:marBottom w:val="0"/>
      <w:divBdr>
        <w:top w:val="none" w:sz="0" w:space="0" w:color="auto"/>
        <w:left w:val="none" w:sz="0" w:space="0" w:color="auto"/>
        <w:bottom w:val="none" w:sz="0" w:space="0" w:color="auto"/>
        <w:right w:val="none" w:sz="0" w:space="0" w:color="auto"/>
      </w:divBdr>
      <w:divsChild>
        <w:div w:id="2061202932">
          <w:marLeft w:val="480"/>
          <w:marRight w:val="0"/>
          <w:marTop w:val="0"/>
          <w:marBottom w:val="0"/>
          <w:divBdr>
            <w:top w:val="none" w:sz="0" w:space="0" w:color="auto"/>
            <w:left w:val="none" w:sz="0" w:space="0" w:color="auto"/>
            <w:bottom w:val="none" w:sz="0" w:space="0" w:color="auto"/>
            <w:right w:val="none" w:sz="0" w:space="0" w:color="auto"/>
          </w:divBdr>
          <w:divsChild>
            <w:div w:id="21197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22974">
      <w:bodyDiv w:val="1"/>
      <w:marLeft w:val="0"/>
      <w:marRight w:val="0"/>
      <w:marTop w:val="0"/>
      <w:marBottom w:val="0"/>
      <w:divBdr>
        <w:top w:val="none" w:sz="0" w:space="0" w:color="auto"/>
        <w:left w:val="none" w:sz="0" w:space="0" w:color="auto"/>
        <w:bottom w:val="none" w:sz="0" w:space="0" w:color="auto"/>
        <w:right w:val="none" w:sz="0" w:space="0" w:color="auto"/>
      </w:divBdr>
      <w:divsChild>
        <w:div w:id="815537525">
          <w:marLeft w:val="0"/>
          <w:marRight w:val="0"/>
          <w:marTop w:val="0"/>
          <w:marBottom w:val="0"/>
          <w:divBdr>
            <w:top w:val="none" w:sz="0" w:space="0" w:color="auto"/>
            <w:left w:val="none" w:sz="0" w:space="0" w:color="auto"/>
            <w:bottom w:val="none" w:sz="0" w:space="0" w:color="auto"/>
            <w:right w:val="none" w:sz="0" w:space="0" w:color="auto"/>
          </w:divBdr>
        </w:div>
        <w:div w:id="879131988">
          <w:marLeft w:val="0"/>
          <w:marRight w:val="0"/>
          <w:marTop w:val="0"/>
          <w:marBottom w:val="0"/>
          <w:divBdr>
            <w:top w:val="none" w:sz="0" w:space="0" w:color="auto"/>
            <w:left w:val="none" w:sz="0" w:space="0" w:color="auto"/>
            <w:bottom w:val="none" w:sz="0" w:space="0" w:color="auto"/>
            <w:right w:val="none" w:sz="0" w:space="0" w:color="auto"/>
          </w:divBdr>
        </w:div>
        <w:div w:id="1347632527">
          <w:marLeft w:val="0"/>
          <w:marRight w:val="0"/>
          <w:marTop w:val="0"/>
          <w:marBottom w:val="0"/>
          <w:divBdr>
            <w:top w:val="none" w:sz="0" w:space="0" w:color="auto"/>
            <w:left w:val="none" w:sz="0" w:space="0" w:color="auto"/>
            <w:bottom w:val="none" w:sz="0" w:space="0" w:color="auto"/>
            <w:right w:val="none" w:sz="0" w:space="0" w:color="auto"/>
          </w:divBdr>
        </w:div>
      </w:divsChild>
    </w:div>
    <w:div w:id="803042992">
      <w:bodyDiv w:val="1"/>
      <w:marLeft w:val="0"/>
      <w:marRight w:val="0"/>
      <w:marTop w:val="0"/>
      <w:marBottom w:val="0"/>
      <w:divBdr>
        <w:top w:val="none" w:sz="0" w:space="0" w:color="auto"/>
        <w:left w:val="none" w:sz="0" w:space="0" w:color="auto"/>
        <w:bottom w:val="none" w:sz="0" w:space="0" w:color="auto"/>
        <w:right w:val="none" w:sz="0" w:space="0" w:color="auto"/>
      </w:divBdr>
      <w:divsChild>
        <w:div w:id="1030647798">
          <w:marLeft w:val="0"/>
          <w:marRight w:val="0"/>
          <w:marTop w:val="0"/>
          <w:marBottom w:val="0"/>
          <w:divBdr>
            <w:top w:val="none" w:sz="0" w:space="0" w:color="auto"/>
            <w:left w:val="none" w:sz="0" w:space="0" w:color="auto"/>
            <w:bottom w:val="none" w:sz="0" w:space="0" w:color="auto"/>
            <w:right w:val="none" w:sz="0" w:space="0" w:color="auto"/>
          </w:divBdr>
        </w:div>
        <w:div w:id="1584800089">
          <w:marLeft w:val="0"/>
          <w:marRight w:val="0"/>
          <w:marTop w:val="0"/>
          <w:marBottom w:val="0"/>
          <w:divBdr>
            <w:top w:val="none" w:sz="0" w:space="0" w:color="auto"/>
            <w:left w:val="none" w:sz="0" w:space="0" w:color="auto"/>
            <w:bottom w:val="none" w:sz="0" w:space="0" w:color="auto"/>
            <w:right w:val="none" w:sz="0" w:space="0" w:color="auto"/>
          </w:divBdr>
        </w:div>
        <w:div w:id="1473526195">
          <w:marLeft w:val="0"/>
          <w:marRight w:val="0"/>
          <w:marTop w:val="0"/>
          <w:marBottom w:val="0"/>
          <w:divBdr>
            <w:top w:val="none" w:sz="0" w:space="0" w:color="auto"/>
            <w:left w:val="none" w:sz="0" w:space="0" w:color="auto"/>
            <w:bottom w:val="none" w:sz="0" w:space="0" w:color="auto"/>
            <w:right w:val="none" w:sz="0" w:space="0" w:color="auto"/>
          </w:divBdr>
        </w:div>
        <w:div w:id="631592165">
          <w:marLeft w:val="0"/>
          <w:marRight w:val="0"/>
          <w:marTop w:val="0"/>
          <w:marBottom w:val="0"/>
          <w:divBdr>
            <w:top w:val="none" w:sz="0" w:space="0" w:color="auto"/>
            <w:left w:val="none" w:sz="0" w:space="0" w:color="auto"/>
            <w:bottom w:val="none" w:sz="0" w:space="0" w:color="auto"/>
            <w:right w:val="none" w:sz="0" w:space="0" w:color="auto"/>
          </w:divBdr>
        </w:div>
        <w:div w:id="1940017337">
          <w:marLeft w:val="0"/>
          <w:marRight w:val="0"/>
          <w:marTop w:val="0"/>
          <w:marBottom w:val="0"/>
          <w:divBdr>
            <w:top w:val="none" w:sz="0" w:space="0" w:color="auto"/>
            <w:left w:val="none" w:sz="0" w:space="0" w:color="auto"/>
            <w:bottom w:val="none" w:sz="0" w:space="0" w:color="auto"/>
            <w:right w:val="none" w:sz="0" w:space="0" w:color="auto"/>
          </w:divBdr>
        </w:div>
        <w:div w:id="2024555099">
          <w:marLeft w:val="0"/>
          <w:marRight w:val="0"/>
          <w:marTop w:val="0"/>
          <w:marBottom w:val="0"/>
          <w:divBdr>
            <w:top w:val="none" w:sz="0" w:space="0" w:color="auto"/>
            <w:left w:val="none" w:sz="0" w:space="0" w:color="auto"/>
            <w:bottom w:val="none" w:sz="0" w:space="0" w:color="auto"/>
            <w:right w:val="none" w:sz="0" w:space="0" w:color="auto"/>
          </w:divBdr>
        </w:div>
      </w:divsChild>
    </w:div>
    <w:div w:id="804739867">
      <w:bodyDiv w:val="1"/>
      <w:marLeft w:val="0"/>
      <w:marRight w:val="0"/>
      <w:marTop w:val="0"/>
      <w:marBottom w:val="0"/>
      <w:divBdr>
        <w:top w:val="none" w:sz="0" w:space="0" w:color="auto"/>
        <w:left w:val="none" w:sz="0" w:space="0" w:color="auto"/>
        <w:bottom w:val="none" w:sz="0" w:space="0" w:color="auto"/>
        <w:right w:val="none" w:sz="0" w:space="0" w:color="auto"/>
      </w:divBdr>
      <w:divsChild>
        <w:div w:id="822281482">
          <w:marLeft w:val="0"/>
          <w:marRight w:val="0"/>
          <w:marTop w:val="0"/>
          <w:marBottom w:val="0"/>
          <w:divBdr>
            <w:top w:val="none" w:sz="0" w:space="0" w:color="auto"/>
            <w:left w:val="none" w:sz="0" w:space="0" w:color="auto"/>
            <w:bottom w:val="none" w:sz="0" w:space="0" w:color="auto"/>
            <w:right w:val="none" w:sz="0" w:space="0" w:color="auto"/>
          </w:divBdr>
        </w:div>
        <w:div w:id="1426268979">
          <w:marLeft w:val="0"/>
          <w:marRight w:val="0"/>
          <w:marTop w:val="0"/>
          <w:marBottom w:val="0"/>
          <w:divBdr>
            <w:top w:val="none" w:sz="0" w:space="0" w:color="auto"/>
            <w:left w:val="none" w:sz="0" w:space="0" w:color="auto"/>
            <w:bottom w:val="none" w:sz="0" w:space="0" w:color="auto"/>
            <w:right w:val="none" w:sz="0" w:space="0" w:color="auto"/>
          </w:divBdr>
        </w:div>
        <w:div w:id="1553419279">
          <w:marLeft w:val="0"/>
          <w:marRight w:val="0"/>
          <w:marTop w:val="0"/>
          <w:marBottom w:val="0"/>
          <w:divBdr>
            <w:top w:val="none" w:sz="0" w:space="0" w:color="auto"/>
            <w:left w:val="none" w:sz="0" w:space="0" w:color="auto"/>
            <w:bottom w:val="none" w:sz="0" w:space="0" w:color="auto"/>
            <w:right w:val="none" w:sz="0" w:space="0" w:color="auto"/>
          </w:divBdr>
        </w:div>
        <w:div w:id="2089841928">
          <w:marLeft w:val="0"/>
          <w:marRight w:val="0"/>
          <w:marTop w:val="0"/>
          <w:marBottom w:val="0"/>
          <w:divBdr>
            <w:top w:val="none" w:sz="0" w:space="0" w:color="auto"/>
            <w:left w:val="none" w:sz="0" w:space="0" w:color="auto"/>
            <w:bottom w:val="none" w:sz="0" w:space="0" w:color="auto"/>
            <w:right w:val="none" w:sz="0" w:space="0" w:color="auto"/>
          </w:divBdr>
        </w:div>
        <w:div w:id="1420254924">
          <w:marLeft w:val="0"/>
          <w:marRight w:val="0"/>
          <w:marTop w:val="0"/>
          <w:marBottom w:val="0"/>
          <w:divBdr>
            <w:top w:val="none" w:sz="0" w:space="0" w:color="auto"/>
            <w:left w:val="none" w:sz="0" w:space="0" w:color="auto"/>
            <w:bottom w:val="none" w:sz="0" w:space="0" w:color="auto"/>
            <w:right w:val="none" w:sz="0" w:space="0" w:color="auto"/>
          </w:divBdr>
        </w:div>
        <w:div w:id="1423453987">
          <w:marLeft w:val="0"/>
          <w:marRight w:val="0"/>
          <w:marTop w:val="0"/>
          <w:marBottom w:val="0"/>
          <w:divBdr>
            <w:top w:val="none" w:sz="0" w:space="0" w:color="auto"/>
            <w:left w:val="none" w:sz="0" w:space="0" w:color="auto"/>
            <w:bottom w:val="none" w:sz="0" w:space="0" w:color="auto"/>
            <w:right w:val="none" w:sz="0" w:space="0" w:color="auto"/>
          </w:divBdr>
        </w:div>
        <w:div w:id="1890071878">
          <w:marLeft w:val="0"/>
          <w:marRight w:val="0"/>
          <w:marTop w:val="0"/>
          <w:marBottom w:val="0"/>
          <w:divBdr>
            <w:top w:val="none" w:sz="0" w:space="0" w:color="auto"/>
            <w:left w:val="none" w:sz="0" w:space="0" w:color="auto"/>
            <w:bottom w:val="none" w:sz="0" w:space="0" w:color="auto"/>
            <w:right w:val="none" w:sz="0" w:space="0" w:color="auto"/>
          </w:divBdr>
        </w:div>
        <w:div w:id="1593510480">
          <w:marLeft w:val="0"/>
          <w:marRight w:val="0"/>
          <w:marTop w:val="0"/>
          <w:marBottom w:val="0"/>
          <w:divBdr>
            <w:top w:val="none" w:sz="0" w:space="0" w:color="auto"/>
            <w:left w:val="none" w:sz="0" w:space="0" w:color="auto"/>
            <w:bottom w:val="none" w:sz="0" w:space="0" w:color="auto"/>
            <w:right w:val="none" w:sz="0" w:space="0" w:color="auto"/>
          </w:divBdr>
        </w:div>
        <w:div w:id="607085584">
          <w:marLeft w:val="0"/>
          <w:marRight w:val="0"/>
          <w:marTop w:val="0"/>
          <w:marBottom w:val="0"/>
          <w:divBdr>
            <w:top w:val="none" w:sz="0" w:space="0" w:color="auto"/>
            <w:left w:val="none" w:sz="0" w:space="0" w:color="auto"/>
            <w:bottom w:val="none" w:sz="0" w:space="0" w:color="auto"/>
            <w:right w:val="none" w:sz="0" w:space="0" w:color="auto"/>
          </w:divBdr>
        </w:div>
        <w:div w:id="1561286309">
          <w:marLeft w:val="0"/>
          <w:marRight w:val="0"/>
          <w:marTop w:val="0"/>
          <w:marBottom w:val="0"/>
          <w:divBdr>
            <w:top w:val="none" w:sz="0" w:space="0" w:color="auto"/>
            <w:left w:val="none" w:sz="0" w:space="0" w:color="auto"/>
            <w:bottom w:val="none" w:sz="0" w:space="0" w:color="auto"/>
            <w:right w:val="none" w:sz="0" w:space="0" w:color="auto"/>
          </w:divBdr>
        </w:div>
        <w:div w:id="752092924">
          <w:marLeft w:val="0"/>
          <w:marRight w:val="0"/>
          <w:marTop w:val="0"/>
          <w:marBottom w:val="0"/>
          <w:divBdr>
            <w:top w:val="none" w:sz="0" w:space="0" w:color="auto"/>
            <w:left w:val="none" w:sz="0" w:space="0" w:color="auto"/>
            <w:bottom w:val="none" w:sz="0" w:space="0" w:color="auto"/>
            <w:right w:val="none" w:sz="0" w:space="0" w:color="auto"/>
          </w:divBdr>
        </w:div>
        <w:div w:id="1843277021">
          <w:marLeft w:val="0"/>
          <w:marRight w:val="0"/>
          <w:marTop w:val="0"/>
          <w:marBottom w:val="0"/>
          <w:divBdr>
            <w:top w:val="none" w:sz="0" w:space="0" w:color="auto"/>
            <w:left w:val="none" w:sz="0" w:space="0" w:color="auto"/>
            <w:bottom w:val="none" w:sz="0" w:space="0" w:color="auto"/>
            <w:right w:val="none" w:sz="0" w:space="0" w:color="auto"/>
          </w:divBdr>
        </w:div>
        <w:div w:id="683169551">
          <w:marLeft w:val="0"/>
          <w:marRight w:val="0"/>
          <w:marTop w:val="0"/>
          <w:marBottom w:val="0"/>
          <w:divBdr>
            <w:top w:val="none" w:sz="0" w:space="0" w:color="auto"/>
            <w:left w:val="none" w:sz="0" w:space="0" w:color="auto"/>
            <w:bottom w:val="none" w:sz="0" w:space="0" w:color="auto"/>
            <w:right w:val="none" w:sz="0" w:space="0" w:color="auto"/>
          </w:divBdr>
        </w:div>
        <w:div w:id="200679121">
          <w:marLeft w:val="0"/>
          <w:marRight w:val="0"/>
          <w:marTop w:val="0"/>
          <w:marBottom w:val="0"/>
          <w:divBdr>
            <w:top w:val="none" w:sz="0" w:space="0" w:color="auto"/>
            <w:left w:val="none" w:sz="0" w:space="0" w:color="auto"/>
            <w:bottom w:val="none" w:sz="0" w:space="0" w:color="auto"/>
            <w:right w:val="none" w:sz="0" w:space="0" w:color="auto"/>
          </w:divBdr>
        </w:div>
        <w:div w:id="1145776496">
          <w:marLeft w:val="0"/>
          <w:marRight w:val="0"/>
          <w:marTop w:val="0"/>
          <w:marBottom w:val="0"/>
          <w:divBdr>
            <w:top w:val="none" w:sz="0" w:space="0" w:color="auto"/>
            <w:left w:val="none" w:sz="0" w:space="0" w:color="auto"/>
            <w:bottom w:val="none" w:sz="0" w:space="0" w:color="auto"/>
            <w:right w:val="none" w:sz="0" w:space="0" w:color="auto"/>
          </w:divBdr>
        </w:div>
        <w:div w:id="1425103334">
          <w:marLeft w:val="0"/>
          <w:marRight w:val="0"/>
          <w:marTop w:val="0"/>
          <w:marBottom w:val="0"/>
          <w:divBdr>
            <w:top w:val="none" w:sz="0" w:space="0" w:color="auto"/>
            <w:left w:val="none" w:sz="0" w:space="0" w:color="auto"/>
            <w:bottom w:val="none" w:sz="0" w:space="0" w:color="auto"/>
            <w:right w:val="none" w:sz="0" w:space="0" w:color="auto"/>
          </w:divBdr>
        </w:div>
        <w:div w:id="1760978257">
          <w:marLeft w:val="0"/>
          <w:marRight w:val="0"/>
          <w:marTop w:val="0"/>
          <w:marBottom w:val="0"/>
          <w:divBdr>
            <w:top w:val="none" w:sz="0" w:space="0" w:color="auto"/>
            <w:left w:val="none" w:sz="0" w:space="0" w:color="auto"/>
            <w:bottom w:val="none" w:sz="0" w:space="0" w:color="auto"/>
            <w:right w:val="none" w:sz="0" w:space="0" w:color="auto"/>
          </w:divBdr>
        </w:div>
        <w:div w:id="65416240">
          <w:marLeft w:val="0"/>
          <w:marRight w:val="0"/>
          <w:marTop w:val="0"/>
          <w:marBottom w:val="0"/>
          <w:divBdr>
            <w:top w:val="none" w:sz="0" w:space="0" w:color="auto"/>
            <w:left w:val="none" w:sz="0" w:space="0" w:color="auto"/>
            <w:bottom w:val="none" w:sz="0" w:space="0" w:color="auto"/>
            <w:right w:val="none" w:sz="0" w:space="0" w:color="auto"/>
          </w:divBdr>
        </w:div>
        <w:div w:id="1372610837">
          <w:marLeft w:val="0"/>
          <w:marRight w:val="0"/>
          <w:marTop w:val="0"/>
          <w:marBottom w:val="0"/>
          <w:divBdr>
            <w:top w:val="none" w:sz="0" w:space="0" w:color="auto"/>
            <w:left w:val="none" w:sz="0" w:space="0" w:color="auto"/>
            <w:bottom w:val="none" w:sz="0" w:space="0" w:color="auto"/>
            <w:right w:val="none" w:sz="0" w:space="0" w:color="auto"/>
          </w:divBdr>
        </w:div>
        <w:div w:id="357702765">
          <w:marLeft w:val="0"/>
          <w:marRight w:val="0"/>
          <w:marTop w:val="0"/>
          <w:marBottom w:val="0"/>
          <w:divBdr>
            <w:top w:val="none" w:sz="0" w:space="0" w:color="auto"/>
            <w:left w:val="none" w:sz="0" w:space="0" w:color="auto"/>
            <w:bottom w:val="none" w:sz="0" w:space="0" w:color="auto"/>
            <w:right w:val="none" w:sz="0" w:space="0" w:color="auto"/>
          </w:divBdr>
        </w:div>
        <w:div w:id="238028365">
          <w:marLeft w:val="0"/>
          <w:marRight w:val="0"/>
          <w:marTop w:val="0"/>
          <w:marBottom w:val="0"/>
          <w:divBdr>
            <w:top w:val="none" w:sz="0" w:space="0" w:color="auto"/>
            <w:left w:val="none" w:sz="0" w:space="0" w:color="auto"/>
            <w:bottom w:val="none" w:sz="0" w:space="0" w:color="auto"/>
            <w:right w:val="none" w:sz="0" w:space="0" w:color="auto"/>
          </w:divBdr>
        </w:div>
        <w:div w:id="837043424">
          <w:marLeft w:val="0"/>
          <w:marRight w:val="0"/>
          <w:marTop w:val="0"/>
          <w:marBottom w:val="0"/>
          <w:divBdr>
            <w:top w:val="none" w:sz="0" w:space="0" w:color="auto"/>
            <w:left w:val="none" w:sz="0" w:space="0" w:color="auto"/>
            <w:bottom w:val="none" w:sz="0" w:space="0" w:color="auto"/>
            <w:right w:val="none" w:sz="0" w:space="0" w:color="auto"/>
          </w:divBdr>
        </w:div>
        <w:div w:id="1943148483">
          <w:marLeft w:val="0"/>
          <w:marRight w:val="0"/>
          <w:marTop w:val="0"/>
          <w:marBottom w:val="0"/>
          <w:divBdr>
            <w:top w:val="none" w:sz="0" w:space="0" w:color="auto"/>
            <w:left w:val="none" w:sz="0" w:space="0" w:color="auto"/>
            <w:bottom w:val="none" w:sz="0" w:space="0" w:color="auto"/>
            <w:right w:val="none" w:sz="0" w:space="0" w:color="auto"/>
          </w:divBdr>
        </w:div>
        <w:div w:id="325060723">
          <w:marLeft w:val="0"/>
          <w:marRight w:val="0"/>
          <w:marTop w:val="0"/>
          <w:marBottom w:val="0"/>
          <w:divBdr>
            <w:top w:val="none" w:sz="0" w:space="0" w:color="auto"/>
            <w:left w:val="none" w:sz="0" w:space="0" w:color="auto"/>
            <w:bottom w:val="none" w:sz="0" w:space="0" w:color="auto"/>
            <w:right w:val="none" w:sz="0" w:space="0" w:color="auto"/>
          </w:divBdr>
        </w:div>
        <w:div w:id="684476774">
          <w:marLeft w:val="0"/>
          <w:marRight w:val="0"/>
          <w:marTop w:val="0"/>
          <w:marBottom w:val="0"/>
          <w:divBdr>
            <w:top w:val="none" w:sz="0" w:space="0" w:color="auto"/>
            <w:left w:val="none" w:sz="0" w:space="0" w:color="auto"/>
            <w:bottom w:val="none" w:sz="0" w:space="0" w:color="auto"/>
            <w:right w:val="none" w:sz="0" w:space="0" w:color="auto"/>
          </w:divBdr>
        </w:div>
        <w:div w:id="2127499669">
          <w:marLeft w:val="0"/>
          <w:marRight w:val="0"/>
          <w:marTop w:val="0"/>
          <w:marBottom w:val="0"/>
          <w:divBdr>
            <w:top w:val="none" w:sz="0" w:space="0" w:color="auto"/>
            <w:left w:val="none" w:sz="0" w:space="0" w:color="auto"/>
            <w:bottom w:val="none" w:sz="0" w:space="0" w:color="auto"/>
            <w:right w:val="none" w:sz="0" w:space="0" w:color="auto"/>
          </w:divBdr>
        </w:div>
        <w:div w:id="494225402">
          <w:marLeft w:val="0"/>
          <w:marRight w:val="0"/>
          <w:marTop w:val="0"/>
          <w:marBottom w:val="0"/>
          <w:divBdr>
            <w:top w:val="none" w:sz="0" w:space="0" w:color="auto"/>
            <w:left w:val="none" w:sz="0" w:space="0" w:color="auto"/>
            <w:bottom w:val="none" w:sz="0" w:space="0" w:color="auto"/>
            <w:right w:val="none" w:sz="0" w:space="0" w:color="auto"/>
          </w:divBdr>
        </w:div>
        <w:div w:id="1866094023">
          <w:marLeft w:val="0"/>
          <w:marRight w:val="0"/>
          <w:marTop w:val="0"/>
          <w:marBottom w:val="0"/>
          <w:divBdr>
            <w:top w:val="none" w:sz="0" w:space="0" w:color="auto"/>
            <w:left w:val="none" w:sz="0" w:space="0" w:color="auto"/>
            <w:bottom w:val="none" w:sz="0" w:space="0" w:color="auto"/>
            <w:right w:val="none" w:sz="0" w:space="0" w:color="auto"/>
          </w:divBdr>
        </w:div>
        <w:div w:id="1283346493">
          <w:marLeft w:val="0"/>
          <w:marRight w:val="0"/>
          <w:marTop w:val="0"/>
          <w:marBottom w:val="0"/>
          <w:divBdr>
            <w:top w:val="none" w:sz="0" w:space="0" w:color="auto"/>
            <w:left w:val="none" w:sz="0" w:space="0" w:color="auto"/>
            <w:bottom w:val="none" w:sz="0" w:space="0" w:color="auto"/>
            <w:right w:val="none" w:sz="0" w:space="0" w:color="auto"/>
          </w:divBdr>
        </w:div>
        <w:div w:id="1484346796">
          <w:marLeft w:val="0"/>
          <w:marRight w:val="0"/>
          <w:marTop w:val="0"/>
          <w:marBottom w:val="0"/>
          <w:divBdr>
            <w:top w:val="none" w:sz="0" w:space="0" w:color="auto"/>
            <w:left w:val="none" w:sz="0" w:space="0" w:color="auto"/>
            <w:bottom w:val="none" w:sz="0" w:space="0" w:color="auto"/>
            <w:right w:val="none" w:sz="0" w:space="0" w:color="auto"/>
          </w:divBdr>
        </w:div>
        <w:div w:id="1475563606">
          <w:marLeft w:val="0"/>
          <w:marRight w:val="0"/>
          <w:marTop w:val="0"/>
          <w:marBottom w:val="0"/>
          <w:divBdr>
            <w:top w:val="none" w:sz="0" w:space="0" w:color="auto"/>
            <w:left w:val="none" w:sz="0" w:space="0" w:color="auto"/>
            <w:bottom w:val="none" w:sz="0" w:space="0" w:color="auto"/>
            <w:right w:val="none" w:sz="0" w:space="0" w:color="auto"/>
          </w:divBdr>
        </w:div>
        <w:div w:id="269817700">
          <w:marLeft w:val="0"/>
          <w:marRight w:val="0"/>
          <w:marTop w:val="0"/>
          <w:marBottom w:val="0"/>
          <w:divBdr>
            <w:top w:val="none" w:sz="0" w:space="0" w:color="auto"/>
            <w:left w:val="none" w:sz="0" w:space="0" w:color="auto"/>
            <w:bottom w:val="none" w:sz="0" w:space="0" w:color="auto"/>
            <w:right w:val="none" w:sz="0" w:space="0" w:color="auto"/>
          </w:divBdr>
        </w:div>
        <w:div w:id="1954358764">
          <w:marLeft w:val="0"/>
          <w:marRight w:val="0"/>
          <w:marTop w:val="0"/>
          <w:marBottom w:val="0"/>
          <w:divBdr>
            <w:top w:val="none" w:sz="0" w:space="0" w:color="auto"/>
            <w:left w:val="none" w:sz="0" w:space="0" w:color="auto"/>
            <w:bottom w:val="none" w:sz="0" w:space="0" w:color="auto"/>
            <w:right w:val="none" w:sz="0" w:space="0" w:color="auto"/>
          </w:divBdr>
        </w:div>
        <w:div w:id="1530221493">
          <w:marLeft w:val="0"/>
          <w:marRight w:val="0"/>
          <w:marTop w:val="0"/>
          <w:marBottom w:val="0"/>
          <w:divBdr>
            <w:top w:val="none" w:sz="0" w:space="0" w:color="auto"/>
            <w:left w:val="none" w:sz="0" w:space="0" w:color="auto"/>
            <w:bottom w:val="none" w:sz="0" w:space="0" w:color="auto"/>
            <w:right w:val="none" w:sz="0" w:space="0" w:color="auto"/>
          </w:divBdr>
        </w:div>
        <w:div w:id="1634287294">
          <w:marLeft w:val="0"/>
          <w:marRight w:val="0"/>
          <w:marTop w:val="0"/>
          <w:marBottom w:val="0"/>
          <w:divBdr>
            <w:top w:val="none" w:sz="0" w:space="0" w:color="auto"/>
            <w:left w:val="none" w:sz="0" w:space="0" w:color="auto"/>
            <w:bottom w:val="none" w:sz="0" w:space="0" w:color="auto"/>
            <w:right w:val="none" w:sz="0" w:space="0" w:color="auto"/>
          </w:divBdr>
        </w:div>
        <w:div w:id="613900820">
          <w:marLeft w:val="0"/>
          <w:marRight w:val="0"/>
          <w:marTop w:val="0"/>
          <w:marBottom w:val="0"/>
          <w:divBdr>
            <w:top w:val="none" w:sz="0" w:space="0" w:color="auto"/>
            <w:left w:val="none" w:sz="0" w:space="0" w:color="auto"/>
            <w:bottom w:val="none" w:sz="0" w:space="0" w:color="auto"/>
            <w:right w:val="none" w:sz="0" w:space="0" w:color="auto"/>
          </w:divBdr>
        </w:div>
        <w:div w:id="1145318759">
          <w:marLeft w:val="0"/>
          <w:marRight w:val="0"/>
          <w:marTop w:val="0"/>
          <w:marBottom w:val="0"/>
          <w:divBdr>
            <w:top w:val="none" w:sz="0" w:space="0" w:color="auto"/>
            <w:left w:val="none" w:sz="0" w:space="0" w:color="auto"/>
            <w:bottom w:val="none" w:sz="0" w:space="0" w:color="auto"/>
            <w:right w:val="none" w:sz="0" w:space="0" w:color="auto"/>
          </w:divBdr>
        </w:div>
        <w:div w:id="1713991657">
          <w:marLeft w:val="0"/>
          <w:marRight w:val="0"/>
          <w:marTop w:val="0"/>
          <w:marBottom w:val="0"/>
          <w:divBdr>
            <w:top w:val="none" w:sz="0" w:space="0" w:color="auto"/>
            <w:left w:val="none" w:sz="0" w:space="0" w:color="auto"/>
            <w:bottom w:val="none" w:sz="0" w:space="0" w:color="auto"/>
            <w:right w:val="none" w:sz="0" w:space="0" w:color="auto"/>
          </w:divBdr>
        </w:div>
        <w:div w:id="1728650058">
          <w:marLeft w:val="0"/>
          <w:marRight w:val="0"/>
          <w:marTop w:val="0"/>
          <w:marBottom w:val="0"/>
          <w:divBdr>
            <w:top w:val="none" w:sz="0" w:space="0" w:color="auto"/>
            <w:left w:val="none" w:sz="0" w:space="0" w:color="auto"/>
            <w:bottom w:val="none" w:sz="0" w:space="0" w:color="auto"/>
            <w:right w:val="none" w:sz="0" w:space="0" w:color="auto"/>
          </w:divBdr>
        </w:div>
        <w:div w:id="39019690">
          <w:marLeft w:val="0"/>
          <w:marRight w:val="0"/>
          <w:marTop w:val="0"/>
          <w:marBottom w:val="0"/>
          <w:divBdr>
            <w:top w:val="none" w:sz="0" w:space="0" w:color="auto"/>
            <w:left w:val="none" w:sz="0" w:space="0" w:color="auto"/>
            <w:bottom w:val="none" w:sz="0" w:space="0" w:color="auto"/>
            <w:right w:val="none" w:sz="0" w:space="0" w:color="auto"/>
          </w:divBdr>
        </w:div>
        <w:div w:id="1834300362">
          <w:marLeft w:val="0"/>
          <w:marRight w:val="0"/>
          <w:marTop w:val="0"/>
          <w:marBottom w:val="0"/>
          <w:divBdr>
            <w:top w:val="none" w:sz="0" w:space="0" w:color="auto"/>
            <w:left w:val="none" w:sz="0" w:space="0" w:color="auto"/>
            <w:bottom w:val="none" w:sz="0" w:space="0" w:color="auto"/>
            <w:right w:val="none" w:sz="0" w:space="0" w:color="auto"/>
          </w:divBdr>
        </w:div>
        <w:div w:id="1810629607">
          <w:marLeft w:val="0"/>
          <w:marRight w:val="0"/>
          <w:marTop w:val="0"/>
          <w:marBottom w:val="0"/>
          <w:divBdr>
            <w:top w:val="none" w:sz="0" w:space="0" w:color="auto"/>
            <w:left w:val="none" w:sz="0" w:space="0" w:color="auto"/>
            <w:bottom w:val="none" w:sz="0" w:space="0" w:color="auto"/>
            <w:right w:val="none" w:sz="0" w:space="0" w:color="auto"/>
          </w:divBdr>
        </w:div>
        <w:div w:id="993754987">
          <w:marLeft w:val="0"/>
          <w:marRight w:val="0"/>
          <w:marTop w:val="0"/>
          <w:marBottom w:val="0"/>
          <w:divBdr>
            <w:top w:val="none" w:sz="0" w:space="0" w:color="auto"/>
            <w:left w:val="none" w:sz="0" w:space="0" w:color="auto"/>
            <w:bottom w:val="none" w:sz="0" w:space="0" w:color="auto"/>
            <w:right w:val="none" w:sz="0" w:space="0" w:color="auto"/>
          </w:divBdr>
        </w:div>
        <w:div w:id="1238249724">
          <w:marLeft w:val="0"/>
          <w:marRight w:val="0"/>
          <w:marTop w:val="0"/>
          <w:marBottom w:val="0"/>
          <w:divBdr>
            <w:top w:val="none" w:sz="0" w:space="0" w:color="auto"/>
            <w:left w:val="none" w:sz="0" w:space="0" w:color="auto"/>
            <w:bottom w:val="none" w:sz="0" w:space="0" w:color="auto"/>
            <w:right w:val="none" w:sz="0" w:space="0" w:color="auto"/>
          </w:divBdr>
        </w:div>
        <w:div w:id="1205825231">
          <w:marLeft w:val="0"/>
          <w:marRight w:val="0"/>
          <w:marTop w:val="0"/>
          <w:marBottom w:val="0"/>
          <w:divBdr>
            <w:top w:val="none" w:sz="0" w:space="0" w:color="auto"/>
            <w:left w:val="none" w:sz="0" w:space="0" w:color="auto"/>
            <w:bottom w:val="none" w:sz="0" w:space="0" w:color="auto"/>
            <w:right w:val="none" w:sz="0" w:space="0" w:color="auto"/>
          </w:divBdr>
        </w:div>
        <w:div w:id="896747510">
          <w:marLeft w:val="0"/>
          <w:marRight w:val="0"/>
          <w:marTop w:val="0"/>
          <w:marBottom w:val="0"/>
          <w:divBdr>
            <w:top w:val="none" w:sz="0" w:space="0" w:color="auto"/>
            <w:left w:val="none" w:sz="0" w:space="0" w:color="auto"/>
            <w:bottom w:val="none" w:sz="0" w:space="0" w:color="auto"/>
            <w:right w:val="none" w:sz="0" w:space="0" w:color="auto"/>
          </w:divBdr>
        </w:div>
        <w:div w:id="1162158692">
          <w:marLeft w:val="0"/>
          <w:marRight w:val="0"/>
          <w:marTop w:val="0"/>
          <w:marBottom w:val="0"/>
          <w:divBdr>
            <w:top w:val="none" w:sz="0" w:space="0" w:color="auto"/>
            <w:left w:val="none" w:sz="0" w:space="0" w:color="auto"/>
            <w:bottom w:val="none" w:sz="0" w:space="0" w:color="auto"/>
            <w:right w:val="none" w:sz="0" w:space="0" w:color="auto"/>
          </w:divBdr>
        </w:div>
        <w:div w:id="1714889307">
          <w:marLeft w:val="0"/>
          <w:marRight w:val="0"/>
          <w:marTop w:val="0"/>
          <w:marBottom w:val="0"/>
          <w:divBdr>
            <w:top w:val="none" w:sz="0" w:space="0" w:color="auto"/>
            <w:left w:val="none" w:sz="0" w:space="0" w:color="auto"/>
            <w:bottom w:val="none" w:sz="0" w:space="0" w:color="auto"/>
            <w:right w:val="none" w:sz="0" w:space="0" w:color="auto"/>
          </w:divBdr>
        </w:div>
        <w:div w:id="541794488">
          <w:marLeft w:val="0"/>
          <w:marRight w:val="0"/>
          <w:marTop w:val="0"/>
          <w:marBottom w:val="0"/>
          <w:divBdr>
            <w:top w:val="none" w:sz="0" w:space="0" w:color="auto"/>
            <w:left w:val="none" w:sz="0" w:space="0" w:color="auto"/>
            <w:bottom w:val="none" w:sz="0" w:space="0" w:color="auto"/>
            <w:right w:val="none" w:sz="0" w:space="0" w:color="auto"/>
          </w:divBdr>
        </w:div>
        <w:div w:id="1280455684">
          <w:marLeft w:val="0"/>
          <w:marRight w:val="0"/>
          <w:marTop w:val="0"/>
          <w:marBottom w:val="0"/>
          <w:divBdr>
            <w:top w:val="none" w:sz="0" w:space="0" w:color="auto"/>
            <w:left w:val="none" w:sz="0" w:space="0" w:color="auto"/>
            <w:bottom w:val="none" w:sz="0" w:space="0" w:color="auto"/>
            <w:right w:val="none" w:sz="0" w:space="0" w:color="auto"/>
          </w:divBdr>
        </w:div>
        <w:div w:id="257642049">
          <w:marLeft w:val="0"/>
          <w:marRight w:val="0"/>
          <w:marTop w:val="0"/>
          <w:marBottom w:val="0"/>
          <w:divBdr>
            <w:top w:val="none" w:sz="0" w:space="0" w:color="auto"/>
            <w:left w:val="none" w:sz="0" w:space="0" w:color="auto"/>
            <w:bottom w:val="none" w:sz="0" w:space="0" w:color="auto"/>
            <w:right w:val="none" w:sz="0" w:space="0" w:color="auto"/>
          </w:divBdr>
        </w:div>
        <w:div w:id="916481817">
          <w:marLeft w:val="0"/>
          <w:marRight w:val="0"/>
          <w:marTop w:val="0"/>
          <w:marBottom w:val="0"/>
          <w:divBdr>
            <w:top w:val="none" w:sz="0" w:space="0" w:color="auto"/>
            <w:left w:val="none" w:sz="0" w:space="0" w:color="auto"/>
            <w:bottom w:val="none" w:sz="0" w:space="0" w:color="auto"/>
            <w:right w:val="none" w:sz="0" w:space="0" w:color="auto"/>
          </w:divBdr>
        </w:div>
        <w:div w:id="1207063166">
          <w:marLeft w:val="0"/>
          <w:marRight w:val="0"/>
          <w:marTop w:val="0"/>
          <w:marBottom w:val="0"/>
          <w:divBdr>
            <w:top w:val="none" w:sz="0" w:space="0" w:color="auto"/>
            <w:left w:val="none" w:sz="0" w:space="0" w:color="auto"/>
            <w:bottom w:val="none" w:sz="0" w:space="0" w:color="auto"/>
            <w:right w:val="none" w:sz="0" w:space="0" w:color="auto"/>
          </w:divBdr>
        </w:div>
        <w:div w:id="1315528661">
          <w:marLeft w:val="0"/>
          <w:marRight w:val="0"/>
          <w:marTop w:val="0"/>
          <w:marBottom w:val="0"/>
          <w:divBdr>
            <w:top w:val="none" w:sz="0" w:space="0" w:color="auto"/>
            <w:left w:val="none" w:sz="0" w:space="0" w:color="auto"/>
            <w:bottom w:val="none" w:sz="0" w:space="0" w:color="auto"/>
            <w:right w:val="none" w:sz="0" w:space="0" w:color="auto"/>
          </w:divBdr>
        </w:div>
        <w:div w:id="368459442">
          <w:marLeft w:val="0"/>
          <w:marRight w:val="0"/>
          <w:marTop w:val="0"/>
          <w:marBottom w:val="0"/>
          <w:divBdr>
            <w:top w:val="none" w:sz="0" w:space="0" w:color="auto"/>
            <w:left w:val="none" w:sz="0" w:space="0" w:color="auto"/>
            <w:bottom w:val="none" w:sz="0" w:space="0" w:color="auto"/>
            <w:right w:val="none" w:sz="0" w:space="0" w:color="auto"/>
          </w:divBdr>
        </w:div>
        <w:div w:id="1025638475">
          <w:marLeft w:val="0"/>
          <w:marRight w:val="0"/>
          <w:marTop w:val="0"/>
          <w:marBottom w:val="0"/>
          <w:divBdr>
            <w:top w:val="none" w:sz="0" w:space="0" w:color="auto"/>
            <w:left w:val="none" w:sz="0" w:space="0" w:color="auto"/>
            <w:bottom w:val="none" w:sz="0" w:space="0" w:color="auto"/>
            <w:right w:val="none" w:sz="0" w:space="0" w:color="auto"/>
          </w:divBdr>
        </w:div>
        <w:div w:id="981467708">
          <w:marLeft w:val="0"/>
          <w:marRight w:val="0"/>
          <w:marTop w:val="0"/>
          <w:marBottom w:val="0"/>
          <w:divBdr>
            <w:top w:val="none" w:sz="0" w:space="0" w:color="auto"/>
            <w:left w:val="none" w:sz="0" w:space="0" w:color="auto"/>
            <w:bottom w:val="none" w:sz="0" w:space="0" w:color="auto"/>
            <w:right w:val="none" w:sz="0" w:space="0" w:color="auto"/>
          </w:divBdr>
        </w:div>
        <w:div w:id="1318925469">
          <w:marLeft w:val="0"/>
          <w:marRight w:val="0"/>
          <w:marTop w:val="0"/>
          <w:marBottom w:val="0"/>
          <w:divBdr>
            <w:top w:val="none" w:sz="0" w:space="0" w:color="auto"/>
            <w:left w:val="none" w:sz="0" w:space="0" w:color="auto"/>
            <w:bottom w:val="none" w:sz="0" w:space="0" w:color="auto"/>
            <w:right w:val="none" w:sz="0" w:space="0" w:color="auto"/>
          </w:divBdr>
        </w:div>
        <w:div w:id="2084527826">
          <w:marLeft w:val="0"/>
          <w:marRight w:val="0"/>
          <w:marTop w:val="0"/>
          <w:marBottom w:val="0"/>
          <w:divBdr>
            <w:top w:val="none" w:sz="0" w:space="0" w:color="auto"/>
            <w:left w:val="none" w:sz="0" w:space="0" w:color="auto"/>
            <w:bottom w:val="none" w:sz="0" w:space="0" w:color="auto"/>
            <w:right w:val="none" w:sz="0" w:space="0" w:color="auto"/>
          </w:divBdr>
        </w:div>
        <w:div w:id="1255432287">
          <w:marLeft w:val="0"/>
          <w:marRight w:val="0"/>
          <w:marTop w:val="0"/>
          <w:marBottom w:val="0"/>
          <w:divBdr>
            <w:top w:val="none" w:sz="0" w:space="0" w:color="auto"/>
            <w:left w:val="none" w:sz="0" w:space="0" w:color="auto"/>
            <w:bottom w:val="none" w:sz="0" w:space="0" w:color="auto"/>
            <w:right w:val="none" w:sz="0" w:space="0" w:color="auto"/>
          </w:divBdr>
        </w:div>
        <w:div w:id="911816330">
          <w:marLeft w:val="0"/>
          <w:marRight w:val="0"/>
          <w:marTop w:val="0"/>
          <w:marBottom w:val="0"/>
          <w:divBdr>
            <w:top w:val="none" w:sz="0" w:space="0" w:color="auto"/>
            <w:left w:val="none" w:sz="0" w:space="0" w:color="auto"/>
            <w:bottom w:val="none" w:sz="0" w:space="0" w:color="auto"/>
            <w:right w:val="none" w:sz="0" w:space="0" w:color="auto"/>
          </w:divBdr>
        </w:div>
        <w:div w:id="1979332385">
          <w:marLeft w:val="0"/>
          <w:marRight w:val="0"/>
          <w:marTop w:val="0"/>
          <w:marBottom w:val="0"/>
          <w:divBdr>
            <w:top w:val="none" w:sz="0" w:space="0" w:color="auto"/>
            <w:left w:val="none" w:sz="0" w:space="0" w:color="auto"/>
            <w:bottom w:val="none" w:sz="0" w:space="0" w:color="auto"/>
            <w:right w:val="none" w:sz="0" w:space="0" w:color="auto"/>
          </w:divBdr>
        </w:div>
        <w:div w:id="223224723">
          <w:marLeft w:val="0"/>
          <w:marRight w:val="0"/>
          <w:marTop w:val="0"/>
          <w:marBottom w:val="0"/>
          <w:divBdr>
            <w:top w:val="none" w:sz="0" w:space="0" w:color="auto"/>
            <w:left w:val="none" w:sz="0" w:space="0" w:color="auto"/>
            <w:bottom w:val="none" w:sz="0" w:space="0" w:color="auto"/>
            <w:right w:val="none" w:sz="0" w:space="0" w:color="auto"/>
          </w:divBdr>
        </w:div>
        <w:div w:id="1222785428">
          <w:marLeft w:val="0"/>
          <w:marRight w:val="0"/>
          <w:marTop w:val="0"/>
          <w:marBottom w:val="0"/>
          <w:divBdr>
            <w:top w:val="none" w:sz="0" w:space="0" w:color="auto"/>
            <w:left w:val="none" w:sz="0" w:space="0" w:color="auto"/>
            <w:bottom w:val="none" w:sz="0" w:space="0" w:color="auto"/>
            <w:right w:val="none" w:sz="0" w:space="0" w:color="auto"/>
          </w:divBdr>
        </w:div>
        <w:div w:id="2069646100">
          <w:marLeft w:val="0"/>
          <w:marRight w:val="0"/>
          <w:marTop w:val="0"/>
          <w:marBottom w:val="0"/>
          <w:divBdr>
            <w:top w:val="none" w:sz="0" w:space="0" w:color="auto"/>
            <w:left w:val="none" w:sz="0" w:space="0" w:color="auto"/>
            <w:bottom w:val="none" w:sz="0" w:space="0" w:color="auto"/>
            <w:right w:val="none" w:sz="0" w:space="0" w:color="auto"/>
          </w:divBdr>
        </w:div>
        <w:div w:id="1667132173">
          <w:marLeft w:val="0"/>
          <w:marRight w:val="0"/>
          <w:marTop w:val="0"/>
          <w:marBottom w:val="0"/>
          <w:divBdr>
            <w:top w:val="none" w:sz="0" w:space="0" w:color="auto"/>
            <w:left w:val="none" w:sz="0" w:space="0" w:color="auto"/>
            <w:bottom w:val="none" w:sz="0" w:space="0" w:color="auto"/>
            <w:right w:val="none" w:sz="0" w:space="0" w:color="auto"/>
          </w:divBdr>
        </w:div>
        <w:div w:id="75904603">
          <w:marLeft w:val="0"/>
          <w:marRight w:val="0"/>
          <w:marTop w:val="0"/>
          <w:marBottom w:val="0"/>
          <w:divBdr>
            <w:top w:val="none" w:sz="0" w:space="0" w:color="auto"/>
            <w:left w:val="none" w:sz="0" w:space="0" w:color="auto"/>
            <w:bottom w:val="none" w:sz="0" w:space="0" w:color="auto"/>
            <w:right w:val="none" w:sz="0" w:space="0" w:color="auto"/>
          </w:divBdr>
        </w:div>
        <w:div w:id="1206602863">
          <w:marLeft w:val="0"/>
          <w:marRight w:val="0"/>
          <w:marTop w:val="0"/>
          <w:marBottom w:val="0"/>
          <w:divBdr>
            <w:top w:val="none" w:sz="0" w:space="0" w:color="auto"/>
            <w:left w:val="none" w:sz="0" w:space="0" w:color="auto"/>
            <w:bottom w:val="none" w:sz="0" w:space="0" w:color="auto"/>
            <w:right w:val="none" w:sz="0" w:space="0" w:color="auto"/>
          </w:divBdr>
        </w:div>
        <w:div w:id="1526824423">
          <w:marLeft w:val="0"/>
          <w:marRight w:val="0"/>
          <w:marTop w:val="0"/>
          <w:marBottom w:val="0"/>
          <w:divBdr>
            <w:top w:val="none" w:sz="0" w:space="0" w:color="auto"/>
            <w:left w:val="none" w:sz="0" w:space="0" w:color="auto"/>
            <w:bottom w:val="none" w:sz="0" w:space="0" w:color="auto"/>
            <w:right w:val="none" w:sz="0" w:space="0" w:color="auto"/>
          </w:divBdr>
        </w:div>
        <w:div w:id="860247036">
          <w:marLeft w:val="0"/>
          <w:marRight w:val="0"/>
          <w:marTop w:val="0"/>
          <w:marBottom w:val="0"/>
          <w:divBdr>
            <w:top w:val="none" w:sz="0" w:space="0" w:color="auto"/>
            <w:left w:val="none" w:sz="0" w:space="0" w:color="auto"/>
            <w:bottom w:val="none" w:sz="0" w:space="0" w:color="auto"/>
            <w:right w:val="none" w:sz="0" w:space="0" w:color="auto"/>
          </w:divBdr>
        </w:div>
        <w:div w:id="394082642">
          <w:marLeft w:val="0"/>
          <w:marRight w:val="0"/>
          <w:marTop w:val="0"/>
          <w:marBottom w:val="0"/>
          <w:divBdr>
            <w:top w:val="none" w:sz="0" w:space="0" w:color="auto"/>
            <w:left w:val="none" w:sz="0" w:space="0" w:color="auto"/>
            <w:bottom w:val="none" w:sz="0" w:space="0" w:color="auto"/>
            <w:right w:val="none" w:sz="0" w:space="0" w:color="auto"/>
          </w:divBdr>
        </w:div>
        <w:div w:id="643120353">
          <w:marLeft w:val="0"/>
          <w:marRight w:val="0"/>
          <w:marTop w:val="0"/>
          <w:marBottom w:val="0"/>
          <w:divBdr>
            <w:top w:val="none" w:sz="0" w:space="0" w:color="auto"/>
            <w:left w:val="none" w:sz="0" w:space="0" w:color="auto"/>
            <w:bottom w:val="none" w:sz="0" w:space="0" w:color="auto"/>
            <w:right w:val="none" w:sz="0" w:space="0" w:color="auto"/>
          </w:divBdr>
        </w:div>
        <w:div w:id="337854240">
          <w:marLeft w:val="0"/>
          <w:marRight w:val="0"/>
          <w:marTop w:val="0"/>
          <w:marBottom w:val="0"/>
          <w:divBdr>
            <w:top w:val="none" w:sz="0" w:space="0" w:color="auto"/>
            <w:left w:val="none" w:sz="0" w:space="0" w:color="auto"/>
            <w:bottom w:val="none" w:sz="0" w:space="0" w:color="auto"/>
            <w:right w:val="none" w:sz="0" w:space="0" w:color="auto"/>
          </w:divBdr>
        </w:div>
        <w:div w:id="931164630">
          <w:marLeft w:val="0"/>
          <w:marRight w:val="0"/>
          <w:marTop w:val="0"/>
          <w:marBottom w:val="0"/>
          <w:divBdr>
            <w:top w:val="none" w:sz="0" w:space="0" w:color="auto"/>
            <w:left w:val="none" w:sz="0" w:space="0" w:color="auto"/>
            <w:bottom w:val="none" w:sz="0" w:space="0" w:color="auto"/>
            <w:right w:val="none" w:sz="0" w:space="0" w:color="auto"/>
          </w:divBdr>
        </w:div>
        <w:div w:id="973869536">
          <w:marLeft w:val="0"/>
          <w:marRight w:val="0"/>
          <w:marTop w:val="0"/>
          <w:marBottom w:val="0"/>
          <w:divBdr>
            <w:top w:val="none" w:sz="0" w:space="0" w:color="auto"/>
            <w:left w:val="none" w:sz="0" w:space="0" w:color="auto"/>
            <w:bottom w:val="none" w:sz="0" w:space="0" w:color="auto"/>
            <w:right w:val="none" w:sz="0" w:space="0" w:color="auto"/>
          </w:divBdr>
        </w:div>
        <w:div w:id="1145120219">
          <w:marLeft w:val="0"/>
          <w:marRight w:val="0"/>
          <w:marTop w:val="0"/>
          <w:marBottom w:val="0"/>
          <w:divBdr>
            <w:top w:val="none" w:sz="0" w:space="0" w:color="auto"/>
            <w:left w:val="none" w:sz="0" w:space="0" w:color="auto"/>
            <w:bottom w:val="none" w:sz="0" w:space="0" w:color="auto"/>
            <w:right w:val="none" w:sz="0" w:space="0" w:color="auto"/>
          </w:divBdr>
        </w:div>
        <w:div w:id="1569880982">
          <w:marLeft w:val="0"/>
          <w:marRight w:val="0"/>
          <w:marTop w:val="0"/>
          <w:marBottom w:val="0"/>
          <w:divBdr>
            <w:top w:val="none" w:sz="0" w:space="0" w:color="auto"/>
            <w:left w:val="none" w:sz="0" w:space="0" w:color="auto"/>
            <w:bottom w:val="none" w:sz="0" w:space="0" w:color="auto"/>
            <w:right w:val="none" w:sz="0" w:space="0" w:color="auto"/>
          </w:divBdr>
        </w:div>
        <w:div w:id="1662155129">
          <w:marLeft w:val="0"/>
          <w:marRight w:val="0"/>
          <w:marTop w:val="0"/>
          <w:marBottom w:val="0"/>
          <w:divBdr>
            <w:top w:val="none" w:sz="0" w:space="0" w:color="auto"/>
            <w:left w:val="none" w:sz="0" w:space="0" w:color="auto"/>
            <w:bottom w:val="none" w:sz="0" w:space="0" w:color="auto"/>
            <w:right w:val="none" w:sz="0" w:space="0" w:color="auto"/>
          </w:divBdr>
        </w:div>
        <w:div w:id="1293169844">
          <w:marLeft w:val="0"/>
          <w:marRight w:val="0"/>
          <w:marTop w:val="0"/>
          <w:marBottom w:val="0"/>
          <w:divBdr>
            <w:top w:val="none" w:sz="0" w:space="0" w:color="auto"/>
            <w:left w:val="none" w:sz="0" w:space="0" w:color="auto"/>
            <w:bottom w:val="none" w:sz="0" w:space="0" w:color="auto"/>
            <w:right w:val="none" w:sz="0" w:space="0" w:color="auto"/>
          </w:divBdr>
        </w:div>
        <w:div w:id="1755979668">
          <w:marLeft w:val="0"/>
          <w:marRight w:val="0"/>
          <w:marTop w:val="0"/>
          <w:marBottom w:val="0"/>
          <w:divBdr>
            <w:top w:val="none" w:sz="0" w:space="0" w:color="auto"/>
            <w:left w:val="none" w:sz="0" w:space="0" w:color="auto"/>
            <w:bottom w:val="none" w:sz="0" w:space="0" w:color="auto"/>
            <w:right w:val="none" w:sz="0" w:space="0" w:color="auto"/>
          </w:divBdr>
        </w:div>
        <w:div w:id="216861065">
          <w:marLeft w:val="0"/>
          <w:marRight w:val="0"/>
          <w:marTop w:val="0"/>
          <w:marBottom w:val="0"/>
          <w:divBdr>
            <w:top w:val="none" w:sz="0" w:space="0" w:color="auto"/>
            <w:left w:val="none" w:sz="0" w:space="0" w:color="auto"/>
            <w:bottom w:val="none" w:sz="0" w:space="0" w:color="auto"/>
            <w:right w:val="none" w:sz="0" w:space="0" w:color="auto"/>
          </w:divBdr>
        </w:div>
        <w:div w:id="1521626619">
          <w:marLeft w:val="0"/>
          <w:marRight w:val="0"/>
          <w:marTop w:val="0"/>
          <w:marBottom w:val="0"/>
          <w:divBdr>
            <w:top w:val="none" w:sz="0" w:space="0" w:color="auto"/>
            <w:left w:val="none" w:sz="0" w:space="0" w:color="auto"/>
            <w:bottom w:val="none" w:sz="0" w:space="0" w:color="auto"/>
            <w:right w:val="none" w:sz="0" w:space="0" w:color="auto"/>
          </w:divBdr>
        </w:div>
        <w:div w:id="437532758">
          <w:marLeft w:val="0"/>
          <w:marRight w:val="0"/>
          <w:marTop w:val="0"/>
          <w:marBottom w:val="0"/>
          <w:divBdr>
            <w:top w:val="none" w:sz="0" w:space="0" w:color="auto"/>
            <w:left w:val="none" w:sz="0" w:space="0" w:color="auto"/>
            <w:bottom w:val="none" w:sz="0" w:space="0" w:color="auto"/>
            <w:right w:val="none" w:sz="0" w:space="0" w:color="auto"/>
          </w:divBdr>
        </w:div>
        <w:div w:id="1675495185">
          <w:marLeft w:val="0"/>
          <w:marRight w:val="0"/>
          <w:marTop w:val="0"/>
          <w:marBottom w:val="0"/>
          <w:divBdr>
            <w:top w:val="none" w:sz="0" w:space="0" w:color="auto"/>
            <w:left w:val="none" w:sz="0" w:space="0" w:color="auto"/>
            <w:bottom w:val="none" w:sz="0" w:space="0" w:color="auto"/>
            <w:right w:val="none" w:sz="0" w:space="0" w:color="auto"/>
          </w:divBdr>
        </w:div>
        <w:div w:id="667638372">
          <w:marLeft w:val="0"/>
          <w:marRight w:val="0"/>
          <w:marTop w:val="0"/>
          <w:marBottom w:val="0"/>
          <w:divBdr>
            <w:top w:val="none" w:sz="0" w:space="0" w:color="auto"/>
            <w:left w:val="none" w:sz="0" w:space="0" w:color="auto"/>
            <w:bottom w:val="none" w:sz="0" w:space="0" w:color="auto"/>
            <w:right w:val="none" w:sz="0" w:space="0" w:color="auto"/>
          </w:divBdr>
        </w:div>
        <w:div w:id="1099108414">
          <w:marLeft w:val="0"/>
          <w:marRight w:val="0"/>
          <w:marTop w:val="0"/>
          <w:marBottom w:val="0"/>
          <w:divBdr>
            <w:top w:val="none" w:sz="0" w:space="0" w:color="auto"/>
            <w:left w:val="none" w:sz="0" w:space="0" w:color="auto"/>
            <w:bottom w:val="none" w:sz="0" w:space="0" w:color="auto"/>
            <w:right w:val="none" w:sz="0" w:space="0" w:color="auto"/>
          </w:divBdr>
        </w:div>
        <w:div w:id="857542193">
          <w:marLeft w:val="0"/>
          <w:marRight w:val="0"/>
          <w:marTop w:val="0"/>
          <w:marBottom w:val="0"/>
          <w:divBdr>
            <w:top w:val="none" w:sz="0" w:space="0" w:color="auto"/>
            <w:left w:val="none" w:sz="0" w:space="0" w:color="auto"/>
            <w:bottom w:val="none" w:sz="0" w:space="0" w:color="auto"/>
            <w:right w:val="none" w:sz="0" w:space="0" w:color="auto"/>
          </w:divBdr>
        </w:div>
        <w:div w:id="1963146883">
          <w:marLeft w:val="0"/>
          <w:marRight w:val="0"/>
          <w:marTop w:val="0"/>
          <w:marBottom w:val="0"/>
          <w:divBdr>
            <w:top w:val="none" w:sz="0" w:space="0" w:color="auto"/>
            <w:left w:val="none" w:sz="0" w:space="0" w:color="auto"/>
            <w:bottom w:val="none" w:sz="0" w:space="0" w:color="auto"/>
            <w:right w:val="none" w:sz="0" w:space="0" w:color="auto"/>
          </w:divBdr>
        </w:div>
        <w:div w:id="1077360834">
          <w:marLeft w:val="0"/>
          <w:marRight w:val="0"/>
          <w:marTop w:val="0"/>
          <w:marBottom w:val="0"/>
          <w:divBdr>
            <w:top w:val="none" w:sz="0" w:space="0" w:color="auto"/>
            <w:left w:val="none" w:sz="0" w:space="0" w:color="auto"/>
            <w:bottom w:val="none" w:sz="0" w:space="0" w:color="auto"/>
            <w:right w:val="none" w:sz="0" w:space="0" w:color="auto"/>
          </w:divBdr>
        </w:div>
        <w:div w:id="2097633032">
          <w:marLeft w:val="0"/>
          <w:marRight w:val="0"/>
          <w:marTop w:val="0"/>
          <w:marBottom w:val="0"/>
          <w:divBdr>
            <w:top w:val="none" w:sz="0" w:space="0" w:color="auto"/>
            <w:left w:val="none" w:sz="0" w:space="0" w:color="auto"/>
            <w:bottom w:val="none" w:sz="0" w:space="0" w:color="auto"/>
            <w:right w:val="none" w:sz="0" w:space="0" w:color="auto"/>
          </w:divBdr>
        </w:div>
        <w:div w:id="1574002654">
          <w:marLeft w:val="0"/>
          <w:marRight w:val="0"/>
          <w:marTop w:val="0"/>
          <w:marBottom w:val="0"/>
          <w:divBdr>
            <w:top w:val="none" w:sz="0" w:space="0" w:color="auto"/>
            <w:left w:val="none" w:sz="0" w:space="0" w:color="auto"/>
            <w:bottom w:val="none" w:sz="0" w:space="0" w:color="auto"/>
            <w:right w:val="none" w:sz="0" w:space="0" w:color="auto"/>
          </w:divBdr>
        </w:div>
        <w:div w:id="1827549104">
          <w:marLeft w:val="0"/>
          <w:marRight w:val="0"/>
          <w:marTop w:val="0"/>
          <w:marBottom w:val="0"/>
          <w:divBdr>
            <w:top w:val="none" w:sz="0" w:space="0" w:color="auto"/>
            <w:left w:val="none" w:sz="0" w:space="0" w:color="auto"/>
            <w:bottom w:val="none" w:sz="0" w:space="0" w:color="auto"/>
            <w:right w:val="none" w:sz="0" w:space="0" w:color="auto"/>
          </w:divBdr>
        </w:div>
        <w:div w:id="172687506">
          <w:marLeft w:val="0"/>
          <w:marRight w:val="0"/>
          <w:marTop w:val="0"/>
          <w:marBottom w:val="0"/>
          <w:divBdr>
            <w:top w:val="none" w:sz="0" w:space="0" w:color="auto"/>
            <w:left w:val="none" w:sz="0" w:space="0" w:color="auto"/>
            <w:bottom w:val="none" w:sz="0" w:space="0" w:color="auto"/>
            <w:right w:val="none" w:sz="0" w:space="0" w:color="auto"/>
          </w:divBdr>
        </w:div>
        <w:div w:id="1838690961">
          <w:marLeft w:val="0"/>
          <w:marRight w:val="0"/>
          <w:marTop w:val="0"/>
          <w:marBottom w:val="0"/>
          <w:divBdr>
            <w:top w:val="none" w:sz="0" w:space="0" w:color="auto"/>
            <w:left w:val="none" w:sz="0" w:space="0" w:color="auto"/>
            <w:bottom w:val="none" w:sz="0" w:space="0" w:color="auto"/>
            <w:right w:val="none" w:sz="0" w:space="0" w:color="auto"/>
          </w:divBdr>
        </w:div>
        <w:div w:id="1849172167">
          <w:marLeft w:val="0"/>
          <w:marRight w:val="0"/>
          <w:marTop w:val="0"/>
          <w:marBottom w:val="0"/>
          <w:divBdr>
            <w:top w:val="none" w:sz="0" w:space="0" w:color="auto"/>
            <w:left w:val="none" w:sz="0" w:space="0" w:color="auto"/>
            <w:bottom w:val="none" w:sz="0" w:space="0" w:color="auto"/>
            <w:right w:val="none" w:sz="0" w:space="0" w:color="auto"/>
          </w:divBdr>
        </w:div>
        <w:div w:id="1935045988">
          <w:marLeft w:val="0"/>
          <w:marRight w:val="0"/>
          <w:marTop w:val="0"/>
          <w:marBottom w:val="0"/>
          <w:divBdr>
            <w:top w:val="none" w:sz="0" w:space="0" w:color="auto"/>
            <w:left w:val="none" w:sz="0" w:space="0" w:color="auto"/>
            <w:bottom w:val="none" w:sz="0" w:space="0" w:color="auto"/>
            <w:right w:val="none" w:sz="0" w:space="0" w:color="auto"/>
          </w:divBdr>
        </w:div>
        <w:div w:id="811673251">
          <w:marLeft w:val="0"/>
          <w:marRight w:val="0"/>
          <w:marTop w:val="0"/>
          <w:marBottom w:val="0"/>
          <w:divBdr>
            <w:top w:val="none" w:sz="0" w:space="0" w:color="auto"/>
            <w:left w:val="none" w:sz="0" w:space="0" w:color="auto"/>
            <w:bottom w:val="none" w:sz="0" w:space="0" w:color="auto"/>
            <w:right w:val="none" w:sz="0" w:space="0" w:color="auto"/>
          </w:divBdr>
        </w:div>
        <w:div w:id="1622540336">
          <w:marLeft w:val="0"/>
          <w:marRight w:val="0"/>
          <w:marTop w:val="0"/>
          <w:marBottom w:val="0"/>
          <w:divBdr>
            <w:top w:val="none" w:sz="0" w:space="0" w:color="auto"/>
            <w:left w:val="none" w:sz="0" w:space="0" w:color="auto"/>
            <w:bottom w:val="none" w:sz="0" w:space="0" w:color="auto"/>
            <w:right w:val="none" w:sz="0" w:space="0" w:color="auto"/>
          </w:divBdr>
        </w:div>
        <w:div w:id="1020086576">
          <w:marLeft w:val="0"/>
          <w:marRight w:val="0"/>
          <w:marTop w:val="0"/>
          <w:marBottom w:val="0"/>
          <w:divBdr>
            <w:top w:val="none" w:sz="0" w:space="0" w:color="auto"/>
            <w:left w:val="none" w:sz="0" w:space="0" w:color="auto"/>
            <w:bottom w:val="none" w:sz="0" w:space="0" w:color="auto"/>
            <w:right w:val="none" w:sz="0" w:space="0" w:color="auto"/>
          </w:divBdr>
        </w:div>
        <w:div w:id="1502618771">
          <w:marLeft w:val="0"/>
          <w:marRight w:val="0"/>
          <w:marTop w:val="0"/>
          <w:marBottom w:val="0"/>
          <w:divBdr>
            <w:top w:val="none" w:sz="0" w:space="0" w:color="auto"/>
            <w:left w:val="none" w:sz="0" w:space="0" w:color="auto"/>
            <w:bottom w:val="none" w:sz="0" w:space="0" w:color="auto"/>
            <w:right w:val="none" w:sz="0" w:space="0" w:color="auto"/>
          </w:divBdr>
        </w:div>
        <w:div w:id="1014183777">
          <w:marLeft w:val="0"/>
          <w:marRight w:val="0"/>
          <w:marTop w:val="0"/>
          <w:marBottom w:val="0"/>
          <w:divBdr>
            <w:top w:val="none" w:sz="0" w:space="0" w:color="auto"/>
            <w:left w:val="none" w:sz="0" w:space="0" w:color="auto"/>
            <w:bottom w:val="none" w:sz="0" w:space="0" w:color="auto"/>
            <w:right w:val="none" w:sz="0" w:space="0" w:color="auto"/>
          </w:divBdr>
        </w:div>
        <w:div w:id="306470621">
          <w:marLeft w:val="0"/>
          <w:marRight w:val="0"/>
          <w:marTop w:val="0"/>
          <w:marBottom w:val="0"/>
          <w:divBdr>
            <w:top w:val="none" w:sz="0" w:space="0" w:color="auto"/>
            <w:left w:val="none" w:sz="0" w:space="0" w:color="auto"/>
            <w:bottom w:val="none" w:sz="0" w:space="0" w:color="auto"/>
            <w:right w:val="none" w:sz="0" w:space="0" w:color="auto"/>
          </w:divBdr>
        </w:div>
        <w:div w:id="1468430464">
          <w:marLeft w:val="0"/>
          <w:marRight w:val="0"/>
          <w:marTop w:val="0"/>
          <w:marBottom w:val="0"/>
          <w:divBdr>
            <w:top w:val="none" w:sz="0" w:space="0" w:color="auto"/>
            <w:left w:val="none" w:sz="0" w:space="0" w:color="auto"/>
            <w:bottom w:val="none" w:sz="0" w:space="0" w:color="auto"/>
            <w:right w:val="none" w:sz="0" w:space="0" w:color="auto"/>
          </w:divBdr>
        </w:div>
        <w:div w:id="1906409044">
          <w:marLeft w:val="0"/>
          <w:marRight w:val="0"/>
          <w:marTop w:val="0"/>
          <w:marBottom w:val="0"/>
          <w:divBdr>
            <w:top w:val="none" w:sz="0" w:space="0" w:color="auto"/>
            <w:left w:val="none" w:sz="0" w:space="0" w:color="auto"/>
            <w:bottom w:val="none" w:sz="0" w:space="0" w:color="auto"/>
            <w:right w:val="none" w:sz="0" w:space="0" w:color="auto"/>
          </w:divBdr>
        </w:div>
        <w:div w:id="258569167">
          <w:marLeft w:val="0"/>
          <w:marRight w:val="0"/>
          <w:marTop w:val="0"/>
          <w:marBottom w:val="0"/>
          <w:divBdr>
            <w:top w:val="none" w:sz="0" w:space="0" w:color="auto"/>
            <w:left w:val="none" w:sz="0" w:space="0" w:color="auto"/>
            <w:bottom w:val="none" w:sz="0" w:space="0" w:color="auto"/>
            <w:right w:val="none" w:sz="0" w:space="0" w:color="auto"/>
          </w:divBdr>
        </w:div>
        <w:div w:id="1903059561">
          <w:marLeft w:val="0"/>
          <w:marRight w:val="0"/>
          <w:marTop w:val="0"/>
          <w:marBottom w:val="0"/>
          <w:divBdr>
            <w:top w:val="none" w:sz="0" w:space="0" w:color="auto"/>
            <w:left w:val="none" w:sz="0" w:space="0" w:color="auto"/>
            <w:bottom w:val="none" w:sz="0" w:space="0" w:color="auto"/>
            <w:right w:val="none" w:sz="0" w:space="0" w:color="auto"/>
          </w:divBdr>
        </w:div>
        <w:div w:id="1890845000">
          <w:marLeft w:val="0"/>
          <w:marRight w:val="0"/>
          <w:marTop w:val="0"/>
          <w:marBottom w:val="0"/>
          <w:divBdr>
            <w:top w:val="none" w:sz="0" w:space="0" w:color="auto"/>
            <w:left w:val="none" w:sz="0" w:space="0" w:color="auto"/>
            <w:bottom w:val="none" w:sz="0" w:space="0" w:color="auto"/>
            <w:right w:val="none" w:sz="0" w:space="0" w:color="auto"/>
          </w:divBdr>
        </w:div>
        <w:div w:id="1014915212">
          <w:marLeft w:val="0"/>
          <w:marRight w:val="0"/>
          <w:marTop w:val="0"/>
          <w:marBottom w:val="0"/>
          <w:divBdr>
            <w:top w:val="none" w:sz="0" w:space="0" w:color="auto"/>
            <w:left w:val="none" w:sz="0" w:space="0" w:color="auto"/>
            <w:bottom w:val="none" w:sz="0" w:space="0" w:color="auto"/>
            <w:right w:val="none" w:sz="0" w:space="0" w:color="auto"/>
          </w:divBdr>
        </w:div>
        <w:div w:id="266229830">
          <w:marLeft w:val="0"/>
          <w:marRight w:val="0"/>
          <w:marTop w:val="0"/>
          <w:marBottom w:val="0"/>
          <w:divBdr>
            <w:top w:val="none" w:sz="0" w:space="0" w:color="auto"/>
            <w:left w:val="none" w:sz="0" w:space="0" w:color="auto"/>
            <w:bottom w:val="none" w:sz="0" w:space="0" w:color="auto"/>
            <w:right w:val="none" w:sz="0" w:space="0" w:color="auto"/>
          </w:divBdr>
        </w:div>
        <w:div w:id="114450460">
          <w:marLeft w:val="0"/>
          <w:marRight w:val="0"/>
          <w:marTop w:val="0"/>
          <w:marBottom w:val="0"/>
          <w:divBdr>
            <w:top w:val="none" w:sz="0" w:space="0" w:color="auto"/>
            <w:left w:val="none" w:sz="0" w:space="0" w:color="auto"/>
            <w:bottom w:val="none" w:sz="0" w:space="0" w:color="auto"/>
            <w:right w:val="none" w:sz="0" w:space="0" w:color="auto"/>
          </w:divBdr>
        </w:div>
        <w:div w:id="752237219">
          <w:marLeft w:val="0"/>
          <w:marRight w:val="0"/>
          <w:marTop w:val="0"/>
          <w:marBottom w:val="0"/>
          <w:divBdr>
            <w:top w:val="none" w:sz="0" w:space="0" w:color="auto"/>
            <w:left w:val="none" w:sz="0" w:space="0" w:color="auto"/>
            <w:bottom w:val="none" w:sz="0" w:space="0" w:color="auto"/>
            <w:right w:val="none" w:sz="0" w:space="0" w:color="auto"/>
          </w:divBdr>
        </w:div>
        <w:div w:id="317465411">
          <w:marLeft w:val="0"/>
          <w:marRight w:val="0"/>
          <w:marTop w:val="0"/>
          <w:marBottom w:val="0"/>
          <w:divBdr>
            <w:top w:val="none" w:sz="0" w:space="0" w:color="auto"/>
            <w:left w:val="none" w:sz="0" w:space="0" w:color="auto"/>
            <w:bottom w:val="none" w:sz="0" w:space="0" w:color="auto"/>
            <w:right w:val="none" w:sz="0" w:space="0" w:color="auto"/>
          </w:divBdr>
        </w:div>
        <w:div w:id="1484346919">
          <w:marLeft w:val="0"/>
          <w:marRight w:val="0"/>
          <w:marTop w:val="0"/>
          <w:marBottom w:val="0"/>
          <w:divBdr>
            <w:top w:val="none" w:sz="0" w:space="0" w:color="auto"/>
            <w:left w:val="none" w:sz="0" w:space="0" w:color="auto"/>
            <w:bottom w:val="none" w:sz="0" w:space="0" w:color="auto"/>
            <w:right w:val="none" w:sz="0" w:space="0" w:color="auto"/>
          </w:divBdr>
        </w:div>
        <w:div w:id="774247265">
          <w:marLeft w:val="0"/>
          <w:marRight w:val="0"/>
          <w:marTop w:val="0"/>
          <w:marBottom w:val="0"/>
          <w:divBdr>
            <w:top w:val="none" w:sz="0" w:space="0" w:color="auto"/>
            <w:left w:val="none" w:sz="0" w:space="0" w:color="auto"/>
            <w:bottom w:val="none" w:sz="0" w:space="0" w:color="auto"/>
            <w:right w:val="none" w:sz="0" w:space="0" w:color="auto"/>
          </w:divBdr>
        </w:div>
        <w:div w:id="110127968">
          <w:marLeft w:val="0"/>
          <w:marRight w:val="0"/>
          <w:marTop w:val="0"/>
          <w:marBottom w:val="0"/>
          <w:divBdr>
            <w:top w:val="none" w:sz="0" w:space="0" w:color="auto"/>
            <w:left w:val="none" w:sz="0" w:space="0" w:color="auto"/>
            <w:bottom w:val="none" w:sz="0" w:space="0" w:color="auto"/>
            <w:right w:val="none" w:sz="0" w:space="0" w:color="auto"/>
          </w:divBdr>
        </w:div>
        <w:div w:id="1920484278">
          <w:marLeft w:val="0"/>
          <w:marRight w:val="0"/>
          <w:marTop w:val="0"/>
          <w:marBottom w:val="0"/>
          <w:divBdr>
            <w:top w:val="none" w:sz="0" w:space="0" w:color="auto"/>
            <w:left w:val="none" w:sz="0" w:space="0" w:color="auto"/>
            <w:bottom w:val="none" w:sz="0" w:space="0" w:color="auto"/>
            <w:right w:val="none" w:sz="0" w:space="0" w:color="auto"/>
          </w:divBdr>
        </w:div>
        <w:div w:id="688989766">
          <w:marLeft w:val="0"/>
          <w:marRight w:val="0"/>
          <w:marTop w:val="0"/>
          <w:marBottom w:val="0"/>
          <w:divBdr>
            <w:top w:val="none" w:sz="0" w:space="0" w:color="auto"/>
            <w:left w:val="none" w:sz="0" w:space="0" w:color="auto"/>
            <w:bottom w:val="none" w:sz="0" w:space="0" w:color="auto"/>
            <w:right w:val="none" w:sz="0" w:space="0" w:color="auto"/>
          </w:divBdr>
        </w:div>
        <w:div w:id="1486898128">
          <w:marLeft w:val="0"/>
          <w:marRight w:val="0"/>
          <w:marTop w:val="0"/>
          <w:marBottom w:val="0"/>
          <w:divBdr>
            <w:top w:val="none" w:sz="0" w:space="0" w:color="auto"/>
            <w:left w:val="none" w:sz="0" w:space="0" w:color="auto"/>
            <w:bottom w:val="none" w:sz="0" w:space="0" w:color="auto"/>
            <w:right w:val="none" w:sz="0" w:space="0" w:color="auto"/>
          </w:divBdr>
        </w:div>
        <w:div w:id="825053446">
          <w:marLeft w:val="0"/>
          <w:marRight w:val="0"/>
          <w:marTop w:val="0"/>
          <w:marBottom w:val="0"/>
          <w:divBdr>
            <w:top w:val="none" w:sz="0" w:space="0" w:color="auto"/>
            <w:left w:val="none" w:sz="0" w:space="0" w:color="auto"/>
            <w:bottom w:val="none" w:sz="0" w:space="0" w:color="auto"/>
            <w:right w:val="none" w:sz="0" w:space="0" w:color="auto"/>
          </w:divBdr>
        </w:div>
        <w:div w:id="1791779387">
          <w:marLeft w:val="0"/>
          <w:marRight w:val="0"/>
          <w:marTop w:val="0"/>
          <w:marBottom w:val="0"/>
          <w:divBdr>
            <w:top w:val="none" w:sz="0" w:space="0" w:color="auto"/>
            <w:left w:val="none" w:sz="0" w:space="0" w:color="auto"/>
            <w:bottom w:val="none" w:sz="0" w:space="0" w:color="auto"/>
            <w:right w:val="none" w:sz="0" w:space="0" w:color="auto"/>
          </w:divBdr>
        </w:div>
        <w:div w:id="347802005">
          <w:marLeft w:val="0"/>
          <w:marRight w:val="0"/>
          <w:marTop w:val="0"/>
          <w:marBottom w:val="0"/>
          <w:divBdr>
            <w:top w:val="none" w:sz="0" w:space="0" w:color="auto"/>
            <w:left w:val="none" w:sz="0" w:space="0" w:color="auto"/>
            <w:bottom w:val="none" w:sz="0" w:space="0" w:color="auto"/>
            <w:right w:val="none" w:sz="0" w:space="0" w:color="auto"/>
          </w:divBdr>
        </w:div>
      </w:divsChild>
    </w:div>
    <w:div w:id="810442541">
      <w:bodyDiv w:val="1"/>
      <w:marLeft w:val="0"/>
      <w:marRight w:val="0"/>
      <w:marTop w:val="0"/>
      <w:marBottom w:val="0"/>
      <w:divBdr>
        <w:top w:val="none" w:sz="0" w:space="0" w:color="auto"/>
        <w:left w:val="none" w:sz="0" w:space="0" w:color="auto"/>
        <w:bottom w:val="none" w:sz="0" w:space="0" w:color="auto"/>
        <w:right w:val="none" w:sz="0" w:space="0" w:color="auto"/>
      </w:divBdr>
      <w:divsChild>
        <w:div w:id="2021470223">
          <w:marLeft w:val="0"/>
          <w:marRight w:val="0"/>
          <w:marTop w:val="0"/>
          <w:marBottom w:val="0"/>
          <w:divBdr>
            <w:top w:val="none" w:sz="0" w:space="0" w:color="auto"/>
            <w:left w:val="none" w:sz="0" w:space="0" w:color="auto"/>
            <w:bottom w:val="none" w:sz="0" w:space="0" w:color="auto"/>
            <w:right w:val="none" w:sz="0" w:space="0" w:color="auto"/>
          </w:divBdr>
        </w:div>
        <w:div w:id="1312371372">
          <w:marLeft w:val="0"/>
          <w:marRight w:val="0"/>
          <w:marTop w:val="0"/>
          <w:marBottom w:val="0"/>
          <w:divBdr>
            <w:top w:val="none" w:sz="0" w:space="0" w:color="auto"/>
            <w:left w:val="none" w:sz="0" w:space="0" w:color="auto"/>
            <w:bottom w:val="none" w:sz="0" w:space="0" w:color="auto"/>
            <w:right w:val="none" w:sz="0" w:space="0" w:color="auto"/>
          </w:divBdr>
        </w:div>
        <w:div w:id="44716658">
          <w:marLeft w:val="0"/>
          <w:marRight w:val="0"/>
          <w:marTop w:val="0"/>
          <w:marBottom w:val="0"/>
          <w:divBdr>
            <w:top w:val="none" w:sz="0" w:space="0" w:color="auto"/>
            <w:left w:val="none" w:sz="0" w:space="0" w:color="auto"/>
            <w:bottom w:val="none" w:sz="0" w:space="0" w:color="auto"/>
            <w:right w:val="none" w:sz="0" w:space="0" w:color="auto"/>
          </w:divBdr>
        </w:div>
        <w:div w:id="186798715">
          <w:marLeft w:val="0"/>
          <w:marRight w:val="0"/>
          <w:marTop w:val="0"/>
          <w:marBottom w:val="0"/>
          <w:divBdr>
            <w:top w:val="none" w:sz="0" w:space="0" w:color="auto"/>
            <w:left w:val="none" w:sz="0" w:space="0" w:color="auto"/>
            <w:bottom w:val="none" w:sz="0" w:space="0" w:color="auto"/>
            <w:right w:val="none" w:sz="0" w:space="0" w:color="auto"/>
          </w:divBdr>
        </w:div>
        <w:div w:id="1686323198">
          <w:marLeft w:val="0"/>
          <w:marRight w:val="0"/>
          <w:marTop w:val="0"/>
          <w:marBottom w:val="0"/>
          <w:divBdr>
            <w:top w:val="none" w:sz="0" w:space="0" w:color="auto"/>
            <w:left w:val="none" w:sz="0" w:space="0" w:color="auto"/>
            <w:bottom w:val="none" w:sz="0" w:space="0" w:color="auto"/>
            <w:right w:val="none" w:sz="0" w:space="0" w:color="auto"/>
          </w:divBdr>
        </w:div>
        <w:div w:id="373892592">
          <w:marLeft w:val="0"/>
          <w:marRight w:val="0"/>
          <w:marTop w:val="0"/>
          <w:marBottom w:val="0"/>
          <w:divBdr>
            <w:top w:val="none" w:sz="0" w:space="0" w:color="auto"/>
            <w:left w:val="none" w:sz="0" w:space="0" w:color="auto"/>
            <w:bottom w:val="none" w:sz="0" w:space="0" w:color="auto"/>
            <w:right w:val="none" w:sz="0" w:space="0" w:color="auto"/>
          </w:divBdr>
        </w:div>
        <w:div w:id="1804808546">
          <w:marLeft w:val="0"/>
          <w:marRight w:val="0"/>
          <w:marTop w:val="0"/>
          <w:marBottom w:val="0"/>
          <w:divBdr>
            <w:top w:val="none" w:sz="0" w:space="0" w:color="auto"/>
            <w:left w:val="none" w:sz="0" w:space="0" w:color="auto"/>
            <w:bottom w:val="none" w:sz="0" w:space="0" w:color="auto"/>
            <w:right w:val="none" w:sz="0" w:space="0" w:color="auto"/>
          </w:divBdr>
        </w:div>
        <w:div w:id="339621181">
          <w:marLeft w:val="0"/>
          <w:marRight w:val="0"/>
          <w:marTop w:val="0"/>
          <w:marBottom w:val="0"/>
          <w:divBdr>
            <w:top w:val="none" w:sz="0" w:space="0" w:color="auto"/>
            <w:left w:val="none" w:sz="0" w:space="0" w:color="auto"/>
            <w:bottom w:val="none" w:sz="0" w:space="0" w:color="auto"/>
            <w:right w:val="none" w:sz="0" w:space="0" w:color="auto"/>
          </w:divBdr>
        </w:div>
        <w:div w:id="2075007844">
          <w:marLeft w:val="0"/>
          <w:marRight w:val="0"/>
          <w:marTop w:val="0"/>
          <w:marBottom w:val="0"/>
          <w:divBdr>
            <w:top w:val="none" w:sz="0" w:space="0" w:color="auto"/>
            <w:left w:val="none" w:sz="0" w:space="0" w:color="auto"/>
            <w:bottom w:val="none" w:sz="0" w:space="0" w:color="auto"/>
            <w:right w:val="none" w:sz="0" w:space="0" w:color="auto"/>
          </w:divBdr>
        </w:div>
        <w:div w:id="1538815715">
          <w:marLeft w:val="0"/>
          <w:marRight w:val="0"/>
          <w:marTop w:val="0"/>
          <w:marBottom w:val="0"/>
          <w:divBdr>
            <w:top w:val="none" w:sz="0" w:space="0" w:color="auto"/>
            <w:left w:val="none" w:sz="0" w:space="0" w:color="auto"/>
            <w:bottom w:val="none" w:sz="0" w:space="0" w:color="auto"/>
            <w:right w:val="none" w:sz="0" w:space="0" w:color="auto"/>
          </w:divBdr>
        </w:div>
        <w:div w:id="437717992">
          <w:marLeft w:val="0"/>
          <w:marRight w:val="0"/>
          <w:marTop w:val="0"/>
          <w:marBottom w:val="0"/>
          <w:divBdr>
            <w:top w:val="none" w:sz="0" w:space="0" w:color="auto"/>
            <w:left w:val="none" w:sz="0" w:space="0" w:color="auto"/>
            <w:bottom w:val="none" w:sz="0" w:space="0" w:color="auto"/>
            <w:right w:val="none" w:sz="0" w:space="0" w:color="auto"/>
          </w:divBdr>
        </w:div>
        <w:div w:id="1354184155">
          <w:marLeft w:val="0"/>
          <w:marRight w:val="0"/>
          <w:marTop w:val="0"/>
          <w:marBottom w:val="0"/>
          <w:divBdr>
            <w:top w:val="none" w:sz="0" w:space="0" w:color="auto"/>
            <w:left w:val="none" w:sz="0" w:space="0" w:color="auto"/>
            <w:bottom w:val="none" w:sz="0" w:space="0" w:color="auto"/>
            <w:right w:val="none" w:sz="0" w:space="0" w:color="auto"/>
          </w:divBdr>
        </w:div>
        <w:div w:id="406853444">
          <w:marLeft w:val="0"/>
          <w:marRight w:val="0"/>
          <w:marTop w:val="0"/>
          <w:marBottom w:val="0"/>
          <w:divBdr>
            <w:top w:val="none" w:sz="0" w:space="0" w:color="auto"/>
            <w:left w:val="none" w:sz="0" w:space="0" w:color="auto"/>
            <w:bottom w:val="none" w:sz="0" w:space="0" w:color="auto"/>
            <w:right w:val="none" w:sz="0" w:space="0" w:color="auto"/>
          </w:divBdr>
        </w:div>
        <w:div w:id="300890663">
          <w:marLeft w:val="0"/>
          <w:marRight w:val="0"/>
          <w:marTop w:val="0"/>
          <w:marBottom w:val="0"/>
          <w:divBdr>
            <w:top w:val="none" w:sz="0" w:space="0" w:color="auto"/>
            <w:left w:val="none" w:sz="0" w:space="0" w:color="auto"/>
            <w:bottom w:val="none" w:sz="0" w:space="0" w:color="auto"/>
            <w:right w:val="none" w:sz="0" w:space="0" w:color="auto"/>
          </w:divBdr>
        </w:div>
        <w:div w:id="1942644339">
          <w:marLeft w:val="0"/>
          <w:marRight w:val="0"/>
          <w:marTop w:val="0"/>
          <w:marBottom w:val="0"/>
          <w:divBdr>
            <w:top w:val="none" w:sz="0" w:space="0" w:color="auto"/>
            <w:left w:val="none" w:sz="0" w:space="0" w:color="auto"/>
            <w:bottom w:val="none" w:sz="0" w:space="0" w:color="auto"/>
            <w:right w:val="none" w:sz="0" w:space="0" w:color="auto"/>
          </w:divBdr>
        </w:div>
        <w:div w:id="55009005">
          <w:marLeft w:val="0"/>
          <w:marRight w:val="0"/>
          <w:marTop w:val="0"/>
          <w:marBottom w:val="0"/>
          <w:divBdr>
            <w:top w:val="none" w:sz="0" w:space="0" w:color="auto"/>
            <w:left w:val="none" w:sz="0" w:space="0" w:color="auto"/>
            <w:bottom w:val="none" w:sz="0" w:space="0" w:color="auto"/>
            <w:right w:val="none" w:sz="0" w:space="0" w:color="auto"/>
          </w:divBdr>
        </w:div>
        <w:div w:id="1366518273">
          <w:marLeft w:val="0"/>
          <w:marRight w:val="0"/>
          <w:marTop w:val="0"/>
          <w:marBottom w:val="0"/>
          <w:divBdr>
            <w:top w:val="none" w:sz="0" w:space="0" w:color="auto"/>
            <w:left w:val="none" w:sz="0" w:space="0" w:color="auto"/>
            <w:bottom w:val="none" w:sz="0" w:space="0" w:color="auto"/>
            <w:right w:val="none" w:sz="0" w:space="0" w:color="auto"/>
          </w:divBdr>
        </w:div>
        <w:div w:id="1662465463">
          <w:marLeft w:val="0"/>
          <w:marRight w:val="0"/>
          <w:marTop w:val="0"/>
          <w:marBottom w:val="0"/>
          <w:divBdr>
            <w:top w:val="none" w:sz="0" w:space="0" w:color="auto"/>
            <w:left w:val="none" w:sz="0" w:space="0" w:color="auto"/>
            <w:bottom w:val="none" w:sz="0" w:space="0" w:color="auto"/>
            <w:right w:val="none" w:sz="0" w:space="0" w:color="auto"/>
          </w:divBdr>
        </w:div>
        <w:div w:id="1328438270">
          <w:marLeft w:val="0"/>
          <w:marRight w:val="0"/>
          <w:marTop w:val="0"/>
          <w:marBottom w:val="0"/>
          <w:divBdr>
            <w:top w:val="none" w:sz="0" w:space="0" w:color="auto"/>
            <w:left w:val="none" w:sz="0" w:space="0" w:color="auto"/>
            <w:bottom w:val="none" w:sz="0" w:space="0" w:color="auto"/>
            <w:right w:val="none" w:sz="0" w:space="0" w:color="auto"/>
          </w:divBdr>
        </w:div>
      </w:divsChild>
    </w:div>
    <w:div w:id="815881314">
      <w:bodyDiv w:val="1"/>
      <w:marLeft w:val="0"/>
      <w:marRight w:val="0"/>
      <w:marTop w:val="0"/>
      <w:marBottom w:val="0"/>
      <w:divBdr>
        <w:top w:val="none" w:sz="0" w:space="0" w:color="auto"/>
        <w:left w:val="none" w:sz="0" w:space="0" w:color="auto"/>
        <w:bottom w:val="none" w:sz="0" w:space="0" w:color="auto"/>
        <w:right w:val="none" w:sz="0" w:space="0" w:color="auto"/>
      </w:divBdr>
      <w:divsChild>
        <w:div w:id="779691184">
          <w:marLeft w:val="0"/>
          <w:marRight w:val="0"/>
          <w:marTop w:val="0"/>
          <w:marBottom w:val="0"/>
          <w:divBdr>
            <w:top w:val="none" w:sz="0" w:space="0" w:color="auto"/>
            <w:left w:val="none" w:sz="0" w:space="0" w:color="auto"/>
            <w:bottom w:val="none" w:sz="0" w:space="0" w:color="auto"/>
            <w:right w:val="none" w:sz="0" w:space="0" w:color="auto"/>
          </w:divBdr>
        </w:div>
        <w:div w:id="225148295">
          <w:marLeft w:val="0"/>
          <w:marRight w:val="0"/>
          <w:marTop w:val="0"/>
          <w:marBottom w:val="0"/>
          <w:divBdr>
            <w:top w:val="none" w:sz="0" w:space="0" w:color="auto"/>
            <w:left w:val="none" w:sz="0" w:space="0" w:color="auto"/>
            <w:bottom w:val="none" w:sz="0" w:space="0" w:color="auto"/>
            <w:right w:val="none" w:sz="0" w:space="0" w:color="auto"/>
          </w:divBdr>
        </w:div>
        <w:div w:id="1377700422">
          <w:marLeft w:val="0"/>
          <w:marRight w:val="0"/>
          <w:marTop w:val="0"/>
          <w:marBottom w:val="0"/>
          <w:divBdr>
            <w:top w:val="none" w:sz="0" w:space="0" w:color="auto"/>
            <w:left w:val="none" w:sz="0" w:space="0" w:color="auto"/>
            <w:bottom w:val="none" w:sz="0" w:space="0" w:color="auto"/>
            <w:right w:val="none" w:sz="0" w:space="0" w:color="auto"/>
          </w:divBdr>
        </w:div>
        <w:div w:id="686248150">
          <w:marLeft w:val="0"/>
          <w:marRight w:val="0"/>
          <w:marTop w:val="0"/>
          <w:marBottom w:val="0"/>
          <w:divBdr>
            <w:top w:val="none" w:sz="0" w:space="0" w:color="auto"/>
            <w:left w:val="none" w:sz="0" w:space="0" w:color="auto"/>
            <w:bottom w:val="none" w:sz="0" w:space="0" w:color="auto"/>
            <w:right w:val="none" w:sz="0" w:space="0" w:color="auto"/>
          </w:divBdr>
        </w:div>
        <w:div w:id="1182663947">
          <w:marLeft w:val="0"/>
          <w:marRight w:val="0"/>
          <w:marTop w:val="0"/>
          <w:marBottom w:val="0"/>
          <w:divBdr>
            <w:top w:val="none" w:sz="0" w:space="0" w:color="auto"/>
            <w:left w:val="none" w:sz="0" w:space="0" w:color="auto"/>
            <w:bottom w:val="none" w:sz="0" w:space="0" w:color="auto"/>
            <w:right w:val="none" w:sz="0" w:space="0" w:color="auto"/>
          </w:divBdr>
        </w:div>
        <w:div w:id="246109779">
          <w:marLeft w:val="0"/>
          <w:marRight w:val="0"/>
          <w:marTop w:val="0"/>
          <w:marBottom w:val="0"/>
          <w:divBdr>
            <w:top w:val="none" w:sz="0" w:space="0" w:color="auto"/>
            <w:left w:val="none" w:sz="0" w:space="0" w:color="auto"/>
            <w:bottom w:val="none" w:sz="0" w:space="0" w:color="auto"/>
            <w:right w:val="none" w:sz="0" w:space="0" w:color="auto"/>
          </w:divBdr>
        </w:div>
        <w:div w:id="1383797095">
          <w:marLeft w:val="0"/>
          <w:marRight w:val="0"/>
          <w:marTop w:val="0"/>
          <w:marBottom w:val="0"/>
          <w:divBdr>
            <w:top w:val="none" w:sz="0" w:space="0" w:color="auto"/>
            <w:left w:val="none" w:sz="0" w:space="0" w:color="auto"/>
            <w:bottom w:val="none" w:sz="0" w:space="0" w:color="auto"/>
            <w:right w:val="none" w:sz="0" w:space="0" w:color="auto"/>
          </w:divBdr>
        </w:div>
        <w:div w:id="431585562">
          <w:marLeft w:val="0"/>
          <w:marRight w:val="0"/>
          <w:marTop w:val="0"/>
          <w:marBottom w:val="0"/>
          <w:divBdr>
            <w:top w:val="none" w:sz="0" w:space="0" w:color="auto"/>
            <w:left w:val="none" w:sz="0" w:space="0" w:color="auto"/>
            <w:bottom w:val="none" w:sz="0" w:space="0" w:color="auto"/>
            <w:right w:val="none" w:sz="0" w:space="0" w:color="auto"/>
          </w:divBdr>
        </w:div>
        <w:div w:id="293171798">
          <w:marLeft w:val="0"/>
          <w:marRight w:val="0"/>
          <w:marTop w:val="0"/>
          <w:marBottom w:val="0"/>
          <w:divBdr>
            <w:top w:val="none" w:sz="0" w:space="0" w:color="auto"/>
            <w:left w:val="none" w:sz="0" w:space="0" w:color="auto"/>
            <w:bottom w:val="none" w:sz="0" w:space="0" w:color="auto"/>
            <w:right w:val="none" w:sz="0" w:space="0" w:color="auto"/>
          </w:divBdr>
        </w:div>
        <w:div w:id="107625541">
          <w:marLeft w:val="0"/>
          <w:marRight w:val="0"/>
          <w:marTop w:val="0"/>
          <w:marBottom w:val="0"/>
          <w:divBdr>
            <w:top w:val="none" w:sz="0" w:space="0" w:color="auto"/>
            <w:left w:val="none" w:sz="0" w:space="0" w:color="auto"/>
            <w:bottom w:val="none" w:sz="0" w:space="0" w:color="auto"/>
            <w:right w:val="none" w:sz="0" w:space="0" w:color="auto"/>
          </w:divBdr>
        </w:div>
        <w:div w:id="1258825914">
          <w:marLeft w:val="0"/>
          <w:marRight w:val="0"/>
          <w:marTop w:val="0"/>
          <w:marBottom w:val="0"/>
          <w:divBdr>
            <w:top w:val="none" w:sz="0" w:space="0" w:color="auto"/>
            <w:left w:val="none" w:sz="0" w:space="0" w:color="auto"/>
            <w:bottom w:val="none" w:sz="0" w:space="0" w:color="auto"/>
            <w:right w:val="none" w:sz="0" w:space="0" w:color="auto"/>
          </w:divBdr>
        </w:div>
        <w:div w:id="1771848387">
          <w:marLeft w:val="0"/>
          <w:marRight w:val="0"/>
          <w:marTop w:val="0"/>
          <w:marBottom w:val="0"/>
          <w:divBdr>
            <w:top w:val="none" w:sz="0" w:space="0" w:color="auto"/>
            <w:left w:val="none" w:sz="0" w:space="0" w:color="auto"/>
            <w:bottom w:val="none" w:sz="0" w:space="0" w:color="auto"/>
            <w:right w:val="none" w:sz="0" w:space="0" w:color="auto"/>
          </w:divBdr>
        </w:div>
        <w:div w:id="1631325259">
          <w:marLeft w:val="0"/>
          <w:marRight w:val="0"/>
          <w:marTop w:val="0"/>
          <w:marBottom w:val="0"/>
          <w:divBdr>
            <w:top w:val="none" w:sz="0" w:space="0" w:color="auto"/>
            <w:left w:val="none" w:sz="0" w:space="0" w:color="auto"/>
            <w:bottom w:val="none" w:sz="0" w:space="0" w:color="auto"/>
            <w:right w:val="none" w:sz="0" w:space="0" w:color="auto"/>
          </w:divBdr>
        </w:div>
        <w:div w:id="658271046">
          <w:marLeft w:val="0"/>
          <w:marRight w:val="0"/>
          <w:marTop w:val="0"/>
          <w:marBottom w:val="0"/>
          <w:divBdr>
            <w:top w:val="none" w:sz="0" w:space="0" w:color="auto"/>
            <w:left w:val="none" w:sz="0" w:space="0" w:color="auto"/>
            <w:bottom w:val="none" w:sz="0" w:space="0" w:color="auto"/>
            <w:right w:val="none" w:sz="0" w:space="0" w:color="auto"/>
          </w:divBdr>
        </w:div>
        <w:div w:id="1967394705">
          <w:marLeft w:val="0"/>
          <w:marRight w:val="0"/>
          <w:marTop w:val="0"/>
          <w:marBottom w:val="0"/>
          <w:divBdr>
            <w:top w:val="none" w:sz="0" w:space="0" w:color="auto"/>
            <w:left w:val="none" w:sz="0" w:space="0" w:color="auto"/>
            <w:bottom w:val="none" w:sz="0" w:space="0" w:color="auto"/>
            <w:right w:val="none" w:sz="0" w:space="0" w:color="auto"/>
          </w:divBdr>
        </w:div>
      </w:divsChild>
    </w:div>
    <w:div w:id="822041456">
      <w:bodyDiv w:val="1"/>
      <w:marLeft w:val="0"/>
      <w:marRight w:val="0"/>
      <w:marTop w:val="0"/>
      <w:marBottom w:val="0"/>
      <w:divBdr>
        <w:top w:val="none" w:sz="0" w:space="0" w:color="auto"/>
        <w:left w:val="none" w:sz="0" w:space="0" w:color="auto"/>
        <w:bottom w:val="none" w:sz="0" w:space="0" w:color="auto"/>
        <w:right w:val="none" w:sz="0" w:space="0" w:color="auto"/>
      </w:divBdr>
      <w:divsChild>
        <w:div w:id="806051911">
          <w:marLeft w:val="0"/>
          <w:marRight w:val="0"/>
          <w:marTop w:val="0"/>
          <w:marBottom w:val="0"/>
          <w:divBdr>
            <w:top w:val="none" w:sz="0" w:space="0" w:color="auto"/>
            <w:left w:val="none" w:sz="0" w:space="0" w:color="auto"/>
            <w:bottom w:val="none" w:sz="0" w:space="0" w:color="auto"/>
            <w:right w:val="none" w:sz="0" w:space="0" w:color="auto"/>
          </w:divBdr>
        </w:div>
        <w:div w:id="681668648">
          <w:marLeft w:val="0"/>
          <w:marRight w:val="0"/>
          <w:marTop w:val="0"/>
          <w:marBottom w:val="0"/>
          <w:divBdr>
            <w:top w:val="none" w:sz="0" w:space="0" w:color="auto"/>
            <w:left w:val="none" w:sz="0" w:space="0" w:color="auto"/>
            <w:bottom w:val="none" w:sz="0" w:space="0" w:color="auto"/>
            <w:right w:val="none" w:sz="0" w:space="0" w:color="auto"/>
          </w:divBdr>
        </w:div>
        <w:div w:id="1628464066">
          <w:marLeft w:val="0"/>
          <w:marRight w:val="0"/>
          <w:marTop w:val="0"/>
          <w:marBottom w:val="0"/>
          <w:divBdr>
            <w:top w:val="none" w:sz="0" w:space="0" w:color="auto"/>
            <w:left w:val="none" w:sz="0" w:space="0" w:color="auto"/>
            <w:bottom w:val="none" w:sz="0" w:space="0" w:color="auto"/>
            <w:right w:val="none" w:sz="0" w:space="0" w:color="auto"/>
          </w:divBdr>
        </w:div>
      </w:divsChild>
    </w:div>
    <w:div w:id="858352534">
      <w:bodyDiv w:val="1"/>
      <w:marLeft w:val="0"/>
      <w:marRight w:val="0"/>
      <w:marTop w:val="0"/>
      <w:marBottom w:val="0"/>
      <w:divBdr>
        <w:top w:val="none" w:sz="0" w:space="0" w:color="auto"/>
        <w:left w:val="none" w:sz="0" w:space="0" w:color="auto"/>
        <w:bottom w:val="none" w:sz="0" w:space="0" w:color="auto"/>
        <w:right w:val="none" w:sz="0" w:space="0" w:color="auto"/>
      </w:divBdr>
      <w:divsChild>
        <w:div w:id="726223250">
          <w:marLeft w:val="0"/>
          <w:marRight w:val="0"/>
          <w:marTop w:val="0"/>
          <w:marBottom w:val="0"/>
          <w:divBdr>
            <w:top w:val="none" w:sz="0" w:space="0" w:color="auto"/>
            <w:left w:val="none" w:sz="0" w:space="0" w:color="auto"/>
            <w:bottom w:val="none" w:sz="0" w:space="0" w:color="auto"/>
            <w:right w:val="none" w:sz="0" w:space="0" w:color="auto"/>
          </w:divBdr>
        </w:div>
        <w:div w:id="2027511209">
          <w:marLeft w:val="0"/>
          <w:marRight w:val="0"/>
          <w:marTop w:val="0"/>
          <w:marBottom w:val="0"/>
          <w:divBdr>
            <w:top w:val="none" w:sz="0" w:space="0" w:color="auto"/>
            <w:left w:val="none" w:sz="0" w:space="0" w:color="auto"/>
            <w:bottom w:val="none" w:sz="0" w:space="0" w:color="auto"/>
            <w:right w:val="none" w:sz="0" w:space="0" w:color="auto"/>
          </w:divBdr>
        </w:div>
      </w:divsChild>
    </w:div>
    <w:div w:id="861434824">
      <w:bodyDiv w:val="1"/>
      <w:marLeft w:val="0"/>
      <w:marRight w:val="0"/>
      <w:marTop w:val="0"/>
      <w:marBottom w:val="0"/>
      <w:divBdr>
        <w:top w:val="none" w:sz="0" w:space="0" w:color="auto"/>
        <w:left w:val="none" w:sz="0" w:space="0" w:color="auto"/>
        <w:bottom w:val="none" w:sz="0" w:space="0" w:color="auto"/>
        <w:right w:val="none" w:sz="0" w:space="0" w:color="auto"/>
      </w:divBdr>
      <w:divsChild>
        <w:div w:id="1511408594">
          <w:marLeft w:val="0"/>
          <w:marRight w:val="0"/>
          <w:marTop w:val="0"/>
          <w:marBottom w:val="0"/>
          <w:divBdr>
            <w:top w:val="none" w:sz="0" w:space="0" w:color="auto"/>
            <w:left w:val="none" w:sz="0" w:space="0" w:color="auto"/>
            <w:bottom w:val="none" w:sz="0" w:space="0" w:color="auto"/>
            <w:right w:val="none" w:sz="0" w:space="0" w:color="auto"/>
          </w:divBdr>
        </w:div>
        <w:div w:id="1721515943">
          <w:marLeft w:val="0"/>
          <w:marRight w:val="0"/>
          <w:marTop w:val="0"/>
          <w:marBottom w:val="0"/>
          <w:divBdr>
            <w:top w:val="none" w:sz="0" w:space="0" w:color="auto"/>
            <w:left w:val="none" w:sz="0" w:space="0" w:color="auto"/>
            <w:bottom w:val="none" w:sz="0" w:space="0" w:color="auto"/>
            <w:right w:val="none" w:sz="0" w:space="0" w:color="auto"/>
          </w:divBdr>
        </w:div>
        <w:div w:id="167335991">
          <w:marLeft w:val="0"/>
          <w:marRight w:val="0"/>
          <w:marTop w:val="0"/>
          <w:marBottom w:val="0"/>
          <w:divBdr>
            <w:top w:val="none" w:sz="0" w:space="0" w:color="auto"/>
            <w:left w:val="none" w:sz="0" w:space="0" w:color="auto"/>
            <w:bottom w:val="none" w:sz="0" w:space="0" w:color="auto"/>
            <w:right w:val="none" w:sz="0" w:space="0" w:color="auto"/>
          </w:divBdr>
        </w:div>
        <w:div w:id="1190679224">
          <w:marLeft w:val="0"/>
          <w:marRight w:val="0"/>
          <w:marTop w:val="0"/>
          <w:marBottom w:val="0"/>
          <w:divBdr>
            <w:top w:val="none" w:sz="0" w:space="0" w:color="auto"/>
            <w:left w:val="none" w:sz="0" w:space="0" w:color="auto"/>
            <w:bottom w:val="none" w:sz="0" w:space="0" w:color="auto"/>
            <w:right w:val="none" w:sz="0" w:space="0" w:color="auto"/>
          </w:divBdr>
        </w:div>
        <w:div w:id="173693160">
          <w:marLeft w:val="0"/>
          <w:marRight w:val="0"/>
          <w:marTop w:val="0"/>
          <w:marBottom w:val="0"/>
          <w:divBdr>
            <w:top w:val="none" w:sz="0" w:space="0" w:color="auto"/>
            <w:left w:val="none" w:sz="0" w:space="0" w:color="auto"/>
            <w:bottom w:val="none" w:sz="0" w:space="0" w:color="auto"/>
            <w:right w:val="none" w:sz="0" w:space="0" w:color="auto"/>
          </w:divBdr>
        </w:div>
        <w:div w:id="1309475110">
          <w:marLeft w:val="0"/>
          <w:marRight w:val="0"/>
          <w:marTop w:val="0"/>
          <w:marBottom w:val="0"/>
          <w:divBdr>
            <w:top w:val="none" w:sz="0" w:space="0" w:color="auto"/>
            <w:left w:val="none" w:sz="0" w:space="0" w:color="auto"/>
            <w:bottom w:val="none" w:sz="0" w:space="0" w:color="auto"/>
            <w:right w:val="none" w:sz="0" w:space="0" w:color="auto"/>
          </w:divBdr>
        </w:div>
        <w:div w:id="625701594">
          <w:marLeft w:val="0"/>
          <w:marRight w:val="0"/>
          <w:marTop w:val="0"/>
          <w:marBottom w:val="0"/>
          <w:divBdr>
            <w:top w:val="none" w:sz="0" w:space="0" w:color="auto"/>
            <w:left w:val="none" w:sz="0" w:space="0" w:color="auto"/>
            <w:bottom w:val="none" w:sz="0" w:space="0" w:color="auto"/>
            <w:right w:val="none" w:sz="0" w:space="0" w:color="auto"/>
          </w:divBdr>
        </w:div>
      </w:divsChild>
    </w:div>
    <w:div w:id="868179634">
      <w:bodyDiv w:val="1"/>
      <w:marLeft w:val="0"/>
      <w:marRight w:val="0"/>
      <w:marTop w:val="0"/>
      <w:marBottom w:val="0"/>
      <w:divBdr>
        <w:top w:val="none" w:sz="0" w:space="0" w:color="auto"/>
        <w:left w:val="none" w:sz="0" w:space="0" w:color="auto"/>
        <w:bottom w:val="none" w:sz="0" w:space="0" w:color="auto"/>
        <w:right w:val="none" w:sz="0" w:space="0" w:color="auto"/>
      </w:divBdr>
    </w:div>
    <w:div w:id="881136455">
      <w:bodyDiv w:val="1"/>
      <w:marLeft w:val="0"/>
      <w:marRight w:val="0"/>
      <w:marTop w:val="0"/>
      <w:marBottom w:val="0"/>
      <w:divBdr>
        <w:top w:val="none" w:sz="0" w:space="0" w:color="auto"/>
        <w:left w:val="none" w:sz="0" w:space="0" w:color="auto"/>
        <w:bottom w:val="none" w:sz="0" w:space="0" w:color="auto"/>
        <w:right w:val="none" w:sz="0" w:space="0" w:color="auto"/>
      </w:divBdr>
      <w:divsChild>
        <w:div w:id="48308707">
          <w:marLeft w:val="0"/>
          <w:marRight w:val="0"/>
          <w:marTop w:val="0"/>
          <w:marBottom w:val="0"/>
          <w:divBdr>
            <w:top w:val="none" w:sz="0" w:space="0" w:color="auto"/>
            <w:left w:val="none" w:sz="0" w:space="0" w:color="auto"/>
            <w:bottom w:val="none" w:sz="0" w:space="0" w:color="auto"/>
            <w:right w:val="none" w:sz="0" w:space="0" w:color="auto"/>
          </w:divBdr>
          <w:divsChild>
            <w:div w:id="1762408011">
              <w:marLeft w:val="0"/>
              <w:marRight w:val="0"/>
              <w:marTop w:val="0"/>
              <w:marBottom w:val="0"/>
              <w:divBdr>
                <w:top w:val="none" w:sz="0" w:space="0" w:color="auto"/>
                <w:left w:val="none" w:sz="0" w:space="0" w:color="auto"/>
                <w:bottom w:val="none" w:sz="0" w:space="0" w:color="auto"/>
                <w:right w:val="none" w:sz="0" w:space="0" w:color="auto"/>
              </w:divBdr>
            </w:div>
          </w:divsChild>
        </w:div>
        <w:div w:id="87896579">
          <w:marLeft w:val="0"/>
          <w:marRight w:val="0"/>
          <w:marTop w:val="0"/>
          <w:marBottom w:val="0"/>
          <w:divBdr>
            <w:top w:val="none" w:sz="0" w:space="0" w:color="auto"/>
            <w:left w:val="none" w:sz="0" w:space="0" w:color="auto"/>
            <w:bottom w:val="none" w:sz="0" w:space="0" w:color="auto"/>
            <w:right w:val="none" w:sz="0" w:space="0" w:color="auto"/>
          </w:divBdr>
          <w:divsChild>
            <w:div w:id="600529132">
              <w:marLeft w:val="0"/>
              <w:marRight w:val="0"/>
              <w:marTop w:val="0"/>
              <w:marBottom w:val="0"/>
              <w:divBdr>
                <w:top w:val="none" w:sz="0" w:space="0" w:color="auto"/>
                <w:left w:val="none" w:sz="0" w:space="0" w:color="auto"/>
                <w:bottom w:val="none" w:sz="0" w:space="0" w:color="auto"/>
                <w:right w:val="none" w:sz="0" w:space="0" w:color="auto"/>
              </w:divBdr>
              <w:divsChild>
                <w:div w:id="4672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26053">
      <w:bodyDiv w:val="1"/>
      <w:marLeft w:val="0"/>
      <w:marRight w:val="0"/>
      <w:marTop w:val="0"/>
      <w:marBottom w:val="0"/>
      <w:divBdr>
        <w:top w:val="none" w:sz="0" w:space="0" w:color="auto"/>
        <w:left w:val="none" w:sz="0" w:space="0" w:color="auto"/>
        <w:bottom w:val="none" w:sz="0" w:space="0" w:color="auto"/>
        <w:right w:val="none" w:sz="0" w:space="0" w:color="auto"/>
      </w:divBdr>
    </w:div>
    <w:div w:id="889539766">
      <w:bodyDiv w:val="1"/>
      <w:marLeft w:val="0"/>
      <w:marRight w:val="0"/>
      <w:marTop w:val="0"/>
      <w:marBottom w:val="0"/>
      <w:divBdr>
        <w:top w:val="none" w:sz="0" w:space="0" w:color="auto"/>
        <w:left w:val="none" w:sz="0" w:space="0" w:color="auto"/>
        <w:bottom w:val="none" w:sz="0" w:space="0" w:color="auto"/>
        <w:right w:val="none" w:sz="0" w:space="0" w:color="auto"/>
      </w:divBdr>
      <w:divsChild>
        <w:div w:id="567114750">
          <w:marLeft w:val="0"/>
          <w:marRight w:val="0"/>
          <w:marTop w:val="0"/>
          <w:marBottom w:val="0"/>
          <w:divBdr>
            <w:top w:val="none" w:sz="0" w:space="0" w:color="auto"/>
            <w:left w:val="none" w:sz="0" w:space="0" w:color="auto"/>
            <w:bottom w:val="none" w:sz="0" w:space="0" w:color="auto"/>
            <w:right w:val="none" w:sz="0" w:space="0" w:color="auto"/>
          </w:divBdr>
        </w:div>
        <w:div w:id="897597080">
          <w:marLeft w:val="0"/>
          <w:marRight w:val="0"/>
          <w:marTop w:val="0"/>
          <w:marBottom w:val="0"/>
          <w:divBdr>
            <w:top w:val="none" w:sz="0" w:space="0" w:color="auto"/>
            <w:left w:val="none" w:sz="0" w:space="0" w:color="auto"/>
            <w:bottom w:val="none" w:sz="0" w:space="0" w:color="auto"/>
            <w:right w:val="none" w:sz="0" w:space="0" w:color="auto"/>
          </w:divBdr>
        </w:div>
        <w:div w:id="1499346202">
          <w:marLeft w:val="0"/>
          <w:marRight w:val="0"/>
          <w:marTop w:val="0"/>
          <w:marBottom w:val="0"/>
          <w:divBdr>
            <w:top w:val="none" w:sz="0" w:space="0" w:color="auto"/>
            <w:left w:val="none" w:sz="0" w:space="0" w:color="auto"/>
            <w:bottom w:val="none" w:sz="0" w:space="0" w:color="auto"/>
            <w:right w:val="none" w:sz="0" w:space="0" w:color="auto"/>
          </w:divBdr>
        </w:div>
        <w:div w:id="2052731759">
          <w:marLeft w:val="0"/>
          <w:marRight w:val="0"/>
          <w:marTop w:val="0"/>
          <w:marBottom w:val="0"/>
          <w:divBdr>
            <w:top w:val="none" w:sz="0" w:space="0" w:color="auto"/>
            <w:left w:val="none" w:sz="0" w:space="0" w:color="auto"/>
            <w:bottom w:val="none" w:sz="0" w:space="0" w:color="auto"/>
            <w:right w:val="none" w:sz="0" w:space="0" w:color="auto"/>
          </w:divBdr>
        </w:div>
      </w:divsChild>
    </w:div>
    <w:div w:id="896476200">
      <w:bodyDiv w:val="1"/>
      <w:marLeft w:val="0"/>
      <w:marRight w:val="0"/>
      <w:marTop w:val="0"/>
      <w:marBottom w:val="0"/>
      <w:divBdr>
        <w:top w:val="none" w:sz="0" w:space="0" w:color="auto"/>
        <w:left w:val="none" w:sz="0" w:space="0" w:color="auto"/>
        <w:bottom w:val="none" w:sz="0" w:space="0" w:color="auto"/>
        <w:right w:val="none" w:sz="0" w:space="0" w:color="auto"/>
      </w:divBdr>
    </w:div>
    <w:div w:id="912813772">
      <w:bodyDiv w:val="1"/>
      <w:marLeft w:val="0"/>
      <w:marRight w:val="0"/>
      <w:marTop w:val="0"/>
      <w:marBottom w:val="0"/>
      <w:divBdr>
        <w:top w:val="none" w:sz="0" w:space="0" w:color="auto"/>
        <w:left w:val="none" w:sz="0" w:space="0" w:color="auto"/>
        <w:bottom w:val="none" w:sz="0" w:space="0" w:color="auto"/>
        <w:right w:val="none" w:sz="0" w:space="0" w:color="auto"/>
      </w:divBdr>
      <w:divsChild>
        <w:div w:id="1195078108">
          <w:marLeft w:val="0"/>
          <w:marRight w:val="0"/>
          <w:marTop w:val="0"/>
          <w:marBottom w:val="0"/>
          <w:divBdr>
            <w:top w:val="none" w:sz="0" w:space="0" w:color="auto"/>
            <w:left w:val="none" w:sz="0" w:space="0" w:color="auto"/>
            <w:bottom w:val="none" w:sz="0" w:space="0" w:color="auto"/>
            <w:right w:val="none" w:sz="0" w:space="0" w:color="auto"/>
          </w:divBdr>
          <w:divsChild>
            <w:div w:id="1445613038">
              <w:marLeft w:val="0"/>
              <w:marRight w:val="0"/>
              <w:marTop w:val="0"/>
              <w:marBottom w:val="0"/>
              <w:divBdr>
                <w:top w:val="none" w:sz="0" w:space="0" w:color="auto"/>
                <w:left w:val="none" w:sz="0" w:space="0" w:color="auto"/>
                <w:bottom w:val="none" w:sz="0" w:space="0" w:color="auto"/>
                <w:right w:val="none" w:sz="0" w:space="0" w:color="auto"/>
              </w:divBdr>
              <w:divsChild>
                <w:div w:id="554511455">
                  <w:marLeft w:val="0"/>
                  <w:marRight w:val="0"/>
                  <w:marTop w:val="0"/>
                  <w:marBottom w:val="0"/>
                  <w:divBdr>
                    <w:top w:val="none" w:sz="0" w:space="0" w:color="auto"/>
                    <w:left w:val="none" w:sz="0" w:space="0" w:color="auto"/>
                    <w:bottom w:val="none" w:sz="0" w:space="0" w:color="auto"/>
                    <w:right w:val="none" w:sz="0" w:space="0" w:color="auto"/>
                  </w:divBdr>
                  <w:divsChild>
                    <w:div w:id="124784578">
                      <w:marLeft w:val="0"/>
                      <w:marRight w:val="0"/>
                      <w:marTop w:val="0"/>
                      <w:marBottom w:val="0"/>
                      <w:divBdr>
                        <w:top w:val="none" w:sz="0" w:space="0" w:color="auto"/>
                        <w:left w:val="none" w:sz="0" w:space="0" w:color="auto"/>
                        <w:bottom w:val="none" w:sz="0" w:space="0" w:color="auto"/>
                        <w:right w:val="none" w:sz="0" w:space="0" w:color="auto"/>
                      </w:divBdr>
                      <w:divsChild>
                        <w:div w:id="1989817368">
                          <w:marLeft w:val="0"/>
                          <w:marRight w:val="0"/>
                          <w:marTop w:val="0"/>
                          <w:marBottom w:val="0"/>
                          <w:divBdr>
                            <w:top w:val="none" w:sz="0" w:space="0" w:color="auto"/>
                            <w:left w:val="none" w:sz="0" w:space="0" w:color="auto"/>
                            <w:bottom w:val="none" w:sz="0" w:space="0" w:color="auto"/>
                            <w:right w:val="none" w:sz="0" w:space="0" w:color="auto"/>
                          </w:divBdr>
                          <w:divsChild>
                            <w:div w:id="235092525">
                              <w:marLeft w:val="0"/>
                              <w:marRight w:val="0"/>
                              <w:marTop w:val="0"/>
                              <w:marBottom w:val="0"/>
                              <w:divBdr>
                                <w:top w:val="none" w:sz="0" w:space="0" w:color="auto"/>
                                <w:left w:val="none" w:sz="0" w:space="0" w:color="auto"/>
                                <w:bottom w:val="none" w:sz="0" w:space="0" w:color="auto"/>
                                <w:right w:val="none" w:sz="0" w:space="0" w:color="auto"/>
                              </w:divBdr>
                              <w:divsChild>
                                <w:div w:id="13474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129682">
      <w:bodyDiv w:val="1"/>
      <w:marLeft w:val="0"/>
      <w:marRight w:val="0"/>
      <w:marTop w:val="0"/>
      <w:marBottom w:val="0"/>
      <w:divBdr>
        <w:top w:val="none" w:sz="0" w:space="0" w:color="auto"/>
        <w:left w:val="none" w:sz="0" w:space="0" w:color="auto"/>
        <w:bottom w:val="none" w:sz="0" w:space="0" w:color="auto"/>
        <w:right w:val="none" w:sz="0" w:space="0" w:color="auto"/>
      </w:divBdr>
      <w:divsChild>
        <w:div w:id="1690835279">
          <w:marLeft w:val="0"/>
          <w:marRight w:val="0"/>
          <w:marTop w:val="0"/>
          <w:marBottom w:val="0"/>
          <w:divBdr>
            <w:top w:val="none" w:sz="0" w:space="0" w:color="auto"/>
            <w:left w:val="none" w:sz="0" w:space="0" w:color="auto"/>
            <w:bottom w:val="none" w:sz="0" w:space="0" w:color="auto"/>
            <w:right w:val="none" w:sz="0" w:space="0" w:color="auto"/>
          </w:divBdr>
        </w:div>
        <w:div w:id="2007903109">
          <w:marLeft w:val="0"/>
          <w:marRight w:val="0"/>
          <w:marTop w:val="0"/>
          <w:marBottom w:val="0"/>
          <w:divBdr>
            <w:top w:val="none" w:sz="0" w:space="0" w:color="auto"/>
            <w:left w:val="none" w:sz="0" w:space="0" w:color="auto"/>
            <w:bottom w:val="none" w:sz="0" w:space="0" w:color="auto"/>
            <w:right w:val="none" w:sz="0" w:space="0" w:color="auto"/>
          </w:divBdr>
        </w:div>
        <w:div w:id="530414118">
          <w:marLeft w:val="0"/>
          <w:marRight w:val="0"/>
          <w:marTop w:val="0"/>
          <w:marBottom w:val="0"/>
          <w:divBdr>
            <w:top w:val="none" w:sz="0" w:space="0" w:color="auto"/>
            <w:left w:val="none" w:sz="0" w:space="0" w:color="auto"/>
            <w:bottom w:val="none" w:sz="0" w:space="0" w:color="auto"/>
            <w:right w:val="none" w:sz="0" w:space="0" w:color="auto"/>
          </w:divBdr>
        </w:div>
      </w:divsChild>
    </w:div>
    <w:div w:id="930314146">
      <w:bodyDiv w:val="1"/>
      <w:marLeft w:val="0"/>
      <w:marRight w:val="0"/>
      <w:marTop w:val="0"/>
      <w:marBottom w:val="0"/>
      <w:divBdr>
        <w:top w:val="none" w:sz="0" w:space="0" w:color="auto"/>
        <w:left w:val="none" w:sz="0" w:space="0" w:color="auto"/>
        <w:bottom w:val="none" w:sz="0" w:space="0" w:color="auto"/>
        <w:right w:val="none" w:sz="0" w:space="0" w:color="auto"/>
      </w:divBdr>
      <w:divsChild>
        <w:div w:id="825508303">
          <w:marLeft w:val="0"/>
          <w:marRight w:val="0"/>
          <w:marTop w:val="0"/>
          <w:marBottom w:val="0"/>
          <w:divBdr>
            <w:top w:val="none" w:sz="0" w:space="0" w:color="auto"/>
            <w:left w:val="none" w:sz="0" w:space="0" w:color="auto"/>
            <w:bottom w:val="none" w:sz="0" w:space="0" w:color="auto"/>
            <w:right w:val="none" w:sz="0" w:space="0" w:color="auto"/>
          </w:divBdr>
        </w:div>
      </w:divsChild>
    </w:div>
    <w:div w:id="931662156">
      <w:bodyDiv w:val="1"/>
      <w:marLeft w:val="0"/>
      <w:marRight w:val="0"/>
      <w:marTop w:val="0"/>
      <w:marBottom w:val="0"/>
      <w:divBdr>
        <w:top w:val="none" w:sz="0" w:space="0" w:color="auto"/>
        <w:left w:val="none" w:sz="0" w:space="0" w:color="auto"/>
        <w:bottom w:val="none" w:sz="0" w:space="0" w:color="auto"/>
        <w:right w:val="none" w:sz="0" w:space="0" w:color="auto"/>
      </w:divBdr>
      <w:divsChild>
        <w:div w:id="178281898">
          <w:marLeft w:val="0"/>
          <w:marRight w:val="0"/>
          <w:marTop w:val="0"/>
          <w:marBottom w:val="0"/>
          <w:divBdr>
            <w:top w:val="none" w:sz="0" w:space="0" w:color="auto"/>
            <w:left w:val="none" w:sz="0" w:space="0" w:color="auto"/>
            <w:bottom w:val="none" w:sz="0" w:space="0" w:color="auto"/>
            <w:right w:val="none" w:sz="0" w:space="0" w:color="auto"/>
          </w:divBdr>
        </w:div>
        <w:div w:id="1817992677">
          <w:marLeft w:val="0"/>
          <w:marRight w:val="0"/>
          <w:marTop w:val="0"/>
          <w:marBottom w:val="0"/>
          <w:divBdr>
            <w:top w:val="none" w:sz="0" w:space="0" w:color="auto"/>
            <w:left w:val="none" w:sz="0" w:space="0" w:color="auto"/>
            <w:bottom w:val="none" w:sz="0" w:space="0" w:color="auto"/>
            <w:right w:val="none" w:sz="0" w:space="0" w:color="auto"/>
          </w:divBdr>
        </w:div>
        <w:div w:id="1225870020">
          <w:marLeft w:val="0"/>
          <w:marRight w:val="0"/>
          <w:marTop w:val="0"/>
          <w:marBottom w:val="0"/>
          <w:divBdr>
            <w:top w:val="none" w:sz="0" w:space="0" w:color="auto"/>
            <w:left w:val="none" w:sz="0" w:space="0" w:color="auto"/>
            <w:bottom w:val="none" w:sz="0" w:space="0" w:color="auto"/>
            <w:right w:val="none" w:sz="0" w:space="0" w:color="auto"/>
          </w:divBdr>
        </w:div>
        <w:div w:id="1748918787">
          <w:marLeft w:val="0"/>
          <w:marRight w:val="0"/>
          <w:marTop w:val="0"/>
          <w:marBottom w:val="0"/>
          <w:divBdr>
            <w:top w:val="none" w:sz="0" w:space="0" w:color="auto"/>
            <w:left w:val="none" w:sz="0" w:space="0" w:color="auto"/>
            <w:bottom w:val="none" w:sz="0" w:space="0" w:color="auto"/>
            <w:right w:val="none" w:sz="0" w:space="0" w:color="auto"/>
          </w:divBdr>
        </w:div>
        <w:div w:id="946276516">
          <w:marLeft w:val="0"/>
          <w:marRight w:val="0"/>
          <w:marTop w:val="0"/>
          <w:marBottom w:val="0"/>
          <w:divBdr>
            <w:top w:val="none" w:sz="0" w:space="0" w:color="auto"/>
            <w:left w:val="none" w:sz="0" w:space="0" w:color="auto"/>
            <w:bottom w:val="none" w:sz="0" w:space="0" w:color="auto"/>
            <w:right w:val="none" w:sz="0" w:space="0" w:color="auto"/>
          </w:divBdr>
        </w:div>
        <w:div w:id="107433279">
          <w:marLeft w:val="0"/>
          <w:marRight w:val="0"/>
          <w:marTop w:val="0"/>
          <w:marBottom w:val="0"/>
          <w:divBdr>
            <w:top w:val="none" w:sz="0" w:space="0" w:color="auto"/>
            <w:left w:val="none" w:sz="0" w:space="0" w:color="auto"/>
            <w:bottom w:val="none" w:sz="0" w:space="0" w:color="auto"/>
            <w:right w:val="none" w:sz="0" w:space="0" w:color="auto"/>
          </w:divBdr>
        </w:div>
        <w:div w:id="219639490">
          <w:marLeft w:val="0"/>
          <w:marRight w:val="0"/>
          <w:marTop w:val="0"/>
          <w:marBottom w:val="0"/>
          <w:divBdr>
            <w:top w:val="none" w:sz="0" w:space="0" w:color="auto"/>
            <w:left w:val="none" w:sz="0" w:space="0" w:color="auto"/>
            <w:bottom w:val="none" w:sz="0" w:space="0" w:color="auto"/>
            <w:right w:val="none" w:sz="0" w:space="0" w:color="auto"/>
          </w:divBdr>
        </w:div>
        <w:div w:id="689454447">
          <w:marLeft w:val="0"/>
          <w:marRight w:val="0"/>
          <w:marTop w:val="0"/>
          <w:marBottom w:val="0"/>
          <w:divBdr>
            <w:top w:val="none" w:sz="0" w:space="0" w:color="auto"/>
            <w:left w:val="none" w:sz="0" w:space="0" w:color="auto"/>
            <w:bottom w:val="none" w:sz="0" w:space="0" w:color="auto"/>
            <w:right w:val="none" w:sz="0" w:space="0" w:color="auto"/>
          </w:divBdr>
        </w:div>
        <w:div w:id="1505389568">
          <w:marLeft w:val="0"/>
          <w:marRight w:val="0"/>
          <w:marTop w:val="0"/>
          <w:marBottom w:val="0"/>
          <w:divBdr>
            <w:top w:val="none" w:sz="0" w:space="0" w:color="auto"/>
            <w:left w:val="none" w:sz="0" w:space="0" w:color="auto"/>
            <w:bottom w:val="none" w:sz="0" w:space="0" w:color="auto"/>
            <w:right w:val="none" w:sz="0" w:space="0" w:color="auto"/>
          </w:divBdr>
        </w:div>
        <w:div w:id="1771848726">
          <w:marLeft w:val="0"/>
          <w:marRight w:val="0"/>
          <w:marTop w:val="0"/>
          <w:marBottom w:val="0"/>
          <w:divBdr>
            <w:top w:val="none" w:sz="0" w:space="0" w:color="auto"/>
            <w:left w:val="none" w:sz="0" w:space="0" w:color="auto"/>
            <w:bottom w:val="none" w:sz="0" w:space="0" w:color="auto"/>
            <w:right w:val="none" w:sz="0" w:space="0" w:color="auto"/>
          </w:divBdr>
        </w:div>
        <w:div w:id="417479598">
          <w:marLeft w:val="0"/>
          <w:marRight w:val="0"/>
          <w:marTop w:val="0"/>
          <w:marBottom w:val="0"/>
          <w:divBdr>
            <w:top w:val="none" w:sz="0" w:space="0" w:color="auto"/>
            <w:left w:val="none" w:sz="0" w:space="0" w:color="auto"/>
            <w:bottom w:val="none" w:sz="0" w:space="0" w:color="auto"/>
            <w:right w:val="none" w:sz="0" w:space="0" w:color="auto"/>
          </w:divBdr>
        </w:div>
        <w:div w:id="645159482">
          <w:marLeft w:val="0"/>
          <w:marRight w:val="0"/>
          <w:marTop w:val="0"/>
          <w:marBottom w:val="0"/>
          <w:divBdr>
            <w:top w:val="none" w:sz="0" w:space="0" w:color="auto"/>
            <w:left w:val="none" w:sz="0" w:space="0" w:color="auto"/>
            <w:bottom w:val="none" w:sz="0" w:space="0" w:color="auto"/>
            <w:right w:val="none" w:sz="0" w:space="0" w:color="auto"/>
          </w:divBdr>
        </w:div>
        <w:div w:id="2144499404">
          <w:marLeft w:val="0"/>
          <w:marRight w:val="0"/>
          <w:marTop w:val="0"/>
          <w:marBottom w:val="0"/>
          <w:divBdr>
            <w:top w:val="none" w:sz="0" w:space="0" w:color="auto"/>
            <w:left w:val="none" w:sz="0" w:space="0" w:color="auto"/>
            <w:bottom w:val="none" w:sz="0" w:space="0" w:color="auto"/>
            <w:right w:val="none" w:sz="0" w:space="0" w:color="auto"/>
          </w:divBdr>
        </w:div>
        <w:div w:id="206525438">
          <w:marLeft w:val="0"/>
          <w:marRight w:val="0"/>
          <w:marTop w:val="0"/>
          <w:marBottom w:val="0"/>
          <w:divBdr>
            <w:top w:val="none" w:sz="0" w:space="0" w:color="auto"/>
            <w:left w:val="none" w:sz="0" w:space="0" w:color="auto"/>
            <w:bottom w:val="none" w:sz="0" w:space="0" w:color="auto"/>
            <w:right w:val="none" w:sz="0" w:space="0" w:color="auto"/>
          </w:divBdr>
        </w:div>
        <w:div w:id="1792748723">
          <w:marLeft w:val="0"/>
          <w:marRight w:val="0"/>
          <w:marTop w:val="0"/>
          <w:marBottom w:val="0"/>
          <w:divBdr>
            <w:top w:val="none" w:sz="0" w:space="0" w:color="auto"/>
            <w:left w:val="none" w:sz="0" w:space="0" w:color="auto"/>
            <w:bottom w:val="none" w:sz="0" w:space="0" w:color="auto"/>
            <w:right w:val="none" w:sz="0" w:space="0" w:color="auto"/>
          </w:divBdr>
        </w:div>
        <w:div w:id="1421752764">
          <w:marLeft w:val="0"/>
          <w:marRight w:val="0"/>
          <w:marTop w:val="0"/>
          <w:marBottom w:val="0"/>
          <w:divBdr>
            <w:top w:val="none" w:sz="0" w:space="0" w:color="auto"/>
            <w:left w:val="none" w:sz="0" w:space="0" w:color="auto"/>
            <w:bottom w:val="none" w:sz="0" w:space="0" w:color="auto"/>
            <w:right w:val="none" w:sz="0" w:space="0" w:color="auto"/>
          </w:divBdr>
        </w:div>
        <w:div w:id="2076396117">
          <w:marLeft w:val="0"/>
          <w:marRight w:val="0"/>
          <w:marTop w:val="0"/>
          <w:marBottom w:val="0"/>
          <w:divBdr>
            <w:top w:val="none" w:sz="0" w:space="0" w:color="auto"/>
            <w:left w:val="none" w:sz="0" w:space="0" w:color="auto"/>
            <w:bottom w:val="none" w:sz="0" w:space="0" w:color="auto"/>
            <w:right w:val="none" w:sz="0" w:space="0" w:color="auto"/>
          </w:divBdr>
        </w:div>
        <w:div w:id="1324504112">
          <w:marLeft w:val="0"/>
          <w:marRight w:val="0"/>
          <w:marTop w:val="0"/>
          <w:marBottom w:val="0"/>
          <w:divBdr>
            <w:top w:val="none" w:sz="0" w:space="0" w:color="auto"/>
            <w:left w:val="none" w:sz="0" w:space="0" w:color="auto"/>
            <w:bottom w:val="none" w:sz="0" w:space="0" w:color="auto"/>
            <w:right w:val="none" w:sz="0" w:space="0" w:color="auto"/>
          </w:divBdr>
        </w:div>
        <w:div w:id="1577737564">
          <w:marLeft w:val="0"/>
          <w:marRight w:val="0"/>
          <w:marTop w:val="0"/>
          <w:marBottom w:val="0"/>
          <w:divBdr>
            <w:top w:val="none" w:sz="0" w:space="0" w:color="auto"/>
            <w:left w:val="none" w:sz="0" w:space="0" w:color="auto"/>
            <w:bottom w:val="none" w:sz="0" w:space="0" w:color="auto"/>
            <w:right w:val="none" w:sz="0" w:space="0" w:color="auto"/>
          </w:divBdr>
        </w:div>
        <w:div w:id="1145707718">
          <w:marLeft w:val="0"/>
          <w:marRight w:val="0"/>
          <w:marTop w:val="0"/>
          <w:marBottom w:val="0"/>
          <w:divBdr>
            <w:top w:val="none" w:sz="0" w:space="0" w:color="auto"/>
            <w:left w:val="none" w:sz="0" w:space="0" w:color="auto"/>
            <w:bottom w:val="none" w:sz="0" w:space="0" w:color="auto"/>
            <w:right w:val="none" w:sz="0" w:space="0" w:color="auto"/>
          </w:divBdr>
        </w:div>
        <w:div w:id="1997801314">
          <w:marLeft w:val="0"/>
          <w:marRight w:val="0"/>
          <w:marTop w:val="0"/>
          <w:marBottom w:val="0"/>
          <w:divBdr>
            <w:top w:val="none" w:sz="0" w:space="0" w:color="auto"/>
            <w:left w:val="none" w:sz="0" w:space="0" w:color="auto"/>
            <w:bottom w:val="none" w:sz="0" w:space="0" w:color="auto"/>
            <w:right w:val="none" w:sz="0" w:space="0" w:color="auto"/>
          </w:divBdr>
        </w:div>
        <w:div w:id="1463500976">
          <w:marLeft w:val="0"/>
          <w:marRight w:val="0"/>
          <w:marTop w:val="0"/>
          <w:marBottom w:val="0"/>
          <w:divBdr>
            <w:top w:val="none" w:sz="0" w:space="0" w:color="auto"/>
            <w:left w:val="none" w:sz="0" w:space="0" w:color="auto"/>
            <w:bottom w:val="none" w:sz="0" w:space="0" w:color="auto"/>
            <w:right w:val="none" w:sz="0" w:space="0" w:color="auto"/>
          </w:divBdr>
        </w:div>
        <w:div w:id="994185152">
          <w:marLeft w:val="0"/>
          <w:marRight w:val="0"/>
          <w:marTop w:val="0"/>
          <w:marBottom w:val="0"/>
          <w:divBdr>
            <w:top w:val="none" w:sz="0" w:space="0" w:color="auto"/>
            <w:left w:val="none" w:sz="0" w:space="0" w:color="auto"/>
            <w:bottom w:val="none" w:sz="0" w:space="0" w:color="auto"/>
            <w:right w:val="none" w:sz="0" w:space="0" w:color="auto"/>
          </w:divBdr>
        </w:div>
        <w:div w:id="1246302216">
          <w:marLeft w:val="0"/>
          <w:marRight w:val="0"/>
          <w:marTop w:val="0"/>
          <w:marBottom w:val="0"/>
          <w:divBdr>
            <w:top w:val="none" w:sz="0" w:space="0" w:color="auto"/>
            <w:left w:val="none" w:sz="0" w:space="0" w:color="auto"/>
            <w:bottom w:val="none" w:sz="0" w:space="0" w:color="auto"/>
            <w:right w:val="none" w:sz="0" w:space="0" w:color="auto"/>
          </w:divBdr>
        </w:div>
        <w:div w:id="558593580">
          <w:marLeft w:val="0"/>
          <w:marRight w:val="0"/>
          <w:marTop w:val="0"/>
          <w:marBottom w:val="0"/>
          <w:divBdr>
            <w:top w:val="none" w:sz="0" w:space="0" w:color="auto"/>
            <w:left w:val="none" w:sz="0" w:space="0" w:color="auto"/>
            <w:bottom w:val="none" w:sz="0" w:space="0" w:color="auto"/>
            <w:right w:val="none" w:sz="0" w:space="0" w:color="auto"/>
          </w:divBdr>
        </w:div>
        <w:div w:id="532769467">
          <w:marLeft w:val="0"/>
          <w:marRight w:val="0"/>
          <w:marTop w:val="0"/>
          <w:marBottom w:val="0"/>
          <w:divBdr>
            <w:top w:val="none" w:sz="0" w:space="0" w:color="auto"/>
            <w:left w:val="none" w:sz="0" w:space="0" w:color="auto"/>
            <w:bottom w:val="none" w:sz="0" w:space="0" w:color="auto"/>
            <w:right w:val="none" w:sz="0" w:space="0" w:color="auto"/>
          </w:divBdr>
        </w:div>
        <w:div w:id="971515373">
          <w:marLeft w:val="0"/>
          <w:marRight w:val="0"/>
          <w:marTop w:val="0"/>
          <w:marBottom w:val="0"/>
          <w:divBdr>
            <w:top w:val="none" w:sz="0" w:space="0" w:color="auto"/>
            <w:left w:val="none" w:sz="0" w:space="0" w:color="auto"/>
            <w:bottom w:val="none" w:sz="0" w:space="0" w:color="auto"/>
            <w:right w:val="none" w:sz="0" w:space="0" w:color="auto"/>
          </w:divBdr>
        </w:div>
        <w:div w:id="145973802">
          <w:marLeft w:val="0"/>
          <w:marRight w:val="0"/>
          <w:marTop w:val="0"/>
          <w:marBottom w:val="0"/>
          <w:divBdr>
            <w:top w:val="none" w:sz="0" w:space="0" w:color="auto"/>
            <w:left w:val="none" w:sz="0" w:space="0" w:color="auto"/>
            <w:bottom w:val="none" w:sz="0" w:space="0" w:color="auto"/>
            <w:right w:val="none" w:sz="0" w:space="0" w:color="auto"/>
          </w:divBdr>
        </w:div>
        <w:div w:id="273636147">
          <w:marLeft w:val="0"/>
          <w:marRight w:val="0"/>
          <w:marTop w:val="0"/>
          <w:marBottom w:val="0"/>
          <w:divBdr>
            <w:top w:val="none" w:sz="0" w:space="0" w:color="auto"/>
            <w:left w:val="none" w:sz="0" w:space="0" w:color="auto"/>
            <w:bottom w:val="none" w:sz="0" w:space="0" w:color="auto"/>
            <w:right w:val="none" w:sz="0" w:space="0" w:color="auto"/>
          </w:divBdr>
        </w:div>
        <w:div w:id="1586063091">
          <w:marLeft w:val="0"/>
          <w:marRight w:val="0"/>
          <w:marTop w:val="0"/>
          <w:marBottom w:val="0"/>
          <w:divBdr>
            <w:top w:val="none" w:sz="0" w:space="0" w:color="auto"/>
            <w:left w:val="none" w:sz="0" w:space="0" w:color="auto"/>
            <w:bottom w:val="none" w:sz="0" w:space="0" w:color="auto"/>
            <w:right w:val="none" w:sz="0" w:space="0" w:color="auto"/>
          </w:divBdr>
        </w:div>
        <w:div w:id="286590249">
          <w:marLeft w:val="0"/>
          <w:marRight w:val="0"/>
          <w:marTop w:val="0"/>
          <w:marBottom w:val="0"/>
          <w:divBdr>
            <w:top w:val="none" w:sz="0" w:space="0" w:color="auto"/>
            <w:left w:val="none" w:sz="0" w:space="0" w:color="auto"/>
            <w:bottom w:val="none" w:sz="0" w:space="0" w:color="auto"/>
            <w:right w:val="none" w:sz="0" w:space="0" w:color="auto"/>
          </w:divBdr>
        </w:div>
        <w:div w:id="1871067332">
          <w:marLeft w:val="0"/>
          <w:marRight w:val="0"/>
          <w:marTop w:val="0"/>
          <w:marBottom w:val="0"/>
          <w:divBdr>
            <w:top w:val="none" w:sz="0" w:space="0" w:color="auto"/>
            <w:left w:val="none" w:sz="0" w:space="0" w:color="auto"/>
            <w:bottom w:val="none" w:sz="0" w:space="0" w:color="auto"/>
            <w:right w:val="none" w:sz="0" w:space="0" w:color="auto"/>
          </w:divBdr>
        </w:div>
        <w:div w:id="1169297837">
          <w:marLeft w:val="0"/>
          <w:marRight w:val="0"/>
          <w:marTop w:val="0"/>
          <w:marBottom w:val="0"/>
          <w:divBdr>
            <w:top w:val="none" w:sz="0" w:space="0" w:color="auto"/>
            <w:left w:val="none" w:sz="0" w:space="0" w:color="auto"/>
            <w:bottom w:val="none" w:sz="0" w:space="0" w:color="auto"/>
            <w:right w:val="none" w:sz="0" w:space="0" w:color="auto"/>
          </w:divBdr>
        </w:div>
        <w:div w:id="646206551">
          <w:marLeft w:val="0"/>
          <w:marRight w:val="0"/>
          <w:marTop w:val="0"/>
          <w:marBottom w:val="0"/>
          <w:divBdr>
            <w:top w:val="none" w:sz="0" w:space="0" w:color="auto"/>
            <w:left w:val="none" w:sz="0" w:space="0" w:color="auto"/>
            <w:bottom w:val="none" w:sz="0" w:space="0" w:color="auto"/>
            <w:right w:val="none" w:sz="0" w:space="0" w:color="auto"/>
          </w:divBdr>
        </w:div>
      </w:divsChild>
    </w:div>
    <w:div w:id="934899548">
      <w:bodyDiv w:val="1"/>
      <w:marLeft w:val="0"/>
      <w:marRight w:val="0"/>
      <w:marTop w:val="0"/>
      <w:marBottom w:val="0"/>
      <w:divBdr>
        <w:top w:val="none" w:sz="0" w:space="0" w:color="auto"/>
        <w:left w:val="none" w:sz="0" w:space="0" w:color="auto"/>
        <w:bottom w:val="none" w:sz="0" w:space="0" w:color="auto"/>
        <w:right w:val="none" w:sz="0" w:space="0" w:color="auto"/>
      </w:divBdr>
    </w:div>
    <w:div w:id="937754957">
      <w:bodyDiv w:val="1"/>
      <w:marLeft w:val="0"/>
      <w:marRight w:val="0"/>
      <w:marTop w:val="0"/>
      <w:marBottom w:val="0"/>
      <w:divBdr>
        <w:top w:val="none" w:sz="0" w:space="0" w:color="auto"/>
        <w:left w:val="none" w:sz="0" w:space="0" w:color="auto"/>
        <w:bottom w:val="none" w:sz="0" w:space="0" w:color="auto"/>
        <w:right w:val="none" w:sz="0" w:space="0" w:color="auto"/>
      </w:divBdr>
      <w:divsChild>
        <w:div w:id="2074770158">
          <w:marLeft w:val="0"/>
          <w:marRight w:val="0"/>
          <w:marTop w:val="0"/>
          <w:marBottom w:val="0"/>
          <w:divBdr>
            <w:top w:val="none" w:sz="0" w:space="0" w:color="auto"/>
            <w:left w:val="none" w:sz="0" w:space="0" w:color="auto"/>
            <w:bottom w:val="none" w:sz="0" w:space="0" w:color="auto"/>
            <w:right w:val="none" w:sz="0" w:space="0" w:color="auto"/>
          </w:divBdr>
        </w:div>
        <w:div w:id="694766604">
          <w:marLeft w:val="0"/>
          <w:marRight w:val="0"/>
          <w:marTop w:val="0"/>
          <w:marBottom w:val="0"/>
          <w:divBdr>
            <w:top w:val="none" w:sz="0" w:space="0" w:color="auto"/>
            <w:left w:val="none" w:sz="0" w:space="0" w:color="auto"/>
            <w:bottom w:val="none" w:sz="0" w:space="0" w:color="auto"/>
            <w:right w:val="none" w:sz="0" w:space="0" w:color="auto"/>
          </w:divBdr>
        </w:div>
        <w:div w:id="307824865">
          <w:marLeft w:val="0"/>
          <w:marRight w:val="0"/>
          <w:marTop w:val="0"/>
          <w:marBottom w:val="0"/>
          <w:divBdr>
            <w:top w:val="none" w:sz="0" w:space="0" w:color="auto"/>
            <w:left w:val="none" w:sz="0" w:space="0" w:color="auto"/>
            <w:bottom w:val="none" w:sz="0" w:space="0" w:color="auto"/>
            <w:right w:val="none" w:sz="0" w:space="0" w:color="auto"/>
          </w:divBdr>
        </w:div>
      </w:divsChild>
    </w:div>
    <w:div w:id="962007196">
      <w:bodyDiv w:val="1"/>
      <w:marLeft w:val="0"/>
      <w:marRight w:val="0"/>
      <w:marTop w:val="0"/>
      <w:marBottom w:val="0"/>
      <w:divBdr>
        <w:top w:val="none" w:sz="0" w:space="0" w:color="auto"/>
        <w:left w:val="none" w:sz="0" w:space="0" w:color="auto"/>
        <w:bottom w:val="none" w:sz="0" w:space="0" w:color="auto"/>
        <w:right w:val="none" w:sz="0" w:space="0" w:color="auto"/>
      </w:divBdr>
    </w:div>
    <w:div w:id="975260007">
      <w:bodyDiv w:val="1"/>
      <w:marLeft w:val="0"/>
      <w:marRight w:val="0"/>
      <w:marTop w:val="0"/>
      <w:marBottom w:val="0"/>
      <w:divBdr>
        <w:top w:val="none" w:sz="0" w:space="0" w:color="auto"/>
        <w:left w:val="none" w:sz="0" w:space="0" w:color="auto"/>
        <w:bottom w:val="none" w:sz="0" w:space="0" w:color="auto"/>
        <w:right w:val="none" w:sz="0" w:space="0" w:color="auto"/>
      </w:divBdr>
    </w:div>
    <w:div w:id="994257197">
      <w:bodyDiv w:val="1"/>
      <w:marLeft w:val="0"/>
      <w:marRight w:val="0"/>
      <w:marTop w:val="0"/>
      <w:marBottom w:val="0"/>
      <w:divBdr>
        <w:top w:val="none" w:sz="0" w:space="0" w:color="auto"/>
        <w:left w:val="none" w:sz="0" w:space="0" w:color="auto"/>
        <w:bottom w:val="none" w:sz="0" w:space="0" w:color="auto"/>
        <w:right w:val="none" w:sz="0" w:space="0" w:color="auto"/>
      </w:divBdr>
      <w:divsChild>
        <w:div w:id="1211916190">
          <w:marLeft w:val="0"/>
          <w:marRight w:val="0"/>
          <w:marTop w:val="0"/>
          <w:marBottom w:val="0"/>
          <w:divBdr>
            <w:top w:val="none" w:sz="0" w:space="0" w:color="auto"/>
            <w:left w:val="none" w:sz="0" w:space="0" w:color="auto"/>
            <w:bottom w:val="none" w:sz="0" w:space="0" w:color="auto"/>
            <w:right w:val="none" w:sz="0" w:space="0" w:color="auto"/>
          </w:divBdr>
        </w:div>
        <w:div w:id="1379476785">
          <w:marLeft w:val="0"/>
          <w:marRight w:val="0"/>
          <w:marTop w:val="0"/>
          <w:marBottom w:val="0"/>
          <w:divBdr>
            <w:top w:val="none" w:sz="0" w:space="0" w:color="auto"/>
            <w:left w:val="none" w:sz="0" w:space="0" w:color="auto"/>
            <w:bottom w:val="none" w:sz="0" w:space="0" w:color="auto"/>
            <w:right w:val="none" w:sz="0" w:space="0" w:color="auto"/>
          </w:divBdr>
        </w:div>
        <w:div w:id="1487277886">
          <w:marLeft w:val="0"/>
          <w:marRight w:val="0"/>
          <w:marTop w:val="0"/>
          <w:marBottom w:val="0"/>
          <w:divBdr>
            <w:top w:val="none" w:sz="0" w:space="0" w:color="auto"/>
            <w:left w:val="none" w:sz="0" w:space="0" w:color="auto"/>
            <w:bottom w:val="none" w:sz="0" w:space="0" w:color="auto"/>
            <w:right w:val="none" w:sz="0" w:space="0" w:color="auto"/>
          </w:divBdr>
        </w:div>
        <w:div w:id="1252927376">
          <w:marLeft w:val="0"/>
          <w:marRight w:val="0"/>
          <w:marTop w:val="0"/>
          <w:marBottom w:val="0"/>
          <w:divBdr>
            <w:top w:val="none" w:sz="0" w:space="0" w:color="auto"/>
            <w:left w:val="none" w:sz="0" w:space="0" w:color="auto"/>
            <w:bottom w:val="none" w:sz="0" w:space="0" w:color="auto"/>
            <w:right w:val="none" w:sz="0" w:space="0" w:color="auto"/>
          </w:divBdr>
        </w:div>
        <w:div w:id="1390422952">
          <w:marLeft w:val="0"/>
          <w:marRight w:val="0"/>
          <w:marTop w:val="0"/>
          <w:marBottom w:val="0"/>
          <w:divBdr>
            <w:top w:val="none" w:sz="0" w:space="0" w:color="auto"/>
            <w:left w:val="none" w:sz="0" w:space="0" w:color="auto"/>
            <w:bottom w:val="none" w:sz="0" w:space="0" w:color="auto"/>
            <w:right w:val="none" w:sz="0" w:space="0" w:color="auto"/>
          </w:divBdr>
        </w:div>
        <w:div w:id="1456557994">
          <w:marLeft w:val="0"/>
          <w:marRight w:val="0"/>
          <w:marTop w:val="0"/>
          <w:marBottom w:val="0"/>
          <w:divBdr>
            <w:top w:val="none" w:sz="0" w:space="0" w:color="auto"/>
            <w:left w:val="none" w:sz="0" w:space="0" w:color="auto"/>
            <w:bottom w:val="none" w:sz="0" w:space="0" w:color="auto"/>
            <w:right w:val="none" w:sz="0" w:space="0" w:color="auto"/>
          </w:divBdr>
        </w:div>
        <w:div w:id="1450391446">
          <w:marLeft w:val="0"/>
          <w:marRight w:val="0"/>
          <w:marTop w:val="0"/>
          <w:marBottom w:val="0"/>
          <w:divBdr>
            <w:top w:val="none" w:sz="0" w:space="0" w:color="auto"/>
            <w:left w:val="none" w:sz="0" w:space="0" w:color="auto"/>
            <w:bottom w:val="none" w:sz="0" w:space="0" w:color="auto"/>
            <w:right w:val="none" w:sz="0" w:space="0" w:color="auto"/>
          </w:divBdr>
        </w:div>
        <w:div w:id="369960694">
          <w:marLeft w:val="0"/>
          <w:marRight w:val="0"/>
          <w:marTop w:val="0"/>
          <w:marBottom w:val="0"/>
          <w:divBdr>
            <w:top w:val="none" w:sz="0" w:space="0" w:color="auto"/>
            <w:left w:val="none" w:sz="0" w:space="0" w:color="auto"/>
            <w:bottom w:val="none" w:sz="0" w:space="0" w:color="auto"/>
            <w:right w:val="none" w:sz="0" w:space="0" w:color="auto"/>
          </w:divBdr>
        </w:div>
        <w:div w:id="931208946">
          <w:marLeft w:val="0"/>
          <w:marRight w:val="0"/>
          <w:marTop w:val="0"/>
          <w:marBottom w:val="0"/>
          <w:divBdr>
            <w:top w:val="none" w:sz="0" w:space="0" w:color="auto"/>
            <w:left w:val="none" w:sz="0" w:space="0" w:color="auto"/>
            <w:bottom w:val="none" w:sz="0" w:space="0" w:color="auto"/>
            <w:right w:val="none" w:sz="0" w:space="0" w:color="auto"/>
          </w:divBdr>
        </w:div>
      </w:divsChild>
    </w:div>
    <w:div w:id="996105568">
      <w:bodyDiv w:val="1"/>
      <w:marLeft w:val="0"/>
      <w:marRight w:val="0"/>
      <w:marTop w:val="0"/>
      <w:marBottom w:val="0"/>
      <w:divBdr>
        <w:top w:val="none" w:sz="0" w:space="0" w:color="auto"/>
        <w:left w:val="none" w:sz="0" w:space="0" w:color="auto"/>
        <w:bottom w:val="none" w:sz="0" w:space="0" w:color="auto"/>
        <w:right w:val="none" w:sz="0" w:space="0" w:color="auto"/>
      </w:divBdr>
      <w:divsChild>
        <w:div w:id="662507239">
          <w:marLeft w:val="0"/>
          <w:marRight w:val="0"/>
          <w:marTop w:val="6870"/>
          <w:marBottom w:val="0"/>
          <w:divBdr>
            <w:top w:val="none" w:sz="0" w:space="0" w:color="auto"/>
            <w:left w:val="none" w:sz="0" w:space="0" w:color="auto"/>
            <w:bottom w:val="none" w:sz="0" w:space="0" w:color="auto"/>
            <w:right w:val="none" w:sz="0" w:space="0" w:color="auto"/>
          </w:divBdr>
          <w:divsChild>
            <w:div w:id="1886482461">
              <w:marLeft w:val="0"/>
              <w:marRight w:val="0"/>
              <w:marTop w:val="0"/>
              <w:marBottom w:val="0"/>
              <w:divBdr>
                <w:top w:val="none" w:sz="0" w:space="0" w:color="auto"/>
                <w:left w:val="none" w:sz="0" w:space="0" w:color="auto"/>
                <w:bottom w:val="none" w:sz="0" w:space="0" w:color="auto"/>
                <w:right w:val="none" w:sz="0" w:space="0" w:color="auto"/>
              </w:divBdr>
              <w:divsChild>
                <w:div w:id="1245989035">
                  <w:marLeft w:val="0"/>
                  <w:marRight w:val="420"/>
                  <w:marTop w:val="0"/>
                  <w:marBottom w:val="0"/>
                  <w:divBdr>
                    <w:top w:val="none" w:sz="0" w:space="0" w:color="auto"/>
                    <w:left w:val="none" w:sz="0" w:space="0" w:color="auto"/>
                    <w:bottom w:val="none" w:sz="0" w:space="0" w:color="auto"/>
                    <w:right w:val="none" w:sz="0" w:space="0" w:color="auto"/>
                  </w:divBdr>
                </w:div>
              </w:divsChild>
            </w:div>
          </w:divsChild>
        </w:div>
      </w:divsChild>
    </w:div>
    <w:div w:id="1005322611">
      <w:bodyDiv w:val="1"/>
      <w:marLeft w:val="0"/>
      <w:marRight w:val="0"/>
      <w:marTop w:val="0"/>
      <w:marBottom w:val="0"/>
      <w:divBdr>
        <w:top w:val="none" w:sz="0" w:space="0" w:color="auto"/>
        <w:left w:val="none" w:sz="0" w:space="0" w:color="auto"/>
        <w:bottom w:val="none" w:sz="0" w:space="0" w:color="auto"/>
        <w:right w:val="none" w:sz="0" w:space="0" w:color="auto"/>
      </w:divBdr>
      <w:divsChild>
        <w:div w:id="7607665">
          <w:marLeft w:val="0"/>
          <w:marRight w:val="0"/>
          <w:marTop w:val="0"/>
          <w:marBottom w:val="0"/>
          <w:divBdr>
            <w:top w:val="none" w:sz="0" w:space="0" w:color="auto"/>
            <w:left w:val="none" w:sz="0" w:space="0" w:color="auto"/>
            <w:bottom w:val="none" w:sz="0" w:space="0" w:color="auto"/>
            <w:right w:val="none" w:sz="0" w:space="0" w:color="auto"/>
          </w:divBdr>
        </w:div>
        <w:div w:id="246042072">
          <w:marLeft w:val="0"/>
          <w:marRight w:val="0"/>
          <w:marTop w:val="0"/>
          <w:marBottom w:val="0"/>
          <w:divBdr>
            <w:top w:val="none" w:sz="0" w:space="0" w:color="auto"/>
            <w:left w:val="none" w:sz="0" w:space="0" w:color="auto"/>
            <w:bottom w:val="none" w:sz="0" w:space="0" w:color="auto"/>
            <w:right w:val="none" w:sz="0" w:space="0" w:color="auto"/>
          </w:divBdr>
        </w:div>
        <w:div w:id="599458705">
          <w:marLeft w:val="0"/>
          <w:marRight w:val="0"/>
          <w:marTop w:val="0"/>
          <w:marBottom w:val="0"/>
          <w:divBdr>
            <w:top w:val="none" w:sz="0" w:space="0" w:color="auto"/>
            <w:left w:val="none" w:sz="0" w:space="0" w:color="auto"/>
            <w:bottom w:val="none" w:sz="0" w:space="0" w:color="auto"/>
            <w:right w:val="none" w:sz="0" w:space="0" w:color="auto"/>
          </w:divBdr>
        </w:div>
        <w:div w:id="1134371963">
          <w:marLeft w:val="0"/>
          <w:marRight w:val="0"/>
          <w:marTop w:val="0"/>
          <w:marBottom w:val="0"/>
          <w:divBdr>
            <w:top w:val="none" w:sz="0" w:space="0" w:color="auto"/>
            <w:left w:val="none" w:sz="0" w:space="0" w:color="auto"/>
            <w:bottom w:val="none" w:sz="0" w:space="0" w:color="auto"/>
            <w:right w:val="none" w:sz="0" w:space="0" w:color="auto"/>
          </w:divBdr>
        </w:div>
        <w:div w:id="1340936108">
          <w:marLeft w:val="0"/>
          <w:marRight w:val="0"/>
          <w:marTop w:val="0"/>
          <w:marBottom w:val="0"/>
          <w:divBdr>
            <w:top w:val="none" w:sz="0" w:space="0" w:color="auto"/>
            <w:left w:val="none" w:sz="0" w:space="0" w:color="auto"/>
            <w:bottom w:val="none" w:sz="0" w:space="0" w:color="auto"/>
            <w:right w:val="none" w:sz="0" w:space="0" w:color="auto"/>
          </w:divBdr>
        </w:div>
        <w:div w:id="1890648943">
          <w:marLeft w:val="0"/>
          <w:marRight w:val="0"/>
          <w:marTop w:val="0"/>
          <w:marBottom w:val="0"/>
          <w:divBdr>
            <w:top w:val="none" w:sz="0" w:space="0" w:color="auto"/>
            <w:left w:val="none" w:sz="0" w:space="0" w:color="auto"/>
            <w:bottom w:val="none" w:sz="0" w:space="0" w:color="auto"/>
            <w:right w:val="none" w:sz="0" w:space="0" w:color="auto"/>
          </w:divBdr>
        </w:div>
      </w:divsChild>
    </w:div>
    <w:div w:id="1025015605">
      <w:bodyDiv w:val="1"/>
      <w:marLeft w:val="0"/>
      <w:marRight w:val="0"/>
      <w:marTop w:val="0"/>
      <w:marBottom w:val="0"/>
      <w:divBdr>
        <w:top w:val="none" w:sz="0" w:space="0" w:color="auto"/>
        <w:left w:val="none" w:sz="0" w:space="0" w:color="auto"/>
        <w:bottom w:val="none" w:sz="0" w:space="0" w:color="auto"/>
        <w:right w:val="none" w:sz="0" w:space="0" w:color="auto"/>
      </w:divBdr>
    </w:div>
    <w:div w:id="1030257883">
      <w:bodyDiv w:val="1"/>
      <w:marLeft w:val="0"/>
      <w:marRight w:val="0"/>
      <w:marTop w:val="0"/>
      <w:marBottom w:val="0"/>
      <w:divBdr>
        <w:top w:val="none" w:sz="0" w:space="0" w:color="auto"/>
        <w:left w:val="none" w:sz="0" w:space="0" w:color="auto"/>
        <w:bottom w:val="none" w:sz="0" w:space="0" w:color="auto"/>
        <w:right w:val="none" w:sz="0" w:space="0" w:color="auto"/>
      </w:divBdr>
    </w:div>
    <w:div w:id="1065185785">
      <w:bodyDiv w:val="1"/>
      <w:marLeft w:val="0"/>
      <w:marRight w:val="0"/>
      <w:marTop w:val="0"/>
      <w:marBottom w:val="0"/>
      <w:divBdr>
        <w:top w:val="none" w:sz="0" w:space="0" w:color="auto"/>
        <w:left w:val="none" w:sz="0" w:space="0" w:color="auto"/>
        <w:bottom w:val="none" w:sz="0" w:space="0" w:color="auto"/>
        <w:right w:val="none" w:sz="0" w:space="0" w:color="auto"/>
      </w:divBdr>
    </w:div>
    <w:div w:id="1070496377">
      <w:bodyDiv w:val="1"/>
      <w:marLeft w:val="0"/>
      <w:marRight w:val="0"/>
      <w:marTop w:val="0"/>
      <w:marBottom w:val="0"/>
      <w:divBdr>
        <w:top w:val="none" w:sz="0" w:space="0" w:color="auto"/>
        <w:left w:val="none" w:sz="0" w:space="0" w:color="auto"/>
        <w:bottom w:val="none" w:sz="0" w:space="0" w:color="auto"/>
        <w:right w:val="none" w:sz="0" w:space="0" w:color="auto"/>
      </w:divBdr>
      <w:divsChild>
        <w:div w:id="534461723">
          <w:marLeft w:val="0"/>
          <w:marRight w:val="0"/>
          <w:marTop w:val="0"/>
          <w:marBottom w:val="0"/>
          <w:divBdr>
            <w:top w:val="none" w:sz="0" w:space="0" w:color="auto"/>
            <w:left w:val="none" w:sz="0" w:space="0" w:color="auto"/>
            <w:bottom w:val="none" w:sz="0" w:space="0" w:color="auto"/>
            <w:right w:val="none" w:sz="0" w:space="0" w:color="auto"/>
          </w:divBdr>
        </w:div>
        <w:div w:id="1008170867">
          <w:marLeft w:val="0"/>
          <w:marRight w:val="0"/>
          <w:marTop w:val="0"/>
          <w:marBottom w:val="0"/>
          <w:divBdr>
            <w:top w:val="none" w:sz="0" w:space="0" w:color="auto"/>
            <w:left w:val="none" w:sz="0" w:space="0" w:color="auto"/>
            <w:bottom w:val="none" w:sz="0" w:space="0" w:color="auto"/>
            <w:right w:val="none" w:sz="0" w:space="0" w:color="auto"/>
          </w:divBdr>
        </w:div>
        <w:div w:id="1441952003">
          <w:marLeft w:val="0"/>
          <w:marRight w:val="0"/>
          <w:marTop w:val="0"/>
          <w:marBottom w:val="0"/>
          <w:divBdr>
            <w:top w:val="none" w:sz="0" w:space="0" w:color="auto"/>
            <w:left w:val="none" w:sz="0" w:space="0" w:color="auto"/>
            <w:bottom w:val="none" w:sz="0" w:space="0" w:color="auto"/>
            <w:right w:val="none" w:sz="0" w:space="0" w:color="auto"/>
          </w:divBdr>
        </w:div>
      </w:divsChild>
    </w:div>
    <w:div w:id="1078864187">
      <w:bodyDiv w:val="1"/>
      <w:marLeft w:val="0"/>
      <w:marRight w:val="0"/>
      <w:marTop w:val="0"/>
      <w:marBottom w:val="0"/>
      <w:divBdr>
        <w:top w:val="none" w:sz="0" w:space="0" w:color="auto"/>
        <w:left w:val="none" w:sz="0" w:space="0" w:color="auto"/>
        <w:bottom w:val="none" w:sz="0" w:space="0" w:color="auto"/>
        <w:right w:val="none" w:sz="0" w:space="0" w:color="auto"/>
      </w:divBdr>
      <w:divsChild>
        <w:div w:id="640422989">
          <w:marLeft w:val="0"/>
          <w:marRight w:val="0"/>
          <w:marTop w:val="0"/>
          <w:marBottom w:val="0"/>
          <w:divBdr>
            <w:top w:val="none" w:sz="0" w:space="0" w:color="auto"/>
            <w:left w:val="none" w:sz="0" w:space="0" w:color="auto"/>
            <w:bottom w:val="none" w:sz="0" w:space="0" w:color="auto"/>
            <w:right w:val="none" w:sz="0" w:space="0" w:color="auto"/>
          </w:divBdr>
        </w:div>
        <w:div w:id="805195332">
          <w:marLeft w:val="0"/>
          <w:marRight w:val="0"/>
          <w:marTop w:val="0"/>
          <w:marBottom w:val="0"/>
          <w:divBdr>
            <w:top w:val="none" w:sz="0" w:space="0" w:color="auto"/>
            <w:left w:val="none" w:sz="0" w:space="0" w:color="auto"/>
            <w:bottom w:val="none" w:sz="0" w:space="0" w:color="auto"/>
            <w:right w:val="none" w:sz="0" w:space="0" w:color="auto"/>
          </w:divBdr>
        </w:div>
        <w:div w:id="1533764231">
          <w:marLeft w:val="0"/>
          <w:marRight w:val="0"/>
          <w:marTop w:val="0"/>
          <w:marBottom w:val="0"/>
          <w:divBdr>
            <w:top w:val="none" w:sz="0" w:space="0" w:color="auto"/>
            <w:left w:val="none" w:sz="0" w:space="0" w:color="auto"/>
            <w:bottom w:val="none" w:sz="0" w:space="0" w:color="auto"/>
            <w:right w:val="none" w:sz="0" w:space="0" w:color="auto"/>
          </w:divBdr>
        </w:div>
        <w:div w:id="1792243201">
          <w:marLeft w:val="0"/>
          <w:marRight w:val="0"/>
          <w:marTop w:val="0"/>
          <w:marBottom w:val="0"/>
          <w:divBdr>
            <w:top w:val="none" w:sz="0" w:space="0" w:color="auto"/>
            <w:left w:val="none" w:sz="0" w:space="0" w:color="auto"/>
            <w:bottom w:val="none" w:sz="0" w:space="0" w:color="auto"/>
            <w:right w:val="none" w:sz="0" w:space="0" w:color="auto"/>
          </w:divBdr>
        </w:div>
        <w:div w:id="2100249466">
          <w:marLeft w:val="0"/>
          <w:marRight w:val="0"/>
          <w:marTop w:val="0"/>
          <w:marBottom w:val="0"/>
          <w:divBdr>
            <w:top w:val="none" w:sz="0" w:space="0" w:color="auto"/>
            <w:left w:val="none" w:sz="0" w:space="0" w:color="auto"/>
            <w:bottom w:val="none" w:sz="0" w:space="0" w:color="auto"/>
            <w:right w:val="none" w:sz="0" w:space="0" w:color="auto"/>
          </w:divBdr>
        </w:div>
      </w:divsChild>
    </w:div>
    <w:div w:id="1106344536">
      <w:bodyDiv w:val="1"/>
      <w:marLeft w:val="0"/>
      <w:marRight w:val="0"/>
      <w:marTop w:val="0"/>
      <w:marBottom w:val="0"/>
      <w:divBdr>
        <w:top w:val="none" w:sz="0" w:space="0" w:color="auto"/>
        <w:left w:val="none" w:sz="0" w:space="0" w:color="auto"/>
        <w:bottom w:val="none" w:sz="0" w:space="0" w:color="auto"/>
        <w:right w:val="none" w:sz="0" w:space="0" w:color="auto"/>
      </w:divBdr>
    </w:div>
    <w:div w:id="1120875558">
      <w:bodyDiv w:val="1"/>
      <w:marLeft w:val="0"/>
      <w:marRight w:val="0"/>
      <w:marTop w:val="0"/>
      <w:marBottom w:val="0"/>
      <w:divBdr>
        <w:top w:val="none" w:sz="0" w:space="0" w:color="auto"/>
        <w:left w:val="none" w:sz="0" w:space="0" w:color="auto"/>
        <w:bottom w:val="none" w:sz="0" w:space="0" w:color="auto"/>
        <w:right w:val="none" w:sz="0" w:space="0" w:color="auto"/>
      </w:divBdr>
      <w:divsChild>
        <w:div w:id="632491667">
          <w:marLeft w:val="0"/>
          <w:marRight w:val="0"/>
          <w:marTop w:val="0"/>
          <w:marBottom w:val="0"/>
          <w:divBdr>
            <w:top w:val="none" w:sz="0" w:space="0" w:color="auto"/>
            <w:left w:val="none" w:sz="0" w:space="0" w:color="auto"/>
            <w:bottom w:val="none" w:sz="0" w:space="0" w:color="auto"/>
            <w:right w:val="none" w:sz="0" w:space="0" w:color="auto"/>
          </w:divBdr>
        </w:div>
        <w:div w:id="1003047202">
          <w:marLeft w:val="0"/>
          <w:marRight w:val="0"/>
          <w:marTop w:val="0"/>
          <w:marBottom w:val="0"/>
          <w:divBdr>
            <w:top w:val="none" w:sz="0" w:space="0" w:color="auto"/>
            <w:left w:val="none" w:sz="0" w:space="0" w:color="auto"/>
            <w:bottom w:val="none" w:sz="0" w:space="0" w:color="auto"/>
            <w:right w:val="none" w:sz="0" w:space="0" w:color="auto"/>
          </w:divBdr>
        </w:div>
      </w:divsChild>
    </w:div>
    <w:div w:id="1135872290">
      <w:bodyDiv w:val="1"/>
      <w:marLeft w:val="0"/>
      <w:marRight w:val="0"/>
      <w:marTop w:val="0"/>
      <w:marBottom w:val="0"/>
      <w:divBdr>
        <w:top w:val="none" w:sz="0" w:space="0" w:color="auto"/>
        <w:left w:val="none" w:sz="0" w:space="0" w:color="auto"/>
        <w:bottom w:val="none" w:sz="0" w:space="0" w:color="auto"/>
        <w:right w:val="none" w:sz="0" w:space="0" w:color="auto"/>
      </w:divBdr>
      <w:divsChild>
        <w:div w:id="209150661">
          <w:marLeft w:val="0"/>
          <w:marRight w:val="0"/>
          <w:marTop w:val="0"/>
          <w:marBottom w:val="0"/>
          <w:divBdr>
            <w:top w:val="none" w:sz="0" w:space="0" w:color="auto"/>
            <w:left w:val="none" w:sz="0" w:space="0" w:color="auto"/>
            <w:bottom w:val="none" w:sz="0" w:space="0" w:color="auto"/>
            <w:right w:val="none" w:sz="0" w:space="0" w:color="auto"/>
          </w:divBdr>
        </w:div>
        <w:div w:id="260724037">
          <w:marLeft w:val="0"/>
          <w:marRight w:val="0"/>
          <w:marTop w:val="0"/>
          <w:marBottom w:val="0"/>
          <w:divBdr>
            <w:top w:val="none" w:sz="0" w:space="0" w:color="auto"/>
            <w:left w:val="none" w:sz="0" w:space="0" w:color="auto"/>
            <w:bottom w:val="none" w:sz="0" w:space="0" w:color="auto"/>
            <w:right w:val="none" w:sz="0" w:space="0" w:color="auto"/>
          </w:divBdr>
        </w:div>
        <w:div w:id="328949403">
          <w:marLeft w:val="0"/>
          <w:marRight w:val="0"/>
          <w:marTop w:val="0"/>
          <w:marBottom w:val="0"/>
          <w:divBdr>
            <w:top w:val="none" w:sz="0" w:space="0" w:color="auto"/>
            <w:left w:val="none" w:sz="0" w:space="0" w:color="auto"/>
            <w:bottom w:val="none" w:sz="0" w:space="0" w:color="auto"/>
            <w:right w:val="none" w:sz="0" w:space="0" w:color="auto"/>
          </w:divBdr>
        </w:div>
        <w:div w:id="389812659">
          <w:marLeft w:val="0"/>
          <w:marRight w:val="0"/>
          <w:marTop w:val="0"/>
          <w:marBottom w:val="0"/>
          <w:divBdr>
            <w:top w:val="none" w:sz="0" w:space="0" w:color="auto"/>
            <w:left w:val="none" w:sz="0" w:space="0" w:color="auto"/>
            <w:bottom w:val="none" w:sz="0" w:space="0" w:color="auto"/>
            <w:right w:val="none" w:sz="0" w:space="0" w:color="auto"/>
          </w:divBdr>
        </w:div>
        <w:div w:id="467629262">
          <w:marLeft w:val="0"/>
          <w:marRight w:val="0"/>
          <w:marTop w:val="0"/>
          <w:marBottom w:val="0"/>
          <w:divBdr>
            <w:top w:val="none" w:sz="0" w:space="0" w:color="auto"/>
            <w:left w:val="none" w:sz="0" w:space="0" w:color="auto"/>
            <w:bottom w:val="none" w:sz="0" w:space="0" w:color="auto"/>
            <w:right w:val="none" w:sz="0" w:space="0" w:color="auto"/>
          </w:divBdr>
        </w:div>
        <w:div w:id="554899589">
          <w:marLeft w:val="0"/>
          <w:marRight w:val="0"/>
          <w:marTop w:val="0"/>
          <w:marBottom w:val="0"/>
          <w:divBdr>
            <w:top w:val="none" w:sz="0" w:space="0" w:color="auto"/>
            <w:left w:val="none" w:sz="0" w:space="0" w:color="auto"/>
            <w:bottom w:val="none" w:sz="0" w:space="0" w:color="auto"/>
            <w:right w:val="none" w:sz="0" w:space="0" w:color="auto"/>
          </w:divBdr>
        </w:div>
        <w:div w:id="1053508455">
          <w:marLeft w:val="0"/>
          <w:marRight w:val="0"/>
          <w:marTop w:val="0"/>
          <w:marBottom w:val="0"/>
          <w:divBdr>
            <w:top w:val="none" w:sz="0" w:space="0" w:color="auto"/>
            <w:left w:val="none" w:sz="0" w:space="0" w:color="auto"/>
            <w:bottom w:val="none" w:sz="0" w:space="0" w:color="auto"/>
            <w:right w:val="none" w:sz="0" w:space="0" w:color="auto"/>
          </w:divBdr>
        </w:div>
        <w:div w:id="1125999765">
          <w:marLeft w:val="0"/>
          <w:marRight w:val="0"/>
          <w:marTop w:val="0"/>
          <w:marBottom w:val="0"/>
          <w:divBdr>
            <w:top w:val="none" w:sz="0" w:space="0" w:color="auto"/>
            <w:left w:val="none" w:sz="0" w:space="0" w:color="auto"/>
            <w:bottom w:val="none" w:sz="0" w:space="0" w:color="auto"/>
            <w:right w:val="none" w:sz="0" w:space="0" w:color="auto"/>
          </w:divBdr>
        </w:div>
        <w:div w:id="1319071482">
          <w:marLeft w:val="0"/>
          <w:marRight w:val="0"/>
          <w:marTop w:val="0"/>
          <w:marBottom w:val="0"/>
          <w:divBdr>
            <w:top w:val="none" w:sz="0" w:space="0" w:color="auto"/>
            <w:left w:val="none" w:sz="0" w:space="0" w:color="auto"/>
            <w:bottom w:val="none" w:sz="0" w:space="0" w:color="auto"/>
            <w:right w:val="none" w:sz="0" w:space="0" w:color="auto"/>
          </w:divBdr>
        </w:div>
        <w:div w:id="1431585678">
          <w:marLeft w:val="0"/>
          <w:marRight w:val="0"/>
          <w:marTop w:val="0"/>
          <w:marBottom w:val="0"/>
          <w:divBdr>
            <w:top w:val="none" w:sz="0" w:space="0" w:color="auto"/>
            <w:left w:val="none" w:sz="0" w:space="0" w:color="auto"/>
            <w:bottom w:val="none" w:sz="0" w:space="0" w:color="auto"/>
            <w:right w:val="none" w:sz="0" w:space="0" w:color="auto"/>
          </w:divBdr>
        </w:div>
        <w:div w:id="1630893291">
          <w:marLeft w:val="0"/>
          <w:marRight w:val="0"/>
          <w:marTop w:val="0"/>
          <w:marBottom w:val="0"/>
          <w:divBdr>
            <w:top w:val="none" w:sz="0" w:space="0" w:color="auto"/>
            <w:left w:val="none" w:sz="0" w:space="0" w:color="auto"/>
            <w:bottom w:val="none" w:sz="0" w:space="0" w:color="auto"/>
            <w:right w:val="none" w:sz="0" w:space="0" w:color="auto"/>
          </w:divBdr>
        </w:div>
        <w:div w:id="1775050952">
          <w:marLeft w:val="0"/>
          <w:marRight w:val="0"/>
          <w:marTop w:val="0"/>
          <w:marBottom w:val="0"/>
          <w:divBdr>
            <w:top w:val="none" w:sz="0" w:space="0" w:color="auto"/>
            <w:left w:val="none" w:sz="0" w:space="0" w:color="auto"/>
            <w:bottom w:val="none" w:sz="0" w:space="0" w:color="auto"/>
            <w:right w:val="none" w:sz="0" w:space="0" w:color="auto"/>
          </w:divBdr>
        </w:div>
        <w:div w:id="2057856074">
          <w:marLeft w:val="0"/>
          <w:marRight w:val="0"/>
          <w:marTop w:val="0"/>
          <w:marBottom w:val="0"/>
          <w:divBdr>
            <w:top w:val="none" w:sz="0" w:space="0" w:color="auto"/>
            <w:left w:val="none" w:sz="0" w:space="0" w:color="auto"/>
            <w:bottom w:val="none" w:sz="0" w:space="0" w:color="auto"/>
            <w:right w:val="none" w:sz="0" w:space="0" w:color="auto"/>
          </w:divBdr>
        </w:div>
      </w:divsChild>
    </w:div>
    <w:div w:id="1144739103">
      <w:bodyDiv w:val="1"/>
      <w:marLeft w:val="0"/>
      <w:marRight w:val="0"/>
      <w:marTop w:val="0"/>
      <w:marBottom w:val="0"/>
      <w:divBdr>
        <w:top w:val="none" w:sz="0" w:space="0" w:color="auto"/>
        <w:left w:val="none" w:sz="0" w:space="0" w:color="auto"/>
        <w:bottom w:val="none" w:sz="0" w:space="0" w:color="auto"/>
        <w:right w:val="none" w:sz="0" w:space="0" w:color="auto"/>
      </w:divBdr>
    </w:div>
    <w:div w:id="1146047107">
      <w:bodyDiv w:val="1"/>
      <w:marLeft w:val="0"/>
      <w:marRight w:val="0"/>
      <w:marTop w:val="0"/>
      <w:marBottom w:val="0"/>
      <w:divBdr>
        <w:top w:val="none" w:sz="0" w:space="0" w:color="auto"/>
        <w:left w:val="none" w:sz="0" w:space="0" w:color="auto"/>
        <w:bottom w:val="none" w:sz="0" w:space="0" w:color="auto"/>
        <w:right w:val="none" w:sz="0" w:space="0" w:color="auto"/>
      </w:divBdr>
      <w:divsChild>
        <w:div w:id="2125032172">
          <w:marLeft w:val="0"/>
          <w:marRight w:val="0"/>
          <w:marTop w:val="0"/>
          <w:marBottom w:val="0"/>
          <w:divBdr>
            <w:top w:val="none" w:sz="0" w:space="0" w:color="auto"/>
            <w:left w:val="none" w:sz="0" w:space="0" w:color="auto"/>
            <w:bottom w:val="none" w:sz="0" w:space="0" w:color="auto"/>
            <w:right w:val="none" w:sz="0" w:space="0" w:color="auto"/>
          </w:divBdr>
        </w:div>
        <w:div w:id="111478474">
          <w:marLeft w:val="0"/>
          <w:marRight w:val="0"/>
          <w:marTop w:val="0"/>
          <w:marBottom w:val="0"/>
          <w:divBdr>
            <w:top w:val="none" w:sz="0" w:space="0" w:color="auto"/>
            <w:left w:val="none" w:sz="0" w:space="0" w:color="auto"/>
            <w:bottom w:val="none" w:sz="0" w:space="0" w:color="auto"/>
            <w:right w:val="none" w:sz="0" w:space="0" w:color="auto"/>
          </w:divBdr>
        </w:div>
        <w:div w:id="2113237545">
          <w:marLeft w:val="0"/>
          <w:marRight w:val="0"/>
          <w:marTop w:val="0"/>
          <w:marBottom w:val="0"/>
          <w:divBdr>
            <w:top w:val="none" w:sz="0" w:space="0" w:color="auto"/>
            <w:left w:val="none" w:sz="0" w:space="0" w:color="auto"/>
            <w:bottom w:val="none" w:sz="0" w:space="0" w:color="auto"/>
            <w:right w:val="none" w:sz="0" w:space="0" w:color="auto"/>
          </w:divBdr>
        </w:div>
        <w:div w:id="1190725428">
          <w:marLeft w:val="0"/>
          <w:marRight w:val="0"/>
          <w:marTop w:val="0"/>
          <w:marBottom w:val="0"/>
          <w:divBdr>
            <w:top w:val="none" w:sz="0" w:space="0" w:color="auto"/>
            <w:left w:val="none" w:sz="0" w:space="0" w:color="auto"/>
            <w:bottom w:val="none" w:sz="0" w:space="0" w:color="auto"/>
            <w:right w:val="none" w:sz="0" w:space="0" w:color="auto"/>
          </w:divBdr>
        </w:div>
        <w:div w:id="1692797821">
          <w:marLeft w:val="0"/>
          <w:marRight w:val="0"/>
          <w:marTop w:val="0"/>
          <w:marBottom w:val="0"/>
          <w:divBdr>
            <w:top w:val="none" w:sz="0" w:space="0" w:color="auto"/>
            <w:left w:val="none" w:sz="0" w:space="0" w:color="auto"/>
            <w:bottom w:val="none" w:sz="0" w:space="0" w:color="auto"/>
            <w:right w:val="none" w:sz="0" w:space="0" w:color="auto"/>
          </w:divBdr>
        </w:div>
        <w:div w:id="997464487">
          <w:marLeft w:val="0"/>
          <w:marRight w:val="0"/>
          <w:marTop w:val="0"/>
          <w:marBottom w:val="0"/>
          <w:divBdr>
            <w:top w:val="none" w:sz="0" w:space="0" w:color="auto"/>
            <w:left w:val="none" w:sz="0" w:space="0" w:color="auto"/>
            <w:bottom w:val="none" w:sz="0" w:space="0" w:color="auto"/>
            <w:right w:val="none" w:sz="0" w:space="0" w:color="auto"/>
          </w:divBdr>
        </w:div>
        <w:div w:id="994801701">
          <w:marLeft w:val="0"/>
          <w:marRight w:val="0"/>
          <w:marTop w:val="0"/>
          <w:marBottom w:val="0"/>
          <w:divBdr>
            <w:top w:val="none" w:sz="0" w:space="0" w:color="auto"/>
            <w:left w:val="none" w:sz="0" w:space="0" w:color="auto"/>
            <w:bottom w:val="none" w:sz="0" w:space="0" w:color="auto"/>
            <w:right w:val="none" w:sz="0" w:space="0" w:color="auto"/>
          </w:divBdr>
        </w:div>
        <w:div w:id="1627349303">
          <w:marLeft w:val="0"/>
          <w:marRight w:val="0"/>
          <w:marTop w:val="0"/>
          <w:marBottom w:val="0"/>
          <w:divBdr>
            <w:top w:val="none" w:sz="0" w:space="0" w:color="auto"/>
            <w:left w:val="none" w:sz="0" w:space="0" w:color="auto"/>
            <w:bottom w:val="none" w:sz="0" w:space="0" w:color="auto"/>
            <w:right w:val="none" w:sz="0" w:space="0" w:color="auto"/>
          </w:divBdr>
        </w:div>
        <w:div w:id="455177941">
          <w:marLeft w:val="0"/>
          <w:marRight w:val="0"/>
          <w:marTop w:val="0"/>
          <w:marBottom w:val="0"/>
          <w:divBdr>
            <w:top w:val="none" w:sz="0" w:space="0" w:color="auto"/>
            <w:left w:val="none" w:sz="0" w:space="0" w:color="auto"/>
            <w:bottom w:val="none" w:sz="0" w:space="0" w:color="auto"/>
            <w:right w:val="none" w:sz="0" w:space="0" w:color="auto"/>
          </w:divBdr>
        </w:div>
        <w:div w:id="1754737945">
          <w:marLeft w:val="0"/>
          <w:marRight w:val="0"/>
          <w:marTop w:val="0"/>
          <w:marBottom w:val="0"/>
          <w:divBdr>
            <w:top w:val="none" w:sz="0" w:space="0" w:color="auto"/>
            <w:left w:val="none" w:sz="0" w:space="0" w:color="auto"/>
            <w:bottom w:val="none" w:sz="0" w:space="0" w:color="auto"/>
            <w:right w:val="none" w:sz="0" w:space="0" w:color="auto"/>
          </w:divBdr>
        </w:div>
        <w:div w:id="503670017">
          <w:marLeft w:val="0"/>
          <w:marRight w:val="0"/>
          <w:marTop w:val="0"/>
          <w:marBottom w:val="0"/>
          <w:divBdr>
            <w:top w:val="none" w:sz="0" w:space="0" w:color="auto"/>
            <w:left w:val="none" w:sz="0" w:space="0" w:color="auto"/>
            <w:bottom w:val="none" w:sz="0" w:space="0" w:color="auto"/>
            <w:right w:val="none" w:sz="0" w:space="0" w:color="auto"/>
          </w:divBdr>
        </w:div>
        <w:div w:id="168981513">
          <w:marLeft w:val="0"/>
          <w:marRight w:val="0"/>
          <w:marTop w:val="0"/>
          <w:marBottom w:val="0"/>
          <w:divBdr>
            <w:top w:val="none" w:sz="0" w:space="0" w:color="auto"/>
            <w:left w:val="none" w:sz="0" w:space="0" w:color="auto"/>
            <w:bottom w:val="none" w:sz="0" w:space="0" w:color="auto"/>
            <w:right w:val="none" w:sz="0" w:space="0" w:color="auto"/>
          </w:divBdr>
        </w:div>
        <w:div w:id="511143771">
          <w:marLeft w:val="0"/>
          <w:marRight w:val="0"/>
          <w:marTop w:val="0"/>
          <w:marBottom w:val="0"/>
          <w:divBdr>
            <w:top w:val="none" w:sz="0" w:space="0" w:color="auto"/>
            <w:left w:val="none" w:sz="0" w:space="0" w:color="auto"/>
            <w:bottom w:val="none" w:sz="0" w:space="0" w:color="auto"/>
            <w:right w:val="none" w:sz="0" w:space="0" w:color="auto"/>
          </w:divBdr>
        </w:div>
        <w:div w:id="685861209">
          <w:marLeft w:val="0"/>
          <w:marRight w:val="0"/>
          <w:marTop w:val="0"/>
          <w:marBottom w:val="0"/>
          <w:divBdr>
            <w:top w:val="none" w:sz="0" w:space="0" w:color="auto"/>
            <w:left w:val="none" w:sz="0" w:space="0" w:color="auto"/>
            <w:bottom w:val="none" w:sz="0" w:space="0" w:color="auto"/>
            <w:right w:val="none" w:sz="0" w:space="0" w:color="auto"/>
          </w:divBdr>
        </w:div>
        <w:div w:id="312413158">
          <w:marLeft w:val="0"/>
          <w:marRight w:val="0"/>
          <w:marTop w:val="0"/>
          <w:marBottom w:val="0"/>
          <w:divBdr>
            <w:top w:val="none" w:sz="0" w:space="0" w:color="auto"/>
            <w:left w:val="none" w:sz="0" w:space="0" w:color="auto"/>
            <w:bottom w:val="none" w:sz="0" w:space="0" w:color="auto"/>
            <w:right w:val="none" w:sz="0" w:space="0" w:color="auto"/>
          </w:divBdr>
        </w:div>
        <w:div w:id="303509375">
          <w:marLeft w:val="0"/>
          <w:marRight w:val="0"/>
          <w:marTop w:val="0"/>
          <w:marBottom w:val="0"/>
          <w:divBdr>
            <w:top w:val="none" w:sz="0" w:space="0" w:color="auto"/>
            <w:left w:val="none" w:sz="0" w:space="0" w:color="auto"/>
            <w:bottom w:val="none" w:sz="0" w:space="0" w:color="auto"/>
            <w:right w:val="none" w:sz="0" w:space="0" w:color="auto"/>
          </w:divBdr>
        </w:div>
        <w:div w:id="510529277">
          <w:marLeft w:val="0"/>
          <w:marRight w:val="0"/>
          <w:marTop w:val="0"/>
          <w:marBottom w:val="0"/>
          <w:divBdr>
            <w:top w:val="none" w:sz="0" w:space="0" w:color="auto"/>
            <w:left w:val="none" w:sz="0" w:space="0" w:color="auto"/>
            <w:bottom w:val="none" w:sz="0" w:space="0" w:color="auto"/>
            <w:right w:val="none" w:sz="0" w:space="0" w:color="auto"/>
          </w:divBdr>
        </w:div>
        <w:div w:id="408962852">
          <w:marLeft w:val="0"/>
          <w:marRight w:val="0"/>
          <w:marTop w:val="0"/>
          <w:marBottom w:val="0"/>
          <w:divBdr>
            <w:top w:val="none" w:sz="0" w:space="0" w:color="auto"/>
            <w:left w:val="none" w:sz="0" w:space="0" w:color="auto"/>
            <w:bottom w:val="none" w:sz="0" w:space="0" w:color="auto"/>
            <w:right w:val="none" w:sz="0" w:space="0" w:color="auto"/>
          </w:divBdr>
        </w:div>
      </w:divsChild>
    </w:div>
    <w:div w:id="1150832206">
      <w:bodyDiv w:val="1"/>
      <w:marLeft w:val="0"/>
      <w:marRight w:val="0"/>
      <w:marTop w:val="0"/>
      <w:marBottom w:val="0"/>
      <w:divBdr>
        <w:top w:val="none" w:sz="0" w:space="0" w:color="auto"/>
        <w:left w:val="none" w:sz="0" w:space="0" w:color="auto"/>
        <w:bottom w:val="none" w:sz="0" w:space="0" w:color="auto"/>
        <w:right w:val="none" w:sz="0" w:space="0" w:color="auto"/>
      </w:divBdr>
      <w:divsChild>
        <w:div w:id="489639031">
          <w:marLeft w:val="0"/>
          <w:marRight w:val="0"/>
          <w:marTop w:val="0"/>
          <w:marBottom w:val="0"/>
          <w:divBdr>
            <w:top w:val="none" w:sz="0" w:space="0" w:color="auto"/>
            <w:left w:val="none" w:sz="0" w:space="0" w:color="auto"/>
            <w:bottom w:val="none" w:sz="0" w:space="0" w:color="auto"/>
            <w:right w:val="none" w:sz="0" w:space="0" w:color="auto"/>
          </w:divBdr>
        </w:div>
        <w:div w:id="130753678">
          <w:marLeft w:val="0"/>
          <w:marRight w:val="0"/>
          <w:marTop w:val="0"/>
          <w:marBottom w:val="0"/>
          <w:divBdr>
            <w:top w:val="none" w:sz="0" w:space="0" w:color="auto"/>
            <w:left w:val="none" w:sz="0" w:space="0" w:color="auto"/>
            <w:bottom w:val="none" w:sz="0" w:space="0" w:color="auto"/>
            <w:right w:val="none" w:sz="0" w:space="0" w:color="auto"/>
          </w:divBdr>
        </w:div>
        <w:div w:id="1789275938">
          <w:marLeft w:val="0"/>
          <w:marRight w:val="0"/>
          <w:marTop w:val="0"/>
          <w:marBottom w:val="0"/>
          <w:divBdr>
            <w:top w:val="none" w:sz="0" w:space="0" w:color="auto"/>
            <w:left w:val="none" w:sz="0" w:space="0" w:color="auto"/>
            <w:bottom w:val="none" w:sz="0" w:space="0" w:color="auto"/>
            <w:right w:val="none" w:sz="0" w:space="0" w:color="auto"/>
          </w:divBdr>
        </w:div>
      </w:divsChild>
    </w:div>
    <w:div w:id="1156334523">
      <w:bodyDiv w:val="1"/>
      <w:marLeft w:val="0"/>
      <w:marRight w:val="0"/>
      <w:marTop w:val="0"/>
      <w:marBottom w:val="0"/>
      <w:divBdr>
        <w:top w:val="none" w:sz="0" w:space="0" w:color="auto"/>
        <w:left w:val="none" w:sz="0" w:space="0" w:color="auto"/>
        <w:bottom w:val="none" w:sz="0" w:space="0" w:color="auto"/>
        <w:right w:val="none" w:sz="0" w:space="0" w:color="auto"/>
      </w:divBdr>
      <w:divsChild>
        <w:div w:id="1087001958">
          <w:marLeft w:val="0"/>
          <w:marRight w:val="0"/>
          <w:marTop w:val="0"/>
          <w:marBottom w:val="0"/>
          <w:divBdr>
            <w:top w:val="none" w:sz="0" w:space="0" w:color="auto"/>
            <w:left w:val="none" w:sz="0" w:space="0" w:color="auto"/>
            <w:bottom w:val="none" w:sz="0" w:space="0" w:color="auto"/>
            <w:right w:val="none" w:sz="0" w:space="0" w:color="auto"/>
          </w:divBdr>
        </w:div>
        <w:div w:id="1584799234">
          <w:marLeft w:val="0"/>
          <w:marRight w:val="0"/>
          <w:marTop w:val="0"/>
          <w:marBottom w:val="0"/>
          <w:divBdr>
            <w:top w:val="none" w:sz="0" w:space="0" w:color="auto"/>
            <w:left w:val="none" w:sz="0" w:space="0" w:color="auto"/>
            <w:bottom w:val="none" w:sz="0" w:space="0" w:color="auto"/>
            <w:right w:val="none" w:sz="0" w:space="0" w:color="auto"/>
          </w:divBdr>
        </w:div>
        <w:div w:id="1451975976">
          <w:marLeft w:val="0"/>
          <w:marRight w:val="0"/>
          <w:marTop w:val="0"/>
          <w:marBottom w:val="0"/>
          <w:divBdr>
            <w:top w:val="none" w:sz="0" w:space="0" w:color="auto"/>
            <w:left w:val="none" w:sz="0" w:space="0" w:color="auto"/>
            <w:bottom w:val="none" w:sz="0" w:space="0" w:color="auto"/>
            <w:right w:val="none" w:sz="0" w:space="0" w:color="auto"/>
          </w:divBdr>
        </w:div>
      </w:divsChild>
    </w:div>
    <w:div w:id="1162114959">
      <w:bodyDiv w:val="1"/>
      <w:marLeft w:val="0"/>
      <w:marRight w:val="0"/>
      <w:marTop w:val="0"/>
      <w:marBottom w:val="0"/>
      <w:divBdr>
        <w:top w:val="none" w:sz="0" w:space="0" w:color="auto"/>
        <w:left w:val="none" w:sz="0" w:space="0" w:color="auto"/>
        <w:bottom w:val="none" w:sz="0" w:space="0" w:color="auto"/>
        <w:right w:val="none" w:sz="0" w:space="0" w:color="auto"/>
      </w:divBdr>
    </w:div>
    <w:div w:id="1178811845">
      <w:bodyDiv w:val="1"/>
      <w:marLeft w:val="0"/>
      <w:marRight w:val="0"/>
      <w:marTop w:val="0"/>
      <w:marBottom w:val="0"/>
      <w:divBdr>
        <w:top w:val="none" w:sz="0" w:space="0" w:color="auto"/>
        <w:left w:val="none" w:sz="0" w:space="0" w:color="auto"/>
        <w:bottom w:val="none" w:sz="0" w:space="0" w:color="auto"/>
        <w:right w:val="none" w:sz="0" w:space="0" w:color="auto"/>
      </w:divBdr>
      <w:divsChild>
        <w:div w:id="1336347698">
          <w:marLeft w:val="0"/>
          <w:marRight w:val="0"/>
          <w:marTop w:val="0"/>
          <w:marBottom w:val="0"/>
          <w:divBdr>
            <w:top w:val="none" w:sz="0" w:space="0" w:color="auto"/>
            <w:left w:val="none" w:sz="0" w:space="0" w:color="auto"/>
            <w:bottom w:val="none" w:sz="0" w:space="0" w:color="auto"/>
            <w:right w:val="none" w:sz="0" w:space="0" w:color="auto"/>
          </w:divBdr>
        </w:div>
        <w:div w:id="1867256234">
          <w:marLeft w:val="0"/>
          <w:marRight w:val="0"/>
          <w:marTop w:val="0"/>
          <w:marBottom w:val="0"/>
          <w:divBdr>
            <w:top w:val="none" w:sz="0" w:space="0" w:color="auto"/>
            <w:left w:val="none" w:sz="0" w:space="0" w:color="auto"/>
            <w:bottom w:val="none" w:sz="0" w:space="0" w:color="auto"/>
            <w:right w:val="none" w:sz="0" w:space="0" w:color="auto"/>
          </w:divBdr>
        </w:div>
      </w:divsChild>
    </w:div>
    <w:div w:id="1185435678">
      <w:bodyDiv w:val="1"/>
      <w:marLeft w:val="0"/>
      <w:marRight w:val="0"/>
      <w:marTop w:val="0"/>
      <w:marBottom w:val="0"/>
      <w:divBdr>
        <w:top w:val="none" w:sz="0" w:space="0" w:color="auto"/>
        <w:left w:val="none" w:sz="0" w:space="0" w:color="auto"/>
        <w:bottom w:val="none" w:sz="0" w:space="0" w:color="auto"/>
        <w:right w:val="none" w:sz="0" w:space="0" w:color="auto"/>
      </w:divBdr>
      <w:divsChild>
        <w:div w:id="1634672924">
          <w:marLeft w:val="0"/>
          <w:marRight w:val="0"/>
          <w:marTop w:val="0"/>
          <w:marBottom w:val="0"/>
          <w:divBdr>
            <w:top w:val="none" w:sz="0" w:space="0" w:color="auto"/>
            <w:left w:val="none" w:sz="0" w:space="0" w:color="auto"/>
            <w:bottom w:val="none" w:sz="0" w:space="0" w:color="auto"/>
            <w:right w:val="none" w:sz="0" w:space="0" w:color="auto"/>
          </w:divBdr>
          <w:divsChild>
            <w:div w:id="1816141178">
              <w:marLeft w:val="0"/>
              <w:marRight w:val="0"/>
              <w:marTop w:val="0"/>
              <w:marBottom w:val="0"/>
              <w:divBdr>
                <w:top w:val="none" w:sz="0" w:space="0" w:color="auto"/>
                <w:left w:val="none" w:sz="0" w:space="0" w:color="auto"/>
                <w:bottom w:val="none" w:sz="0" w:space="0" w:color="auto"/>
                <w:right w:val="none" w:sz="0" w:space="0" w:color="auto"/>
              </w:divBdr>
              <w:divsChild>
                <w:div w:id="1145321692">
                  <w:marLeft w:val="0"/>
                  <w:marRight w:val="0"/>
                  <w:marTop w:val="0"/>
                  <w:marBottom w:val="0"/>
                  <w:divBdr>
                    <w:top w:val="none" w:sz="0" w:space="0" w:color="auto"/>
                    <w:left w:val="none" w:sz="0" w:space="0" w:color="auto"/>
                    <w:bottom w:val="none" w:sz="0" w:space="0" w:color="auto"/>
                    <w:right w:val="none" w:sz="0" w:space="0" w:color="auto"/>
                  </w:divBdr>
                  <w:divsChild>
                    <w:div w:id="592670619">
                      <w:marLeft w:val="0"/>
                      <w:marRight w:val="0"/>
                      <w:marTop w:val="0"/>
                      <w:marBottom w:val="0"/>
                      <w:divBdr>
                        <w:top w:val="none" w:sz="0" w:space="0" w:color="auto"/>
                        <w:left w:val="none" w:sz="0" w:space="0" w:color="auto"/>
                        <w:bottom w:val="none" w:sz="0" w:space="0" w:color="auto"/>
                        <w:right w:val="none" w:sz="0" w:space="0" w:color="auto"/>
                      </w:divBdr>
                      <w:divsChild>
                        <w:div w:id="1957062167">
                          <w:marLeft w:val="0"/>
                          <w:marRight w:val="0"/>
                          <w:marTop w:val="0"/>
                          <w:marBottom w:val="0"/>
                          <w:divBdr>
                            <w:top w:val="none" w:sz="0" w:space="0" w:color="auto"/>
                            <w:left w:val="none" w:sz="0" w:space="0" w:color="auto"/>
                            <w:bottom w:val="none" w:sz="0" w:space="0" w:color="auto"/>
                            <w:right w:val="none" w:sz="0" w:space="0" w:color="auto"/>
                          </w:divBdr>
                          <w:divsChild>
                            <w:div w:id="1257400077">
                              <w:marLeft w:val="0"/>
                              <w:marRight w:val="0"/>
                              <w:marTop w:val="0"/>
                              <w:marBottom w:val="0"/>
                              <w:divBdr>
                                <w:top w:val="none" w:sz="0" w:space="0" w:color="auto"/>
                                <w:left w:val="none" w:sz="0" w:space="0" w:color="auto"/>
                                <w:bottom w:val="none" w:sz="0" w:space="0" w:color="auto"/>
                                <w:right w:val="none" w:sz="0" w:space="0" w:color="auto"/>
                              </w:divBdr>
                              <w:divsChild>
                                <w:div w:id="489759021">
                                  <w:marLeft w:val="0"/>
                                  <w:marRight w:val="0"/>
                                  <w:marTop w:val="0"/>
                                  <w:marBottom w:val="0"/>
                                  <w:divBdr>
                                    <w:top w:val="none" w:sz="0" w:space="0" w:color="auto"/>
                                    <w:left w:val="none" w:sz="0" w:space="0" w:color="auto"/>
                                    <w:bottom w:val="none" w:sz="0" w:space="0" w:color="auto"/>
                                    <w:right w:val="none" w:sz="0" w:space="0" w:color="auto"/>
                                  </w:divBdr>
                                  <w:divsChild>
                                    <w:div w:id="379130405">
                                      <w:marLeft w:val="0"/>
                                      <w:marRight w:val="0"/>
                                      <w:marTop w:val="0"/>
                                      <w:marBottom w:val="0"/>
                                      <w:divBdr>
                                        <w:top w:val="none" w:sz="0" w:space="0" w:color="auto"/>
                                        <w:left w:val="none" w:sz="0" w:space="0" w:color="auto"/>
                                        <w:bottom w:val="none" w:sz="0" w:space="0" w:color="auto"/>
                                        <w:right w:val="none" w:sz="0" w:space="0" w:color="auto"/>
                                      </w:divBdr>
                                      <w:divsChild>
                                        <w:div w:id="1598102187">
                                          <w:marLeft w:val="0"/>
                                          <w:marRight w:val="0"/>
                                          <w:marTop w:val="300"/>
                                          <w:marBottom w:val="0"/>
                                          <w:divBdr>
                                            <w:top w:val="none" w:sz="0" w:space="0" w:color="auto"/>
                                            <w:left w:val="none" w:sz="0" w:space="0" w:color="auto"/>
                                            <w:bottom w:val="none" w:sz="0" w:space="0" w:color="auto"/>
                                            <w:right w:val="none" w:sz="0" w:space="0" w:color="auto"/>
                                          </w:divBdr>
                                          <w:divsChild>
                                            <w:div w:id="854148387">
                                              <w:marLeft w:val="0"/>
                                              <w:marRight w:val="0"/>
                                              <w:marTop w:val="0"/>
                                              <w:marBottom w:val="0"/>
                                              <w:divBdr>
                                                <w:top w:val="none" w:sz="0" w:space="0" w:color="auto"/>
                                                <w:left w:val="none" w:sz="0" w:space="0" w:color="auto"/>
                                                <w:bottom w:val="none" w:sz="0" w:space="0" w:color="auto"/>
                                                <w:right w:val="none" w:sz="0" w:space="0" w:color="auto"/>
                                              </w:divBdr>
                                              <w:divsChild>
                                                <w:div w:id="627592899">
                                                  <w:marLeft w:val="0"/>
                                                  <w:marRight w:val="0"/>
                                                  <w:marTop w:val="0"/>
                                                  <w:marBottom w:val="0"/>
                                                  <w:divBdr>
                                                    <w:top w:val="none" w:sz="0" w:space="0" w:color="auto"/>
                                                    <w:left w:val="none" w:sz="0" w:space="0" w:color="auto"/>
                                                    <w:bottom w:val="none" w:sz="0" w:space="0" w:color="auto"/>
                                                    <w:right w:val="none" w:sz="0" w:space="0" w:color="auto"/>
                                                  </w:divBdr>
                                                  <w:divsChild>
                                                    <w:div w:id="474490560">
                                                      <w:marLeft w:val="0"/>
                                                      <w:marRight w:val="0"/>
                                                      <w:marTop w:val="0"/>
                                                      <w:marBottom w:val="0"/>
                                                      <w:divBdr>
                                                        <w:top w:val="none" w:sz="0" w:space="0" w:color="auto"/>
                                                        <w:left w:val="none" w:sz="0" w:space="0" w:color="auto"/>
                                                        <w:bottom w:val="none" w:sz="0" w:space="0" w:color="auto"/>
                                                        <w:right w:val="none" w:sz="0" w:space="0" w:color="auto"/>
                                                      </w:divBdr>
                                                      <w:divsChild>
                                                        <w:div w:id="1630164495">
                                                          <w:marLeft w:val="0"/>
                                                          <w:marRight w:val="0"/>
                                                          <w:marTop w:val="0"/>
                                                          <w:marBottom w:val="0"/>
                                                          <w:divBdr>
                                                            <w:top w:val="none" w:sz="0" w:space="0" w:color="auto"/>
                                                            <w:left w:val="none" w:sz="0" w:space="0" w:color="auto"/>
                                                            <w:bottom w:val="none" w:sz="0" w:space="0" w:color="auto"/>
                                                            <w:right w:val="none" w:sz="0" w:space="0" w:color="auto"/>
                                                          </w:divBdr>
                                                          <w:divsChild>
                                                            <w:div w:id="882181446">
                                                              <w:marLeft w:val="0"/>
                                                              <w:marRight w:val="0"/>
                                                              <w:marTop w:val="0"/>
                                                              <w:marBottom w:val="0"/>
                                                              <w:divBdr>
                                                                <w:top w:val="none" w:sz="0" w:space="0" w:color="auto"/>
                                                                <w:left w:val="none" w:sz="0" w:space="0" w:color="auto"/>
                                                                <w:bottom w:val="none" w:sz="0" w:space="0" w:color="auto"/>
                                                                <w:right w:val="none" w:sz="0" w:space="0" w:color="auto"/>
                                                              </w:divBdr>
                                                              <w:divsChild>
                                                                <w:div w:id="1208837405">
                                                                  <w:marLeft w:val="0"/>
                                                                  <w:marRight w:val="0"/>
                                                                  <w:marTop w:val="0"/>
                                                                  <w:marBottom w:val="0"/>
                                                                  <w:divBdr>
                                                                    <w:top w:val="none" w:sz="0" w:space="0" w:color="auto"/>
                                                                    <w:left w:val="none" w:sz="0" w:space="0" w:color="auto"/>
                                                                    <w:bottom w:val="none" w:sz="0" w:space="0" w:color="auto"/>
                                                                    <w:right w:val="none" w:sz="0" w:space="0" w:color="auto"/>
                                                                  </w:divBdr>
                                                                  <w:divsChild>
                                                                    <w:div w:id="63841171">
                                                                      <w:marLeft w:val="0"/>
                                                                      <w:marRight w:val="0"/>
                                                                      <w:marTop w:val="0"/>
                                                                      <w:marBottom w:val="0"/>
                                                                      <w:divBdr>
                                                                        <w:top w:val="none" w:sz="0" w:space="0" w:color="auto"/>
                                                                        <w:left w:val="none" w:sz="0" w:space="0" w:color="auto"/>
                                                                        <w:bottom w:val="none" w:sz="0" w:space="0" w:color="auto"/>
                                                                        <w:right w:val="none" w:sz="0" w:space="0" w:color="auto"/>
                                                                      </w:divBdr>
                                                                      <w:divsChild>
                                                                        <w:div w:id="530149587">
                                                                          <w:marLeft w:val="0"/>
                                                                          <w:marRight w:val="0"/>
                                                                          <w:marTop w:val="0"/>
                                                                          <w:marBottom w:val="0"/>
                                                                          <w:divBdr>
                                                                            <w:top w:val="none" w:sz="0" w:space="0" w:color="auto"/>
                                                                            <w:left w:val="none" w:sz="0" w:space="0" w:color="auto"/>
                                                                            <w:bottom w:val="none" w:sz="0" w:space="0" w:color="auto"/>
                                                                            <w:right w:val="none" w:sz="0" w:space="0" w:color="auto"/>
                                                                          </w:divBdr>
                                                                          <w:divsChild>
                                                                            <w:div w:id="1486706708">
                                                                              <w:marLeft w:val="0"/>
                                                                              <w:marRight w:val="0"/>
                                                                              <w:marTop w:val="0"/>
                                                                              <w:marBottom w:val="0"/>
                                                                              <w:divBdr>
                                                                                <w:top w:val="none" w:sz="0" w:space="0" w:color="auto"/>
                                                                                <w:left w:val="none" w:sz="0" w:space="0" w:color="auto"/>
                                                                                <w:bottom w:val="none" w:sz="0" w:space="0" w:color="auto"/>
                                                                                <w:right w:val="none" w:sz="0" w:space="0" w:color="auto"/>
                                                                              </w:divBdr>
                                                                              <w:divsChild>
                                                                                <w:div w:id="334844926">
                                                                                  <w:marLeft w:val="0"/>
                                                                                  <w:marRight w:val="0"/>
                                                                                  <w:marTop w:val="0"/>
                                                                                  <w:marBottom w:val="0"/>
                                                                                  <w:divBdr>
                                                                                    <w:top w:val="single" w:sz="6" w:space="8" w:color="1F6095"/>
                                                                                    <w:left w:val="single" w:sz="6" w:space="8" w:color="1F6095"/>
                                                                                    <w:bottom w:val="single" w:sz="6" w:space="8" w:color="1F6095"/>
                                                                                    <w:right w:val="single" w:sz="6" w:space="8" w:color="1F6095"/>
                                                                                  </w:divBdr>
                                                                                  <w:divsChild>
                                                                                    <w:div w:id="158749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558311">
      <w:bodyDiv w:val="1"/>
      <w:marLeft w:val="0"/>
      <w:marRight w:val="0"/>
      <w:marTop w:val="0"/>
      <w:marBottom w:val="0"/>
      <w:divBdr>
        <w:top w:val="none" w:sz="0" w:space="0" w:color="auto"/>
        <w:left w:val="none" w:sz="0" w:space="0" w:color="auto"/>
        <w:bottom w:val="none" w:sz="0" w:space="0" w:color="auto"/>
        <w:right w:val="none" w:sz="0" w:space="0" w:color="auto"/>
      </w:divBdr>
      <w:divsChild>
        <w:div w:id="608702985">
          <w:marLeft w:val="0"/>
          <w:marRight w:val="0"/>
          <w:marTop w:val="0"/>
          <w:marBottom w:val="0"/>
          <w:divBdr>
            <w:top w:val="none" w:sz="0" w:space="0" w:color="auto"/>
            <w:left w:val="none" w:sz="0" w:space="0" w:color="auto"/>
            <w:bottom w:val="none" w:sz="0" w:space="0" w:color="auto"/>
            <w:right w:val="none" w:sz="0" w:space="0" w:color="auto"/>
          </w:divBdr>
        </w:div>
        <w:div w:id="1854370637">
          <w:marLeft w:val="0"/>
          <w:marRight w:val="0"/>
          <w:marTop w:val="0"/>
          <w:marBottom w:val="0"/>
          <w:divBdr>
            <w:top w:val="none" w:sz="0" w:space="0" w:color="auto"/>
            <w:left w:val="none" w:sz="0" w:space="0" w:color="auto"/>
            <w:bottom w:val="none" w:sz="0" w:space="0" w:color="auto"/>
            <w:right w:val="none" w:sz="0" w:space="0" w:color="auto"/>
          </w:divBdr>
        </w:div>
        <w:div w:id="2004041287">
          <w:marLeft w:val="0"/>
          <w:marRight w:val="0"/>
          <w:marTop w:val="0"/>
          <w:marBottom w:val="0"/>
          <w:divBdr>
            <w:top w:val="none" w:sz="0" w:space="0" w:color="auto"/>
            <w:left w:val="none" w:sz="0" w:space="0" w:color="auto"/>
            <w:bottom w:val="none" w:sz="0" w:space="0" w:color="auto"/>
            <w:right w:val="none" w:sz="0" w:space="0" w:color="auto"/>
          </w:divBdr>
        </w:div>
      </w:divsChild>
    </w:div>
    <w:div w:id="1220359523">
      <w:bodyDiv w:val="1"/>
      <w:marLeft w:val="0"/>
      <w:marRight w:val="0"/>
      <w:marTop w:val="0"/>
      <w:marBottom w:val="0"/>
      <w:divBdr>
        <w:top w:val="none" w:sz="0" w:space="0" w:color="auto"/>
        <w:left w:val="none" w:sz="0" w:space="0" w:color="auto"/>
        <w:bottom w:val="none" w:sz="0" w:space="0" w:color="auto"/>
        <w:right w:val="none" w:sz="0" w:space="0" w:color="auto"/>
      </w:divBdr>
      <w:divsChild>
        <w:div w:id="95373203">
          <w:marLeft w:val="0"/>
          <w:marRight w:val="0"/>
          <w:marTop w:val="0"/>
          <w:marBottom w:val="0"/>
          <w:divBdr>
            <w:top w:val="none" w:sz="0" w:space="0" w:color="auto"/>
            <w:left w:val="none" w:sz="0" w:space="0" w:color="auto"/>
            <w:bottom w:val="none" w:sz="0" w:space="0" w:color="auto"/>
            <w:right w:val="none" w:sz="0" w:space="0" w:color="auto"/>
          </w:divBdr>
        </w:div>
        <w:div w:id="1938363287">
          <w:marLeft w:val="0"/>
          <w:marRight w:val="0"/>
          <w:marTop w:val="0"/>
          <w:marBottom w:val="0"/>
          <w:divBdr>
            <w:top w:val="none" w:sz="0" w:space="0" w:color="auto"/>
            <w:left w:val="none" w:sz="0" w:space="0" w:color="auto"/>
            <w:bottom w:val="none" w:sz="0" w:space="0" w:color="auto"/>
            <w:right w:val="none" w:sz="0" w:space="0" w:color="auto"/>
          </w:divBdr>
        </w:div>
        <w:div w:id="494807267">
          <w:marLeft w:val="0"/>
          <w:marRight w:val="0"/>
          <w:marTop w:val="0"/>
          <w:marBottom w:val="0"/>
          <w:divBdr>
            <w:top w:val="none" w:sz="0" w:space="0" w:color="auto"/>
            <w:left w:val="none" w:sz="0" w:space="0" w:color="auto"/>
            <w:bottom w:val="none" w:sz="0" w:space="0" w:color="auto"/>
            <w:right w:val="none" w:sz="0" w:space="0" w:color="auto"/>
          </w:divBdr>
        </w:div>
        <w:div w:id="833379933">
          <w:marLeft w:val="0"/>
          <w:marRight w:val="0"/>
          <w:marTop w:val="0"/>
          <w:marBottom w:val="0"/>
          <w:divBdr>
            <w:top w:val="none" w:sz="0" w:space="0" w:color="auto"/>
            <w:left w:val="none" w:sz="0" w:space="0" w:color="auto"/>
            <w:bottom w:val="none" w:sz="0" w:space="0" w:color="auto"/>
            <w:right w:val="none" w:sz="0" w:space="0" w:color="auto"/>
          </w:divBdr>
        </w:div>
      </w:divsChild>
    </w:div>
    <w:div w:id="1225678331">
      <w:bodyDiv w:val="1"/>
      <w:marLeft w:val="0"/>
      <w:marRight w:val="0"/>
      <w:marTop w:val="0"/>
      <w:marBottom w:val="0"/>
      <w:divBdr>
        <w:top w:val="none" w:sz="0" w:space="0" w:color="auto"/>
        <w:left w:val="none" w:sz="0" w:space="0" w:color="auto"/>
        <w:bottom w:val="none" w:sz="0" w:space="0" w:color="auto"/>
        <w:right w:val="none" w:sz="0" w:space="0" w:color="auto"/>
      </w:divBdr>
      <w:divsChild>
        <w:div w:id="1479103483">
          <w:marLeft w:val="0"/>
          <w:marRight w:val="0"/>
          <w:marTop w:val="0"/>
          <w:marBottom w:val="0"/>
          <w:divBdr>
            <w:top w:val="none" w:sz="0" w:space="0" w:color="auto"/>
            <w:left w:val="none" w:sz="0" w:space="0" w:color="auto"/>
            <w:bottom w:val="none" w:sz="0" w:space="0" w:color="auto"/>
            <w:right w:val="none" w:sz="0" w:space="0" w:color="auto"/>
          </w:divBdr>
        </w:div>
        <w:div w:id="1883859867">
          <w:marLeft w:val="0"/>
          <w:marRight w:val="0"/>
          <w:marTop w:val="0"/>
          <w:marBottom w:val="0"/>
          <w:divBdr>
            <w:top w:val="none" w:sz="0" w:space="0" w:color="auto"/>
            <w:left w:val="none" w:sz="0" w:space="0" w:color="auto"/>
            <w:bottom w:val="none" w:sz="0" w:space="0" w:color="auto"/>
            <w:right w:val="none" w:sz="0" w:space="0" w:color="auto"/>
          </w:divBdr>
        </w:div>
        <w:div w:id="1188713612">
          <w:marLeft w:val="0"/>
          <w:marRight w:val="0"/>
          <w:marTop w:val="0"/>
          <w:marBottom w:val="0"/>
          <w:divBdr>
            <w:top w:val="none" w:sz="0" w:space="0" w:color="auto"/>
            <w:left w:val="none" w:sz="0" w:space="0" w:color="auto"/>
            <w:bottom w:val="none" w:sz="0" w:space="0" w:color="auto"/>
            <w:right w:val="none" w:sz="0" w:space="0" w:color="auto"/>
          </w:divBdr>
        </w:div>
        <w:div w:id="304745317">
          <w:marLeft w:val="0"/>
          <w:marRight w:val="0"/>
          <w:marTop w:val="0"/>
          <w:marBottom w:val="0"/>
          <w:divBdr>
            <w:top w:val="none" w:sz="0" w:space="0" w:color="auto"/>
            <w:left w:val="none" w:sz="0" w:space="0" w:color="auto"/>
            <w:bottom w:val="none" w:sz="0" w:space="0" w:color="auto"/>
            <w:right w:val="none" w:sz="0" w:space="0" w:color="auto"/>
          </w:divBdr>
        </w:div>
        <w:div w:id="805393239">
          <w:marLeft w:val="0"/>
          <w:marRight w:val="0"/>
          <w:marTop w:val="0"/>
          <w:marBottom w:val="0"/>
          <w:divBdr>
            <w:top w:val="none" w:sz="0" w:space="0" w:color="auto"/>
            <w:left w:val="none" w:sz="0" w:space="0" w:color="auto"/>
            <w:bottom w:val="none" w:sz="0" w:space="0" w:color="auto"/>
            <w:right w:val="none" w:sz="0" w:space="0" w:color="auto"/>
          </w:divBdr>
        </w:div>
      </w:divsChild>
    </w:div>
    <w:div w:id="1259943155">
      <w:bodyDiv w:val="1"/>
      <w:marLeft w:val="0"/>
      <w:marRight w:val="0"/>
      <w:marTop w:val="0"/>
      <w:marBottom w:val="0"/>
      <w:divBdr>
        <w:top w:val="none" w:sz="0" w:space="0" w:color="auto"/>
        <w:left w:val="none" w:sz="0" w:space="0" w:color="auto"/>
        <w:bottom w:val="none" w:sz="0" w:space="0" w:color="auto"/>
        <w:right w:val="none" w:sz="0" w:space="0" w:color="auto"/>
      </w:divBdr>
      <w:divsChild>
        <w:div w:id="1836266332">
          <w:marLeft w:val="0"/>
          <w:marRight w:val="0"/>
          <w:marTop w:val="0"/>
          <w:marBottom w:val="0"/>
          <w:divBdr>
            <w:top w:val="none" w:sz="0" w:space="0" w:color="auto"/>
            <w:left w:val="none" w:sz="0" w:space="0" w:color="auto"/>
            <w:bottom w:val="none" w:sz="0" w:space="0" w:color="auto"/>
            <w:right w:val="none" w:sz="0" w:space="0" w:color="auto"/>
          </w:divBdr>
        </w:div>
        <w:div w:id="2054111625">
          <w:marLeft w:val="0"/>
          <w:marRight w:val="0"/>
          <w:marTop w:val="0"/>
          <w:marBottom w:val="0"/>
          <w:divBdr>
            <w:top w:val="none" w:sz="0" w:space="0" w:color="auto"/>
            <w:left w:val="none" w:sz="0" w:space="0" w:color="auto"/>
            <w:bottom w:val="none" w:sz="0" w:space="0" w:color="auto"/>
            <w:right w:val="none" w:sz="0" w:space="0" w:color="auto"/>
          </w:divBdr>
        </w:div>
      </w:divsChild>
    </w:div>
    <w:div w:id="1280262755">
      <w:bodyDiv w:val="1"/>
      <w:marLeft w:val="0"/>
      <w:marRight w:val="0"/>
      <w:marTop w:val="0"/>
      <w:marBottom w:val="0"/>
      <w:divBdr>
        <w:top w:val="none" w:sz="0" w:space="0" w:color="auto"/>
        <w:left w:val="none" w:sz="0" w:space="0" w:color="auto"/>
        <w:bottom w:val="none" w:sz="0" w:space="0" w:color="auto"/>
        <w:right w:val="none" w:sz="0" w:space="0" w:color="auto"/>
      </w:divBdr>
    </w:div>
    <w:div w:id="1290666841">
      <w:bodyDiv w:val="1"/>
      <w:marLeft w:val="0"/>
      <w:marRight w:val="0"/>
      <w:marTop w:val="0"/>
      <w:marBottom w:val="0"/>
      <w:divBdr>
        <w:top w:val="none" w:sz="0" w:space="0" w:color="auto"/>
        <w:left w:val="none" w:sz="0" w:space="0" w:color="auto"/>
        <w:bottom w:val="none" w:sz="0" w:space="0" w:color="auto"/>
        <w:right w:val="none" w:sz="0" w:space="0" w:color="auto"/>
      </w:divBdr>
      <w:divsChild>
        <w:div w:id="1679580459">
          <w:marLeft w:val="0"/>
          <w:marRight w:val="0"/>
          <w:marTop w:val="0"/>
          <w:marBottom w:val="0"/>
          <w:divBdr>
            <w:top w:val="none" w:sz="0" w:space="0" w:color="auto"/>
            <w:left w:val="none" w:sz="0" w:space="0" w:color="auto"/>
            <w:bottom w:val="none" w:sz="0" w:space="0" w:color="auto"/>
            <w:right w:val="none" w:sz="0" w:space="0" w:color="auto"/>
          </w:divBdr>
        </w:div>
      </w:divsChild>
    </w:div>
    <w:div w:id="1300115369">
      <w:bodyDiv w:val="1"/>
      <w:marLeft w:val="0"/>
      <w:marRight w:val="0"/>
      <w:marTop w:val="0"/>
      <w:marBottom w:val="0"/>
      <w:divBdr>
        <w:top w:val="none" w:sz="0" w:space="0" w:color="auto"/>
        <w:left w:val="none" w:sz="0" w:space="0" w:color="auto"/>
        <w:bottom w:val="none" w:sz="0" w:space="0" w:color="auto"/>
        <w:right w:val="none" w:sz="0" w:space="0" w:color="auto"/>
      </w:divBdr>
      <w:divsChild>
        <w:div w:id="1040322073">
          <w:marLeft w:val="0"/>
          <w:marRight w:val="0"/>
          <w:marTop w:val="0"/>
          <w:marBottom w:val="0"/>
          <w:divBdr>
            <w:top w:val="none" w:sz="0" w:space="0" w:color="auto"/>
            <w:left w:val="none" w:sz="0" w:space="0" w:color="auto"/>
            <w:bottom w:val="none" w:sz="0" w:space="0" w:color="auto"/>
            <w:right w:val="none" w:sz="0" w:space="0" w:color="auto"/>
          </w:divBdr>
        </w:div>
        <w:div w:id="1456100070">
          <w:marLeft w:val="0"/>
          <w:marRight w:val="0"/>
          <w:marTop w:val="0"/>
          <w:marBottom w:val="0"/>
          <w:divBdr>
            <w:top w:val="none" w:sz="0" w:space="0" w:color="auto"/>
            <w:left w:val="none" w:sz="0" w:space="0" w:color="auto"/>
            <w:bottom w:val="none" w:sz="0" w:space="0" w:color="auto"/>
            <w:right w:val="none" w:sz="0" w:space="0" w:color="auto"/>
          </w:divBdr>
        </w:div>
        <w:div w:id="1962295260">
          <w:marLeft w:val="0"/>
          <w:marRight w:val="0"/>
          <w:marTop w:val="0"/>
          <w:marBottom w:val="0"/>
          <w:divBdr>
            <w:top w:val="none" w:sz="0" w:space="0" w:color="auto"/>
            <w:left w:val="none" w:sz="0" w:space="0" w:color="auto"/>
            <w:bottom w:val="none" w:sz="0" w:space="0" w:color="auto"/>
            <w:right w:val="none" w:sz="0" w:space="0" w:color="auto"/>
          </w:divBdr>
        </w:div>
        <w:div w:id="32922101">
          <w:marLeft w:val="0"/>
          <w:marRight w:val="0"/>
          <w:marTop w:val="0"/>
          <w:marBottom w:val="0"/>
          <w:divBdr>
            <w:top w:val="none" w:sz="0" w:space="0" w:color="auto"/>
            <w:left w:val="none" w:sz="0" w:space="0" w:color="auto"/>
            <w:bottom w:val="none" w:sz="0" w:space="0" w:color="auto"/>
            <w:right w:val="none" w:sz="0" w:space="0" w:color="auto"/>
          </w:divBdr>
        </w:div>
        <w:div w:id="545215371">
          <w:marLeft w:val="0"/>
          <w:marRight w:val="0"/>
          <w:marTop w:val="0"/>
          <w:marBottom w:val="0"/>
          <w:divBdr>
            <w:top w:val="none" w:sz="0" w:space="0" w:color="auto"/>
            <w:left w:val="none" w:sz="0" w:space="0" w:color="auto"/>
            <w:bottom w:val="none" w:sz="0" w:space="0" w:color="auto"/>
            <w:right w:val="none" w:sz="0" w:space="0" w:color="auto"/>
          </w:divBdr>
        </w:div>
        <w:div w:id="483132146">
          <w:marLeft w:val="0"/>
          <w:marRight w:val="0"/>
          <w:marTop w:val="0"/>
          <w:marBottom w:val="0"/>
          <w:divBdr>
            <w:top w:val="none" w:sz="0" w:space="0" w:color="auto"/>
            <w:left w:val="none" w:sz="0" w:space="0" w:color="auto"/>
            <w:bottom w:val="none" w:sz="0" w:space="0" w:color="auto"/>
            <w:right w:val="none" w:sz="0" w:space="0" w:color="auto"/>
          </w:divBdr>
        </w:div>
        <w:div w:id="2093576836">
          <w:marLeft w:val="0"/>
          <w:marRight w:val="0"/>
          <w:marTop w:val="0"/>
          <w:marBottom w:val="0"/>
          <w:divBdr>
            <w:top w:val="none" w:sz="0" w:space="0" w:color="auto"/>
            <w:left w:val="none" w:sz="0" w:space="0" w:color="auto"/>
            <w:bottom w:val="none" w:sz="0" w:space="0" w:color="auto"/>
            <w:right w:val="none" w:sz="0" w:space="0" w:color="auto"/>
          </w:divBdr>
        </w:div>
        <w:div w:id="1818565854">
          <w:marLeft w:val="0"/>
          <w:marRight w:val="0"/>
          <w:marTop w:val="0"/>
          <w:marBottom w:val="0"/>
          <w:divBdr>
            <w:top w:val="none" w:sz="0" w:space="0" w:color="auto"/>
            <w:left w:val="none" w:sz="0" w:space="0" w:color="auto"/>
            <w:bottom w:val="none" w:sz="0" w:space="0" w:color="auto"/>
            <w:right w:val="none" w:sz="0" w:space="0" w:color="auto"/>
          </w:divBdr>
        </w:div>
        <w:div w:id="314995535">
          <w:marLeft w:val="0"/>
          <w:marRight w:val="0"/>
          <w:marTop w:val="0"/>
          <w:marBottom w:val="0"/>
          <w:divBdr>
            <w:top w:val="none" w:sz="0" w:space="0" w:color="auto"/>
            <w:left w:val="none" w:sz="0" w:space="0" w:color="auto"/>
            <w:bottom w:val="none" w:sz="0" w:space="0" w:color="auto"/>
            <w:right w:val="none" w:sz="0" w:space="0" w:color="auto"/>
          </w:divBdr>
        </w:div>
      </w:divsChild>
    </w:div>
    <w:div w:id="1327976297">
      <w:bodyDiv w:val="1"/>
      <w:marLeft w:val="0"/>
      <w:marRight w:val="0"/>
      <w:marTop w:val="0"/>
      <w:marBottom w:val="0"/>
      <w:divBdr>
        <w:top w:val="none" w:sz="0" w:space="0" w:color="auto"/>
        <w:left w:val="none" w:sz="0" w:space="0" w:color="auto"/>
        <w:bottom w:val="none" w:sz="0" w:space="0" w:color="auto"/>
        <w:right w:val="none" w:sz="0" w:space="0" w:color="auto"/>
      </w:divBdr>
    </w:div>
    <w:div w:id="1328554112">
      <w:bodyDiv w:val="1"/>
      <w:marLeft w:val="0"/>
      <w:marRight w:val="0"/>
      <w:marTop w:val="0"/>
      <w:marBottom w:val="0"/>
      <w:divBdr>
        <w:top w:val="none" w:sz="0" w:space="0" w:color="auto"/>
        <w:left w:val="none" w:sz="0" w:space="0" w:color="auto"/>
        <w:bottom w:val="none" w:sz="0" w:space="0" w:color="auto"/>
        <w:right w:val="none" w:sz="0" w:space="0" w:color="auto"/>
      </w:divBdr>
      <w:divsChild>
        <w:div w:id="1779715360">
          <w:marLeft w:val="0"/>
          <w:marRight w:val="0"/>
          <w:marTop w:val="0"/>
          <w:marBottom w:val="0"/>
          <w:divBdr>
            <w:top w:val="none" w:sz="0" w:space="0" w:color="auto"/>
            <w:left w:val="none" w:sz="0" w:space="0" w:color="auto"/>
            <w:bottom w:val="none" w:sz="0" w:space="0" w:color="auto"/>
            <w:right w:val="none" w:sz="0" w:space="0" w:color="auto"/>
          </w:divBdr>
        </w:div>
        <w:div w:id="1840076652">
          <w:marLeft w:val="0"/>
          <w:marRight w:val="0"/>
          <w:marTop w:val="0"/>
          <w:marBottom w:val="0"/>
          <w:divBdr>
            <w:top w:val="none" w:sz="0" w:space="0" w:color="auto"/>
            <w:left w:val="none" w:sz="0" w:space="0" w:color="auto"/>
            <w:bottom w:val="none" w:sz="0" w:space="0" w:color="auto"/>
            <w:right w:val="none" w:sz="0" w:space="0" w:color="auto"/>
          </w:divBdr>
        </w:div>
        <w:div w:id="2064481701">
          <w:marLeft w:val="0"/>
          <w:marRight w:val="0"/>
          <w:marTop w:val="0"/>
          <w:marBottom w:val="0"/>
          <w:divBdr>
            <w:top w:val="none" w:sz="0" w:space="0" w:color="auto"/>
            <w:left w:val="none" w:sz="0" w:space="0" w:color="auto"/>
            <w:bottom w:val="none" w:sz="0" w:space="0" w:color="auto"/>
            <w:right w:val="none" w:sz="0" w:space="0" w:color="auto"/>
          </w:divBdr>
        </w:div>
      </w:divsChild>
    </w:div>
    <w:div w:id="1335837013">
      <w:bodyDiv w:val="1"/>
      <w:marLeft w:val="0"/>
      <w:marRight w:val="0"/>
      <w:marTop w:val="0"/>
      <w:marBottom w:val="0"/>
      <w:divBdr>
        <w:top w:val="none" w:sz="0" w:space="0" w:color="auto"/>
        <w:left w:val="none" w:sz="0" w:space="0" w:color="auto"/>
        <w:bottom w:val="none" w:sz="0" w:space="0" w:color="auto"/>
        <w:right w:val="none" w:sz="0" w:space="0" w:color="auto"/>
      </w:divBdr>
    </w:div>
    <w:div w:id="1346517797">
      <w:bodyDiv w:val="1"/>
      <w:marLeft w:val="0"/>
      <w:marRight w:val="0"/>
      <w:marTop w:val="0"/>
      <w:marBottom w:val="0"/>
      <w:divBdr>
        <w:top w:val="none" w:sz="0" w:space="0" w:color="auto"/>
        <w:left w:val="none" w:sz="0" w:space="0" w:color="auto"/>
        <w:bottom w:val="none" w:sz="0" w:space="0" w:color="auto"/>
        <w:right w:val="none" w:sz="0" w:space="0" w:color="auto"/>
      </w:divBdr>
      <w:divsChild>
        <w:div w:id="1967084712">
          <w:marLeft w:val="0"/>
          <w:marRight w:val="0"/>
          <w:marTop w:val="0"/>
          <w:marBottom w:val="0"/>
          <w:divBdr>
            <w:top w:val="none" w:sz="0" w:space="0" w:color="auto"/>
            <w:left w:val="none" w:sz="0" w:space="0" w:color="auto"/>
            <w:bottom w:val="none" w:sz="0" w:space="0" w:color="auto"/>
            <w:right w:val="none" w:sz="0" w:space="0" w:color="auto"/>
          </w:divBdr>
        </w:div>
        <w:div w:id="1348021603">
          <w:marLeft w:val="0"/>
          <w:marRight w:val="0"/>
          <w:marTop w:val="0"/>
          <w:marBottom w:val="0"/>
          <w:divBdr>
            <w:top w:val="none" w:sz="0" w:space="0" w:color="auto"/>
            <w:left w:val="none" w:sz="0" w:space="0" w:color="auto"/>
            <w:bottom w:val="none" w:sz="0" w:space="0" w:color="auto"/>
            <w:right w:val="none" w:sz="0" w:space="0" w:color="auto"/>
          </w:divBdr>
        </w:div>
        <w:div w:id="1464537628">
          <w:marLeft w:val="0"/>
          <w:marRight w:val="0"/>
          <w:marTop w:val="0"/>
          <w:marBottom w:val="0"/>
          <w:divBdr>
            <w:top w:val="none" w:sz="0" w:space="0" w:color="auto"/>
            <w:left w:val="none" w:sz="0" w:space="0" w:color="auto"/>
            <w:bottom w:val="none" w:sz="0" w:space="0" w:color="auto"/>
            <w:right w:val="none" w:sz="0" w:space="0" w:color="auto"/>
          </w:divBdr>
        </w:div>
      </w:divsChild>
    </w:div>
    <w:div w:id="1352756121">
      <w:bodyDiv w:val="1"/>
      <w:marLeft w:val="0"/>
      <w:marRight w:val="0"/>
      <w:marTop w:val="0"/>
      <w:marBottom w:val="0"/>
      <w:divBdr>
        <w:top w:val="none" w:sz="0" w:space="0" w:color="auto"/>
        <w:left w:val="none" w:sz="0" w:space="0" w:color="auto"/>
        <w:bottom w:val="none" w:sz="0" w:space="0" w:color="auto"/>
        <w:right w:val="none" w:sz="0" w:space="0" w:color="auto"/>
      </w:divBdr>
      <w:divsChild>
        <w:div w:id="1497262875">
          <w:marLeft w:val="0"/>
          <w:marRight w:val="0"/>
          <w:marTop w:val="0"/>
          <w:marBottom w:val="0"/>
          <w:divBdr>
            <w:top w:val="none" w:sz="0" w:space="0" w:color="auto"/>
            <w:left w:val="none" w:sz="0" w:space="0" w:color="auto"/>
            <w:bottom w:val="none" w:sz="0" w:space="0" w:color="auto"/>
            <w:right w:val="none" w:sz="0" w:space="0" w:color="auto"/>
          </w:divBdr>
        </w:div>
        <w:div w:id="397629739">
          <w:marLeft w:val="0"/>
          <w:marRight w:val="0"/>
          <w:marTop w:val="0"/>
          <w:marBottom w:val="0"/>
          <w:divBdr>
            <w:top w:val="none" w:sz="0" w:space="0" w:color="auto"/>
            <w:left w:val="none" w:sz="0" w:space="0" w:color="auto"/>
            <w:bottom w:val="none" w:sz="0" w:space="0" w:color="auto"/>
            <w:right w:val="none" w:sz="0" w:space="0" w:color="auto"/>
          </w:divBdr>
        </w:div>
        <w:div w:id="1489714589">
          <w:marLeft w:val="0"/>
          <w:marRight w:val="0"/>
          <w:marTop w:val="0"/>
          <w:marBottom w:val="0"/>
          <w:divBdr>
            <w:top w:val="none" w:sz="0" w:space="0" w:color="auto"/>
            <w:left w:val="none" w:sz="0" w:space="0" w:color="auto"/>
            <w:bottom w:val="none" w:sz="0" w:space="0" w:color="auto"/>
            <w:right w:val="none" w:sz="0" w:space="0" w:color="auto"/>
          </w:divBdr>
        </w:div>
        <w:div w:id="1001666109">
          <w:marLeft w:val="0"/>
          <w:marRight w:val="0"/>
          <w:marTop w:val="0"/>
          <w:marBottom w:val="0"/>
          <w:divBdr>
            <w:top w:val="none" w:sz="0" w:space="0" w:color="auto"/>
            <w:left w:val="none" w:sz="0" w:space="0" w:color="auto"/>
            <w:bottom w:val="none" w:sz="0" w:space="0" w:color="auto"/>
            <w:right w:val="none" w:sz="0" w:space="0" w:color="auto"/>
          </w:divBdr>
        </w:div>
      </w:divsChild>
    </w:div>
    <w:div w:id="1355031771">
      <w:bodyDiv w:val="1"/>
      <w:marLeft w:val="0"/>
      <w:marRight w:val="0"/>
      <w:marTop w:val="0"/>
      <w:marBottom w:val="0"/>
      <w:divBdr>
        <w:top w:val="none" w:sz="0" w:space="0" w:color="auto"/>
        <w:left w:val="none" w:sz="0" w:space="0" w:color="auto"/>
        <w:bottom w:val="none" w:sz="0" w:space="0" w:color="auto"/>
        <w:right w:val="none" w:sz="0" w:space="0" w:color="auto"/>
      </w:divBdr>
      <w:divsChild>
        <w:div w:id="1496993246">
          <w:marLeft w:val="0"/>
          <w:marRight w:val="0"/>
          <w:marTop w:val="0"/>
          <w:marBottom w:val="0"/>
          <w:divBdr>
            <w:top w:val="none" w:sz="0" w:space="0" w:color="auto"/>
            <w:left w:val="none" w:sz="0" w:space="0" w:color="auto"/>
            <w:bottom w:val="none" w:sz="0" w:space="0" w:color="auto"/>
            <w:right w:val="none" w:sz="0" w:space="0" w:color="auto"/>
          </w:divBdr>
          <w:divsChild>
            <w:div w:id="1896311791">
              <w:marLeft w:val="0"/>
              <w:marRight w:val="0"/>
              <w:marTop w:val="0"/>
              <w:marBottom w:val="0"/>
              <w:divBdr>
                <w:top w:val="none" w:sz="0" w:space="0" w:color="auto"/>
                <w:left w:val="none" w:sz="0" w:space="0" w:color="auto"/>
                <w:bottom w:val="none" w:sz="0" w:space="0" w:color="auto"/>
                <w:right w:val="none" w:sz="0" w:space="0" w:color="auto"/>
              </w:divBdr>
              <w:divsChild>
                <w:div w:id="1143809770">
                  <w:marLeft w:val="0"/>
                  <w:marRight w:val="0"/>
                  <w:marTop w:val="0"/>
                  <w:marBottom w:val="0"/>
                  <w:divBdr>
                    <w:top w:val="none" w:sz="0" w:space="0" w:color="auto"/>
                    <w:left w:val="none" w:sz="0" w:space="0" w:color="auto"/>
                    <w:bottom w:val="none" w:sz="0" w:space="0" w:color="auto"/>
                    <w:right w:val="none" w:sz="0" w:space="0" w:color="auto"/>
                  </w:divBdr>
                  <w:divsChild>
                    <w:div w:id="639966675">
                      <w:marLeft w:val="0"/>
                      <w:marRight w:val="0"/>
                      <w:marTop w:val="0"/>
                      <w:marBottom w:val="0"/>
                      <w:divBdr>
                        <w:top w:val="none" w:sz="0" w:space="0" w:color="auto"/>
                        <w:left w:val="none" w:sz="0" w:space="0" w:color="auto"/>
                        <w:bottom w:val="none" w:sz="0" w:space="0" w:color="auto"/>
                        <w:right w:val="none" w:sz="0" w:space="0" w:color="auto"/>
                      </w:divBdr>
                      <w:divsChild>
                        <w:div w:id="1966934344">
                          <w:marLeft w:val="0"/>
                          <w:marRight w:val="0"/>
                          <w:marTop w:val="0"/>
                          <w:marBottom w:val="0"/>
                          <w:divBdr>
                            <w:top w:val="none" w:sz="0" w:space="0" w:color="auto"/>
                            <w:left w:val="none" w:sz="0" w:space="0" w:color="auto"/>
                            <w:bottom w:val="none" w:sz="0" w:space="0" w:color="auto"/>
                            <w:right w:val="none" w:sz="0" w:space="0" w:color="auto"/>
                          </w:divBdr>
                          <w:divsChild>
                            <w:div w:id="1286500199">
                              <w:marLeft w:val="0"/>
                              <w:marRight w:val="0"/>
                              <w:marTop w:val="0"/>
                              <w:marBottom w:val="0"/>
                              <w:divBdr>
                                <w:top w:val="none" w:sz="0" w:space="0" w:color="auto"/>
                                <w:left w:val="none" w:sz="0" w:space="0" w:color="auto"/>
                                <w:bottom w:val="none" w:sz="0" w:space="0" w:color="auto"/>
                                <w:right w:val="none" w:sz="0" w:space="0" w:color="auto"/>
                              </w:divBdr>
                              <w:divsChild>
                                <w:div w:id="1386955386">
                                  <w:marLeft w:val="0"/>
                                  <w:marRight w:val="0"/>
                                  <w:marTop w:val="0"/>
                                  <w:marBottom w:val="0"/>
                                  <w:divBdr>
                                    <w:top w:val="none" w:sz="0" w:space="0" w:color="auto"/>
                                    <w:left w:val="none" w:sz="0" w:space="0" w:color="auto"/>
                                    <w:bottom w:val="none" w:sz="0" w:space="0" w:color="auto"/>
                                    <w:right w:val="none" w:sz="0" w:space="0" w:color="auto"/>
                                  </w:divBdr>
                                  <w:divsChild>
                                    <w:div w:id="103959289">
                                      <w:marLeft w:val="0"/>
                                      <w:marRight w:val="0"/>
                                      <w:marTop w:val="0"/>
                                      <w:marBottom w:val="0"/>
                                      <w:divBdr>
                                        <w:top w:val="none" w:sz="0" w:space="0" w:color="auto"/>
                                        <w:left w:val="none" w:sz="0" w:space="0" w:color="auto"/>
                                        <w:bottom w:val="none" w:sz="0" w:space="0" w:color="auto"/>
                                        <w:right w:val="none" w:sz="0" w:space="0" w:color="auto"/>
                                      </w:divBdr>
                                      <w:divsChild>
                                        <w:div w:id="2075003451">
                                          <w:marLeft w:val="0"/>
                                          <w:marRight w:val="0"/>
                                          <w:marTop w:val="300"/>
                                          <w:marBottom w:val="0"/>
                                          <w:divBdr>
                                            <w:top w:val="none" w:sz="0" w:space="0" w:color="auto"/>
                                            <w:left w:val="none" w:sz="0" w:space="0" w:color="auto"/>
                                            <w:bottom w:val="none" w:sz="0" w:space="0" w:color="auto"/>
                                            <w:right w:val="none" w:sz="0" w:space="0" w:color="auto"/>
                                          </w:divBdr>
                                          <w:divsChild>
                                            <w:div w:id="443579681">
                                              <w:marLeft w:val="0"/>
                                              <w:marRight w:val="0"/>
                                              <w:marTop w:val="0"/>
                                              <w:marBottom w:val="0"/>
                                              <w:divBdr>
                                                <w:top w:val="none" w:sz="0" w:space="0" w:color="auto"/>
                                                <w:left w:val="none" w:sz="0" w:space="0" w:color="auto"/>
                                                <w:bottom w:val="none" w:sz="0" w:space="0" w:color="auto"/>
                                                <w:right w:val="none" w:sz="0" w:space="0" w:color="auto"/>
                                              </w:divBdr>
                                              <w:divsChild>
                                                <w:div w:id="1453943993">
                                                  <w:marLeft w:val="0"/>
                                                  <w:marRight w:val="0"/>
                                                  <w:marTop w:val="0"/>
                                                  <w:marBottom w:val="0"/>
                                                  <w:divBdr>
                                                    <w:top w:val="none" w:sz="0" w:space="0" w:color="auto"/>
                                                    <w:left w:val="none" w:sz="0" w:space="0" w:color="auto"/>
                                                    <w:bottom w:val="none" w:sz="0" w:space="0" w:color="auto"/>
                                                    <w:right w:val="none" w:sz="0" w:space="0" w:color="auto"/>
                                                  </w:divBdr>
                                                  <w:divsChild>
                                                    <w:div w:id="1934052169">
                                                      <w:marLeft w:val="0"/>
                                                      <w:marRight w:val="0"/>
                                                      <w:marTop w:val="0"/>
                                                      <w:marBottom w:val="0"/>
                                                      <w:divBdr>
                                                        <w:top w:val="none" w:sz="0" w:space="0" w:color="auto"/>
                                                        <w:left w:val="none" w:sz="0" w:space="0" w:color="auto"/>
                                                        <w:bottom w:val="none" w:sz="0" w:space="0" w:color="auto"/>
                                                        <w:right w:val="none" w:sz="0" w:space="0" w:color="auto"/>
                                                      </w:divBdr>
                                                      <w:divsChild>
                                                        <w:div w:id="911499931">
                                                          <w:marLeft w:val="0"/>
                                                          <w:marRight w:val="0"/>
                                                          <w:marTop w:val="0"/>
                                                          <w:marBottom w:val="0"/>
                                                          <w:divBdr>
                                                            <w:top w:val="none" w:sz="0" w:space="0" w:color="auto"/>
                                                            <w:left w:val="none" w:sz="0" w:space="0" w:color="auto"/>
                                                            <w:bottom w:val="none" w:sz="0" w:space="0" w:color="auto"/>
                                                            <w:right w:val="none" w:sz="0" w:space="0" w:color="auto"/>
                                                          </w:divBdr>
                                                          <w:divsChild>
                                                            <w:div w:id="483937467">
                                                              <w:marLeft w:val="0"/>
                                                              <w:marRight w:val="0"/>
                                                              <w:marTop w:val="0"/>
                                                              <w:marBottom w:val="0"/>
                                                              <w:divBdr>
                                                                <w:top w:val="none" w:sz="0" w:space="0" w:color="auto"/>
                                                                <w:left w:val="none" w:sz="0" w:space="0" w:color="auto"/>
                                                                <w:bottom w:val="none" w:sz="0" w:space="0" w:color="auto"/>
                                                                <w:right w:val="none" w:sz="0" w:space="0" w:color="auto"/>
                                                              </w:divBdr>
                                                              <w:divsChild>
                                                                <w:div w:id="1122067567">
                                                                  <w:marLeft w:val="0"/>
                                                                  <w:marRight w:val="0"/>
                                                                  <w:marTop w:val="0"/>
                                                                  <w:marBottom w:val="0"/>
                                                                  <w:divBdr>
                                                                    <w:top w:val="none" w:sz="0" w:space="0" w:color="auto"/>
                                                                    <w:left w:val="none" w:sz="0" w:space="0" w:color="auto"/>
                                                                    <w:bottom w:val="none" w:sz="0" w:space="0" w:color="auto"/>
                                                                    <w:right w:val="none" w:sz="0" w:space="0" w:color="auto"/>
                                                                  </w:divBdr>
                                                                  <w:divsChild>
                                                                    <w:div w:id="761947308">
                                                                      <w:marLeft w:val="0"/>
                                                                      <w:marRight w:val="0"/>
                                                                      <w:marTop w:val="0"/>
                                                                      <w:marBottom w:val="0"/>
                                                                      <w:divBdr>
                                                                        <w:top w:val="none" w:sz="0" w:space="0" w:color="auto"/>
                                                                        <w:left w:val="none" w:sz="0" w:space="0" w:color="auto"/>
                                                                        <w:bottom w:val="none" w:sz="0" w:space="0" w:color="auto"/>
                                                                        <w:right w:val="none" w:sz="0" w:space="0" w:color="auto"/>
                                                                      </w:divBdr>
                                                                      <w:divsChild>
                                                                        <w:div w:id="1336566996">
                                                                          <w:marLeft w:val="0"/>
                                                                          <w:marRight w:val="0"/>
                                                                          <w:marTop w:val="0"/>
                                                                          <w:marBottom w:val="0"/>
                                                                          <w:divBdr>
                                                                            <w:top w:val="none" w:sz="0" w:space="0" w:color="auto"/>
                                                                            <w:left w:val="none" w:sz="0" w:space="0" w:color="auto"/>
                                                                            <w:bottom w:val="none" w:sz="0" w:space="0" w:color="auto"/>
                                                                            <w:right w:val="none" w:sz="0" w:space="0" w:color="auto"/>
                                                                          </w:divBdr>
                                                                          <w:divsChild>
                                                                            <w:div w:id="520096340">
                                                                              <w:marLeft w:val="0"/>
                                                                              <w:marRight w:val="0"/>
                                                                              <w:marTop w:val="0"/>
                                                                              <w:marBottom w:val="0"/>
                                                                              <w:divBdr>
                                                                                <w:top w:val="none" w:sz="0" w:space="0" w:color="auto"/>
                                                                                <w:left w:val="none" w:sz="0" w:space="0" w:color="auto"/>
                                                                                <w:bottom w:val="none" w:sz="0" w:space="0" w:color="auto"/>
                                                                                <w:right w:val="none" w:sz="0" w:space="0" w:color="auto"/>
                                                                              </w:divBdr>
                                                                              <w:divsChild>
                                                                                <w:div w:id="1823807834">
                                                                                  <w:marLeft w:val="0"/>
                                                                                  <w:marRight w:val="0"/>
                                                                                  <w:marTop w:val="0"/>
                                                                                  <w:marBottom w:val="0"/>
                                                                                  <w:divBdr>
                                                                                    <w:top w:val="single" w:sz="6" w:space="8" w:color="1F6095"/>
                                                                                    <w:left w:val="single" w:sz="6" w:space="8" w:color="1F6095"/>
                                                                                    <w:bottom w:val="single" w:sz="6" w:space="8" w:color="1F6095"/>
                                                                                    <w:right w:val="single" w:sz="6" w:space="8" w:color="1F6095"/>
                                                                                  </w:divBdr>
                                                                                  <w:divsChild>
                                                                                    <w:div w:id="2480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168346">
      <w:bodyDiv w:val="1"/>
      <w:marLeft w:val="0"/>
      <w:marRight w:val="0"/>
      <w:marTop w:val="0"/>
      <w:marBottom w:val="0"/>
      <w:divBdr>
        <w:top w:val="none" w:sz="0" w:space="0" w:color="auto"/>
        <w:left w:val="none" w:sz="0" w:space="0" w:color="auto"/>
        <w:bottom w:val="none" w:sz="0" w:space="0" w:color="auto"/>
        <w:right w:val="none" w:sz="0" w:space="0" w:color="auto"/>
      </w:divBdr>
      <w:divsChild>
        <w:div w:id="337195561">
          <w:marLeft w:val="0"/>
          <w:marRight w:val="0"/>
          <w:marTop w:val="0"/>
          <w:marBottom w:val="0"/>
          <w:divBdr>
            <w:top w:val="none" w:sz="0" w:space="0" w:color="auto"/>
            <w:left w:val="none" w:sz="0" w:space="0" w:color="auto"/>
            <w:bottom w:val="none" w:sz="0" w:space="0" w:color="auto"/>
            <w:right w:val="none" w:sz="0" w:space="0" w:color="auto"/>
          </w:divBdr>
        </w:div>
      </w:divsChild>
    </w:div>
    <w:div w:id="1405565320">
      <w:bodyDiv w:val="1"/>
      <w:marLeft w:val="0"/>
      <w:marRight w:val="0"/>
      <w:marTop w:val="0"/>
      <w:marBottom w:val="0"/>
      <w:divBdr>
        <w:top w:val="none" w:sz="0" w:space="0" w:color="auto"/>
        <w:left w:val="none" w:sz="0" w:space="0" w:color="auto"/>
        <w:bottom w:val="none" w:sz="0" w:space="0" w:color="auto"/>
        <w:right w:val="none" w:sz="0" w:space="0" w:color="auto"/>
      </w:divBdr>
    </w:div>
    <w:div w:id="1410881091">
      <w:bodyDiv w:val="1"/>
      <w:marLeft w:val="0"/>
      <w:marRight w:val="0"/>
      <w:marTop w:val="0"/>
      <w:marBottom w:val="0"/>
      <w:divBdr>
        <w:top w:val="none" w:sz="0" w:space="0" w:color="auto"/>
        <w:left w:val="none" w:sz="0" w:space="0" w:color="auto"/>
        <w:bottom w:val="none" w:sz="0" w:space="0" w:color="auto"/>
        <w:right w:val="none" w:sz="0" w:space="0" w:color="auto"/>
      </w:divBdr>
    </w:div>
    <w:div w:id="1422263574">
      <w:bodyDiv w:val="1"/>
      <w:marLeft w:val="0"/>
      <w:marRight w:val="0"/>
      <w:marTop w:val="0"/>
      <w:marBottom w:val="0"/>
      <w:divBdr>
        <w:top w:val="none" w:sz="0" w:space="0" w:color="auto"/>
        <w:left w:val="none" w:sz="0" w:space="0" w:color="auto"/>
        <w:bottom w:val="none" w:sz="0" w:space="0" w:color="auto"/>
        <w:right w:val="none" w:sz="0" w:space="0" w:color="auto"/>
      </w:divBdr>
      <w:divsChild>
        <w:div w:id="1573660485">
          <w:marLeft w:val="0"/>
          <w:marRight w:val="0"/>
          <w:marTop w:val="0"/>
          <w:marBottom w:val="0"/>
          <w:divBdr>
            <w:top w:val="none" w:sz="0" w:space="0" w:color="auto"/>
            <w:left w:val="none" w:sz="0" w:space="0" w:color="auto"/>
            <w:bottom w:val="none" w:sz="0" w:space="0" w:color="auto"/>
            <w:right w:val="none" w:sz="0" w:space="0" w:color="auto"/>
          </w:divBdr>
        </w:div>
        <w:div w:id="132066583">
          <w:marLeft w:val="0"/>
          <w:marRight w:val="0"/>
          <w:marTop w:val="0"/>
          <w:marBottom w:val="0"/>
          <w:divBdr>
            <w:top w:val="none" w:sz="0" w:space="0" w:color="auto"/>
            <w:left w:val="none" w:sz="0" w:space="0" w:color="auto"/>
            <w:bottom w:val="none" w:sz="0" w:space="0" w:color="auto"/>
            <w:right w:val="none" w:sz="0" w:space="0" w:color="auto"/>
          </w:divBdr>
        </w:div>
      </w:divsChild>
    </w:div>
    <w:div w:id="1425105949">
      <w:bodyDiv w:val="1"/>
      <w:marLeft w:val="0"/>
      <w:marRight w:val="0"/>
      <w:marTop w:val="0"/>
      <w:marBottom w:val="0"/>
      <w:divBdr>
        <w:top w:val="none" w:sz="0" w:space="0" w:color="auto"/>
        <w:left w:val="none" w:sz="0" w:space="0" w:color="auto"/>
        <w:bottom w:val="none" w:sz="0" w:space="0" w:color="auto"/>
        <w:right w:val="none" w:sz="0" w:space="0" w:color="auto"/>
      </w:divBdr>
      <w:divsChild>
        <w:div w:id="1491554642">
          <w:marLeft w:val="0"/>
          <w:marRight w:val="0"/>
          <w:marTop w:val="0"/>
          <w:marBottom w:val="0"/>
          <w:divBdr>
            <w:top w:val="none" w:sz="0" w:space="0" w:color="auto"/>
            <w:left w:val="none" w:sz="0" w:space="0" w:color="auto"/>
            <w:bottom w:val="none" w:sz="0" w:space="0" w:color="auto"/>
            <w:right w:val="none" w:sz="0" w:space="0" w:color="auto"/>
          </w:divBdr>
          <w:divsChild>
            <w:div w:id="1395469124">
              <w:marLeft w:val="0"/>
              <w:marRight w:val="0"/>
              <w:marTop w:val="0"/>
              <w:marBottom w:val="0"/>
              <w:divBdr>
                <w:top w:val="none" w:sz="0" w:space="0" w:color="auto"/>
                <w:left w:val="none" w:sz="0" w:space="0" w:color="auto"/>
                <w:bottom w:val="none" w:sz="0" w:space="0" w:color="auto"/>
                <w:right w:val="none" w:sz="0" w:space="0" w:color="auto"/>
              </w:divBdr>
              <w:divsChild>
                <w:div w:id="1456176883">
                  <w:marLeft w:val="0"/>
                  <w:marRight w:val="0"/>
                  <w:marTop w:val="0"/>
                  <w:marBottom w:val="0"/>
                  <w:divBdr>
                    <w:top w:val="none" w:sz="0" w:space="0" w:color="auto"/>
                    <w:left w:val="none" w:sz="0" w:space="0" w:color="auto"/>
                    <w:bottom w:val="none" w:sz="0" w:space="0" w:color="auto"/>
                    <w:right w:val="none" w:sz="0" w:space="0" w:color="auto"/>
                  </w:divBdr>
                  <w:divsChild>
                    <w:div w:id="195555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05562">
      <w:bodyDiv w:val="1"/>
      <w:marLeft w:val="0"/>
      <w:marRight w:val="0"/>
      <w:marTop w:val="0"/>
      <w:marBottom w:val="0"/>
      <w:divBdr>
        <w:top w:val="none" w:sz="0" w:space="0" w:color="auto"/>
        <w:left w:val="none" w:sz="0" w:space="0" w:color="auto"/>
        <w:bottom w:val="none" w:sz="0" w:space="0" w:color="auto"/>
        <w:right w:val="none" w:sz="0" w:space="0" w:color="auto"/>
      </w:divBdr>
      <w:divsChild>
        <w:div w:id="631134130">
          <w:marLeft w:val="0"/>
          <w:marRight w:val="0"/>
          <w:marTop w:val="0"/>
          <w:marBottom w:val="0"/>
          <w:divBdr>
            <w:top w:val="none" w:sz="0" w:space="0" w:color="auto"/>
            <w:left w:val="none" w:sz="0" w:space="0" w:color="auto"/>
            <w:bottom w:val="none" w:sz="0" w:space="0" w:color="auto"/>
            <w:right w:val="none" w:sz="0" w:space="0" w:color="auto"/>
          </w:divBdr>
        </w:div>
        <w:div w:id="1821918729">
          <w:marLeft w:val="0"/>
          <w:marRight w:val="0"/>
          <w:marTop w:val="0"/>
          <w:marBottom w:val="0"/>
          <w:divBdr>
            <w:top w:val="none" w:sz="0" w:space="0" w:color="auto"/>
            <w:left w:val="none" w:sz="0" w:space="0" w:color="auto"/>
            <w:bottom w:val="none" w:sz="0" w:space="0" w:color="auto"/>
            <w:right w:val="none" w:sz="0" w:space="0" w:color="auto"/>
          </w:divBdr>
        </w:div>
      </w:divsChild>
    </w:div>
    <w:div w:id="1430084617">
      <w:bodyDiv w:val="1"/>
      <w:marLeft w:val="0"/>
      <w:marRight w:val="0"/>
      <w:marTop w:val="0"/>
      <w:marBottom w:val="0"/>
      <w:divBdr>
        <w:top w:val="none" w:sz="0" w:space="0" w:color="auto"/>
        <w:left w:val="none" w:sz="0" w:space="0" w:color="auto"/>
        <w:bottom w:val="none" w:sz="0" w:space="0" w:color="auto"/>
        <w:right w:val="none" w:sz="0" w:space="0" w:color="auto"/>
      </w:divBdr>
      <w:divsChild>
        <w:div w:id="2168621">
          <w:marLeft w:val="0"/>
          <w:marRight w:val="0"/>
          <w:marTop w:val="0"/>
          <w:marBottom w:val="0"/>
          <w:divBdr>
            <w:top w:val="none" w:sz="0" w:space="0" w:color="auto"/>
            <w:left w:val="none" w:sz="0" w:space="0" w:color="auto"/>
            <w:bottom w:val="none" w:sz="0" w:space="0" w:color="auto"/>
            <w:right w:val="none" w:sz="0" w:space="0" w:color="auto"/>
          </w:divBdr>
        </w:div>
        <w:div w:id="5711289">
          <w:marLeft w:val="0"/>
          <w:marRight w:val="0"/>
          <w:marTop w:val="0"/>
          <w:marBottom w:val="0"/>
          <w:divBdr>
            <w:top w:val="none" w:sz="0" w:space="0" w:color="auto"/>
            <w:left w:val="none" w:sz="0" w:space="0" w:color="auto"/>
            <w:bottom w:val="none" w:sz="0" w:space="0" w:color="auto"/>
            <w:right w:val="none" w:sz="0" w:space="0" w:color="auto"/>
          </w:divBdr>
        </w:div>
        <w:div w:id="16472376">
          <w:marLeft w:val="0"/>
          <w:marRight w:val="0"/>
          <w:marTop w:val="0"/>
          <w:marBottom w:val="0"/>
          <w:divBdr>
            <w:top w:val="none" w:sz="0" w:space="0" w:color="auto"/>
            <w:left w:val="none" w:sz="0" w:space="0" w:color="auto"/>
            <w:bottom w:val="none" w:sz="0" w:space="0" w:color="auto"/>
            <w:right w:val="none" w:sz="0" w:space="0" w:color="auto"/>
          </w:divBdr>
        </w:div>
        <w:div w:id="103891755">
          <w:marLeft w:val="0"/>
          <w:marRight w:val="0"/>
          <w:marTop w:val="0"/>
          <w:marBottom w:val="0"/>
          <w:divBdr>
            <w:top w:val="none" w:sz="0" w:space="0" w:color="auto"/>
            <w:left w:val="none" w:sz="0" w:space="0" w:color="auto"/>
            <w:bottom w:val="none" w:sz="0" w:space="0" w:color="auto"/>
            <w:right w:val="none" w:sz="0" w:space="0" w:color="auto"/>
          </w:divBdr>
        </w:div>
        <w:div w:id="143476734">
          <w:marLeft w:val="0"/>
          <w:marRight w:val="0"/>
          <w:marTop w:val="0"/>
          <w:marBottom w:val="0"/>
          <w:divBdr>
            <w:top w:val="none" w:sz="0" w:space="0" w:color="auto"/>
            <w:left w:val="none" w:sz="0" w:space="0" w:color="auto"/>
            <w:bottom w:val="none" w:sz="0" w:space="0" w:color="auto"/>
            <w:right w:val="none" w:sz="0" w:space="0" w:color="auto"/>
          </w:divBdr>
        </w:div>
        <w:div w:id="153764819">
          <w:marLeft w:val="0"/>
          <w:marRight w:val="0"/>
          <w:marTop w:val="0"/>
          <w:marBottom w:val="0"/>
          <w:divBdr>
            <w:top w:val="none" w:sz="0" w:space="0" w:color="auto"/>
            <w:left w:val="none" w:sz="0" w:space="0" w:color="auto"/>
            <w:bottom w:val="none" w:sz="0" w:space="0" w:color="auto"/>
            <w:right w:val="none" w:sz="0" w:space="0" w:color="auto"/>
          </w:divBdr>
        </w:div>
        <w:div w:id="207382443">
          <w:marLeft w:val="0"/>
          <w:marRight w:val="0"/>
          <w:marTop w:val="0"/>
          <w:marBottom w:val="0"/>
          <w:divBdr>
            <w:top w:val="none" w:sz="0" w:space="0" w:color="auto"/>
            <w:left w:val="none" w:sz="0" w:space="0" w:color="auto"/>
            <w:bottom w:val="none" w:sz="0" w:space="0" w:color="auto"/>
            <w:right w:val="none" w:sz="0" w:space="0" w:color="auto"/>
          </w:divBdr>
        </w:div>
        <w:div w:id="223029830">
          <w:marLeft w:val="0"/>
          <w:marRight w:val="0"/>
          <w:marTop w:val="0"/>
          <w:marBottom w:val="0"/>
          <w:divBdr>
            <w:top w:val="none" w:sz="0" w:space="0" w:color="auto"/>
            <w:left w:val="none" w:sz="0" w:space="0" w:color="auto"/>
            <w:bottom w:val="none" w:sz="0" w:space="0" w:color="auto"/>
            <w:right w:val="none" w:sz="0" w:space="0" w:color="auto"/>
          </w:divBdr>
        </w:div>
        <w:div w:id="391849971">
          <w:marLeft w:val="0"/>
          <w:marRight w:val="0"/>
          <w:marTop w:val="0"/>
          <w:marBottom w:val="0"/>
          <w:divBdr>
            <w:top w:val="none" w:sz="0" w:space="0" w:color="auto"/>
            <w:left w:val="none" w:sz="0" w:space="0" w:color="auto"/>
            <w:bottom w:val="none" w:sz="0" w:space="0" w:color="auto"/>
            <w:right w:val="none" w:sz="0" w:space="0" w:color="auto"/>
          </w:divBdr>
        </w:div>
        <w:div w:id="395907196">
          <w:marLeft w:val="0"/>
          <w:marRight w:val="0"/>
          <w:marTop w:val="0"/>
          <w:marBottom w:val="0"/>
          <w:divBdr>
            <w:top w:val="none" w:sz="0" w:space="0" w:color="auto"/>
            <w:left w:val="none" w:sz="0" w:space="0" w:color="auto"/>
            <w:bottom w:val="none" w:sz="0" w:space="0" w:color="auto"/>
            <w:right w:val="none" w:sz="0" w:space="0" w:color="auto"/>
          </w:divBdr>
        </w:div>
        <w:div w:id="410083326">
          <w:marLeft w:val="0"/>
          <w:marRight w:val="0"/>
          <w:marTop w:val="0"/>
          <w:marBottom w:val="0"/>
          <w:divBdr>
            <w:top w:val="none" w:sz="0" w:space="0" w:color="auto"/>
            <w:left w:val="none" w:sz="0" w:space="0" w:color="auto"/>
            <w:bottom w:val="none" w:sz="0" w:space="0" w:color="auto"/>
            <w:right w:val="none" w:sz="0" w:space="0" w:color="auto"/>
          </w:divBdr>
        </w:div>
        <w:div w:id="502204956">
          <w:marLeft w:val="0"/>
          <w:marRight w:val="0"/>
          <w:marTop w:val="0"/>
          <w:marBottom w:val="0"/>
          <w:divBdr>
            <w:top w:val="none" w:sz="0" w:space="0" w:color="auto"/>
            <w:left w:val="none" w:sz="0" w:space="0" w:color="auto"/>
            <w:bottom w:val="none" w:sz="0" w:space="0" w:color="auto"/>
            <w:right w:val="none" w:sz="0" w:space="0" w:color="auto"/>
          </w:divBdr>
        </w:div>
        <w:div w:id="612329244">
          <w:marLeft w:val="0"/>
          <w:marRight w:val="0"/>
          <w:marTop w:val="0"/>
          <w:marBottom w:val="0"/>
          <w:divBdr>
            <w:top w:val="none" w:sz="0" w:space="0" w:color="auto"/>
            <w:left w:val="none" w:sz="0" w:space="0" w:color="auto"/>
            <w:bottom w:val="none" w:sz="0" w:space="0" w:color="auto"/>
            <w:right w:val="none" w:sz="0" w:space="0" w:color="auto"/>
          </w:divBdr>
        </w:div>
        <w:div w:id="685788238">
          <w:marLeft w:val="0"/>
          <w:marRight w:val="0"/>
          <w:marTop w:val="0"/>
          <w:marBottom w:val="0"/>
          <w:divBdr>
            <w:top w:val="none" w:sz="0" w:space="0" w:color="auto"/>
            <w:left w:val="none" w:sz="0" w:space="0" w:color="auto"/>
            <w:bottom w:val="none" w:sz="0" w:space="0" w:color="auto"/>
            <w:right w:val="none" w:sz="0" w:space="0" w:color="auto"/>
          </w:divBdr>
        </w:div>
        <w:div w:id="720400746">
          <w:marLeft w:val="0"/>
          <w:marRight w:val="0"/>
          <w:marTop w:val="0"/>
          <w:marBottom w:val="0"/>
          <w:divBdr>
            <w:top w:val="none" w:sz="0" w:space="0" w:color="auto"/>
            <w:left w:val="none" w:sz="0" w:space="0" w:color="auto"/>
            <w:bottom w:val="none" w:sz="0" w:space="0" w:color="auto"/>
            <w:right w:val="none" w:sz="0" w:space="0" w:color="auto"/>
          </w:divBdr>
        </w:div>
        <w:div w:id="748691326">
          <w:marLeft w:val="0"/>
          <w:marRight w:val="0"/>
          <w:marTop w:val="0"/>
          <w:marBottom w:val="0"/>
          <w:divBdr>
            <w:top w:val="none" w:sz="0" w:space="0" w:color="auto"/>
            <w:left w:val="none" w:sz="0" w:space="0" w:color="auto"/>
            <w:bottom w:val="none" w:sz="0" w:space="0" w:color="auto"/>
            <w:right w:val="none" w:sz="0" w:space="0" w:color="auto"/>
          </w:divBdr>
        </w:div>
        <w:div w:id="802623156">
          <w:marLeft w:val="0"/>
          <w:marRight w:val="0"/>
          <w:marTop w:val="0"/>
          <w:marBottom w:val="0"/>
          <w:divBdr>
            <w:top w:val="none" w:sz="0" w:space="0" w:color="auto"/>
            <w:left w:val="none" w:sz="0" w:space="0" w:color="auto"/>
            <w:bottom w:val="none" w:sz="0" w:space="0" w:color="auto"/>
            <w:right w:val="none" w:sz="0" w:space="0" w:color="auto"/>
          </w:divBdr>
        </w:div>
        <w:div w:id="868294352">
          <w:marLeft w:val="0"/>
          <w:marRight w:val="0"/>
          <w:marTop w:val="0"/>
          <w:marBottom w:val="0"/>
          <w:divBdr>
            <w:top w:val="none" w:sz="0" w:space="0" w:color="auto"/>
            <w:left w:val="none" w:sz="0" w:space="0" w:color="auto"/>
            <w:bottom w:val="none" w:sz="0" w:space="0" w:color="auto"/>
            <w:right w:val="none" w:sz="0" w:space="0" w:color="auto"/>
          </w:divBdr>
        </w:div>
        <w:div w:id="904603601">
          <w:marLeft w:val="0"/>
          <w:marRight w:val="0"/>
          <w:marTop w:val="0"/>
          <w:marBottom w:val="0"/>
          <w:divBdr>
            <w:top w:val="none" w:sz="0" w:space="0" w:color="auto"/>
            <w:left w:val="none" w:sz="0" w:space="0" w:color="auto"/>
            <w:bottom w:val="none" w:sz="0" w:space="0" w:color="auto"/>
            <w:right w:val="none" w:sz="0" w:space="0" w:color="auto"/>
          </w:divBdr>
        </w:div>
        <w:div w:id="959646811">
          <w:marLeft w:val="0"/>
          <w:marRight w:val="0"/>
          <w:marTop w:val="0"/>
          <w:marBottom w:val="0"/>
          <w:divBdr>
            <w:top w:val="none" w:sz="0" w:space="0" w:color="auto"/>
            <w:left w:val="none" w:sz="0" w:space="0" w:color="auto"/>
            <w:bottom w:val="none" w:sz="0" w:space="0" w:color="auto"/>
            <w:right w:val="none" w:sz="0" w:space="0" w:color="auto"/>
          </w:divBdr>
        </w:div>
        <w:div w:id="993289959">
          <w:marLeft w:val="0"/>
          <w:marRight w:val="0"/>
          <w:marTop w:val="0"/>
          <w:marBottom w:val="0"/>
          <w:divBdr>
            <w:top w:val="none" w:sz="0" w:space="0" w:color="auto"/>
            <w:left w:val="none" w:sz="0" w:space="0" w:color="auto"/>
            <w:bottom w:val="none" w:sz="0" w:space="0" w:color="auto"/>
            <w:right w:val="none" w:sz="0" w:space="0" w:color="auto"/>
          </w:divBdr>
        </w:div>
        <w:div w:id="1187670781">
          <w:marLeft w:val="0"/>
          <w:marRight w:val="0"/>
          <w:marTop w:val="0"/>
          <w:marBottom w:val="0"/>
          <w:divBdr>
            <w:top w:val="none" w:sz="0" w:space="0" w:color="auto"/>
            <w:left w:val="none" w:sz="0" w:space="0" w:color="auto"/>
            <w:bottom w:val="none" w:sz="0" w:space="0" w:color="auto"/>
            <w:right w:val="none" w:sz="0" w:space="0" w:color="auto"/>
          </w:divBdr>
        </w:div>
        <w:div w:id="1239904652">
          <w:marLeft w:val="0"/>
          <w:marRight w:val="0"/>
          <w:marTop w:val="0"/>
          <w:marBottom w:val="0"/>
          <w:divBdr>
            <w:top w:val="none" w:sz="0" w:space="0" w:color="auto"/>
            <w:left w:val="none" w:sz="0" w:space="0" w:color="auto"/>
            <w:bottom w:val="none" w:sz="0" w:space="0" w:color="auto"/>
            <w:right w:val="none" w:sz="0" w:space="0" w:color="auto"/>
          </w:divBdr>
        </w:div>
        <w:div w:id="1307663803">
          <w:marLeft w:val="0"/>
          <w:marRight w:val="0"/>
          <w:marTop w:val="0"/>
          <w:marBottom w:val="0"/>
          <w:divBdr>
            <w:top w:val="none" w:sz="0" w:space="0" w:color="auto"/>
            <w:left w:val="none" w:sz="0" w:space="0" w:color="auto"/>
            <w:bottom w:val="none" w:sz="0" w:space="0" w:color="auto"/>
            <w:right w:val="none" w:sz="0" w:space="0" w:color="auto"/>
          </w:divBdr>
        </w:div>
        <w:div w:id="1455251089">
          <w:marLeft w:val="0"/>
          <w:marRight w:val="0"/>
          <w:marTop w:val="0"/>
          <w:marBottom w:val="0"/>
          <w:divBdr>
            <w:top w:val="none" w:sz="0" w:space="0" w:color="auto"/>
            <w:left w:val="none" w:sz="0" w:space="0" w:color="auto"/>
            <w:bottom w:val="none" w:sz="0" w:space="0" w:color="auto"/>
            <w:right w:val="none" w:sz="0" w:space="0" w:color="auto"/>
          </w:divBdr>
        </w:div>
        <w:div w:id="1474054359">
          <w:marLeft w:val="0"/>
          <w:marRight w:val="0"/>
          <w:marTop w:val="0"/>
          <w:marBottom w:val="0"/>
          <w:divBdr>
            <w:top w:val="none" w:sz="0" w:space="0" w:color="auto"/>
            <w:left w:val="none" w:sz="0" w:space="0" w:color="auto"/>
            <w:bottom w:val="none" w:sz="0" w:space="0" w:color="auto"/>
            <w:right w:val="none" w:sz="0" w:space="0" w:color="auto"/>
          </w:divBdr>
        </w:div>
        <w:div w:id="1629319982">
          <w:marLeft w:val="0"/>
          <w:marRight w:val="0"/>
          <w:marTop w:val="0"/>
          <w:marBottom w:val="0"/>
          <w:divBdr>
            <w:top w:val="none" w:sz="0" w:space="0" w:color="auto"/>
            <w:left w:val="none" w:sz="0" w:space="0" w:color="auto"/>
            <w:bottom w:val="none" w:sz="0" w:space="0" w:color="auto"/>
            <w:right w:val="none" w:sz="0" w:space="0" w:color="auto"/>
          </w:divBdr>
        </w:div>
        <w:div w:id="1675496190">
          <w:marLeft w:val="0"/>
          <w:marRight w:val="0"/>
          <w:marTop w:val="0"/>
          <w:marBottom w:val="0"/>
          <w:divBdr>
            <w:top w:val="none" w:sz="0" w:space="0" w:color="auto"/>
            <w:left w:val="none" w:sz="0" w:space="0" w:color="auto"/>
            <w:bottom w:val="none" w:sz="0" w:space="0" w:color="auto"/>
            <w:right w:val="none" w:sz="0" w:space="0" w:color="auto"/>
          </w:divBdr>
        </w:div>
        <w:div w:id="1753701352">
          <w:marLeft w:val="0"/>
          <w:marRight w:val="0"/>
          <w:marTop w:val="0"/>
          <w:marBottom w:val="0"/>
          <w:divBdr>
            <w:top w:val="none" w:sz="0" w:space="0" w:color="auto"/>
            <w:left w:val="none" w:sz="0" w:space="0" w:color="auto"/>
            <w:bottom w:val="none" w:sz="0" w:space="0" w:color="auto"/>
            <w:right w:val="none" w:sz="0" w:space="0" w:color="auto"/>
          </w:divBdr>
        </w:div>
        <w:div w:id="1807704063">
          <w:marLeft w:val="0"/>
          <w:marRight w:val="0"/>
          <w:marTop w:val="0"/>
          <w:marBottom w:val="0"/>
          <w:divBdr>
            <w:top w:val="none" w:sz="0" w:space="0" w:color="auto"/>
            <w:left w:val="none" w:sz="0" w:space="0" w:color="auto"/>
            <w:bottom w:val="none" w:sz="0" w:space="0" w:color="auto"/>
            <w:right w:val="none" w:sz="0" w:space="0" w:color="auto"/>
          </w:divBdr>
        </w:div>
        <w:div w:id="1822035027">
          <w:marLeft w:val="0"/>
          <w:marRight w:val="0"/>
          <w:marTop w:val="0"/>
          <w:marBottom w:val="0"/>
          <w:divBdr>
            <w:top w:val="none" w:sz="0" w:space="0" w:color="auto"/>
            <w:left w:val="none" w:sz="0" w:space="0" w:color="auto"/>
            <w:bottom w:val="none" w:sz="0" w:space="0" w:color="auto"/>
            <w:right w:val="none" w:sz="0" w:space="0" w:color="auto"/>
          </w:divBdr>
        </w:div>
        <w:div w:id="2001957197">
          <w:marLeft w:val="0"/>
          <w:marRight w:val="0"/>
          <w:marTop w:val="0"/>
          <w:marBottom w:val="0"/>
          <w:divBdr>
            <w:top w:val="none" w:sz="0" w:space="0" w:color="auto"/>
            <w:left w:val="none" w:sz="0" w:space="0" w:color="auto"/>
            <w:bottom w:val="none" w:sz="0" w:space="0" w:color="auto"/>
            <w:right w:val="none" w:sz="0" w:space="0" w:color="auto"/>
          </w:divBdr>
        </w:div>
        <w:div w:id="2128112985">
          <w:marLeft w:val="0"/>
          <w:marRight w:val="0"/>
          <w:marTop w:val="0"/>
          <w:marBottom w:val="0"/>
          <w:divBdr>
            <w:top w:val="none" w:sz="0" w:space="0" w:color="auto"/>
            <w:left w:val="none" w:sz="0" w:space="0" w:color="auto"/>
            <w:bottom w:val="none" w:sz="0" w:space="0" w:color="auto"/>
            <w:right w:val="none" w:sz="0" w:space="0" w:color="auto"/>
          </w:divBdr>
        </w:div>
        <w:div w:id="2146661557">
          <w:marLeft w:val="0"/>
          <w:marRight w:val="0"/>
          <w:marTop w:val="0"/>
          <w:marBottom w:val="0"/>
          <w:divBdr>
            <w:top w:val="none" w:sz="0" w:space="0" w:color="auto"/>
            <w:left w:val="none" w:sz="0" w:space="0" w:color="auto"/>
            <w:bottom w:val="none" w:sz="0" w:space="0" w:color="auto"/>
            <w:right w:val="none" w:sz="0" w:space="0" w:color="auto"/>
          </w:divBdr>
        </w:div>
      </w:divsChild>
    </w:div>
    <w:div w:id="1430202487">
      <w:bodyDiv w:val="1"/>
      <w:marLeft w:val="0"/>
      <w:marRight w:val="0"/>
      <w:marTop w:val="0"/>
      <w:marBottom w:val="0"/>
      <w:divBdr>
        <w:top w:val="none" w:sz="0" w:space="0" w:color="auto"/>
        <w:left w:val="none" w:sz="0" w:space="0" w:color="auto"/>
        <w:bottom w:val="none" w:sz="0" w:space="0" w:color="auto"/>
        <w:right w:val="none" w:sz="0" w:space="0" w:color="auto"/>
      </w:divBdr>
      <w:divsChild>
        <w:div w:id="645087846">
          <w:marLeft w:val="0"/>
          <w:marRight w:val="0"/>
          <w:marTop w:val="0"/>
          <w:marBottom w:val="0"/>
          <w:divBdr>
            <w:top w:val="none" w:sz="0" w:space="0" w:color="auto"/>
            <w:left w:val="none" w:sz="0" w:space="0" w:color="auto"/>
            <w:bottom w:val="none" w:sz="0" w:space="0" w:color="auto"/>
            <w:right w:val="none" w:sz="0" w:space="0" w:color="auto"/>
          </w:divBdr>
        </w:div>
        <w:div w:id="1578173707">
          <w:marLeft w:val="0"/>
          <w:marRight w:val="0"/>
          <w:marTop w:val="0"/>
          <w:marBottom w:val="0"/>
          <w:divBdr>
            <w:top w:val="none" w:sz="0" w:space="0" w:color="auto"/>
            <w:left w:val="none" w:sz="0" w:space="0" w:color="auto"/>
            <w:bottom w:val="none" w:sz="0" w:space="0" w:color="auto"/>
            <w:right w:val="none" w:sz="0" w:space="0" w:color="auto"/>
          </w:divBdr>
        </w:div>
        <w:div w:id="1812289810">
          <w:marLeft w:val="0"/>
          <w:marRight w:val="0"/>
          <w:marTop w:val="0"/>
          <w:marBottom w:val="0"/>
          <w:divBdr>
            <w:top w:val="none" w:sz="0" w:space="0" w:color="auto"/>
            <w:left w:val="none" w:sz="0" w:space="0" w:color="auto"/>
            <w:bottom w:val="none" w:sz="0" w:space="0" w:color="auto"/>
            <w:right w:val="none" w:sz="0" w:space="0" w:color="auto"/>
          </w:divBdr>
        </w:div>
        <w:div w:id="1878472149">
          <w:marLeft w:val="0"/>
          <w:marRight w:val="0"/>
          <w:marTop w:val="0"/>
          <w:marBottom w:val="0"/>
          <w:divBdr>
            <w:top w:val="none" w:sz="0" w:space="0" w:color="auto"/>
            <w:left w:val="none" w:sz="0" w:space="0" w:color="auto"/>
            <w:bottom w:val="none" w:sz="0" w:space="0" w:color="auto"/>
            <w:right w:val="none" w:sz="0" w:space="0" w:color="auto"/>
          </w:divBdr>
        </w:div>
      </w:divsChild>
    </w:div>
    <w:div w:id="1431848833">
      <w:bodyDiv w:val="1"/>
      <w:marLeft w:val="0"/>
      <w:marRight w:val="0"/>
      <w:marTop w:val="0"/>
      <w:marBottom w:val="0"/>
      <w:divBdr>
        <w:top w:val="none" w:sz="0" w:space="0" w:color="auto"/>
        <w:left w:val="none" w:sz="0" w:space="0" w:color="auto"/>
        <w:bottom w:val="none" w:sz="0" w:space="0" w:color="auto"/>
        <w:right w:val="none" w:sz="0" w:space="0" w:color="auto"/>
      </w:divBdr>
      <w:divsChild>
        <w:div w:id="134184117">
          <w:marLeft w:val="0"/>
          <w:marRight w:val="0"/>
          <w:marTop w:val="0"/>
          <w:marBottom w:val="0"/>
          <w:divBdr>
            <w:top w:val="none" w:sz="0" w:space="0" w:color="auto"/>
            <w:left w:val="none" w:sz="0" w:space="0" w:color="auto"/>
            <w:bottom w:val="none" w:sz="0" w:space="0" w:color="auto"/>
            <w:right w:val="none" w:sz="0" w:space="0" w:color="auto"/>
          </w:divBdr>
        </w:div>
        <w:div w:id="1370301805">
          <w:marLeft w:val="0"/>
          <w:marRight w:val="0"/>
          <w:marTop w:val="0"/>
          <w:marBottom w:val="0"/>
          <w:divBdr>
            <w:top w:val="none" w:sz="0" w:space="0" w:color="auto"/>
            <w:left w:val="none" w:sz="0" w:space="0" w:color="auto"/>
            <w:bottom w:val="none" w:sz="0" w:space="0" w:color="auto"/>
            <w:right w:val="none" w:sz="0" w:space="0" w:color="auto"/>
          </w:divBdr>
        </w:div>
        <w:div w:id="1789422921">
          <w:marLeft w:val="0"/>
          <w:marRight w:val="0"/>
          <w:marTop w:val="0"/>
          <w:marBottom w:val="0"/>
          <w:divBdr>
            <w:top w:val="none" w:sz="0" w:space="0" w:color="auto"/>
            <w:left w:val="none" w:sz="0" w:space="0" w:color="auto"/>
            <w:bottom w:val="none" w:sz="0" w:space="0" w:color="auto"/>
            <w:right w:val="none" w:sz="0" w:space="0" w:color="auto"/>
          </w:divBdr>
        </w:div>
        <w:div w:id="780107625">
          <w:marLeft w:val="0"/>
          <w:marRight w:val="0"/>
          <w:marTop w:val="0"/>
          <w:marBottom w:val="0"/>
          <w:divBdr>
            <w:top w:val="none" w:sz="0" w:space="0" w:color="auto"/>
            <w:left w:val="none" w:sz="0" w:space="0" w:color="auto"/>
            <w:bottom w:val="none" w:sz="0" w:space="0" w:color="auto"/>
            <w:right w:val="none" w:sz="0" w:space="0" w:color="auto"/>
          </w:divBdr>
        </w:div>
        <w:div w:id="72553480">
          <w:marLeft w:val="0"/>
          <w:marRight w:val="0"/>
          <w:marTop w:val="0"/>
          <w:marBottom w:val="0"/>
          <w:divBdr>
            <w:top w:val="none" w:sz="0" w:space="0" w:color="auto"/>
            <w:left w:val="none" w:sz="0" w:space="0" w:color="auto"/>
            <w:bottom w:val="none" w:sz="0" w:space="0" w:color="auto"/>
            <w:right w:val="none" w:sz="0" w:space="0" w:color="auto"/>
          </w:divBdr>
        </w:div>
        <w:div w:id="330180999">
          <w:marLeft w:val="0"/>
          <w:marRight w:val="0"/>
          <w:marTop w:val="0"/>
          <w:marBottom w:val="0"/>
          <w:divBdr>
            <w:top w:val="none" w:sz="0" w:space="0" w:color="auto"/>
            <w:left w:val="none" w:sz="0" w:space="0" w:color="auto"/>
            <w:bottom w:val="none" w:sz="0" w:space="0" w:color="auto"/>
            <w:right w:val="none" w:sz="0" w:space="0" w:color="auto"/>
          </w:divBdr>
        </w:div>
        <w:div w:id="1095781599">
          <w:marLeft w:val="0"/>
          <w:marRight w:val="0"/>
          <w:marTop w:val="0"/>
          <w:marBottom w:val="0"/>
          <w:divBdr>
            <w:top w:val="none" w:sz="0" w:space="0" w:color="auto"/>
            <w:left w:val="none" w:sz="0" w:space="0" w:color="auto"/>
            <w:bottom w:val="none" w:sz="0" w:space="0" w:color="auto"/>
            <w:right w:val="none" w:sz="0" w:space="0" w:color="auto"/>
          </w:divBdr>
        </w:div>
        <w:div w:id="657995999">
          <w:marLeft w:val="0"/>
          <w:marRight w:val="0"/>
          <w:marTop w:val="0"/>
          <w:marBottom w:val="0"/>
          <w:divBdr>
            <w:top w:val="none" w:sz="0" w:space="0" w:color="auto"/>
            <w:left w:val="none" w:sz="0" w:space="0" w:color="auto"/>
            <w:bottom w:val="none" w:sz="0" w:space="0" w:color="auto"/>
            <w:right w:val="none" w:sz="0" w:space="0" w:color="auto"/>
          </w:divBdr>
        </w:div>
      </w:divsChild>
    </w:div>
    <w:div w:id="1433891193">
      <w:bodyDiv w:val="1"/>
      <w:marLeft w:val="0"/>
      <w:marRight w:val="0"/>
      <w:marTop w:val="0"/>
      <w:marBottom w:val="0"/>
      <w:divBdr>
        <w:top w:val="none" w:sz="0" w:space="0" w:color="auto"/>
        <w:left w:val="none" w:sz="0" w:space="0" w:color="auto"/>
        <w:bottom w:val="none" w:sz="0" w:space="0" w:color="auto"/>
        <w:right w:val="none" w:sz="0" w:space="0" w:color="auto"/>
      </w:divBdr>
    </w:div>
    <w:div w:id="1441334412">
      <w:bodyDiv w:val="1"/>
      <w:marLeft w:val="0"/>
      <w:marRight w:val="0"/>
      <w:marTop w:val="0"/>
      <w:marBottom w:val="0"/>
      <w:divBdr>
        <w:top w:val="none" w:sz="0" w:space="0" w:color="auto"/>
        <w:left w:val="none" w:sz="0" w:space="0" w:color="auto"/>
        <w:bottom w:val="none" w:sz="0" w:space="0" w:color="auto"/>
        <w:right w:val="none" w:sz="0" w:space="0" w:color="auto"/>
      </w:divBdr>
      <w:divsChild>
        <w:div w:id="37627128">
          <w:marLeft w:val="0"/>
          <w:marRight w:val="0"/>
          <w:marTop w:val="0"/>
          <w:marBottom w:val="0"/>
          <w:divBdr>
            <w:top w:val="none" w:sz="0" w:space="0" w:color="auto"/>
            <w:left w:val="none" w:sz="0" w:space="0" w:color="auto"/>
            <w:bottom w:val="none" w:sz="0" w:space="0" w:color="auto"/>
            <w:right w:val="none" w:sz="0" w:space="0" w:color="auto"/>
          </w:divBdr>
        </w:div>
        <w:div w:id="185027591">
          <w:marLeft w:val="0"/>
          <w:marRight w:val="0"/>
          <w:marTop w:val="0"/>
          <w:marBottom w:val="0"/>
          <w:divBdr>
            <w:top w:val="none" w:sz="0" w:space="0" w:color="auto"/>
            <w:left w:val="none" w:sz="0" w:space="0" w:color="auto"/>
            <w:bottom w:val="none" w:sz="0" w:space="0" w:color="auto"/>
            <w:right w:val="none" w:sz="0" w:space="0" w:color="auto"/>
          </w:divBdr>
        </w:div>
        <w:div w:id="432407541">
          <w:marLeft w:val="0"/>
          <w:marRight w:val="0"/>
          <w:marTop w:val="0"/>
          <w:marBottom w:val="0"/>
          <w:divBdr>
            <w:top w:val="none" w:sz="0" w:space="0" w:color="auto"/>
            <w:left w:val="none" w:sz="0" w:space="0" w:color="auto"/>
            <w:bottom w:val="none" w:sz="0" w:space="0" w:color="auto"/>
            <w:right w:val="none" w:sz="0" w:space="0" w:color="auto"/>
          </w:divBdr>
        </w:div>
        <w:div w:id="816604310">
          <w:marLeft w:val="0"/>
          <w:marRight w:val="0"/>
          <w:marTop w:val="0"/>
          <w:marBottom w:val="0"/>
          <w:divBdr>
            <w:top w:val="none" w:sz="0" w:space="0" w:color="auto"/>
            <w:left w:val="none" w:sz="0" w:space="0" w:color="auto"/>
            <w:bottom w:val="none" w:sz="0" w:space="0" w:color="auto"/>
            <w:right w:val="none" w:sz="0" w:space="0" w:color="auto"/>
          </w:divBdr>
        </w:div>
        <w:div w:id="1090271852">
          <w:marLeft w:val="0"/>
          <w:marRight w:val="0"/>
          <w:marTop w:val="0"/>
          <w:marBottom w:val="0"/>
          <w:divBdr>
            <w:top w:val="none" w:sz="0" w:space="0" w:color="auto"/>
            <w:left w:val="none" w:sz="0" w:space="0" w:color="auto"/>
            <w:bottom w:val="none" w:sz="0" w:space="0" w:color="auto"/>
            <w:right w:val="none" w:sz="0" w:space="0" w:color="auto"/>
          </w:divBdr>
        </w:div>
        <w:div w:id="1214852826">
          <w:marLeft w:val="0"/>
          <w:marRight w:val="0"/>
          <w:marTop w:val="0"/>
          <w:marBottom w:val="0"/>
          <w:divBdr>
            <w:top w:val="none" w:sz="0" w:space="0" w:color="auto"/>
            <w:left w:val="none" w:sz="0" w:space="0" w:color="auto"/>
            <w:bottom w:val="none" w:sz="0" w:space="0" w:color="auto"/>
            <w:right w:val="none" w:sz="0" w:space="0" w:color="auto"/>
          </w:divBdr>
        </w:div>
        <w:div w:id="1300067347">
          <w:marLeft w:val="0"/>
          <w:marRight w:val="0"/>
          <w:marTop w:val="0"/>
          <w:marBottom w:val="0"/>
          <w:divBdr>
            <w:top w:val="none" w:sz="0" w:space="0" w:color="auto"/>
            <w:left w:val="none" w:sz="0" w:space="0" w:color="auto"/>
            <w:bottom w:val="none" w:sz="0" w:space="0" w:color="auto"/>
            <w:right w:val="none" w:sz="0" w:space="0" w:color="auto"/>
          </w:divBdr>
        </w:div>
        <w:div w:id="1307736176">
          <w:marLeft w:val="0"/>
          <w:marRight w:val="0"/>
          <w:marTop w:val="0"/>
          <w:marBottom w:val="0"/>
          <w:divBdr>
            <w:top w:val="none" w:sz="0" w:space="0" w:color="auto"/>
            <w:left w:val="none" w:sz="0" w:space="0" w:color="auto"/>
            <w:bottom w:val="none" w:sz="0" w:space="0" w:color="auto"/>
            <w:right w:val="none" w:sz="0" w:space="0" w:color="auto"/>
          </w:divBdr>
        </w:div>
        <w:div w:id="1438404483">
          <w:marLeft w:val="0"/>
          <w:marRight w:val="0"/>
          <w:marTop w:val="0"/>
          <w:marBottom w:val="0"/>
          <w:divBdr>
            <w:top w:val="none" w:sz="0" w:space="0" w:color="auto"/>
            <w:left w:val="none" w:sz="0" w:space="0" w:color="auto"/>
            <w:bottom w:val="none" w:sz="0" w:space="0" w:color="auto"/>
            <w:right w:val="none" w:sz="0" w:space="0" w:color="auto"/>
          </w:divBdr>
        </w:div>
        <w:div w:id="1791511184">
          <w:marLeft w:val="0"/>
          <w:marRight w:val="0"/>
          <w:marTop w:val="0"/>
          <w:marBottom w:val="0"/>
          <w:divBdr>
            <w:top w:val="none" w:sz="0" w:space="0" w:color="auto"/>
            <w:left w:val="none" w:sz="0" w:space="0" w:color="auto"/>
            <w:bottom w:val="none" w:sz="0" w:space="0" w:color="auto"/>
            <w:right w:val="none" w:sz="0" w:space="0" w:color="auto"/>
          </w:divBdr>
        </w:div>
        <w:div w:id="1952516437">
          <w:marLeft w:val="0"/>
          <w:marRight w:val="0"/>
          <w:marTop w:val="0"/>
          <w:marBottom w:val="0"/>
          <w:divBdr>
            <w:top w:val="none" w:sz="0" w:space="0" w:color="auto"/>
            <w:left w:val="none" w:sz="0" w:space="0" w:color="auto"/>
            <w:bottom w:val="none" w:sz="0" w:space="0" w:color="auto"/>
            <w:right w:val="none" w:sz="0" w:space="0" w:color="auto"/>
          </w:divBdr>
        </w:div>
        <w:div w:id="2057387808">
          <w:marLeft w:val="0"/>
          <w:marRight w:val="0"/>
          <w:marTop w:val="0"/>
          <w:marBottom w:val="0"/>
          <w:divBdr>
            <w:top w:val="none" w:sz="0" w:space="0" w:color="auto"/>
            <w:left w:val="none" w:sz="0" w:space="0" w:color="auto"/>
            <w:bottom w:val="none" w:sz="0" w:space="0" w:color="auto"/>
            <w:right w:val="none" w:sz="0" w:space="0" w:color="auto"/>
          </w:divBdr>
        </w:div>
      </w:divsChild>
    </w:div>
    <w:div w:id="1441803645">
      <w:bodyDiv w:val="1"/>
      <w:marLeft w:val="0"/>
      <w:marRight w:val="0"/>
      <w:marTop w:val="0"/>
      <w:marBottom w:val="0"/>
      <w:divBdr>
        <w:top w:val="none" w:sz="0" w:space="0" w:color="auto"/>
        <w:left w:val="none" w:sz="0" w:space="0" w:color="auto"/>
        <w:bottom w:val="none" w:sz="0" w:space="0" w:color="auto"/>
        <w:right w:val="none" w:sz="0" w:space="0" w:color="auto"/>
      </w:divBdr>
      <w:divsChild>
        <w:div w:id="1915043154">
          <w:marLeft w:val="0"/>
          <w:marRight w:val="0"/>
          <w:marTop w:val="0"/>
          <w:marBottom w:val="0"/>
          <w:divBdr>
            <w:top w:val="none" w:sz="0" w:space="0" w:color="auto"/>
            <w:left w:val="none" w:sz="0" w:space="0" w:color="auto"/>
            <w:bottom w:val="none" w:sz="0" w:space="0" w:color="auto"/>
            <w:right w:val="none" w:sz="0" w:space="0" w:color="auto"/>
          </w:divBdr>
        </w:div>
        <w:div w:id="291714766">
          <w:marLeft w:val="0"/>
          <w:marRight w:val="0"/>
          <w:marTop w:val="0"/>
          <w:marBottom w:val="0"/>
          <w:divBdr>
            <w:top w:val="none" w:sz="0" w:space="0" w:color="auto"/>
            <w:left w:val="none" w:sz="0" w:space="0" w:color="auto"/>
            <w:bottom w:val="none" w:sz="0" w:space="0" w:color="auto"/>
            <w:right w:val="none" w:sz="0" w:space="0" w:color="auto"/>
          </w:divBdr>
        </w:div>
        <w:div w:id="107235725">
          <w:marLeft w:val="0"/>
          <w:marRight w:val="0"/>
          <w:marTop w:val="0"/>
          <w:marBottom w:val="0"/>
          <w:divBdr>
            <w:top w:val="none" w:sz="0" w:space="0" w:color="auto"/>
            <w:left w:val="none" w:sz="0" w:space="0" w:color="auto"/>
            <w:bottom w:val="none" w:sz="0" w:space="0" w:color="auto"/>
            <w:right w:val="none" w:sz="0" w:space="0" w:color="auto"/>
          </w:divBdr>
        </w:div>
        <w:div w:id="1196885695">
          <w:marLeft w:val="0"/>
          <w:marRight w:val="0"/>
          <w:marTop w:val="0"/>
          <w:marBottom w:val="0"/>
          <w:divBdr>
            <w:top w:val="none" w:sz="0" w:space="0" w:color="auto"/>
            <w:left w:val="none" w:sz="0" w:space="0" w:color="auto"/>
            <w:bottom w:val="none" w:sz="0" w:space="0" w:color="auto"/>
            <w:right w:val="none" w:sz="0" w:space="0" w:color="auto"/>
          </w:divBdr>
        </w:div>
        <w:div w:id="1657756701">
          <w:marLeft w:val="0"/>
          <w:marRight w:val="0"/>
          <w:marTop w:val="0"/>
          <w:marBottom w:val="0"/>
          <w:divBdr>
            <w:top w:val="none" w:sz="0" w:space="0" w:color="auto"/>
            <w:left w:val="none" w:sz="0" w:space="0" w:color="auto"/>
            <w:bottom w:val="none" w:sz="0" w:space="0" w:color="auto"/>
            <w:right w:val="none" w:sz="0" w:space="0" w:color="auto"/>
          </w:divBdr>
        </w:div>
      </w:divsChild>
    </w:div>
    <w:div w:id="1455294698">
      <w:bodyDiv w:val="1"/>
      <w:marLeft w:val="0"/>
      <w:marRight w:val="0"/>
      <w:marTop w:val="0"/>
      <w:marBottom w:val="0"/>
      <w:divBdr>
        <w:top w:val="none" w:sz="0" w:space="0" w:color="auto"/>
        <w:left w:val="none" w:sz="0" w:space="0" w:color="auto"/>
        <w:bottom w:val="none" w:sz="0" w:space="0" w:color="auto"/>
        <w:right w:val="none" w:sz="0" w:space="0" w:color="auto"/>
      </w:divBdr>
      <w:divsChild>
        <w:div w:id="296300850">
          <w:marLeft w:val="0"/>
          <w:marRight w:val="0"/>
          <w:marTop w:val="0"/>
          <w:marBottom w:val="0"/>
          <w:divBdr>
            <w:top w:val="none" w:sz="0" w:space="0" w:color="auto"/>
            <w:left w:val="none" w:sz="0" w:space="0" w:color="auto"/>
            <w:bottom w:val="none" w:sz="0" w:space="0" w:color="auto"/>
            <w:right w:val="none" w:sz="0" w:space="0" w:color="auto"/>
          </w:divBdr>
        </w:div>
        <w:div w:id="334697134">
          <w:marLeft w:val="0"/>
          <w:marRight w:val="0"/>
          <w:marTop w:val="0"/>
          <w:marBottom w:val="0"/>
          <w:divBdr>
            <w:top w:val="none" w:sz="0" w:space="0" w:color="auto"/>
            <w:left w:val="none" w:sz="0" w:space="0" w:color="auto"/>
            <w:bottom w:val="none" w:sz="0" w:space="0" w:color="auto"/>
            <w:right w:val="none" w:sz="0" w:space="0" w:color="auto"/>
          </w:divBdr>
        </w:div>
        <w:div w:id="653876127">
          <w:marLeft w:val="0"/>
          <w:marRight w:val="0"/>
          <w:marTop w:val="0"/>
          <w:marBottom w:val="0"/>
          <w:divBdr>
            <w:top w:val="none" w:sz="0" w:space="0" w:color="auto"/>
            <w:left w:val="none" w:sz="0" w:space="0" w:color="auto"/>
            <w:bottom w:val="none" w:sz="0" w:space="0" w:color="auto"/>
            <w:right w:val="none" w:sz="0" w:space="0" w:color="auto"/>
          </w:divBdr>
        </w:div>
        <w:div w:id="813251588">
          <w:marLeft w:val="0"/>
          <w:marRight w:val="0"/>
          <w:marTop w:val="0"/>
          <w:marBottom w:val="0"/>
          <w:divBdr>
            <w:top w:val="none" w:sz="0" w:space="0" w:color="auto"/>
            <w:left w:val="none" w:sz="0" w:space="0" w:color="auto"/>
            <w:bottom w:val="none" w:sz="0" w:space="0" w:color="auto"/>
            <w:right w:val="none" w:sz="0" w:space="0" w:color="auto"/>
          </w:divBdr>
        </w:div>
        <w:div w:id="1513958666">
          <w:marLeft w:val="0"/>
          <w:marRight w:val="0"/>
          <w:marTop w:val="0"/>
          <w:marBottom w:val="0"/>
          <w:divBdr>
            <w:top w:val="none" w:sz="0" w:space="0" w:color="auto"/>
            <w:left w:val="none" w:sz="0" w:space="0" w:color="auto"/>
            <w:bottom w:val="none" w:sz="0" w:space="0" w:color="auto"/>
            <w:right w:val="none" w:sz="0" w:space="0" w:color="auto"/>
          </w:divBdr>
        </w:div>
        <w:div w:id="1741173709">
          <w:marLeft w:val="0"/>
          <w:marRight w:val="0"/>
          <w:marTop w:val="0"/>
          <w:marBottom w:val="0"/>
          <w:divBdr>
            <w:top w:val="none" w:sz="0" w:space="0" w:color="auto"/>
            <w:left w:val="none" w:sz="0" w:space="0" w:color="auto"/>
            <w:bottom w:val="none" w:sz="0" w:space="0" w:color="auto"/>
            <w:right w:val="none" w:sz="0" w:space="0" w:color="auto"/>
          </w:divBdr>
        </w:div>
        <w:div w:id="2068066690">
          <w:marLeft w:val="0"/>
          <w:marRight w:val="0"/>
          <w:marTop w:val="0"/>
          <w:marBottom w:val="0"/>
          <w:divBdr>
            <w:top w:val="none" w:sz="0" w:space="0" w:color="auto"/>
            <w:left w:val="none" w:sz="0" w:space="0" w:color="auto"/>
            <w:bottom w:val="none" w:sz="0" w:space="0" w:color="auto"/>
            <w:right w:val="none" w:sz="0" w:space="0" w:color="auto"/>
          </w:divBdr>
        </w:div>
      </w:divsChild>
    </w:div>
    <w:div w:id="1484396760">
      <w:bodyDiv w:val="1"/>
      <w:marLeft w:val="0"/>
      <w:marRight w:val="0"/>
      <w:marTop w:val="0"/>
      <w:marBottom w:val="0"/>
      <w:divBdr>
        <w:top w:val="none" w:sz="0" w:space="0" w:color="auto"/>
        <w:left w:val="none" w:sz="0" w:space="0" w:color="auto"/>
        <w:bottom w:val="none" w:sz="0" w:space="0" w:color="auto"/>
        <w:right w:val="none" w:sz="0" w:space="0" w:color="auto"/>
      </w:divBdr>
      <w:divsChild>
        <w:div w:id="875851836">
          <w:marLeft w:val="0"/>
          <w:marRight w:val="0"/>
          <w:marTop w:val="0"/>
          <w:marBottom w:val="0"/>
          <w:divBdr>
            <w:top w:val="none" w:sz="0" w:space="0" w:color="auto"/>
            <w:left w:val="none" w:sz="0" w:space="0" w:color="auto"/>
            <w:bottom w:val="none" w:sz="0" w:space="0" w:color="auto"/>
            <w:right w:val="none" w:sz="0" w:space="0" w:color="auto"/>
          </w:divBdr>
          <w:divsChild>
            <w:div w:id="1849058030">
              <w:marLeft w:val="0"/>
              <w:marRight w:val="0"/>
              <w:marTop w:val="0"/>
              <w:marBottom w:val="0"/>
              <w:divBdr>
                <w:top w:val="none" w:sz="0" w:space="0" w:color="auto"/>
                <w:left w:val="none" w:sz="0" w:space="0" w:color="auto"/>
                <w:bottom w:val="none" w:sz="0" w:space="0" w:color="auto"/>
                <w:right w:val="none" w:sz="0" w:space="0" w:color="auto"/>
              </w:divBdr>
              <w:divsChild>
                <w:div w:id="1761364079">
                  <w:marLeft w:val="0"/>
                  <w:marRight w:val="0"/>
                  <w:marTop w:val="0"/>
                  <w:marBottom w:val="0"/>
                  <w:divBdr>
                    <w:top w:val="none" w:sz="0" w:space="0" w:color="auto"/>
                    <w:left w:val="none" w:sz="0" w:space="0" w:color="auto"/>
                    <w:bottom w:val="none" w:sz="0" w:space="0" w:color="auto"/>
                    <w:right w:val="none" w:sz="0" w:space="0" w:color="auto"/>
                  </w:divBdr>
                </w:div>
              </w:divsChild>
            </w:div>
            <w:div w:id="458383188">
              <w:marLeft w:val="0"/>
              <w:marRight w:val="0"/>
              <w:marTop w:val="0"/>
              <w:marBottom w:val="0"/>
              <w:divBdr>
                <w:top w:val="none" w:sz="0" w:space="0" w:color="auto"/>
                <w:left w:val="none" w:sz="0" w:space="0" w:color="auto"/>
                <w:bottom w:val="none" w:sz="0" w:space="0" w:color="auto"/>
                <w:right w:val="none" w:sz="0" w:space="0" w:color="auto"/>
              </w:divBdr>
              <w:divsChild>
                <w:div w:id="14673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4503">
      <w:bodyDiv w:val="1"/>
      <w:marLeft w:val="0"/>
      <w:marRight w:val="0"/>
      <w:marTop w:val="0"/>
      <w:marBottom w:val="0"/>
      <w:divBdr>
        <w:top w:val="none" w:sz="0" w:space="0" w:color="auto"/>
        <w:left w:val="none" w:sz="0" w:space="0" w:color="auto"/>
        <w:bottom w:val="none" w:sz="0" w:space="0" w:color="auto"/>
        <w:right w:val="none" w:sz="0" w:space="0" w:color="auto"/>
      </w:divBdr>
      <w:divsChild>
        <w:div w:id="590815036">
          <w:marLeft w:val="0"/>
          <w:marRight w:val="0"/>
          <w:marTop w:val="0"/>
          <w:marBottom w:val="0"/>
          <w:divBdr>
            <w:top w:val="none" w:sz="0" w:space="0" w:color="auto"/>
            <w:left w:val="none" w:sz="0" w:space="0" w:color="auto"/>
            <w:bottom w:val="none" w:sz="0" w:space="0" w:color="auto"/>
            <w:right w:val="none" w:sz="0" w:space="0" w:color="auto"/>
          </w:divBdr>
        </w:div>
        <w:div w:id="1057971859">
          <w:marLeft w:val="0"/>
          <w:marRight w:val="0"/>
          <w:marTop w:val="0"/>
          <w:marBottom w:val="0"/>
          <w:divBdr>
            <w:top w:val="none" w:sz="0" w:space="0" w:color="auto"/>
            <w:left w:val="none" w:sz="0" w:space="0" w:color="auto"/>
            <w:bottom w:val="none" w:sz="0" w:space="0" w:color="auto"/>
            <w:right w:val="none" w:sz="0" w:space="0" w:color="auto"/>
          </w:divBdr>
        </w:div>
        <w:div w:id="1471048173">
          <w:marLeft w:val="0"/>
          <w:marRight w:val="0"/>
          <w:marTop w:val="0"/>
          <w:marBottom w:val="0"/>
          <w:divBdr>
            <w:top w:val="none" w:sz="0" w:space="0" w:color="auto"/>
            <w:left w:val="none" w:sz="0" w:space="0" w:color="auto"/>
            <w:bottom w:val="none" w:sz="0" w:space="0" w:color="auto"/>
            <w:right w:val="none" w:sz="0" w:space="0" w:color="auto"/>
          </w:divBdr>
        </w:div>
        <w:div w:id="1563364844">
          <w:marLeft w:val="0"/>
          <w:marRight w:val="0"/>
          <w:marTop w:val="0"/>
          <w:marBottom w:val="0"/>
          <w:divBdr>
            <w:top w:val="none" w:sz="0" w:space="0" w:color="auto"/>
            <w:left w:val="none" w:sz="0" w:space="0" w:color="auto"/>
            <w:bottom w:val="none" w:sz="0" w:space="0" w:color="auto"/>
            <w:right w:val="none" w:sz="0" w:space="0" w:color="auto"/>
          </w:divBdr>
        </w:div>
      </w:divsChild>
    </w:div>
    <w:div w:id="1491486752">
      <w:bodyDiv w:val="1"/>
      <w:marLeft w:val="0"/>
      <w:marRight w:val="0"/>
      <w:marTop w:val="0"/>
      <w:marBottom w:val="0"/>
      <w:divBdr>
        <w:top w:val="none" w:sz="0" w:space="0" w:color="auto"/>
        <w:left w:val="none" w:sz="0" w:space="0" w:color="auto"/>
        <w:bottom w:val="none" w:sz="0" w:space="0" w:color="auto"/>
        <w:right w:val="none" w:sz="0" w:space="0" w:color="auto"/>
      </w:divBdr>
    </w:div>
    <w:div w:id="1499618218">
      <w:bodyDiv w:val="1"/>
      <w:marLeft w:val="0"/>
      <w:marRight w:val="0"/>
      <w:marTop w:val="0"/>
      <w:marBottom w:val="0"/>
      <w:divBdr>
        <w:top w:val="none" w:sz="0" w:space="0" w:color="auto"/>
        <w:left w:val="none" w:sz="0" w:space="0" w:color="auto"/>
        <w:bottom w:val="none" w:sz="0" w:space="0" w:color="auto"/>
        <w:right w:val="none" w:sz="0" w:space="0" w:color="auto"/>
      </w:divBdr>
      <w:divsChild>
        <w:div w:id="384068181">
          <w:marLeft w:val="0"/>
          <w:marRight w:val="0"/>
          <w:marTop w:val="0"/>
          <w:marBottom w:val="0"/>
          <w:divBdr>
            <w:top w:val="none" w:sz="0" w:space="0" w:color="auto"/>
            <w:left w:val="none" w:sz="0" w:space="0" w:color="auto"/>
            <w:bottom w:val="none" w:sz="0" w:space="0" w:color="auto"/>
            <w:right w:val="none" w:sz="0" w:space="0" w:color="auto"/>
          </w:divBdr>
          <w:divsChild>
            <w:div w:id="2001349509">
              <w:marLeft w:val="0"/>
              <w:marRight w:val="0"/>
              <w:marTop w:val="0"/>
              <w:marBottom w:val="0"/>
              <w:divBdr>
                <w:top w:val="none" w:sz="0" w:space="0" w:color="auto"/>
                <w:left w:val="none" w:sz="0" w:space="0" w:color="auto"/>
                <w:bottom w:val="none" w:sz="0" w:space="0" w:color="auto"/>
                <w:right w:val="none" w:sz="0" w:space="0" w:color="auto"/>
              </w:divBdr>
              <w:divsChild>
                <w:div w:id="126048732">
                  <w:marLeft w:val="0"/>
                  <w:marRight w:val="0"/>
                  <w:marTop w:val="0"/>
                  <w:marBottom w:val="0"/>
                  <w:divBdr>
                    <w:top w:val="none" w:sz="0" w:space="0" w:color="auto"/>
                    <w:left w:val="none" w:sz="0" w:space="0" w:color="auto"/>
                    <w:bottom w:val="none" w:sz="0" w:space="0" w:color="auto"/>
                    <w:right w:val="none" w:sz="0" w:space="0" w:color="auto"/>
                  </w:divBdr>
                  <w:divsChild>
                    <w:div w:id="1287849831">
                      <w:marLeft w:val="0"/>
                      <w:marRight w:val="0"/>
                      <w:marTop w:val="0"/>
                      <w:marBottom w:val="0"/>
                      <w:divBdr>
                        <w:top w:val="none" w:sz="0" w:space="0" w:color="auto"/>
                        <w:left w:val="none" w:sz="0" w:space="0" w:color="auto"/>
                        <w:bottom w:val="none" w:sz="0" w:space="0" w:color="auto"/>
                        <w:right w:val="none" w:sz="0" w:space="0" w:color="auto"/>
                      </w:divBdr>
                      <w:divsChild>
                        <w:div w:id="316879470">
                          <w:marLeft w:val="0"/>
                          <w:marRight w:val="0"/>
                          <w:marTop w:val="0"/>
                          <w:marBottom w:val="0"/>
                          <w:divBdr>
                            <w:top w:val="none" w:sz="0" w:space="0" w:color="auto"/>
                            <w:left w:val="none" w:sz="0" w:space="0" w:color="auto"/>
                            <w:bottom w:val="none" w:sz="0" w:space="0" w:color="auto"/>
                            <w:right w:val="none" w:sz="0" w:space="0" w:color="auto"/>
                          </w:divBdr>
                          <w:divsChild>
                            <w:div w:id="1092508779">
                              <w:marLeft w:val="0"/>
                              <w:marRight w:val="0"/>
                              <w:marTop w:val="0"/>
                              <w:marBottom w:val="0"/>
                              <w:divBdr>
                                <w:top w:val="none" w:sz="0" w:space="0" w:color="auto"/>
                                <w:left w:val="none" w:sz="0" w:space="0" w:color="auto"/>
                                <w:bottom w:val="none" w:sz="0" w:space="0" w:color="auto"/>
                                <w:right w:val="none" w:sz="0" w:space="0" w:color="auto"/>
                              </w:divBdr>
                              <w:divsChild>
                                <w:div w:id="947354638">
                                  <w:marLeft w:val="0"/>
                                  <w:marRight w:val="0"/>
                                  <w:marTop w:val="0"/>
                                  <w:marBottom w:val="0"/>
                                  <w:divBdr>
                                    <w:top w:val="none" w:sz="0" w:space="0" w:color="auto"/>
                                    <w:left w:val="none" w:sz="0" w:space="0" w:color="auto"/>
                                    <w:bottom w:val="none" w:sz="0" w:space="0" w:color="auto"/>
                                    <w:right w:val="none" w:sz="0" w:space="0" w:color="auto"/>
                                  </w:divBdr>
                                  <w:divsChild>
                                    <w:div w:id="977493187">
                                      <w:marLeft w:val="0"/>
                                      <w:marRight w:val="0"/>
                                      <w:marTop w:val="0"/>
                                      <w:marBottom w:val="0"/>
                                      <w:divBdr>
                                        <w:top w:val="none" w:sz="0" w:space="0" w:color="auto"/>
                                        <w:left w:val="none" w:sz="0" w:space="0" w:color="auto"/>
                                        <w:bottom w:val="none" w:sz="0" w:space="0" w:color="auto"/>
                                        <w:right w:val="none" w:sz="0" w:space="0" w:color="auto"/>
                                      </w:divBdr>
                                      <w:divsChild>
                                        <w:div w:id="256593960">
                                          <w:marLeft w:val="0"/>
                                          <w:marRight w:val="0"/>
                                          <w:marTop w:val="300"/>
                                          <w:marBottom w:val="0"/>
                                          <w:divBdr>
                                            <w:top w:val="none" w:sz="0" w:space="0" w:color="auto"/>
                                            <w:left w:val="none" w:sz="0" w:space="0" w:color="auto"/>
                                            <w:bottom w:val="none" w:sz="0" w:space="0" w:color="auto"/>
                                            <w:right w:val="none" w:sz="0" w:space="0" w:color="auto"/>
                                          </w:divBdr>
                                          <w:divsChild>
                                            <w:div w:id="579290841">
                                              <w:marLeft w:val="0"/>
                                              <w:marRight w:val="0"/>
                                              <w:marTop w:val="0"/>
                                              <w:marBottom w:val="0"/>
                                              <w:divBdr>
                                                <w:top w:val="none" w:sz="0" w:space="0" w:color="auto"/>
                                                <w:left w:val="none" w:sz="0" w:space="0" w:color="auto"/>
                                                <w:bottom w:val="none" w:sz="0" w:space="0" w:color="auto"/>
                                                <w:right w:val="none" w:sz="0" w:space="0" w:color="auto"/>
                                              </w:divBdr>
                                              <w:divsChild>
                                                <w:div w:id="1692223387">
                                                  <w:marLeft w:val="0"/>
                                                  <w:marRight w:val="0"/>
                                                  <w:marTop w:val="0"/>
                                                  <w:marBottom w:val="0"/>
                                                  <w:divBdr>
                                                    <w:top w:val="none" w:sz="0" w:space="0" w:color="auto"/>
                                                    <w:left w:val="none" w:sz="0" w:space="0" w:color="auto"/>
                                                    <w:bottom w:val="none" w:sz="0" w:space="0" w:color="auto"/>
                                                    <w:right w:val="none" w:sz="0" w:space="0" w:color="auto"/>
                                                  </w:divBdr>
                                                  <w:divsChild>
                                                    <w:div w:id="77295526">
                                                      <w:marLeft w:val="0"/>
                                                      <w:marRight w:val="0"/>
                                                      <w:marTop w:val="0"/>
                                                      <w:marBottom w:val="0"/>
                                                      <w:divBdr>
                                                        <w:top w:val="none" w:sz="0" w:space="0" w:color="auto"/>
                                                        <w:left w:val="none" w:sz="0" w:space="0" w:color="auto"/>
                                                        <w:bottom w:val="none" w:sz="0" w:space="0" w:color="auto"/>
                                                        <w:right w:val="none" w:sz="0" w:space="0" w:color="auto"/>
                                                      </w:divBdr>
                                                      <w:divsChild>
                                                        <w:div w:id="1838617988">
                                                          <w:marLeft w:val="0"/>
                                                          <w:marRight w:val="0"/>
                                                          <w:marTop w:val="0"/>
                                                          <w:marBottom w:val="0"/>
                                                          <w:divBdr>
                                                            <w:top w:val="none" w:sz="0" w:space="0" w:color="auto"/>
                                                            <w:left w:val="none" w:sz="0" w:space="0" w:color="auto"/>
                                                            <w:bottom w:val="none" w:sz="0" w:space="0" w:color="auto"/>
                                                            <w:right w:val="none" w:sz="0" w:space="0" w:color="auto"/>
                                                          </w:divBdr>
                                                          <w:divsChild>
                                                            <w:div w:id="1654719514">
                                                              <w:marLeft w:val="0"/>
                                                              <w:marRight w:val="0"/>
                                                              <w:marTop w:val="0"/>
                                                              <w:marBottom w:val="0"/>
                                                              <w:divBdr>
                                                                <w:top w:val="none" w:sz="0" w:space="0" w:color="auto"/>
                                                                <w:left w:val="none" w:sz="0" w:space="0" w:color="auto"/>
                                                                <w:bottom w:val="none" w:sz="0" w:space="0" w:color="auto"/>
                                                                <w:right w:val="none" w:sz="0" w:space="0" w:color="auto"/>
                                                              </w:divBdr>
                                                              <w:divsChild>
                                                                <w:div w:id="1939604920">
                                                                  <w:marLeft w:val="0"/>
                                                                  <w:marRight w:val="0"/>
                                                                  <w:marTop w:val="0"/>
                                                                  <w:marBottom w:val="0"/>
                                                                  <w:divBdr>
                                                                    <w:top w:val="none" w:sz="0" w:space="0" w:color="auto"/>
                                                                    <w:left w:val="none" w:sz="0" w:space="0" w:color="auto"/>
                                                                    <w:bottom w:val="none" w:sz="0" w:space="0" w:color="auto"/>
                                                                    <w:right w:val="none" w:sz="0" w:space="0" w:color="auto"/>
                                                                  </w:divBdr>
                                                                  <w:divsChild>
                                                                    <w:div w:id="2045980231">
                                                                      <w:marLeft w:val="0"/>
                                                                      <w:marRight w:val="0"/>
                                                                      <w:marTop w:val="0"/>
                                                                      <w:marBottom w:val="0"/>
                                                                      <w:divBdr>
                                                                        <w:top w:val="none" w:sz="0" w:space="0" w:color="auto"/>
                                                                        <w:left w:val="none" w:sz="0" w:space="0" w:color="auto"/>
                                                                        <w:bottom w:val="none" w:sz="0" w:space="0" w:color="auto"/>
                                                                        <w:right w:val="none" w:sz="0" w:space="0" w:color="auto"/>
                                                                      </w:divBdr>
                                                                      <w:divsChild>
                                                                        <w:div w:id="234554094">
                                                                          <w:marLeft w:val="0"/>
                                                                          <w:marRight w:val="0"/>
                                                                          <w:marTop w:val="0"/>
                                                                          <w:marBottom w:val="0"/>
                                                                          <w:divBdr>
                                                                            <w:top w:val="none" w:sz="0" w:space="0" w:color="auto"/>
                                                                            <w:left w:val="none" w:sz="0" w:space="0" w:color="auto"/>
                                                                            <w:bottom w:val="none" w:sz="0" w:space="0" w:color="auto"/>
                                                                            <w:right w:val="none" w:sz="0" w:space="0" w:color="auto"/>
                                                                          </w:divBdr>
                                                                          <w:divsChild>
                                                                            <w:div w:id="1389376773">
                                                                              <w:marLeft w:val="0"/>
                                                                              <w:marRight w:val="0"/>
                                                                              <w:marTop w:val="0"/>
                                                                              <w:marBottom w:val="0"/>
                                                                              <w:divBdr>
                                                                                <w:top w:val="none" w:sz="0" w:space="0" w:color="auto"/>
                                                                                <w:left w:val="none" w:sz="0" w:space="0" w:color="auto"/>
                                                                                <w:bottom w:val="none" w:sz="0" w:space="0" w:color="auto"/>
                                                                                <w:right w:val="none" w:sz="0" w:space="0" w:color="auto"/>
                                                                              </w:divBdr>
                                                                              <w:divsChild>
                                                                                <w:div w:id="946234214">
                                                                                  <w:marLeft w:val="0"/>
                                                                                  <w:marRight w:val="0"/>
                                                                                  <w:marTop w:val="0"/>
                                                                                  <w:marBottom w:val="0"/>
                                                                                  <w:divBdr>
                                                                                    <w:top w:val="single" w:sz="6" w:space="8" w:color="1F6095"/>
                                                                                    <w:left w:val="single" w:sz="6" w:space="8" w:color="1F6095"/>
                                                                                    <w:bottom w:val="single" w:sz="6" w:space="8" w:color="1F6095"/>
                                                                                    <w:right w:val="single" w:sz="6" w:space="8" w:color="1F6095"/>
                                                                                  </w:divBdr>
                                                                                  <w:divsChild>
                                                                                    <w:div w:id="10363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391375">
      <w:bodyDiv w:val="1"/>
      <w:marLeft w:val="0"/>
      <w:marRight w:val="0"/>
      <w:marTop w:val="0"/>
      <w:marBottom w:val="0"/>
      <w:divBdr>
        <w:top w:val="none" w:sz="0" w:space="0" w:color="auto"/>
        <w:left w:val="none" w:sz="0" w:space="0" w:color="auto"/>
        <w:bottom w:val="none" w:sz="0" w:space="0" w:color="auto"/>
        <w:right w:val="none" w:sz="0" w:space="0" w:color="auto"/>
      </w:divBdr>
    </w:div>
    <w:div w:id="1540782461">
      <w:bodyDiv w:val="1"/>
      <w:marLeft w:val="0"/>
      <w:marRight w:val="0"/>
      <w:marTop w:val="0"/>
      <w:marBottom w:val="0"/>
      <w:divBdr>
        <w:top w:val="none" w:sz="0" w:space="0" w:color="auto"/>
        <w:left w:val="none" w:sz="0" w:space="0" w:color="auto"/>
        <w:bottom w:val="none" w:sz="0" w:space="0" w:color="auto"/>
        <w:right w:val="none" w:sz="0" w:space="0" w:color="auto"/>
      </w:divBdr>
      <w:divsChild>
        <w:div w:id="93284205">
          <w:marLeft w:val="0"/>
          <w:marRight w:val="0"/>
          <w:marTop w:val="0"/>
          <w:marBottom w:val="0"/>
          <w:divBdr>
            <w:top w:val="none" w:sz="0" w:space="0" w:color="auto"/>
            <w:left w:val="none" w:sz="0" w:space="0" w:color="auto"/>
            <w:bottom w:val="none" w:sz="0" w:space="0" w:color="auto"/>
            <w:right w:val="none" w:sz="0" w:space="0" w:color="auto"/>
          </w:divBdr>
          <w:divsChild>
            <w:div w:id="625935934">
              <w:marLeft w:val="0"/>
              <w:marRight w:val="0"/>
              <w:marTop w:val="0"/>
              <w:marBottom w:val="0"/>
              <w:divBdr>
                <w:top w:val="none" w:sz="0" w:space="0" w:color="auto"/>
                <w:left w:val="none" w:sz="0" w:space="0" w:color="auto"/>
                <w:bottom w:val="none" w:sz="0" w:space="0" w:color="auto"/>
                <w:right w:val="none" w:sz="0" w:space="0" w:color="auto"/>
              </w:divBdr>
              <w:divsChild>
                <w:div w:id="278411886">
                  <w:marLeft w:val="0"/>
                  <w:marRight w:val="0"/>
                  <w:marTop w:val="0"/>
                  <w:marBottom w:val="0"/>
                  <w:divBdr>
                    <w:top w:val="none" w:sz="0" w:space="0" w:color="auto"/>
                    <w:left w:val="none" w:sz="0" w:space="0" w:color="auto"/>
                    <w:bottom w:val="none" w:sz="0" w:space="0" w:color="auto"/>
                    <w:right w:val="none" w:sz="0" w:space="0" w:color="auto"/>
                  </w:divBdr>
                  <w:divsChild>
                    <w:div w:id="626394710">
                      <w:marLeft w:val="0"/>
                      <w:marRight w:val="0"/>
                      <w:marTop w:val="0"/>
                      <w:marBottom w:val="0"/>
                      <w:divBdr>
                        <w:top w:val="none" w:sz="0" w:space="0" w:color="auto"/>
                        <w:left w:val="none" w:sz="0" w:space="0" w:color="auto"/>
                        <w:bottom w:val="none" w:sz="0" w:space="0" w:color="auto"/>
                        <w:right w:val="none" w:sz="0" w:space="0" w:color="auto"/>
                      </w:divBdr>
                      <w:divsChild>
                        <w:div w:id="453410098">
                          <w:marLeft w:val="0"/>
                          <w:marRight w:val="0"/>
                          <w:marTop w:val="0"/>
                          <w:marBottom w:val="0"/>
                          <w:divBdr>
                            <w:top w:val="none" w:sz="0" w:space="0" w:color="auto"/>
                            <w:left w:val="none" w:sz="0" w:space="0" w:color="auto"/>
                            <w:bottom w:val="none" w:sz="0" w:space="0" w:color="auto"/>
                            <w:right w:val="none" w:sz="0" w:space="0" w:color="auto"/>
                          </w:divBdr>
                          <w:divsChild>
                            <w:div w:id="1168055696">
                              <w:marLeft w:val="0"/>
                              <w:marRight w:val="0"/>
                              <w:marTop w:val="0"/>
                              <w:marBottom w:val="0"/>
                              <w:divBdr>
                                <w:top w:val="none" w:sz="0" w:space="0" w:color="auto"/>
                                <w:left w:val="none" w:sz="0" w:space="0" w:color="auto"/>
                                <w:bottom w:val="none" w:sz="0" w:space="0" w:color="auto"/>
                                <w:right w:val="none" w:sz="0" w:space="0" w:color="auto"/>
                              </w:divBdr>
                              <w:divsChild>
                                <w:div w:id="1851523371">
                                  <w:marLeft w:val="0"/>
                                  <w:marRight w:val="0"/>
                                  <w:marTop w:val="0"/>
                                  <w:marBottom w:val="0"/>
                                  <w:divBdr>
                                    <w:top w:val="none" w:sz="0" w:space="0" w:color="auto"/>
                                    <w:left w:val="none" w:sz="0" w:space="0" w:color="auto"/>
                                    <w:bottom w:val="none" w:sz="0" w:space="0" w:color="auto"/>
                                    <w:right w:val="none" w:sz="0" w:space="0" w:color="auto"/>
                                  </w:divBdr>
                                  <w:divsChild>
                                    <w:div w:id="336082130">
                                      <w:marLeft w:val="0"/>
                                      <w:marRight w:val="0"/>
                                      <w:marTop w:val="0"/>
                                      <w:marBottom w:val="0"/>
                                      <w:divBdr>
                                        <w:top w:val="none" w:sz="0" w:space="0" w:color="auto"/>
                                        <w:left w:val="none" w:sz="0" w:space="0" w:color="auto"/>
                                        <w:bottom w:val="none" w:sz="0" w:space="0" w:color="auto"/>
                                        <w:right w:val="none" w:sz="0" w:space="0" w:color="auto"/>
                                      </w:divBdr>
                                      <w:divsChild>
                                        <w:div w:id="418871762">
                                          <w:marLeft w:val="0"/>
                                          <w:marRight w:val="0"/>
                                          <w:marTop w:val="300"/>
                                          <w:marBottom w:val="0"/>
                                          <w:divBdr>
                                            <w:top w:val="none" w:sz="0" w:space="0" w:color="auto"/>
                                            <w:left w:val="none" w:sz="0" w:space="0" w:color="auto"/>
                                            <w:bottom w:val="none" w:sz="0" w:space="0" w:color="auto"/>
                                            <w:right w:val="none" w:sz="0" w:space="0" w:color="auto"/>
                                          </w:divBdr>
                                          <w:divsChild>
                                            <w:div w:id="727263812">
                                              <w:marLeft w:val="0"/>
                                              <w:marRight w:val="0"/>
                                              <w:marTop w:val="0"/>
                                              <w:marBottom w:val="0"/>
                                              <w:divBdr>
                                                <w:top w:val="none" w:sz="0" w:space="0" w:color="auto"/>
                                                <w:left w:val="none" w:sz="0" w:space="0" w:color="auto"/>
                                                <w:bottom w:val="none" w:sz="0" w:space="0" w:color="auto"/>
                                                <w:right w:val="none" w:sz="0" w:space="0" w:color="auto"/>
                                              </w:divBdr>
                                              <w:divsChild>
                                                <w:div w:id="1525358542">
                                                  <w:marLeft w:val="0"/>
                                                  <w:marRight w:val="0"/>
                                                  <w:marTop w:val="0"/>
                                                  <w:marBottom w:val="0"/>
                                                  <w:divBdr>
                                                    <w:top w:val="none" w:sz="0" w:space="0" w:color="auto"/>
                                                    <w:left w:val="none" w:sz="0" w:space="0" w:color="auto"/>
                                                    <w:bottom w:val="none" w:sz="0" w:space="0" w:color="auto"/>
                                                    <w:right w:val="none" w:sz="0" w:space="0" w:color="auto"/>
                                                  </w:divBdr>
                                                  <w:divsChild>
                                                    <w:div w:id="2011593746">
                                                      <w:marLeft w:val="0"/>
                                                      <w:marRight w:val="0"/>
                                                      <w:marTop w:val="0"/>
                                                      <w:marBottom w:val="0"/>
                                                      <w:divBdr>
                                                        <w:top w:val="none" w:sz="0" w:space="0" w:color="auto"/>
                                                        <w:left w:val="none" w:sz="0" w:space="0" w:color="auto"/>
                                                        <w:bottom w:val="none" w:sz="0" w:space="0" w:color="auto"/>
                                                        <w:right w:val="none" w:sz="0" w:space="0" w:color="auto"/>
                                                      </w:divBdr>
                                                      <w:divsChild>
                                                        <w:div w:id="173154836">
                                                          <w:marLeft w:val="0"/>
                                                          <w:marRight w:val="0"/>
                                                          <w:marTop w:val="0"/>
                                                          <w:marBottom w:val="0"/>
                                                          <w:divBdr>
                                                            <w:top w:val="none" w:sz="0" w:space="0" w:color="auto"/>
                                                            <w:left w:val="none" w:sz="0" w:space="0" w:color="auto"/>
                                                            <w:bottom w:val="none" w:sz="0" w:space="0" w:color="auto"/>
                                                            <w:right w:val="none" w:sz="0" w:space="0" w:color="auto"/>
                                                          </w:divBdr>
                                                          <w:divsChild>
                                                            <w:div w:id="1206597182">
                                                              <w:marLeft w:val="0"/>
                                                              <w:marRight w:val="0"/>
                                                              <w:marTop w:val="0"/>
                                                              <w:marBottom w:val="0"/>
                                                              <w:divBdr>
                                                                <w:top w:val="none" w:sz="0" w:space="0" w:color="auto"/>
                                                                <w:left w:val="none" w:sz="0" w:space="0" w:color="auto"/>
                                                                <w:bottom w:val="none" w:sz="0" w:space="0" w:color="auto"/>
                                                                <w:right w:val="none" w:sz="0" w:space="0" w:color="auto"/>
                                                              </w:divBdr>
                                                              <w:divsChild>
                                                                <w:div w:id="1887326522">
                                                                  <w:marLeft w:val="0"/>
                                                                  <w:marRight w:val="0"/>
                                                                  <w:marTop w:val="0"/>
                                                                  <w:marBottom w:val="0"/>
                                                                  <w:divBdr>
                                                                    <w:top w:val="none" w:sz="0" w:space="0" w:color="auto"/>
                                                                    <w:left w:val="none" w:sz="0" w:space="0" w:color="auto"/>
                                                                    <w:bottom w:val="none" w:sz="0" w:space="0" w:color="auto"/>
                                                                    <w:right w:val="none" w:sz="0" w:space="0" w:color="auto"/>
                                                                  </w:divBdr>
                                                                  <w:divsChild>
                                                                    <w:div w:id="141433267">
                                                                      <w:marLeft w:val="0"/>
                                                                      <w:marRight w:val="0"/>
                                                                      <w:marTop w:val="0"/>
                                                                      <w:marBottom w:val="0"/>
                                                                      <w:divBdr>
                                                                        <w:top w:val="none" w:sz="0" w:space="0" w:color="auto"/>
                                                                        <w:left w:val="none" w:sz="0" w:space="0" w:color="auto"/>
                                                                        <w:bottom w:val="none" w:sz="0" w:space="0" w:color="auto"/>
                                                                        <w:right w:val="none" w:sz="0" w:space="0" w:color="auto"/>
                                                                      </w:divBdr>
                                                                      <w:divsChild>
                                                                        <w:div w:id="559946177">
                                                                          <w:marLeft w:val="0"/>
                                                                          <w:marRight w:val="0"/>
                                                                          <w:marTop w:val="0"/>
                                                                          <w:marBottom w:val="0"/>
                                                                          <w:divBdr>
                                                                            <w:top w:val="none" w:sz="0" w:space="0" w:color="auto"/>
                                                                            <w:left w:val="none" w:sz="0" w:space="0" w:color="auto"/>
                                                                            <w:bottom w:val="none" w:sz="0" w:space="0" w:color="auto"/>
                                                                            <w:right w:val="none" w:sz="0" w:space="0" w:color="auto"/>
                                                                          </w:divBdr>
                                                                          <w:divsChild>
                                                                            <w:div w:id="1350839333">
                                                                              <w:marLeft w:val="0"/>
                                                                              <w:marRight w:val="0"/>
                                                                              <w:marTop w:val="0"/>
                                                                              <w:marBottom w:val="0"/>
                                                                              <w:divBdr>
                                                                                <w:top w:val="none" w:sz="0" w:space="0" w:color="auto"/>
                                                                                <w:left w:val="none" w:sz="0" w:space="0" w:color="auto"/>
                                                                                <w:bottom w:val="none" w:sz="0" w:space="0" w:color="auto"/>
                                                                                <w:right w:val="none" w:sz="0" w:space="0" w:color="auto"/>
                                                                              </w:divBdr>
                                                                              <w:divsChild>
                                                                                <w:div w:id="683241168">
                                                                                  <w:marLeft w:val="0"/>
                                                                                  <w:marRight w:val="0"/>
                                                                                  <w:marTop w:val="0"/>
                                                                                  <w:marBottom w:val="0"/>
                                                                                  <w:divBdr>
                                                                                    <w:top w:val="single" w:sz="6" w:space="8" w:color="1F6095"/>
                                                                                    <w:left w:val="single" w:sz="6" w:space="8" w:color="1F6095"/>
                                                                                    <w:bottom w:val="single" w:sz="6" w:space="8" w:color="1F6095"/>
                                                                                    <w:right w:val="single" w:sz="6" w:space="8" w:color="1F6095"/>
                                                                                  </w:divBdr>
                                                                                  <w:divsChild>
                                                                                    <w:div w:id="155997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695594">
      <w:bodyDiv w:val="1"/>
      <w:marLeft w:val="0"/>
      <w:marRight w:val="0"/>
      <w:marTop w:val="0"/>
      <w:marBottom w:val="0"/>
      <w:divBdr>
        <w:top w:val="none" w:sz="0" w:space="0" w:color="auto"/>
        <w:left w:val="none" w:sz="0" w:space="0" w:color="auto"/>
        <w:bottom w:val="none" w:sz="0" w:space="0" w:color="auto"/>
        <w:right w:val="none" w:sz="0" w:space="0" w:color="auto"/>
      </w:divBdr>
      <w:divsChild>
        <w:div w:id="1782459749">
          <w:marLeft w:val="0"/>
          <w:marRight w:val="0"/>
          <w:marTop w:val="0"/>
          <w:marBottom w:val="0"/>
          <w:divBdr>
            <w:top w:val="none" w:sz="0" w:space="0" w:color="auto"/>
            <w:left w:val="none" w:sz="0" w:space="0" w:color="auto"/>
            <w:bottom w:val="none" w:sz="0" w:space="0" w:color="auto"/>
            <w:right w:val="none" w:sz="0" w:space="0" w:color="auto"/>
          </w:divBdr>
        </w:div>
        <w:div w:id="139080884">
          <w:marLeft w:val="0"/>
          <w:marRight w:val="0"/>
          <w:marTop w:val="0"/>
          <w:marBottom w:val="0"/>
          <w:divBdr>
            <w:top w:val="none" w:sz="0" w:space="0" w:color="auto"/>
            <w:left w:val="none" w:sz="0" w:space="0" w:color="auto"/>
            <w:bottom w:val="none" w:sz="0" w:space="0" w:color="auto"/>
            <w:right w:val="none" w:sz="0" w:space="0" w:color="auto"/>
          </w:divBdr>
        </w:div>
        <w:div w:id="1757483081">
          <w:marLeft w:val="0"/>
          <w:marRight w:val="0"/>
          <w:marTop w:val="0"/>
          <w:marBottom w:val="0"/>
          <w:divBdr>
            <w:top w:val="none" w:sz="0" w:space="0" w:color="auto"/>
            <w:left w:val="none" w:sz="0" w:space="0" w:color="auto"/>
            <w:bottom w:val="none" w:sz="0" w:space="0" w:color="auto"/>
            <w:right w:val="none" w:sz="0" w:space="0" w:color="auto"/>
          </w:divBdr>
        </w:div>
      </w:divsChild>
    </w:div>
    <w:div w:id="1565023584">
      <w:bodyDiv w:val="1"/>
      <w:marLeft w:val="0"/>
      <w:marRight w:val="0"/>
      <w:marTop w:val="0"/>
      <w:marBottom w:val="0"/>
      <w:divBdr>
        <w:top w:val="none" w:sz="0" w:space="0" w:color="auto"/>
        <w:left w:val="none" w:sz="0" w:space="0" w:color="auto"/>
        <w:bottom w:val="none" w:sz="0" w:space="0" w:color="auto"/>
        <w:right w:val="none" w:sz="0" w:space="0" w:color="auto"/>
      </w:divBdr>
      <w:divsChild>
        <w:div w:id="355471747">
          <w:marLeft w:val="0"/>
          <w:marRight w:val="0"/>
          <w:marTop w:val="0"/>
          <w:marBottom w:val="0"/>
          <w:divBdr>
            <w:top w:val="none" w:sz="0" w:space="0" w:color="auto"/>
            <w:left w:val="none" w:sz="0" w:space="0" w:color="auto"/>
            <w:bottom w:val="none" w:sz="0" w:space="0" w:color="auto"/>
            <w:right w:val="none" w:sz="0" w:space="0" w:color="auto"/>
          </w:divBdr>
        </w:div>
        <w:div w:id="476993871">
          <w:marLeft w:val="0"/>
          <w:marRight w:val="0"/>
          <w:marTop w:val="0"/>
          <w:marBottom w:val="0"/>
          <w:divBdr>
            <w:top w:val="none" w:sz="0" w:space="0" w:color="auto"/>
            <w:left w:val="none" w:sz="0" w:space="0" w:color="auto"/>
            <w:bottom w:val="none" w:sz="0" w:space="0" w:color="auto"/>
            <w:right w:val="none" w:sz="0" w:space="0" w:color="auto"/>
          </w:divBdr>
        </w:div>
        <w:div w:id="507907398">
          <w:marLeft w:val="0"/>
          <w:marRight w:val="0"/>
          <w:marTop w:val="0"/>
          <w:marBottom w:val="0"/>
          <w:divBdr>
            <w:top w:val="none" w:sz="0" w:space="0" w:color="auto"/>
            <w:left w:val="none" w:sz="0" w:space="0" w:color="auto"/>
            <w:bottom w:val="none" w:sz="0" w:space="0" w:color="auto"/>
            <w:right w:val="none" w:sz="0" w:space="0" w:color="auto"/>
          </w:divBdr>
        </w:div>
        <w:div w:id="1128544104">
          <w:marLeft w:val="0"/>
          <w:marRight w:val="0"/>
          <w:marTop w:val="0"/>
          <w:marBottom w:val="0"/>
          <w:divBdr>
            <w:top w:val="none" w:sz="0" w:space="0" w:color="auto"/>
            <w:left w:val="none" w:sz="0" w:space="0" w:color="auto"/>
            <w:bottom w:val="none" w:sz="0" w:space="0" w:color="auto"/>
            <w:right w:val="none" w:sz="0" w:space="0" w:color="auto"/>
          </w:divBdr>
        </w:div>
        <w:div w:id="1368263107">
          <w:marLeft w:val="0"/>
          <w:marRight w:val="0"/>
          <w:marTop w:val="0"/>
          <w:marBottom w:val="0"/>
          <w:divBdr>
            <w:top w:val="none" w:sz="0" w:space="0" w:color="auto"/>
            <w:left w:val="none" w:sz="0" w:space="0" w:color="auto"/>
            <w:bottom w:val="none" w:sz="0" w:space="0" w:color="auto"/>
            <w:right w:val="none" w:sz="0" w:space="0" w:color="auto"/>
          </w:divBdr>
        </w:div>
        <w:div w:id="1659530362">
          <w:marLeft w:val="0"/>
          <w:marRight w:val="0"/>
          <w:marTop w:val="0"/>
          <w:marBottom w:val="0"/>
          <w:divBdr>
            <w:top w:val="none" w:sz="0" w:space="0" w:color="auto"/>
            <w:left w:val="none" w:sz="0" w:space="0" w:color="auto"/>
            <w:bottom w:val="none" w:sz="0" w:space="0" w:color="auto"/>
            <w:right w:val="none" w:sz="0" w:space="0" w:color="auto"/>
          </w:divBdr>
        </w:div>
        <w:div w:id="1972246795">
          <w:marLeft w:val="0"/>
          <w:marRight w:val="0"/>
          <w:marTop w:val="0"/>
          <w:marBottom w:val="0"/>
          <w:divBdr>
            <w:top w:val="none" w:sz="0" w:space="0" w:color="auto"/>
            <w:left w:val="none" w:sz="0" w:space="0" w:color="auto"/>
            <w:bottom w:val="none" w:sz="0" w:space="0" w:color="auto"/>
            <w:right w:val="none" w:sz="0" w:space="0" w:color="auto"/>
          </w:divBdr>
        </w:div>
      </w:divsChild>
    </w:div>
    <w:div w:id="1572424294">
      <w:bodyDiv w:val="1"/>
      <w:marLeft w:val="0"/>
      <w:marRight w:val="0"/>
      <w:marTop w:val="0"/>
      <w:marBottom w:val="0"/>
      <w:divBdr>
        <w:top w:val="none" w:sz="0" w:space="0" w:color="auto"/>
        <w:left w:val="none" w:sz="0" w:space="0" w:color="auto"/>
        <w:bottom w:val="none" w:sz="0" w:space="0" w:color="auto"/>
        <w:right w:val="none" w:sz="0" w:space="0" w:color="auto"/>
      </w:divBdr>
    </w:div>
    <w:div w:id="1585070656">
      <w:bodyDiv w:val="1"/>
      <w:marLeft w:val="0"/>
      <w:marRight w:val="0"/>
      <w:marTop w:val="0"/>
      <w:marBottom w:val="0"/>
      <w:divBdr>
        <w:top w:val="none" w:sz="0" w:space="0" w:color="auto"/>
        <w:left w:val="none" w:sz="0" w:space="0" w:color="auto"/>
        <w:bottom w:val="none" w:sz="0" w:space="0" w:color="auto"/>
        <w:right w:val="none" w:sz="0" w:space="0" w:color="auto"/>
      </w:divBdr>
      <w:divsChild>
        <w:div w:id="2249246">
          <w:marLeft w:val="0"/>
          <w:marRight w:val="0"/>
          <w:marTop w:val="0"/>
          <w:marBottom w:val="0"/>
          <w:divBdr>
            <w:top w:val="none" w:sz="0" w:space="0" w:color="auto"/>
            <w:left w:val="none" w:sz="0" w:space="0" w:color="auto"/>
            <w:bottom w:val="none" w:sz="0" w:space="0" w:color="auto"/>
            <w:right w:val="none" w:sz="0" w:space="0" w:color="auto"/>
          </w:divBdr>
        </w:div>
        <w:div w:id="364717102">
          <w:marLeft w:val="0"/>
          <w:marRight w:val="0"/>
          <w:marTop w:val="0"/>
          <w:marBottom w:val="0"/>
          <w:divBdr>
            <w:top w:val="none" w:sz="0" w:space="0" w:color="auto"/>
            <w:left w:val="none" w:sz="0" w:space="0" w:color="auto"/>
            <w:bottom w:val="none" w:sz="0" w:space="0" w:color="auto"/>
            <w:right w:val="none" w:sz="0" w:space="0" w:color="auto"/>
          </w:divBdr>
        </w:div>
        <w:div w:id="606036692">
          <w:marLeft w:val="0"/>
          <w:marRight w:val="0"/>
          <w:marTop w:val="0"/>
          <w:marBottom w:val="0"/>
          <w:divBdr>
            <w:top w:val="none" w:sz="0" w:space="0" w:color="auto"/>
            <w:left w:val="none" w:sz="0" w:space="0" w:color="auto"/>
            <w:bottom w:val="none" w:sz="0" w:space="0" w:color="auto"/>
            <w:right w:val="none" w:sz="0" w:space="0" w:color="auto"/>
          </w:divBdr>
        </w:div>
        <w:div w:id="1037894717">
          <w:marLeft w:val="0"/>
          <w:marRight w:val="0"/>
          <w:marTop w:val="0"/>
          <w:marBottom w:val="0"/>
          <w:divBdr>
            <w:top w:val="none" w:sz="0" w:space="0" w:color="auto"/>
            <w:left w:val="none" w:sz="0" w:space="0" w:color="auto"/>
            <w:bottom w:val="none" w:sz="0" w:space="0" w:color="auto"/>
            <w:right w:val="none" w:sz="0" w:space="0" w:color="auto"/>
          </w:divBdr>
        </w:div>
        <w:div w:id="1591159404">
          <w:marLeft w:val="0"/>
          <w:marRight w:val="0"/>
          <w:marTop w:val="0"/>
          <w:marBottom w:val="0"/>
          <w:divBdr>
            <w:top w:val="none" w:sz="0" w:space="0" w:color="auto"/>
            <w:left w:val="none" w:sz="0" w:space="0" w:color="auto"/>
            <w:bottom w:val="none" w:sz="0" w:space="0" w:color="auto"/>
            <w:right w:val="none" w:sz="0" w:space="0" w:color="auto"/>
          </w:divBdr>
        </w:div>
        <w:div w:id="1649901318">
          <w:marLeft w:val="0"/>
          <w:marRight w:val="0"/>
          <w:marTop w:val="0"/>
          <w:marBottom w:val="0"/>
          <w:divBdr>
            <w:top w:val="none" w:sz="0" w:space="0" w:color="auto"/>
            <w:left w:val="none" w:sz="0" w:space="0" w:color="auto"/>
            <w:bottom w:val="none" w:sz="0" w:space="0" w:color="auto"/>
            <w:right w:val="none" w:sz="0" w:space="0" w:color="auto"/>
          </w:divBdr>
        </w:div>
        <w:div w:id="2115245413">
          <w:marLeft w:val="0"/>
          <w:marRight w:val="0"/>
          <w:marTop w:val="0"/>
          <w:marBottom w:val="0"/>
          <w:divBdr>
            <w:top w:val="none" w:sz="0" w:space="0" w:color="auto"/>
            <w:left w:val="none" w:sz="0" w:space="0" w:color="auto"/>
            <w:bottom w:val="none" w:sz="0" w:space="0" w:color="auto"/>
            <w:right w:val="none" w:sz="0" w:space="0" w:color="auto"/>
          </w:divBdr>
        </w:div>
      </w:divsChild>
    </w:div>
    <w:div w:id="1587807904">
      <w:bodyDiv w:val="1"/>
      <w:marLeft w:val="0"/>
      <w:marRight w:val="0"/>
      <w:marTop w:val="0"/>
      <w:marBottom w:val="0"/>
      <w:divBdr>
        <w:top w:val="none" w:sz="0" w:space="0" w:color="auto"/>
        <w:left w:val="none" w:sz="0" w:space="0" w:color="auto"/>
        <w:bottom w:val="none" w:sz="0" w:space="0" w:color="auto"/>
        <w:right w:val="none" w:sz="0" w:space="0" w:color="auto"/>
      </w:divBdr>
    </w:div>
    <w:div w:id="1589388667">
      <w:bodyDiv w:val="1"/>
      <w:marLeft w:val="0"/>
      <w:marRight w:val="0"/>
      <w:marTop w:val="0"/>
      <w:marBottom w:val="0"/>
      <w:divBdr>
        <w:top w:val="none" w:sz="0" w:space="0" w:color="auto"/>
        <w:left w:val="none" w:sz="0" w:space="0" w:color="auto"/>
        <w:bottom w:val="none" w:sz="0" w:space="0" w:color="auto"/>
        <w:right w:val="none" w:sz="0" w:space="0" w:color="auto"/>
      </w:divBdr>
    </w:div>
    <w:div w:id="1593586947">
      <w:bodyDiv w:val="1"/>
      <w:marLeft w:val="0"/>
      <w:marRight w:val="0"/>
      <w:marTop w:val="0"/>
      <w:marBottom w:val="0"/>
      <w:divBdr>
        <w:top w:val="none" w:sz="0" w:space="0" w:color="auto"/>
        <w:left w:val="none" w:sz="0" w:space="0" w:color="auto"/>
        <w:bottom w:val="none" w:sz="0" w:space="0" w:color="auto"/>
        <w:right w:val="none" w:sz="0" w:space="0" w:color="auto"/>
      </w:divBdr>
      <w:divsChild>
        <w:div w:id="750931006">
          <w:marLeft w:val="0"/>
          <w:marRight w:val="0"/>
          <w:marTop w:val="0"/>
          <w:marBottom w:val="0"/>
          <w:divBdr>
            <w:top w:val="none" w:sz="0" w:space="0" w:color="auto"/>
            <w:left w:val="none" w:sz="0" w:space="0" w:color="auto"/>
            <w:bottom w:val="none" w:sz="0" w:space="0" w:color="auto"/>
            <w:right w:val="none" w:sz="0" w:space="0" w:color="auto"/>
          </w:divBdr>
        </w:div>
        <w:div w:id="2019581217">
          <w:marLeft w:val="0"/>
          <w:marRight w:val="0"/>
          <w:marTop w:val="0"/>
          <w:marBottom w:val="0"/>
          <w:divBdr>
            <w:top w:val="none" w:sz="0" w:space="0" w:color="auto"/>
            <w:left w:val="none" w:sz="0" w:space="0" w:color="auto"/>
            <w:bottom w:val="none" w:sz="0" w:space="0" w:color="auto"/>
            <w:right w:val="none" w:sz="0" w:space="0" w:color="auto"/>
          </w:divBdr>
        </w:div>
        <w:div w:id="1767313097">
          <w:marLeft w:val="0"/>
          <w:marRight w:val="0"/>
          <w:marTop w:val="0"/>
          <w:marBottom w:val="0"/>
          <w:divBdr>
            <w:top w:val="none" w:sz="0" w:space="0" w:color="auto"/>
            <w:left w:val="none" w:sz="0" w:space="0" w:color="auto"/>
            <w:bottom w:val="none" w:sz="0" w:space="0" w:color="auto"/>
            <w:right w:val="none" w:sz="0" w:space="0" w:color="auto"/>
          </w:divBdr>
        </w:div>
        <w:div w:id="931360123">
          <w:marLeft w:val="0"/>
          <w:marRight w:val="0"/>
          <w:marTop w:val="0"/>
          <w:marBottom w:val="0"/>
          <w:divBdr>
            <w:top w:val="none" w:sz="0" w:space="0" w:color="auto"/>
            <w:left w:val="none" w:sz="0" w:space="0" w:color="auto"/>
            <w:bottom w:val="none" w:sz="0" w:space="0" w:color="auto"/>
            <w:right w:val="none" w:sz="0" w:space="0" w:color="auto"/>
          </w:divBdr>
        </w:div>
        <w:div w:id="758452324">
          <w:marLeft w:val="0"/>
          <w:marRight w:val="0"/>
          <w:marTop w:val="0"/>
          <w:marBottom w:val="0"/>
          <w:divBdr>
            <w:top w:val="none" w:sz="0" w:space="0" w:color="auto"/>
            <w:left w:val="none" w:sz="0" w:space="0" w:color="auto"/>
            <w:bottom w:val="none" w:sz="0" w:space="0" w:color="auto"/>
            <w:right w:val="none" w:sz="0" w:space="0" w:color="auto"/>
          </w:divBdr>
        </w:div>
      </w:divsChild>
    </w:div>
    <w:div w:id="1631474539">
      <w:bodyDiv w:val="1"/>
      <w:marLeft w:val="0"/>
      <w:marRight w:val="0"/>
      <w:marTop w:val="0"/>
      <w:marBottom w:val="0"/>
      <w:divBdr>
        <w:top w:val="none" w:sz="0" w:space="0" w:color="auto"/>
        <w:left w:val="none" w:sz="0" w:space="0" w:color="auto"/>
        <w:bottom w:val="none" w:sz="0" w:space="0" w:color="auto"/>
        <w:right w:val="none" w:sz="0" w:space="0" w:color="auto"/>
      </w:divBdr>
      <w:divsChild>
        <w:div w:id="1513103583">
          <w:marLeft w:val="0"/>
          <w:marRight w:val="0"/>
          <w:marTop w:val="0"/>
          <w:marBottom w:val="0"/>
          <w:divBdr>
            <w:top w:val="none" w:sz="0" w:space="0" w:color="auto"/>
            <w:left w:val="none" w:sz="0" w:space="0" w:color="auto"/>
            <w:bottom w:val="none" w:sz="0" w:space="0" w:color="auto"/>
            <w:right w:val="none" w:sz="0" w:space="0" w:color="auto"/>
          </w:divBdr>
        </w:div>
        <w:div w:id="616568032">
          <w:marLeft w:val="0"/>
          <w:marRight w:val="0"/>
          <w:marTop w:val="0"/>
          <w:marBottom w:val="0"/>
          <w:divBdr>
            <w:top w:val="none" w:sz="0" w:space="0" w:color="auto"/>
            <w:left w:val="none" w:sz="0" w:space="0" w:color="auto"/>
            <w:bottom w:val="none" w:sz="0" w:space="0" w:color="auto"/>
            <w:right w:val="none" w:sz="0" w:space="0" w:color="auto"/>
          </w:divBdr>
        </w:div>
      </w:divsChild>
    </w:div>
    <w:div w:id="1632665087">
      <w:bodyDiv w:val="1"/>
      <w:marLeft w:val="0"/>
      <w:marRight w:val="0"/>
      <w:marTop w:val="0"/>
      <w:marBottom w:val="0"/>
      <w:divBdr>
        <w:top w:val="none" w:sz="0" w:space="0" w:color="auto"/>
        <w:left w:val="none" w:sz="0" w:space="0" w:color="auto"/>
        <w:bottom w:val="none" w:sz="0" w:space="0" w:color="auto"/>
        <w:right w:val="none" w:sz="0" w:space="0" w:color="auto"/>
      </w:divBdr>
      <w:divsChild>
        <w:div w:id="944263223">
          <w:marLeft w:val="0"/>
          <w:marRight w:val="0"/>
          <w:marTop w:val="0"/>
          <w:marBottom w:val="0"/>
          <w:divBdr>
            <w:top w:val="none" w:sz="0" w:space="0" w:color="auto"/>
            <w:left w:val="none" w:sz="0" w:space="0" w:color="auto"/>
            <w:bottom w:val="none" w:sz="0" w:space="0" w:color="auto"/>
            <w:right w:val="none" w:sz="0" w:space="0" w:color="auto"/>
          </w:divBdr>
        </w:div>
        <w:div w:id="1530295223">
          <w:marLeft w:val="0"/>
          <w:marRight w:val="0"/>
          <w:marTop w:val="0"/>
          <w:marBottom w:val="0"/>
          <w:divBdr>
            <w:top w:val="none" w:sz="0" w:space="0" w:color="auto"/>
            <w:left w:val="none" w:sz="0" w:space="0" w:color="auto"/>
            <w:bottom w:val="none" w:sz="0" w:space="0" w:color="auto"/>
            <w:right w:val="none" w:sz="0" w:space="0" w:color="auto"/>
          </w:divBdr>
        </w:div>
        <w:div w:id="1623537039">
          <w:marLeft w:val="0"/>
          <w:marRight w:val="0"/>
          <w:marTop w:val="0"/>
          <w:marBottom w:val="0"/>
          <w:divBdr>
            <w:top w:val="none" w:sz="0" w:space="0" w:color="auto"/>
            <w:left w:val="none" w:sz="0" w:space="0" w:color="auto"/>
            <w:bottom w:val="none" w:sz="0" w:space="0" w:color="auto"/>
            <w:right w:val="none" w:sz="0" w:space="0" w:color="auto"/>
          </w:divBdr>
        </w:div>
        <w:div w:id="1760443021">
          <w:marLeft w:val="0"/>
          <w:marRight w:val="0"/>
          <w:marTop w:val="0"/>
          <w:marBottom w:val="0"/>
          <w:divBdr>
            <w:top w:val="none" w:sz="0" w:space="0" w:color="auto"/>
            <w:left w:val="none" w:sz="0" w:space="0" w:color="auto"/>
            <w:bottom w:val="none" w:sz="0" w:space="0" w:color="auto"/>
            <w:right w:val="none" w:sz="0" w:space="0" w:color="auto"/>
          </w:divBdr>
        </w:div>
      </w:divsChild>
    </w:div>
    <w:div w:id="1651589633">
      <w:bodyDiv w:val="1"/>
      <w:marLeft w:val="0"/>
      <w:marRight w:val="0"/>
      <w:marTop w:val="0"/>
      <w:marBottom w:val="0"/>
      <w:divBdr>
        <w:top w:val="none" w:sz="0" w:space="0" w:color="auto"/>
        <w:left w:val="none" w:sz="0" w:space="0" w:color="auto"/>
        <w:bottom w:val="none" w:sz="0" w:space="0" w:color="auto"/>
        <w:right w:val="none" w:sz="0" w:space="0" w:color="auto"/>
      </w:divBdr>
      <w:divsChild>
        <w:div w:id="1360812390">
          <w:marLeft w:val="0"/>
          <w:marRight w:val="0"/>
          <w:marTop w:val="0"/>
          <w:marBottom w:val="0"/>
          <w:divBdr>
            <w:top w:val="none" w:sz="0" w:space="0" w:color="auto"/>
            <w:left w:val="none" w:sz="0" w:space="0" w:color="auto"/>
            <w:bottom w:val="none" w:sz="0" w:space="0" w:color="auto"/>
            <w:right w:val="none" w:sz="0" w:space="0" w:color="auto"/>
          </w:divBdr>
        </w:div>
        <w:div w:id="1237470512">
          <w:marLeft w:val="0"/>
          <w:marRight w:val="0"/>
          <w:marTop w:val="0"/>
          <w:marBottom w:val="0"/>
          <w:divBdr>
            <w:top w:val="none" w:sz="0" w:space="0" w:color="auto"/>
            <w:left w:val="none" w:sz="0" w:space="0" w:color="auto"/>
            <w:bottom w:val="none" w:sz="0" w:space="0" w:color="auto"/>
            <w:right w:val="none" w:sz="0" w:space="0" w:color="auto"/>
          </w:divBdr>
        </w:div>
        <w:div w:id="1243222517">
          <w:marLeft w:val="0"/>
          <w:marRight w:val="0"/>
          <w:marTop w:val="0"/>
          <w:marBottom w:val="0"/>
          <w:divBdr>
            <w:top w:val="none" w:sz="0" w:space="0" w:color="auto"/>
            <w:left w:val="none" w:sz="0" w:space="0" w:color="auto"/>
            <w:bottom w:val="none" w:sz="0" w:space="0" w:color="auto"/>
            <w:right w:val="none" w:sz="0" w:space="0" w:color="auto"/>
          </w:divBdr>
        </w:div>
        <w:div w:id="1778984177">
          <w:marLeft w:val="0"/>
          <w:marRight w:val="0"/>
          <w:marTop w:val="0"/>
          <w:marBottom w:val="0"/>
          <w:divBdr>
            <w:top w:val="none" w:sz="0" w:space="0" w:color="auto"/>
            <w:left w:val="none" w:sz="0" w:space="0" w:color="auto"/>
            <w:bottom w:val="none" w:sz="0" w:space="0" w:color="auto"/>
            <w:right w:val="none" w:sz="0" w:space="0" w:color="auto"/>
          </w:divBdr>
        </w:div>
        <w:div w:id="1427455379">
          <w:marLeft w:val="0"/>
          <w:marRight w:val="0"/>
          <w:marTop w:val="0"/>
          <w:marBottom w:val="0"/>
          <w:divBdr>
            <w:top w:val="none" w:sz="0" w:space="0" w:color="auto"/>
            <w:left w:val="none" w:sz="0" w:space="0" w:color="auto"/>
            <w:bottom w:val="none" w:sz="0" w:space="0" w:color="auto"/>
            <w:right w:val="none" w:sz="0" w:space="0" w:color="auto"/>
          </w:divBdr>
        </w:div>
        <w:div w:id="1328287931">
          <w:marLeft w:val="0"/>
          <w:marRight w:val="0"/>
          <w:marTop w:val="0"/>
          <w:marBottom w:val="0"/>
          <w:divBdr>
            <w:top w:val="none" w:sz="0" w:space="0" w:color="auto"/>
            <w:left w:val="none" w:sz="0" w:space="0" w:color="auto"/>
            <w:bottom w:val="none" w:sz="0" w:space="0" w:color="auto"/>
            <w:right w:val="none" w:sz="0" w:space="0" w:color="auto"/>
          </w:divBdr>
        </w:div>
        <w:div w:id="1361079623">
          <w:marLeft w:val="0"/>
          <w:marRight w:val="0"/>
          <w:marTop w:val="0"/>
          <w:marBottom w:val="0"/>
          <w:divBdr>
            <w:top w:val="none" w:sz="0" w:space="0" w:color="auto"/>
            <w:left w:val="none" w:sz="0" w:space="0" w:color="auto"/>
            <w:bottom w:val="none" w:sz="0" w:space="0" w:color="auto"/>
            <w:right w:val="none" w:sz="0" w:space="0" w:color="auto"/>
          </w:divBdr>
        </w:div>
        <w:div w:id="1508398288">
          <w:marLeft w:val="0"/>
          <w:marRight w:val="0"/>
          <w:marTop w:val="0"/>
          <w:marBottom w:val="0"/>
          <w:divBdr>
            <w:top w:val="none" w:sz="0" w:space="0" w:color="auto"/>
            <w:left w:val="none" w:sz="0" w:space="0" w:color="auto"/>
            <w:bottom w:val="none" w:sz="0" w:space="0" w:color="auto"/>
            <w:right w:val="none" w:sz="0" w:space="0" w:color="auto"/>
          </w:divBdr>
        </w:div>
        <w:div w:id="1220630340">
          <w:marLeft w:val="0"/>
          <w:marRight w:val="0"/>
          <w:marTop w:val="0"/>
          <w:marBottom w:val="0"/>
          <w:divBdr>
            <w:top w:val="none" w:sz="0" w:space="0" w:color="auto"/>
            <w:left w:val="none" w:sz="0" w:space="0" w:color="auto"/>
            <w:bottom w:val="none" w:sz="0" w:space="0" w:color="auto"/>
            <w:right w:val="none" w:sz="0" w:space="0" w:color="auto"/>
          </w:divBdr>
        </w:div>
        <w:div w:id="1728647298">
          <w:marLeft w:val="0"/>
          <w:marRight w:val="0"/>
          <w:marTop w:val="0"/>
          <w:marBottom w:val="0"/>
          <w:divBdr>
            <w:top w:val="none" w:sz="0" w:space="0" w:color="auto"/>
            <w:left w:val="none" w:sz="0" w:space="0" w:color="auto"/>
            <w:bottom w:val="none" w:sz="0" w:space="0" w:color="auto"/>
            <w:right w:val="none" w:sz="0" w:space="0" w:color="auto"/>
          </w:divBdr>
        </w:div>
        <w:div w:id="1396200923">
          <w:marLeft w:val="0"/>
          <w:marRight w:val="0"/>
          <w:marTop w:val="0"/>
          <w:marBottom w:val="0"/>
          <w:divBdr>
            <w:top w:val="none" w:sz="0" w:space="0" w:color="auto"/>
            <w:left w:val="none" w:sz="0" w:space="0" w:color="auto"/>
            <w:bottom w:val="none" w:sz="0" w:space="0" w:color="auto"/>
            <w:right w:val="none" w:sz="0" w:space="0" w:color="auto"/>
          </w:divBdr>
        </w:div>
        <w:div w:id="1130637089">
          <w:marLeft w:val="0"/>
          <w:marRight w:val="0"/>
          <w:marTop w:val="0"/>
          <w:marBottom w:val="0"/>
          <w:divBdr>
            <w:top w:val="none" w:sz="0" w:space="0" w:color="auto"/>
            <w:left w:val="none" w:sz="0" w:space="0" w:color="auto"/>
            <w:bottom w:val="none" w:sz="0" w:space="0" w:color="auto"/>
            <w:right w:val="none" w:sz="0" w:space="0" w:color="auto"/>
          </w:divBdr>
        </w:div>
        <w:div w:id="1029185219">
          <w:marLeft w:val="0"/>
          <w:marRight w:val="0"/>
          <w:marTop w:val="0"/>
          <w:marBottom w:val="0"/>
          <w:divBdr>
            <w:top w:val="none" w:sz="0" w:space="0" w:color="auto"/>
            <w:left w:val="none" w:sz="0" w:space="0" w:color="auto"/>
            <w:bottom w:val="none" w:sz="0" w:space="0" w:color="auto"/>
            <w:right w:val="none" w:sz="0" w:space="0" w:color="auto"/>
          </w:divBdr>
        </w:div>
        <w:div w:id="593630763">
          <w:marLeft w:val="0"/>
          <w:marRight w:val="0"/>
          <w:marTop w:val="0"/>
          <w:marBottom w:val="0"/>
          <w:divBdr>
            <w:top w:val="none" w:sz="0" w:space="0" w:color="auto"/>
            <w:left w:val="none" w:sz="0" w:space="0" w:color="auto"/>
            <w:bottom w:val="none" w:sz="0" w:space="0" w:color="auto"/>
            <w:right w:val="none" w:sz="0" w:space="0" w:color="auto"/>
          </w:divBdr>
        </w:div>
        <w:div w:id="1843740165">
          <w:marLeft w:val="0"/>
          <w:marRight w:val="0"/>
          <w:marTop w:val="0"/>
          <w:marBottom w:val="0"/>
          <w:divBdr>
            <w:top w:val="none" w:sz="0" w:space="0" w:color="auto"/>
            <w:left w:val="none" w:sz="0" w:space="0" w:color="auto"/>
            <w:bottom w:val="none" w:sz="0" w:space="0" w:color="auto"/>
            <w:right w:val="none" w:sz="0" w:space="0" w:color="auto"/>
          </w:divBdr>
        </w:div>
        <w:div w:id="1361858333">
          <w:marLeft w:val="0"/>
          <w:marRight w:val="0"/>
          <w:marTop w:val="0"/>
          <w:marBottom w:val="0"/>
          <w:divBdr>
            <w:top w:val="none" w:sz="0" w:space="0" w:color="auto"/>
            <w:left w:val="none" w:sz="0" w:space="0" w:color="auto"/>
            <w:bottom w:val="none" w:sz="0" w:space="0" w:color="auto"/>
            <w:right w:val="none" w:sz="0" w:space="0" w:color="auto"/>
          </w:divBdr>
        </w:div>
        <w:div w:id="836533782">
          <w:marLeft w:val="0"/>
          <w:marRight w:val="0"/>
          <w:marTop w:val="0"/>
          <w:marBottom w:val="0"/>
          <w:divBdr>
            <w:top w:val="none" w:sz="0" w:space="0" w:color="auto"/>
            <w:left w:val="none" w:sz="0" w:space="0" w:color="auto"/>
            <w:bottom w:val="none" w:sz="0" w:space="0" w:color="auto"/>
            <w:right w:val="none" w:sz="0" w:space="0" w:color="auto"/>
          </w:divBdr>
        </w:div>
        <w:div w:id="1100297980">
          <w:marLeft w:val="0"/>
          <w:marRight w:val="0"/>
          <w:marTop w:val="0"/>
          <w:marBottom w:val="0"/>
          <w:divBdr>
            <w:top w:val="none" w:sz="0" w:space="0" w:color="auto"/>
            <w:left w:val="none" w:sz="0" w:space="0" w:color="auto"/>
            <w:bottom w:val="none" w:sz="0" w:space="0" w:color="auto"/>
            <w:right w:val="none" w:sz="0" w:space="0" w:color="auto"/>
          </w:divBdr>
        </w:div>
        <w:div w:id="1867673987">
          <w:marLeft w:val="0"/>
          <w:marRight w:val="0"/>
          <w:marTop w:val="0"/>
          <w:marBottom w:val="0"/>
          <w:divBdr>
            <w:top w:val="none" w:sz="0" w:space="0" w:color="auto"/>
            <w:left w:val="none" w:sz="0" w:space="0" w:color="auto"/>
            <w:bottom w:val="none" w:sz="0" w:space="0" w:color="auto"/>
            <w:right w:val="none" w:sz="0" w:space="0" w:color="auto"/>
          </w:divBdr>
        </w:div>
        <w:div w:id="1268393178">
          <w:marLeft w:val="0"/>
          <w:marRight w:val="0"/>
          <w:marTop w:val="0"/>
          <w:marBottom w:val="0"/>
          <w:divBdr>
            <w:top w:val="none" w:sz="0" w:space="0" w:color="auto"/>
            <w:left w:val="none" w:sz="0" w:space="0" w:color="auto"/>
            <w:bottom w:val="none" w:sz="0" w:space="0" w:color="auto"/>
            <w:right w:val="none" w:sz="0" w:space="0" w:color="auto"/>
          </w:divBdr>
        </w:div>
        <w:div w:id="1318076000">
          <w:marLeft w:val="0"/>
          <w:marRight w:val="0"/>
          <w:marTop w:val="0"/>
          <w:marBottom w:val="0"/>
          <w:divBdr>
            <w:top w:val="none" w:sz="0" w:space="0" w:color="auto"/>
            <w:left w:val="none" w:sz="0" w:space="0" w:color="auto"/>
            <w:bottom w:val="none" w:sz="0" w:space="0" w:color="auto"/>
            <w:right w:val="none" w:sz="0" w:space="0" w:color="auto"/>
          </w:divBdr>
        </w:div>
        <w:div w:id="1971862315">
          <w:marLeft w:val="0"/>
          <w:marRight w:val="0"/>
          <w:marTop w:val="0"/>
          <w:marBottom w:val="0"/>
          <w:divBdr>
            <w:top w:val="none" w:sz="0" w:space="0" w:color="auto"/>
            <w:left w:val="none" w:sz="0" w:space="0" w:color="auto"/>
            <w:bottom w:val="none" w:sz="0" w:space="0" w:color="auto"/>
            <w:right w:val="none" w:sz="0" w:space="0" w:color="auto"/>
          </w:divBdr>
        </w:div>
        <w:div w:id="2077508138">
          <w:marLeft w:val="0"/>
          <w:marRight w:val="0"/>
          <w:marTop w:val="0"/>
          <w:marBottom w:val="0"/>
          <w:divBdr>
            <w:top w:val="none" w:sz="0" w:space="0" w:color="auto"/>
            <w:left w:val="none" w:sz="0" w:space="0" w:color="auto"/>
            <w:bottom w:val="none" w:sz="0" w:space="0" w:color="auto"/>
            <w:right w:val="none" w:sz="0" w:space="0" w:color="auto"/>
          </w:divBdr>
        </w:div>
        <w:div w:id="1470398132">
          <w:marLeft w:val="0"/>
          <w:marRight w:val="0"/>
          <w:marTop w:val="0"/>
          <w:marBottom w:val="0"/>
          <w:divBdr>
            <w:top w:val="none" w:sz="0" w:space="0" w:color="auto"/>
            <w:left w:val="none" w:sz="0" w:space="0" w:color="auto"/>
            <w:bottom w:val="none" w:sz="0" w:space="0" w:color="auto"/>
            <w:right w:val="none" w:sz="0" w:space="0" w:color="auto"/>
          </w:divBdr>
        </w:div>
      </w:divsChild>
    </w:div>
    <w:div w:id="1659532331">
      <w:bodyDiv w:val="1"/>
      <w:marLeft w:val="0"/>
      <w:marRight w:val="0"/>
      <w:marTop w:val="0"/>
      <w:marBottom w:val="0"/>
      <w:divBdr>
        <w:top w:val="none" w:sz="0" w:space="0" w:color="auto"/>
        <w:left w:val="none" w:sz="0" w:space="0" w:color="auto"/>
        <w:bottom w:val="none" w:sz="0" w:space="0" w:color="auto"/>
        <w:right w:val="none" w:sz="0" w:space="0" w:color="auto"/>
      </w:divBdr>
      <w:divsChild>
        <w:div w:id="248856389">
          <w:marLeft w:val="0"/>
          <w:marRight w:val="0"/>
          <w:marTop w:val="0"/>
          <w:marBottom w:val="0"/>
          <w:divBdr>
            <w:top w:val="none" w:sz="0" w:space="0" w:color="auto"/>
            <w:left w:val="none" w:sz="0" w:space="0" w:color="auto"/>
            <w:bottom w:val="none" w:sz="0" w:space="0" w:color="auto"/>
            <w:right w:val="none" w:sz="0" w:space="0" w:color="auto"/>
          </w:divBdr>
        </w:div>
        <w:div w:id="1152791748">
          <w:marLeft w:val="0"/>
          <w:marRight w:val="0"/>
          <w:marTop w:val="0"/>
          <w:marBottom w:val="0"/>
          <w:divBdr>
            <w:top w:val="none" w:sz="0" w:space="0" w:color="auto"/>
            <w:left w:val="none" w:sz="0" w:space="0" w:color="auto"/>
            <w:bottom w:val="none" w:sz="0" w:space="0" w:color="auto"/>
            <w:right w:val="none" w:sz="0" w:space="0" w:color="auto"/>
          </w:divBdr>
        </w:div>
      </w:divsChild>
    </w:div>
    <w:div w:id="1664629364">
      <w:bodyDiv w:val="1"/>
      <w:marLeft w:val="0"/>
      <w:marRight w:val="0"/>
      <w:marTop w:val="0"/>
      <w:marBottom w:val="0"/>
      <w:divBdr>
        <w:top w:val="none" w:sz="0" w:space="0" w:color="auto"/>
        <w:left w:val="none" w:sz="0" w:space="0" w:color="auto"/>
        <w:bottom w:val="none" w:sz="0" w:space="0" w:color="auto"/>
        <w:right w:val="none" w:sz="0" w:space="0" w:color="auto"/>
      </w:divBdr>
      <w:divsChild>
        <w:div w:id="974480408">
          <w:marLeft w:val="0"/>
          <w:marRight w:val="0"/>
          <w:marTop w:val="0"/>
          <w:marBottom w:val="0"/>
          <w:divBdr>
            <w:top w:val="none" w:sz="0" w:space="0" w:color="auto"/>
            <w:left w:val="none" w:sz="0" w:space="0" w:color="auto"/>
            <w:bottom w:val="none" w:sz="0" w:space="0" w:color="auto"/>
            <w:right w:val="none" w:sz="0" w:space="0" w:color="auto"/>
          </w:divBdr>
        </w:div>
        <w:div w:id="324819216">
          <w:marLeft w:val="0"/>
          <w:marRight w:val="0"/>
          <w:marTop w:val="0"/>
          <w:marBottom w:val="0"/>
          <w:divBdr>
            <w:top w:val="none" w:sz="0" w:space="0" w:color="auto"/>
            <w:left w:val="none" w:sz="0" w:space="0" w:color="auto"/>
            <w:bottom w:val="none" w:sz="0" w:space="0" w:color="auto"/>
            <w:right w:val="none" w:sz="0" w:space="0" w:color="auto"/>
          </w:divBdr>
        </w:div>
      </w:divsChild>
    </w:div>
    <w:div w:id="1707219856">
      <w:bodyDiv w:val="1"/>
      <w:marLeft w:val="0"/>
      <w:marRight w:val="0"/>
      <w:marTop w:val="0"/>
      <w:marBottom w:val="0"/>
      <w:divBdr>
        <w:top w:val="none" w:sz="0" w:space="0" w:color="auto"/>
        <w:left w:val="none" w:sz="0" w:space="0" w:color="auto"/>
        <w:bottom w:val="none" w:sz="0" w:space="0" w:color="auto"/>
        <w:right w:val="none" w:sz="0" w:space="0" w:color="auto"/>
      </w:divBdr>
      <w:divsChild>
        <w:div w:id="46072223">
          <w:marLeft w:val="0"/>
          <w:marRight w:val="0"/>
          <w:marTop w:val="0"/>
          <w:marBottom w:val="0"/>
          <w:divBdr>
            <w:top w:val="none" w:sz="0" w:space="0" w:color="auto"/>
            <w:left w:val="none" w:sz="0" w:space="0" w:color="auto"/>
            <w:bottom w:val="none" w:sz="0" w:space="0" w:color="auto"/>
            <w:right w:val="none" w:sz="0" w:space="0" w:color="auto"/>
          </w:divBdr>
        </w:div>
        <w:div w:id="435757982">
          <w:marLeft w:val="0"/>
          <w:marRight w:val="0"/>
          <w:marTop w:val="0"/>
          <w:marBottom w:val="0"/>
          <w:divBdr>
            <w:top w:val="none" w:sz="0" w:space="0" w:color="auto"/>
            <w:left w:val="none" w:sz="0" w:space="0" w:color="auto"/>
            <w:bottom w:val="none" w:sz="0" w:space="0" w:color="auto"/>
            <w:right w:val="none" w:sz="0" w:space="0" w:color="auto"/>
          </w:divBdr>
        </w:div>
        <w:div w:id="716322032">
          <w:marLeft w:val="0"/>
          <w:marRight w:val="0"/>
          <w:marTop w:val="0"/>
          <w:marBottom w:val="0"/>
          <w:divBdr>
            <w:top w:val="none" w:sz="0" w:space="0" w:color="auto"/>
            <w:left w:val="none" w:sz="0" w:space="0" w:color="auto"/>
            <w:bottom w:val="none" w:sz="0" w:space="0" w:color="auto"/>
            <w:right w:val="none" w:sz="0" w:space="0" w:color="auto"/>
          </w:divBdr>
        </w:div>
        <w:div w:id="969244284">
          <w:marLeft w:val="0"/>
          <w:marRight w:val="0"/>
          <w:marTop w:val="0"/>
          <w:marBottom w:val="0"/>
          <w:divBdr>
            <w:top w:val="none" w:sz="0" w:space="0" w:color="auto"/>
            <w:left w:val="none" w:sz="0" w:space="0" w:color="auto"/>
            <w:bottom w:val="none" w:sz="0" w:space="0" w:color="auto"/>
            <w:right w:val="none" w:sz="0" w:space="0" w:color="auto"/>
          </w:divBdr>
        </w:div>
        <w:div w:id="2133404309">
          <w:marLeft w:val="0"/>
          <w:marRight w:val="0"/>
          <w:marTop w:val="0"/>
          <w:marBottom w:val="0"/>
          <w:divBdr>
            <w:top w:val="none" w:sz="0" w:space="0" w:color="auto"/>
            <w:left w:val="none" w:sz="0" w:space="0" w:color="auto"/>
            <w:bottom w:val="none" w:sz="0" w:space="0" w:color="auto"/>
            <w:right w:val="none" w:sz="0" w:space="0" w:color="auto"/>
          </w:divBdr>
        </w:div>
      </w:divsChild>
    </w:div>
    <w:div w:id="1713070942">
      <w:bodyDiv w:val="1"/>
      <w:marLeft w:val="0"/>
      <w:marRight w:val="0"/>
      <w:marTop w:val="0"/>
      <w:marBottom w:val="0"/>
      <w:divBdr>
        <w:top w:val="none" w:sz="0" w:space="0" w:color="auto"/>
        <w:left w:val="none" w:sz="0" w:space="0" w:color="auto"/>
        <w:bottom w:val="none" w:sz="0" w:space="0" w:color="auto"/>
        <w:right w:val="none" w:sz="0" w:space="0" w:color="auto"/>
      </w:divBdr>
      <w:divsChild>
        <w:div w:id="221446664">
          <w:marLeft w:val="0"/>
          <w:marRight w:val="0"/>
          <w:marTop w:val="0"/>
          <w:marBottom w:val="0"/>
          <w:divBdr>
            <w:top w:val="none" w:sz="0" w:space="0" w:color="auto"/>
            <w:left w:val="none" w:sz="0" w:space="0" w:color="auto"/>
            <w:bottom w:val="none" w:sz="0" w:space="0" w:color="auto"/>
            <w:right w:val="none" w:sz="0" w:space="0" w:color="auto"/>
          </w:divBdr>
        </w:div>
        <w:div w:id="2090228164">
          <w:marLeft w:val="0"/>
          <w:marRight w:val="0"/>
          <w:marTop w:val="0"/>
          <w:marBottom w:val="0"/>
          <w:divBdr>
            <w:top w:val="none" w:sz="0" w:space="0" w:color="auto"/>
            <w:left w:val="none" w:sz="0" w:space="0" w:color="auto"/>
            <w:bottom w:val="none" w:sz="0" w:space="0" w:color="auto"/>
            <w:right w:val="none" w:sz="0" w:space="0" w:color="auto"/>
          </w:divBdr>
        </w:div>
        <w:div w:id="1542472461">
          <w:marLeft w:val="0"/>
          <w:marRight w:val="0"/>
          <w:marTop w:val="0"/>
          <w:marBottom w:val="0"/>
          <w:divBdr>
            <w:top w:val="none" w:sz="0" w:space="0" w:color="auto"/>
            <w:left w:val="none" w:sz="0" w:space="0" w:color="auto"/>
            <w:bottom w:val="none" w:sz="0" w:space="0" w:color="auto"/>
            <w:right w:val="none" w:sz="0" w:space="0" w:color="auto"/>
          </w:divBdr>
        </w:div>
      </w:divsChild>
    </w:div>
    <w:div w:id="1718578924">
      <w:bodyDiv w:val="1"/>
      <w:marLeft w:val="0"/>
      <w:marRight w:val="0"/>
      <w:marTop w:val="0"/>
      <w:marBottom w:val="0"/>
      <w:divBdr>
        <w:top w:val="none" w:sz="0" w:space="0" w:color="auto"/>
        <w:left w:val="none" w:sz="0" w:space="0" w:color="auto"/>
        <w:bottom w:val="none" w:sz="0" w:space="0" w:color="auto"/>
        <w:right w:val="none" w:sz="0" w:space="0" w:color="auto"/>
      </w:divBdr>
    </w:div>
    <w:div w:id="1721052739">
      <w:bodyDiv w:val="1"/>
      <w:marLeft w:val="0"/>
      <w:marRight w:val="0"/>
      <w:marTop w:val="0"/>
      <w:marBottom w:val="0"/>
      <w:divBdr>
        <w:top w:val="none" w:sz="0" w:space="0" w:color="auto"/>
        <w:left w:val="none" w:sz="0" w:space="0" w:color="auto"/>
        <w:bottom w:val="none" w:sz="0" w:space="0" w:color="auto"/>
        <w:right w:val="none" w:sz="0" w:space="0" w:color="auto"/>
      </w:divBdr>
      <w:divsChild>
        <w:div w:id="933436137">
          <w:marLeft w:val="0"/>
          <w:marRight w:val="0"/>
          <w:marTop w:val="0"/>
          <w:marBottom w:val="0"/>
          <w:divBdr>
            <w:top w:val="none" w:sz="0" w:space="0" w:color="auto"/>
            <w:left w:val="none" w:sz="0" w:space="0" w:color="auto"/>
            <w:bottom w:val="none" w:sz="0" w:space="0" w:color="auto"/>
            <w:right w:val="none" w:sz="0" w:space="0" w:color="auto"/>
          </w:divBdr>
        </w:div>
        <w:div w:id="1519738490">
          <w:marLeft w:val="0"/>
          <w:marRight w:val="0"/>
          <w:marTop w:val="0"/>
          <w:marBottom w:val="0"/>
          <w:divBdr>
            <w:top w:val="none" w:sz="0" w:space="0" w:color="auto"/>
            <w:left w:val="none" w:sz="0" w:space="0" w:color="auto"/>
            <w:bottom w:val="none" w:sz="0" w:space="0" w:color="auto"/>
            <w:right w:val="none" w:sz="0" w:space="0" w:color="auto"/>
          </w:divBdr>
        </w:div>
        <w:div w:id="123887508">
          <w:marLeft w:val="0"/>
          <w:marRight w:val="0"/>
          <w:marTop w:val="0"/>
          <w:marBottom w:val="0"/>
          <w:divBdr>
            <w:top w:val="none" w:sz="0" w:space="0" w:color="auto"/>
            <w:left w:val="none" w:sz="0" w:space="0" w:color="auto"/>
            <w:bottom w:val="none" w:sz="0" w:space="0" w:color="auto"/>
            <w:right w:val="none" w:sz="0" w:space="0" w:color="auto"/>
          </w:divBdr>
        </w:div>
      </w:divsChild>
    </w:div>
    <w:div w:id="1731995004">
      <w:bodyDiv w:val="1"/>
      <w:marLeft w:val="0"/>
      <w:marRight w:val="0"/>
      <w:marTop w:val="0"/>
      <w:marBottom w:val="0"/>
      <w:divBdr>
        <w:top w:val="none" w:sz="0" w:space="0" w:color="auto"/>
        <w:left w:val="none" w:sz="0" w:space="0" w:color="auto"/>
        <w:bottom w:val="none" w:sz="0" w:space="0" w:color="auto"/>
        <w:right w:val="none" w:sz="0" w:space="0" w:color="auto"/>
      </w:divBdr>
      <w:divsChild>
        <w:div w:id="858810095">
          <w:marLeft w:val="0"/>
          <w:marRight w:val="0"/>
          <w:marTop w:val="0"/>
          <w:marBottom w:val="0"/>
          <w:divBdr>
            <w:top w:val="none" w:sz="0" w:space="0" w:color="auto"/>
            <w:left w:val="none" w:sz="0" w:space="0" w:color="auto"/>
            <w:bottom w:val="none" w:sz="0" w:space="0" w:color="auto"/>
            <w:right w:val="none" w:sz="0" w:space="0" w:color="auto"/>
          </w:divBdr>
        </w:div>
        <w:div w:id="122160021">
          <w:marLeft w:val="0"/>
          <w:marRight w:val="0"/>
          <w:marTop w:val="0"/>
          <w:marBottom w:val="0"/>
          <w:divBdr>
            <w:top w:val="none" w:sz="0" w:space="0" w:color="auto"/>
            <w:left w:val="none" w:sz="0" w:space="0" w:color="auto"/>
            <w:bottom w:val="none" w:sz="0" w:space="0" w:color="auto"/>
            <w:right w:val="none" w:sz="0" w:space="0" w:color="auto"/>
          </w:divBdr>
        </w:div>
        <w:div w:id="1768650680">
          <w:marLeft w:val="0"/>
          <w:marRight w:val="0"/>
          <w:marTop w:val="0"/>
          <w:marBottom w:val="0"/>
          <w:divBdr>
            <w:top w:val="none" w:sz="0" w:space="0" w:color="auto"/>
            <w:left w:val="none" w:sz="0" w:space="0" w:color="auto"/>
            <w:bottom w:val="none" w:sz="0" w:space="0" w:color="auto"/>
            <w:right w:val="none" w:sz="0" w:space="0" w:color="auto"/>
          </w:divBdr>
        </w:div>
        <w:div w:id="182478783">
          <w:marLeft w:val="0"/>
          <w:marRight w:val="0"/>
          <w:marTop w:val="0"/>
          <w:marBottom w:val="0"/>
          <w:divBdr>
            <w:top w:val="none" w:sz="0" w:space="0" w:color="auto"/>
            <w:left w:val="none" w:sz="0" w:space="0" w:color="auto"/>
            <w:bottom w:val="none" w:sz="0" w:space="0" w:color="auto"/>
            <w:right w:val="none" w:sz="0" w:space="0" w:color="auto"/>
          </w:divBdr>
        </w:div>
        <w:div w:id="1056246380">
          <w:marLeft w:val="0"/>
          <w:marRight w:val="0"/>
          <w:marTop w:val="0"/>
          <w:marBottom w:val="0"/>
          <w:divBdr>
            <w:top w:val="none" w:sz="0" w:space="0" w:color="auto"/>
            <w:left w:val="none" w:sz="0" w:space="0" w:color="auto"/>
            <w:bottom w:val="none" w:sz="0" w:space="0" w:color="auto"/>
            <w:right w:val="none" w:sz="0" w:space="0" w:color="auto"/>
          </w:divBdr>
        </w:div>
        <w:div w:id="1684359853">
          <w:marLeft w:val="0"/>
          <w:marRight w:val="0"/>
          <w:marTop w:val="0"/>
          <w:marBottom w:val="0"/>
          <w:divBdr>
            <w:top w:val="none" w:sz="0" w:space="0" w:color="auto"/>
            <w:left w:val="none" w:sz="0" w:space="0" w:color="auto"/>
            <w:bottom w:val="none" w:sz="0" w:space="0" w:color="auto"/>
            <w:right w:val="none" w:sz="0" w:space="0" w:color="auto"/>
          </w:divBdr>
        </w:div>
        <w:div w:id="1575161780">
          <w:marLeft w:val="0"/>
          <w:marRight w:val="0"/>
          <w:marTop w:val="0"/>
          <w:marBottom w:val="0"/>
          <w:divBdr>
            <w:top w:val="none" w:sz="0" w:space="0" w:color="auto"/>
            <w:left w:val="none" w:sz="0" w:space="0" w:color="auto"/>
            <w:bottom w:val="none" w:sz="0" w:space="0" w:color="auto"/>
            <w:right w:val="none" w:sz="0" w:space="0" w:color="auto"/>
          </w:divBdr>
        </w:div>
      </w:divsChild>
    </w:div>
    <w:div w:id="1733499562">
      <w:bodyDiv w:val="1"/>
      <w:marLeft w:val="0"/>
      <w:marRight w:val="0"/>
      <w:marTop w:val="0"/>
      <w:marBottom w:val="0"/>
      <w:divBdr>
        <w:top w:val="none" w:sz="0" w:space="0" w:color="auto"/>
        <w:left w:val="none" w:sz="0" w:space="0" w:color="auto"/>
        <w:bottom w:val="none" w:sz="0" w:space="0" w:color="auto"/>
        <w:right w:val="none" w:sz="0" w:space="0" w:color="auto"/>
      </w:divBdr>
      <w:divsChild>
        <w:div w:id="182523669">
          <w:marLeft w:val="0"/>
          <w:marRight w:val="0"/>
          <w:marTop w:val="0"/>
          <w:marBottom w:val="0"/>
          <w:divBdr>
            <w:top w:val="none" w:sz="0" w:space="0" w:color="auto"/>
            <w:left w:val="none" w:sz="0" w:space="0" w:color="auto"/>
            <w:bottom w:val="none" w:sz="0" w:space="0" w:color="auto"/>
            <w:right w:val="none" w:sz="0" w:space="0" w:color="auto"/>
          </w:divBdr>
        </w:div>
        <w:div w:id="42221026">
          <w:marLeft w:val="0"/>
          <w:marRight w:val="0"/>
          <w:marTop w:val="0"/>
          <w:marBottom w:val="0"/>
          <w:divBdr>
            <w:top w:val="none" w:sz="0" w:space="0" w:color="auto"/>
            <w:left w:val="none" w:sz="0" w:space="0" w:color="auto"/>
            <w:bottom w:val="none" w:sz="0" w:space="0" w:color="auto"/>
            <w:right w:val="none" w:sz="0" w:space="0" w:color="auto"/>
          </w:divBdr>
        </w:div>
        <w:div w:id="409158864">
          <w:marLeft w:val="0"/>
          <w:marRight w:val="0"/>
          <w:marTop w:val="0"/>
          <w:marBottom w:val="0"/>
          <w:divBdr>
            <w:top w:val="none" w:sz="0" w:space="0" w:color="auto"/>
            <w:left w:val="none" w:sz="0" w:space="0" w:color="auto"/>
            <w:bottom w:val="none" w:sz="0" w:space="0" w:color="auto"/>
            <w:right w:val="none" w:sz="0" w:space="0" w:color="auto"/>
          </w:divBdr>
        </w:div>
        <w:div w:id="2018727020">
          <w:marLeft w:val="0"/>
          <w:marRight w:val="0"/>
          <w:marTop w:val="0"/>
          <w:marBottom w:val="0"/>
          <w:divBdr>
            <w:top w:val="none" w:sz="0" w:space="0" w:color="auto"/>
            <w:left w:val="none" w:sz="0" w:space="0" w:color="auto"/>
            <w:bottom w:val="none" w:sz="0" w:space="0" w:color="auto"/>
            <w:right w:val="none" w:sz="0" w:space="0" w:color="auto"/>
          </w:divBdr>
        </w:div>
        <w:div w:id="1446387532">
          <w:marLeft w:val="0"/>
          <w:marRight w:val="0"/>
          <w:marTop w:val="0"/>
          <w:marBottom w:val="0"/>
          <w:divBdr>
            <w:top w:val="none" w:sz="0" w:space="0" w:color="auto"/>
            <w:left w:val="none" w:sz="0" w:space="0" w:color="auto"/>
            <w:bottom w:val="none" w:sz="0" w:space="0" w:color="auto"/>
            <w:right w:val="none" w:sz="0" w:space="0" w:color="auto"/>
          </w:divBdr>
        </w:div>
        <w:div w:id="760835752">
          <w:marLeft w:val="0"/>
          <w:marRight w:val="0"/>
          <w:marTop w:val="0"/>
          <w:marBottom w:val="0"/>
          <w:divBdr>
            <w:top w:val="none" w:sz="0" w:space="0" w:color="auto"/>
            <w:left w:val="none" w:sz="0" w:space="0" w:color="auto"/>
            <w:bottom w:val="none" w:sz="0" w:space="0" w:color="auto"/>
            <w:right w:val="none" w:sz="0" w:space="0" w:color="auto"/>
          </w:divBdr>
        </w:div>
        <w:div w:id="981420683">
          <w:marLeft w:val="0"/>
          <w:marRight w:val="0"/>
          <w:marTop w:val="0"/>
          <w:marBottom w:val="0"/>
          <w:divBdr>
            <w:top w:val="none" w:sz="0" w:space="0" w:color="auto"/>
            <w:left w:val="none" w:sz="0" w:space="0" w:color="auto"/>
            <w:bottom w:val="none" w:sz="0" w:space="0" w:color="auto"/>
            <w:right w:val="none" w:sz="0" w:space="0" w:color="auto"/>
          </w:divBdr>
        </w:div>
        <w:div w:id="1120999239">
          <w:marLeft w:val="0"/>
          <w:marRight w:val="0"/>
          <w:marTop w:val="0"/>
          <w:marBottom w:val="0"/>
          <w:divBdr>
            <w:top w:val="none" w:sz="0" w:space="0" w:color="auto"/>
            <w:left w:val="none" w:sz="0" w:space="0" w:color="auto"/>
            <w:bottom w:val="none" w:sz="0" w:space="0" w:color="auto"/>
            <w:right w:val="none" w:sz="0" w:space="0" w:color="auto"/>
          </w:divBdr>
        </w:div>
        <w:div w:id="300427918">
          <w:marLeft w:val="0"/>
          <w:marRight w:val="0"/>
          <w:marTop w:val="0"/>
          <w:marBottom w:val="0"/>
          <w:divBdr>
            <w:top w:val="none" w:sz="0" w:space="0" w:color="auto"/>
            <w:left w:val="none" w:sz="0" w:space="0" w:color="auto"/>
            <w:bottom w:val="none" w:sz="0" w:space="0" w:color="auto"/>
            <w:right w:val="none" w:sz="0" w:space="0" w:color="auto"/>
          </w:divBdr>
        </w:div>
        <w:div w:id="518541968">
          <w:marLeft w:val="0"/>
          <w:marRight w:val="0"/>
          <w:marTop w:val="0"/>
          <w:marBottom w:val="0"/>
          <w:divBdr>
            <w:top w:val="none" w:sz="0" w:space="0" w:color="auto"/>
            <w:left w:val="none" w:sz="0" w:space="0" w:color="auto"/>
            <w:bottom w:val="none" w:sz="0" w:space="0" w:color="auto"/>
            <w:right w:val="none" w:sz="0" w:space="0" w:color="auto"/>
          </w:divBdr>
        </w:div>
        <w:div w:id="3020586">
          <w:marLeft w:val="0"/>
          <w:marRight w:val="0"/>
          <w:marTop w:val="0"/>
          <w:marBottom w:val="0"/>
          <w:divBdr>
            <w:top w:val="none" w:sz="0" w:space="0" w:color="auto"/>
            <w:left w:val="none" w:sz="0" w:space="0" w:color="auto"/>
            <w:bottom w:val="none" w:sz="0" w:space="0" w:color="auto"/>
            <w:right w:val="none" w:sz="0" w:space="0" w:color="auto"/>
          </w:divBdr>
        </w:div>
        <w:div w:id="821001944">
          <w:marLeft w:val="0"/>
          <w:marRight w:val="0"/>
          <w:marTop w:val="0"/>
          <w:marBottom w:val="0"/>
          <w:divBdr>
            <w:top w:val="none" w:sz="0" w:space="0" w:color="auto"/>
            <w:left w:val="none" w:sz="0" w:space="0" w:color="auto"/>
            <w:bottom w:val="none" w:sz="0" w:space="0" w:color="auto"/>
            <w:right w:val="none" w:sz="0" w:space="0" w:color="auto"/>
          </w:divBdr>
        </w:div>
        <w:div w:id="1125544635">
          <w:marLeft w:val="0"/>
          <w:marRight w:val="0"/>
          <w:marTop w:val="0"/>
          <w:marBottom w:val="0"/>
          <w:divBdr>
            <w:top w:val="none" w:sz="0" w:space="0" w:color="auto"/>
            <w:left w:val="none" w:sz="0" w:space="0" w:color="auto"/>
            <w:bottom w:val="none" w:sz="0" w:space="0" w:color="auto"/>
            <w:right w:val="none" w:sz="0" w:space="0" w:color="auto"/>
          </w:divBdr>
        </w:div>
        <w:div w:id="608319852">
          <w:marLeft w:val="0"/>
          <w:marRight w:val="0"/>
          <w:marTop w:val="0"/>
          <w:marBottom w:val="0"/>
          <w:divBdr>
            <w:top w:val="none" w:sz="0" w:space="0" w:color="auto"/>
            <w:left w:val="none" w:sz="0" w:space="0" w:color="auto"/>
            <w:bottom w:val="none" w:sz="0" w:space="0" w:color="auto"/>
            <w:right w:val="none" w:sz="0" w:space="0" w:color="auto"/>
          </w:divBdr>
        </w:div>
        <w:div w:id="33578000">
          <w:marLeft w:val="0"/>
          <w:marRight w:val="0"/>
          <w:marTop w:val="0"/>
          <w:marBottom w:val="0"/>
          <w:divBdr>
            <w:top w:val="none" w:sz="0" w:space="0" w:color="auto"/>
            <w:left w:val="none" w:sz="0" w:space="0" w:color="auto"/>
            <w:bottom w:val="none" w:sz="0" w:space="0" w:color="auto"/>
            <w:right w:val="none" w:sz="0" w:space="0" w:color="auto"/>
          </w:divBdr>
        </w:div>
      </w:divsChild>
    </w:div>
    <w:div w:id="1735085930">
      <w:bodyDiv w:val="1"/>
      <w:marLeft w:val="0"/>
      <w:marRight w:val="0"/>
      <w:marTop w:val="0"/>
      <w:marBottom w:val="0"/>
      <w:divBdr>
        <w:top w:val="none" w:sz="0" w:space="0" w:color="auto"/>
        <w:left w:val="none" w:sz="0" w:space="0" w:color="auto"/>
        <w:bottom w:val="none" w:sz="0" w:space="0" w:color="auto"/>
        <w:right w:val="none" w:sz="0" w:space="0" w:color="auto"/>
      </w:divBdr>
      <w:divsChild>
        <w:div w:id="556164088">
          <w:marLeft w:val="0"/>
          <w:marRight w:val="0"/>
          <w:marTop w:val="0"/>
          <w:marBottom w:val="0"/>
          <w:divBdr>
            <w:top w:val="none" w:sz="0" w:space="0" w:color="auto"/>
            <w:left w:val="none" w:sz="0" w:space="0" w:color="auto"/>
            <w:bottom w:val="none" w:sz="0" w:space="0" w:color="auto"/>
            <w:right w:val="none" w:sz="0" w:space="0" w:color="auto"/>
          </w:divBdr>
        </w:div>
        <w:div w:id="1045061073">
          <w:marLeft w:val="0"/>
          <w:marRight w:val="0"/>
          <w:marTop w:val="0"/>
          <w:marBottom w:val="0"/>
          <w:divBdr>
            <w:top w:val="none" w:sz="0" w:space="0" w:color="auto"/>
            <w:left w:val="none" w:sz="0" w:space="0" w:color="auto"/>
            <w:bottom w:val="none" w:sz="0" w:space="0" w:color="auto"/>
            <w:right w:val="none" w:sz="0" w:space="0" w:color="auto"/>
          </w:divBdr>
        </w:div>
        <w:div w:id="1079672113">
          <w:marLeft w:val="0"/>
          <w:marRight w:val="0"/>
          <w:marTop w:val="0"/>
          <w:marBottom w:val="0"/>
          <w:divBdr>
            <w:top w:val="none" w:sz="0" w:space="0" w:color="auto"/>
            <w:left w:val="none" w:sz="0" w:space="0" w:color="auto"/>
            <w:bottom w:val="none" w:sz="0" w:space="0" w:color="auto"/>
            <w:right w:val="none" w:sz="0" w:space="0" w:color="auto"/>
          </w:divBdr>
        </w:div>
        <w:div w:id="1363748325">
          <w:marLeft w:val="0"/>
          <w:marRight w:val="0"/>
          <w:marTop w:val="0"/>
          <w:marBottom w:val="0"/>
          <w:divBdr>
            <w:top w:val="none" w:sz="0" w:space="0" w:color="auto"/>
            <w:left w:val="none" w:sz="0" w:space="0" w:color="auto"/>
            <w:bottom w:val="none" w:sz="0" w:space="0" w:color="auto"/>
            <w:right w:val="none" w:sz="0" w:space="0" w:color="auto"/>
          </w:divBdr>
        </w:div>
        <w:div w:id="1506290002">
          <w:marLeft w:val="0"/>
          <w:marRight w:val="0"/>
          <w:marTop w:val="0"/>
          <w:marBottom w:val="0"/>
          <w:divBdr>
            <w:top w:val="none" w:sz="0" w:space="0" w:color="auto"/>
            <w:left w:val="none" w:sz="0" w:space="0" w:color="auto"/>
            <w:bottom w:val="none" w:sz="0" w:space="0" w:color="auto"/>
            <w:right w:val="none" w:sz="0" w:space="0" w:color="auto"/>
          </w:divBdr>
        </w:div>
        <w:div w:id="1618681599">
          <w:marLeft w:val="0"/>
          <w:marRight w:val="0"/>
          <w:marTop w:val="0"/>
          <w:marBottom w:val="0"/>
          <w:divBdr>
            <w:top w:val="none" w:sz="0" w:space="0" w:color="auto"/>
            <w:left w:val="none" w:sz="0" w:space="0" w:color="auto"/>
            <w:bottom w:val="none" w:sz="0" w:space="0" w:color="auto"/>
            <w:right w:val="none" w:sz="0" w:space="0" w:color="auto"/>
          </w:divBdr>
        </w:div>
        <w:div w:id="1909537415">
          <w:marLeft w:val="0"/>
          <w:marRight w:val="0"/>
          <w:marTop w:val="0"/>
          <w:marBottom w:val="0"/>
          <w:divBdr>
            <w:top w:val="none" w:sz="0" w:space="0" w:color="auto"/>
            <w:left w:val="none" w:sz="0" w:space="0" w:color="auto"/>
            <w:bottom w:val="none" w:sz="0" w:space="0" w:color="auto"/>
            <w:right w:val="none" w:sz="0" w:space="0" w:color="auto"/>
          </w:divBdr>
        </w:div>
      </w:divsChild>
    </w:div>
    <w:div w:id="1738284245">
      <w:bodyDiv w:val="1"/>
      <w:marLeft w:val="0"/>
      <w:marRight w:val="0"/>
      <w:marTop w:val="0"/>
      <w:marBottom w:val="0"/>
      <w:divBdr>
        <w:top w:val="none" w:sz="0" w:space="0" w:color="auto"/>
        <w:left w:val="none" w:sz="0" w:space="0" w:color="auto"/>
        <w:bottom w:val="none" w:sz="0" w:space="0" w:color="auto"/>
        <w:right w:val="none" w:sz="0" w:space="0" w:color="auto"/>
      </w:divBdr>
      <w:divsChild>
        <w:div w:id="265701637">
          <w:marLeft w:val="0"/>
          <w:marRight w:val="0"/>
          <w:marTop w:val="0"/>
          <w:marBottom w:val="0"/>
          <w:divBdr>
            <w:top w:val="none" w:sz="0" w:space="0" w:color="auto"/>
            <w:left w:val="none" w:sz="0" w:space="0" w:color="auto"/>
            <w:bottom w:val="none" w:sz="0" w:space="0" w:color="auto"/>
            <w:right w:val="none" w:sz="0" w:space="0" w:color="auto"/>
          </w:divBdr>
        </w:div>
        <w:div w:id="1480533879">
          <w:marLeft w:val="0"/>
          <w:marRight w:val="0"/>
          <w:marTop w:val="0"/>
          <w:marBottom w:val="0"/>
          <w:divBdr>
            <w:top w:val="none" w:sz="0" w:space="0" w:color="auto"/>
            <w:left w:val="none" w:sz="0" w:space="0" w:color="auto"/>
            <w:bottom w:val="none" w:sz="0" w:space="0" w:color="auto"/>
            <w:right w:val="none" w:sz="0" w:space="0" w:color="auto"/>
          </w:divBdr>
        </w:div>
        <w:div w:id="252596668">
          <w:marLeft w:val="0"/>
          <w:marRight w:val="0"/>
          <w:marTop w:val="0"/>
          <w:marBottom w:val="0"/>
          <w:divBdr>
            <w:top w:val="none" w:sz="0" w:space="0" w:color="auto"/>
            <w:left w:val="none" w:sz="0" w:space="0" w:color="auto"/>
            <w:bottom w:val="none" w:sz="0" w:space="0" w:color="auto"/>
            <w:right w:val="none" w:sz="0" w:space="0" w:color="auto"/>
          </w:divBdr>
        </w:div>
        <w:div w:id="917908321">
          <w:marLeft w:val="0"/>
          <w:marRight w:val="0"/>
          <w:marTop w:val="0"/>
          <w:marBottom w:val="0"/>
          <w:divBdr>
            <w:top w:val="none" w:sz="0" w:space="0" w:color="auto"/>
            <w:left w:val="none" w:sz="0" w:space="0" w:color="auto"/>
            <w:bottom w:val="none" w:sz="0" w:space="0" w:color="auto"/>
            <w:right w:val="none" w:sz="0" w:space="0" w:color="auto"/>
          </w:divBdr>
        </w:div>
        <w:div w:id="1223250172">
          <w:marLeft w:val="0"/>
          <w:marRight w:val="0"/>
          <w:marTop w:val="0"/>
          <w:marBottom w:val="0"/>
          <w:divBdr>
            <w:top w:val="none" w:sz="0" w:space="0" w:color="auto"/>
            <w:left w:val="none" w:sz="0" w:space="0" w:color="auto"/>
            <w:bottom w:val="none" w:sz="0" w:space="0" w:color="auto"/>
            <w:right w:val="none" w:sz="0" w:space="0" w:color="auto"/>
          </w:divBdr>
        </w:div>
      </w:divsChild>
    </w:div>
    <w:div w:id="1749771524">
      <w:bodyDiv w:val="1"/>
      <w:marLeft w:val="0"/>
      <w:marRight w:val="0"/>
      <w:marTop w:val="0"/>
      <w:marBottom w:val="0"/>
      <w:divBdr>
        <w:top w:val="none" w:sz="0" w:space="0" w:color="auto"/>
        <w:left w:val="none" w:sz="0" w:space="0" w:color="auto"/>
        <w:bottom w:val="none" w:sz="0" w:space="0" w:color="auto"/>
        <w:right w:val="none" w:sz="0" w:space="0" w:color="auto"/>
      </w:divBdr>
      <w:divsChild>
        <w:div w:id="449056252">
          <w:marLeft w:val="0"/>
          <w:marRight w:val="0"/>
          <w:marTop w:val="0"/>
          <w:marBottom w:val="0"/>
          <w:divBdr>
            <w:top w:val="none" w:sz="0" w:space="0" w:color="auto"/>
            <w:left w:val="none" w:sz="0" w:space="0" w:color="auto"/>
            <w:bottom w:val="none" w:sz="0" w:space="0" w:color="auto"/>
            <w:right w:val="none" w:sz="0" w:space="0" w:color="auto"/>
          </w:divBdr>
        </w:div>
        <w:div w:id="192574258">
          <w:marLeft w:val="0"/>
          <w:marRight w:val="0"/>
          <w:marTop w:val="0"/>
          <w:marBottom w:val="0"/>
          <w:divBdr>
            <w:top w:val="none" w:sz="0" w:space="0" w:color="auto"/>
            <w:left w:val="none" w:sz="0" w:space="0" w:color="auto"/>
            <w:bottom w:val="none" w:sz="0" w:space="0" w:color="auto"/>
            <w:right w:val="none" w:sz="0" w:space="0" w:color="auto"/>
          </w:divBdr>
        </w:div>
        <w:div w:id="1932280536">
          <w:marLeft w:val="0"/>
          <w:marRight w:val="0"/>
          <w:marTop w:val="0"/>
          <w:marBottom w:val="0"/>
          <w:divBdr>
            <w:top w:val="none" w:sz="0" w:space="0" w:color="auto"/>
            <w:left w:val="none" w:sz="0" w:space="0" w:color="auto"/>
            <w:bottom w:val="none" w:sz="0" w:space="0" w:color="auto"/>
            <w:right w:val="none" w:sz="0" w:space="0" w:color="auto"/>
          </w:divBdr>
        </w:div>
      </w:divsChild>
    </w:div>
    <w:div w:id="1756776739">
      <w:bodyDiv w:val="1"/>
      <w:marLeft w:val="0"/>
      <w:marRight w:val="0"/>
      <w:marTop w:val="0"/>
      <w:marBottom w:val="0"/>
      <w:divBdr>
        <w:top w:val="none" w:sz="0" w:space="0" w:color="auto"/>
        <w:left w:val="none" w:sz="0" w:space="0" w:color="auto"/>
        <w:bottom w:val="none" w:sz="0" w:space="0" w:color="auto"/>
        <w:right w:val="none" w:sz="0" w:space="0" w:color="auto"/>
      </w:divBdr>
      <w:divsChild>
        <w:div w:id="351539404">
          <w:marLeft w:val="0"/>
          <w:marRight w:val="0"/>
          <w:marTop w:val="0"/>
          <w:marBottom w:val="0"/>
          <w:divBdr>
            <w:top w:val="none" w:sz="0" w:space="0" w:color="auto"/>
            <w:left w:val="none" w:sz="0" w:space="0" w:color="auto"/>
            <w:bottom w:val="none" w:sz="0" w:space="0" w:color="auto"/>
            <w:right w:val="none" w:sz="0" w:space="0" w:color="auto"/>
          </w:divBdr>
        </w:div>
        <w:div w:id="771556949">
          <w:marLeft w:val="0"/>
          <w:marRight w:val="0"/>
          <w:marTop w:val="0"/>
          <w:marBottom w:val="0"/>
          <w:divBdr>
            <w:top w:val="none" w:sz="0" w:space="0" w:color="auto"/>
            <w:left w:val="none" w:sz="0" w:space="0" w:color="auto"/>
            <w:bottom w:val="none" w:sz="0" w:space="0" w:color="auto"/>
            <w:right w:val="none" w:sz="0" w:space="0" w:color="auto"/>
          </w:divBdr>
        </w:div>
        <w:div w:id="1596789812">
          <w:marLeft w:val="0"/>
          <w:marRight w:val="0"/>
          <w:marTop w:val="0"/>
          <w:marBottom w:val="0"/>
          <w:divBdr>
            <w:top w:val="none" w:sz="0" w:space="0" w:color="auto"/>
            <w:left w:val="none" w:sz="0" w:space="0" w:color="auto"/>
            <w:bottom w:val="none" w:sz="0" w:space="0" w:color="auto"/>
            <w:right w:val="none" w:sz="0" w:space="0" w:color="auto"/>
          </w:divBdr>
        </w:div>
        <w:div w:id="1648048599">
          <w:marLeft w:val="0"/>
          <w:marRight w:val="0"/>
          <w:marTop w:val="0"/>
          <w:marBottom w:val="0"/>
          <w:divBdr>
            <w:top w:val="none" w:sz="0" w:space="0" w:color="auto"/>
            <w:left w:val="none" w:sz="0" w:space="0" w:color="auto"/>
            <w:bottom w:val="none" w:sz="0" w:space="0" w:color="auto"/>
            <w:right w:val="none" w:sz="0" w:space="0" w:color="auto"/>
          </w:divBdr>
        </w:div>
        <w:div w:id="2032995337">
          <w:marLeft w:val="0"/>
          <w:marRight w:val="0"/>
          <w:marTop w:val="0"/>
          <w:marBottom w:val="0"/>
          <w:divBdr>
            <w:top w:val="none" w:sz="0" w:space="0" w:color="auto"/>
            <w:left w:val="none" w:sz="0" w:space="0" w:color="auto"/>
            <w:bottom w:val="none" w:sz="0" w:space="0" w:color="auto"/>
            <w:right w:val="none" w:sz="0" w:space="0" w:color="auto"/>
          </w:divBdr>
        </w:div>
        <w:div w:id="2086994617">
          <w:marLeft w:val="0"/>
          <w:marRight w:val="0"/>
          <w:marTop w:val="0"/>
          <w:marBottom w:val="0"/>
          <w:divBdr>
            <w:top w:val="none" w:sz="0" w:space="0" w:color="auto"/>
            <w:left w:val="none" w:sz="0" w:space="0" w:color="auto"/>
            <w:bottom w:val="none" w:sz="0" w:space="0" w:color="auto"/>
            <w:right w:val="none" w:sz="0" w:space="0" w:color="auto"/>
          </w:divBdr>
        </w:div>
      </w:divsChild>
    </w:div>
    <w:div w:id="1769694800">
      <w:bodyDiv w:val="1"/>
      <w:marLeft w:val="0"/>
      <w:marRight w:val="0"/>
      <w:marTop w:val="0"/>
      <w:marBottom w:val="0"/>
      <w:divBdr>
        <w:top w:val="none" w:sz="0" w:space="0" w:color="auto"/>
        <w:left w:val="none" w:sz="0" w:space="0" w:color="auto"/>
        <w:bottom w:val="none" w:sz="0" w:space="0" w:color="auto"/>
        <w:right w:val="none" w:sz="0" w:space="0" w:color="auto"/>
      </w:divBdr>
      <w:divsChild>
        <w:div w:id="840313585">
          <w:marLeft w:val="0"/>
          <w:marRight w:val="0"/>
          <w:marTop w:val="0"/>
          <w:marBottom w:val="0"/>
          <w:divBdr>
            <w:top w:val="none" w:sz="0" w:space="0" w:color="auto"/>
            <w:left w:val="none" w:sz="0" w:space="0" w:color="auto"/>
            <w:bottom w:val="none" w:sz="0" w:space="0" w:color="auto"/>
            <w:right w:val="none" w:sz="0" w:space="0" w:color="auto"/>
          </w:divBdr>
        </w:div>
        <w:div w:id="2043482716">
          <w:marLeft w:val="0"/>
          <w:marRight w:val="0"/>
          <w:marTop w:val="0"/>
          <w:marBottom w:val="0"/>
          <w:divBdr>
            <w:top w:val="none" w:sz="0" w:space="0" w:color="auto"/>
            <w:left w:val="none" w:sz="0" w:space="0" w:color="auto"/>
            <w:bottom w:val="none" w:sz="0" w:space="0" w:color="auto"/>
            <w:right w:val="none" w:sz="0" w:space="0" w:color="auto"/>
          </w:divBdr>
        </w:div>
      </w:divsChild>
    </w:div>
    <w:div w:id="1773478583">
      <w:bodyDiv w:val="1"/>
      <w:marLeft w:val="0"/>
      <w:marRight w:val="0"/>
      <w:marTop w:val="0"/>
      <w:marBottom w:val="0"/>
      <w:divBdr>
        <w:top w:val="none" w:sz="0" w:space="0" w:color="auto"/>
        <w:left w:val="none" w:sz="0" w:space="0" w:color="auto"/>
        <w:bottom w:val="none" w:sz="0" w:space="0" w:color="auto"/>
        <w:right w:val="none" w:sz="0" w:space="0" w:color="auto"/>
      </w:divBdr>
      <w:divsChild>
        <w:div w:id="1503664196">
          <w:marLeft w:val="0"/>
          <w:marRight w:val="0"/>
          <w:marTop w:val="0"/>
          <w:marBottom w:val="0"/>
          <w:divBdr>
            <w:top w:val="none" w:sz="0" w:space="0" w:color="auto"/>
            <w:left w:val="none" w:sz="0" w:space="0" w:color="auto"/>
            <w:bottom w:val="none" w:sz="0" w:space="0" w:color="auto"/>
            <w:right w:val="none" w:sz="0" w:space="0" w:color="auto"/>
          </w:divBdr>
        </w:div>
        <w:div w:id="1782799306">
          <w:marLeft w:val="0"/>
          <w:marRight w:val="0"/>
          <w:marTop w:val="0"/>
          <w:marBottom w:val="0"/>
          <w:divBdr>
            <w:top w:val="none" w:sz="0" w:space="0" w:color="auto"/>
            <w:left w:val="none" w:sz="0" w:space="0" w:color="auto"/>
            <w:bottom w:val="none" w:sz="0" w:space="0" w:color="auto"/>
            <w:right w:val="none" w:sz="0" w:space="0" w:color="auto"/>
          </w:divBdr>
        </w:div>
      </w:divsChild>
    </w:div>
    <w:div w:id="1787308923">
      <w:bodyDiv w:val="1"/>
      <w:marLeft w:val="0"/>
      <w:marRight w:val="0"/>
      <w:marTop w:val="0"/>
      <w:marBottom w:val="0"/>
      <w:divBdr>
        <w:top w:val="none" w:sz="0" w:space="0" w:color="auto"/>
        <w:left w:val="none" w:sz="0" w:space="0" w:color="auto"/>
        <w:bottom w:val="none" w:sz="0" w:space="0" w:color="auto"/>
        <w:right w:val="none" w:sz="0" w:space="0" w:color="auto"/>
      </w:divBdr>
      <w:divsChild>
        <w:div w:id="1010066481">
          <w:marLeft w:val="0"/>
          <w:marRight w:val="0"/>
          <w:marTop w:val="0"/>
          <w:marBottom w:val="0"/>
          <w:divBdr>
            <w:top w:val="none" w:sz="0" w:space="0" w:color="auto"/>
            <w:left w:val="none" w:sz="0" w:space="0" w:color="auto"/>
            <w:bottom w:val="none" w:sz="0" w:space="0" w:color="auto"/>
            <w:right w:val="none" w:sz="0" w:space="0" w:color="auto"/>
          </w:divBdr>
        </w:div>
        <w:div w:id="1567449271">
          <w:marLeft w:val="0"/>
          <w:marRight w:val="0"/>
          <w:marTop w:val="0"/>
          <w:marBottom w:val="0"/>
          <w:divBdr>
            <w:top w:val="none" w:sz="0" w:space="0" w:color="auto"/>
            <w:left w:val="none" w:sz="0" w:space="0" w:color="auto"/>
            <w:bottom w:val="none" w:sz="0" w:space="0" w:color="auto"/>
            <w:right w:val="none" w:sz="0" w:space="0" w:color="auto"/>
          </w:divBdr>
        </w:div>
      </w:divsChild>
    </w:div>
    <w:div w:id="1805735431">
      <w:bodyDiv w:val="1"/>
      <w:marLeft w:val="0"/>
      <w:marRight w:val="0"/>
      <w:marTop w:val="0"/>
      <w:marBottom w:val="0"/>
      <w:divBdr>
        <w:top w:val="none" w:sz="0" w:space="0" w:color="auto"/>
        <w:left w:val="none" w:sz="0" w:space="0" w:color="auto"/>
        <w:bottom w:val="none" w:sz="0" w:space="0" w:color="auto"/>
        <w:right w:val="none" w:sz="0" w:space="0" w:color="auto"/>
      </w:divBdr>
      <w:divsChild>
        <w:div w:id="68583272">
          <w:marLeft w:val="0"/>
          <w:marRight w:val="0"/>
          <w:marTop w:val="0"/>
          <w:marBottom w:val="0"/>
          <w:divBdr>
            <w:top w:val="none" w:sz="0" w:space="0" w:color="auto"/>
            <w:left w:val="none" w:sz="0" w:space="0" w:color="auto"/>
            <w:bottom w:val="none" w:sz="0" w:space="0" w:color="auto"/>
            <w:right w:val="none" w:sz="0" w:space="0" w:color="auto"/>
          </w:divBdr>
        </w:div>
        <w:div w:id="82337237">
          <w:marLeft w:val="0"/>
          <w:marRight w:val="0"/>
          <w:marTop w:val="0"/>
          <w:marBottom w:val="0"/>
          <w:divBdr>
            <w:top w:val="none" w:sz="0" w:space="0" w:color="auto"/>
            <w:left w:val="none" w:sz="0" w:space="0" w:color="auto"/>
            <w:bottom w:val="none" w:sz="0" w:space="0" w:color="auto"/>
            <w:right w:val="none" w:sz="0" w:space="0" w:color="auto"/>
          </w:divBdr>
        </w:div>
        <w:div w:id="140314097">
          <w:marLeft w:val="0"/>
          <w:marRight w:val="0"/>
          <w:marTop w:val="0"/>
          <w:marBottom w:val="0"/>
          <w:divBdr>
            <w:top w:val="none" w:sz="0" w:space="0" w:color="auto"/>
            <w:left w:val="none" w:sz="0" w:space="0" w:color="auto"/>
            <w:bottom w:val="none" w:sz="0" w:space="0" w:color="auto"/>
            <w:right w:val="none" w:sz="0" w:space="0" w:color="auto"/>
          </w:divBdr>
        </w:div>
        <w:div w:id="152071657">
          <w:marLeft w:val="0"/>
          <w:marRight w:val="0"/>
          <w:marTop w:val="0"/>
          <w:marBottom w:val="0"/>
          <w:divBdr>
            <w:top w:val="none" w:sz="0" w:space="0" w:color="auto"/>
            <w:left w:val="none" w:sz="0" w:space="0" w:color="auto"/>
            <w:bottom w:val="none" w:sz="0" w:space="0" w:color="auto"/>
            <w:right w:val="none" w:sz="0" w:space="0" w:color="auto"/>
          </w:divBdr>
        </w:div>
        <w:div w:id="433523642">
          <w:marLeft w:val="0"/>
          <w:marRight w:val="0"/>
          <w:marTop w:val="0"/>
          <w:marBottom w:val="0"/>
          <w:divBdr>
            <w:top w:val="none" w:sz="0" w:space="0" w:color="auto"/>
            <w:left w:val="none" w:sz="0" w:space="0" w:color="auto"/>
            <w:bottom w:val="none" w:sz="0" w:space="0" w:color="auto"/>
            <w:right w:val="none" w:sz="0" w:space="0" w:color="auto"/>
          </w:divBdr>
        </w:div>
        <w:div w:id="688288871">
          <w:marLeft w:val="0"/>
          <w:marRight w:val="0"/>
          <w:marTop w:val="0"/>
          <w:marBottom w:val="0"/>
          <w:divBdr>
            <w:top w:val="none" w:sz="0" w:space="0" w:color="auto"/>
            <w:left w:val="none" w:sz="0" w:space="0" w:color="auto"/>
            <w:bottom w:val="none" w:sz="0" w:space="0" w:color="auto"/>
            <w:right w:val="none" w:sz="0" w:space="0" w:color="auto"/>
          </w:divBdr>
        </w:div>
        <w:div w:id="899290773">
          <w:marLeft w:val="0"/>
          <w:marRight w:val="0"/>
          <w:marTop w:val="0"/>
          <w:marBottom w:val="0"/>
          <w:divBdr>
            <w:top w:val="none" w:sz="0" w:space="0" w:color="auto"/>
            <w:left w:val="none" w:sz="0" w:space="0" w:color="auto"/>
            <w:bottom w:val="none" w:sz="0" w:space="0" w:color="auto"/>
            <w:right w:val="none" w:sz="0" w:space="0" w:color="auto"/>
          </w:divBdr>
        </w:div>
        <w:div w:id="1113935126">
          <w:marLeft w:val="0"/>
          <w:marRight w:val="0"/>
          <w:marTop w:val="0"/>
          <w:marBottom w:val="0"/>
          <w:divBdr>
            <w:top w:val="none" w:sz="0" w:space="0" w:color="auto"/>
            <w:left w:val="none" w:sz="0" w:space="0" w:color="auto"/>
            <w:bottom w:val="none" w:sz="0" w:space="0" w:color="auto"/>
            <w:right w:val="none" w:sz="0" w:space="0" w:color="auto"/>
          </w:divBdr>
        </w:div>
        <w:div w:id="1180124258">
          <w:marLeft w:val="0"/>
          <w:marRight w:val="0"/>
          <w:marTop w:val="0"/>
          <w:marBottom w:val="0"/>
          <w:divBdr>
            <w:top w:val="none" w:sz="0" w:space="0" w:color="auto"/>
            <w:left w:val="none" w:sz="0" w:space="0" w:color="auto"/>
            <w:bottom w:val="none" w:sz="0" w:space="0" w:color="auto"/>
            <w:right w:val="none" w:sz="0" w:space="0" w:color="auto"/>
          </w:divBdr>
        </w:div>
        <w:div w:id="1199316487">
          <w:marLeft w:val="0"/>
          <w:marRight w:val="0"/>
          <w:marTop w:val="0"/>
          <w:marBottom w:val="0"/>
          <w:divBdr>
            <w:top w:val="none" w:sz="0" w:space="0" w:color="auto"/>
            <w:left w:val="none" w:sz="0" w:space="0" w:color="auto"/>
            <w:bottom w:val="none" w:sz="0" w:space="0" w:color="auto"/>
            <w:right w:val="none" w:sz="0" w:space="0" w:color="auto"/>
          </w:divBdr>
        </w:div>
        <w:div w:id="1211765917">
          <w:marLeft w:val="0"/>
          <w:marRight w:val="0"/>
          <w:marTop w:val="0"/>
          <w:marBottom w:val="0"/>
          <w:divBdr>
            <w:top w:val="none" w:sz="0" w:space="0" w:color="auto"/>
            <w:left w:val="none" w:sz="0" w:space="0" w:color="auto"/>
            <w:bottom w:val="none" w:sz="0" w:space="0" w:color="auto"/>
            <w:right w:val="none" w:sz="0" w:space="0" w:color="auto"/>
          </w:divBdr>
        </w:div>
        <w:div w:id="1324115656">
          <w:marLeft w:val="0"/>
          <w:marRight w:val="0"/>
          <w:marTop w:val="0"/>
          <w:marBottom w:val="0"/>
          <w:divBdr>
            <w:top w:val="none" w:sz="0" w:space="0" w:color="auto"/>
            <w:left w:val="none" w:sz="0" w:space="0" w:color="auto"/>
            <w:bottom w:val="none" w:sz="0" w:space="0" w:color="auto"/>
            <w:right w:val="none" w:sz="0" w:space="0" w:color="auto"/>
          </w:divBdr>
        </w:div>
        <w:div w:id="1363357281">
          <w:marLeft w:val="0"/>
          <w:marRight w:val="0"/>
          <w:marTop w:val="0"/>
          <w:marBottom w:val="0"/>
          <w:divBdr>
            <w:top w:val="none" w:sz="0" w:space="0" w:color="auto"/>
            <w:left w:val="none" w:sz="0" w:space="0" w:color="auto"/>
            <w:bottom w:val="none" w:sz="0" w:space="0" w:color="auto"/>
            <w:right w:val="none" w:sz="0" w:space="0" w:color="auto"/>
          </w:divBdr>
        </w:div>
        <w:div w:id="1519615929">
          <w:marLeft w:val="0"/>
          <w:marRight w:val="0"/>
          <w:marTop w:val="0"/>
          <w:marBottom w:val="0"/>
          <w:divBdr>
            <w:top w:val="none" w:sz="0" w:space="0" w:color="auto"/>
            <w:left w:val="none" w:sz="0" w:space="0" w:color="auto"/>
            <w:bottom w:val="none" w:sz="0" w:space="0" w:color="auto"/>
            <w:right w:val="none" w:sz="0" w:space="0" w:color="auto"/>
          </w:divBdr>
        </w:div>
        <w:div w:id="1562401780">
          <w:marLeft w:val="0"/>
          <w:marRight w:val="0"/>
          <w:marTop w:val="0"/>
          <w:marBottom w:val="0"/>
          <w:divBdr>
            <w:top w:val="none" w:sz="0" w:space="0" w:color="auto"/>
            <w:left w:val="none" w:sz="0" w:space="0" w:color="auto"/>
            <w:bottom w:val="none" w:sz="0" w:space="0" w:color="auto"/>
            <w:right w:val="none" w:sz="0" w:space="0" w:color="auto"/>
          </w:divBdr>
        </w:div>
        <w:div w:id="1814565664">
          <w:marLeft w:val="0"/>
          <w:marRight w:val="0"/>
          <w:marTop w:val="0"/>
          <w:marBottom w:val="0"/>
          <w:divBdr>
            <w:top w:val="none" w:sz="0" w:space="0" w:color="auto"/>
            <w:left w:val="none" w:sz="0" w:space="0" w:color="auto"/>
            <w:bottom w:val="none" w:sz="0" w:space="0" w:color="auto"/>
            <w:right w:val="none" w:sz="0" w:space="0" w:color="auto"/>
          </w:divBdr>
        </w:div>
        <w:div w:id="2072384268">
          <w:marLeft w:val="0"/>
          <w:marRight w:val="0"/>
          <w:marTop w:val="0"/>
          <w:marBottom w:val="0"/>
          <w:divBdr>
            <w:top w:val="none" w:sz="0" w:space="0" w:color="auto"/>
            <w:left w:val="none" w:sz="0" w:space="0" w:color="auto"/>
            <w:bottom w:val="none" w:sz="0" w:space="0" w:color="auto"/>
            <w:right w:val="none" w:sz="0" w:space="0" w:color="auto"/>
          </w:divBdr>
        </w:div>
      </w:divsChild>
    </w:div>
    <w:div w:id="1806777971">
      <w:bodyDiv w:val="1"/>
      <w:marLeft w:val="0"/>
      <w:marRight w:val="0"/>
      <w:marTop w:val="0"/>
      <w:marBottom w:val="0"/>
      <w:divBdr>
        <w:top w:val="none" w:sz="0" w:space="0" w:color="auto"/>
        <w:left w:val="none" w:sz="0" w:space="0" w:color="auto"/>
        <w:bottom w:val="none" w:sz="0" w:space="0" w:color="auto"/>
        <w:right w:val="none" w:sz="0" w:space="0" w:color="auto"/>
      </w:divBdr>
      <w:divsChild>
        <w:div w:id="909658701">
          <w:marLeft w:val="0"/>
          <w:marRight w:val="0"/>
          <w:marTop w:val="0"/>
          <w:marBottom w:val="0"/>
          <w:divBdr>
            <w:top w:val="none" w:sz="0" w:space="0" w:color="auto"/>
            <w:left w:val="none" w:sz="0" w:space="0" w:color="auto"/>
            <w:bottom w:val="none" w:sz="0" w:space="0" w:color="auto"/>
            <w:right w:val="none" w:sz="0" w:space="0" w:color="auto"/>
          </w:divBdr>
        </w:div>
        <w:div w:id="75057997">
          <w:marLeft w:val="0"/>
          <w:marRight w:val="0"/>
          <w:marTop w:val="0"/>
          <w:marBottom w:val="0"/>
          <w:divBdr>
            <w:top w:val="none" w:sz="0" w:space="0" w:color="auto"/>
            <w:left w:val="none" w:sz="0" w:space="0" w:color="auto"/>
            <w:bottom w:val="none" w:sz="0" w:space="0" w:color="auto"/>
            <w:right w:val="none" w:sz="0" w:space="0" w:color="auto"/>
          </w:divBdr>
        </w:div>
        <w:div w:id="1761638457">
          <w:marLeft w:val="0"/>
          <w:marRight w:val="0"/>
          <w:marTop w:val="0"/>
          <w:marBottom w:val="0"/>
          <w:divBdr>
            <w:top w:val="none" w:sz="0" w:space="0" w:color="auto"/>
            <w:left w:val="none" w:sz="0" w:space="0" w:color="auto"/>
            <w:bottom w:val="none" w:sz="0" w:space="0" w:color="auto"/>
            <w:right w:val="none" w:sz="0" w:space="0" w:color="auto"/>
          </w:divBdr>
        </w:div>
        <w:div w:id="1385255948">
          <w:marLeft w:val="0"/>
          <w:marRight w:val="0"/>
          <w:marTop w:val="0"/>
          <w:marBottom w:val="0"/>
          <w:divBdr>
            <w:top w:val="none" w:sz="0" w:space="0" w:color="auto"/>
            <w:left w:val="none" w:sz="0" w:space="0" w:color="auto"/>
            <w:bottom w:val="none" w:sz="0" w:space="0" w:color="auto"/>
            <w:right w:val="none" w:sz="0" w:space="0" w:color="auto"/>
          </w:divBdr>
        </w:div>
      </w:divsChild>
    </w:div>
    <w:div w:id="1819223695">
      <w:bodyDiv w:val="1"/>
      <w:marLeft w:val="0"/>
      <w:marRight w:val="0"/>
      <w:marTop w:val="0"/>
      <w:marBottom w:val="0"/>
      <w:divBdr>
        <w:top w:val="none" w:sz="0" w:space="0" w:color="auto"/>
        <w:left w:val="none" w:sz="0" w:space="0" w:color="auto"/>
        <w:bottom w:val="none" w:sz="0" w:space="0" w:color="auto"/>
        <w:right w:val="none" w:sz="0" w:space="0" w:color="auto"/>
      </w:divBdr>
      <w:divsChild>
        <w:div w:id="7412404">
          <w:marLeft w:val="0"/>
          <w:marRight w:val="0"/>
          <w:marTop w:val="0"/>
          <w:marBottom w:val="0"/>
          <w:divBdr>
            <w:top w:val="none" w:sz="0" w:space="0" w:color="auto"/>
            <w:left w:val="none" w:sz="0" w:space="0" w:color="auto"/>
            <w:bottom w:val="none" w:sz="0" w:space="0" w:color="auto"/>
            <w:right w:val="none" w:sz="0" w:space="0" w:color="auto"/>
          </w:divBdr>
        </w:div>
        <w:div w:id="834494594">
          <w:marLeft w:val="0"/>
          <w:marRight w:val="0"/>
          <w:marTop w:val="0"/>
          <w:marBottom w:val="0"/>
          <w:divBdr>
            <w:top w:val="none" w:sz="0" w:space="0" w:color="auto"/>
            <w:left w:val="none" w:sz="0" w:space="0" w:color="auto"/>
            <w:bottom w:val="none" w:sz="0" w:space="0" w:color="auto"/>
            <w:right w:val="none" w:sz="0" w:space="0" w:color="auto"/>
          </w:divBdr>
        </w:div>
        <w:div w:id="1170410106">
          <w:marLeft w:val="0"/>
          <w:marRight w:val="0"/>
          <w:marTop w:val="0"/>
          <w:marBottom w:val="0"/>
          <w:divBdr>
            <w:top w:val="none" w:sz="0" w:space="0" w:color="auto"/>
            <w:left w:val="none" w:sz="0" w:space="0" w:color="auto"/>
            <w:bottom w:val="none" w:sz="0" w:space="0" w:color="auto"/>
            <w:right w:val="none" w:sz="0" w:space="0" w:color="auto"/>
          </w:divBdr>
        </w:div>
        <w:div w:id="1882672462">
          <w:marLeft w:val="0"/>
          <w:marRight w:val="0"/>
          <w:marTop w:val="0"/>
          <w:marBottom w:val="0"/>
          <w:divBdr>
            <w:top w:val="none" w:sz="0" w:space="0" w:color="auto"/>
            <w:left w:val="none" w:sz="0" w:space="0" w:color="auto"/>
            <w:bottom w:val="none" w:sz="0" w:space="0" w:color="auto"/>
            <w:right w:val="none" w:sz="0" w:space="0" w:color="auto"/>
          </w:divBdr>
        </w:div>
      </w:divsChild>
    </w:div>
    <w:div w:id="1829520473">
      <w:bodyDiv w:val="1"/>
      <w:marLeft w:val="0"/>
      <w:marRight w:val="0"/>
      <w:marTop w:val="0"/>
      <w:marBottom w:val="0"/>
      <w:divBdr>
        <w:top w:val="none" w:sz="0" w:space="0" w:color="auto"/>
        <w:left w:val="none" w:sz="0" w:space="0" w:color="auto"/>
        <w:bottom w:val="none" w:sz="0" w:space="0" w:color="auto"/>
        <w:right w:val="none" w:sz="0" w:space="0" w:color="auto"/>
      </w:divBdr>
      <w:divsChild>
        <w:div w:id="504369446">
          <w:marLeft w:val="0"/>
          <w:marRight w:val="0"/>
          <w:marTop w:val="0"/>
          <w:marBottom w:val="0"/>
          <w:divBdr>
            <w:top w:val="none" w:sz="0" w:space="0" w:color="auto"/>
            <w:left w:val="none" w:sz="0" w:space="0" w:color="auto"/>
            <w:bottom w:val="none" w:sz="0" w:space="0" w:color="auto"/>
            <w:right w:val="none" w:sz="0" w:space="0" w:color="auto"/>
          </w:divBdr>
        </w:div>
        <w:div w:id="1731928726">
          <w:marLeft w:val="0"/>
          <w:marRight w:val="0"/>
          <w:marTop w:val="0"/>
          <w:marBottom w:val="0"/>
          <w:divBdr>
            <w:top w:val="none" w:sz="0" w:space="0" w:color="auto"/>
            <w:left w:val="none" w:sz="0" w:space="0" w:color="auto"/>
            <w:bottom w:val="none" w:sz="0" w:space="0" w:color="auto"/>
            <w:right w:val="none" w:sz="0" w:space="0" w:color="auto"/>
          </w:divBdr>
        </w:div>
        <w:div w:id="1822841174">
          <w:marLeft w:val="0"/>
          <w:marRight w:val="0"/>
          <w:marTop w:val="0"/>
          <w:marBottom w:val="0"/>
          <w:divBdr>
            <w:top w:val="none" w:sz="0" w:space="0" w:color="auto"/>
            <w:left w:val="none" w:sz="0" w:space="0" w:color="auto"/>
            <w:bottom w:val="none" w:sz="0" w:space="0" w:color="auto"/>
            <w:right w:val="none" w:sz="0" w:space="0" w:color="auto"/>
          </w:divBdr>
        </w:div>
      </w:divsChild>
    </w:div>
    <w:div w:id="1840727652">
      <w:bodyDiv w:val="1"/>
      <w:marLeft w:val="0"/>
      <w:marRight w:val="0"/>
      <w:marTop w:val="0"/>
      <w:marBottom w:val="0"/>
      <w:divBdr>
        <w:top w:val="none" w:sz="0" w:space="0" w:color="auto"/>
        <w:left w:val="none" w:sz="0" w:space="0" w:color="auto"/>
        <w:bottom w:val="none" w:sz="0" w:space="0" w:color="auto"/>
        <w:right w:val="none" w:sz="0" w:space="0" w:color="auto"/>
      </w:divBdr>
      <w:divsChild>
        <w:div w:id="370885392">
          <w:marLeft w:val="0"/>
          <w:marRight w:val="0"/>
          <w:marTop w:val="0"/>
          <w:marBottom w:val="0"/>
          <w:divBdr>
            <w:top w:val="none" w:sz="0" w:space="0" w:color="auto"/>
            <w:left w:val="none" w:sz="0" w:space="0" w:color="auto"/>
            <w:bottom w:val="none" w:sz="0" w:space="0" w:color="auto"/>
            <w:right w:val="none" w:sz="0" w:space="0" w:color="auto"/>
          </w:divBdr>
        </w:div>
        <w:div w:id="534394385">
          <w:marLeft w:val="0"/>
          <w:marRight w:val="0"/>
          <w:marTop w:val="0"/>
          <w:marBottom w:val="0"/>
          <w:divBdr>
            <w:top w:val="none" w:sz="0" w:space="0" w:color="auto"/>
            <w:left w:val="none" w:sz="0" w:space="0" w:color="auto"/>
            <w:bottom w:val="none" w:sz="0" w:space="0" w:color="auto"/>
            <w:right w:val="none" w:sz="0" w:space="0" w:color="auto"/>
          </w:divBdr>
        </w:div>
        <w:div w:id="1025407215">
          <w:marLeft w:val="0"/>
          <w:marRight w:val="0"/>
          <w:marTop w:val="0"/>
          <w:marBottom w:val="0"/>
          <w:divBdr>
            <w:top w:val="none" w:sz="0" w:space="0" w:color="auto"/>
            <w:left w:val="none" w:sz="0" w:space="0" w:color="auto"/>
            <w:bottom w:val="none" w:sz="0" w:space="0" w:color="auto"/>
            <w:right w:val="none" w:sz="0" w:space="0" w:color="auto"/>
          </w:divBdr>
        </w:div>
        <w:div w:id="1415398287">
          <w:marLeft w:val="0"/>
          <w:marRight w:val="0"/>
          <w:marTop w:val="0"/>
          <w:marBottom w:val="0"/>
          <w:divBdr>
            <w:top w:val="none" w:sz="0" w:space="0" w:color="auto"/>
            <w:left w:val="none" w:sz="0" w:space="0" w:color="auto"/>
            <w:bottom w:val="none" w:sz="0" w:space="0" w:color="auto"/>
            <w:right w:val="none" w:sz="0" w:space="0" w:color="auto"/>
          </w:divBdr>
        </w:div>
      </w:divsChild>
    </w:div>
    <w:div w:id="1852596800">
      <w:bodyDiv w:val="1"/>
      <w:marLeft w:val="0"/>
      <w:marRight w:val="0"/>
      <w:marTop w:val="0"/>
      <w:marBottom w:val="0"/>
      <w:divBdr>
        <w:top w:val="none" w:sz="0" w:space="0" w:color="auto"/>
        <w:left w:val="none" w:sz="0" w:space="0" w:color="auto"/>
        <w:bottom w:val="none" w:sz="0" w:space="0" w:color="auto"/>
        <w:right w:val="none" w:sz="0" w:space="0" w:color="auto"/>
      </w:divBdr>
      <w:divsChild>
        <w:div w:id="2029062579">
          <w:marLeft w:val="0"/>
          <w:marRight w:val="0"/>
          <w:marTop w:val="0"/>
          <w:marBottom w:val="0"/>
          <w:divBdr>
            <w:top w:val="none" w:sz="0" w:space="0" w:color="auto"/>
            <w:left w:val="none" w:sz="0" w:space="0" w:color="auto"/>
            <w:bottom w:val="none" w:sz="0" w:space="0" w:color="auto"/>
            <w:right w:val="none" w:sz="0" w:space="0" w:color="auto"/>
          </w:divBdr>
        </w:div>
        <w:div w:id="753745237">
          <w:marLeft w:val="0"/>
          <w:marRight w:val="0"/>
          <w:marTop w:val="0"/>
          <w:marBottom w:val="0"/>
          <w:divBdr>
            <w:top w:val="none" w:sz="0" w:space="0" w:color="auto"/>
            <w:left w:val="none" w:sz="0" w:space="0" w:color="auto"/>
            <w:bottom w:val="none" w:sz="0" w:space="0" w:color="auto"/>
            <w:right w:val="none" w:sz="0" w:space="0" w:color="auto"/>
          </w:divBdr>
        </w:div>
      </w:divsChild>
    </w:div>
    <w:div w:id="1864631480">
      <w:bodyDiv w:val="1"/>
      <w:marLeft w:val="0"/>
      <w:marRight w:val="0"/>
      <w:marTop w:val="0"/>
      <w:marBottom w:val="0"/>
      <w:divBdr>
        <w:top w:val="none" w:sz="0" w:space="0" w:color="auto"/>
        <w:left w:val="none" w:sz="0" w:space="0" w:color="auto"/>
        <w:bottom w:val="none" w:sz="0" w:space="0" w:color="auto"/>
        <w:right w:val="none" w:sz="0" w:space="0" w:color="auto"/>
      </w:divBdr>
      <w:divsChild>
        <w:div w:id="42683344">
          <w:marLeft w:val="0"/>
          <w:marRight w:val="0"/>
          <w:marTop w:val="0"/>
          <w:marBottom w:val="0"/>
          <w:divBdr>
            <w:top w:val="none" w:sz="0" w:space="0" w:color="auto"/>
            <w:left w:val="none" w:sz="0" w:space="0" w:color="auto"/>
            <w:bottom w:val="none" w:sz="0" w:space="0" w:color="auto"/>
            <w:right w:val="none" w:sz="0" w:space="0" w:color="auto"/>
          </w:divBdr>
        </w:div>
        <w:div w:id="291255329">
          <w:marLeft w:val="0"/>
          <w:marRight w:val="0"/>
          <w:marTop w:val="0"/>
          <w:marBottom w:val="0"/>
          <w:divBdr>
            <w:top w:val="none" w:sz="0" w:space="0" w:color="auto"/>
            <w:left w:val="none" w:sz="0" w:space="0" w:color="auto"/>
            <w:bottom w:val="none" w:sz="0" w:space="0" w:color="auto"/>
            <w:right w:val="none" w:sz="0" w:space="0" w:color="auto"/>
          </w:divBdr>
        </w:div>
        <w:div w:id="902907162">
          <w:marLeft w:val="0"/>
          <w:marRight w:val="0"/>
          <w:marTop w:val="0"/>
          <w:marBottom w:val="0"/>
          <w:divBdr>
            <w:top w:val="none" w:sz="0" w:space="0" w:color="auto"/>
            <w:left w:val="none" w:sz="0" w:space="0" w:color="auto"/>
            <w:bottom w:val="none" w:sz="0" w:space="0" w:color="auto"/>
            <w:right w:val="none" w:sz="0" w:space="0" w:color="auto"/>
          </w:divBdr>
        </w:div>
      </w:divsChild>
    </w:div>
    <w:div w:id="1871411582">
      <w:bodyDiv w:val="1"/>
      <w:marLeft w:val="0"/>
      <w:marRight w:val="0"/>
      <w:marTop w:val="0"/>
      <w:marBottom w:val="0"/>
      <w:divBdr>
        <w:top w:val="none" w:sz="0" w:space="0" w:color="auto"/>
        <w:left w:val="none" w:sz="0" w:space="0" w:color="auto"/>
        <w:bottom w:val="none" w:sz="0" w:space="0" w:color="auto"/>
        <w:right w:val="none" w:sz="0" w:space="0" w:color="auto"/>
      </w:divBdr>
      <w:divsChild>
        <w:div w:id="117526315">
          <w:marLeft w:val="0"/>
          <w:marRight w:val="0"/>
          <w:marTop w:val="0"/>
          <w:marBottom w:val="0"/>
          <w:divBdr>
            <w:top w:val="none" w:sz="0" w:space="0" w:color="auto"/>
            <w:left w:val="none" w:sz="0" w:space="0" w:color="auto"/>
            <w:bottom w:val="none" w:sz="0" w:space="0" w:color="auto"/>
            <w:right w:val="none" w:sz="0" w:space="0" w:color="auto"/>
          </w:divBdr>
        </w:div>
        <w:div w:id="832798018">
          <w:marLeft w:val="0"/>
          <w:marRight w:val="0"/>
          <w:marTop w:val="0"/>
          <w:marBottom w:val="0"/>
          <w:divBdr>
            <w:top w:val="none" w:sz="0" w:space="0" w:color="auto"/>
            <w:left w:val="none" w:sz="0" w:space="0" w:color="auto"/>
            <w:bottom w:val="none" w:sz="0" w:space="0" w:color="auto"/>
            <w:right w:val="none" w:sz="0" w:space="0" w:color="auto"/>
          </w:divBdr>
        </w:div>
        <w:div w:id="1786921948">
          <w:marLeft w:val="0"/>
          <w:marRight w:val="0"/>
          <w:marTop w:val="0"/>
          <w:marBottom w:val="0"/>
          <w:divBdr>
            <w:top w:val="none" w:sz="0" w:space="0" w:color="auto"/>
            <w:left w:val="none" w:sz="0" w:space="0" w:color="auto"/>
            <w:bottom w:val="none" w:sz="0" w:space="0" w:color="auto"/>
            <w:right w:val="none" w:sz="0" w:space="0" w:color="auto"/>
          </w:divBdr>
        </w:div>
      </w:divsChild>
    </w:div>
    <w:div w:id="1880624587">
      <w:bodyDiv w:val="1"/>
      <w:marLeft w:val="0"/>
      <w:marRight w:val="0"/>
      <w:marTop w:val="0"/>
      <w:marBottom w:val="0"/>
      <w:divBdr>
        <w:top w:val="none" w:sz="0" w:space="0" w:color="auto"/>
        <w:left w:val="none" w:sz="0" w:space="0" w:color="auto"/>
        <w:bottom w:val="none" w:sz="0" w:space="0" w:color="auto"/>
        <w:right w:val="none" w:sz="0" w:space="0" w:color="auto"/>
      </w:divBdr>
      <w:divsChild>
        <w:div w:id="64688335">
          <w:marLeft w:val="0"/>
          <w:marRight w:val="0"/>
          <w:marTop w:val="0"/>
          <w:marBottom w:val="0"/>
          <w:divBdr>
            <w:top w:val="none" w:sz="0" w:space="0" w:color="auto"/>
            <w:left w:val="none" w:sz="0" w:space="0" w:color="auto"/>
            <w:bottom w:val="none" w:sz="0" w:space="0" w:color="auto"/>
            <w:right w:val="none" w:sz="0" w:space="0" w:color="auto"/>
          </w:divBdr>
        </w:div>
        <w:div w:id="1598364426">
          <w:marLeft w:val="0"/>
          <w:marRight w:val="0"/>
          <w:marTop w:val="0"/>
          <w:marBottom w:val="0"/>
          <w:divBdr>
            <w:top w:val="none" w:sz="0" w:space="0" w:color="auto"/>
            <w:left w:val="none" w:sz="0" w:space="0" w:color="auto"/>
            <w:bottom w:val="none" w:sz="0" w:space="0" w:color="auto"/>
            <w:right w:val="none" w:sz="0" w:space="0" w:color="auto"/>
          </w:divBdr>
        </w:div>
        <w:div w:id="1890998149">
          <w:marLeft w:val="0"/>
          <w:marRight w:val="0"/>
          <w:marTop w:val="0"/>
          <w:marBottom w:val="0"/>
          <w:divBdr>
            <w:top w:val="none" w:sz="0" w:space="0" w:color="auto"/>
            <w:left w:val="none" w:sz="0" w:space="0" w:color="auto"/>
            <w:bottom w:val="none" w:sz="0" w:space="0" w:color="auto"/>
            <w:right w:val="none" w:sz="0" w:space="0" w:color="auto"/>
          </w:divBdr>
        </w:div>
        <w:div w:id="936445733">
          <w:marLeft w:val="0"/>
          <w:marRight w:val="0"/>
          <w:marTop w:val="0"/>
          <w:marBottom w:val="0"/>
          <w:divBdr>
            <w:top w:val="none" w:sz="0" w:space="0" w:color="auto"/>
            <w:left w:val="none" w:sz="0" w:space="0" w:color="auto"/>
            <w:bottom w:val="none" w:sz="0" w:space="0" w:color="auto"/>
            <w:right w:val="none" w:sz="0" w:space="0" w:color="auto"/>
          </w:divBdr>
        </w:div>
        <w:div w:id="334768567">
          <w:marLeft w:val="0"/>
          <w:marRight w:val="0"/>
          <w:marTop w:val="0"/>
          <w:marBottom w:val="0"/>
          <w:divBdr>
            <w:top w:val="none" w:sz="0" w:space="0" w:color="auto"/>
            <w:left w:val="none" w:sz="0" w:space="0" w:color="auto"/>
            <w:bottom w:val="none" w:sz="0" w:space="0" w:color="auto"/>
            <w:right w:val="none" w:sz="0" w:space="0" w:color="auto"/>
          </w:divBdr>
        </w:div>
        <w:div w:id="1855267756">
          <w:marLeft w:val="0"/>
          <w:marRight w:val="0"/>
          <w:marTop w:val="0"/>
          <w:marBottom w:val="0"/>
          <w:divBdr>
            <w:top w:val="none" w:sz="0" w:space="0" w:color="auto"/>
            <w:left w:val="none" w:sz="0" w:space="0" w:color="auto"/>
            <w:bottom w:val="none" w:sz="0" w:space="0" w:color="auto"/>
            <w:right w:val="none" w:sz="0" w:space="0" w:color="auto"/>
          </w:divBdr>
        </w:div>
        <w:div w:id="349717621">
          <w:marLeft w:val="0"/>
          <w:marRight w:val="0"/>
          <w:marTop w:val="0"/>
          <w:marBottom w:val="0"/>
          <w:divBdr>
            <w:top w:val="none" w:sz="0" w:space="0" w:color="auto"/>
            <w:left w:val="none" w:sz="0" w:space="0" w:color="auto"/>
            <w:bottom w:val="none" w:sz="0" w:space="0" w:color="auto"/>
            <w:right w:val="none" w:sz="0" w:space="0" w:color="auto"/>
          </w:divBdr>
        </w:div>
        <w:div w:id="1704595326">
          <w:marLeft w:val="0"/>
          <w:marRight w:val="0"/>
          <w:marTop w:val="0"/>
          <w:marBottom w:val="0"/>
          <w:divBdr>
            <w:top w:val="none" w:sz="0" w:space="0" w:color="auto"/>
            <w:left w:val="none" w:sz="0" w:space="0" w:color="auto"/>
            <w:bottom w:val="none" w:sz="0" w:space="0" w:color="auto"/>
            <w:right w:val="none" w:sz="0" w:space="0" w:color="auto"/>
          </w:divBdr>
        </w:div>
        <w:div w:id="1584414508">
          <w:marLeft w:val="0"/>
          <w:marRight w:val="0"/>
          <w:marTop w:val="0"/>
          <w:marBottom w:val="0"/>
          <w:divBdr>
            <w:top w:val="none" w:sz="0" w:space="0" w:color="auto"/>
            <w:left w:val="none" w:sz="0" w:space="0" w:color="auto"/>
            <w:bottom w:val="none" w:sz="0" w:space="0" w:color="auto"/>
            <w:right w:val="none" w:sz="0" w:space="0" w:color="auto"/>
          </w:divBdr>
        </w:div>
        <w:div w:id="443038672">
          <w:marLeft w:val="0"/>
          <w:marRight w:val="0"/>
          <w:marTop w:val="0"/>
          <w:marBottom w:val="0"/>
          <w:divBdr>
            <w:top w:val="none" w:sz="0" w:space="0" w:color="auto"/>
            <w:left w:val="none" w:sz="0" w:space="0" w:color="auto"/>
            <w:bottom w:val="none" w:sz="0" w:space="0" w:color="auto"/>
            <w:right w:val="none" w:sz="0" w:space="0" w:color="auto"/>
          </w:divBdr>
        </w:div>
        <w:div w:id="1124811754">
          <w:marLeft w:val="0"/>
          <w:marRight w:val="0"/>
          <w:marTop w:val="0"/>
          <w:marBottom w:val="0"/>
          <w:divBdr>
            <w:top w:val="none" w:sz="0" w:space="0" w:color="auto"/>
            <w:left w:val="none" w:sz="0" w:space="0" w:color="auto"/>
            <w:bottom w:val="none" w:sz="0" w:space="0" w:color="auto"/>
            <w:right w:val="none" w:sz="0" w:space="0" w:color="auto"/>
          </w:divBdr>
        </w:div>
        <w:div w:id="1984659095">
          <w:marLeft w:val="0"/>
          <w:marRight w:val="0"/>
          <w:marTop w:val="0"/>
          <w:marBottom w:val="0"/>
          <w:divBdr>
            <w:top w:val="none" w:sz="0" w:space="0" w:color="auto"/>
            <w:left w:val="none" w:sz="0" w:space="0" w:color="auto"/>
            <w:bottom w:val="none" w:sz="0" w:space="0" w:color="auto"/>
            <w:right w:val="none" w:sz="0" w:space="0" w:color="auto"/>
          </w:divBdr>
        </w:div>
        <w:div w:id="458649046">
          <w:marLeft w:val="0"/>
          <w:marRight w:val="0"/>
          <w:marTop w:val="0"/>
          <w:marBottom w:val="0"/>
          <w:divBdr>
            <w:top w:val="none" w:sz="0" w:space="0" w:color="auto"/>
            <w:left w:val="none" w:sz="0" w:space="0" w:color="auto"/>
            <w:bottom w:val="none" w:sz="0" w:space="0" w:color="auto"/>
            <w:right w:val="none" w:sz="0" w:space="0" w:color="auto"/>
          </w:divBdr>
        </w:div>
        <w:div w:id="1440838146">
          <w:marLeft w:val="0"/>
          <w:marRight w:val="0"/>
          <w:marTop w:val="0"/>
          <w:marBottom w:val="0"/>
          <w:divBdr>
            <w:top w:val="none" w:sz="0" w:space="0" w:color="auto"/>
            <w:left w:val="none" w:sz="0" w:space="0" w:color="auto"/>
            <w:bottom w:val="none" w:sz="0" w:space="0" w:color="auto"/>
            <w:right w:val="none" w:sz="0" w:space="0" w:color="auto"/>
          </w:divBdr>
        </w:div>
      </w:divsChild>
    </w:div>
    <w:div w:id="1885169390">
      <w:bodyDiv w:val="1"/>
      <w:marLeft w:val="0"/>
      <w:marRight w:val="0"/>
      <w:marTop w:val="0"/>
      <w:marBottom w:val="0"/>
      <w:divBdr>
        <w:top w:val="none" w:sz="0" w:space="0" w:color="auto"/>
        <w:left w:val="none" w:sz="0" w:space="0" w:color="auto"/>
        <w:bottom w:val="none" w:sz="0" w:space="0" w:color="auto"/>
        <w:right w:val="none" w:sz="0" w:space="0" w:color="auto"/>
      </w:divBdr>
      <w:divsChild>
        <w:div w:id="53434335">
          <w:marLeft w:val="0"/>
          <w:marRight w:val="0"/>
          <w:marTop w:val="0"/>
          <w:marBottom w:val="0"/>
          <w:divBdr>
            <w:top w:val="none" w:sz="0" w:space="0" w:color="auto"/>
            <w:left w:val="none" w:sz="0" w:space="0" w:color="auto"/>
            <w:bottom w:val="none" w:sz="0" w:space="0" w:color="auto"/>
            <w:right w:val="none" w:sz="0" w:space="0" w:color="auto"/>
          </w:divBdr>
        </w:div>
        <w:div w:id="280066443">
          <w:marLeft w:val="0"/>
          <w:marRight w:val="0"/>
          <w:marTop w:val="0"/>
          <w:marBottom w:val="0"/>
          <w:divBdr>
            <w:top w:val="none" w:sz="0" w:space="0" w:color="auto"/>
            <w:left w:val="none" w:sz="0" w:space="0" w:color="auto"/>
            <w:bottom w:val="none" w:sz="0" w:space="0" w:color="auto"/>
            <w:right w:val="none" w:sz="0" w:space="0" w:color="auto"/>
          </w:divBdr>
        </w:div>
        <w:div w:id="418841605">
          <w:marLeft w:val="0"/>
          <w:marRight w:val="0"/>
          <w:marTop w:val="0"/>
          <w:marBottom w:val="0"/>
          <w:divBdr>
            <w:top w:val="none" w:sz="0" w:space="0" w:color="auto"/>
            <w:left w:val="none" w:sz="0" w:space="0" w:color="auto"/>
            <w:bottom w:val="none" w:sz="0" w:space="0" w:color="auto"/>
            <w:right w:val="none" w:sz="0" w:space="0" w:color="auto"/>
          </w:divBdr>
        </w:div>
        <w:div w:id="830482712">
          <w:marLeft w:val="0"/>
          <w:marRight w:val="0"/>
          <w:marTop w:val="0"/>
          <w:marBottom w:val="0"/>
          <w:divBdr>
            <w:top w:val="none" w:sz="0" w:space="0" w:color="auto"/>
            <w:left w:val="none" w:sz="0" w:space="0" w:color="auto"/>
            <w:bottom w:val="none" w:sz="0" w:space="0" w:color="auto"/>
            <w:right w:val="none" w:sz="0" w:space="0" w:color="auto"/>
          </w:divBdr>
        </w:div>
        <w:div w:id="858392936">
          <w:marLeft w:val="0"/>
          <w:marRight w:val="0"/>
          <w:marTop w:val="0"/>
          <w:marBottom w:val="0"/>
          <w:divBdr>
            <w:top w:val="none" w:sz="0" w:space="0" w:color="auto"/>
            <w:left w:val="none" w:sz="0" w:space="0" w:color="auto"/>
            <w:bottom w:val="none" w:sz="0" w:space="0" w:color="auto"/>
            <w:right w:val="none" w:sz="0" w:space="0" w:color="auto"/>
          </w:divBdr>
        </w:div>
      </w:divsChild>
    </w:div>
    <w:div w:id="1887988736">
      <w:bodyDiv w:val="1"/>
      <w:marLeft w:val="0"/>
      <w:marRight w:val="0"/>
      <w:marTop w:val="0"/>
      <w:marBottom w:val="0"/>
      <w:divBdr>
        <w:top w:val="none" w:sz="0" w:space="0" w:color="auto"/>
        <w:left w:val="none" w:sz="0" w:space="0" w:color="auto"/>
        <w:bottom w:val="none" w:sz="0" w:space="0" w:color="auto"/>
        <w:right w:val="none" w:sz="0" w:space="0" w:color="auto"/>
      </w:divBdr>
      <w:divsChild>
        <w:div w:id="135613128">
          <w:marLeft w:val="0"/>
          <w:marRight w:val="0"/>
          <w:marTop w:val="0"/>
          <w:marBottom w:val="0"/>
          <w:divBdr>
            <w:top w:val="none" w:sz="0" w:space="0" w:color="auto"/>
            <w:left w:val="none" w:sz="0" w:space="0" w:color="auto"/>
            <w:bottom w:val="none" w:sz="0" w:space="0" w:color="auto"/>
            <w:right w:val="none" w:sz="0" w:space="0" w:color="auto"/>
          </w:divBdr>
        </w:div>
        <w:div w:id="659039178">
          <w:marLeft w:val="0"/>
          <w:marRight w:val="0"/>
          <w:marTop w:val="0"/>
          <w:marBottom w:val="0"/>
          <w:divBdr>
            <w:top w:val="none" w:sz="0" w:space="0" w:color="auto"/>
            <w:left w:val="none" w:sz="0" w:space="0" w:color="auto"/>
            <w:bottom w:val="none" w:sz="0" w:space="0" w:color="auto"/>
            <w:right w:val="none" w:sz="0" w:space="0" w:color="auto"/>
          </w:divBdr>
        </w:div>
        <w:div w:id="1698844677">
          <w:marLeft w:val="0"/>
          <w:marRight w:val="0"/>
          <w:marTop w:val="0"/>
          <w:marBottom w:val="0"/>
          <w:divBdr>
            <w:top w:val="none" w:sz="0" w:space="0" w:color="auto"/>
            <w:left w:val="none" w:sz="0" w:space="0" w:color="auto"/>
            <w:bottom w:val="none" w:sz="0" w:space="0" w:color="auto"/>
            <w:right w:val="none" w:sz="0" w:space="0" w:color="auto"/>
          </w:divBdr>
        </w:div>
        <w:div w:id="1701278555">
          <w:marLeft w:val="0"/>
          <w:marRight w:val="0"/>
          <w:marTop w:val="0"/>
          <w:marBottom w:val="0"/>
          <w:divBdr>
            <w:top w:val="none" w:sz="0" w:space="0" w:color="auto"/>
            <w:left w:val="none" w:sz="0" w:space="0" w:color="auto"/>
            <w:bottom w:val="none" w:sz="0" w:space="0" w:color="auto"/>
            <w:right w:val="none" w:sz="0" w:space="0" w:color="auto"/>
          </w:divBdr>
        </w:div>
      </w:divsChild>
    </w:div>
    <w:div w:id="1893274365">
      <w:bodyDiv w:val="1"/>
      <w:marLeft w:val="0"/>
      <w:marRight w:val="0"/>
      <w:marTop w:val="0"/>
      <w:marBottom w:val="0"/>
      <w:divBdr>
        <w:top w:val="none" w:sz="0" w:space="0" w:color="auto"/>
        <w:left w:val="none" w:sz="0" w:space="0" w:color="auto"/>
        <w:bottom w:val="none" w:sz="0" w:space="0" w:color="auto"/>
        <w:right w:val="none" w:sz="0" w:space="0" w:color="auto"/>
      </w:divBdr>
      <w:divsChild>
        <w:div w:id="1466117569">
          <w:marLeft w:val="0"/>
          <w:marRight w:val="0"/>
          <w:marTop w:val="0"/>
          <w:marBottom w:val="0"/>
          <w:divBdr>
            <w:top w:val="none" w:sz="0" w:space="0" w:color="auto"/>
            <w:left w:val="none" w:sz="0" w:space="0" w:color="auto"/>
            <w:bottom w:val="none" w:sz="0" w:space="0" w:color="auto"/>
            <w:right w:val="none" w:sz="0" w:space="0" w:color="auto"/>
          </w:divBdr>
        </w:div>
        <w:div w:id="1575895056">
          <w:marLeft w:val="0"/>
          <w:marRight w:val="0"/>
          <w:marTop w:val="0"/>
          <w:marBottom w:val="0"/>
          <w:divBdr>
            <w:top w:val="none" w:sz="0" w:space="0" w:color="auto"/>
            <w:left w:val="none" w:sz="0" w:space="0" w:color="auto"/>
            <w:bottom w:val="none" w:sz="0" w:space="0" w:color="auto"/>
            <w:right w:val="none" w:sz="0" w:space="0" w:color="auto"/>
          </w:divBdr>
        </w:div>
        <w:div w:id="1267032228">
          <w:marLeft w:val="0"/>
          <w:marRight w:val="0"/>
          <w:marTop w:val="0"/>
          <w:marBottom w:val="0"/>
          <w:divBdr>
            <w:top w:val="none" w:sz="0" w:space="0" w:color="auto"/>
            <w:left w:val="none" w:sz="0" w:space="0" w:color="auto"/>
            <w:bottom w:val="none" w:sz="0" w:space="0" w:color="auto"/>
            <w:right w:val="none" w:sz="0" w:space="0" w:color="auto"/>
          </w:divBdr>
        </w:div>
        <w:div w:id="490297797">
          <w:marLeft w:val="0"/>
          <w:marRight w:val="0"/>
          <w:marTop w:val="0"/>
          <w:marBottom w:val="0"/>
          <w:divBdr>
            <w:top w:val="none" w:sz="0" w:space="0" w:color="auto"/>
            <w:left w:val="none" w:sz="0" w:space="0" w:color="auto"/>
            <w:bottom w:val="none" w:sz="0" w:space="0" w:color="auto"/>
            <w:right w:val="none" w:sz="0" w:space="0" w:color="auto"/>
          </w:divBdr>
        </w:div>
        <w:div w:id="137453161">
          <w:marLeft w:val="0"/>
          <w:marRight w:val="0"/>
          <w:marTop w:val="0"/>
          <w:marBottom w:val="0"/>
          <w:divBdr>
            <w:top w:val="none" w:sz="0" w:space="0" w:color="auto"/>
            <w:left w:val="none" w:sz="0" w:space="0" w:color="auto"/>
            <w:bottom w:val="none" w:sz="0" w:space="0" w:color="auto"/>
            <w:right w:val="none" w:sz="0" w:space="0" w:color="auto"/>
          </w:divBdr>
        </w:div>
        <w:div w:id="94524304">
          <w:marLeft w:val="0"/>
          <w:marRight w:val="0"/>
          <w:marTop w:val="0"/>
          <w:marBottom w:val="0"/>
          <w:divBdr>
            <w:top w:val="none" w:sz="0" w:space="0" w:color="auto"/>
            <w:left w:val="none" w:sz="0" w:space="0" w:color="auto"/>
            <w:bottom w:val="none" w:sz="0" w:space="0" w:color="auto"/>
            <w:right w:val="none" w:sz="0" w:space="0" w:color="auto"/>
          </w:divBdr>
        </w:div>
        <w:div w:id="1846938865">
          <w:marLeft w:val="0"/>
          <w:marRight w:val="0"/>
          <w:marTop w:val="0"/>
          <w:marBottom w:val="0"/>
          <w:divBdr>
            <w:top w:val="none" w:sz="0" w:space="0" w:color="auto"/>
            <w:left w:val="none" w:sz="0" w:space="0" w:color="auto"/>
            <w:bottom w:val="none" w:sz="0" w:space="0" w:color="auto"/>
            <w:right w:val="none" w:sz="0" w:space="0" w:color="auto"/>
          </w:divBdr>
        </w:div>
        <w:div w:id="257711854">
          <w:marLeft w:val="0"/>
          <w:marRight w:val="0"/>
          <w:marTop w:val="0"/>
          <w:marBottom w:val="0"/>
          <w:divBdr>
            <w:top w:val="none" w:sz="0" w:space="0" w:color="auto"/>
            <w:left w:val="none" w:sz="0" w:space="0" w:color="auto"/>
            <w:bottom w:val="none" w:sz="0" w:space="0" w:color="auto"/>
            <w:right w:val="none" w:sz="0" w:space="0" w:color="auto"/>
          </w:divBdr>
        </w:div>
        <w:div w:id="18626383">
          <w:marLeft w:val="0"/>
          <w:marRight w:val="0"/>
          <w:marTop w:val="0"/>
          <w:marBottom w:val="0"/>
          <w:divBdr>
            <w:top w:val="none" w:sz="0" w:space="0" w:color="auto"/>
            <w:left w:val="none" w:sz="0" w:space="0" w:color="auto"/>
            <w:bottom w:val="none" w:sz="0" w:space="0" w:color="auto"/>
            <w:right w:val="none" w:sz="0" w:space="0" w:color="auto"/>
          </w:divBdr>
        </w:div>
        <w:div w:id="1661037540">
          <w:marLeft w:val="0"/>
          <w:marRight w:val="0"/>
          <w:marTop w:val="0"/>
          <w:marBottom w:val="0"/>
          <w:divBdr>
            <w:top w:val="none" w:sz="0" w:space="0" w:color="auto"/>
            <w:left w:val="none" w:sz="0" w:space="0" w:color="auto"/>
            <w:bottom w:val="none" w:sz="0" w:space="0" w:color="auto"/>
            <w:right w:val="none" w:sz="0" w:space="0" w:color="auto"/>
          </w:divBdr>
        </w:div>
        <w:div w:id="747387946">
          <w:marLeft w:val="0"/>
          <w:marRight w:val="0"/>
          <w:marTop w:val="0"/>
          <w:marBottom w:val="0"/>
          <w:divBdr>
            <w:top w:val="none" w:sz="0" w:space="0" w:color="auto"/>
            <w:left w:val="none" w:sz="0" w:space="0" w:color="auto"/>
            <w:bottom w:val="none" w:sz="0" w:space="0" w:color="auto"/>
            <w:right w:val="none" w:sz="0" w:space="0" w:color="auto"/>
          </w:divBdr>
        </w:div>
        <w:div w:id="978263329">
          <w:marLeft w:val="0"/>
          <w:marRight w:val="0"/>
          <w:marTop w:val="0"/>
          <w:marBottom w:val="0"/>
          <w:divBdr>
            <w:top w:val="none" w:sz="0" w:space="0" w:color="auto"/>
            <w:left w:val="none" w:sz="0" w:space="0" w:color="auto"/>
            <w:bottom w:val="none" w:sz="0" w:space="0" w:color="auto"/>
            <w:right w:val="none" w:sz="0" w:space="0" w:color="auto"/>
          </w:divBdr>
        </w:div>
        <w:div w:id="213779163">
          <w:marLeft w:val="0"/>
          <w:marRight w:val="0"/>
          <w:marTop w:val="0"/>
          <w:marBottom w:val="0"/>
          <w:divBdr>
            <w:top w:val="none" w:sz="0" w:space="0" w:color="auto"/>
            <w:left w:val="none" w:sz="0" w:space="0" w:color="auto"/>
            <w:bottom w:val="none" w:sz="0" w:space="0" w:color="auto"/>
            <w:right w:val="none" w:sz="0" w:space="0" w:color="auto"/>
          </w:divBdr>
        </w:div>
        <w:div w:id="333536042">
          <w:marLeft w:val="0"/>
          <w:marRight w:val="0"/>
          <w:marTop w:val="0"/>
          <w:marBottom w:val="0"/>
          <w:divBdr>
            <w:top w:val="none" w:sz="0" w:space="0" w:color="auto"/>
            <w:left w:val="none" w:sz="0" w:space="0" w:color="auto"/>
            <w:bottom w:val="none" w:sz="0" w:space="0" w:color="auto"/>
            <w:right w:val="none" w:sz="0" w:space="0" w:color="auto"/>
          </w:divBdr>
        </w:div>
      </w:divsChild>
    </w:div>
    <w:div w:id="1897473233">
      <w:bodyDiv w:val="1"/>
      <w:marLeft w:val="0"/>
      <w:marRight w:val="0"/>
      <w:marTop w:val="0"/>
      <w:marBottom w:val="0"/>
      <w:divBdr>
        <w:top w:val="none" w:sz="0" w:space="0" w:color="auto"/>
        <w:left w:val="none" w:sz="0" w:space="0" w:color="auto"/>
        <w:bottom w:val="none" w:sz="0" w:space="0" w:color="auto"/>
        <w:right w:val="none" w:sz="0" w:space="0" w:color="auto"/>
      </w:divBdr>
    </w:div>
    <w:div w:id="1899975262">
      <w:bodyDiv w:val="1"/>
      <w:marLeft w:val="0"/>
      <w:marRight w:val="0"/>
      <w:marTop w:val="0"/>
      <w:marBottom w:val="0"/>
      <w:divBdr>
        <w:top w:val="none" w:sz="0" w:space="0" w:color="auto"/>
        <w:left w:val="none" w:sz="0" w:space="0" w:color="auto"/>
        <w:bottom w:val="none" w:sz="0" w:space="0" w:color="auto"/>
        <w:right w:val="none" w:sz="0" w:space="0" w:color="auto"/>
      </w:divBdr>
      <w:divsChild>
        <w:div w:id="14187573">
          <w:marLeft w:val="0"/>
          <w:marRight w:val="0"/>
          <w:marTop w:val="0"/>
          <w:marBottom w:val="0"/>
          <w:divBdr>
            <w:top w:val="none" w:sz="0" w:space="0" w:color="auto"/>
            <w:left w:val="none" w:sz="0" w:space="0" w:color="auto"/>
            <w:bottom w:val="none" w:sz="0" w:space="0" w:color="auto"/>
            <w:right w:val="none" w:sz="0" w:space="0" w:color="auto"/>
          </w:divBdr>
        </w:div>
        <w:div w:id="33700364">
          <w:marLeft w:val="0"/>
          <w:marRight w:val="0"/>
          <w:marTop w:val="0"/>
          <w:marBottom w:val="0"/>
          <w:divBdr>
            <w:top w:val="none" w:sz="0" w:space="0" w:color="auto"/>
            <w:left w:val="none" w:sz="0" w:space="0" w:color="auto"/>
            <w:bottom w:val="none" w:sz="0" w:space="0" w:color="auto"/>
            <w:right w:val="none" w:sz="0" w:space="0" w:color="auto"/>
          </w:divBdr>
        </w:div>
        <w:div w:id="94599287">
          <w:marLeft w:val="0"/>
          <w:marRight w:val="0"/>
          <w:marTop w:val="0"/>
          <w:marBottom w:val="0"/>
          <w:divBdr>
            <w:top w:val="none" w:sz="0" w:space="0" w:color="auto"/>
            <w:left w:val="none" w:sz="0" w:space="0" w:color="auto"/>
            <w:bottom w:val="none" w:sz="0" w:space="0" w:color="auto"/>
            <w:right w:val="none" w:sz="0" w:space="0" w:color="auto"/>
          </w:divBdr>
        </w:div>
        <w:div w:id="186918534">
          <w:marLeft w:val="0"/>
          <w:marRight w:val="0"/>
          <w:marTop w:val="0"/>
          <w:marBottom w:val="0"/>
          <w:divBdr>
            <w:top w:val="none" w:sz="0" w:space="0" w:color="auto"/>
            <w:left w:val="none" w:sz="0" w:space="0" w:color="auto"/>
            <w:bottom w:val="none" w:sz="0" w:space="0" w:color="auto"/>
            <w:right w:val="none" w:sz="0" w:space="0" w:color="auto"/>
          </w:divBdr>
        </w:div>
        <w:div w:id="226191611">
          <w:marLeft w:val="0"/>
          <w:marRight w:val="0"/>
          <w:marTop w:val="0"/>
          <w:marBottom w:val="0"/>
          <w:divBdr>
            <w:top w:val="none" w:sz="0" w:space="0" w:color="auto"/>
            <w:left w:val="none" w:sz="0" w:space="0" w:color="auto"/>
            <w:bottom w:val="none" w:sz="0" w:space="0" w:color="auto"/>
            <w:right w:val="none" w:sz="0" w:space="0" w:color="auto"/>
          </w:divBdr>
        </w:div>
        <w:div w:id="439877988">
          <w:marLeft w:val="0"/>
          <w:marRight w:val="0"/>
          <w:marTop w:val="0"/>
          <w:marBottom w:val="0"/>
          <w:divBdr>
            <w:top w:val="none" w:sz="0" w:space="0" w:color="auto"/>
            <w:left w:val="none" w:sz="0" w:space="0" w:color="auto"/>
            <w:bottom w:val="none" w:sz="0" w:space="0" w:color="auto"/>
            <w:right w:val="none" w:sz="0" w:space="0" w:color="auto"/>
          </w:divBdr>
        </w:div>
        <w:div w:id="445126010">
          <w:marLeft w:val="0"/>
          <w:marRight w:val="0"/>
          <w:marTop w:val="0"/>
          <w:marBottom w:val="0"/>
          <w:divBdr>
            <w:top w:val="none" w:sz="0" w:space="0" w:color="auto"/>
            <w:left w:val="none" w:sz="0" w:space="0" w:color="auto"/>
            <w:bottom w:val="none" w:sz="0" w:space="0" w:color="auto"/>
            <w:right w:val="none" w:sz="0" w:space="0" w:color="auto"/>
          </w:divBdr>
        </w:div>
        <w:div w:id="594901006">
          <w:marLeft w:val="0"/>
          <w:marRight w:val="0"/>
          <w:marTop w:val="0"/>
          <w:marBottom w:val="0"/>
          <w:divBdr>
            <w:top w:val="none" w:sz="0" w:space="0" w:color="auto"/>
            <w:left w:val="none" w:sz="0" w:space="0" w:color="auto"/>
            <w:bottom w:val="none" w:sz="0" w:space="0" w:color="auto"/>
            <w:right w:val="none" w:sz="0" w:space="0" w:color="auto"/>
          </w:divBdr>
        </w:div>
        <w:div w:id="872574927">
          <w:marLeft w:val="0"/>
          <w:marRight w:val="0"/>
          <w:marTop w:val="0"/>
          <w:marBottom w:val="0"/>
          <w:divBdr>
            <w:top w:val="none" w:sz="0" w:space="0" w:color="auto"/>
            <w:left w:val="none" w:sz="0" w:space="0" w:color="auto"/>
            <w:bottom w:val="none" w:sz="0" w:space="0" w:color="auto"/>
            <w:right w:val="none" w:sz="0" w:space="0" w:color="auto"/>
          </w:divBdr>
        </w:div>
        <w:div w:id="915748181">
          <w:marLeft w:val="0"/>
          <w:marRight w:val="0"/>
          <w:marTop w:val="0"/>
          <w:marBottom w:val="0"/>
          <w:divBdr>
            <w:top w:val="none" w:sz="0" w:space="0" w:color="auto"/>
            <w:left w:val="none" w:sz="0" w:space="0" w:color="auto"/>
            <w:bottom w:val="none" w:sz="0" w:space="0" w:color="auto"/>
            <w:right w:val="none" w:sz="0" w:space="0" w:color="auto"/>
          </w:divBdr>
        </w:div>
        <w:div w:id="1289434169">
          <w:marLeft w:val="0"/>
          <w:marRight w:val="0"/>
          <w:marTop w:val="0"/>
          <w:marBottom w:val="0"/>
          <w:divBdr>
            <w:top w:val="none" w:sz="0" w:space="0" w:color="auto"/>
            <w:left w:val="none" w:sz="0" w:space="0" w:color="auto"/>
            <w:bottom w:val="none" w:sz="0" w:space="0" w:color="auto"/>
            <w:right w:val="none" w:sz="0" w:space="0" w:color="auto"/>
          </w:divBdr>
        </w:div>
        <w:div w:id="1383552648">
          <w:marLeft w:val="0"/>
          <w:marRight w:val="0"/>
          <w:marTop w:val="0"/>
          <w:marBottom w:val="0"/>
          <w:divBdr>
            <w:top w:val="none" w:sz="0" w:space="0" w:color="auto"/>
            <w:left w:val="none" w:sz="0" w:space="0" w:color="auto"/>
            <w:bottom w:val="none" w:sz="0" w:space="0" w:color="auto"/>
            <w:right w:val="none" w:sz="0" w:space="0" w:color="auto"/>
          </w:divBdr>
        </w:div>
        <w:div w:id="1678120921">
          <w:marLeft w:val="0"/>
          <w:marRight w:val="0"/>
          <w:marTop w:val="0"/>
          <w:marBottom w:val="0"/>
          <w:divBdr>
            <w:top w:val="none" w:sz="0" w:space="0" w:color="auto"/>
            <w:left w:val="none" w:sz="0" w:space="0" w:color="auto"/>
            <w:bottom w:val="none" w:sz="0" w:space="0" w:color="auto"/>
            <w:right w:val="none" w:sz="0" w:space="0" w:color="auto"/>
          </w:divBdr>
        </w:div>
        <w:div w:id="1751196111">
          <w:marLeft w:val="0"/>
          <w:marRight w:val="0"/>
          <w:marTop w:val="0"/>
          <w:marBottom w:val="0"/>
          <w:divBdr>
            <w:top w:val="none" w:sz="0" w:space="0" w:color="auto"/>
            <w:left w:val="none" w:sz="0" w:space="0" w:color="auto"/>
            <w:bottom w:val="none" w:sz="0" w:space="0" w:color="auto"/>
            <w:right w:val="none" w:sz="0" w:space="0" w:color="auto"/>
          </w:divBdr>
        </w:div>
        <w:div w:id="1759594503">
          <w:marLeft w:val="0"/>
          <w:marRight w:val="0"/>
          <w:marTop w:val="0"/>
          <w:marBottom w:val="0"/>
          <w:divBdr>
            <w:top w:val="none" w:sz="0" w:space="0" w:color="auto"/>
            <w:left w:val="none" w:sz="0" w:space="0" w:color="auto"/>
            <w:bottom w:val="none" w:sz="0" w:space="0" w:color="auto"/>
            <w:right w:val="none" w:sz="0" w:space="0" w:color="auto"/>
          </w:divBdr>
        </w:div>
        <w:div w:id="1823230981">
          <w:marLeft w:val="0"/>
          <w:marRight w:val="0"/>
          <w:marTop w:val="0"/>
          <w:marBottom w:val="0"/>
          <w:divBdr>
            <w:top w:val="none" w:sz="0" w:space="0" w:color="auto"/>
            <w:left w:val="none" w:sz="0" w:space="0" w:color="auto"/>
            <w:bottom w:val="none" w:sz="0" w:space="0" w:color="auto"/>
            <w:right w:val="none" w:sz="0" w:space="0" w:color="auto"/>
          </w:divBdr>
        </w:div>
        <w:div w:id="2003776163">
          <w:marLeft w:val="0"/>
          <w:marRight w:val="0"/>
          <w:marTop w:val="0"/>
          <w:marBottom w:val="0"/>
          <w:divBdr>
            <w:top w:val="none" w:sz="0" w:space="0" w:color="auto"/>
            <w:left w:val="none" w:sz="0" w:space="0" w:color="auto"/>
            <w:bottom w:val="none" w:sz="0" w:space="0" w:color="auto"/>
            <w:right w:val="none" w:sz="0" w:space="0" w:color="auto"/>
          </w:divBdr>
        </w:div>
        <w:div w:id="2045859657">
          <w:marLeft w:val="0"/>
          <w:marRight w:val="0"/>
          <w:marTop w:val="0"/>
          <w:marBottom w:val="0"/>
          <w:divBdr>
            <w:top w:val="none" w:sz="0" w:space="0" w:color="auto"/>
            <w:left w:val="none" w:sz="0" w:space="0" w:color="auto"/>
            <w:bottom w:val="none" w:sz="0" w:space="0" w:color="auto"/>
            <w:right w:val="none" w:sz="0" w:space="0" w:color="auto"/>
          </w:divBdr>
        </w:div>
      </w:divsChild>
    </w:div>
    <w:div w:id="1917131511">
      <w:bodyDiv w:val="1"/>
      <w:marLeft w:val="0"/>
      <w:marRight w:val="0"/>
      <w:marTop w:val="0"/>
      <w:marBottom w:val="0"/>
      <w:divBdr>
        <w:top w:val="none" w:sz="0" w:space="0" w:color="auto"/>
        <w:left w:val="none" w:sz="0" w:space="0" w:color="auto"/>
        <w:bottom w:val="none" w:sz="0" w:space="0" w:color="auto"/>
        <w:right w:val="none" w:sz="0" w:space="0" w:color="auto"/>
      </w:divBdr>
      <w:divsChild>
        <w:div w:id="1509711480">
          <w:marLeft w:val="0"/>
          <w:marRight w:val="0"/>
          <w:marTop w:val="0"/>
          <w:marBottom w:val="0"/>
          <w:divBdr>
            <w:top w:val="none" w:sz="0" w:space="0" w:color="auto"/>
            <w:left w:val="none" w:sz="0" w:space="0" w:color="auto"/>
            <w:bottom w:val="none" w:sz="0" w:space="0" w:color="auto"/>
            <w:right w:val="none" w:sz="0" w:space="0" w:color="auto"/>
          </w:divBdr>
        </w:div>
        <w:div w:id="1284465230">
          <w:marLeft w:val="0"/>
          <w:marRight w:val="0"/>
          <w:marTop w:val="0"/>
          <w:marBottom w:val="0"/>
          <w:divBdr>
            <w:top w:val="none" w:sz="0" w:space="0" w:color="auto"/>
            <w:left w:val="none" w:sz="0" w:space="0" w:color="auto"/>
            <w:bottom w:val="none" w:sz="0" w:space="0" w:color="auto"/>
            <w:right w:val="none" w:sz="0" w:space="0" w:color="auto"/>
          </w:divBdr>
        </w:div>
        <w:div w:id="1877739997">
          <w:marLeft w:val="0"/>
          <w:marRight w:val="0"/>
          <w:marTop w:val="0"/>
          <w:marBottom w:val="0"/>
          <w:divBdr>
            <w:top w:val="none" w:sz="0" w:space="0" w:color="auto"/>
            <w:left w:val="none" w:sz="0" w:space="0" w:color="auto"/>
            <w:bottom w:val="none" w:sz="0" w:space="0" w:color="auto"/>
            <w:right w:val="none" w:sz="0" w:space="0" w:color="auto"/>
          </w:divBdr>
        </w:div>
      </w:divsChild>
    </w:div>
    <w:div w:id="1920823623">
      <w:bodyDiv w:val="1"/>
      <w:marLeft w:val="0"/>
      <w:marRight w:val="0"/>
      <w:marTop w:val="0"/>
      <w:marBottom w:val="0"/>
      <w:divBdr>
        <w:top w:val="none" w:sz="0" w:space="0" w:color="auto"/>
        <w:left w:val="none" w:sz="0" w:space="0" w:color="auto"/>
        <w:bottom w:val="none" w:sz="0" w:space="0" w:color="auto"/>
        <w:right w:val="none" w:sz="0" w:space="0" w:color="auto"/>
      </w:divBdr>
    </w:div>
    <w:div w:id="1927760265">
      <w:bodyDiv w:val="1"/>
      <w:marLeft w:val="0"/>
      <w:marRight w:val="0"/>
      <w:marTop w:val="0"/>
      <w:marBottom w:val="0"/>
      <w:divBdr>
        <w:top w:val="none" w:sz="0" w:space="0" w:color="auto"/>
        <w:left w:val="none" w:sz="0" w:space="0" w:color="auto"/>
        <w:bottom w:val="none" w:sz="0" w:space="0" w:color="auto"/>
        <w:right w:val="none" w:sz="0" w:space="0" w:color="auto"/>
      </w:divBdr>
      <w:divsChild>
        <w:div w:id="2017264816">
          <w:marLeft w:val="0"/>
          <w:marRight w:val="0"/>
          <w:marTop w:val="0"/>
          <w:marBottom w:val="0"/>
          <w:divBdr>
            <w:top w:val="none" w:sz="0" w:space="0" w:color="auto"/>
            <w:left w:val="none" w:sz="0" w:space="0" w:color="auto"/>
            <w:bottom w:val="none" w:sz="0" w:space="0" w:color="auto"/>
            <w:right w:val="none" w:sz="0" w:space="0" w:color="auto"/>
          </w:divBdr>
        </w:div>
        <w:div w:id="1434473634">
          <w:marLeft w:val="0"/>
          <w:marRight w:val="0"/>
          <w:marTop w:val="0"/>
          <w:marBottom w:val="0"/>
          <w:divBdr>
            <w:top w:val="none" w:sz="0" w:space="0" w:color="auto"/>
            <w:left w:val="none" w:sz="0" w:space="0" w:color="auto"/>
            <w:bottom w:val="none" w:sz="0" w:space="0" w:color="auto"/>
            <w:right w:val="none" w:sz="0" w:space="0" w:color="auto"/>
          </w:divBdr>
        </w:div>
      </w:divsChild>
    </w:div>
    <w:div w:id="1932271180">
      <w:bodyDiv w:val="1"/>
      <w:marLeft w:val="0"/>
      <w:marRight w:val="0"/>
      <w:marTop w:val="0"/>
      <w:marBottom w:val="0"/>
      <w:divBdr>
        <w:top w:val="none" w:sz="0" w:space="0" w:color="auto"/>
        <w:left w:val="none" w:sz="0" w:space="0" w:color="auto"/>
        <w:bottom w:val="none" w:sz="0" w:space="0" w:color="auto"/>
        <w:right w:val="none" w:sz="0" w:space="0" w:color="auto"/>
      </w:divBdr>
      <w:divsChild>
        <w:div w:id="1096829499">
          <w:marLeft w:val="0"/>
          <w:marRight w:val="0"/>
          <w:marTop w:val="0"/>
          <w:marBottom w:val="0"/>
          <w:divBdr>
            <w:top w:val="none" w:sz="0" w:space="0" w:color="auto"/>
            <w:left w:val="none" w:sz="0" w:space="0" w:color="auto"/>
            <w:bottom w:val="none" w:sz="0" w:space="0" w:color="auto"/>
            <w:right w:val="none" w:sz="0" w:space="0" w:color="auto"/>
          </w:divBdr>
        </w:div>
        <w:div w:id="1487672045">
          <w:marLeft w:val="0"/>
          <w:marRight w:val="0"/>
          <w:marTop w:val="0"/>
          <w:marBottom w:val="0"/>
          <w:divBdr>
            <w:top w:val="none" w:sz="0" w:space="0" w:color="auto"/>
            <w:left w:val="none" w:sz="0" w:space="0" w:color="auto"/>
            <w:bottom w:val="none" w:sz="0" w:space="0" w:color="auto"/>
            <w:right w:val="none" w:sz="0" w:space="0" w:color="auto"/>
          </w:divBdr>
        </w:div>
        <w:div w:id="538393028">
          <w:marLeft w:val="0"/>
          <w:marRight w:val="0"/>
          <w:marTop w:val="0"/>
          <w:marBottom w:val="0"/>
          <w:divBdr>
            <w:top w:val="none" w:sz="0" w:space="0" w:color="auto"/>
            <w:left w:val="none" w:sz="0" w:space="0" w:color="auto"/>
            <w:bottom w:val="none" w:sz="0" w:space="0" w:color="auto"/>
            <w:right w:val="none" w:sz="0" w:space="0" w:color="auto"/>
          </w:divBdr>
        </w:div>
        <w:div w:id="1043677917">
          <w:marLeft w:val="0"/>
          <w:marRight w:val="0"/>
          <w:marTop w:val="0"/>
          <w:marBottom w:val="0"/>
          <w:divBdr>
            <w:top w:val="none" w:sz="0" w:space="0" w:color="auto"/>
            <w:left w:val="none" w:sz="0" w:space="0" w:color="auto"/>
            <w:bottom w:val="none" w:sz="0" w:space="0" w:color="auto"/>
            <w:right w:val="none" w:sz="0" w:space="0" w:color="auto"/>
          </w:divBdr>
        </w:div>
        <w:div w:id="744187980">
          <w:marLeft w:val="0"/>
          <w:marRight w:val="0"/>
          <w:marTop w:val="0"/>
          <w:marBottom w:val="0"/>
          <w:divBdr>
            <w:top w:val="none" w:sz="0" w:space="0" w:color="auto"/>
            <w:left w:val="none" w:sz="0" w:space="0" w:color="auto"/>
            <w:bottom w:val="none" w:sz="0" w:space="0" w:color="auto"/>
            <w:right w:val="none" w:sz="0" w:space="0" w:color="auto"/>
          </w:divBdr>
        </w:div>
        <w:div w:id="1274555798">
          <w:marLeft w:val="0"/>
          <w:marRight w:val="0"/>
          <w:marTop w:val="0"/>
          <w:marBottom w:val="0"/>
          <w:divBdr>
            <w:top w:val="none" w:sz="0" w:space="0" w:color="auto"/>
            <w:left w:val="none" w:sz="0" w:space="0" w:color="auto"/>
            <w:bottom w:val="none" w:sz="0" w:space="0" w:color="auto"/>
            <w:right w:val="none" w:sz="0" w:space="0" w:color="auto"/>
          </w:divBdr>
        </w:div>
      </w:divsChild>
    </w:div>
    <w:div w:id="1940674984">
      <w:bodyDiv w:val="1"/>
      <w:marLeft w:val="0"/>
      <w:marRight w:val="0"/>
      <w:marTop w:val="0"/>
      <w:marBottom w:val="0"/>
      <w:divBdr>
        <w:top w:val="none" w:sz="0" w:space="0" w:color="auto"/>
        <w:left w:val="none" w:sz="0" w:space="0" w:color="auto"/>
        <w:bottom w:val="none" w:sz="0" w:space="0" w:color="auto"/>
        <w:right w:val="none" w:sz="0" w:space="0" w:color="auto"/>
      </w:divBdr>
      <w:divsChild>
        <w:div w:id="2084906639">
          <w:marLeft w:val="0"/>
          <w:marRight w:val="0"/>
          <w:marTop w:val="0"/>
          <w:marBottom w:val="0"/>
          <w:divBdr>
            <w:top w:val="none" w:sz="0" w:space="0" w:color="auto"/>
            <w:left w:val="none" w:sz="0" w:space="0" w:color="auto"/>
            <w:bottom w:val="none" w:sz="0" w:space="0" w:color="auto"/>
            <w:right w:val="none" w:sz="0" w:space="0" w:color="auto"/>
          </w:divBdr>
        </w:div>
        <w:div w:id="1403867577">
          <w:marLeft w:val="0"/>
          <w:marRight w:val="0"/>
          <w:marTop w:val="0"/>
          <w:marBottom w:val="0"/>
          <w:divBdr>
            <w:top w:val="none" w:sz="0" w:space="0" w:color="auto"/>
            <w:left w:val="none" w:sz="0" w:space="0" w:color="auto"/>
            <w:bottom w:val="none" w:sz="0" w:space="0" w:color="auto"/>
            <w:right w:val="none" w:sz="0" w:space="0" w:color="auto"/>
          </w:divBdr>
        </w:div>
        <w:div w:id="1331712436">
          <w:marLeft w:val="0"/>
          <w:marRight w:val="0"/>
          <w:marTop w:val="0"/>
          <w:marBottom w:val="0"/>
          <w:divBdr>
            <w:top w:val="none" w:sz="0" w:space="0" w:color="auto"/>
            <w:left w:val="none" w:sz="0" w:space="0" w:color="auto"/>
            <w:bottom w:val="none" w:sz="0" w:space="0" w:color="auto"/>
            <w:right w:val="none" w:sz="0" w:space="0" w:color="auto"/>
          </w:divBdr>
        </w:div>
      </w:divsChild>
    </w:div>
    <w:div w:id="1948197905">
      <w:bodyDiv w:val="1"/>
      <w:marLeft w:val="0"/>
      <w:marRight w:val="0"/>
      <w:marTop w:val="0"/>
      <w:marBottom w:val="0"/>
      <w:divBdr>
        <w:top w:val="none" w:sz="0" w:space="0" w:color="auto"/>
        <w:left w:val="none" w:sz="0" w:space="0" w:color="auto"/>
        <w:bottom w:val="none" w:sz="0" w:space="0" w:color="auto"/>
        <w:right w:val="none" w:sz="0" w:space="0" w:color="auto"/>
      </w:divBdr>
      <w:divsChild>
        <w:div w:id="341858820">
          <w:marLeft w:val="0"/>
          <w:marRight w:val="0"/>
          <w:marTop w:val="0"/>
          <w:marBottom w:val="0"/>
          <w:divBdr>
            <w:top w:val="none" w:sz="0" w:space="0" w:color="auto"/>
            <w:left w:val="none" w:sz="0" w:space="0" w:color="auto"/>
            <w:bottom w:val="none" w:sz="0" w:space="0" w:color="auto"/>
            <w:right w:val="none" w:sz="0" w:space="0" w:color="auto"/>
          </w:divBdr>
        </w:div>
        <w:div w:id="431097130">
          <w:marLeft w:val="0"/>
          <w:marRight w:val="0"/>
          <w:marTop w:val="0"/>
          <w:marBottom w:val="0"/>
          <w:divBdr>
            <w:top w:val="none" w:sz="0" w:space="0" w:color="auto"/>
            <w:left w:val="none" w:sz="0" w:space="0" w:color="auto"/>
            <w:bottom w:val="none" w:sz="0" w:space="0" w:color="auto"/>
            <w:right w:val="none" w:sz="0" w:space="0" w:color="auto"/>
          </w:divBdr>
        </w:div>
      </w:divsChild>
    </w:div>
    <w:div w:id="1960406068">
      <w:bodyDiv w:val="1"/>
      <w:marLeft w:val="0"/>
      <w:marRight w:val="0"/>
      <w:marTop w:val="0"/>
      <w:marBottom w:val="0"/>
      <w:divBdr>
        <w:top w:val="none" w:sz="0" w:space="0" w:color="auto"/>
        <w:left w:val="none" w:sz="0" w:space="0" w:color="auto"/>
        <w:bottom w:val="none" w:sz="0" w:space="0" w:color="auto"/>
        <w:right w:val="none" w:sz="0" w:space="0" w:color="auto"/>
      </w:divBdr>
      <w:divsChild>
        <w:div w:id="229657351">
          <w:marLeft w:val="0"/>
          <w:marRight w:val="0"/>
          <w:marTop w:val="0"/>
          <w:marBottom w:val="0"/>
          <w:divBdr>
            <w:top w:val="none" w:sz="0" w:space="0" w:color="auto"/>
            <w:left w:val="none" w:sz="0" w:space="0" w:color="auto"/>
            <w:bottom w:val="none" w:sz="0" w:space="0" w:color="auto"/>
            <w:right w:val="none" w:sz="0" w:space="0" w:color="auto"/>
          </w:divBdr>
        </w:div>
        <w:div w:id="315115542">
          <w:marLeft w:val="0"/>
          <w:marRight w:val="0"/>
          <w:marTop w:val="0"/>
          <w:marBottom w:val="0"/>
          <w:divBdr>
            <w:top w:val="none" w:sz="0" w:space="0" w:color="auto"/>
            <w:left w:val="none" w:sz="0" w:space="0" w:color="auto"/>
            <w:bottom w:val="none" w:sz="0" w:space="0" w:color="auto"/>
            <w:right w:val="none" w:sz="0" w:space="0" w:color="auto"/>
          </w:divBdr>
        </w:div>
      </w:divsChild>
    </w:div>
    <w:div w:id="1967009436">
      <w:bodyDiv w:val="1"/>
      <w:marLeft w:val="0"/>
      <w:marRight w:val="0"/>
      <w:marTop w:val="0"/>
      <w:marBottom w:val="0"/>
      <w:divBdr>
        <w:top w:val="none" w:sz="0" w:space="0" w:color="auto"/>
        <w:left w:val="none" w:sz="0" w:space="0" w:color="auto"/>
        <w:bottom w:val="none" w:sz="0" w:space="0" w:color="auto"/>
        <w:right w:val="none" w:sz="0" w:space="0" w:color="auto"/>
      </w:divBdr>
      <w:divsChild>
        <w:div w:id="313342199">
          <w:marLeft w:val="480"/>
          <w:marRight w:val="0"/>
          <w:marTop w:val="0"/>
          <w:marBottom w:val="0"/>
          <w:divBdr>
            <w:top w:val="none" w:sz="0" w:space="0" w:color="auto"/>
            <w:left w:val="none" w:sz="0" w:space="0" w:color="auto"/>
            <w:bottom w:val="none" w:sz="0" w:space="0" w:color="auto"/>
            <w:right w:val="none" w:sz="0" w:space="0" w:color="auto"/>
          </w:divBdr>
          <w:divsChild>
            <w:div w:id="17842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4862">
      <w:bodyDiv w:val="1"/>
      <w:marLeft w:val="0"/>
      <w:marRight w:val="0"/>
      <w:marTop w:val="0"/>
      <w:marBottom w:val="0"/>
      <w:divBdr>
        <w:top w:val="none" w:sz="0" w:space="0" w:color="auto"/>
        <w:left w:val="none" w:sz="0" w:space="0" w:color="auto"/>
        <w:bottom w:val="none" w:sz="0" w:space="0" w:color="auto"/>
        <w:right w:val="none" w:sz="0" w:space="0" w:color="auto"/>
      </w:divBdr>
      <w:divsChild>
        <w:div w:id="1221673892">
          <w:marLeft w:val="0"/>
          <w:marRight w:val="0"/>
          <w:marTop w:val="0"/>
          <w:marBottom w:val="0"/>
          <w:divBdr>
            <w:top w:val="none" w:sz="0" w:space="0" w:color="auto"/>
            <w:left w:val="none" w:sz="0" w:space="0" w:color="auto"/>
            <w:bottom w:val="none" w:sz="0" w:space="0" w:color="auto"/>
            <w:right w:val="none" w:sz="0" w:space="0" w:color="auto"/>
          </w:divBdr>
        </w:div>
        <w:div w:id="1364359810">
          <w:marLeft w:val="0"/>
          <w:marRight w:val="0"/>
          <w:marTop w:val="0"/>
          <w:marBottom w:val="0"/>
          <w:divBdr>
            <w:top w:val="none" w:sz="0" w:space="0" w:color="auto"/>
            <w:left w:val="none" w:sz="0" w:space="0" w:color="auto"/>
            <w:bottom w:val="none" w:sz="0" w:space="0" w:color="auto"/>
            <w:right w:val="none" w:sz="0" w:space="0" w:color="auto"/>
          </w:divBdr>
        </w:div>
        <w:div w:id="2025553691">
          <w:marLeft w:val="0"/>
          <w:marRight w:val="0"/>
          <w:marTop w:val="0"/>
          <w:marBottom w:val="0"/>
          <w:divBdr>
            <w:top w:val="none" w:sz="0" w:space="0" w:color="auto"/>
            <w:left w:val="none" w:sz="0" w:space="0" w:color="auto"/>
            <w:bottom w:val="none" w:sz="0" w:space="0" w:color="auto"/>
            <w:right w:val="none" w:sz="0" w:space="0" w:color="auto"/>
          </w:divBdr>
        </w:div>
      </w:divsChild>
    </w:div>
    <w:div w:id="1996033118">
      <w:bodyDiv w:val="1"/>
      <w:marLeft w:val="0"/>
      <w:marRight w:val="0"/>
      <w:marTop w:val="0"/>
      <w:marBottom w:val="0"/>
      <w:divBdr>
        <w:top w:val="none" w:sz="0" w:space="0" w:color="auto"/>
        <w:left w:val="none" w:sz="0" w:space="0" w:color="auto"/>
        <w:bottom w:val="none" w:sz="0" w:space="0" w:color="auto"/>
        <w:right w:val="none" w:sz="0" w:space="0" w:color="auto"/>
      </w:divBdr>
      <w:divsChild>
        <w:div w:id="310059433">
          <w:marLeft w:val="0"/>
          <w:marRight w:val="0"/>
          <w:marTop w:val="0"/>
          <w:marBottom w:val="0"/>
          <w:divBdr>
            <w:top w:val="none" w:sz="0" w:space="0" w:color="auto"/>
            <w:left w:val="none" w:sz="0" w:space="0" w:color="auto"/>
            <w:bottom w:val="none" w:sz="0" w:space="0" w:color="auto"/>
            <w:right w:val="none" w:sz="0" w:space="0" w:color="auto"/>
          </w:divBdr>
        </w:div>
        <w:div w:id="433673574">
          <w:marLeft w:val="0"/>
          <w:marRight w:val="0"/>
          <w:marTop w:val="0"/>
          <w:marBottom w:val="0"/>
          <w:divBdr>
            <w:top w:val="none" w:sz="0" w:space="0" w:color="auto"/>
            <w:left w:val="none" w:sz="0" w:space="0" w:color="auto"/>
            <w:bottom w:val="none" w:sz="0" w:space="0" w:color="auto"/>
            <w:right w:val="none" w:sz="0" w:space="0" w:color="auto"/>
          </w:divBdr>
        </w:div>
        <w:div w:id="555313128">
          <w:marLeft w:val="0"/>
          <w:marRight w:val="0"/>
          <w:marTop w:val="0"/>
          <w:marBottom w:val="0"/>
          <w:divBdr>
            <w:top w:val="none" w:sz="0" w:space="0" w:color="auto"/>
            <w:left w:val="none" w:sz="0" w:space="0" w:color="auto"/>
            <w:bottom w:val="none" w:sz="0" w:space="0" w:color="auto"/>
            <w:right w:val="none" w:sz="0" w:space="0" w:color="auto"/>
          </w:divBdr>
        </w:div>
        <w:div w:id="768356505">
          <w:marLeft w:val="0"/>
          <w:marRight w:val="0"/>
          <w:marTop w:val="0"/>
          <w:marBottom w:val="0"/>
          <w:divBdr>
            <w:top w:val="none" w:sz="0" w:space="0" w:color="auto"/>
            <w:left w:val="none" w:sz="0" w:space="0" w:color="auto"/>
            <w:bottom w:val="none" w:sz="0" w:space="0" w:color="auto"/>
            <w:right w:val="none" w:sz="0" w:space="0" w:color="auto"/>
          </w:divBdr>
        </w:div>
        <w:div w:id="773289394">
          <w:marLeft w:val="0"/>
          <w:marRight w:val="0"/>
          <w:marTop w:val="0"/>
          <w:marBottom w:val="0"/>
          <w:divBdr>
            <w:top w:val="none" w:sz="0" w:space="0" w:color="auto"/>
            <w:left w:val="none" w:sz="0" w:space="0" w:color="auto"/>
            <w:bottom w:val="none" w:sz="0" w:space="0" w:color="auto"/>
            <w:right w:val="none" w:sz="0" w:space="0" w:color="auto"/>
          </w:divBdr>
        </w:div>
        <w:div w:id="1004161888">
          <w:marLeft w:val="0"/>
          <w:marRight w:val="0"/>
          <w:marTop w:val="0"/>
          <w:marBottom w:val="0"/>
          <w:divBdr>
            <w:top w:val="none" w:sz="0" w:space="0" w:color="auto"/>
            <w:left w:val="none" w:sz="0" w:space="0" w:color="auto"/>
            <w:bottom w:val="none" w:sz="0" w:space="0" w:color="auto"/>
            <w:right w:val="none" w:sz="0" w:space="0" w:color="auto"/>
          </w:divBdr>
        </w:div>
        <w:div w:id="1074354953">
          <w:marLeft w:val="0"/>
          <w:marRight w:val="0"/>
          <w:marTop w:val="0"/>
          <w:marBottom w:val="0"/>
          <w:divBdr>
            <w:top w:val="none" w:sz="0" w:space="0" w:color="auto"/>
            <w:left w:val="none" w:sz="0" w:space="0" w:color="auto"/>
            <w:bottom w:val="none" w:sz="0" w:space="0" w:color="auto"/>
            <w:right w:val="none" w:sz="0" w:space="0" w:color="auto"/>
          </w:divBdr>
        </w:div>
        <w:div w:id="1263605338">
          <w:marLeft w:val="0"/>
          <w:marRight w:val="0"/>
          <w:marTop w:val="0"/>
          <w:marBottom w:val="0"/>
          <w:divBdr>
            <w:top w:val="none" w:sz="0" w:space="0" w:color="auto"/>
            <w:left w:val="none" w:sz="0" w:space="0" w:color="auto"/>
            <w:bottom w:val="none" w:sz="0" w:space="0" w:color="auto"/>
            <w:right w:val="none" w:sz="0" w:space="0" w:color="auto"/>
          </w:divBdr>
        </w:div>
        <w:div w:id="1269387873">
          <w:marLeft w:val="0"/>
          <w:marRight w:val="0"/>
          <w:marTop w:val="0"/>
          <w:marBottom w:val="0"/>
          <w:divBdr>
            <w:top w:val="none" w:sz="0" w:space="0" w:color="auto"/>
            <w:left w:val="none" w:sz="0" w:space="0" w:color="auto"/>
            <w:bottom w:val="none" w:sz="0" w:space="0" w:color="auto"/>
            <w:right w:val="none" w:sz="0" w:space="0" w:color="auto"/>
          </w:divBdr>
        </w:div>
        <w:div w:id="1362054932">
          <w:marLeft w:val="0"/>
          <w:marRight w:val="0"/>
          <w:marTop w:val="0"/>
          <w:marBottom w:val="0"/>
          <w:divBdr>
            <w:top w:val="none" w:sz="0" w:space="0" w:color="auto"/>
            <w:left w:val="none" w:sz="0" w:space="0" w:color="auto"/>
            <w:bottom w:val="none" w:sz="0" w:space="0" w:color="auto"/>
            <w:right w:val="none" w:sz="0" w:space="0" w:color="auto"/>
          </w:divBdr>
        </w:div>
        <w:div w:id="1409309116">
          <w:marLeft w:val="0"/>
          <w:marRight w:val="0"/>
          <w:marTop w:val="0"/>
          <w:marBottom w:val="0"/>
          <w:divBdr>
            <w:top w:val="none" w:sz="0" w:space="0" w:color="auto"/>
            <w:left w:val="none" w:sz="0" w:space="0" w:color="auto"/>
            <w:bottom w:val="none" w:sz="0" w:space="0" w:color="auto"/>
            <w:right w:val="none" w:sz="0" w:space="0" w:color="auto"/>
          </w:divBdr>
        </w:div>
        <w:div w:id="1542016598">
          <w:marLeft w:val="0"/>
          <w:marRight w:val="0"/>
          <w:marTop w:val="0"/>
          <w:marBottom w:val="0"/>
          <w:divBdr>
            <w:top w:val="none" w:sz="0" w:space="0" w:color="auto"/>
            <w:left w:val="none" w:sz="0" w:space="0" w:color="auto"/>
            <w:bottom w:val="none" w:sz="0" w:space="0" w:color="auto"/>
            <w:right w:val="none" w:sz="0" w:space="0" w:color="auto"/>
          </w:divBdr>
        </w:div>
        <w:div w:id="1690795940">
          <w:marLeft w:val="0"/>
          <w:marRight w:val="0"/>
          <w:marTop w:val="0"/>
          <w:marBottom w:val="0"/>
          <w:divBdr>
            <w:top w:val="none" w:sz="0" w:space="0" w:color="auto"/>
            <w:left w:val="none" w:sz="0" w:space="0" w:color="auto"/>
            <w:bottom w:val="none" w:sz="0" w:space="0" w:color="auto"/>
            <w:right w:val="none" w:sz="0" w:space="0" w:color="auto"/>
          </w:divBdr>
        </w:div>
        <w:div w:id="1737429954">
          <w:marLeft w:val="0"/>
          <w:marRight w:val="0"/>
          <w:marTop w:val="0"/>
          <w:marBottom w:val="0"/>
          <w:divBdr>
            <w:top w:val="none" w:sz="0" w:space="0" w:color="auto"/>
            <w:left w:val="none" w:sz="0" w:space="0" w:color="auto"/>
            <w:bottom w:val="none" w:sz="0" w:space="0" w:color="auto"/>
            <w:right w:val="none" w:sz="0" w:space="0" w:color="auto"/>
          </w:divBdr>
        </w:div>
        <w:div w:id="1787844549">
          <w:marLeft w:val="0"/>
          <w:marRight w:val="0"/>
          <w:marTop w:val="0"/>
          <w:marBottom w:val="0"/>
          <w:divBdr>
            <w:top w:val="none" w:sz="0" w:space="0" w:color="auto"/>
            <w:left w:val="none" w:sz="0" w:space="0" w:color="auto"/>
            <w:bottom w:val="none" w:sz="0" w:space="0" w:color="auto"/>
            <w:right w:val="none" w:sz="0" w:space="0" w:color="auto"/>
          </w:divBdr>
        </w:div>
        <w:div w:id="1796749305">
          <w:marLeft w:val="0"/>
          <w:marRight w:val="0"/>
          <w:marTop w:val="0"/>
          <w:marBottom w:val="0"/>
          <w:divBdr>
            <w:top w:val="none" w:sz="0" w:space="0" w:color="auto"/>
            <w:left w:val="none" w:sz="0" w:space="0" w:color="auto"/>
            <w:bottom w:val="none" w:sz="0" w:space="0" w:color="auto"/>
            <w:right w:val="none" w:sz="0" w:space="0" w:color="auto"/>
          </w:divBdr>
        </w:div>
        <w:div w:id="1823767526">
          <w:marLeft w:val="0"/>
          <w:marRight w:val="0"/>
          <w:marTop w:val="0"/>
          <w:marBottom w:val="0"/>
          <w:divBdr>
            <w:top w:val="none" w:sz="0" w:space="0" w:color="auto"/>
            <w:left w:val="none" w:sz="0" w:space="0" w:color="auto"/>
            <w:bottom w:val="none" w:sz="0" w:space="0" w:color="auto"/>
            <w:right w:val="none" w:sz="0" w:space="0" w:color="auto"/>
          </w:divBdr>
        </w:div>
        <w:div w:id="1848518021">
          <w:marLeft w:val="0"/>
          <w:marRight w:val="0"/>
          <w:marTop w:val="0"/>
          <w:marBottom w:val="0"/>
          <w:divBdr>
            <w:top w:val="none" w:sz="0" w:space="0" w:color="auto"/>
            <w:left w:val="none" w:sz="0" w:space="0" w:color="auto"/>
            <w:bottom w:val="none" w:sz="0" w:space="0" w:color="auto"/>
            <w:right w:val="none" w:sz="0" w:space="0" w:color="auto"/>
          </w:divBdr>
        </w:div>
        <w:div w:id="1877693194">
          <w:marLeft w:val="0"/>
          <w:marRight w:val="0"/>
          <w:marTop w:val="0"/>
          <w:marBottom w:val="0"/>
          <w:divBdr>
            <w:top w:val="none" w:sz="0" w:space="0" w:color="auto"/>
            <w:left w:val="none" w:sz="0" w:space="0" w:color="auto"/>
            <w:bottom w:val="none" w:sz="0" w:space="0" w:color="auto"/>
            <w:right w:val="none" w:sz="0" w:space="0" w:color="auto"/>
          </w:divBdr>
        </w:div>
        <w:div w:id="1912931977">
          <w:marLeft w:val="0"/>
          <w:marRight w:val="0"/>
          <w:marTop w:val="0"/>
          <w:marBottom w:val="0"/>
          <w:divBdr>
            <w:top w:val="none" w:sz="0" w:space="0" w:color="auto"/>
            <w:left w:val="none" w:sz="0" w:space="0" w:color="auto"/>
            <w:bottom w:val="none" w:sz="0" w:space="0" w:color="auto"/>
            <w:right w:val="none" w:sz="0" w:space="0" w:color="auto"/>
          </w:divBdr>
        </w:div>
        <w:div w:id="2004430399">
          <w:marLeft w:val="0"/>
          <w:marRight w:val="0"/>
          <w:marTop w:val="0"/>
          <w:marBottom w:val="0"/>
          <w:divBdr>
            <w:top w:val="none" w:sz="0" w:space="0" w:color="auto"/>
            <w:left w:val="none" w:sz="0" w:space="0" w:color="auto"/>
            <w:bottom w:val="none" w:sz="0" w:space="0" w:color="auto"/>
            <w:right w:val="none" w:sz="0" w:space="0" w:color="auto"/>
          </w:divBdr>
        </w:div>
        <w:div w:id="2045522852">
          <w:marLeft w:val="0"/>
          <w:marRight w:val="0"/>
          <w:marTop w:val="0"/>
          <w:marBottom w:val="0"/>
          <w:divBdr>
            <w:top w:val="none" w:sz="0" w:space="0" w:color="auto"/>
            <w:left w:val="none" w:sz="0" w:space="0" w:color="auto"/>
            <w:bottom w:val="none" w:sz="0" w:space="0" w:color="auto"/>
            <w:right w:val="none" w:sz="0" w:space="0" w:color="auto"/>
          </w:divBdr>
        </w:div>
        <w:div w:id="2052915593">
          <w:marLeft w:val="0"/>
          <w:marRight w:val="0"/>
          <w:marTop w:val="0"/>
          <w:marBottom w:val="0"/>
          <w:divBdr>
            <w:top w:val="none" w:sz="0" w:space="0" w:color="auto"/>
            <w:left w:val="none" w:sz="0" w:space="0" w:color="auto"/>
            <w:bottom w:val="none" w:sz="0" w:space="0" w:color="auto"/>
            <w:right w:val="none" w:sz="0" w:space="0" w:color="auto"/>
          </w:divBdr>
        </w:div>
      </w:divsChild>
    </w:div>
    <w:div w:id="1999923954">
      <w:bodyDiv w:val="1"/>
      <w:marLeft w:val="0"/>
      <w:marRight w:val="0"/>
      <w:marTop w:val="0"/>
      <w:marBottom w:val="0"/>
      <w:divBdr>
        <w:top w:val="none" w:sz="0" w:space="0" w:color="auto"/>
        <w:left w:val="none" w:sz="0" w:space="0" w:color="auto"/>
        <w:bottom w:val="none" w:sz="0" w:space="0" w:color="auto"/>
        <w:right w:val="none" w:sz="0" w:space="0" w:color="auto"/>
      </w:divBdr>
    </w:div>
    <w:div w:id="2021466224">
      <w:bodyDiv w:val="1"/>
      <w:marLeft w:val="0"/>
      <w:marRight w:val="0"/>
      <w:marTop w:val="0"/>
      <w:marBottom w:val="0"/>
      <w:divBdr>
        <w:top w:val="none" w:sz="0" w:space="0" w:color="auto"/>
        <w:left w:val="none" w:sz="0" w:space="0" w:color="auto"/>
        <w:bottom w:val="none" w:sz="0" w:space="0" w:color="auto"/>
        <w:right w:val="none" w:sz="0" w:space="0" w:color="auto"/>
      </w:divBdr>
      <w:divsChild>
        <w:div w:id="1621688750">
          <w:marLeft w:val="480"/>
          <w:marRight w:val="0"/>
          <w:marTop w:val="0"/>
          <w:marBottom w:val="0"/>
          <w:divBdr>
            <w:top w:val="none" w:sz="0" w:space="0" w:color="auto"/>
            <w:left w:val="none" w:sz="0" w:space="0" w:color="auto"/>
            <w:bottom w:val="none" w:sz="0" w:space="0" w:color="auto"/>
            <w:right w:val="none" w:sz="0" w:space="0" w:color="auto"/>
          </w:divBdr>
          <w:divsChild>
            <w:div w:id="10355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2140">
      <w:bodyDiv w:val="1"/>
      <w:marLeft w:val="0"/>
      <w:marRight w:val="0"/>
      <w:marTop w:val="0"/>
      <w:marBottom w:val="0"/>
      <w:divBdr>
        <w:top w:val="none" w:sz="0" w:space="0" w:color="auto"/>
        <w:left w:val="none" w:sz="0" w:space="0" w:color="auto"/>
        <w:bottom w:val="none" w:sz="0" w:space="0" w:color="auto"/>
        <w:right w:val="none" w:sz="0" w:space="0" w:color="auto"/>
      </w:divBdr>
      <w:divsChild>
        <w:div w:id="278070184">
          <w:marLeft w:val="0"/>
          <w:marRight w:val="0"/>
          <w:marTop w:val="0"/>
          <w:marBottom w:val="0"/>
          <w:divBdr>
            <w:top w:val="none" w:sz="0" w:space="0" w:color="auto"/>
            <w:left w:val="none" w:sz="0" w:space="0" w:color="auto"/>
            <w:bottom w:val="none" w:sz="0" w:space="0" w:color="auto"/>
            <w:right w:val="none" w:sz="0" w:space="0" w:color="auto"/>
          </w:divBdr>
        </w:div>
        <w:div w:id="1546678394">
          <w:marLeft w:val="0"/>
          <w:marRight w:val="0"/>
          <w:marTop w:val="0"/>
          <w:marBottom w:val="0"/>
          <w:divBdr>
            <w:top w:val="none" w:sz="0" w:space="0" w:color="auto"/>
            <w:left w:val="none" w:sz="0" w:space="0" w:color="auto"/>
            <w:bottom w:val="none" w:sz="0" w:space="0" w:color="auto"/>
            <w:right w:val="none" w:sz="0" w:space="0" w:color="auto"/>
          </w:divBdr>
        </w:div>
        <w:div w:id="763494991">
          <w:marLeft w:val="0"/>
          <w:marRight w:val="0"/>
          <w:marTop w:val="0"/>
          <w:marBottom w:val="0"/>
          <w:divBdr>
            <w:top w:val="none" w:sz="0" w:space="0" w:color="auto"/>
            <w:left w:val="none" w:sz="0" w:space="0" w:color="auto"/>
            <w:bottom w:val="none" w:sz="0" w:space="0" w:color="auto"/>
            <w:right w:val="none" w:sz="0" w:space="0" w:color="auto"/>
          </w:divBdr>
        </w:div>
        <w:div w:id="410278127">
          <w:marLeft w:val="0"/>
          <w:marRight w:val="0"/>
          <w:marTop w:val="0"/>
          <w:marBottom w:val="0"/>
          <w:divBdr>
            <w:top w:val="none" w:sz="0" w:space="0" w:color="auto"/>
            <w:left w:val="none" w:sz="0" w:space="0" w:color="auto"/>
            <w:bottom w:val="none" w:sz="0" w:space="0" w:color="auto"/>
            <w:right w:val="none" w:sz="0" w:space="0" w:color="auto"/>
          </w:divBdr>
        </w:div>
      </w:divsChild>
    </w:div>
    <w:div w:id="2038460709">
      <w:bodyDiv w:val="1"/>
      <w:marLeft w:val="0"/>
      <w:marRight w:val="0"/>
      <w:marTop w:val="0"/>
      <w:marBottom w:val="0"/>
      <w:divBdr>
        <w:top w:val="none" w:sz="0" w:space="0" w:color="auto"/>
        <w:left w:val="none" w:sz="0" w:space="0" w:color="auto"/>
        <w:bottom w:val="none" w:sz="0" w:space="0" w:color="auto"/>
        <w:right w:val="none" w:sz="0" w:space="0" w:color="auto"/>
      </w:divBdr>
    </w:div>
    <w:div w:id="2051684197">
      <w:bodyDiv w:val="1"/>
      <w:marLeft w:val="0"/>
      <w:marRight w:val="0"/>
      <w:marTop w:val="0"/>
      <w:marBottom w:val="0"/>
      <w:divBdr>
        <w:top w:val="none" w:sz="0" w:space="0" w:color="auto"/>
        <w:left w:val="none" w:sz="0" w:space="0" w:color="auto"/>
        <w:bottom w:val="none" w:sz="0" w:space="0" w:color="auto"/>
        <w:right w:val="none" w:sz="0" w:space="0" w:color="auto"/>
      </w:divBdr>
      <w:divsChild>
        <w:div w:id="202330174">
          <w:marLeft w:val="480"/>
          <w:marRight w:val="0"/>
          <w:marTop w:val="0"/>
          <w:marBottom w:val="0"/>
          <w:divBdr>
            <w:top w:val="none" w:sz="0" w:space="0" w:color="auto"/>
            <w:left w:val="none" w:sz="0" w:space="0" w:color="auto"/>
            <w:bottom w:val="none" w:sz="0" w:space="0" w:color="auto"/>
            <w:right w:val="none" w:sz="0" w:space="0" w:color="auto"/>
          </w:divBdr>
          <w:divsChild>
            <w:div w:id="12189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836545">
      <w:bodyDiv w:val="1"/>
      <w:marLeft w:val="0"/>
      <w:marRight w:val="0"/>
      <w:marTop w:val="0"/>
      <w:marBottom w:val="0"/>
      <w:divBdr>
        <w:top w:val="none" w:sz="0" w:space="0" w:color="auto"/>
        <w:left w:val="none" w:sz="0" w:space="0" w:color="auto"/>
        <w:bottom w:val="none" w:sz="0" w:space="0" w:color="auto"/>
        <w:right w:val="none" w:sz="0" w:space="0" w:color="auto"/>
      </w:divBdr>
      <w:divsChild>
        <w:div w:id="1725525252">
          <w:marLeft w:val="0"/>
          <w:marRight w:val="0"/>
          <w:marTop w:val="0"/>
          <w:marBottom w:val="0"/>
          <w:divBdr>
            <w:top w:val="none" w:sz="0" w:space="0" w:color="auto"/>
            <w:left w:val="none" w:sz="0" w:space="0" w:color="auto"/>
            <w:bottom w:val="none" w:sz="0" w:space="0" w:color="auto"/>
            <w:right w:val="none" w:sz="0" w:space="0" w:color="auto"/>
          </w:divBdr>
        </w:div>
        <w:div w:id="1816948005">
          <w:marLeft w:val="0"/>
          <w:marRight w:val="0"/>
          <w:marTop w:val="0"/>
          <w:marBottom w:val="0"/>
          <w:divBdr>
            <w:top w:val="none" w:sz="0" w:space="0" w:color="auto"/>
            <w:left w:val="none" w:sz="0" w:space="0" w:color="auto"/>
            <w:bottom w:val="none" w:sz="0" w:space="0" w:color="auto"/>
            <w:right w:val="none" w:sz="0" w:space="0" w:color="auto"/>
          </w:divBdr>
        </w:div>
        <w:div w:id="1110705522">
          <w:marLeft w:val="0"/>
          <w:marRight w:val="0"/>
          <w:marTop w:val="0"/>
          <w:marBottom w:val="0"/>
          <w:divBdr>
            <w:top w:val="none" w:sz="0" w:space="0" w:color="auto"/>
            <w:left w:val="none" w:sz="0" w:space="0" w:color="auto"/>
            <w:bottom w:val="none" w:sz="0" w:space="0" w:color="auto"/>
            <w:right w:val="none" w:sz="0" w:space="0" w:color="auto"/>
          </w:divBdr>
        </w:div>
      </w:divsChild>
    </w:div>
    <w:div w:id="2067681657">
      <w:bodyDiv w:val="1"/>
      <w:marLeft w:val="0"/>
      <w:marRight w:val="0"/>
      <w:marTop w:val="0"/>
      <w:marBottom w:val="0"/>
      <w:divBdr>
        <w:top w:val="none" w:sz="0" w:space="0" w:color="auto"/>
        <w:left w:val="none" w:sz="0" w:space="0" w:color="auto"/>
        <w:bottom w:val="none" w:sz="0" w:space="0" w:color="auto"/>
        <w:right w:val="none" w:sz="0" w:space="0" w:color="auto"/>
      </w:divBdr>
    </w:div>
    <w:div w:id="2085226024">
      <w:bodyDiv w:val="1"/>
      <w:marLeft w:val="0"/>
      <w:marRight w:val="0"/>
      <w:marTop w:val="0"/>
      <w:marBottom w:val="0"/>
      <w:divBdr>
        <w:top w:val="none" w:sz="0" w:space="0" w:color="auto"/>
        <w:left w:val="none" w:sz="0" w:space="0" w:color="auto"/>
        <w:bottom w:val="none" w:sz="0" w:space="0" w:color="auto"/>
        <w:right w:val="none" w:sz="0" w:space="0" w:color="auto"/>
      </w:divBdr>
      <w:divsChild>
        <w:div w:id="1835024345">
          <w:marLeft w:val="0"/>
          <w:marRight w:val="0"/>
          <w:marTop w:val="0"/>
          <w:marBottom w:val="0"/>
          <w:divBdr>
            <w:top w:val="none" w:sz="0" w:space="0" w:color="auto"/>
            <w:left w:val="none" w:sz="0" w:space="0" w:color="auto"/>
            <w:bottom w:val="none" w:sz="0" w:space="0" w:color="auto"/>
            <w:right w:val="none" w:sz="0" w:space="0" w:color="auto"/>
          </w:divBdr>
          <w:divsChild>
            <w:div w:id="622004561">
              <w:marLeft w:val="0"/>
              <w:marRight w:val="0"/>
              <w:marTop w:val="0"/>
              <w:marBottom w:val="0"/>
              <w:divBdr>
                <w:top w:val="none" w:sz="0" w:space="0" w:color="auto"/>
                <w:left w:val="none" w:sz="0" w:space="0" w:color="auto"/>
                <w:bottom w:val="none" w:sz="0" w:space="0" w:color="auto"/>
                <w:right w:val="none" w:sz="0" w:space="0" w:color="auto"/>
              </w:divBdr>
              <w:divsChild>
                <w:div w:id="983511408">
                  <w:marLeft w:val="0"/>
                  <w:marRight w:val="0"/>
                  <w:marTop w:val="0"/>
                  <w:marBottom w:val="0"/>
                  <w:divBdr>
                    <w:top w:val="none" w:sz="0" w:space="0" w:color="auto"/>
                    <w:left w:val="none" w:sz="0" w:space="0" w:color="auto"/>
                    <w:bottom w:val="none" w:sz="0" w:space="0" w:color="auto"/>
                    <w:right w:val="none" w:sz="0" w:space="0" w:color="auto"/>
                  </w:divBdr>
                  <w:divsChild>
                    <w:div w:id="1456215967">
                      <w:marLeft w:val="0"/>
                      <w:marRight w:val="0"/>
                      <w:marTop w:val="0"/>
                      <w:marBottom w:val="0"/>
                      <w:divBdr>
                        <w:top w:val="none" w:sz="0" w:space="0" w:color="auto"/>
                        <w:left w:val="none" w:sz="0" w:space="0" w:color="auto"/>
                        <w:bottom w:val="none" w:sz="0" w:space="0" w:color="auto"/>
                        <w:right w:val="none" w:sz="0" w:space="0" w:color="auto"/>
                      </w:divBdr>
                      <w:divsChild>
                        <w:div w:id="422149378">
                          <w:marLeft w:val="0"/>
                          <w:marRight w:val="0"/>
                          <w:marTop w:val="0"/>
                          <w:marBottom w:val="0"/>
                          <w:divBdr>
                            <w:top w:val="none" w:sz="0" w:space="0" w:color="auto"/>
                            <w:left w:val="none" w:sz="0" w:space="0" w:color="auto"/>
                            <w:bottom w:val="none" w:sz="0" w:space="0" w:color="auto"/>
                            <w:right w:val="none" w:sz="0" w:space="0" w:color="auto"/>
                          </w:divBdr>
                          <w:divsChild>
                            <w:div w:id="1936015759">
                              <w:marLeft w:val="0"/>
                              <w:marRight w:val="0"/>
                              <w:marTop w:val="0"/>
                              <w:marBottom w:val="0"/>
                              <w:divBdr>
                                <w:top w:val="none" w:sz="0" w:space="0" w:color="auto"/>
                                <w:left w:val="none" w:sz="0" w:space="0" w:color="auto"/>
                                <w:bottom w:val="none" w:sz="0" w:space="0" w:color="auto"/>
                                <w:right w:val="none" w:sz="0" w:space="0" w:color="auto"/>
                              </w:divBdr>
                              <w:divsChild>
                                <w:div w:id="465195614">
                                  <w:marLeft w:val="0"/>
                                  <w:marRight w:val="0"/>
                                  <w:marTop w:val="0"/>
                                  <w:marBottom w:val="0"/>
                                  <w:divBdr>
                                    <w:top w:val="none" w:sz="0" w:space="0" w:color="auto"/>
                                    <w:left w:val="none" w:sz="0" w:space="0" w:color="auto"/>
                                    <w:bottom w:val="none" w:sz="0" w:space="0" w:color="auto"/>
                                    <w:right w:val="none" w:sz="0" w:space="0" w:color="auto"/>
                                  </w:divBdr>
                                  <w:divsChild>
                                    <w:div w:id="1781489061">
                                      <w:marLeft w:val="0"/>
                                      <w:marRight w:val="0"/>
                                      <w:marTop w:val="0"/>
                                      <w:marBottom w:val="0"/>
                                      <w:divBdr>
                                        <w:top w:val="none" w:sz="0" w:space="0" w:color="auto"/>
                                        <w:left w:val="none" w:sz="0" w:space="0" w:color="auto"/>
                                        <w:bottom w:val="none" w:sz="0" w:space="0" w:color="auto"/>
                                        <w:right w:val="none" w:sz="0" w:space="0" w:color="auto"/>
                                      </w:divBdr>
                                      <w:divsChild>
                                        <w:div w:id="2077823984">
                                          <w:marLeft w:val="0"/>
                                          <w:marRight w:val="0"/>
                                          <w:marTop w:val="300"/>
                                          <w:marBottom w:val="0"/>
                                          <w:divBdr>
                                            <w:top w:val="none" w:sz="0" w:space="0" w:color="auto"/>
                                            <w:left w:val="none" w:sz="0" w:space="0" w:color="auto"/>
                                            <w:bottom w:val="none" w:sz="0" w:space="0" w:color="auto"/>
                                            <w:right w:val="none" w:sz="0" w:space="0" w:color="auto"/>
                                          </w:divBdr>
                                          <w:divsChild>
                                            <w:div w:id="1018584564">
                                              <w:marLeft w:val="0"/>
                                              <w:marRight w:val="0"/>
                                              <w:marTop w:val="0"/>
                                              <w:marBottom w:val="0"/>
                                              <w:divBdr>
                                                <w:top w:val="none" w:sz="0" w:space="0" w:color="auto"/>
                                                <w:left w:val="none" w:sz="0" w:space="0" w:color="auto"/>
                                                <w:bottom w:val="none" w:sz="0" w:space="0" w:color="auto"/>
                                                <w:right w:val="none" w:sz="0" w:space="0" w:color="auto"/>
                                              </w:divBdr>
                                              <w:divsChild>
                                                <w:div w:id="364839437">
                                                  <w:marLeft w:val="0"/>
                                                  <w:marRight w:val="0"/>
                                                  <w:marTop w:val="0"/>
                                                  <w:marBottom w:val="0"/>
                                                  <w:divBdr>
                                                    <w:top w:val="none" w:sz="0" w:space="0" w:color="auto"/>
                                                    <w:left w:val="none" w:sz="0" w:space="0" w:color="auto"/>
                                                    <w:bottom w:val="none" w:sz="0" w:space="0" w:color="auto"/>
                                                    <w:right w:val="none" w:sz="0" w:space="0" w:color="auto"/>
                                                  </w:divBdr>
                                                  <w:divsChild>
                                                    <w:div w:id="1857963630">
                                                      <w:marLeft w:val="0"/>
                                                      <w:marRight w:val="0"/>
                                                      <w:marTop w:val="0"/>
                                                      <w:marBottom w:val="0"/>
                                                      <w:divBdr>
                                                        <w:top w:val="none" w:sz="0" w:space="0" w:color="auto"/>
                                                        <w:left w:val="none" w:sz="0" w:space="0" w:color="auto"/>
                                                        <w:bottom w:val="none" w:sz="0" w:space="0" w:color="auto"/>
                                                        <w:right w:val="none" w:sz="0" w:space="0" w:color="auto"/>
                                                      </w:divBdr>
                                                      <w:divsChild>
                                                        <w:div w:id="1370954109">
                                                          <w:marLeft w:val="0"/>
                                                          <w:marRight w:val="0"/>
                                                          <w:marTop w:val="0"/>
                                                          <w:marBottom w:val="0"/>
                                                          <w:divBdr>
                                                            <w:top w:val="none" w:sz="0" w:space="0" w:color="auto"/>
                                                            <w:left w:val="none" w:sz="0" w:space="0" w:color="auto"/>
                                                            <w:bottom w:val="none" w:sz="0" w:space="0" w:color="auto"/>
                                                            <w:right w:val="none" w:sz="0" w:space="0" w:color="auto"/>
                                                          </w:divBdr>
                                                          <w:divsChild>
                                                            <w:div w:id="1005287344">
                                                              <w:marLeft w:val="0"/>
                                                              <w:marRight w:val="0"/>
                                                              <w:marTop w:val="0"/>
                                                              <w:marBottom w:val="0"/>
                                                              <w:divBdr>
                                                                <w:top w:val="none" w:sz="0" w:space="0" w:color="auto"/>
                                                                <w:left w:val="none" w:sz="0" w:space="0" w:color="auto"/>
                                                                <w:bottom w:val="none" w:sz="0" w:space="0" w:color="auto"/>
                                                                <w:right w:val="none" w:sz="0" w:space="0" w:color="auto"/>
                                                              </w:divBdr>
                                                              <w:divsChild>
                                                                <w:div w:id="1503349980">
                                                                  <w:marLeft w:val="0"/>
                                                                  <w:marRight w:val="0"/>
                                                                  <w:marTop w:val="0"/>
                                                                  <w:marBottom w:val="0"/>
                                                                  <w:divBdr>
                                                                    <w:top w:val="none" w:sz="0" w:space="0" w:color="auto"/>
                                                                    <w:left w:val="none" w:sz="0" w:space="0" w:color="auto"/>
                                                                    <w:bottom w:val="none" w:sz="0" w:space="0" w:color="auto"/>
                                                                    <w:right w:val="none" w:sz="0" w:space="0" w:color="auto"/>
                                                                  </w:divBdr>
                                                                  <w:divsChild>
                                                                    <w:div w:id="340203257">
                                                                      <w:marLeft w:val="0"/>
                                                                      <w:marRight w:val="0"/>
                                                                      <w:marTop w:val="0"/>
                                                                      <w:marBottom w:val="0"/>
                                                                      <w:divBdr>
                                                                        <w:top w:val="none" w:sz="0" w:space="0" w:color="auto"/>
                                                                        <w:left w:val="none" w:sz="0" w:space="0" w:color="auto"/>
                                                                        <w:bottom w:val="none" w:sz="0" w:space="0" w:color="auto"/>
                                                                        <w:right w:val="none" w:sz="0" w:space="0" w:color="auto"/>
                                                                      </w:divBdr>
                                                                      <w:divsChild>
                                                                        <w:div w:id="1278682225">
                                                                          <w:marLeft w:val="0"/>
                                                                          <w:marRight w:val="0"/>
                                                                          <w:marTop w:val="0"/>
                                                                          <w:marBottom w:val="0"/>
                                                                          <w:divBdr>
                                                                            <w:top w:val="none" w:sz="0" w:space="0" w:color="auto"/>
                                                                            <w:left w:val="none" w:sz="0" w:space="0" w:color="auto"/>
                                                                            <w:bottom w:val="none" w:sz="0" w:space="0" w:color="auto"/>
                                                                            <w:right w:val="none" w:sz="0" w:space="0" w:color="auto"/>
                                                                          </w:divBdr>
                                                                          <w:divsChild>
                                                                            <w:div w:id="147677566">
                                                                              <w:marLeft w:val="0"/>
                                                                              <w:marRight w:val="0"/>
                                                                              <w:marTop w:val="0"/>
                                                                              <w:marBottom w:val="0"/>
                                                                              <w:divBdr>
                                                                                <w:top w:val="none" w:sz="0" w:space="0" w:color="auto"/>
                                                                                <w:left w:val="none" w:sz="0" w:space="0" w:color="auto"/>
                                                                                <w:bottom w:val="none" w:sz="0" w:space="0" w:color="auto"/>
                                                                                <w:right w:val="none" w:sz="0" w:space="0" w:color="auto"/>
                                                                              </w:divBdr>
                                                                              <w:divsChild>
                                                                                <w:div w:id="1581403068">
                                                                                  <w:marLeft w:val="0"/>
                                                                                  <w:marRight w:val="0"/>
                                                                                  <w:marTop w:val="0"/>
                                                                                  <w:marBottom w:val="0"/>
                                                                                  <w:divBdr>
                                                                                    <w:top w:val="single" w:sz="6" w:space="8" w:color="1F6095"/>
                                                                                    <w:left w:val="single" w:sz="6" w:space="8" w:color="1F6095"/>
                                                                                    <w:bottom w:val="single" w:sz="6" w:space="8" w:color="1F6095"/>
                                                                                    <w:right w:val="single" w:sz="6" w:space="8" w:color="1F6095"/>
                                                                                  </w:divBdr>
                                                                                  <w:divsChild>
                                                                                    <w:div w:id="7918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028185">
      <w:bodyDiv w:val="1"/>
      <w:marLeft w:val="0"/>
      <w:marRight w:val="0"/>
      <w:marTop w:val="0"/>
      <w:marBottom w:val="0"/>
      <w:divBdr>
        <w:top w:val="none" w:sz="0" w:space="0" w:color="auto"/>
        <w:left w:val="none" w:sz="0" w:space="0" w:color="auto"/>
        <w:bottom w:val="none" w:sz="0" w:space="0" w:color="auto"/>
        <w:right w:val="none" w:sz="0" w:space="0" w:color="auto"/>
      </w:divBdr>
      <w:divsChild>
        <w:div w:id="1445924945">
          <w:marLeft w:val="0"/>
          <w:marRight w:val="0"/>
          <w:marTop w:val="0"/>
          <w:marBottom w:val="0"/>
          <w:divBdr>
            <w:top w:val="none" w:sz="0" w:space="0" w:color="auto"/>
            <w:left w:val="none" w:sz="0" w:space="0" w:color="auto"/>
            <w:bottom w:val="none" w:sz="0" w:space="0" w:color="auto"/>
            <w:right w:val="none" w:sz="0" w:space="0" w:color="auto"/>
          </w:divBdr>
          <w:divsChild>
            <w:div w:id="1764835101">
              <w:marLeft w:val="0"/>
              <w:marRight w:val="0"/>
              <w:marTop w:val="0"/>
              <w:marBottom w:val="0"/>
              <w:divBdr>
                <w:top w:val="none" w:sz="0" w:space="0" w:color="auto"/>
                <w:left w:val="none" w:sz="0" w:space="0" w:color="auto"/>
                <w:bottom w:val="none" w:sz="0" w:space="0" w:color="auto"/>
                <w:right w:val="none" w:sz="0" w:space="0" w:color="auto"/>
              </w:divBdr>
              <w:divsChild>
                <w:div w:id="1025864531">
                  <w:marLeft w:val="0"/>
                  <w:marRight w:val="0"/>
                  <w:marTop w:val="0"/>
                  <w:marBottom w:val="0"/>
                  <w:divBdr>
                    <w:top w:val="none" w:sz="0" w:space="0" w:color="auto"/>
                    <w:left w:val="none" w:sz="0" w:space="0" w:color="auto"/>
                    <w:bottom w:val="none" w:sz="0" w:space="0" w:color="auto"/>
                    <w:right w:val="none" w:sz="0" w:space="0" w:color="auto"/>
                  </w:divBdr>
                  <w:divsChild>
                    <w:div w:id="763916114">
                      <w:marLeft w:val="0"/>
                      <w:marRight w:val="0"/>
                      <w:marTop w:val="0"/>
                      <w:marBottom w:val="0"/>
                      <w:divBdr>
                        <w:top w:val="none" w:sz="0" w:space="0" w:color="auto"/>
                        <w:left w:val="none" w:sz="0" w:space="0" w:color="auto"/>
                        <w:bottom w:val="none" w:sz="0" w:space="0" w:color="auto"/>
                        <w:right w:val="none" w:sz="0" w:space="0" w:color="auto"/>
                      </w:divBdr>
                      <w:divsChild>
                        <w:div w:id="2084178395">
                          <w:marLeft w:val="0"/>
                          <w:marRight w:val="0"/>
                          <w:marTop w:val="0"/>
                          <w:marBottom w:val="0"/>
                          <w:divBdr>
                            <w:top w:val="none" w:sz="0" w:space="0" w:color="auto"/>
                            <w:left w:val="none" w:sz="0" w:space="0" w:color="auto"/>
                            <w:bottom w:val="none" w:sz="0" w:space="0" w:color="auto"/>
                            <w:right w:val="none" w:sz="0" w:space="0" w:color="auto"/>
                          </w:divBdr>
                          <w:divsChild>
                            <w:div w:id="151265736">
                              <w:marLeft w:val="0"/>
                              <w:marRight w:val="0"/>
                              <w:marTop w:val="0"/>
                              <w:marBottom w:val="0"/>
                              <w:divBdr>
                                <w:top w:val="none" w:sz="0" w:space="0" w:color="auto"/>
                                <w:left w:val="none" w:sz="0" w:space="0" w:color="auto"/>
                                <w:bottom w:val="none" w:sz="0" w:space="0" w:color="auto"/>
                                <w:right w:val="none" w:sz="0" w:space="0" w:color="auto"/>
                              </w:divBdr>
                              <w:divsChild>
                                <w:div w:id="72575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646097">
      <w:bodyDiv w:val="1"/>
      <w:marLeft w:val="0"/>
      <w:marRight w:val="0"/>
      <w:marTop w:val="0"/>
      <w:marBottom w:val="0"/>
      <w:divBdr>
        <w:top w:val="none" w:sz="0" w:space="0" w:color="auto"/>
        <w:left w:val="none" w:sz="0" w:space="0" w:color="auto"/>
        <w:bottom w:val="none" w:sz="0" w:space="0" w:color="auto"/>
        <w:right w:val="none" w:sz="0" w:space="0" w:color="auto"/>
      </w:divBdr>
      <w:divsChild>
        <w:div w:id="1913808711">
          <w:marLeft w:val="0"/>
          <w:marRight w:val="0"/>
          <w:marTop w:val="0"/>
          <w:marBottom w:val="0"/>
          <w:divBdr>
            <w:top w:val="none" w:sz="0" w:space="0" w:color="auto"/>
            <w:left w:val="none" w:sz="0" w:space="0" w:color="auto"/>
            <w:bottom w:val="none" w:sz="0" w:space="0" w:color="auto"/>
            <w:right w:val="none" w:sz="0" w:space="0" w:color="auto"/>
          </w:divBdr>
        </w:div>
        <w:div w:id="772938370">
          <w:marLeft w:val="0"/>
          <w:marRight w:val="0"/>
          <w:marTop w:val="0"/>
          <w:marBottom w:val="0"/>
          <w:divBdr>
            <w:top w:val="none" w:sz="0" w:space="0" w:color="auto"/>
            <w:left w:val="none" w:sz="0" w:space="0" w:color="auto"/>
            <w:bottom w:val="none" w:sz="0" w:space="0" w:color="auto"/>
            <w:right w:val="none" w:sz="0" w:space="0" w:color="auto"/>
          </w:divBdr>
        </w:div>
        <w:div w:id="174154302">
          <w:marLeft w:val="0"/>
          <w:marRight w:val="0"/>
          <w:marTop w:val="0"/>
          <w:marBottom w:val="0"/>
          <w:divBdr>
            <w:top w:val="none" w:sz="0" w:space="0" w:color="auto"/>
            <w:left w:val="none" w:sz="0" w:space="0" w:color="auto"/>
            <w:bottom w:val="none" w:sz="0" w:space="0" w:color="auto"/>
            <w:right w:val="none" w:sz="0" w:space="0" w:color="auto"/>
          </w:divBdr>
        </w:div>
        <w:div w:id="327294616">
          <w:marLeft w:val="0"/>
          <w:marRight w:val="0"/>
          <w:marTop w:val="0"/>
          <w:marBottom w:val="0"/>
          <w:divBdr>
            <w:top w:val="none" w:sz="0" w:space="0" w:color="auto"/>
            <w:left w:val="none" w:sz="0" w:space="0" w:color="auto"/>
            <w:bottom w:val="none" w:sz="0" w:space="0" w:color="auto"/>
            <w:right w:val="none" w:sz="0" w:space="0" w:color="auto"/>
          </w:divBdr>
        </w:div>
        <w:div w:id="1122264301">
          <w:marLeft w:val="0"/>
          <w:marRight w:val="0"/>
          <w:marTop w:val="0"/>
          <w:marBottom w:val="0"/>
          <w:divBdr>
            <w:top w:val="none" w:sz="0" w:space="0" w:color="auto"/>
            <w:left w:val="none" w:sz="0" w:space="0" w:color="auto"/>
            <w:bottom w:val="none" w:sz="0" w:space="0" w:color="auto"/>
            <w:right w:val="none" w:sz="0" w:space="0" w:color="auto"/>
          </w:divBdr>
        </w:div>
        <w:div w:id="1862086192">
          <w:marLeft w:val="0"/>
          <w:marRight w:val="0"/>
          <w:marTop w:val="0"/>
          <w:marBottom w:val="0"/>
          <w:divBdr>
            <w:top w:val="none" w:sz="0" w:space="0" w:color="auto"/>
            <w:left w:val="none" w:sz="0" w:space="0" w:color="auto"/>
            <w:bottom w:val="none" w:sz="0" w:space="0" w:color="auto"/>
            <w:right w:val="none" w:sz="0" w:space="0" w:color="auto"/>
          </w:divBdr>
        </w:div>
        <w:div w:id="1863010857">
          <w:marLeft w:val="0"/>
          <w:marRight w:val="0"/>
          <w:marTop w:val="0"/>
          <w:marBottom w:val="0"/>
          <w:divBdr>
            <w:top w:val="none" w:sz="0" w:space="0" w:color="auto"/>
            <w:left w:val="none" w:sz="0" w:space="0" w:color="auto"/>
            <w:bottom w:val="none" w:sz="0" w:space="0" w:color="auto"/>
            <w:right w:val="none" w:sz="0" w:space="0" w:color="auto"/>
          </w:divBdr>
        </w:div>
        <w:div w:id="365452761">
          <w:marLeft w:val="0"/>
          <w:marRight w:val="0"/>
          <w:marTop w:val="0"/>
          <w:marBottom w:val="0"/>
          <w:divBdr>
            <w:top w:val="none" w:sz="0" w:space="0" w:color="auto"/>
            <w:left w:val="none" w:sz="0" w:space="0" w:color="auto"/>
            <w:bottom w:val="none" w:sz="0" w:space="0" w:color="auto"/>
            <w:right w:val="none" w:sz="0" w:space="0" w:color="auto"/>
          </w:divBdr>
        </w:div>
      </w:divsChild>
    </w:div>
    <w:div w:id="2098820303">
      <w:bodyDiv w:val="1"/>
      <w:marLeft w:val="0"/>
      <w:marRight w:val="0"/>
      <w:marTop w:val="0"/>
      <w:marBottom w:val="0"/>
      <w:divBdr>
        <w:top w:val="none" w:sz="0" w:space="0" w:color="auto"/>
        <w:left w:val="none" w:sz="0" w:space="0" w:color="auto"/>
        <w:bottom w:val="none" w:sz="0" w:space="0" w:color="auto"/>
        <w:right w:val="none" w:sz="0" w:space="0" w:color="auto"/>
      </w:divBdr>
    </w:div>
    <w:div w:id="2109882366">
      <w:bodyDiv w:val="1"/>
      <w:marLeft w:val="0"/>
      <w:marRight w:val="0"/>
      <w:marTop w:val="0"/>
      <w:marBottom w:val="0"/>
      <w:divBdr>
        <w:top w:val="none" w:sz="0" w:space="0" w:color="auto"/>
        <w:left w:val="none" w:sz="0" w:space="0" w:color="auto"/>
        <w:bottom w:val="none" w:sz="0" w:space="0" w:color="auto"/>
        <w:right w:val="none" w:sz="0" w:space="0" w:color="auto"/>
      </w:divBdr>
      <w:divsChild>
        <w:div w:id="1162887068">
          <w:marLeft w:val="0"/>
          <w:marRight w:val="0"/>
          <w:marTop w:val="0"/>
          <w:marBottom w:val="0"/>
          <w:divBdr>
            <w:top w:val="none" w:sz="0" w:space="0" w:color="auto"/>
            <w:left w:val="none" w:sz="0" w:space="0" w:color="auto"/>
            <w:bottom w:val="none" w:sz="0" w:space="0" w:color="auto"/>
            <w:right w:val="none" w:sz="0" w:space="0" w:color="auto"/>
          </w:divBdr>
        </w:div>
        <w:div w:id="1676956279">
          <w:marLeft w:val="0"/>
          <w:marRight w:val="0"/>
          <w:marTop w:val="0"/>
          <w:marBottom w:val="0"/>
          <w:divBdr>
            <w:top w:val="none" w:sz="0" w:space="0" w:color="auto"/>
            <w:left w:val="none" w:sz="0" w:space="0" w:color="auto"/>
            <w:bottom w:val="none" w:sz="0" w:space="0" w:color="auto"/>
            <w:right w:val="none" w:sz="0" w:space="0" w:color="auto"/>
          </w:divBdr>
        </w:div>
        <w:div w:id="1206715661">
          <w:marLeft w:val="0"/>
          <w:marRight w:val="0"/>
          <w:marTop w:val="0"/>
          <w:marBottom w:val="0"/>
          <w:divBdr>
            <w:top w:val="none" w:sz="0" w:space="0" w:color="auto"/>
            <w:left w:val="none" w:sz="0" w:space="0" w:color="auto"/>
            <w:bottom w:val="none" w:sz="0" w:space="0" w:color="auto"/>
            <w:right w:val="none" w:sz="0" w:space="0" w:color="auto"/>
          </w:divBdr>
        </w:div>
        <w:div w:id="1107894821">
          <w:marLeft w:val="0"/>
          <w:marRight w:val="0"/>
          <w:marTop w:val="0"/>
          <w:marBottom w:val="0"/>
          <w:divBdr>
            <w:top w:val="none" w:sz="0" w:space="0" w:color="auto"/>
            <w:left w:val="none" w:sz="0" w:space="0" w:color="auto"/>
            <w:bottom w:val="none" w:sz="0" w:space="0" w:color="auto"/>
            <w:right w:val="none" w:sz="0" w:space="0" w:color="auto"/>
          </w:divBdr>
        </w:div>
      </w:divsChild>
    </w:div>
    <w:div w:id="2124302224">
      <w:bodyDiv w:val="1"/>
      <w:marLeft w:val="0"/>
      <w:marRight w:val="0"/>
      <w:marTop w:val="0"/>
      <w:marBottom w:val="0"/>
      <w:divBdr>
        <w:top w:val="none" w:sz="0" w:space="0" w:color="auto"/>
        <w:left w:val="none" w:sz="0" w:space="0" w:color="auto"/>
        <w:bottom w:val="none" w:sz="0" w:space="0" w:color="auto"/>
        <w:right w:val="none" w:sz="0" w:space="0" w:color="auto"/>
      </w:divBdr>
      <w:divsChild>
        <w:div w:id="294800786">
          <w:marLeft w:val="0"/>
          <w:marRight w:val="0"/>
          <w:marTop w:val="0"/>
          <w:marBottom w:val="0"/>
          <w:divBdr>
            <w:top w:val="none" w:sz="0" w:space="0" w:color="auto"/>
            <w:left w:val="none" w:sz="0" w:space="0" w:color="auto"/>
            <w:bottom w:val="none" w:sz="0" w:space="0" w:color="auto"/>
            <w:right w:val="none" w:sz="0" w:space="0" w:color="auto"/>
          </w:divBdr>
        </w:div>
      </w:divsChild>
    </w:div>
    <w:div w:id="2124839457">
      <w:bodyDiv w:val="1"/>
      <w:marLeft w:val="0"/>
      <w:marRight w:val="0"/>
      <w:marTop w:val="0"/>
      <w:marBottom w:val="0"/>
      <w:divBdr>
        <w:top w:val="none" w:sz="0" w:space="0" w:color="auto"/>
        <w:left w:val="none" w:sz="0" w:space="0" w:color="auto"/>
        <w:bottom w:val="none" w:sz="0" w:space="0" w:color="auto"/>
        <w:right w:val="none" w:sz="0" w:space="0" w:color="auto"/>
      </w:divBdr>
      <w:divsChild>
        <w:div w:id="168956819">
          <w:marLeft w:val="0"/>
          <w:marRight w:val="0"/>
          <w:marTop w:val="0"/>
          <w:marBottom w:val="0"/>
          <w:divBdr>
            <w:top w:val="none" w:sz="0" w:space="0" w:color="auto"/>
            <w:left w:val="none" w:sz="0" w:space="0" w:color="auto"/>
            <w:bottom w:val="none" w:sz="0" w:space="0" w:color="auto"/>
            <w:right w:val="none" w:sz="0" w:space="0" w:color="auto"/>
          </w:divBdr>
        </w:div>
        <w:div w:id="362555129">
          <w:marLeft w:val="0"/>
          <w:marRight w:val="0"/>
          <w:marTop w:val="0"/>
          <w:marBottom w:val="0"/>
          <w:divBdr>
            <w:top w:val="none" w:sz="0" w:space="0" w:color="auto"/>
            <w:left w:val="none" w:sz="0" w:space="0" w:color="auto"/>
            <w:bottom w:val="none" w:sz="0" w:space="0" w:color="auto"/>
            <w:right w:val="none" w:sz="0" w:space="0" w:color="auto"/>
          </w:divBdr>
        </w:div>
        <w:div w:id="396780767">
          <w:marLeft w:val="0"/>
          <w:marRight w:val="0"/>
          <w:marTop w:val="0"/>
          <w:marBottom w:val="0"/>
          <w:divBdr>
            <w:top w:val="none" w:sz="0" w:space="0" w:color="auto"/>
            <w:left w:val="none" w:sz="0" w:space="0" w:color="auto"/>
            <w:bottom w:val="none" w:sz="0" w:space="0" w:color="auto"/>
            <w:right w:val="none" w:sz="0" w:space="0" w:color="auto"/>
          </w:divBdr>
        </w:div>
        <w:div w:id="430703121">
          <w:marLeft w:val="0"/>
          <w:marRight w:val="0"/>
          <w:marTop w:val="0"/>
          <w:marBottom w:val="0"/>
          <w:divBdr>
            <w:top w:val="none" w:sz="0" w:space="0" w:color="auto"/>
            <w:left w:val="none" w:sz="0" w:space="0" w:color="auto"/>
            <w:bottom w:val="none" w:sz="0" w:space="0" w:color="auto"/>
            <w:right w:val="none" w:sz="0" w:space="0" w:color="auto"/>
          </w:divBdr>
        </w:div>
        <w:div w:id="494607764">
          <w:marLeft w:val="0"/>
          <w:marRight w:val="0"/>
          <w:marTop w:val="0"/>
          <w:marBottom w:val="0"/>
          <w:divBdr>
            <w:top w:val="none" w:sz="0" w:space="0" w:color="auto"/>
            <w:left w:val="none" w:sz="0" w:space="0" w:color="auto"/>
            <w:bottom w:val="none" w:sz="0" w:space="0" w:color="auto"/>
            <w:right w:val="none" w:sz="0" w:space="0" w:color="auto"/>
          </w:divBdr>
        </w:div>
        <w:div w:id="510878564">
          <w:marLeft w:val="0"/>
          <w:marRight w:val="0"/>
          <w:marTop w:val="0"/>
          <w:marBottom w:val="0"/>
          <w:divBdr>
            <w:top w:val="none" w:sz="0" w:space="0" w:color="auto"/>
            <w:left w:val="none" w:sz="0" w:space="0" w:color="auto"/>
            <w:bottom w:val="none" w:sz="0" w:space="0" w:color="auto"/>
            <w:right w:val="none" w:sz="0" w:space="0" w:color="auto"/>
          </w:divBdr>
        </w:div>
        <w:div w:id="549348377">
          <w:marLeft w:val="0"/>
          <w:marRight w:val="0"/>
          <w:marTop w:val="0"/>
          <w:marBottom w:val="0"/>
          <w:divBdr>
            <w:top w:val="none" w:sz="0" w:space="0" w:color="auto"/>
            <w:left w:val="none" w:sz="0" w:space="0" w:color="auto"/>
            <w:bottom w:val="none" w:sz="0" w:space="0" w:color="auto"/>
            <w:right w:val="none" w:sz="0" w:space="0" w:color="auto"/>
          </w:divBdr>
        </w:div>
        <w:div w:id="603655793">
          <w:marLeft w:val="0"/>
          <w:marRight w:val="0"/>
          <w:marTop w:val="0"/>
          <w:marBottom w:val="0"/>
          <w:divBdr>
            <w:top w:val="none" w:sz="0" w:space="0" w:color="auto"/>
            <w:left w:val="none" w:sz="0" w:space="0" w:color="auto"/>
            <w:bottom w:val="none" w:sz="0" w:space="0" w:color="auto"/>
            <w:right w:val="none" w:sz="0" w:space="0" w:color="auto"/>
          </w:divBdr>
        </w:div>
        <w:div w:id="673533925">
          <w:marLeft w:val="0"/>
          <w:marRight w:val="0"/>
          <w:marTop w:val="0"/>
          <w:marBottom w:val="0"/>
          <w:divBdr>
            <w:top w:val="none" w:sz="0" w:space="0" w:color="auto"/>
            <w:left w:val="none" w:sz="0" w:space="0" w:color="auto"/>
            <w:bottom w:val="none" w:sz="0" w:space="0" w:color="auto"/>
            <w:right w:val="none" w:sz="0" w:space="0" w:color="auto"/>
          </w:divBdr>
        </w:div>
        <w:div w:id="687177546">
          <w:marLeft w:val="0"/>
          <w:marRight w:val="0"/>
          <w:marTop w:val="0"/>
          <w:marBottom w:val="0"/>
          <w:divBdr>
            <w:top w:val="none" w:sz="0" w:space="0" w:color="auto"/>
            <w:left w:val="none" w:sz="0" w:space="0" w:color="auto"/>
            <w:bottom w:val="none" w:sz="0" w:space="0" w:color="auto"/>
            <w:right w:val="none" w:sz="0" w:space="0" w:color="auto"/>
          </w:divBdr>
        </w:div>
        <w:div w:id="806967483">
          <w:marLeft w:val="0"/>
          <w:marRight w:val="0"/>
          <w:marTop w:val="0"/>
          <w:marBottom w:val="0"/>
          <w:divBdr>
            <w:top w:val="none" w:sz="0" w:space="0" w:color="auto"/>
            <w:left w:val="none" w:sz="0" w:space="0" w:color="auto"/>
            <w:bottom w:val="none" w:sz="0" w:space="0" w:color="auto"/>
            <w:right w:val="none" w:sz="0" w:space="0" w:color="auto"/>
          </w:divBdr>
        </w:div>
        <w:div w:id="885066046">
          <w:marLeft w:val="0"/>
          <w:marRight w:val="0"/>
          <w:marTop w:val="0"/>
          <w:marBottom w:val="0"/>
          <w:divBdr>
            <w:top w:val="none" w:sz="0" w:space="0" w:color="auto"/>
            <w:left w:val="none" w:sz="0" w:space="0" w:color="auto"/>
            <w:bottom w:val="none" w:sz="0" w:space="0" w:color="auto"/>
            <w:right w:val="none" w:sz="0" w:space="0" w:color="auto"/>
          </w:divBdr>
        </w:div>
        <w:div w:id="1149902216">
          <w:marLeft w:val="0"/>
          <w:marRight w:val="0"/>
          <w:marTop w:val="0"/>
          <w:marBottom w:val="0"/>
          <w:divBdr>
            <w:top w:val="none" w:sz="0" w:space="0" w:color="auto"/>
            <w:left w:val="none" w:sz="0" w:space="0" w:color="auto"/>
            <w:bottom w:val="none" w:sz="0" w:space="0" w:color="auto"/>
            <w:right w:val="none" w:sz="0" w:space="0" w:color="auto"/>
          </w:divBdr>
        </w:div>
        <w:div w:id="1253277186">
          <w:marLeft w:val="0"/>
          <w:marRight w:val="0"/>
          <w:marTop w:val="0"/>
          <w:marBottom w:val="0"/>
          <w:divBdr>
            <w:top w:val="none" w:sz="0" w:space="0" w:color="auto"/>
            <w:left w:val="none" w:sz="0" w:space="0" w:color="auto"/>
            <w:bottom w:val="none" w:sz="0" w:space="0" w:color="auto"/>
            <w:right w:val="none" w:sz="0" w:space="0" w:color="auto"/>
          </w:divBdr>
        </w:div>
        <w:div w:id="1256986000">
          <w:marLeft w:val="0"/>
          <w:marRight w:val="0"/>
          <w:marTop w:val="0"/>
          <w:marBottom w:val="0"/>
          <w:divBdr>
            <w:top w:val="none" w:sz="0" w:space="0" w:color="auto"/>
            <w:left w:val="none" w:sz="0" w:space="0" w:color="auto"/>
            <w:bottom w:val="none" w:sz="0" w:space="0" w:color="auto"/>
            <w:right w:val="none" w:sz="0" w:space="0" w:color="auto"/>
          </w:divBdr>
        </w:div>
        <w:div w:id="1325670675">
          <w:marLeft w:val="0"/>
          <w:marRight w:val="0"/>
          <w:marTop w:val="0"/>
          <w:marBottom w:val="0"/>
          <w:divBdr>
            <w:top w:val="none" w:sz="0" w:space="0" w:color="auto"/>
            <w:left w:val="none" w:sz="0" w:space="0" w:color="auto"/>
            <w:bottom w:val="none" w:sz="0" w:space="0" w:color="auto"/>
            <w:right w:val="none" w:sz="0" w:space="0" w:color="auto"/>
          </w:divBdr>
        </w:div>
        <w:div w:id="1362363801">
          <w:marLeft w:val="0"/>
          <w:marRight w:val="0"/>
          <w:marTop w:val="0"/>
          <w:marBottom w:val="0"/>
          <w:divBdr>
            <w:top w:val="none" w:sz="0" w:space="0" w:color="auto"/>
            <w:left w:val="none" w:sz="0" w:space="0" w:color="auto"/>
            <w:bottom w:val="none" w:sz="0" w:space="0" w:color="auto"/>
            <w:right w:val="none" w:sz="0" w:space="0" w:color="auto"/>
          </w:divBdr>
        </w:div>
        <w:div w:id="1659377725">
          <w:marLeft w:val="0"/>
          <w:marRight w:val="0"/>
          <w:marTop w:val="0"/>
          <w:marBottom w:val="0"/>
          <w:divBdr>
            <w:top w:val="none" w:sz="0" w:space="0" w:color="auto"/>
            <w:left w:val="none" w:sz="0" w:space="0" w:color="auto"/>
            <w:bottom w:val="none" w:sz="0" w:space="0" w:color="auto"/>
            <w:right w:val="none" w:sz="0" w:space="0" w:color="auto"/>
          </w:divBdr>
        </w:div>
        <w:div w:id="1680350559">
          <w:marLeft w:val="0"/>
          <w:marRight w:val="0"/>
          <w:marTop w:val="0"/>
          <w:marBottom w:val="0"/>
          <w:divBdr>
            <w:top w:val="none" w:sz="0" w:space="0" w:color="auto"/>
            <w:left w:val="none" w:sz="0" w:space="0" w:color="auto"/>
            <w:bottom w:val="none" w:sz="0" w:space="0" w:color="auto"/>
            <w:right w:val="none" w:sz="0" w:space="0" w:color="auto"/>
          </w:divBdr>
        </w:div>
        <w:div w:id="1762872191">
          <w:marLeft w:val="0"/>
          <w:marRight w:val="0"/>
          <w:marTop w:val="0"/>
          <w:marBottom w:val="0"/>
          <w:divBdr>
            <w:top w:val="none" w:sz="0" w:space="0" w:color="auto"/>
            <w:left w:val="none" w:sz="0" w:space="0" w:color="auto"/>
            <w:bottom w:val="none" w:sz="0" w:space="0" w:color="auto"/>
            <w:right w:val="none" w:sz="0" w:space="0" w:color="auto"/>
          </w:divBdr>
        </w:div>
        <w:div w:id="1773622916">
          <w:marLeft w:val="0"/>
          <w:marRight w:val="0"/>
          <w:marTop w:val="0"/>
          <w:marBottom w:val="0"/>
          <w:divBdr>
            <w:top w:val="none" w:sz="0" w:space="0" w:color="auto"/>
            <w:left w:val="none" w:sz="0" w:space="0" w:color="auto"/>
            <w:bottom w:val="none" w:sz="0" w:space="0" w:color="auto"/>
            <w:right w:val="none" w:sz="0" w:space="0" w:color="auto"/>
          </w:divBdr>
        </w:div>
        <w:div w:id="1894540263">
          <w:marLeft w:val="0"/>
          <w:marRight w:val="0"/>
          <w:marTop w:val="0"/>
          <w:marBottom w:val="0"/>
          <w:divBdr>
            <w:top w:val="none" w:sz="0" w:space="0" w:color="auto"/>
            <w:left w:val="none" w:sz="0" w:space="0" w:color="auto"/>
            <w:bottom w:val="none" w:sz="0" w:space="0" w:color="auto"/>
            <w:right w:val="none" w:sz="0" w:space="0" w:color="auto"/>
          </w:divBdr>
        </w:div>
        <w:div w:id="1913271316">
          <w:marLeft w:val="0"/>
          <w:marRight w:val="0"/>
          <w:marTop w:val="0"/>
          <w:marBottom w:val="0"/>
          <w:divBdr>
            <w:top w:val="none" w:sz="0" w:space="0" w:color="auto"/>
            <w:left w:val="none" w:sz="0" w:space="0" w:color="auto"/>
            <w:bottom w:val="none" w:sz="0" w:space="0" w:color="auto"/>
            <w:right w:val="none" w:sz="0" w:space="0" w:color="auto"/>
          </w:divBdr>
        </w:div>
        <w:div w:id="1919634532">
          <w:marLeft w:val="0"/>
          <w:marRight w:val="0"/>
          <w:marTop w:val="0"/>
          <w:marBottom w:val="0"/>
          <w:divBdr>
            <w:top w:val="none" w:sz="0" w:space="0" w:color="auto"/>
            <w:left w:val="none" w:sz="0" w:space="0" w:color="auto"/>
            <w:bottom w:val="none" w:sz="0" w:space="0" w:color="auto"/>
            <w:right w:val="none" w:sz="0" w:space="0" w:color="auto"/>
          </w:divBdr>
        </w:div>
        <w:div w:id="2106072484">
          <w:marLeft w:val="0"/>
          <w:marRight w:val="0"/>
          <w:marTop w:val="0"/>
          <w:marBottom w:val="0"/>
          <w:divBdr>
            <w:top w:val="none" w:sz="0" w:space="0" w:color="auto"/>
            <w:left w:val="none" w:sz="0" w:space="0" w:color="auto"/>
            <w:bottom w:val="none" w:sz="0" w:space="0" w:color="auto"/>
            <w:right w:val="none" w:sz="0" w:space="0" w:color="auto"/>
          </w:divBdr>
        </w:div>
      </w:divsChild>
    </w:div>
    <w:div w:id="2125688615">
      <w:bodyDiv w:val="1"/>
      <w:marLeft w:val="0"/>
      <w:marRight w:val="0"/>
      <w:marTop w:val="0"/>
      <w:marBottom w:val="0"/>
      <w:divBdr>
        <w:top w:val="none" w:sz="0" w:space="0" w:color="auto"/>
        <w:left w:val="none" w:sz="0" w:space="0" w:color="auto"/>
        <w:bottom w:val="none" w:sz="0" w:space="0" w:color="auto"/>
        <w:right w:val="none" w:sz="0" w:space="0" w:color="auto"/>
      </w:divBdr>
      <w:divsChild>
        <w:div w:id="691616845">
          <w:marLeft w:val="0"/>
          <w:marRight w:val="0"/>
          <w:marTop w:val="0"/>
          <w:marBottom w:val="0"/>
          <w:divBdr>
            <w:top w:val="none" w:sz="0" w:space="0" w:color="auto"/>
            <w:left w:val="none" w:sz="0" w:space="0" w:color="auto"/>
            <w:bottom w:val="none" w:sz="0" w:space="0" w:color="auto"/>
            <w:right w:val="none" w:sz="0" w:space="0" w:color="auto"/>
          </w:divBdr>
        </w:div>
        <w:div w:id="1001078055">
          <w:marLeft w:val="0"/>
          <w:marRight w:val="0"/>
          <w:marTop w:val="0"/>
          <w:marBottom w:val="0"/>
          <w:divBdr>
            <w:top w:val="none" w:sz="0" w:space="0" w:color="auto"/>
            <w:left w:val="none" w:sz="0" w:space="0" w:color="auto"/>
            <w:bottom w:val="none" w:sz="0" w:space="0" w:color="auto"/>
            <w:right w:val="none" w:sz="0" w:space="0" w:color="auto"/>
          </w:divBdr>
        </w:div>
        <w:div w:id="1603684220">
          <w:marLeft w:val="0"/>
          <w:marRight w:val="0"/>
          <w:marTop w:val="0"/>
          <w:marBottom w:val="0"/>
          <w:divBdr>
            <w:top w:val="none" w:sz="0" w:space="0" w:color="auto"/>
            <w:left w:val="none" w:sz="0" w:space="0" w:color="auto"/>
            <w:bottom w:val="none" w:sz="0" w:space="0" w:color="auto"/>
            <w:right w:val="none" w:sz="0" w:space="0" w:color="auto"/>
          </w:divBdr>
        </w:div>
        <w:div w:id="2013144135">
          <w:marLeft w:val="0"/>
          <w:marRight w:val="0"/>
          <w:marTop w:val="0"/>
          <w:marBottom w:val="0"/>
          <w:divBdr>
            <w:top w:val="none" w:sz="0" w:space="0" w:color="auto"/>
            <w:left w:val="none" w:sz="0" w:space="0" w:color="auto"/>
            <w:bottom w:val="none" w:sz="0" w:space="0" w:color="auto"/>
            <w:right w:val="none" w:sz="0" w:space="0" w:color="auto"/>
          </w:divBdr>
        </w:div>
      </w:divsChild>
    </w:div>
    <w:div w:id="2126922608">
      <w:bodyDiv w:val="1"/>
      <w:marLeft w:val="0"/>
      <w:marRight w:val="0"/>
      <w:marTop w:val="0"/>
      <w:marBottom w:val="0"/>
      <w:divBdr>
        <w:top w:val="none" w:sz="0" w:space="0" w:color="auto"/>
        <w:left w:val="none" w:sz="0" w:space="0" w:color="auto"/>
        <w:bottom w:val="none" w:sz="0" w:space="0" w:color="auto"/>
        <w:right w:val="none" w:sz="0" w:space="0" w:color="auto"/>
      </w:divBdr>
    </w:div>
    <w:div w:id="2131824796">
      <w:bodyDiv w:val="1"/>
      <w:marLeft w:val="0"/>
      <w:marRight w:val="0"/>
      <w:marTop w:val="0"/>
      <w:marBottom w:val="0"/>
      <w:divBdr>
        <w:top w:val="none" w:sz="0" w:space="0" w:color="auto"/>
        <w:left w:val="none" w:sz="0" w:space="0" w:color="auto"/>
        <w:bottom w:val="none" w:sz="0" w:space="0" w:color="auto"/>
        <w:right w:val="none" w:sz="0" w:space="0" w:color="auto"/>
      </w:divBdr>
      <w:divsChild>
        <w:div w:id="592280439">
          <w:marLeft w:val="0"/>
          <w:marRight w:val="0"/>
          <w:marTop w:val="0"/>
          <w:marBottom w:val="0"/>
          <w:divBdr>
            <w:top w:val="none" w:sz="0" w:space="0" w:color="auto"/>
            <w:left w:val="none" w:sz="0" w:space="0" w:color="auto"/>
            <w:bottom w:val="none" w:sz="0" w:space="0" w:color="auto"/>
            <w:right w:val="none" w:sz="0" w:space="0" w:color="auto"/>
          </w:divBdr>
        </w:div>
        <w:div w:id="778063043">
          <w:marLeft w:val="0"/>
          <w:marRight w:val="0"/>
          <w:marTop w:val="0"/>
          <w:marBottom w:val="0"/>
          <w:divBdr>
            <w:top w:val="none" w:sz="0" w:space="0" w:color="auto"/>
            <w:left w:val="none" w:sz="0" w:space="0" w:color="auto"/>
            <w:bottom w:val="none" w:sz="0" w:space="0" w:color="auto"/>
            <w:right w:val="none" w:sz="0" w:space="0" w:color="auto"/>
          </w:divBdr>
        </w:div>
        <w:div w:id="1957327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ustomXml" Target="../customXml/item2.xml"/><Relationship Id="rId10" Type="http://schemas.openxmlformats.org/officeDocument/2006/relationships/chart" Target="charts/chart3.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i-tip.wto.org/services/Search.aspx" TargetMode="External"/><Relationship Id="rId13" Type="http://schemas.openxmlformats.org/officeDocument/2006/relationships/hyperlink" Target="http://investmentpolicyhub.unctad.org/Upload/Documents/Mapping%20Project%20Description%20and%20Methodology.pdf" TargetMode="External"/><Relationship Id="rId18" Type="http://schemas.openxmlformats.org/officeDocument/2006/relationships/hyperlink" Target="https://data.worldbank.org/indicator/SI.POV.GINI" TargetMode="External"/><Relationship Id="rId26" Type="http://schemas.openxmlformats.org/officeDocument/2006/relationships/hyperlink" Target="http://mneguidelines.oecd.org/" TargetMode="External"/><Relationship Id="rId3" Type="http://schemas.openxmlformats.org/officeDocument/2006/relationships/hyperlink" Target="https://www.ohchr.org/EN/Issues/Development/Pages/HighLevelTaskForce.aspx" TargetMode="External"/><Relationship Id="rId21" Type="http://schemas.openxmlformats.org/officeDocument/2006/relationships/hyperlink" Target="http://dx.doi.org/10.1787/5jz0xvgx1zlt-en" TargetMode="External"/><Relationship Id="rId7" Type="http://schemas.openxmlformats.org/officeDocument/2006/relationships/hyperlink" Target="https://unstats.un.org/sdgs/tierIII-indicators/files/Tier3-17-05-01.pdf" TargetMode="External"/><Relationship Id="rId12" Type="http://schemas.openxmlformats.org/officeDocument/2006/relationships/hyperlink" Target="https://www.wto.org/english/tratop_e/trips_e/amendment_e.htm" TargetMode="External"/><Relationship Id="rId17" Type="http://schemas.openxmlformats.org/officeDocument/2006/relationships/hyperlink" Target="http://www.uncitral.org/uncitral/en/commission/working_groups/3Investor_State.html" TargetMode="External"/><Relationship Id="rId25" Type="http://schemas.openxmlformats.org/officeDocument/2006/relationships/hyperlink" Target="https://www.transparency.org/" TargetMode="External"/><Relationship Id="rId2" Type="http://schemas.openxmlformats.org/officeDocument/2006/relationships/hyperlink" Target="http://mdgs.un.org/unsd/mdg/Host.aspx?Content=Indicators/OfficialList.htm" TargetMode="External"/><Relationship Id="rId16" Type="http://schemas.openxmlformats.org/officeDocument/2006/relationships/hyperlink" Target="https://unctad.org/en/Pages/DIAE/Investment%20Policy%20Reviews/Investment-Policy-Reviews.aspx" TargetMode="External"/><Relationship Id="rId20" Type="http://schemas.openxmlformats.org/officeDocument/2006/relationships/hyperlink" Target="https://data.worldbank.org/indicator/SI.POV.GINI" TargetMode="External"/><Relationship Id="rId29" Type="http://schemas.openxmlformats.org/officeDocument/2006/relationships/hyperlink" Target="https://www.ohchr.org/EN/HRBodies/HRC/WGTransCorp/Pages/IGWGOnTNC.aspx" TargetMode="External"/><Relationship Id="rId1" Type="http://schemas.openxmlformats.org/officeDocument/2006/relationships/hyperlink" Target="http://www.oecd.org/dac/stats/type-aid.htm" TargetMode="External"/><Relationship Id="rId6" Type="http://schemas.openxmlformats.org/officeDocument/2006/relationships/hyperlink" Target="https://unstats.un.org/sdgs/tierIII-indicators/" TargetMode="External"/><Relationship Id="rId11" Type="http://schemas.openxmlformats.org/officeDocument/2006/relationships/hyperlink" Target="https://www.wto.org/english/tratop_e/dispu_e/dispu_agreements_index_e.htm?id=A26" TargetMode="External"/><Relationship Id="rId24" Type="http://schemas.openxmlformats.org/officeDocument/2006/relationships/hyperlink" Target="https://www.v-dem.net/en/" TargetMode="External"/><Relationship Id="rId5" Type="http://schemas.openxmlformats.org/officeDocument/2006/relationships/hyperlink" Target="https://unstats.un.org/sdgs/iaeg-sdgs/" TargetMode="External"/><Relationship Id="rId15" Type="http://schemas.openxmlformats.org/officeDocument/2006/relationships/hyperlink" Target="https://investmentpolicyhub.unctad.org/InvestmentLaws" TargetMode="External"/><Relationship Id="rId23" Type="http://schemas.openxmlformats.org/officeDocument/2006/relationships/hyperlink" Target="https://www.coe.int/en/web/greco/home" TargetMode="External"/><Relationship Id="rId28" Type="http://schemas.openxmlformats.org/officeDocument/2006/relationships/hyperlink" Target="http://www.uncitral.org/uncitral/en/commission/working_groups/3Investor_State.html" TargetMode="External"/><Relationship Id="rId10" Type="http://schemas.openxmlformats.org/officeDocument/2006/relationships/hyperlink" Target="https://www.wto.org/english/tratop_e/dispu_e/dispu_agreements_index_e.htm?id=A25" TargetMode="External"/><Relationship Id="rId19" Type="http://schemas.openxmlformats.org/officeDocument/2006/relationships/hyperlink" Target="http://www.oecd.org/els/soc/income-distribution-database.htm" TargetMode="External"/><Relationship Id="rId4" Type="http://schemas.openxmlformats.org/officeDocument/2006/relationships/hyperlink" Target="https://www.ohchr.org/EN/Issues/Development/Pages/WGRightToDevelopment.aspx" TargetMode="External"/><Relationship Id="rId9" Type="http://schemas.openxmlformats.org/officeDocument/2006/relationships/hyperlink" Target="http://ccsi.columbia.edu/work/projects/local-content-laws-contractual-provisions/" TargetMode="External"/><Relationship Id="rId14" Type="http://schemas.openxmlformats.org/officeDocument/2006/relationships/hyperlink" Target="https://investmentpolicyhub.unctad.org/InvestmentLaws" TargetMode="External"/><Relationship Id="rId22" Type="http://schemas.openxmlformats.org/officeDocument/2006/relationships/hyperlink" Target="http://www.jus.uio.no/ior/personer/vit/olefa/dokumenter/corporate-resp.pdf" TargetMode="External"/><Relationship Id="rId27" Type="http://schemas.openxmlformats.org/officeDocument/2006/relationships/hyperlink" Target="http://mneguidelines.oecd.org/database/" TargetMode="External"/><Relationship Id="rId30" Type="http://schemas.openxmlformats.org/officeDocument/2006/relationships/hyperlink" Target="https://www.ohchr.org/EN/Issues/Business/Pages/OHCHRaccountabilityandremedyproject.asp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'Ark1'!$B$1</c:f>
              <c:strCache>
                <c:ptCount val="1"/>
                <c:pt idx="0">
                  <c:v>Number of disputes (N=43)</c:v>
                </c:pt>
              </c:strCache>
            </c:strRef>
          </c:tx>
          <c:spPr>
            <a:ln w="28575" cap="rnd">
              <a:solidFill>
                <a:schemeClr val="accent1"/>
              </a:solidFill>
              <a:round/>
            </a:ln>
            <a:effectLst/>
          </c:spPr>
          <c:marker>
            <c:symbol val="none"/>
          </c:marker>
          <c:cat>
            <c:strRef>
              <c:f>'Ark1'!$A$2:$A$6</c:f>
              <c:strCache>
                <c:ptCount val="5"/>
                <c:pt idx="0">
                  <c:v>1995-99</c:v>
                </c:pt>
                <c:pt idx="1">
                  <c:v>2000-04</c:v>
                </c:pt>
                <c:pt idx="2">
                  <c:v>2005-09</c:v>
                </c:pt>
                <c:pt idx="3">
                  <c:v>2010-14</c:v>
                </c:pt>
                <c:pt idx="4">
                  <c:v>2015-19</c:v>
                </c:pt>
              </c:strCache>
            </c:strRef>
          </c:cat>
          <c:val>
            <c:numRef>
              <c:f>'Ark1'!$B$2:$B$6</c:f>
              <c:numCache>
                <c:formatCode>General</c:formatCode>
                <c:ptCount val="5"/>
                <c:pt idx="0">
                  <c:v>16</c:v>
                </c:pt>
                <c:pt idx="1">
                  <c:v>4</c:v>
                </c:pt>
                <c:pt idx="2">
                  <c:v>6</c:v>
                </c:pt>
                <c:pt idx="3">
                  <c:v>14</c:v>
                </c:pt>
                <c:pt idx="4">
                  <c:v>3</c:v>
                </c:pt>
              </c:numCache>
            </c:numRef>
          </c:val>
          <c:smooth val="0"/>
          <c:extLst>
            <c:ext xmlns:c16="http://schemas.microsoft.com/office/drawing/2014/chart" uri="{C3380CC4-5D6E-409C-BE32-E72D297353CC}">
              <c16:uniqueId val="{00000000-6F64-446A-BE82-AF13A786A753}"/>
            </c:ext>
          </c:extLst>
        </c:ser>
        <c:dLbls>
          <c:showLegendKey val="0"/>
          <c:showVal val="0"/>
          <c:showCatName val="0"/>
          <c:showSerName val="0"/>
          <c:showPercent val="0"/>
          <c:showBubbleSize val="0"/>
        </c:dLbls>
        <c:smooth val="0"/>
        <c:axId val="269042864"/>
        <c:axId val="269043520"/>
      </c:lineChart>
      <c:catAx>
        <c:axId val="26904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043520"/>
        <c:crosses val="autoZero"/>
        <c:auto val="1"/>
        <c:lblAlgn val="ctr"/>
        <c:lblOffset val="100"/>
        <c:noMultiLvlLbl val="0"/>
      </c:catAx>
      <c:valAx>
        <c:axId val="269043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042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236512102653832E-2"/>
          <c:y val="8.2489688788901394E-2"/>
          <c:w val="0.71657480314960631"/>
          <c:h val="0.68913964494595659"/>
        </c:manualLayout>
      </c:layout>
      <c:lineChart>
        <c:grouping val="standard"/>
        <c:varyColors val="0"/>
        <c:ser>
          <c:idx val="0"/>
          <c:order val="0"/>
          <c:tx>
            <c:strRef>
              <c:f>'Ark1'!$B$1</c:f>
              <c:strCache>
                <c:ptCount val="1"/>
                <c:pt idx="0">
                  <c:v>Public sector corruption</c:v>
                </c:pt>
              </c:strCache>
            </c:strRef>
          </c:tx>
          <c:spPr>
            <a:ln w="28575" cap="rnd">
              <a:solidFill>
                <a:schemeClr val="tx1"/>
              </a:solidFill>
              <a:prstDash val="dash"/>
              <a:round/>
            </a:ln>
            <a:effectLst/>
          </c:spPr>
          <c:marker>
            <c:symbol val="none"/>
          </c:marker>
          <c:cat>
            <c:numRef>
              <c:f>'Ark1'!$A$2:$A$49</c:f>
              <c:numCache>
                <c:formatCode>General</c:formatCode>
                <c:ptCount val="48"/>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numCache>
            </c:numRef>
          </c:cat>
          <c:val>
            <c:numRef>
              <c:f>'Ark1'!$B$2:$B$49</c:f>
              <c:numCache>
                <c:formatCode>General</c:formatCode>
                <c:ptCount val="48"/>
                <c:pt idx="0">
                  <c:v>0.33300000000000002</c:v>
                </c:pt>
                <c:pt idx="1">
                  <c:v>0.35199999999999998</c:v>
                </c:pt>
                <c:pt idx="2">
                  <c:v>0.35699999999999998</c:v>
                </c:pt>
                <c:pt idx="3">
                  <c:v>0.35699999999999998</c:v>
                </c:pt>
                <c:pt idx="4">
                  <c:v>0.35699999999999998</c:v>
                </c:pt>
                <c:pt idx="5">
                  <c:v>0.34300000000000003</c:v>
                </c:pt>
                <c:pt idx="6">
                  <c:v>0.34399999999999997</c:v>
                </c:pt>
                <c:pt idx="7">
                  <c:v>0.34899999999999998</c:v>
                </c:pt>
                <c:pt idx="8">
                  <c:v>0.35799999999999998</c:v>
                </c:pt>
                <c:pt idx="9">
                  <c:v>0.373</c:v>
                </c:pt>
                <c:pt idx="10">
                  <c:v>0.38800000000000001</c:v>
                </c:pt>
                <c:pt idx="11">
                  <c:v>0.38900000000000001</c:v>
                </c:pt>
                <c:pt idx="12">
                  <c:v>0.39800000000000002</c:v>
                </c:pt>
                <c:pt idx="13">
                  <c:v>0.39100000000000001</c:v>
                </c:pt>
                <c:pt idx="14">
                  <c:v>0.39100000000000001</c:v>
                </c:pt>
                <c:pt idx="15">
                  <c:v>0.40400000000000003</c:v>
                </c:pt>
                <c:pt idx="16">
                  <c:v>0.40200000000000002</c:v>
                </c:pt>
                <c:pt idx="17">
                  <c:v>0.41899999999999998</c:v>
                </c:pt>
                <c:pt idx="18">
                  <c:v>0.432</c:v>
                </c:pt>
                <c:pt idx="19">
                  <c:v>0.435</c:v>
                </c:pt>
                <c:pt idx="20">
                  <c:v>0.48299999999999998</c:v>
                </c:pt>
                <c:pt idx="21">
                  <c:v>0.497</c:v>
                </c:pt>
                <c:pt idx="22">
                  <c:v>0.505</c:v>
                </c:pt>
                <c:pt idx="23">
                  <c:v>0.52100000000000002</c:v>
                </c:pt>
                <c:pt idx="24">
                  <c:v>0.54500000000000004</c:v>
                </c:pt>
                <c:pt idx="25">
                  <c:v>0.56399999999999995</c:v>
                </c:pt>
                <c:pt idx="26">
                  <c:v>0.56799999999999995</c:v>
                </c:pt>
                <c:pt idx="27">
                  <c:v>0.56899999999999995</c:v>
                </c:pt>
                <c:pt idx="28">
                  <c:v>0.57499999999999996</c:v>
                </c:pt>
                <c:pt idx="29">
                  <c:v>0.57699999999999996</c:v>
                </c:pt>
                <c:pt idx="30">
                  <c:v>0.58499999999999996</c:v>
                </c:pt>
                <c:pt idx="31">
                  <c:v>0.58399999999999996</c:v>
                </c:pt>
                <c:pt idx="32">
                  <c:v>0.58499999999999996</c:v>
                </c:pt>
                <c:pt idx="33">
                  <c:v>0.58299999999999996</c:v>
                </c:pt>
                <c:pt idx="34">
                  <c:v>0.58499999999999996</c:v>
                </c:pt>
                <c:pt idx="35">
                  <c:v>0.59499999999999997</c:v>
                </c:pt>
                <c:pt idx="36">
                  <c:v>0.59199999999999997</c:v>
                </c:pt>
                <c:pt idx="37">
                  <c:v>0.59199999999999997</c:v>
                </c:pt>
                <c:pt idx="38">
                  <c:v>0.59499999999999997</c:v>
                </c:pt>
                <c:pt idx="39">
                  <c:v>0.59799999999999998</c:v>
                </c:pt>
                <c:pt idx="40">
                  <c:v>0.59399999999999997</c:v>
                </c:pt>
                <c:pt idx="41">
                  <c:v>0.59299999999999997</c:v>
                </c:pt>
                <c:pt idx="42">
                  <c:v>0.59399999999999997</c:v>
                </c:pt>
                <c:pt idx="43">
                  <c:v>0.58099999999999996</c:v>
                </c:pt>
                <c:pt idx="44">
                  <c:v>0.57799999999999996</c:v>
                </c:pt>
                <c:pt idx="45">
                  <c:v>0.58199999999999996</c:v>
                </c:pt>
                <c:pt idx="46">
                  <c:v>0.55900000000000005</c:v>
                </c:pt>
                <c:pt idx="47">
                  <c:v>0.54200000000000004</c:v>
                </c:pt>
              </c:numCache>
            </c:numRef>
          </c:val>
          <c:smooth val="0"/>
          <c:extLst>
            <c:ext xmlns:c16="http://schemas.microsoft.com/office/drawing/2014/chart" uri="{C3380CC4-5D6E-409C-BE32-E72D297353CC}">
              <c16:uniqueId val="{00000000-DA83-4CAE-8095-0B18FB9B3011}"/>
            </c:ext>
          </c:extLst>
        </c:ser>
        <c:ser>
          <c:idx val="1"/>
          <c:order val="1"/>
          <c:tx>
            <c:strRef>
              <c:f>'Ark1'!$C$1</c:f>
              <c:strCache>
                <c:ptCount val="1"/>
                <c:pt idx="0">
                  <c:v>Political corruption</c:v>
                </c:pt>
              </c:strCache>
            </c:strRef>
          </c:tx>
          <c:spPr>
            <a:ln w="28575" cap="rnd">
              <a:solidFill>
                <a:schemeClr val="tx1"/>
              </a:solidFill>
              <a:round/>
            </a:ln>
            <a:effectLst/>
          </c:spPr>
          <c:marker>
            <c:symbol val="none"/>
          </c:marker>
          <c:cat>
            <c:numRef>
              <c:f>'Ark1'!$A$2:$A$49</c:f>
              <c:numCache>
                <c:formatCode>General</c:formatCode>
                <c:ptCount val="48"/>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numCache>
            </c:numRef>
          </c:cat>
          <c:val>
            <c:numRef>
              <c:f>'Ark1'!$C$2:$C$49</c:f>
              <c:numCache>
                <c:formatCode>General</c:formatCode>
                <c:ptCount val="48"/>
                <c:pt idx="0">
                  <c:v>0.35</c:v>
                </c:pt>
                <c:pt idx="1">
                  <c:v>0.36499999999999999</c:v>
                </c:pt>
                <c:pt idx="2">
                  <c:v>0.35799999999999998</c:v>
                </c:pt>
                <c:pt idx="3">
                  <c:v>0.36399999999999999</c:v>
                </c:pt>
                <c:pt idx="4">
                  <c:v>0.36899999999999999</c:v>
                </c:pt>
                <c:pt idx="5">
                  <c:v>0.36299999999999999</c:v>
                </c:pt>
                <c:pt idx="6">
                  <c:v>0.36499999999999999</c:v>
                </c:pt>
                <c:pt idx="7">
                  <c:v>0.37</c:v>
                </c:pt>
                <c:pt idx="8">
                  <c:v>0.378</c:v>
                </c:pt>
                <c:pt idx="9">
                  <c:v>0.39100000000000001</c:v>
                </c:pt>
                <c:pt idx="10">
                  <c:v>0.41499999999999998</c:v>
                </c:pt>
                <c:pt idx="11">
                  <c:v>0.41499999999999998</c:v>
                </c:pt>
                <c:pt idx="12">
                  <c:v>0.42399999999999999</c:v>
                </c:pt>
                <c:pt idx="13">
                  <c:v>0.41399999999999998</c:v>
                </c:pt>
                <c:pt idx="14">
                  <c:v>0.41599999999999998</c:v>
                </c:pt>
                <c:pt idx="15">
                  <c:v>0.42</c:v>
                </c:pt>
                <c:pt idx="16">
                  <c:v>0.42799999999999999</c:v>
                </c:pt>
                <c:pt idx="17">
                  <c:v>0.432</c:v>
                </c:pt>
                <c:pt idx="18">
                  <c:v>0.44800000000000001</c:v>
                </c:pt>
                <c:pt idx="19">
                  <c:v>0.44800000000000001</c:v>
                </c:pt>
                <c:pt idx="20">
                  <c:v>0.47399999999999998</c:v>
                </c:pt>
                <c:pt idx="21">
                  <c:v>0.48399999999999999</c:v>
                </c:pt>
                <c:pt idx="22">
                  <c:v>0.499</c:v>
                </c:pt>
                <c:pt idx="23">
                  <c:v>0.503</c:v>
                </c:pt>
                <c:pt idx="24">
                  <c:v>0.51700000000000002</c:v>
                </c:pt>
                <c:pt idx="25">
                  <c:v>0.54100000000000004</c:v>
                </c:pt>
                <c:pt idx="26">
                  <c:v>0.55000000000000004</c:v>
                </c:pt>
                <c:pt idx="27">
                  <c:v>0.55400000000000005</c:v>
                </c:pt>
                <c:pt idx="28">
                  <c:v>0.55900000000000005</c:v>
                </c:pt>
                <c:pt idx="29">
                  <c:v>0.55600000000000005</c:v>
                </c:pt>
                <c:pt idx="30">
                  <c:v>0.56200000000000006</c:v>
                </c:pt>
                <c:pt idx="31">
                  <c:v>0.55300000000000005</c:v>
                </c:pt>
                <c:pt idx="32">
                  <c:v>0.56399999999999995</c:v>
                </c:pt>
                <c:pt idx="33">
                  <c:v>0.56799999999999995</c:v>
                </c:pt>
                <c:pt idx="34">
                  <c:v>0.56799999999999995</c:v>
                </c:pt>
                <c:pt idx="35">
                  <c:v>0.56599999999999995</c:v>
                </c:pt>
                <c:pt idx="36">
                  <c:v>0.56499999999999995</c:v>
                </c:pt>
                <c:pt idx="37">
                  <c:v>0.56599999999999995</c:v>
                </c:pt>
                <c:pt idx="38">
                  <c:v>0.56999999999999995</c:v>
                </c:pt>
                <c:pt idx="39">
                  <c:v>0.57799999999999996</c:v>
                </c:pt>
                <c:pt idx="40">
                  <c:v>0.57999999999999996</c:v>
                </c:pt>
                <c:pt idx="41">
                  <c:v>0.57599999999999996</c:v>
                </c:pt>
                <c:pt idx="42">
                  <c:v>0.57399999999999995</c:v>
                </c:pt>
                <c:pt idx="43">
                  <c:v>0.54700000000000004</c:v>
                </c:pt>
                <c:pt idx="44">
                  <c:v>0.54600000000000004</c:v>
                </c:pt>
                <c:pt idx="45">
                  <c:v>0.54700000000000004</c:v>
                </c:pt>
                <c:pt idx="46">
                  <c:v>0.53800000000000003</c:v>
                </c:pt>
                <c:pt idx="47">
                  <c:v>0.51900000000000002</c:v>
                </c:pt>
              </c:numCache>
            </c:numRef>
          </c:val>
          <c:smooth val="0"/>
          <c:extLst>
            <c:ext xmlns:c16="http://schemas.microsoft.com/office/drawing/2014/chart" uri="{C3380CC4-5D6E-409C-BE32-E72D297353CC}">
              <c16:uniqueId val="{00000001-DA83-4CAE-8095-0B18FB9B3011}"/>
            </c:ext>
          </c:extLst>
        </c:ser>
        <c:ser>
          <c:idx val="2"/>
          <c:order val="2"/>
          <c:tx>
            <c:strRef>
              <c:f>'Ark1'!$D$1</c:f>
              <c:strCache>
                <c:ptCount val="1"/>
                <c:pt idx="0">
                  <c:v>Executive corruption</c:v>
                </c:pt>
              </c:strCache>
            </c:strRef>
          </c:tx>
          <c:spPr>
            <a:ln w="28575" cap="rnd">
              <a:solidFill>
                <a:schemeClr val="tx1"/>
              </a:solidFill>
              <a:prstDash val="sysDot"/>
              <a:round/>
            </a:ln>
            <a:effectLst/>
          </c:spPr>
          <c:marker>
            <c:symbol val="none"/>
          </c:marker>
          <c:cat>
            <c:numRef>
              <c:f>'Ark1'!$A$2:$A$49</c:f>
              <c:numCache>
                <c:formatCode>General</c:formatCode>
                <c:ptCount val="48"/>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numCache>
            </c:numRef>
          </c:cat>
          <c:val>
            <c:numRef>
              <c:f>'Ark1'!$D$2:$D$49</c:f>
              <c:numCache>
                <c:formatCode>General</c:formatCode>
                <c:ptCount val="48"/>
                <c:pt idx="0">
                  <c:v>0.32700000000000001</c:v>
                </c:pt>
                <c:pt idx="1">
                  <c:v>0.34200000000000003</c:v>
                </c:pt>
                <c:pt idx="2">
                  <c:v>0.34</c:v>
                </c:pt>
                <c:pt idx="3">
                  <c:v>0.34100000000000003</c:v>
                </c:pt>
                <c:pt idx="4">
                  <c:v>0.32800000000000001</c:v>
                </c:pt>
                <c:pt idx="5">
                  <c:v>0.34300000000000003</c:v>
                </c:pt>
                <c:pt idx="6">
                  <c:v>0.34300000000000003</c:v>
                </c:pt>
                <c:pt idx="7">
                  <c:v>0.34300000000000003</c:v>
                </c:pt>
                <c:pt idx="8">
                  <c:v>0.36399999999999999</c:v>
                </c:pt>
                <c:pt idx="9">
                  <c:v>0.375</c:v>
                </c:pt>
                <c:pt idx="10">
                  <c:v>0.39700000000000002</c:v>
                </c:pt>
                <c:pt idx="11">
                  <c:v>0.39900000000000002</c:v>
                </c:pt>
                <c:pt idx="12">
                  <c:v>0.40400000000000003</c:v>
                </c:pt>
                <c:pt idx="13">
                  <c:v>0.4</c:v>
                </c:pt>
                <c:pt idx="14">
                  <c:v>0.4</c:v>
                </c:pt>
                <c:pt idx="15">
                  <c:v>0.40200000000000002</c:v>
                </c:pt>
                <c:pt idx="16">
                  <c:v>0.40500000000000003</c:v>
                </c:pt>
                <c:pt idx="17">
                  <c:v>0.41199999999999998</c:v>
                </c:pt>
                <c:pt idx="18">
                  <c:v>0.42199999999999999</c:v>
                </c:pt>
                <c:pt idx="19">
                  <c:v>0.43099999999999999</c:v>
                </c:pt>
                <c:pt idx="20">
                  <c:v>0.47699999999999998</c:v>
                </c:pt>
                <c:pt idx="21">
                  <c:v>0.46400000000000002</c:v>
                </c:pt>
                <c:pt idx="22">
                  <c:v>0.48</c:v>
                </c:pt>
                <c:pt idx="23">
                  <c:v>0.48499999999999999</c:v>
                </c:pt>
                <c:pt idx="24">
                  <c:v>0.496</c:v>
                </c:pt>
                <c:pt idx="25">
                  <c:v>0.52</c:v>
                </c:pt>
                <c:pt idx="26">
                  <c:v>0.52500000000000002</c:v>
                </c:pt>
                <c:pt idx="27">
                  <c:v>0.53100000000000003</c:v>
                </c:pt>
                <c:pt idx="28">
                  <c:v>0.54200000000000004</c:v>
                </c:pt>
                <c:pt idx="29">
                  <c:v>0.55200000000000005</c:v>
                </c:pt>
                <c:pt idx="30">
                  <c:v>0.55800000000000005</c:v>
                </c:pt>
                <c:pt idx="31">
                  <c:v>0.54600000000000004</c:v>
                </c:pt>
                <c:pt idx="32">
                  <c:v>0.54100000000000004</c:v>
                </c:pt>
                <c:pt idx="33">
                  <c:v>0.54500000000000004</c:v>
                </c:pt>
                <c:pt idx="34">
                  <c:v>0.54500000000000004</c:v>
                </c:pt>
                <c:pt idx="35">
                  <c:v>0.53600000000000003</c:v>
                </c:pt>
                <c:pt idx="36">
                  <c:v>0.53400000000000003</c:v>
                </c:pt>
                <c:pt idx="37">
                  <c:v>0.53300000000000003</c:v>
                </c:pt>
                <c:pt idx="38">
                  <c:v>0.53600000000000003</c:v>
                </c:pt>
                <c:pt idx="39">
                  <c:v>0.55300000000000005</c:v>
                </c:pt>
                <c:pt idx="40">
                  <c:v>0.55500000000000005</c:v>
                </c:pt>
                <c:pt idx="41">
                  <c:v>0.54500000000000004</c:v>
                </c:pt>
                <c:pt idx="42">
                  <c:v>0.54500000000000004</c:v>
                </c:pt>
                <c:pt idx="43">
                  <c:v>0.51200000000000001</c:v>
                </c:pt>
                <c:pt idx="44">
                  <c:v>0.50600000000000001</c:v>
                </c:pt>
                <c:pt idx="45">
                  <c:v>0.504</c:v>
                </c:pt>
                <c:pt idx="46">
                  <c:v>0.48499999999999999</c:v>
                </c:pt>
                <c:pt idx="47">
                  <c:v>0.45700000000000002</c:v>
                </c:pt>
              </c:numCache>
            </c:numRef>
          </c:val>
          <c:smooth val="0"/>
          <c:extLst>
            <c:ext xmlns:c16="http://schemas.microsoft.com/office/drawing/2014/chart" uri="{C3380CC4-5D6E-409C-BE32-E72D297353CC}">
              <c16:uniqueId val="{00000002-DA83-4CAE-8095-0B18FB9B3011}"/>
            </c:ext>
          </c:extLst>
        </c:ser>
        <c:dLbls>
          <c:showLegendKey val="0"/>
          <c:showVal val="0"/>
          <c:showCatName val="0"/>
          <c:showSerName val="0"/>
          <c:showPercent val="0"/>
          <c:showBubbleSize val="0"/>
        </c:dLbls>
        <c:smooth val="0"/>
        <c:axId val="689022392"/>
        <c:axId val="689029936"/>
      </c:lineChart>
      <c:catAx>
        <c:axId val="689022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9029936"/>
        <c:crosses val="autoZero"/>
        <c:auto val="1"/>
        <c:lblAlgn val="ctr"/>
        <c:lblOffset val="100"/>
        <c:noMultiLvlLbl val="0"/>
      </c:catAx>
      <c:valAx>
        <c:axId val="689029936"/>
        <c:scaling>
          <c:orientation val="minMax"/>
          <c:max val="0.60000000000000009"/>
          <c:min val="0.3000000000000000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9022392"/>
        <c:crosses val="autoZero"/>
        <c:crossBetween val="between"/>
      </c:valAx>
      <c:spPr>
        <a:noFill/>
        <a:ln>
          <a:noFill/>
        </a:ln>
        <a:effectLst/>
      </c:spPr>
    </c:plotArea>
    <c:legend>
      <c:legendPos val="r"/>
      <c:layout>
        <c:manualLayout>
          <c:xMode val="edge"/>
          <c:yMode val="edge"/>
          <c:x val="0.79938538932633418"/>
          <c:y val="0.10201854689423662"/>
          <c:w val="0.18672572178477689"/>
          <c:h val="0.610186915611926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236512102653832E-2"/>
          <c:y val="4.4824250565114743E-2"/>
          <c:w val="0.69020669291338588"/>
          <c:h val="0.75514016349484003"/>
        </c:manualLayout>
      </c:layout>
      <c:lineChart>
        <c:grouping val="standard"/>
        <c:varyColors val="0"/>
        <c:ser>
          <c:idx val="0"/>
          <c:order val="0"/>
          <c:tx>
            <c:strRef>
              <c:f>'Ark1'!$B$1</c:f>
              <c:strCache>
                <c:ptCount val="1"/>
                <c:pt idx="0">
                  <c:v>LDC average </c:v>
                </c:pt>
              </c:strCache>
            </c:strRef>
          </c:tx>
          <c:spPr>
            <a:ln w="28575" cap="rnd">
              <a:solidFill>
                <a:schemeClr val="tx1"/>
              </a:solidFill>
              <a:prstDash val="dash"/>
              <a:round/>
            </a:ln>
            <a:effectLst/>
          </c:spPr>
          <c:marker>
            <c:symbol val="none"/>
          </c:marker>
          <c:cat>
            <c:strRef>
              <c:f>'Ark1'!$A$2:$A$22</c:f>
              <c:strCache>
                <c:ptCount val="21"/>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strCache>
            </c:strRef>
          </c:cat>
          <c:val>
            <c:numRef>
              <c:f>'Ark1'!$B$2:$B$22</c:f>
              <c:numCache>
                <c:formatCode>General</c:formatCode>
                <c:ptCount val="21"/>
                <c:pt idx="0">
                  <c:v>0.69</c:v>
                </c:pt>
                <c:pt idx="1">
                  <c:v>0.69</c:v>
                </c:pt>
                <c:pt idx="2">
                  <c:v>0.71</c:v>
                </c:pt>
                <c:pt idx="3">
                  <c:v>0.78</c:v>
                </c:pt>
                <c:pt idx="4">
                  <c:v>0.76</c:v>
                </c:pt>
                <c:pt idx="5">
                  <c:v>0.77</c:v>
                </c:pt>
                <c:pt idx="6">
                  <c:v>0.76</c:v>
                </c:pt>
                <c:pt idx="7">
                  <c:v>0.75</c:v>
                </c:pt>
                <c:pt idx="8">
                  <c:v>0.74</c:v>
                </c:pt>
                <c:pt idx="9">
                  <c:v>0.75</c:v>
                </c:pt>
                <c:pt idx="10">
                  <c:v>0.75</c:v>
                </c:pt>
                <c:pt idx="11">
                  <c:v>0.75</c:v>
                </c:pt>
                <c:pt idx="12">
                  <c:v>0.74</c:v>
                </c:pt>
                <c:pt idx="13">
                  <c:v>0.74</c:v>
                </c:pt>
                <c:pt idx="14">
                  <c:v>0.7</c:v>
                </c:pt>
                <c:pt idx="15">
                  <c:v>0.71</c:v>
                </c:pt>
                <c:pt idx="16">
                  <c:v>0.71</c:v>
                </c:pt>
                <c:pt idx="17">
                  <c:v>0.72</c:v>
                </c:pt>
                <c:pt idx="18">
                  <c:v>0.71</c:v>
                </c:pt>
                <c:pt idx="19">
                  <c:v>0.7</c:v>
                </c:pt>
                <c:pt idx="20">
                  <c:v>0.7</c:v>
                </c:pt>
              </c:numCache>
            </c:numRef>
          </c:val>
          <c:smooth val="0"/>
          <c:extLst>
            <c:ext xmlns:c16="http://schemas.microsoft.com/office/drawing/2014/chart" uri="{C3380CC4-5D6E-409C-BE32-E72D297353CC}">
              <c16:uniqueId val="{00000000-768E-46DB-B515-C0D97F519809}"/>
            </c:ext>
          </c:extLst>
        </c:ser>
        <c:ser>
          <c:idx val="1"/>
          <c:order val="1"/>
          <c:tx>
            <c:strRef>
              <c:f>'Ark1'!$C$1</c:f>
              <c:strCache>
                <c:ptCount val="1"/>
                <c:pt idx="0">
                  <c:v>World average</c:v>
                </c:pt>
              </c:strCache>
            </c:strRef>
          </c:tx>
          <c:spPr>
            <a:ln w="28575" cap="rnd">
              <a:solidFill>
                <a:schemeClr val="tx1"/>
              </a:solidFill>
              <a:round/>
            </a:ln>
            <a:effectLst/>
          </c:spPr>
          <c:marker>
            <c:symbol val="none"/>
          </c:marker>
          <c:cat>
            <c:strRef>
              <c:f>'Ark1'!$A$2:$A$22</c:f>
              <c:strCache>
                <c:ptCount val="21"/>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strCache>
            </c:strRef>
          </c:cat>
          <c:val>
            <c:numRef>
              <c:f>'Ark1'!$C$2:$C$22</c:f>
              <c:numCache>
                <c:formatCode>General</c:formatCode>
                <c:ptCount val="21"/>
                <c:pt idx="0">
                  <c:v>0.51</c:v>
                </c:pt>
                <c:pt idx="1">
                  <c:v>0.54</c:v>
                </c:pt>
                <c:pt idx="2">
                  <c:v>0.52</c:v>
                </c:pt>
                <c:pt idx="3">
                  <c:v>0.52</c:v>
                </c:pt>
                <c:pt idx="4">
                  <c:v>0.54</c:v>
                </c:pt>
                <c:pt idx="5">
                  <c:v>0.57999999999999996</c:v>
                </c:pt>
                <c:pt idx="6">
                  <c:v>0.57999999999999996</c:v>
                </c:pt>
                <c:pt idx="7">
                  <c:v>0.59</c:v>
                </c:pt>
                <c:pt idx="8">
                  <c:v>0.59</c:v>
                </c:pt>
                <c:pt idx="9">
                  <c:v>0.6</c:v>
                </c:pt>
                <c:pt idx="10">
                  <c:v>0.6</c:v>
                </c:pt>
                <c:pt idx="11">
                  <c:v>0.6</c:v>
                </c:pt>
                <c:pt idx="12">
                  <c:v>0.6</c:v>
                </c:pt>
                <c:pt idx="13">
                  <c:v>0.6</c:v>
                </c:pt>
                <c:pt idx="14">
                  <c:v>0.56999999999999995</c:v>
                </c:pt>
                <c:pt idx="15">
                  <c:v>0.56999999999999995</c:v>
                </c:pt>
                <c:pt idx="16">
                  <c:v>0.56999999999999995</c:v>
                </c:pt>
                <c:pt idx="17">
                  <c:v>0.56999999999999995</c:v>
                </c:pt>
                <c:pt idx="18">
                  <c:v>0.56999999999999995</c:v>
                </c:pt>
                <c:pt idx="19">
                  <c:v>0.56999999999999995</c:v>
                </c:pt>
                <c:pt idx="20">
                  <c:v>0.56999999999999995</c:v>
                </c:pt>
              </c:numCache>
            </c:numRef>
          </c:val>
          <c:smooth val="0"/>
          <c:extLst>
            <c:ext xmlns:c16="http://schemas.microsoft.com/office/drawing/2014/chart" uri="{C3380CC4-5D6E-409C-BE32-E72D297353CC}">
              <c16:uniqueId val="{00000001-768E-46DB-B515-C0D97F519809}"/>
            </c:ext>
          </c:extLst>
        </c:ser>
        <c:ser>
          <c:idx val="2"/>
          <c:order val="2"/>
          <c:tx>
            <c:strRef>
              <c:f>'Ark1'!$D$1</c:f>
              <c:strCache>
                <c:ptCount val="1"/>
                <c:pt idx="0">
                  <c:v>OECD average</c:v>
                </c:pt>
              </c:strCache>
            </c:strRef>
          </c:tx>
          <c:spPr>
            <a:ln w="28575" cap="rnd">
              <a:solidFill>
                <a:schemeClr val="tx1"/>
              </a:solidFill>
              <a:prstDash val="sysDot"/>
              <a:round/>
            </a:ln>
            <a:effectLst/>
          </c:spPr>
          <c:marker>
            <c:symbol val="none"/>
          </c:marker>
          <c:cat>
            <c:strRef>
              <c:f>'Ark1'!$A$2:$A$22</c:f>
              <c:strCache>
                <c:ptCount val="21"/>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strCache>
            </c:strRef>
          </c:cat>
          <c:val>
            <c:numRef>
              <c:f>'Ark1'!$D$2:$D$22</c:f>
              <c:numCache>
                <c:formatCode>General</c:formatCode>
                <c:ptCount val="21"/>
                <c:pt idx="0">
                  <c:v>0.32</c:v>
                </c:pt>
                <c:pt idx="1">
                  <c:v>0.33</c:v>
                </c:pt>
                <c:pt idx="2">
                  <c:v>0.33</c:v>
                </c:pt>
                <c:pt idx="3">
                  <c:v>0.32</c:v>
                </c:pt>
                <c:pt idx="4">
                  <c:v>0.32</c:v>
                </c:pt>
                <c:pt idx="5">
                  <c:v>0.32</c:v>
                </c:pt>
                <c:pt idx="6">
                  <c:v>0.32</c:v>
                </c:pt>
                <c:pt idx="7">
                  <c:v>0.31</c:v>
                </c:pt>
                <c:pt idx="8">
                  <c:v>0.3</c:v>
                </c:pt>
                <c:pt idx="9">
                  <c:v>0.3</c:v>
                </c:pt>
                <c:pt idx="10">
                  <c:v>0.31</c:v>
                </c:pt>
                <c:pt idx="11">
                  <c:v>0.32</c:v>
                </c:pt>
                <c:pt idx="12">
                  <c:v>0.32</c:v>
                </c:pt>
                <c:pt idx="13">
                  <c:v>0.32</c:v>
                </c:pt>
                <c:pt idx="14">
                  <c:v>0.32</c:v>
                </c:pt>
                <c:pt idx="15">
                  <c:v>0.32</c:v>
                </c:pt>
                <c:pt idx="16">
                  <c:v>0.31</c:v>
                </c:pt>
                <c:pt idx="17">
                  <c:v>0.31</c:v>
                </c:pt>
                <c:pt idx="18">
                  <c:v>0.32</c:v>
                </c:pt>
                <c:pt idx="19">
                  <c:v>0.32</c:v>
                </c:pt>
                <c:pt idx="20">
                  <c:v>0.32</c:v>
                </c:pt>
              </c:numCache>
            </c:numRef>
          </c:val>
          <c:smooth val="0"/>
          <c:extLst>
            <c:ext xmlns:c16="http://schemas.microsoft.com/office/drawing/2014/chart" uri="{C3380CC4-5D6E-409C-BE32-E72D297353CC}">
              <c16:uniqueId val="{00000002-768E-46DB-B515-C0D97F519809}"/>
            </c:ext>
          </c:extLst>
        </c:ser>
        <c:dLbls>
          <c:showLegendKey val="0"/>
          <c:showVal val="0"/>
          <c:showCatName val="0"/>
          <c:showSerName val="0"/>
          <c:showPercent val="0"/>
          <c:showBubbleSize val="0"/>
        </c:dLbls>
        <c:smooth val="0"/>
        <c:axId val="626142976"/>
        <c:axId val="626142648"/>
      </c:lineChart>
      <c:catAx>
        <c:axId val="626142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142648"/>
        <c:crosses val="autoZero"/>
        <c:auto val="0"/>
        <c:lblAlgn val="ctr"/>
        <c:lblOffset val="100"/>
        <c:noMultiLvlLbl val="0"/>
      </c:catAx>
      <c:valAx>
        <c:axId val="626142648"/>
        <c:scaling>
          <c:orientation val="minMax"/>
          <c:max val="0.8"/>
          <c:min val="0.28000000000000003"/>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142976"/>
        <c:crosses val="autoZero"/>
        <c:crossBetween val="between"/>
      </c:valAx>
      <c:spPr>
        <a:noFill/>
        <a:ln>
          <a:noFill/>
        </a:ln>
        <a:effectLst/>
      </c:spPr>
    </c:plotArea>
    <c:legend>
      <c:legendPos val="r"/>
      <c:layout>
        <c:manualLayout>
          <c:xMode val="edge"/>
          <c:yMode val="edge"/>
          <c:x val="0.77466308863858391"/>
          <c:y val="0.19138212168726468"/>
          <c:w val="0.21144794400699912"/>
          <c:h val="0.487131121482839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'Ark1'!$B$1</c:f>
              <c:strCache>
                <c:ptCount val="1"/>
                <c:pt idx="0">
                  <c:v>Number of disputes (N=40)</c:v>
                </c:pt>
              </c:strCache>
            </c:strRef>
          </c:tx>
          <c:spPr>
            <a:ln w="28575" cap="rnd">
              <a:solidFill>
                <a:schemeClr val="accent1"/>
              </a:solidFill>
              <a:round/>
            </a:ln>
            <a:effectLst/>
          </c:spPr>
          <c:marker>
            <c:symbol val="none"/>
          </c:marker>
          <c:cat>
            <c:strRef>
              <c:f>'Ark1'!$A$2:$A$6</c:f>
              <c:strCache>
                <c:ptCount val="5"/>
                <c:pt idx="0">
                  <c:v>1995-99</c:v>
                </c:pt>
                <c:pt idx="1">
                  <c:v>2000-04</c:v>
                </c:pt>
                <c:pt idx="2">
                  <c:v>2005-09</c:v>
                </c:pt>
                <c:pt idx="3">
                  <c:v>2010-14</c:v>
                </c:pt>
                <c:pt idx="4">
                  <c:v>2015-19</c:v>
                </c:pt>
              </c:strCache>
            </c:strRef>
          </c:cat>
          <c:val>
            <c:numRef>
              <c:f>'Ark1'!$B$2:$B$6</c:f>
              <c:numCache>
                <c:formatCode>General</c:formatCode>
                <c:ptCount val="5"/>
                <c:pt idx="0">
                  <c:v>20</c:v>
                </c:pt>
                <c:pt idx="1">
                  <c:v>5</c:v>
                </c:pt>
                <c:pt idx="2">
                  <c:v>2</c:v>
                </c:pt>
                <c:pt idx="3">
                  <c:v>7</c:v>
                </c:pt>
                <c:pt idx="4">
                  <c:v>6</c:v>
                </c:pt>
              </c:numCache>
            </c:numRef>
          </c:val>
          <c:smooth val="0"/>
          <c:extLst>
            <c:ext xmlns:c16="http://schemas.microsoft.com/office/drawing/2014/chart" uri="{C3380CC4-5D6E-409C-BE32-E72D297353CC}">
              <c16:uniqueId val="{00000000-2002-421A-840B-98860C0A328F}"/>
            </c:ext>
          </c:extLst>
        </c:ser>
        <c:dLbls>
          <c:showLegendKey val="0"/>
          <c:showVal val="0"/>
          <c:showCatName val="0"/>
          <c:showSerName val="0"/>
          <c:showPercent val="0"/>
          <c:showBubbleSize val="0"/>
        </c:dLbls>
        <c:smooth val="0"/>
        <c:axId val="238986424"/>
        <c:axId val="238986752"/>
      </c:lineChart>
      <c:catAx>
        <c:axId val="238986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986752"/>
        <c:crosses val="autoZero"/>
        <c:auto val="1"/>
        <c:lblAlgn val="ctr"/>
        <c:lblOffset val="100"/>
        <c:noMultiLvlLbl val="0"/>
      </c:catAx>
      <c:valAx>
        <c:axId val="238986752"/>
        <c:scaling>
          <c:orientation val="minMax"/>
          <c:max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986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'Ark1'!$C$1</c:f>
              <c:strCache>
                <c:ptCount val="1"/>
                <c:pt idx="0">
                  <c:v>Countries with investment legislation</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'Ark1'!$A$2:$A$8</c:f>
              <c:strCache>
                <c:ptCount val="7"/>
                <c:pt idx="0">
                  <c:v>OECD  %</c:v>
                </c:pt>
                <c:pt idx="1">
                  <c:v>LDCs %</c:v>
                </c:pt>
                <c:pt idx="2">
                  <c:v>Investment promotion</c:v>
                </c:pt>
                <c:pt idx="3">
                  <c:v>Economic development</c:v>
                </c:pt>
                <c:pt idx="4">
                  <c:v>Social development</c:v>
                </c:pt>
                <c:pt idx="5">
                  <c:v>Investment protection</c:v>
                </c:pt>
                <c:pt idx="6">
                  <c:v>Sustainable development</c:v>
                </c:pt>
              </c:strCache>
            </c:strRef>
          </c:cat>
          <c:val>
            <c:numRef>
              <c:f>'Ark1'!$C$2:$C$8</c:f>
              <c:numCache>
                <c:formatCode>General</c:formatCode>
                <c:ptCount val="7"/>
                <c:pt idx="0">
                  <c:v>17</c:v>
                </c:pt>
                <c:pt idx="1">
                  <c:v>79</c:v>
                </c:pt>
              </c:numCache>
            </c:numRef>
          </c:val>
          <c:extLst>
            <c:ext xmlns:c16="http://schemas.microsoft.com/office/drawing/2014/chart" uri="{C3380CC4-5D6E-409C-BE32-E72D297353CC}">
              <c16:uniqueId val="{00000001-3219-4AC4-AD8E-E2EEA9D8F203}"/>
            </c:ext>
          </c:extLst>
        </c:ser>
        <c:dLbls>
          <c:showLegendKey val="0"/>
          <c:showVal val="1"/>
          <c:showCatName val="0"/>
          <c:showSerName val="0"/>
          <c:showPercent val="0"/>
          <c:showBubbleSize val="0"/>
        </c:dLbls>
        <c:gapWidth val="219"/>
        <c:overlap val="-27"/>
        <c:axId val="373642168"/>
        <c:axId val="373642824"/>
      </c:barChart>
      <c:barChart>
        <c:barDir val="col"/>
        <c:grouping val="clustered"/>
        <c:varyColors val="0"/>
        <c:ser>
          <c:idx val="0"/>
          <c:order val="0"/>
          <c:tx>
            <c:strRef>
              <c:f>'Ark1'!$B$1</c:f>
              <c:strCache>
                <c:ptCount val="1"/>
                <c:pt idx="0">
                  <c:v>Number of LDC laws mentioning the objective, N=37</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'Ark1'!$A$2:$A$8</c:f>
              <c:strCache>
                <c:ptCount val="7"/>
                <c:pt idx="0">
                  <c:v>OECD  %</c:v>
                </c:pt>
                <c:pt idx="1">
                  <c:v>LDCs %</c:v>
                </c:pt>
                <c:pt idx="2">
                  <c:v>Investment promotion</c:v>
                </c:pt>
                <c:pt idx="3">
                  <c:v>Economic development</c:v>
                </c:pt>
                <c:pt idx="4">
                  <c:v>Social development</c:v>
                </c:pt>
                <c:pt idx="5">
                  <c:v>Investment protection</c:v>
                </c:pt>
                <c:pt idx="6">
                  <c:v>Sustainable development</c:v>
                </c:pt>
              </c:strCache>
            </c:strRef>
          </c:cat>
          <c:val>
            <c:numRef>
              <c:f>'Ark1'!$B$2:$B$8</c:f>
              <c:numCache>
                <c:formatCode>General</c:formatCode>
                <c:ptCount val="7"/>
                <c:pt idx="2">
                  <c:v>31</c:v>
                </c:pt>
                <c:pt idx="3">
                  <c:v>22</c:v>
                </c:pt>
                <c:pt idx="4">
                  <c:v>18</c:v>
                </c:pt>
                <c:pt idx="5">
                  <c:v>12</c:v>
                </c:pt>
                <c:pt idx="6">
                  <c:v>7</c:v>
                </c:pt>
              </c:numCache>
            </c:numRef>
          </c:val>
          <c:extLst>
            <c:ext xmlns:c16="http://schemas.microsoft.com/office/drawing/2014/chart" uri="{C3380CC4-5D6E-409C-BE32-E72D297353CC}">
              <c16:uniqueId val="{00000000-3219-4AC4-AD8E-E2EEA9D8F203}"/>
            </c:ext>
          </c:extLst>
        </c:ser>
        <c:dLbls>
          <c:showLegendKey val="0"/>
          <c:showVal val="1"/>
          <c:showCatName val="0"/>
          <c:showSerName val="0"/>
          <c:showPercent val="0"/>
          <c:showBubbleSize val="0"/>
        </c:dLbls>
        <c:gapWidth val="219"/>
        <c:overlap val="-27"/>
        <c:axId val="272695328"/>
        <c:axId val="272696312"/>
      </c:barChart>
      <c:catAx>
        <c:axId val="373642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642824"/>
        <c:crosses val="autoZero"/>
        <c:auto val="1"/>
        <c:lblAlgn val="ctr"/>
        <c:lblOffset val="100"/>
        <c:noMultiLvlLbl val="0"/>
      </c:catAx>
      <c:valAx>
        <c:axId val="373642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b-NO"/>
                  <a:t>Per 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642168"/>
        <c:crosses val="autoZero"/>
        <c:crossBetween val="between"/>
      </c:valAx>
      <c:valAx>
        <c:axId val="27269631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b-NO"/>
                  <a:t>Number of laws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2695328"/>
        <c:crosses val="max"/>
        <c:crossBetween val="between"/>
      </c:valAx>
      <c:catAx>
        <c:axId val="272695328"/>
        <c:scaling>
          <c:orientation val="minMax"/>
        </c:scaling>
        <c:delete val="1"/>
        <c:axPos val="b"/>
        <c:numFmt formatCode="General" sourceLinked="1"/>
        <c:majorTickMark val="out"/>
        <c:minorTickMark val="none"/>
        <c:tickLblPos val="nextTo"/>
        <c:crossAx val="27269631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'Ark1'!$B$1</c:f>
              <c:strCache>
                <c:ptCount val="1"/>
                <c:pt idx="0">
                  <c:v>Number of LDC laws with entry conditions (N=37)</c:v>
                </c:pt>
              </c:strCache>
            </c:strRef>
          </c:tx>
          <c:spPr>
            <a:solidFill>
              <a:schemeClr val="accent1"/>
            </a:solidFill>
            <a:ln>
              <a:noFill/>
            </a:ln>
            <a:effectLst/>
          </c:spPr>
          <c:invertIfNegative val="0"/>
          <c:cat>
            <c:strRef>
              <c:f>'Ark1'!$A$2:$A$5</c:f>
              <c:strCache>
                <c:ptCount val="4"/>
                <c:pt idx="0">
                  <c:v>Sector-specific exceptions</c:v>
                </c:pt>
                <c:pt idx="1">
                  <c:v>Environmental safeguards</c:v>
                </c:pt>
                <c:pt idx="2">
                  <c:v>Public health safeguards</c:v>
                </c:pt>
                <c:pt idx="3">
                  <c:v>Minimum investment requirements</c:v>
                </c:pt>
              </c:strCache>
            </c:strRef>
          </c:cat>
          <c:val>
            <c:numRef>
              <c:f>'Ark1'!$B$2:$B$5</c:f>
              <c:numCache>
                <c:formatCode>General</c:formatCode>
                <c:ptCount val="4"/>
                <c:pt idx="0">
                  <c:v>18</c:v>
                </c:pt>
                <c:pt idx="1">
                  <c:v>8</c:v>
                </c:pt>
                <c:pt idx="2">
                  <c:v>7</c:v>
                </c:pt>
                <c:pt idx="3">
                  <c:v>7</c:v>
                </c:pt>
              </c:numCache>
            </c:numRef>
          </c:val>
          <c:extLst>
            <c:ext xmlns:c16="http://schemas.microsoft.com/office/drawing/2014/chart" uri="{C3380CC4-5D6E-409C-BE32-E72D297353CC}">
              <c16:uniqueId val="{00000000-2350-4AF8-A976-AE4137FAC55A}"/>
            </c:ext>
          </c:extLst>
        </c:ser>
        <c:dLbls>
          <c:showLegendKey val="0"/>
          <c:showVal val="0"/>
          <c:showCatName val="0"/>
          <c:showSerName val="0"/>
          <c:showPercent val="0"/>
          <c:showBubbleSize val="0"/>
        </c:dLbls>
        <c:gapWidth val="219"/>
        <c:overlap val="-27"/>
        <c:axId val="326460632"/>
        <c:axId val="326460960"/>
      </c:barChart>
      <c:catAx>
        <c:axId val="326460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460960"/>
        <c:crosses val="autoZero"/>
        <c:auto val="1"/>
        <c:lblAlgn val="ctr"/>
        <c:lblOffset val="100"/>
        <c:noMultiLvlLbl val="0"/>
      </c:catAx>
      <c:valAx>
        <c:axId val="326460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460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07130532330837E-2"/>
          <c:y val="3.3825338253382534E-2"/>
          <c:w val="0.74729656599484495"/>
          <c:h val="0.77529709155359272"/>
        </c:manualLayout>
      </c:layout>
      <c:lineChart>
        <c:grouping val="standard"/>
        <c:varyColors val="0"/>
        <c:ser>
          <c:idx val="0"/>
          <c:order val="0"/>
          <c:tx>
            <c:strRef>
              <c:f>'Ark1'!$B$1</c:f>
              <c:strCache>
                <c:ptCount val="1"/>
                <c:pt idx="0">
                  <c:v>Average LDC</c:v>
                </c:pt>
              </c:strCache>
            </c:strRef>
          </c:tx>
          <c:spPr>
            <a:ln w="50800" cap="rnd">
              <a:solidFill>
                <a:schemeClr val="tx1"/>
              </a:solidFill>
              <a:round/>
            </a:ln>
            <a:effectLst/>
          </c:spPr>
          <c:marker>
            <c:symbol val="none"/>
          </c:marker>
          <c:cat>
            <c:strRef>
              <c:f>'Ark1'!$A$2:$A$8</c:f>
              <c:strCache>
                <c:ptCount val="7"/>
                <c:pt idx="0">
                  <c:v>1985-89</c:v>
                </c:pt>
                <c:pt idx="1">
                  <c:v>1990-94</c:v>
                </c:pt>
                <c:pt idx="2">
                  <c:v>1995-99</c:v>
                </c:pt>
                <c:pt idx="3">
                  <c:v>2000-04</c:v>
                </c:pt>
                <c:pt idx="4">
                  <c:v>2005-09</c:v>
                </c:pt>
                <c:pt idx="5">
                  <c:v>2010-14</c:v>
                </c:pt>
                <c:pt idx="6">
                  <c:v>2015-16</c:v>
                </c:pt>
              </c:strCache>
            </c:strRef>
          </c:cat>
          <c:val>
            <c:numRef>
              <c:f>'Ark1'!$B$2:$B$8</c:f>
              <c:numCache>
                <c:formatCode>General</c:formatCode>
                <c:ptCount val="7"/>
                <c:pt idx="0">
                  <c:v>46.5</c:v>
                </c:pt>
                <c:pt idx="1">
                  <c:v>45.2</c:v>
                </c:pt>
                <c:pt idx="2">
                  <c:v>43.4</c:v>
                </c:pt>
                <c:pt idx="3">
                  <c:v>41.9</c:v>
                </c:pt>
                <c:pt idx="4">
                  <c:v>40</c:v>
                </c:pt>
                <c:pt idx="5">
                  <c:v>39.799999999999997</c:v>
                </c:pt>
                <c:pt idx="6">
                  <c:v>41.4</c:v>
                </c:pt>
              </c:numCache>
            </c:numRef>
          </c:val>
          <c:smooth val="0"/>
          <c:extLst>
            <c:ext xmlns:c16="http://schemas.microsoft.com/office/drawing/2014/chart" uri="{C3380CC4-5D6E-409C-BE32-E72D297353CC}">
              <c16:uniqueId val="{00000000-FD3E-4F23-BEF3-06B3B41B752C}"/>
            </c:ext>
          </c:extLst>
        </c:ser>
        <c:ser>
          <c:idx val="1"/>
          <c:order val="1"/>
          <c:tx>
            <c:strRef>
              <c:f>'Ark1'!$C$1</c:f>
              <c:strCache>
                <c:ptCount val="1"/>
                <c:pt idx="0">
                  <c:v>Average world</c:v>
                </c:pt>
              </c:strCache>
            </c:strRef>
          </c:tx>
          <c:spPr>
            <a:ln w="50800" cap="rnd">
              <a:solidFill>
                <a:schemeClr val="tx1">
                  <a:lumMod val="95000"/>
                  <a:lumOff val="5000"/>
                </a:schemeClr>
              </a:solidFill>
              <a:prstDash val="sysDash"/>
              <a:round/>
            </a:ln>
            <a:effectLst/>
          </c:spPr>
          <c:marker>
            <c:symbol val="none"/>
          </c:marker>
          <c:cat>
            <c:strRef>
              <c:f>'Ark1'!$A$2:$A$8</c:f>
              <c:strCache>
                <c:ptCount val="7"/>
                <c:pt idx="0">
                  <c:v>1985-89</c:v>
                </c:pt>
                <c:pt idx="1">
                  <c:v>1990-94</c:v>
                </c:pt>
                <c:pt idx="2">
                  <c:v>1995-99</c:v>
                </c:pt>
                <c:pt idx="3">
                  <c:v>2000-04</c:v>
                </c:pt>
                <c:pt idx="4">
                  <c:v>2005-09</c:v>
                </c:pt>
                <c:pt idx="5">
                  <c:v>2010-14</c:v>
                </c:pt>
                <c:pt idx="6">
                  <c:v>2015-16</c:v>
                </c:pt>
              </c:strCache>
            </c:strRef>
          </c:cat>
          <c:val>
            <c:numRef>
              <c:f>'Ark1'!$C$2:$C$8</c:f>
              <c:numCache>
                <c:formatCode>General</c:formatCode>
                <c:ptCount val="7"/>
                <c:pt idx="0">
                  <c:v>43.3</c:v>
                </c:pt>
                <c:pt idx="1">
                  <c:v>44.4</c:v>
                </c:pt>
                <c:pt idx="2">
                  <c:v>45.3</c:v>
                </c:pt>
                <c:pt idx="3">
                  <c:v>41.1</c:v>
                </c:pt>
                <c:pt idx="4">
                  <c:v>37.6</c:v>
                </c:pt>
                <c:pt idx="5">
                  <c:v>36.299999999999997</c:v>
                </c:pt>
                <c:pt idx="6">
                  <c:v>37.299999999999997</c:v>
                </c:pt>
              </c:numCache>
            </c:numRef>
          </c:val>
          <c:smooth val="0"/>
          <c:extLst>
            <c:ext xmlns:c16="http://schemas.microsoft.com/office/drawing/2014/chart" uri="{C3380CC4-5D6E-409C-BE32-E72D297353CC}">
              <c16:uniqueId val="{00000001-FD3E-4F23-BEF3-06B3B41B752C}"/>
            </c:ext>
          </c:extLst>
        </c:ser>
        <c:ser>
          <c:idx val="2"/>
          <c:order val="2"/>
          <c:tx>
            <c:strRef>
              <c:f>'Ark1'!$D$1</c:f>
              <c:strCache>
                <c:ptCount val="1"/>
                <c:pt idx="0">
                  <c:v>Average OECD</c:v>
                </c:pt>
              </c:strCache>
            </c:strRef>
          </c:tx>
          <c:spPr>
            <a:ln w="50800" cap="rnd">
              <a:solidFill>
                <a:schemeClr val="tx1"/>
              </a:solidFill>
              <a:prstDash val="sysDot"/>
              <a:round/>
            </a:ln>
            <a:effectLst/>
          </c:spPr>
          <c:marker>
            <c:symbol val="none"/>
          </c:marker>
          <c:cat>
            <c:strRef>
              <c:f>'Ark1'!$A$2:$A$8</c:f>
              <c:strCache>
                <c:ptCount val="7"/>
                <c:pt idx="0">
                  <c:v>1985-89</c:v>
                </c:pt>
                <c:pt idx="1">
                  <c:v>1990-94</c:v>
                </c:pt>
                <c:pt idx="2">
                  <c:v>1995-99</c:v>
                </c:pt>
                <c:pt idx="3">
                  <c:v>2000-04</c:v>
                </c:pt>
                <c:pt idx="4">
                  <c:v>2005-09</c:v>
                </c:pt>
                <c:pt idx="5">
                  <c:v>2010-14</c:v>
                </c:pt>
                <c:pt idx="6">
                  <c:v>2015-16</c:v>
                </c:pt>
              </c:strCache>
            </c:strRef>
          </c:cat>
          <c:val>
            <c:numRef>
              <c:f>'Ark1'!$D$2:$D$8</c:f>
              <c:numCache>
                <c:formatCode>General</c:formatCode>
                <c:ptCount val="7"/>
                <c:pt idx="0">
                  <c:v>35.200000000000003</c:v>
                </c:pt>
                <c:pt idx="1">
                  <c:v>39.299999999999997</c:v>
                </c:pt>
                <c:pt idx="2">
                  <c:v>39.6</c:v>
                </c:pt>
                <c:pt idx="3">
                  <c:v>33.799999999999997</c:v>
                </c:pt>
                <c:pt idx="4">
                  <c:v>31.7</c:v>
                </c:pt>
                <c:pt idx="5">
                  <c:v>31.9</c:v>
                </c:pt>
                <c:pt idx="6">
                  <c:v>33.200000000000003</c:v>
                </c:pt>
              </c:numCache>
            </c:numRef>
          </c:val>
          <c:smooth val="0"/>
          <c:extLst>
            <c:ext xmlns:c16="http://schemas.microsoft.com/office/drawing/2014/chart" uri="{C3380CC4-5D6E-409C-BE32-E72D297353CC}">
              <c16:uniqueId val="{00000002-FD3E-4F23-BEF3-06B3B41B752C}"/>
            </c:ext>
          </c:extLst>
        </c:ser>
        <c:dLbls>
          <c:showLegendKey val="0"/>
          <c:showVal val="0"/>
          <c:showCatName val="0"/>
          <c:showSerName val="0"/>
          <c:showPercent val="0"/>
          <c:showBubbleSize val="0"/>
        </c:dLbls>
        <c:smooth val="0"/>
        <c:axId val="244245048"/>
        <c:axId val="244244064"/>
      </c:lineChart>
      <c:catAx>
        <c:axId val="244245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4244064"/>
        <c:crosses val="autoZero"/>
        <c:auto val="1"/>
        <c:lblAlgn val="ctr"/>
        <c:lblOffset val="100"/>
        <c:noMultiLvlLbl val="0"/>
      </c:catAx>
      <c:valAx>
        <c:axId val="244244064"/>
        <c:scaling>
          <c:orientation val="minMax"/>
          <c:max val="50"/>
          <c:min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42450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span"/>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'Ark1'!$B$1</c:f>
              <c:strCache>
                <c:ptCount val="1"/>
                <c:pt idx="0">
                  <c:v>Average LDC</c:v>
                </c:pt>
              </c:strCache>
            </c:strRef>
          </c:tx>
          <c:spPr>
            <a:ln w="38100" cap="rnd">
              <a:solidFill>
                <a:schemeClr val="tx1"/>
              </a:solidFill>
              <a:prstDash val="sysDash"/>
              <a:round/>
            </a:ln>
            <a:effectLst/>
          </c:spPr>
          <c:marker>
            <c:symbol val="none"/>
          </c:marker>
          <c:cat>
            <c:strRef>
              <c:f>'Ark1'!$A$2:$A$8</c:f>
              <c:strCache>
                <c:ptCount val="7"/>
                <c:pt idx="0">
                  <c:v>1985-89</c:v>
                </c:pt>
                <c:pt idx="1">
                  <c:v>1990-94</c:v>
                </c:pt>
                <c:pt idx="2">
                  <c:v>1995-99</c:v>
                </c:pt>
                <c:pt idx="3">
                  <c:v>2000-04</c:v>
                </c:pt>
                <c:pt idx="4">
                  <c:v>2005-09</c:v>
                </c:pt>
                <c:pt idx="5">
                  <c:v>2010-14</c:v>
                </c:pt>
                <c:pt idx="6">
                  <c:v>2015-16</c:v>
                </c:pt>
              </c:strCache>
            </c:strRef>
          </c:cat>
          <c:val>
            <c:numRef>
              <c:f>'Ark1'!$B$2:$B$8</c:f>
              <c:numCache>
                <c:formatCode>General</c:formatCode>
                <c:ptCount val="7"/>
                <c:pt idx="0">
                  <c:v>46.5</c:v>
                </c:pt>
                <c:pt idx="1">
                  <c:v>45.2</c:v>
                </c:pt>
                <c:pt idx="2">
                  <c:v>43.4</c:v>
                </c:pt>
                <c:pt idx="3">
                  <c:v>41.9</c:v>
                </c:pt>
                <c:pt idx="4">
                  <c:v>40</c:v>
                </c:pt>
                <c:pt idx="5">
                  <c:v>39.799999999999997</c:v>
                </c:pt>
                <c:pt idx="6">
                  <c:v>41.4</c:v>
                </c:pt>
              </c:numCache>
            </c:numRef>
          </c:val>
          <c:smooth val="0"/>
          <c:extLst>
            <c:ext xmlns:c16="http://schemas.microsoft.com/office/drawing/2014/chart" uri="{C3380CC4-5D6E-409C-BE32-E72D297353CC}">
              <c16:uniqueId val="{00000000-2481-43B6-9AB9-05C58EFB2C16}"/>
            </c:ext>
          </c:extLst>
        </c:ser>
        <c:ser>
          <c:idx val="1"/>
          <c:order val="1"/>
          <c:tx>
            <c:strRef>
              <c:f>'Ark1'!$C$1</c:f>
              <c:strCache>
                <c:ptCount val="1"/>
                <c:pt idx="0">
                  <c:v>Bangladesh</c:v>
                </c:pt>
              </c:strCache>
            </c:strRef>
          </c:tx>
          <c:spPr>
            <a:ln w="28575" cap="rnd">
              <a:solidFill>
                <a:schemeClr val="accent2"/>
              </a:solidFill>
              <a:round/>
            </a:ln>
            <a:effectLst/>
          </c:spPr>
          <c:marker>
            <c:symbol val="none"/>
          </c:marker>
          <c:cat>
            <c:strRef>
              <c:f>'Ark1'!$A$2:$A$8</c:f>
              <c:strCache>
                <c:ptCount val="7"/>
                <c:pt idx="0">
                  <c:v>1985-89</c:v>
                </c:pt>
                <c:pt idx="1">
                  <c:v>1990-94</c:v>
                </c:pt>
                <c:pt idx="2">
                  <c:v>1995-99</c:v>
                </c:pt>
                <c:pt idx="3">
                  <c:v>2000-04</c:v>
                </c:pt>
                <c:pt idx="4">
                  <c:v>2005-09</c:v>
                </c:pt>
                <c:pt idx="5">
                  <c:v>2010-14</c:v>
                </c:pt>
                <c:pt idx="6">
                  <c:v>2015-16</c:v>
                </c:pt>
              </c:strCache>
            </c:strRef>
          </c:cat>
          <c:val>
            <c:numRef>
              <c:f>'Ark1'!$C$2:$C$8</c:f>
              <c:numCache>
                <c:formatCode>General</c:formatCode>
                <c:ptCount val="7"/>
                <c:pt idx="0">
                  <c:v>27.9</c:v>
                </c:pt>
                <c:pt idx="1">
                  <c:v>27.6</c:v>
                </c:pt>
                <c:pt idx="2">
                  <c:v>32.9</c:v>
                </c:pt>
                <c:pt idx="3">
                  <c:v>33.4</c:v>
                </c:pt>
                <c:pt idx="4">
                  <c:v>33.200000000000003</c:v>
                </c:pt>
                <c:pt idx="5">
                  <c:v>32.1</c:v>
                </c:pt>
                <c:pt idx="6">
                  <c:v>32.4</c:v>
                </c:pt>
              </c:numCache>
            </c:numRef>
          </c:val>
          <c:smooth val="0"/>
          <c:extLst>
            <c:ext xmlns:c16="http://schemas.microsoft.com/office/drawing/2014/chart" uri="{C3380CC4-5D6E-409C-BE32-E72D297353CC}">
              <c16:uniqueId val="{00000001-2481-43B6-9AB9-05C58EFB2C16}"/>
            </c:ext>
          </c:extLst>
        </c:ser>
        <c:ser>
          <c:idx val="2"/>
          <c:order val="2"/>
          <c:tx>
            <c:strRef>
              <c:f>'Ark1'!$D$1</c:f>
              <c:strCache>
                <c:ptCount val="1"/>
                <c:pt idx="0">
                  <c:v>Madagascar</c:v>
                </c:pt>
              </c:strCache>
            </c:strRef>
          </c:tx>
          <c:spPr>
            <a:ln w="28575" cap="rnd">
              <a:solidFill>
                <a:schemeClr val="accent3"/>
              </a:solidFill>
              <a:round/>
            </a:ln>
            <a:effectLst/>
          </c:spPr>
          <c:marker>
            <c:symbol val="none"/>
          </c:marker>
          <c:cat>
            <c:strRef>
              <c:f>'Ark1'!$A$2:$A$8</c:f>
              <c:strCache>
                <c:ptCount val="7"/>
                <c:pt idx="0">
                  <c:v>1985-89</c:v>
                </c:pt>
                <c:pt idx="1">
                  <c:v>1990-94</c:v>
                </c:pt>
                <c:pt idx="2">
                  <c:v>1995-99</c:v>
                </c:pt>
                <c:pt idx="3">
                  <c:v>2000-04</c:v>
                </c:pt>
                <c:pt idx="4">
                  <c:v>2005-09</c:v>
                </c:pt>
                <c:pt idx="5">
                  <c:v>2010-14</c:v>
                </c:pt>
                <c:pt idx="6">
                  <c:v>2015-16</c:v>
                </c:pt>
              </c:strCache>
            </c:strRef>
          </c:cat>
          <c:val>
            <c:numRef>
              <c:f>'Ark1'!$D$2:$D$8</c:f>
              <c:numCache>
                <c:formatCode>General</c:formatCode>
                <c:ptCount val="7"/>
                <c:pt idx="0">
                  <c:v>46.8</c:v>
                </c:pt>
                <c:pt idx="1">
                  <c:v>45.3</c:v>
                </c:pt>
                <c:pt idx="2">
                  <c:v>39.1</c:v>
                </c:pt>
                <c:pt idx="3">
                  <c:v>47.4</c:v>
                </c:pt>
                <c:pt idx="4">
                  <c:v>39.9</c:v>
                </c:pt>
                <c:pt idx="5">
                  <c:v>42.5</c:v>
                </c:pt>
              </c:numCache>
            </c:numRef>
          </c:val>
          <c:smooth val="0"/>
          <c:extLst>
            <c:ext xmlns:c16="http://schemas.microsoft.com/office/drawing/2014/chart" uri="{C3380CC4-5D6E-409C-BE32-E72D297353CC}">
              <c16:uniqueId val="{00000002-2481-43B6-9AB9-05C58EFB2C16}"/>
            </c:ext>
          </c:extLst>
        </c:ser>
        <c:ser>
          <c:idx val="3"/>
          <c:order val="3"/>
          <c:tx>
            <c:strRef>
              <c:f>'Ark1'!$E$1</c:f>
              <c:strCache>
                <c:ptCount val="1"/>
                <c:pt idx="0">
                  <c:v>Mauritania</c:v>
                </c:pt>
              </c:strCache>
            </c:strRef>
          </c:tx>
          <c:spPr>
            <a:ln w="28575" cap="rnd">
              <a:solidFill>
                <a:schemeClr val="accent4"/>
              </a:solidFill>
              <a:round/>
            </a:ln>
            <a:effectLst/>
          </c:spPr>
          <c:marker>
            <c:symbol val="none"/>
          </c:marker>
          <c:cat>
            <c:strRef>
              <c:f>'Ark1'!$A$2:$A$8</c:f>
              <c:strCache>
                <c:ptCount val="7"/>
                <c:pt idx="0">
                  <c:v>1985-89</c:v>
                </c:pt>
                <c:pt idx="1">
                  <c:v>1990-94</c:v>
                </c:pt>
                <c:pt idx="2">
                  <c:v>1995-99</c:v>
                </c:pt>
                <c:pt idx="3">
                  <c:v>2000-04</c:v>
                </c:pt>
                <c:pt idx="4">
                  <c:v>2005-09</c:v>
                </c:pt>
                <c:pt idx="5">
                  <c:v>2010-14</c:v>
                </c:pt>
                <c:pt idx="6">
                  <c:v>2015-16</c:v>
                </c:pt>
              </c:strCache>
            </c:strRef>
          </c:cat>
          <c:val>
            <c:numRef>
              <c:f>'Ark1'!$E$2:$E$8</c:f>
              <c:numCache>
                <c:formatCode>General</c:formatCode>
                <c:ptCount val="7"/>
                <c:pt idx="0">
                  <c:v>43.9</c:v>
                </c:pt>
                <c:pt idx="1">
                  <c:v>50.1</c:v>
                </c:pt>
                <c:pt idx="2">
                  <c:v>37.700000000000003</c:v>
                </c:pt>
                <c:pt idx="3">
                  <c:v>39.6</c:v>
                </c:pt>
                <c:pt idx="4">
                  <c:v>35.700000000000003</c:v>
                </c:pt>
                <c:pt idx="5">
                  <c:v>32.6</c:v>
                </c:pt>
              </c:numCache>
            </c:numRef>
          </c:val>
          <c:smooth val="0"/>
          <c:extLst>
            <c:ext xmlns:c16="http://schemas.microsoft.com/office/drawing/2014/chart" uri="{C3380CC4-5D6E-409C-BE32-E72D297353CC}">
              <c16:uniqueId val="{00000003-2481-43B6-9AB9-05C58EFB2C16}"/>
            </c:ext>
          </c:extLst>
        </c:ser>
        <c:ser>
          <c:idx val="4"/>
          <c:order val="4"/>
          <c:tx>
            <c:strRef>
              <c:f>'Ark1'!$F$1</c:f>
              <c:strCache>
                <c:ptCount val="1"/>
                <c:pt idx="0">
                  <c:v>Niger</c:v>
                </c:pt>
              </c:strCache>
            </c:strRef>
          </c:tx>
          <c:spPr>
            <a:ln w="28575" cap="rnd">
              <a:solidFill>
                <a:schemeClr val="accent5"/>
              </a:solidFill>
              <a:round/>
            </a:ln>
            <a:effectLst/>
          </c:spPr>
          <c:marker>
            <c:symbol val="none"/>
          </c:marker>
          <c:cat>
            <c:strRef>
              <c:f>'Ark1'!$A$2:$A$8</c:f>
              <c:strCache>
                <c:ptCount val="7"/>
                <c:pt idx="0">
                  <c:v>1985-89</c:v>
                </c:pt>
                <c:pt idx="1">
                  <c:v>1990-94</c:v>
                </c:pt>
                <c:pt idx="2">
                  <c:v>1995-99</c:v>
                </c:pt>
                <c:pt idx="3">
                  <c:v>2000-04</c:v>
                </c:pt>
                <c:pt idx="4">
                  <c:v>2005-09</c:v>
                </c:pt>
                <c:pt idx="5">
                  <c:v>2010-14</c:v>
                </c:pt>
                <c:pt idx="6">
                  <c:v>2015-16</c:v>
                </c:pt>
              </c:strCache>
            </c:strRef>
          </c:cat>
          <c:val>
            <c:numRef>
              <c:f>'Ark1'!$F$2:$F$8</c:f>
              <c:numCache>
                <c:formatCode>General</c:formatCode>
                <c:ptCount val="7"/>
                <c:pt idx="1">
                  <c:v>36.1</c:v>
                </c:pt>
                <c:pt idx="2">
                  <c:v>41.5</c:v>
                </c:pt>
                <c:pt idx="3">
                  <c:v>44.4</c:v>
                </c:pt>
                <c:pt idx="4">
                  <c:v>37.299999999999997</c:v>
                </c:pt>
                <c:pt idx="5">
                  <c:v>31.5</c:v>
                </c:pt>
                <c:pt idx="6">
                  <c:v>34.299999999999997</c:v>
                </c:pt>
              </c:numCache>
            </c:numRef>
          </c:val>
          <c:smooth val="0"/>
          <c:extLst>
            <c:ext xmlns:c16="http://schemas.microsoft.com/office/drawing/2014/chart" uri="{C3380CC4-5D6E-409C-BE32-E72D297353CC}">
              <c16:uniqueId val="{00000004-2481-43B6-9AB9-05C58EFB2C16}"/>
            </c:ext>
          </c:extLst>
        </c:ser>
        <c:ser>
          <c:idx val="5"/>
          <c:order val="5"/>
          <c:tx>
            <c:strRef>
              <c:f>'Ark1'!$G$1</c:f>
              <c:strCache>
                <c:ptCount val="1"/>
                <c:pt idx="0">
                  <c:v>Uganda</c:v>
                </c:pt>
              </c:strCache>
            </c:strRef>
          </c:tx>
          <c:spPr>
            <a:ln w="28575" cap="rnd">
              <a:solidFill>
                <a:schemeClr val="accent6"/>
              </a:solidFill>
              <a:round/>
            </a:ln>
            <a:effectLst/>
          </c:spPr>
          <c:marker>
            <c:symbol val="none"/>
          </c:marker>
          <c:cat>
            <c:strRef>
              <c:f>'Ark1'!$A$2:$A$8</c:f>
              <c:strCache>
                <c:ptCount val="7"/>
                <c:pt idx="0">
                  <c:v>1985-89</c:v>
                </c:pt>
                <c:pt idx="1">
                  <c:v>1990-94</c:v>
                </c:pt>
                <c:pt idx="2">
                  <c:v>1995-99</c:v>
                </c:pt>
                <c:pt idx="3">
                  <c:v>2000-04</c:v>
                </c:pt>
                <c:pt idx="4">
                  <c:v>2005-09</c:v>
                </c:pt>
                <c:pt idx="5">
                  <c:v>2010-14</c:v>
                </c:pt>
                <c:pt idx="6">
                  <c:v>2015-16</c:v>
                </c:pt>
              </c:strCache>
            </c:strRef>
          </c:cat>
          <c:val>
            <c:numRef>
              <c:f>'Ark1'!$G$2:$G$8</c:f>
              <c:numCache>
                <c:formatCode>General</c:formatCode>
                <c:ptCount val="7"/>
                <c:pt idx="0">
                  <c:v>44.4</c:v>
                </c:pt>
                <c:pt idx="1">
                  <c:v>41.4</c:v>
                </c:pt>
                <c:pt idx="2">
                  <c:v>41</c:v>
                </c:pt>
                <c:pt idx="3">
                  <c:v>45.2</c:v>
                </c:pt>
                <c:pt idx="4">
                  <c:v>43.6</c:v>
                </c:pt>
                <c:pt idx="5">
                  <c:v>41</c:v>
                </c:pt>
                <c:pt idx="6">
                  <c:v>42.8</c:v>
                </c:pt>
              </c:numCache>
            </c:numRef>
          </c:val>
          <c:smooth val="0"/>
          <c:extLst>
            <c:ext xmlns:c16="http://schemas.microsoft.com/office/drawing/2014/chart" uri="{C3380CC4-5D6E-409C-BE32-E72D297353CC}">
              <c16:uniqueId val="{00000005-2481-43B6-9AB9-05C58EFB2C16}"/>
            </c:ext>
          </c:extLst>
        </c:ser>
        <c:ser>
          <c:idx val="6"/>
          <c:order val="6"/>
          <c:tx>
            <c:strRef>
              <c:f>'Ark1'!$H$1</c:f>
              <c:strCache>
                <c:ptCount val="1"/>
                <c:pt idx="0">
                  <c:v>Zambia</c:v>
                </c:pt>
              </c:strCache>
            </c:strRef>
          </c:tx>
          <c:spPr>
            <a:ln w="28575" cap="rnd">
              <a:solidFill>
                <a:schemeClr val="accent1">
                  <a:lumMod val="60000"/>
                </a:schemeClr>
              </a:solidFill>
              <a:round/>
            </a:ln>
            <a:effectLst/>
          </c:spPr>
          <c:marker>
            <c:symbol val="none"/>
          </c:marker>
          <c:cat>
            <c:strRef>
              <c:f>'Ark1'!$A$2:$A$8</c:f>
              <c:strCache>
                <c:ptCount val="7"/>
                <c:pt idx="0">
                  <c:v>1985-89</c:v>
                </c:pt>
                <c:pt idx="1">
                  <c:v>1990-94</c:v>
                </c:pt>
                <c:pt idx="2">
                  <c:v>1995-99</c:v>
                </c:pt>
                <c:pt idx="3">
                  <c:v>2000-04</c:v>
                </c:pt>
                <c:pt idx="4">
                  <c:v>2005-09</c:v>
                </c:pt>
                <c:pt idx="5">
                  <c:v>2010-14</c:v>
                </c:pt>
                <c:pt idx="6">
                  <c:v>2015-16</c:v>
                </c:pt>
              </c:strCache>
            </c:strRef>
          </c:cat>
          <c:val>
            <c:numRef>
              <c:f>'Ark1'!$H$2:$H$8</c:f>
              <c:numCache>
                <c:formatCode>General</c:formatCode>
                <c:ptCount val="7"/>
                <c:pt idx="0">
                  <c:v>60.5</c:v>
                </c:pt>
                <c:pt idx="1">
                  <c:v>52.6</c:v>
                </c:pt>
                <c:pt idx="2">
                  <c:v>48.7</c:v>
                </c:pt>
                <c:pt idx="3">
                  <c:v>48.2</c:v>
                </c:pt>
                <c:pt idx="4">
                  <c:v>54.6</c:v>
                </c:pt>
                <c:pt idx="5">
                  <c:v>55.6</c:v>
                </c:pt>
                <c:pt idx="6">
                  <c:v>57.1</c:v>
                </c:pt>
              </c:numCache>
            </c:numRef>
          </c:val>
          <c:smooth val="0"/>
          <c:extLst>
            <c:ext xmlns:c16="http://schemas.microsoft.com/office/drawing/2014/chart" uri="{C3380CC4-5D6E-409C-BE32-E72D297353CC}">
              <c16:uniqueId val="{00000006-2481-43B6-9AB9-05C58EFB2C16}"/>
            </c:ext>
          </c:extLst>
        </c:ser>
        <c:dLbls>
          <c:showLegendKey val="0"/>
          <c:showVal val="0"/>
          <c:showCatName val="0"/>
          <c:showSerName val="0"/>
          <c:showPercent val="0"/>
          <c:showBubbleSize val="0"/>
        </c:dLbls>
        <c:smooth val="0"/>
        <c:axId val="172875512"/>
        <c:axId val="63735312"/>
      </c:lineChart>
      <c:catAx>
        <c:axId val="172875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735312"/>
        <c:crosses val="autoZero"/>
        <c:auto val="1"/>
        <c:lblAlgn val="ctr"/>
        <c:lblOffset val="100"/>
        <c:noMultiLvlLbl val="0"/>
      </c:catAx>
      <c:valAx>
        <c:axId val="63735312"/>
        <c:scaling>
          <c:orientation val="minMax"/>
          <c:max val="61"/>
          <c:min val="27"/>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8755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'Ark1'!$B$1</c:f>
              <c:strCache>
                <c:ptCount val="1"/>
                <c:pt idx="0">
                  <c:v>All (N=2045)</c:v>
                </c:pt>
              </c:strCache>
            </c:strRef>
          </c:tx>
          <c:spPr>
            <a:pattFill prst="pct60">
              <a:fgClr>
                <a:schemeClr val="tx1"/>
              </a:fgClr>
              <a:bgClr>
                <a:schemeClr val="bg1"/>
              </a:bgClr>
            </a:pattFill>
            <a:ln>
              <a:noFill/>
            </a:ln>
            <a:effectLst/>
          </c:spPr>
          <c:invertIfNegative val="0"/>
          <c:cat>
            <c:strRef>
              <c:f>'Ark1'!$A$2:$A$8</c:f>
              <c:strCache>
                <c:ptCount val="7"/>
                <c:pt idx="0">
                  <c:v>Preamble sust.dev.</c:v>
                </c:pt>
                <c:pt idx="1">
                  <c:v>Substantive sust.dev.</c:v>
                </c:pt>
                <c:pt idx="2">
                  <c:v>IIAs signed 1988-2008</c:v>
                </c:pt>
                <c:pt idx="3">
                  <c:v>No consent to ISDS</c:v>
                </c:pt>
                <c:pt idx="4">
                  <c:v>Limitations on ISDS</c:v>
                </c:pt>
                <c:pt idx="5">
                  <c:v>Limitations of "investment"</c:v>
                </c:pt>
                <c:pt idx="6">
                  <c:v>Scope subject to national law</c:v>
                </c:pt>
              </c:strCache>
            </c:strRef>
          </c:cat>
          <c:val>
            <c:numRef>
              <c:f>'Ark1'!$B$2:$B$8</c:f>
              <c:numCache>
                <c:formatCode>General</c:formatCode>
                <c:ptCount val="7"/>
                <c:pt idx="0">
                  <c:v>9.4</c:v>
                </c:pt>
                <c:pt idx="1">
                  <c:v>12.1</c:v>
                </c:pt>
                <c:pt idx="2">
                  <c:v>83.5</c:v>
                </c:pt>
                <c:pt idx="3">
                  <c:v>4.2</c:v>
                </c:pt>
                <c:pt idx="4">
                  <c:v>9</c:v>
                </c:pt>
                <c:pt idx="5">
                  <c:v>3</c:v>
                </c:pt>
                <c:pt idx="6">
                  <c:v>63.7</c:v>
                </c:pt>
              </c:numCache>
            </c:numRef>
          </c:val>
          <c:extLst>
            <c:ext xmlns:c16="http://schemas.microsoft.com/office/drawing/2014/chart" uri="{C3380CC4-5D6E-409C-BE32-E72D297353CC}">
              <c16:uniqueId val="{00000000-15A4-4A76-85DB-826FF4602FE4}"/>
            </c:ext>
          </c:extLst>
        </c:ser>
        <c:ser>
          <c:idx val="1"/>
          <c:order val="1"/>
          <c:tx>
            <c:strRef>
              <c:f>'Ark1'!$C$1</c:f>
              <c:strCache>
                <c:ptCount val="1"/>
                <c:pt idx="0">
                  <c:v>LDCs (N=252)</c:v>
                </c:pt>
              </c:strCache>
            </c:strRef>
          </c:tx>
          <c:spPr>
            <a:pattFill prst="ltDnDiag">
              <a:fgClr>
                <a:schemeClr val="tx1"/>
              </a:fgClr>
              <a:bgClr>
                <a:schemeClr val="bg1"/>
              </a:bgClr>
            </a:pattFill>
            <a:ln>
              <a:noFill/>
            </a:ln>
            <a:effectLst/>
          </c:spPr>
          <c:invertIfNegative val="0"/>
          <c:cat>
            <c:strRef>
              <c:f>'Ark1'!$A$2:$A$8</c:f>
              <c:strCache>
                <c:ptCount val="7"/>
                <c:pt idx="0">
                  <c:v>Preamble sust.dev.</c:v>
                </c:pt>
                <c:pt idx="1">
                  <c:v>Substantive sust.dev.</c:v>
                </c:pt>
                <c:pt idx="2">
                  <c:v>IIAs signed 1988-2008</c:v>
                </c:pt>
                <c:pt idx="3">
                  <c:v>No consent to ISDS</c:v>
                </c:pt>
                <c:pt idx="4">
                  <c:v>Limitations on ISDS</c:v>
                </c:pt>
                <c:pt idx="5">
                  <c:v>Limitations of "investment"</c:v>
                </c:pt>
                <c:pt idx="6">
                  <c:v>Scope subject to national law</c:v>
                </c:pt>
              </c:strCache>
            </c:strRef>
          </c:cat>
          <c:val>
            <c:numRef>
              <c:f>'Ark1'!$C$2:$C$8</c:f>
              <c:numCache>
                <c:formatCode>General</c:formatCode>
                <c:ptCount val="7"/>
                <c:pt idx="0">
                  <c:v>10.7</c:v>
                </c:pt>
                <c:pt idx="1">
                  <c:v>18.3</c:v>
                </c:pt>
                <c:pt idx="2">
                  <c:v>68.3</c:v>
                </c:pt>
                <c:pt idx="3">
                  <c:v>15.5</c:v>
                </c:pt>
                <c:pt idx="4">
                  <c:v>6.7</c:v>
                </c:pt>
                <c:pt idx="5">
                  <c:v>1.6</c:v>
                </c:pt>
                <c:pt idx="6">
                  <c:v>49.2</c:v>
                </c:pt>
              </c:numCache>
            </c:numRef>
          </c:val>
          <c:extLst>
            <c:ext xmlns:c16="http://schemas.microsoft.com/office/drawing/2014/chart" uri="{C3380CC4-5D6E-409C-BE32-E72D297353CC}">
              <c16:uniqueId val="{00000001-15A4-4A76-85DB-826FF4602FE4}"/>
            </c:ext>
          </c:extLst>
        </c:ser>
        <c:dLbls>
          <c:showLegendKey val="0"/>
          <c:showVal val="0"/>
          <c:showCatName val="0"/>
          <c:showSerName val="0"/>
          <c:showPercent val="0"/>
          <c:showBubbleSize val="0"/>
        </c:dLbls>
        <c:gapWidth val="219"/>
        <c:overlap val="-27"/>
        <c:axId val="272701888"/>
        <c:axId val="272702216"/>
      </c:barChart>
      <c:catAx>
        <c:axId val="272701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2702216"/>
        <c:crosses val="autoZero"/>
        <c:auto val="1"/>
        <c:lblAlgn val="ctr"/>
        <c:lblOffset val="100"/>
        <c:noMultiLvlLbl val="0"/>
      </c:catAx>
      <c:valAx>
        <c:axId val="272702216"/>
        <c:scaling>
          <c:orientation val="minMax"/>
          <c:max val="85"/>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2701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'Ark1'!$B$1</c:f>
              <c:strCache>
                <c:ptCount val="1"/>
                <c:pt idx="0">
                  <c:v>Number of laws containing protection clauses (N=37)</c:v>
                </c:pt>
              </c:strCache>
            </c:strRef>
          </c:tx>
          <c:spPr>
            <a:solidFill>
              <a:schemeClr val="accent1"/>
            </a:solidFill>
            <a:ln>
              <a:noFill/>
            </a:ln>
            <a:effectLst/>
          </c:spPr>
          <c:invertIfNegative val="0"/>
          <c:cat>
            <c:strRef>
              <c:f>'Ark1'!$A$2:$A$10</c:f>
              <c:strCache>
                <c:ptCount val="9"/>
                <c:pt idx="0">
                  <c:v>Direct expropr.</c:v>
                </c:pt>
                <c:pt idx="1">
                  <c:v>Transfer</c:v>
                </c:pt>
                <c:pt idx="2">
                  <c:v>National treatm.</c:v>
                </c:pt>
                <c:pt idx="3">
                  <c:v>Indirect expropr.</c:v>
                </c:pt>
                <c:pt idx="4">
                  <c:v>Fair &amp; equit. treatm.</c:v>
                </c:pt>
                <c:pt idx="5">
                  <c:v>Access to land</c:v>
                </c:pt>
                <c:pt idx="6">
                  <c:v>IPR</c:v>
                </c:pt>
                <c:pt idx="7">
                  <c:v>Stabilization</c:v>
                </c:pt>
                <c:pt idx="8">
                  <c:v>Consent ISDS</c:v>
                </c:pt>
              </c:strCache>
            </c:strRef>
          </c:cat>
          <c:val>
            <c:numRef>
              <c:f>'Ark1'!$B$2:$B$10</c:f>
              <c:numCache>
                <c:formatCode>General</c:formatCode>
                <c:ptCount val="9"/>
                <c:pt idx="0">
                  <c:v>30</c:v>
                </c:pt>
                <c:pt idx="1">
                  <c:v>30</c:v>
                </c:pt>
                <c:pt idx="2">
                  <c:v>20</c:v>
                </c:pt>
                <c:pt idx="3">
                  <c:v>7</c:v>
                </c:pt>
                <c:pt idx="4">
                  <c:v>3</c:v>
                </c:pt>
                <c:pt idx="5">
                  <c:v>17</c:v>
                </c:pt>
                <c:pt idx="6">
                  <c:v>12</c:v>
                </c:pt>
                <c:pt idx="7">
                  <c:v>5</c:v>
                </c:pt>
                <c:pt idx="8">
                  <c:v>24</c:v>
                </c:pt>
              </c:numCache>
            </c:numRef>
          </c:val>
          <c:extLst>
            <c:ext xmlns:c16="http://schemas.microsoft.com/office/drawing/2014/chart" uri="{C3380CC4-5D6E-409C-BE32-E72D297353CC}">
              <c16:uniqueId val="{00000000-E5F0-4DB1-8613-12E7CF245F6B}"/>
            </c:ext>
          </c:extLst>
        </c:ser>
        <c:dLbls>
          <c:showLegendKey val="0"/>
          <c:showVal val="0"/>
          <c:showCatName val="0"/>
          <c:showSerName val="0"/>
          <c:showPercent val="0"/>
          <c:showBubbleSize val="0"/>
        </c:dLbls>
        <c:gapWidth val="219"/>
        <c:overlap val="-27"/>
        <c:axId val="241358040"/>
        <c:axId val="241358368"/>
      </c:barChart>
      <c:catAx>
        <c:axId val="241358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crossAx val="241358368"/>
        <c:crosses val="autoZero"/>
        <c:auto val="1"/>
        <c:lblAlgn val="ctr"/>
        <c:lblOffset val="100"/>
        <c:noMultiLvlLbl val="0"/>
      </c:catAx>
      <c:valAx>
        <c:axId val="241358368"/>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358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680956547098278E-2"/>
          <c:y val="6.3565443513435418E-2"/>
          <c:w val="0.72819572032662583"/>
          <c:h val="0.76045519591761523"/>
        </c:manualLayout>
      </c:layout>
      <c:lineChart>
        <c:grouping val="standard"/>
        <c:varyColors val="0"/>
        <c:ser>
          <c:idx val="0"/>
          <c:order val="0"/>
          <c:tx>
            <c:strRef>
              <c:f>'Ark1'!$B$1</c:f>
              <c:strCache>
                <c:ptCount val="1"/>
                <c:pt idx="0">
                  <c:v>LDC average (N=45)</c:v>
                </c:pt>
              </c:strCache>
            </c:strRef>
          </c:tx>
          <c:spPr>
            <a:ln w="28575" cap="rnd">
              <a:solidFill>
                <a:schemeClr val="tx1"/>
              </a:solidFill>
              <a:prstDash val="dash"/>
              <a:round/>
            </a:ln>
            <a:effectLst/>
          </c:spPr>
          <c:marker>
            <c:symbol val="none"/>
          </c:marker>
          <c:cat>
            <c:numRef>
              <c:f>'Ark1'!$A$2:$A$49</c:f>
              <c:numCache>
                <c:formatCode>General</c:formatCode>
                <c:ptCount val="48"/>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numCache>
            </c:numRef>
          </c:cat>
          <c:val>
            <c:numRef>
              <c:f>'Ark1'!$B$2:$B$49</c:f>
              <c:numCache>
                <c:formatCode>General</c:formatCode>
                <c:ptCount val="48"/>
                <c:pt idx="0">
                  <c:v>0.53500000000000003</c:v>
                </c:pt>
                <c:pt idx="1">
                  <c:v>0.55000000000000004</c:v>
                </c:pt>
                <c:pt idx="2">
                  <c:v>0.55100000000000005</c:v>
                </c:pt>
                <c:pt idx="3">
                  <c:v>0.55200000000000005</c:v>
                </c:pt>
                <c:pt idx="4">
                  <c:v>0.55800000000000005</c:v>
                </c:pt>
                <c:pt idx="5">
                  <c:v>0.54900000000000004</c:v>
                </c:pt>
                <c:pt idx="6">
                  <c:v>0.54900000000000004</c:v>
                </c:pt>
                <c:pt idx="7">
                  <c:v>0.54800000000000004</c:v>
                </c:pt>
                <c:pt idx="8">
                  <c:v>0.55600000000000005</c:v>
                </c:pt>
                <c:pt idx="9">
                  <c:v>0.56499999999999995</c:v>
                </c:pt>
                <c:pt idx="10">
                  <c:v>0.59099999999999997</c:v>
                </c:pt>
                <c:pt idx="11">
                  <c:v>0.59099999999999997</c:v>
                </c:pt>
                <c:pt idx="12">
                  <c:v>0.59899999999999998</c:v>
                </c:pt>
                <c:pt idx="13">
                  <c:v>0.59099999999999997</c:v>
                </c:pt>
                <c:pt idx="14">
                  <c:v>0.59399999999999997</c:v>
                </c:pt>
                <c:pt idx="15">
                  <c:v>0.59699999999999998</c:v>
                </c:pt>
                <c:pt idx="16">
                  <c:v>0.60499999999999998</c:v>
                </c:pt>
                <c:pt idx="17">
                  <c:v>0.60699999999999998</c:v>
                </c:pt>
                <c:pt idx="18">
                  <c:v>0.621</c:v>
                </c:pt>
                <c:pt idx="19">
                  <c:v>0.627</c:v>
                </c:pt>
                <c:pt idx="20">
                  <c:v>0.64500000000000002</c:v>
                </c:pt>
                <c:pt idx="21">
                  <c:v>0.64600000000000002</c:v>
                </c:pt>
                <c:pt idx="22">
                  <c:v>0.66200000000000003</c:v>
                </c:pt>
                <c:pt idx="23">
                  <c:v>0.67</c:v>
                </c:pt>
                <c:pt idx="24">
                  <c:v>0.68300000000000005</c:v>
                </c:pt>
                <c:pt idx="25">
                  <c:v>0.70599999999999996</c:v>
                </c:pt>
                <c:pt idx="26">
                  <c:v>0.71</c:v>
                </c:pt>
                <c:pt idx="27">
                  <c:v>0.71299999999999997</c:v>
                </c:pt>
                <c:pt idx="28">
                  <c:v>0.71699999999999997</c:v>
                </c:pt>
                <c:pt idx="29">
                  <c:v>0.71099999999999997</c:v>
                </c:pt>
                <c:pt idx="30">
                  <c:v>0.71199999999999997</c:v>
                </c:pt>
                <c:pt idx="31">
                  <c:v>0.70399999999999996</c:v>
                </c:pt>
                <c:pt idx="32">
                  <c:v>0.71199999999999997</c:v>
                </c:pt>
                <c:pt idx="33">
                  <c:v>0.71399999999999997</c:v>
                </c:pt>
                <c:pt idx="34">
                  <c:v>0.71399999999999997</c:v>
                </c:pt>
                <c:pt idx="35">
                  <c:v>0.71</c:v>
                </c:pt>
                <c:pt idx="36">
                  <c:v>0.71</c:v>
                </c:pt>
                <c:pt idx="37">
                  <c:v>0.70899999999999996</c:v>
                </c:pt>
                <c:pt idx="38">
                  <c:v>0.71299999999999997</c:v>
                </c:pt>
                <c:pt idx="39">
                  <c:v>0.72</c:v>
                </c:pt>
                <c:pt idx="40">
                  <c:v>0.72299999999999998</c:v>
                </c:pt>
                <c:pt idx="41">
                  <c:v>0.71899999999999997</c:v>
                </c:pt>
                <c:pt idx="42">
                  <c:v>0.71699999999999997</c:v>
                </c:pt>
                <c:pt idx="43">
                  <c:v>0.68899999999999995</c:v>
                </c:pt>
                <c:pt idx="44">
                  <c:v>0.68700000000000006</c:v>
                </c:pt>
                <c:pt idx="45">
                  <c:v>0.68799999999999994</c:v>
                </c:pt>
                <c:pt idx="46">
                  <c:v>0.68100000000000005</c:v>
                </c:pt>
                <c:pt idx="47">
                  <c:v>0.65700000000000003</c:v>
                </c:pt>
              </c:numCache>
            </c:numRef>
          </c:val>
          <c:smooth val="0"/>
          <c:extLst>
            <c:ext xmlns:c16="http://schemas.microsoft.com/office/drawing/2014/chart" uri="{C3380CC4-5D6E-409C-BE32-E72D297353CC}">
              <c16:uniqueId val="{00000000-6B21-40D1-83CD-C619D70D6C53}"/>
            </c:ext>
          </c:extLst>
        </c:ser>
        <c:ser>
          <c:idx val="1"/>
          <c:order val="1"/>
          <c:tx>
            <c:strRef>
              <c:f>'Ark1'!$C$1</c:f>
              <c:strCache>
                <c:ptCount val="1"/>
                <c:pt idx="0">
                  <c:v>World average (N=174)</c:v>
                </c:pt>
              </c:strCache>
            </c:strRef>
          </c:tx>
          <c:spPr>
            <a:ln w="28575" cap="rnd">
              <a:solidFill>
                <a:schemeClr val="tx1"/>
              </a:solidFill>
              <a:round/>
            </a:ln>
            <a:effectLst/>
          </c:spPr>
          <c:marker>
            <c:symbol val="none"/>
          </c:marker>
          <c:cat>
            <c:numRef>
              <c:f>'Ark1'!$A$2:$A$49</c:f>
              <c:numCache>
                <c:formatCode>General</c:formatCode>
                <c:ptCount val="48"/>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numCache>
            </c:numRef>
          </c:cat>
          <c:val>
            <c:numRef>
              <c:f>'Ark1'!$C$2:$C$49</c:f>
              <c:numCache>
                <c:formatCode>General</c:formatCode>
                <c:ptCount val="48"/>
                <c:pt idx="0">
                  <c:v>0.46200000000000002</c:v>
                </c:pt>
                <c:pt idx="1">
                  <c:v>0.46600000000000003</c:v>
                </c:pt>
                <c:pt idx="2">
                  <c:v>0.46899999999999997</c:v>
                </c:pt>
                <c:pt idx="3">
                  <c:v>0.47</c:v>
                </c:pt>
                <c:pt idx="4">
                  <c:v>0.47299999999999998</c:v>
                </c:pt>
                <c:pt idx="5">
                  <c:v>0.46500000000000002</c:v>
                </c:pt>
                <c:pt idx="6">
                  <c:v>0.46600000000000003</c:v>
                </c:pt>
                <c:pt idx="7">
                  <c:v>0.46600000000000003</c:v>
                </c:pt>
                <c:pt idx="8">
                  <c:v>0.46899999999999997</c:v>
                </c:pt>
                <c:pt idx="9">
                  <c:v>0.47199999999999998</c:v>
                </c:pt>
                <c:pt idx="10">
                  <c:v>0.48199999999999998</c:v>
                </c:pt>
                <c:pt idx="11">
                  <c:v>0.48399999999999999</c:v>
                </c:pt>
                <c:pt idx="12">
                  <c:v>0.48699999999999999</c:v>
                </c:pt>
                <c:pt idx="13">
                  <c:v>0.48599999999999999</c:v>
                </c:pt>
                <c:pt idx="14">
                  <c:v>0.48899999999999999</c:v>
                </c:pt>
                <c:pt idx="15">
                  <c:v>0.49099999999999999</c:v>
                </c:pt>
                <c:pt idx="16">
                  <c:v>0.49399999999999999</c:v>
                </c:pt>
                <c:pt idx="17">
                  <c:v>0.496</c:v>
                </c:pt>
                <c:pt idx="18">
                  <c:v>0.501</c:v>
                </c:pt>
                <c:pt idx="19">
                  <c:v>0.503</c:v>
                </c:pt>
                <c:pt idx="20">
                  <c:v>0.51100000000000001</c:v>
                </c:pt>
                <c:pt idx="21">
                  <c:v>0.51400000000000001</c:v>
                </c:pt>
                <c:pt idx="22">
                  <c:v>0.52300000000000002</c:v>
                </c:pt>
                <c:pt idx="23">
                  <c:v>0.52700000000000002</c:v>
                </c:pt>
                <c:pt idx="24">
                  <c:v>0.53200000000000003</c:v>
                </c:pt>
                <c:pt idx="25">
                  <c:v>0.53800000000000003</c:v>
                </c:pt>
                <c:pt idx="26">
                  <c:v>0.54100000000000004</c:v>
                </c:pt>
                <c:pt idx="27">
                  <c:v>0.54300000000000004</c:v>
                </c:pt>
                <c:pt idx="28">
                  <c:v>0.54600000000000004</c:v>
                </c:pt>
                <c:pt idx="29">
                  <c:v>0.54500000000000004</c:v>
                </c:pt>
                <c:pt idx="30">
                  <c:v>0.54200000000000004</c:v>
                </c:pt>
                <c:pt idx="31">
                  <c:v>0.54</c:v>
                </c:pt>
                <c:pt idx="32">
                  <c:v>0.54200000000000004</c:v>
                </c:pt>
                <c:pt idx="33">
                  <c:v>0.54200000000000004</c:v>
                </c:pt>
                <c:pt idx="34">
                  <c:v>0.53800000000000003</c:v>
                </c:pt>
                <c:pt idx="35">
                  <c:v>0.53700000000000003</c:v>
                </c:pt>
                <c:pt idx="36">
                  <c:v>0.53700000000000003</c:v>
                </c:pt>
                <c:pt idx="37">
                  <c:v>0.53600000000000003</c:v>
                </c:pt>
                <c:pt idx="38">
                  <c:v>0.53700000000000003</c:v>
                </c:pt>
                <c:pt idx="39">
                  <c:v>0.53700000000000003</c:v>
                </c:pt>
                <c:pt idx="40">
                  <c:v>0.53600000000000003</c:v>
                </c:pt>
                <c:pt idx="41">
                  <c:v>0.53</c:v>
                </c:pt>
                <c:pt idx="42">
                  <c:v>0.53</c:v>
                </c:pt>
                <c:pt idx="43">
                  <c:v>0.51300000000000001</c:v>
                </c:pt>
                <c:pt idx="44">
                  <c:v>0.51200000000000001</c:v>
                </c:pt>
                <c:pt idx="45">
                  <c:v>0.51</c:v>
                </c:pt>
                <c:pt idx="46">
                  <c:v>0.50800000000000001</c:v>
                </c:pt>
                <c:pt idx="47">
                  <c:v>0.495</c:v>
                </c:pt>
              </c:numCache>
            </c:numRef>
          </c:val>
          <c:smooth val="0"/>
          <c:extLst>
            <c:ext xmlns:c16="http://schemas.microsoft.com/office/drawing/2014/chart" uri="{C3380CC4-5D6E-409C-BE32-E72D297353CC}">
              <c16:uniqueId val="{00000001-6B21-40D1-83CD-C619D70D6C53}"/>
            </c:ext>
          </c:extLst>
        </c:ser>
        <c:ser>
          <c:idx val="2"/>
          <c:order val="2"/>
          <c:tx>
            <c:strRef>
              <c:f>'Ark1'!$D$1</c:f>
              <c:strCache>
                <c:ptCount val="1"/>
                <c:pt idx="0">
                  <c:v>OECD average (N=36)</c:v>
                </c:pt>
              </c:strCache>
            </c:strRef>
          </c:tx>
          <c:spPr>
            <a:ln w="28575" cap="rnd">
              <a:solidFill>
                <a:schemeClr val="tx1"/>
              </a:solidFill>
              <a:prstDash val="sysDot"/>
              <a:round/>
            </a:ln>
            <a:effectLst/>
          </c:spPr>
          <c:marker>
            <c:symbol val="none"/>
          </c:marker>
          <c:cat>
            <c:numRef>
              <c:f>'Ark1'!$A$2:$A$49</c:f>
              <c:numCache>
                <c:formatCode>General</c:formatCode>
                <c:ptCount val="48"/>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numCache>
            </c:numRef>
          </c:cat>
          <c:val>
            <c:numRef>
              <c:f>'Ark1'!$D$2:$D$49</c:f>
              <c:numCache>
                <c:formatCode>General</c:formatCode>
                <c:ptCount val="48"/>
                <c:pt idx="0">
                  <c:v>0.185</c:v>
                </c:pt>
                <c:pt idx="1">
                  <c:v>0.185</c:v>
                </c:pt>
                <c:pt idx="2">
                  <c:v>0.193</c:v>
                </c:pt>
                <c:pt idx="3">
                  <c:v>0.188</c:v>
                </c:pt>
                <c:pt idx="4">
                  <c:v>0.189</c:v>
                </c:pt>
                <c:pt idx="5">
                  <c:v>0.186</c:v>
                </c:pt>
                <c:pt idx="6">
                  <c:v>0.184</c:v>
                </c:pt>
                <c:pt idx="7">
                  <c:v>0.17799999999999999</c:v>
                </c:pt>
                <c:pt idx="8">
                  <c:v>0.17799999999999999</c:v>
                </c:pt>
                <c:pt idx="9">
                  <c:v>0.17399999999999999</c:v>
                </c:pt>
                <c:pt idx="10">
                  <c:v>0.17599999999999999</c:v>
                </c:pt>
                <c:pt idx="11">
                  <c:v>0.17599999999999999</c:v>
                </c:pt>
                <c:pt idx="12">
                  <c:v>0.17499999999999999</c:v>
                </c:pt>
                <c:pt idx="13">
                  <c:v>0.17699999999999999</c:v>
                </c:pt>
                <c:pt idx="14">
                  <c:v>0.17799999999999999</c:v>
                </c:pt>
                <c:pt idx="15">
                  <c:v>0.17699999999999999</c:v>
                </c:pt>
                <c:pt idx="16">
                  <c:v>0.17699999999999999</c:v>
                </c:pt>
                <c:pt idx="17">
                  <c:v>0.17499999999999999</c:v>
                </c:pt>
                <c:pt idx="18">
                  <c:v>0.17299999999999999</c:v>
                </c:pt>
                <c:pt idx="19">
                  <c:v>0.17899999999999999</c:v>
                </c:pt>
                <c:pt idx="20">
                  <c:v>0.17100000000000001</c:v>
                </c:pt>
                <c:pt idx="21">
                  <c:v>0.16200000000000001</c:v>
                </c:pt>
                <c:pt idx="22">
                  <c:v>0.16300000000000001</c:v>
                </c:pt>
                <c:pt idx="23">
                  <c:v>0.16700000000000001</c:v>
                </c:pt>
                <c:pt idx="24">
                  <c:v>0.16600000000000001</c:v>
                </c:pt>
                <c:pt idx="25">
                  <c:v>0.16500000000000001</c:v>
                </c:pt>
                <c:pt idx="26">
                  <c:v>0.16</c:v>
                </c:pt>
                <c:pt idx="27">
                  <c:v>0.159</c:v>
                </c:pt>
                <c:pt idx="28">
                  <c:v>0.158</c:v>
                </c:pt>
                <c:pt idx="29">
                  <c:v>0.155</c:v>
                </c:pt>
                <c:pt idx="30">
                  <c:v>0.15</c:v>
                </c:pt>
                <c:pt idx="31">
                  <c:v>0.151</c:v>
                </c:pt>
                <c:pt idx="32">
                  <c:v>0.14799999999999999</c:v>
                </c:pt>
                <c:pt idx="33">
                  <c:v>0.14599999999999999</c:v>
                </c:pt>
                <c:pt idx="34">
                  <c:v>0.14599999999999999</c:v>
                </c:pt>
                <c:pt idx="35">
                  <c:v>0.14399999999999999</c:v>
                </c:pt>
                <c:pt idx="36">
                  <c:v>0.14499999999999999</c:v>
                </c:pt>
                <c:pt idx="37">
                  <c:v>0.14299999999999999</c:v>
                </c:pt>
                <c:pt idx="38">
                  <c:v>0.14299999999999999</c:v>
                </c:pt>
                <c:pt idx="39">
                  <c:v>0.14199999999999999</c:v>
                </c:pt>
                <c:pt idx="40">
                  <c:v>0.14299999999999999</c:v>
                </c:pt>
                <c:pt idx="41">
                  <c:v>0.14299999999999999</c:v>
                </c:pt>
                <c:pt idx="42">
                  <c:v>0.14299999999999999</c:v>
                </c:pt>
                <c:pt idx="43">
                  <c:v>0.14199999999999999</c:v>
                </c:pt>
                <c:pt idx="44">
                  <c:v>0.14099999999999999</c:v>
                </c:pt>
                <c:pt idx="45">
                  <c:v>0.14099999999999999</c:v>
                </c:pt>
                <c:pt idx="46">
                  <c:v>0.14299999999999999</c:v>
                </c:pt>
                <c:pt idx="47">
                  <c:v>0.13800000000000001</c:v>
                </c:pt>
              </c:numCache>
            </c:numRef>
          </c:val>
          <c:smooth val="0"/>
          <c:extLst>
            <c:ext xmlns:c16="http://schemas.microsoft.com/office/drawing/2014/chart" uri="{C3380CC4-5D6E-409C-BE32-E72D297353CC}">
              <c16:uniqueId val="{00000002-6B21-40D1-83CD-C619D70D6C53}"/>
            </c:ext>
          </c:extLst>
        </c:ser>
        <c:dLbls>
          <c:showLegendKey val="0"/>
          <c:showVal val="0"/>
          <c:showCatName val="0"/>
          <c:showSerName val="0"/>
          <c:showPercent val="0"/>
          <c:showBubbleSize val="0"/>
        </c:dLbls>
        <c:smooth val="0"/>
        <c:axId val="274109808"/>
        <c:axId val="274110136"/>
      </c:lineChart>
      <c:catAx>
        <c:axId val="27410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4110136"/>
        <c:crosses val="autoZero"/>
        <c:auto val="1"/>
        <c:lblAlgn val="ctr"/>
        <c:lblOffset val="100"/>
        <c:noMultiLvlLbl val="0"/>
      </c:catAx>
      <c:valAx>
        <c:axId val="274110136"/>
        <c:scaling>
          <c:orientation val="minMax"/>
          <c:max val="0.75000000000000011"/>
          <c:min val="0.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4109808"/>
        <c:crosses val="autoZero"/>
        <c:crossBetween val="between"/>
      </c:valAx>
      <c:spPr>
        <a:noFill/>
        <a:ln>
          <a:noFill/>
        </a:ln>
        <a:effectLst/>
      </c:spPr>
    </c:plotArea>
    <c:legend>
      <c:legendPos val="r"/>
      <c:layout>
        <c:manualLayout>
          <c:xMode val="edge"/>
          <c:yMode val="edge"/>
          <c:x val="0.79350630650335374"/>
          <c:y val="0.35372599517230241"/>
          <c:w val="0.20417887868183143"/>
          <c:h val="0.437014471717472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6A8AA5-ECFF-4207-A512-15F4482F854C}">
  <ds:schemaRefs>
    <ds:schemaRef ds:uri="http://schemas.openxmlformats.org/officeDocument/2006/bibliography"/>
  </ds:schemaRefs>
</ds:datastoreItem>
</file>

<file path=customXml/itemProps2.xml><?xml version="1.0" encoding="utf-8"?>
<ds:datastoreItem xmlns:ds="http://schemas.openxmlformats.org/officeDocument/2006/customXml" ds:itemID="{352FE53B-39FB-4649-9B11-AA7850B676C9}"/>
</file>

<file path=customXml/itemProps3.xml><?xml version="1.0" encoding="utf-8"?>
<ds:datastoreItem xmlns:ds="http://schemas.openxmlformats.org/officeDocument/2006/customXml" ds:itemID="{B13752B8-9144-498D-86A9-B4010991E098}"/>
</file>

<file path=customXml/itemProps4.xml><?xml version="1.0" encoding="utf-8"?>
<ds:datastoreItem xmlns:ds="http://schemas.openxmlformats.org/officeDocument/2006/customXml" ds:itemID="{0A87E26F-93D5-4887-A78C-C18EB44144E5}"/>
</file>

<file path=docProps/app.xml><?xml version="1.0" encoding="utf-8"?>
<Properties xmlns="http://schemas.openxmlformats.org/officeDocument/2006/extended-properties" xmlns:vt="http://schemas.openxmlformats.org/officeDocument/2006/docPropsVTypes">
  <Template>Normal</Template>
  <TotalTime>0</TotalTime>
  <Pages>39</Pages>
  <Words>12123</Words>
  <Characters>69107</Characters>
  <Application>Microsoft Office Word</Application>
  <DocSecurity>0</DocSecurity>
  <Lines>575</Lines>
  <Paragraphs>162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Universitetet i Oslo</Company>
  <LinksUpToDate>false</LinksUpToDate>
  <CharactersWithSpaces>81068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Kristian Fauchald</dc:creator>
  <cp:keywords/>
  <dc:description/>
  <cp:lastModifiedBy>Mihir Kanade</cp:lastModifiedBy>
  <cp:revision>3</cp:revision>
  <cp:lastPrinted>2019-09-16T16:10:00Z</cp:lastPrinted>
  <dcterms:created xsi:type="dcterms:W3CDTF">2021-03-16T16:33:00Z</dcterms:created>
  <dcterms:modified xsi:type="dcterms:W3CDTF">2021-03-16T16:56:00Z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