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A1D9A" w14:textId="77777777" w:rsidR="00394664" w:rsidRDefault="00BF004D" w:rsidP="00C279C1">
      <w:pPr>
        <w:ind w:left="-851"/>
        <w:sectPr w:rsidR="00394664" w:rsidSect="00C279C1">
          <w:footerReference w:type="default" r:id="rId14"/>
          <w:pgSz w:w="12240" w:h="15840"/>
          <w:pgMar w:top="142" w:right="964" w:bottom="964" w:left="964" w:header="142" w:footer="311" w:gutter="0"/>
          <w:cols w:space="708"/>
          <w:docGrid w:linePitch="360"/>
        </w:sectPr>
      </w:pPr>
      <w:bookmarkStart w:id="0" w:name="_GoBack"/>
      <w:bookmarkEnd w:id="0"/>
      <w:r>
        <w:rPr>
          <w:noProof/>
          <w:lang w:val="en-GB" w:eastAsia="en-GB"/>
        </w:rPr>
        <w:drawing>
          <wp:inline distT="0" distB="0" distL="0" distR="0" wp14:anchorId="6C6A1DA4" wp14:editId="6C6A1DA5">
            <wp:extent cx="7579290" cy="1470660"/>
            <wp:effectExtent l="0" t="0" r="3175" b="0"/>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94909" cy="1473691"/>
                    </a:xfrm>
                    <a:prstGeom prst="rect">
                      <a:avLst/>
                    </a:prstGeom>
                  </pic:spPr>
                </pic:pic>
              </a:graphicData>
            </a:graphic>
          </wp:inline>
        </w:drawing>
      </w:r>
    </w:p>
    <w:p w14:paraId="6C6A1D9B" w14:textId="724AC648" w:rsidR="00151A0A" w:rsidRPr="00852B60" w:rsidRDefault="002A1C06" w:rsidP="00151A0A">
      <w:pPr>
        <w:spacing w:before="240"/>
        <w:jc w:val="right"/>
      </w:pPr>
      <w:r>
        <w:t>June</w:t>
      </w:r>
      <w:r w:rsidR="00B9363B">
        <w:t xml:space="preserve"> 2021</w:t>
      </w:r>
    </w:p>
    <w:p w14:paraId="6C6A1D9C" w14:textId="022D6012" w:rsidR="00151A0A" w:rsidRPr="00852B60" w:rsidRDefault="00B9363B" w:rsidP="00151A0A">
      <w:pPr>
        <w:pStyle w:val="Heading1"/>
        <w:spacing w:beforeLines="100" w:before="240"/>
        <w:jc w:val="left"/>
      </w:pPr>
      <w:r>
        <w:t>The right to privacy in the digital age</w:t>
      </w:r>
    </w:p>
    <w:p w14:paraId="6C6A1D9D" w14:textId="2F62CB5A" w:rsidR="00151A0A" w:rsidRPr="00852B60" w:rsidRDefault="00B9363B" w:rsidP="00151A0A">
      <w:pPr>
        <w:pStyle w:val="Heading2"/>
      </w:pPr>
      <w:r>
        <w:t>Submission to the</w:t>
      </w:r>
      <w:r w:rsidR="00A52E98">
        <w:t xml:space="preserve"> Office of the</w:t>
      </w:r>
      <w:r>
        <w:t xml:space="preserve"> United Nations</w:t>
      </w:r>
      <w:r w:rsidR="00297B91">
        <w:t xml:space="preserve"> (UN)</w:t>
      </w:r>
      <w:r>
        <w:t xml:space="preserve"> High Commissioner for Human Rights</w:t>
      </w:r>
      <w:r w:rsidR="00A44419">
        <w:t xml:space="preserve"> (OHCHR)</w:t>
      </w:r>
    </w:p>
    <w:p w14:paraId="33675E1B" w14:textId="1F920BF3" w:rsidR="00527DC1" w:rsidRDefault="00527DC1" w:rsidP="0094534B">
      <w:pPr>
        <w:pStyle w:val="Heading3"/>
        <w:spacing w:beforeLines="100" w:before="240"/>
      </w:pPr>
      <w:r>
        <w:t>Introduction</w:t>
      </w:r>
    </w:p>
    <w:p w14:paraId="7E72D571" w14:textId="0E8A08F8" w:rsidR="00794244" w:rsidRDefault="00794244" w:rsidP="00794244">
      <w:r>
        <w:t xml:space="preserve">Australia thanks the </w:t>
      </w:r>
      <w:r w:rsidR="00297B91">
        <w:t xml:space="preserve">UN </w:t>
      </w:r>
      <w:r w:rsidR="00A44419">
        <w:t xml:space="preserve">OHCHR </w:t>
      </w:r>
      <w:r>
        <w:t>for the opportunity to provide input to the preparation of a thematic report on the right to privacy in the digital age. Australia understands that the report will consider how artificial intelligence</w:t>
      </w:r>
      <w:r w:rsidR="00297B91">
        <w:t xml:space="preserve"> (AI)</w:t>
      </w:r>
      <w:r>
        <w:t xml:space="preserve">, including profiling, automated decision making and machine learning technologies may, without proper safeguards, affect the enjoyment of the right to privacy. </w:t>
      </w:r>
    </w:p>
    <w:p w14:paraId="729FA034" w14:textId="6A5D34DC" w:rsidR="00297B91" w:rsidRDefault="00297B91" w:rsidP="00794244">
      <w:r>
        <w:t xml:space="preserve">This submission focuses on Australia’s approach to privacy in the digital space and provides information on current initiatives, including Australia’s AI Ethics Framework. </w:t>
      </w:r>
      <w:r w:rsidR="00B5301D">
        <w:t>We are comfortable with the</w:t>
      </w:r>
      <w:r>
        <w:t xml:space="preserve"> information provided in this submission to be made available on the OHCHR website.</w:t>
      </w:r>
    </w:p>
    <w:p w14:paraId="4C48FE71" w14:textId="7692EF64" w:rsidR="00654111" w:rsidRDefault="00A52E98" w:rsidP="0094534B">
      <w:pPr>
        <w:pStyle w:val="Heading3"/>
        <w:spacing w:beforeLines="100" w:before="240"/>
      </w:pPr>
      <w:r>
        <w:t xml:space="preserve">Australia’s </w:t>
      </w:r>
      <w:r w:rsidR="00E56D7A">
        <w:t xml:space="preserve">current </w:t>
      </w:r>
      <w:r w:rsidR="00A24B44">
        <w:t>privacy framework</w:t>
      </w:r>
    </w:p>
    <w:p w14:paraId="5B8ACBC7" w14:textId="61F0E104" w:rsidR="007549F1" w:rsidRDefault="007549F1" w:rsidP="007549F1">
      <w:r>
        <w:t xml:space="preserve">The </w:t>
      </w:r>
      <w:r w:rsidRPr="00AB7D72">
        <w:rPr>
          <w:i/>
        </w:rPr>
        <w:t>Privacy Act</w:t>
      </w:r>
      <w:r w:rsidR="00AB7D72">
        <w:rPr>
          <w:i/>
        </w:rPr>
        <w:t xml:space="preserve"> 1988 </w:t>
      </w:r>
      <w:r w:rsidR="00AB7D72">
        <w:t>(Cth)</w:t>
      </w:r>
      <w:r w:rsidR="00AB7D72">
        <w:rPr>
          <w:i/>
        </w:rPr>
        <w:t xml:space="preserve"> </w:t>
      </w:r>
      <w:r w:rsidR="00AB7D72">
        <w:t>(Privacy Act)</w:t>
      </w:r>
      <w:r w:rsidRPr="00AB7D72">
        <w:rPr>
          <w:i/>
        </w:rPr>
        <w:t xml:space="preserve"> </w:t>
      </w:r>
      <w:r>
        <w:t>is the principal piece of Australian legislation protecting the handling of ‘personal information’ about individuals. This includes the collection, use, storage and disclosure of personal information in the federal public sector and in the private sector (</w:t>
      </w:r>
      <w:r w:rsidR="00AB7D72">
        <w:t xml:space="preserve">generally </w:t>
      </w:r>
      <w:r>
        <w:t xml:space="preserve">by organisations with </w:t>
      </w:r>
      <w:r w:rsidR="004825EA">
        <w:t xml:space="preserve">an </w:t>
      </w:r>
      <w:r>
        <w:t xml:space="preserve">annual turnover above $3 million). Other statutory provisions also affect privacy, and separate privacy regimes apply to state and territory public sectors. </w:t>
      </w:r>
    </w:p>
    <w:p w14:paraId="5CD292AB" w14:textId="4BD8B782" w:rsidR="00B5301D" w:rsidRDefault="00B5301D" w:rsidP="00B5301D">
      <w:r>
        <w:t>The Privacy Act implements Australia’s international obli</w:t>
      </w:r>
      <w:r w:rsidR="0041686D">
        <w:t>gations in relation to privacy, including prohibiting a</w:t>
      </w:r>
      <w:r>
        <w:t xml:space="preserve">rbitrary or unlawful interference with an individual’s privacy, family, home or correspondence </w:t>
      </w:r>
      <w:r w:rsidR="0041686D">
        <w:t>in accordance with</w:t>
      </w:r>
      <w:r>
        <w:t xml:space="preserve"> Article 17 of the </w:t>
      </w:r>
      <w:r>
        <w:rPr>
          <w:i/>
          <w:iCs/>
        </w:rPr>
        <w:t>International Covenan</w:t>
      </w:r>
      <w:r w:rsidR="0041686D">
        <w:rPr>
          <w:i/>
          <w:iCs/>
        </w:rPr>
        <w:t>t on Civil and Political Rights</w:t>
      </w:r>
      <w:r>
        <w:t>.</w:t>
      </w:r>
    </w:p>
    <w:p w14:paraId="76EFF6BC" w14:textId="7CB27EC4" w:rsidR="009E396C" w:rsidRDefault="00B5301D" w:rsidP="009E396C">
      <w:r>
        <w:t>The 13 legally binding principles provided by the Privacy Act, called the Australian Privacy Principles (‘APPs’), aim to b</w:t>
      </w:r>
      <w:r w:rsidRPr="531E5711">
        <w:t>alance the protection of the privacy of individuals, with the interests of public and private sector entities in carrying out their lawful and legit</w:t>
      </w:r>
      <w:r>
        <w:t xml:space="preserve">imate functions and activities. </w:t>
      </w:r>
      <w:r w:rsidR="00896D0C" w:rsidRPr="002C22FB">
        <w:t>Any restrictions on privacy must be justified as necessary, reasonable and proportionate to achieving those</w:t>
      </w:r>
      <w:r w:rsidR="009E2A24">
        <w:t xml:space="preserve"> legitimate</w:t>
      </w:r>
      <w:r w:rsidR="00896D0C" w:rsidRPr="002C22FB">
        <w:t xml:space="preserve"> interests or policy objectives.</w:t>
      </w:r>
    </w:p>
    <w:p w14:paraId="683D907D" w14:textId="668598C6" w:rsidR="00A24B44" w:rsidRDefault="00A24B44" w:rsidP="00A24B44">
      <w:pPr>
        <w:pStyle w:val="Heading4"/>
        <w:spacing w:beforeLines="100" w:before="240"/>
      </w:pPr>
      <w:r>
        <w:t xml:space="preserve">Remedies </w:t>
      </w:r>
      <w:r w:rsidR="00080436">
        <w:t xml:space="preserve">for </w:t>
      </w:r>
      <w:r>
        <w:t>privacy breaches</w:t>
      </w:r>
    </w:p>
    <w:p w14:paraId="43CC4C92" w14:textId="7A3C2F00" w:rsidR="00A44419" w:rsidRDefault="00896D0C" w:rsidP="00AB7D72">
      <w:r w:rsidRPr="002C22FB">
        <w:t>The O</w:t>
      </w:r>
      <w:r>
        <w:t xml:space="preserve">ffice of the </w:t>
      </w:r>
      <w:r w:rsidRPr="002C22FB">
        <w:t>A</w:t>
      </w:r>
      <w:r>
        <w:t xml:space="preserve">ustralian </w:t>
      </w:r>
      <w:r w:rsidRPr="002C22FB">
        <w:t>I</w:t>
      </w:r>
      <w:r>
        <w:t xml:space="preserve">nformation </w:t>
      </w:r>
      <w:r w:rsidRPr="002C22FB">
        <w:t>C</w:t>
      </w:r>
      <w:r>
        <w:t>ommissioner</w:t>
      </w:r>
      <w:r w:rsidRPr="002C22FB">
        <w:t xml:space="preserve"> </w:t>
      </w:r>
      <w:r>
        <w:t>(OAIC) is Australia’s independent p</w:t>
      </w:r>
      <w:r w:rsidRPr="002C22FB">
        <w:t>rivacy regulator</w:t>
      </w:r>
      <w:r>
        <w:t xml:space="preserve"> and is </w:t>
      </w:r>
      <w:r w:rsidR="00AB7D72">
        <w:t xml:space="preserve">responsible for enforcing compliance with the Privacy Act. </w:t>
      </w:r>
      <w:r>
        <w:t>The Australian Information</w:t>
      </w:r>
      <w:r w:rsidR="00AB7D72">
        <w:t xml:space="preserve"> Commissioner </w:t>
      </w:r>
      <w:r w:rsidR="0065080A">
        <w:t xml:space="preserve">(Commissioner) </w:t>
      </w:r>
      <w:r w:rsidR="00051AF5">
        <w:t>has the power to investigate and resolve</w:t>
      </w:r>
      <w:r w:rsidR="00AB7D72">
        <w:t xml:space="preserve"> complaints about instance</w:t>
      </w:r>
      <w:r w:rsidR="00051AF5">
        <w:t xml:space="preserve">s of non-compliance by </w:t>
      </w:r>
      <w:r w:rsidR="00051AF5">
        <w:lastRenderedPageBreak/>
        <w:t>entities</w:t>
      </w:r>
      <w:r w:rsidR="009E2A24">
        <w:t xml:space="preserve"> subject to the Privacy Act</w:t>
      </w:r>
      <w:r w:rsidR="00051AF5">
        <w:t>; and</w:t>
      </w:r>
      <w:r w:rsidR="00AB7D72">
        <w:t xml:space="preserve"> </w:t>
      </w:r>
      <w:r w:rsidR="00051AF5">
        <w:t xml:space="preserve">can conduct self-initiated </w:t>
      </w:r>
      <w:r w:rsidR="00AB7D72">
        <w:t>investigation</w:t>
      </w:r>
      <w:r w:rsidR="00051AF5">
        <w:t>s</w:t>
      </w:r>
      <w:r w:rsidR="00AB7D72">
        <w:t xml:space="preserve"> into an act or practice of an entity.</w:t>
      </w:r>
    </w:p>
    <w:p w14:paraId="04B0CCC2" w14:textId="1755300F" w:rsidR="0065080A" w:rsidRPr="0065080A" w:rsidRDefault="0065080A" w:rsidP="0065080A">
      <w:pPr>
        <w:spacing w:before="240" w:after="240" w:line="240" w:lineRule="auto"/>
        <w:textAlignment w:val="baseline"/>
      </w:pPr>
      <w:r w:rsidRPr="0065080A">
        <w:t xml:space="preserve">The Commissioner has a wide range of powers relating to </w:t>
      </w:r>
      <w:r w:rsidR="009E2A24">
        <w:t>breaches of the Privacy Act</w:t>
      </w:r>
      <w:r w:rsidRPr="0065080A">
        <w:t xml:space="preserve"> including to:</w:t>
      </w:r>
    </w:p>
    <w:p w14:paraId="372A2874" w14:textId="31545D01" w:rsidR="00736E0B" w:rsidRPr="0065080A" w:rsidRDefault="00736E0B" w:rsidP="00EA5445">
      <w:pPr>
        <w:pStyle w:val="Bullet1"/>
      </w:pPr>
      <w:r w:rsidRPr="0065080A">
        <w:t>investigat</w:t>
      </w:r>
      <w:r>
        <w:t>e a matter following a complaint or on the Commissioner’s own initiative</w:t>
      </w:r>
    </w:p>
    <w:p w14:paraId="34677D42" w14:textId="77777777" w:rsidR="00736E0B" w:rsidRPr="0065080A" w:rsidRDefault="00736E0B" w:rsidP="00EA5445">
      <w:pPr>
        <w:pStyle w:val="Bullet1"/>
      </w:pPr>
      <w:r w:rsidRPr="0065080A">
        <w:t>assist a person to</w:t>
      </w:r>
      <w:r>
        <w:t xml:space="preserve"> formulate and make a complaint</w:t>
      </w:r>
    </w:p>
    <w:p w14:paraId="430A05B2" w14:textId="77777777" w:rsidR="00736E0B" w:rsidRPr="0065080A" w:rsidRDefault="00736E0B" w:rsidP="00EA5445">
      <w:pPr>
        <w:pStyle w:val="Bullet1"/>
      </w:pPr>
      <w:r w:rsidRPr="0065080A">
        <w:t>attempt to conciliate the complaint</w:t>
      </w:r>
    </w:p>
    <w:p w14:paraId="218F156D" w14:textId="3FC9A4E4" w:rsidR="00736E0B" w:rsidRPr="0065080A" w:rsidRDefault="00736E0B" w:rsidP="00EA5445">
      <w:pPr>
        <w:pStyle w:val="Bullet1"/>
      </w:pPr>
      <w:r>
        <w:t>decline to investigate, or further investigate, a complaint in certain circumstances</w:t>
      </w:r>
    </w:p>
    <w:p w14:paraId="138FBBC4" w14:textId="425BAAC5" w:rsidR="0065080A" w:rsidRPr="0065080A" w:rsidRDefault="00736E0B" w:rsidP="00EA5445">
      <w:pPr>
        <w:pStyle w:val="Bullet1"/>
      </w:pPr>
      <w:r>
        <w:t>conduct preliminary inquiries to determine whether or not to open an investigation</w:t>
      </w:r>
      <w:r w:rsidR="0065080A" w:rsidRPr="0065080A">
        <w:t xml:space="preserve"> </w:t>
      </w:r>
    </w:p>
    <w:p w14:paraId="37213718" w14:textId="2D4C2986" w:rsidR="0065080A" w:rsidRPr="0065080A" w:rsidRDefault="0065080A" w:rsidP="00EA5445">
      <w:pPr>
        <w:pStyle w:val="Bullet1"/>
      </w:pPr>
      <w:r w:rsidRPr="0065080A">
        <w:t>require information or documents</w:t>
      </w:r>
      <w:r w:rsidR="00736E0B">
        <w:t xml:space="preserve"> to be produced</w:t>
      </w:r>
      <w:r w:rsidRPr="0065080A">
        <w:t xml:space="preserve">, or </w:t>
      </w:r>
      <w:r w:rsidR="00736E0B">
        <w:t xml:space="preserve">a person </w:t>
      </w:r>
      <w:r w:rsidRPr="0065080A">
        <w:t xml:space="preserve">to attend </w:t>
      </w:r>
      <w:r w:rsidR="00736E0B">
        <w:t>before the Commissioner</w:t>
      </w:r>
    </w:p>
    <w:p w14:paraId="4F6E112B" w14:textId="77777777" w:rsidR="00736E0B" w:rsidRPr="0065080A" w:rsidRDefault="00736E0B" w:rsidP="00EA5445">
      <w:pPr>
        <w:pStyle w:val="Bullet1"/>
      </w:pPr>
      <w:r>
        <w:t>refer a complaint</w:t>
      </w:r>
      <w:r w:rsidRPr="0065080A">
        <w:t xml:space="preserve"> to an alternative complaint body in certain circumstances </w:t>
      </w:r>
    </w:p>
    <w:p w14:paraId="104B6758" w14:textId="5DE1BAF1" w:rsidR="0065080A" w:rsidRPr="0065080A" w:rsidRDefault="0065080A" w:rsidP="00EA5445">
      <w:pPr>
        <w:pStyle w:val="Bullet1"/>
      </w:pPr>
      <w:r w:rsidRPr="0065080A">
        <w:t xml:space="preserve">enter premises </w:t>
      </w:r>
      <w:r w:rsidR="00736E0B">
        <w:t>and inspect relevant documents by consent or with a warrant</w:t>
      </w:r>
      <w:r w:rsidRPr="0065080A">
        <w:t xml:space="preserve"> </w:t>
      </w:r>
    </w:p>
    <w:p w14:paraId="37C8435B" w14:textId="330F8FD9" w:rsidR="0065080A" w:rsidRPr="0065080A" w:rsidRDefault="0065080A" w:rsidP="00EA5445">
      <w:pPr>
        <w:pStyle w:val="Bullet1"/>
      </w:pPr>
      <w:r w:rsidRPr="0065080A">
        <w:t xml:space="preserve">accept an enforceable undertaking </w:t>
      </w:r>
    </w:p>
    <w:p w14:paraId="73E9D091" w14:textId="37CD9168" w:rsidR="00736E0B" w:rsidRDefault="0065080A" w:rsidP="00EA5445">
      <w:pPr>
        <w:pStyle w:val="Bullet1"/>
      </w:pPr>
      <w:r w:rsidRPr="0065080A">
        <w:t>make a de</w:t>
      </w:r>
      <w:r w:rsidR="0041686D">
        <w:t xml:space="preserve">termination about </w:t>
      </w:r>
      <w:r w:rsidR="00736E0B">
        <w:t>an investigation</w:t>
      </w:r>
    </w:p>
    <w:p w14:paraId="5F0EF6D7" w14:textId="6D5904D5" w:rsidR="004E244F" w:rsidRDefault="00736E0B" w:rsidP="00EA5445">
      <w:pPr>
        <w:pStyle w:val="Bullet1"/>
      </w:pPr>
      <w:r>
        <w:t>seek an injunction before, during or after an investigation</w:t>
      </w:r>
      <w:r w:rsidR="0041686D">
        <w:t>;</w:t>
      </w:r>
      <w:r w:rsidR="004E244F">
        <w:t xml:space="preserve"> and</w:t>
      </w:r>
    </w:p>
    <w:p w14:paraId="36386525" w14:textId="71AE82B0" w:rsidR="004E244F" w:rsidRDefault="00736E0B" w:rsidP="00EA5445">
      <w:pPr>
        <w:pStyle w:val="Bullet1"/>
      </w:pPr>
      <w:r>
        <w:t>apply to the court for a civil</w:t>
      </w:r>
      <w:r w:rsidR="004944F4">
        <w:t xml:space="preserve"> penalty order for a breach of </w:t>
      </w:r>
      <w:r>
        <w:t>a civil penalty provision under the Privacy Act</w:t>
      </w:r>
      <w:r w:rsidR="004E244F">
        <w:t>.</w:t>
      </w:r>
      <w:r w:rsidR="004E244F" w:rsidRPr="004E244F">
        <w:t xml:space="preserve"> </w:t>
      </w:r>
    </w:p>
    <w:p w14:paraId="045D1691" w14:textId="6647C7FE" w:rsidR="0065080A" w:rsidRPr="0065080A" w:rsidRDefault="004E244F" w:rsidP="004E244F">
      <w:r>
        <w:t>The Privacy Act places a strong emphasis on the Commissioner to attempt to resolve complaints by conciliation and, failing that, make binding determinations against entities including determinations for compensation and costs.</w:t>
      </w:r>
    </w:p>
    <w:p w14:paraId="35626D48" w14:textId="1977041F" w:rsidR="00A01544" w:rsidRDefault="00A01544" w:rsidP="00A01544">
      <w:pPr>
        <w:pStyle w:val="Heading4"/>
        <w:spacing w:beforeLines="100" w:before="240"/>
      </w:pPr>
      <w:r>
        <w:t xml:space="preserve">Privacy and </w:t>
      </w:r>
      <w:r w:rsidR="00052D68">
        <w:t>AI</w:t>
      </w:r>
    </w:p>
    <w:p w14:paraId="4C529BB8" w14:textId="4ED89040" w:rsidR="00CA46E0" w:rsidRDefault="00CA46E0" w:rsidP="00CA46E0">
      <w:r w:rsidRPr="00EC0A7C">
        <w:rPr>
          <w:rFonts w:cstheme="minorHAnsi"/>
        </w:rPr>
        <w:t xml:space="preserve">The digital economy has brought with it immense benefits including new, faster and better products and services. As </w:t>
      </w:r>
      <w:r>
        <w:rPr>
          <w:rFonts w:cstheme="minorHAnsi"/>
        </w:rPr>
        <w:t>we</w:t>
      </w:r>
      <w:r w:rsidRPr="00EC0A7C">
        <w:rPr>
          <w:rFonts w:cstheme="minorHAnsi"/>
        </w:rPr>
        <w:t xml:space="preserve"> spend more time online, and new technologies emerge, more personal information about individuals is being captured and processed</w:t>
      </w:r>
      <w:r>
        <w:rPr>
          <w:rFonts w:cstheme="minorHAnsi"/>
        </w:rPr>
        <w:t>.</w:t>
      </w:r>
    </w:p>
    <w:p w14:paraId="03E06782" w14:textId="1A052873" w:rsidR="006417D9" w:rsidRDefault="006417D9" w:rsidP="006417D9">
      <w:r w:rsidRPr="000003C5">
        <w:t>The APPs are technology-neutral and apply equally to paper-based and digital environments</w:t>
      </w:r>
      <w:r w:rsidR="00C0062C">
        <w:t xml:space="preserve">. </w:t>
      </w:r>
      <w:r w:rsidR="00E56D7A">
        <w:t xml:space="preserve">Australia considers that its principles-based approach to privacy regulation is adaptable to new and emerging technologies, including AI. </w:t>
      </w:r>
      <w:r w:rsidRPr="000003C5">
        <w:t xml:space="preserve">The Privacy Act seeks to facilitate control over </w:t>
      </w:r>
      <w:r w:rsidR="00F25071">
        <w:t>an individual’s personal information</w:t>
      </w:r>
      <w:r w:rsidRPr="000003C5">
        <w:t xml:space="preserve"> by imposing limitation</w:t>
      </w:r>
      <w:r>
        <w:t>s</w:t>
      </w:r>
      <w:r w:rsidRPr="000003C5">
        <w:t xml:space="preserve"> on </w:t>
      </w:r>
      <w:r>
        <w:t xml:space="preserve">the </w:t>
      </w:r>
      <w:r w:rsidRPr="000003C5">
        <w:t>collection</w:t>
      </w:r>
      <w:r>
        <w:t xml:space="preserve"> of personal information</w:t>
      </w:r>
      <w:r w:rsidRPr="000003C5">
        <w:t xml:space="preserve"> and linking its permitted subsequent use and disclosure to the purposes for which it is collected, subject to permitted exceptions</w:t>
      </w:r>
      <w:r>
        <w:t>.</w:t>
      </w:r>
      <w:r w:rsidR="00563B06">
        <w:t xml:space="preserve"> </w:t>
      </w:r>
      <w:r w:rsidR="00F25071">
        <w:t>The Privacy Act</w:t>
      </w:r>
      <w:r w:rsidR="00563B06">
        <w:t xml:space="preserve"> requires entities to hold no more information on individuals than they need to fulfil their functions and purposes, and to collect it, as far as possible, from the individual concerned.</w:t>
      </w:r>
    </w:p>
    <w:p w14:paraId="7A823B34" w14:textId="00426D72" w:rsidR="004944F4" w:rsidRDefault="004944F4" w:rsidP="004944F4">
      <w:r>
        <w:t>The OAIC provides guidance on the privacy risks arising from new data analytics processes and how the APPs apply to data analytics. Some key concepts of privacy protection relevant to AI systems include:</w:t>
      </w:r>
    </w:p>
    <w:p w14:paraId="71263F7C" w14:textId="77777777" w:rsidR="004944F4" w:rsidRDefault="004944F4" w:rsidP="00EA5445">
      <w:pPr>
        <w:pStyle w:val="Bullet1"/>
      </w:pPr>
      <w:r>
        <w:t>thinking about how data may be used for purposes other than which they were originally collected; and</w:t>
      </w:r>
    </w:p>
    <w:p w14:paraId="3EBCEAA3" w14:textId="77777777" w:rsidR="00EA5445" w:rsidRDefault="004944F4" w:rsidP="00EA5445">
      <w:pPr>
        <w:pStyle w:val="Bullet1"/>
      </w:pPr>
      <w:r>
        <w:t>making use of de-identification techniques or data anonymization techniques to maintain and protect privacy of personal information.</w:t>
      </w:r>
      <w:r w:rsidR="00EA5445" w:rsidRPr="00EA5445">
        <w:t xml:space="preserve"> </w:t>
      </w:r>
    </w:p>
    <w:p w14:paraId="635E7327" w14:textId="0EA1C093" w:rsidR="004944F4" w:rsidRDefault="00EA5445" w:rsidP="00EA5445">
      <w:r w:rsidRPr="00EA5445">
        <w:lastRenderedPageBreak/>
        <w:t>On 27 May 2021, the Human Rights Commissioner published his report, “Human Rights and Technology Final Report 2021”. The report provides a roadmap for how Australia should protect and promote human rights, including the right to privacy, in a time of unprecedented change in how we develop and use new technologies.</w:t>
      </w:r>
    </w:p>
    <w:p w14:paraId="7EC08B02" w14:textId="2333A897" w:rsidR="003420BC" w:rsidRPr="000003C5" w:rsidRDefault="0061002C" w:rsidP="007549F1">
      <w:r>
        <w:t>While there may be efficiency benefits to the use of AI, these benefits should be balanced with appropriate protections</w:t>
      </w:r>
      <w:r w:rsidRPr="000003C5">
        <w:t>.</w:t>
      </w:r>
      <w:r w:rsidRPr="006417D9">
        <w:t xml:space="preserve"> </w:t>
      </w:r>
      <w:r w:rsidR="000A46D4">
        <w:t xml:space="preserve">Australia’s current review of the Privacy Act will </w:t>
      </w:r>
      <w:r w:rsidR="007F7F4B">
        <w:t xml:space="preserve">further </w:t>
      </w:r>
      <w:r w:rsidR="000A46D4">
        <w:t xml:space="preserve">consider </w:t>
      </w:r>
      <w:r w:rsidR="004D04F1">
        <w:t xml:space="preserve">how Australia’s </w:t>
      </w:r>
      <w:r w:rsidR="00051AF5">
        <w:t>privacy</w:t>
      </w:r>
      <w:r w:rsidR="004D04F1">
        <w:t xml:space="preserve"> framework can ensure that </w:t>
      </w:r>
      <w:r w:rsidR="00E56D7A">
        <w:t xml:space="preserve">new and </w:t>
      </w:r>
      <w:r w:rsidR="004D04F1">
        <w:t xml:space="preserve">emerging technologies </w:t>
      </w:r>
      <w:r w:rsidR="00736E0B">
        <w:t xml:space="preserve">maintain </w:t>
      </w:r>
      <w:r w:rsidR="00051AF5">
        <w:t xml:space="preserve">appropriate </w:t>
      </w:r>
      <w:r w:rsidR="004D04F1">
        <w:t>protect</w:t>
      </w:r>
      <w:r w:rsidR="00736E0B">
        <w:t>ions to ensure</w:t>
      </w:r>
      <w:r w:rsidR="004D04F1">
        <w:t xml:space="preserve"> the privacy of individuals. </w:t>
      </w:r>
    </w:p>
    <w:p w14:paraId="00C6A139" w14:textId="041A0503" w:rsidR="00A01544" w:rsidRPr="00A52E98" w:rsidRDefault="00A24B44" w:rsidP="00A01544">
      <w:pPr>
        <w:pStyle w:val="Heading3"/>
        <w:spacing w:beforeLines="100" w:before="240"/>
      </w:pPr>
      <w:r>
        <w:t>Current</w:t>
      </w:r>
      <w:r w:rsidR="00A01544">
        <w:t xml:space="preserve"> initiatives related to privacy in the digital age</w:t>
      </w:r>
    </w:p>
    <w:p w14:paraId="1C6971AF" w14:textId="7E9EA61A" w:rsidR="00A01544" w:rsidRDefault="0041686D" w:rsidP="00052D68">
      <w:r>
        <w:t>I</w:t>
      </w:r>
      <w:r w:rsidR="0061002C">
        <w:t>n July 2019 the A</w:t>
      </w:r>
      <w:r w:rsidR="00E56D7A">
        <w:t>ustralian Competition and Consumer Commission (A</w:t>
      </w:r>
      <w:r w:rsidR="0061002C">
        <w:t>CCC</w:t>
      </w:r>
      <w:r w:rsidR="00E56D7A">
        <w:t>)</w:t>
      </w:r>
      <w:r w:rsidR="00B53DC7" w:rsidRPr="00B53DC7">
        <w:t xml:space="preserve"> </w:t>
      </w:r>
      <w:r w:rsidR="0061002C">
        <w:t xml:space="preserve">released their </w:t>
      </w:r>
      <w:r w:rsidR="00E56D7A">
        <w:t>Digital Platforms Inquiry (DPI)</w:t>
      </w:r>
      <w:r w:rsidR="00E56D7A" w:rsidRPr="00B53DC7">
        <w:t xml:space="preserve"> </w:t>
      </w:r>
      <w:r w:rsidR="00B53DC7" w:rsidRPr="00B53DC7">
        <w:t xml:space="preserve">Report </w:t>
      </w:r>
      <w:r w:rsidR="0061002C">
        <w:t>which</w:t>
      </w:r>
      <w:r w:rsidR="000F253B">
        <w:t xml:space="preserve"> considered digital platforms and the effect that digital search engines, social media platforms and other digital content aggregation platforms have on competition in media and advertising services markets. </w:t>
      </w:r>
      <w:r w:rsidR="007F7F4B">
        <w:t xml:space="preserve">The </w:t>
      </w:r>
      <w:r w:rsidR="00495FD5">
        <w:t xml:space="preserve">DPI </w:t>
      </w:r>
      <w:r w:rsidR="007F7F4B">
        <w:t xml:space="preserve">Report emphasised the </w:t>
      </w:r>
      <w:r w:rsidR="000F253B" w:rsidRPr="000F253B">
        <w:t xml:space="preserve">need to ensure </w:t>
      </w:r>
      <w:r w:rsidR="007F7F4B">
        <w:t>Australian</w:t>
      </w:r>
      <w:r w:rsidR="000F253B" w:rsidRPr="000F253B">
        <w:t xml:space="preserve"> regulatory frameworks keep pace with the</w:t>
      </w:r>
      <w:r w:rsidR="000F253B">
        <w:t xml:space="preserve"> </w:t>
      </w:r>
      <w:r w:rsidR="000F253B" w:rsidRPr="000F253B">
        <w:t>changes being driven by digital platforms, i</w:t>
      </w:r>
      <w:r w:rsidR="00052D68">
        <w:t>ncluding social media platforms</w:t>
      </w:r>
      <w:r w:rsidR="0061002C">
        <w:t>.</w:t>
      </w:r>
    </w:p>
    <w:p w14:paraId="6C878F12" w14:textId="275732E6" w:rsidR="00D02537" w:rsidRDefault="00AB7D72" w:rsidP="00AB7D72">
      <w:r>
        <w:t xml:space="preserve">In response to the </w:t>
      </w:r>
      <w:r w:rsidR="003420BC">
        <w:t>DPI Re</w:t>
      </w:r>
      <w:r w:rsidR="00B53DC7">
        <w:t>p</w:t>
      </w:r>
      <w:r w:rsidR="003420BC">
        <w:t>ort</w:t>
      </w:r>
      <w:r w:rsidR="00E56D7A">
        <w:t>,</w:t>
      </w:r>
      <w:r>
        <w:t xml:space="preserve"> the </w:t>
      </w:r>
      <w:r w:rsidR="00B53DC7">
        <w:t>Australian</w:t>
      </w:r>
      <w:r w:rsidR="004D04F1">
        <w:t xml:space="preserve"> </w:t>
      </w:r>
      <w:r>
        <w:t xml:space="preserve">Government committed to </w:t>
      </w:r>
      <w:r w:rsidR="00E56D7A">
        <w:t xml:space="preserve">building on reforms announced in March 2019 – to increase penalties and enforcement measures and develop a binding privacy code for social media and online platforms – by </w:t>
      </w:r>
      <w:r>
        <w:t>undertak</w:t>
      </w:r>
      <w:r w:rsidR="00E56D7A">
        <w:t>ing</w:t>
      </w:r>
      <w:r>
        <w:t xml:space="preserve"> a review of the Privacy Act and to consult on options for implementing a number of privacy-specific recommendations to better empower consumers, protect their data and best serve the Australian economy. </w:t>
      </w:r>
    </w:p>
    <w:p w14:paraId="0ABE2E85" w14:textId="0F3A1C4D" w:rsidR="00D02537" w:rsidRDefault="00D02537" w:rsidP="007F7F4B">
      <w:r>
        <w:t xml:space="preserve">The </w:t>
      </w:r>
      <w:r w:rsidR="00052D68">
        <w:t xml:space="preserve">Review is </w:t>
      </w:r>
      <w:r w:rsidR="00D1694F">
        <w:t xml:space="preserve">currently </w:t>
      </w:r>
      <w:r w:rsidR="00052D68">
        <w:t xml:space="preserve">underway </w:t>
      </w:r>
      <w:r w:rsidR="00D1694F">
        <w:t xml:space="preserve">in the Attorney-General’s Department </w:t>
      </w:r>
      <w:r w:rsidR="00052D68">
        <w:t>and is considering</w:t>
      </w:r>
      <w:r w:rsidRPr="00EE13EE">
        <w:t>:</w:t>
      </w:r>
    </w:p>
    <w:p w14:paraId="3D0B5013" w14:textId="77777777" w:rsidR="00D02537" w:rsidRPr="00EE13EE" w:rsidRDefault="00D02537" w:rsidP="00D02537">
      <w:pPr>
        <w:widowControl w:val="0"/>
        <w:numPr>
          <w:ilvl w:val="0"/>
          <w:numId w:val="8"/>
        </w:numPr>
        <w:tabs>
          <w:tab w:val="left" w:pos="426"/>
        </w:tabs>
        <w:spacing w:after="0"/>
        <w:rPr>
          <w:szCs w:val="24"/>
        </w:rPr>
      </w:pPr>
      <w:r w:rsidRPr="00EE13EE">
        <w:rPr>
          <w:szCs w:val="24"/>
        </w:rPr>
        <w:t>the scope and application of the Privacy Act</w:t>
      </w:r>
    </w:p>
    <w:p w14:paraId="760BC5BC" w14:textId="77777777" w:rsidR="00D02537" w:rsidRPr="00EE13EE" w:rsidRDefault="00D02537" w:rsidP="00D02537">
      <w:pPr>
        <w:widowControl w:val="0"/>
        <w:numPr>
          <w:ilvl w:val="0"/>
          <w:numId w:val="8"/>
        </w:numPr>
        <w:tabs>
          <w:tab w:val="left" w:pos="426"/>
        </w:tabs>
        <w:spacing w:after="0"/>
        <w:rPr>
          <w:szCs w:val="24"/>
        </w:rPr>
      </w:pPr>
      <w:r w:rsidRPr="00EE13EE">
        <w:rPr>
          <w:szCs w:val="24"/>
        </w:rPr>
        <w:t>whether the Privacy Act effectively protects personal information and provides a practical and proportionate framework for promoting good privacy practices</w:t>
      </w:r>
    </w:p>
    <w:p w14:paraId="3CADBF86" w14:textId="0FD761E1" w:rsidR="00D02537" w:rsidRPr="00EE13EE" w:rsidRDefault="00D02537" w:rsidP="00D02537">
      <w:pPr>
        <w:widowControl w:val="0"/>
        <w:numPr>
          <w:ilvl w:val="0"/>
          <w:numId w:val="8"/>
        </w:numPr>
        <w:tabs>
          <w:tab w:val="left" w:pos="426"/>
        </w:tabs>
        <w:spacing w:after="0"/>
        <w:rPr>
          <w:szCs w:val="24"/>
        </w:rPr>
      </w:pPr>
      <w:r w:rsidRPr="00EE13EE">
        <w:rPr>
          <w:szCs w:val="24"/>
        </w:rPr>
        <w:t xml:space="preserve">whether individuals should have </w:t>
      </w:r>
      <w:r w:rsidR="00E30C87">
        <w:rPr>
          <w:szCs w:val="24"/>
        </w:rPr>
        <w:t xml:space="preserve">a </w:t>
      </w:r>
      <w:r w:rsidRPr="00EE13EE">
        <w:rPr>
          <w:szCs w:val="24"/>
        </w:rPr>
        <w:t>direct right of action to enforce privacy obligations under the Privacy Act</w:t>
      </w:r>
    </w:p>
    <w:p w14:paraId="709945D4" w14:textId="77777777" w:rsidR="00D02537" w:rsidRPr="00EE13EE" w:rsidRDefault="00D02537" w:rsidP="00D02537">
      <w:pPr>
        <w:widowControl w:val="0"/>
        <w:numPr>
          <w:ilvl w:val="0"/>
          <w:numId w:val="8"/>
        </w:numPr>
        <w:tabs>
          <w:tab w:val="left" w:pos="426"/>
        </w:tabs>
        <w:spacing w:after="0"/>
        <w:rPr>
          <w:szCs w:val="24"/>
        </w:rPr>
      </w:pPr>
      <w:r w:rsidRPr="00EE13EE">
        <w:rPr>
          <w:szCs w:val="24"/>
        </w:rPr>
        <w:t>whether a statutory tort for serious invasions of privacy should be introduced into Australian law</w:t>
      </w:r>
    </w:p>
    <w:p w14:paraId="4318C12A" w14:textId="77777777" w:rsidR="00D02537" w:rsidRPr="00EE13EE" w:rsidRDefault="00D02537" w:rsidP="00D02537">
      <w:pPr>
        <w:widowControl w:val="0"/>
        <w:numPr>
          <w:ilvl w:val="0"/>
          <w:numId w:val="8"/>
        </w:numPr>
        <w:tabs>
          <w:tab w:val="left" w:pos="426"/>
        </w:tabs>
        <w:spacing w:after="0"/>
        <w:rPr>
          <w:szCs w:val="24"/>
        </w:rPr>
      </w:pPr>
      <w:r w:rsidRPr="00EE13EE">
        <w:rPr>
          <w:szCs w:val="24"/>
        </w:rPr>
        <w:t>the impact of the notifiable data breach scheme and its effectiveness in meeting its objectives</w:t>
      </w:r>
    </w:p>
    <w:p w14:paraId="27B73882" w14:textId="57487A58" w:rsidR="00D02537" w:rsidRPr="00EE13EE" w:rsidRDefault="00D02537" w:rsidP="00EA5445">
      <w:pPr>
        <w:pStyle w:val="Bullet1"/>
      </w:pPr>
      <w:r w:rsidRPr="00EE13EE">
        <w:t>the effectiveness of enforcement powers and mechanisms under the Privacy Act and how they interact with other Commonwealth regulatory frameworks</w:t>
      </w:r>
      <w:r w:rsidR="004944F4">
        <w:t>;</w:t>
      </w:r>
      <w:r>
        <w:t xml:space="preserve"> and</w:t>
      </w:r>
    </w:p>
    <w:p w14:paraId="2B09B8EB" w14:textId="4793B84A" w:rsidR="00D02537" w:rsidRDefault="00D02537" w:rsidP="00EA5445">
      <w:pPr>
        <w:pStyle w:val="Bullet1"/>
      </w:pPr>
      <w:r w:rsidRPr="00EE13EE">
        <w:t>the desirability and feasibility of an independent certification scheme to monitor and demonstrate compliance with Australian privacy laws.</w:t>
      </w:r>
    </w:p>
    <w:p w14:paraId="547DC839" w14:textId="77777777" w:rsidR="0005625D" w:rsidRDefault="0005625D" w:rsidP="00EA5445">
      <w:pPr>
        <w:pStyle w:val="Bullet1"/>
        <w:numPr>
          <w:ilvl w:val="0"/>
          <w:numId w:val="0"/>
        </w:numPr>
        <w:ind w:left="720"/>
      </w:pPr>
    </w:p>
    <w:p w14:paraId="2EE5AEAD" w14:textId="77777777" w:rsidR="00163A47" w:rsidRDefault="004944F4" w:rsidP="00EF5192">
      <w:r>
        <w:t>Of particular relevance to AI systems, the Privacy Act Review is considering specific issues about</w:t>
      </w:r>
      <w:r w:rsidR="00163A47">
        <w:t>:</w:t>
      </w:r>
    </w:p>
    <w:p w14:paraId="7F35F4F3" w14:textId="37373C79" w:rsidR="00163A47" w:rsidRDefault="00062FEC" w:rsidP="00D60D42">
      <w:pPr>
        <w:pStyle w:val="Bullet1"/>
      </w:pPr>
      <w:r>
        <w:t>t</w:t>
      </w:r>
      <w:r w:rsidR="00163A47">
        <w:t xml:space="preserve">he definition of </w:t>
      </w:r>
      <w:r w:rsidR="00D56FE4">
        <w:t>‘</w:t>
      </w:r>
      <w:r w:rsidR="00163A47">
        <w:t>personal information</w:t>
      </w:r>
      <w:r>
        <w:t>,</w:t>
      </w:r>
      <w:r w:rsidR="00D56FE4">
        <w:t>’</w:t>
      </w:r>
      <w:r w:rsidR="0005625D">
        <w:t xml:space="preserve"> </w:t>
      </w:r>
      <w:r>
        <w:t>including w</w:t>
      </w:r>
      <w:r w:rsidR="00163A47">
        <w:t>hether the Act should be amended to more clearly capture inferred personal information</w:t>
      </w:r>
      <w:r w:rsidR="0005625D">
        <w:t xml:space="preserve"> – particularly sensitive information</w:t>
      </w:r>
      <w:r w:rsidR="00163A47">
        <w:t xml:space="preserve">, </w:t>
      </w:r>
      <w:r w:rsidR="00E30C87">
        <w:t>and</w:t>
      </w:r>
    </w:p>
    <w:p w14:paraId="324B044C" w14:textId="07C2CA57" w:rsidR="00163A47" w:rsidRDefault="00163A47" w:rsidP="00EA5445">
      <w:pPr>
        <w:pStyle w:val="Bullet1"/>
      </w:pPr>
      <w:r>
        <w:t xml:space="preserve">the purposes (including secondary purposes) for which information, once collected, can be used and disclosed </w:t>
      </w:r>
      <w:r w:rsidR="004944F4">
        <w:t xml:space="preserve">. </w:t>
      </w:r>
    </w:p>
    <w:p w14:paraId="4A918AFA" w14:textId="2C921838" w:rsidR="00E56D7A" w:rsidRPr="007F7F4B" w:rsidRDefault="00E56D7A" w:rsidP="001817D1">
      <w:r>
        <w:t xml:space="preserve">Through the Privacy Act Review, Australia is working to ensure its privacy framework is best placed to meet the demands of the digital age, including the emergence of new technologies and AI. </w:t>
      </w:r>
    </w:p>
    <w:p w14:paraId="6E6EC899" w14:textId="7263A9FA" w:rsidR="00A01544" w:rsidRDefault="00A01544" w:rsidP="00A01544">
      <w:pPr>
        <w:pStyle w:val="Heading3"/>
        <w:spacing w:beforeLines="100" w:before="240"/>
      </w:pPr>
      <w:r>
        <w:t>Australia’s AI Ethics Framework</w:t>
      </w:r>
      <w:r w:rsidR="00E56D7A">
        <w:t xml:space="preserve"> and privacy protection</w:t>
      </w:r>
    </w:p>
    <w:p w14:paraId="61BEBF16" w14:textId="73D6C53C" w:rsidR="00516909" w:rsidRDefault="00516909" w:rsidP="00516909">
      <w:r>
        <w:t xml:space="preserve">In November 2019, Australia released a national AI Ethics Framework to guide businesses and </w:t>
      </w:r>
      <w:r w:rsidR="002D5102">
        <w:t>governments</w:t>
      </w:r>
      <w:r>
        <w:t xml:space="preserve"> looking to design, develop and implement AI in Australia. It sets out eight voluntary AI Ethics Principles for organisations to strive towards the highest standards of ethical business and good governance when using AI. These principles are consistent with the OECD principles on AI that Australia signed up to in May 2019 and which were later affirmed by the G20 Trade and Digital Economy Ministers in June 2019.</w:t>
      </w:r>
    </w:p>
    <w:p w14:paraId="0F58B2A0" w14:textId="7ABD284D" w:rsidR="00516909" w:rsidRDefault="00516909" w:rsidP="00516909">
      <w:r>
        <w:t>One of the principles, Privacy Protection and Security</w:t>
      </w:r>
      <w:r w:rsidR="004944F4">
        <w:t>,</w:t>
      </w:r>
      <w:r>
        <w:t xml:space="preserve"> aims to ensure AI systems respect and uphold privacy rights and data protection, and security of data. This principle suggests that privacy and data protection should be built into AI systems from the beginning and maintained throughout the AI systems lifecycle and continued to be monitored after it is deployed. </w:t>
      </w:r>
    </w:p>
    <w:p w14:paraId="6C6A1DA3" w14:textId="60329721" w:rsidR="00BF004D" w:rsidRDefault="00516909" w:rsidP="00A01544">
      <w:r>
        <w:t>The Department of Industry, Science, Energy and Resources has recently concluded a pilot of the AI Ethics Principles with six Australian organisations to better understand how the principles work in practice. These organisations were: the Commonwealth Bank of Australia; Flamingo AI; Insurance Australia Group; Microsoft; National Australia Bank and Telstra.</w:t>
      </w:r>
    </w:p>
    <w:p w14:paraId="46724C5F" w14:textId="77777777" w:rsidR="00163A47" w:rsidRDefault="00163A47" w:rsidP="00A01544"/>
    <w:p w14:paraId="29E8A40B" w14:textId="35760317" w:rsidR="00163A47" w:rsidRPr="00192F33" w:rsidRDefault="00163A47" w:rsidP="00163A47">
      <w:pPr>
        <w:rPr>
          <w:b/>
        </w:rPr>
      </w:pPr>
    </w:p>
    <w:sectPr w:rsidR="00163A47" w:rsidRPr="00192F33" w:rsidSect="00151A0A">
      <w:footerReference w:type="default" r:id="rId16"/>
      <w:type w:val="continuous"/>
      <w:pgSz w:w="12240" w:h="15840"/>
      <w:pgMar w:top="532" w:right="964" w:bottom="964" w:left="96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50CF" w14:textId="77777777" w:rsidR="009C13BD" w:rsidRDefault="009C13BD" w:rsidP="006150CB">
      <w:r>
        <w:separator/>
      </w:r>
    </w:p>
  </w:endnote>
  <w:endnote w:type="continuationSeparator" w:id="0">
    <w:p w14:paraId="623C6DD1" w14:textId="77777777" w:rsidR="009C13BD" w:rsidRDefault="009C13BD" w:rsidP="0061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1DAA" w14:textId="77777777" w:rsidR="006150CB" w:rsidRPr="00453257" w:rsidRDefault="00394664" w:rsidP="00394664">
    <w:pPr>
      <w:pStyle w:val="Footer"/>
      <w:ind w:left="-284"/>
    </w:pPr>
    <w:r>
      <w:rPr>
        <w:noProof/>
        <w:lang w:val="en-GB" w:eastAsia="en-GB"/>
      </w:rPr>
      <w:drawing>
        <wp:inline distT="0" distB="0" distL="0" distR="0" wp14:anchorId="6C6A1DAC" wp14:editId="6C6A1DAD">
          <wp:extent cx="7086534" cy="75485"/>
          <wp:effectExtent l="0" t="0" r="0" b="1270"/>
          <wp:docPr id="1" name="Picture 1"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86534" cy="754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075119"/>
      <w:docPartObj>
        <w:docPartGallery w:val="Page Numbers (Bottom of Page)"/>
        <w:docPartUnique/>
      </w:docPartObj>
    </w:sdtPr>
    <w:sdtEndPr>
      <w:rPr>
        <w:noProof/>
      </w:rPr>
    </w:sdtEndPr>
    <w:sdtContent>
      <w:p w14:paraId="672EB8F3" w14:textId="2B6DA823" w:rsidR="0063743F" w:rsidRDefault="0063743F">
        <w:pPr>
          <w:pStyle w:val="Footer"/>
          <w:jc w:val="right"/>
        </w:pPr>
        <w:r>
          <w:fldChar w:fldCharType="begin"/>
        </w:r>
        <w:r>
          <w:instrText xml:space="preserve"> PAGE   \* MERGEFORMAT </w:instrText>
        </w:r>
        <w:r>
          <w:fldChar w:fldCharType="separate"/>
        </w:r>
        <w:r w:rsidR="00BB2567">
          <w:rPr>
            <w:noProof/>
          </w:rPr>
          <w:t>2</w:t>
        </w:r>
        <w:r>
          <w:rPr>
            <w:noProof/>
          </w:rPr>
          <w:fldChar w:fldCharType="end"/>
        </w:r>
      </w:p>
    </w:sdtContent>
  </w:sdt>
  <w:p w14:paraId="6C6A1DAB" w14:textId="77777777" w:rsidR="006150CB" w:rsidRDefault="006150CB" w:rsidP="0061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C70DB" w14:textId="77777777" w:rsidR="009C13BD" w:rsidRDefault="009C13BD" w:rsidP="006150CB">
      <w:r>
        <w:separator/>
      </w:r>
    </w:p>
  </w:footnote>
  <w:footnote w:type="continuationSeparator" w:id="0">
    <w:p w14:paraId="1878354C" w14:textId="77777777" w:rsidR="009C13BD" w:rsidRDefault="009C13BD" w:rsidP="0061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55E6B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18EAD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D2721E"/>
    <w:multiLevelType w:val="multilevel"/>
    <w:tmpl w:val="EFDC8A06"/>
    <w:numStyleLink w:val="Bullet2"/>
  </w:abstractNum>
  <w:abstractNum w:abstractNumId="3"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BF65B0"/>
    <w:multiLevelType w:val="hybridMultilevel"/>
    <w:tmpl w:val="30629EE0"/>
    <w:lvl w:ilvl="0" w:tplc="E534A24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8665BE"/>
    <w:multiLevelType w:val="hybridMultilevel"/>
    <w:tmpl w:val="7A36EFD8"/>
    <w:lvl w:ilvl="0" w:tplc="CF522D5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0605D2"/>
    <w:multiLevelType w:val="hybridMultilevel"/>
    <w:tmpl w:val="AD2CEAAC"/>
    <w:lvl w:ilvl="0" w:tplc="FB7082A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A15FB9"/>
    <w:multiLevelType w:val="hybridMultilevel"/>
    <w:tmpl w:val="BF3AA932"/>
    <w:lvl w:ilvl="0" w:tplc="3484F224">
      <w:start w:val="1"/>
      <w:numFmt w:val="bullet"/>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A3343B"/>
    <w:multiLevelType w:val="multilevel"/>
    <w:tmpl w:val="ED74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C4F64"/>
    <w:multiLevelType w:val="multilevel"/>
    <w:tmpl w:val="FA2E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5"/>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8"/>
    <w:rsid w:val="000003C5"/>
    <w:rsid w:val="00027959"/>
    <w:rsid w:val="00051AF5"/>
    <w:rsid w:val="00052D68"/>
    <w:rsid w:val="0005625D"/>
    <w:rsid w:val="000579F5"/>
    <w:rsid w:val="00062FEC"/>
    <w:rsid w:val="000779BE"/>
    <w:rsid w:val="00080436"/>
    <w:rsid w:val="00085244"/>
    <w:rsid w:val="00087EB9"/>
    <w:rsid w:val="00096B7A"/>
    <w:rsid w:val="000A46D4"/>
    <w:rsid w:val="000B26C0"/>
    <w:rsid w:val="000F253B"/>
    <w:rsid w:val="000F3D72"/>
    <w:rsid w:val="0011430B"/>
    <w:rsid w:val="00114928"/>
    <w:rsid w:val="00151A0A"/>
    <w:rsid w:val="00163A47"/>
    <w:rsid w:val="001817D1"/>
    <w:rsid w:val="00192F33"/>
    <w:rsid w:val="001971F9"/>
    <w:rsid w:val="001A1545"/>
    <w:rsid w:val="001A4B77"/>
    <w:rsid w:val="001F009A"/>
    <w:rsid w:val="00207F22"/>
    <w:rsid w:val="00230B26"/>
    <w:rsid w:val="00247649"/>
    <w:rsid w:val="002527C2"/>
    <w:rsid w:val="00253442"/>
    <w:rsid w:val="00256766"/>
    <w:rsid w:val="00297B91"/>
    <w:rsid w:val="002A0994"/>
    <w:rsid w:val="002A1C06"/>
    <w:rsid w:val="002B7E91"/>
    <w:rsid w:val="002C36D2"/>
    <w:rsid w:val="002C7CB4"/>
    <w:rsid w:val="002D5102"/>
    <w:rsid w:val="002F314E"/>
    <w:rsid w:val="003420BC"/>
    <w:rsid w:val="00363604"/>
    <w:rsid w:val="00363EB1"/>
    <w:rsid w:val="00372C25"/>
    <w:rsid w:val="00394664"/>
    <w:rsid w:val="00395615"/>
    <w:rsid w:val="00397B33"/>
    <w:rsid w:val="003B28B8"/>
    <w:rsid w:val="003C2803"/>
    <w:rsid w:val="003D1D64"/>
    <w:rsid w:val="003D4785"/>
    <w:rsid w:val="003D668F"/>
    <w:rsid w:val="003E55D9"/>
    <w:rsid w:val="003E611C"/>
    <w:rsid w:val="003E6C6D"/>
    <w:rsid w:val="0041686D"/>
    <w:rsid w:val="004450A3"/>
    <w:rsid w:val="00453257"/>
    <w:rsid w:val="004654C8"/>
    <w:rsid w:val="00474107"/>
    <w:rsid w:val="004825EA"/>
    <w:rsid w:val="004939C2"/>
    <w:rsid w:val="004944F4"/>
    <w:rsid w:val="00495CE7"/>
    <w:rsid w:val="00495FD5"/>
    <w:rsid w:val="004D04F1"/>
    <w:rsid w:val="004E244F"/>
    <w:rsid w:val="00502AD4"/>
    <w:rsid w:val="00516909"/>
    <w:rsid w:val="00527DC1"/>
    <w:rsid w:val="00536AE3"/>
    <w:rsid w:val="00563A18"/>
    <w:rsid w:val="00563B06"/>
    <w:rsid w:val="00596409"/>
    <w:rsid w:val="005C19BD"/>
    <w:rsid w:val="005C1BB3"/>
    <w:rsid w:val="005C2EE6"/>
    <w:rsid w:val="005D3FEF"/>
    <w:rsid w:val="0060210A"/>
    <w:rsid w:val="0060290B"/>
    <w:rsid w:val="0061002C"/>
    <w:rsid w:val="00614AD4"/>
    <w:rsid w:val="006150CB"/>
    <w:rsid w:val="0063743F"/>
    <w:rsid w:val="006417D9"/>
    <w:rsid w:val="0065080A"/>
    <w:rsid w:val="00654111"/>
    <w:rsid w:val="00674EE6"/>
    <w:rsid w:val="00736E0B"/>
    <w:rsid w:val="007549F1"/>
    <w:rsid w:val="00794244"/>
    <w:rsid w:val="007B0031"/>
    <w:rsid w:val="007F2E50"/>
    <w:rsid w:val="007F7F4B"/>
    <w:rsid w:val="008868CD"/>
    <w:rsid w:val="008934DA"/>
    <w:rsid w:val="00893A4B"/>
    <w:rsid w:val="00896D0C"/>
    <w:rsid w:val="008D2EF7"/>
    <w:rsid w:val="009105A0"/>
    <w:rsid w:val="0094193B"/>
    <w:rsid w:val="0094534B"/>
    <w:rsid w:val="00951CF0"/>
    <w:rsid w:val="00955C68"/>
    <w:rsid w:val="00974349"/>
    <w:rsid w:val="0098671E"/>
    <w:rsid w:val="009A3CFD"/>
    <w:rsid w:val="009C13BD"/>
    <w:rsid w:val="009E2A24"/>
    <w:rsid w:val="009E396C"/>
    <w:rsid w:val="00A01544"/>
    <w:rsid w:val="00A02862"/>
    <w:rsid w:val="00A226C5"/>
    <w:rsid w:val="00A24B44"/>
    <w:rsid w:val="00A44419"/>
    <w:rsid w:val="00A47852"/>
    <w:rsid w:val="00A52E98"/>
    <w:rsid w:val="00A559CE"/>
    <w:rsid w:val="00AB7D72"/>
    <w:rsid w:val="00B13DAB"/>
    <w:rsid w:val="00B5301D"/>
    <w:rsid w:val="00B53DC7"/>
    <w:rsid w:val="00B74535"/>
    <w:rsid w:val="00B9363B"/>
    <w:rsid w:val="00B97BAE"/>
    <w:rsid w:val="00BB2567"/>
    <w:rsid w:val="00BD5DD7"/>
    <w:rsid w:val="00BE3BCE"/>
    <w:rsid w:val="00BF004D"/>
    <w:rsid w:val="00C0062C"/>
    <w:rsid w:val="00C2496A"/>
    <w:rsid w:val="00C279C1"/>
    <w:rsid w:val="00C50FB7"/>
    <w:rsid w:val="00CA46E0"/>
    <w:rsid w:val="00CC1101"/>
    <w:rsid w:val="00D02537"/>
    <w:rsid w:val="00D1694F"/>
    <w:rsid w:val="00D22BD6"/>
    <w:rsid w:val="00D41427"/>
    <w:rsid w:val="00D56FE4"/>
    <w:rsid w:val="00DC561E"/>
    <w:rsid w:val="00DD232B"/>
    <w:rsid w:val="00E30C87"/>
    <w:rsid w:val="00E34811"/>
    <w:rsid w:val="00E51666"/>
    <w:rsid w:val="00E56D7A"/>
    <w:rsid w:val="00E701B5"/>
    <w:rsid w:val="00E71887"/>
    <w:rsid w:val="00E71AEB"/>
    <w:rsid w:val="00E747F6"/>
    <w:rsid w:val="00EA36D0"/>
    <w:rsid w:val="00EA5445"/>
    <w:rsid w:val="00ED20BB"/>
    <w:rsid w:val="00EF3CEB"/>
    <w:rsid w:val="00EF5192"/>
    <w:rsid w:val="00F223E1"/>
    <w:rsid w:val="00F25071"/>
    <w:rsid w:val="00F26C12"/>
    <w:rsid w:val="00F342C5"/>
    <w:rsid w:val="00F34565"/>
    <w:rsid w:val="00F519F5"/>
    <w:rsid w:val="00FC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A1D9A"/>
  <w15:docId w15:val="{D1FADB04-A095-4751-9928-264397B9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0CB"/>
    <w:pPr>
      <w:spacing w:after="200" w:line="276"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6150CB"/>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394664"/>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98671E"/>
    <w:pPr>
      <w:outlineLvl w:val="3"/>
    </w:pPr>
    <w:rPr>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0CB"/>
    <w:rPr>
      <w:rFonts w:eastAsia="SimSun" w:cs="Angsana New"/>
      <w:b/>
      <w:bCs/>
      <w:color w:val="404040"/>
      <w:w w:val="105"/>
      <w:kern w:val="32"/>
      <w:sz w:val="52"/>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394664"/>
    <w:rPr>
      <w:rFonts w:eastAsia="SimSun" w:cs="Angsana New"/>
      <w:b/>
      <w:bCs/>
      <w:iCs/>
      <w:color w:val="4D738A"/>
      <w:w w:val="105"/>
      <w:kern w:val="40"/>
      <w:sz w:val="40"/>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autoRedefine/>
    <w:qFormat/>
    <w:rsid w:val="00EA5445"/>
    <w:pPr>
      <w:numPr>
        <w:ilvl w:val="0"/>
        <w:numId w:val="7"/>
      </w:numPr>
    </w:pPr>
  </w:style>
  <w:style w:type="numbering" w:customStyle="1" w:styleId="Bullet2">
    <w:name w:val="Bullet 2"/>
    <w:basedOn w:val="NoList"/>
    <w:uiPriority w:val="99"/>
    <w:rsid w:val="0011430B"/>
    <w:pPr>
      <w:numPr>
        <w:numId w:val="2"/>
      </w:numPr>
    </w:pPr>
  </w:style>
  <w:style w:type="paragraph" w:styleId="ListBullet2">
    <w:name w:val="List Bullet 2"/>
    <w:basedOn w:val="ListBullet"/>
    <w:autoRedefine/>
    <w:uiPriority w:val="99"/>
    <w:unhideWhenUsed/>
    <w:qFormat/>
    <w:rsid w:val="00151A0A"/>
    <w:pPr>
      <w:ind w:left="1134" w:hanging="567"/>
    </w:pPr>
  </w:style>
  <w:style w:type="character" w:customStyle="1" w:styleId="Heading4Char">
    <w:name w:val="Heading 4 Char"/>
    <w:basedOn w:val="DefaultParagraphFont"/>
    <w:link w:val="Heading4"/>
    <w:uiPriority w:val="9"/>
    <w:rsid w:val="0098671E"/>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ind w:left="1440"/>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character" w:styleId="CommentReference">
    <w:name w:val="annotation reference"/>
    <w:basedOn w:val="DefaultParagraphFont"/>
    <w:uiPriority w:val="99"/>
    <w:semiHidden/>
    <w:unhideWhenUsed/>
    <w:rsid w:val="005C19BD"/>
    <w:rPr>
      <w:sz w:val="16"/>
      <w:szCs w:val="16"/>
    </w:rPr>
  </w:style>
  <w:style w:type="paragraph" w:styleId="CommentText">
    <w:name w:val="annotation text"/>
    <w:basedOn w:val="Normal"/>
    <w:link w:val="CommentTextChar"/>
    <w:uiPriority w:val="99"/>
    <w:unhideWhenUsed/>
    <w:rsid w:val="005C19BD"/>
    <w:pPr>
      <w:spacing w:line="240" w:lineRule="auto"/>
    </w:pPr>
    <w:rPr>
      <w:sz w:val="20"/>
      <w:szCs w:val="20"/>
    </w:rPr>
  </w:style>
  <w:style w:type="character" w:customStyle="1" w:styleId="CommentTextChar">
    <w:name w:val="Comment Text Char"/>
    <w:basedOn w:val="DefaultParagraphFont"/>
    <w:link w:val="CommentText"/>
    <w:uiPriority w:val="99"/>
    <w:rsid w:val="005C19BD"/>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5C19BD"/>
    <w:rPr>
      <w:b/>
      <w:bCs/>
    </w:rPr>
  </w:style>
  <w:style w:type="character" w:customStyle="1" w:styleId="CommentSubjectChar">
    <w:name w:val="Comment Subject Char"/>
    <w:basedOn w:val="CommentTextChar"/>
    <w:link w:val="CommentSubject"/>
    <w:uiPriority w:val="99"/>
    <w:semiHidden/>
    <w:rsid w:val="005C19BD"/>
    <w:rPr>
      <w:rFonts w:cs="Calibri"/>
      <w:b/>
      <w:bCs/>
      <w:w w:val="105"/>
      <w:kern w:val="40"/>
      <w:lang w:eastAsia="en-US"/>
    </w:rPr>
  </w:style>
  <w:style w:type="paragraph" w:customStyle="1" w:styleId="Default">
    <w:name w:val="Default"/>
    <w:rsid w:val="00951CF0"/>
    <w:pPr>
      <w:autoSpaceDE w:val="0"/>
      <w:autoSpaceDN w:val="0"/>
      <w:adjustRightInd w:val="0"/>
    </w:pPr>
    <w:rPr>
      <w:rFonts w:ascii="Times New Roman" w:hAnsi="Times New Roman"/>
      <w:color w:val="000000"/>
      <w:sz w:val="24"/>
      <w:szCs w:val="24"/>
    </w:rPr>
  </w:style>
  <w:style w:type="paragraph" w:customStyle="1" w:styleId="gov-is-numbered-paragraph">
    <w:name w:val="gov-is-numbered-paragraph"/>
    <w:basedOn w:val="Normal"/>
    <w:rsid w:val="0065080A"/>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character" w:styleId="FootnoteReference">
    <w:name w:val="footnote reference"/>
    <w:aliases w:val="fr,4_G,Footnote number,Footnotes refss,Texto de nota al pie,Appel note de bas de page,f,Standard + Block,Erste Zeile:  1 cm,Ref,de nota al pie,16 Point,Superscript 6 Point"/>
    <w:basedOn w:val="DefaultParagraphFont"/>
    <w:unhideWhenUsed/>
    <w:qFormat/>
    <w:rsid w:val="001971F9"/>
    <w:rPr>
      <w:vertAlign w:val="superscript"/>
    </w:rPr>
  </w:style>
  <w:style w:type="character" w:styleId="Hyperlink">
    <w:name w:val="Hyperlink"/>
    <w:basedOn w:val="DefaultParagraphFont"/>
    <w:uiPriority w:val="99"/>
    <w:unhideWhenUsed/>
    <w:rsid w:val="00736E0B"/>
    <w:rPr>
      <w:color w:val="0000FF" w:themeColor="hyperlink"/>
      <w:u w:val="single"/>
    </w:rPr>
  </w:style>
  <w:style w:type="paragraph" w:styleId="ListParagraph">
    <w:name w:val="List Paragraph"/>
    <w:basedOn w:val="Normal"/>
    <w:uiPriority w:val="34"/>
    <w:rsid w:val="00163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31303">
      <w:bodyDiv w:val="1"/>
      <w:marLeft w:val="0"/>
      <w:marRight w:val="0"/>
      <w:marTop w:val="0"/>
      <w:marBottom w:val="0"/>
      <w:divBdr>
        <w:top w:val="none" w:sz="0" w:space="0" w:color="auto"/>
        <w:left w:val="none" w:sz="0" w:space="0" w:color="auto"/>
        <w:bottom w:val="none" w:sz="0" w:space="0" w:color="auto"/>
        <w:right w:val="none" w:sz="0" w:space="0" w:color="auto"/>
      </w:divBdr>
    </w:div>
    <w:div w:id="580721410">
      <w:bodyDiv w:val="1"/>
      <w:marLeft w:val="0"/>
      <w:marRight w:val="0"/>
      <w:marTop w:val="0"/>
      <w:marBottom w:val="0"/>
      <w:divBdr>
        <w:top w:val="none" w:sz="0" w:space="0" w:color="auto"/>
        <w:left w:val="none" w:sz="0" w:space="0" w:color="auto"/>
        <w:bottom w:val="none" w:sz="0" w:space="0" w:color="auto"/>
        <w:right w:val="none" w:sz="0" w:space="0" w:color="auto"/>
      </w:divBdr>
    </w:div>
    <w:div w:id="1121997703">
      <w:bodyDiv w:val="1"/>
      <w:marLeft w:val="0"/>
      <w:marRight w:val="0"/>
      <w:marTop w:val="0"/>
      <w:marBottom w:val="0"/>
      <w:divBdr>
        <w:top w:val="none" w:sz="0" w:space="0" w:color="auto"/>
        <w:left w:val="none" w:sz="0" w:space="0" w:color="auto"/>
        <w:bottom w:val="none" w:sz="0" w:space="0" w:color="auto"/>
        <w:right w:val="none" w:sz="0" w:space="0" w:color="auto"/>
      </w:divBdr>
    </w:div>
    <w:div w:id="1162889804">
      <w:bodyDiv w:val="1"/>
      <w:marLeft w:val="0"/>
      <w:marRight w:val="0"/>
      <w:marTop w:val="0"/>
      <w:marBottom w:val="0"/>
      <w:divBdr>
        <w:top w:val="none" w:sz="0" w:space="0" w:color="auto"/>
        <w:left w:val="none" w:sz="0" w:space="0" w:color="auto"/>
        <w:bottom w:val="none" w:sz="0" w:space="0" w:color="auto"/>
        <w:right w:val="none" w:sz="0" w:space="0" w:color="auto"/>
      </w:divBdr>
    </w:div>
    <w:div w:id="19943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webSettings" Target="webSettings.xml"/><Relationship Id="rId6" Type="http://schemas.openxmlformats.org/officeDocument/2006/relationships/customXml" Target="../customXml/item6.xml"/><Relationship Id="rId15" Type="http://schemas.openxmlformats.org/officeDocument/2006/relationships/image" Target="media/image2.jpe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21/12/2011 12:30:29 AM</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339f249-2a4e-491e-850f-2386a2ca010f" ContentTypeId="0x010100AFB54AE2FFB7AF408B7756CD373CF197"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GD standard document" ma:contentTypeID="0x010100AFB54AE2FFB7AF408B7756CD373CF197001320AC9382E3C646B11655637227D64F" ma:contentTypeVersion="58" ma:contentTypeDescription="This is the configured document type for creation of all AGD document level content types" ma:contentTypeScope="" ma:versionID="d0b9e4f2c7bcb6fb319cb2c6a653c551">
  <xsd:schema xmlns:xsd="http://www.w3.org/2001/XMLSchema" xmlns:xs="http://www.w3.org/2001/XMLSchema" xmlns:p="http://schemas.microsoft.com/office/2006/metadata/properties" xmlns:ns1="http://schemas.microsoft.com/sharepoint/v3" xmlns:ns2="4f0e3ebe-c64f-4ffc-92d1-60196c9274b5" xmlns:ns3="6b42b109-1ac5-4733-bb0b-b82b76079e3f" xmlns:ns4="938d80d1-dd26-414d-85d8-b25d0f4d0023" xmlns:ns5="4db7c3dc-41d1-4412-a562-51202f6d3f7b" targetNamespace="http://schemas.microsoft.com/office/2006/metadata/properties" ma:root="true" ma:fieldsID="5b0f91508b9e615f79638c5ccc6c8929" ns1:_="" ns2:_="" ns3:_="" ns4:_="" ns5:_="">
    <xsd:import namespace="http://schemas.microsoft.com/sharepoint/v3"/>
    <xsd:import namespace="4f0e3ebe-c64f-4ffc-92d1-60196c9274b5"/>
    <xsd:import namespace="6b42b109-1ac5-4733-bb0b-b82b76079e3f"/>
    <xsd:import namespace="938d80d1-dd26-414d-85d8-b25d0f4d0023"/>
    <xsd:import namespace="4db7c3dc-41d1-4412-a562-51202f6d3f7b"/>
    <xsd:element name="properties">
      <xsd:complexType>
        <xsd:sequence>
          <xsd:element name="documentManagement">
            <xsd:complexType>
              <xsd:all>
                <xsd:element ref="ns2:Function"/>
                <xsd:element ref="ns3:TaxCatchAll" minOccurs="0"/>
                <xsd:element ref="ns1:_dlc_Exempt" minOccurs="0"/>
                <xsd:element ref="ns3:File_x0020_Classification" minOccurs="0"/>
                <xsd:element ref="ns4:_dlc_DocId" minOccurs="0"/>
                <xsd:element ref="ns4:_dlc_DocIdUrl" minOccurs="0"/>
                <xsd:element ref="ns4:_dlc_DocIdPersistId" minOccurs="0"/>
                <xsd:element ref="ns3:TaxCatchAllLabel" minOccurs="0"/>
                <xsd:element ref="ns4:SharedWithUsers" minOccurs="0"/>
                <xsd:element ref="ns5:Template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e3ebe-c64f-4ffc-92d1-60196c9274b5" elementFormDefault="qualified">
    <xsd:import namespace="http://schemas.microsoft.com/office/2006/documentManagement/types"/>
    <xsd:import namespace="http://schemas.microsoft.com/office/infopath/2007/PartnerControls"/>
    <xsd:element name="Function" ma:index="2" ma:displayName="Function" ma:format="Dropdown" ma:internalName="Function">
      <xsd:simpleType>
        <xsd:union memberTypes="dms:Text">
          <xsd:simpleType>
            <xsd:restriction base="dms:Choice">
              <xsd:enumeration value="Briefing"/>
              <xsd:enumeration value="Fax"/>
              <xsd:enumeration value="File note"/>
              <xsd:enumeration value="General"/>
              <xsd:enumeration value="Legislation"/>
              <xsd:enumeration value="Letter"/>
              <xsd:enumeration value="Media Release"/>
              <xsd:enumeration value="Ministerial"/>
              <xsd:enumeration value="Minute"/>
              <xsd:enumeration value="Name Plate"/>
              <xsd:enumeration value="Presentation"/>
              <xsd:enumeration value="Question"/>
              <xsd:enumeration value="Report"/>
              <xsd:enumeration value="Speech"/>
              <xsd:enumeration value="Stationery"/>
              <xsd:enumeration value="Submission"/>
              <xsd:enumeration value="Talking Poi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42b109-1ac5-4733-bb0b-b82b76079e3f"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23690b91-78f9-4052-84cb-27c52849c8f7}" ma:internalName="TaxCatchAll" ma:showField="CatchAllData" ma:web="938d80d1-dd26-414d-85d8-b25d0f4d0023">
      <xsd:complexType>
        <xsd:complexContent>
          <xsd:extension base="dms:MultiChoiceLookup">
            <xsd:sequence>
              <xsd:element name="Value" type="dms:Lookup" maxOccurs="unbounded" minOccurs="0" nillable="true"/>
            </xsd:sequence>
          </xsd:extension>
        </xsd:complexContent>
      </xsd:complexType>
    </xsd:element>
    <xsd:element name="File_x0020_Classification" ma:index="7" nillable="true" ma:displayName="File Classification" ma:description="Security Classification for Files (Document Sets) within SharePoint. This is a departmental mandatory field." ma:format="Dropdown" ma:hidden="true" ma:internalName="File_x0020_Classification" ma:readOnly="false">
      <xsd:simpleType>
        <xsd:restriction base="dms:Choice">
          <xsd:enumeration value="Unclassified"/>
          <xsd:enumeration value="Protected"/>
        </xsd:restriction>
      </xsd:simpleType>
    </xsd:element>
    <xsd:element name="TaxCatchAllLabel" ma:index="11" nillable="true" ma:displayName="Taxonomy Catch All Column1" ma:hidden="true" ma:list="{23690b91-78f9-4052-84cb-27c52849c8f7}" ma:internalName="TaxCatchAllLabel" ma:readOnly="true" ma:showField="CatchAllDataLabel" ma:web="938d80d1-dd26-414d-85d8-b25d0f4d0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8d80d1-dd26-414d-85d8-b25d0f4d00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7c3dc-41d1-4412-a562-51202f6d3f7b" elementFormDefault="qualified">
    <xsd:import namespace="http://schemas.microsoft.com/office/2006/documentManagement/types"/>
    <xsd:import namespace="http://schemas.microsoft.com/office/infopath/2007/PartnerControls"/>
    <xsd:element name="Template_x0020_Owner" ma:index="17" nillable="true" ma:displayName="Template Owner" ma:list="{2f853fbb-587c-49f0-97c9-4fbaa8a9385c}" ma:internalName="Template_x0020_Owner"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4DEE-49B6-4A85-AFE1-902B6643DDD2}">
  <ds:schemaRefs>
    <ds:schemaRef ds:uri="http://schemas.microsoft.com/sharepoint/events"/>
  </ds:schemaRefs>
</ds:datastoreItem>
</file>

<file path=customXml/itemProps2.xml><?xml version="1.0" encoding="utf-8"?>
<ds:datastoreItem xmlns:ds="http://schemas.openxmlformats.org/officeDocument/2006/customXml" ds:itemID="{AEA0B229-69E3-4773-A4DC-199789AA1329}">
  <ds:schemaRefs>
    <ds:schemaRef ds:uri="Microsoft.SharePoint.Taxonomy.ContentTypeSync"/>
  </ds:schemaRefs>
</ds:datastoreItem>
</file>

<file path=customXml/itemProps3.xml><?xml version="1.0" encoding="utf-8"?>
<ds:datastoreItem xmlns:ds="http://schemas.openxmlformats.org/officeDocument/2006/customXml" ds:itemID="{86E26E87-0F6D-4C2B-A219-AF063FFEF7F5}"/>
</file>

<file path=customXml/itemProps4.xml><?xml version="1.0" encoding="utf-8"?>
<ds:datastoreItem xmlns:ds="http://schemas.openxmlformats.org/officeDocument/2006/customXml" ds:itemID="{FD95AF6B-BA97-466B-A6C2-F9C906498C0E}">
  <ds:schemaRefs>
    <ds:schemaRef ds:uri="http://schemas.microsoft.com/office/infopath/2007/PartnerControls"/>
    <ds:schemaRef ds:uri="http://schemas.microsoft.com/office/2006/documentManagement/types"/>
    <ds:schemaRef ds:uri="938d80d1-dd26-414d-85d8-b25d0f4d0023"/>
    <ds:schemaRef ds:uri="http://purl.org/dc/elements/1.1/"/>
    <ds:schemaRef ds:uri="http://schemas.microsoft.com/office/2006/metadata/properties"/>
    <ds:schemaRef ds:uri="4f0e3ebe-c64f-4ffc-92d1-60196c9274b5"/>
    <ds:schemaRef ds:uri="http://schemas.microsoft.com/sharepoint/v3"/>
    <ds:schemaRef ds:uri="http://schemas.openxmlformats.org/package/2006/metadata/core-properties"/>
    <ds:schemaRef ds:uri="http://purl.org/dc/terms/"/>
    <ds:schemaRef ds:uri="4db7c3dc-41d1-4412-a562-51202f6d3f7b"/>
    <ds:schemaRef ds:uri="6b42b109-1ac5-4733-bb0b-b82b76079e3f"/>
    <ds:schemaRef ds:uri="http://www.w3.org/XML/1998/namespace"/>
    <ds:schemaRef ds:uri="http://purl.org/dc/dcmitype/"/>
  </ds:schemaRefs>
</ds:datastoreItem>
</file>

<file path=customXml/itemProps5.xml><?xml version="1.0" encoding="utf-8"?>
<ds:datastoreItem xmlns:ds="http://schemas.openxmlformats.org/officeDocument/2006/customXml" ds:itemID="{EE71788D-D262-43E2-92B0-831F2487F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e3ebe-c64f-4ffc-92d1-60196c9274b5"/>
    <ds:schemaRef ds:uri="6b42b109-1ac5-4733-bb0b-b82b76079e3f"/>
    <ds:schemaRef ds:uri="938d80d1-dd26-414d-85d8-b25d0f4d0023"/>
    <ds:schemaRef ds:uri="4db7c3dc-41d1-4412-a562-51202f6d3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92709E-DF26-482F-9556-660A484A9B5D}">
  <ds:schemaRefs>
    <ds:schemaRef ds:uri="http://schemas.microsoft.com/sharepoint/v3/contenttype/forms"/>
  </ds:schemaRefs>
</ds:datastoreItem>
</file>

<file path=customXml/itemProps7.xml><?xml version="1.0" encoding="utf-8"?>
<ds:datastoreItem xmlns:ds="http://schemas.openxmlformats.org/officeDocument/2006/customXml" ds:itemID="{358A7B9F-B4C0-434A-A9A6-7DF43F85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1437</Words>
  <Characters>8197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dc:title>
  <dc:creator>gaycke</dc:creator>
  <cp:lastModifiedBy>Tim Engelhardt</cp:lastModifiedBy>
  <cp:revision>2</cp:revision>
  <dcterms:created xsi:type="dcterms:W3CDTF">2021-06-03T15:37:00Z</dcterms:created>
  <dcterms:modified xsi:type="dcterms:W3CDTF">2021-06-03T15:37:00Z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cea4a888-d6f5-45c5-8730-4e4c01e71c40</vt:lpwstr>
  </property>
  <property fmtid="{D5CDD505-2E9C-101B-9397-08002B2CF9AE}" pid="3" name="Owner">
    <vt:lpwstr>59;#Attorney-General's Department|c281c3f2-80ff-44a1-b91f-c6c543d93cc6</vt:lpwstr>
  </property>
  <property fmtid="{D5CDD505-2E9C-101B-9397-08002B2CF9AE}" pid="4" name="ContentTypeId">
    <vt:lpwstr>0x0101008822B9E06671B54FA89F14538B9B0FEA</vt:lpwstr>
  </property>
  <property fmtid="{D5CDD505-2E9C-101B-9397-08002B2CF9AE}" pid="5" name="lf240a0170264e5ca0a4ac4df6a4adf7">
    <vt:lpwstr>Attorney-General's Department|c281c3f2-80ff-44a1-b91f-c6c543d93cc6</vt:lpwstr>
  </property>
</Properties>
</file>