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A69D"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1F4CACD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5B8FFC8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3DD80FB4"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r w:rsidRPr="007B341B">
        <w:rPr>
          <w:rFonts w:ascii="Arial" w:hAnsi="Arial" w:cs="Arial"/>
          <w:noProof/>
          <w:color w:val="0000FF"/>
          <w:kern w:val="3"/>
          <w:lang w:eastAsia="sl-SI"/>
        </w:rPr>
        <w:drawing>
          <wp:inline distT="0" distB="0" distL="0" distR="0" wp14:anchorId="03EFA4E3" wp14:editId="1B953E4E">
            <wp:extent cx="552450" cy="639264"/>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24DF3081"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1547C9D"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3D4BE8"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6795D7F3"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7A8A68DB"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AE582C2"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D62737"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4FAB418C" w14:textId="77777777" w:rsidR="00C20548" w:rsidRPr="00293915"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77FE6628" w14:textId="77777777" w:rsidR="00C20548" w:rsidRPr="00293915"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r w:rsidRPr="00293915">
        <w:rPr>
          <w:rFonts w:ascii="Republika" w:hAnsi="Republika" w:cs="Arial"/>
          <w:b/>
          <w:kern w:val="3"/>
          <w:sz w:val="28"/>
          <w:szCs w:val="28"/>
          <w:lang w:val="en-US" w:eastAsia="sl-SI"/>
        </w:rPr>
        <w:t xml:space="preserve">Contribution of the Republic of Slovenia </w:t>
      </w:r>
    </w:p>
    <w:p w14:paraId="75A2059D" w14:textId="45F5C4E2" w:rsidR="00C20548" w:rsidRPr="00293915"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proofErr w:type="gramStart"/>
      <w:r w:rsidRPr="00293915">
        <w:rPr>
          <w:rFonts w:ascii="Republika" w:hAnsi="Republika" w:cs="Arial"/>
          <w:b/>
          <w:kern w:val="3"/>
          <w:sz w:val="28"/>
          <w:szCs w:val="28"/>
          <w:lang w:val="en-US" w:eastAsia="sl-SI"/>
        </w:rPr>
        <w:t>to</w:t>
      </w:r>
      <w:proofErr w:type="gramEnd"/>
      <w:r w:rsidRPr="00293915">
        <w:rPr>
          <w:rFonts w:ascii="Republika" w:hAnsi="Republika" w:cs="Arial"/>
          <w:b/>
          <w:kern w:val="3"/>
          <w:sz w:val="28"/>
          <w:szCs w:val="28"/>
          <w:lang w:val="en-US" w:eastAsia="sl-SI"/>
        </w:rPr>
        <w:t xml:space="preserve"> the </w:t>
      </w:r>
      <w:r w:rsidR="00293915" w:rsidRPr="00293915">
        <w:rPr>
          <w:rFonts w:ascii="Republika" w:hAnsi="Republika" w:cs="Arial"/>
          <w:b/>
          <w:bCs/>
          <w:iCs/>
          <w:kern w:val="3"/>
          <w:sz w:val="28"/>
          <w:szCs w:val="28"/>
          <w:lang w:val="en-GB" w:eastAsia="sl-SI"/>
        </w:rPr>
        <w:t xml:space="preserve">Questionnaire </w:t>
      </w:r>
      <w:r w:rsidR="00293915">
        <w:rPr>
          <w:rFonts w:ascii="Republika" w:hAnsi="Republika" w:cs="Arial"/>
          <w:b/>
          <w:bCs/>
          <w:iCs/>
          <w:kern w:val="3"/>
          <w:sz w:val="28"/>
          <w:szCs w:val="28"/>
          <w:lang w:val="en-GB" w:eastAsia="sl-SI"/>
        </w:rPr>
        <w:t xml:space="preserve">on </w:t>
      </w:r>
      <w:r w:rsidR="002F1A63">
        <w:rPr>
          <w:rFonts w:ascii="Republika" w:hAnsi="Republika" w:cs="Arial"/>
          <w:b/>
          <w:bCs/>
          <w:iCs/>
          <w:kern w:val="3"/>
          <w:sz w:val="28"/>
          <w:szCs w:val="28"/>
          <w:lang w:val="en-GB" w:eastAsia="sl-SI"/>
        </w:rPr>
        <w:t>the right to privacy in the digital age</w:t>
      </w:r>
    </w:p>
    <w:p w14:paraId="63BE4641" w14:textId="77777777" w:rsidR="00C20548" w:rsidRPr="001C0AF2" w:rsidRDefault="00C20548" w:rsidP="00C20548">
      <w:pPr>
        <w:suppressAutoHyphens/>
        <w:autoSpaceDE w:val="0"/>
        <w:autoSpaceDN w:val="0"/>
        <w:jc w:val="center"/>
        <w:textAlignment w:val="baseline"/>
        <w:rPr>
          <w:rFonts w:ascii="Republika" w:hAnsi="Republika" w:cs="Arial"/>
          <w:b/>
          <w:color w:val="529DBA"/>
          <w:kern w:val="3"/>
          <w:sz w:val="28"/>
          <w:szCs w:val="28"/>
          <w:lang w:val="en-US" w:eastAsia="sl-SI"/>
        </w:rPr>
      </w:pPr>
    </w:p>
    <w:p w14:paraId="6AD6D604" w14:textId="441D6650" w:rsidR="00C20548" w:rsidRDefault="007505CE" w:rsidP="00C20548">
      <w:pPr>
        <w:suppressAutoHyphens/>
        <w:autoSpaceDN w:val="0"/>
        <w:jc w:val="center"/>
        <w:textAlignment w:val="baseline"/>
        <w:rPr>
          <w:rFonts w:ascii="Republika" w:hAnsi="Republika" w:cs="Arial"/>
          <w:b/>
          <w:bCs/>
          <w:iCs/>
          <w:color w:val="529DBA"/>
          <w:kern w:val="3"/>
          <w:sz w:val="32"/>
          <w:szCs w:val="32"/>
          <w:lang w:val="en-GB" w:eastAsia="sl-SI"/>
        </w:rPr>
      </w:pPr>
      <w:r>
        <w:rPr>
          <w:rFonts w:ascii="Republika" w:hAnsi="Republika" w:cs="Arial"/>
          <w:b/>
          <w:bCs/>
          <w:iCs/>
          <w:color w:val="529DBA"/>
          <w:kern w:val="3"/>
          <w:sz w:val="32"/>
          <w:szCs w:val="32"/>
          <w:lang w:val="en-GB" w:eastAsia="sl-SI"/>
        </w:rPr>
        <w:t xml:space="preserve">Thematic report on </w:t>
      </w:r>
      <w:r>
        <w:rPr>
          <w:rFonts w:ascii="Republika" w:hAnsi="Republika" w:cs="Arial"/>
          <w:b/>
          <w:bCs/>
          <w:iCs/>
          <w:color w:val="529DBA"/>
          <w:kern w:val="3"/>
          <w:sz w:val="32"/>
          <w:szCs w:val="32"/>
          <w:lang w:val="en-GB" w:eastAsia="sl-SI"/>
        </w:rPr>
        <w:t>'The right to privacy in the digital age'</w:t>
      </w:r>
      <w:r>
        <w:rPr>
          <w:rFonts w:ascii="Republika" w:hAnsi="Republika" w:cs="Arial"/>
          <w:b/>
          <w:bCs/>
          <w:iCs/>
          <w:color w:val="529DBA"/>
          <w:kern w:val="3"/>
          <w:sz w:val="32"/>
          <w:szCs w:val="32"/>
          <w:lang w:val="en-GB" w:eastAsia="sl-SI"/>
        </w:rPr>
        <w:t xml:space="preserve"> prepared by t</w:t>
      </w:r>
      <w:r w:rsidR="00983233">
        <w:rPr>
          <w:rFonts w:ascii="Republika" w:hAnsi="Republika" w:cs="Arial"/>
          <w:b/>
          <w:bCs/>
          <w:iCs/>
          <w:color w:val="529DBA"/>
          <w:kern w:val="3"/>
          <w:sz w:val="32"/>
          <w:szCs w:val="32"/>
          <w:lang w:val="en-GB" w:eastAsia="sl-SI"/>
        </w:rPr>
        <w:t>he O</w:t>
      </w:r>
      <w:r w:rsidR="002F1A63">
        <w:rPr>
          <w:rFonts w:ascii="Republika" w:hAnsi="Republika" w:cs="Arial"/>
          <w:b/>
          <w:bCs/>
          <w:iCs/>
          <w:color w:val="529DBA"/>
          <w:kern w:val="3"/>
          <w:sz w:val="32"/>
          <w:szCs w:val="32"/>
          <w:lang w:val="en-GB" w:eastAsia="sl-SI"/>
        </w:rPr>
        <w:t xml:space="preserve">ffice of the United Nations High Commissioner for Human Rights </w:t>
      </w:r>
    </w:p>
    <w:p w14:paraId="493DB886" w14:textId="5FDCBE80" w:rsidR="007505CE" w:rsidRDefault="007505CE" w:rsidP="00C20548">
      <w:pPr>
        <w:suppressAutoHyphens/>
        <w:autoSpaceDN w:val="0"/>
        <w:jc w:val="center"/>
        <w:textAlignment w:val="baseline"/>
        <w:rPr>
          <w:rFonts w:ascii="Republika" w:hAnsi="Republika" w:cs="Arial"/>
          <w:b/>
          <w:bCs/>
          <w:iCs/>
          <w:color w:val="529DBA"/>
          <w:kern w:val="3"/>
          <w:sz w:val="32"/>
          <w:szCs w:val="32"/>
          <w:lang w:val="en-GB" w:eastAsia="sl-SI"/>
        </w:rPr>
      </w:pPr>
    </w:p>
    <w:p w14:paraId="4EDD4B24"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A988F4E"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9BE540A"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5AAE005"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760F83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1FD628"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667BDD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4EB682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6087C96"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7EA05217"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77A471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907596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09FCFEB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9C54EF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173E779"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683E33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CAFF7F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5C9844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E513D9"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A71E46F" w14:textId="36EADBE9" w:rsidR="00C20548" w:rsidRDefault="00C20548" w:rsidP="007505CE">
      <w:pPr>
        <w:suppressAutoHyphens/>
        <w:autoSpaceDN w:val="0"/>
        <w:textAlignment w:val="baseline"/>
        <w:rPr>
          <w:rFonts w:ascii="Arial" w:hAnsi="Arial" w:cs="Arial"/>
          <w:bCs/>
          <w:i/>
          <w:kern w:val="3"/>
          <w:sz w:val="28"/>
          <w:szCs w:val="28"/>
          <w:lang w:val="en-US" w:eastAsia="sl-SI"/>
        </w:rPr>
      </w:pPr>
    </w:p>
    <w:p w14:paraId="1E552AA0" w14:textId="667A8F77" w:rsidR="00C20548" w:rsidRPr="00831335" w:rsidRDefault="002F1A63" w:rsidP="00C20548">
      <w:pPr>
        <w:suppressAutoHyphens/>
        <w:autoSpaceDN w:val="0"/>
        <w:jc w:val="center"/>
        <w:textAlignment w:val="baseline"/>
        <w:rPr>
          <w:rFonts w:ascii="Arial" w:hAnsi="Arial" w:cs="Arial"/>
          <w:bCs/>
          <w:iCs/>
          <w:kern w:val="3"/>
          <w:lang w:val="en-US" w:eastAsia="sl-SI"/>
        </w:rPr>
      </w:pPr>
      <w:r>
        <w:rPr>
          <w:rFonts w:ascii="Arial" w:hAnsi="Arial" w:cs="Arial"/>
          <w:bCs/>
          <w:iCs/>
          <w:kern w:val="3"/>
          <w:lang w:val="en-US" w:eastAsia="sl-SI"/>
        </w:rPr>
        <w:t>28</w:t>
      </w:r>
      <w:r w:rsidR="00293915">
        <w:rPr>
          <w:rFonts w:ascii="Arial" w:hAnsi="Arial" w:cs="Arial"/>
          <w:bCs/>
          <w:iCs/>
          <w:kern w:val="3"/>
          <w:lang w:val="en-US" w:eastAsia="sl-SI"/>
        </w:rPr>
        <w:t xml:space="preserve"> May</w:t>
      </w:r>
      <w:r w:rsidR="00C20548" w:rsidRPr="00831335">
        <w:rPr>
          <w:rFonts w:ascii="Arial" w:hAnsi="Arial" w:cs="Arial"/>
          <w:bCs/>
          <w:iCs/>
          <w:kern w:val="3"/>
          <w:lang w:val="en-US" w:eastAsia="sl-SI"/>
        </w:rPr>
        <w:t xml:space="preserve"> 2021</w:t>
      </w:r>
    </w:p>
    <w:p w14:paraId="44510DB9" w14:textId="77777777" w:rsidR="00C20548" w:rsidRPr="00B03FC2" w:rsidRDefault="00C20548" w:rsidP="00C20548">
      <w:pPr>
        <w:suppressAutoHyphens/>
        <w:autoSpaceDN w:val="0"/>
        <w:jc w:val="center"/>
        <w:textAlignment w:val="baseline"/>
        <w:rPr>
          <w:rFonts w:ascii="Arial" w:hAnsi="Arial" w:cs="Arial"/>
          <w:iCs/>
          <w:kern w:val="3"/>
          <w:sz w:val="28"/>
          <w:szCs w:val="28"/>
          <w:lang w:val="en-US" w:eastAsia="zh-CN"/>
        </w:rPr>
      </w:pPr>
    </w:p>
    <w:p w14:paraId="748844A0" w14:textId="77777777" w:rsidR="00C20548" w:rsidRPr="007B341B" w:rsidRDefault="00C20548" w:rsidP="00C20548">
      <w:pPr>
        <w:pStyle w:val="NoSpacing"/>
        <w:spacing w:line="276"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062"/>
      </w:tblGrid>
      <w:tr w:rsidR="00C20548" w14:paraId="4AC2BD7F" w14:textId="77777777" w:rsidTr="008769FA">
        <w:tc>
          <w:tcPr>
            <w:tcW w:w="9062" w:type="dxa"/>
          </w:tcPr>
          <w:p w14:paraId="2ABDA6D6" w14:textId="77777777" w:rsidR="00C20548" w:rsidRPr="00B03FC2" w:rsidRDefault="00C20548" w:rsidP="008769FA">
            <w:pPr>
              <w:jc w:val="center"/>
              <w:rPr>
                <w:rFonts w:ascii="Arial" w:hAnsi="Arial" w:cs="Arial"/>
                <w:b/>
                <w:bCs/>
                <w:color w:val="000000" w:themeColor="text1"/>
                <w:lang w:val="en-US"/>
              </w:rPr>
            </w:pPr>
          </w:p>
          <w:p w14:paraId="48B62B32" w14:textId="728979DD" w:rsidR="00C20548" w:rsidRPr="00293915" w:rsidRDefault="00C20548" w:rsidP="008769FA">
            <w:pPr>
              <w:jc w:val="center"/>
              <w:rPr>
                <w:rFonts w:ascii="Republika" w:hAnsi="Republika" w:cs="Arial"/>
                <w:b/>
                <w:bCs/>
                <w:color w:val="000000" w:themeColor="text1"/>
                <w:kern w:val="3"/>
                <w:lang w:eastAsia="sl-SI"/>
              </w:rPr>
            </w:pPr>
            <w:r w:rsidRPr="00293915">
              <w:rPr>
                <w:rFonts w:ascii="Republika" w:hAnsi="Republika" w:cs="Arial"/>
                <w:b/>
                <w:bCs/>
                <w:color w:val="000000" w:themeColor="text1"/>
                <w:kern w:val="3"/>
                <w:lang w:val="en-US" w:eastAsia="sl-SI"/>
              </w:rPr>
              <w:t xml:space="preserve">Questionnaire of </w:t>
            </w:r>
            <w:r w:rsidR="00983233" w:rsidRPr="00983233">
              <w:rPr>
                <w:rFonts w:ascii="Republika" w:hAnsi="Republika" w:cs="Arial"/>
                <w:b/>
                <w:bCs/>
                <w:iCs/>
                <w:kern w:val="3"/>
                <w:lang w:val="en-GB" w:eastAsia="sl-SI"/>
              </w:rPr>
              <w:t>t</w:t>
            </w:r>
            <w:r w:rsidR="00983233" w:rsidRPr="00983233">
              <w:rPr>
                <w:rFonts w:ascii="Republika" w:hAnsi="Republika" w:cs="Arial"/>
                <w:b/>
                <w:bCs/>
                <w:iCs/>
                <w:kern w:val="3"/>
                <w:lang w:val="en-GB" w:eastAsia="sl-SI"/>
              </w:rPr>
              <w:t xml:space="preserve">he Office of the United Nations High Commissioner for Human Rights </w:t>
            </w:r>
            <w:r w:rsidR="00293915" w:rsidRPr="00293915">
              <w:rPr>
                <w:rFonts w:ascii="Republika" w:hAnsi="Republika" w:cs="Arial"/>
                <w:b/>
                <w:bCs/>
                <w:iCs/>
                <w:lang w:val="en-GB"/>
              </w:rPr>
              <w:t>on</w:t>
            </w:r>
            <w:r w:rsidR="00983233">
              <w:rPr>
                <w:rFonts w:ascii="Republika" w:hAnsi="Republika" w:cs="Arial"/>
                <w:b/>
                <w:bCs/>
                <w:iCs/>
                <w:kern w:val="3"/>
                <w:sz w:val="28"/>
                <w:szCs w:val="28"/>
                <w:lang w:val="en-GB" w:eastAsia="sl-SI"/>
              </w:rPr>
              <w:t xml:space="preserve"> </w:t>
            </w:r>
            <w:r w:rsidR="00983233" w:rsidRPr="00983233">
              <w:rPr>
                <w:rFonts w:ascii="Republika" w:hAnsi="Republika" w:cs="Arial"/>
                <w:b/>
                <w:bCs/>
                <w:iCs/>
                <w:kern w:val="3"/>
                <w:lang w:val="en-GB" w:eastAsia="sl-SI"/>
              </w:rPr>
              <w:t>the</w:t>
            </w:r>
            <w:r w:rsidR="001E5D51">
              <w:rPr>
                <w:rFonts w:ascii="Republika" w:hAnsi="Republika" w:cs="Arial"/>
                <w:b/>
                <w:bCs/>
                <w:iCs/>
                <w:kern w:val="3"/>
                <w:lang w:val="en-GB" w:eastAsia="sl-SI"/>
              </w:rPr>
              <w:t xml:space="preserve"> impact of the artificial intelligence (AI) on human rights and the</w:t>
            </w:r>
            <w:r w:rsidR="00983233" w:rsidRPr="00983233">
              <w:rPr>
                <w:rFonts w:ascii="Republika" w:hAnsi="Republika" w:cs="Arial"/>
                <w:b/>
                <w:bCs/>
                <w:iCs/>
                <w:kern w:val="3"/>
                <w:lang w:val="en-GB" w:eastAsia="sl-SI"/>
              </w:rPr>
              <w:t xml:space="preserve"> right to privacy </w:t>
            </w:r>
          </w:p>
          <w:p w14:paraId="0FA3F3A2" w14:textId="77777777" w:rsidR="00C20548" w:rsidRDefault="00C20548" w:rsidP="008769FA">
            <w:pPr>
              <w:jc w:val="center"/>
              <w:rPr>
                <w:rFonts w:ascii="Republika" w:hAnsi="Republika" w:cs="Arial"/>
                <w:b/>
                <w:color w:val="000000" w:themeColor="text1"/>
                <w:kern w:val="3"/>
                <w:lang w:val="en-US" w:eastAsia="sl-SI"/>
              </w:rPr>
            </w:pPr>
            <w:r w:rsidRPr="001C0AF2">
              <w:rPr>
                <w:rFonts w:ascii="Republika" w:hAnsi="Republika" w:cs="Arial"/>
                <w:b/>
                <w:color w:val="000000" w:themeColor="text1"/>
                <w:kern w:val="3"/>
                <w:lang w:val="en-US" w:eastAsia="sl-SI"/>
              </w:rPr>
              <w:t xml:space="preserve"> </w:t>
            </w:r>
          </w:p>
          <w:p w14:paraId="1FC658DB" w14:textId="77777777" w:rsidR="00C20548" w:rsidRPr="00831335" w:rsidRDefault="00C20548" w:rsidP="008769FA">
            <w:pPr>
              <w:suppressAutoHyphens/>
              <w:autoSpaceDE w:val="0"/>
              <w:autoSpaceDN w:val="0"/>
              <w:jc w:val="center"/>
              <w:textAlignment w:val="baseline"/>
              <w:rPr>
                <w:rFonts w:ascii="Republika" w:hAnsi="Republika" w:cs="Arial"/>
                <w:b/>
                <w:color w:val="529DBA"/>
                <w:kern w:val="3"/>
                <w:sz w:val="28"/>
                <w:szCs w:val="28"/>
                <w:lang w:val="en-US" w:eastAsia="sl-SI"/>
              </w:rPr>
            </w:pPr>
            <w:r w:rsidRPr="00831335">
              <w:rPr>
                <w:rFonts w:ascii="Republika" w:hAnsi="Republika" w:cs="Arial"/>
                <w:b/>
                <w:color w:val="529DBA"/>
                <w:kern w:val="3"/>
                <w:sz w:val="28"/>
                <w:szCs w:val="28"/>
                <w:lang w:val="en-US" w:eastAsia="sl-SI"/>
              </w:rPr>
              <w:t>Contribution of the Republic of Slovenia</w:t>
            </w:r>
          </w:p>
          <w:p w14:paraId="174B9C95" w14:textId="77777777" w:rsidR="00C20548" w:rsidRPr="00B03FC2" w:rsidRDefault="00C20548" w:rsidP="008769FA">
            <w:pPr>
              <w:jc w:val="center"/>
              <w:rPr>
                <w:rFonts w:ascii="Arial" w:hAnsi="Arial" w:cs="Arial"/>
                <w:b/>
                <w:bCs/>
                <w:color w:val="000000" w:themeColor="text1"/>
                <w:lang w:val="en-US"/>
              </w:rPr>
            </w:pPr>
          </w:p>
        </w:tc>
      </w:tr>
    </w:tbl>
    <w:p w14:paraId="2BEC81E9" w14:textId="77777777" w:rsidR="00C20548" w:rsidRDefault="00C20548" w:rsidP="00C20548">
      <w:pPr>
        <w:pStyle w:val="podpisi"/>
        <w:tabs>
          <w:tab w:val="clear" w:pos="3402"/>
          <w:tab w:val="left" w:pos="200"/>
        </w:tabs>
        <w:rPr>
          <w:rFonts w:hint="eastAsia"/>
          <w:b/>
          <w:bCs/>
          <w:lang w:val="sl-SI"/>
        </w:rPr>
      </w:pPr>
    </w:p>
    <w:p w14:paraId="3248BE2B" w14:textId="31CDCE52" w:rsidR="001E5D51" w:rsidRPr="001E5D51" w:rsidRDefault="001E5D51" w:rsidP="001E5D51">
      <w:pPr>
        <w:pStyle w:val="Default"/>
        <w:rPr>
          <w:rFonts w:ascii="Republika" w:hAnsi="Republika" w:cs="Arial"/>
          <w:b/>
        </w:rPr>
      </w:pPr>
      <w:r>
        <w:rPr>
          <w:rFonts w:ascii="Republika" w:hAnsi="Republika" w:cs="Arial"/>
          <w:b/>
          <w:lang w:val="en-GB"/>
        </w:rPr>
        <w:t xml:space="preserve">1. </w:t>
      </w:r>
      <w:r w:rsidRPr="001E5D51">
        <w:rPr>
          <w:rFonts w:ascii="Republika" w:hAnsi="Republika" w:cs="Arial"/>
          <w:b/>
          <w:lang w:val="en-GB"/>
        </w:rPr>
        <w:t>The response of the Ministry of</w:t>
      </w:r>
      <w:r>
        <w:rPr>
          <w:rFonts w:ascii="Republika" w:hAnsi="Republika" w:cs="Arial"/>
          <w:b/>
          <w:lang w:val="en-GB"/>
        </w:rPr>
        <w:t xml:space="preserve"> Agriculture, Forestry and Food:</w:t>
      </w:r>
    </w:p>
    <w:p w14:paraId="2BB446F9" w14:textId="77777777" w:rsidR="001E5D51" w:rsidRPr="001E5D51" w:rsidRDefault="001E5D51" w:rsidP="001E5D51">
      <w:pPr>
        <w:jc w:val="both"/>
        <w:rPr>
          <w:rFonts w:ascii="Republika" w:hAnsi="Republika" w:cs="Arial"/>
          <w:bCs/>
          <w:lang w:val="en-GB"/>
        </w:rPr>
      </w:pPr>
      <w:r w:rsidRPr="001E5D51">
        <w:rPr>
          <w:rFonts w:ascii="Republika" w:hAnsi="Republika" w:cs="Arial"/>
          <w:lang w:val="en-GB"/>
        </w:rPr>
        <w:t xml:space="preserve"> </w:t>
      </w:r>
    </w:p>
    <w:p w14:paraId="3E137FA5" w14:textId="77777777" w:rsidR="001E5D51" w:rsidRPr="001E5D51" w:rsidRDefault="001E5D51" w:rsidP="001E5D51">
      <w:pPr>
        <w:jc w:val="both"/>
        <w:rPr>
          <w:rFonts w:ascii="Republika" w:hAnsi="Republika" w:cs="Arial"/>
          <w:lang w:val="en-GB"/>
        </w:rPr>
      </w:pPr>
      <w:r w:rsidRPr="001E5D51">
        <w:rPr>
          <w:rFonts w:ascii="Republika" w:hAnsi="Republika" w:cs="Arial"/>
          <w:lang w:val="en-GB"/>
        </w:rPr>
        <w:t xml:space="preserve">With regard to “Human Rights Council Resolution 42/15 on the right to privacy in the digital Age”, please find below our response. </w:t>
      </w:r>
    </w:p>
    <w:p w14:paraId="0D14B7D5" w14:textId="77777777" w:rsidR="001E5D51" w:rsidRPr="001E5D51" w:rsidRDefault="001E5D51" w:rsidP="001E5D51">
      <w:pPr>
        <w:jc w:val="both"/>
        <w:rPr>
          <w:rFonts w:ascii="Republika" w:hAnsi="Republika" w:cs="Arial"/>
          <w:lang w:val="en-GB"/>
        </w:rPr>
      </w:pPr>
      <w:r w:rsidRPr="001E5D51">
        <w:rPr>
          <w:rFonts w:ascii="Republika" w:hAnsi="Republika" w:cs="Arial"/>
          <w:lang w:val="en-GB"/>
        </w:rPr>
        <w:t xml:space="preserve">The introduction of new technologies, including the AI, represents both an opportunity and a challenge in the field of agriculture. The concept of the digitalisation of agriculture includes everything from the systems of precision farming, </w:t>
      </w:r>
      <w:proofErr w:type="spellStart"/>
      <w:r w:rsidRPr="001E5D51">
        <w:rPr>
          <w:rFonts w:ascii="Republika" w:hAnsi="Republika" w:cs="Arial"/>
          <w:lang w:val="en-GB"/>
        </w:rPr>
        <w:t>robotisation</w:t>
      </w:r>
      <w:proofErr w:type="spellEnd"/>
      <w:r w:rsidRPr="001E5D51">
        <w:rPr>
          <w:rFonts w:ascii="Republika" w:hAnsi="Republika" w:cs="Arial"/>
          <w:lang w:val="en-GB"/>
        </w:rPr>
        <w:t xml:space="preserve"> and automation, connectivity, virtual services and digitalisation of supply chains, to systems and tools for decision-making support (artificial intelligence, big data). Their aim is to increase the efficiency of agricultural practices with a potentially reduced or changed workforce and the timeframe of operations and business processes and, at the same time, with reduced environmental impacts and the potential revitalisation of rural areas. In relation to this, there are two important focal points:</w:t>
      </w:r>
    </w:p>
    <w:p w14:paraId="6EDD2684" w14:textId="77777777" w:rsidR="001E5D51" w:rsidRPr="001E5D51" w:rsidRDefault="001E5D51" w:rsidP="001E5D51">
      <w:pPr>
        <w:jc w:val="both"/>
        <w:rPr>
          <w:rFonts w:ascii="Republika" w:hAnsi="Republika" w:cs="Arial"/>
          <w:lang w:val="en-GB"/>
        </w:rPr>
      </w:pPr>
      <w:r w:rsidRPr="001E5D51">
        <w:rPr>
          <w:rFonts w:ascii="Republika" w:hAnsi="Republika" w:cs="Arial"/>
          <w:lang w:val="en-GB"/>
        </w:rPr>
        <w:t>– more flexible (agile) and advanced systems need new knowledge and competencies (IT experts, advisors, service providers, social networks and media, the use and supervision of communication channels, etc.) and require a different and complex network of partners and stakeholders. They also require a change in performance/ activities, while constantly introducing new changes,</w:t>
      </w:r>
    </w:p>
    <w:p w14:paraId="351B8260" w14:textId="77777777" w:rsidR="001E5D51" w:rsidRPr="001E5D51" w:rsidRDefault="001E5D51" w:rsidP="001E5D51">
      <w:pPr>
        <w:jc w:val="both"/>
        <w:rPr>
          <w:rFonts w:ascii="Republika" w:hAnsi="Republika" w:cs="Arial"/>
          <w:lang w:val="en-GB"/>
        </w:rPr>
      </w:pPr>
      <w:r w:rsidRPr="001E5D51">
        <w:rPr>
          <w:rFonts w:ascii="Republika" w:hAnsi="Republika" w:cs="Arial"/>
          <w:lang w:val="en-GB"/>
        </w:rPr>
        <w:t>– taking into account the goal of sustainable development and green transition to digitalisation, with exposed conflict between the goals of the ambitious agricultural and environmental policy, the agricultural sector has not yet developed a fast enough, sufficient and appropriate operational response to the rapid development by introducing new tools and technologies in the new digital age.</w:t>
      </w:r>
    </w:p>
    <w:p w14:paraId="7B65706B" w14:textId="77777777" w:rsidR="001E5D51" w:rsidRPr="001E5D51" w:rsidRDefault="001E5D51" w:rsidP="001E5D51">
      <w:pPr>
        <w:jc w:val="both"/>
        <w:rPr>
          <w:rFonts w:ascii="Republika" w:hAnsi="Republika" w:cs="Arial"/>
          <w:lang w:val="en-GB"/>
        </w:rPr>
      </w:pPr>
    </w:p>
    <w:p w14:paraId="7D96A703" w14:textId="77777777" w:rsidR="001E5D51" w:rsidRPr="001E5D51" w:rsidRDefault="001E5D51" w:rsidP="001E5D51">
      <w:pPr>
        <w:jc w:val="both"/>
        <w:rPr>
          <w:rFonts w:ascii="Republika" w:hAnsi="Republika" w:cs="Arial"/>
          <w:lang w:val="en-GB"/>
        </w:rPr>
      </w:pPr>
      <w:r w:rsidRPr="001E5D51">
        <w:rPr>
          <w:rFonts w:ascii="Republika" w:hAnsi="Republika" w:cs="Arial"/>
          <w:lang w:val="en-GB"/>
        </w:rPr>
        <w:t>In this respect, we note that:</w:t>
      </w:r>
    </w:p>
    <w:p w14:paraId="17921EE5"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 xml:space="preserve">There are several types of several levels digital platforms and unrelated applications and portals (FAO's Platform for Digital Food and Agriculture, national platform Our Super Food, </w:t>
      </w:r>
      <w:proofErr w:type="spellStart"/>
      <w:r w:rsidRPr="001E5D51">
        <w:rPr>
          <w:rFonts w:ascii="Republika" w:hAnsi="Republika" w:cs="Arial"/>
          <w:lang w:val="en-GB"/>
        </w:rPr>
        <w:t>FoodPlus</w:t>
      </w:r>
      <w:proofErr w:type="spellEnd"/>
      <w:r w:rsidRPr="001E5D51">
        <w:rPr>
          <w:rFonts w:ascii="Republika" w:hAnsi="Republika" w:cs="Arial"/>
          <w:lang w:val="en-GB"/>
        </w:rPr>
        <w:t xml:space="preserve"> and other platforms on food waste, Horizon 2020, Smart Villages, the AKIS platform, EIP projects, etc.); </w:t>
      </w:r>
    </w:p>
    <w:p w14:paraId="5BB7F3F5"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 xml:space="preserve">Rules and obligations in the legislative framework of agricultural, forestry, food and fisheries policy and broader have been amended, changed, adapted and are constantly changing (e.g.  the Common Agriculture Policy system (CAP), based on beneficiaries receiving funding from the European Agricultural Guarantee Fund and the European Agricultural Fund for Rural Development, the Common Fisheries Policy system (CFP), where the beneficiaries receiving  funds form the European Maritime, Fisheries and Aquaculture Fund). At the same time, the high expectations of institutions and the interested and general public (consumers) following the inclusion of the objectives of agendas and guidelines in the legislative framework of the CAP reform package and the CFP (2030 Agenda for Sustainable Development, European Green Deal, Farm to Fork Strategy, </w:t>
      </w:r>
      <w:r w:rsidRPr="001E5D51">
        <w:rPr>
          <w:rFonts w:ascii="Republika" w:hAnsi="Republika" w:cs="Arial"/>
          <w:lang w:val="en-GB"/>
        </w:rPr>
        <w:lastRenderedPageBreak/>
        <w:t>Biodiversity Strategy, CAP Strategic Plan, etc.) are reflected as a strong pressure for transforming the policies and systemic values;</w:t>
      </w:r>
    </w:p>
    <w:p w14:paraId="3B16E3C2"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 xml:space="preserve">Different forms of incentives and means for the use of new methods and tools (digitalisation) that encourage the use of e-services (data analysis, data mining tools – Arachne, etc.) are introduced; </w:t>
      </w:r>
    </w:p>
    <w:p w14:paraId="782C5693"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The trend in the age structure of Slovenian population is steadily growing;</w:t>
      </w:r>
    </w:p>
    <w:p w14:paraId="58024215"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There are white and grey areas in the national plan for the development of broadband networks;</w:t>
      </w:r>
    </w:p>
    <w:p w14:paraId="69AE030E"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 xml:space="preserve">Interdisciplinary and competent working groups must be included in the implementation of solutions that are based on the use of new mechanisms and tools laid down in the rules for the implementation of policies (e.g. CAP and CFP in the 2021-2027 period), and the interoperability of systems must be guaranteed at the national level; </w:t>
      </w:r>
    </w:p>
    <w:p w14:paraId="53B831B6"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 xml:space="preserve">It is a fundamental shift from a descriptive to operational model; that is from the compliance model to the performance based model, from strategies to action; </w:t>
      </w:r>
    </w:p>
    <w:p w14:paraId="5C57F619"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General knowledge and awareness on AI and its impact is low.</w:t>
      </w:r>
    </w:p>
    <w:p w14:paraId="3588F4E6" w14:textId="77777777" w:rsidR="001E5D51" w:rsidRPr="001E5D51" w:rsidRDefault="001E5D51" w:rsidP="001E5D51">
      <w:pPr>
        <w:jc w:val="both"/>
        <w:rPr>
          <w:rFonts w:ascii="Republika" w:hAnsi="Republika" w:cs="Arial"/>
          <w:lang w:val="en-GB"/>
        </w:rPr>
      </w:pPr>
      <w:r w:rsidRPr="001E5D51">
        <w:rPr>
          <w:rFonts w:ascii="Republika" w:hAnsi="Republika" w:cs="Arial"/>
          <w:lang w:val="en-GB"/>
        </w:rPr>
        <w:t xml:space="preserve">Already in 2020, the Council of Europe called on the Member States to take a precautionary approach to the </w:t>
      </w:r>
      <w:proofErr w:type="gramStart"/>
      <w:r w:rsidRPr="001E5D51">
        <w:rPr>
          <w:rFonts w:ascii="Republika" w:hAnsi="Republika" w:cs="Arial"/>
          <w:lang w:val="en-GB"/>
        </w:rPr>
        <w:t>development and use of algorithmic systems</w:t>
      </w:r>
      <w:proofErr w:type="gramEnd"/>
      <w:r w:rsidRPr="001E5D51">
        <w:rPr>
          <w:rFonts w:ascii="Republika" w:hAnsi="Republika" w:cs="Arial"/>
          <w:lang w:val="en-GB"/>
        </w:rPr>
        <w:t xml:space="preserve"> and adopt legislation, policies and practices that fully respect human rights. The Recommendation on the human rights impacts of algorithmic systems includes a set of guidelines calling on governments to ensure that they do not breach human rights through their own use, development or procurement of algorithmic systems. As regulators, they should establish effective and predictable legislative, regulatory and supervisory frameworks that prevent, detect, prohibit and remedy human rights violations, whether stemming from public or private actors. </w:t>
      </w:r>
    </w:p>
    <w:p w14:paraId="6227F0E5" w14:textId="77777777" w:rsidR="001E5D51" w:rsidRPr="001E5D51" w:rsidRDefault="001E5D51" w:rsidP="001E5D51">
      <w:pPr>
        <w:jc w:val="both"/>
        <w:rPr>
          <w:rFonts w:ascii="Republika" w:hAnsi="Republika" w:cs="Arial"/>
          <w:lang w:val="en-GB"/>
        </w:rPr>
      </w:pPr>
      <w:r w:rsidRPr="001E5D51">
        <w:rPr>
          <w:rFonts w:ascii="Republika" w:hAnsi="Republika" w:cs="Arial"/>
          <w:lang w:val="en-GB"/>
        </w:rPr>
        <w:t xml:space="preserve">According to a rough analysis of the impact of AI on human rights and the right to privacy, with a focus on agriculture, forestry, food and fisheries, we stress: </w:t>
      </w:r>
    </w:p>
    <w:p w14:paraId="31517D20"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 xml:space="preserve">That states should carry out a comprehensive risk assessment for human rights in the digital age, including the review and assessment of the existing legislation (GDPR, the </w:t>
      </w:r>
      <w:proofErr w:type="spellStart"/>
      <w:r w:rsidRPr="001E5D51">
        <w:rPr>
          <w:rFonts w:ascii="Republika" w:hAnsi="Republika" w:cs="Arial"/>
          <w:lang w:val="en-GB"/>
        </w:rPr>
        <w:t>ePrivacy</w:t>
      </w:r>
      <w:proofErr w:type="spellEnd"/>
      <w:r w:rsidRPr="001E5D51">
        <w:rPr>
          <w:rFonts w:ascii="Republika" w:hAnsi="Republika" w:cs="Arial"/>
          <w:lang w:val="en-GB"/>
        </w:rPr>
        <w:t xml:space="preserve"> Directive, the Open Data Directive, etc.) and establish a common fundamental denominator. EU framework for a horizontal integration of AI that would have to complement a horizontal act on AI and other sectoral legislation. That a synchronised interpretation of rules and initiatives that will be implemented at the national and EU level and beyond is of utmost importance; </w:t>
      </w:r>
    </w:p>
    <w:p w14:paraId="1E39F8BD"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The absence of the high-risk level with the definition of critical processes, procedures and applications that include AI and its potential risks. Since standard approaches on the basis of analyses and risk assessments do not fully cover the dimensions of all ethical implications and consequences, it is necessary to establish/upgrade the system for managing the constant changes and monitoring the effects of corrections;</w:t>
      </w:r>
    </w:p>
    <w:p w14:paraId="31082268"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The need for an interdisciplinary cooperation between experts with a contextualisation (taking into account the policy and geographical area, cultural and other specifics) and developing information models of policy aspects that would take into account the needs of the digital age;</w:t>
      </w:r>
    </w:p>
    <w:p w14:paraId="201CCF04"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lastRenderedPageBreak/>
        <w:t>That since data management addresses a huge potential that will affect the lives of all of us – from the point of view of technology drivers, defined by progress and use –, Europe needs to be prepared and take advantage of all competitive benefits. There is a strong need for raising awareness and strengthening the knowledge of the general public (the understanding of the concept, the functioning and the consequences of the introduction of AI into our lives);</w:t>
      </w:r>
    </w:p>
    <w:p w14:paraId="0C3EA120"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A need for standardisation: the availability and transparency of data and the use of sources and processes will be key factors for an appropriate use, management and supervision of AI;</w:t>
      </w:r>
    </w:p>
    <w:p w14:paraId="59B805D7"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Building the trust of users in the system based on ensuring the security in the exchange and re-use of data, also taking into account the privacy policy (based on the consent of a user to create certain profiles – biometric data, preserving the rights and freedoms...), and a positive experience of users, contrary to creating the standard of the »Social credit System« (that calls for the establishments of unified record system for individuals, businesses and the government to be tracked and evaluated for trustworthiness and that seeks complete control of individuals/citizens);</w:t>
      </w:r>
    </w:p>
    <w:p w14:paraId="03C4F24F"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the obligation of the state to establish healthy management and a regulatory environment for facilitating the use of data and digital technologies for the creation of policies and mechanisms for their implementation as well as for other purposes (taking into account the risks);</w:t>
      </w:r>
    </w:p>
    <w:p w14:paraId="35907513" w14:textId="77777777" w:rsidR="001E5D51" w:rsidRPr="001E5D51" w:rsidRDefault="001E5D51" w:rsidP="001E5D51">
      <w:pPr>
        <w:numPr>
          <w:ilvl w:val="0"/>
          <w:numId w:val="8"/>
        </w:numPr>
        <w:spacing w:after="160" w:line="256" w:lineRule="auto"/>
        <w:jc w:val="both"/>
        <w:rPr>
          <w:rFonts w:ascii="Republika" w:hAnsi="Republika" w:cs="Arial"/>
          <w:lang w:val="en-GB"/>
        </w:rPr>
      </w:pPr>
      <w:r w:rsidRPr="001E5D51">
        <w:rPr>
          <w:rFonts w:ascii="Republika" w:hAnsi="Republika" w:cs="Arial"/>
          <w:lang w:val="en-GB"/>
        </w:rPr>
        <w:t>The integration of new knowledge in education process and the data literacy of citizens, aiming for better understanding of the impact of AI and data practices and their consequences.</w:t>
      </w:r>
    </w:p>
    <w:p w14:paraId="01E83279" w14:textId="77777777" w:rsidR="001E5D51" w:rsidRPr="001E5D51" w:rsidRDefault="001E5D51" w:rsidP="001E5D51">
      <w:pPr>
        <w:jc w:val="both"/>
        <w:rPr>
          <w:rFonts w:ascii="Republika" w:hAnsi="Republika" w:cs="Arial"/>
          <w:lang w:val="en-GB"/>
        </w:rPr>
      </w:pPr>
      <w:r w:rsidRPr="001E5D51">
        <w:rPr>
          <w:rFonts w:ascii="Republika" w:hAnsi="Republika" w:cs="Arial"/>
          <w:lang w:val="en-GB"/>
        </w:rPr>
        <w:t>The creation of “red lines” in connection with human rights and the rights to privacy depends primarily on the level of development and profile of the state, which defines and enforces the rights, and its citizens. The basis for the protection of human rights are clearly defined competences and the responsibility for preventing the violations of (current?) human rights as consequences of violations throughout the entire chain. These are the obligations of states in relation to the protection and promotion of human rights and fundamental freedoms as the responsibilities of actors from the private sector in relation to human rights and fundamental freedoms in the framework of algorithmic systems.</w:t>
      </w:r>
    </w:p>
    <w:p w14:paraId="6C69C605" w14:textId="7D153637" w:rsidR="001E5D51" w:rsidRDefault="001E5D51" w:rsidP="00293915">
      <w:pPr>
        <w:widowControl w:val="0"/>
        <w:suppressAutoHyphens/>
        <w:jc w:val="both"/>
        <w:rPr>
          <w:rFonts w:ascii="Republika" w:eastAsia="Andale Sans UI" w:hAnsi="Republika" w:cs="Arial"/>
          <w:b/>
          <w:bCs/>
          <w:kern w:val="1"/>
          <w:lang w:val="en-GB"/>
        </w:rPr>
      </w:pPr>
    </w:p>
    <w:p w14:paraId="410B9A40" w14:textId="4A63C8C6" w:rsidR="00293915" w:rsidRPr="00106FCE" w:rsidRDefault="001E5D51" w:rsidP="00293915">
      <w:pPr>
        <w:widowControl w:val="0"/>
        <w:suppressAutoHyphens/>
        <w:jc w:val="both"/>
        <w:rPr>
          <w:rFonts w:ascii="Republika" w:eastAsia="Andale Sans UI" w:hAnsi="Republika" w:cs="Arial"/>
          <w:b/>
          <w:bCs/>
          <w:kern w:val="1"/>
          <w:lang w:val="en-GB"/>
        </w:rPr>
      </w:pPr>
      <w:r>
        <w:rPr>
          <w:rFonts w:ascii="Republika" w:eastAsia="Andale Sans UI" w:hAnsi="Republika" w:cs="Arial"/>
          <w:b/>
          <w:bCs/>
          <w:kern w:val="1"/>
          <w:lang w:val="en-GB"/>
        </w:rPr>
        <w:t>2. The response</w:t>
      </w:r>
      <w:r w:rsidR="007505CE" w:rsidRPr="00106FCE">
        <w:rPr>
          <w:rFonts w:ascii="Republika" w:eastAsia="Andale Sans UI" w:hAnsi="Republika" w:cs="Arial"/>
          <w:b/>
          <w:bCs/>
          <w:kern w:val="1"/>
          <w:lang w:val="en-GB"/>
        </w:rPr>
        <w:t xml:space="preserve"> of the </w:t>
      </w:r>
      <w:r w:rsidR="00106FCE" w:rsidRPr="00106FCE">
        <w:rPr>
          <w:rFonts w:ascii="Republika" w:eastAsia="Andale Sans UI" w:hAnsi="Republika" w:cs="Arial"/>
          <w:b/>
          <w:bCs/>
          <w:kern w:val="1"/>
          <w:lang w:val="en-GB"/>
        </w:rPr>
        <w:t>Institute of Criminology at the Faculty of Law Ljubljana</w:t>
      </w:r>
      <w:r w:rsidR="00106FCE">
        <w:rPr>
          <w:rFonts w:ascii="Republika" w:eastAsia="Andale Sans UI" w:hAnsi="Republika" w:cs="Arial"/>
          <w:b/>
          <w:bCs/>
          <w:kern w:val="1"/>
          <w:lang w:val="en-GB"/>
        </w:rPr>
        <w:t>:</w:t>
      </w:r>
    </w:p>
    <w:p w14:paraId="42A4EDBF" w14:textId="77777777" w:rsidR="007505CE" w:rsidRPr="007505CE" w:rsidRDefault="007505CE" w:rsidP="007505CE">
      <w:pPr>
        <w:spacing w:before="100" w:beforeAutospacing="1" w:after="100" w:afterAutospacing="1" w:line="276" w:lineRule="auto"/>
        <w:jc w:val="both"/>
        <w:rPr>
          <w:rFonts w:ascii="Republika" w:hAnsi="Republika"/>
          <w:lang w:val="en-GB" w:eastAsia="en-GB"/>
        </w:rPr>
      </w:pPr>
      <w:r w:rsidRPr="007505CE">
        <w:rPr>
          <w:rFonts w:ascii="Republika" w:hAnsi="Republika"/>
          <w:lang w:val="en-GB" w:eastAsia="en-GB"/>
        </w:rPr>
        <w:t xml:space="preserve">In the excerpts below, you can find our insight regarding the issues addressed for the preparation of the thematic report, which mainly focuses on our </w:t>
      </w:r>
      <w:r w:rsidRPr="007505CE">
        <w:rPr>
          <w:rFonts w:ascii="Republika" w:hAnsi="Republika"/>
          <w:b/>
          <w:lang w:val="en-GB" w:eastAsia="en-GB"/>
        </w:rPr>
        <w:t>particular areas of interest</w:t>
      </w:r>
      <w:r w:rsidRPr="007505CE">
        <w:rPr>
          <w:rFonts w:ascii="Republika" w:hAnsi="Republika"/>
          <w:lang w:val="en-GB" w:eastAsia="en-GB"/>
        </w:rPr>
        <w:t xml:space="preserve">. </w:t>
      </w:r>
      <w:proofErr w:type="gramStart"/>
      <w:r w:rsidRPr="007505CE">
        <w:rPr>
          <w:rFonts w:ascii="Republika" w:hAnsi="Republika"/>
          <w:lang w:val="en-GB" w:eastAsia="en-GB"/>
        </w:rPr>
        <w:t xml:space="preserve">In or research, we predominantly focus on how </w:t>
      </w:r>
      <w:r w:rsidRPr="007505CE">
        <w:rPr>
          <w:rFonts w:ascii="Republika" w:hAnsi="Republika"/>
          <w:b/>
          <w:lang w:val="en-GB" w:eastAsia="en-GB"/>
        </w:rPr>
        <w:t>judicial systems</w:t>
      </w:r>
      <w:r w:rsidRPr="007505CE">
        <w:rPr>
          <w:rFonts w:ascii="Republika" w:hAnsi="Republika"/>
          <w:lang w:val="en-GB" w:eastAsia="en-GB"/>
        </w:rPr>
        <w:t xml:space="preserve"> change on a national and international level with the increased use of information and communication technology (ICT), including artificial intelligence (AI), in order to </w:t>
      </w:r>
      <w:proofErr w:type="spellStart"/>
      <w:r w:rsidRPr="007505CE">
        <w:rPr>
          <w:rFonts w:ascii="Republika" w:hAnsi="Republika"/>
          <w:lang w:val="en-GB" w:eastAsia="en-GB"/>
        </w:rPr>
        <w:t>analyze</w:t>
      </w:r>
      <w:proofErr w:type="spellEnd"/>
      <w:r w:rsidRPr="007505CE">
        <w:rPr>
          <w:rFonts w:ascii="Republika" w:hAnsi="Republika"/>
          <w:lang w:val="en-GB" w:eastAsia="en-GB"/>
        </w:rPr>
        <w:t xml:space="preserve"> how automation could be beneficial to the decision-making process on the one hand and what risks it poses to human rights and other fundamental values on the other.</w:t>
      </w:r>
      <w:proofErr w:type="gramEnd"/>
    </w:p>
    <w:p w14:paraId="4C41888F" w14:textId="77777777" w:rsidR="007505CE" w:rsidRPr="007505CE" w:rsidRDefault="007505CE" w:rsidP="007505CE">
      <w:pPr>
        <w:spacing w:before="100" w:beforeAutospacing="1" w:after="100" w:afterAutospacing="1" w:line="276" w:lineRule="auto"/>
        <w:jc w:val="both"/>
        <w:rPr>
          <w:rFonts w:ascii="Republika" w:hAnsi="Republika"/>
          <w:lang w:val="en-GB" w:eastAsia="en-GB"/>
        </w:rPr>
      </w:pPr>
      <w:r w:rsidRPr="007505CE">
        <w:rPr>
          <w:rFonts w:ascii="Republika" w:hAnsi="Republika"/>
          <w:lang w:val="en-GB" w:eastAsia="en-GB"/>
        </w:rPr>
        <w:t xml:space="preserve">The potential uses and benefits of new and emerging digital technologies contain threats to human rights and demand the change of regulatory regime. The developments in AI </w:t>
      </w:r>
      <w:r w:rsidRPr="007505CE">
        <w:rPr>
          <w:rFonts w:ascii="Republika" w:hAnsi="Republika"/>
          <w:lang w:val="en-GB" w:eastAsia="en-GB"/>
        </w:rPr>
        <w:lastRenderedPageBreak/>
        <w:t xml:space="preserve">must therefore take place in an appropriate legal and ethical framework, which will reinforce the existing levels of respect for human rights (this proves to be particularly important for the prevention of violations of the right to privacy) and fundamental freedoms of every individual and vulnerable social group and consolidate legitimate democratic processes. Our answer concentrates on the uses of new tools in the </w:t>
      </w:r>
      <w:r w:rsidRPr="007505CE">
        <w:rPr>
          <w:rFonts w:ascii="Republika" w:hAnsi="Republika"/>
          <w:b/>
          <w:lang w:val="en-GB" w:eastAsia="en-GB"/>
        </w:rPr>
        <w:t>crime and security domain</w:t>
      </w:r>
      <w:r w:rsidRPr="007505CE">
        <w:rPr>
          <w:rFonts w:ascii="Republika" w:hAnsi="Republika"/>
          <w:lang w:val="en-GB" w:eastAsia="en-GB"/>
        </w:rPr>
        <w:t xml:space="preserve"> and ways to mitigate the accompanying risks since this is the main field of research of our institution, explored in the following </w:t>
      </w:r>
      <w:r w:rsidRPr="007505CE">
        <w:rPr>
          <w:rFonts w:ascii="Republika" w:hAnsi="Republika"/>
          <w:b/>
          <w:lang w:val="en-GB" w:eastAsia="en-GB"/>
        </w:rPr>
        <w:t>research projects</w:t>
      </w:r>
      <w:r w:rsidRPr="007505CE">
        <w:rPr>
          <w:rFonts w:ascii="Republika" w:hAnsi="Republika"/>
          <w:lang w:val="en-GB" w:eastAsia="en-GB"/>
        </w:rPr>
        <w:t>:</w:t>
      </w:r>
    </w:p>
    <w:p w14:paraId="0920BD6E" w14:textId="77777777" w:rsidR="007505CE" w:rsidRPr="007505CE" w:rsidRDefault="007505CE" w:rsidP="007505CE">
      <w:pPr>
        <w:pStyle w:val="ListParagraph"/>
        <w:numPr>
          <w:ilvl w:val="0"/>
          <w:numId w:val="6"/>
        </w:numPr>
        <w:spacing w:before="100" w:beforeAutospacing="1" w:after="100" w:afterAutospacing="1" w:line="276" w:lineRule="auto"/>
        <w:jc w:val="both"/>
        <w:rPr>
          <w:rFonts w:ascii="Republika" w:eastAsia="Times New Roman" w:hAnsi="Republika"/>
          <w:lang w:val="en-GB" w:eastAsia="en-GB"/>
        </w:rPr>
      </w:pPr>
      <w:r w:rsidRPr="007505CE">
        <w:rPr>
          <w:rFonts w:ascii="Republika" w:eastAsia="Times New Roman" w:hAnsi="Republika"/>
          <w:lang w:val="en-GB" w:eastAsia="en-GB"/>
        </w:rPr>
        <w:t>Automated Justice: Social, Ethical and Legal Implications (Slovenian Research Agency, 2018 -2021),</w:t>
      </w:r>
    </w:p>
    <w:p w14:paraId="480FD284" w14:textId="77777777" w:rsidR="007505CE" w:rsidRPr="007505CE" w:rsidRDefault="007505CE" w:rsidP="007505CE">
      <w:pPr>
        <w:pStyle w:val="ListParagraph"/>
        <w:numPr>
          <w:ilvl w:val="0"/>
          <w:numId w:val="6"/>
        </w:numPr>
        <w:spacing w:before="100" w:beforeAutospacing="1" w:after="100" w:afterAutospacing="1" w:line="276" w:lineRule="auto"/>
        <w:jc w:val="both"/>
        <w:rPr>
          <w:rFonts w:ascii="Republika" w:eastAsia="Times New Roman" w:hAnsi="Republika"/>
          <w:lang w:val="en-GB" w:eastAsia="en-GB"/>
        </w:rPr>
      </w:pPr>
      <w:r w:rsidRPr="007505CE">
        <w:rPr>
          <w:rFonts w:ascii="Republika" w:eastAsia="Times New Roman" w:hAnsi="Republika"/>
          <w:lang w:val="en-GB" w:eastAsia="en-GB"/>
        </w:rPr>
        <w:t>Law in the Age of Big Data (Slovenian Research Agency, 2014 -2017),</w:t>
      </w:r>
    </w:p>
    <w:p w14:paraId="6B8AEF15" w14:textId="2A34C285" w:rsidR="007505CE" w:rsidRPr="007505CE" w:rsidRDefault="007505CE" w:rsidP="007505CE">
      <w:pPr>
        <w:pStyle w:val="ListParagraph"/>
        <w:numPr>
          <w:ilvl w:val="0"/>
          <w:numId w:val="6"/>
        </w:numPr>
        <w:spacing w:before="100" w:beforeAutospacing="1" w:after="100" w:afterAutospacing="1" w:line="276" w:lineRule="auto"/>
        <w:jc w:val="both"/>
        <w:rPr>
          <w:rFonts w:ascii="Republika" w:eastAsia="Times New Roman" w:hAnsi="Republika"/>
          <w:lang w:val="en-GB" w:eastAsia="en-GB"/>
        </w:rPr>
      </w:pPr>
      <w:r w:rsidRPr="007505CE">
        <w:rPr>
          <w:rFonts w:ascii="Republika" w:eastAsia="Times New Roman" w:hAnsi="Republika"/>
          <w:lang w:val="en-GB" w:eastAsia="en-GB"/>
        </w:rPr>
        <w:t>Human Rights and Regulation of Trustworthy Artificial Intelligence (Slovenian Research Agency, 2019 -2021).</w:t>
      </w:r>
    </w:p>
    <w:p w14:paraId="4C02DEFB" w14:textId="77777777" w:rsidR="007505CE" w:rsidRPr="007505CE" w:rsidRDefault="007505CE" w:rsidP="007505CE">
      <w:pPr>
        <w:spacing w:before="100" w:beforeAutospacing="1" w:after="100" w:afterAutospacing="1" w:line="276" w:lineRule="auto"/>
        <w:jc w:val="both"/>
        <w:rPr>
          <w:rFonts w:ascii="Republika" w:hAnsi="Republika"/>
          <w:lang w:val="en-GB" w:eastAsia="en-GB"/>
        </w:rPr>
      </w:pPr>
      <w:r w:rsidRPr="007505CE">
        <w:rPr>
          <w:rFonts w:ascii="Republika" w:hAnsi="Republika"/>
          <w:lang w:val="en-GB" w:eastAsia="en-GB"/>
        </w:rPr>
        <w:t xml:space="preserve">The excerpts in the following answer </w:t>
      </w:r>
      <w:proofErr w:type="gramStart"/>
      <w:r w:rsidRPr="007505CE">
        <w:rPr>
          <w:rFonts w:ascii="Republika" w:hAnsi="Republika"/>
          <w:lang w:val="en-GB" w:eastAsia="en-GB"/>
        </w:rPr>
        <w:t>are taken</w:t>
      </w:r>
      <w:proofErr w:type="gramEnd"/>
      <w:r w:rsidRPr="007505CE">
        <w:rPr>
          <w:rFonts w:ascii="Republika" w:hAnsi="Republika"/>
          <w:lang w:val="en-GB" w:eastAsia="en-GB"/>
        </w:rPr>
        <w:t xml:space="preserve"> from the undermentioned </w:t>
      </w:r>
      <w:r w:rsidRPr="007505CE">
        <w:rPr>
          <w:rFonts w:ascii="Republika" w:hAnsi="Republika"/>
          <w:b/>
          <w:lang w:val="en-GB" w:eastAsia="en-GB"/>
        </w:rPr>
        <w:t>articles/chapters</w:t>
      </w:r>
      <w:r w:rsidRPr="007505CE">
        <w:rPr>
          <w:rFonts w:ascii="Republika" w:hAnsi="Republika"/>
          <w:lang w:val="en-GB" w:eastAsia="en-GB"/>
        </w:rPr>
        <w:t>:</w:t>
      </w:r>
    </w:p>
    <w:p w14:paraId="253121D2" w14:textId="77777777" w:rsidR="007505CE" w:rsidRPr="007505CE" w:rsidRDefault="007505CE" w:rsidP="007505CE">
      <w:pPr>
        <w:pStyle w:val="ListParagraph"/>
        <w:numPr>
          <w:ilvl w:val="0"/>
          <w:numId w:val="7"/>
        </w:numPr>
        <w:spacing w:before="100" w:beforeAutospacing="1" w:after="100" w:afterAutospacing="1" w:line="276" w:lineRule="auto"/>
        <w:jc w:val="both"/>
        <w:rPr>
          <w:rFonts w:ascii="Republika" w:eastAsia="Times New Roman" w:hAnsi="Republika"/>
          <w:lang w:val="en-GB" w:eastAsia="en-GB"/>
        </w:rPr>
      </w:pPr>
      <w:proofErr w:type="spellStart"/>
      <w:r w:rsidRPr="007505CE">
        <w:rPr>
          <w:rFonts w:ascii="Republika" w:eastAsia="Times New Roman" w:hAnsi="Republika"/>
          <w:lang w:val="en-GB" w:eastAsia="en-GB"/>
        </w:rPr>
        <w:t>Mojca</w:t>
      </w:r>
      <w:proofErr w:type="spellEnd"/>
      <w:r w:rsidRPr="007505CE">
        <w:rPr>
          <w:rFonts w:ascii="Republika" w:eastAsia="Times New Roman" w:hAnsi="Republika"/>
          <w:lang w:val="en-GB" w:eastAsia="en-GB"/>
        </w:rPr>
        <w:t xml:space="preserve"> </w:t>
      </w:r>
      <w:proofErr w:type="spellStart"/>
      <w:r w:rsidRPr="007505CE">
        <w:rPr>
          <w:rFonts w:ascii="Republika" w:eastAsia="Times New Roman" w:hAnsi="Republika"/>
          <w:lang w:val="en-GB" w:eastAsia="en-GB"/>
        </w:rPr>
        <w:t>Mihelj</w:t>
      </w:r>
      <w:proofErr w:type="spellEnd"/>
      <w:r w:rsidRPr="007505CE">
        <w:rPr>
          <w:rFonts w:ascii="Republika" w:eastAsia="Times New Roman" w:hAnsi="Republika"/>
          <w:lang w:val="en-GB" w:eastAsia="en-GB"/>
        </w:rPr>
        <w:t xml:space="preserve"> </w:t>
      </w:r>
      <w:proofErr w:type="spellStart"/>
      <w:r w:rsidRPr="007505CE">
        <w:rPr>
          <w:rFonts w:ascii="Republika" w:eastAsia="Times New Roman" w:hAnsi="Republika"/>
          <w:lang w:val="en-GB" w:eastAsia="en-GB"/>
        </w:rPr>
        <w:t>Plesničar</w:t>
      </w:r>
      <w:proofErr w:type="spellEnd"/>
      <w:r w:rsidRPr="007505CE">
        <w:rPr>
          <w:rFonts w:ascii="Republika" w:eastAsia="Times New Roman" w:hAnsi="Republika"/>
          <w:lang w:val="en-GB" w:eastAsia="en-GB"/>
        </w:rPr>
        <w:t xml:space="preserve">, </w:t>
      </w:r>
      <w:proofErr w:type="spellStart"/>
      <w:r w:rsidRPr="007505CE">
        <w:rPr>
          <w:rFonts w:ascii="Republika" w:eastAsia="Times New Roman" w:hAnsi="Republika"/>
          <w:lang w:val="en-GB" w:eastAsia="en-GB"/>
        </w:rPr>
        <w:t>Aleš</w:t>
      </w:r>
      <w:proofErr w:type="spellEnd"/>
      <w:r w:rsidRPr="007505CE">
        <w:rPr>
          <w:rFonts w:ascii="Republika" w:eastAsia="Times New Roman" w:hAnsi="Republika"/>
          <w:lang w:val="en-GB" w:eastAsia="en-GB"/>
        </w:rPr>
        <w:t xml:space="preserve"> </w:t>
      </w:r>
      <w:proofErr w:type="spellStart"/>
      <w:r w:rsidRPr="007505CE">
        <w:rPr>
          <w:rFonts w:ascii="Republika" w:eastAsia="Times New Roman" w:hAnsi="Republika"/>
          <w:lang w:val="en-GB" w:eastAsia="en-GB"/>
        </w:rPr>
        <w:t>Završnik</w:t>
      </w:r>
      <w:proofErr w:type="spellEnd"/>
      <w:r w:rsidRPr="007505CE">
        <w:rPr>
          <w:rFonts w:ascii="Republika" w:eastAsia="Times New Roman" w:hAnsi="Republika"/>
          <w:lang w:val="en-GB" w:eastAsia="en-GB"/>
        </w:rPr>
        <w:t xml:space="preserve"> &amp; </w:t>
      </w:r>
      <w:proofErr w:type="spellStart"/>
      <w:r w:rsidRPr="007505CE">
        <w:rPr>
          <w:rFonts w:ascii="Republika" w:eastAsia="Times New Roman" w:hAnsi="Republika"/>
          <w:lang w:val="en-GB" w:eastAsia="en-GB"/>
        </w:rPr>
        <w:t>Pika</w:t>
      </w:r>
      <w:proofErr w:type="spellEnd"/>
      <w:r w:rsidRPr="007505CE">
        <w:rPr>
          <w:rFonts w:ascii="Republika" w:eastAsia="Times New Roman" w:hAnsi="Republika"/>
          <w:lang w:val="en-GB" w:eastAsia="en-GB"/>
        </w:rPr>
        <w:t xml:space="preserve"> </w:t>
      </w:r>
      <w:proofErr w:type="spellStart"/>
      <w:r w:rsidRPr="007505CE">
        <w:rPr>
          <w:rFonts w:ascii="Republika" w:eastAsia="Times New Roman" w:hAnsi="Republika"/>
          <w:lang w:val="en-GB" w:eastAsia="en-GB"/>
        </w:rPr>
        <w:t>Šarf</w:t>
      </w:r>
      <w:proofErr w:type="spellEnd"/>
      <w:r w:rsidRPr="007505CE">
        <w:rPr>
          <w:rFonts w:ascii="Republika" w:eastAsia="Times New Roman" w:hAnsi="Republika"/>
          <w:lang w:val="en-GB" w:eastAsia="en-GB"/>
        </w:rPr>
        <w:t xml:space="preserve">. (2020). </w:t>
      </w:r>
      <w:proofErr w:type="gramStart"/>
      <w:r w:rsidRPr="007505CE">
        <w:rPr>
          <w:rFonts w:ascii="Republika" w:eastAsia="Times New Roman" w:hAnsi="Republika"/>
          <w:lang w:val="en-GB" w:eastAsia="en-GB"/>
        </w:rPr>
        <w:t>Fighting</w:t>
      </w:r>
      <w:proofErr w:type="gramEnd"/>
      <w:r w:rsidRPr="007505CE">
        <w:rPr>
          <w:rFonts w:ascii="Republika" w:eastAsia="Times New Roman" w:hAnsi="Republika"/>
          <w:lang w:val="en-GB" w:eastAsia="en-GB"/>
        </w:rPr>
        <w:t xml:space="preserve"> impunity with new tools: how big data, algorithms, machine learning and AI shape the new era of criminal justice, in: Luisa Marin, Stefano </w:t>
      </w:r>
      <w:proofErr w:type="spellStart"/>
      <w:r w:rsidRPr="007505CE">
        <w:rPr>
          <w:rFonts w:ascii="Republika" w:eastAsia="Times New Roman" w:hAnsi="Republika"/>
          <w:lang w:val="en-GB" w:eastAsia="en-GB"/>
        </w:rPr>
        <w:t>Montaldo</w:t>
      </w:r>
      <w:proofErr w:type="spellEnd"/>
      <w:r w:rsidRPr="007505CE">
        <w:rPr>
          <w:rFonts w:ascii="Republika" w:eastAsia="Times New Roman" w:hAnsi="Republika"/>
          <w:lang w:val="en-GB" w:eastAsia="en-GB"/>
        </w:rPr>
        <w:t xml:space="preserve"> (eds.), The Fight Against Impunity in EU Law. </w:t>
      </w:r>
      <w:hyperlink r:id="rId8" w:history="1">
        <w:r w:rsidRPr="007505CE">
          <w:rPr>
            <w:rStyle w:val="Hyperlink"/>
            <w:rFonts w:ascii="Republika" w:eastAsia="Times New Roman" w:hAnsi="Republika"/>
            <w:lang w:val="en-GB" w:eastAsia="en-GB"/>
          </w:rPr>
          <w:t>https://doi.org/10.5040/9781509926909.ch-014</w:t>
        </w:r>
      </w:hyperlink>
      <w:r w:rsidRPr="007505CE">
        <w:rPr>
          <w:rFonts w:ascii="Republika" w:eastAsia="Times New Roman" w:hAnsi="Republika"/>
          <w:lang w:val="en-GB" w:eastAsia="en-GB"/>
        </w:rPr>
        <w:t xml:space="preserve"> </w:t>
      </w:r>
    </w:p>
    <w:p w14:paraId="68EB3893" w14:textId="77777777" w:rsidR="007505CE" w:rsidRPr="007505CE" w:rsidRDefault="007505CE" w:rsidP="007505CE">
      <w:pPr>
        <w:pStyle w:val="ListParagraph"/>
        <w:numPr>
          <w:ilvl w:val="0"/>
          <w:numId w:val="7"/>
        </w:numPr>
        <w:spacing w:before="100" w:beforeAutospacing="1" w:after="100" w:afterAutospacing="1" w:line="276" w:lineRule="auto"/>
        <w:jc w:val="both"/>
        <w:rPr>
          <w:rFonts w:ascii="Republika" w:eastAsia="Times New Roman" w:hAnsi="Republika"/>
          <w:lang w:val="en-GB" w:eastAsia="en-GB"/>
        </w:rPr>
      </w:pPr>
      <w:proofErr w:type="spellStart"/>
      <w:r w:rsidRPr="007505CE">
        <w:rPr>
          <w:rFonts w:ascii="Republika" w:eastAsia="Times New Roman" w:hAnsi="Republika"/>
          <w:lang w:val="en-GB" w:eastAsia="en-GB"/>
        </w:rPr>
        <w:t>Aleš</w:t>
      </w:r>
      <w:proofErr w:type="spellEnd"/>
      <w:r w:rsidRPr="007505CE">
        <w:rPr>
          <w:rFonts w:ascii="Republika" w:eastAsia="Times New Roman" w:hAnsi="Republika"/>
          <w:lang w:val="en-GB" w:eastAsia="en-GB"/>
        </w:rPr>
        <w:t xml:space="preserve"> </w:t>
      </w:r>
      <w:proofErr w:type="spellStart"/>
      <w:r w:rsidRPr="007505CE">
        <w:rPr>
          <w:rFonts w:ascii="Republika" w:eastAsia="Times New Roman" w:hAnsi="Republika"/>
          <w:lang w:val="en-GB" w:eastAsia="en-GB"/>
        </w:rPr>
        <w:t>Završnik</w:t>
      </w:r>
      <w:proofErr w:type="spellEnd"/>
      <w:r w:rsidRPr="007505CE">
        <w:rPr>
          <w:rFonts w:ascii="Republika" w:eastAsia="Times New Roman" w:hAnsi="Republika"/>
          <w:lang w:val="en-GB" w:eastAsia="en-GB"/>
        </w:rPr>
        <w:t xml:space="preserve">. (2019). Criminal Justice, Artificial Intelligence Systems, and Human Rights. </w:t>
      </w:r>
      <w:r w:rsidRPr="007505CE">
        <w:rPr>
          <w:rFonts w:ascii="Republika" w:eastAsia="Times New Roman" w:hAnsi="Republika"/>
          <w:i/>
          <w:lang w:val="en-GB" w:eastAsia="en-GB"/>
        </w:rPr>
        <w:t>ERA Forum – Journal of the Academy of European Law</w:t>
      </w:r>
      <w:r w:rsidRPr="007505CE">
        <w:rPr>
          <w:rFonts w:ascii="Republika" w:eastAsia="Times New Roman" w:hAnsi="Republika"/>
          <w:lang w:val="en-GB" w:eastAsia="en-GB"/>
        </w:rPr>
        <w:t xml:space="preserve">, Springer, </w:t>
      </w:r>
      <w:hyperlink r:id="rId9" w:history="1">
        <w:r w:rsidRPr="007505CE">
          <w:rPr>
            <w:rStyle w:val="Hyperlink"/>
            <w:rFonts w:ascii="Republika" w:eastAsia="Times New Roman" w:hAnsi="Republika"/>
            <w:lang w:val="en-GB" w:eastAsia="en-GB"/>
          </w:rPr>
          <w:t>https://doi.org/10.1007/s12027-020-00602-0</w:t>
        </w:r>
      </w:hyperlink>
      <w:r w:rsidRPr="007505CE">
        <w:rPr>
          <w:rFonts w:ascii="Republika" w:eastAsia="Times New Roman" w:hAnsi="Republika"/>
          <w:lang w:val="en-GB" w:eastAsia="en-GB"/>
        </w:rPr>
        <w:t xml:space="preserve"> </w:t>
      </w:r>
    </w:p>
    <w:p w14:paraId="22E63D97" w14:textId="77777777" w:rsidR="007505CE" w:rsidRPr="007505CE" w:rsidRDefault="007505CE" w:rsidP="007505CE">
      <w:pPr>
        <w:pStyle w:val="ListParagraph"/>
        <w:numPr>
          <w:ilvl w:val="0"/>
          <w:numId w:val="7"/>
        </w:numPr>
        <w:spacing w:before="100" w:beforeAutospacing="1" w:after="100" w:afterAutospacing="1" w:line="276" w:lineRule="auto"/>
        <w:jc w:val="both"/>
        <w:rPr>
          <w:rFonts w:ascii="Republika" w:eastAsia="Times New Roman" w:hAnsi="Republika"/>
          <w:lang w:val="en-GB" w:eastAsia="en-GB"/>
        </w:rPr>
      </w:pPr>
      <w:proofErr w:type="spellStart"/>
      <w:r w:rsidRPr="007505CE">
        <w:rPr>
          <w:rFonts w:ascii="Republika" w:hAnsi="Republika"/>
          <w:color w:val="333333"/>
          <w:shd w:val="clear" w:color="auto" w:fill="FFFFFF"/>
          <w:lang w:val="en-GB"/>
        </w:rPr>
        <w:t>Aleš</w:t>
      </w:r>
      <w:proofErr w:type="spellEnd"/>
      <w:r w:rsidRPr="007505CE">
        <w:rPr>
          <w:rFonts w:ascii="Republika" w:hAnsi="Republika"/>
          <w:color w:val="333333"/>
          <w:shd w:val="clear" w:color="auto" w:fill="FFFFFF"/>
          <w:lang w:val="en-GB"/>
        </w:rPr>
        <w:t xml:space="preserve"> </w:t>
      </w:r>
      <w:proofErr w:type="spellStart"/>
      <w:r w:rsidRPr="007505CE">
        <w:rPr>
          <w:rFonts w:ascii="Republika" w:hAnsi="Republika"/>
          <w:color w:val="333333"/>
          <w:shd w:val="clear" w:color="auto" w:fill="FFFFFF"/>
          <w:lang w:val="en-GB"/>
        </w:rPr>
        <w:t>Završnik</w:t>
      </w:r>
      <w:proofErr w:type="spellEnd"/>
      <w:r w:rsidRPr="007505CE">
        <w:rPr>
          <w:rFonts w:ascii="Republika" w:hAnsi="Republika"/>
          <w:color w:val="333333"/>
          <w:shd w:val="clear" w:color="auto" w:fill="FFFFFF"/>
          <w:lang w:val="en-GB"/>
        </w:rPr>
        <w:t>. (</w:t>
      </w:r>
      <w:r w:rsidRPr="007505CE">
        <w:rPr>
          <w:rFonts w:ascii="Republika" w:eastAsia="Times New Roman" w:hAnsi="Republika"/>
          <w:lang w:val="en-GB" w:eastAsia="en-GB"/>
        </w:rPr>
        <w:t>2019). Algorithmic justice: Algorithms and big data in criminal justice settings. </w:t>
      </w:r>
      <w:r w:rsidRPr="007505CE">
        <w:rPr>
          <w:rFonts w:ascii="Republika" w:eastAsia="Times New Roman" w:hAnsi="Republika"/>
          <w:i/>
          <w:lang w:val="en-GB" w:eastAsia="en-GB"/>
        </w:rPr>
        <w:t>European</w:t>
      </w:r>
      <w:r w:rsidRPr="007505CE">
        <w:rPr>
          <w:rFonts w:ascii="Republika" w:hAnsi="Republika"/>
          <w:i/>
          <w:color w:val="333333"/>
          <w:shd w:val="clear" w:color="auto" w:fill="FFFFFF"/>
          <w:lang w:val="en-GB"/>
        </w:rPr>
        <w:t xml:space="preserve"> Journal of Criminology</w:t>
      </w:r>
    </w:p>
    <w:p w14:paraId="75D589B1" w14:textId="77777777" w:rsidR="007505CE" w:rsidRPr="007505CE" w:rsidRDefault="007505CE" w:rsidP="007505CE">
      <w:pPr>
        <w:pStyle w:val="ListParagraph"/>
        <w:spacing w:before="100" w:beforeAutospacing="1" w:after="100" w:afterAutospacing="1" w:line="276" w:lineRule="auto"/>
        <w:jc w:val="both"/>
        <w:rPr>
          <w:rFonts w:ascii="Republika" w:eastAsia="Times New Roman" w:hAnsi="Republika"/>
          <w:lang w:val="en-GB" w:eastAsia="en-GB"/>
        </w:rPr>
      </w:pPr>
      <w:hyperlink r:id="rId10" w:history="1">
        <w:r w:rsidRPr="007505CE">
          <w:rPr>
            <w:rStyle w:val="Hyperlink"/>
            <w:rFonts w:ascii="Republika" w:hAnsi="Republika"/>
            <w:color w:val="006ACC"/>
            <w:shd w:val="clear" w:color="auto" w:fill="FFFFFF"/>
            <w:lang w:val="en-GB"/>
          </w:rPr>
          <w:t>https://doi.org/10.1177/1477370819876762</w:t>
        </w:r>
      </w:hyperlink>
    </w:p>
    <w:p w14:paraId="1C104237" w14:textId="77777777" w:rsidR="007505CE" w:rsidRPr="007505CE" w:rsidRDefault="007505CE" w:rsidP="007505CE">
      <w:pPr>
        <w:spacing w:before="100" w:beforeAutospacing="1" w:after="100" w:afterAutospacing="1" w:line="276" w:lineRule="auto"/>
        <w:jc w:val="both"/>
        <w:rPr>
          <w:rFonts w:ascii="Republika" w:hAnsi="Republika"/>
          <w:lang w:val="en-GB" w:eastAsia="en-GB"/>
        </w:rPr>
      </w:pPr>
      <w:r w:rsidRPr="007505CE">
        <w:rPr>
          <w:rFonts w:ascii="Republika" w:hAnsi="Republika"/>
          <w:lang w:val="en-GB" w:eastAsia="en-GB"/>
        </w:rPr>
        <w:t xml:space="preserve">Given the modern criminal justice system’s incessant stride for objectivity, it is of little surprise that criminal justice begun utilising the emerging technologies in various contexts and various ways. The application of ICT in judicial processes has enabled more effective case management, availability of </w:t>
      </w:r>
      <w:proofErr w:type="gramStart"/>
      <w:r w:rsidRPr="007505CE">
        <w:rPr>
          <w:rFonts w:ascii="Republika" w:hAnsi="Republika"/>
          <w:lang w:val="en-GB" w:eastAsia="en-GB"/>
        </w:rPr>
        <w:t>case-law</w:t>
      </w:r>
      <w:proofErr w:type="gramEnd"/>
      <w:r w:rsidRPr="007505CE">
        <w:rPr>
          <w:rFonts w:ascii="Republika" w:hAnsi="Republika"/>
          <w:lang w:val="en-GB" w:eastAsia="en-GB"/>
        </w:rPr>
        <w:t xml:space="preserve"> through online search engines (e. g. HUDOC, E-justice portal), online dispute resolution mechanisms, advanced legal analytic tools as well as faster and easier communication between all parties involved. Above all, the digital environment is producing the data, which is necessary to fuel further development and predictive ability of algorithmic tools.</w:t>
      </w:r>
    </w:p>
    <w:p w14:paraId="36C8F5A6" w14:textId="77777777" w:rsidR="007505CE" w:rsidRPr="007505CE" w:rsidRDefault="007505CE" w:rsidP="007505CE">
      <w:pPr>
        <w:spacing w:line="276" w:lineRule="auto"/>
        <w:jc w:val="both"/>
        <w:rPr>
          <w:rFonts w:ascii="Republika" w:hAnsi="Republika"/>
          <w:lang w:val="en-GB" w:eastAsia="en-GB"/>
        </w:rPr>
      </w:pPr>
      <w:r w:rsidRPr="007505CE">
        <w:rPr>
          <w:rFonts w:ascii="Republika" w:hAnsi="Republika"/>
          <w:lang w:val="en-GB" w:eastAsia="en-GB"/>
        </w:rPr>
        <w:t xml:space="preserve">Several </w:t>
      </w:r>
      <w:r w:rsidRPr="007505CE">
        <w:rPr>
          <w:rFonts w:ascii="Republika" w:hAnsi="Republika"/>
          <w:b/>
          <w:lang w:val="en-GB" w:eastAsia="en-GB"/>
        </w:rPr>
        <w:t>stakeholders</w:t>
      </w:r>
      <w:r w:rsidRPr="007505CE">
        <w:rPr>
          <w:rFonts w:ascii="Republika" w:hAnsi="Republika"/>
          <w:lang w:val="en-GB" w:eastAsia="en-GB"/>
        </w:rPr>
        <w:t xml:space="preserve"> in the crime and security domain are currently using new tools: </w:t>
      </w:r>
    </w:p>
    <w:p w14:paraId="5684A796" w14:textId="77777777" w:rsidR="007505CE" w:rsidRPr="007505CE" w:rsidRDefault="007505CE" w:rsidP="007505CE">
      <w:pPr>
        <w:spacing w:line="276" w:lineRule="auto"/>
        <w:jc w:val="both"/>
        <w:rPr>
          <w:rFonts w:ascii="Republika" w:hAnsi="Republika"/>
          <w:lang w:val="en-GB" w:eastAsia="en-GB"/>
        </w:rPr>
      </w:pPr>
    </w:p>
    <w:p w14:paraId="3A1E0DDE" w14:textId="77777777" w:rsidR="007505CE" w:rsidRPr="007505CE" w:rsidRDefault="007505CE" w:rsidP="007505CE">
      <w:pPr>
        <w:spacing w:line="276" w:lineRule="auto"/>
        <w:jc w:val="both"/>
        <w:rPr>
          <w:rFonts w:ascii="Republika" w:hAnsi="Republika"/>
          <w:lang w:val="en-GB" w:eastAsia="en-GB"/>
        </w:rPr>
      </w:pPr>
      <w:r w:rsidRPr="007505CE">
        <w:rPr>
          <w:rFonts w:ascii="Republika" w:hAnsi="Republika"/>
          <w:lang w:val="en-GB" w:eastAsia="en-GB"/>
        </w:rPr>
        <w:t xml:space="preserve">1) </w:t>
      </w:r>
      <w:proofErr w:type="gramStart"/>
      <w:r w:rsidRPr="007505CE">
        <w:rPr>
          <w:rFonts w:ascii="Republika" w:hAnsi="Republika"/>
          <w:lang w:val="en-GB" w:eastAsia="en-GB"/>
        </w:rPr>
        <w:t>intelligence</w:t>
      </w:r>
      <w:proofErr w:type="gramEnd"/>
      <w:r w:rsidRPr="007505CE">
        <w:rPr>
          <w:rFonts w:ascii="Republika" w:hAnsi="Republika"/>
          <w:lang w:val="en-GB" w:eastAsia="en-GB"/>
        </w:rPr>
        <w:t xml:space="preserve"> agencies, which have been increasingly focusing on the surveillance of public telecommunications networks (e.g. as revealed by Edward Snowden in 2013); </w:t>
      </w:r>
    </w:p>
    <w:p w14:paraId="2E06D877" w14:textId="77777777" w:rsidR="007505CE" w:rsidRPr="007505CE" w:rsidRDefault="007505CE" w:rsidP="007505CE">
      <w:pPr>
        <w:spacing w:line="276" w:lineRule="auto"/>
        <w:jc w:val="both"/>
        <w:rPr>
          <w:rFonts w:ascii="Republika" w:hAnsi="Republika"/>
          <w:lang w:val="en-GB" w:eastAsia="en-GB"/>
        </w:rPr>
      </w:pPr>
      <w:r w:rsidRPr="007505CE">
        <w:rPr>
          <w:rFonts w:ascii="Republika" w:hAnsi="Republika"/>
          <w:lang w:val="en-GB" w:eastAsia="en-GB"/>
        </w:rPr>
        <w:t xml:space="preserve">2) </w:t>
      </w:r>
      <w:proofErr w:type="gramStart"/>
      <w:r w:rsidRPr="007505CE">
        <w:rPr>
          <w:rFonts w:ascii="Republika" w:hAnsi="Republika"/>
          <w:lang w:val="en-GB" w:eastAsia="en-GB"/>
        </w:rPr>
        <w:t>law</w:t>
      </w:r>
      <w:proofErr w:type="gramEnd"/>
      <w:r w:rsidRPr="007505CE">
        <w:rPr>
          <w:rFonts w:ascii="Republika" w:hAnsi="Republika"/>
          <w:lang w:val="en-GB" w:eastAsia="en-GB"/>
        </w:rPr>
        <w:t xml:space="preserve"> enforcement agencies, which are increasingly using crime prediction software such as </w:t>
      </w:r>
      <w:proofErr w:type="spellStart"/>
      <w:r w:rsidRPr="007505CE">
        <w:rPr>
          <w:rFonts w:ascii="Republika" w:hAnsi="Republika"/>
          <w:lang w:val="en-GB" w:eastAsia="en-GB"/>
        </w:rPr>
        <w:t>PredPol</w:t>
      </w:r>
      <w:proofErr w:type="spellEnd"/>
      <w:r w:rsidRPr="007505CE">
        <w:rPr>
          <w:rFonts w:ascii="Republika" w:hAnsi="Republika"/>
          <w:lang w:val="en-GB" w:eastAsia="en-GB"/>
        </w:rPr>
        <w:t xml:space="preserve"> (Santa Cruz, California), </w:t>
      </w:r>
      <w:proofErr w:type="spellStart"/>
      <w:r w:rsidRPr="007505CE">
        <w:rPr>
          <w:rFonts w:ascii="Republika" w:hAnsi="Republika"/>
          <w:lang w:val="en-GB" w:eastAsia="en-GB"/>
        </w:rPr>
        <w:t>Precobs</w:t>
      </w:r>
      <w:proofErr w:type="spellEnd"/>
      <w:r w:rsidRPr="007505CE">
        <w:rPr>
          <w:rFonts w:ascii="Republika" w:hAnsi="Republika"/>
          <w:lang w:val="en-GB" w:eastAsia="en-GB"/>
        </w:rPr>
        <w:t xml:space="preserve"> (Zürich, Munich), and </w:t>
      </w:r>
      <w:proofErr w:type="spellStart"/>
      <w:r w:rsidRPr="007505CE">
        <w:rPr>
          <w:rFonts w:ascii="Republika" w:hAnsi="Republika"/>
          <w:lang w:val="en-GB" w:eastAsia="en-GB"/>
        </w:rPr>
        <w:t>Maprevelation</w:t>
      </w:r>
      <w:proofErr w:type="spellEnd"/>
      <w:r w:rsidRPr="007505CE">
        <w:rPr>
          <w:rFonts w:ascii="Republika" w:hAnsi="Republika"/>
          <w:lang w:val="en-GB" w:eastAsia="en-GB"/>
        </w:rPr>
        <w:t xml:space="preserve"> (France);</w:t>
      </w:r>
    </w:p>
    <w:p w14:paraId="57AB0666" w14:textId="77777777" w:rsidR="007505CE" w:rsidRPr="007505CE" w:rsidRDefault="007505CE" w:rsidP="007505CE">
      <w:pPr>
        <w:spacing w:line="276" w:lineRule="auto"/>
        <w:jc w:val="both"/>
        <w:rPr>
          <w:rFonts w:ascii="Republika" w:hAnsi="Republika"/>
          <w:lang w:val="en-GB" w:eastAsia="en-GB"/>
        </w:rPr>
      </w:pPr>
      <w:r w:rsidRPr="007505CE">
        <w:rPr>
          <w:rFonts w:ascii="Republika" w:hAnsi="Republika"/>
          <w:lang w:val="en-GB" w:eastAsia="en-GB"/>
        </w:rPr>
        <w:t xml:space="preserve">3) </w:t>
      </w:r>
      <w:proofErr w:type="gramStart"/>
      <w:r w:rsidRPr="007505CE">
        <w:rPr>
          <w:rFonts w:ascii="Republika" w:hAnsi="Republika"/>
          <w:lang w:val="en-GB" w:eastAsia="en-GB"/>
        </w:rPr>
        <w:t>criminal</w:t>
      </w:r>
      <w:proofErr w:type="gramEnd"/>
      <w:r w:rsidRPr="007505CE">
        <w:rPr>
          <w:rFonts w:ascii="Republika" w:hAnsi="Republika"/>
          <w:lang w:val="en-GB" w:eastAsia="en-GB"/>
        </w:rPr>
        <w:t xml:space="preserve"> courts and probation commissions predicting recidivism; and </w:t>
      </w:r>
    </w:p>
    <w:p w14:paraId="57216799" w14:textId="77777777" w:rsidR="007505CE" w:rsidRPr="007505CE" w:rsidRDefault="007505CE" w:rsidP="007505CE">
      <w:pPr>
        <w:spacing w:line="276" w:lineRule="auto"/>
        <w:jc w:val="both"/>
        <w:rPr>
          <w:rFonts w:ascii="Republika" w:hAnsi="Republika"/>
          <w:lang w:val="en-GB" w:eastAsia="en-GB"/>
        </w:rPr>
      </w:pPr>
      <w:r w:rsidRPr="007505CE">
        <w:rPr>
          <w:rFonts w:ascii="Republika" w:hAnsi="Republika"/>
          <w:lang w:val="en-GB" w:eastAsia="en-GB"/>
        </w:rPr>
        <w:lastRenderedPageBreak/>
        <w:t xml:space="preserve">4) </w:t>
      </w:r>
      <w:proofErr w:type="gramStart"/>
      <w:r w:rsidRPr="007505CE">
        <w:rPr>
          <w:rFonts w:ascii="Republika" w:hAnsi="Republika"/>
          <w:lang w:val="en-GB" w:eastAsia="en-GB"/>
        </w:rPr>
        <w:t>administrative</w:t>
      </w:r>
      <w:proofErr w:type="gramEnd"/>
      <w:r w:rsidRPr="007505CE">
        <w:rPr>
          <w:rFonts w:ascii="Republika" w:hAnsi="Republika"/>
          <w:lang w:val="en-GB" w:eastAsia="en-GB"/>
        </w:rPr>
        <w:t xml:space="preserve"> agencies and inspectorates, e.g. tax and customs authorities, environmental and food inspection services, which use the new tools to do their work more effectively.</w:t>
      </w:r>
    </w:p>
    <w:p w14:paraId="37902BAE" w14:textId="77777777" w:rsidR="007505CE" w:rsidRPr="007505CE" w:rsidRDefault="007505CE" w:rsidP="007505CE">
      <w:pPr>
        <w:spacing w:before="100" w:beforeAutospacing="1" w:after="100" w:afterAutospacing="1" w:line="276" w:lineRule="auto"/>
        <w:jc w:val="both"/>
        <w:rPr>
          <w:rFonts w:ascii="Republika" w:hAnsi="Republika"/>
          <w:lang w:val="en-GB" w:eastAsia="en-GB"/>
        </w:rPr>
      </w:pPr>
      <w:r w:rsidRPr="007505CE">
        <w:rPr>
          <w:rFonts w:ascii="Republika" w:hAnsi="Republika"/>
          <w:lang w:val="en-GB" w:eastAsia="en-GB"/>
        </w:rPr>
        <w:t xml:space="preserve">Listing possible actors in the chain of building and employing AI systems may also lead to all-encompassing lists of </w:t>
      </w:r>
      <w:r w:rsidRPr="007505CE">
        <w:rPr>
          <w:rFonts w:ascii="Republika" w:hAnsi="Republika"/>
          <w:b/>
          <w:lang w:val="en-GB" w:eastAsia="en-GB"/>
        </w:rPr>
        <w:t>state and private sector actors</w:t>
      </w:r>
      <w:r w:rsidRPr="007505CE">
        <w:rPr>
          <w:rFonts w:ascii="Republika" w:hAnsi="Republika"/>
          <w:lang w:val="en-GB" w:eastAsia="en-GB"/>
        </w:rPr>
        <w:t xml:space="preserve">. The deepening of the digital ecosystem has </w:t>
      </w:r>
      <w:proofErr w:type="spellStart"/>
      <w:r w:rsidRPr="007505CE">
        <w:rPr>
          <w:rFonts w:ascii="Republika" w:hAnsi="Republika"/>
          <w:lang w:val="en-GB" w:eastAsia="en-GB"/>
        </w:rPr>
        <w:t>lead</w:t>
      </w:r>
      <w:proofErr w:type="spellEnd"/>
      <w:r w:rsidRPr="007505CE">
        <w:rPr>
          <w:rFonts w:ascii="Republika" w:hAnsi="Republika"/>
          <w:lang w:val="en-GB" w:eastAsia="en-GB"/>
        </w:rPr>
        <w:t xml:space="preserve"> to a situation where responsibilities </w:t>
      </w:r>
      <w:proofErr w:type="gramStart"/>
      <w:r w:rsidRPr="007505CE">
        <w:rPr>
          <w:rFonts w:ascii="Republika" w:hAnsi="Republika"/>
          <w:lang w:val="en-GB" w:eastAsia="en-GB"/>
        </w:rPr>
        <w:t>are becoming increasingly spread</w:t>
      </w:r>
      <w:proofErr w:type="gramEnd"/>
      <w:r w:rsidRPr="007505CE">
        <w:rPr>
          <w:rFonts w:ascii="Republika" w:hAnsi="Republika"/>
          <w:lang w:val="en-GB" w:eastAsia="en-GB"/>
        </w:rPr>
        <w:t xml:space="preserve"> to a number of dependant actors. We can map responsibility in several ways: </w:t>
      </w:r>
    </w:p>
    <w:p w14:paraId="30E8768C" w14:textId="77777777" w:rsidR="007505CE" w:rsidRPr="007505CE" w:rsidRDefault="007505CE" w:rsidP="007505CE">
      <w:pPr>
        <w:spacing w:before="100" w:beforeAutospacing="1" w:after="100" w:afterAutospacing="1" w:line="276" w:lineRule="auto"/>
        <w:jc w:val="both"/>
        <w:rPr>
          <w:rFonts w:ascii="Republika" w:hAnsi="Republika"/>
          <w:lang w:val="en-GB" w:eastAsia="en-GB"/>
        </w:rPr>
      </w:pPr>
      <w:r w:rsidRPr="007505CE">
        <w:rPr>
          <w:rFonts w:ascii="Republika" w:hAnsi="Republika"/>
          <w:lang w:val="en-GB" w:eastAsia="en-GB"/>
        </w:rPr>
        <w:t xml:space="preserve">from the obligations of states to the obligations of the private sector; from data preparation to writing algorithm code (how data is cleaned and prepared, which data is taken in and used, and which data is left out of the calculus, etc.); from algorithmic design and development to implementation processes, etc. With the deepening of the digital ecosystem it becomes much more burdensome to determine who is responsible for certain data intake and algorithmic output. The acts committed might not even reach the existing </w:t>
      </w:r>
      <w:r w:rsidRPr="007505CE">
        <w:rPr>
          <w:rFonts w:ascii="Republika" w:hAnsi="Republika"/>
          <w:b/>
          <w:lang w:val="en-GB" w:eastAsia="en-GB"/>
        </w:rPr>
        <w:t>thresholds of accountability</w:t>
      </w:r>
      <w:r w:rsidRPr="007505CE">
        <w:rPr>
          <w:rFonts w:ascii="Republika" w:hAnsi="Republika"/>
          <w:lang w:val="en-GB" w:eastAsia="en-GB"/>
        </w:rPr>
        <w:t>. It may even be unjust to hold an actor accountable for the consequences of activities that are generally of great benefit to a society. An actor may be generating a risk our societies are willing to accept as “socially permissible risk”.</w:t>
      </w:r>
      <w:r w:rsidRPr="007505CE">
        <w:rPr>
          <w:rStyle w:val="FootnoteReference"/>
          <w:rFonts w:ascii="Republika" w:hAnsi="Republika"/>
          <w:lang w:val="en-GB" w:eastAsia="en-GB"/>
        </w:rPr>
        <w:footnoteReference w:id="1"/>
      </w:r>
    </w:p>
    <w:p w14:paraId="6118A582" w14:textId="77777777" w:rsidR="007505CE" w:rsidRPr="007505CE" w:rsidRDefault="007505CE" w:rsidP="007505CE">
      <w:pPr>
        <w:spacing w:line="276" w:lineRule="auto"/>
        <w:jc w:val="both"/>
        <w:rPr>
          <w:rFonts w:ascii="Republika" w:hAnsi="Republika"/>
          <w:lang w:val="en-GB" w:eastAsia="en-GB"/>
        </w:rPr>
      </w:pPr>
      <w:r w:rsidRPr="007505CE">
        <w:rPr>
          <w:rFonts w:ascii="Republika" w:hAnsi="Republika"/>
          <w:lang w:val="en-GB" w:eastAsia="en-GB"/>
        </w:rPr>
        <w:t xml:space="preserve">Some of the proposed uses for </w:t>
      </w:r>
      <w:r w:rsidRPr="007505CE">
        <w:rPr>
          <w:rFonts w:ascii="Republika" w:hAnsi="Republika"/>
          <w:b/>
          <w:lang w:val="en-GB" w:eastAsia="en-GB"/>
        </w:rPr>
        <w:t>crime-preventive purposes</w:t>
      </w:r>
      <w:r w:rsidRPr="007505CE">
        <w:rPr>
          <w:rFonts w:ascii="Republika" w:hAnsi="Republika"/>
          <w:lang w:val="en-GB" w:eastAsia="en-GB"/>
        </w:rPr>
        <w:t xml:space="preserve"> are outright outrageous and directly dangerous in terms of fundamental liberties. The controversial software promising to infer criminality from face images,</w:t>
      </w:r>
      <w:r w:rsidRPr="007505CE">
        <w:rPr>
          <w:rFonts w:ascii="Republika" w:hAnsi="Republika"/>
          <w:vertAlign w:val="superscript"/>
          <w:lang w:val="en-GB" w:eastAsia="en-GB"/>
        </w:rPr>
        <w:footnoteReference w:id="2"/>
      </w:r>
      <w:r w:rsidRPr="007505CE">
        <w:rPr>
          <w:rFonts w:ascii="Republika" w:hAnsi="Republika"/>
          <w:lang w:val="en-GB" w:eastAsia="en-GB"/>
        </w:rPr>
        <w:t xml:space="preserve"> for example, illuminated some of the deep-rooted misconceptions about what crime is, how it is defined, prosecuted and adjudicated. The once ridiculed phrenology from the 19th century hence entered the 21st century in new clothes as “algorithmic phrenology”, which can legitimise and normalise deep-rooted implicit biases about crime.</w:t>
      </w:r>
      <w:r w:rsidRPr="007505CE">
        <w:rPr>
          <w:rFonts w:ascii="Republika" w:hAnsi="Republika"/>
          <w:vertAlign w:val="superscript"/>
          <w:lang w:val="en-GB" w:eastAsia="en-GB"/>
        </w:rPr>
        <w:footnoteReference w:id="3"/>
      </w:r>
      <w:r w:rsidRPr="007505CE">
        <w:rPr>
          <w:rFonts w:ascii="Republika" w:hAnsi="Republika"/>
          <w:lang w:val="en-GB" w:eastAsia="en-GB"/>
        </w:rPr>
        <w:t xml:space="preserve">  In the near future, further steps along the line of the corporal importance of one’s body for crime control are reasonably to be expected: from analysis of walking patterns, posture and face recognition for identification purposes (e.g. Facebook’s </w:t>
      </w:r>
      <w:proofErr w:type="spellStart"/>
      <w:r w:rsidRPr="007505CE">
        <w:rPr>
          <w:rFonts w:ascii="Republika" w:hAnsi="Republika"/>
          <w:lang w:val="en-GB" w:eastAsia="en-GB"/>
        </w:rPr>
        <w:t>DeepFace</w:t>
      </w:r>
      <w:proofErr w:type="spellEnd"/>
      <w:r w:rsidRPr="007505CE">
        <w:rPr>
          <w:rFonts w:ascii="Republika" w:hAnsi="Republika"/>
          <w:lang w:val="en-GB" w:eastAsia="en-GB"/>
        </w:rPr>
        <w:t xml:space="preserve"> program) to analysis of facial expressions for emotion recognition.</w:t>
      </w:r>
    </w:p>
    <w:p w14:paraId="09926577" w14:textId="77777777" w:rsidR="007505CE" w:rsidRPr="007505CE" w:rsidRDefault="007505CE" w:rsidP="007505CE">
      <w:pPr>
        <w:spacing w:line="276" w:lineRule="auto"/>
        <w:jc w:val="both"/>
        <w:rPr>
          <w:rFonts w:ascii="Republika" w:hAnsi="Republika"/>
          <w:lang w:val="en-GB" w:eastAsia="en-GB"/>
        </w:rPr>
      </w:pPr>
    </w:p>
    <w:p w14:paraId="78F3856E" w14:textId="77777777" w:rsidR="001E5D51" w:rsidRDefault="007505CE" w:rsidP="001E5D51">
      <w:pPr>
        <w:spacing w:line="276" w:lineRule="auto"/>
        <w:jc w:val="both"/>
        <w:rPr>
          <w:rFonts w:ascii="Republika" w:hAnsi="Republika"/>
          <w:lang w:val="en-GB" w:eastAsia="en-GB"/>
        </w:rPr>
      </w:pPr>
      <w:r w:rsidRPr="007505CE">
        <w:rPr>
          <w:rFonts w:ascii="Republika" w:hAnsi="Republika"/>
          <w:lang w:val="en-GB" w:eastAsia="en-GB"/>
        </w:rPr>
        <w:t xml:space="preserve">The described types of </w:t>
      </w:r>
      <w:r w:rsidRPr="007505CE">
        <w:rPr>
          <w:rFonts w:ascii="Republika" w:hAnsi="Republika"/>
          <w:b/>
          <w:lang w:val="en-GB" w:eastAsia="en-GB"/>
        </w:rPr>
        <w:t>predictive policing</w:t>
      </w:r>
      <w:r w:rsidRPr="007505CE">
        <w:rPr>
          <w:rFonts w:ascii="Republika" w:hAnsi="Republika"/>
          <w:lang w:val="en-GB" w:eastAsia="en-GB"/>
        </w:rPr>
        <w:t xml:space="preserve"> have incited a considerable level of concern among scholars, who have addressed “the rise of predictive policing” </w:t>
      </w:r>
      <w:r w:rsidRPr="007505CE">
        <w:rPr>
          <w:rFonts w:ascii="Republika" w:hAnsi="Republika"/>
          <w:vertAlign w:val="superscript"/>
          <w:lang w:val="en-GB" w:eastAsia="en-GB"/>
        </w:rPr>
        <w:footnoteReference w:id="4"/>
      </w:r>
      <w:r w:rsidRPr="007505CE">
        <w:rPr>
          <w:rFonts w:ascii="Republika" w:hAnsi="Republika"/>
          <w:lang w:val="en-GB" w:eastAsia="en-GB"/>
        </w:rPr>
        <w:t xml:space="preserve">  and the “algorithmic patrol”</w:t>
      </w:r>
      <w:r w:rsidRPr="007505CE">
        <w:rPr>
          <w:rFonts w:ascii="Republika" w:hAnsi="Republika"/>
          <w:vertAlign w:val="superscript"/>
          <w:lang w:val="en-GB" w:eastAsia="en-GB"/>
        </w:rPr>
        <w:footnoteReference w:id="5"/>
      </w:r>
      <w:r w:rsidRPr="007505CE">
        <w:rPr>
          <w:rFonts w:ascii="Republika" w:hAnsi="Republika"/>
          <w:vertAlign w:val="superscript"/>
          <w:lang w:val="en-GB" w:eastAsia="en-GB"/>
        </w:rPr>
        <w:t xml:space="preserve"> </w:t>
      </w:r>
      <w:r w:rsidRPr="007505CE">
        <w:rPr>
          <w:rFonts w:ascii="Republika" w:hAnsi="Republika"/>
          <w:lang w:val="en-GB" w:eastAsia="en-GB"/>
        </w:rPr>
        <w:t xml:space="preserve"> as the new predominant method of policing that in turn affects other methods of policing. A common concern is the allure of objectivity, as well as the creative role police still have in producing inputs for automated calculations. Country-</w:t>
      </w:r>
      <w:r w:rsidRPr="007505CE">
        <w:rPr>
          <w:rFonts w:ascii="Republika" w:hAnsi="Republika"/>
          <w:lang w:val="en-GB" w:eastAsia="en-GB"/>
        </w:rPr>
        <w:lastRenderedPageBreak/>
        <w:t>specific studies on predictive policing exist in Germany</w:t>
      </w:r>
      <w:r w:rsidRPr="007505CE">
        <w:rPr>
          <w:rFonts w:ascii="Republika" w:hAnsi="Republika"/>
          <w:vertAlign w:val="superscript"/>
          <w:lang w:val="en-GB" w:eastAsia="en-GB"/>
        </w:rPr>
        <w:footnoteReference w:id="6"/>
      </w:r>
      <w:proofErr w:type="gramStart"/>
      <w:r w:rsidRPr="007505CE">
        <w:rPr>
          <w:rFonts w:ascii="Republika" w:hAnsi="Republika"/>
          <w:lang w:val="en-GB" w:eastAsia="en-GB"/>
        </w:rPr>
        <w:t>,  France</w:t>
      </w:r>
      <w:proofErr w:type="gramEnd"/>
      <w:r w:rsidRPr="007505CE">
        <w:rPr>
          <w:rFonts w:ascii="Republika" w:hAnsi="Republika"/>
          <w:vertAlign w:val="superscript"/>
          <w:lang w:val="en-GB" w:eastAsia="en-GB"/>
        </w:rPr>
        <w:footnoteReference w:id="7"/>
      </w:r>
      <w:r w:rsidRPr="007505CE">
        <w:rPr>
          <w:rFonts w:ascii="Republika" w:hAnsi="Republika"/>
          <w:lang w:val="en-GB" w:eastAsia="en-GB"/>
        </w:rPr>
        <w:t>,  Switzerland</w:t>
      </w:r>
      <w:r w:rsidRPr="007505CE">
        <w:rPr>
          <w:rFonts w:ascii="Republika" w:hAnsi="Republika"/>
          <w:vertAlign w:val="superscript"/>
          <w:lang w:val="en-GB" w:eastAsia="en-GB"/>
        </w:rPr>
        <w:footnoteReference w:id="8"/>
      </w:r>
      <w:r w:rsidRPr="007505CE">
        <w:rPr>
          <w:rFonts w:ascii="Republika" w:hAnsi="Republika"/>
          <w:lang w:val="en-GB" w:eastAsia="en-GB"/>
        </w:rPr>
        <w:t>,  and the UK</w:t>
      </w:r>
      <w:r w:rsidRPr="007505CE">
        <w:rPr>
          <w:rFonts w:ascii="Republika" w:hAnsi="Republika"/>
          <w:vertAlign w:val="superscript"/>
          <w:lang w:val="en-GB" w:eastAsia="en-GB"/>
        </w:rPr>
        <w:footnoteReference w:id="9"/>
      </w:r>
      <w:r w:rsidR="001E5D51">
        <w:rPr>
          <w:rFonts w:ascii="Republika" w:hAnsi="Republika"/>
          <w:lang w:val="en-GB" w:eastAsia="en-GB"/>
        </w:rPr>
        <w:t xml:space="preserve">.  </w:t>
      </w:r>
    </w:p>
    <w:p w14:paraId="70566D68" w14:textId="5EB8F749" w:rsidR="007505CE" w:rsidRPr="007505CE" w:rsidRDefault="007505CE" w:rsidP="001E5D51">
      <w:pPr>
        <w:spacing w:line="276" w:lineRule="auto"/>
        <w:jc w:val="both"/>
        <w:rPr>
          <w:rFonts w:ascii="Republika" w:hAnsi="Republika"/>
          <w:lang w:val="en-GB" w:eastAsia="en-GB"/>
        </w:rPr>
      </w:pPr>
      <w:bookmarkStart w:id="0" w:name="_GoBack"/>
      <w:bookmarkEnd w:id="0"/>
      <w:r w:rsidRPr="007505CE">
        <w:rPr>
          <w:rFonts w:ascii="Republika" w:hAnsi="Republika"/>
          <w:b/>
          <w:lang w:val="en-GB" w:eastAsia="en-GB"/>
        </w:rPr>
        <w:t>Criminal justice systems</w:t>
      </w:r>
      <w:r w:rsidRPr="007505CE">
        <w:rPr>
          <w:rFonts w:ascii="Republika" w:hAnsi="Republika"/>
          <w:lang w:val="en-GB" w:eastAsia="en-GB"/>
        </w:rPr>
        <w:t xml:space="preserve"> are fragile environments based on several fundamental principles under attack from many different sources. While promising and potentially beneficial to the system, new technology is definitely one of such potential threats as well. Important considerations about fundamental human rights – such as the right to privacy </w:t>
      </w:r>
      <w:proofErr w:type="gramStart"/>
      <w:r w:rsidRPr="007505CE">
        <w:rPr>
          <w:rFonts w:ascii="Republika" w:hAnsi="Republika"/>
          <w:lang w:val="en-GB" w:eastAsia="en-GB"/>
        </w:rPr>
        <w:t>–  may</w:t>
      </w:r>
      <w:proofErr w:type="gramEnd"/>
      <w:r w:rsidRPr="007505CE">
        <w:rPr>
          <w:rFonts w:ascii="Republika" w:hAnsi="Republika"/>
          <w:lang w:val="en-GB" w:eastAsia="en-GB"/>
        </w:rPr>
        <w:t xml:space="preserve"> and should arise when we discuss its use and implications in criminal justice system. Before introducing algorithms in any decision-making process, let alone in criminal procedures, it is therefore essential to ensure compliance with fundamental human rights enshrined in the European Convention on Human Rights (ECHR)</w:t>
      </w:r>
      <w:r w:rsidRPr="007505CE">
        <w:rPr>
          <w:rStyle w:val="FootnoteReference"/>
          <w:rFonts w:ascii="Republika" w:hAnsi="Republika"/>
          <w:lang w:val="en-GB" w:eastAsia="en-GB"/>
        </w:rPr>
        <w:footnoteReference w:id="10"/>
      </w:r>
      <w:r w:rsidRPr="007505CE">
        <w:rPr>
          <w:rFonts w:ascii="Republika" w:hAnsi="Republika"/>
          <w:lang w:val="en-GB" w:eastAsia="en-GB"/>
        </w:rPr>
        <w:t xml:space="preserve"> and the Charter of Fundamental Rights of the European Union (the Charter),</w:t>
      </w:r>
      <w:r w:rsidRPr="007505CE">
        <w:rPr>
          <w:rStyle w:val="FootnoteReference"/>
          <w:rFonts w:ascii="Republika" w:hAnsi="Republika"/>
          <w:lang w:val="en-GB" w:eastAsia="en-GB"/>
        </w:rPr>
        <w:footnoteReference w:id="11"/>
      </w:r>
      <w:r w:rsidRPr="007505CE">
        <w:rPr>
          <w:rFonts w:ascii="Republika" w:hAnsi="Republika"/>
          <w:lang w:val="en-GB" w:eastAsia="en-GB"/>
        </w:rPr>
        <w:t xml:space="preserve"> as well as with the relevant data protection law.</w:t>
      </w:r>
    </w:p>
    <w:p w14:paraId="3EB026E4" w14:textId="77777777" w:rsidR="007505CE" w:rsidRPr="007505CE" w:rsidRDefault="007505CE" w:rsidP="007505CE">
      <w:pPr>
        <w:shd w:val="clear" w:color="auto" w:fill="FCFCFC"/>
        <w:spacing w:line="276" w:lineRule="auto"/>
        <w:jc w:val="both"/>
        <w:rPr>
          <w:rFonts w:ascii="Republika" w:hAnsi="Republika"/>
          <w:lang w:val="en-GB" w:eastAsia="en-GB"/>
        </w:rPr>
      </w:pPr>
      <w:r w:rsidRPr="007505CE">
        <w:rPr>
          <w:rFonts w:ascii="Republika" w:hAnsi="Republika"/>
          <w:lang w:val="en-GB" w:eastAsia="en-GB"/>
        </w:rPr>
        <w:t>In the EU General Data Protection Regulation (henceforth GDPR)</w:t>
      </w:r>
      <w:r w:rsidRPr="007505CE">
        <w:rPr>
          <w:rFonts w:ascii="Republika" w:hAnsi="Republika"/>
          <w:vertAlign w:val="superscript"/>
          <w:lang w:val="en-GB" w:eastAsia="en-GB"/>
        </w:rPr>
        <w:footnoteReference w:id="12"/>
      </w:r>
      <w:r w:rsidRPr="007505CE">
        <w:rPr>
          <w:rFonts w:ascii="Republika" w:hAnsi="Republika"/>
          <w:lang w:val="en-GB" w:eastAsia="en-GB"/>
        </w:rPr>
        <w:t xml:space="preserve"> and Law Enforcement Directive set a high standard for data protection which builds on principles of data minimization, purpose limitation, legality, fairness and transparency. In cases of automated processing, the data controller must implement suitable measures to safeguard the data subject’s rights and freedoms and legitimate interests, for instance by ensuring him or her the right to obtain human intervention, to express his or her point of view, and to contest the decision (Art. 22, para. 3 of the GDPR). GDPR includes the right of the data subject to receive ‘meaningful information about the logic involved’ in automated processing. (See Arts. 13, 14, and 15.).</w:t>
      </w:r>
    </w:p>
    <w:p w14:paraId="06D0D944" w14:textId="77777777" w:rsidR="007505CE" w:rsidRPr="007505CE" w:rsidRDefault="007505CE" w:rsidP="007505CE">
      <w:pPr>
        <w:shd w:val="clear" w:color="auto" w:fill="FCFCFC"/>
        <w:spacing w:line="276" w:lineRule="auto"/>
        <w:jc w:val="both"/>
        <w:rPr>
          <w:rFonts w:ascii="Republika" w:hAnsi="Republika"/>
          <w:i/>
          <w:iCs/>
          <w:lang w:val="en-GB" w:eastAsia="en-GB"/>
        </w:rPr>
      </w:pPr>
    </w:p>
    <w:p w14:paraId="2FBD21C7" w14:textId="7C7E9DF3" w:rsidR="007505CE" w:rsidRDefault="007505CE" w:rsidP="007505CE">
      <w:pPr>
        <w:spacing w:line="276" w:lineRule="auto"/>
        <w:jc w:val="both"/>
        <w:rPr>
          <w:rFonts w:ascii="Republika" w:hAnsi="Republika"/>
          <w:lang w:val="en-GB" w:eastAsia="en-GB"/>
        </w:rPr>
      </w:pPr>
      <w:r w:rsidRPr="007505CE">
        <w:rPr>
          <w:rFonts w:ascii="Republika" w:hAnsi="Republika"/>
          <w:lang w:val="en-GB" w:eastAsia="en-GB"/>
        </w:rPr>
        <w:t xml:space="preserve">The increase in the use of </w:t>
      </w:r>
      <w:r w:rsidRPr="007505CE">
        <w:rPr>
          <w:rFonts w:ascii="Republika" w:hAnsi="Republika"/>
          <w:b/>
          <w:lang w:val="en-GB" w:eastAsia="en-GB"/>
        </w:rPr>
        <w:t>face recognition technologies</w:t>
      </w:r>
      <w:r w:rsidRPr="007505CE">
        <w:rPr>
          <w:rFonts w:ascii="Republika" w:hAnsi="Republika"/>
          <w:lang w:val="en-GB" w:eastAsia="en-GB"/>
        </w:rPr>
        <w:t>, such as the tool offered by a start-up Clearview, is a pressing issue, especially in terms of the protection of the right to privacy and data protection. The use of face recognition technologies in law enforcement can only be permissible when in compliance with the principle of proportionality, while considering that the objective pursued by its use is appropriate, meaning that the use of such applications to prosecute petty crime is unlikely to be justified. A very important aspect to consider in this case is a need for increased transparency, which would contribute to better and fairer decisions, and cause the general public to see the use of artificial intelligence</w:t>
      </w:r>
      <w:r>
        <w:rPr>
          <w:rFonts w:ascii="Republika" w:hAnsi="Republika"/>
          <w:lang w:val="en-GB" w:eastAsia="en-GB"/>
        </w:rPr>
        <w:t xml:space="preserve"> as legitimate and trustworthy.</w:t>
      </w:r>
    </w:p>
    <w:p w14:paraId="05C59115" w14:textId="3F7100D2" w:rsidR="007505CE" w:rsidRPr="007505CE" w:rsidRDefault="007505CE" w:rsidP="007505CE">
      <w:pPr>
        <w:spacing w:before="100" w:beforeAutospacing="1" w:after="100" w:afterAutospacing="1" w:line="276" w:lineRule="auto"/>
        <w:jc w:val="both"/>
        <w:rPr>
          <w:rFonts w:ascii="Republika" w:hAnsi="Republika"/>
          <w:lang w:val="en-GB" w:eastAsia="en-GB"/>
        </w:rPr>
      </w:pPr>
      <w:r w:rsidRPr="007505CE">
        <w:rPr>
          <w:rFonts w:ascii="Republika" w:hAnsi="Republika"/>
          <w:lang w:val="en-GB" w:eastAsia="en-GB"/>
        </w:rPr>
        <w:lastRenderedPageBreak/>
        <w:t xml:space="preserve">Finally, we should ask ourselves </w:t>
      </w:r>
      <w:r w:rsidRPr="007505CE">
        <w:rPr>
          <w:rFonts w:ascii="Republika" w:hAnsi="Republika"/>
          <w:b/>
          <w:lang w:val="en-GB" w:eastAsia="en-GB"/>
        </w:rPr>
        <w:t>what we want</w:t>
      </w:r>
      <w:r w:rsidRPr="007505CE">
        <w:rPr>
          <w:rFonts w:ascii="Republika" w:hAnsi="Republika"/>
          <w:lang w:val="en-GB" w:eastAsia="en-GB"/>
        </w:rPr>
        <w:t xml:space="preserve"> to achieve with the AI applications: the minimisation of crime is an important, but not the only goal in criminal justice - the fairness of the procedure is equally significant. </w:t>
      </w:r>
    </w:p>
    <w:p w14:paraId="42FC25E9" w14:textId="77777777" w:rsidR="0042797C" w:rsidRDefault="0042797C" w:rsidP="007505CE">
      <w:pPr>
        <w:widowControl w:val="0"/>
        <w:suppressAutoHyphens/>
        <w:jc w:val="both"/>
      </w:pPr>
    </w:p>
    <w:sectPr w:rsidR="0042797C" w:rsidSect="00B03FC2">
      <w:pgSz w:w="11906" w:h="16838"/>
      <w:pgMar w:top="87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078C1" w14:textId="77777777" w:rsidR="007505CE" w:rsidRDefault="007505CE" w:rsidP="007505CE">
      <w:r>
        <w:separator/>
      </w:r>
    </w:p>
  </w:endnote>
  <w:endnote w:type="continuationSeparator" w:id="0">
    <w:p w14:paraId="255B825D" w14:textId="77777777" w:rsidR="007505CE" w:rsidRDefault="007505CE" w:rsidP="0075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epublika">
    <w:altName w:val="Calibri"/>
    <w:panose1 w:val="02000506040000020004"/>
    <w:charset w:val="EE"/>
    <w:family w:val="auto"/>
    <w:pitch w:val="variable"/>
    <w:sig w:usb0="A00000FF" w:usb1="4000205B" w:usb2="00000000" w:usb3="00000000" w:csb0="00000093" w:csb1="00000000"/>
  </w:font>
  <w:font w:name="Andale Sans UI">
    <w:altName w:val="Arial Unicode MS"/>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3338F" w14:textId="77777777" w:rsidR="007505CE" w:rsidRDefault="007505CE" w:rsidP="007505CE">
      <w:r>
        <w:separator/>
      </w:r>
    </w:p>
  </w:footnote>
  <w:footnote w:type="continuationSeparator" w:id="0">
    <w:p w14:paraId="3124B2C8" w14:textId="77777777" w:rsidR="007505CE" w:rsidRDefault="007505CE" w:rsidP="007505CE">
      <w:r>
        <w:continuationSeparator/>
      </w:r>
    </w:p>
  </w:footnote>
  <w:footnote w:id="1">
    <w:p w14:paraId="075B988A" w14:textId="77777777" w:rsidR="007505CE" w:rsidRPr="005217FE" w:rsidRDefault="007505CE" w:rsidP="007505CE">
      <w:pPr>
        <w:pStyle w:val="FootnoteText"/>
        <w:jc w:val="both"/>
        <w:rPr>
          <w:rFonts w:cs="Calibri"/>
          <w:sz w:val="20"/>
          <w:szCs w:val="20"/>
        </w:rPr>
      </w:pPr>
      <w:r w:rsidRPr="005217FE">
        <w:rPr>
          <w:rStyle w:val="FootnoteReference"/>
          <w:rFonts w:cs="Calibri"/>
          <w:sz w:val="20"/>
          <w:szCs w:val="20"/>
        </w:rPr>
        <w:footnoteRef/>
      </w:r>
      <w:r w:rsidRPr="005217FE">
        <w:rPr>
          <w:rFonts w:cs="Calibri"/>
          <w:sz w:val="20"/>
          <w:szCs w:val="20"/>
        </w:rPr>
        <w:t xml:space="preserve"> </w:t>
      </w:r>
      <w:proofErr w:type="spellStart"/>
      <w:r w:rsidRPr="005217FE">
        <w:rPr>
          <w:rFonts w:cs="Calibri"/>
          <w:i/>
          <w:sz w:val="20"/>
          <w:szCs w:val="20"/>
          <w:lang w:val="en-GB"/>
        </w:rPr>
        <w:t>Gless</w:t>
      </w:r>
      <w:proofErr w:type="spellEnd"/>
      <w:r w:rsidRPr="005217FE">
        <w:rPr>
          <w:rFonts w:cs="Calibri"/>
          <w:sz w:val="20"/>
          <w:szCs w:val="20"/>
          <w:lang w:val="en-GB"/>
        </w:rPr>
        <w:t xml:space="preserve">, </w:t>
      </w:r>
      <w:r w:rsidRPr="005217FE">
        <w:rPr>
          <w:rFonts w:cs="Calibri"/>
          <w:i/>
          <w:sz w:val="20"/>
          <w:szCs w:val="20"/>
          <w:lang w:val="en-GB"/>
        </w:rPr>
        <w:t>Silverman</w:t>
      </w:r>
      <w:r w:rsidRPr="005217FE">
        <w:rPr>
          <w:rFonts w:cs="Calibri"/>
          <w:sz w:val="20"/>
          <w:szCs w:val="20"/>
          <w:lang w:val="en-GB"/>
        </w:rPr>
        <w:t xml:space="preserve">, </w:t>
      </w:r>
      <w:proofErr w:type="spellStart"/>
      <w:r w:rsidRPr="005217FE">
        <w:rPr>
          <w:rFonts w:cs="Calibri"/>
          <w:i/>
          <w:sz w:val="20"/>
          <w:szCs w:val="20"/>
          <w:lang w:val="en-GB"/>
        </w:rPr>
        <w:t>Weigend</w:t>
      </w:r>
      <w:proofErr w:type="spellEnd"/>
      <w:r w:rsidRPr="005217FE">
        <w:rPr>
          <w:rFonts w:cs="Calibri"/>
          <w:sz w:val="20"/>
          <w:szCs w:val="20"/>
          <w:lang w:val="en-GB"/>
        </w:rPr>
        <w:t>.</w:t>
      </w:r>
    </w:p>
  </w:footnote>
  <w:footnote w:id="2">
    <w:p w14:paraId="5FF7ABAA" w14:textId="77777777" w:rsidR="007505CE" w:rsidRPr="005217FE" w:rsidRDefault="007505CE" w:rsidP="007505CE">
      <w:pPr>
        <w:jc w:val="both"/>
        <w:rPr>
          <w:rFonts w:ascii="Calibri" w:hAnsi="Calibri" w:cs="Calibri"/>
          <w:sz w:val="20"/>
          <w:szCs w:val="20"/>
          <w:highlight w:val="yellow"/>
        </w:rPr>
      </w:pPr>
      <w:r w:rsidRPr="005217FE">
        <w:rPr>
          <w:rStyle w:val="FootnoteReference"/>
          <w:rFonts w:ascii="Calibri" w:hAnsi="Calibri" w:cs="Calibri"/>
          <w:sz w:val="20"/>
          <w:szCs w:val="20"/>
          <w:lang w:val="en-GB"/>
        </w:rPr>
        <w:footnoteRef/>
      </w:r>
      <w:r w:rsidRPr="005217FE">
        <w:rPr>
          <w:rFonts w:ascii="Calibri" w:hAnsi="Calibri" w:cs="Calibri"/>
          <w:sz w:val="20"/>
          <w:szCs w:val="20"/>
          <w:lang w:val="en-GB"/>
        </w:rPr>
        <w:t xml:space="preserve"> </w:t>
      </w:r>
      <w:proofErr w:type="spellStart"/>
      <w:r w:rsidRPr="005217FE">
        <w:rPr>
          <w:rFonts w:ascii="Calibri" w:hAnsi="Calibri" w:cs="Calibri"/>
          <w:sz w:val="20"/>
          <w:szCs w:val="20"/>
        </w:rPr>
        <w:t>Wu</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Zhang</w:t>
      </w:r>
      <w:proofErr w:type="spellEnd"/>
      <w:r w:rsidRPr="005217FE">
        <w:rPr>
          <w:rFonts w:ascii="Calibri" w:hAnsi="Calibri" w:cs="Calibri"/>
          <w:sz w:val="20"/>
          <w:szCs w:val="20"/>
        </w:rPr>
        <w:t>, ‘</w:t>
      </w:r>
      <w:proofErr w:type="spellStart"/>
      <w:r w:rsidRPr="005217FE">
        <w:rPr>
          <w:rFonts w:ascii="Calibri" w:hAnsi="Calibri" w:cs="Calibri"/>
          <w:sz w:val="20"/>
          <w:szCs w:val="20"/>
        </w:rPr>
        <w:t>Automated</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inference</w:t>
      </w:r>
      <w:proofErr w:type="spellEnd"/>
      <w:r w:rsidRPr="005217FE">
        <w:rPr>
          <w:rFonts w:ascii="Calibri" w:hAnsi="Calibri" w:cs="Calibri"/>
          <w:sz w:val="20"/>
          <w:szCs w:val="20"/>
        </w:rPr>
        <w:t xml:space="preserve"> on </w:t>
      </w:r>
      <w:proofErr w:type="spellStart"/>
      <w:r w:rsidRPr="005217FE">
        <w:rPr>
          <w:rFonts w:ascii="Calibri" w:hAnsi="Calibri" w:cs="Calibri"/>
          <w:sz w:val="20"/>
          <w:szCs w:val="20"/>
        </w:rPr>
        <w:t>criminality</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using</w:t>
      </w:r>
      <w:proofErr w:type="spellEnd"/>
      <w:r w:rsidRPr="005217FE">
        <w:rPr>
          <w:rFonts w:ascii="Calibri" w:hAnsi="Calibri" w:cs="Calibri"/>
          <w:sz w:val="20"/>
          <w:szCs w:val="20"/>
        </w:rPr>
        <w:t xml:space="preserve"> face </w:t>
      </w:r>
      <w:proofErr w:type="spellStart"/>
      <w:r w:rsidRPr="005217FE">
        <w:rPr>
          <w:rFonts w:ascii="Calibri" w:hAnsi="Calibri" w:cs="Calibri"/>
          <w:sz w:val="20"/>
          <w:szCs w:val="20"/>
        </w:rPr>
        <w:t>images</w:t>
      </w:r>
      <w:proofErr w:type="spellEnd"/>
      <w:r w:rsidRPr="005217FE">
        <w:rPr>
          <w:rFonts w:ascii="Calibri" w:hAnsi="Calibri" w:cs="Calibri"/>
          <w:sz w:val="20"/>
          <w:szCs w:val="20"/>
        </w:rPr>
        <w:t>’ (2016).</w:t>
      </w:r>
    </w:p>
  </w:footnote>
  <w:footnote w:id="3">
    <w:p w14:paraId="3B81882D" w14:textId="77777777" w:rsidR="007505CE" w:rsidRPr="005217FE" w:rsidRDefault="007505CE" w:rsidP="007505CE">
      <w:pPr>
        <w:pStyle w:val="FootnoteText"/>
        <w:jc w:val="both"/>
        <w:rPr>
          <w:rFonts w:cs="Calibri"/>
          <w:sz w:val="20"/>
          <w:szCs w:val="20"/>
          <w:highlight w:val="red"/>
          <w:lang w:val="en-GB"/>
        </w:rPr>
      </w:pPr>
      <w:r w:rsidRPr="005217FE">
        <w:rPr>
          <w:rStyle w:val="FootnoteReference"/>
          <w:rFonts w:cs="Calibri"/>
          <w:sz w:val="20"/>
          <w:szCs w:val="20"/>
          <w:lang w:val="en-GB"/>
        </w:rPr>
        <w:footnoteRef/>
      </w:r>
      <w:r w:rsidRPr="005217FE">
        <w:rPr>
          <w:rFonts w:cs="Calibri"/>
          <w:sz w:val="20"/>
          <w:szCs w:val="20"/>
          <w:lang w:val="en-GB"/>
        </w:rPr>
        <w:t xml:space="preserve"> </w:t>
      </w:r>
      <w:proofErr w:type="spellStart"/>
      <w:r w:rsidRPr="005217FE">
        <w:rPr>
          <w:rFonts w:cs="Calibri"/>
          <w:sz w:val="20"/>
          <w:szCs w:val="20"/>
        </w:rPr>
        <w:t>Agüera</w:t>
      </w:r>
      <w:proofErr w:type="spellEnd"/>
      <w:r w:rsidRPr="005217FE">
        <w:rPr>
          <w:rFonts w:cs="Calibri"/>
          <w:sz w:val="20"/>
          <w:szCs w:val="20"/>
        </w:rPr>
        <w:t xml:space="preserve"> y </w:t>
      </w:r>
      <w:proofErr w:type="spellStart"/>
      <w:r w:rsidRPr="005217FE">
        <w:rPr>
          <w:rFonts w:cs="Calibri"/>
          <w:sz w:val="20"/>
          <w:szCs w:val="20"/>
        </w:rPr>
        <w:t>Arcas</w:t>
      </w:r>
      <w:proofErr w:type="spellEnd"/>
      <w:r w:rsidRPr="005217FE">
        <w:rPr>
          <w:rFonts w:cs="Calibri"/>
          <w:sz w:val="20"/>
          <w:szCs w:val="20"/>
        </w:rPr>
        <w:t xml:space="preserve"> et </w:t>
      </w:r>
      <w:proofErr w:type="spellStart"/>
      <w:r w:rsidRPr="005217FE">
        <w:rPr>
          <w:rFonts w:cs="Calibri"/>
          <w:sz w:val="20"/>
          <w:szCs w:val="20"/>
        </w:rPr>
        <w:t>al</w:t>
      </w:r>
      <w:proofErr w:type="spellEnd"/>
      <w:r w:rsidRPr="005217FE">
        <w:rPr>
          <w:rFonts w:cs="Calibri"/>
          <w:sz w:val="20"/>
          <w:szCs w:val="20"/>
        </w:rPr>
        <w:t>., ‘</w:t>
      </w:r>
      <w:proofErr w:type="spellStart"/>
      <w:r w:rsidRPr="005217FE">
        <w:rPr>
          <w:rFonts w:cs="Calibri"/>
          <w:sz w:val="20"/>
          <w:szCs w:val="20"/>
        </w:rPr>
        <w:t>Physiognomy’s</w:t>
      </w:r>
      <w:proofErr w:type="spellEnd"/>
      <w:r w:rsidRPr="005217FE">
        <w:rPr>
          <w:rFonts w:cs="Calibri"/>
          <w:sz w:val="20"/>
          <w:szCs w:val="20"/>
        </w:rPr>
        <w:t xml:space="preserve"> New </w:t>
      </w:r>
      <w:proofErr w:type="spellStart"/>
      <w:r w:rsidRPr="005217FE">
        <w:rPr>
          <w:rFonts w:cs="Calibri"/>
          <w:sz w:val="20"/>
          <w:szCs w:val="20"/>
        </w:rPr>
        <w:t>Clothes</w:t>
      </w:r>
      <w:proofErr w:type="spellEnd"/>
      <w:r w:rsidRPr="005217FE">
        <w:rPr>
          <w:rFonts w:cs="Calibri"/>
          <w:sz w:val="20"/>
          <w:szCs w:val="20"/>
        </w:rPr>
        <w:t>’ (2017). &lt;https://medium.com/@blaisea/physiognomys-new-clothes-f2d4b59fdd6a&gt;.</w:t>
      </w:r>
    </w:p>
  </w:footnote>
  <w:footnote w:id="4">
    <w:p w14:paraId="73520401" w14:textId="77777777" w:rsidR="007505CE" w:rsidRPr="005217FE" w:rsidRDefault="007505CE" w:rsidP="007505CE">
      <w:pPr>
        <w:jc w:val="both"/>
        <w:rPr>
          <w:rFonts w:ascii="Calibri" w:hAnsi="Calibri" w:cs="Calibri"/>
          <w:sz w:val="20"/>
          <w:szCs w:val="20"/>
        </w:rPr>
      </w:pPr>
      <w:r w:rsidRPr="005217FE">
        <w:rPr>
          <w:rStyle w:val="FootnoteReference"/>
          <w:rFonts w:ascii="Calibri" w:hAnsi="Calibri" w:cs="Calibri"/>
          <w:sz w:val="20"/>
          <w:szCs w:val="20"/>
          <w:lang w:val="en-GB"/>
        </w:rPr>
        <w:footnoteRef/>
      </w:r>
      <w:r w:rsidRPr="005217FE">
        <w:rPr>
          <w:rFonts w:ascii="Calibri" w:hAnsi="Calibri" w:cs="Calibri"/>
          <w:sz w:val="20"/>
          <w:szCs w:val="20"/>
          <w:lang w:val="en-GB"/>
        </w:rPr>
        <w:t xml:space="preserve"> AG </w:t>
      </w:r>
      <w:proofErr w:type="spellStart"/>
      <w:r w:rsidRPr="005217FE">
        <w:rPr>
          <w:rFonts w:ascii="Calibri" w:hAnsi="Calibri" w:cs="Calibri"/>
          <w:sz w:val="20"/>
          <w:szCs w:val="20"/>
        </w:rPr>
        <w:t>Ferguson</w:t>
      </w:r>
      <w:proofErr w:type="spellEnd"/>
      <w:r w:rsidRPr="005217FE">
        <w:rPr>
          <w:rFonts w:ascii="Calibri" w:hAnsi="Calibri" w:cs="Calibri"/>
          <w:sz w:val="20"/>
          <w:szCs w:val="20"/>
        </w:rPr>
        <w:t>, ‘</w:t>
      </w:r>
      <w:proofErr w:type="spellStart"/>
      <w:r w:rsidRPr="005217FE">
        <w:rPr>
          <w:rFonts w:ascii="Calibri" w:hAnsi="Calibri" w:cs="Calibri"/>
          <w:i/>
          <w:iCs/>
          <w:sz w:val="20"/>
          <w:szCs w:val="20"/>
        </w:rPr>
        <w:t>The</w:t>
      </w:r>
      <w:proofErr w:type="spellEnd"/>
      <w:r w:rsidRPr="005217FE">
        <w:rPr>
          <w:rFonts w:ascii="Calibri" w:hAnsi="Calibri" w:cs="Calibri"/>
          <w:i/>
          <w:iCs/>
          <w:sz w:val="20"/>
          <w:szCs w:val="20"/>
        </w:rPr>
        <w:t xml:space="preserve"> Rise </w:t>
      </w:r>
      <w:proofErr w:type="spellStart"/>
      <w:r w:rsidRPr="005217FE">
        <w:rPr>
          <w:rFonts w:ascii="Calibri" w:hAnsi="Calibri" w:cs="Calibri"/>
          <w:i/>
          <w:iCs/>
          <w:sz w:val="20"/>
          <w:szCs w:val="20"/>
        </w:rPr>
        <w:t>of</w:t>
      </w:r>
      <w:proofErr w:type="spellEnd"/>
      <w:r w:rsidRPr="005217FE">
        <w:rPr>
          <w:rFonts w:ascii="Calibri" w:hAnsi="Calibri" w:cs="Calibri"/>
          <w:i/>
          <w:iCs/>
          <w:sz w:val="20"/>
          <w:szCs w:val="20"/>
        </w:rPr>
        <w:t xml:space="preserve"> Big Data </w:t>
      </w:r>
      <w:proofErr w:type="spellStart"/>
      <w:r w:rsidRPr="005217FE">
        <w:rPr>
          <w:rFonts w:ascii="Calibri" w:hAnsi="Calibri" w:cs="Calibri"/>
          <w:i/>
          <w:iCs/>
          <w:sz w:val="20"/>
          <w:szCs w:val="20"/>
        </w:rPr>
        <w:t>Policing</w:t>
      </w:r>
      <w:proofErr w:type="spellEnd"/>
      <w:r w:rsidRPr="005217FE">
        <w:rPr>
          <w:rFonts w:ascii="Calibri" w:hAnsi="Calibri" w:cs="Calibri"/>
          <w:sz w:val="20"/>
          <w:szCs w:val="20"/>
        </w:rPr>
        <w:t>’.</w:t>
      </w:r>
    </w:p>
  </w:footnote>
  <w:footnote w:id="5">
    <w:p w14:paraId="2C709C84" w14:textId="77777777" w:rsidR="007505CE" w:rsidRPr="005217FE" w:rsidRDefault="007505CE" w:rsidP="007505CE">
      <w:pPr>
        <w:pStyle w:val="FootnoteText"/>
        <w:jc w:val="both"/>
        <w:rPr>
          <w:rFonts w:cs="Calibri"/>
          <w:sz w:val="20"/>
          <w:szCs w:val="20"/>
          <w:lang w:val="en-GB"/>
        </w:rPr>
      </w:pPr>
      <w:r w:rsidRPr="005217FE">
        <w:rPr>
          <w:rStyle w:val="FootnoteReference"/>
          <w:rFonts w:cs="Calibri"/>
          <w:sz w:val="20"/>
          <w:szCs w:val="20"/>
          <w:lang w:val="en-GB"/>
        </w:rPr>
        <w:footnoteRef/>
      </w:r>
      <w:r w:rsidRPr="005217FE">
        <w:rPr>
          <w:rFonts w:cs="Calibri"/>
          <w:sz w:val="20"/>
          <w:szCs w:val="20"/>
          <w:lang w:val="en-GB"/>
        </w:rPr>
        <w:t xml:space="preserve"> D </w:t>
      </w:r>
      <w:r w:rsidRPr="005217FE">
        <w:rPr>
          <w:rFonts w:cs="Calibri"/>
          <w:sz w:val="20"/>
          <w:szCs w:val="20"/>
        </w:rPr>
        <w:t>Wilson, ‘</w:t>
      </w:r>
      <w:proofErr w:type="spellStart"/>
      <w:r w:rsidRPr="005217FE">
        <w:rPr>
          <w:rFonts w:cs="Calibri"/>
          <w:sz w:val="20"/>
          <w:szCs w:val="20"/>
        </w:rPr>
        <w:t>Algorithmic</w:t>
      </w:r>
      <w:proofErr w:type="spellEnd"/>
      <w:r w:rsidRPr="005217FE">
        <w:rPr>
          <w:rFonts w:cs="Calibri"/>
          <w:sz w:val="20"/>
          <w:szCs w:val="20"/>
        </w:rPr>
        <w:t xml:space="preserve"> patrol’.</w:t>
      </w:r>
    </w:p>
  </w:footnote>
  <w:footnote w:id="6">
    <w:p w14:paraId="77313B0F" w14:textId="77777777" w:rsidR="007505CE" w:rsidRPr="005217FE" w:rsidRDefault="007505CE" w:rsidP="007505CE">
      <w:pPr>
        <w:jc w:val="both"/>
        <w:rPr>
          <w:rFonts w:ascii="Calibri" w:hAnsi="Calibri" w:cs="Calibri"/>
          <w:sz w:val="20"/>
          <w:szCs w:val="20"/>
        </w:rPr>
      </w:pPr>
      <w:r w:rsidRPr="005217FE">
        <w:rPr>
          <w:rStyle w:val="FootnoteReference"/>
          <w:rFonts w:ascii="Calibri" w:hAnsi="Calibri" w:cs="Calibri"/>
          <w:sz w:val="20"/>
          <w:szCs w:val="20"/>
          <w:lang w:val="en-GB"/>
        </w:rPr>
        <w:footnoteRef/>
      </w:r>
      <w:r w:rsidRPr="005217FE">
        <w:rPr>
          <w:rFonts w:ascii="Calibri" w:hAnsi="Calibri" w:cs="Calibri"/>
          <w:sz w:val="20"/>
          <w:szCs w:val="20"/>
          <w:lang w:val="en-GB"/>
        </w:rPr>
        <w:t xml:space="preserve"> S </w:t>
      </w:r>
      <w:proofErr w:type="spellStart"/>
      <w:r w:rsidRPr="005217FE">
        <w:rPr>
          <w:rFonts w:ascii="Calibri" w:hAnsi="Calibri" w:cs="Calibri"/>
          <w:sz w:val="20"/>
          <w:szCs w:val="20"/>
        </w:rPr>
        <w:t>Egbert</w:t>
      </w:r>
      <w:proofErr w:type="spellEnd"/>
      <w:r w:rsidRPr="005217FE">
        <w:rPr>
          <w:rFonts w:ascii="Calibri" w:hAnsi="Calibri" w:cs="Calibri"/>
          <w:sz w:val="20"/>
          <w:szCs w:val="20"/>
        </w:rPr>
        <w:t>, ‘</w:t>
      </w:r>
      <w:proofErr w:type="spellStart"/>
      <w:r w:rsidRPr="005217FE">
        <w:rPr>
          <w:rFonts w:ascii="Calibri" w:hAnsi="Calibri" w:cs="Calibri"/>
          <w:sz w:val="20"/>
          <w:szCs w:val="20"/>
        </w:rPr>
        <w:t>About</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Discursive</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Storylines</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and</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Techno-Fixes</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The</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Political</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Framing</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of</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the</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Implementation</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of</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Predictive</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Policing</w:t>
      </w:r>
      <w:proofErr w:type="spellEnd"/>
      <w:r w:rsidRPr="005217FE">
        <w:rPr>
          <w:rFonts w:ascii="Calibri" w:hAnsi="Calibri" w:cs="Calibri"/>
          <w:sz w:val="20"/>
          <w:szCs w:val="20"/>
        </w:rPr>
        <w:t xml:space="preserve"> in </w:t>
      </w:r>
      <w:proofErr w:type="spellStart"/>
      <w:r w:rsidRPr="005217FE">
        <w:rPr>
          <w:rFonts w:ascii="Calibri" w:hAnsi="Calibri" w:cs="Calibri"/>
          <w:sz w:val="20"/>
          <w:szCs w:val="20"/>
        </w:rPr>
        <w:t>Germany</w:t>
      </w:r>
      <w:proofErr w:type="spellEnd"/>
      <w:r w:rsidRPr="005217FE">
        <w:rPr>
          <w:rFonts w:ascii="Calibri" w:hAnsi="Calibri" w:cs="Calibri"/>
          <w:sz w:val="20"/>
          <w:szCs w:val="20"/>
        </w:rPr>
        <w:t xml:space="preserve">’ (2018) </w:t>
      </w:r>
      <w:proofErr w:type="gramStart"/>
      <w:r w:rsidRPr="005217FE">
        <w:rPr>
          <w:rFonts w:ascii="Calibri" w:hAnsi="Calibri" w:cs="Calibri"/>
          <w:sz w:val="20"/>
          <w:szCs w:val="20"/>
        </w:rPr>
        <w:t>3</w:t>
      </w:r>
      <w:proofErr w:type="gramEnd"/>
      <w:r w:rsidRPr="005217FE">
        <w:rPr>
          <w:rFonts w:ascii="Calibri" w:hAnsi="Calibri" w:cs="Calibri"/>
          <w:sz w:val="20"/>
          <w:szCs w:val="20"/>
        </w:rPr>
        <w:t xml:space="preserve"> </w:t>
      </w:r>
      <w:proofErr w:type="spellStart"/>
      <w:r w:rsidRPr="005217FE">
        <w:rPr>
          <w:rFonts w:ascii="Calibri" w:hAnsi="Calibri" w:cs="Calibri"/>
          <w:i/>
          <w:iCs/>
          <w:sz w:val="20"/>
          <w:szCs w:val="20"/>
        </w:rPr>
        <w:t>European</w:t>
      </w:r>
      <w:proofErr w:type="spellEnd"/>
      <w:r w:rsidRPr="005217FE">
        <w:rPr>
          <w:rFonts w:ascii="Calibri" w:hAnsi="Calibri" w:cs="Calibri"/>
          <w:i/>
          <w:iCs/>
          <w:sz w:val="20"/>
          <w:szCs w:val="20"/>
        </w:rPr>
        <w:t xml:space="preserve"> </w:t>
      </w:r>
      <w:proofErr w:type="spellStart"/>
      <w:r w:rsidRPr="005217FE">
        <w:rPr>
          <w:rFonts w:ascii="Calibri" w:hAnsi="Calibri" w:cs="Calibri"/>
          <w:i/>
          <w:iCs/>
          <w:sz w:val="20"/>
          <w:szCs w:val="20"/>
        </w:rPr>
        <w:t>Journal</w:t>
      </w:r>
      <w:proofErr w:type="spellEnd"/>
      <w:r w:rsidRPr="005217FE">
        <w:rPr>
          <w:rFonts w:ascii="Calibri" w:hAnsi="Calibri" w:cs="Calibri"/>
          <w:i/>
          <w:iCs/>
          <w:sz w:val="20"/>
          <w:szCs w:val="20"/>
        </w:rPr>
        <w:t xml:space="preserve"> </w:t>
      </w:r>
      <w:proofErr w:type="spellStart"/>
      <w:r w:rsidRPr="005217FE">
        <w:rPr>
          <w:rFonts w:ascii="Calibri" w:hAnsi="Calibri" w:cs="Calibri"/>
          <w:i/>
          <w:iCs/>
          <w:sz w:val="20"/>
          <w:szCs w:val="20"/>
        </w:rPr>
        <w:t>for</w:t>
      </w:r>
      <w:proofErr w:type="spellEnd"/>
      <w:r w:rsidRPr="005217FE">
        <w:rPr>
          <w:rFonts w:ascii="Calibri" w:hAnsi="Calibri" w:cs="Calibri"/>
          <w:i/>
          <w:iCs/>
          <w:sz w:val="20"/>
          <w:szCs w:val="20"/>
        </w:rPr>
        <w:t xml:space="preserve"> </w:t>
      </w:r>
      <w:proofErr w:type="spellStart"/>
      <w:r w:rsidRPr="005217FE">
        <w:rPr>
          <w:rFonts w:ascii="Calibri" w:hAnsi="Calibri" w:cs="Calibri"/>
          <w:i/>
          <w:iCs/>
          <w:sz w:val="20"/>
          <w:szCs w:val="20"/>
        </w:rPr>
        <w:t>Security</w:t>
      </w:r>
      <w:proofErr w:type="spellEnd"/>
      <w:r w:rsidRPr="005217FE">
        <w:rPr>
          <w:rFonts w:ascii="Calibri" w:hAnsi="Calibri" w:cs="Calibri"/>
          <w:i/>
          <w:iCs/>
          <w:sz w:val="20"/>
          <w:szCs w:val="20"/>
        </w:rPr>
        <w:t xml:space="preserve"> </w:t>
      </w:r>
      <w:proofErr w:type="spellStart"/>
      <w:r w:rsidRPr="005217FE">
        <w:rPr>
          <w:rFonts w:ascii="Calibri" w:hAnsi="Calibri" w:cs="Calibri"/>
          <w:i/>
          <w:iCs/>
          <w:sz w:val="20"/>
          <w:szCs w:val="20"/>
        </w:rPr>
        <w:t>Research</w:t>
      </w:r>
      <w:proofErr w:type="spellEnd"/>
      <w:r w:rsidRPr="005217FE">
        <w:rPr>
          <w:rFonts w:ascii="Calibri" w:hAnsi="Calibri" w:cs="Calibri"/>
          <w:sz w:val="20"/>
          <w:szCs w:val="20"/>
        </w:rPr>
        <w:t xml:space="preserve"> 95.</w:t>
      </w:r>
    </w:p>
  </w:footnote>
  <w:footnote w:id="7">
    <w:p w14:paraId="36B396C0" w14:textId="77777777" w:rsidR="007505CE" w:rsidRPr="005217FE" w:rsidRDefault="007505CE" w:rsidP="007505CE">
      <w:pPr>
        <w:jc w:val="both"/>
        <w:rPr>
          <w:rFonts w:ascii="Calibri" w:hAnsi="Calibri" w:cs="Calibri"/>
          <w:sz w:val="20"/>
          <w:szCs w:val="20"/>
          <w:lang w:val="it-IT"/>
        </w:rPr>
      </w:pPr>
      <w:r w:rsidRPr="005217FE">
        <w:rPr>
          <w:rStyle w:val="FootnoteReference"/>
          <w:rFonts w:ascii="Calibri" w:hAnsi="Calibri" w:cs="Calibri"/>
          <w:sz w:val="20"/>
          <w:szCs w:val="20"/>
          <w:lang w:val="en-GB"/>
        </w:rPr>
        <w:footnoteRef/>
      </w:r>
      <w:r w:rsidRPr="005217FE">
        <w:rPr>
          <w:rFonts w:ascii="Calibri" w:hAnsi="Calibri" w:cs="Calibri"/>
          <w:sz w:val="20"/>
          <w:szCs w:val="20"/>
          <w:lang w:val="it-IT"/>
        </w:rPr>
        <w:t xml:space="preserve"> C Polloni, ‘Police </w:t>
      </w:r>
      <w:proofErr w:type="spellStart"/>
      <w:proofErr w:type="gramStart"/>
      <w:r w:rsidRPr="005217FE">
        <w:rPr>
          <w:rFonts w:ascii="Calibri" w:hAnsi="Calibri" w:cs="Calibri"/>
          <w:sz w:val="20"/>
          <w:szCs w:val="20"/>
          <w:lang w:val="it-IT"/>
        </w:rPr>
        <w:t>prédictive</w:t>
      </w:r>
      <w:proofErr w:type="spellEnd"/>
      <w:r w:rsidRPr="005217FE">
        <w:rPr>
          <w:rFonts w:ascii="Calibri" w:hAnsi="Calibri" w:cs="Calibri"/>
          <w:sz w:val="20"/>
          <w:szCs w:val="20"/>
          <w:lang w:val="it-IT"/>
        </w:rPr>
        <w:t xml:space="preserve"> :</w:t>
      </w:r>
      <w:proofErr w:type="gramEnd"/>
      <w:r w:rsidRPr="005217FE">
        <w:rPr>
          <w:rFonts w:ascii="Calibri" w:hAnsi="Calibri" w:cs="Calibri"/>
          <w:sz w:val="20"/>
          <w:szCs w:val="20"/>
          <w:lang w:val="it-IT"/>
        </w:rPr>
        <w:t xml:space="preserve"> la </w:t>
      </w:r>
      <w:proofErr w:type="spellStart"/>
      <w:r w:rsidRPr="005217FE">
        <w:rPr>
          <w:rFonts w:ascii="Calibri" w:hAnsi="Calibri" w:cs="Calibri"/>
          <w:sz w:val="20"/>
          <w:szCs w:val="20"/>
          <w:lang w:val="it-IT"/>
        </w:rPr>
        <w:t>tentation</w:t>
      </w:r>
      <w:proofErr w:type="spellEnd"/>
      <w:r w:rsidRPr="005217FE">
        <w:rPr>
          <w:rFonts w:ascii="Calibri" w:hAnsi="Calibri" w:cs="Calibri"/>
          <w:sz w:val="20"/>
          <w:szCs w:val="20"/>
          <w:lang w:val="it-IT"/>
        </w:rPr>
        <w:t xml:space="preserve"> de « dire quel sera le crime de </w:t>
      </w:r>
      <w:proofErr w:type="spellStart"/>
      <w:r w:rsidRPr="005217FE">
        <w:rPr>
          <w:rFonts w:ascii="Calibri" w:hAnsi="Calibri" w:cs="Calibri"/>
          <w:sz w:val="20"/>
          <w:szCs w:val="20"/>
          <w:lang w:val="it-IT"/>
        </w:rPr>
        <w:t>demain</w:t>
      </w:r>
      <w:proofErr w:type="spellEnd"/>
      <w:r w:rsidRPr="005217FE">
        <w:rPr>
          <w:rFonts w:ascii="Calibri" w:hAnsi="Calibri" w:cs="Calibri"/>
          <w:sz w:val="20"/>
          <w:szCs w:val="20"/>
          <w:lang w:val="it-IT"/>
        </w:rPr>
        <w:t xml:space="preserve">’ (2015) </w:t>
      </w:r>
      <w:r w:rsidRPr="005217FE">
        <w:rPr>
          <w:rFonts w:ascii="Calibri" w:hAnsi="Calibri" w:cs="Calibri"/>
          <w:i/>
          <w:sz w:val="20"/>
          <w:szCs w:val="20"/>
          <w:lang w:val="it-IT"/>
        </w:rPr>
        <w:t>Rue89 &lt;</w:t>
      </w:r>
      <w:r w:rsidRPr="005217FE">
        <w:rPr>
          <w:rFonts w:ascii="Calibri" w:hAnsi="Calibri" w:cs="Calibri"/>
          <w:sz w:val="20"/>
          <w:szCs w:val="20"/>
          <w:lang w:val="it-IT"/>
        </w:rPr>
        <w:t xml:space="preserve"> https://www.nouvelobs.com/rue89/rue89-police-justice/20150527.RUE9213/police-predictive-la-tentation-de-dire-quel-sera-le-crime-de-demain.html&gt;.</w:t>
      </w:r>
    </w:p>
  </w:footnote>
  <w:footnote w:id="8">
    <w:p w14:paraId="22AB1799" w14:textId="77777777" w:rsidR="007505CE" w:rsidRPr="005217FE" w:rsidRDefault="007505CE" w:rsidP="007505CE">
      <w:pPr>
        <w:jc w:val="both"/>
        <w:rPr>
          <w:rFonts w:ascii="Calibri" w:hAnsi="Calibri" w:cs="Calibri"/>
          <w:sz w:val="20"/>
          <w:szCs w:val="20"/>
          <w:lang w:val="it-IT"/>
        </w:rPr>
      </w:pPr>
      <w:r w:rsidRPr="005217FE">
        <w:rPr>
          <w:rStyle w:val="FootnoteReference"/>
          <w:rFonts w:ascii="Calibri" w:hAnsi="Calibri" w:cs="Calibri"/>
          <w:sz w:val="20"/>
          <w:szCs w:val="20"/>
          <w:lang w:val="en-GB"/>
        </w:rPr>
        <w:footnoteRef/>
      </w:r>
      <w:r w:rsidRPr="005217FE">
        <w:rPr>
          <w:rFonts w:ascii="Calibri" w:hAnsi="Calibri" w:cs="Calibri"/>
          <w:sz w:val="20"/>
          <w:szCs w:val="20"/>
          <w:lang w:val="en-GB"/>
        </w:rPr>
        <w:t xml:space="preserve"> C </w:t>
      </w:r>
      <w:proofErr w:type="spellStart"/>
      <w:r w:rsidRPr="005217FE">
        <w:rPr>
          <w:rFonts w:ascii="Calibri" w:hAnsi="Calibri" w:cs="Calibri"/>
          <w:sz w:val="20"/>
          <w:szCs w:val="20"/>
        </w:rPr>
        <w:t>Aebi</w:t>
      </w:r>
      <w:proofErr w:type="spellEnd"/>
      <w:r w:rsidRPr="005217FE">
        <w:rPr>
          <w:rFonts w:ascii="Calibri" w:hAnsi="Calibri" w:cs="Calibri"/>
          <w:sz w:val="20"/>
          <w:szCs w:val="20"/>
        </w:rPr>
        <w:t xml:space="preserve">, </w:t>
      </w:r>
      <w:proofErr w:type="spellStart"/>
      <w:r w:rsidRPr="005217FE">
        <w:rPr>
          <w:rFonts w:ascii="Calibri" w:hAnsi="Calibri" w:cs="Calibri"/>
          <w:i/>
          <w:sz w:val="20"/>
          <w:szCs w:val="20"/>
        </w:rPr>
        <w:t>Evaluation</w:t>
      </w:r>
      <w:proofErr w:type="spellEnd"/>
      <w:r w:rsidRPr="005217FE">
        <w:rPr>
          <w:rFonts w:ascii="Calibri" w:hAnsi="Calibri" w:cs="Calibri"/>
          <w:i/>
          <w:sz w:val="20"/>
          <w:szCs w:val="20"/>
        </w:rPr>
        <w:t xml:space="preserve"> </w:t>
      </w:r>
      <w:proofErr w:type="spellStart"/>
      <w:r w:rsidRPr="005217FE">
        <w:rPr>
          <w:rFonts w:ascii="Calibri" w:hAnsi="Calibri" w:cs="Calibri"/>
          <w:i/>
          <w:sz w:val="20"/>
          <w:szCs w:val="20"/>
        </w:rPr>
        <w:t>du</w:t>
      </w:r>
      <w:proofErr w:type="spellEnd"/>
      <w:r w:rsidRPr="005217FE">
        <w:rPr>
          <w:rFonts w:ascii="Calibri" w:hAnsi="Calibri" w:cs="Calibri"/>
          <w:i/>
          <w:sz w:val="20"/>
          <w:szCs w:val="20"/>
        </w:rPr>
        <w:t xml:space="preserve"> </w:t>
      </w:r>
      <w:proofErr w:type="spellStart"/>
      <w:r w:rsidRPr="005217FE">
        <w:rPr>
          <w:rFonts w:ascii="Calibri" w:hAnsi="Calibri" w:cs="Calibri"/>
          <w:i/>
          <w:sz w:val="20"/>
          <w:szCs w:val="20"/>
        </w:rPr>
        <w:t>Systeme</w:t>
      </w:r>
      <w:proofErr w:type="spellEnd"/>
      <w:r w:rsidRPr="005217FE">
        <w:rPr>
          <w:rFonts w:ascii="Calibri" w:hAnsi="Calibri" w:cs="Calibri"/>
          <w:i/>
          <w:sz w:val="20"/>
          <w:szCs w:val="20"/>
        </w:rPr>
        <w:t xml:space="preserve"> de </w:t>
      </w:r>
      <w:proofErr w:type="spellStart"/>
      <w:r w:rsidRPr="005217FE">
        <w:rPr>
          <w:rFonts w:ascii="Calibri" w:hAnsi="Calibri" w:cs="Calibri"/>
          <w:i/>
          <w:sz w:val="20"/>
          <w:szCs w:val="20"/>
        </w:rPr>
        <w:t>Prediction</w:t>
      </w:r>
      <w:proofErr w:type="spellEnd"/>
      <w:r w:rsidRPr="005217FE">
        <w:rPr>
          <w:rFonts w:ascii="Calibri" w:hAnsi="Calibri" w:cs="Calibri"/>
          <w:i/>
          <w:sz w:val="20"/>
          <w:szCs w:val="20"/>
        </w:rPr>
        <w:t xml:space="preserve"> de </w:t>
      </w:r>
      <w:proofErr w:type="spellStart"/>
      <w:r w:rsidRPr="005217FE">
        <w:rPr>
          <w:rFonts w:ascii="Calibri" w:hAnsi="Calibri" w:cs="Calibri"/>
          <w:i/>
          <w:sz w:val="20"/>
          <w:szCs w:val="20"/>
        </w:rPr>
        <w:t>Cambriolages</w:t>
      </w:r>
      <w:proofErr w:type="spellEnd"/>
      <w:r w:rsidRPr="005217FE">
        <w:rPr>
          <w:rFonts w:ascii="Calibri" w:hAnsi="Calibri" w:cs="Calibri"/>
          <w:i/>
          <w:sz w:val="20"/>
          <w:szCs w:val="20"/>
        </w:rPr>
        <w:t xml:space="preserve"> </w:t>
      </w:r>
      <w:proofErr w:type="spellStart"/>
      <w:r w:rsidRPr="005217FE">
        <w:rPr>
          <w:rFonts w:ascii="Calibri" w:hAnsi="Calibri" w:cs="Calibri"/>
          <w:i/>
          <w:sz w:val="20"/>
          <w:szCs w:val="20"/>
        </w:rPr>
        <w:t>Residentiels</w:t>
      </w:r>
      <w:proofErr w:type="spellEnd"/>
      <w:r w:rsidRPr="005217FE">
        <w:rPr>
          <w:rFonts w:ascii="Calibri" w:hAnsi="Calibri" w:cs="Calibri"/>
          <w:i/>
          <w:sz w:val="20"/>
          <w:szCs w:val="20"/>
        </w:rPr>
        <w:t xml:space="preserve"> PRECOBS</w:t>
      </w:r>
      <w:r w:rsidRPr="005217FE">
        <w:rPr>
          <w:rFonts w:ascii="Calibri" w:hAnsi="Calibri" w:cs="Calibri"/>
          <w:sz w:val="20"/>
          <w:szCs w:val="20"/>
        </w:rPr>
        <w:t xml:space="preserve">. </w:t>
      </w:r>
      <w:r w:rsidRPr="005217FE">
        <w:rPr>
          <w:rFonts w:ascii="Calibri" w:hAnsi="Calibri" w:cs="Calibri"/>
          <w:sz w:val="20"/>
          <w:szCs w:val="20"/>
          <w:lang w:val="it-IT"/>
        </w:rPr>
        <w:t xml:space="preserve">MA </w:t>
      </w:r>
      <w:proofErr w:type="spellStart"/>
      <w:r w:rsidRPr="005217FE">
        <w:rPr>
          <w:rFonts w:ascii="Calibri" w:hAnsi="Calibri" w:cs="Calibri"/>
          <w:sz w:val="20"/>
          <w:szCs w:val="20"/>
          <w:lang w:val="it-IT"/>
        </w:rPr>
        <w:t>Thesis</w:t>
      </w:r>
      <w:proofErr w:type="spellEnd"/>
      <w:r w:rsidRPr="005217FE">
        <w:rPr>
          <w:rFonts w:ascii="Calibri" w:hAnsi="Calibri" w:cs="Calibri"/>
          <w:sz w:val="20"/>
          <w:szCs w:val="20"/>
          <w:lang w:val="it-IT"/>
        </w:rPr>
        <w:t xml:space="preserve">, </w:t>
      </w:r>
      <w:proofErr w:type="spellStart"/>
      <w:r w:rsidRPr="005217FE">
        <w:rPr>
          <w:rFonts w:ascii="Calibri" w:hAnsi="Calibri" w:cs="Calibri"/>
          <w:sz w:val="20"/>
          <w:szCs w:val="20"/>
          <w:lang w:val="it-IT"/>
        </w:rPr>
        <w:t>École</w:t>
      </w:r>
      <w:proofErr w:type="spellEnd"/>
      <w:r w:rsidRPr="005217FE">
        <w:rPr>
          <w:rFonts w:ascii="Calibri" w:hAnsi="Calibri" w:cs="Calibri"/>
          <w:sz w:val="20"/>
          <w:szCs w:val="20"/>
          <w:lang w:val="it-IT"/>
        </w:rPr>
        <w:t xml:space="preserve"> </w:t>
      </w:r>
      <w:proofErr w:type="spellStart"/>
      <w:r w:rsidRPr="005217FE">
        <w:rPr>
          <w:rFonts w:ascii="Calibri" w:hAnsi="Calibri" w:cs="Calibri"/>
          <w:sz w:val="20"/>
          <w:szCs w:val="20"/>
          <w:lang w:val="it-IT"/>
        </w:rPr>
        <w:t>des</w:t>
      </w:r>
      <w:proofErr w:type="spellEnd"/>
      <w:r w:rsidRPr="005217FE">
        <w:rPr>
          <w:rFonts w:ascii="Calibri" w:hAnsi="Calibri" w:cs="Calibri"/>
          <w:sz w:val="20"/>
          <w:szCs w:val="20"/>
          <w:lang w:val="it-IT"/>
        </w:rPr>
        <w:t xml:space="preserve"> </w:t>
      </w:r>
      <w:proofErr w:type="spellStart"/>
      <w:r w:rsidRPr="005217FE">
        <w:rPr>
          <w:rFonts w:ascii="Calibri" w:hAnsi="Calibri" w:cs="Calibri"/>
          <w:sz w:val="20"/>
          <w:szCs w:val="20"/>
          <w:lang w:val="it-IT"/>
        </w:rPr>
        <w:t>Sciences</w:t>
      </w:r>
      <w:proofErr w:type="spellEnd"/>
      <w:r w:rsidRPr="005217FE">
        <w:rPr>
          <w:rFonts w:ascii="Calibri" w:hAnsi="Calibri" w:cs="Calibri"/>
          <w:sz w:val="20"/>
          <w:szCs w:val="20"/>
          <w:lang w:val="it-IT"/>
        </w:rPr>
        <w:t xml:space="preserve"> </w:t>
      </w:r>
      <w:proofErr w:type="spellStart"/>
      <w:r w:rsidRPr="005217FE">
        <w:rPr>
          <w:rFonts w:ascii="Calibri" w:hAnsi="Calibri" w:cs="Calibri"/>
          <w:sz w:val="20"/>
          <w:szCs w:val="20"/>
          <w:lang w:val="it-IT"/>
        </w:rPr>
        <w:t>Criminelles</w:t>
      </w:r>
      <w:proofErr w:type="spellEnd"/>
      <w:r w:rsidRPr="005217FE">
        <w:rPr>
          <w:rFonts w:ascii="Calibri" w:hAnsi="Calibri" w:cs="Calibri"/>
          <w:sz w:val="20"/>
          <w:szCs w:val="20"/>
          <w:lang w:val="it-IT"/>
        </w:rPr>
        <w:t xml:space="preserve">, </w:t>
      </w:r>
      <w:proofErr w:type="spellStart"/>
      <w:r w:rsidRPr="005217FE">
        <w:rPr>
          <w:rFonts w:ascii="Calibri" w:hAnsi="Calibri" w:cs="Calibri"/>
          <w:sz w:val="20"/>
          <w:szCs w:val="20"/>
          <w:lang w:val="it-IT"/>
        </w:rPr>
        <w:t>Université</w:t>
      </w:r>
      <w:proofErr w:type="spellEnd"/>
      <w:r w:rsidRPr="005217FE">
        <w:rPr>
          <w:rFonts w:ascii="Calibri" w:hAnsi="Calibri" w:cs="Calibri"/>
          <w:sz w:val="20"/>
          <w:szCs w:val="20"/>
          <w:lang w:val="it-IT"/>
        </w:rPr>
        <w:t xml:space="preserve"> de Lausanne (Lausanne, 2015).</w:t>
      </w:r>
    </w:p>
  </w:footnote>
  <w:footnote w:id="9">
    <w:p w14:paraId="18B505E0" w14:textId="77777777" w:rsidR="007505CE" w:rsidRPr="005217FE" w:rsidRDefault="007505CE" w:rsidP="007505CE">
      <w:pPr>
        <w:jc w:val="both"/>
        <w:rPr>
          <w:rFonts w:ascii="Calibri" w:hAnsi="Calibri" w:cs="Calibri"/>
          <w:sz w:val="20"/>
          <w:szCs w:val="20"/>
        </w:rPr>
      </w:pPr>
      <w:r w:rsidRPr="005217FE">
        <w:rPr>
          <w:rStyle w:val="FootnoteReference"/>
          <w:rFonts w:ascii="Calibri" w:hAnsi="Calibri" w:cs="Calibri"/>
          <w:sz w:val="20"/>
          <w:szCs w:val="20"/>
          <w:lang w:val="en-GB"/>
        </w:rPr>
        <w:footnoteRef/>
      </w:r>
      <w:r w:rsidRPr="005217FE">
        <w:rPr>
          <w:rFonts w:ascii="Calibri" w:hAnsi="Calibri" w:cs="Calibri"/>
          <w:sz w:val="20"/>
          <w:szCs w:val="20"/>
          <w:lang w:val="en-GB"/>
        </w:rPr>
        <w:t xml:space="preserve"> I </w:t>
      </w:r>
      <w:proofErr w:type="spellStart"/>
      <w:r w:rsidRPr="005217FE">
        <w:rPr>
          <w:rFonts w:ascii="Calibri" w:hAnsi="Calibri" w:cs="Calibri"/>
          <w:sz w:val="20"/>
          <w:szCs w:val="20"/>
        </w:rPr>
        <w:t>Stanier</w:t>
      </w:r>
      <w:proofErr w:type="spellEnd"/>
      <w:r w:rsidRPr="005217FE">
        <w:rPr>
          <w:rFonts w:ascii="Calibri" w:hAnsi="Calibri" w:cs="Calibri"/>
          <w:sz w:val="20"/>
          <w:szCs w:val="20"/>
        </w:rPr>
        <w:t>, ‘</w:t>
      </w:r>
      <w:proofErr w:type="spellStart"/>
      <w:r w:rsidRPr="005217FE">
        <w:rPr>
          <w:rFonts w:ascii="Calibri" w:hAnsi="Calibri" w:cs="Calibri"/>
          <w:sz w:val="20"/>
          <w:szCs w:val="20"/>
        </w:rPr>
        <w:t>Enhancing</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Intelligence</w:t>
      </w:r>
      <w:proofErr w:type="spellEnd"/>
      <w:r w:rsidRPr="005217FE">
        <w:rPr>
          <w:rFonts w:ascii="Calibri" w:hAnsi="Calibri" w:cs="Calibri"/>
          <w:sz w:val="20"/>
          <w:szCs w:val="20"/>
        </w:rPr>
        <w:t xml:space="preserve">-Led </w:t>
      </w:r>
      <w:proofErr w:type="spellStart"/>
      <w:r w:rsidRPr="005217FE">
        <w:rPr>
          <w:rFonts w:ascii="Calibri" w:hAnsi="Calibri" w:cs="Calibri"/>
          <w:sz w:val="20"/>
          <w:szCs w:val="20"/>
        </w:rPr>
        <w:t>Policing</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Law</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Enforcement’s</w:t>
      </w:r>
      <w:proofErr w:type="spellEnd"/>
      <w:r w:rsidRPr="005217FE">
        <w:rPr>
          <w:rFonts w:ascii="Calibri" w:hAnsi="Calibri" w:cs="Calibri"/>
          <w:sz w:val="20"/>
          <w:szCs w:val="20"/>
        </w:rPr>
        <w:t xml:space="preserve"> Big Data </w:t>
      </w:r>
      <w:proofErr w:type="spellStart"/>
      <w:r w:rsidRPr="005217FE">
        <w:rPr>
          <w:rFonts w:ascii="Calibri" w:hAnsi="Calibri" w:cs="Calibri"/>
          <w:sz w:val="20"/>
          <w:szCs w:val="20"/>
        </w:rPr>
        <w:t>revolution</w:t>
      </w:r>
      <w:proofErr w:type="spellEnd"/>
      <w:r w:rsidRPr="005217FE">
        <w:rPr>
          <w:rFonts w:ascii="Calibri" w:hAnsi="Calibri" w:cs="Calibri"/>
          <w:sz w:val="20"/>
          <w:szCs w:val="20"/>
        </w:rPr>
        <w:t xml:space="preserve">’ in A </w:t>
      </w:r>
      <w:proofErr w:type="spellStart"/>
      <w:r w:rsidRPr="005217FE">
        <w:rPr>
          <w:rFonts w:ascii="Calibri" w:hAnsi="Calibri" w:cs="Calibri"/>
          <w:sz w:val="20"/>
          <w:szCs w:val="20"/>
        </w:rPr>
        <w:t>Bunnik</w:t>
      </w:r>
      <w:proofErr w:type="spellEnd"/>
      <w:r w:rsidRPr="005217FE">
        <w:rPr>
          <w:rFonts w:ascii="Calibri" w:hAnsi="Calibri" w:cs="Calibri"/>
          <w:sz w:val="20"/>
          <w:szCs w:val="20"/>
        </w:rPr>
        <w:t xml:space="preserve">, A </w:t>
      </w:r>
      <w:proofErr w:type="spellStart"/>
      <w:r w:rsidRPr="005217FE">
        <w:rPr>
          <w:rFonts w:ascii="Calibri" w:hAnsi="Calibri" w:cs="Calibri"/>
          <w:sz w:val="20"/>
          <w:szCs w:val="20"/>
        </w:rPr>
        <w:t>Cawley</w:t>
      </w:r>
      <w:proofErr w:type="spellEnd"/>
      <w:r w:rsidRPr="005217FE">
        <w:rPr>
          <w:rFonts w:ascii="Calibri" w:hAnsi="Calibri" w:cs="Calibri"/>
          <w:sz w:val="20"/>
          <w:szCs w:val="20"/>
        </w:rPr>
        <w:t xml:space="preserve">, M </w:t>
      </w:r>
      <w:proofErr w:type="spellStart"/>
      <w:r w:rsidRPr="005217FE">
        <w:rPr>
          <w:rFonts w:ascii="Calibri" w:hAnsi="Calibri" w:cs="Calibri"/>
          <w:sz w:val="20"/>
          <w:szCs w:val="20"/>
        </w:rPr>
        <w:t>Mulqueen</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and</w:t>
      </w:r>
      <w:proofErr w:type="spellEnd"/>
      <w:r w:rsidRPr="005217FE">
        <w:rPr>
          <w:rFonts w:ascii="Calibri" w:hAnsi="Calibri" w:cs="Calibri"/>
          <w:sz w:val="20"/>
          <w:szCs w:val="20"/>
        </w:rPr>
        <w:t xml:space="preserve"> A Zwitter (</w:t>
      </w:r>
      <w:proofErr w:type="spellStart"/>
      <w:proofErr w:type="gramStart"/>
      <w:r w:rsidRPr="005217FE">
        <w:rPr>
          <w:rFonts w:ascii="Calibri" w:hAnsi="Calibri" w:cs="Calibri"/>
          <w:sz w:val="20"/>
          <w:szCs w:val="20"/>
        </w:rPr>
        <w:t>eds</w:t>
      </w:r>
      <w:proofErr w:type="spellEnd"/>
      <w:proofErr w:type="gramEnd"/>
      <w:r w:rsidRPr="005217FE">
        <w:rPr>
          <w:rFonts w:ascii="Calibri" w:hAnsi="Calibri" w:cs="Calibri"/>
          <w:sz w:val="20"/>
          <w:szCs w:val="20"/>
        </w:rPr>
        <w:t xml:space="preserve">), </w:t>
      </w:r>
      <w:r w:rsidRPr="005217FE">
        <w:rPr>
          <w:rFonts w:ascii="Calibri" w:hAnsi="Calibri" w:cs="Calibri"/>
          <w:i/>
          <w:iCs/>
          <w:sz w:val="20"/>
          <w:szCs w:val="20"/>
        </w:rPr>
        <w:t xml:space="preserve">Big Data </w:t>
      </w:r>
      <w:proofErr w:type="spellStart"/>
      <w:r w:rsidRPr="005217FE">
        <w:rPr>
          <w:rFonts w:ascii="Calibri" w:hAnsi="Calibri" w:cs="Calibri"/>
          <w:i/>
          <w:iCs/>
          <w:sz w:val="20"/>
          <w:szCs w:val="20"/>
        </w:rPr>
        <w:t>Challenges</w:t>
      </w:r>
      <w:proofErr w:type="spellEnd"/>
      <w:r w:rsidRPr="005217FE">
        <w:rPr>
          <w:rFonts w:ascii="Calibri" w:hAnsi="Calibri" w:cs="Calibri"/>
          <w:i/>
          <w:iCs/>
          <w:sz w:val="20"/>
          <w:szCs w:val="20"/>
        </w:rPr>
        <w:t xml:space="preserve">: </w:t>
      </w:r>
      <w:proofErr w:type="spellStart"/>
      <w:r w:rsidRPr="005217FE">
        <w:rPr>
          <w:rFonts w:ascii="Calibri" w:hAnsi="Calibri" w:cs="Calibri"/>
          <w:i/>
          <w:iCs/>
          <w:sz w:val="20"/>
          <w:szCs w:val="20"/>
        </w:rPr>
        <w:t>Society</w:t>
      </w:r>
      <w:proofErr w:type="spellEnd"/>
      <w:r w:rsidRPr="005217FE">
        <w:rPr>
          <w:rFonts w:ascii="Calibri" w:hAnsi="Calibri" w:cs="Calibri"/>
          <w:i/>
          <w:iCs/>
          <w:sz w:val="20"/>
          <w:szCs w:val="20"/>
        </w:rPr>
        <w:t xml:space="preserve">, </w:t>
      </w:r>
      <w:proofErr w:type="spellStart"/>
      <w:r w:rsidRPr="005217FE">
        <w:rPr>
          <w:rFonts w:ascii="Calibri" w:hAnsi="Calibri" w:cs="Calibri"/>
          <w:i/>
          <w:iCs/>
          <w:sz w:val="20"/>
          <w:szCs w:val="20"/>
        </w:rPr>
        <w:t>Security</w:t>
      </w:r>
      <w:proofErr w:type="spellEnd"/>
      <w:r w:rsidRPr="005217FE">
        <w:rPr>
          <w:rFonts w:ascii="Calibri" w:hAnsi="Calibri" w:cs="Calibri"/>
          <w:i/>
          <w:iCs/>
          <w:sz w:val="20"/>
          <w:szCs w:val="20"/>
        </w:rPr>
        <w:t xml:space="preserve">, </w:t>
      </w:r>
      <w:proofErr w:type="spellStart"/>
      <w:r w:rsidRPr="005217FE">
        <w:rPr>
          <w:rFonts w:ascii="Calibri" w:hAnsi="Calibri" w:cs="Calibri"/>
          <w:i/>
          <w:iCs/>
          <w:sz w:val="20"/>
          <w:szCs w:val="20"/>
        </w:rPr>
        <w:t>Innovation</w:t>
      </w:r>
      <w:proofErr w:type="spellEnd"/>
      <w:r w:rsidRPr="005217FE">
        <w:rPr>
          <w:rFonts w:ascii="Calibri" w:hAnsi="Calibri" w:cs="Calibri"/>
          <w:i/>
          <w:iCs/>
          <w:sz w:val="20"/>
          <w:szCs w:val="20"/>
        </w:rPr>
        <w:t xml:space="preserve"> </w:t>
      </w:r>
      <w:proofErr w:type="spellStart"/>
      <w:r w:rsidRPr="005217FE">
        <w:rPr>
          <w:rFonts w:ascii="Calibri" w:hAnsi="Calibri" w:cs="Calibri"/>
          <w:i/>
          <w:iCs/>
          <w:sz w:val="20"/>
          <w:szCs w:val="20"/>
        </w:rPr>
        <w:t>and</w:t>
      </w:r>
      <w:proofErr w:type="spellEnd"/>
      <w:r w:rsidRPr="005217FE">
        <w:rPr>
          <w:rFonts w:ascii="Calibri" w:hAnsi="Calibri" w:cs="Calibri"/>
          <w:i/>
          <w:iCs/>
          <w:sz w:val="20"/>
          <w:szCs w:val="20"/>
        </w:rPr>
        <w:t xml:space="preserve"> </w:t>
      </w:r>
      <w:proofErr w:type="spellStart"/>
      <w:r w:rsidRPr="005217FE">
        <w:rPr>
          <w:rFonts w:ascii="Calibri" w:hAnsi="Calibri" w:cs="Calibri"/>
          <w:i/>
          <w:iCs/>
          <w:sz w:val="20"/>
          <w:szCs w:val="20"/>
        </w:rPr>
        <w:t>Ethics</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Palgrave</w:t>
      </w:r>
      <w:proofErr w:type="spellEnd"/>
      <w:r w:rsidRPr="005217FE">
        <w:rPr>
          <w:rFonts w:ascii="Calibri" w:hAnsi="Calibri" w:cs="Calibri"/>
          <w:sz w:val="20"/>
          <w:szCs w:val="20"/>
        </w:rPr>
        <w:t xml:space="preserve"> </w:t>
      </w:r>
      <w:proofErr w:type="spellStart"/>
      <w:r w:rsidRPr="005217FE">
        <w:rPr>
          <w:rFonts w:ascii="Calibri" w:hAnsi="Calibri" w:cs="Calibri"/>
          <w:sz w:val="20"/>
          <w:szCs w:val="20"/>
        </w:rPr>
        <w:t>Macmillan</w:t>
      </w:r>
      <w:proofErr w:type="spellEnd"/>
      <w:r w:rsidRPr="005217FE">
        <w:rPr>
          <w:rFonts w:ascii="Calibri" w:hAnsi="Calibri" w:cs="Calibri"/>
          <w:sz w:val="20"/>
          <w:szCs w:val="20"/>
        </w:rPr>
        <w:t xml:space="preserve"> UK, 2016).</w:t>
      </w:r>
    </w:p>
  </w:footnote>
  <w:footnote w:id="10">
    <w:p w14:paraId="73AF2C2D" w14:textId="77777777" w:rsidR="007505CE" w:rsidRPr="005217FE" w:rsidRDefault="007505CE" w:rsidP="007505CE">
      <w:pPr>
        <w:pStyle w:val="FootnoteText"/>
        <w:jc w:val="both"/>
        <w:rPr>
          <w:rFonts w:cs="Calibri"/>
          <w:sz w:val="20"/>
          <w:szCs w:val="20"/>
        </w:rPr>
      </w:pPr>
      <w:r w:rsidRPr="005217FE">
        <w:rPr>
          <w:rStyle w:val="FootnoteReference"/>
          <w:rFonts w:cs="Calibri"/>
          <w:sz w:val="20"/>
          <w:szCs w:val="20"/>
        </w:rPr>
        <w:footnoteRef/>
      </w:r>
      <w:r w:rsidRPr="005217FE">
        <w:rPr>
          <w:rFonts w:cs="Calibri"/>
          <w:sz w:val="20"/>
          <w:szCs w:val="20"/>
        </w:rPr>
        <w:t xml:space="preserve"> </w:t>
      </w:r>
      <w:proofErr w:type="spellStart"/>
      <w:r w:rsidRPr="005217FE">
        <w:rPr>
          <w:rFonts w:cs="Calibri"/>
          <w:sz w:val="20"/>
          <w:szCs w:val="20"/>
        </w:rPr>
        <w:t>Convention</w:t>
      </w:r>
      <w:proofErr w:type="spellEnd"/>
      <w:r w:rsidRPr="005217FE">
        <w:rPr>
          <w:rFonts w:cs="Calibri"/>
          <w:sz w:val="20"/>
          <w:szCs w:val="20"/>
        </w:rPr>
        <w:t xml:space="preserve"> </w:t>
      </w:r>
      <w:proofErr w:type="spellStart"/>
      <w:r w:rsidRPr="005217FE">
        <w:rPr>
          <w:rFonts w:cs="Calibri"/>
          <w:sz w:val="20"/>
          <w:szCs w:val="20"/>
        </w:rPr>
        <w:t>for</w:t>
      </w:r>
      <w:proofErr w:type="spellEnd"/>
      <w:r w:rsidRPr="005217FE">
        <w:rPr>
          <w:rFonts w:cs="Calibri"/>
          <w:sz w:val="20"/>
          <w:szCs w:val="20"/>
        </w:rPr>
        <w:t xml:space="preserve"> </w:t>
      </w:r>
      <w:proofErr w:type="spellStart"/>
      <w:r w:rsidRPr="005217FE">
        <w:rPr>
          <w:rFonts w:cs="Calibri"/>
          <w:sz w:val="20"/>
          <w:szCs w:val="20"/>
        </w:rPr>
        <w:t>the</w:t>
      </w:r>
      <w:proofErr w:type="spellEnd"/>
      <w:r w:rsidRPr="005217FE">
        <w:rPr>
          <w:rFonts w:cs="Calibri"/>
          <w:sz w:val="20"/>
          <w:szCs w:val="20"/>
        </w:rPr>
        <w:t xml:space="preserve"> </w:t>
      </w:r>
      <w:proofErr w:type="spellStart"/>
      <w:r w:rsidRPr="005217FE">
        <w:rPr>
          <w:rFonts w:cs="Calibri"/>
          <w:sz w:val="20"/>
          <w:szCs w:val="20"/>
        </w:rPr>
        <w:t>Protection</w:t>
      </w:r>
      <w:proofErr w:type="spellEnd"/>
      <w:r w:rsidRPr="005217FE">
        <w:rPr>
          <w:rFonts w:cs="Calibri"/>
          <w:sz w:val="20"/>
          <w:szCs w:val="20"/>
        </w:rPr>
        <w:t xml:space="preserve"> </w:t>
      </w:r>
      <w:proofErr w:type="spellStart"/>
      <w:r w:rsidRPr="005217FE">
        <w:rPr>
          <w:rFonts w:cs="Calibri"/>
          <w:sz w:val="20"/>
          <w:szCs w:val="20"/>
        </w:rPr>
        <w:t>of</w:t>
      </w:r>
      <w:proofErr w:type="spellEnd"/>
      <w:r w:rsidRPr="005217FE">
        <w:rPr>
          <w:rFonts w:cs="Calibri"/>
          <w:sz w:val="20"/>
          <w:szCs w:val="20"/>
        </w:rPr>
        <w:t xml:space="preserve"> Human </w:t>
      </w:r>
      <w:proofErr w:type="spellStart"/>
      <w:r w:rsidRPr="005217FE">
        <w:rPr>
          <w:rFonts w:cs="Calibri"/>
          <w:sz w:val="20"/>
          <w:szCs w:val="20"/>
        </w:rPr>
        <w:t>Rights</w:t>
      </w:r>
      <w:proofErr w:type="spellEnd"/>
      <w:r w:rsidRPr="005217FE">
        <w:rPr>
          <w:rFonts w:cs="Calibri"/>
          <w:sz w:val="20"/>
          <w:szCs w:val="20"/>
        </w:rPr>
        <w:t xml:space="preserve"> </w:t>
      </w:r>
      <w:proofErr w:type="spellStart"/>
      <w:r w:rsidRPr="005217FE">
        <w:rPr>
          <w:rFonts w:cs="Calibri"/>
          <w:sz w:val="20"/>
          <w:szCs w:val="20"/>
        </w:rPr>
        <w:t>and</w:t>
      </w:r>
      <w:proofErr w:type="spellEnd"/>
      <w:r w:rsidRPr="005217FE">
        <w:rPr>
          <w:rFonts w:cs="Calibri"/>
          <w:sz w:val="20"/>
          <w:szCs w:val="20"/>
        </w:rPr>
        <w:t xml:space="preserve"> </w:t>
      </w:r>
      <w:proofErr w:type="spellStart"/>
      <w:r w:rsidRPr="005217FE">
        <w:rPr>
          <w:rFonts w:cs="Calibri"/>
          <w:sz w:val="20"/>
          <w:szCs w:val="20"/>
        </w:rPr>
        <w:t>Fundamental</w:t>
      </w:r>
      <w:proofErr w:type="spellEnd"/>
      <w:r w:rsidRPr="005217FE">
        <w:rPr>
          <w:rFonts w:cs="Calibri"/>
          <w:sz w:val="20"/>
          <w:szCs w:val="20"/>
        </w:rPr>
        <w:t xml:space="preserve"> </w:t>
      </w:r>
      <w:proofErr w:type="spellStart"/>
      <w:r w:rsidRPr="005217FE">
        <w:rPr>
          <w:rFonts w:cs="Calibri"/>
          <w:sz w:val="20"/>
          <w:szCs w:val="20"/>
        </w:rPr>
        <w:t>Freedoms</w:t>
      </w:r>
      <w:proofErr w:type="spellEnd"/>
      <w:r w:rsidRPr="005217FE">
        <w:rPr>
          <w:rFonts w:cs="Calibri"/>
          <w:sz w:val="20"/>
          <w:szCs w:val="20"/>
        </w:rPr>
        <w:t xml:space="preserve"> (</w:t>
      </w:r>
      <w:proofErr w:type="spellStart"/>
      <w:r w:rsidRPr="005217FE">
        <w:rPr>
          <w:rFonts w:cs="Calibri"/>
          <w:sz w:val="20"/>
          <w:szCs w:val="20"/>
        </w:rPr>
        <w:t>European</w:t>
      </w:r>
      <w:proofErr w:type="spellEnd"/>
      <w:r w:rsidRPr="005217FE">
        <w:rPr>
          <w:rFonts w:cs="Calibri"/>
          <w:sz w:val="20"/>
          <w:szCs w:val="20"/>
        </w:rPr>
        <w:t xml:space="preserve"> </w:t>
      </w:r>
      <w:proofErr w:type="spellStart"/>
      <w:r w:rsidRPr="005217FE">
        <w:rPr>
          <w:rFonts w:cs="Calibri"/>
          <w:sz w:val="20"/>
          <w:szCs w:val="20"/>
        </w:rPr>
        <w:t>Convention</w:t>
      </w:r>
      <w:proofErr w:type="spellEnd"/>
    </w:p>
    <w:p w14:paraId="223EB755" w14:textId="77777777" w:rsidR="007505CE" w:rsidRPr="005217FE" w:rsidRDefault="007505CE" w:rsidP="007505CE">
      <w:pPr>
        <w:pStyle w:val="FootnoteText"/>
        <w:jc w:val="both"/>
        <w:rPr>
          <w:rFonts w:cs="Calibri"/>
          <w:sz w:val="20"/>
          <w:szCs w:val="20"/>
        </w:rPr>
      </w:pPr>
      <w:r w:rsidRPr="005217FE">
        <w:rPr>
          <w:rFonts w:cs="Calibri"/>
          <w:sz w:val="20"/>
          <w:szCs w:val="20"/>
        </w:rPr>
        <w:t xml:space="preserve">on Human </w:t>
      </w:r>
      <w:proofErr w:type="spellStart"/>
      <w:r w:rsidRPr="005217FE">
        <w:rPr>
          <w:rFonts w:cs="Calibri"/>
          <w:sz w:val="20"/>
          <w:szCs w:val="20"/>
        </w:rPr>
        <w:t>Rights</w:t>
      </w:r>
      <w:proofErr w:type="spellEnd"/>
      <w:r w:rsidRPr="005217FE">
        <w:rPr>
          <w:rFonts w:cs="Calibri"/>
          <w:sz w:val="20"/>
          <w:szCs w:val="20"/>
        </w:rPr>
        <w:t xml:space="preserve">, as </w:t>
      </w:r>
      <w:proofErr w:type="spellStart"/>
      <w:r w:rsidRPr="005217FE">
        <w:rPr>
          <w:rFonts w:cs="Calibri"/>
          <w:sz w:val="20"/>
          <w:szCs w:val="20"/>
        </w:rPr>
        <w:t>amended</w:t>
      </w:r>
      <w:proofErr w:type="spellEnd"/>
      <w:r w:rsidRPr="005217FE">
        <w:rPr>
          <w:rFonts w:cs="Calibri"/>
          <w:sz w:val="20"/>
          <w:szCs w:val="20"/>
        </w:rPr>
        <w:t>) (ECHR).</w:t>
      </w:r>
    </w:p>
  </w:footnote>
  <w:footnote w:id="11">
    <w:p w14:paraId="5B0BEA74" w14:textId="77777777" w:rsidR="007505CE" w:rsidRPr="005217FE" w:rsidRDefault="007505CE" w:rsidP="007505CE">
      <w:pPr>
        <w:pStyle w:val="FootnoteText"/>
        <w:jc w:val="both"/>
        <w:rPr>
          <w:rFonts w:cs="Calibri"/>
          <w:sz w:val="20"/>
          <w:szCs w:val="20"/>
        </w:rPr>
      </w:pPr>
      <w:r w:rsidRPr="005217FE">
        <w:rPr>
          <w:rStyle w:val="FootnoteReference"/>
          <w:rFonts w:cs="Calibri"/>
          <w:sz w:val="20"/>
          <w:szCs w:val="20"/>
        </w:rPr>
        <w:footnoteRef/>
      </w:r>
      <w:r w:rsidRPr="005217FE">
        <w:rPr>
          <w:rFonts w:cs="Calibri"/>
          <w:sz w:val="20"/>
          <w:szCs w:val="20"/>
        </w:rPr>
        <w:t xml:space="preserve"> </w:t>
      </w:r>
      <w:proofErr w:type="spellStart"/>
      <w:r w:rsidRPr="005217FE">
        <w:rPr>
          <w:rFonts w:cs="Calibri"/>
          <w:sz w:val="20"/>
          <w:szCs w:val="20"/>
        </w:rPr>
        <w:t>Charter</w:t>
      </w:r>
      <w:proofErr w:type="spellEnd"/>
      <w:r w:rsidRPr="005217FE">
        <w:rPr>
          <w:rFonts w:cs="Calibri"/>
          <w:sz w:val="20"/>
          <w:szCs w:val="20"/>
        </w:rPr>
        <w:t xml:space="preserve"> </w:t>
      </w:r>
      <w:proofErr w:type="spellStart"/>
      <w:r w:rsidRPr="005217FE">
        <w:rPr>
          <w:rFonts w:cs="Calibri"/>
          <w:sz w:val="20"/>
          <w:szCs w:val="20"/>
        </w:rPr>
        <w:t>of</w:t>
      </w:r>
      <w:proofErr w:type="spellEnd"/>
      <w:r w:rsidRPr="005217FE">
        <w:rPr>
          <w:rFonts w:cs="Calibri"/>
          <w:sz w:val="20"/>
          <w:szCs w:val="20"/>
        </w:rPr>
        <w:t xml:space="preserve"> </w:t>
      </w:r>
      <w:proofErr w:type="spellStart"/>
      <w:r w:rsidRPr="005217FE">
        <w:rPr>
          <w:rFonts w:cs="Calibri"/>
          <w:sz w:val="20"/>
          <w:szCs w:val="20"/>
        </w:rPr>
        <w:t>Fundamental</w:t>
      </w:r>
      <w:proofErr w:type="spellEnd"/>
      <w:r w:rsidRPr="005217FE">
        <w:rPr>
          <w:rFonts w:cs="Calibri"/>
          <w:sz w:val="20"/>
          <w:szCs w:val="20"/>
        </w:rPr>
        <w:t xml:space="preserve"> </w:t>
      </w:r>
      <w:proofErr w:type="spellStart"/>
      <w:r w:rsidRPr="005217FE">
        <w:rPr>
          <w:rFonts w:cs="Calibri"/>
          <w:sz w:val="20"/>
          <w:szCs w:val="20"/>
        </w:rPr>
        <w:t>Rights</w:t>
      </w:r>
      <w:proofErr w:type="spellEnd"/>
      <w:r w:rsidRPr="005217FE">
        <w:rPr>
          <w:rFonts w:cs="Calibri"/>
          <w:sz w:val="20"/>
          <w:szCs w:val="20"/>
        </w:rPr>
        <w:t xml:space="preserve"> </w:t>
      </w:r>
      <w:proofErr w:type="spellStart"/>
      <w:r w:rsidRPr="005217FE">
        <w:rPr>
          <w:rFonts w:cs="Calibri"/>
          <w:sz w:val="20"/>
          <w:szCs w:val="20"/>
        </w:rPr>
        <w:t>of</w:t>
      </w:r>
      <w:proofErr w:type="spellEnd"/>
      <w:r w:rsidRPr="005217FE">
        <w:rPr>
          <w:rFonts w:cs="Calibri"/>
          <w:sz w:val="20"/>
          <w:szCs w:val="20"/>
        </w:rPr>
        <w:t xml:space="preserve"> </w:t>
      </w:r>
      <w:proofErr w:type="spellStart"/>
      <w:r w:rsidRPr="005217FE">
        <w:rPr>
          <w:rFonts w:cs="Calibri"/>
          <w:sz w:val="20"/>
          <w:szCs w:val="20"/>
        </w:rPr>
        <w:t>the</w:t>
      </w:r>
      <w:proofErr w:type="spellEnd"/>
      <w:r w:rsidRPr="005217FE">
        <w:rPr>
          <w:rFonts w:cs="Calibri"/>
          <w:sz w:val="20"/>
          <w:szCs w:val="20"/>
        </w:rPr>
        <w:t xml:space="preserve"> </w:t>
      </w:r>
      <w:proofErr w:type="spellStart"/>
      <w:r w:rsidRPr="005217FE">
        <w:rPr>
          <w:rFonts w:cs="Calibri"/>
          <w:sz w:val="20"/>
          <w:szCs w:val="20"/>
        </w:rPr>
        <w:t>European</w:t>
      </w:r>
      <w:proofErr w:type="spellEnd"/>
      <w:r w:rsidRPr="005217FE">
        <w:rPr>
          <w:rFonts w:cs="Calibri"/>
          <w:sz w:val="20"/>
          <w:szCs w:val="20"/>
        </w:rPr>
        <w:t xml:space="preserve"> Union [2012] OJ C326/391.</w:t>
      </w:r>
    </w:p>
  </w:footnote>
  <w:footnote w:id="12">
    <w:p w14:paraId="732E5548" w14:textId="77777777" w:rsidR="007505CE" w:rsidRPr="005217FE" w:rsidRDefault="007505CE" w:rsidP="007505CE">
      <w:pPr>
        <w:pStyle w:val="FootnoteText"/>
        <w:jc w:val="both"/>
        <w:rPr>
          <w:rFonts w:cs="Calibri"/>
          <w:sz w:val="20"/>
          <w:szCs w:val="20"/>
        </w:rPr>
      </w:pPr>
      <w:r w:rsidRPr="005217FE">
        <w:rPr>
          <w:rStyle w:val="FootnoteReference"/>
          <w:rFonts w:cs="Calibri"/>
          <w:sz w:val="20"/>
          <w:szCs w:val="20"/>
        </w:rPr>
        <w:footnoteRef/>
      </w:r>
      <w:r w:rsidRPr="005217FE">
        <w:rPr>
          <w:rFonts w:cs="Calibri"/>
          <w:sz w:val="20"/>
          <w:szCs w:val="20"/>
        </w:rPr>
        <w:t xml:space="preserve"> </w:t>
      </w:r>
      <w:proofErr w:type="spellStart"/>
      <w:r w:rsidRPr="005217FE">
        <w:rPr>
          <w:rFonts w:cs="Calibri"/>
          <w:sz w:val="20"/>
          <w:szCs w:val="20"/>
        </w:rPr>
        <w:t>Regulation</w:t>
      </w:r>
      <w:proofErr w:type="spellEnd"/>
      <w:r w:rsidRPr="005217FE">
        <w:rPr>
          <w:rFonts w:cs="Calibri"/>
          <w:sz w:val="20"/>
          <w:szCs w:val="20"/>
        </w:rPr>
        <w:t xml:space="preserve"> (EU) 2016/679 </w:t>
      </w:r>
      <w:proofErr w:type="spellStart"/>
      <w:r w:rsidRPr="005217FE">
        <w:rPr>
          <w:rFonts w:cs="Calibri"/>
          <w:sz w:val="20"/>
          <w:szCs w:val="20"/>
        </w:rPr>
        <w:t>of</w:t>
      </w:r>
      <w:proofErr w:type="spellEnd"/>
      <w:r w:rsidRPr="005217FE">
        <w:rPr>
          <w:rFonts w:cs="Calibri"/>
          <w:sz w:val="20"/>
          <w:szCs w:val="20"/>
        </w:rPr>
        <w:t xml:space="preserve"> </w:t>
      </w:r>
      <w:proofErr w:type="spellStart"/>
      <w:r w:rsidRPr="005217FE">
        <w:rPr>
          <w:rFonts w:cs="Calibri"/>
          <w:sz w:val="20"/>
          <w:szCs w:val="20"/>
        </w:rPr>
        <w:t>the</w:t>
      </w:r>
      <w:proofErr w:type="spellEnd"/>
      <w:r w:rsidRPr="005217FE">
        <w:rPr>
          <w:rFonts w:cs="Calibri"/>
          <w:sz w:val="20"/>
          <w:szCs w:val="20"/>
        </w:rPr>
        <w:t xml:space="preserve"> </w:t>
      </w:r>
      <w:proofErr w:type="spellStart"/>
      <w:r w:rsidRPr="005217FE">
        <w:rPr>
          <w:rFonts w:cs="Calibri"/>
          <w:sz w:val="20"/>
          <w:szCs w:val="20"/>
        </w:rPr>
        <w:t>European</w:t>
      </w:r>
      <w:proofErr w:type="spellEnd"/>
      <w:r w:rsidRPr="005217FE">
        <w:rPr>
          <w:rFonts w:cs="Calibri"/>
          <w:sz w:val="20"/>
          <w:szCs w:val="20"/>
        </w:rPr>
        <w:t xml:space="preserve"> </w:t>
      </w:r>
      <w:proofErr w:type="spellStart"/>
      <w:r w:rsidRPr="005217FE">
        <w:rPr>
          <w:rFonts w:cs="Calibri"/>
          <w:sz w:val="20"/>
          <w:szCs w:val="20"/>
        </w:rPr>
        <w:t>Parliament</w:t>
      </w:r>
      <w:proofErr w:type="spellEnd"/>
      <w:r w:rsidRPr="005217FE">
        <w:rPr>
          <w:rFonts w:cs="Calibri"/>
          <w:sz w:val="20"/>
          <w:szCs w:val="20"/>
        </w:rPr>
        <w:t xml:space="preserve"> </w:t>
      </w:r>
      <w:proofErr w:type="spellStart"/>
      <w:r w:rsidRPr="005217FE">
        <w:rPr>
          <w:rFonts w:cs="Calibri"/>
          <w:sz w:val="20"/>
          <w:szCs w:val="20"/>
        </w:rPr>
        <w:t>and</w:t>
      </w:r>
      <w:proofErr w:type="spellEnd"/>
      <w:r w:rsidRPr="005217FE">
        <w:rPr>
          <w:rFonts w:cs="Calibri"/>
          <w:sz w:val="20"/>
          <w:szCs w:val="20"/>
        </w:rPr>
        <w:t xml:space="preserve"> </w:t>
      </w:r>
      <w:proofErr w:type="spellStart"/>
      <w:r w:rsidRPr="005217FE">
        <w:rPr>
          <w:rFonts w:cs="Calibri"/>
          <w:sz w:val="20"/>
          <w:szCs w:val="20"/>
        </w:rPr>
        <w:t>of</w:t>
      </w:r>
      <w:proofErr w:type="spellEnd"/>
      <w:r w:rsidRPr="005217FE">
        <w:rPr>
          <w:rFonts w:cs="Calibri"/>
          <w:sz w:val="20"/>
          <w:szCs w:val="20"/>
        </w:rPr>
        <w:t xml:space="preserve"> </w:t>
      </w:r>
      <w:proofErr w:type="spellStart"/>
      <w:r w:rsidRPr="005217FE">
        <w:rPr>
          <w:rFonts w:cs="Calibri"/>
          <w:sz w:val="20"/>
          <w:szCs w:val="20"/>
        </w:rPr>
        <w:t>the</w:t>
      </w:r>
      <w:proofErr w:type="spellEnd"/>
      <w:r w:rsidRPr="005217FE">
        <w:rPr>
          <w:rFonts w:cs="Calibri"/>
          <w:sz w:val="20"/>
          <w:szCs w:val="20"/>
        </w:rPr>
        <w:t xml:space="preserve"> </w:t>
      </w:r>
      <w:proofErr w:type="spellStart"/>
      <w:r w:rsidRPr="005217FE">
        <w:rPr>
          <w:rFonts w:cs="Calibri"/>
          <w:sz w:val="20"/>
          <w:szCs w:val="20"/>
        </w:rPr>
        <w:t>Council</w:t>
      </w:r>
      <w:proofErr w:type="spellEnd"/>
      <w:r w:rsidRPr="005217FE">
        <w:rPr>
          <w:rFonts w:cs="Calibri"/>
          <w:sz w:val="20"/>
          <w:szCs w:val="20"/>
        </w:rPr>
        <w:t xml:space="preserve"> </w:t>
      </w:r>
      <w:proofErr w:type="spellStart"/>
      <w:r w:rsidRPr="005217FE">
        <w:rPr>
          <w:rFonts w:cs="Calibri"/>
          <w:sz w:val="20"/>
          <w:szCs w:val="20"/>
        </w:rPr>
        <w:t>of</w:t>
      </w:r>
      <w:proofErr w:type="spellEnd"/>
      <w:r w:rsidRPr="005217FE">
        <w:rPr>
          <w:rFonts w:cs="Calibri"/>
          <w:sz w:val="20"/>
          <w:szCs w:val="20"/>
        </w:rPr>
        <w:t xml:space="preserve"> 27 April 2016 on </w:t>
      </w:r>
      <w:proofErr w:type="spellStart"/>
      <w:r w:rsidRPr="005217FE">
        <w:rPr>
          <w:rFonts w:cs="Calibri"/>
          <w:sz w:val="20"/>
          <w:szCs w:val="20"/>
        </w:rPr>
        <w:t>the</w:t>
      </w:r>
      <w:proofErr w:type="spellEnd"/>
      <w:r w:rsidRPr="005217FE">
        <w:rPr>
          <w:rFonts w:cs="Calibri"/>
          <w:sz w:val="20"/>
          <w:szCs w:val="20"/>
        </w:rPr>
        <w:t xml:space="preserve"> </w:t>
      </w:r>
      <w:proofErr w:type="spellStart"/>
      <w:r w:rsidRPr="005217FE">
        <w:rPr>
          <w:rFonts w:cs="Calibri"/>
          <w:sz w:val="20"/>
          <w:szCs w:val="20"/>
        </w:rPr>
        <w:t>protection</w:t>
      </w:r>
      <w:proofErr w:type="spellEnd"/>
      <w:r w:rsidRPr="005217FE">
        <w:rPr>
          <w:rFonts w:cs="Calibri"/>
          <w:sz w:val="20"/>
          <w:szCs w:val="20"/>
        </w:rPr>
        <w:t xml:space="preserve"> </w:t>
      </w:r>
      <w:proofErr w:type="spellStart"/>
      <w:r w:rsidRPr="005217FE">
        <w:rPr>
          <w:rFonts w:cs="Calibri"/>
          <w:sz w:val="20"/>
          <w:szCs w:val="20"/>
        </w:rPr>
        <w:t>of</w:t>
      </w:r>
      <w:proofErr w:type="spellEnd"/>
      <w:r w:rsidRPr="005217FE">
        <w:rPr>
          <w:rFonts w:cs="Calibri"/>
          <w:sz w:val="20"/>
          <w:szCs w:val="20"/>
        </w:rPr>
        <w:t xml:space="preserve"> </w:t>
      </w:r>
      <w:proofErr w:type="spellStart"/>
      <w:r w:rsidRPr="005217FE">
        <w:rPr>
          <w:rFonts w:cs="Calibri"/>
          <w:sz w:val="20"/>
          <w:szCs w:val="20"/>
        </w:rPr>
        <w:t>natural</w:t>
      </w:r>
      <w:proofErr w:type="spellEnd"/>
      <w:r w:rsidRPr="005217FE">
        <w:rPr>
          <w:rFonts w:cs="Calibri"/>
          <w:sz w:val="20"/>
          <w:szCs w:val="20"/>
        </w:rPr>
        <w:t xml:space="preserve"> </w:t>
      </w:r>
      <w:proofErr w:type="spellStart"/>
      <w:r w:rsidRPr="005217FE">
        <w:rPr>
          <w:rFonts w:cs="Calibri"/>
          <w:sz w:val="20"/>
          <w:szCs w:val="20"/>
        </w:rPr>
        <w:t>persons</w:t>
      </w:r>
      <w:proofErr w:type="spellEnd"/>
      <w:r w:rsidRPr="005217FE">
        <w:rPr>
          <w:rFonts w:cs="Calibri"/>
          <w:sz w:val="20"/>
          <w:szCs w:val="20"/>
        </w:rPr>
        <w:t xml:space="preserve"> </w:t>
      </w:r>
      <w:proofErr w:type="spellStart"/>
      <w:r w:rsidRPr="005217FE">
        <w:rPr>
          <w:rFonts w:cs="Calibri"/>
          <w:sz w:val="20"/>
          <w:szCs w:val="20"/>
        </w:rPr>
        <w:t>with</w:t>
      </w:r>
      <w:proofErr w:type="spellEnd"/>
      <w:r w:rsidRPr="005217FE">
        <w:rPr>
          <w:rFonts w:cs="Calibri"/>
          <w:sz w:val="20"/>
          <w:szCs w:val="20"/>
        </w:rPr>
        <w:t xml:space="preserve"> </w:t>
      </w:r>
      <w:proofErr w:type="spellStart"/>
      <w:r w:rsidRPr="005217FE">
        <w:rPr>
          <w:rFonts w:cs="Calibri"/>
          <w:sz w:val="20"/>
          <w:szCs w:val="20"/>
        </w:rPr>
        <w:t>regard</w:t>
      </w:r>
      <w:proofErr w:type="spellEnd"/>
      <w:r w:rsidRPr="005217FE">
        <w:rPr>
          <w:rFonts w:cs="Calibri"/>
          <w:sz w:val="20"/>
          <w:szCs w:val="20"/>
        </w:rPr>
        <w:t xml:space="preserve"> to </w:t>
      </w:r>
      <w:proofErr w:type="spellStart"/>
      <w:r w:rsidRPr="005217FE">
        <w:rPr>
          <w:rFonts w:cs="Calibri"/>
          <w:sz w:val="20"/>
          <w:szCs w:val="20"/>
        </w:rPr>
        <w:t>the</w:t>
      </w:r>
      <w:proofErr w:type="spellEnd"/>
      <w:r w:rsidRPr="005217FE">
        <w:rPr>
          <w:rFonts w:cs="Calibri"/>
          <w:sz w:val="20"/>
          <w:szCs w:val="20"/>
        </w:rPr>
        <w:t xml:space="preserve"> </w:t>
      </w:r>
      <w:proofErr w:type="spellStart"/>
      <w:r w:rsidRPr="005217FE">
        <w:rPr>
          <w:rFonts w:cs="Calibri"/>
          <w:sz w:val="20"/>
          <w:szCs w:val="20"/>
        </w:rPr>
        <w:t>processing</w:t>
      </w:r>
      <w:proofErr w:type="spellEnd"/>
      <w:r w:rsidRPr="005217FE">
        <w:rPr>
          <w:rFonts w:cs="Calibri"/>
          <w:sz w:val="20"/>
          <w:szCs w:val="20"/>
        </w:rPr>
        <w:t xml:space="preserve"> </w:t>
      </w:r>
      <w:proofErr w:type="spellStart"/>
      <w:r w:rsidRPr="005217FE">
        <w:rPr>
          <w:rFonts w:cs="Calibri"/>
          <w:sz w:val="20"/>
          <w:szCs w:val="20"/>
        </w:rPr>
        <w:t>of</w:t>
      </w:r>
      <w:proofErr w:type="spellEnd"/>
      <w:r w:rsidRPr="005217FE">
        <w:rPr>
          <w:rFonts w:cs="Calibri"/>
          <w:sz w:val="20"/>
          <w:szCs w:val="20"/>
        </w:rPr>
        <w:t xml:space="preserve"> personal data </w:t>
      </w:r>
      <w:proofErr w:type="spellStart"/>
      <w:r w:rsidRPr="005217FE">
        <w:rPr>
          <w:rFonts w:cs="Calibri"/>
          <w:sz w:val="20"/>
          <w:szCs w:val="20"/>
        </w:rPr>
        <w:t>and</w:t>
      </w:r>
      <w:proofErr w:type="spellEnd"/>
      <w:r w:rsidRPr="005217FE">
        <w:rPr>
          <w:rFonts w:cs="Calibri"/>
          <w:sz w:val="20"/>
          <w:szCs w:val="20"/>
        </w:rPr>
        <w:t xml:space="preserve"> on </w:t>
      </w:r>
      <w:proofErr w:type="spellStart"/>
      <w:r w:rsidRPr="005217FE">
        <w:rPr>
          <w:rFonts w:cs="Calibri"/>
          <w:sz w:val="20"/>
          <w:szCs w:val="20"/>
        </w:rPr>
        <w:t>the</w:t>
      </w:r>
      <w:proofErr w:type="spellEnd"/>
      <w:r w:rsidRPr="005217FE">
        <w:rPr>
          <w:rFonts w:cs="Calibri"/>
          <w:sz w:val="20"/>
          <w:szCs w:val="20"/>
        </w:rPr>
        <w:t xml:space="preserve"> </w:t>
      </w:r>
      <w:proofErr w:type="spellStart"/>
      <w:r w:rsidRPr="005217FE">
        <w:rPr>
          <w:rFonts w:cs="Calibri"/>
          <w:sz w:val="20"/>
          <w:szCs w:val="20"/>
        </w:rPr>
        <w:t>free</w:t>
      </w:r>
      <w:proofErr w:type="spellEnd"/>
      <w:r w:rsidRPr="005217FE">
        <w:rPr>
          <w:rFonts w:cs="Calibri"/>
          <w:sz w:val="20"/>
          <w:szCs w:val="20"/>
        </w:rPr>
        <w:t xml:space="preserve"> </w:t>
      </w:r>
      <w:proofErr w:type="spellStart"/>
      <w:r w:rsidRPr="005217FE">
        <w:rPr>
          <w:rFonts w:cs="Calibri"/>
          <w:sz w:val="20"/>
          <w:szCs w:val="20"/>
        </w:rPr>
        <w:t>movement</w:t>
      </w:r>
      <w:proofErr w:type="spellEnd"/>
      <w:r w:rsidRPr="005217FE">
        <w:rPr>
          <w:rFonts w:cs="Calibri"/>
          <w:sz w:val="20"/>
          <w:szCs w:val="20"/>
        </w:rPr>
        <w:t xml:space="preserve"> </w:t>
      </w:r>
      <w:proofErr w:type="spellStart"/>
      <w:r w:rsidRPr="005217FE">
        <w:rPr>
          <w:rFonts w:cs="Calibri"/>
          <w:sz w:val="20"/>
          <w:szCs w:val="20"/>
        </w:rPr>
        <w:t>of</w:t>
      </w:r>
      <w:proofErr w:type="spellEnd"/>
      <w:r w:rsidRPr="005217FE">
        <w:rPr>
          <w:rFonts w:cs="Calibri"/>
          <w:sz w:val="20"/>
          <w:szCs w:val="20"/>
        </w:rPr>
        <w:t xml:space="preserve"> </w:t>
      </w:r>
      <w:proofErr w:type="spellStart"/>
      <w:r w:rsidRPr="005217FE">
        <w:rPr>
          <w:rFonts w:cs="Calibri"/>
          <w:sz w:val="20"/>
          <w:szCs w:val="20"/>
        </w:rPr>
        <w:t>such</w:t>
      </w:r>
      <w:proofErr w:type="spellEnd"/>
      <w:r w:rsidRPr="005217FE">
        <w:rPr>
          <w:rFonts w:cs="Calibri"/>
          <w:sz w:val="20"/>
          <w:szCs w:val="20"/>
        </w:rPr>
        <w:t xml:space="preserve"> data, </w:t>
      </w:r>
      <w:proofErr w:type="spellStart"/>
      <w:r w:rsidRPr="005217FE">
        <w:rPr>
          <w:rFonts w:cs="Calibri"/>
          <w:sz w:val="20"/>
          <w:szCs w:val="20"/>
        </w:rPr>
        <w:t>and</w:t>
      </w:r>
      <w:proofErr w:type="spellEnd"/>
      <w:r w:rsidRPr="005217FE">
        <w:rPr>
          <w:rFonts w:cs="Calibri"/>
          <w:sz w:val="20"/>
          <w:szCs w:val="20"/>
        </w:rPr>
        <w:t xml:space="preserve"> </w:t>
      </w:r>
      <w:proofErr w:type="spellStart"/>
      <w:r w:rsidRPr="005217FE">
        <w:rPr>
          <w:rFonts w:cs="Calibri"/>
          <w:sz w:val="20"/>
          <w:szCs w:val="20"/>
        </w:rPr>
        <w:t>repealing</w:t>
      </w:r>
      <w:proofErr w:type="spellEnd"/>
      <w:r w:rsidRPr="005217FE">
        <w:rPr>
          <w:rFonts w:cs="Calibri"/>
          <w:sz w:val="20"/>
          <w:szCs w:val="20"/>
        </w:rPr>
        <w:t xml:space="preserve"> </w:t>
      </w:r>
      <w:proofErr w:type="spellStart"/>
      <w:r w:rsidRPr="005217FE">
        <w:rPr>
          <w:rFonts w:cs="Calibri"/>
          <w:sz w:val="20"/>
          <w:szCs w:val="20"/>
        </w:rPr>
        <w:t>Directive</w:t>
      </w:r>
      <w:proofErr w:type="spellEnd"/>
      <w:r w:rsidRPr="005217FE">
        <w:rPr>
          <w:rFonts w:cs="Calibri"/>
          <w:sz w:val="20"/>
          <w:szCs w:val="20"/>
        </w:rPr>
        <w:t xml:space="preserve"> 95/46/EC (General Data </w:t>
      </w:r>
      <w:proofErr w:type="spellStart"/>
      <w:r w:rsidRPr="005217FE">
        <w:rPr>
          <w:rFonts w:cs="Calibri"/>
          <w:sz w:val="20"/>
          <w:szCs w:val="20"/>
        </w:rPr>
        <w:t>Protection</w:t>
      </w:r>
      <w:proofErr w:type="spellEnd"/>
      <w:r w:rsidRPr="005217FE">
        <w:rPr>
          <w:rFonts w:cs="Calibri"/>
          <w:sz w:val="20"/>
          <w:szCs w:val="20"/>
        </w:rPr>
        <w:t xml:space="preserve"> </w:t>
      </w:r>
      <w:proofErr w:type="spellStart"/>
      <w:r w:rsidRPr="005217FE">
        <w:rPr>
          <w:rFonts w:cs="Calibri"/>
          <w:sz w:val="20"/>
          <w:szCs w:val="20"/>
        </w:rPr>
        <w:t>Regulation</w:t>
      </w:r>
      <w:proofErr w:type="spellEnd"/>
      <w:r w:rsidRPr="005217FE">
        <w:rPr>
          <w:rFonts w:cs="Calibri"/>
          <w:sz w:val="20"/>
          <w:szCs w:val="20"/>
        </w:rPr>
        <w:t>) [2016] OJ L119/89.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A410084"/>
    <w:multiLevelType w:val="hybridMultilevel"/>
    <w:tmpl w:val="A01036F4"/>
    <w:lvl w:ilvl="0" w:tplc="5B6EF788">
      <w:start w:val="1"/>
      <w:numFmt w:val="decimal"/>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AB14AE4"/>
    <w:multiLevelType w:val="hybridMultilevel"/>
    <w:tmpl w:val="3866F52A"/>
    <w:lvl w:ilvl="0" w:tplc="A9ACDC88">
      <w:numFmt w:val="bullet"/>
      <w:lvlText w:val="-"/>
      <w:lvlJc w:val="left"/>
      <w:pPr>
        <w:ind w:left="720" w:hanging="360"/>
      </w:pPr>
      <w:rPr>
        <w:rFonts w:ascii="Arial" w:eastAsiaTheme="minorHAnsi" w:hAnsi="Arial" w:cs="Arial" w:hint="default"/>
      </w:rPr>
    </w:lvl>
    <w:lvl w:ilvl="1" w:tplc="E8E4F470">
      <w:start w:val="1"/>
      <w:numFmt w:val="bullet"/>
      <w:lvlText w:val="o"/>
      <w:lvlJc w:val="left"/>
      <w:pPr>
        <w:ind w:left="1440" w:hanging="360"/>
      </w:pPr>
      <w:rPr>
        <w:rFonts w:ascii="Courier New" w:hAnsi="Courier New" w:cs="Courier New" w:hint="default"/>
      </w:rPr>
    </w:lvl>
    <w:lvl w:ilvl="2" w:tplc="2CC4CBF4">
      <w:start w:val="1"/>
      <w:numFmt w:val="bullet"/>
      <w:lvlText w:val=""/>
      <w:lvlJc w:val="left"/>
      <w:pPr>
        <w:ind w:left="2160" w:hanging="360"/>
      </w:pPr>
      <w:rPr>
        <w:rFonts w:ascii="Wingdings" w:hAnsi="Wingdings" w:hint="default"/>
      </w:rPr>
    </w:lvl>
    <w:lvl w:ilvl="3" w:tplc="D1BA4464">
      <w:start w:val="1"/>
      <w:numFmt w:val="bullet"/>
      <w:lvlText w:val=""/>
      <w:lvlJc w:val="left"/>
      <w:pPr>
        <w:ind w:left="2880" w:hanging="360"/>
      </w:pPr>
      <w:rPr>
        <w:rFonts w:ascii="Symbol" w:hAnsi="Symbol" w:hint="default"/>
      </w:rPr>
    </w:lvl>
    <w:lvl w:ilvl="4" w:tplc="1E5AE7FA">
      <w:start w:val="1"/>
      <w:numFmt w:val="bullet"/>
      <w:lvlText w:val="o"/>
      <w:lvlJc w:val="left"/>
      <w:pPr>
        <w:ind w:left="3600" w:hanging="360"/>
      </w:pPr>
      <w:rPr>
        <w:rFonts w:ascii="Courier New" w:hAnsi="Courier New" w:cs="Courier New" w:hint="default"/>
      </w:rPr>
    </w:lvl>
    <w:lvl w:ilvl="5" w:tplc="0D76C4CC">
      <w:start w:val="1"/>
      <w:numFmt w:val="bullet"/>
      <w:lvlText w:val=""/>
      <w:lvlJc w:val="left"/>
      <w:pPr>
        <w:ind w:left="4320" w:hanging="360"/>
      </w:pPr>
      <w:rPr>
        <w:rFonts w:ascii="Wingdings" w:hAnsi="Wingdings" w:hint="default"/>
      </w:rPr>
    </w:lvl>
    <w:lvl w:ilvl="6" w:tplc="5D4827CE">
      <w:start w:val="1"/>
      <w:numFmt w:val="bullet"/>
      <w:lvlText w:val=""/>
      <w:lvlJc w:val="left"/>
      <w:pPr>
        <w:ind w:left="5040" w:hanging="360"/>
      </w:pPr>
      <w:rPr>
        <w:rFonts w:ascii="Symbol" w:hAnsi="Symbol" w:hint="default"/>
      </w:rPr>
    </w:lvl>
    <w:lvl w:ilvl="7" w:tplc="6F6E68BA">
      <w:start w:val="1"/>
      <w:numFmt w:val="bullet"/>
      <w:lvlText w:val="o"/>
      <w:lvlJc w:val="left"/>
      <w:pPr>
        <w:ind w:left="5760" w:hanging="360"/>
      </w:pPr>
      <w:rPr>
        <w:rFonts w:ascii="Courier New" w:hAnsi="Courier New" w:cs="Courier New" w:hint="default"/>
      </w:rPr>
    </w:lvl>
    <w:lvl w:ilvl="8" w:tplc="FDE8727C">
      <w:start w:val="1"/>
      <w:numFmt w:val="bullet"/>
      <w:lvlText w:val=""/>
      <w:lvlJc w:val="left"/>
      <w:pPr>
        <w:ind w:left="6480" w:hanging="360"/>
      </w:pPr>
      <w:rPr>
        <w:rFonts w:ascii="Wingdings" w:hAnsi="Wingdings" w:hint="default"/>
      </w:rPr>
    </w:lvl>
  </w:abstractNum>
  <w:abstractNum w:abstractNumId="7" w15:restartNumberingAfterBreak="0">
    <w:nsid w:val="761D042B"/>
    <w:multiLevelType w:val="hybridMultilevel"/>
    <w:tmpl w:val="08A86A94"/>
    <w:lvl w:ilvl="0" w:tplc="F2AE9ED6">
      <w:start w:val="3"/>
      <w:numFmt w:val="bullet"/>
      <w:lvlText w:val="-"/>
      <w:lvlJc w:val="left"/>
      <w:pPr>
        <w:ind w:left="720" w:hanging="360"/>
      </w:pPr>
      <w:rPr>
        <w:rFonts w:ascii="Times New Roman" w:eastAsia="Arial"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48"/>
    <w:rsid w:val="00106FCE"/>
    <w:rsid w:val="001E5D51"/>
    <w:rsid w:val="00293915"/>
    <w:rsid w:val="002F1A63"/>
    <w:rsid w:val="004172D9"/>
    <w:rsid w:val="00421E52"/>
    <w:rsid w:val="0042797C"/>
    <w:rsid w:val="006F7817"/>
    <w:rsid w:val="007505CE"/>
    <w:rsid w:val="00847710"/>
    <w:rsid w:val="00983233"/>
    <w:rsid w:val="00C20548"/>
    <w:rsid w:val="00DB42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54D6"/>
  <w15:chartTrackingRefBased/>
  <w15:docId w15:val="{C256973A-3B6F-0D43-9651-FB15EBE9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548"/>
    <w:rPr>
      <w:sz w:val="22"/>
      <w:szCs w:val="22"/>
    </w:rPr>
  </w:style>
  <w:style w:type="table" w:styleId="TableGrid">
    <w:name w:val="Table Grid"/>
    <w:basedOn w:val="TableNormal"/>
    <w:uiPriority w:val="39"/>
    <w:rsid w:val="00C2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0548"/>
    <w:pPr>
      <w:suppressAutoHyphens/>
      <w:autoSpaceDN w:val="0"/>
      <w:textAlignment w:val="baseline"/>
    </w:pPr>
    <w:rPr>
      <w:rFonts w:ascii="Liberation Serif" w:eastAsia="NSimSun" w:hAnsi="Liberation Serif" w:cs="Mangal"/>
      <w:kern w:val="3"/>
      <w:lang w:eastAsia="zh-CN" w:bidi="hi-IN"/>
    </w:rPr>
  </w:style>
  <w:style w:type="paragraph" w:customStyle="1" w:styleId="podpisi">
    <w:name w:val="podpisi"/>
    <w:basedOn w:val="Standard"/>
    <w:rsid w:val="00C20548"/>
    <w:pPr>
      <w:tabs>
        <w:tab w:val="left" w:pos="3402"/>
      </w:tabs>
    </w:pPr>
    <w:rPr>
      <w:lang w:val="it-IT"/>
    </w:rPr>
  </w:style>
  <w:style w:type="character" w:styleId="Hyperlink">
    <w:name w:val="Hyperlink"/>
    <w:rsid w:val="007505CE"/>
    <w:rPr>
      <w:color w:val="0000FF"/>
      <w:u w:val="single"/>
    </w:rPr>
  </w:style>
  <w:style w:type="paragraph" w:styleId="ListParagraph">
    <w:name w:val="List Paragraph"/>
    <w:basedOn w:val="Normal"/>
    <w:uiPriority w:val="34"/>
    <w:qFormat/>
    <w:rsid w:val="007505CE"/>
    <w:pPr>
      <w:ind w:left="720"/>
      <w:contextualSpacing/>
    </w:pPr>
    <w:rPr>
      <w:rFonts w:ascii="Calibri" w:eastAsia="Calibri" w:hAnsi="Calibri"/>
      <w:lang w:val="en-US"/>
    </w:rPr>
  </w:style>
  <w:style w:type="paragraph" w:styleId="FootnoteText">
    <w:name w:val="footnote text"/>
    <w:basedOn w:val="Normal"/>
    <w:link w:val="FootnoteTextChar"/>
    <w:uiPriority w:val="99"/>
    <w:unhideWhenUsed/>
    <w:rsid w:val="007505CE"/>
    <w:rPr>
      <w:rFonts w:ascii="Calibri" w:hAnsi="Calibri"/>
    </w:rPr>
  </w:style>
  <w:style w:type="character" w:customStyle="1" w:styleId="FootnoteTextChar">
    <w:name w:val="Footnote Text Char"/>
    <w:basedOn w:val="DefaultParagraphFont"/>
    <w:link w:val="FootnoteText"/>
    <w:uiPriority w:val="99"/>
    <w:rsid w:val="007505CE"/>
    <w:rPr>
      <w:rFonts w:ascii="Calibri" w:eastAsia="Times New Roman" w:hAnsi="Calibri" w:cs="Times New Roman"/>
    </w:rPr>
  </w:style>
  <w:style w:type="character" w:styleId="FootnoteReference">
    <w:name w:val="footnote reference"/>
    <w:aliases w:val="FZ,OZNAKA OPOMBE"/>
    <w:uiPriority w:val="99"/>
    <w:unhideWhenUsed/>
    <w:rsid w:val="007505CE"/>
    <w:rPr>
      <w:vertAlign w:val="superscript"/>
    </w:rPr>
  </w:style>
  <w:style w:type="paragraph" w:customStyle="1" w:styleId="Default">
    <w:name w:val="Default"/>
    <w:rsid w:val="001E5D51"/>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040/9781509926909.ch-014"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doi.org/10.1177/1477370819876762" TargetMode="External"/><Relationship Id="rId4" Type="http://schemas.openxmlformats.org/officeDocument/2006/relationships/webSettings" Target="webSettings.xml"/><Relationship Id="rId9" Type="http://schemas.openxmlformats.org/officeDocument/2006/relationships/hyperlink" Target="https://doi.org/10.1007/s12027-020-00602-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042F34-5EEE-4421-BF22-8B7377DE1DAC}"/>
</file>

<file path=customXml/itemProps2.xml><?xml version="1.0" encoding="utf-8"?>
<ds:datastoreItem xmlns:ds="http://schemas.openxmlformats.org/officeDocument/2006/customXml" ds:itemID="{16DFB676-6B97-43A5-BEE5-E426700758EA}"/>
</file>

<file path=customXml/itemProps3.xml><?xml version="1.0" encoding="utf-8"?>
<ds:datastoreItem xmlns:ds="http://schemas.openxmlformats.org/officeDocument/2006/customXml" ds:itemID="{71D47328-2588-4AE5-B89A-A469E6557CCE}"/>
</file>

<file path=docProps/app.xml><?xml version="1.0" encoding="utf-8"?>
<Properties xmlns="http://schemas.openxmlformats.org/officeDocument/2006/extended-properties" xmlns:vt="http://schemas.openxmlformats.org/officeDocument/2006/docPropsVTypes">
  <Template>Normal</Template>
  <TotalTime>93</TotalTime>
  <Pages>8</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Slovenia</dc:title>
  <dc:subject/>
  <dc:creator>Ursa Ponikvar</dc:creator>
  <cp:keywords/>
  <dc:description/>
  <cp:lastModifiedBy>mzz</cp:lastModifiedBy>
  <cp:revision>7</cp:revision>
  <dcterms:created xsi:type="dcterms:W3CDTF">2021-05-28T07:58:00Z</dcterms:created>
  <dcterms:modified xsi:type="dcterms:W3CDTF">2021-05-28T09:41:00Z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