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64336" w14:textId="77777777" w:rsidR="001105C6" w:rsidRPr="00377564" w:rsidRDefault="001105C6" w:rsidP="00D300D4">
      <w:pPr>
        <w:pBdr>
          <w:top w:val="nil"/>
          <w:left w:val="nil"/>
          <w:bottom w:val="single" w:sz="4" w:space="1" w:color="auto"/>
          <w:right w:val="nil"/>
          <w:between w:val="nil"/>
        </w:pBdr>
        <w:tabs>
          <w:tab w:val="right" w:pos="3686"/>
          <w:tab w:val="left" w:pos="5812"/>
        </w:tabs>
        <w:spacing w:before="80" w:after="0" w:line="240" w:lineRule="auto"/>
        <w:jc w:val="center"/>
        <w:rPr>
          <w:rFonts w:ascii="Times New Roman" w:hAnsi="Times New Roman" w:cs="Times New Roman"/>
          <w:sz w:val="24"/>
          <w:szCs w:val="24"/>
        </w:rPr>
      </w:pPr>
      <w:bookmarkStart w:id="0" w:name="_GoBack"/>
      <w:bookmarkEnd w:id="0"/>
      <w:r w:rsidRPr="00377564">
        <w:rPr>
          <w:rFonts w:ascii="Times New Roman" w:hAnsi="Times New Roman" w:cs="Times New Roman"/>
          <w:noProof/>
          <w:sz w:val="24"/>
          <w:szCs w:val="24"/>
          <w:lang w:eastAsia="en-GB"/>
        </w:rPr>
        <w:drawing>
          <wp:inline distT="0" distB="0" distL="0" distR="0" wp14:anchorId="207643A6" wp14:editId="207643A7">
            <wp:extent cx="1320800" cy="132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p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inline>
        </w:drawing>
      </w:r>
    </w:p>
    <w:p w14:paraId="20764337" w14:textId="77777777" w:rsidR="001105C6" w:rsidRDefault="001105C6" w:rsidP="00D300D4">
      <w:pPr>
        <w:pBdr>
          <w:top w:val="nil"/>
          <w:left w:val="nil"/>
          <w:bottom w:val="single" w:sz="4" w:space="1" w:color="auto"/>
          <w:right w:val="nil"/>
          <w:between w:val="nil"/>
        </w:pBdr>
        <w:tabs>
          <w:tab w:val="right" w:pos="3686"/>
          <w:tab w:val="left" w:pos="5812"/>
        </w:tabs>
        <w:spacing w:before="80" w:after="0" w:line="240" w:lineRule="auto"/>
        <w:jc w:val="center"/>
        <w:rPr>
          <w:rFonts w:ascii="Times New Roman" w:eastAsia="Georgia" w:hAnsi="Times New Roman" w:cs="Times New Roman"/>
          <w:b/>
          <w:sz w:val="24"/>
          <w:szCs w:val="24"/>
        </w:rPr>
      </w:pPr>
      <w:r w:rsidRPr="00377564">
        <w:rPr>
          <w:rFonts w:ascii="Times New Roman" w:eastAsia="Georgia" w:hAnsi="Times New Roman" w:cs="Times New Roman"/>
          <w:b/>
          <w:sz w:val="24"/>
          <w:szCs w:val="24"/>
        </w:rPr>
        <w:t>INPUTS OF THE COMMISSION ON HUMAN RIGHTS OF THE PHILIPPINES FOR HUMAN RIGHTS COUNCIL RESOLUTON 37/22 CONCERNING THE RIGHTS OF PERSONS WITH DISABILITIES</w:t>
      </w:r>
    </w:p>
    <w:p w14:paraId="20764338" w14:textId="77777777" w:rsidR="00D80E9C" w:rsidRDefault="00D80E9C" w:rsidP="00D300D4">
      <w:pPr>
        <w:pBdr>
          <w:top w:val="nil"/>
          <w:left w:val="nil"/>
          <w:bottom w:val="single" w:sz="4" w:space="1" w:color="auto"/>
          <w:right w:val="nil"/>
          <w:between w:val="nil"/>
        </w:pBdr>
        <w:tabs>
          <w:tab w:val="right" w:pos="3686"/>
          <w:tab w:val="left" w:pos="5812"/>
        </w:tabs>
        <w:spacing w:before="80" w:after="0" w:line="240" w:lineRule="auto"/>
        <w:jc w:val="center"/>
        <w:rPr>
          <w:rFonts w:ascii="Times New Roman" w:eastAsia="Georgia" w:hAnsi="Times New Roman" w:cs="Times New Roman"/>
          <w:b/>
          <w:sz w:val="24"/>
          <w:szCs w:val="24"/>
        </w:rPr>
      </w:pPr>
    </w:p>
    <w:p w14:paraId="20764339" w14:textId="77777777" w:rsidR="00D80E9C" w:rsidRPr="00377564" w:rsidRDefault="00D80E9C" w:rsidP="00D300D4">
      <w:pPr>
        <w:pBdr>
          <w:top w:val="nil"/>
          <w:left w:val="nil"/>
          <w:bottom w:val="single" w:sz="4" w:space="1" w:color="auto"/>
          <w:right w:val="nil"/>
          <w:between w:val="nil"/>
        </w:pBdr>
        <w:tabs>
          <w:tab w:val="right" w:pos="3686"/>
          <w:tab w:val="left" w:pos="5812"/>
        </w:tabs>
        <w:spacing w:before="80" w:after="0" w:line="240" w:lineRule="auto"/>
        <w:jc w:val="center"/>
        <w:rPr>
          <w:rFonts w:ascii="Times New Roman" w:eastAsia="Georgia" w:hAnsi="Times New Roman" w:cs="Times New Roman"/>
          <w:b/>
          <w:sz w:val="24"/>
          <w:szCs w:val="24"/>
        </w:rPr>
      </w:pPr>
      <w:r>
        <w:rPr>
          <w:rFonts w:ascii="Times New Roman" w:eastAsia="Georgia" w:hAnsi="Times New Roman" w:cs="Times New Roman"/>
          <w:b/>
          <w:sz w:val="24"/>
          <w:szCs w:val="24"/>
        </w:rPr>
        <w:t>22 July 2019</w:t>
      </w:r>
    </w:p>
    <w:p w14:paraId="2076433A" w14:textId="77777777" w:rsidR="000972D5" w:rsidRPr="00377564" w:rsidRDefault="000972D5" w:rsidP="00B26FC9">
      <w:pPr>
        <w:jc w:val="both"/>
        <w:rPr>
          <w:rFonts w:ascii="Times New Roman" w:hAnsi="Times New Roman" w:cs="Times New Roman"/>
          <w:sz w:val="24"/>
          <w:szCs w:val="24"/>
        </w:rPr>
      </w:pPr>
    </w:p>
    <w:p w14:paraId="2076433B" w14:textId="77777777" w:rsidR="00BC16CF" w:rsidRPr="00377564" w:rsidRDefault="00BC16CF" w:rsidP="00B26FC9">
      <w:pPr>
        <w:numPr>
          <w:ilvl w:val="0"/>
          <w:numId w:val="1"/>
        </w:numPr>
        <w:spacing w:after="0" w:line="240" w:lineRule="auto"/>
        <w:jc w:val="both"/>
        <w:rPr>
          <w:rFonts w:ascii="Times New Roman" w:eastAsia="Times New Roman" w:hAnsi="Times New Roman" w:cs="Times New Roman"/>
          <w:sz w:val="24"/>
          <w:szCs w:val="24"/>
        </w:rPr>
      </w:pPr>
      <w:r w:rsidRPr="00377564">
        <w:rPr>
          <w:rFonts w:ascii="Times New Roman" w:eastAsia="Times New Roman" w:hAnsi="Times New Roman" w:cs="Times New Roman"/>
          <w:sz w:val="24"/>
          <w:szCs w:val="24"/>
        </w:rPr>
        <w:t>The Commission on Human Rights of the Philippines (herewith t</w:t>
      </w:r>
      <w:r w:rsidR="00F5265F" w:rsidRPr="00377564">
        <w:rPr>
          <w:rFonts w:ascii="Times New Roman" w:eastAsia="Times New Roman" w:hAnsi="Times New Roman" w:cs="Times New Roman"/>
          <w:sz w:val="24"/>
          <w:szCs w:val="24"/>
        </w:rPr>
        <w:t xml:space="preserve">he Commission) hereby submits to the Office of the High Commissioner on Human Rights (OHCHR) its contribution to the latter's study relative to article 8 of the Convention on the Rights of Persons with Disabilities (CRPD) pursuant to Human Rights Council resolution 37/22.  </w:t>
      </w:r>
    </w:p>
    <w:p w14:paraId="2076433C" w14:textId="77777777" w:rsidR="00BC16CF" w:rsidRPr="00377564" w:rsidRDefault="00BC16CF" w:rsidP="00B26FC9">
      <w:pPr>
        <w:spacing w:after="0" w:line="240" w:lineRule="auto"/>
        <w:ind w:left="720"/>
        <w:jc w:val="both"/>
        <w:rPr>
          <w:rFonts w:ascii="Times New Roman" w:eastAsia="Times New Roman" w:hAnsi="Times New Roman" w:cs="Times New Roman"/>
          <w:sz w:val="24"/>
          <w:szCs w:val="24"/>
        </w:rPr>
      </w:pPr>
    </w:p>
    <w:p w14:paraId="2076433D" w14:textId="77777777" w:rsidR="00BC16CF" w:rsidRPr="00377564" w:rsidRDefault="00BC16CF" w:rsidP="00B26FC9">
      <w:pPr>
        <w:numPr>
          <w:ilvl w:val="0"/>
          <w:numId w:val="1"/>
        </w:numPr>
        <w:spacing w:after="0" w:line="240" w:lineRule="auto"/>
        <w:jc w:val="both"/>
        <w:rPr>
          <w:rFonts w:ascii="Times New Roman" w:eastAsia="Times New Roman" w:hAnsi="Times New Roman" w:cs="Times New Roman"/>
          <w:sz w:val="24"/>
          <w:szCs w:val="24"/>
        </w:rPr>
      </w:pPr>
      <w:r w:rsidRPr="00377564">
        <w:rPr>
          <w:rFonts w:ascii="Times New Roman" w:eastAsia="Times New Roman" w:hAnsi="Times New Roman" w:cs="Times New Roman"/>
          <w:sz w:val="24"/>
          <w:szCs w:val="24"/>
        </w:rPr>
        <w:t xml:space="preserve">This submission took into consideration local and international reports from government, civil society, the media, and international non-government organizations. This submission also utilized the Commission’s own documentation of independent monitoring activities and statements on the rights of persons </w:t>
      </w:r>
      <w:r w:rsidR="00F5265F" w:rsidRPr="00377564">
        <w:rPr>
          <w:rFonts w:ascii="Times New Roman" w:eastAsia="Times New Roman" w:hAnsi="Times New Roman" w:cs="Times New Roman"/>
          <w:sz w:val="24"/>
          <w:szCs w:val="24"/>
        </w:rPr>
        <w:t xml:space="preserve">with disabilities </w:t>
      </w:r>
      <w:r w:rsidRPr="00377564">
        <w:rPr>
          <w:rFonts w:ascii="Times New Roman" w:eastAsia="Times New Roman" w:hAnsi="Times New Roman" w:cs="Times New Roman"/>
          <w:sz w:val="24"/>
          <w:szCs w:val="24"/>
        </w:rPr>
        <w:t>which has undergone internal deliberations of the Commission En Banc.</w:t>
      </w:r>
    </w:p>
    <w:p w14:paraId="2076433E" w14:textId="77777777" w:rsidR="00F5265F" w:rsidRPr="00377564" w:rsidRDefault="00F5265F" w:rsidP="00B26FC9">
      <w:pPr>
        <w:spacing w:after="0" w:line="240" w:lineRule="auto"/>
        <w:ind w:left="720"/>
        <w:jc w:val="both"/>
        <w:rPr>
          <w:rFonts w:ascii="Times New Roman" w:eastAsia="Times New Roman" w:hAnsi="Times New Roman" w:cs="Times New Roman"/>
          <w:sz w:val="24"/>
          <w:szCs w:val="24"/>
        </w:rPr>
      </w:pPr>
    </w:p>
    <w:p w14:paraId="2076433F" w14:textId="77777777" w:rsidR="00F5265F" w:rsidRPr="00377564" w:rsidRDefault="00F5265F" w:rsidP="00B26FC9">
      <w:pPr>
        <w:numPr>
          <w:ilvl w:val="0"/>
          <w:numId w:val="1"/>
        </w:numPr>
        <w:spacing w:after="0" w:line="240" w:lineRule="auto"/>
        <w:jc w:val="both"/>
        <w:rPr>
          <w:rFonts w:ascii="Times New Roman" w:eastAsia="Times New Roman" w:hAnsi="Times New Roman" w:cs="Times New Roman"/>
          <w:sz w:val="24"/>
          <w:szCs w:val="24"/>
        </w:rPr>
      </w:pPr>
      <w:r w:rsidRPr="00377564">
        <w:rPr>
          <w:rFonts w:ascii="Times New Roman" w:eastAsia="Times New Roman" w:hAnsi="Times New Roman" w:cs="Times New Roman"/>
          <w:sz w:val="24"/>
          <w:szCs w:val="24"/>
        </w:rPr>
        <w:t>The Commission's responses to the questionnaire of the OHCHR are as follows:</w:t>
      </w:r>
    </w:p>
    <w:p w14:paraId="20764340" w14:textId="77777777" w:rsidR="00F5265F" w:rsidRPr="00377564" w:rsidRDefault="00F5265F" w:rsidP="00B26FC9">
      <w:pPr>
        <w:spacing w:after="0" w:line="240" w:lineRule="auto"/>
        <w:jc w:val="both"/>
        <w:rPr>
          <w:rFonts w:ascii="Times New Roman" w:eastAsia="Times New Roman" w:hAnsi="Times New Roman" w:cs="Times New Roman"/>
          <w:sz w:val="24"/>
          <w:szCs w:val="24"/>
        </w:rPr>
      </w:pPr>
    </w:p>
    <w:p w14:paraId="20764341" w14:textId="77777777" w:rsidR="009A5612" w:rsidRPr="00377564" w:rsidRDefault="00D6320D" w:rsidP="00B26FC9">
      <w:pPr>
        <w:ind w:left="720"/>
        <w:jc w:val="both"/>
        <w:rPr>
          <w:rFonts w:ascii="Times New Roman" w:hAnsi="Times New Roman" w:cs="Times New Roman"/>
          <w:b/>
          <w:sz w:val="24"/>
          <w:szCs w:val="24"/>
        </w:rPr>
      </w:pPr>
      <w:r w:rsidRPr="00377564">
        <w:rPr>
          <w:rFonts w:ascii="Times New Roman" w:hAnsi="Times New Roman" w:cs="Times New Roman"/>
          <w:b/>
          <w:sz w:val="24"/>
          <w:szCs w:val="24"/>
        </w:rPr>
        <w:t>1.</w:t>
      </w:r>
      <w:r w:rsidR="009645F8" w:rsidRPr="00377564">
        <w:rPr>
          <w:rFonts w:ascii="Times New Roman" w:hAnsi="Times New Roman" w:cs="Times New Roman"/>
          <w:b/>
          <w:sz w:val="24"/>
          <w:szCs w:val="24"/>
        </w:rPr>
        <w:t xml:space="preserve"> </w:t>
      </w:r>
      <w:r w:rsidR="009A5612" w:rsidRPr="00377564">
        <w:rPr>
          <w:rFonts w:ascii="Times New Roman" w:hAnsi="Times New Roman" w:cs="Times New Roman"/>
          <w:b/>
          <w:sz w:val="24"/>
          <w:szCs w:val="24"/>
        </w:rPr>
        <w:t>(a). Does your country have laws, policies, plans, strategies or guidelines at any level of government relating to raising awareness about persons with disabilities, in particular initiatives to:</w:t>
      </w:r>
    </w:p>
    <w:p w14:paraId="20764342" w14:textId="77777777" w:rsidR="009A5612" w:rsidRPr="00377564" w:rsidRDefault="009A5612" w:rsidP="00D300D4">
      <w:pPr>
        <w:pStyle w:val="ListParagraph"/>
        <w:numPr>
          <w:ilvl w:val="0"/>
          <w:numId w:val="6"/>
        </w:numPr>
        <w:spacing w:after="0"/>
        <w:jc w:val="both"/>
        <w:rPr>
          <w:rFonts w:ascii="Times New Roman" w:hAnsi="Times New Roman" w:cs="Times New Roman"/>
          <w:b/>
          <w:sz w:val="24"/>
          <w:szCs w:val="24"/>
        </w:rPr>
      </w:pPr>
      <w:r w:rsidRPr="00377564">
        <w:rPr>
          <w:rFonts w:ascii="Times New Roman" w:hAnsi="Times New Roman" w:cs="Times New Roman"/>
          <w:b/>
          <w:sz w:val="24"/>
          <w:szCs w:val="24"/>
        </w:rPr>
        <w:t>foster respect for the rights and dignity of persons with disabilities;</w:t>
      </w:r>
    </w:p>
    <w:p w14:paraId="20764343" w14:textId="77777777" w:rsidR="009A5612" w:rsidRPr="00377564" w:rsidRDefault="009A5612" w:rsidP="00D300D4">
      <w:pPr>
        <w:pStyle w:val="ListParagraph"/>
        <w:numPr>
          <w:ilvl w:val="0"/>
          <w:numId w:val="6"/>
        </w:numPr>
        <w:spacing w:after="0"/>
        <w:jc w:val="both"/>
        <w:rPr>
          <w:rFonts w:ascii="Times New Roman" w:hAnsi="Times New Roman" w:cs="Times New Roman"/>
          <w:b/>
          <w:sz w:val="24"/>
          <w:szCs w:val="24"/>
        </w:rPr>
      </w:pPr>
      <w:r w:rsidRPr="00377564">
        <w:rPr>
          <w:rFonts w:ascii="Times New Roman" w:hAnsi="Times New Roman" w:cs="Times New Roman"/>
          <w:b/>
          <w:sz w:val="24"/>
          <w:szCs w:val="24"/>
        </w:rPr>
        <w:t xml:space="preserve">combat stereotypes, prejudices and harmful practices relating to persons with disabilities; or  </w:t>
      </w:r>
    </w:p>
    <w:p w14:paraId="20764344" w14:textId="77777777" w:rsidR="009A5612" w:rsidRPr="00377564" w:rsidRDefault="009A5612" w:rsidP="00D300D4">
      <w:pPr>
        <w:pStyle w:val="ListParagraph"/>
        <w:numPr>
          <w:ilvl w:val="0"/>
          <w:numId w:val="6"/>
        </w:numPr>
        <w:spacing w:after="0"/>
        <w:jc w:val="both"/>
        <w:rPr>
          <w:rFonts w:ascii="Times New Roman" w:hAnsi="Times New Roman" w:cs="Times New Roman"/>
          <w:b/>
          <w:sz w:val="24"/>
          <w:szCs w:val="24"/>
        </w:rPr>
      </w:pPr>
      <w:r w:rsidRPr="00377564">
        <w:rPr>
          <w:rFonts w:ascii="Times New Roman" w:hAnsi="Times New Roman" w:cs="Times New Roman"/>
          <w:b/>
          <w:sz w:val="24"/>
          <w:szCs w:val="24"/>
        </w:rPr>
        <w:t>promote awareness of the contributions of persons with disabilities?</w:t>
      </w:r>
    </w:p>
    <w:p w14:paraId="20764345" w14:textId="77777777" w:rsidR="009645F8" w:rsidRPr="00377564" w:rsidRDefault="009645F8" w:rsidP="00B26FC9">
      <w:pPr>
        <w:spacing w:after="0"/>
        <w:ind w:left="720"/>
        <w:jc w:val="both"/>
        <w:rPr>
          <w:rFonts w:ascii="Times New Roman" w:hAnsi="Times New Roman" w:cs="Times New Roman"/>
          <w:sz w:val="24"/>
          <w:szCs w:val="24"/>
        </w:rPr>
      </w:pPr>
    </w:p>
    <w:p w14:paraId="20764346" w14:textId="77777777" w:rsidR="00B26FC9" w:rsidRPr="00377564" w:rsidRDefault="00D300D4" w:rsidP="00D300D4">
      <w:pPr>
        <w:pStyle w:val="ListParagraph"/>
        <w:numPr>
          <w:ilvl w:val="0"/>
          <w:numId w:val="1"/>
        </w:numPr>
        <w:spacing w:after="0"/>
        <w:jc w:val="both"/>
        <w:rPr>
          <w:rFonts w:ascii="Times New Roman" w:hAnsi="Times New Roman" w:cs="Times New Roman"/>
          <w:sz w:val="24"/>
          <w:szCs w:val="24"/>
        </w:rPr>
      </w:pPr>
      <w:r w:rsidRPr="00377564">
        <w:rPr>
          <w:rFonts w:ascii="Times New Roman" w:hAnsi="Times New Roman" w:cs="Times New Roman"/>
          <w:sz w:val="24"/>
          <w:szCs w:val="24"/>
        </w:rPr>
        <w:t xml:space="preserve">The Philippines has, under the </w:t>
      </w:r>
      <w:r w:rsidR="00B26FC9" w:rsidRPr="00377564">
        <w:rPr>
          <w:rFonts w:ascii="Times New Roman" w:hAnsi="Times New Roman" w:cs="Times New Roman"/>
          <w:sz w:val="24"/>
          <w:szCs w:val="24"/>
        </w:rPr>
        <w:t>Charter</w:t>
      </w:r>
      <w:r w:rsidRPr="00377564">
        <w:rPr>
          <w:rFonts w:ascii="Times New Roman" w:hAnsi="Times New Roman" w:cs="Times New Roman"/>
          <w:sz w:val="24"/>
          <w:szCs w:val="24"/>
        </w:rPr>
        <w:t xml:space="preserve"> of the National Council for Disability Affairs (NCDA)</w:t>
      </w:r>
      <w:r w:rsidR="00B26FC9" w:rsidRPr="00377564">
        <w:rPr>
          <w:rFonts w:ascii="Times New Roman" w:hAnsi="Times New Roman" w:cs="Times New Roman"/>
          <w:sz w:val="24"/>
          <w:szCs w:val="24"/>
        </w:rPr>
        <w:t>, a sub-committee on advocacy chaired by the Philippine Information Agency (PIA) which was created with members representing both government organizations and non-government organizations. The sub-committee continuously promotes the salient provisions of local laws on disability rights and international mandates such as the CRPD</w:t>
      </w:r>
      <w:r w:rsidRPr="00377564">
        <w:rPr>
          <w:rStyle w:val="FootnoteReference"/>
          <w:rFonts w:ascii="Times New Roman" w:hAnsi="Times New Roman" w:cs="Times New Roman"/>
          <w:sz w:val="24"/>
          <w:szCs w:val="24"/>
        </w:rPr>
        <w:footnoteReference w:id="1"/>
      </w:r>
      <w:r w:rsidR="00B26FC9" w:rsidRPr="00377564">
        <w:rPr>
          <w:rFonts w:ascii="Times New Roman" w:hAnsi="Times New Roman" w:cs="Times New Roman"/>
          <w:sz w:val="24"/>
          <w:szCs w:val="24"/>
        </w:rPr>
        <w:t xml:space="preserve">. </w:t>
      </w:r>
    </w:p>
    <w:p w14:paraId="20764347" w14:textId="77777777" w:rsidR="00B26FC9" w:rsidRPr="00377564" w:rsidRDefault="00B26FC9" w:rsidP="00D300D4">
      <w:pPr>
        <w:spacing w:after="0"/>
        <w:ind w:left="720"/>
        <w:jc w:val="both"/>
        <w:rPr>
          <w:rFonts w:ascii="Times New Roman" w:hAnsi="Times New Roman" w:cs="Times New Roman"/>
          <w:sz w:val="24"/>
          <w:szCs w:val="24"/>
        </w:rPr>
      </w:pPr>
    </w:p>
    <w:p w14:paraId="20764348" w14:textId="77777777" w:rsidR="00D300D4" w:rsidRPr="00377564" w:rsidRDefault="00B26FC9" w:rsidP="00A62BFB">
      <w:pPr>
        <w:pStyle w:val="ListParagraph"/>
        <w:numPr>
          <w:ilvl w:val="0"/>
          <w:numId w:val="1"/>
        </w:numPr>
        <w:spacing w:after="0"/>
        <w:jc w:val="both"/>
        <w:rPr>
          <w:rFonts w:ascii="Times New Roman" w:hAnsi="Times New Roman" w:cs="Times New Roman"/>
          <w:sz w:val="24"/>
          <w:szCs w:val="24"/>
        </w:rPr>
      </w:pPr>
      <w:r w:rsidRPr="00377564">
        <w:rPr>
          <w:rFonts w:ascii="Times New Roman" w:hAnsi="Times New Roman" w:cs="Times New Roman"/>
          <w:sz w:val="24"/>
          <w:szCs w:val="24"/>
        </w:rPr>
        <w:lastRenderedPageBreak/>
        <w:t>The Philippine government, through Proclamation No. 1870</w:t>
      </w:r>
      <w:r w:rsidR="00D300D4" w:rsidRPr="00377564">
        <w:rPr>
          <w:rStyle w:val="FootnoteReference"/>
          <w:rFonts w:ascii="Times New Roman" w:hAnsi="Times New Roman" w:cs="Times New Roman"/>
          <w:sz w:val="24"/>
          <w:szCs w:val="24"/>
        </w:rPr>
        <w:footnoteReference w:id="2"/>
      </w:r>
      <w:r w:rsidRPr="00377564">
        <w:rPr>
          <w:rFonts w:ascii="Times New Roman" w:hAnsi="Times New Roman" w:cs="Times New Roman"/>
          <w:sz w:val="24"/>
          <w:szCs w:val="24"/>
        </w:rPr>
        <w:t xml:space="preserve">, </w:t>
      </w:r>
      <w:r w:rsidR="00A745DB" w:rsidRPr="00377564">
        <w:rPr>
          <w:rFonts w:ascii="Times New Roman" w:hAnsi="Times New Roman" w:cs="Times New Roman"/>
          <w:sz w:val="24"/>
          <w:szCs w:val="24"/>
        </w:rPr>
        <w:t>Proclamation</w:t>
      </w:r>
      <w:r w:rsidRPr="00377564">
        <w:rPr>
          <w:rFonts w:ascii="Times New Roman" w:hAnsi="Times New Roman" w:cs="Times New Roman"/>
          <w:sz w:val="24"/>
          <w:szCs w:val="24"/>
        </w:rPr>
        <w:t xml:space="preserve"> N</w:t>
      </w:r>
      <w:r w:rsidR="00D300D4" w:rsidRPr="00377564">
        <w:rPr>
          <w:rFonts w:ascii="Times New Roman" w:hAnsi="Times New Roman" w:cs="Times New Roman"/>
          <w:sz w:val="24"/>
          <w:szCs w:val="24"/>
        </w:rPr>
        <w:t>o</w:t>
      </w:r>
      <w:r w:rsidRPr="00377564">
        <w:rPr>
          <w:rFonts w:ascii="Times New Roman" w:hAnsi="Times New Roman" w:cs="Times New Roman"/>
          <w:sz w:val="24"/>
          <w:szCs w:val="24"/>
        </w:rPr>
        <w:t>. 361</w:t>
      </w:r>
      <w:r w:rsidR="00D300D4" w:rsidRPr="00377564">
        <w:rPr>
          <w:rStyle w:val="FootnoteReference"/>
          <w:rFonts w:ascii="Times New Roman" w:hAnsi="Times New Roman" w:cs="Times New Roman"/>
          <w:sz w:val="24"/>
          <w:szCs w:val="24"/>
        </w:rPr>
        <w:footnoteReference w:id="3"/>
      </w:r>
      <w:r w:rsidRPr="00377564">
        <w:rPr>
          <w:rFonts w:ascii="Times New Roman" w:hAnsi="Times New Roman" w:cs="Times New Roman"/>
          <w:sz w:val="24"/>
          <w:szCs w:val="24"/>
        </w:rPr>
        <w:t>, and Administrative Order No. 35</w:t>
      </w:r>
      <w:r w:rsidR="00D300D4" w:rsidRPr="00377564">
        <w:rPr>
          <w:rFonts w:ascii="Times New Roman" w:hAnsi="Times New Roman" w:cs="Times New Roman"/>
          <w:sz w:val="24"/>
          <w:szCs w:val="24"/>
        </w:rPr>
        <w:t>, s. 2002</w:t>
      </w:r>
      <w:r w:rsidRPr="00377564">
        <w:rPr>
          <w:rFonts w:ascii="Times New Roman" w:hAnsi="Times New Roman" w:cs="Times New Roman"/>
          <w:sz w:val="24"/>
          <w:szCs w:val="24"/>
        </w:rPr>
        <w:t xml:space="preserve"> observes the annual celebration </w:t>
      </w:r>
      <w:r w:rsidR="00D300D4" w:rsidRPr="00377564">
        <w:rPr>
          <w:rFonts w:ascii="Times New Roman" w:hAnsi="Times New Roman" w:cs="Times New Roman"/>
          <w:sz w:val="24"/>
          <w:szCs w:val="24"/>
        </w:rPr>
        <w:t>of national disability prevention and rehabilitation (NDPR) w</w:t>
      </w:r>
      <w:r w:rsidRPr="00377564">
        <w:rPr>
          <w:rFonts w:ascii="Times New Roman" w:hAnsi="Times New Roman" w:cs="Times New Roman"/>
          <w:sz w:val="24"/>
          <w:szCs w:val="24"/>
        </w:rPr>
        <w:t>eek. The</w:t>
      </w:r>
      <w:r w:rsidR="00D300D4" w:rsidRPr="00377564">
        <w:rPr>
          <w:rFonts w:ascii="Times New Roman" w:hAnsi="Times New Roman" w:cs="Times New Roman"/>
          <w:sz w:val="24"/>
          <w:szCs w:val="24"/>
        </w:rPr>
        <w:t xml:space="preserve"> proclamations for the</w:t>
      </w:r>
      <w:r w:rsidRPr="00377564">
        <w:rPr>
          <w:rFonts w:ascii="Times New Roman" w:hAnsi="Times New Roman" w:cs="Times New Roman"/>
          <w:sz w:val="24"/>
          <w:szCs w:val="24"/>
        </w:rPr>
        <w:t xml:space="preserve"> NDPR week directs all government agencies and instrumentalities to conduct activities to raise awareness on disability prevention and rehabilitation and public awareness on the role of every citizen, leading to effective societal integration of persons with disabilities. </w:t>
      </w:r>
      <w:r w:rsidR="00D300D4" w:rsidRPr="00377564">
        <w:rPr>
          <w:rFonts w:ascii="Times New Roman" w:hAnsi="Times New Roman" w:cs="Times New Roman"/>
          <w:sz w:val="24"/>
          <w:szCs w:val="24"/>
        </w:rPr>
        <w:t>Aside from the NDPR, t</w:t>
      </w:r>
      <w:r w:rsidRPr="00377564">
        <w:rPr>
          <w:rFonts w:ascii="Times New Roman" w:hAnsi="Times New Roman" w:cs="Times New Roman"/>
          <w:sz w:val="24"/>
          <w:szCs w:val="24"/>
        </w:rPr>
        <w:t xml:space="preserve">here are also other </w:t>
      </w:r>
      <w:r w:rsidR="00D300D4" w:rsidRPr="00377564">
        <w:rPr>
          <w:rFonts w:ascii="Times New Roman" w:hAnsi="Times New Roman" w:cs="Times New Roman"/>
          <w:sz w:val="24"/>
          <w:szCs w:val="24"/>
        </w:rPr>
        <w:t>proclamations that mandates annual celebrations which aim to educate the general public of specific disabilities such as the following among others:</w:t>
      </w:r>
    </w:p>
    <w:p w14:paraId="20764349" w14:textId="77777777" w:rsidR="00D300D4" w:rsidRPr="00377564" w:rsidRDefault="00D300D4" w:rsidP="00D300D4">
      <w:pPr>
        <w:pStyle w:val="ListParagraph"/>
        <w:spacing w:after="0"/>
        <w:jc w:val="both"/>
        <w:rPr>
          <w:rFonts w:ascii="Times New Roman" w:hAnsi="Times New Roman" w:cs="Times New Roman"/>
          <w:sz w:val="24"/>
          <w:szCs w:val="24"/>
        </w:rPr>
      </w:pPr>
    </w:p>
    <w:p w14:paraId="2076434A" w14:textId="77777777" w:rsidR="00D300D4" w:rsidRPr="00377564" w:rsidRDefault="00D300D4" w:rsidP="00D300D4">
      <w:pPr>
        <w:pStyle w:val="ListParagraph"/>
        <w:numPr>
          <w:ilvl w:val="0"/>
          <w:numId w:val="8"/>
        </w:numPr>
        <w:spacing w:after="0"/>
        <w:ind w:left="2160"/>
        <w:jc w:val="both"/>
        <w:rPr>
          <w:rFonts w:ascii="Times New Roman" w:hAnsi="Times New Roman" w:cs="Times New Roman"/>
          <w:sz w:val="24"/>
          <w:szCs w:val="24"/>
        </w:rPr>
      </w:pPr>
      <w:r w:rsidRPr="00377564">
        <w:rPr>
          <w:rFonts w:ascii="Times New Roman" w:hAnsi="Times New Roman" w:cs="Times New Roman"/>
          <w:sz w:val="24"/>
          <w:szCs w:val="24"/>
        </w:rPr>
        <w:t>Proclamation No. 711 (January 4, 1996) Declaring the Third week of January as Autism Consciousness Week</w:t>
      </w:r>
    </w:p>
    <w:p w14:paraId="2076434B" w14:textId="77777777" w:rsidR="00D300D4" w:rsidRPr="00377564" w:rsidRDefault="00D300D4" w:rsidP="00D300D4">
      <w:pPr>
        <w:pStyle w:val="ListParagraph"/>
        <w:numPr>
          <w:ilvl w:val="0"/>
          <w:numId w:val="8"/>
        </w:numPr>
        <w:spacing w:after="0"/>
        <w:ind w:left="2160"/>
        <w:jc w:val="both"/>
        <w:rPr>
          <w:rFonts w:ascii="Times New Roman" w:hAnsi="Times New Roman" w:cs="Times New Roman"/>
          <w:sz w:val="24"/>
          <w:szCs w:val="24"/>
        </w:rPr>
      </w:pPr>
      <w:r w:rsidRPr="00377564">
        <w:rPr>
          <w:rFonts w:ascii="Times New Roman" w:hAnsi="Times New Roman" w:cs="Times New Roman"/>
          <w:sz w:val="24"/>
          <w:szCs w:val="24"/>
        </w:rPr>
        <w:t>Proclamation No. 157 (February 18, 2001) Declaring the month of February as “National Down Syndrome Consciousness Month”</w:t>
      </w:r>
    </w:p>
    <w:p w14:paraId="2076434C" w14:textId="77777777" w:rsidR="00D300D4" w:rsidRPr="00377564" w:rsidRDefault="00D300D4" w:rsidP="00D300D4">
      <w:pPr>
        <w:pStyle w:val="ListParagraph"/>
        <w:numPr>
          <w:ilvl w:val="0"/>
          <w:numId w:val="8"/>
        </w:numPr>
        <w:spacing w:after="0"/>
        <w:ind w:left="2160"/>
        <w:jc w:val="both"/>
        <w:rPr>
          <w:rFonts w:ascii="Times New Roman" w:hAnsi="Times New Roman" w:cs="Times New Roman"/>
          <w:sz w:val="24"/>
          <w:szCs w:val="24"/>
        </w:rPr>
      </w:pPr>
      <w:r w:rsidRPr="00377564">
        <w:rPr>
          <w:rFonts w:ascii="Times New Roman" w:hAnsi="Times New Roman" w:cs="Times New Roman"/>
          <w:sz w:val="24"/>
          <w:szCs w:val="24"/>
        </w:rPr>
        <w:t>Proclamation No. 1385 (February 12, 1975) Designating the Period from February 14 to 20, 1975, and Every Year Thereafter, as “Retarded Children’s Week”</w:t>
      </w:r>
    </w:p>
    <w:p w14:paraId="2076434D" w14:textId="77777777" w:rsidR="00D300D4" w:rsidRPr="00377564" w:rsidRDefault="00D300D4" w:rsidP="00D300D4">
      <w:pPr>
        <w:pStyle w:val="ListParagraph"/>
        <w:numPr>
          <w:ilvl w:val="0"/>
          <w:numId w:val="8"/>
        </w:numPr>
        <w:spacing w:after="0"/>
        <w:ind w:left="2160"/>
        <w:jc w:val="both"/>
        <w:rPr>
          <w:rFonts w:ascii="Times New Roman" w:hAnsi="Times New Roman" w:cs="Times New Roman"/>
          <w:sz w:val="24"/>
          <w:szCs w:val="24"/>
        </w:rPr>
      </w:pPr>
      <w:r w:rsidRPr="00377564">
        <w:rPr>
          <w:rFonts w:ascii="Times New Roman" w:hAnsi="Times New Roman" w:cs="Times New Roman"/>
          <w:sz w:val="24"/>
          <w:szCs w:val="24"/>
        </w:rPr>
        <w:t>Proclamation No. 467 (October 4, 1965) Declaring the Last Week of February of Every year as Leprosy Control Week</w:t>
      </w:r>
    </w:p>
    <w:p w14:paraId="2076434E" w14:textId="77777777" w:rsidR="00D300D4" w:rsidRPr="00377564" w:rsidRDefault="00D300D4" w:rsidP="00D300D4">
      <w:pPr>
        <w:pStyle w:val="ListParagraph"/>
        <w:numPr>
          <w:ilvl w:val="0"/>
          <w:numId w:val="8"/>
        </w:numPr>
        <w:spacing w:after="0"/>
        <w:ind w:left="2160"/>
        <w:jc w:val="both"/>
        <w:rPr>
          <w:rFonts w:ascii="Times New Roman" w:hAnsi="Times New Roman" w:cs="Times New Roman"/>
          <w:sz w:val="24"/>
          <w:szCs w:val="24"/>
        </w:rPr>
      </w:pPr>
      <w:r w:rsidRPr="00377564">
        <w:rPr>
          <w:rFonts w:ascii="Times New Roman" w:hAnsi="Times New Roman" w:cs="Times New Roman"/>
          <w:sz w:val="24"/>
          <w:szCs w:val="24"/>
        </w:rPr>
        <w:t>Proclamation No. 744 (December 6, 2004) Declaring the Last Monday of March Every year as Women with Disabilities Day</w:t>
      </w:r>
    </w:p>
    <w:p w14:paraId="2076434F" w14:textId="77777777" w:rsidR="00D300D4" w:rsidRPr="00377564" w:rsidRDefault="00D300D4" w:rsidP="00D300D4">
      <w:pPr>
        <w:pStyle w:val="ListParagraph"/>
        <w:numPr>
          <w:ilvl w:val="0"/>
          <w:numId w:val="8"/>
        </w:numPr>
        <w:spacing w:after="0"/>
        <w:ind w:left="2160"/>
        <w:jc w:val="both"/>
        <w:rPr>
          <w:rFonts w:ascii="Times New Roman" w:hAnsi="Times New Roman" w:cs="Times New Roman"/>
          <w:sz w:val="24"/>
          <w:szCs w:val="24"/>
        </w:rPr>
      </w:pPr>
      <w:r w:rsidRPr="00377564">
        <w:rPr>
          <w:rFonts w:ascii="Times New Roman" w:hAnsi="Times New Roman" w:cs="Times New Roman"/>
          <w:sz w:val="24"/>
          <w:szCs w:val="24"/>
        </w:rPr>
        <w:t>Presidential Proclamation No. 40 Celebrating the month of August Every year as Sight Saving Month</w:t>
      </w:r>
      <w:r w:rsidRPr="00377564">
        <w:rPr>
          <w:rStyle w:val="FootnoteReference"/>
          <w:rFonts w:ascii="Times New Roman" w:hAnsi="Times New Roman" w:cs="Times New Roman"/>
          <w:sz w:val="24"/>
          <w:szCs w:val="24"/>
        </w:rPr>
        <w:footnoteReference w:id="4"/>
      </w:r>
      <w:r w:rsidRPr="00377564">
        <w:rPr>
          <w:rFonts w:ascii="Times New Roman" w:hAnsi="Times New Roman" w:cs="Times New Roman"/>
          <w:sz w:val="24"/>
          <w:szCs w:val="24"/>
        </w:rPr>
        <w:t>.</w:t>
      </w:r>
    </w:p>
    <w:p w14:paraId="20764350" w14:textId="77777777" w:rsidR="00D300D4" w:rsidRPr="00377564" w:rsidRDefault="00D300D4" w:rsidP="00D300D4">
      <w:pPr>
        <w:pStyle w:val="ListParagraph"/>
        <w:spacing w:after="0"/>
        <w:ind w:left="1800"/>
        <w:jc w:val="both"/>
        <w:rPr>
          <w:rFonts w:ascii="Times New Roman" w:hAnsi="Times New Roman" w:cs="Times New Roman"/>
          <w:sz w:val="24"/>
          <w:szCs w:val="24"/>
        </w:rPr>
      </w:pPr>
    </w:p>
    <w:p w14:paraId="20764351" w14:textId="77777777" w:rsidR="00C01DD2" w:rsidRPr="00377564" w:rsidRDefault="00D300D4" w:rsidP="00D300D4">
      <w:pPr>
        <w:pStyle w:val="ListParagraph"/>
        <w:numPr>
          <w:ilvl w:val="0"/>
          <w:numId w:val="1"/>
        </w:numPr>
        <w:spacing w:after="0"/>
        <w:jc w:val="both"/>
        <w:rPr>
          <w:rFonts w:ascii="Times New Roman" w:hAnsi="Times New Roman" w:cs="Times New Roman"/>
          <w:sz w:val="24"/>
          <w:szCs w:val="24"/>
        </w:rPr>
      </w:pPr>
      <w:r w:rsidRPr="00377564">
        <w:rPr>
          <w:rFonts w:ascii="Times New Roman" w:hAnsi="Times New Roman" w:cs="Times New Roman"/>
          <w:sz w:val="24"/>
          <w:szCs w:val="24"/>
        </w:rPr>
        <w:t>The NCDA also leads disability-specific awareness events and activities all year round in coordination with all national government agencies, local government agencies, non-government organizations and disabled people's organizations increase public understanding of the different types of disabilities and to reduce stigma and discrimination. In 2015, the NCDA served as the resource institution in the convention of trial court judges where it presented on barriers faced by persons with disabilities with respect to access to justice. The N</w:t>
      </w:r>
      <w:r w:rsidR="00C01DD2" w:rsidRPr="00377564">
        <w:rPr>
          <w:rFonts w:ascii="Times New Roman" w:hAnsi="Times New Roman" w:cs="Times New Roman"/>
          <w:sz w:val="24"/>
          <w:szCs w:val="24"/>
        </w:rPr>
        <w:t xml:space="preserve">CDA also spearheads the publication and distribution of information materials to increase </w:t>
      </w:r>
      <w:r w:rsidR="00A745DB" w:rsidRPr="00377564">
        <w:rPr>
          <w:rFonts w:ascii="Times New Roman" w:hAnsi="Times New Roman" w:cs="Times New Roman"/>
          <w:sz w:val="24"/>
          <w:szCs w:val="24"/>
        </w:rPr>
        <w:t>awareness</w:t>
      </w:r>
      <w:r w:rsidR="00C01DD2" w:rsidRPr="00377564">
        <w:rPr>
          <w:rFonts w:ascii="Times New Roman" w:hAnsi="Times New Roman" w:cs="Times New Roman"/>
          <w:sz w:val="24"/>
          <w:szCs w:val="24"/>
        </w:rPr>
        <w:t xml:space="preserve"> on the CRPD and other legislative mechanisms to protect and promote the rights of persons </w:t>
      </w:r>
      <w:r w:rsidR="00A745DB" w:rsidRPr="00377564">
        <w:rPr>
          <w:rFonts w:ascii="Times New Roman" w:hAnsi="Times New Roman" w:cs="Times New Roman"/>
          <w:sz w:val="24"/>
          <w:szCs w:val="24"/>
        </w:rPr>
        <w:t>with disabilities</w:t>
      </w:r>
      <w:r w:rsidRPr="00377564">
        <w:rPr>
          <w:rStyle w:val="FootnoteReference"/>
          <w:rFonts w:ascii="Times New Roman" w:hAnsi="Times New Roman" w:cs="Times New Roman"/>
          <w:sz w:val="24"/>
          <w:szCs w:val="24"/>
        </w:rPr>
        <w:footnoteReference w:id="5"/>
      </w:r>
      <w:r w:rsidR="00C01DD2" w:rsidRPr="00377564">
        <w:rPr>
          <w:rFonts w:ascii="Times New Roman" w:hAnsi="Times New Roman" w:cs="Times New Roman"/>
          <w:sz w:val="24"/>
          <w:szCs w:val="24"/>
        </w:rPr>
        <w:t xml:space="preserve">. </w:t>
      </w:r>
    </w:p>
    <w:p w14:paraId="20764352" w14:textId="77777777" w:rsidR="00D300D4" w:rsidRPr="00377564" w:rsidRDefault="00D300D4" w:rsidP="00D300D4">
      <w:pPr>
        <w:spacing w:after="0"/>
        <w:ind w:left="720"/>
        <w:jc w:val="both"/>
        <w:rPr>
          <w:rFonts w:ascii="Times New Roman" w:hAnsi="Times New Roman" w:cs="Times New Roman"/>
          <w:sz w:val="24"/>
          <w:szCs w:val="24"/>
        </w:rPr>
      </w:pPr>
    </w:p>
    <w:p w14:paraId="20764353" w14:textId="77777777" w:rsidR="00D300D4" w:rsidRPr="00377564" w:rsidRDefault="00D300D4" w:rsidP="00BF4AFA">
      <w:pPr>
        <w:pStyle w:val="ListParagraph"/>
        <w:numPr>
          <w:ilvl w:val="0"/>
          <w:numId w:val="1"/>
        </w:numPr>
        <w:spacing w:after="0"/>
        <w:jc w:val="both"/>
        <w:rPr>
          <w:rFonts w:ascii="Times New Roman" w:hAnsi="Times New Roman" w:cs="Times New Roman"/>
          <w:sz w:val="24"/>
          <w:szCs w:val="24"/>
        </w:rPr>
      </w:pPr>
      <w:r w:rsidRPr="00377564">
        <w:rPr>
          <w:rFonts w:ascii="Times New Roman" w:hAnsi="Times New Roman" w:cs="Times New Roman"/>
          <w:sz w:val="24"/>
          <w:szCs w:val="24"/>
        </w:rPr>
        <w:lastRenderedPageBreak/>
        <w:t>Aside from efforts from the NCDA, the government also conducts disability sensitivity trainings for various government agencies nationwide. A DOJ memorandum was also issued directing the inclusion of disability sensitivity trainings in the Human Resource Development Programs of the agency</w:t>
      </w:r>
      <w:r w:rsidRPr="00377564">
        <w:rPr>
          <w:rStyle w:val="FootnoteReference"/>
          <w:rFonts w:ascii="Times New Roman" w:hAnsi="Times New Roman" w:cs="Times New Roman"/>
          <w:sz w:val="24"/>
          <w:szCs w:val="24"/>
        </w:rPr>
        <w:footnoteReference w:id="6"/>
      </w:r>
      <w:r w:rsidRPr="00377564">
        <w:rPr>
          <w:rFonts w:ascii="Times New Roman" w:hAnsi="Times New Roman" w:cs="Times New Roman"/>
          <w:sz w:val="24"/>
          <w:szCs w:val="24"/>
        </w:rPr>
        <w:t>. For the Philippine National police (PNP),  disability awareness and sensitivity has already been included in their Regional Training Modules for Officers of Women and Children's Desk at the local level</w:t>
      </w:r>
      <w:r w:rsidRPr="00377564">
        <w:rPr>
          <w:rStyle w:val="FootnoteReference"/>
          <w:rFonts w:ascii="Times New Roman" w:hAnsi="Times New Roman" w:cs="Times New Roman"/>
          <w:sz w:val="24"/>
          <w:szCs w:val="24"/>
        </w:rPr>
        <w:footnoteReference w:id="7"/>
      </w:r>
      <w:r w:rsidRPr="00377564">
        <w:rPr>
          <w:rFonts w:ascii="Times New Roman" w:hAnsi="Times New Roman" w:cs="Times New Roman"/>
          <w:sz w:val="24"/>
          <w:szCs w:val="24"/>
        </w:rPr>
        <w:t xml:space="preserve">. </w:t>
      </w:r>
    </w:p>
    <w:p w14:paraId="20764354" w14:textId="77777777" w:rsidR="00B26FC9" w:rsidRPr="00377564" w:rsidRDefault="00B26FC9" w:rsidP="00B26FC9">
      <w:pPr>
        <w:spacing w:after="0"/>
        <w:jc w:val="both"/>
        <w:rPr>
          <w:rFonts w:ascii="Times New Roman" w:hAnsi="Times New Roman" w:cs="Times New Roman"/>
          <w:sz w:val="24"/>
          <w:szCs w:val="24"/>
        </w:rPr>
      </w:pPr>
    </w:p>
    <w:p w14:paraId="20764355" w14:textId="77777777" w:rsidR="009A5612" w:rsidRPr="00377564" w:rsidRDefault="00D6320D" w:rsidP="00B26FC9">
      <w:pPr>
        <w:spacing w:after="0"/>
        <w:ind w:left="720"/>
        <w:jc w:val="both"/>
        <w:rPr>
          <w:rFonts w:ascii="Times New Roman" w:hAnsi="Times New Roman" w:cs="Times New Roman"/>
          <w:b/>
          <w:sz w:val="24"/>
          <w:szCs w:val="24"/>
        </w:rPr>
      </w:pPr>
      <w:r w:rsidRPr="00377564">
        <w:rPr>
          <w:rFonts w:ascii="Times New Roman" w:hAnsi="Times New Roman" w:cs="Times New Roman"/>
          <w:b/>
          <w:sz w:val="24"/>
          <w:szCs w:val="24"/>
        </w:rPr>
        <w:t xml:space="preserve">1. </w:t>
      </w:r>
      <w:r w:rsidR="009A5612" w:rsidRPr="00377564">
        <w:rPr>
          <w:rFonts w:ascii="Times New Roman" w:hAnsi="Times New Roman" w:cs="Times New Roman"/>
          <w:b/>
          <w:sz w:val="24"/>
          <w:szCs w:val="24"/>
        </w:rPr>
        <w:t>(b). What are the challenges to implementing the above?</w:t>
      </w:r>
    </w:p>
    <w:p w14:paraId="20764356" w14:textId="77777777" w:rsidR="00D6320D" w:rsidRPr="00377564" w:rsidRDefault="00D6320D" w:rsidP="00B26FC9">
      <w:pPr>
        <w:spacing w:after="0"/>
        <w:ind w:left="720"/>
        <w:jc w:val="both"/>
        <w:rPr>
          <w:rFonts w:ascii="Times New Roman" w:hAnsi="Times New Roman" w:cs="Times New Roman"/>
          <w:b/>
          <w:sz w:val="24"/>
          <w:szCs w:val="24"/>
        </w:rPr>
      </w:pPr>
    </w:p>
    <w:p w14:paraId="20764357" w14:textId="77777777" w:rsidR="00240B2D" w:rsidRPr="00377564" w:rsidRDefault="00D6320D" w:rsidP="00D300D4">
      <w:pPr>
        <w:pStyle w:val="ListParagraph"/>
        <w:numPr>
          <w:ilvl w:val="0"/>
          <w:numId w:val="1"/>
        </w:numPr>
        <w:spacing w:after="0"/>
        <w:jc w:val="both"/>
        <w:rPr>
          <w:rFonts w:ascii="Times New Roman" w:hAnsi="Times New Roman" w:cs="Times New Roman"/>
          <w:sz w:val="24"/>
          <w:szCs w:val="24"/>
        </w:rPr>
      </w:pPr>
      <w:r w:rsidRPr="00377564">
        <w:rPr>
          <w:rFonts w:ascii="Times New Roman" w:hAnsi="Times New Roman" w:cs="Times New Roman"/>
          <w:sz w:val="24"/>
          <w:szCs w:val="24"/>
        </w:rPr>
        <w:t>According to the report of the Philippine Coalition on the UNCRPD</w:t>
      </w:r>
      <w:r w:rsidR="002B55FF" w:rsidRPr="00377564">
        <w:rPr>
          <w:rStyle w:val="FootnoteReference"/>
          <w:rFonts w:ascii="Times New Roman" w:hAnsi="Times New Roman" w:cs="Times New Roman"/>
          <w:sz w:val="24"/>
          <w:szCs w:val="24"/>
        </w:rPr>
        <w:footnoteReference w:id="8"/>
      </w:r>
      <w:r w:rsidRPr="00377564">
        <w:rPr>
          <w:rFonts w:ascii="Times New Roman" w:hAnsi="Times New Roman" w:cs="Times New Roman"/>
          <w:sz w:val="24"/>
          <w:szCs w:val="24"/>
        </w:rPr>
        <w:t xml:space="preserve">, although there has been some increase in visibility of partnerships among stakeholders in government </w:t>
      </w:r>
      <w:r w:rsidR="00D300D4" w:rsidRPr="00377564">
        <w:rPr>
          <w:rFonts w:ascii="Times New Roman" w:hAnsi="Times New Roman" w:cs="Times New Roman"/>
          <w:sz w:val="24"/>
          <w:szCs w:val="24"/>
        </w:rPr>
        <w:t xml:space="preserve">and non-government organizations (NGOs) </w:t>
      </w:r>
      <w:r w:rsidRPr="00377564">
        <w:rPr>
          <w:rFonts w:ascii="Times New Roman" w:hAnsi="Times New Roman" w:cs="Times New Roman"/>
          <w:sz w:val="24"/>
          <w:szCs w:val="24"/>
        </w:rPr>
        <w:t>partic</w:t>
      </w:r>
      <w:r w:rsidR="002B55FF" w:rsidRPr="00377564">
        <w:rPr>
          <w:rFonts w:ascii="Times New Roman" w:hAnsi="Times New Roman" w:cs="Times New Roman"/>
          <w:sz w:val="24"/>
          <w:szCs w:val="24"/>
        </w:rPr>
        <w:t xml:space="preserve">ularly disability rights groups, </w:t>
      </w:r>
      <w:r w:rsidRPr="00377564">
        <w:rPr>
          <w:rFonts w:ascii="Times New Roman" w:hAnsi="Times New Roman" w:cs="Times New Roman"/>
          <w:sz w:val="24"/>
          <w:szCs w:val="24"/>
        </w:rPr>
        <w:t>initiatives, programs, activities and operations of government agencies</w:t>
      </w:r>
      <w:r w:rsidR="00240B2D" w:rsidRPr="00377564">
        <w:rPr>
          <w:rFonts w:ascii="Times New Roman" w:hAnsi="Times New Roman" w:cs="Times New Roman"/>
          <w:sz w:val="24"/>
          <w:szCs w:val="24"/>
        </w:rPr>
        <w:t xml:space="preserve"> fail to meet the</w:t>
      </w:r>
      <w:r w:rsidRPr="00377564">
        <w:rPr>
          <w:rFonts w:ascii="Times New Roman" w:hAnsi="Times New Roman" w:cs="Times New Roman"/>
          <w:sz w:val="24"/>
          <w:szCs w:val="24"/>
        </w:rPr>
        <w:t xml:space="preserve"> </w:t>
      </w:r>
      <w:r w:rsidR="00D300D4" w:rsidRPr="00377564">
        <w:rPr>
          <w:rFonts w:ascii="Times New Roman" w:hAnsi="Times New Roman" w:cs="Times New Roman"/>
          <w:sz w:val="24"/>
          <w:szCs w:val="24"/>
        </w:rPr>
        <w:t xml:space="preserve">objective of awareness raising. According </w:t>
      </w:r>
      <w:r w:rsidR="0086187A" w:rsidRPr="00377564">
        <w:rPr>
          <w:rFonts w:ascii="Times New Roman" w:hAnsi="Times New Roman" w:cs="Times New Roman"/>
          <w:sz w:val="24"/>
          <w:szCs w:val="24"/>
        </w:rPr>
        <w:t>to the coalition, awareness rais</w:t>
      </w:r>
      <w:r w:rsidR="00D300D4" w:rsidRPr="00377564">
        <w:rPr>
          <w:rFonts w:ascii="Times New Roman" w:hAnsi="Times New Roman" w:cs="Times New Roman"/>
          <w:sz w:val="24"/>
          <w:szCs w:val="24"/>
        </w:rPr>
        <w:t>ing should not be merely about pass</w:t>
      </w:r>
      <w:r w:rsidRPr="00377564">
        <w:rPr>
          <w:rFonts w:ascii="Times New Roman" w:hAnsi="Times New Roman" w:cs="Times New Roman"/>
          <w:sz w:val="24"/>
          <w:szCs w:val="24"/>
        </w:rPr>
        <w:t>ing on</w:t>
      </w:r>
      <w:r w:rsidR="00D300D4" w:rsidRPr="00377564">
        <w:rPr>
          <w:rFonts w:ascii="Times New Roman" w:hAnsi="Times New Roman" w:cs="Times New Roman"/>
          <w:sz w:val="24"/>
          <w:szCs w:val="24"/>
        </w:rPr>
        <w:t xml:space="preserve"> information or distributing </w:t>
      </w:r>
      <w:r w:rsidRPr="00377564">
        <w:rPr>
          <w:rFonts w:ascii="Times New Roman" w:hAnsi="Times New Roman" w:cs="Times New Roman"/>
          <w:sz w:val="24"/>
          <w:szCs w:val="24"/>
        </w:rPr>
        <w:t>materials about persons w</w:t>
      </w:r>
      <w:r w:rsidR="00D300D4" w:rsidRPr="00377564">
        <w:rPr>
          <w:rFonts w:ascii="Times New Roman" w:hAnsi="Times New Roman" w:cs="Times New Roman"/>
          <w:sz w:val="24"/>
          <w:szCs w:val="24"/>
        </w:rPr>
        <w:t>ith disability. Such does not achieve the desired objectives if it does not result in</w:t>
      </w:r>
      <w:r w:rsidRPr="00377564">
        <w:rPr>
          <w:rFonts w:ascii="Times New Roman" w:hAnsi="Times New Roman" w:cs="Times New Roman"/>
          <w:sz w:val="24"/>
          <w:szCs w:val="24"/>
        </w:rPr>
        <w:t xml:space="preserve"> changed </w:t>
      </w:r>
      <w:r w:rsidR="00240B2D" w:rsidRPr="00377564">
        <w:rPr>
          <w:rFonts w:ascii="Times New Roman" w:hAnsi="Times New Roman" w:cs="Times New Roman"/>
          <w:sz w:val="24"/>
          <w:szCs w:val="24"/>
        </w:rPr>
        <w:t>attitudes</w:t>
      </w:r>
      <w:r w:rsidRPr="00377564">
        <w:rPr>
          <w:rFonts w:ascii="Times New Roman" w:hAnsi="Times New Roman" w:cs="Times New Roman"/>
          <w:sz w:val="24"/>
          <w:szCs w:val="24"/>
        </w:rPr>
        <w:t xml:space="preserve"> and perspectives regarding disability.</w:t>
      </w:r>
    </w:p>
    <w:p w14:paraId="20764358" w14:textId="77777777" w:rsidR="00D300D4" w:rsidRPr="00377564" w:rsidRDefault="00D300D4" w:rsidP="00B26FC9">
      <w:pPr>
        <w:spacing w:after="0"/>
        <w:jc w:val="both"/>
        <w:rPr>
          <w:rFonts w:ascii="Times New Roman" w:hAnsi="Times New Roman" w:cs="Times New Roman"/>
          <w:sz w:val="24"/>
          <w:szCs w:val="24"/>
        </w:rPr>
      </w:pPr>
    </w:p>
    <w:p w14:paraId="20764359" w14:textId="77777777" w:rsidR="002B55FF" w:rsidRPr="00377564" w:rsidRDefault="00D300D4" w:rsidP="00D300D4">
      <w:pPr>
        <w:pStyle w:val="ListParagraph"/>
        <w:numPr>
          <w:ilvl w:val="0"/>
          <w:numId w:val="1"/>
        </w:numPr>
        <w:spacing w:after="0"/>
        <w:jc w:val="both"/>
        <w:rPr>
          <w:rFonts w:ascii="Times New Roman" w:hAnsi="Times New Roman" w:cs="Times New Roman"/>
          <w:sz w:val="24"/>
          <w:szCs w:val="24"/>
          <w:u w:color="0070C0"/>
        </w:rPr>
      </w:pPr>
      <w:r w:rsidRPr="00377564">
        <w:rPr>
          <w:rFonts w:ascii="Times New Roman" w:hAnsi="Times New Roman" w:cs="Times New Roman"/>
          <w:sz w:val="24"/>
          <w:szCs w:val="24"/>
        </w:rPr>
        <w:t xml:space="preserve">It has also been observed by disability rights groups that activities initiated by the </w:t>
      </w:r>
      <w:r w:rsidRPr="00377564">
        <w:rPr>
          <w:rFonts w:ascii="Times New Roman" w:hAnsi="Times New Roman" w:cs="Times New Roman"/>
          <w:sz w:val="24"/>
          <w:szCs w:val="24"/>
          <w:u w:color="0070C0"/>
        </w:rPr>
        <w:t xml:space="preserve">government are often sporadic in nature. </w:t>
      </w:r>
      <w:r w:rsidR="002B55FF" w:rsidRPr="00377564">
        <w:rPr>
          <w:rFonts w:ascii="Times New Roman" w:hAnsi="Times New Roman" w:cs="Times New Roman"/>
          <w:sz w:val="24"/>
          <w:szCs w:val="24"/>
          <w:u w:color="0070C0"/>
        </w:rPr>
        <w:t xml:space="preserve"> </w:t>
      </w:r>
      <w:r w:rsidRPr="00377564">
        <w:rPr>
          <w:rFonts w:ascii="Times New Roman" w:hAnsi="Times New Roman" w:cs="Times New Roman"/>
          <w:sz w:val="24"/>
          <w:szCs w:val="24"/>
          <w:u w:color="0070C0"/>
        </w:rPr>
        <w:t xml:space="preserve">Accordingly, they recommend that there be specific </w:t>
      </w:r>
      <w:r w:rsidR="002B55FF" w:rsidRPr="00377564">
        <w:rPr>
          <w:rFonts w:ascii="Times New Roman" w:hAnsi="Times New Roman" w:cs="Times New Roman"/>
          <w:sz w:val="24"/>
          <w:szCs w:val="24"/>
          <w:u w:color="0070C0"/>
        </w:rPr>
        <w:t>program</w:t>
      </w:r>
      <w:r w:rsidRPr="00377564">
        <w:rPr>
          <w:rFonts w:ascii="Times New Roman" w:hAnsi="Times New Roman" w:cs="Times New Roman"/>
          <w:sz w:val="24"/>
          <w:szCs w:val="24"/>
          <w:u w:color="0070C0"/>
        </w:rPr>
        <w:t>s</w:t>
      </w:r>
      <w:r w:rsidR="002B55FF" w:rsidRPr="00377564">
        <w:rPr>
          <w:rFonts w:ascii="Times New Roman" w:hAnsi="Times New Roman" w:cs="Times New Roman"/>
          <w:sz w:val="24"/>
          <w:szCs w:val="24"/>
          <w:u w:color="0070C0"/>
        </w:rPr>
        <w:t xml:space="preserve"> with budget alloc</w:t>
      </w:r>
      <w:r w:rsidRPr="00377564">
        <w:rPr>
          <w:rFonts w:ascii="Times New Roman" w:hAnsi="Times New Roman" w:cs="Times New Roman"/>
          <w:sz w:val="24"/>
          <w:szCs w:val="24"/>
          <w:u w:color="0070C0"/>
        </w:rPr>
        <w:t>ation to ensure</w:t>
      </w:r>
      <w:r w:rsidR="002B55FF" w:rsidRPr="00377564">
        <w:rPr>
          <w:rFonts w:ascii="Times New Roman" w:hAnsi="Times New Roman" w:cs="Times New Roman"/>
          <w:sz w:val="24"/>
          <w:szCs w:val="24"/>
          <w:u w:color="0070C0"/>
        </w:rPr>
        <w:t xml:space="preserve"> </w:t>
      </w:r>
      <w:r w:rsidRPr="00377564">
        <w:rPr>
          <w:rFonts w:ascii="Times New Roman" w:hAnsi="Times New Roman" w:cs="Times New Roman"/>
          <w:sz w:val="24"/>
          <w:szCs w:val="24"/>
          <w:u w:color="0070C0"/>
        </w:rPr>
        <w:t>continuity of activities which intend</w:t>
      </w:r>
      <w:r w:rsidR="002B55FF" w:rsidRPr="00377564">
        <w:rPr>
          <w:rFonts w:ascii="Times New Roman" w:hAnsi="Times New Roman" w:cs="Times New Roman"/>
          <w:sz w:val="24"/>
          <w:szCs w:val="24"/>
          <w:u w:color="0070C0"/>
        </w:rPr>
        <w:t xml:space="preserve"> to reach all civil servants. </w:t>
      </w:r>
    </w:p>
    <w:p w14:paraId="2076435A" w14:textId="77777777" w:rsidR="002F557A" w:rsidRPr="00377564" w:rsidRDefault="002F557A" w:rsidP="002F557A">
      <w:pPr>
        <w:pStyle w:val="ListParagraph"/>
        <w:rPr>
          <w:rFonts w:ascii="Times New Roman" w:hAnsi="Times New Roman" w:cs="Times New Roman"/>
          <w:sz w:val="24"/>
          <w:szCs w:val="24"/>
          <w:u w:color="0070C0"/>
        </w:rPr>
      </w:pPr>
    </w:p>
    <w:p w14:paraId="2076435B" w14:textId="77777777" w:rsidR="002B55FF" w:rsidRPr="00377564" w:rsidRDefault="002F557A" w:rsidP="00B26FC9">
      <w:pPr>
        <w:pStyle w:val="ListParagraph"/>
        <w:numPr>
          <w:ilvl w:val="0"/>
          <w:numId w:val="1"/>
        </w:numPr>
        <w:spacing w:after="0"/>
        <w:jc w:val="both"/>
        <w:rPr>
          <w:rFonts w:ascii="Times New Roman" w:hAnsi="Times New Roman" w:cs="Times New Roman"/>
          <w:sz w:val="24"/>
          <w:szCs w:val="24"/>
          <w:u w:color="0070C0"/>
        </w:rPr>
      </w:pPr>
      <w:r w:rsidRPr="00377564">
        <w:rPr>
          <w:rFonts w:ascii="Times New Roman" w:hAnsi="Times New Roman" w:cs="Times New Roman"/>
          <w:sz w:val="24"/>
          <w:szCs w:val="24"/>
          <w:u w:color="0070C0"/>
        </w:rPr>
        <w:t>As regards access to justice,</w:t>
      </w:r>
      <w:r w:rsidR="002E32A5" w:rsidRPr="00377564">
        <w:rPr>
          <w:rFonts w:ascii="Times New Roman" w:hAnsi="Times New Roman" w:cs="Times New Roman"/>
          <w:sz w:val="24"/>
          <w:szCs w:val="24"/>
          <w:u w:color="0070C0"/>
        </w:rPr>
        <w:t xml:space="preserve"> the Commission </w:t>
      </w:r>
      <w:r w:rsidR="00377564" w:rsidRPr="00377564">
        <w:rPr>
          <w:rFonts w:ascii="Times New Roman" w:hAnsi="Times New Roman" w:cs="Times New Roman"/>
          <w:sz w:val="24"/>
          <w:szCs w:val="24"/>
          <w:u w:color="0070C0"/>
        </w:rPr>
        <w:t xml:space="preserve">on Human Rights </w:t>
      </w:r>
      <w:r w:rsidR="002E32A5" w:rsidRPr="00377564">
        <w:rPr>
          <w:rFonts w:ascii="Times New Roman" w:hAnsi="Times New Roman" w:cs="Times New Roman"/>
          <w:sz w:val="24"/>
          <w:szCs w:val="24"/>
          <w:u w:color="0070C0"/>
        </w:rPr>
        <w:t xml:space="preserve">noted </w:t>
      </w:r>
      <w:r w:rsidR="00974B1E">
        <w:rPr>
          <w:rFonts w:ascii="Times New Roman" w:hAnsi="Times New Roman" w:cs="Times New Roman"/>
          <w:sz w:val="24"/>
          <w:szCs w:val="24"/>
          <w:u w:color="0070C0"/>
        </w:rPr>
        <w:t xml:space="preserve">from the conduct of consultations and workshops </w:t>
      </w:r>
      <w:r w:rsidR="002E32A5" w:rsidRPr="00377564">
        <w:rPr>
          <w:rFonts w:ascii="Times New Roman" w:hAnsi="Times New Roman" w:cs="Times New Roman"/>
          <w:sz w:val="24"/>
          <w:szCs w:val="24"/>
          <w:u w:color="0070C0"/>
        </w:rPr>
        <w:t>that</w:t>
      </w:r>
      <w:r w:rsidRPr="00377564">
        <w:rPr>
          <w:rFonts w:ascii="Times New Roman" w:hAnsi="Times New Roman" w:cs="Times New Roman"/>
          <w:sz w:val="24"/>
          <w:szCs w:val="24"/>
          <w:u w:color="0070C0"/>
        </w:rPr>
        <w:t xml:space="preserve"> parents and their children are not aware of other agencies or organizations that can provide free legal services to children with disabilities. It has also been difficult for families of children with disabilities to find lawyers with suitable training and experience in handling cases of children with disabilities</w:t>
      </w:r>
      <w:r w:rsidRPr="00377564">
        <w:rPr>
          <w:rStyle w:val="FootnoteReference"/>
          <w:rFonts w:ascii="Times New Roman" w:hAnsi="Times New Roman" w:cs="Times New Roman"/>
          <w:sz w:val="24"/>
          <w:szCs w:val="24"/>
          <w:u w:color="0070C0"/>
        </w:rPr>
        <w:footnoteReference w:id="9"/>
      </w:r>
      <w:r w:rsidRPr="00377564">
        <w:rPr>
          <w:rFonts w:ascii="Times New Roman" w:hAnsi="Times New Roman" w:cs="Times New Roman"/>
          <w:sz w:val="24"/>
          <w:szCs w:val="24"/>
          <w:u w:color="0070C0"/>
        </w:rPr>
        <w:t xml:space="preserve">. </w:t>
      </w:r>
      <w:r w:rsidR="0012559F" w:rsidRPr="00377564">
        <w:rPr>
          <w:rFonts w:ascii="Times New Roman" w:hAnsi="Times New Roman" w:cs="Times New Roman"/>
          <w:sz w:val="24"/>
          <w:szCs w:val="24"/>
          <w:u w:color="0070C0"/>
        </w:rPr>
        <w:t>Moreover, p</w:t>
      </w:r>
      <w:r w:rsidRPr="00377564">
        <w:rPr>
          <w:rFonts w:ascii="Times New Roman" w:hAnsi="Times New Roman" w:cs="Times New Roman"/>
          <w:sz w:val="24"/>
          <w:szCs w:val="24"/>
          <w:u w:color="0070C0"/>
        </w:rPr>
        <w:t>ublic awareness is not robust enough to prevent abuse and violence against children with disabilities. Laws such as RA 9775 (Anti-Child Pornography) and RA 7610 (Special Protection of Children against Child Abuse, Exploitation and Discrimination) exist to protection children from exploitation. However, civil society organizations have recorded cases of pornography of young girls who are deaf or with physical disabilities and the perpetrators are not prosecuted or sanctioned</w:t>
      </w:r>
      <w:r w:rsidR="00091C04" w:rsidRPr="00377564">
        <w:rPr>
          <w:rStyle w:val="FootnoteReference"/>
          <w:rFonts w:ascii="Times New Roman" w:hAnsi="Times New Roman" w:cs="Times New Roman"/>
          <w:sz w:val="24"/>
          <w:szCs w:val="24"/>
          <w:u w:color="0070C0"/>
        </w:rPr>
        <w:footnoteReference w:id="10"/>
      </w:r>
      <w:r w:rsidRPr="00377564">
        <w:rPr>
          <w:rFonts w:ascii="Times New Roman" w:hAnsi="Times New Roman" w:cs="Times New Roman"/>
          <w:sz w:val="24"/>
          <w:szCs w:val="24"/>
          <w:u w:color="0070C0"/>
        </w:rPr>
        <w:t>.</w:t>
      </w:r>
    </w:p>
    <w:p w14:paraId="2076435C" w14:textId="77777777" w:rsidR="002F557A" w:rsidRPr="00377564" w:rsidRDefault="002F557A" w:rsidP="002F557A">
      <w:pPr>
        <w:pStyle w:val="ListParagraph"/>
        <w:rPr>
          <w:rFonts w:ascii="Times New Roman" w:hAnsi="Times New Roman" w:cs="Times New Roman"/>
          <w:sz w:val="24"/>
          <w:szCs w:val="24"/>
          <w:u w:color="0070C0"/>
        </w:rPr>
      </w:pPr>
    </w:p>
    <w:p w14:paraId="2076435D" w14:textId="77777777" w:rsidR="009A5612" w:rsidRPr="00377564" w:rsidRDefault="009A5612" w:rsidP="00B26FC9">
      <w:pPr>
        <w:spacing w:after="0"/>
        <w:ind w:left="720"/>
        <w:jc w:val="both"/>
        <w:rPr>
          <w:rFonts w:ascii="Times New Roman" w:hAnsi="Times New Roman" w:cs="Times New Roman"/>
          <w:b/>
          <w:sz w:val="24"/>
          <w:szCs w:val="24"/>
        </w:rPr>
      </w:pPr>
      <w:r w:rsidRPr="00377564">
        <w:rPr>
          <w:rFonts w:ascii="Times New Roman" w:hAnsi="Times New Roman" w:cs="Times New Roman"/>
          <w:b/>
          <w:sz w:val="24"/>
          <w:szCs w:val="24"/>
        </w:rPr>
        <w:t>2(a). What legislative and policy measures are taken to address hate crimes, hate speech and harmful practices against persons with disabilities?</w:t>
      </w:r>
    </w:p>
    <w:p w14:paraId="2076435E" w14:textId="77777777" w:rsidR="00D300D4" w:rsidRPr="00377564" w:rsidRDefault="00D300D4" w:rsidP="00B26FC9">
      <w:pPr>
        <w:spacing w:after="0"/>
        <w:ind w:left="720"/>
        <w:jc w:val="both"/>
        <w:rPr>
          <w:rFonts w:ascii="Times New Roman" w:hAnsi="Times New Roman" w:cs="Times New Roman"/>
          <w:b/>
          <w:sz w:val="24"/>
          <w:szCs w:val="24"/>
        </w:rPr>
      </w:pPr>
    </w:p>
    <w:p w14:paraId="2076435F" w14:textId="77777777" w:rsidR="00A745DB" w:rsidRPr="00377564" w:rsidRDefault="00E7431A" w:rsidP="00FB0B5B">
      <w:pPr>
        <w:pStyle w:val="ListParagraph"/>
        <w:numPr>
          <w:ilvl w:val="0"/>
          <w:numId w:val="1"/>
        </w:numPr>
        <w:spacing w:after="0"/>
        <w:jc w:val="both"/>
        <w:rPr>
          <w:rFonts w:ascii="Times New Roman" w:hAnsi="Times New Roman" w:cs="Times New Roman"/>
          <w:sz w:val="24"/>
          <w:szCs w:val="24"/>
        </w:rPr>
      </w:pPr>
      <w:r w:rsidRPr="00377564">
        <w:rPr>
          <w:rFonts w:ascii="Times New Roman" w:hAnsi="Times New Roman" w:cs="Times New Roman"/>
          <w:sz w:val="24"/>
          <w:szCs w:val="24"/>
        </w:rPr>
        <w:t xml:space="preserve">The primary policy measure enacted to address discrimination and harmful practices against persons with disabilities is Republic Act No. </w:t>
      </w:r>
      <w:r w:rsidR="008417E5" w:rsidRPr="00377564">
        <w:rPr>
          <w:rFonts w:ascii="Times New Roman" w:hAnsi="Times New Roman" w:cs="Times New Roman"/>
          <w:sz w:val="24"/>
          <w:szCs w:val="24"/>
        </w:rPr>
        <w:t>7277</w:t>
      </w:r>
      <w:r w:rsidRPr="00377564">
        <w:rPr>
          <w:rStyle w:val="FootnoteReference"/>
          <w:rFonts w:ascii="Times New Roman" w:hAnsi="Times New Roman" w:cs="Times New Roman"/>
          <w:sz w:val="24"/>
          <w:szCs w:val="24"/>
        </w:rPr>
        <w:footnoteReference w:id="11"/>
      </w:r>
      <w:r w:rsidRPr="00377564">
        <w:rPr>
          <w:rFonts w:ascii="Times New Roman" w:hAnsi="Times New Roman" w:cs="Times New Roman"/>
          <w:sz w:val="24"/>
          <w:szCs w:val="24"/>
        </w:rPr>
        <w:t xml:space="preserve"> or the Magna Carta for Disabled Persons.</w:t>
      </w:r>
      <w:r w:rsidR="00D300D4" w:rsidRPr="00377564">
        <w:rPr>
          <w:rFonts w:ascii="Times New Roman" w:hAnsi="Times New Roman" w:cs="Times New Roman"/>
          <w:sz w:val="24"/>
          <w:szCs w:val="24"/>
        </w:rPr>
        <w:t xml:space="preserve"> Section 2 (e) of the Magna Carta provides that the State shall advocate for and encourage respect for persons with disabilities.  It shall also exert all efforts to remove the social, cultural, economic, environmental, and attitudinal barriers that are prejudicial to per</w:t>
      </w:r>
      <w:r w:rsidR="00974B1E">
        <w:rPr>
          <w:rFonts w:ascii="Times New Roman" w:hAnsi="Times New Roman" w:cs="Times New Roman"/>
          <w:sz w:val="24"/>
          <w:szCs w:val="24"/>
        </w:rPr>
        <w:t>sons with disabilities.  The</w:t>
      </w:r>
      <w:r w:rsidR="00D300D4" w:rsidRPr="00377564">
        <w:rPr>
          <w:rFonts w:ascii="Times New Roman" w:hAnsi="Times New Roman" w:cs="Times New Roman"/>
          <w:sz w:val="24"/>
          <w:szCs w:val="24"/>
        </w:rPr>
        <w:t xml:space="preserve"> law </w:t>
      </w:r>
      <w:r w:rsidR="00974B1E">
        <w:rPr>
          <w:rFonts w:ascii="Times New Roman" w:hAnsi="Times New Roman" w:cs="Times New Roman"/>
          <w:sz w:val="24"/>
          <w:szCs w:val="24"/>
        </w:rPr>
        <w:t xml:space="preserve">also </w:t>
      </w:r>
      <w:r w:rsidR="00D300D4" w:rsidRPr="00377564">
        <w:rPr>
          <w:rFonts w:ascii="Times New Roman" w:hAnsi="Times New Roman" w:cs="Times New Roman"/>
          <w:sz w:val="24"/>
          <w:szCs w:val="24"/>
        </w:rPr>
        <w:t>provides for non-discrimination of persons with disabilities in employment, education, health, auxiliary social services, telecommunications, accessibility, and political and civil rights. Moreover, Title</w:t>
      </w:r>
      <w:r w:rsidR="00240B2D" w:rsidRPr="00377564">
        <w:rPr>
          <w:rFonts w:ascii="Times New Roman" w:hAnsi="Times New Roman" w:cs="Times New Roman"/>
          <w:sz w:val="24"/>
          <w:szCs w:val="24"/>
        </w:rPr>
        <w:t xml:space="preserve"> III of the Magna Carta </w:t>
      </w:r>
      <w:r w:rsidR="00D300D4" w:rsidRPr="00377564">
        <w:rPr>
          <w:rFonts w:ascii="Times New Roman" w:hAnsi="Times New Roman" w:cs="Times New Roman"/>
          <w:sz w:val="24"/>
          <w:szCs w:val="24"/>
        </w:rPr>
        <w:t>c</w:t>
      </w:r>
      <w:r w:rsidR="00240B2D" w:rsidRPr="00377564">
        <w:rPr>
          <w:rFonts w:ascii="Times New Roman" w:hAnsi="Times New Roman" w:cs="Times New Roman"/>
          <w:sz w:val="24"/>
          <w:szCs w:val="24"/>
        </w:rPr>
        <w:t>overs discrimination against disabled persons</w:t>
      </w:r>
      <w:r w:rsidR="00D300D4" w:rsidRPr="00377564">
        <w:rPr>
          <w:rFonts w:ascii="Times New Roman" w:hAnsi="Times New Roman" w:cs="Times New Roman"/>
          <w:sz w:val="24"/>
          <w:szCs w:val="24"/>
        </w:rPr>
        <w:t xml:space="preserve"> and its</w:t>
      </w:r>
      <w:r w:rsidR="00240B2D" w:rsidRPr="00377564">
        <w:rPr>
          <w:rFonts w:ascii="Times New Roman" w:hAnsi="Times New Roman" w:cs="Times New Roman"/>
          <w:sz w:val="24"/>
          <w:szCs w:val="24"/>
        </w:rPr>
        <w:t xml:space="preserve"> </w:t>
      </w:r>
      <w:r w:rsidR="00D300D4" w:rsidRPr="00377564">
        <w:rPr>
          <w:rFonts w:ascii="Times New Roman" w:hAnsi="Times New Roman" w:cs="Times New Roman"/>
          <w:sz w:val="24"/>
          <w:szCs w:val="24"/>
        </w:rPr>
        <w:t xml:space="preserve">subsequent sections </w:t>
      </w:r>
      <w:r w:rsidR="00240B2D" w:rsidRPr="00377564">
        <w:rPr>
          <w:rFonts w:ascii="Times New Roman" w:hAnsi="Times New Roman" w:cs="Times New Roman"/>
          <w:sz w:val="24"/>
          <w:szCs w:val="24"/>
        </w:rPr>
        <w:t>sets out discri</w:t>
      </w:r>
      <w:r w:rsidR="00D300D4" w:rsidRPr="00377564">
        <w:rPr>
          <w:rFonts w:ascii="Times New Roman" w:hAnsi="Times New Roman" w:cs="Times New Roman"/>
          <w:sz w:val="24"/>
          <w:szCs w:val="24"/>
        </w:rPr>
        <w:t xml:space="preserve">minatory acts prohibited by law and its penalties. </w:t>
      </w:r>
    </w:p>
    <w:p w14:paraId="20764360" w14:textId="77777777" w:rsidR="00240B2D" w:rsidRPr="00377564" w:rsidRDefault="00240B2D" w:rsidP="00A745DB">
      <w:pPr>
        <w:spacing w:after="0"/>
        <w:jc w:val="both"/>
        <w:rPr>
          <w:rFonts w:ascii="Times New Roman" w:hAnsi="Times New Roman" w:cs="Times New Roman"/>
          <w:sz w:val="24"/>
          <w:szCs w:val="24"/>
        </w:rPr>
      </w:pPr>
    </w:p>
    <w:p w14:paraId="20764361" w14:textId="77777777" w:rsidR="00240B2D" w:rsidRPr="00377564" w:rsidRDefault="00240B2D" w:rsidP="005D5736">
      <w:pPr>
        <w:pStyle w:val="ListParagraph"/>
        <w:numPr>
          <w:ilvl w:val="0"/>
          <w:numId w:val="1"/>
        </w:numPr>
        <w:spacing w:after="0"/>
        <w:jc w:val="both"/>
        <w:rPr>
          <w:rFonts w:ascii="Times New Roman" w:hAnsi="Times New Roman" w:cs="Times New Roman"/>
          <w:color w:val="000000"/>
          <w:sz w:val="24"/>
          <w:szCs w:val="24"/>
          <w:shd w:val="clear" w:color="auto" w:fill="FFFFFF"/>
        </w:rPr>
      </w:pPr>
      <w:r w:rsidRPr="00377564">
        <w:rPr>
          <w:rFonts w:ascii="Times New Roman" w:hAnsi="Times New Roman" w:cs="Times New Roman"/>
          <w:sz w:val="24"/>
          <w:szCs w:val="24"/>
        </w:rPr>
        <w:t>RA No. 7277 was later amended by RA. No. 9442 under which public ridicule is penalized. Under the law, public ridicule</w:t>
      </w:r>
      <w:r w:rsidR="00D300D4" w:rsidRPr="00377564">
        <w:rPr>
          <w:rStyle w:val="FootnoteReference"/>
          <w:rFonts w:ascii="Times New Roman" w:hAnsi="Times New Roman" w:cs="Times New Roman"/>
          <w:sz w:val="24"/>
          <w:szCs w:val="24"/>
        </w:rPr>
        <w:footnoteReference w:id="12"/>
      </w:r>
      <w:r w:rsidRPr="00377564">
        <w:rPr>
          <w:rFonts w:ascii="Times New Roman" w:hAnsi="Times New Roman" w:cs="Times New Roman"/>
          <w:sz w:val="24"/>
          <w:szCs w:val="24"/>
        </w:rPr>
        <w:t xml:space="preserve"> is defined as an act of making fun or </w:t>
      </w:r>
      <w:r w:rsidR="00D300D4" w:rsidRPr="00377564">
        <w:rPr>
          <w:rFonts w:ascii="Times New Roman" w:hAnsi="Times New Roman" w:cs="Times New Roman"/>
          <w:sz w:val="24"/>
          <w:szCs w:val="24"/>
        </w:rPr>
        <w:t>contemptuous</w:t>
      </w:r>
      <w:r w:rsidRPr="00377564">
        <w:rPr>
          <w:rFonts w:ascii="Times New Roman" w:hAnsi="Times New Roman" w:cs="Times New Roman"/>
          <w:sz w:val="24"/>
          <w:szCs w:val="24"/>
        </w:rPr>
        <w:t xml:space="preserve"> </w:t>
      </w:r>
      <w:r w:rsidRPr="00377564">
        <w:rPr>
          <w:rFonts w:ascii="Times New Roman" w:hAnsi="Times New Roman" w:cs="Times New Roman"/>
          <w:color w:val="000000"/>
          <w:sz w:val="24"/>
          <w:szCs w:val="24"/>
          <w:shd w:val="clear" w:color="auto" w:fill="FFFFFF"/>
        </w:rPr>
        <w:t xml:space="preserve">imitating or making mockery of persons with disability whether in writing, or in words, or in action due to their impairment/s. The law also penalizes vilification which is defined </w:t>
      </w:r>
      <w:r w:rsidR="00D300D4" w:rsidRPr="00377564">
        <w:rPr>
          <w:rFonts w:ascii="Times New Roman" w:hAnsi="Times New Roman" w:cs="Times New Roman"/>
          <w:color w:val="000000"/>
          <w:sz w:val="24"/>
          <w:szCs w:val="24"/>
          <w:shd w:val="clear" w:color="auto" w:fill="FFFFFF"/>
        </w:rPr>
        <w:t xml:space="preserve">by law </w:t>
      </w:r>
      <w:r w:rsidRPr="00377564">
        <w:rPr>
          <w:rFonts w:ascii="Times New Roman" w:hAnsi="Times New Roman" w:cs="Times New Roman"/>
          <w:color w:val="000000"/>
          <w:sz w:val="24"/>
          <w:szCs w:val="24"/>
          <w:shd w:val="clear" w:color="auto" w:fill="FFFFFF"/>
        </w:rPr>
        <w:t>as:</w:t>
      </w:r>
      <w:r w:rsidR="00D300D4" w:rsidRPr="00377564">
        <w:rPr>
          <w:rFonts w:ascii="Times New Roman" w:hAnsi="Times New Roman" w:cs="Times New Roman"/>
          <w:color w:val="000000"/>
          <w:sz w:val="24"/>
          <w:szCs w:val="24"/>
          <w:shd w:val="clear" w:color="auto" w:fill="FFFFFF"/>
        </w:rPr>
        <w:t xml:space="preserve"> </w:t>
      </w:r>
    </w:p>
    <w:p w14:paraId="20764362" w14:textId="77777777" w:rsidR="00D300D4" w:rsidRPr="00377564" w:rsidRDefault="00D300D4" w:rsidP="00D300D4">
      <w:pPr>
        <w:pStyle w:val="ListParagraph"/>
        <w:spacing w:after="0"/>
        <w:jc w:val="both"/>
        <w:rPr>
          <w:rFonts w:ascii="Times New Roman" w:hAnsi="Times New Roman" w:cs="Times New Roman"/>
          <w:color w:val="000000"/>
          <w:sz w:val="24"/>
          <w:szCs w:val="24"/>
          <w:shd w:val="clear" w:color="auto" w:fill="FFFFFF"/>
        </w:rPr>
      </w:pPr>
    </w:p>
    <w:p w14:paraId="20764363" w14:textId="77777777" w:rsidR="00240B2D" w:rsidRPr="00377564" w:rsidRDefault="00D300D4" w:rsidP="00D300D4">
      <w:pPr>
        <w:pStyle w:val="NormalWeb"/>
        <w:shd w:val="clear" w:color="auto" w:fill="FFFFFF"/>
        <w:spacing w:before="0" w:beforeAutospacing="0" w:after="0" w:afterAutospacing="0"/>
        <w:ind w:left="1440" w:right="720"/>
        <w:rPr>
          <w:i/>
          <w:color w:val="000000"/>
        </w:rPr>
      </w:pPr>
      <w:r w:rsidRPr="00377564">
        <w:rPr>
          <w:i/>
          <w:color w:val="000000"/>
        </w:rPr>
        <w:t>"</w:t>
      </w:r>
      <w:r w:rsidR="00240B2D" w:rsidRPr="00377564">
        <w:rPr>
          <w:i/>
          <w:color w:val="000000"/>
        </w:rPr>
        <w:t>(a) The utterance of slanderous and abusive statements against a person with disability; and/or</w:t>
      </w:r>
    </w:p>
    <w:p w14:paraId="20764364" w14:textId="77777777" w:rsidR="00240B2D" w:rsidRPr="00377564" w:rsidRDefault="00240B2D" w:rsidP="00D300D4">
      <w:pPr>
        <w:pStyle w:val="NormalWeb"/>
        <w:shd w:val="clear" w:color="auto" w:fill="FFFFFF"/>
        <w:spacing w:before="0" w:beforeAutospacing="0" w:after="0" w:afterAutospacing="0"/>
        <w:ind w:left="1440" w:right="720"/>
        <w:rPr>
          <w:i/>
          <w:color w:val="000000"/>
        </w:rPr>
      </w:pPr>
      <w:r w:rsidRPr="00377564">
        <w:rPr>
          <w:i/>
          <w:color w:val="000000"/>
        </w:rPr>
        <w:t>(b) An activity in public which incites hatred towards, serious contempt for, or severe ridicule of persons with disability.</w:t>
      </w:r>
      <w:r w:rsidR="00D300D4" w:rsidRPr="00377564">
        <w:rPr>
          <w:rStyle w:val="FootnoteReference"/>
          <w:i/>
          <w:color w:val="000000"/>
        </w:rPr>
        <w:footnoteReference w:id="13"/>
      </w:r>
      <w:r w:rsidRPr="00377564">
        <w:rPr>
          <w:i/>
          <w:color w:val="000000"/>
        </w:rPr>
        <w:t>”</w:t>
      </w:r>
    </w:p>
    <w:p w14:paraId="20764365" w14:textId="77777777" w:rsidR="00D300D4" w:rsidRPr="00377564" w:rsidRDefault="00D300D4" w:rsidP="00D300D4">
      <w:pPr>
        <w:pStyle w:val="NormalWeb"/>
        <w:shd w:val="clear" w:color="auto" w:fill="FFFFFF"/>
        <w:spacing w:before="0" w:beforeAutospacing="0" w:after="0" w:afterAutospacing="0"/>
        <w:ind w:left="1440" w:right="720"/>
        <w:rPr>
          <w:i/>
          <w:color w:val="000000"/>
        </w:rPr>
      </w:pPr>
    </w:p>
    <w:p w14:paraId="20764366" w14:textId="77777777" w:rsidR="00D300D4" w:rsidRPr="00377564" w:rsidRDefault="00D300D4" w:rsidP="00D300D4">
      <w:pPr>
        <w:pStyle w:val="NormalWeb"/>
        <w:numPr>
          <w:ilvl w:val="0"/>
          <w:numId w:val="1"/>
        </w:numPr>
        <w:shd w:val="clear" w:color="auto" w:fill="FFFFFF"/>
        <w:spacing w:before="0" w:beforeAutospacing="0" w:after="0" w:afterAutospacing="0"/>
        <w:rPr>
          <w:i/>
          <w:color w:val="000000"/>
        </w:rPr>
      </w:pPr>
      <w:r w:rsidRPr="00377564">
        <w:rPr>
          <w:color w:val="000000"/>
        </w:rPr>
        <w:t xml:space="preserve">Section 46 of RA No. 9442 sets forth the following penalties for violation of the provisions of the Magna Carta: </w:t>
      </w:r>
    </w:p>
    <w:p w14:paraId="20764367" w14:textId="77777777" w:rsidR="00240B2D" w:rsidRPr="00377564" w:rsidRDefault="00240B2D" w:rsidP="00A745DB">
      <w:pPr>
        <w:spacing w:after="0"/>
        <w:jc w:val="both"/>
        <w:rPr>
          <w:rFonts w:ascii="Times New Roman" w:hAnsi="Times New Roman" w:cs="Times New Roman"/>
          <w:sz w:val="24"/>
          <w:szCs w:val="24"/>
        </w:rPr>
      </w:pPr>
    </w:p>
    <w:p w14:paraId="20764368" w14:textId="77777777" w:rsidR="00240B2D" w:rsidRPr="00377564" w:rsidRDefault="00D300D4" w:rsidP="00D300D4">
      <w:pPr>
        <w:pStyle w:val="NormalWeb"/>
        <w:shd w:val="clear" w:color="auto" w:fill="FFFFFF"/>
        <w:spacing w:before="0" w:beforeAutospacing="0" w:after="0" w:afterAutospacing="0"/>
        <w:ind w:left="1440" w:right="810"/>
        <w:jc w:val="both"/>
        <w:rPr>
          <w:i/>
          <w:color w:val="000000"/>
        </w:rPr>
      </w:pPr>
      <w:r w:rsidRPr="00377564">
        <w:rPr>
          <w:i/>
          <w:color w:val="000000"/>
        </w:rPr>
        <w:t>"</w:t>
      </w:r>
      <w:r w:rsidR="00240B2D" w:rsidRPr="00377564">
        <w:rPr>
          <w:i/>
          <w:color w:val="000000"/>
        </w:rPr>
        <w:t>(1) For the first violation, a fine of not less than Fifty Thousand pesos (P50,000.00) but not exceeding One hundred thousand pesos (P100,000.00) or imprisonment of not less than six months but not more than two years, or both at the discretion of the court; and</w:t>
      </w:r>
    </w:p>
    <w:p w14:paraId="20764369" w14:textId="77777777" w:rsidR="00D300D4" w:rsidRPr="00377564" w:rsidRDefault="00D300D4" w:rsidP="00D300D4">
      <w:pPr>
        <w:pStyle w:val="NormalWeb"/>
        <w:shd w:val="clear" w:color="auto" w:fill="FFFFFF"/>
        <w:spacing w:before="0" w:beforeAutospacing="0" w:after="0" w:afterAutospacing="0"/>
        <w:ind w:left="1440" w:right="810"/>
        <w:jc w:val="both"/>
        <w:rPr>
          <w:i/>
          <w:color w:val="000000"/>
        </w:rPr>
      </w:pPr>
    </w:p>
    <w:p w14:paraId="2076436A" w14:textId="77777777" w:rsidR="00240B2D" w:rsidRPr="00377564" w:rsidRDefault="00240B2D" w:rsidP="00D300D4">
      <w:pPr>
        <w:pStyle w:val="NormalWeb"/>
        <w:shd w:val="clear" w:color="auto" w:fill="FFFFFF"/>
        <w:spacing w:before="0" w:beforeAutospacing="0" w:after="0" w:afterAutospacing="0"/>
        <w:ind w:left="1440" w:right="810"/>
        <w:jc w:val="both"/>
        <w:rPr>
          <w:i/>
          <w:color w:val="000000"/>
        </w:rPr>
      </w:pPr>
      <w:r w:rsidRPr="00377564">
        <w:rPr>
          <w:i/>
          <w:color w:val="000000"/>
        </w:rPr>
        <w:t>(2) For any subsequent violation, a fine of not less than One hundred thousand pesos (P100,000.00) but not exceeding Two hundred thousand pesos (P200,000.00) or imprisonment for not less than two years but not more than six years, or both at the discretion of the court.</w:t>
      </w:r>
    </w:p>
    <w:p w14:paraId="2076436B" w14:textId="77777777" w:rsidR="00D300D4" w:rsidRPr="00377564" w:rsidRDefault="00D300D4" w:rsidP="00D300D4">
      <w:pPr>
        <w:pStyle w:val="NormalWeb"/>
        <w:shd w:val="clear" w:color="auto" w:fill="FFFFFF"/>
        <w:spacing w:before="0" w:beforeAutospacing="0" w:after="0" w:afterAutospacing="0"/>
        <w:ind w:left="1440" w:right="810"/>
        <w:jc w:val="both"/>
        <w:rPr>
          <w:i/>
          <w:color w:val="000000"/>
        </w:rPr>
      </w:pPr>
    </w:p>
    <w:p w14:paraId="2076436C" w14:textId="77777777" w:rsidR="00240B2D" w:rsidRPr="00377564" w:rsidRDefault="00240B2D" w:rsidP="00D300D4">
      <w:pPr>
        <w:pStyle w:val="NormalWeb"/>
        <w:shd w:val="clear" w:color="auto" w:fill="FFFFFF"/>
        <w:spacing w:before="0" w:beforeAutospacing="0" w:after="0" w:afterAutospacing="0"/>
        <w:ind w:left="2160" w:right="810"/>
        <w:jc w:val="both"/>
        <w:rPr>
          <w:i/>
          <w:color w:val="000000"/>
        </w:rPr>
      </w:pPr>
      <w:r w:rsidRPr="00377564">
        <w:rPr>
          <w:i/>
          <w:color w:val="000000"/>
        </w:rPr>
        <w:t>(b) Any person who abuses the privileges granted herein shall be punished with imprisonment of not less than six months or a fine of not less than Five thousand pesos (P5,000.00), but not more than Fifty thousand pesos (P50,000.00), or both, at the discretion of the court.</w:t>
      </w:r>
    </w:p>
    <w:p w14:paraId="2076436D" w14:textId="77777777" w:rsidR="00D300D4" w:rsidRPr="00377564" w:rsidRDefault="00D300D4" w:rsidP="00D300D4">
      <w:pPr>
        <w:pStyle w:val="NormalWeb"/>
        <w:shd w:val="clear" w:color="auto" w:fill="FFFFFF"/>
        <w:spacing w:before="0" w:beforeAutospacing="0" w:after="0" w:afterAutospacing="0"/>
        <w:ind w:left="2160" w:right="810"/>
        <w:jc w:val="both"/>
        <w:rPr>
          <w:i/>
          <w:color w:val="000000"/>
        </w:rPr>
      </w:pPr>
    </w:p>
    <w:p w14:paraId="2076436E" w14:textId="77777777" w:rsidR="00240B2D" w:rsidRPr="00377564" w:rsidRDefault="00240B2D" w:rsidP="00D300D4">
      <w:pPr>
        <w:pStyle w:val="NormalWeb"/>
        <w:shd w:val="clear" w:color="auto" w:fill="FFFFFF"/>
        <w:spacing w:before="0" w:beforeAutospacing="0" w:after="0" w:afterAutospacing="0"/>
        <w:ind w:left="2160" w:right="810"/>
        <w:jc w:val="both"/>
        <w:rPr>
          <w:i/>
          <w:color w:val="000000"/>
        </w:rPr>
      </w:pPr>
      <w:r w:rsidRPr="00377564">
        <w:rPr>
          <w:i/>
          <w:color w:val="000000"/>
        </w:rPr>
        <w:t>(c) If the violator is a corporation, organization or any similar entity, the officials thereof directly involved shall be liable therefore.</w:t>
      </w:r>
    </w:p>
    <w:p w14:paraId="2076436F" w14:textId="77777777" w:rsidR="00D300D4" w:rsidRPr="00377564" w:rsidRDefault="00D300D4" w:rsidP="00D300D4">
      <w:pPr>
        <w:pStyle w:val="NormalWeb"/>
        <w:shd w:val="clear" w:color="auto" w:fill="FFFFFF"/>
        <w:spacing w:before="0" w:beforeAutospacing="0" w:after="0" w:afterAutospacing="0"/>
        <w:ind w:left="2160" w:right="810"/>
        <w:jc w:val="both"/>
        <w:rPr>
          <w:i/>
          <w:color w:val="000000"/>
        </w:rPr>
      </w:pPr>
    </w:p>
    <w:p w14:paraId="20764370" w14:textId="77777777" w:rsidR="00240B2D" w:rsidRPr="00377564" w:rsidRDefault="00240B2D" w:rsidP="00D300D4">
      <w:pPr>
        <w:pStyle w:val="NormalWeb"/>
        <w:shd w:val="clear" w:color="auto" w:fill="FFFFFF"/>
        <w:spacing w:before="0" w:beforeAutospacing="0" w:after="0" w:afterAutospacing="0"/>
        <w:ind w:left="2160" w:right="810"/>
        <w:jc w:val="both"/>
        <w:rPr>
          <w:i/>
          <w:color w:val="000000"/>
        </w:rPr>
      </w:pPr>
      <w:r w:rsidRPr="00377564">
        <w:rPr>
          <w:i/>
          <w:color w:val="000000"/>
        </w:rPr>
        <w:t>(d) If the violator is an alien or a foreigner, he shall be deported immediately after service of sentence without further deportation proceedings.</w:t>
      </w:r>
    </w:p>
    <w:p w14:paraId="20764371" w14:textId="77777777" w:rsidR="00D300D4" w:rsidRPr="00377564" w:rsidRDefault="00D300D4" w:rsidP="00240B2D">
      <w:pPr>
        <w:pStyle w:val="NormalWeb"/>
        <w:shd w:val="clear" w:color="auto" w:fill="FFFFFF"/>
        <w:spacing w:before="0" w:beforeAutospacing="0" w:after="0" w:afterAutospacing="0"/>
        <w:rPr>
          <w:color w:val="000000"/>
        </w:rPr>
      </w:pPr>
    </w:p>
    <w:p w14:paraId="20764372" w14:textId="77777777" w:rsidR="00240B2D" w:rsidRPr="00377564" w:rsidRDefault="00240B2D" w:rsidP="00D300D4">
      <w:pPr>
        <w:pStyle w:val="NormalWeb"/>
        <w:shd w:val="clear" w:color="auto" w:fill="FFFFFF"/>
        <w:spacing w:before="0" w:beforeAutospacing="0" w:after="0" w:afterAutospacing="0"/>
        <w:ind w:left="1440" w:right="810"/>
        <w:jc w:val="both"/>
        <w:rPr>
          <w:i/>
          <w:color w:val="000000"/>
        </w:rPr>
      </w:pPr>
      <w:r w:rsidRPr="00377564">
        <w:rPr>
          <w:i/>
          <w:color w:val="000000"/>
        </w:rPr>
        <w:t>Upon filing of an appropriate complaint, and after due notice and hearing, the proper authorities may also cause the cancellation or revocation of the business permit, permit to operate, franchise and other similar privileges granted to any business entity that fails to abide by the provisions of this Act.”</w:t>
      </w:r>
    </w:p>
    <w:p w14:paraId="20764373" w14:textId="77777777" w:rsidR="00240B2D" w:rsidRPr="00377564" w:rsidRDefault="00240B2D" w:rsidP="00A745DB">
      <w:pPr>
        <w:spacing w:after="0"/>
        <w:jc w:val="both"/>
        <w:rPr>
          <w:rFonts w:ascii="Times New Roman" w:hAnsi="Times New Roman" w:cs="Times New Roman"/>
          <w:sz w:val="24"/>
          <w:szCs w:val="24"/>
        </w:rPr>
      </w:pPr>
    </w:p>
    <w:p w14:paraId="20764374" w14:textId="77777777" w:rsidR="00D300D4" w:rsidRPr="00377564" w:rsidRDefault="00D300D4" w:rsidP="00D300D4">
      <w:pPr>
        <w:pStyle w:val="ListParagraph"/>
        <w:numPr>
          <w:ilvl w:val="0"/>
          <w:numId w:val="1"/>
        </w:numPr>
        <w:spacing w:after="0"/>
        <w:jc w:val="both"/>
        <w:rPr>
          <w:rFonts w:ascii="Times New Roman" w:hAnsi="Times New Roman" w:cs="Times New Roman"/>
          <w:sz w:val="24"/>
          <w:szCs w:val="24"/>
        </w:rPr>
      </w:pPr>
      <w:r w:rsidRPr="00377564">
        <w:rPr>
          <w:rFonts w:ascii="Times New Roman" w:hAnsi="Times New Roman" w:cs="Times New Roman"/>
          <w:sz w:val="24"/>
          <w:szCs w:val="24"/>
        </w:rPr>
        <w:t>There is currently a pending bill in congress entitled "Comprehensive Anti-Discrimination Bill</w:t>
      </w:r>
      <w:r w:rsidRPr="00377564">
        <w:rPr>
          <w:rStyle w:val="FootnoteReference"/>
          <w:rFonts w:ascii="Times New Roman" w:hAnsi="Times New Roman" w:cs="Times New Roman"/>
          <w:sz w:val="24"/>
          <w:szCs w:val="24"/>
        </w:rPr>
        <w:footnoteReference w:id="14"/>
      </w:r>
      <w:r w:rsidRPr="00377564">
        <w:rPr>
          <w:rFonts w:ascii="Times New Roman" w:hAnsi="Times New Roman" w:cs="Times New Roman"/>
          <w:sz w:val="24"/>
          <w:szCs w:val="24"/>
        </w:rPr>
        <w:t xml:space="preserve">" which covers and prohibits discriminatory acts against persons with disabilities. The penalty for acts of discrimination, under the pending bill ranges from imprisonment of one (1) to six (6) years of imprisonment or a fine of not more thank P500,000, or both, at the discretion of the court. Section 9 of the pending bill likewise provides that criminal complaints brought under the Act shall be filed with the proper court or with the Commission on Human Rights (CHR) and the latter may investigate </w:t>
      </w:r>
      <w:r w:rsidRPr="00377564">
        <w:rPr>
          <w:rFonts w:ascii="Times New Roman" w:hAnsi="Times New Roman" w:cs="Times New Roman"/>
          <w:i/>
          <w:sz w:val="24"/>
          <w:szCs w:val="24"/>
        </w:rPr>
        <w:t>motu proprio</w:t>
      </w:r>
      <w:r w:rsidRPr="00377564">
        <w:rPr>
          <w:rFonts w:ascii="Times New Roman" w:hAnsi="Times New Roman" w:cs="Times New Roman"/>
          <w:sz w:val="24"/>
          <w:szCs w:val="24"/>
        </w:rPr>
        <w:t xml:space="preserve"> or upon receipt of a complaint. </w:t>
      </w:r>
    </w:p>
    <w:p w14:paraId="20764375" w14:textId="77777777" w:rsidR="009E7C39" w:rsidRPr="00377564" w:rsidRDefault="009E7C39" w:rsidP="009E7C39">
      <w:pPr>
        <w:pStyle w:val="ListParagraph"/>
        <w:spacing w:after="0"/>
        <w:jc w:val="both"/>
        <w:rPr>
          <w:rFonts w:ascii="Times New Roman" w:hAnsi="Times New Roman" w:cs="Times New Roman"/>
          <w:sz w:val="24"/>
          <w:szCs w:val="24"/>
        </w:rPr>
      </w:pPr>
    </w:p>
    <w:p w14:paraId="20764376" w14:textId="77777777" w:rsidR="009A5612" w:rsidRPr="00377564" w:rsidRDefault="009A5612" w:rsidP="00B26FC9">
      <w:pPr>
        <w:spacing w:after="0"/>
        <w:ind w:left="720"/>
        <w:jc w:val="both"/>
        <w:rPr>
          <w:rFonts w:ascii="Times New Roman" w:hAnsi="Times New Roman" w:cs="Times New Roman"/>
          <w:b/>
          <w:sz w:val="24"/>
          <w:szCs w:val="24"/>
        </w:rPr>
      </w:pPr>
    </w:p>
    <w:p w14:paraId="20764377" w14:textId="77777777" w:rsidR="009A5612" w:rsidRPr="00377564" w:rsidRDefault="009A5612" w:rsidP="00B26FC9">
      <w:pPr>
        <w:spacing w:after="0"/>
        <w:ind w:left="720"/>
        <w:jc w:val="both"/>
        <w:rPr>
          <w:rFonts w:ascii="Times New Roman" w:hAnsi="Times New Roman" w:cs="Times New Roman"/>
          <w:b/>
          <w:sz w:val="24"/>
          <w:szCs w:val="24"/>
        </w:rPr>
      </w:pPr>
      <w:r w:rsidRPr="00377564">
        <w:rPr>
          <w:rFonts w:ascii="Times New Roman" w:hAnsi="Times New Roman" w:cs="Times New Roman"/>
          <w:b/>
          <w:sz w:val="24"/>
          <w:szCs w:val="24"/>
        </w:rPr>
        <w:t>2(b). In particular, are there legal remedies available for persons with disabilities seeking compensation and reparation? Are there legal provisions to sanction perpetrators, including through criminal law? Please provide information on their application in practice (e.g. cases of persons condemned for hate crimes against persons with disabilities).</w:t>
      </w:r>
    </w:p>
    <w:p w14:paraId="20764378" w14:textId="77777777" w:rsidR="00D300D4" w:rsidRPr="00377564" w:rsidRDefault="00D300D4" w:rsidP="00B26FC9">
      <w:pPr>
        <w:spacing w:after="0"/>
        <w:ind w:left="720"/>
        <w:jc w:val="both"/>
        <w:rPr>
          <w:rFonts w:ascii="Times New Roman" w:hAnsi="Times New Roman" w:cs="Times New Roman"/>
          <w:b/>
          <w:sz w:val="24"/>
          <w:szCs w:val="24"/>
        </w:rPr>
      </w:pPr>
    </w:p>
    <w:p w14:paraId="20764379" w14:textId="77777777" w:rsidR="009A5612" w:rsidRPr="00377564" w:rsidRDefault="00D300D4" w:rsidP="00F6272C">
      <w:pPr>
        <w:pStyle w:val="ListParagraph"/>
        <w:numPr>
          <w:ilvl w:val="0"/>
          <w:numId w:val="1"/>
        </w:numPr>
        <w:spacing w:after="0"/>
        <w:jc w:val="both"/>
        <w:rPr>
          <w:rFonts w:ascii="Times New Roman" w:hAnsi="Times New Roman" w:cs="Times New Roman"/>
          <w:b/>
          <w:sz w:val="24"/>
          <w:szCs w:val="24"/>
        </w:rPr>
      </w:pPr>
      <w:r w:rsidRPr="00377564">
        <w:rPr>
          <w:rFonts w:ascii="Times New Roman" w:hAnsi="Times New Roman" w:cs="Times New Roman"/>
          <w:sz w:val="24"/>
          <w:szCs w:val="24"/>
        </w:rPr>
        <w:t>A complainant may seek redress by filing a complaint in the appropriate court invoking the Magna Carta for Persons with Disabilities as mentioned in the previous paragraphs. A complaint may also be filed before the Commission on Human Rights in accordance with its mandate. Once a complaint is filed, the Commission will proceed with its independent investigation to determine whether there is indeed a violation. Upon a positive finding, the Commission shall immediately endorse the case to the competent agencies or bodies for appropriate administrative or criminal investigation against the respondents</w:t>
      </w:r>
      <w:r w:rsidRPr="00377564">
        <w:rPr>
          <w:rStyle w:val="FootnoteReference"/>
          <w:rFonts w:ascii="Times New Roman" w:hAnsi="Times New Roman" w:cs="Times New Roman"/>
          <w:sz w:val="24"/>
          <w:szCs w:val="24"/>
        </w:rPr>
        <w:footnoteReference w:id="15"/>
      </w:r>
      <w:r w:rsidRPr="00377564">
        <w:rPr>
          <w:rFonts w:ascii="Times New Roman" w:hAnsi="Times New Roman" w:cs="Times New Roman"/>
          <w:sz w:val="24"/>
          <w:szCs w:val="24"/>
        </w:rPr>
        <w:t xml:space="preserve">. </w:t>
      </w:r>
    </w:p>
    <w:p w14:paraId="2076437A" w14:textId="77777777" w:rsidR="00D300D4" w:rsidRPr="00377564" w:rsidRDefault="00D300D4" w:rsidP="00D300D4">
      <w:pPr>
        <w:pStyle w:val="ListParagraph"/>
        <w:spacing w:after="0"/>
        <w:jc w:val="both"/>
        <w:rPr>
          <w:rFonts w:ascii="Times New Roman" w:hAnsi="Times New Roman" w:cs="Times New Roman"/>
          <w:b/>
          <w:sz w:val="24"/>
          <w:szCs w:val="24"/>
        </w:rPr>
      </w:pPr>
    </w:p>
    <w:p w14:paraId="2076437B" w14:textId="77777777" w:rsidR="00D300D4" w:rsidRPr="00377564" w:rsidRDefault="00D300D4" w:rsidP="00D300D4">
      <w:pPr>
        <w:pStyle w:val="ListParagraph"/>
        <w:numPr>
          <w:ilvl w:val="0"/>
          <w:numId w:val="1"/>
        </w:numPr>
        <w:spacing w:after="0"/>
        <w:jc w:val="both"/>
        <w:rPr>
          <w:rFonts w:ascii="Times New Roman" w:hAnsi="Times New Roman" w:cs="Times New Roman"/>
          <w:b/>
          <w:sz w:val="24"/>
          <w:szCs w:val="24"/>
        </w:rPr>
      </w:pPr>
      <w:r w:rsidRPr="00377564">
        <w:rPr>
          <w:rFonts w:ascii="Times New Roman" w:hAnsi="Times New Roman" w:cs="Times New Roman"/>
          <w:sz w:val="24"/>
          <w:szCs w:val="24"/>
        </w:rPr>
        <w:t xml:space="preserve">In 2018, a complaint was lodged before the Ombudsman and the Commission on Human Rights by the Philippine Federation of the Deaf against Palace Communications Assistant Secretary Margaux "Mocha" Uson for her involvement in a video that made fun of sign language. The complainant invoked Section 39 of the Magna Carta for Disabled Persons which penalizes public ridicule. </w:t>
      </w:r>
    </w:p>
    <w:p w14:paraId="2076437C" w14:textId="77777777" w:rsidR="00EC4488" w:rsidRPr="00377564" w:rsidRDefault="00EC4488" w:rsidP="00EC4488">
      <w:pPr>
        <w:pStyle w:val="ListParagraph"/>
        <w:rPr>
          <w:rFonts w:ascii="Times New Roman" w:hAnsi="Times New Roman" w:cs="Times New Roman"/>
          <w:b/>
          <w:sz w:val="24"/>
          <w:szCs w:val="24"/>
        </w:rPr>
      </w:pPr>
    </w:p>
    <w:p w14:paraId="2076437D" w14:textId="77777777" w:rsidR="00EC4488" w:rsidRPr="00377564" w:rsidRDefault="00EC4488" w:rsidP="00EC4488">
      <w:pPr>
        <w:pStyle w:val="ListParagraph"/>
        <w:numPr>
          <w:ilvl w:val="0"/>
          <w:numId w:val="1"/>
        </w:numPr>
        <w:spacing w:after="0"/>
        <w:jc w:val="both"/>
        <w:rPr>
          <w:rFonts w:ascii="Times New Roman" w:hAnsi="Times New Roman" w:cs="Times New Roman"/>
          <w:sz w:val="24"/>
          <w:szCs w:val="24"/>
        </w:rPr>
      </w:pPr>
      <w:r w:rsidRPr="00377564">
        <w:rPr>
          <w:rFonts w:ascii="Times New Roman" w:hAnsi="Times New Roman" w:cs="Times New Roman"/>
          <w:sz w:val="24"/>
          <w:szCs w:val="24"/>
        </w:rPr>
        <w:t>The Commission on Human Rights’ Region IX office (Zamboanga Region) recently provided assistance to a victim of discrimination by a jail officer. According to the complaint, the perpetrator made fun of the victim; maliciously calling the latter names in reference to his deformity. The victim reported the incident to the local persons with disability association which later referred the incident to the Commission. The Commission then filed the necessary case against the suspect in the proper court which eventually prospered resulting in the conviction of the jail officer. The jail officer was found guilty of vilification – an offense punishable under RA. 9442</w:t>
      </w:r>
      <w:r w:rsidRPr="00377564">
        <w:rPr>
          <w:rStyle w:val="FootnoteReference"/>
          <w:rFonts w:ascii="Times New Roman" w:hAnsi="Times New Roman" w:cs="Times New Roman"/>
          <w:sz w:val="24"/>
          <w:szCs w:val="24"/>
        </w:rPr>
        <w:footnoteReference w:id="16"/>
      </w:r>
      <w:r w:rsidRPr="00377564">
        <w:rPr>
          <w:rFonts w:ascii="Times New Roman" w:hAnsi="Times New Roman" w:cs="Times New Roman"/>
          <w:sz w:val="24"/>
          <w:szCs w:val="24"/>
        </w:rPr>
        <w:t xml:space="preserve">. </w:t>
      </w:r>
    </w:p>
    <w:p w14:paraId="2076437E" w14:textId="77777777" w:rsidR="00D300D4" w:rsidRPr="00377564" w:rsidRDefault="00D300D4" w:rsidP="00D300D4">
      <w:pPr>
        <w:pStyle w:val="ListParagraph"/>
        <w:spacing w:after="0"/>
        <w:jc w:val="both"/>
        <w:rPr>
          <w:rFonts w:ascii="Times New Roman" w:hAnsi="Times New Roman" w:cs="Times New Roman"/>
          <w:b/>
          <w:sz w:val="24"/>
          <w:szCs w:val="24"/>
        </w:rPr>
      </w:pPr>
    </w:p>
    <w:p w14:paraId="2076437F" w14:textId="77777777" w:rsidR="009A5612" w:rsidRPr="00377564" w:rsidRDefault="009A5612" w:rsidP="00B26FC9">
      <w:pPr>
        <w:spacing w:after="0"/>
        <w:ind w:left="720"/>
        <w:jc w:val="both"/>
        <w:rPr>
          <w:rFonts w:ascii="Times New Roman" w:hAnsi="Times New Roman" w:cs="Times New Roman"/>
          <w:b/>
          <w:sz w:val="24"/>
          <w:szCs w:val="24"/>
        </w:rPr>
      </w:pPr>
      <w:r w:rsidRPr="00377564">
        <w:rPr>
          <w:rFonts w:ascii="Times New Roman" w:hAnsi="Times New Roman" w:cs="Times New Roman"/>
          <w:b/>
          <w:sz w:val="24"/>
          <w:szCs w:val="24"/>
        </w:rPr>
        <w:t>3(a). What steps have been taken to establish standards and/or good practices on the representation and portrayal of persons with disabilities in broadcast media, including codes, guidelines and other measures (legal, co-regulatory or self-regulatory)?</w:t>
      </w:r>
    </w:p>
    <w:p w14:paraId="20764380" w14:textId="77777777" w:rsidR="00D300D4" w:rsidRPr="00377564" w:rsidRDefault="00D300D4" w:rsidP="00B26FC9">
      <w:pPr>
        <w:spacing w:after="0"/>
        <w:ind w:left="720"/>
        <w:jc w:val="both"/>
        <w:rPr>
          <w:rFonts w:ascii="Times New Roman" w:hAnsi="Times New Roman" w:cs="Times New Roman"/>
          <w:b/>
          <w:sz w:val="24"/>
          <w:szCs w:val="24"/>
        </w:rPr>
      </w:pPr>
    </w:p>
    <w:p w14:paraId="20764381" w14:textId="77777777" w:rsidR="00150D7B" w:rsidRPr="00377564" w:rsidRDefault="00150D7B" w:rsidP="00EE0FE6">
      <w:pPr>
        <w:pStyle w:val="ListParagraph"/>
        <w:numPr>
          <w:ilvl w:val="0"/>
          <w:numId w:val="1"/>
        </w:numPr>
        <w:spacing w:after="0"/>
        <w:jc w:val="both"/>
        <w:rPr>
          <w:rFonts w:ascii="Times New Roman" w:hAnsi="Times New Roman" w:cs="Times New Roman"/>
          <w:sz w:val="24"/>
          <w:szCs w:val="24"/>
        </w:rPr>
      </w:pPr>
      <w:r w:rsidRPr="00377564">
        <w:rPr>
          <w:rFonts w:ascii="Times New Roman" w:hAnsi="Times New Roman" w:cs="Times New Roman"/>
          <w:sz w:val="24"/>
          <w:szCs w:val="24"/>
        </w:rPr>
        <w:t xml:space="preserve">During a dialogue between media practitioners, advocates and persons </w:t>
      </w:r>
      <w:r w:rsidR="00BE7FA5" w:rsidRPr="00377564">
        <w:rPr>
          <w:rFonts w:ascii="Times New Roman" w:hAnsi="Times New Roman" w:cs="Times New Roman"/>
          <w:sz w:val="24"/>
          <w:szCs w:val="24"/>
        </w:rPr>
        <w:t xml:space="preserve">with disabilities in </w:t>
      </w:r>
      <w:r w:rsidRPr="00377564">
        <w:rPr>
          <w:rFonts w:ascii="Times New Roman" w:hAnsi="Times New Roman" w:cs="Times New Roman"/>
          <w:sz w:val="24"/>
          <w:szCs w:val="24"/>
        </w:rPr>
        <w:t xml:space="preserve">2015, the NCDA mentioned that one of the problems faced by persons with disabilities is media discrimination. </w:t>
      </w:r>
      <w:r w:rsidR="00CF7357" w:rsidRPr="00377564">
        <w:rPr>
          <w:rFonts w:ascii="Times New Roman" w:hAnsi="Times New Roman" w:cs="Times New Roman"/>
          <w:sz w:val="24"/>
          <w:szCs w:val="24"/>
        </w:rPr>
        <w:t xml:space="preserve">This is so because in mainstream media, stereotypes are often the basis of portrayal of persons with disabilities. NCDA also critiqued that some local television shows misrepresent persons with disabilities and it is observed that the latter are always represented as villains or as hopeless victims. This misrepresentation only portrays persons with disabilities as object of fear or pity. </w:t>
      </w:r>
    </w:p>
    <w:p w14:paraId="20764382" w14:textId="77777777" w:rsidR="00BE7FA5" w:rsidRPr="00377564" w:rsidRDefault="00BE7FA5" w:rsidP="00BE7FA5">
      <w:pPr>
        <w:pStyle w:val="ListParagraph"/>
        <w:spacing w:after="0"/>
        <w:jc w:val="both"/>
        <w:rPr>
          <w:rFonts w:ascii="Times New Roman" w:hAnsi="Times New Roman" w:cs="Times New Roman"/>
          <w:sz w:val="24"/>
          <w:szCs w:val="24"/>
        </w:rPr>
      </w:pPr>
    </w:p>
    <w:p w14:paraId="20764383" w14:textId="77777777" w:rsidR="00150D7B" w:rsidRPr="00377564" w:rsidRDefault="00BE7FA5" w:rsidP="00EE0FE6">
      <w:pPr>
        <w:pStyle w:val="ListParagraph"/>
        <w:numPr>
          <w:ilvl w:val="0"/>
          <w:numId w:val="1"/>
        </w:numPr>
        <w:spacing w:after="0"/>
        <w:jc w:val="both"/>
        <w:rPr>
          <w:rFonts w:ascii="Times New Roman" w:hAnsi="Times New Roman" w:cs="Times New Roman"/>
          <w:sz w:val="24"/>
          <w:szCs w:val="24"/>
        </w:rPr>
      </w:pPr>
      <w:r w:rsidRPr="00377564">
        <w:rPr>
          <w:rFonts w:ascii="Times New Roman" w:hAnsi="Times New Roman" w:cs="Times New Roman"/>
          <w:sz w:val="24"/>
          <w:szCs w:val="24"/>
        </w:rPr>
        <w:t>Disability rights advocates have</w:t>
      </w:r>
      <w:r w:rsidR="00150D7B" w:rsidRPr="00377564">
        <w:rPr>
          <w:rFonts w:ascii="Times New Roman" w:hAnsi="Times New Roman" w:cs="Times New Roman"/>
          <w:sz w:val="24"/>
          <w:szCs w:val="24"/>
        </w:rPr>
        <w:t xml:space="preserve"> raised the need for government to issue guidelines on and monitor sensitivity and appropriate handling in media releases, broadcasts and other public programs on documentaries, features or</w:t>
      </w:r>
      <w:r w:rsidRPr="00377564">
        <w:rPr>
          <w:rFonts w:ascii="Times New Roman" w:hAnsi="Times New Roman" w:cs="Times New Roman"/>
          <w:sz w:val="24"/>
          <w:szCs w:val="24"/>
        </w:rPr>
        <w:t xml:space="preserve"> other involvement of persons with disabilities in media</w:t>
      </w:r>
      <w:r w:rsidRPr="00377564">
        <w:rPr>
          <w:rStyle w:val="FootnoteReference"/>
          <w:rFonts w:ascii="Times New Roman" w:hAnsi="Times New Roman" w:cs="Times New Roman"/>
          <w:sz w:val="24"/>
          <w:szCs w:val="24"/>
        </w:rPr>
        <w:footnoteReference w:id="17"/>
      </w:r>
      <w:r w:rsidRPr="00377564">
        <w:rPr>
          <w:rFonts w:ascii="Times New Roman" w:hAnsi="Times New Roman" w:cs="Times New Roman"/>
          <w:sz w:val="24"/>
          <w:szCs w:val="24"/>
        </w:rPr>
        <w:t xml:space="preserve">. </w:t>
      </w:r>
    </w:p>
    <w:p w14:paraId="20764384" w14:textId="77777777" w:rsidR="00BE7FA5" w:rsidRPr="00377564" w:rsidRDefault="00BE7FA5" w:rsidP="00BE7FA5">
      <w:pPr>
        <w:pStyle w:val="ListParagraph"/>
        <w:spacing w:after="0"/>
        <w:jc w:val="both"/>
        <w:rPr>
          <w:rFonts w:ascii="Times New Roman" w:hAnsi="Times New Roman" w:cs="Times New Roman"/>
          <w:sz w:val="24"/>
          <w:szCs w:val="24"/>
        </w:rPr>
      </w:pPr>
    </w:p>
    <w:p w14:paraId="20764385" w14:textId="77777777" w:rsidR="00BE7FA5" w:rsidRPr="00377564" w:rsidRDefault="00BE7FA5" w:rsidP="00EE0FE6">
      <w:pPr>
        <w:pStyle w:val="ListParagraph"/>
        <w:numPr>
          <w:ilvl w:val="0"/>
          <w:numId w:val="1"/>
        </w:numPr>
        <w:spacing w:after="0"/>
        <w:jc w:val="both"/>
        <w:rPr>
          <w:rFonts w:ascii="Times New Roman" w:hAnsi="Times New Roman" w:cs="Times New Roman"/>
          <w:sz w:val="24"/>
          <w:szCs w:val="24"/>
        </w:rPr>
      </w:pPr>
      <w:r w:rsidRPr="00377564">
        <w:rPr>
          <w:rFonts w:ascii="Times New Roman" w:hAnsi="Times New Roman" w:cs="Times New Roman"/>
          <w:sz w:val="24"/>
          <w:szCs w:val="24"/>
        </w:rPr>
        <w:t>As regards codes and guidelines, the Broadcast Code of the Philippines of 2007 (as amended 2011)</w:t>
      </w:r>
      <w:r w:rsidR="005C3917" w:rsidRPr="00377564">
        <w:rPr>
          <w:rStyle w:val="FootnoteReference"/>
          <w:rFonts w:ascii="Times New Roman" w:hAnsi="Times New Roman" w:cs="Times New Roman"/>
          <w:sz w:val="24"/>
          <w:szCs w:val="24"/>
        </w:rPr>
        <w:footnoteReference w:id="18"/>
      </w:r>
      <w:r w:rsidRPr="00377564">
        <w:rPr>
          <w:rFonts w:ascii="Times New Roman" w:hAnsi="Times New Roman" w:cs="Times New Roman"/>
          <w:sz w:val="24"/>
          <w:szCs w:val="24"/>
        </w:rPr>
        <w:t xml:space="preserve"> contains the following provisions concerning persons with disabilities in media:</w:t>
      </w:r>
    </w:p>
    <w:p w14:paraId="20764386" w14:textId="77777777" w:rsidR="00BE7FA5" w:rsidRPr="00377564" w:rsidRDefault="00BE7FA5" w:rsidP="00E07EDB">
      <w:pPr>
        <w:pStyle w:val="ListParagraph"/>
        <w:numPr>
          <w:ilvl w:val="0"/>
          <w:numId w:val="6"/>
        </w:numPr>
        <w:spacing w:after="0"/>
        <w:jc w:val="both"/>
        <w:rPr>
          <w:rFonts w:ascii="Times New Roman" w:hAnsi="Times New Roman" w:cs="Times New Roman"/>
          <w:sz w:val="24"/>
          <w:szCs w:val="24"/>
        </w:rPr>
      </w:pPr>
      <w:r w:rsidRPr="00377564">
        <w:rPr>
          <w:rFonts w:ascii="Times New Roman" w:hAnsi="Times New Roman" w:cs="Times New Roman"/>
          <w:sz w:val="24"/>
          <w:szCs w:val="24"/>
        </w:rPr>
        <w:t>Article 3 (Coverage Involving Children)</w:t>
      </w:r>
      <w:r w:rsidR="005C3917" w:rsidRPr="00377564">
        <w:rPr>
          <w:rStyle w:val="FootnoteReference"/>
          <w:rFonts w:ascii="Times New Roman" w:hAnsi="Times New Roman" w:cs="Times New Roman"/>
          <w:sz w:val="24"/>
          <w:szCs w:val="24"/>
        </w:rPr>
        <w:footnoteReference w:id="19"/>
      </w:r>
      <w:r w:rsidRPr="00377564">
        <w:rPr>
          <w:rFonts w:ascii="Times New Roman" w:hAnsi="Times New Roman" w:cs="Times New Roman"/>
          <w:sz w:val="24"/>
          <w:szCs w:val="24"/>
        </w:rPr>
        <w:t xml:space="preserve"> – "There should be a conscious effort to avoid sensationalizing, stereotyping, prejudging or exploiting children with disabilities or children belonging to minority or indigenous groups."</w:t>
      </w:r>
    </w:p>
    <w:p w14:paraId="20764387" w14:textId="77777777" w:rsidR="00BE7FA5" w:rsidRPr="00377564" w:rsidRDefault="00BE7FA5" w:rsidP="00BE7FA5">
      <w:pPr>
        <w:pStyle w:val="ListParagraph"/>
        <w:spacing w:after="0"/>
        <w:ind w:left="1440"/>
        <w:jc w:val="both"/>
        <w:rPr>
          <w:rFonts w:ascii="Times New Roman" w:hAnsi="Times New Roman" w:cs="Times New Roman"/>
          <w:sz w:val="24"/>
          <w:szCs w:val="24"/>
        </w:rPr>
      </w:pPr>
    </w:p>
    <w:p w14:paraId="20764388" w14:textId="77777777" w:rsidR="00BE7FA5" w:rsidRPr="00377564" w:rsidRDefault="00BE7FA5" w:rsidP="00BE7FA5">
      <w:pPr>
        <w:pStyle w:val="ListParagraph"/>
        <w:numPr>
          <w:ilvl w:val="0"/>
          <w:numId w:val="6"/>
        </w:numPr>
        <w:spacing w:after="0"/>
        <w:jc w:val="both"/>
        <w:rPr>
          <w:rFonts w:ascii="Times New Roman" w:hAnsi="Times New Roman" w:cs="Times New Roman"/>
          <w:sz w:val="24"/>
          <w:szCs w:val="24"/>
        </w:rPr>
      </w:pPr>
      <w:r w:rsidRPr="00377564">
        <w:rPr>
          <w:rFonts w:ascii="Times New Roman" w:hAnsi="Times New Roman" w:cs="Times New Roman"/>
          <w:sz w:val="24"/>
          <w:szCs w:val="24"/>
        </w:rPr>
        <w:t>Article 17 (Quiz shows, contests, public participation and promotions)</w:t>
      </w:r>
      <w:r w:rsidR="005C3917" w:rsidRPr="00377564">
        <w:rPr>
          <w:rStyle w:val="FootnoteReference"/>
          <w:rFonts w:ascii="Times New Roman" w:hAnsi="Times New Roman" w:cs="Times New Roman"/>
          <w:sz w:val="24"/>
          <w:szCs w:val="24"/>
        </w:rPr>
        <w:footnoteReference w:id="20"/>
      </w:r>
      <w:r w:rsidRPr="00377564">
        <w:rPr>
          <w:rFonts w:ascii="Times New Roman" w:hAnsi="Times New Roman" w:cs="Times New Roman"/>
          <w:sz w:val="24"/>
          <w:szCs w:val="24"/>
        </w:rPr>
        <w:t xml:space="preserve"> – "Programs in general should avoid sensationalizing, stereotyping, prejudging or exploiting children with disabilities or children belonging to minority or indigenous groups."</w:t>
      </w:r>
    </w:p>
    <w:p w14:paraId="20764389" w14:textId="77777777" w:rsidR="00BE7FA5" w:rsidRPr="00377564" w:rsidRDefault="00BE7FA5" w:rsidP="00BE7FA5">
      <w:pPr>
        <w:pStyle w:val="ListParagraph"/>
        <w:spacing w:after="0"/>
        <w:ind w:left="1440"/>
        <w:jc w:val="both"/>
        <w:rPr>
          <w:rFonts w:ascii="Times New Roman" w:hAnsi="Times New Roman" w:cs="Times New Roman"/>
          <w:sz w:val="24"/>
          <w:szCs w:val="24"/>
        </w:rPr>
      </w:pPr>
    </w:p>
    <w:p w14:paraId="2076438A" w14:textId="77777777" w:rsidR="00BE7FA5" w:rsidRPr="00377564" w:rsidRDefault="00BE7FA5" w:rsidP="000C6F4F">
      <w:pPr>
        <w:pStyle w:val="ListParagraph"/>
        <w:numPr>
          <w:ilvl w:val="0"/>
          <w:numId w:val="6"/>
        </w:numPr>
        <w:spacing w:after="0"/>
        <w:jc w:val="both"/>
        <w:rPr>
          <w:rFonts w:ascii="Times New Roman" w:hAnsi="Times New Roman" w:cs="Times New Roman"/>
          <w:sz w:val="24"/>
          <w:szCs w:val="24"/>
        </w:rPr>
      </w:pPr>
      <w:r w:rsidRPr="00377564">
        <w:rPr>
          <w:rFonts w:ascii="Times New Roman" w:hAnsi="Times New Roman" w:cs="Times New Roman"/>
          <w:sz w:val="24"/>
          <w:szCs w:val="24"/>
        </w:rPr>
        <w:t>Article 22 (Discrimination)</w:t>
      </w:r>
      <w:r w:rsidR="005C3917" w:rsidRPr="00377564">
        <w:rPr>
          <w:rStyle w:val="FootnoteReference"/>
          <w:rFonts w:ascii="Times New Roman" w:hAnsi="Times New Roman" w:cs="Times New Roman"/>
          <w:sz w:val="24"/>
          <w:szCs w:val="24"/>
        </w:rPr>
        <w:footnoteReference w:id="21"/>
      </w:r>
      <w:r w:rsidRPr="00377564">
        <w:rPr>
          <w:rFonts w:ascii="Times New Roman" w:hAnsi="Times New Roman" w:cs="Times New Roman"/>
          <w:sz w:val="24"/>
          <w:szCs w:val="24"/>
        </w:rPr>
        <w:t xml:space="preserve"> - "a person's race, religion, color, ethnicity, gender and physical or mental disability, shall not be used in a way that would embarrass, denigrate or ridicule him"</w:t>
      </w:r>
      <w:r w:rsidRPr="00377564">
        <w:rPr>
          <w:rStyle w:val="FootnoteReference"/>
          <w:rFonts w:ascii="Times New Roman" w:hAnsi="Times New Roman" w:cs="Times New Roman"/>
          <w:sz w:val="24"/>
          <w:szCs w:val="24"/>
        </w:rPr>
        <w:footnoteReference w:id="22"/>
      </w:r>
      <w:r w:rsidRPr="00377564">
        <w:rPr>
          <w:rFonts w:ascii="Times New Roman" w:hAnsi="Times New Roman" w:cs="Times New Roman"/>
          <w:sz w:val="24"/>
          <w:szCs w:val="24"/>
        </w:rPr>
        <w:t xml:space="preserve">. </w:t>
      </w:r>
    </w:p>
    <w:p w14:paraId="2076438B" w14:textId="77777777" w:rsidR="00BE7FA5" w:rsidRPr="00377564" w:rsidRDefault="00BE7FA5" w:rsidP="00BE7FA5">
      <w:pPr>
        <w:pStyle w:val="ListParagraph"/>
        <w:rPr>
          <w:rFonts w:ascii="Times New Roman" w:hAnsi="Times New Roman" w:cs="Times New Roman"/>
          <w:sz w:val="24"/>
          <w:szCs w:val="24"/>
        </w:rPr>
      </w:pPr>
    </w:p>
    <w:p w14:paraId="2076438C" w14:textId="77777777" w:rsidR="00BE7FA5" w:rsidRDefault="00BE7FA5" w:rsidP="000C6F4F">
      <w:pPr>
        <w:pStyle w:val="ListParagraph"/>
        <w:numPr>
          <w:ilvl w:val="0"/>
          <w:numId w:val="6"/>
        </w:numPr>
        <w:spacing w:after="0"/>
        <w:jc w:val="both"/>
        <w:rPr>
          <w:rFonts w:ascii="Times New Roman" w:hAnsi="Times New Roman" w:cs="Times New Roman"/>
          <w:sz w:val="24"/>
          <w:szCs w:val="24"/>
        </w:rPr>
      </w:pPr>
      <w:r w:rsidRPr="00377564">
        <w:rPr>
          <w:rFonts w:ascii="Times New Roman" w:hAnsi="Times New Roman" w:cs="Times New Roman"/>
          <w:sz w:val="24"/>
          <w:szCs w:val="24"/>
        </w:rPr>
        <w:t>Article 23 (Mentally and Physically Challenged Persons)</w:t>
      </w:r>
      <w:r w:rsidR="005C3917" w:rsidRPr="00377564">
        <w:rPr>
          <w:rStyle w:val="FootnoteReference"/>
          <w:rFonts w:ascii="Times New Roman" w:hAnsi="Times New Roman" w:cs="Times New Roman"/>
          <w:sz w:val="24"/>
          <w:szCs w:val="24"/>
        </w:rPr>
        <w:footnoteReference w:id="23"/>
      </w:r>
      <w:r w:rsidRPr="00377564">
        <w:rPr>
          <w:rFonts w:ascii="Times New Roman" w:hAnsi="Times New Roman" w:cs="Times New Roman"/>
          <w:sz w:val="24"/>
          <w:szCs w:val="24"/>
        </w:rPr>
        <w:t xml:space="preserve"> -  that "mentally and physically challenged persons shall be treated with respect and shall not be humiliated or embarrassed due to their disability". </w:t>
      </w:r>
    </w:p>
    <w:p w14:paraId="2076438D" w14:textId="77777777" w:rsidR="00377564" w:rsidRPr="00377564" w:rsidRDefault="00377564" w:rsidP="00377564">
      <w:pPr>
        <w:pStyle w:val="ListParagraph"/>
        <w:rPr>
          <w:rFonts w:ascii="Times New Roman" w:hAnsi="Times New Roman" w:cs="Times New Roman"/>
          <w:sz w:val="24"/>
          <w:szCs w:val="24"/>
        </w:rPr>
      </w:pPr>
    </w:p>
    <w:p w14:paraId="2076438E" w14:textId="77777777" w:rsidR="00377564" w:rsidRDefault="00377564" w:rsidP="00377564">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The Movie and Television Review and Classification Board (MTRCB) likewise contains the following provisions in its operations manual under the section on MTRCB Mandate and Functions:</w:t>
      </w:r>
    </w:p>
    <w:p w14:paraId="2076438F" w14:textId="77777777" w:rsidR="00377564" w:rsidRDefault="00377564" w:rsidP="00377564">
      <w:pPr>
        <w:pStyle w:val="ListParagraph"/>
        <w:spacing w:after="0"/>
        <w:jc w:val="both"/>
        <w:rPr>
          <w:rFonts w:ascii="Times New Roman" w:hAnsi="Times New Roman" w:cs="Times New Roman"/>
          <w:sz w:val="24"/>
          <w:szCs w:val="24"/>
        </w:rPr>
      </w:pPr>
    </w:p>
    <w:p w14:paraId="20764390" w14:textId="77777777" w:rsidR="00D80E9C" w:rsidRDefault="00377564" w:rsidP="00377564">
      <w:pPr>
        <w:pStyle w:val="ListParagraph"/>
        <w:spacing w:after="0"/>
        <w:ind w:left="1440" w:right="630"/>
        <w:jc w:val="both"/>
        <w:rPr>
          <w:rFonts w:ascii="Times New Roman" w:hAnsi="Times New Roman" w:cs="Times New Roman"/>
          <w:i/>
          <w:sz w:val="24"/>
          <w:szCs w:val="24"/>
        </w:rPr>
      </w:pPr>
      <w:r w:rsidRPr="00377564">
        <w:rPr>
          <w:rFonts w:ascii="Times New Roman" w:hAnsi="Times New Roman" w:cs="Times New Roman"/>
          <w:i/>
          <w:sz w:val="24"/>
          <w:szCs w:val="24"/>
        </w:rPr>
        <w:t xml:space="preserve">“Consistent with the constitutional and/or legal mandate to protect the family, the youth, </w:t>
      </w:r>
      <w:r w:rsidRPr="00377564">
        <w:rPr>
          <w:rFonts w:ascii="Times New Roman" w:hAnsi="Times New Roman" w:cs="Times New Roman"/>
          <w:b/>
          <w:i/>
          <w:sz w:val="24"/>
          <w:szCs w:val="24"/>
        </w:rPr>
        <w:t>the disabled</w:t>
      </w:r>
      <w:r w:rsidRPr="00377564">
        <w:rPr>
          <w:rFonts w:ascii="Times New Roman" w:hAnsi="Times New Roman" w:cs="Times New Roman"/>
          <w:i/>
          <w:sz w:val="24"/>
          <w:szCs w:val="24"/>
        </w:rPr>
        <w:t>, and other vulnerable sectors of the society requiring special attention in the realm of media and entertainment, the Board strongly desires to empower the Filipino family and each and every one of its members, including the “kasambahay”, to evaluate and intelligently choose media content</w:t>
      </w:r>
      <w:r w:rsidR="00D80E9C">
        <w:rPr>
          <w:rFonts w:ascii="Times New Roman" w:hAnsi="Times New Roman" w:cs="Times New Roman"/>
          <w:i/>
          <w:sz w:val="24"/>
          <w:szCs w:val="24"/>
        </w:rPr>
        <w:t>…</w:t>
      </w:r>
      <w:r>
        <w:rPr>
          <w:rFonts w:ascii="Times New Roman" w:hAnsi="Times New Roman" w:cs="Times New Roman"/>
          <w:i/>
          <w:sz w:val="24"/>
          <w:szCs w:val="24"/>
        </w:rPr>
        <w:t xml:space="preserve"> </w:t>
      </w:r>
    </w:p>
    <w:p w14:paraId="20764391" w14:textId="77777777" w:rsidR="00D80E9C" w:rsidRDefault="00D80E9C" w:rsidP="00377564">
      <w:pPr>
        <w:pStyle w:val="ListParagraph"/>
        <w:spacing w:after="0"/>
        <w:ind w:left="1440" w:right="630"/>
        <w:jc w:val="both"/>
        <w:rPr>
          <w:rFonts w:ascii="Times New Roman" w:hAnsi="Times New Roman" w:cs="Times New Roman"/>
          <w:i/>
          <w:sz w:val="24"/>
          <w:szCs w:val="24"/>
        </w:rPr>
      </w:pPr>
    </w:p>
    <w:p w14:paraId="20764392" w14:textId="77777777" w:rsidR="00377564" w:rsidRPr="00377564" w:rsidRDefault="00377564" w:rsidP="00377564">
      <w:pPr>
        <w:pStyle w:val="ListParagraph"/>
        <w:spacing w:after="0"/>
        <w:ind w:left="1440" w:right="630"/>
        <w:jc w:val="both"/>
        <w:rPr>
          <w:rFonts w:ascii="Times New Roman" w:hAnsi="Times New Roman" w:cs="Times New Roman"/>
          <w:i/>
          <w:sz w:val="24"/>
          <w:szCs w:val="24"/>
        </w:rPr>
      </w:pPr>
      <w:r>
        <w:rPr>
          <w:rFonts w:ascii="Times New Roman" w:hAnsi="Times New Roman" w:cs="Times New Roman"/>
          <w:i/>
          <w:sz w:val="24"/>
          <w:szCs w:val="24"/>
        </w:rPr>
        <w:t>Thus, there will be programs, initiatives, processes, activities, and institutional adjustments that shall create a sensitive media and entertainment environment for the family, vulnerable or otherwise, children</w:t>
      </w:r>
      <w:r w:rsidR="00D80E9C">
        <w:rPr>
          <w:rFonts w:ascii="Times New Roman" w:hAnsi="Times New Roman" w:cs="Times New Roman"/>
          <w:i/>
          <w:sz w:val="24"/>
          <w:szCs w:val="24"/>
        </w:rPr>
        <w:t>,</w:t>
      </w:r>
      <w:r>
        <w:rPr>
          <w:rFonts w:ascii="Times New Roman" w:hAnsi="Times New Roman" w:cs="Times New Roman"/>
          <w:i/>
          <w:sz w:val="24"/>
          <w:szCs w:val="24"/>
        </w:rPr>
        <w:t xml:space="preserve"> gender,</w:t>
      </w:r>
      <w:r w:rsidRPr="00377564">
        <w:rPr>
          <w:rFonts w:ascii="Times New Roman" w:hAnsi="Times New Roman" w:cs="Times New Roman"/>
          <w:b/>
          <w:i/>
          <w:sz w:val="24"/>
          <w:szCs w:val="24"/>
        </w:rPr>
        <w:t>the disabled</w:t>
      </w:r>
      <w:r>
        <w:rPr>
          <w:rFonts w:ascii="Times New Roman" w:hAnsi="Times New Roman" w:cs="Times New Roman"/>
          <w:i/>
          <w:sz w:val="24"/>
          <w:szCs w:val="24"/>
        </w:rPr>
        <w:t>, the elderly, the indigenous people, and other sectors of Philippine society</w:t>
      </w:r>
      <w:r w:rsidRPr="00377564">
        <w:rPr>
          <w:rFonts w:ascii="Times New Roman" w:hAnsi="Times New Roman" w:cs="Times New Roman"/>
          <w:i/>
          <w:sz w:val="24"/>
          <w:szCs w:val="24"/>
        </w:rPr>
        <w:t>.”</w:t>
      </w:r>
      <w:r w:rsidR="00D80E9C">
        <w:rPr>
          <w:rStyle w:val="FootnoteReference"/>
          <w:rFonts w:ascii="Times New Roman" w:hAnsi="Times New Roman" w:cs="Times New Roman"/>
          <w:i/>
          <w:sz w:val="24"/>
          <w:szCs w:val="24"/>
        </w:rPr>
        <w:footnoteReference w:id="24"/>
      </w:r>
    </w:p>
    <w:p w14:paraId="20764393" w14:textId="77777777" w:rsidR="00BE7FA5" w:rsidRPr="00377564" w:rsidRDefault="00BE7FA5" w:rsidP="00BE7FA5">
      <w:pPr>
        <w:pStyle w:val="ListParagraph"/>
        <w:spacing w:after="0"/>
        <w:ind w:left="1440"/>
        <w:jc w:val="both"/>
        <w:rPr>
          <w:rFonts w:ascii="Times New Roman" w:hAnsi="Times New Roman" w:cs="Times New Roman"/>
          <w:sz w:val="24"/>
          <w:szCs w:val="24"/>
        </w:rPr>
      </w:pPr>
    </w:p>
    <w:p w14:paraId="20764394" w14:textId="77777777" w:rsidR="009A5612" w:rsidRPr="00377564" w:rsidRDefault="009A5612" w:rsidP="00B26FC9">
      <w:pPr>
        <w:spacing w:after="341"/>
        <w:ind w:left="729" w:right="14"/>
        <w:jc w:val="both"/>
        <w:rPr>
          <w:rFonts w:ascii="Times New Roman" w:hAnsi="Times New Roman" w:cs="Times New Roman"/>
          <w:b/>
          <w:sz w:val="24"/>
          <w:szCs w:val="24"/>
        </w:rPr>
      </w:pPr>
      <w:r w:rsidRPr="00377564">
        <w:rPr>
          <w:rFonts w:ascii="Times New Roman" w:hAnsi="Times New Roman" w:cs="Times New Roman"/>
          <w:b/>
          <w:sz w:val="24"/>
          <w:szCs w:val="24"/>
        </w:rPr>
        <w:t>3(b). In addition, what legal framework, measures or good practices exist to regulate social media in accordance with Article 8 and human rights standards on freedom of expression?</w:t>
      </w:r>
    </w:p>
    <w:p w14:paraId="20764395" w14:textId="77777777" w:rsidR="00292418" w:rsidRPr="00377564" w:rsidRDefault="00292418" w:rsidP="002E32A5">
      <w:pPr>
        <w:pStyle w:val="ListParagraph"/>
        <w:numPr>
          <w:ilvl w:val="0"/>
          <w:numId w:val="1"/>
        </w:numPr>
        <w:jc w:val="both"/>
        <w:rPr>
          <w:rFonts w:ascii="Times New Roman" w:hAnsi="Times New Roman" w:cs="Times New Roman"/>
          <w:sz w:val="24"/>
          <w:szCs w:val="24"/>
        </w:rPr>
      </w:pPr>
      <w:r w:rsidRPr="00377564">
        <w:rPr>
          <w:rFonts w:ascii="Times New Roman" w:hAnsi="Times New Roman" w:cs="Times New Roman"/>
          <w:sz w:val="24"/>
          <w:szCs w:val="24"/>
        </w:rPr>
        <w:t xml:space="preserve">There is currently no existing legislation that </w:t>
      </w:r>
      <w:r w:rsidR="00974B1E" w:rsidRPr="00377564">
        <w:rPr>
          <w:rFonts w:ascii="Times New Roman" w:hAnsi="Times New Roman" w:cs="Times New Roman"/>
          <w:sz w:val="24"/>
          <w:szCs w:val="24"/>
        </w:rPr>
        <w:t>regulates</w:t>
      </w:r>
      <w:r w:rsidRPr="00377564">
        <w:rPr>
          <w:rFonts w:ascii="Times New Roman" w:hAnsi="Times New Roman" w:cs="Times New Roman"/>
          <w:sz w:val="24"/>
          <w:szCs w:val="24"/>
        </w:rPr>
        <w:t xml:space="preserve"> social media. However, the Philippine Constitution itself guarantees the right to freedom of expression</w:t>
      </w:r>
      <w:r w:rsidRPr="00377564">
        <w:rPr>
          <w:rStyle w:val="FootnoteReference"/>
          <w:rFonts w:ascii="Times New Roman" w:hAnsi="Times New Roman" w:cs="Times New Roman"/>
          <w:sz w:val="24"/>
          <w:szCs w:val="24"/>
        </w:rPr>
        <w:footnoteReference w:id="25"/>
      </w:r>
      <w:r w:rsidRPr="00377564">
        <w:rPr>
          <w:rFonts w:ascii="Times New Roman" w:hAnsi="Times New Roman" w:cs="Times New Roman"/>
          <w:sz w:val="24"/>
          <w:szCs w:val="24"/>
        </w:rPr>
        <w:t xml:space="preserve">. </w:t>
      </w:r>
      <w:r w:rsidR="007A4699" w:rsidRPr="00377564">
        <w:rPr>
          <w:rFonts w:ascii="Times New Roman" w:hAnsi="Times New Roman" w:cs="Times New Roman"/>
          <w:sz w:val="24"/>
          <w:szCs w:val="24"/>
        </w:rPr>
        <w:t>The Philippines also has a law known as the "Anti-Bullying Act of 2013"</w:t>
      </w:r>
      <w:r w:rsidR="007A4699" w:rsidRPr="00377564">
        <w:rPr>
          <w:rStyle w:val="FootnoteReference"/>
          <w:rFonts w:ascii="Times New Roman" w:hAnsi="Times New Roman" w:cs="Times New Roman"/>
          <w:sz w:val="24"/>
          <w:szCs w:val="24"/>
        </w:rPr>
        <w:footnoteReference w:id="26"/>
      </w:r>
      <w:r w:rsidR="007A4699" w:rsidRPr="00377564">
        <w:rPr>
          <w:rFonts w:ascii="Times New Roman" w:hAnsi="Times New Roman" w:cs="Times New Roman"/>
          <w:sz w:val="24"/>
          <w:szCs w:val="24"/>
        </w:rPr>
        <w:t xml:space="preserve"> which aims to protect citizens from any act of bullying whether online or offline. </w:t>
      </w:r>
    </w:p>
    <w:p w14:paraId="20764396" w14:textId="77777777" w:rsidR="007A4699" w:rsidRPr="00377564" w:rsidRDefault="007A4699" w:rsidP="007A4699">
      <w:pPr>
        <w:pStyle w:val="ListParagraph"/>
        <w:rPr>
          <w:rFonts w:ascii="Times New Roman" w:hAnsi="Times New Roman" w:cs="Times New Roman"/>
          <w:sz w:val="24"/>
          <w:szCs w:val="24"/>
        </w:rPr>
      </w:pPr>
    </w:p>
    <w:p w14:paraId="20764397" w14:textId="77777777" w:rsidR="00292418" w:rsidRPr="00377564" w:rsidRDefault="00292418" w:rsidP="00585351">
      <w:pPr>
        <w:pStyle w:val="ListParagraph"/>
        <w:numPr>
          <w:ilvl w:val="0"/>
          <w:numId w:val="1"/>
        </w:numPr>
        <w:rPr>
          <w:rFonts w:ascii="Times New Roman" w:hAnsi="Times New Roman" w:cs="Times New Roman"/>
          <w:sz w:val="24"/>
          <w:szCs w:val="24"/>
        </w:rPr>
      </w:pPr>
      <w:r w:rsidRPr="00377564">
        <w:rPr>
          <w:rFonts w:ascii="Times New Roman" w:hAnsi="Times New Roman" w:cs="Times New Roman"/>
          <w:sz w:val="24"/>
          <w:szCs w:val="24"/>
        </w:rPr>
        <w:t xml:space="preserve">Social media is </w:t>
      </w:r>
      <w:r w:rsidR="007A4699" w:rsidRPr="00377564">
        <w:rPr>
          <w:rFonts w:ascii="Times New Roman" w:hAnsi="Times New Roman" w:cs="Times New Roman"/>
          <w:sz w:val="24"/>
          <w:szCs w:val="24"/>
        </w:rPr>
        <w:t xml:space="preserve">also </w:t>
      </w:r>
      <w:r w:rsidRPr="00377564">
        <w:rPr>
          <w:rFonts w:ascii="Times New Roman" w:hAnsi="Times New Roman" w:cs="Times New Roman"/>
          <w:sz w:val="24"/>
          <w:szCs w:val="24"/>
        </w:rPr>
        <w:t xml:space="preserve">often used as a platform, especially by government organizations and civil society organizations to increase awareness and provide information on disability. </w:t>
      </w:r>
    </w:p>
    <w:p w14:paraId="20764398" w14:textId="77777777" w:rsidR="009A5612" w:rsidRPr="00377564" w:rsidRDefault="009A5612" w:rsidP="00B26FC9">
      <w:pPr>
        <w:spacing w:after="7"/>
        <w:ind w:left="729" w:right="14"/>
        <w:jc w:val="both"/>
        <w:rPr>
          <w:rFonts w:ascii="Times New Roman" w:hAnsi="Times New Roman" w:cs="Times New Roman"/>
          <w:b/>
          <w:sz w:val="24"/>
          <w:szCs w:val="24"/>
        </w:rPr>
      </w:pPr>
      <w:r w:rsidRPr="00377564">
        <w:rPr>
          <w:rFonts w:ascii="Times New Roman" w:hAnsi="Times New Roman" w:cs="Times New Roman"/>
          <w:b/>
          <w:sz w:val="24"/>
          <w:szCs w:val="24"/>
        </w:rPr>
        <w:t>4(a). Please provide information on the existence and implementation of the programmes and activities, including successful examples of campaigns, related to raising awareness about persons with disabilities and their rights, and combating negative attitudes including through initiatives of:</w:t>
      </w:r>
    </w:p>
    <w:p w14:paraId="20764399" w14:textId="77777777" w:rsidR="009A5612" w:rsidRPr="00377564" w:rsidRDefault="009A5612" w:rsidP="00B26FC9">
      <w:pPr>
        <w:numPr>
          <w:ilvl w:val="0"/>
          <w:numId w:val="2"/>
        </w:numPr>
        <w:spacing w:after="34" w:line="250" w:lineRule="auto"/>
        <w:ind w:left="1449" w:right="1277" w:hanging="350"/>
        <w:jc w:val="both"/>
        <w:rPr>
          <w:rFonts w:ascii="Times New Roman" w:hAnsi="Times New Roman" w:cs="Times New Roman"/>
          <w:b/>
          <w:sz w:val="24"/>
          <w:szCs w:val="24"/>
        </w:rPr>
      </w:pPr>
      <w:r w:rsidRPr="00377564">
        <w:rPr>
          <w:rFonts w:ascii="Times New Roman" w:hAnsi="Times New Roman" w:cs="Times New Roman"/>
          <w:b/>
          <w:sz w:val="24"/>
          <w:szCs w:val="24"/>
        </w:rPr>
        <w:t xml:space="preserve">training, including human rights education; </w:t>
      </w:r>
      <w:r w:rsidRPr="00377564">
        <w:rPr>
          <w:rFonts w:ascii="Times New Roman" w:hAnsi="Times New Roman" w:cs="Times New Roman"/>
          <w:b/>
          <w:noProof/>
          <w:sz w:val="24"/>
          <w:szCs w:val="24"/>
          <w:lang w:eastAsia="en-GB"/>
        </w:rPr>
        <w:drawing>
          <wp:inline distT="0" distB="0" distL="0" distR="0" wp14:anchorId="207643A8" wp14:editId="207643A9">
            <wp:extent cx="51816" cy="57928"/>
            <wp:effectExtent l="0" t="0" r="0" b="0"/>
            <wp:docPr id="4299" name="Picture 4299"/>
            <wp:cNvGraphicFramePr/>
            <a:graphic xmlns:a="http://schemas.openxmlformats.org/drawingml/2006/main">
              <a:graphicData uri="http://schemas.openxmlformats.org/drawingml/2006/picture">
                <pic:pic xmlns:pic="http://schemas.openxmlformats.org/drawingml/2006/picture">
                  <pic:nvPicPr>
                    <pic:cNvPr id="4299" name="Picture 4299"/>
                    <pic:cNvPicPr/>
                  </pic:nvPicPr>
                  <pic:blipFill>
                    <a:blip r:embed="rId12"/>
                    <a:stretch>
                      <a:fillRect/>
                    </a:stretch>
                  </pic:blipFill>
                  <pic:spPr>
                    <a:xfrm>
                      <a:off x="0" y="0"/>
                      <a:ext cx="51816" cy="57928"/>
                    </a:xfrm>
                    <a:prstGeom prst="rect">
                      <a:avLst/>
                    </a:prstGeom>
                  </pic:spPr>
                </pic:pic>
              </a:graphicData>
            </a:graphic>
          </wp:inline>
        </w:drawing>
      </w:r>
      <w:r w:rsidRPr="00377564">
        <w:rPr>
          <w:rFonts w:ascii="Times New Roman" w:hAnsi="Times New Roman" w:cs="Times New Roman"/>
          <w:b/>
          <w:sz w:val="24"/>
          <w:szCs w:val="24"/>
        </w:rPr>
        <w:t xml:space="preserve"> research, including studies on perception and attitudes;</w:t>
      </w:r>
    </w:p>
    <w:p w14:paraId="2076439A" w14:textId="77777777" w:rsidR="009A5612" w:rsidRPr="00377564" w:rsidRDefault="009A5612" w:rsidP="00B26FC9">
      <w:pPr>
        <w:numPr>
          <w:ilvl w:val="0"/>
          <w:numId w:val="2"/>
        </w:numPr>
        <w:spacing w:after="144" w:line="250" w:lineRule="auto"/>
        <w:ind w:left="1449" w:right="1277" w:hanging="350"/>
        <w:jc w:val="both"/>
        <w:rPr>
          <w:rFonts w:ascii="Times New Roman" w:hAnsi="Times New Roman" w:cs="Times New Roman"/>
          <w:b/>
          <w:sz w:val="24"/>
          <w:szCs w:val="24"/>
        </w:rPr>
      </w:pPr>
      <w:r w:rsidRPr="00377564">
        <w:rPr>
          <w:rFonts w:ascii="Times New Roman" w:hAnsi="Times New Roman" w:cs="Times New Roman"/>
          <w:b/>
          <w:sz w:val="24"/>
          <w:szCs w:val="24"/>
        </w:rPr>
        <w:t>surveys and data collection.</w:t>
      </w:r>
    </w:p>
    <w:p w14:paraId="2076439B" w14:textId="77777777" w:rsidR="005E3103" w:rsidRPr="00377564" w:rsidRDefault="005E3103" w:rsidP="005E3103">
      <w:pPr>
        <w:spacing w:after="341"/>
        <w:ind w:left="729" w:right="14"/>
        <w:jc w:val="both"/>
        <w:rPr>
          <w:rFonts w:ascii="Times New Roman" w:hAnsi="Times New Roman" w:cs="Times New Roman"/>
          <w:b/>
          <w:sz w:val="24"/>
          <w:szCs w:val="24"/>
        </w:rPr>
      </w:pPr>
      <w:r w:rsidRPr="00377564">
        <w:rPr>
          <w:rFonts w:ascii="Times New Roman" w:hAnsi="Times New Roman" w:cs="Times New Roman"/>
          <w:b/>
          <w:sz w:val="24"/>
          <w:szCs w:val="24"/>
        </w:rPr>
        <w:t>4(b). Please indicate their objective, scope, target audience, impact (including available data), partners and participants, particularly the participation of, and role of persons with disabilities and their representative organisations, and any key factors of success.</w:t>
      </w:r>
    </w:p>
    <w:p w14:paraId="2076439C" w14:textId="77777777" w:rsidR="007A4699" w:rsidRPr="00377564" w:rsidRDefault="00751FB5" w:rsidP="00432180">
      <w:pPr>
        <w:pStyle w:val="ListParagraph"/>
        <w:numPr>
          <w:ilvl w:val="0"/>
          <w:numId w:val="1"/>
        </w:numPr>
        <w:spacing w:after="144" w:line="250" w:lineRule="auto"/>
        <w:jc w:val="both"/>
        <w:rPr>
          <w:rFonts w:ascii="Times New Roman" w:hAnsi="Times New Roman" w:cs="Times New Roman"/>
          <w:b/>
          <w:sz w:val="24"/>
          <w:szCs w:val="24"/>
        </w:rPr>
      </w:pPr>
      <w:r w:rsidRPr="00377564">
        <w:rPr>
          <w:rFonts w:ascii="Times New Roman" w:hAnsi="Times New Roman" w:cs="Times New Roman"/>
          <w:sz w:val="24"/>
          <w:szCs w:val="24"/>
        </w:rPr>
        <w:t xml:space="preserve"> Aside from those mentioned in paragraphs 4-7 of this submission, other programmes include those conducted by the Commission on Human Rights of the Philippines such as the following:</w:t>
      </w:r>
    </w:p>
    <w:p w14:paraId="2076439D" w14:textId="77777777" w:rsidR="000B1A6D" w:rsidRPr="00377564" w:rsidRDefault="000B1A6D" w:rsidP="000B1A6D">
      <w:pPr>
        <w:pStyle w:val="ListParagraph"/>
        <w:spacing w:after="144" w:line="250" w:lineRule="auto"/>
        <w:ind w:right="1277"/>
        <w:jc w:val="both"/>
        <w:rPr>
          <w:rFonts w:ascii="Times New Roman" w:hAnsi="Times New Roman" w:cs="Times New Roman"/>
          <w:b/>
          <w:sz w:val="24"/>
          <w:szCs w:val="24"/>
        </w:rPr>
      </w:pPr>
    </w:p>
    <w:p w14:paraId="2076439E" w14:textId="77777777" w:rsidR="00432180" w:rsidRPr="00377564" w:rsidRDefault="007D67CB" w:rsidP="00751FB5">
      <w:pPr>
        <w:pStyle w:val="ListParagraph"/>
        <w:numPr>
          <w:ilvl w:val="1"/>
          <w:numId w:val="1"/>
        </w:numPr>
        <w:spacing w:after="144" w:line="250" w:lineRule="auto"/>
        <w:ind w:right="1277"/>
        <w:jc w:val="both"/>
        <w:rPr>
          <w:rFonts w:ascii="Times New Roman" w:hAnsi="Times New Roman" w:cs="Times New Roman"/>
          <w:b/>
          <w:sz w:val="24"/>
          <w:szCs w:val="24"/>
        </w:rPr>
      </w:pPr>
      <w:r w:rsidRPr="00377564">
        <w:rPr>
          <w:rFonts w:ascii="Times New Roman" w:hAnsi="Times New Roman" w:cs="Times New Roman"/>
          <w:sz w:val="24"/>
          <w:szCs w:val="24"/>
        </w:rPr>
        <w:t xml:space="preserve">Following the 2016 Reproductive Health Inquiry of the Commission on Human Rights, the Commission found that there </w:t>
      </w:r>
      <w:r w:rsidR="00432180" w:rsidRPr="00377564">
        <w:rPr>
          <w:rFonts w:ascii="Times New Roman" w:hAnsi="Times New Roman" w:cs="Times New Roman"/>
          <w:sz w:val="24"/>
          <w:szCs w:val="24"/>
        </w:rPr>
        <w:t>remains a</w:t>
      </w:r>
      <w:r w:rsidRPr="00377564">
        <w:rPr>
          <w:rFonts w:ascii="Times New Roman" w:hAnsi="Times New Roman" w:cs="Times New Roman"/>
          <w:sz w:val="24"/>
          <w:szCs w:val="24"/>
        </w:rPr>
        <w:t xml:space="preserve"> gap in terms of access to reproductive justice of persons with disabilities. As such, since 2017, the Commission has conducted various awareness raising activities and community-based dialogues to address existing gaps and challenges. Such initiative includes the development of a module </w:t>
      </w:r>
      <w:r w:rsidR="00432180" w:rsidRPr="00377564">
        <w:rPr>
          <w:rFonts w:ascii="Times New Roman" w:hAnsi="Times New Roman" w:cs="Times New Roman"/>
          <w:sz w:val="24"/>
          <w:szCs w:val="24"/>
        </w:rPr>
        <w:t xml:space="preserve">for service providers focusing on women with disabilities. </w:t>
      </w:r>
    </w:p>
    <w:p w14:paraId="2076439F" w14:textId="77777777" w:rsidR="00751FB5" w:rsidRPr="00377564" w:rsidRDefault="00432180" w:rsidP="00751FB5">
      <w:pPr>
        <w:pStyle w:val="ListParagraph"/>
        <w:numPr>
          <w:ilvl w:val="1"/>
          <w:numId w:val="1"/>
        </w:numPr>
        <w:spacing w:after="144" w:line="250" w:lineRule="auto"/>
        <w:ind w:right="1277"/>
        <w:jc w:val="both"/>
        <w:rPr>
          <w:rFonts w:ascii="Times New Roman" w:hAnsi="Times New Roman" w:cs="Times New Roman"/>
          <w:b/>
          <w:sz w:val="24"/>
          <w:szCs w:val="24"/>
        </w:rPr>
      </w:pPr>
      <w:r w:rsidRPr="00377564">
        <w:rPr>
          <w:rFonts w:ascii="Times New Roman" w:hAnsi="Times New Roman" w:cs="Times New Roman"/>
          <w:sz w:val="24"/>
          <w:szCs w:val="24"/>
        </w:rPr>
        <w:t>The Commission conducted several focus group discussions with women with disabilities wherein information shared would form part of the Commission's National Inquiry on Reproductive Health and Rights of Women with Disability".</w:t>
      </w:r>
      <w:r w:rsidR="007D67CB" w:rsidRPr="00377564">
        <w:rPr>
          <w:rFonts w:ascii="Times New Roman" w:hAnsi="Times New Roman" w:cs="Times New Roman"/>
          <w:sz w:val="24"/>
          <w:szCs w:val="24"/>
        </w:rPr>
        <w:t xml:space="preserve"> </w:t>
      </w:r>
    </w:p>
    <w:p w14:paraId="207643A0" w14:textId="77777777" w:rsidR="000B1A6D" w:rsidRPr="00377564" w:rsidRDefault="005E3103" w:rsidP="00751FB5">
      <w:pPr>
        <w:pStyle w:val="ListParagraph"/>
        <w:numPr>
          <w:ilvl w:val="1"/>
          <w:numId w:val="1"/>
        </w:numPr>
        <w:spacing w:after="144" w:line="250" w:lineRule="auto"/>
        <w:ind w:right="1277"/>
        <w:jc w:val="both"/>
        <w:rPr>
          <w:rFonts w:ascii="Times New Roman" w:hAnsi="Times New Roman" w:cs="Times New Roman"/>
          <w:b/>
          <w:sz w:val="24"/>
          <w:szCs w:val="24"/>
        </w:rPr>
      </w:pPr>
      <w:r w:rsidRPr="00377564">
        <w:rPr>
          <w:rFonts w:ascii="Times New Roman" w:hAnsi="Times New Roman" w:cs="Times New Roman"/>
          <w:sz w:val="24"/>
          <w:szCs w:val="24"/>
        </w:rPr>
        <w:t xml:space="preserve">The Commission conducts awareness seminars internally for office staff to ensure proper delivery of services to clients who are persons with disabilities. </w:t>
      </w:r>
    </w:p>
    <w:p w14:paraId="207643A1" w14:textId="77777777" w:rsidR="00432180" w:rsidRPr="00377564" w:rsidRDefault="00432180" w:rsidP="00751FB5">
      <w:pPr>
        <w:pStyle w:val="ListParagraph"/>
        <w:numPr>
          <w:ilvl w:val="1"/>
          <w:numId w:val="1"/>
        </w:numPr>
        <w:spacing w:after="144" w:line="250" w:lineRule="auto"/>
        <w:ind w:right="1277"/>
        <w:jc w:val="both"/>
        <w:rPr>
          <w:rFonts w:ascii="Times New Roman" w:hAnsi="Times New Roman" w:cs="Times New Roman"/>
          <w:b/>
          <w:sz w:val="24"/>
          <w:szCs w:val="24"/>
        </w:rPr>
      </w:pPr>
      <w:r w:rsidRPr="00377564">
        <w:rPr>
          <w:rFonts w:ascii="Times New Roman" w:hAnsi="Times New Roman" w:cs="Times New Roman"/>
          <w:sz w:val="24"/>
          <w:szCs w:val="24"/>
        </w:rPr>
        <w:t xml:space="preserve">This year 2019, the Commission implemented CRPD Concluding Observations localization activities in five (5) regions in the Philippines. The main objective of the activity is to disseminate the concluding observations and to receive recommendations from the disability sector as to their implementation. </w:t>
      </w:r>
    </w:p>
    <w:p w14:paraId="207643A2" w14:textId="77777777" w:rsidR="00EC4488" w:rsidRPr="00377564" w:rsidRDefault="00EC4488" w:rsidP="00751FB5">
      <w:pPr>
        <w:pStyle w:val="ListParagraph"/>
        <w:numPr>
          <w:ilvl w:val="1"/>
          <w:numId w:val="1"/>
        </w:numPr>
        <w:spacing w:after="144" w:line="250" w:lineRule="auto"/>
        <w:ind w:right="1277"/>
        <w:jc w:val="both"/>
        <w:rPr>
          <w:rFonts w:ascii="Times New Roman" w:hAnsi="Times New Roman" w:cs="Times New Roman"/>
          <w:b/>
          <w:sz w:val="24"/>
          <w:szCs w:val="24"/>
        </w:rPr>
      </w:pPr>
      <w:r w:rsidRPr="00377564">
        <w:rPr>
          <w:rFonts w:ascii="Times New Roman" w:hAnsi="Times New Roman" w:cs="Times New Roman"/>
          <w:sz w:val="24"/>
          <w:szCs w:val="24"/>
        </w:rPr>
        <w:t xml:space="preserve">The Commission </w:t>
      </w:r>
      <w:r w:rsidR="00D94740" w:rsidRPr="00377564">
        <w:rPr>
          <w:rFonts w:ascii="Times New Roman" w:hAnsi="Times New Roman" w:cs="Times New Roman"/>
          <w:sz w:val="24"/>
          <w:szCs w:val="24"/>
        </w:rPr>
        <w:t xml:space="preserve">frequently releases social media cards to raise awareness as to government initiatives for persons with disabilities. For instance, last July 2018, the Commission released a step-by-step guide on how to avail a PWD identification card. </w:t>
      </w:r>
    </w:p>
    <w:p w14:paraId="207643A3" w14:textId="77777777" w:rsidR="009A5612" w:rsidRPr="00377564" w:rsidRDefault="009A5612" w:rsidP="00B26FC9">
      <w:pPr>
        <w:ind w:left="729" w:right="-562"/>
        <w:jc w:val="both"/>
        <w:rPr>
          <w:rFonts w:ascii="Times New Roman" w:hAnsi="Times New Roman" w:cs="Times New Roman"/>
          <w:b/>
          <w:sz w:val="24"/>
          <w:szCs w:val="24"/>
        </w:rPr>
      </w:pPr>
      <w:r w:rsidRPr="00377564">
        <w:rPr>
          <w:rFonts w:ascii="Times New Roman" w:hAnsi="Times New Roman" w:cs="Times New Roman"/>
          <w:b/>
          <w:sz w:val="24"/>
          <w:szCs w:val="24"/>
        </w:rPr>
        <w:t xml:space="preserve">5. Please provide information on the role of persons with disabilities and their representative organisations, including children with disabilities, in the design, implementation, monitoring and evaluation of all measures relating to awareness </w:t>
      </w:r>
      <w:r w:rsidRPr="00377564">
        <w:rPr>
          <w:rFonts w:ascii="Times New Roman" w:hAnsi="Times New Roman" w:cs="Times New Roman"/>
          <w:b/>
          <w:noProof/>
          <w:sz w:val="24"/>
          <w:szCs w:val="24"/>
          <w:lang w:eastAsia="en-GB"/>
        </w:rPr>
        <w:drawing>
          <wp:inline distT="0" distB="0" distL="0" distR="0" wp14:anchorId="207643AA" wp14:editId="207643AB">
            <wp:extent cx="6096" cy="12195"/>
            <wp:effectExtent l="0" t="0" r="0" b="0"/>
            <wp:docPr id="4301" name="Picture 4301"/>
            <wp:cNvGraphicFramePr/>
            <a:graphic xmlns:a="http://schemas.openxmlformats.org/drawingml/2006/main">
              <a:graphicData uri="http://schemas.openxmlformats.org/drawingml/2006/picture">
                <pic:pic xmlns:pic="http://schemas.openxmlformats.org/drawingml/2006/picture">
                  <pic:nvPicPr>
                    <pic:cNvPr id="4301" name="Picture 4301"/>
                    <pic:cNvPicPr/>
                  </pic:nvPicPr>
                  <pic:blipFill>
                    <a:blip r:embed="rId13"/>
                    <a:stretch>
                      <a:fillRect/>
                    </a:stretch>
                  </pic:blipFill>
                  <pic:spPr>
                    <a:xfrm>
                      <a:off x="0" y="0"/>
                      <a:ext cx="6096" cy="12195"/>
                    </a:xfrm>
                    <a:prstGeom prst="rect">
                      <a:avLst/>
                    </a:prstGeom>
                  </pic:spPr>
                </pic:pic>
              </a:graphicData>
            </a:graphic>
          </wp:inline>
        </w:drawing>
      </w:r>
      <w:r w:rsidRPr="00377564">
        <w:rPr>
          <w:rFonts w:ascii="Times New Roman" w:hAnsi="Times New Roman" w:cs="Times New Roman"/>
          <w:b/>
          <w:sz w:val="24"/>
          <w:szCs w:val="24"/>
        </w:rPr>
        <w:t>raising. Please provide detail on concrete mechanisms and activities undertaken for consultation and active involvement (e.g. regular meetings, online consultations, etc.).</w:t>
      </w:r>
    </w:p>
    <w:p w14:paraId="207643A4" w14:textId="77777777" w:rsidR="000B1A6D" w:rsidRPr="00377564" w:rsidRDefault="000B1A6D" w:rsidP="000B1A6D">
      <w:pPr>
        <w:pStyle w:val="ListParagraph"/>
        <w:numPr>
          <w:ilvl w:val="0"/>
          <w:numId w:val="1"/>
        </w:numPr>
        <w:spacing w:after="341"/>
        <w:ind w:right="14"/>
        <w:jc w:val="both"/>
        <w:rPr>
          <w:rFonts w:ascii="Times New Roman" w:hAnsi="Times New Roman" w:cs="Times New Roman"/>
          <w:b/>
          <w:sz w:val="24"/>
          <w:szCs w:val="24"/>
        </w:rPr>
      </w:pPr>
      <w:r w:rsidRPr="00377564">
        <w:rPr>
          <w:rFonts w:ascii="Times New Roman" w:hAnsi="Times New Roman" w:cs="Times New Roman"/>
          <w:sz w:val="24"/>
          <w:szCs w:val="24"/>
        </w:rPr>
        <w:t xml:space="preserve">The NCDA regularly conducts meetings participated by representatives of the disability sector and government agencies. During these meetings, participants actively discuss awareness raising activities. It is however noted that barriers still exist which hinders the participation of persons with disabilities in consultation processes, one of which is the failure of duty-bearers to effectively inform and provide access to persons with disabilities to participate in such consultations. Persons with disabilities in the country are often underrepresented or otherwise represented by a limited number of people from civil society organizations (CSOs). This problem limits the inclusivity of multi-sectoral participation among persons with disabilities in consultations and in the decision-making process. </w:t>
      </w:r>
    </w:p>
    <w:p w14:paraId="207643A5" w14:textId="77777777" w:rsidR="009A5612" w:rsidRPr="00377564" w:rsidRDefault="009A5612" w:rsidP="00B26FC9">
      <w:pPr>
        <w:spacing w:after="0"/>
        <w:jc w:val="both"/>
        <w:rPr>
          <w:rFonts w:ascii="Times New Roman" w:hAnsi="Times New Roman" w:cs="Times New Roman"/>
          <w:sz w:val="24"/>
          <w:szCs w:val="24"/>
        </w:rPr>
      </w:pPr>
    </w:p>
    <w:sectPr w:rsidR="009A5612" w:rsidRPr="00377564" w:rsidSect="001105C6">
      <w:pgSz w:w="12240" w:h="15840"/>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643AE" w14:textId="77777777" w:rsidR="002C0477" w:rsidRDefault="002C0477" w:rsidP="002B55FF">
      <w:pPr>
        <w:spacing w:after="0" w:line="240" w:lineRule="auto"/>
      </w:pPr>
      <w:r>
        <w:separator/>
      </w:r>
    </w:p>
  </w:endnote>
  <w:endnote w:type="continuationSeparator" w:id="0">
    <w:p w14:paraId="207643AF" w14:textId="77777777" w:rsidR="002C0477" w:rsidRDefault="002C0477" w:rsidP="002B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643AC" w14:textId="77777777" w:rsidR="002C0477" w:rsidRDefault="002C0477" w:rsidP="002B55FF">
      <w:pPr>
        <w:spacing w:after="0" w:line="240" w:lineRule="auto"/>
      </w:pPr>
      <w:r>
        <w:separator/>
      </w:r>
    </w:p>
  </w:footnote>
  <w:footnote w:type="continuationSeparator" w:id="0">
    <w:p w14:paraId="207643AD" w14:textId="77777777" w:rsidR="002C0477" w:rsidRDefault="002C0477" w:rsidP="002B55FF">
      <w:pPr>
        <w:spacing w:after="0" w:line="240" w:lineRule="auto"/>
      </w:pPr>
      <w:r>
        <w:continuationSeparator/>
      </w:r>
    </w:p>
  </w:footnote>
  <w:footnote w:id="1">
    <w:p w14:paraId="207643B0" w14:textId="77777777" w:rsidR="00D300D4" w:rsidRPr="00D300D4" w:rsidRDefault="00D300D4">
      <w:pPr>
        <w:pStyle w:val="FootnoteText"/>
        <w:rPr>
          <w:i/>
          <w:lang w:val="en-PH"/>
        </w:rPr>
      </w:pPr>
      <w:r>
        <w:rPr>
          <w:rStyle w:val="FootnoteReference"/>
        </w:rPr>
        <w:footnoteRef/>
      </w:r>
      <w:r>
        <w:t xml:space="preserve"> Initial Report on the Implementation on the rights of Persons with Disabilities in the Philippines [CRPD/C/PHL/1] (2010) </w:t>
      </w:r>
      <w:r>
        <w:rPr>
          <w:i/>
        </w:rPr>
        <w:t xml:space="preserve">available at </w:t>
      </w:r>
      <w:hyperlink r:id="rId1" w:history="1">
        <w:r>
          <w:rPr>
            <w:rStyle w:val="Hyperlink"/>
          </w:rPr>
          <w:t>https://tbinternet.ohchr.org/_layouts/15/treatybodyexternal/Download.aspx?symbolno=CRPD%2fC%2fPHL%2f1&amp;Lang=en</w:t>
        </w:r>
      </w:hyperlink>
      <w:r>
        <w:t xml:space="preserve"> (last accessed 17 July 2019).</w:t>
      </w:r>
    </w:p>
  </w:footnote>
  <w:footnote w:id="2">
    <w:p w14:paraId="207643B1" w14:textId="77777777" w:rsidR="00D300D4" w:rsidRPr="00D300D4" w:rsidRDefault="00D300D4">
      <w:pPr>
        <w:pStyle w:val="FootnoteText"/>
        <w:rPr>
          <w:i/>
          <w:lang w:val="en-PH"/>
        </w:rPr>
      </w:pPr>
      <w:r>
        <w:rPr>
          <w:rStyle w:val="FootnoteReference"/>
        </w:rPr>
        <w:footnoteRef/>
      </w:r>
      <w:r>
        <w:t xml:space="preserve"> </w:t>
      </w:r>
      <w:r>
        <w:rPr>
          <w:lang w:val="en-PH"/>
        </w:rPr>
        <w:t xml:space="preserve">Declaring the third week of July every year as the national disability prevention and rehabilitation week [Proclamation No. 1870] (1979), </w:t>
      </w:r>
      <w:r>
        <w:rPr>
          <w:i/>
          <w:lang w:val="en-PH"/>
        </w:rPr>
        <w:t xml:space="preserve">available at </w:t>
      </w:r>
      <w:hyperlink r:id="rId2" w:history="1">
        <w:r>
          <w:rPr>
            <w:rStyle w:val="Hyperlink"/>
          </w:rPr>
          <w:t>https://www.ncda.gov.ph/disability-laws/proclamations/proclamation-1870/</w:t>
        </w:r>
      </w:hyperlink>
      <w:r>
        <w:t xml:space="preserve"> (last accessed 17 July 2019).</w:t>
      </w:r>
    </w:p>
  </w:footnote>
  <w:footnote w:id="3">
    <w:p w14:paraId="207643B2" w14:textId="77777777" w:rsidR="00D300D4" w:rsidRPr="00D300D4" w:rsidRDefault="00D300D4">
      <w:pPr>
        <w:pStyle w:val="FootnoteText"/>
        <w:rPr>
          <w:i/>
          <w:lang w:val="en-PH"/>
        </w:rPr>
      </w:pPr>
      <w:r>
        <w:rPr>
          <w:rStyle w:val="FootnoteReference"/>
        </w:rPr>
        <w:footnoteRef/>
      </w:r>
      <w:r>
        <w:t xml:space="preserve"> </w:t>
      </w:r>
      <w:r>
        <w:rPr>
          <w:lang w:val="en-PH"/>
        </w:rPr>
        <w:t xml:space="preserve">Declaring the third week of July as the National Disability Prevention and Rehabilitation week which shall culminate on the birthdate of the sublime paralytic: Apolinario Mabini on July 23 each year [Proclamation No. 361] (2000), </w:t>
      </w:r>
      <w:r>
        <w:rPr>
          <w:i/>
          <w:lang w:val="en-PH"/>
        </w:rPr>
        <w:t xml:space="preserve">available at </w:t>
      </w:r>
      <w:hyperlink r:id="rId3" w:history="1">
        <w:r>
          <w:rPr>
            <w:rStyle w:val="Hyperlink"/>
          </w:rPr>
          <w:t>https://www.ncda.gov.ph/disability-laws/proclamations/proclamation-no-361/</w:t>
        </w:r>
      </w:hyperlink>
      <w:r>
        <w:t xml:space="preserve"> (last accessed 17 July 2019).</w:t>
      </w:r>
    </w:p>
  </w:footnote>
  <w:footnote w:id="4">
    <w:p w14:paraId="207643B3" w14:textId="77777777" w:rsidR="00D300D4" w:rsidRPr="00D300D4" w:rsidRDefault="00D300D4">
      <w:pPr>
        <w:pStyle w:val="FootnoteText"/>
        <w:rPr>
          <w:lang w:val="en-PH"/>
        </w:rPr>
      </w:pPr>
      <w:r>
        <w:rPr>
          <w:rStyle w:val="FootnoteReference"/>
        </w:rPr>
        <w:footnoteRef/>
      </w:r>
      <w:r>
        <w:t xml:space="preserve"> </w:t>
      </w:r>
      <w:r>
        <w:rPr>
          <w:lang w:val="en-PH"/>
        </w:rPr>
        <w:t xml:space="preserve">Id. </w:t>
      </w:r>
    </w:p>
  </w:footnote>
  <w:footnote w:id="5">
    <w:p w14:paraId="207643B4" w14:textId="77777777" w:rsidR="00D300D4" w:rsidRPr="00D300D4" w:rsidRDefault="00D300D4">
      <w:pPr>
        <w:pStyle w:val="FootnoteText"/>
        <w:rPr>
          <w:i/>
          <w:lang w:val="en-PH"/>
        </w:rPr>
      </w:pPr>
      <w:r>
        <w:rPr>
          <w:rStyle w:val="FootnoteReference"/>
        </w:rPr>
        <w:footnoteRef/>
      </w:r>
      <w:r>
        <w:t xml:space="preserve"> List of issues in relation to the initial report of the Philippines* Replies of the Philippines [</w:t>
      </w:r>
      <w:r w:rsidRPr="00D300D4">
        <w:t>CRPD/C/PHL/Q/1</w:t>
      </w:r>
      <w:r>
        <w:t xml:space="preserve">/Add.1] (2018), </w:t>
      </w:r>
      <w:r>
        <w:rPr>
          <w:i/>
        </w:rPr>
        <w:t xml:space="preserve">available at </w:t>
      </w:r>
      <w:hyperlink r:id="rId4" w:history="1">
        <w:r>
          <w:rPr>
            <w:rStyle w:val="Hyperlink"/>
          </w:rPr>
          <w:t>https://tbinternet.ohchr.org/_layouts/15/treatybodyexternal/Download.aspx?symbolno=CRPD%2fC%2fPHL%2fQ%2f1%2fAdd.1&amp;Lang=en</w:t>
        </w:r>
      </w:hyperlink>
      <w:r>
        <w:t>, (last accessed 17 July 2019).</w:t>
      </w:r>
    </w:p>
  </w:footnote>
  <w:footnote w:id="6">
    <w:p w14:paraId="207643B5" w14:textId="77777777" w:rsidR="00D300D4" w:rsidRPr="00D300D4" w:rsidRDefault="00D300D4">
      <w:pPr>
        <w:pStyle w:val="FootnoteText"/>
        <w:rPr>
          <w:lang w:val="en-PH"/>
        </w:rPr>
      </w:pPr>
      <w:r>
        <w:rPr>
          <w:rStyle w:val="FootnoteReference"/>
        </w:rPr>
        <w:footnoteRef/>
      </w:r>
      <w:r>
        <w:t xml:space="preserve"> </w:t>
      </w:r>
      <w:r>
        <w:rPr>
          <w:lang w:val="en-PH"/>
        </w:rPr>
        <w:t xml:space="preserve">Id. </w:t>
      </w:r>
    </w:p>
  </w:footnote>
  <w:footnote w:id="7">
    <w:p w14:paraId="207643B6" w14:textId="77777777" w:rsidR="00D300D4" w:rsidRPr="00D300D4" w:rsidRDefault="00D300D4">
      <w:pPr>
        <w:pStyle w:val="FootnoteText"/>
        <w:rPr>
          <w:lang w:val="en-PH"/>
        </w:rPr>
      </w:pPr>
      <w:r>
        <w:rPr>
          <w:rStyle w:val="FootnoteReference"/>
        </w:rPr>
        <w:footnoteRef/>
      </w:r>
      <w:r>
        <w:t xml:space="preserve"> </w:t>
      </w:r>
      <w:r>
        <w:rPr>
          <w:lang w:val="en-PH"/>
        </w:rPr>
        <w:t xml:space="preserve">Id. </w:t>
      </w:r>
    </w:p>
  </w:footnote>
  <w:footnote w:id="8">
    <w:p w14:paraId="207643B7" w14:textId="77777777" w:rsidR="002B55FF" w:rsidRPr="002B55FF" w:rsidRDefault="002B55FF">
      <w:pPr>
        <w:pStyle w:val="FootnoteText"/>
        <w:rPr>
          <w:lang w:val="en-PH"/>
        </w:rPr>
      </w:pPr>
      <w:r>
        <w:rPr>
          <w:rStyle w:val="FootnoteReference"/>
        </w:rPr>
        <w:footnoteRef/>
      </w:r>
      <w:r>
        <w:t xml:space="preserve"> Philippine Coalition on the United Nations Convention on the Rights of Persons with Disabilities, </w:t>
      </w:r>
      <w:r w:rsidRPr="002B55FF">
        <w:rPr>
          <w:i/>
        </w:rPr>
        <w:t>Parallel Report 2013</w:t>
      </w:r>
      <w:r>
        <w:rPr>
          <w:i/>
        </w:rPr>
        <w:t>:</w:t>
      </w:r>
      <w:r w:rsidRPr="002B55FF">
        <w:rPr>
          <w:i/>
        </w:rPr>
        <w:t xml:space="preserve"> United Nations Convention on the Rights </w:t>
      </w:r>
      <w:r>
        <w:rPr>
          <w:i/>
        </w:rPr>
        <w:t xml:space="preserve">of Persons with Disabilities (2013), available at </w:t>
      </w:r>
      <w:hyperlink r:id="rId5" w:history="1">
        <w:r>
          <w:rPr>
            <w:rStyle w:val="Hyperlink"/>
          </w:rPr>
          <w:t>https://www.slideshare.net/akkapppasig/2013-uncrpd-parallel-report-of-the-philippine-coalition</w:t>
        </w:r>
      </w:hyperlink>
      <w:r>
        <w:t xml:space="preserve"> (last accessed 15 July 2019).</w:t>
      </w:r>
    </w:p>
  </w:footnote>
  <w:footnote w:id="9">
    <w:p w14:paraId="207643B8" w14:textId="77777777" w:rsidR="002F557A" w:rsidRPr="00091C04" w:rsidRDefault="002F557A">
      <w:pPr>
        <w:pStyle w:val="FootnoteText"/>
        <w:rPr>
          <w:lang w:val="en-US"/>
        </w:rPr>
      </w:pPr>
      <w:r>
        <w:rPr>
          <w:rStyle w:val="FootnoteReference"/>
        </w:rPr>
        <w:footnoteRef/>
      </w:r>
      <w:r>
        <w:t xml:space="preserve"> </w:t>
      </w:r>
      <w:r w:rsidR="00091C04">
        <w:t xml:space="preserve">Commission on Human Rights of the Philippines, </w:t>
      </w:r>
      <w:r w:rsidR="00091C04" w:rsidRPr="00091C04">
        <w:rPr>
          <w:i/>
        </w:rPr>
        <w:t>NHRI report for the list of issues to be adopted at the 9</w:t>
      </w:r>
      <w:r w:rsidR="00091C04" w:rsidRPr="00091C04">
        <w:rPr>
          <w:i/>
          <w:vertAlign w:val="superscript"/>
        </w:rPr>
        <w:t>th</w:t>
      </w:r>
      <w:r w:rsidR="00091C04" w:rsidRPr="00091C04">
        <w:rPr>
          <w:i/>
        </w:rPr>
        <w:t xml:space="preserve"> pre-sessional working group – convention on the rights of persons with disabilities</w:t>
      </w:r>
      <w:r w:rsidR="00091C04">
        <w:t xml:space="preserve"> (January 31, 2018), </w:t>
      </w:r>
      <w:r w:rsidR="00091C04">
        <w:rPr>
          <w:i/>
        </w:rPr>
        <w:t xml:space="preserve">available at </w:t>
      </w:r>
      <w:hyperlink r:id="rId6" w:history="1">
        <w:r w:rsidR="00091C04" w:rsidRPr="00317581">
          <w:rPr>
            <w:rStyle w:val="Hyperlink"/>
            <w:i/>
          </w:rPr>
          <w:t>https://tbinternet.ohchr.org/Treaties/CRPD/Shared%20Documents/PHL/INT_CRPD_IFL_PHL_30094_E.docx</w:t>
        </w:r>
      </w:hyperlink>
      <w:r w:rsidR="00091C04">
        <w:rPr>
          <w:i/>
        </w:rPr>
        <w:t xml:space="preserve"> </w:t>
      </w:r>
      <w:r w:rsidR="00091C04">
        <w:t xml:space="preserve">(last accessed 22 July 2019). </w:t>
      </w:r>
    </w:p>
  </w:footnote>
  <w:footnote w:id="10">
    <w:p w14:paraId="207643B9" w14:textId="77777777" w:rsidR="00091C04" w:rsidRPr="00091C04" w:rsidRDefault="00091C04">
      <w:pPr>
        <w:pStyle w:val="FootnoteText"/>
        <w:rPr>
          <w:lang w:val="en-US"/>
        </w:rPr>
      </w:pPr>
      <w:r>
        <w:rPr>
          <w:rStyle w:val="FootnoteReference"/>
        </w:rPr>
        <w:footnoteRef/>
      </w:r>
      <w:r>
        <w:t xml:space="preserve"> </w:t>
      </w:r>
      <w:r>
        <w:rPr>
          <w:lang w:val="en-US"/>
        </w:rPr>
        <w:t>Id.</w:t>
      </w:r>
    </w:p>
  </w:footnote>
  <w:footnote w:id="11">
    <w:p w14:paraId="207643BA" w14:textId="77777777" w:rsidR="00E7431A" w:rsidRPr="004D5BC2" w:rsidRDefault="00E7431A">
      <w:pPr>
        <w:pStyle w:val="FootnoteText"/>
        <w:rPr>
          <w:i/>
          <w:lang w:val="en-PH"/>
        </w:rPr>
      </w:pPr>
      <w:r>
        <w:rPr>
          <w:rStyle w:val="FootnoteReference"/>
        </w:rPr>
        <w:footnoteRef/>
      </w:r>
      <w:r>
        <w:t xml:space="preserve"> </w:t>
      </w:r>
      <w:r w:rsidR="008417E5">
        <w:rPr>
          <w:lang w:val="en-PH"/>
        </w:rPr>
        <w:t xml:space="preserve">An act providing for the </w:t>
      </w:r>
      <w:r w:rsidR="00D300D4">
        <w:rPr>
          <w:lang w:val="en-PH"/>
        </w:rPr>
        <w:t>rehabilitation</w:t>
      </w:r>
      <w:r w:rsidR="008417E5">
        <w:rPr>
          <w:lang w:val="en-PH"/>
        </w:rPr>
        <w:t>, self-development and self-reliance of disabled persons and their integration into the mainstream of society and for other purposes</w:t>
      </w:r>
      <w:r w:rsidR="004D5BC2">
        <w:rPr>
          <w:lang w:val="en-PH"/>
        </w:rPr>
        <w:t xml:space="preserve"> </w:t>
      </w:r>
      <w:r w:rsidR="004D5BC2" w:rsidRPr="008417E5">
        <w:rPr>
          <w:smallCaps/>
          <w:lang w:val="en-PH"/>
        </w:rPr>
        <w:t>[Magna Carta for Disabled Persons],</w:t>
      </w:r>
      <w:r w:rsidR="004D5BC2">
        <w:rPr>
          <w:lang w:val="en-PH"/>
        </w:rPr>
        <w:t xml:space="preserve"> Republic Act No. </w:t>
      </w:r>
      <w:r w:rsidR="008417E5">
        <w:rPr>
          <w:lang w:val="en-PH"/>
        </w:rPr>
        <w:t>7277 (1992</w:t>
      </w:r>
      <w:r w:rsidR="004D5BC2">
        <w:rPr>
          <w:lang w:val="en-PH"/>
        </w:rPr>
        <w:t>)</w:t>
      </w:r>
      <w:r w:rsidR="004D5BC2">
        <w:rPr>
          <w:i/>
          <w:lang w:val="en-PH"/>
        </w:rPr>
        <w:t xml:space="preserve"> available at </w:t>
      </w:r>
      <w:hyperlink r:id="rId7" w:history="1">
        <w:r w:rsidR="008417E5">
          <w:rPr>
            <w:rStyle w:val="Hyperlink"/>
          </w:rPr>
          <w:t>http://hrlibrary.umn.edu/research/Philippines/RA%207277%20-%20Magna%20Carta%20of%20Disabled%20Persons.pdf</w:t>
        </w:r>
      </w:hyperlink>
      <w:r w:rsidR="008417E5">
        <w:t xml:space="preserve"> </w:t>
      </w:r>
      <w:r w:rsidR="004D5BC2">
        <w:t>(last accessed 16 July 2019).</w:t>
      </w:r>
    </w:p>
    <w:p w14:paraId="207643BB" w14:textId="77777777" w:rsidR="004D5BC2" w:rsidRPr="00E7431A" w:rsidRDefault="004D5BC2">
      <w:pPr>
        <w:pStyle w:val="FootnoteText"/>
        <w:rPr>
          <w:lang w:val="en-PH"/>
        </w:rPr>
      </w:pPr>
    </w:p>
  </w:footnote>
  <w:footnote w:id="12">
    <w:p w14:paraId="207643BC" w14:textId="77777777" w:rsidR="00D300D4" w:rsidRPr="00D300D4" w:rsidRDefault="00D300D4">
      <w:pPr>
        <w:pStyle w:val="FootnoteText"/>
        <w:rPr>
          <w:lang w:val="en-PH"/>
        </w:rPr>
      </w:pPr>
      <w:r>
        <w:rPr>
          <w:rStyle w:val="FootnoteReference"/>
        </w:rPr>
        <w:footnoteRef/>
      </w:r>
      <w:r>
        <w:t xml:space="preserve"> </w:t>
      </w:r>
      <w:r w:rsidRPr="00D300D4">
        <w:rPr>
          <w:smallCaps/>
          <w:lang w:val="en-PH"/>
        </w:rPr>
        <w:t>MAGNA CARTA FOR DISABLED PERSONS</w:t>
      </w:r>
      <w:r>
        <w:rPr>
          <w:smallCaps/>
          <w:lang w:val="en-PH"/>
        </w:rPr>
        <w:t xml:space="preserve">, </w:t>
      </w:r>
      <w:r>
        <w:rPr>
          <w:lang w:val="en-PH"/>
        </w:rPr>
        <w:t>§ 39</w:t>
      </w:r>
    </w:p>
  </w:footnote>
  <w:footnote w:id="13">
    <w:p w14:paraId="207643BD" w14:textId="77777777" w:rsidR="00D300D4" w:rsidRPr="00D300D4" w:rsidRDefault="00D300D4">
      <w:pPr>
        <w:pStyle w:val="FootnoteText"/>
        <w:rPr>
          <w:lang w:val="en-PH"/>
        </w:rPr>
      </w:pPr>
      <w:r>
        <w:rPr>
          <w:rStyle w:val="FootnoteReference"/>
        </w:rPr>
        <w:footnoteRef/>
      </w:r>
      <w:r>
        <w:t xml:space="preserve"> </w:t>
      </w:r>
      <w:r w:rsidRPr="00D300D4">
        <w:rPr>
          <w:smallCaps/>
          <w:lang w:val="en-PH"/>
        </w:rPr>
        <w:t>MAGNA CARTA FOR DISABLED PERSONS</w:t>
      </w:r>
      <w:r>
        <w:rPr>
          <w:smallCaps/>
          <w:lang w:val="en-PH"/>
        </w:rPr>
        <w:t xml:space="preserve">, </w:t>
      </w:r>
      <w:r>
        <w:rPr>
          <w:lang w:val="en-PH"/>
        </w:rPr>
        <w:t>§ 40</w:t>
      </w:r>
    </w:p>
  </w:footnote>
  <w:footnote w:id="14">
    <w:p w14:paraId="207643BE" w14:textId="77777777" w:rsidR="00D300D4" w:rsidRPr="00D300D4" w:rsidRDefault="00D300D4">
      <w:pPr>
        <w:pStyle w:val="FootnoteText"/>
        <w:rPr>
          <w:lang w:val="en-PH"/>
        </w:rPr>
      </w:pPr>
      <w:r>
        <w:rPr>
          <w:rStyle w:val="FootnoteReference"/>
        </w:rPr>
        <w:footnoteRef/>
      </w:r>
      <w:r>
        <w:t xml:space="preserve"> </w:t>
      </w:r>
      <w:r>
        <w:rPr>
          <w:lang w:val="en-PH"/>
        </w:rPr>
        <w:t>An act prohibiting discrimination on the basis of age, racial or ethnic origin, religious belief or activity, political inclination or conviction, social class, sex, gender, sexual orientation, gender identity and expressions, marital or relationship status, disability, HIV status, health status or medical history, language, physical features and other state, and providing penalties therefor [</w:t>
      </w:r>
      <w:r>
        <w:rPr>
          <w:smallCaps/>
          <w:lang w:val="en-PH"/>
        </w:rPr>
        <w:t xml:space="preserve">comprehensive anti-discrimination bill], </w:t>
      </w:r>
      <w:r>
        <w:rPr>
          <w:lang w:val="en-PH"/>
        </w:rPr>
        <w:t xml:space="preserve">Senate Bill No. 948 (filed  August 1, 2016), </w:t>
      </w:r>
      <w:r>
        <w:rPr>
          <w:i/>
          <w:lang w:val="en-PH"/>
        </w:rPr>
        <w:t xml:space="preserve">available at </w:t>
      </w:r>
      <w:hyperlink r:id="rId8" w:history="1">
        <w:r>
          <w:rPr>
            <w:rStyle w:val="Hyperlink"/>
          </w:rPr>
          <w:t>http://senate.gov.ph/lisdata/2450621092!.pdf</w:t>
        </w:r>
      </w:hyperlink>
      <w:r>
        <w:t xml:space="preserve"> (last accessed 17 July 2019).</w:t>
      </w:r>
    </w:p>
  </w:footnote>
  <w:footnote w:id="15">
    <w:p w14:paraId="207643BF" w14:textId="77777777" w:rsidR="00D300D4" w:rsidRPr="00D300D4" w:rsidRDefault="00D300D4">
      <w:pPr>
        <w:pStyle w:val="FootnoteText"/>
        <w:rPr>
          <w:i/>
          <w:lang w:val="en-PH"/>
        </w:rPr>
      </w:pPr>
      <w:r>
        <w:rPr>
          <w:rStyle w:val="FootnoteReference"/>
        </w:rPr>
        <w:footnoteRef/>
      </w:r>
      <w:r>
        <w:t xml:space="preserve"> </w:t>
      </w:r>
      <w:r>
        <w:rPr>
          <w:lang w:val="en-PH"/>
        </w:rPr>
        <w:t xml:space="preserve">Commission on Human Rights, </w:t>
      </w:r>
      <w:r w:rsidRPr="00D300D4">
        <w:rPr>
          <w:i/>
          <w:lang w:val="en-PH"/>
        </w:rPr>
        <w:t>Guidelines and Procedures in the Investigation and Monitoring of Human Rights Violations and Abuses, and the Provision of CHR Assistance</w:t>
      </w:r>
      <w:r>
        <w:rPr>
          <w:lang w:val="en-PH"/>
        </w:rPr>
        <w:t xml:space="preserve"> (2012), § 21, </w:t>
      </w:r>
      <w:r>
        <w:rPr>
          <w:i/>
          <w:lang w:val="en-PH"/>
        </w:rPr>
        <w:t xml:space="preserve">available at </w:t>
      </w:r>
      <w:hyperlink r:id="rId9" w:history="1">
        <w:r>
          <w:rPr>
            <w:rStyle w:val="Hyperlink"/>
          </w:rPr>
          <w:t>https://pinoyfilecabinet.files.wordpress.com/2014/07/chr-procedures-final_approved_8-31-2012.pdf</w:t>
        </w:r>
      </w:hyperlink>
      <w:r>
        <w:t xml:space="preserve"> (last accessed 17 July 2019).</w:t>
      </w:r>
    </w:p>
  </w:footnote>
  <w:footnote w:id="16">
    <w:p w14:paraId="207643C0" w14:textId="77777777" w:rsidR="00EC4488" w:rsidRPr="00EC4488" w:rsidRDefault="00EC4488">
      <w:pPr>
        <w:pStyle w:val="FootnoteText"/>
        <w:rPr>
          <w:lang w:val="en-US"/>
        </w:rPr>
      </w:pPr>
      <w:r>
        <w:rPr>
          <w:rStyle w:val="FootnoteReference"/>
        </w:rPr>
        <w:footnoteRef/>
      </w:r>
      <w:r>
        <w:t xml:space="preserve"> Commission on Human Rights, </w:t>
      </w:r>
      <w:r>
        <w:rPr>
          <w:i/>
        </w:rPr>
        <w:t>Zambo court convicts jail officer for teasing PWD</w:t>
      </w:r>
      <w:r>
        <w:t xml:space="preserve"> (July 2019), </w:t>
      </w:r>
      <w:r>
        <w:rPr>
          <w:i/>
        </w:rPr>
        <w:t xml:space="preserve">available at </w:t>
      </w:r>
      <w:hyperlink r:id="rId10" w:history="1">
        <w:r w:rsidRPr="00317581">
          <w:rPr>
            <w:rStyle w:val="Hyperlink"/>
          </w:rPr>
          <w:t>https://www.facebook.com/pg/chrgovph/posts/?ref=page_internal</w:t>
        </w:r>
      </w:hyperlink>
      <w:r>
        <w:t xml:space="preserve"> (last accessed 22 July 2019).</w:t>
      </w:r>
    </w:p>
  </w:footnote>
  <w:footnote w:id="17">
    <w:p w14:paraId="207643C1" w14:textId="77777777" w:rsidR="00BE7FA5" w:rsidRPr="00BE7FA5" w:rsidRDefault="00BE7FA5">
      <w:pPr>
        <w:pStyle w:val="FootnoteText"/>
        <w:rPr>
          <w:i/>
          <w:lang w:val="en-PH"/>
        </w:rPr>
      </w:pPr>
      <w:r>
        <w:rPr>
          <w:rStyle w:val="FootnoteReference"/>
        </w:rPr>
        <w:footnoteRef/>
      </w:r>
      <w:r>
        <w:t xml:space="preserve"> </w:t>
      </w:r>
      <w:r>
        <w:rPr>
          <w:lang w:val="en-PH"/>
        </w:rPr>
        <w:t xml:space="preserve">Vera files Inc., </w:t>
      </w:r>
      <w:r>
        <w:rPr>
          <w:i/>
          <w:lang w:val="en-PH"/>
        </w:rPr>
        <w:t xml:space="preserve">Getting it rights: Reporting on Disability in the Philippines (2015), available at </w:t>
      </w:r>
      <w:hyperlink r:id="rId11" w:history="1">
        <w:r>
          <w:rPr>
            <w:rStyle w:val="Hyperlink"/>
          </w:rPr>
          <w:t>https://asiafoundation.org/wp-content/uploads/2018/03/Getting-It-Right.-Reporing-on-Disability-in-the-Philippines.pdf</w:t>
        </w:r>
      </w:hyperlink>
      <w:r>
        <w:t xml:space="preserve"> (last accessed 18 July 2019).</w:t>
      </w:r>
    </w:p>
  </w:footnote>
  <w:footnote w:id="18">
    <w:p w14:paraId="207643C2" w14:textId="77777777" w:rsidR="005C3917" w:rsidRPr="005C3917" w:rsidRDefault="005C3917">
      <w:pPr>
        <w:pStyle w:val="FootnoteText"/>
        <w:rPr>
          <w:lang w:val="en-PH"/>
        </w:rPr>
      </w:pPr>
      <w:r>
        <w:rPr>
          <w:rStyle w:val="FootnoteReference"/>
        </w:rPr>
        <w:footnoteRef/>
      </w:r>
      <w:r>
        <w:t xml:space="preserve"> </w:t>
      </w:r>
      <w:r w:rsidRPr="00BE7FA5">
        <w:rPr>
          <w:smallCaps/>
          <w:lang w:val="en-PH"/>
        </w:rPr>
        <w:t>Broadcast Code of the Philippines of 2007</w:t>
      </w:r>
      <w:r>
        <w:rPr>
          <w:lang w:val="en-PH"/>
        </w:rPr>
        <w:t xml:space="preserve"> (as amended 2011), </w:t>
      </w:r>
      <w:r>
        <w:rPr>
          <w:i/>
          <w:lang w:val="en-PH"/>
        </w:rPr>
        <w:t xml:space="preserve">available at </w:t>
      </w:r>
      <w:hyperlink r:id="rId12" w:history="1">
        <w:r>
          <w:rPr>
            <w:rStyle w:val="Hyperlink"/>
          </w:rPr>
          <w:t>https://www.kbp.org.ph/wp-content/uploads/2008/04/KBP_Broadcast_Code_2011.pdf</w:t>
        </w:r>
      </w:hyperlink>
      <w:r>
        <w:t xml:space="preserve"> (last accessed 18 July 2019).</w:t>
      </w:r>
    </w:p>
  </w:footnote>
  <w:footnote w:id="19">
    <w:p w14:paraId="207643C3" w14:textId="77777777" w:rsidR="005C3917" w:rsidRPr="005C3917" w:rsidRDefault="005C3917">
      <w:pPr>
        <w:pStyle w:val="FootnoteText"/>
        <w:rPr>
          <w:lang w:val="en-PH"/>
        </w:rPr>
      </w:pPr>
      <w:r>
        <w:rPr>
          <w:rStyle w:val="FootnoteReference"/>
        </w:rPr>
        <w:footnoteRef/>
      </w:r>
      <w:r>
        <w:t xml:space="preserve"> Id. </w:t>
      </w:r>
      <w:r>
        <w:rPr>
          <w:lang w:val="en-PH"/>
        </w:rPr>
        <w:t xml:space="preserve"> § 3.</w:t>
      </w:r>
    </w:p>
  </w:footnote>
  <w:footnote w:id="20">
    <w:p w14:paraId="207643C4" w14:textId="77777777" w:rsidR="005C3917" w:rsidRPr="005C3917" w:rsidRDefault="005C3917">
      <w:pPr>
        <w:pStyle w:val="FootnoteText"/>
        <w:rPr>
          <w:lang w:val="en-PH"/>
        </w:rPr>
      </w:pPr>
      <w:r>
        <w:rPr>
          <w:rStyle w:val="FootnoteReference"/>
        </w:rPr>
        <w:footnoteRef/>
      </w:r>
      <w:r>
        <w:t xml:space="preserve"> </w:t>
      </w:r>
      <w:r>
        <w:rPr>
          <w:lang w:val="en-PH"/>
        </w:rPr>
        <w:t>Id. § 5.</w:t>
      </w:r>
    </w:p>
  </w:footnote>
  <w:footnote w:id="21">
    <w:p w14:paraId="207643C5" w14:textId="77777777" w:rsidR="005C3917" w:rsidRPr="005C3917" w:rsidRDefault="005C3917">
      <w:pPr>
        <w:pStyle w:val="FootnoteText"/>
        <w:rPr>
          <w:lang w:val="en-PH"/>
        </w:rPr>
      </w:pPr>
      <w:r>
        <w:rPr>
          <w:rStyle w:val="FootnoteReference"/>
        </w:rPr>
        <w:footnoteRef/>
      </w:r>
      <w:r>
        <w:t xml:space="preserve"> </w:t>
      </w:r>
      <w:r>
        <w:rPr>
          <w:lang w:val="en-PH"/>
        </w:rPr>
        <w:t xml:space="preserve">Id. </w:t>
      </w:r>
    </w:p>
  </w:footnote>
  <w:footnote w:id="22">
    <w:p w14:paraId="207643C6" w14:textId="77777777" w:rsidR="00BE7FA5" w:rsidRPr="00BE7FA5" w:rsidRDefault="00BE7FA5">
      <w:pPr>
        <w:pStyle w:val="FootnoteText"/>
        <w:rPr>
          <w:i/>
          <w:lang w:val="en-PH"/>
        </w:rPr>
      </w:pPr>
    </w:p>
  </w:footnote>
  <w:footnote w:id="23">
    <w:p w14:paraId="207643C7" w14:textId="77777777" w:rsidR="005C3917" w:rsidRPr="005C3917" w:rsidRDefault="005C3917">
      <w:pPr>
        <w:pStyle w:val="FootnoteText"/>
        <w:rPr>
          <w:lang w:val="en-PH"/>
        </w:rPr>
      </w:pPr>
      <w:r>
        <w:rPr>
          <w:rStyle w:val="FootnoteReference"/>
        </w:rPr>
        <w:footnoteRef/>
      </w:r>
      <w:r>
        <w:t xml:space="preserve"> </w:t>
      </w:r>
      <w:r>
        <w:rPr>
          <w:lang w:val="en-PH"/>
        </w:rPr>
        <w:t xml:space="preserve">Id. </w:t>
      </w:r>
    </w:p>
  </w:footnote>
  <w:footnote w:id="24">
    <w:p w14:paraId="207643C8" w14:textId="77777777" w:rsidR="00D80E9C" w:rsidRPr="00D80E9C" w:rsidRDefault="00D80E9C">
      <w:pPr>
        <w:pStyle w:val="FootnoteText"/>
        <w:rPr>
          <w:lang w:val="en-US"/>
        </w:rPr>
      </w:pPr>
      <w:r>
        <w:rPr>
          <w:rStyle w:val="FootnoteReference"/>
        </w:rPr>
        <w:footnoteRef/>
      </w:r>
      <w:r>
        <w:t xml:space="preserve"> </w:t>
      </w:r>
      <w:r>
        <w:rPr>
          <w:lang w:val="en-US"/>
        </w:rPr>
        <w:t xml:space="preserve">Movie and Television Review and Classification Board, Operations Manual (2015), </w:t>
      </w:r>
      <w:r>
        <w:rPr>
          <w:i/>
          <w:lang w:val="en-US"/>
        </w:rPr>
        <w:t xml:space="preserve">available at </w:t>
      </w:r>
      <w:hyperlink r:id="rId13" w:history="1">
        <w:r w:rsidRPr="00D80E9C">
          <w:rPr>
            <w:rStyle w:val="Hyperlink"/>
            <w:lang w:val="en-US"/>
          </w:rPr>
          <w:t>https://www.mtrcb.gov.ph/wp-content/uploads/2013/04/OPERATIONS-MANUAL.pdf</w:t>
        </w:r>
      </w:hyperlink>
      <w:r>
        <w:rPr>
          <w:i/>
          <w:lang w:val="en-US"/>
        </w:rPr>
        <w:t xml:space="preserve"> </w:t>
      </w:r>
      <w:r>
        <w:rPr>
          <w:lang w:val="en-US"/>
        </w:rPr>
        <w:t xml:space="preserve">(last accessed 22 July 2019). </w:t>
      </w:r>
    </w:p>
  </w:footnote>
  <w:footnote w:id="25">
    <w:p w14:paraId="207643C9" w14:textId="77777777" w:rsidR="00292418" w:rsidRPr="00292418" w:rsidRDefault="00292418" w:rsidP="00292418">
      <w:pPr>
        <w:pStyle w:val="FootnoteText"/>
      </w:pPr>
      <w:r>
        <w:rPr>
          <w:rStyle w:val="FootnoteReference"/>
        </w:rPr>
        <w:footnoteRef/>
      </w:r>
      <w:r>
        <w:t xml:space="preserve"> 1987 </w:t>
      </w:r>
      <w:r w:rsidRPr="00292418">
        <w:t>Philippine Constitution</w:t>
      </w:r>
      <w:r w:rsidR="009A520F">
        <w:t>. Article III § 5 –</w:t>
      </w:r>
      <w:r w:rsidR="009A520F" w:rsidRPr="009A520F">
        <w:rPr>
          <w:i/>
        </w:rPr>
        <w:t xml:space="preserve">  </w:t>
      </w:r>
      <w:r w:rsidR="009A520F">
        <w:rPr>
          <w:i/>
        </w:rPr>
        <w:t>"</w:t>
      </w:r>
      <w:r w:rsidR="009A520F" w:rsidRPr="009A520F">
        <w:rPr>
          <w:i/>
        </w:rPr>
        <w:t>No law shall be passed abridging the freedom of speech, of expression, or of the press XXX"</w:t>
      </w:r>
    </w:p>
  </w:footnote>
  <w:footnote w:id="26">
    <w:p w14:paraId="207643CA" w14:textId="77777777" w:rsidR="007A4699" w:rsidRPr="007A4699" w:rsidRDefault="007A4699">
      <w:pPr>
        <w:pStyle w:val="FootnoteText"/>
        <w:rPr>
          <w:i/>
          <w:lang w:val="en-PH"/>
        </w:rPr>
      </w:pPr>
      <w:r>
        <w:rPr>
          <w:rStyle w:val="FootnoteReference"/>
        </w:rPr>
        <w:footnoteRef/>
      </w:r>
      <w:r>
        <w:t xml:space="preserve"> </w:t>
      </w:r>
      <w:r>
        <w:rPr>
          <w:lang w:val="en-PH"/>
        </w:rPr>
        <w:t>An act requiring all elementary and secondary schools to adopt policies to prevent and address the act of bullying in their institutions [</w:t>
      </w:r>
      <w:r>
        <w:rPr>
          <w:smallCaps/>
          <w:lang w:val="en-PH"/>
        </w:rPr>
        <w:t xml:space="preserve">anti-bullying act of 2013], </w:t>
      </w:r>
      <w:r>
        <w:rPr>
          <w:lang w:val="en-PH"/>
        </w:rPr>
        <w:t xml:space="preserve">Republic Act No. 10687, </w:t>
      </w:r>
      <w:r>
        <w:rPr>
          <w:i/>
          <w:lang w:val="en-PH"/>
        </w:rPr>
        <w:t xml:space="preserve">available at </w:t>
      </w:r>
      <w:hyperlink r:id="rId14" w:history="1">
        <w:r>
          <w:rPr>
            <w:rStyle w:val="Hyperlink"/>
          </w:rPr>
          <w:t>http://www.officialgazette.gov.ph/2013/09/12/republic-act-no-10627/</w:t>
        </w:r>
      </w:hyperlink>
      <w:r>
        <w:t xml:space="preserve"> (last accessed 18 July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C88"/>
    <w:multiLevelType w:val="multilevel"/>
    <w:tmpl w:val="3D2E97B0"/>
    <w:lvl w:ilvl="0">
      <w:start w:val="1"/>
      <w:numFmt w:val="decimal"/>
      <w:lvlText w:val="%1."/>
      <w:lvlJc w:val="left"/>
      <w:pPr>
        <w:ind w:left="720" w:hanging="360"/>
      </w:pPr>
      <w:rPr>
        <w:b w:val="0"/>
        <w:i w:val="0"/>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54EDC"/>
    <w:multiLevelType w:val="multilevel"/>
    <w:tmpl w:val="3FB0BCAE"/>
    <w:lvl w:ilvl="0">
      <w:start w:val="1"/>
      <w:numFmt w:val="decimal"/>
      <w:lvlText w:val="%1."/>
      <w:lvlJc w:val="left"/>
      <w:pPr>
        <w:ind w:left="720" w:hanging="360"/>
      </w:pPr>
      <w:rPr>
        <w:b w:val="0"/>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FF64C1"/>
    <w:multiLevelType w:val="hybridMultilevel"/>
    <w:tmpl w:val="105606E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A195B1F"/>
    <w:multiLevelType w:val="hybridMultilevel"/>
    <w:tmpl w:val="15F6D3DC"/>
    <w:lvl w:ilvl="0" w:tplc="3409000F">
      <w:start w:val="1"/>
      <w:numFmt w:val="decimal"/>
      <w:lvlText w:val="%1."/>
      <w:lvlJc w:val="left"/>
      <w:pPr>
        <w:ind w:left="1449" w:hanging="360"/>
      </w:pPr>
    </w:lvl>
    <w:lvl w:ilvl="1" w:tplc="34090019" w:tentative="1">
      <w:start w:val="1"/>
      <w:numFmt w:val="lowerLetter"/>
      <w:lvlText w:val="%2."/>
      <w:lvlJc w:val="left"/>
      <w:pPr>
        <w:ind w:left="2169" w:hanging="360"/>
      </w:pPr>
    </w:lvl>
    <w:lvl w:ilvl="2" w:tplc="3409001B" w:tentative="1">
      <w:start w:val="1"/>
      <w:numFmt w:val="lowerRoman"/>
      <w:lvlText w:val="%3."/>
      <w:lvlJc w:val="right"/>
      <w:pPr>
        <w:ind w:left="2889" w:hanging="180"/>
      </w:pPr>
    </w:lvl>
    <w:lvl w:ilvl="3" w:tplc="3409000F" w:tentative="1">
      <w:start w:val="1"/>
      <w:numFmt w:val="decimal"/>
      <w:lvlText w:val="%4."/>
      <w:lvlJc w:val="left"/>
      <w:pPr>
        <w:ind w:left="3609" w:hanging="360"/>
      </w:pPr>
    </w:lvl>
    <w:lvl w:ilvl="4" w:tplc="34090019" w:tentative="1">
      <w:start w:val="1"/>
      <w:numFmt w:val="lowerLetter"/>
      <w:lvlText w:val="%5."/>
      <w:lvlJc w:val="left"/>
      <w:pPr>
        <w:ind w:left="4329" w:hanging="360"/>
      </w:pPr>
    </w:lvl>
    <w:lvl w:ilvl="5" w:tplc="3409001B" w:tentative="1">
      <w:start w:val="1"/>
      <w:numFmt w:val="lowerRoman"/>
      <w:lvlText w:val="%6."/>
      <w:lvlJc w:val="right"/>
      <w:pPr>
        <w:ind w:left="5049" w:hanging="180"/>
      </w:pPr>
    </w:lvl>
    <w:lvl w:ilvl="6" w:tplc="3409000F" w:tentative="1">
      <w:start w:val="1"/>
      <w:numFmt w:val="decimal"/>
      <w:lvlText w:val="%7."/>
      <w:lvlJc w:val="left"/>
      <w:pPr>
        <w:ind w:left="5769" w:hanging="360"/>
      </w:pPr>
    </w:lvl>
    <w:lvl w:ilvl="7" w:tplc="34090019" w:tentative="1">
      <w:start w:val="1"/>
      <w:numFmt w:val="lowerLetter"/>
      <w:lvlText w:val="%8."/>
      <w:lvlJc w:val="left"/>
      <w:pPr>
        <w:ind w:left="6489" w:hanging="360"/>
      </w:pPr>
    </w:lvl>
    <w:lvl w:ilvl="8" w:tplc="3409001B" w:tentative="1">
      <w:start w:val="1"/>
      <w:numFmt w:val="lowerRoman"/>
      <w:lvlText w:val="%9."/>
      <w:lvlJc w:val="right"/>
      <w:pPr>
        <w:ind w:left="7209" w:hanging="180"/>
      </w:pPr>
    </w:lvl>
  </w:abstractNum>
  <w:abstractNum w:abstractNumId="4" w15:restartNumberingAfterBreak="0">
    <w:nsid w:val="1B12376C"/>
    <w:multiLevelType w:val="hybridMultilevel"/>
    <w:tmpl w:val="B556506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 w15:restartNumberingAfterBreak="0">
    <w:nsid w:val="1BA84074"/>
    <w:multiLevelType w:val="hybridMultilevel"/>
    <w:tmpl w:val="B0E85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A3279"/>
    <w:multiLevelType w:val="multilevel"/>
    <w:tmpl w:val="17D24496"/>
    <w:lvl w:ilvl="0">
      <w:start w:val="1"/>
      <w:numFmt w:val="decimal"/>
      <w:lvlText w:val="%1."/>
      <w:lvlJc w:val="left"/>
      <w:pPr>
        <w:ind w:left="720" w:hanging="360"/>
      </w:pPr>
      <w:rPr>
        <w:b w:val="0"/>
        <w:i w:val="0"/>
        <w:u w:val="none"/>
      </w:rPr>
    </w:lvl>
    <w:lvl w:ilvl="1">
      <w:start w:val="1"/>
      <w:numFmt w:val="bullet"/>
      <w:lvlText w:val=""/>
      <w:lvlJc w:val="left"/>
      <w:pPr>
        <w:ind w:left="1440" w:hanging="360"/>
      </w:pPr>
      <w:rPr>
        <w:rFonts w:ascii="Symbol" w:hAnsi="Symbol" w:hint="default"/>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0F0FE0"/>
    <w:multiLevelType w:val="multilevel"/>
    <w:tmpl w:val="17D24496"/>
    <w:lvl w:ilvl="0">
      <w:start w:val="1"/>
      <w:numFmt w:val="decimal"/>
      <w:lvlText w:val="%1."/>
      <w:lvlJc w:val="left"/>
      <w:pPr>
        <w:ind w:left="720" w:hanging="360"/>
      </w:pPr>
      <w:rPr>
        <w:b w:val="0"/>
        <w:i w:val="0"/>
        <w:u w:val="none"/>
      </w:rPr>
    </w:lvl>
    <w:lvl w:ilvl="1">
      <w:start w:val="1"/>
      <w:numFmt w:val="bullet"/>
      <w:lvlText w:val=""/>
      <w:lvlJc w:val="left"/>
      <w:pPr>
        <w:ind w:left="1440" w:hanging="360"/>
      </w:pPr>
      <w:rPr>
        <w:rFonts w:ascii="Symbol" w:hAnsi="Symbol" w:hint="default"/>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C5335A1"/>
    <w:multiLevelType w:val="hybridMultilevel"/>
    <w:tmpl w:val="366415C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941302F"/>
    <w:multiLevelType w:val="multilevel"/>
    <w:tmpl w:val="3D2E97B0"/>
    <w:lvl w:ilvl="0">
      <w:start w:val="1"/>
      <w:numFmt w:val="decimal"/>
      <w:lvlText w:val="%1."/>
      <w:lvlJc w:val="left"/>
      <w:pPr>
        <w:ind w:left="720" w:hanging="360"/>
      </w:pPr>
      <w:rPr>
        <w:b w:val="0"/>
        <w:i w:val="0"/>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5DA0277"/>
    <w:multiLevelType w:val="hybridMultilevel"/>
    <w:tmpl w:val="973C87C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1" w15:restartNumberingAfterBreak="0">
    <w:nsid w:val="4DD34FC5"/>
    <w:multiLevelType w:val="multilevel"/>
    <w:tmpl w:val="17D24496"/>
    <w:lvl w:ilvl="0">
      <w:start w:val="1"/>
      <w:numFmt w:val="decimal"/>
      <w:lvlText w:val="%1."/>
      <w:lvlJc w:val="left"/>
      <w:pPr>
        <w:ind w:left="720" w:hanging="360"/>
      </w:pPr>
      <w:rPr>
        <w:b w:val="0"/>
        <w:i w:val="0"/>
        <w:u w:val="none"/>
      </w:rPr>
    </w:lvl>
    <w:lvl w:ilvl="1">
      <w:start w:val="1"/>
      <w:numFmt w:val="bullet"/>
      <w:lvlText w:val=""/>
      <w:lvlJc w:val="left"/>
      <w:pPr>
        <w:ind w:left="1440" w:hanging="360"/>
      </w:pPr>
      <w:rPr>
        <w:rFonts w:ascii="Symbol" w:hAnsi="Symbol" w:hint="default"/>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9F3B9E"/>
    <w:multiLevelType w:val="hybridMultilevel"/>
    <w:tmpl w:val="BD8C1FD8"/>
    <w:lvl w:ilvl="0" w:tplc="F030E69E">
      <w:start w:val="1"/>
      <w:numFmt w:val="bullet"/>
      <w:lvlText w:val="o"/>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3C557C">
      <w:start w:val="1"/>
      <w:numFmt w:val="bullet"/>
      <w:lvlText w:val="o"/>
      <w:lvlJc w:val="left"/>
      <w:pPr>
        <w:ind w:left="1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828BA6">
      <w:start w:val="1"/>
      <w:numFmt w:val="bullet"/>
      <w:lvlText w:val="▪"/>
      <w:lvlJc w:val="left"/>
      <w:pPr>
        <w:ind w:left="2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14A5B6">
      <w:start w:val="1"/>
      <w:numFmt w:val="bullet"/>
      <w:lvlText w:val="•"/>
      <w:lvlJc w:val="left"/>
      <w:pPr>
        <w:ind w:left="2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BE6BA0">
      <w:start w:val="1"/>
      <w:numFmt w:val="bullet"/>
      <w:lvlText w:val="o"/>
      <w:lvlJc w:val="left"/>
      <w:pPr>
        <w:ind w:left="3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1EEA0E">
      <w:start w:val="1"/>
      <w:numFmt w:val="bullet"/>
      <w:lvlText w:val="▪"/>
      <w:lvlJc w:val="left"/>
      <w:pPr>
        <w:ind w:left="4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2A5362">
      <w:start w:val="1"/>
      <w:numFmt w:val="bullet"/>
      <w:lvlText w:val="•"/>
      <w:lvlJc w:val="left"/>
      <w:pPr>
        <w:ind w:left="5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663E18">
      <w:start w:val="1"/>
      <w:numFmt w:val="bullet"/>
      <w:lvlText w:val="o"/>
      <w:lvlJc w:val="left"/>
      <w:pPr>
        <w:ind w:left="5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B41954">
      <w:start w:val="1"/>
      <w:numFmt w:val="bullet"/>
      <w:lvlText w:val="▪"/>
      <w:lvlJc w:val="left"/>
      <w:pPr>
        <w:ind w:left="6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6E628F0"/>
    <w:multiLevelType w:val="hybridMultilevel"/>
    <w:tmpl w:val="07E8953C"/>
    <w:lvl w:ilvl="0" w:tplc="C298FC62">
      <w:numFmt w:val="bullet"/>
      <w:lvlText w:val="•"/>
      <w:lvlJc w:val="left"/>
      <w:pPr>
        <w:ind w:left="1440" w:hanging="720"/>
      </w:pPr>
      <w:rPr>
        <w:rFonts w:ascii="Times New Roman" w:eastAsia="Calibri" w:hAnsi="Times New Roman"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4" w15:restartNumberingAfterBreak="0">
    <w:nsid w:val="7FC74EA0"/>
    <w:multiLevelType w:val="hybridMultilevel"/>
    <w:tmpl w:val="E900237A"/>
    <w:lvl w:ilvl="0" w:tplc="04128D6C">
      <w:numFmt w:val="bullet"/>
      <w:lvlText w:val="•"/>
      <w:lvlJc w:val="left"/>
      <w:pPr>
        <w:ind w:left="1080" w:hanging="720"/>
      </w:pPr>
      <w:rPr>
        <w:rFonts w:ascii="Times New Roman" w:eastAsia="Calibr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4"/>
  </w:num>
  <w:num w:numId="4">
    <w:abstractNumId w:val="13"/>
  </w:num>
  <w:num w:numId="5">
    <w:abstractNumId w:val="8"/>
  </w:num>
  <w:num w:numId="6">
    <w:abstractNumId w:val="10"/>
  </w:num>
  <w:num w:numId="7">
    <w:abstractNumId w:val="2"/>
  </w:num>
  <w:num w:numId="8">
    <w:abstractNumId w:val="14"/>
  </w:num>
  <w:num w:numId="9">
    <w:abstractNumId w:val="1"/>
  </w:num>
  <w:num w:numId="10">
    <w:abstractNumId w:val="3"/>
  </w:num>
  <w:num w:numId="11">
    <w:abstractNumId w:val="9"/>
  </w:num>
  <w:num w:numId="12">
    <w:abstractNumId w:val="0"/>
  </w:num>
  <w:num w:numId="13">
    <w:abstractNumId w:val="1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C6"/>
    <w:rsid w:val="00091C04"/>
    <w:rsid w:val="000972D5"/>
    <w:rsid w:val="000B1A6D"/>
    <w:rsid w:val="001105C6"/>
    <w:rsid w:val="0012559F"/>
    <w:rsid w:val="00150D7B"/>
    <w:rsid w:val="00240B2D"/>
    <w:rsid w:val="00292418"/>
    <w:rsid w:val="002B55FF"/>
    <w:rsid w:val="002C0477"/>
    <w:rsid w:val="002E32A5"/>
    <w:rsid w:val="002F557A"/>
    <w:rsid w:val="0037273B"/>
    <w:rsid w:val="00377564"/>
    <w:rsid w:val="00432180"/>
    <w:rsid w:val="004D5BC2"/>
    <w:rsid w:val="00573E29"/>
    <w:rsid w:val="00585351"/>
    <w:rsid w:val="005C3917"/>
    <w:rsid w:val="005E3103"/>
    <w:rsid w:val="00751FB5"/>
    <w:rsid w:val="007A4699"/>
    <w:rsid w:val="007D67CB"/>
    <w:rsid w:val="008417E5"/>
    <w:rsid w:val="0086187A"/>
    <w:rsid w:val="009645F8"/>
    <w:rsid w:val="00974B1E"/>
    <w:rsid w:val="009A520F"/>
    <w:rsid w:val="009A5612"/>
    <w:rsid w:val="009E7C39"/>
    <w:rsid w:val="00A07BD0"/>
    <w:rsid w:val="00A30BB0"/>
    <w:rsid w:val="00A745DB"/>
    <w:rsid w:val="00AE12EB"/>
    <w:rsid w:val="00AF11EC"/>
    <w:rsid w:val="00B26FC9"/>
    <w:rsid w:val="00BC16CF"/>
    <w:rsid w:val="00BE7FA5"/>
    <w:rsid w:val="00C01DD2"/>
    <w:rsid w:val="00CF7357"/>
    <w:rsid w:val="00D300D4"/>
    <w:rsid w:val="00D6320D"/>
    <w:rsid w:val="00D80E9C"/>
    <w:rsid w:val="00D94740"/>
    <w:rsid w:val="00DD223C"/>
    <w:rsid w:val="00E7431A"/>
    <w:rsid w:val="00EC4488"/>
    <w:rsid w:val="00F5265F"/>
    <w:rsid w:val="00FA4AE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4336"/>
  <w15:docId w15:val="{5AF6EF49-BB1B-4174-BD7C-FDC0D1D7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05C6"/>
    <w:rPr>
      <w:rFonts w:ascii="Calibri" w:eastAsia="Calibri" w:hAnsi="Calibri" w:cs="Calibri"/>
      <w:lang w:val="en-GB"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645F8"/>
    <w:pPr>
      <w:ind w:left="720"/>
      <w:contextualSpacing/>
    </w:pPr>
  </w:style>
  <w:style w:type="paragraph" w:styleId="FootnoteText">
    <w:name w:val="footnote text"/>
    <w:basedOn w:val="Normal"/>
    <w:link w:val="FootnoteTextChar"/>
    <w:uiPriority w:val="99"/>
    <w:semiHidden/>
    <w:unhideWhenUsed/>
    <w:rsid w:val="002B55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5FF"/>
    <w:rPr>
      <w:rFonts w:ascii="Calibri" w:eastAsia="Calibri" w:hAnsi="Calibri" w:cs="Calibri"/>
      <w:sz w:val="20"/>
      <w:szCs w:val="20"/>
      <w:lang w:val="en-GB" w:eastAsia="en-PH"/>
    </w:rPr>
  </w:style>
  <w:style w:type="character" w:styleId="FootnoteReference">
    <w:name w:val="footnote reference"/>
    <w:basedOn w:val="DefaultParagraphFont"/>
    <w:uiPriority w:val="99"/>
    <w:semiHidden/>
    <w:unhideWhenUsed/>
    <w:rsid w:val="002B55FF"/>
    <w:rPr>
      <w:vertAlign w:val="superscript"/>
    </w:rPr>
  </w:style>
  <w:style w:type="character" w:styleId="Hyperlink">
    <w:name w:val="Hyperlink"/>
    <w:basedOn w:val="DefaultParagraphFont"/>
    <w:uiPriority w:val="99"/>
    <w:unhideWhenUsed/>
    <w:rsid w:val="002B55FF"/>
    <w:rPr>
      <w:color w:val="0000FF"/>
      <w:u w:val="single"/>
    </w:rPr>
  </w:style>
  <w:style w:type="paragraph" w:styleId="NormalWeb">
    <w:name w:val="Normal (Web)"/>
    <w:basedOn w:val="Normal"/>
    <w:uiPriority w:val="99"/>
    <w:semiHidden/>
    <w:unhideWhenUsed/>
    <w:rsid w:val="00240B2D"/>
    <w:pPr>
      <w:spacing w:before="100" w:beforeAutospacing="1" w:after="100" w:afterAutospacing="1" w:line="240" w:lineRule="auto"/>
    </w:pPr>
    <w:rPr>
      <w:rFonts w:ascii="Times New Roman" w:eastAsia="Times New Roman" w:hAnsi="Times New Roman" w:cs="Times New Roman"/>
      <w:sz w:val="24"/>
      <w:szCs w:val="24"/>
      <w:lang w:val="en-PH"/>
    </w:rPr>
  </w:style>
  <w:style w:type="paragraph" w:customStyle="1" w:styleId="Default">
    <w:name w:val="Default"/>
    <w:rsid w:val="00D300D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61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87A"/>
    <w:rPr>
      <w:rFonts w:ascii="Tahoma" w:eastAsia="Calibri" w:hAnsi="Tahoma" w:cs="Tahoma"/>
      <w:sz w:val="16"/>
      <w:szCs w:val="16"/>
      <w:lang w:val="en-GB"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2116">
      <w:bodyDiv w:val="1"/>
      <w:marLeft w:val="0"/>
      <w:marRight w:val="0"/>
      <w:marTop w:val="0"/>
      <w:marBottom w:val="0"/>
      <w:divBdr>
        <w:top w:val="none" w:sz="0" w:space="0" w:color="auto"/>
        <w:left w:val="none" w:sz="0" w:space="0" w:color="auto"/>
        <w:bottom w:val="none" w:sz="0" w:space="0" w:color="auto"/>
        <w:right w:val="none" w:sz="0" w:space="0" w:color="auto"/>
      </w:divBdr>
    </w:div>
    <w:div w:id="274601838">
      <w:bodyDiv w:val="1"/>
      <w:marLeft w:val="0"/>
      <w:marRight w:val="0"/>
      <w:marTop w:val="0"/>
      <w:marBottom w:val="0"/>
      <w:divBdr>
        <w:top w:val="none" w:sz="0" w:space="0" w:color="auto"/>
        <w:left w:val="none" w:sz="0" w:space="0" w:color="auto"/>
        <w:bottom w:val="none" w:sz="0" w:space="0" w:color="auto"/>
        <w:right w:val="none" w:sz="0" w:space="0" w:color="auto"/>
      </w:divBdr>
    </w:div>
    <w:div w:id="766660283">
      <w:bodyDiv w:val="1"/>
      <w:marLeft w:val="0"/>
      <w:marRight w:val="0"/>
      <w:marTop w:val="0"/>
      <w:marBottom w:val="0"/>
      <w:divBdr>
        <w:top w:val="none" w:sz="0" w:space="0" w:color="auto"/>
        <w:left w:val="none" w:sz="0" w:space="0" w:color="auto"/>
        <w:bottom w:val="none" w:sz="0" w:space="0" w:color="auto"/>
        <w:right w:val="none" w:sz="0" w:space="0" w:color="auto"/>
      </w:divBdr>
    </w:div>
    <w:div w:id="1172259135">
      <w:bodyDiv w:val="1"/>
      <w:marLeft w:val="0"/>
      <w:marRight w:val="0"/>
      <w:marTop w:val="0"/>
      <w:marBottom w:val="0"/>
      <w:divBdr>
        <w:top w:val="none" w:sz="0" w:space="0" w:color="auto"/>
        <w:left w:val="none" w:sz="0" w:space="0" w:color="auto"/>
        <w:bottom w:val="none" w:sz="0" w:space="0" w:color="auto"/>
        <w:right w:val="none" w:sz="0" w:space="0" w:color="auto"/>
      </w:divBdr>
    </w:div>
    <w:div w:id="1539004880">
      <w:bodyDiv w:val="1"/>
      <w:marLeft w:val="0"/>
      <w:marRight w:val="0"/>
      <w:marTop w:val="0"/>
      <w:marBottom w:val="0"/>
      <w:divBdr>
        <w:top w:val="none" w:sz="0" w:space="0" w:color="auto"/>
        <w:left w:val="none" w:sz="0" w:space="0" w:color="auto"/>
        <w:bottom w:val="none" w:sz="0" w:space="0" w:color="auto"/>
        <w:right w:val="none" w:sz="0" w:space="0" w:color="auto"/>
      </w:divBdr>
    </w:div>
    <w:div w:id="1570070526">
      <w:bodyDiv w:val="1"/>
      <w:marLeft w:val="0"/>
      <w:marRight w:val="0"/>
      <w:marTop w:val="0"/>
      <w:marBottom w:val="0"/>
      <w:divBdr>
        <w:top w:val="none" w:sz="0" w:space="0" w:color="auto"/>
        <w:left w:val="none" w:sz="0" w:space="0" w:color="auto"/>
        <w:bottom w:val="none" w:sz="0" w:space="0" w:color="auto"/>
        <w:right w:val="none" w:sz="0" w:space="0" w:color="auto"/>
      </w:divBdr>
    </w:div>
    <w:div w:id="21229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ate.gov.ph/lisdata/2450621092!.pdf" TargetMode="External"/><Relationship Id="rId13" Type="http://schemas.openxmlformats.org/officeDocument/2006/relationships/hyperlink" Target="https://www.mtrcb.gov.ph/wp-content/uploads/2013/04/OPERATIONS-MANUAL.pdf" TargetMode="External"/><Relationship Id="rId3" Type="http://schemas.openxmlformats.org/officeDocument/2006/relationships/hyperlink" Target="https://www.ncda.gov.ph/disability-laws/proclamations/proclamation-no-361/" TargetMode="External"/><Relationship Id="rId7" Type="http://schemas.openxmlformats.org/officeDocument/2006/relationships/hyperlink" Target="http://hrlibrary.umn.edu/research/Philippines/RA%207277%20-%20Magna%20Carta%20of%20Disabled%20Persons.pdf" TargetMode="External"/><Relationship Id="rId12" Type="http://schemas.openxmlformats.org/officeDocument/2006/relationships/hyperlink" Target="https://www.kbp.org.ph/wp-content/uploads/2008/04/KBP_Broadcast_Code_2011.pdf" TargetMode="External"/><Relationship Id="rId2" Type="http://schemas.openxmlformats.org/officeDocument/2006/relationships/hyperlink" Target="https://www.ncda.gov.ph/disability-laws/proclamations/proclamation-1870/" TargetMode="External"/><Relationship Id="rId1" Type="http://schemas.openxmlformats.org/officeDocument/2006/relationships/hyperlink" Target="https://tbinternet.ohchr.org/_layouts/15/treatybodyexternal/Download.aspx?symbolno=CRPD%2fC%2fPHL%2f1&amp;Lang=en" TargetMode="External"/><Relationship Id="rId6" Type="http://schemas.openxmlformats.org/officeDocument/2006/relationships/hyperlink" Target="https://tbinternet.ohchr.org/Treaties/CRPD/Shared%20Documents/PHL/INT_CRPD_IFL_PHL_30094_E.docx" TargetMode="External"/><Relationship Id="rId11" Type="http://schemas.openxmlformats.org/officeDocument/2006/relationships/hyperlink" Target="https://asiafoundation.org/wp-content/uploads/2018/03/Getting-It-Right.-Reporing-on-Disability-in-the-Philippines.pdf" TargetMode="External"/><Relationship Id="rId5" Type="http://schemas.openxmlformats.org/officeDocument/2006/relationships/hyperlink" Target="https://www.slideshare.net/akkapppasig/2013-uncrpd-parallel-report-of-the-philippine-coalition" TargetMode="External"/><Relationship Id="rId10" Type="http://schemas.openxmlformats.org/officeDocument/2006/relationships/hyperlink" Target="https://www.facebook.com/pg/chrgovph/posts/?ref=page_internal" TargetMode="External"/><Relationship Id="rId4" Type="http://schemas.openxmlformats.org/officeDocument/2006/relationships/hyperlink" Target="https://tbinternet.ohchr.org/_layouts/15/treatybodyexternal/Download.aspx?symbolno=CRPD%2fC%2fPHL%2fQ%2f1%2fAdd.1&amp;Lang=en" TargetMode="External"/><Relationship Id="rId9" Type="http://schemas.openxmlformats.org/officeDocument/2006/relationships/hyperlink" Target="https://pinoyfilecabinet.files.wordpress.com/2014/07/chr-procedures-final_approved_8-31-2012.pdf" TargetMode="External"/><Relationship Id="rId14" Type="http://schemas.openxmlformats.org/officeDocument/2006/relationships/hyperlink" Target="http://www.officialgazette.gov.ph/2013/09/12/republic-act-no-10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7ED0CD4-57EA-4161-A2B0-E8B0DBBCE040}">
  <ds:schemaRefs>
    <ds:schemaRef ds:uri="http://schemas.microsoft.com/sharepoint/v3/contenttype/forms"/>
  </ds:schemaRefs>
</ds:datastoreItem>
</file>

<file path=customXml/itemProps2.xml><?xml version="1.0" encoding="utf-8"?>
<ds:datastoreItem xmlns:ds="http://schemas.openxmlformats.org/officeDocument/2006/customXml" ds:itemID="{5ADA788D-2F44-4BE5-B648-CDE12236BB7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B424381-09DF-4954-8816-7D76780594EA}"/>
</file>

<file path=customXml/itemProps4.xml><?xml version="1.0" encoding="utf-8"?>
<ds:datastoreItem xmlns:ds="http://schemas.openxmlformats.org/officeDocument/2006/customXml" ds:itemID="{3A06DFD1-AB4D-40E7-8D06-3D99E1DF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LEE Victoria</cp:lastModifiedBy>
  <cp:revision>2</cp:revision>
  <dcterms:created xsi:type="dcterms:W3CDTF">2019-07-23T08:15:00Z</dcterms:created>
  <dcterms:modified xsi:type="dcterms:W3CDTF">2019-07-23T08:15:00Z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