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bookmarkStart w:id="0" w:name="_GoBack"/>
      <w:bookmarkEnd w:id="0"/>
    </w:p>
    <w:p w:rsidR="00A932E5" w:rsidRPr="008F3664" w:rsidRDefault="00F426F2"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Pr="008F3664" w:rsidRDefault="000A2A4D" w:rsidP="008D3087">
            <w:pPr>
              <w:tabs>
                <w:tab w:val="left" w:pos="720"/>
              </w:tabs>
              <w:bidi/>
              <w:jc w:val="both"/>
              <w:rPr>
                <w:rFonts w:cs="Traditional Arabic"/>
                <w:sz w:val="20"/>
                <w:szCs w:val="30"/>
                <w:lang w:val="en-GB"/>
              </w:rPr>
            </w:pPr>
            <w:r>
              <w:rPr>
                <w:rFonts w:cs="Traditional Arabic" w:hint="cs"/>
                <w:sz w:val="20"/>
                <w:szCs w:val="30"/>
                <w:rtl/>
                <w:lang w:val="en-GB"/>
              </w:rPr>
              <w:t>عرض حالة على اللجنة المعنية بحقوق الأشخاص ذوي الإعاقة</w:t>
            </w:r>
          </w:p>
        </w:tc>
      </w:tr>
      <w:tr w:rsidR="00A932E5" w:rsidRPr="008F3664">
        <w:tc>
          <w:tcPr>
            <w:tcW w:w="1800" w:type="dxa"/>
          </w:tcPr>
          <w:p w:rsidR="00A932E5" w:rsidRPr="008F3664" w:rsidRDefault="00A932E5" w:rsidP="001A0234">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0A2A4D"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hint="cs"/>
                <w:b w:val="0"/>
                <w:bCs w:val="0"/>
                <w:sz w:val="20"/>
                <w:szCs w:val="30"/>
                <w:rtl/>
              </w:rPr>
              <w:t>45 دقيقة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0A2A4D" w:rsidP="001A0234">
            <w:pPr>
              <w:bidi/>
              <w:jc w:val="both"/>
              <w:rPr>
                <w:rFonts w:cs="Traditional Arabic"/>
                <w:sz w:val="20"/>
                <w:szCs w:val="30"/>
                <w:lang w:val="en-GB" w:eastAsia="en-GB"/>
              </w:rPr>
            </w:pPr>
            <w:r>
              <w:rPr>
                <w:rFonts w:cs="Traditional Arabic" w:hint="cs"/>
                <w:sz w:val="20"/>
                <w:szCs w:val="30"/>
                <w:rtl/>
                <w:lang w:val="en-GB" w:eastAsia="en-GB"/>
              </w:rPr>
              <w:t>غرفتان فرعيتان</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8D3087" w:rsidRPr="00A02AF2" w:rsidRDefault="000A2A4D" w:rsidP="009D217E">
            <w:pPr>
              <w:bidi/>
              <w:jc w:val="both"/>
              <w:rPr>
                <w:rFonts w:cs="Traditional Arabic"/>
                <w:b/>
                <w:sz w:val="20"/>
                <w:szCs w:val="30"/>
                <w:lang w:val="en-GB"/>
              </w:rPr>
            </w:pPr>
            <w:r>
              <w:rPr>
                <w:rFonts w:cs="Traditional Arabic" w:hint="cs"/>
                <w:b/>
                <w:sz w:val="20"/>
                <w:szCs w:val="30"/>
                <w:rtl/>
                <w:lang w:val="en-GB"/>
              </w:rPr>
              <w:t xml:space="preserve">لوحتان متتاليتا الصفحات وأقلام </w:t>
            </w:r>
            <w:r w:rsidR="009D217E">
              <w:rPr>
                <w:rFonts w:cs="Traditional Arabic" w:hint="cs"/>
                <w:b/>
                <w:sz w:val="20"/>
                <w:szCs w:val="30"/>
                <w:rtl/>
                <w:lang w:val="en-GB"/>
              </w:rPr>
              <w:t>خطاطة (ماركر)</w:t>
            </w:r>
          </w:p>
          <w:p w:rsidR="00A932E5" w:rsidRPr="000A2A4D" w:rsidRDefault="00A932E5" w:rsidP="009332EF">
            <w:pPr>
              <w:bidi/>
              <w:jc w:val="both"/>
              <w:rPr>
                <w:rFonts w:cs="Traditional Arabic"/>
                <w:b/>
                <w:sz w:val="20"/>
                <w:szCs w:val="30"/>
                <w:lang w:val="en-GB"/>
              </w:rPr>
            </w:pPr>
          </w:p>
        </w:tc>
      </w:tr>
    </w:tbl>
    <w:p w:rsidR="009A21DA" w:rsidRDefault="009A21DA" w:rsidP="00C95BC7">
      <w:pPr>
        <w:tabs>
          <w:tab w:val="left" w:pos="720"/>
        </w:tabs>
        <w:bidi/>
        <w:jc w:val="both"/>
        <w:rPr>
          <w:rFonts w:cs="Traditional Arabic"/>
          <w:b/>
          <w:bCs/>
          <w:color w:val="4F81BD"/>
          <w:sz w:val="20"/>
          <w:szCs w:val="30"/>
          <w:u w:val="single"/>
          <w:rtl/>
        </w:rPr>
      </w:pPr>
    </w:p>
    <w:p w:rsidR="00C95BC7" w:rsidRDefault="008D3087" w:rsidP="009A21DA">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هدف النشاط</w:t>
      </w:r>
    </w:p>
    <w:p w:rsidR="00C95BC7" w:rsidRDefault="000A2A4D" w:rsidP="00C95BC7">
      <w:pPr>
        <w:tabs>
          <w:tab w:val="left" w:pos="720"/>
        </w:tabs>
        <w:bidi/>
        <w:jc w:val="both"/>
        <w:rPr>
          <w:rFonts w:cs="Traditional Arabic"/>
          <w:sz w:val="20"/>
          <w:szCs w:val="30"/>
          <w:rtl/>
          <w:lang w:val="en-GB"/>
        </w:rPr>
      </w:pPr>
      <w:r>
        <w:rPr>
          <w:rFonts w:cs="Traditional Arabic" w:hint="cs"/>
          <w:sz w:val="20"/>
          <w:szCs w:val="30"/>
          <w:rtl/>
          <w:lang w:val="en-GB"/>
        </w:rPr>
        <w:t>زيادة المعرفة باستخدام البروتوكول الاختياري لاتفاقية حقوق الأشخاص ذوي الإعاقة، بما في ذلك معايير القبول والمسائل المتصلة بموضوع الحالة.</w:t>
      </w:r>
    </w:p>
    <w:p w:rsidR="009A21DA" w:rsidRDefault="009A21DA" w:rsidP="009A21DA">
      <w:pPr>
        <w:tabs>
          <w:tab w:val="left" w:pos="720"/>
        </w:tabs>
        <w:bidi/>
        <w:jc w:val="both"/>
        <w:rPr>
          <w:rFonts w:cs="Traditional Arabic"/>
          <w:sz w:val="20"/>
          <w:szCs w:val="30"/>
          <w:rtl/>
          <w:lang w:val="en-GB"/>
        </w:rPr>
      </w:pPr>
    </w:p>
    <w:p w:rsidR="009A21DA" w:rsidRPr="009A21DA" w:rsidRDefault="009A21DA" w:rsidP="009A21DA">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الدينامية</w:t>
      </w:r>
    </w:p>
    <w:p w:rsidR="008D3087" w:rsidRDefault="000A2A4D" w:rsidP="000A2A4D">
      <w:pPr>
        <w:tabs>
          <w:tab w:val="left" w:pos="720"/>
        </w:tabs>
        <w:bidi/>
        <w:spacing w:after="120"/>
        <w:jc w:val="both"/>
        <w:rPr>
          <w:rFonts w:cs="Traditional Arabic"/>
          <w:sz w:val="20"/>
          <w:szCs w:val="30"/>
          <w:rtl/>
        </w:rPr>
      </w:pPr>
      <w:r>
        <w:rPr>
          <w:rFonts w:cs="Traditional Arabic" w:hint="cs"/>
          <w:sz w:val="20"/>
          <w:szCs w:val="30"/>
          <w:rtl/>
          <w:lang w:val="en-GB"/>
        </w:rPr>
        <w:t>يعطي الميسِّر التعليمات لجميع المشاركين (3-5 دقائق).</w:t>
      </w:r>
    </w:p>
    <w:p w:rsidR="009D217E" w:rsidRDefault="000A2A4D" w:rsidP="000A2A4D">
      <w:pPr>
        <w:tabs>
          <w:tab w:val="left" w:pos="720"/>
        </w:tabs>
        <w:bidi/>
        <w:spacing w:after="120"/>
        <w:jc w:val="both"/>
        <w:rPr>
          <w:rFonts w:cs="Traditional Arabic"/>
          <w:sz w:val="20"/>
          <w:szCs w:val="30"/>
          <w:rtl/>
        </w:rPr>
      </w:pPr>
      <w:r>
        <w:rPr>
          <w:rFonts w:cs="Traditional Arabic" w:hint="cs"/>
          <w:sz w:val="20"/>
          <w:szCs w:val="30"/>
          <w:rtl/>
        </w:rPr>
        <w:t>تناقش كل مجموعة فرعية هذا التمرين (30 دقيقة)</w:t>
      </w:r>
    </w:p>
    <w:p w:rsidR="00CF77BA" w:rsidRDefault="000A2A4D" w:rsidP="009D217E">
      <w:pPr>
        <w:tabs>
          <w:tab w:val="left" w:pos="720"/>
        </w:tabs>
        <w:bidi/>
        <w:spacing w:after="120"/>
        <w:jc w:val="both"/>
        <w:rPr>
          <w:rFonts w:cs="Traditional Arabic"/>
          <w:sz w:val="20"/>
          <w:szCs w:val="30"/>
          <w:rtl/>
        </w:rPr>
      </w:pPr>
      <w:r>
        <w:rPr>
          <w:rFonts w:cs="Traditional Arabic" w:hint="cs"/>
          <w:sz w:val="20"/>
          <w:szCs w:val="30"/>
          <w:rtl/>
        </w:rPr>
        <w:t xml:space="preserve"> يقوم مقرِّر واحد عن كل مجموعة بعرض الاستنتاجات في جلسة عامة (5 دقائق لكل منهما </w:t>
      </w:r>
      <w:r>
        <w:rPr>
          <w:rFonts w:cs="Traditional Arabic"/>
          <w:sz w:val="20"/>
          <w:szCs w:val="30"/>
          <w:rtl/>
        </w:rPr>
        <w:t>–</w:t>
      </w:r>
      <w:r>
        <w:rPr>
          <w:rFonts w:cs="Traditional Arabic" w:hint="cs"/>
          <w:sz w:val="20"/>
          <w:szCs w:val="30"/>
          <w:rtl/>
        </w:rPr>
        <w:t xml:space="preserve"> أي</w:t>
      </w:r>
      <w:r w:rsidR="009D217E">
        <w:rPr>
          <w:rFonts w:cs="Traditional Arabic" w:hint="cs"/>
          <w:sz w:val="20"/>
          <w:szCs w:val="30"/>
          <w:rtl/>
        </w:rPr>
        <w:t xml:space="preserve"> ما مجموعه</w:t>
      </w:r>
      <w:r>
        <w:rPr>
          <w:rFonts w:cs="Traditional Arabic" w:hint="cs"/>
          <w:sz w:val="20"/>
          <w:szCs w:val="30"/>
          <w:rtl/>
        </w:rPr>
        <w:t xml:space="preserve"> 10 دقائق).</w:t>
      </w:r>
    </w:p>
    <w:p w:rsidR="000A2A4D" w:rsidRPr="000A2A4D" w:rsidRDefault="000A2A4D" w:rsidP="000A2A4D">
      <w:pPr>
        <w:tabs>
          <w:tab w:val="left" w:pos="720"/>
        </w:tabs>
        <w:bidi/>
        <w:jc w:val="both"/>
        <w:rPr>
          <w:rFonts w:cs="Traditional Arabic"/>
          <w:b/>
          <w:bCs/>
          <w:color w:val="4F81BD"/>
          <w:sz w:val="20"/>
          <w:szCs w:val="30"/>
          <w:u w:val="single"/>
          <w:rtl/>
        </w:rPr>
      </w:pPr>
      <w:r w:rsidRPr="000A2A4D">
        <w:rPr>
          <w:rFonts w:cs="Traditional Arabic" w:hint="cs"/>
          <w:b/>
          <w:bCs/>
          <w:color w:val="4F81BD"/>
          <w:sz w:val="20"/>
          <w:szCs w:val="30"/>
          <w:u w:val="single"/>
          <w:rtl/>
        </w:rPr>
        <w:t xml:space="preserve">المهمة </w:t>
      </w:r>
    </w:p>
    <w:p w:rsidR="000A2A4D" w:rsidRDefault="000A2A4D" w:rsidP="009D217E">
      <w:pPr>
        <w:tabs>
          <w:tab w:val="left" w:pos="720"/>
        </w:tabs>
        <w:bidi/>
        <w:spacing w:after="120"/>
        <w:jc w:val="both"/>
        <w:rPr>
          <w:rFonts w:cs="Traditional Arabic"/>
          <w:sz w:val="20"/>
          <w:szCs w:val="30"/>
          <w:rtl/>
        </w:rPr>
      </w:pPr>
      <w:r>
        <w:rPr>
          <w:rFonts w:cs="Traditional Arabic" w:hint="cs"/>
          <w:sz w:val="20"/>
          <w:szCs w:val="30"/>
          <w:rtl/>
        </w:rPr>
        <w:t xml:space="preserve">يتم تقسيم المشاركين إلى مجموعتين: إحداهما تُمثل منظمات الأشخاص ذوي الإعاقة وتمثل الأخرى الحكومة. مناقشة الحالة المعروضة أدناه في المجموعتين والتصدي للمسائل المعيَّنة، سواء كنت </w:t>
      </w:r>
      <w:r w:rsidR="009D217E">
        <w:rPr>
          <w:rFonts w:cs="Traditional Arabic" w:hint="cs"/>
          <w:sz w:val="20"/>
          <w:szCs w:val="30"/>
          <w:rtl/>
        </w:rPr>
        <w:t>تُمثِّل</w:t>
      </w:r>
      <w:r>
        <w:rPr>
          <w:rFonts w:cs="Traditional Arabic" w:hint="cs"/>
          <w:sz w:val="20"/>
          <w:szCs w:val="30"/>
          <w:rtl/>
        </w:rPr>
        <w:t xml:space="preserve"> منظمة الأشخاص ذوي الإعاقة أو </w:t>
      </w:r>
      <w:r w:rsidR="009D217E">
        <w:rPr>
          <w:rFonts w:cs="Traditional Arabic" w:hint="cs"/>
          <w:sz w:val="20"/>
          <w:szCs w:val="30"/>
          <w:rtl/>
        </w:rPr>
        <w:t>تُمثِّل</w:t>
      </w:r>
      <w:r>
        <w:rPr>
          <w:rFonts w:cs="Traditional Arabic" w:hint="cs"/>
          <w:sz w:val="20"/>
          <w:szCs w:val="30"/>
          <w:rtl/>
        </w:rPr>
        <w:t xml:space="preserve"> الحكومة.</w:t>
      </w:r>
    </w:p>
    <w:p w:rsidR="000A2A4D" w:rsidRDefault="000A2A4D" w:rsidP="009D217E">
      <w:pPr>
        <w:tabs>
          <w:tab w:val="left" w:pos="720"/>
        </w:tabs>
        <w:bidi/>
        <w:spacing w:after="120"/>
        <w:jc w:val="both"/>
        <w:rPr>
          <w:rFonts w:cs="Traditional Arabic"/>
          <w:sz w:val="20"/>
          <w:szCs w:val="30"/>
          <w:rtl/>
        </w:rPr>
      </w:pPr>
      <w:r>
        <w:rPr>
          <w:rFonts w:cs="Traditional Arabic" w:hint="cs"/>
          <w:sz w:val="20"/>
          <w:szCs w:val="30"/>
          <w:rtl/>
        </w:rPr>
        <w:t xml:space="preserve">"سوفانا" هي مديرة المحل في نشاط تجاري تملكه إحدى الأسر في العاصمة. </w:t>
      </w:r>
      <w:r w:rsidR="00C85AF5">
        <w:rPr>
          <w:rFonts w:cs="Traditional Arabic" w:hint="cs"/>
          <w:sz w:val="20"/>
          <w:szCs w:val="30"/>
          <w:rtl/>
        </w:rPr>
        <w:t>و</w:t>
      </w:r>
      <w:r>
        <w:rPr>
          <w:rFonts w:cs="Traditional Arabic" w:hint="cs"/>
          <w:sz w:val="20"/>
          <w:szCs w:val="30"/>
          <w:rtl/>
        </w:rPr>
        <w:t xml:space="preserve">هي تسافر إلى بلدتها بسيارتها وأصيبت في حادث سيارة </w:t>
      </w:r>
      <w:r w:rsidR="009D217E">
        <w:rPr>
          <w:rFonts w:cs="Traditional Arabic" w:hint="cs"/>
          <w:sz w:val="20"/>
          <w:szCs w:val="30"/>
          <w:rtl/>
        </w:rPr>
        <w:t>أصبحت بعده</w:t>
      </w:r>
      <w:r>
        <w:rPr>
          <w:rFonts w:cs="Traditional Arabic" w:hint="cs"/>
          <w:sz w:val="20"/>
          <w:szCs w:val="30"/>
          <w:rtl/>
        </w:rPr>
        <w:t xml:space="preserve"> مصابة </w:t>
      </w:r>
      <w:r w:rsidR="009D217E">
        <w:rPr>
          <w:rFonts w:cs="Traditional Arabic" w:hint="cs"/>
          <w:sz w:val="20"/>
          <w:szCs w:val="30"/>
          <w:rtl/>
        </w:rPr>
        <w:t>بالشلل في</w:t>
      </w:r>
      <w:r>
        <w:rPr>
          <w:rFonts w:cs="Traditional Arabic" w:hint="cs"/>
          <w:sz w:val="20"/>
          <w:szCs w:val="30"/>
          <w:rtl/>
        </w:rPr>
        <w:t xml:space="preserve"> نصفها الأسفل. وهي الآن قعيدة </w:t>
      </w:r>
      <w:r w:rsidR="009D217E">
        <w:rPr>
          <w:rFonts w:cs="Traditional Arabic" w:hint="cs"/>
          <w:sz w:val="20"/>
          <w:szCs w:val="30"/>
          <w:rtl/>
        </w:rPr>
        <w:t xml:space="preserve">في </w:t>
      </w:r>
      <w:r>
        <w:rPr>
          <w:rFonts w:cs="Traditional Arabic" w:hint="cs"/>
          <w:sz w:val="20"/>
          <w:szCs w:val="30"/>
          <w:rtl/>
        </w:rPr>
        <w:t>كرسي متحرك، ولكنها مستعدة للعودة للعمل في المحل.</w:t>
      </w:r>
    </w:p>
    <w:p w:rsidR="000A2A4D" w:rsidRDefault="000A2A4D" w:rsidP="00C85AF5">
      <w:pPr>
        <w:tabs>
          <w:tab w:val="left" w:pos="720"/>
        </w:tabs>
        <w:bidi/>
        <w:spacing w:after="120"/>
        <w:jc w:val="both"/>
        <w:rPr>
          <w:rFonts w:cs="Traditional Arabic"/>
          <w:sz w:val="20"/>
          <w:szCs w:val="30"/>
          <w:rtl/>
        </w:rPr>
      </w:pPr>
      <w:r>
        <w:rPr>
          <w:rFonts w:cs="Traditional Arabic" w:hint="cs"/>
          <w:sz w:val="20"/>
          <w:szCs w:val="30"/>
          <w:rtl/>
        </w:rPr>
        <w:t xml:space="preserve">وليس من السهل عليها الوصول إلى المحل الذي تعمل فيه، لوجود سلالم كبيرة في المدخل، ولعدم وجود دورة مياه يسهل الدخول إليها بالكرسي المتحرك، كما أن المنضدة مرتفعة أكثر من اللازم. وهي تكتب إلى أصحاب المحل وتطلب العودة إلى العمل، ولكنهم يرفضون قائلين </w:t>
      </w:r>
      <w:r w:rsidR="00C85AF5">
        <w:rPr>
          <w:rFonts w:cs="Traditional Arabic" w:hint="cs"/>
          <w:sz w:val="20"/>
          <w:szCs w:val="30"/>
          <w:rtl/>
        </w:rPr>
        <w:t>إ</w:t>
      </w:r>
      <w:r>
        <w:rPr>
          <w:rFonts w:cs="Traditional Arabic" w:hint="cs"/>
          <w:sz w:val="20"/>
          <w:szCs w:val="30"/>
          <w:rtl/>
        </w:rPr>
        <w:t>نها لم تعد تستطيع القيام بعملها. ولا يقدمون أي أسباب لهذا ال</w:t>
      </w:r>
      <w:r w:rsidR="002455FC">
        <w:rPr>
          <w:rFonts w:cs="Traditional Arabic" w:hint="cs"/>
          <w:sz w:val="20"/>
          <w:szCs w:val="30"/>
          <w:rtl/>
        </w:rPr>
        <w:t>زعم.</w:t>
      </w:r>
    </w:p>
    <w:p w:rsidR="002455FC" w:rsidRDefault="002455FC" w:rsidP="009D217E">
      <w:pPr>
        <w:tabs>
          <w:tab w:val="left" w:pos="720"/>
        </w:tabs>
        <w:bidi/>
        <w:spacing w:after="120"/>
        <w:jc w:val="both"/>
        <w:rPr>
          <w:rFonts w:cs="Traditional Arabic"/>
          <w:sz w:val="20"/>
          <w:szCs w:val="30"/>
          <w:rtl/>
        </w:rPr>
      </w:pPr>
      <w:r>
        <w:rPr>
          <w:rFonts w:cs="Traditional Arabic" w:hint="cs"/>
          <w:sz w:val="20"/>
          <w:szCs w:val="30"/>
          <w:rtl/>
        </w:rPr>
        <w:t>و</w:t>
      </w:r>
      <w:r w:rsidR="009D217E">
        <w:rPr>
          <w:rFonts w:cs="Traditional Arabic" w:hint="cs"/>
          <w:sz w:val="20"/>
          <w:szCs w:val="30"/>
          <w:rtl/>
        </w:rPr>
        <w:t>تأتي</w:t>
      </w:r>
      <w:r>
        <w:rPr>
          <w:rFonts w:cs="Traditional Arabic" w:hint="cs"/>
          <w:sz w:val="20"/>
          <w:szCs w:val="30"/>
          <w:rtl/>
        </w:rPr>
        <w:t xml:space="preserve"> سوفانا </w:t>
      </w:r>
      <w:r w:rsidR="009D217E">
        <w:rPr>
          <w:rFonts w:cs="Traditional Arabic" w:hint="cs"/>
          <w:sz w:val="20"/>
          <w:szCs w:val="30"/>
          <w:rtl/>
        </w:rPr>
        <w:t>لتشكو إليك</w:t>
      </w:r>
      <w:r>
        <w:rPr>
          <w:rFonts w:cs="Traditional Arabic" w:hint="cs"/>
          <w:sz w:val="20"/>
          <w:szCs w:val="30"/>
          <w:rtl/>
        </w:rPr>
        <w:t>، لأنها تعرف أن منظمتك غير الحكومية يديرها أشخاص من ذوي الإعاقة وهي تثق بهم. وهي تريد أن تفعل شي</w:t>
      </w:r>
      <w:r w:rsidR="009D217E">
        <w:rPr>
          <w:rFonts w:cs="Traditional Arabic" w:hint="cs"/>
          <w:sz w:val="20"/>
          <w:szCs w:val="30"/>
          <w:rtl/>
        </w:rPr>
        <w:t>ئاً</w:t>
      </w:r>
      <w:r>
        <w:rPr>
          <w:rFonts w:cs="Traditional Arabic" w:hint="cs"/>
          <w:sz w:val="20"/>
          <w:szCs w:val="30"/>
          <w:rtl/>
        </w:rPr>
        <w:t xml:space="preserve"> ما، ولكنها لا تعرف ماذا تفعل. </w:t>
      </w:r>
    </w:p>
    <w:p w:rsidR="002455FC" w:rsidRDefault="00757D6F" w:rsidP="00F755E1">
      <w:pPr>
        <w:tabs>
          <w:tab w:val="left" w:pos="720"/>
        </w:tabs>
        <w:bidi/>
        <w:spacing w:after="120"/>
        <w:jc w:val="both"/>
        <w:rPr>
          <w:rFonts w:cs="Traditional Arabic"/>
          <w:sz w:val="20"/>
          <w:szCs w:val="30"/>
          <w:rtl/>
        </w:rPr>
      </w:pPr>
      <w:r>
        <w:rPr>
          <w:rFonts w:cs="Traditional Arabic" w:hint="cs"/>
          <w:sz w:val="20"/>
          <w:szCs w:val="30"/>
          <w:rtl/>
        </w:rPr>
        <w:lastRenderedPageBreak/>
        <w:t>أنت تتكلم مع صاح</w:t>
      </w:r>
      <w:r w:rsidR="00F755E1">
        <w:rPr>
          <w:rFonts w:cs="Traditional Arabic" w:hint="cs"/>
          <w:sz w:val="20"/>
          <w:szCs w:val="30"/>
          <w:rtl/>
        </w:rPr>
        <w:t>ب</w:t>
      </w:r>
      <w:r>
        <w:rPr>
          <w:rFonts w:cs="Traditional Arabic" w:hint="cs"/>
          <w:sz w:val="20"/>
          <w:szCs w:val="30"/>
          <w:rtl/>
        </w:rPr>
        <w:t xml:space="preserve"> المحل، وهم يقولون إن طلبات سوفانا مكلِّفة للغاية ويصعب الوفاء بها، وعلى أي حال كان من المرجح أنها ستترك عملها لتبدأ تكوين أسرة قريباً، لأنها </w:t>
      </w:r>
      <w:r w:rsidR="00F755E1">
        <w:rPr>
          <w:rFonts w:cs="Traditional Arabic" w:hint="cs"/>
          <w:sz w:val="20"/>
          <w:szCs w:val="30"/>
          <w:rtl/>
        </w:rPr>
        <w:t>تزوجت مؤخراً</w:t>
      </w:r>
      <w:r>
        <w:rPr>
          <w:rFonts w:cs="Traditional Arabic" w:hint="cs"/>
          <w:sz w:val="20"/>
          <w:szCs w:val="30"/>
          <w:rtl/>
        </w:rPr>
        <w:t xml:space="preserve">. ويقولون إنهم لا يتحملون أي مسؤولية بموجب العقد لإعادتها إلى العمل. وأنت تتكلم أيضاً مع أحد الموظفين العموميين في وزارة العمل ويخبرك بأن هذه المسألة هي مسألة خاصة/تعاقدية ولا ينبغي للدولة أن تدخل فيها. ويلاحظ أنه لا يوجد أي شيء في القانون يفرض على صاحب المحل أن يعيدها إلى العمل. ويلاحظ أيضاً أن سوفانا ليست مواطنة ولذلك فإنها لا </w:t>
      </w:r>
      <w:r w:rsidR="00F755E1">
        <w:rPr>
          <w:rFonts w:cs="Traditional Arabic" w:hint="cs"/>
          <w:sz w:val="20"/>
          <w:szCs w:val="30"/>
          <w:rtl/>
        </w:rPr>
        <w:t>تندرج</w:t>
      </w:r>
      <w:r>
        <w:rPr>
          <w:rFonts w:cs="Traditional Arabic" w:hint="cs"/>
          <w:sz w:val="20"/>
          <w:szCs w:val="30"/>
          <w:rtl/>
        </w:rPr>
        <w:t xml:space="preserve"> </w:t>
      </w:r>
      <w:r w:rsidR="00F755E1">
        <w:rPr>
          <w:rFonts w:cs="Traditional Arabic" w:hint="cs"/>
          <w:sz w:val="20"/>
          <w:szCs w:val="30"/>
          <w:rtl/>
        </w:rPr>
        <w:t>تحت كنف</w:t>
      </w:r>
      <w:r>
        <w:rPr>
          <w:rFonts w:cs="Traditional Arabic" w:hint="cs"/>
          <w:sz w:val="20"/>
          <w:szCs w:val="30"/>
          <w:rtl/>
        </w:rPr>
        <w:t xml:space="preserve"> مسؤولية الحكومة. وتوضح سوفانا أن هذا صحيح، ولكنها مقيمة بصورة قانونية وقد عاشت في البلد لمدة 15 سنة.</w:t>
      </w:r>
    </w:p>
    <w:p w:rsidR="00757D6F" w:rsidRDefault="00757D6F" w:rsidP="00E75029">
      <w:pPr>
        <w:tabs>
          <w:tab w:val="left" w:pos="720"/>
        </w:tabs>
        <w:bidi/>
        <w:spacing w:after="120"/>
        <w:jc w:val="both"/>
        <w:rPr>
          <w:rFonts w:cs="Traditional Arabic"/>
          <w:sz w:val="20"/>
          <w:szCs w:val="30"/>
          <w:rtl/>
        </w:rPr>
      </w:pPr>
      <w:r>
        <w:rPr>
          <w:rFonts w:cs="Traditional Arabic" w:hint="cs"/>
          <w:sz w:val="20"/>
          <w:szCs w:val="30"/>
          <w:rtl/>
        </w:rPr>
        <w:t>وتقرِّر سوفانا أن ترفع دعوى في محكمة المقاطعة. وقد صدر الحكم لصالحها ولكن صاحب المحل يستأنف ضد الحكم ويكسب القضية. ولم تقدِّم أيٍ من المحكمتين أسباباً تفصيلية لحكمها. وهنا</w:t>
      </w:r>
      <w:r w:rsidR="00F755E1">
        <w:rPr>
          <w:rFonts w:cs="Traditional Arabic" w:hint="cs"/>
          <w:sz w:val="20"/>
          <w:szCs w:val="30"/>
          <w:rtl/>
        </w:rPr>
        <w:t>ك</w:t>
      </w:r>
      <w:r>
        <w:rPr>
          <w:rFonts w:cs="Traditional Arabic" w:hint="cs"/>
          <w:sz w:val="20"/>
          <w:szCs w:val="30"/>
          <w:rtl/>
        </w:rPr>
        <w:t xml:space="preserve"> قضايا متأخرة كثيرة أمام المحكمة الدستورية كما أن هناك جدالاً بشأن التعيينات الأخيرة في المحكمة حيث جاء جميع القضاة من شمال شرق البلد، المتحالف م</w:t>
      </w:r>
      <w:r w:rsidR="00E75029">
        <w:rPr>
          <w:rFonts w:cs="Traditional Arabic" w:hint="cs"/>
          <w:sz w:val="20"/>
          <w:szCs w:val="30"/>
          <w:rtl/>
        </w:rPr>
        <w:t>ع</w:t>
      </w:r>
      <w:r>
        <w:rPr>
          <w:rFonts w:cs="Traditional Arabic" w:hint="cs"/>
          <w:sz w:val="20"/>
          <w:szCs w:val="30"/>
          <w:rtl/>
        </w:rPr>
        <w:t xml:space="preserve"> الرئيس الحالي. وتعتقد سوفانا أنه من غير المجدي متابعة الإجراءات القانونية أبعد من ذلك. </w:t>
      </w:r>
    </w:p>
    <w:p w:rsidR="00757D6F" w:rsidRDefault="00CA075C" w:rsidP="00E75029">
      <w:pPr>
        <w:tabs>
          <w:tab w:val="left" w:pos="720"/>
        </w:tabs>
        <w:bidi/>
        <w:spacing w:after="120"/>
        <w:jc w:val="both"/>
        <w:rPr>
          <w:rFonts w:cs="Traditional Arabic"/>
          <w:sz w:val="20"/>
          <w:szCs w:val="30"/>
          <w:rtl/>
        </w:rPr>
      </w:pPr>
      <w:r>
        <w:rPr>
          <w:rFonts w:cs="Traditional Arabic" w:hint="cs"/>
          <w:sz w:val="20"/>
          <w:szCs w:val="30"/>
          <w:rtl/>
        </w:rPr>
        <w:t xml:space="preserve">وأنت تقرِّر أن تكتب إلى اللجنة المعنية بحقوق الأشخاص ذوي الإعاقة. وكانت الحكومة قد صدَّقت </w:t>
      </w:r>
      <w:r w:rsidR="00E75029">
        <w:rPr>
          <w:rFonts w:cs="Traditional Arabic" w:hint="cs"/>
          <w:sz w:val="20"/>
          <w:szCs w:val="30"/>
          <w:rtl/>
        </w:rPr>
        <w:t>منذ عهد قريب</w:t>
      </w:r>
      <w:r>
        <w:rPr>
          <w:rFonts w:cs="Traditional Arabic" w:hint="cs"/>
          <w:sz w:val="20"/>
          <w:szCs w:val="30"/>
          <w:rtl/>
        </w:rPr>
        <w:t xml:space="preserve"> على البروتوكول الاختياري وأنت مهتم باستخدام ذلك كحالة اختبارية يمكن الرجوع إليها.</w:t>
      </w:r>
    </w:p>
    <w:p w:rsidR="008D3087" w:rsidRPr="00CA075C" w:rsidRDefault="00CA075C" w:rsidP="008D3087">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ممثل منظمة الأشخاص ذوي الإعاقة:</w:t>
      </w:r>
    </w:p>
    <w:p w:rsidR="00CA075C" w:rsidRDefault="00E75029" w:rsidP="00E75029">
      <w:pPr>
        <w:pStyle w:val="ListParagraph"/>
        <w:numPr>
          <w:ilvl w:val="0"/>
          <w:numId w:val="18"/>
        </w:numPr>
        <w:tabs>
          <w:tab w:val="left" w:pos="720"/>
        </w:tabs>
        <w:bidi/>
        <w:jc w:val="both"/>
        <w:rPr>
          <w:rFonts w:cs="Traditional Arabic"/>
          <w:sz w:val="20"/>
          <w:szCs w:val="30"/>
          <w:lang w:val="en-GB"/>
        </w:rPr>
      </w:pPr>
      <w:r>
        <w:rPr>
          <w:rFonts w:cs="Traditional Arabic" w:hint="cs"/>
          <w:sz w:val="20"/>
          <w:szCs w:val="30"/>
          <w:rtl/>
          <w:lang w:val="en-GB"/>
        </w:rPr>
        <w:t xml:space="preserve">الاسترشاد </w:t>
      </w:r>
      <w:r w:rsidR="00CA075C">
        <w:rPr>
          <w:rFonts w:cs="Traditional Arabic" w:hint="cs"/>
          <w:sz w:val="20"/>
          <w:szCs w:val="30"/>
          <w:rtl/>
          <w:lang w:val="en-GB"/>
        </w:rPr>
        <w:t>بالقانون الدولي المتصل بالموضوع وبناء حجج قانونية على أساس الاتفاقية/القانون الدولي لدعم القضية</w:t>
      </w:r>
    </w:p>
    <w:p w:rsidR="00CA075C" w:rsidRDefault="00CA075C" w:rsidP="00CA075C">
      <w:pPr>
        <w:pStyle w:val="ListParagraph"/>
        <w:numPr>
          <w:ilvl w:val="0"/>
          <w:numId w:val="18"/>
        </w:numPr>
        <w:tabs>
          <w:tab w:val="left" w:pos="720"/>
        </w:tabs>
        <w:bidi/>
        <w:jc w:val="both"/>
        <w:rPr>
          <w:rFonts w:cs="Traditional Arabic"/>
          <w:sz w:val="20"/>
          <w:szCs w:val="30"/>
          <w:lang w:val="en-GB"/>
        </w:rPr>
      </w:pPr>
      <w:r>
        <w:rPr>
          <w:rFonts w:cs="Traditional Arabic" w:hint="cs"/>
          <w:sz w:val="20"/>
          <w:szCs w:val="30"/>
          <w:rtl/>
          <w:lang w:val="en-GB"/>
        </w:rPr>
        <w:t>صياغة موقف دعوي بشأن الإجراءات التي ينبغي أن تتخذها السلطات.</w:t>
      </w:r>
    </w:p>
    <w:p w:rsidR="00CA075C" w:rsidRPr="00CA075C" w:rsidRDefault="00CA075C" w:rsidP="00CA075C">
      <w:pPr>
        <w:pStyle w:val="ListParagraph"/>
        <w:numPr>
          <w:ilvl w:val="0"/>
          <w:numId w:val="18"/>
        </w:numPr>
        <w:tabs>
          <w:tab w:val="left" w:pos="720"/>
        </w:tabs>
        <w:bidi/>
        <w:jc w:val="both"/>
        <w:rPr>
          <w:rFonts w:cs="Traditional Arabic"/>
          <w:sz w:val="20"/>
          <w:szCs w:val="30"/>
          <w:rtl/>
          <w:lang w:val="en-GB"/>
        </w:rPr>
      </w:pPr>
      <w:r>
        <w:rPr>
          <w:rFonts w:cs="Traditional Arabic" w:hint="cs"/>
          <w:sz w:val="20"/>
          <w:szCs w:val="30"/>
          <w:rtl/>
          <w:lang w:val="en-GB"/>
        </w:rPr>
        <w:t>تعيين الاستراتيجيات البديلة لعرض الحالة على اللجنة</w:t>
      </w:r>
    </w:p>
    <w:p w:rsidR="00CA075C" w:rsidRDefault="00CA075C" w:rsidP="00CA075C">
      <w:pPr>
        <w:tabs>
          <w:tab w:val="left" w:pos="720"/>
        </w:tabs>
        <w:bidi/>
        <w:jc w:val="both"/>
        <w:rPr>
          <w:rFonts w:cs="Traditional Arabic"/>
          <w:sz w:val="20"/>
          <w:szCs w:val="30"/>
          <w:rtl/>
          <w:lang w:val="en-GB"/>
        </w:rPr>
      </w:pPr>
    </w:p>
    <w:p w:rsidR="008D3087" w:rsidRPr="008D3087" w:rsidRDefault="00CA075C" w:rsidP="0038178C">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 xml:space="preserve">الحكومة: </w:t>
      </w:r>
    </w:p>
    <w:p w:rsidR="00CA075C" w:rsidRDefault="00CA075C" w:rsidP="00CA075C">
      <w:pPr>
        <w:pStyle w:val="ListParagraph"/>
        <w:numPr>
          <w:ilvl w:val="0"/>
          <w:numId w:val="18"/>
        </w:numPr>
        <w:tabs>
          <w:tab w:val="left" w:pos="720"/>
        </w:tabs>
        <w:bidi/>
        <w:jc w:val="both"/>
        <w:rPr>
          <w:rFonts w:cs="Traditional Arabic"/>
          <w:sz w:val="20"/>
          <w:szCs w:val="30"/>
          <w:lang w:val="en-GB"/>
        </w:rPr>
      </w:pPr>
      <w:r>
        <w:rPr>
          <w:rFonts w:cs="Traditional Arabic" w:hint="cs"/>
          <w:sz w:val="20"/>
          <w:szCs w:val="30"/>
          <w:rtl/>
          <w:lang w:val="en-GB"/>
        </w:rPr>
        <w:t>النظر فيما إن كانت الحالة مقبولة أمام اللجنة: تعيين الحجج المؤيدة والمعارضة لقبول الحالة وتعيين أي معلومات إضافية قد تحتاجها لل</w:t>
      </w:r>
      <w:r w:rsidR="00C85AF5">
        <w:rPr>
          <w:rFonts w:cs="Traditional Arabic" w:hint="cs"/>
          <w:sz w:val="20"/>
          <w:szCs w:val="30"/>
          <w:rtl/>
          <w:lang w:val="en-GB"/>
        </w:rPr>
        <w:t>ت</w:t>
      </w:r>
      <w:r>
        <w:rPr>
          <w:rFonts w:cs="Traditional Arabic" w:hint="cs"/>
          <w:sz w:val="20"/>
          <w:szCs w:val="30"/>
          <w:rtl/>
          <w:lang w:val="en-GB"/>
        </w:rPr>
        <w:t>دليل على عدم القبول.</w:t>
      </w:r>
    </w:p>
    <w:p w:rsidR="00CA075C" w:rsidRDefault="00CA075C" w:rsidP="00F755E1">
      <w:pPr>
        <w:pStyle w:val="ListParagraph"/>
        <w:numPr>
          <w:ilvl w:val="0"/>
          <w:numId w:val="18"/>
        </w:numPr>
        <w:tabs>
          <w:tab w:val="left" w:pos="720"/>
        </w:tabs>
        <w:bidi/>
        <w:jc w:val="both"/>
        <w:rPr>
          <w:rFonts w:cs="Traditional Arabic"/>
          <w:sz w:val="20"/>
          <w:szCs w:val="30"/>
          <w:lang w:val="en-GB"/>
        </w:rPr>
      </w:pPr>
      <w:r>
        <w:rPr>
          <w:rFonts w:cs="Traditional Arabic" w:hint="cs"/>
          <w:sz w:val="20"/>
          <w:szCs w:val="30"/>
          <w:rtl/>
          <w:lang w:val="en-GB"/>
        </w:rPr>
        <w:t xml:space="preserve">الاستشهاد بالقانون الدولي </w:t>
      </w:r>
      <w:r w:rsidR="00F755E1">
        <w:rPr>
          <w:rFonts w:cs="Traditional Arabic" w:hint="cs"/>
          <w:sz w:val="20"/>
          <w:szCs w:val="30"/>
          <w:rtl/>
          <w:lang w:val="en-GB"/>
        </w:rPr>
        <w:t>(</w:t>
      </w:r>
      <w:r>
        <w:rPr>
          <w:rFonts w:cs="Traditional Arabic" w:hint="cs"/>
          <w:sz w:val="20"/>
          <w:szCs w:val="30"/>
          <w:rtl/>
          <w:lang w:val="en-GB"/>
        </w:rPr>
        <w:t>وخاصة الاتفاقية)</w:t>
      </w:r>
      <w:r w:rsidR="00F755E1">
        <w:rPr>
          <w:rFonts w:cs="Traditional Arabic" w:hint="cs"/>
          <w:sz w:val="20"/>
          <w:szCs w:val="30"/>
          <w:rtl/>
          <w:lang w:val="en-GB"/>
        </w:rPr>
        <w:t>،</w:t>
      </w:r>
      <w:r>
        <w:rPr>
          <w:rFonts w:cs="Traditional Arabic" w:hint="cs"/>
          <w:sz w:val="20"/>
          <w:szCs w:val="30"/>
          <w:rtl/>
          <w:lang w:val="en-GB"/>
        </w:rPr>
        <w:t xml:space="preserve"> والاحتجا</w:t>
      </w:r>
      <w:r w:rsidR="00F755E1">
        <w:rPr>
          <w:rFonts w:cs="Traditional Arabic" w:hint="cs"/>
          <w:sz w:val="20"/>
          <w:szCs w:val="30"/>
          <w:rtl/>
          <w:lang w:val="en-GB"/>
        </w:rPr>
        <w:t>ج</w:t>
      </w:r>
      <w:r>
        <w:rPr>
          <w:rFonts w:cs="Traditional Arabic" w:hint="cs"/>
          <w:sz w:val="20"/>
          <w:szCs w:val="30"/>
          <w:rtl/>
          <w:lang w:val="en-GB"/>
        </w:rPr>
        <w:t xml:space="preserve"> بأن حالتها ليست مسألة تمييز ضد شخص من ذوي الإعاقة، وأن الاتفاقية لا تتصل بهذه الحالة</w:t>
      </w:r>
    </w:p>
    <w:p w:rsidR="00CA075C" w:rsidRDefault="00CA075C" w:rsidP="00CA075C">
      <w:pPr>
        <w:pStyle w:val="ListParagraph"/>
        <w:tabs>
          <w:tab w:val="left" w:pos="720"/>
        </w:tabs>
        <w:bidi/>
        <w:jc w:val="both"/>
        <w:rPr>
          <w:rFonts w:cs="Traditional Arabic"/>
          <w:sz w:val="20"/>
          <w:szCs w:val="30"/>
          <w:rtl/>
          <w:lang w:val="en-GB"/>
        </w:rPr>
      </w:pPr>
    </w:p>
    <w:sectPr w:rsidR="00CA075C" w:rsidSect="009816E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632" w:rsidRDefault="00213632">
      <w:r>
        <w:separator/>
      </w:r>
    </w:p>
  </w:endnote>
  <w:endnote w:type="continuationSeparator" w:id="0">
    <w:p w:rsidR="00213632" w:rsidRDefault="0021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790822">
      <w:rPr>
        <w:rStyle w:val="PageNumber"/>
        <w:rFonts w:ascii="Arial" w:hAnsi="Arial" w:cs="Arial"/>
        <w:noProof/>
      </w:rPr>
      <w:t>1</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632" w:rsidRDefault="00213632">
      <w:r>
        <w:separator/>
      </w:r>
    </w:p>
  </w:footnote>
  <w:footnote w:type="continuationSeparator" w:id="0">
    <w:p w:rsidR="00213632" w:rsidRDefault="00213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0A2A4D">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0A2A4D">
      <w:rPr>
        <w:rFonts w:ascii="Arial" w:hAnsi="Arial" w:cs="Arial" w:hint="cs"/>
        <w:i/>
        <w:sz w:val="20"/>
        <w:szCs w:val="20"/>
        <w:rtl/>
      </w:rPr>
      <w:t>8</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175D16"/>
    <w:multiLevelType w:val="hybridMultilevel"/>
    <w:tmpl w:val="B2340232"/>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6CD6B30"/>
    <w:multiLevelType w:val="hybridMultilevel"/>
    <w:tmpl w:val="AB86DC74"/>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E620BF"/>
    <w:multiLevelType w:val="hybridMultilevel"/>
    <w:tmpl w:val="AF642106"/>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5BCA1B25"/>
    <w:multiLevelType w:val="hybridMultilevel"/>
    <w:tmpl w:val="4648B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01B469A"/>
    <w:multiLevelType w:val="hybridMultilevel"/>
    <w:tmpl w:val="6DCC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131AC0"/>
    <w:multiLevelType w:val="hybridMultilevel"/>
    <w:tmpl w:val="F16C6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540725"/>
    <w:multiLevelType w:val="hybridMultilevel"/>
    <w:tmpl w:val="99583896"/>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FF6E99"/>
    <w:multiLevelType w:val="hybridMultilevel"/>
    <w:tmpl w:val="1A743128"/>
    <w:lvl w:ilvl="0" w:tplc="23D06DC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17"/>
  </w:num>
  <w:num w:numId="2">
    <w:abstractNumId w:val="3"/>
  </w:num>
  <w:num w:numId="3">
    <w:abstractNumId w:val="0"/>
  </w:num>
  <w:num w:numId="4">
    <w:abstractNumId w:val="9"/>
  </w:num>
  <w:num w:numId="5">
    <w:abstractNumId w:val="7"/>
  </w:num>
  <w:num w:numId="6">
    <w:abstractNumId w:val="11"/>
  </w:num>
  <w:num w:numId="7">
    <w:abstractNumId w:val="2"/>
  </w:num>
  <w:num w:numId="8">
    <w:abstractNumId w:val="12"/>
  </w:num>
  <w:num w:numId="9">
    <w:abstractNumId w:val="4"/>
  </w:num>
  <w:num w:numId="10">
    <w:abstractNumId w:val="8"/>
  </w:num>
  <w:num w:numId="11">
    <w:abstractNumId w:val="16"/>
  </w:num>
  <w:num w:numId="12">
    <w:abstractNumId w:val="15"/>
  </w:num>
  <w:num w:numId="13">
    <w:abstractNumId w:val="1"/>
  </w:num>
  <w:num w:numId="14">
    <w:abstractNumId w:val="5"/>
  </w:num>
  <w:num w:numId="15">
    <w:abstractNumId w:val="13"/>
  </w:num>
  <w:num w:numId="16">
    <w:abstractNumId w:val="14"/>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2A4D"/>
    <w:rsid w:val="000A346F"/>
    <w:rsid w:val="000A780F"/>
    <w:rsid w:val="000A787D"/>
    <w:rsid w:val="000B1483"/>
    <w:rsid w:val="000C6506"/>
    <w:rsid w:val="000C6CCA"/>
    <w:rsid w:val="000D1BC0"/>
    <w:rsid w:val="000D7432"/>
    <w:rsid w:val="000F15C0"/>
    <w:rsid w:val="00106050"/>
    <w:rsid w:val="0010663E"/>
    <w:rsid w:val="0011200B"/>
    <w:rsid w:val="00120883"/>
    <w:rsid w:val="00127CB0"/>
    <w:rsid w:val="00130DAD"/>
    <w:rsid w:val="00133CA1"/>
    <w:rsid w:val="00143FD8"/>
    <w:rsid w:val="0014409C"/>
    <w:rsid w:val="0016135F"/>
    <w:rsid w:val="00167963"/>
    <w:rsid w:val="001751C9"/>
    <w:rsid w:val="00182934"/>
    <w:rsid w:val="0018768D"/>
    <w:rsid w:val="0018795A"/>
    <w:rsid w:val="001930B8"/>
    <w:rsid w:val="00193191"/>
    <w:rsid w:val="001A0234"/>
    <w:rsid w:val="001B413B"/>
    <w:rsid w:val="001B5212"/>
    <w:rsid w:val="001B7CFB"/>
    <w:rsid w:val="001D0D94"/>
    <w:rsid w:val="001D0F8F"/>
    <w:rsid w:val="001D747D"/>
    <w:rsid w:val="001E73C9"/>
    <w:rsid w:val="001F51BA"/>
    <w:rsid w:val="001F66B7"/>
    <w:rsid w:val="00206DED"/>
    <w:rsid w:val="002106EA"/>
    <w:rsid w:val="00213632"/>
    <w:rsid w:val="002305D5"/>
    <w:rsid w:val="002320AB"/>
    <w:rsid w:val="00235409"/>
    <w:rsid w:val="00235CD0"/>
    <w:rsid w:val="002405E4"/>
    <w:rsid w:val="00240BC0"/>
    <w:rsid w:val="00241835"/>
    <w:rsid w:val="002455FC"/>
    <w:rsid w:val="00246C90"/>
    <w:rsid w:val="00255E26"/>
    <w:rsid w:val="00257985"/>
    <w:rsid w:val="00262699"/>
    <w:rsid w:val="00264897"/>
    <w:rsid w:val="002675BF"/>
    <w:rsid w:val="00271066"/>
    <w:rsid w:val="002840BC"/>
    <w:rsid w:val="002859B7"/>
    <w:rsid w:val="00287A03"/>
    <w:rsid w:val="00292C08"/>
    <w:rsid w:val="002931BB"/>
    <w:rsid w:val="002963EE"/>
    <w:rsid w:val="002A6377"/>
    <w:rsid w:val="002B0149"/>
    <w:rsid w:val="002B0B77"/>
    <w:rsid w:val="002B3196"/>
    <w:rsid w:val="002B717D"/>
    <w:rsid w:val="002C2991"/>
    <w:rsid w:val="002C7E30"/>
    <w:rsid w:val="002D093E"/>
    <w:rsid w:val="002E13AD"/>
    <w:rsid w:val="002E165F"/>
    <w:rsid w:val="002E2F94"/>
    <w:rsid w:val="002F2600"/>
    <w:rsid w:val="002F45DB"/>
    <w:rsid w:val="002F6C94"/>
    <w:rsid w:val="002F79AD"/>
    <w:rsid w:val="00302DAD"/>
    <w:rsid w:val="0031352A"/>
    <w:rsid w:val="00317326"/>
    <w:rsid w:val="00320BC1"/>
    <w:rsid w:val="003348FB"/>
    <w:rsid w:val="0033601D"/>
    <w:rsid w:val="00336311"/>
    <w:rsid w:val="00347CF5"/>
    <w:rsid w:val="00351C7F"/>
    <w:rsid w:val="00354332"/>
    <w:rsid w:val="00355338"/>
    <w:rsid w:val="0035600C"/>
    <w:rsid w:val="00356C3D"/>
    <w:rsid w:val="0036253A"/>
    <w:rsid w:val="003640D1"/>
    <w:rsid w:val="00370B8A"/>
    <w:rsid w:val="00371366"/>
    <w:rsid w:val="00373776"/>
    <w:rsid w:val="0038178C"/>
    <w:rsid w:val="00383C34"/>
    <w:rsid w:val="003919F5"/>
    <w:rsid w:val="00394508"/>
    <w:rsid w:val="003A1DA1"/>
    <w:rsid w:val="003A66DA"/>
    <w:rsid w:val="003B0D8C"/>
    <w:rsid w:val="003B2611"/>
    <w:rsid w:val="003B7823"/>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084C"/>
    <w:rsid w:val="00531E04"/>
    <w:rsid w:val="00534E2B"/>
    <w:rsid w:val="005526DF"/>
    <w:rsid w:val="005529C6"/>
    <w:rsid w:val="00554A04"/>
    <w:rsid w:val="00555CF7"/>
    <w:rsid w:val="0057291B"/>
    <w:rsid w:val="0058045B"/>
    <w:rsid w:val="00580579"/>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5E6534"/>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5012"/>
    <w:rsid w:val="006A62ED"/>
    <w:rsid w:val="006C12FD"/>
    <w:rsid w:val="006C284E"/>
    <w:rsid w:val="006C5748"/>
    <w:rsid w:val="006D1CC6"/>
    <w:rsid w:val="006D6AA8"/>
    <w:rsid w:val="006D7AB7"/>
    <w:rsid w:val="006E46F0"/>
    <w:rsid w:val="006F5AEE"/>
    <w:rsid w:val="006F6166"/>
    <w:rsid w:val="007004D9"/>
    <w:rsid w:val="00700658"/>
    <w:rsid w:val="00701D74"/>
    <w:rsid w:val="007039CF"/>
    <w:rsid w:val="00704CCD"/>
    <w:rsid w:val="007059B8"/>
    <w:rsid w:val="00710110"/>
    <w:rsid w:val="007117C5"/>
    <w:rsid w:val="00713354"/>
    <w:rsid w:val="00713A45"/>
    <w:rsid w:val="00714E6D"/>
    <w:rsid w:val="00723A49"/>
    <w:rsid w:val="00733400"/>
    <w:rsid w:val="007342DC"/>
    <w:rsid w:val="007448F1"/>
    <w:rsid w:val="00745A9E"/>
    <w:rsid w:val="007534FC"/>
    <w:rsid w:val="0075548F"/>
    <w:rsid w:val="007567B4"/>
    <w:rsid w:val="00757D6F"/>
    <w:rsid w:val="00771A78"/>
    <w:rsid w:val="007764E1"/>
    <w:rsid w:val="00781A66"/>
    <w:rsid w:val="00783106"/>
    <w:rsid w:val="00790822"/>
    <w:rsid w:val="0079162A"/>
    <w:rsid w:val="007B472D"/>
    <w:rsid w:val="007D161E"/>
    <w:rsid w:val="007D3D37"/>
    <w:rsid w:val="007D7F96"/>
    <w:rsid w:val="007E0E18"/>
    <w:rsid w:val="007E6059"/>
    <w:rsid w:val="007F05EE"/>
    <w:rsid w:val="007F1AD9"/>
    <w:rsid w:val="007F4CEF"/>
    <w:rsid w:val="0080346C"/>
    <w:rsid w:val="00803651"/>
    <w:rsid w:val="008039AF"/>
    <w:rsid w:val="00805916"/>
    <w:rsid w:val="00822E0A"/>
    <w:rsid w:val="0082759D"/>
    <w:rsid w:val="00837961"/>
    <w:rsid w:val="00844BDB"/>
    <w:rsid w:val="00850D99"/>
    <w:rsid w:val="00857E78"/>
    <w:rsid w:val="0086691A"/>
    <w:rsid w:val="00876CBF"/>
    <w:rsid w:val="0088150F"/>
    <w:rsid w:val="008844AC"/>
    <w:rsid w:val="008916BB"/>
    <w:rsid w:val="00895B6A"/>
    <w:rsid w:val="008A1403"/>
    <w:rsid w:val="008A58D6"/>
    <w:rsid w:val="008A64B8"/>
    <w:rsid w:val="008A7C52"/>
    <w:rsid w:val="008B3648"/>
    <w:rsid w:val="008B7C96"/>
    <w:rsid w:val="008C2FF0"/>
    <w:rsid w:val="008C6CE1"/>
    <w:rsid w:val="008D0133"/>
    <w:rsid w:val="008D3087"/>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14991"/>
    <w:rsid w:val="009332EF"/>
    <w:rsid w:val="00934FF9"/>
    <w:rsid w:val="009351FA"/>
    <w:rsid w:val="0093692E"/>
    <w:rsid w:val="00943FCA"/>
    <w:rsid w:val="00957CF4"/>
    <w:rsid w:val="009635C8"/>
    <w:rsid w:val="009710E2"/>
    <w:rsid w:val="00976330"/>
    <w:rsid w:val="009816E4"/>
    <w:rsid w:val="00981CB0"/>
    <w:rsid w:val="00983E47"/>
    <w:rsid w:val="00991846"/>
    <w:rsid w:val="009A21DA"/>
    <w:rsid w:val="009A3C12"/>
    <w:rsid w:val="009B0017"/>
    <w:rsid w:val="009B04D5"/>
    <w:rsid w:val="009C3560"/>
    <w:rsid w:val="009C3E1B"/>
    <w:rsid w:val="009C4239"/>
    <w:rsid w:val="009C4E47"/>
    <w:rsid w:val="009C7B94"/>
    <w:rsid w:val="009D1DBD"/>
    <w:rsid w:val="009D217E"/>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353"/>
    <w:rsid w:val="00AF4647"/>
    <w:rsid w:val="00AF5CAE"/>
    <w:rsid w:val="00B03B76"/>
    <w:rsid w:val="00B2519E"/>
    <w:rsid w:val="00B30096"/>
    <w:rsid w:val="00B30BC8"/>
    <w:rsid w:val="00B3164F"/>
    <w:rsid w:val="00B31B9D"/>
    <w:rsid w:val="00B33173"/>
    <w:rsid w:val="00B335FB"/>
    <w:rsid w:val="00B33659"/>
    <w:rsid w:val="00B371A7"/>
    <w:rsid w:val="00B540C1"/>
    <w:rsid w:val="00B659BF"/>
    <w:rsid w:val="00B67C4D"/>
    <w:rsid w:val="00B75AF3"/>
    <w:rsid w:val="00B77C21"/>
    <w:rsid w:val="00B77FDE"/>
    <w:rsid w:val="00B82C11"/>
    <w:rsid w:val="00B871FF"/>
    <w:rsid w:val="00B96A3A"/>
    <w:rsid w:val="00B97CA0"/>
    <w:rsid w:val="00BA0993"/>
    <w:rsid w:val="00BA0D80"/>
    <w:rsid w:val="00BA2624"/>
    <w:rsid w:val="00BB4FEE"/>
    <w:rsid w:val="00BB54C3"/>
    <w:rsid w:val="00BC1048"/>
    <w:rsid w:val="00BC3727"/>
    <w:rsid w:val="00BD2E52"/>
    <w:rsid w:val="00BD4057"/>
    <w:rsid w:val="00BD58FB"/>
    <w:rsid w:val="00BD7051"/>
    <w:rsid w:val="00BE00BD"/>
    <w:rsid w:val="00BE087F"/>
    <w:rsid w:val="00BE2E54"/>
    <w:rsid w:val="00BF1F85"/>
    <w:rsid w:val="00BF3312"/>
    <w:rsid w:val="00BF350E"/>
    <w:rsid w:val="00BF760B"/>
    <w:rsid w:val="00C00200"/>
    <w:rsid w:val="00C0471F"/>
    <w:rsid w:val="00C076E9"/>
    <w:rsid w:val="00C1654B"/>
    <w:rsid w:val="00C35173"/>
    <w:rsid w:val="00C3677B"/>
    <w:rsid w:val="00C37A47"/>
    <w:rsid w:val="00C47CB1"/>
    <w:rsid w:val="00C56DA3"/>
    <w:rsid w:val="00C606F3"/>
    <w:rsid w:val="00C61411"/>
    <w:rsid w:val="00C64C7C"/>
    <w:rsid w:val="00C65463"/>
    <w:rsid w:val="00C82F70"/>
    <w:rsid w:val="00C843F0"/>
    <w:rsid w:val="00C85AF5"/>
    <w:rsid w:val="00C92454"/>
    <w:rsid w:val="00C95BC7"/>
    <w:rsid w:val="00C96806"/>
    <w:rsid w:val="00C96E8A"/>
    <w:rsid w:val="00C9799B"/>
    <w:rsid w:val="00CA075C"/>
    <w:rsid w:val="00CB1829"/>
    <w:rsid w:val="00CB2E71"/>
    <w:rsid w:val="00CB36B4"/>
    <w:rsid w:val="00CB4552"/>
    <w:rsid w:val="00CB5C41"/>
    <w:rsid w:val="00CC0F7C"/>
    <w:rsid w:val="00CC1343"/>
    <w:rsid w:val="00CC353E"/>
    <w:rsid w:val="00CC53B0"/>
    <w:rsid w:val="00CD4264"/>
    <w:rsid w:val="00CE1253"/>
    <w:rsid w:val="00CE3DAA"/>
    <w:rsid w:val="00CE54B9"/>
    <w:rsid w:val="00CF1DE1"/>
    <w:rsid w:val="00CF73AC"/>
    <w:rsid w:val="00CF77BA"/>
    <w:rsid w:val="00D007FC"/>
    <w:rsid w:val="00D0557C"/>
    <w:rsid w:val="00D10B30"/>
    <w:rsid w:val="00D16E1F"/>
    <w:rsid w:val="00D279EA"/>
    <w:rsid w:val="00D30BE5"/>
    <w:rsid w:val="00D3132D"/>
    <w:rsid w:val="00D314E4"/>
    <w:rsid w:val="00D35A55"/>
    <w:rsid w:val="00D372CD"/>
    <w:rsid w:val="00D557A8"/>
    <w:rsid w:val="00D57C7F"/>
    <w:rsid w:val="00D6510B"/>
    <w:rsid w:val="00D651C7"/>
    <w:rsid w:val="00D760B7"/>
    <w:rsid w:val="00D80C4F"/>
    <w:rsid w:val="00D81667"/>
    <w:rsid w:val="00D87DB5"/>
    <w:rsid w:val="00D9705D"/>
    <w:rsid w:val="00D977EE"/>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75029"/>
    <w:rsid w:val="00E928F7"/>
    <w:rsid w:val="00E97815"/>
    <w:rsid w:val="00EA2158"/>
    <w:rsid w:val="00EA7491"/>
    <w:rsid w:val="00EB36D8"/>
    <w:rsid w:val="00EC17B7"/>
    <w:rsid w:val="00EC4526"/>
    <w:rsid w:val="00ED0502"/>
    <w:rsid w:val="00ED16F3"/>
    <w:rsid w:val="00ED1D63"/>
    <w:rsid w:val="00ED4F1C"/>
    <w:rsid w:val="00EE0426"/>
    <w:rsid w:val="00EE16BD"/>
    <w:rsid w:val="00EF3341"/>
    <w:rsid w:val="00F03B06"/>
    <w:rsid w:val="00F04DA9"/>
    <w:rsid w:val="00F20A86"/>
    <w:rsid w:val="00F21CA0"/>
    <w:rsid w:val="00F231E8"/>
    <w:rsid w:val="00F327BB"/>
    <w:rsid w:val="00F416E9"/>
    <w:rsid w:val="00F426F2"/>
    <w:rsid w:val="00F42A27"/>
    <w:rsid w:val="00F44D70"/>
    <w:rsid w:val="00F628D5"/>
    <w:rsid w:val="00F65595"/>
    <w:rsid w:val="00F65971"/>
    <w:rsid w:val="00F67667"/>
    <w:rsid w:val="00F67CFE"/>
    <w:rsid w:val="00F73A7E"/>
    <w:rsid w:val="00F755E1"/>
    <w:rsid w:val="00F80523"/>
    <w:rsid w:val="00F83177"/>
    <w:rsid w:val="00F87890"/>
    <w:rsid w:val="00F9044A"/>
    <w:rsid w:val="00FA0902"/>
    <w:rsid w:val="00FA1907"/>
    <w:rsid w:val="00FA26C8"/>
    <w:rsid w:val="00FA2B5F"/>
    <w:rsid w:val="00FB07D2"/>
    <w:rsid w:val="00FB1BC5"/>
    <w:rsid w:val="00FC12A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C2AF0-565B-42C6-B003-4470C28D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2</cp:revision>
  <cp:lastPrinted>2015-08-25T11:49:00Z</cp:lastPrinted>
  <dcterms:created xsi:type="dcterms:W3CDTF">2015-08-28T07:26:00Z</dcterms:created>
  <dcterms:modified xsi:type="dcterms:W3CDTF">2015-08-28T07:26:00Z</dcterms:modified>
</cp:coreProperties>
</file>