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FC" w:rsidRPr="00D14232" w:rsidRDefault="00E676FC"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rPr>
          <w:rFonts w:asciiTheme="majorHAnsi" w:hAnsiTheme="majorHAnsi"/>
          <w:sz w:val="24"/>
          <w:szCs w:val="24"/>
          <w:lang w:val="es-ES_tradnl"/>
        </w:rPr>
      </w:pPr>
    </w:p>
    <w:p w:rsidR="00144279" w:rsidRPr="00D14232" w:rsidRDefault="00144279" w:rsidP="00144279">
      <w:pPr>
        <w:spacing w:after="0" w:line="240" w:lineRule="auto"/>
        <w:rPr>
          <w:rFonts w:asciiTheme="majorHAnsi" w:hAnsiTheme="majorHAnsi"/>
          <w:sz w:val="24"/>
          <w:szCs w:val="24"/>
          <w:lang w:val="es-ES_tradnl"/>
        </w:rPr>
      </w:pPr>
    </w:p>
    <w:p w:rsidR="00144279" w:rsidRPr="00D14232" w:rsidRDefault="00144279" w:rsidP="00144279">
      <w:pPr>
        <w:spacing w:after="0" w:line="240" w:lineRule="auto"/>
        <w:rPr>
          <w:rFonts w:asciiTheme="majorHAnsi" w:hAnsiTheme="majorHAnsi"/>
          <w:sz w:val="24"/>
          <w:szCs w:val="24"/>
          <w:lang w:val="es-ES_tradnl"/>
        </w:rPr>
      </w:pPr>
    </w:p>
    <w:p w:rsidR="00144279" w:rsidRPr="00D14232" w:rsidRDefault="00144279" w:rsidP="00144279">
      <w:pPr>
        <w:spacing w:after="0" w:line="240" w:lineRule="auto"/>
        <w:rPr>
          <w:rFonts w:asciiTheme="majorHAnsi" w:hAnsiTheme="majorHAnsi"/>
          <w:sz w:val="24"/>
          <w:szCs w:val="24"/>
          <w:lang w:val="es-ES_tradnl"/>
        </w:rPr>
      </w:pPr>
    </w:p>
    <w:p w:rsidR="00144279" w:rsidRPr="00D14232" w:rsidRDefault="00144279" w:rsidP="00144279">
      <w:pPr>
        <w:spacing w:after="0" w:line="240" w:lineRule="auto"/>
        <w:rPr>
          <w:rFonts w:asciiTheme="majorHAnsi" w:hAnsiTheme="majorHAnsi"/>
          <w:sz w:val="24"/>
          <w:szCs w:val="24"/>
          <w:lang w:val="es-ES_tradnl"/>
        </w:rPr>
      </w:pPr>
    </w:p>
    <w:p w:rsidR="00144279" w:rsidRPr="00D14232" w:rsidRDefault="00144279" w:rsidP="00144279">
      <w:pPr>
        <w:spacing w:after="0" w:line="240" w:lineRule="auto"/>
        <w:rPr>
          <w:rFonts w:asciiTheme="majorHAnsi" w:hAnsiTheme="majorHAnsi"/>
          <w:sz w:val="24"/>
          <w:szCs w:val="24"/>
          <w:lang w:val="es-ES_tradnl"/>
        </w:rPr>
      </w:pPr>
    </w:p>
    <w:p w:rsidR="00E676FC" w:rsidRPr="00D14232" w:rsidRDefault="00E676FC" w:rsidP="00144279">
      <w:pPr>
        <w:spacing w:after="0" w:line="240" w:lineRule="auto"/>
        <w:jc w:val="center"/>
        <w:rPr>
          <w:rFonts w:asciiTheme="majorHAnsi" w:eastAsia="Times New Roman" w:hAnsiTheme="majorHAnsi"/>
          <w:b/>
          <w:color w:val="006C6C"/>
          <w:sz w:val="32"/>
          <w:szCs w:val="32"/>
          <w:lang w:val="es-ES_tradnl" w:eastAsia="en-GB"/>
        </w:rPr>
      </w:pPr>
      <w:r w:rsidRPr="00D14232">
        <w:rPr>
          <w:rFonts w:asciiTheme="majorHAnsi" w:eastAsia="Times New Roman" w:hAnsiTheme="majorHAnsi"/>
          <w:b/>
          <w:color w:val="006C6C"/>
          <w:sz w:val="32"/>
          <w:szCs w:val="32"/>
          <w:lang w:val="es-ES_tradnl" w:eastAsia="en-GB"/>
        </w:rPr>
        <w:t>Informe sobre política</w:t>
      </w:r>
      <w:r w:rsidR="00144279" w:rsidRPr="00D14232">
        <w:rPr>
          <w:rFonts w:asciiTheme="majorHAnsi" w:eastAsia="Times New Roman" w:hAnsiTheme="majorHAnsi"/>
          <w:b/>
          <w:color w:val="006C6C"/>
          <w:sz w:val="32"/>
          <w:szCs w:val="32"/>
          <w:lang w:val="es-ES_tradnl" w:eastAsia="en-GB"/>
        </w:rPr>
        <w:t>s inclusivas de la discapacidad (</w:t>
      </w:r>
      <w:r w:rsidRPr="00D14232">
        <w:rPr>
          <w:rFonts w:asciiTheme="majorHAnsi" w:eastAsia="Times New Roman" w:hAnsiTheme="majorHAnsi"/>
          <w:b/>
          <w:color w:val="006C6C"/>
          <w:sz w:val="32"/>
          <w:szCs w:val="32"/>
          <w:lang w:val="es-ES_tradnl" w:eastAsia="en-GB"/>
        </w:rPr>
        <w:t>Colombia</w:t>
      </w:r>
      <w:r w:rsidR="00144279" w:rsidRPr="00D14232">
        <w:rPr>
          <w:rFonts w:asciiTheme="majorHAnsi" w:eastAsia="Times New Roman" w:hAnsiTheme="majorHAnsi"/>
          <w:b/>
          <w:color w:val="006C6C"/>
          <w:sz w:val="32"/>
          <w:szCs w:val="32"/>
          <w:lang w:val="es-ES_tradnl" w:eastAsia="en-GB"/>
        </w:rPr>
        <w:t>)</w:t>
      </w:r>
    </w:p>
    <w:p w:rsidR="00E676FC" w:rsidRPr="00D14232" w:rsidRDefault="00E676FC" w:rsidP="00144279">
      <w:pPr>
        <w:spacing w:after="0" w:line="240" w:lineRule="auto"/>
        <w:jc w:val="center"/>
        <w:rPr>
          <w:rFonts w:asciiTheme="majorHAnsi" w:hAnsiTheme="majorHAnsi"/>
          <w:sz w:val="24"/>
          <w:szCs w:val="24"/>
          <w:lang w:val="es-ES_tradnl"/>
        </w:rPr>
      </w:pPr>
      <w:r w:rsidRPr="00D14232">
        <w:rPr>
          <w:rFonts w:asciiTheme="majorHAnsi" w:hAnsiTheme="majorHAnsi"/>
          <w:sz w:val="24"/>
          <w:szCs w:val="24"/>
          <w:lang w:val="es-ES_tradnl"/>
        </w:rPr>
        <w:t>Fundación Saldarriaga Concha</w:t>
      </w:r>
      <w:r w:rsidR="00062B58" w:rsidRPr="00D14232">
        <w:rPr>
          <w:rStyle w:val="FootnoteReference"/>
          <w:rFonts w:asciiTheme="majorHAnsi" w:hAnsiTheme="majorHAnsi"/>
          <w:sz w:val="24"/>
          <w:szCs w:val="24"/>
          <w:lang w:val="es-ES_tradnl"/>
        </w:rPr>
        <w:footnoteReference w:id="1"/>
      </w:r>
    </w:p>
    <w:p w:rsidR="00E676FC" w:rsidRPr="00D14232" w:rsidRDefault="00E676FC" w:rsidP="00144279">
      <w:pPr>
        <w:spacing w:after="0" w:line="240" w:lineRule="auto"/>
        <w:rPr>
          <w:rFonts w:asciiTheme="majorHAnsi" w:hAnsiTheme="majorHAnsi"/>
          <w:sz w:val="28"/>
          <w:szCs w:val="28"/>
          <w:lang w:val="es-ES_tradnl"/>
        </w:rPr>
      </w:pPr>
    </w:p>
    <w:p w:rsidR="00E676FC" w:rsidRPr="00D14232" w:rsidRDefault="00E676FC" w:rsidP="00144279">
      <w:pPr>
        <w:spacing w:after="0" w:line="240" w:lineRule="auto"/>
        <w:rPr>
          <w:rFonts w:asciiTheme="majorHAnsi" w:hAnsiTheme="majorHAnsi"/>
          <w:sz w:val="28"/>
          <w:szCs w:val="28"/>
          <w:lang w:val="es-ES_tradnl"/>
        </w:rPr>
      </w:pPr>
    </w:p>
    <w:p w:rsidR="00E676FC" w:rsidRPr="00D14232" w:rsidRDefault="00E676FC" w:rsidP="00144279">
      <w:pPr>
        <w:spacing w:after="0" w:line="240" w:lineRule="auto"/>
        <w:rPr>
          <w:rFonts w:asciiTheme="majorHAnsi" w:hAnsiTheme="majorHAnsi"/>
          <w:sz w:val="28"/>
          <w:szCs w:val="28"/>
          <w:lang w:val="es-ES_tradnl"/>
        </w:rPr>
      </w:pPr>
    </w:p>
    <w:p w:rsidR="00144279" w:rsidRPr="00D14232" w:rsidRDefault="00E676FC" w:rsidP="00144279">
      <w:pPr>
        <w:spacing w:after="0" w:line="240" w:lineRule="auto"/>
        <w:jc w:val="right"/>
        <w:rPr>
          <w:rFonts w:asciiTheme="majorHAnsi" w:hAnsiTheme="majorHAnsi"/>
          <w:sz w:val="28"/>
          <w:szCs w:val="28"/>
          <w:lang w:val="es-ES_tradnl"/>
        </w:rPr>
      </w:pPr>
      <w:r w:rsidRPr="00D14232">
        <w:rPr>
          <w:rFonts w:asciiTheme="majorHAnsi" w:hAnsiTheme="majorHAnsi"/>
          <w:sz w:val="28"/>
          <w:szCs w:val="28"/>
          <w:lang w:val="es-ES_tradnl"/>
        </w:rPr>
        <w:t>Presentado ante la Relatora Especial de Naciones Unidas sobre los derechos de</w:t>
      </w:r>
      <w:r w:rsidR="00144279" w:rsidRPr="00D14232">
        <w:rPr>
          <w:rFonts w:asciiTheme="majorHAnsi" w:hAnsiTheme="majorHAnsi"/>
          <w:sz w:val="28"/>
          <w:szCs w:val="28"/>
          <w:lang w:val="es-ES_tradnl"/>
        </w:rPr>
        <w:t xml:space="preserve"> las personas con discapacidad</w:t>
      </w:r>
    </w:p>
    <w:p w:rsidR="00E676FC" w:rsidRPr="00D14232" w:rsidRDefault="00E676FC" w:rsidP="00144279">
      <w:pPr>
        <w:spacing w:after="0" w:line="240" w:lineRule="auto"/>
        <w:jc w:val="right"/>
        <w:rPr>
          <w:rFonts w:asciiTheme="majorHAnsi" w:hAnsiTheme="majorHAnsi"/>
          <w:sz w:val="28"/>
          <w:szCs w:val="28"/>
          <w:lang w:val="es-ES_tradnl"/>
        </w:rPr>
      </w:pPr>
      <w:r w:rsidRPr="00D14232">
        <w:rPr>
          <w:rFonts w:asciiTheme="majorHAnsi" w:hAnsiTheme="majorHAnsi"/>
          <w:sz w:val="28"/>
          <w:szCs w:val="28"/>
          <w:lang w:val="es-ES_tradnl"/>
        </w:rPr>
        <w:t xml:space="preserve">Sra. Catalina </w:t>
      </w:r>
      <w:proofErr w:type="spellStart"/>
      <w:r w:rsidRPr="00D14232">
        <w:rPr>
          <w:rFonts w:asciiTheme="majorHAnsi" w:hAnsiTheme="majorHAnsi"/>
          <w:sz w:val="28"/>
          <w:szCs w:val="28"/>
          <w:lang w:val="es-ES_tradnl"/>
        </w:rPr>
        <w:t>Devandas</w:t>
      </w:r>
      <w:proofErr w:type="spellEnd"/>
      <w:r w:rsidR="00144279" w:rsidRPr="00D14232">
        <w:rPr>
          <w:rFonts w:asciiTheme="majorHAnsi" w:hAnsiTheme="majorHAnsi"/>
          <w:sz w:val="28"/>
          <w:szCs w:val="28"/>
          <w:lang w:val="es-ES_tradnl"/>
        </w:rPr>
        <w:t xml:space="preserve"> Aguilar</w:t>
      </w:r>
      <w:r w:rsidRPr="00D14232">
        <w:rPr>
          <w:rFonts w:asciiTheme="majorHAnsi" w:hAnsiTheme="majorHAnsi"/>
          <w:sz w:val="28"/>
          <w:szCs w:val="28"/>
          <w:lang w:val="es-ES_tradnl"/>
        </w:rPr>
        <w:t xml:space="preserve"> </w:t>
      </w:r>
    </w:p>
    <w:p w:rsidR="00E676FC" w:rsidRPr="00D14232" w:rsidRDefault="00E676FC" w:rsidP="00144279">
      <w:pPr>
        <w:spacing w:after="0" w:line="240" w:lineRule="auto"/>
        <w:rPr>
          <w:rFonts w:asciiTheme="majorHAnsi" w:hAnsiTheme="majorHAnsi"/>
          <w:sz w:val="28"/>
          <w:szCs w:val="28"/>
          <w:lang w:val="es-ES_tradnl"/>
        </w:rPr>
      </w:pPr>
    </w:p>
    <w:p w:rsidR="00144279" w:rsidRPr="00D14232" w:rsidRDefault="00144279" w:rsidP="00144279">
      <w:pPr>
        <w:spacing w:after="0" w:line="240" w:lineRule="auto"/>
        <w:rPr>
          <w:rFonts w:asciiTheme="majorHAnsi" w:hAnsiTheme="majorHAnsi"/>
          <w:sz w:val="28"/>
          <w:szCs w:val="28"/>
          <w:lang w:val="es-ES_tradnl"/>
        </w:rPr>
      </w:pPr>
    </w:p>
    <w:p w:rsidR="00E676FC" w:rsidRPr="00D14232" w:rsidRDefault="00144279" w:rsidP="00144279">
      <w:pPr>
        <w:spacing w:after="0" w:line="240" w:lineRule="auto"/>
        <w:jc w:val="right"/>
        <w:rPr>
          <w:rFonts w:asciiTheme="majorHAnsi" w:hAnsiTheme="majorHAnsi"/>
          <w:sz w:val="24"/>
          <w:szCs w:val="24"/>
          <w:lang w:val="es-ES_tradnl"/>
        </w:rPr>
      </w:pPr>
      <w:r w:rsidRPr="00D14232">
        <w:rPr>
          <w:rFonts w:asciiTheme="majorHAnsi" w:hAnsiTheme="majorHAnsi"/>
          <w:sz w:val="24"/>
          <w:szCs w:val="24"/>
          <w:lang w:val="es-ES_tradnl"/>
        </w:rPr>
        <w:t>Mayo 17</w:t>
      </w:r>
      <w:r w:rsidR="00E676FC" w:rsidRPr="00D14232">
        <w:rPr>
          <w:rFonts w:asciiTheme="majorHAnsi" w:hAnsiTheme="majorHAnsi"/>
          <w:sz w:val="24"/>
          <w:szCs w:val="24"/>
          <w:lang w:val="es-ES_tradnl"/>
        </w:rPr>
        <w:t xml:space="preserve"> de 2016</w:t>
      </w:r>
    </w:p>
    <w:p w:rsidR="00062B58" w:rsidRPr="00D14232" w:rsidRDefault="00062B58" w:rsidP="00144279">
      <w:pPr>
        <w:spacing w:after="0" w:line="240" w:lineRule="auto"/>
        <w:rPr>
          <w:rFonts w:asciiTheme="majorHAnsi" w:hAnsiTheme="majorHAnsi"/>
          <w:sz w:val="28"/>
          <w:szCs w:val="28"/>
          <w:lang w:val="es-ES_tradnl"/>
        </w:rPr>
        <w:sectPr w:rsidR="00062B58" w:rsidRPr="00D14232">
          <w:headerReference w:type="default" r:id="rId9"/>
          <w:footerReference w:type="default" r:id="rId10"/>
          <w:pgSz w:w="12240" w:h="15840"/>
          <w:pgMar w:top="1417" w:right="1701" w:bottom="1417" w:left="1701" w:header="708" w:footer="708" w:gutter="0"/>
          <w:cols w:space="708"/>
          <w:docGrid w:linePitch="360"/>
        </w:sectPr>
      </w:pPr>
    </w:p>
    <w:sdt>
      <w:sdtPr>
        <w:rPr>
          <w:rFonts w:asciiTheme="minorHAnsi" w:eastAsiaTheme="minorHAnsi" w:hAnsiTheme="minorHAnsi" w:cstheme="minorBidi"/>
          <w:b w:val="0"/>
          <w:bCs w:val="0"/>
          <w:color w:val="auto"/>
          <w:sz w:val="24"/>
          <w:szCs w:val="24"/>
          <w:lang w:val="es-CO" w:eastAsia="en-US"/>
        </w:rPr>
        <w:id w:val="1403950496"/>
        <w:docPartObj>
          <w:docPartGallery w:val="Table of Contents"/>
          <w:docPartUnique/>
        </w:docPartObj>
      </w:sdtPr>
      <w:sdtEndPr>
        <w:rPr>
          <w:noProof/>
        </w:rPr>
      </w:sdtEndPr>
      <w:sdtContent>
        <w:p w:rsidR="0096738D" w:rsidRPr="00D14232" w:rsidRDefault="0096738D">
          <w:pPr>
            <w:pStyle w:val="TOCHeading"/>
            <w:rPr>
              <w:color w:val="auto"/>
              <w:sz w:val="24"/>
              <w:szCs w:val="24"/>
              <w:lang w:val="es-CO"/>
            </w:rPr>
          </w:pPr>
          <w:r w:rsidRPr="00D14232">
            <w:rPr>
              <w:color w:val="auto"/>
              <w:sz w:val="24"/>
              <w:szCs w:val="24"/>
              <w:lang w:val="es-CO"/>
            </w:rPr>
            <w:t>Tabla de contenido</w:t>
          </w:r>
        </w:p>
        <w:p w:rsidR="002C1662" w:rsidRPr="00D14232" w:rsidRDefault="002C1662" w:rsidP="002C1662">
          <w:pPr>
            <w:rPr>
              <w:rFonts w:asciiTheme="majorHAnsi" w:hAnsiTheme="majorHAnsi"/>
              <w:sz w:val="24"/>
              <w:szCs w:val="24"/>
              <w:lang w:eastAsia="ja-JP"/>
            </w:rPr>
          </w:pPr>
        </w:p>
        <w:p w:rsidR="00144279" w:rsidRPr="00D14232" w:rsidRDefault="0096738D">
          <w:pPr>
            <w:pStyle w:val="TOC1"/>
            <w:tabs>
              <w:tab w:val="right" w:leader="dot" w:pos="8828"/>
            </w:tabs>
            <w:rPr>
              <w:rFonts w:asciiTheme="majorHAnsi" w:eastAsiaTheme="minorEastAsia" w:hAnsiTheme="majorHAnsi"/>
              <w:noProof/>
              <w:sz w:val="24"/>
              <w:szCs w:val="24"/>
              <w:lang w:eastAsia="es-CO"/>
            </w:rPr>
          </w:pPr>
          <w:r w:rsidRPr="00D14232">
            <w:rPr>
              <w:rFonts w:asciiTheme="majorHAnsi" w:hAnsiTheme="majorHAnsi"/>
              <w:sz w:val="24"/>
              <w:szCs w:val="24"/>
            </w:rPr>
            <w:fldChar w:fldCharType="begin"/>
          </w:r>
          <w:r w:rsidRPr="00D14232">
            <w:rPr>
              <w:rFonts w:asciiTheme="majorHAnsi" w:hAnsiTheme="majorHAnsi"/>
              <w:sz w:val="24"/>
              <w:szCs w:val="24"/>
            </w:rPr>
            <w:instrText xml:space="preserve"> TOC \o "1-3" \h \z \u </w:instrText>
          </w:r>
          <w:r w:rsidRPr="00D14232">
            <w:rPr>
              <w:rFonts w:asciiTheme="majorHAnsi" w:hAnsiTheme="majorHAnsi"/>
              <w:sz w:val="24"/>
              <w:szCs w:val="24"/>
            </w:rPr>
            <w:fldChar w:fldCharType="separate"/>
          </w:r>
          <w:hyperlink w:anchor="_Toc451247831" w:history="1">
            <w:r w:rsidR="00144279" w:rsidRPr="00D14232">
              <w:rPr>
                <w:rStyle w:val="Hyperlink"/>
                <w:rFonts w:asciiTheme="majorHAnsi" w:hAnsiTheme="majorHAnsi"/>
                <w:b/>
                <w:noProof/>
                <w:sz w:val="24"/>
                <w:szCs w:val="24"/>
              </w:rPr>
              <w:t>Introducción</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_Toc451247831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3</w:t>
            </w:r>
            <w:r w:rsidR="00144279" w:rsidRPr="00D14232">
              <w:rPr>
                <w:rFonts w:asciiTheme="majorHAnsi" w:hAnsiTheme="majorHAnsi"/>
                <w:noProof/>
                <w:webHidden/>
                <w:sz w:val="24"/>
                <w:szCs w:val="24"/>
              </w:rPr>
              <w:fldChar w:fldCharType="end"/>
            </w:r>
          </w:hyperlink>
        </w:p>
        <w:p w:rsidR="00144279" w:rsidRPr="00D14232" w:rsidRDefault="0072607A">
          <w:pPr>
            <w:pStyle w:val="TOC1"/>
            <w:tabs>
              <w:tab w:val="right" w:leader="dot" w:pos="8828"/>
            </w:tabs>
            <w:rPr>
              <w:rFonts w:asciiTheme="majorHAnsi" w:eastAsiaTheme="minorEastAsia" w:hAnsiTheme="majorHAnsi"/>
              <w:noProof/>
              <w:sz w:val="24"/>
              <w:szCs w:val="24"/>
              <w:lang w:eastAsia="es-CO"/>
            </w:rPr>
          </w:pPr>
          <w:hyperlink w:anchor="_Toc451247832" w:history="1">
            <w:r w:rsidR="00144279" w:rsidRPr="00D14232">
              <w:rPr>
                <w:rStyle w:val="Hyperlink"/>
                <w:rFonts w:asciiTheme="majorHAnsi" w:hAnsiTheme="majorHAnsi"/>
                <w:b/>
                <w:noProof/>
                <w:sz w:val="24"/>
                <w:szCs w:val="24"/>
                <w:lang w:val="es-ES_tradnl"/>
              </w:rPr>
              <w:t xml:space="preserve">I. </w:t>
            </w:r>
            <w:r w:rsidR="00144279" w:rsidRPr="00D14232">
              <w:rPr>
                <w:rStyle w:val="Hyperlink"/>
                <w:rFonts w:asciiTheme="majorHAnsi" w:hAnsiTheme="majorHAnsi"/>
                <w:b/>
                <w:noProof/>
                <w:sz w:val="24"/>
                <w:szCs w:val="24"/>
              </w:rPr>
              <w:t>Políticas dirigidas a la implementación y el seguimiento de los objetivos de desarrollo sostenible (ODS)</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_Toc451247832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4</w:t>
            </w:r>
            <w:r w:rsidR="00144279" w:rsidRPr="00D14232">
              <w:rPr>
                <w:rFonts w:asciiTheme="majorHAnsi" w:hAnsiTheme="majorHAnsi"/>
                <w:noProof/>
                <w:webHidden/>
                <w:sz w:val="24"/>
                <w:szCs w:val="24"/>
              </w:rPr>
              <w:fldChar w:fldCharType="end"/>
            </w:r>
          </w:hyperlink>
        </w:p>
        <w:p w:rsidR="00144279" w:rsidRPr="00D14232" w:rsidRDefault="0072607A">
          <w:pPr>
            <w:pStyle w:val="TOC3"/>
            <w:tabs>
              <w:tab w:val="right" w:leader="dot" w:pos="8828"/>
            </w:tabs>
            <w:rPr>
              <w:rFonts w:asciiTheme="majorHAnsi" w:hAnsiTheme="majorHAnsi"/>
              <w:noProof/>
              <w:sz w:val="24"/>
              <w:szCs w:val="24"/>
            </w:rPr>
          </w:pPr>
          <w:hyperlink w:anchor="_Toc451247833" w:history="1">
            <w:r w:rsidR="00144279" w:rsidRPr="00D14232">
              <w:rPr>
                <w:rStyle w:val="Hyperlink"/>
                <w:rFonts w:asciiTheme="majorHAnsi" w:hAnsiTheme="majorHAnsi"/>
                <w:noProof/>
                <w:sz w:val="24"/>
                <w:szCs w:val="24"/>
                <w:lang w:val="es-ES_tradnl"/>
              </w:rPr>
              <w:t>Superación de la pobreza y discapacidad</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_Toc451247833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5</w:t>
            </w:r>
            <w:r w:rsidR="00144279" w:rsidRPr="00D14232">
              <w:rPr>
                <w:rFonts w:asciiTheme="majorHAnsi" w:hAnsiTheme="majorHAnsi"/>
                <w:noProof/>
                <w:webHidden/>
                <w:sz w:val="24"/>
                <w:szCs w:val="24"/>
              </w:rPr>
              <w:fldChar w:fldCharType="end"/>
            </w:r>
          </w:hyperlink>
        </w:p>
        <w:p w:rsidR="00144279" w:rsidRPr="00D14232" w:rsidRDefault="0072607A">
          <w:pPr>
            <w:pStyle w:val="TOC3"/>
            <w:tabs>
              <w:tab w:val="right" w:leader="dot" w:pos="8828"/>
            </w:tabs>
            <w:rPr>
              <w:rFonts w:asciiTheme="majorHAnsi" w:hAnsiTheme="majorHAnsi"/>
              <w:noProof/>
              <w:sz w:val="24"/>
              <w:szCs w:val="24"/>
            </w:rPr>
          </w:pPr>
          <w:hyperlink w:anchor="_Toc451247834" w:history="1">
            <w:r w:rsidR="00144279" w:rsidRPr="00D14232">
              <w:rPr>
                <w:rStyle w:val="Hyperlink"/>
                <w:rFonts w:asciiTheme="majorHAnsi" w:hAnsiTheme="majorHAnsi"/>
                <w:noProof/>
                <w:sz w:val="24"/>
                <w:szCs w:val="24"/>
                <w:lang w:val="es-ES_tradnl"/>
              </w:rPr>
              <w:t>Educación inclusiva de las personas con discapacidad</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_Toc451247834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7</w:t>
            </w:r>
            <w:r w:rsidR="00144279" w:rsidRPr="00D14232">
              <w:rPr>
                <w:rFonts w:asciiTheme="majorHAnsi" w:hAnsiTheme="majorHAnsi"/>
                <w:noProof/>
                <w:webHidden/>
                <w:sz w:val="24"/>
                <w:szCs w:val="24"/>
              </w:rPr>
              <w:fldChar w:fldCharType="end"/>
            </w:r>
          </w:hyperlink>
        </w:p>
        <w:p w:rsidR="00144279" w:rsidRPr="00D14232" w:rsidRDefault="0072607A">
          <w:pPr>
            <w:pStyle w:val="TOC3"/>
            <w:tabs>
              <w:tab w:val="right" w:leader="dot" w:pos="8828"/>
            </w:tabs>
            <w:rPr>
              <w:rFonts w:asciiTheme="majorHAnsi" w:hAnsiTheme="majorHAnsi"/>
              <w:noProof/>
              <w:sz w:val="24"/>
              <w:szCs w:val="24"/>
            </w:rPr>
          </w:pPr>
          <w:hyperlink w:anchor="_Toc451247835" w:history="1">
            <w:r w:rsidR="00144279" w:rsidRPr="00D14232">
              <w:rPr>
                <w:rStyle w:val="Hyperlink"/>
                <w:rFonts w:asciiTheme="majorHAnsi" w:hAnsiTheme="majorHAnsi"/>
                <w:noProof/>
                <w:sz w:val="24"/>
                <w:szCs w:val="24"/>
                <w:lang w:val="es-ES_tradnl"/>
              </w:rPr>
              <w:t>Participación pública y política de las personas con discapacidad</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_Toc451247835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10</w:t>
            </w:r>
            <w:r w:rsidR="00144279" w:rsidRPr="00D14232">
              <w:rPr>
                <w:rFonts w:asciiTheme="majorHAnsi" w:hAnsiTheme="majorHAnsi"/>
                <w:noProof/>
                <w:webHidden/>
                <w:sz w:val="24"/>
                <w:szCs w:val="24"/>
              </w:rPr>
              <w:fldChar w:fldCharType="end"/>
            </w:r>
          </w:hyperlink>
        </w:p>
        <w:p w:rsidR="00144279" w:rsidRPr="00D14232" w:rsidRDefault="0072607A">
          <w:pPr>
            <w:pStyle w:val="TOC1"/>
            <w:tabs>
              <w:tab w:val="right" w:leader="dot" w:pos="8828"/>
            </w:tabs>
            <w:rPr>
              <w:rFonts w:asciiTheme="majorHAnsi" w:eastAsiaTheme="minorEastAsia" w:hAnsiTheme="majorHAnsi"/>
              <w:noProof/>
              <w:sz w:val="24"/>
              <w:szCs w:val="24"/>
              <w:lang w:eastAsia="es-CO"/>
            </w:rPr>
          </w:pPr>
          <w:hyperlink w:anchor="_Toc451247836" w:history="1">
            <w:r w:rsidR="00144279" w:rsidRPr="00D14232">
              <w:rPr>
                <w:rStyle w:val="Hyperlink"/>
                <w:rFonts w:asciiTheme="majorHAnsi" w:hAnsiTheme="majorHAnsi"/>
                <w:b/>
                <w:noProof/>
                <w:sz w:val="24"/>
                <w:szCs w:val="24"/>
              </w:rPr>
              <w:t>II. Aplicación del principio de no discriminación</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_Toc451247836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10</w:t>
            </w:r>
            <w:r w:rsidR="00144279" w:rsidRPr="00D14232">
              <w:rPr>
                <w:rFonts w:asciiTheme="majorHAnsi" w:hAnsiTheme="majorHAnsi"/>
                <w:noProof/>
                <w:webHidden/>
                <w:sz w:val="24"/>
                <w:szCs w:val="24"/>
              </w:rPr>
              <w:fldChar w:fldCharType="end"/>
            </w:r>
          </w:hyperlink>
        </w:p>
        <w:p w:rsidR="00144279" w:rsidRPr="00D14232" w:rsidRDefault="0072607A">
          <w:pPr>
            <w:pStyle w:val="TOC1"/>
            <w:tabs>
              <w:tab w:val="right" w:leader="dot" w:pos="8828"/>
            </w:tabs>
            <w:rPr>
              <w:rFonts w:asciiTheme="majorHAnsi" w:eastAsiaTheme="minorEastAsia" w:hAnsiTheme="majorHAnsi"/>
              <w:noProof/>
              <w:sz w:val="24"/>
              <w:szCs w:val="24"/>
              <w:lang w:eastAsia="es-CO"/>
            </w:rPr>
          </w:pPr>
          <w:hyperlink w:anchor="_Toc451247837" w:history="1">
            <w:r w:rsidR="00144279" w:rsidRPr="00D14232">
              <w:rPr>
                <w:rStyle w:val="Hyperlink"/>
                <w:rFonts w:asciiTheme="majorHAnsi" w:hAnsiTheme="majorHAnsi"/>
                <w:b/>
                <w:noProof/>
                <w:sz w:val="24"/>
                <w:szCs w:val="24"/>
              </w:rPr>
              <w:t>III. Marco legislativo y de políticas existente en Colombia sobre la accesibilidad para las personas con discapacidad.</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_Toc451247837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19</w:t>
            </w:r>
            <w:r w:rsidR="00144279" w:rsidRPr="00D14232">
              <w:rPr>
                <w:rFonts w:asciiTheme="majorHAnsi" w:hAnsiTheme="majorHAnsi"/>
                <w:noProof/>
                <w:webHidden/>
                <w:sz w:val="24"/>
                <w:szCs w:val="24"/>
              </w:rPr>
              <w:fldChar w:fldCharType="end"/>
            </w:r>
          </w:hyperlink>
        </w:p>
        <w:p w:rsidR="00144279" w:rsidRPr="00D14232" w:rsidRDefault="0072607A">
          <w:pPr>
            <w:pStyle w:val="TOC1"/>
            <w:tabs>
              <w:tab w:val="right" w:leader="dot" w:pos="8828"/>
            </w:tabs>
            <w:rPr>
              <w:rFonts w:asciiTheme="majorHAnsi" w:eastAsiaTheme="minorEastAsia" w:hAnsiTheme="majorHAnsi"/>
              <w:noProof/>
              <w:sz w:val="24"/>
              <w:szCs w:val="24"/>
              <w:lang w:eastAsia="es-CO"/>
            </w:rPr>
          </w:pPr>
          <w:hyperlink w:anchor="_Toc451247838" w:history="1">
            <w:r w:rsidR="00144279" w:rsidRPr="00D14232">
              <w:rPr>
                <w:rStyle w:val="Hyperlink"/>
                <w:rFonts w:asciiTheme="majorHAnsi" w:hAnsiTheme="majorHAnsi"/>
                <w:b/>
                <w:noProof/>
                <w:sz w:val="24"/>
                <w:szCs w:val="24"/>
              </w:rPr>
              <w:t>IV. Servicios de apoyo para las personas con discapacidad en Colombia</w:t>
            </w:r>
            <w:r w:rsidR="00144279" w:rsidRPr="00D14232">
              <w:rPr>
                <w:rFonts w:asciiTheme="majorHAnsi" w:hAnsiTheme="majorHAnsi"/>
                <w:noProof/>
                <w:webHidden/>
                <w:sz w:val="24"/>
                <w:szCs w:val="24"/>
              </w:rPr>
              <w:tab/>
            </w:r>
            <w:r w:rsidR="00144279" w:rsidRPr="00D14232">
              <w:rPr>
                <w:rFonts w:asciiTheme="majorHAnsi" w:hAnsiTheme="majorHAnsi"/>
                <w:noProof/>
                <w:webHidden/>
                <w:sz w:val="24"/>
                <w:szCs w:val="24"/>
              </w:rPr>
              <w:fldChar w:fldCharType="begin"/>
            </w:r>
            <w:r w:rsidR="00144279" w:rsidRPr="00D14232">
              <w:rPr>
                <w:rFonts w:asciiTheme="majorHAnsi" w:hAnsiTheme="majorHAnsi"/>
                <w:noProof/>
                <w:webHidden/>
                <w:sz w:val="24"/>
                <w:szCs w:val="24"/>
              </w:rPr>
              <w:instrText xml:space="preserve"> PAGEREF _Toc451247838 \h </w:instrText>
            </w:r>
            <w:r w:rsidR="00144279" w:rsidRPr="00D14232">
              <w:rPr>
                <w:rFonts w:asciiTheme="majorHAnsi" w:hAnsiTheme="majorHAnsi"/>
                <w:noProof/>
                <w:webHidden/>
                <w:sz w:val="24"/>
                <w:szCs w:val="24"/>
              </w:rPr>
            </w:r>
            <w:r w:rsidR="00144279" w:rsidRPr="00D14232">
              <w:rPr>
                <w:rFonts w:asciiTheme="majorHAnsi" w:hAnsiTheme="majorHAnsi"/>
                <w:noProof/>
                <w:webHidden/>
                <w:sz w:val="24"/>
                <w:szCs w:val="24"/>
              </w:rPr>
              <w:fldChar w:fldCharType="separate"/>
            </w:r>
            <w:r w:rsidR="00D14232" w:rsidRPr="00D14232">
              <w:rPr>
                <w:rFonts w:asciiTheme="majorHAnsi" w:hAnsiTheme="majorHAnsi"/>
                <w:noProof/>
                <w:webHidden/>
                <w:sz w:val="24"/>
                <w:szCs w:val="24"/>
              </w:rPr>
              <w:t>24</w:t>
            </w:r>
            <w:r w:rsidR="00144279" w:rsidRPr="00D14232">
              <w:rPr>
                <w:rFonts w:asciiTheme="majorHAnsi" w:hAnsiTheme="majorHAnsi"/>
                <w:noProof/>
                <w:webHidden/>
                <w:sz w:val="24"/>
                <w:szCs w:val="24"/>
              </w:rPr>
              <w:fldChar w:fldCharType="end"/>
            </w:r>
          </w:hyperlink>
        </w:p>
        <w:p w:rsidR="0096738D" w:rsidRPr="00D14232" w:rsidRDefault="0096738D">
          <w:pPr>
            <w:rPr>
              <w:rFonts w:asciiTheme="majorHAnsi" w:hAnsiTheme="majorHAnsi"/>
              <w:sz w:val="24"/>
              <w:szCs w:val="24"/>
            </w:rPr>
          </w:pPr>
          <w:r w:rsidRPr="00D14232">
            <w:rPr>
              <w:rFonts w:asciiTheme="majorHAnsi" w:hAnsiTheme="majorHAnsi"/>
              <w:bCs/>
              <w:noProof/>
              <w:sz w:val="24"/>
              <w:szCs w:val="24"/>
            </w:rPr>
            <w:fldChar w:fldCharType="end"/>
          </w:r>
        </w:p>
      </w:sdtContent>
    </w:sdt>
    <w:p w:rsidR="00062B58" w:rsidRPr="00D14232" w:rsidRDefault="00062B58" w:rsidP="0096738D">
      <w:pPr>
        <w:rPr>
          <w:rFonts w:asciiTheme="majorHAnsi" w:hAnsiTheme="majorHAnsi"/>
          <w:sz w:val="24"/>
          <w:szCs w:val="24"/>
        </w:rPr>
        <w:sectPr w:rsidR="00062B58" w:rsidRPr="00D14232">
          <w:pgSz w:w="12240" w:h="15840"/>
          <w:pgMar w:top="1417" w:right="1701" w:bottom="1417" w:left="1701" w:header="708" w:footer="708" w:gutter="0"/>
          <w:cols w:space="708"/>
          <w:docGrid w:linePitch="360"/>
        </w:sectPr>
      </w:pPr>
    </w:p>
    <w:p w:rsidR="00E676FC" w:rsidRPr="00D14232" w:rsidRDefault="00E676FC" w:rsidP="00B34C19">
      <w:pPr>
        <w:pStyle w:val="Heading1"/>
        <w:spacing w:before="120" w:after="120"/>
        <w:jc w:val="both"/>
        <w:rPr>
          <w:b/>
          <w:color w:val="006C6C"/>
          <w:sz w:val="24"/>
          <w:szCs w:val="24"/>
          <w:lang w:val="es-CO"/>
        </w:rPr>
      </w:pPr>
      <w:bookmarkStart w:id="1" w:name="_Toc451157548"/>
      <w:bookmarkStart w:id="2" w:name="_Toc451247831"/>
      <w:r w:rsidRPr="00D14232">
        <w:rPr>
          <w:b/>
          <w:color w:val="006C6C"/>
          <w:sz w:val="24"/>
          <w:szCs w:val="24"/>
          <w:lang w:val="es-CO"/>
        </w:rPr>
        <w:lastRenderedPageBreak/>
        <w:t>Introducción</w:t>
      </w:r>
      <w:bookmarkEnd w:id="1"/>
      <w:bookmarkEnd w:id="2"/>
    </w:p>
    <w:p w:rsidR="00E676FC" w:rsidRPr="00D14232" w:rsidRDefault="00E676FC" w:rsidP="00B34C19">
      <w:pPr>
        <w:spacing w:before="120" w:after="120"/>
        <w:jc w:val="both"/>
        <w:rPr>
          <w:rFonts w:asciiTheme="majorHAnsi" w:hAnsiTheme="majorHAnsi"/>
          <w:sz w:val="24"/>
          <w:szCs w:val="24"/>
        </w:rPr>
      </w:pPr>
      <w:r w:rsidRPr="00D14232">
        <w:rPr>
          <w:rFonts w:asciiTheme="majorHAnsi" w:hAnsiTheme="majorHAnsi"/>
          <w:sz w:val="24"/>
          <w:szCs w:val="24"/>
        </w:rPr>
        <w:t>La Fundación Saldarriaga Concha (FSC) es una organización de la sociedad civil creada en 1973 que trabaja para transformar a Colombia en una sociedad para todos</w:t>
      </w:r>
      <w:r w:rsidR="00062B58" w:rsidRPr="00D14232">
        <w:rPr>
          <w:rFonts w:asciiTheme="majorHAnsi" w:hAnsiTheme="majorHAnsi"/>
          <w:sz w:val="24"/>
          <w:szCs w:val="24"/>
        </w:rPr>
        <w:t xml:space="preserve"> con especial énfasis en las personas mayores y las personas con discapacidad</w:t>
      </w:r>
      <w:r w:rsidRPr="00D14232">
        <w:rPr>
          <w:rFonts w:asciiTheme="majorHAnsi" w:hAnsiTheme="majorHAnsi"/>
          <w:sz w:val="24"/>
          <w:szCs w:val="24"/>
        </w:rPr>
        <w:t xml:space="preserve">. Para lograrlo contribuimos a una transformación cultural en la que primen el respeto por el otro y la solidaridad, en donde se asegure la inclusión social mediante el cumplimiento efectivo de derechos y deberes por parte del Estado y de los ciudadanos. </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La FSC invierte recursos propios para llevar a cabo sus proyectos e iniciativas. Asimismo es socia del Estado colombiano en diferentes proyectos y estrategias, entre ellas, la Estrategia de Atención a la Primera Infancia “de Cero a Siempre”. Es socia del Banco Interamericano de Desarrollo (BID) en proyectos de productividad e inclusión laboral para personas con discapacidad, y es socio-operador de la Agencia de Estados Unidos para el Desarrollo Internacional (USAID) en Colombia, en proyectos de desarrollo comunitario para personas con discapacidad víctimas del conflicto armado en situación de pobreza extrema. La FSC considera que para lograr las transformaciones sociales es imprescindible trabajar en alianza con el Estado, los organismos internacionales, así como los gobiernos locales y las organizaciones de la sociedad civil.</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La CDPD es la hoja de ruta de las acciones que desarrollamos. La FSC fue un actor clave en el proceso de discusión y ratificación de la CDPD por el Estado colombiano. Adicionalmente la FSC desarrolló un proceso de difusión masiva de la CDPD entre las personas con discapacidad, sus familias, las organizaciones sociales que la representan y las entidades del Estado, permitiendo que se convirtiera en una poderosa herramienta de trabajo, incluso mucho antes de que fuera efectivamente ratificada por el Estado colombiano.</w:t>
      </w:r>
    </w:p>
    <w:p w:rsidR="00C87468" w:rsidRPr="00D14232" w:rsidRDefault="00C87468"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Este informe presenta un mapeo de las principales políticas de inclusión para personas con discapacidad en Colombia, de acuerdo a la solicitud pública realizada por la Relatora Especial para Naciones Unidas sobre personas con discapacidad. Algunas de las conclusiones </w:t>
      </w:r>
      <w:r w:rsidR="00381190" w:rsidRPr="00D14232">
        <w:rPr>
          <w:rFonts w:asciiTheme="majorHAnsi" w:hAnsiTheme="majorHAnsi"/>
          <w:sz w:val="24"/>
          <w:szCs w:val="24"/>
        </w:rPr>
        <w:t>hacen parte del informe alternativo presentado por la FSC en alianza con personas con discapacidad y aliados, ante el</w:t>
      </w:r>
      <w:r w:rsidRPr="00D14232">
        <w:rPr>
          <w:rFonts w:asciiTheme="majorHAnsi" w:hAnsiTheme="majorHAnsi"/>
          <w:sz w:val="24"/>
          <w:szCs w:val="24"/>
        </w:rPr>
        <w:t xml:space="preserve"> Comité CDPD para su análisis en agosto del </w:t>
      </w:r>
      <w:r w:rsidR="00062B58" w:rsidRPr="00D14232">
        <w:rPr>
          <w:rFonts w:asciiTheme="majorHAnsi" w:hAnsiTheme="majorHAnsi"/>
          <w:sz w:val="24"/>
          <w:szCs w:val="24"/>
        </w:rPr>
        <w:t>2016</w:t>
      </w:r>
      <w:r w:rsidRPr="00D14232">
        <w:rPr>
          <w:rFonts w:asciiTheme="majorHAnsi" w:hAnsiTheme="majorHAnsi"/>
          <w:sz w:val="24"/>
          <w:szCs w:val="24"/>
        </w:rPr>
        <w:t>.</w:t>
      </w:r>
    </w:p>
    <w:p w:rsidR="00E676FC" w:rsidRPr="00D14232" w:rsidRDefault="00E676FC" w:rsidP="00B34C19">
      <w:pPr>
        <w:spacing w:before="120" w:after="120"/>
        <w:jc w:val="both"/>
        <w:rPr>
          <w:rFonts w:asciiTheme="majorHAnsi" w:hAnsiTheme="majorHAnsi"/>
          <w:sz w:val="24"/>
          <w:szCs w:val="24"/>
          <w:lang w:val="es-ES_tradnl"/>
        </w:rPr>
      </w:pPr>
    </w:p>
    <w:p w:rsidR="00E676FC" w:rsidRPr="00D14232" w:rsidRDefault="005432BB" w:rsidP="005432BB">
      <w:pPr>
        <w:pStyle w:val="Heading1"/>
        <w:spacing w:before="120" w:after="120"/>
        <w:jc w:val="both"/>
        <w:rPr>
          <w:b/>
          <w:color w:val="006C6C"/>
          <w:sz w:val="24"/>
          <w:szCs w:val="24"/>
          <w:lang w:val="es-CO"/>
        </w:rPr>
      </w:pPr>
      <w:bookmarkStart w:id="3" w:name="_Toc451247832"/>
      <w:r w:rsidRPr="00D14232">
        <w:rPr>
          <w:b/>
          <w:color w:val="006C6C"/>
          <w:sz w:val="24"/>
          <w:szCs w:val="24"/>
          <w:lang w:val="es-ES_tradnl"/>
        </w:rPr>
        <w:lastRenderedPageBreak/>
        <w:t xml:space="preserve">I. </w:t>
      </w:r>
      <w:r w:rsidR="00E676FC" w:rsidRPr="00D14232">
        <w:rPr>
          <w:b/>
          <w:color w:val="006C6C"/>
          <w:sz w:val="24"/>
          <w:szCs w:val="24"/>
          <w:lang w:val="es-CO"/>
        </w:rPr>
        <w:t>Políticas dirigidas a la implementación y el seguimiento de los objetivos de desarrollo sostenible (ODS)</w:t>
      </w:r>
      <w:bookmarkEnd w:id="3"/>
    </w:p>
    <w:p w:rsidR="00E676FC" w:rsidRPr="00D14232" w:rsidRDefault="00E676FC" w:rsidP="00B34C19">
      <w:pPr>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En el marco de la solicitud de la Relatora Especial ante Naciones Unidas para los Derechos de las personas con discapacidad, en este capítulo se hará un mapeo general de las políticas dirigidas a la implementación y el seguimiento de los objetivos de desarrollo sostenible de Naciones Unidas en Colombia. Se abordarán: (i) las estrategias y los planes de acción nacionales existentes, (ii) la asignación del presupuesto para su ejecución, (iii) los mecanismos o marcos existentes para vigilar su implemen</w:t>
      </w:r>
      <w:r w:rsidR="00062B58" w:rsidRPr="00D14232">
        <w:rPr>
          <w:rFonts w:asciiTheme="majorHAnsi" w:hAnsiTheme="majorHAnsi"/>
          <w:sz w:val="24"/>
          <w:szCs w:val="24"/>
          <w:lang w:val="es-ES_tradnl"/>
        </w:rPr>
        <w:t>tación, (iv) si las estrategias</w:t>
      </w:r>
      <w:r w:rsidRPr="00D14232">
        <w:rPr>
          <w:rFonts w:asciiTheme="majorHAnsi" w:hAnsiTheme="majorHAnsi"/>
          <w:sz w:val="24"/>
          <w:szCs w:val="24"/>
          <w:lang w:val="es-ES_tradnl"/>
        </w:rPr>
        <w:t xml:space="preserve"> y/o planes tienen en cuenta la situación de las mujeres y niñas con discapacidad, así como los niños y las personas mayores con discapacidad y (v) la participación efectiva de las personas con discapacidad y sus organizaciones re</w:t>
      </w:r>
      <w:r w:rsidR="00062B58" w:rsidRPr="00D14232">
        <w:rPr>
          <w:rFonts w:asciiTheme="majorHAnsi" w:hAnsiTheme="majorHAnsi"/>
          <w:sz w:val="24"/>
          <w:szCs w:val="24"/>
          <w:lang w:val="es-ES_tradnl"/>
        </w:rPr>
        <w:t xml:space="preserve">presentativas en el desarrollo </w:t>
      </w:r>
      <w:r w:rsidRPr="00D14232">
        <w:rPr>
          <w:rFonts w:asciiTheme="majorHAnsi" w:hAnsiTheme="majorHAnsi"/>
          <w:sz w:val="24"/>
          <w:szCs w:val="24"/>
          <w:lang w:val="es-ES_tradnl"/>
        </w:rPr>
        <w:t xml:space="preserve">e implementación de tales estrategias y/o planes. </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En septiembre de 2015 los Estados miembro de la organización de Naciones Unidas aprobaron la Agenda 2030 para el Desarrollo Sostenible. Estos objetivos proponen una mirada alternativa del desarrollo, enfocando la atención en poner fin a la pobreza, luchas contra la desigualdad y la injusticia y hacer frente al cambio climático. En este capítulo se propone un análisis de los principales desafíos de Colombia para cumplir los ODS. </w:t>
      </w:r>
    </w:p>
    <w:p w:rsidR="00062B58" w:rsidRPr="00D14232" w:rsidRDefault="00062B58" w:rsidP="00B34C19">
      <w:pPr>
        <w:spacing w:before="120" w:after="120"/>
        <w:ind w:firstLine="567"/>
        <w:jc w:val="both"/>
        <w:rPr>
          <w:rFonts w:asciiTheme="majorHAnsi" w:hAnsiTheme="majorHAnsi"/>
          <w:sz w:val="24"/>
          <w:szCs w:val="24"/>
        </w:rPr>
      </w:pPr>
      <w:r w:rsidRPr="00D14232">
        <w:rPr>
          <w:rFonts w:asciiTheme="majorHAnsi" w:hAnsiTheme="majorHAnsi"/>
          <w:sz w:val="24"/>
          <w:szCs w:val="24"/>
          <w:lang w:val="es-ES_tradnl"/>
        </w:rPr>
        <w:t xml:space="preserve">En febrero de 2015, Colombia </w:t>
      </w:r>
      <w:r w:rsidR="00E676FC" w:rsidRPr="00D14232">
        <w:rPr>
          <w:rFonts w:asciiTheme="majorHAnsi" w:hAnsiTheme="majorHAnsi"/>
          <w:sz w:val="24"/>
          <w:szCs w:val="24"/>
          <w:lang w:val="es-ES_tradnl"/>
        </w:rPr>
        <w:t>expidió el Decreto 0280, por medio del cual se creó la Comisión Interinstitucional de Alto Nivel para el alistamiento y la efectiva implementación de la agenda de desarrollo post 2015 y sus Objetivos de Desarrollo Sostenible (ODS). El objetivo de dicha comisión es articular los ODS con las políticas públicas incluyéndolos en el Plan Nacional de Desarrollo. El objetivo de esta comisión es facilitar los espacios de diálogo y coordinación interinstitucional, para que se optimicen los recursos disponibles y que también se coordinen y prioricen acciones y actividades de monitoreo de los avances para la toma de medidas oportunas. En el artículo 2 del mencionado decreto se establece que la Comisión se debe encargar del alistamiento y la efectiva implementación de los ODS a trav</w:t>
      </w:r>
      <w:r w:rsidRPr="00D14232">
        <w:rPr>
          <w:rFonts w:asciiTheme="majorHAnsi" w:hAnsiTheme="majorHAnsi"/>
          <w:sz w:val="24"/>
          <w:szCs w:val="24"/>
          <w:lang w:val="es-ES_tradnl"/>
        </w:rPr>
        <w:t>és de políticas públicas, plane</w:t>
      </w:r>
      <w:r w:rsidR="00E676FC" w:rsidRPr="00D14232">
        <w:rPr>
          <w:rFonts w:asciiTheme="majorHAnsi" w:hAnsiTheme="majorHAnsi"/>
          <w:sz w:val="24"/>
          <w:szCs w:val="24"/>
          <w:lang w:val="es-ES_tradnl"/>
        </w:rPr>
        <w:t>s, acciones y programas, con planificación prospectiva, y el monitoreo, seguimiento y evaluación de estos objetivos, con sus metas. La Comisión está integrada por:</w:t>
      </w:r>
      <w:r w:rsidR="00E676FC" w:rsidRPr="00D14232">
        <w:rPr>
          <w:rFonts w:asciiTheme="majorHAnsi" w:hAnsiTheme="majorHAnsi"/>
          <w:sz w:val="24"/>
          <w:szCs w:val="24"/>
        </w:rPr>
        <w:t xml:space="preserve"> </w:t>
      </w:r>
    </w:p>
    <w:p w:rsidR="00062B58" w:rsidRPr="00D14232" w:rsidRDefault="00E676FC" w:rsidP="00B34C19">
      <w:pPr>
        <w:pStyle w:val="ListParagraph"/>
        <w:numPr>
          <w:ilvl w:val="0"/>
          <w:numId w:val="12"/>
        </w:numPr>
        <w:spacing w:before="120" w:after="120" w:line="276" w:lineRule="auto"/>
        <w:jc w:val="both"/>
        <w:rPr>
          <w:rFonts w:asciiTheme="majorHAnsi" w:hAnsiTheme="majorHAnsi"/>
        </w:rPr>
      </w:pPr>
      <w:r w:rsidRPr="00D14232">
        <w:rPr>
          <w:rFonts w:asciiTheme="majorHAnsi" w:hAnsiTheme="majorHAnsi"/>
        </w:rPr>
        <w:t>El Ministro de Relaciones Exteriores, o su delegado</w:t>
      </w:r>
      <w:r w:rsidR="00062B58" w:rsidRPr="00D14232">
        <w:rPr>
          <w:rFonts w:asciiTheme="majorHAnsi" w:hAnsiTheme="majorHAnsi"/>
        </w:rPr>
        <w:t>.</w:t>
      </w:r>
    </w:p>
    <w:p w:rsidR="00062B58" w:rsidRPr="00D14232" w:rsidRDefault="00E676FC" w:rsidP="00B34C19">
      <w:pPr>
        <w:pStyle w:val="ListParagraph"/>
        <w:numPr>
          <w:ilvl w:val="0"/>
          <w:numId w:val="12"/>
        </w:numPr>
        <w:spacing w:before="120" w:after="120" w:line="276" w:lineRule="auto"/>
        <w:jc w:val="both"/>
        <w:rPr>
          <w:rFonts w:asciiTheme="majorHAnsi" w:hAnsiTheme="majorHAnsi"/>
        </w:rPr>
      </w:pPr>
      <w:r w:rsidRPr="00D14232">
        <w:rPr>
          <w:rFonts w:asciiTheme="majorHAnsi" w:hAnsiTheme="majorHAnsi"/>
        </w:rPr>
        <w:t>El Ministro de Hacienda y Crédito Público, o su delegado</w:t>
      </w:r>
      <w:r w:rsidR="00062B58" w:rsidRPr="00D14232">
        <w:rPr>
          <w:rFonts w:asciiTheme="majorHAnsi" w:hAnsiTheme="majorHAnsi"/>
        </w:rPr>
        <w:t>.</w:t>
      </w:r>
    </w:p>
    <w:p w:rsidR="00062B58" w:rsidRPr="00D14232" w:rsidRDefault="00E676FC" w:rsidP="00B34C19">
      <w:pPr>
        <w:pStyle w:val="ListParagraph"/>
        <w:numPr>
          <w:ilvl w:val="0"/>
          <w:numId w:val="12"/>
        </w:numPr>
        <w:spacing w:before="120" w:after="120" w:line="276" w:lineRule="auto"/>
        <w:jc w:val="both"/>
        <w:rPr>
          <w:rFonts w:asciiTheme="majorHAnsi" w:hAnsiTheme="majorHAnsi"/>
        </w:rPr>
      </w:pPr>
      <w:r w:rsidRPr="00D14232">
        <w:rPr>
          <w:rFonts w:asciiTheme="majorHAnsi" w:hAnsiTheme="majorHAnsi"/>
        </w:rPr>
        <w:t>El Ministro de Ambiente y Desarrollo Sostenible, o su delegado</w:t>
      </w:r>
      <w:r w:rsidR="00062B58" w:rsidRPr="00D14232">
        <w:rPr>
          <w:rFonts w:asciiTheme="majorHAnsi" w:hAnsiTheme="majorHAnsi"/>
        </w:rPr>
        <w:t>.</w:t>
      </w:r>
    </w:p>
    <w:p w:rsidR="00062B58" w:rsidRPr="0072607A" w:rsidRDefault="00E676FC" w:rsidP="00B34C19">
      <w:pPr>
        <w:pStyle w:val="ListParagraph"/>
        <w:numPr>
          <w:ilvl w:val="0"/>
          <w:numId w:val="12"/>
        </w:numPr>
        <w:spacing w:before="120" w:after="120" w:line="276" w:lineRule="auto"/>
        <w:jc w:val="both"/>
        <w:rPr>
          <w:rFonts w:asciiTheme="majorHAnsi" w:hAnsiTheme="majorHAnsi"/>
          <w:lang w:val="es-ES"/>
        </w:rPr>
      </w:pPr>
      <w:r w:rsidRPr="0072607A">
        <w:rPr>
          <w:rFonts w:asciiTheme="majorHAnsi" w:hAnsiTheme="majorHAnsi"/>
          <w:lang w:val="es-ES"/>
        </w:rPr>
        <w:lastRenderedPageBreak/>
        <w:t>El Departamento Administrativo de la Presidencia de la República, con la participación del Ministro Consejero para el Gobierno y el Sector Privado, o su delegado</w:t>
      </w:r>
      <w:r w:rsidR="00062B58" w:rsidRPr="0072607A">
        <w:rPr>
          <w:rFonts w:asciiTheme="majorHAnsi" w:hAnsiTheme="majorHAnsi"/>
          <w:lang w:val="es-ES"/>
        </w:rPr>
        <w:t>.</w:t>
      </w:r>
    </w:p>
    <w:p w:rsidR="00062B58" w:rsidRPr="0072607A" w:rsidRDefault="00E676FC" w:rsidP="00B34C19">
      <w:pPr>
        <w:pStyle w:val="ListParagraph"/>
        <w:numPr>
          <w:ilvl w:val="0"/>
          <w:numId w:val="12"/>
        </w:numPr>
        <w:spacing w:before="120" w:after="120" w:line="276" w:lineRule="auto"/>
        <w:jc w:val="both"/>
        <w:rPr>
          <w:rFonts w:asciiTheme="majorHAnsi" w:hAnsiTheme="majorHAnsi"/>
          <w:lang w:val="es-ES"/>
        </w:rPr>
      </w:pPr>
      <w:r w:rsidRPr="0072607A">
        <w:rPr>
          <w:rFonts w:asciiTheme="majorHAnsi" w:hAnsiTheme="majorHAnsi"/>
          <w:lang w:val="es-ES"/>
        </w:rPr>
        <w:t>El Director del Departamento Nacional de Planeación, quien la presidirá, o su delegado</w:t>
      </w:r>
      <w:r w:rsidR="00062B58" w:rsidRPr="0072607A">
        <w:rPr>
          <w:rFonts w:asciiTheme="majorHAnsi" w:hAnsiTheme="majorHAnsi"/>
          <w:lang w:val="es-ES"/>
        </w:rPr>
        <w:t>.</w:t>
      </w:r>
    </w:p>
    <w:p w:rsidR="00062B58" w:rsidRPr="0072607A" w:rsidRDefault="00E676FC" w:rsidP="00B34C19">
      <w:pPr>
        <w:pStyle w:val="ListParagraph"/>
        <w:numPr>
          <w:ilvl w:val="0"/>
          <w:numId w:val="12"/>
        </w:numPr>
        <w:spacing w:before="120" w:after="120" w:line="276" w:lineRule="auto"/>
        <w:jc w:val="both"/>
        <w:rPr>
          <w:rFonts w:asciiTheme="majorHAnsi" w:hAnsiTheme="majorHAnsi"/>
          <w:lang w:val="es-ES"/>
        </w:rPr>
      </w:pPr>
      <w:r w:rsidRPr="0072607A">
        <w:rPr>
          <w:rFonts w:asciiTheme="majorHAnsi" w:hAnsiTheme="majorHAnsi"/>
          <w:lang w:val="es-ES"/>
        </w:rPr>
        <w:t>El Director del Departamento Administrativo Nacional de Estadística, o su delegado</w:t>
      </w:r>
      <w:r w:rsidR="00062B58" w:rsidRPr="0072607A">
        <w:rPr>
          <w:rFonts w:asciiTheme="majorHAnsi" w:hAnsiTheme="majorHAnsi"/>
          <w:lang w:val="es-ES"/>
        </w:rPr>
        <w:t>.</w:t>
      </w:r>
    </w:p>
    <w:p w:rsidR="00062B58" w:rsidRPr="0072607A" w:rsidRDefault="00E676FC" w:rsidP="00B34C19">
      <w:pPr>
        <w:pStyle w:val="ListParagraph"/>
        <w:numPr>
          <w:ilvl w:val="0"/>
          <w:numId w:val="12"/>
        </w:numPr>
        <w:spacing w:before="120" w:after="120" w:line="276" w:lineRule="auto"/>
        <w:jc w:val="both"/>
        <w:rPr>
          <w:rFonts w:asciiTheme="majorHAnsi" w:hAnsiTheme="majorHAnsi"/>
          <w:lang w:val="es-ES"/>
        </w:rPr>
      </w:pPr>
      <w:r w:rsidRPr="0072607A">
        <w:rPr>
          <w:rFonts w:asciiTheme="majorHAnsi" w:hAnsiTheme="majorHAnsi"/>
          <w:lang w:val="es-ES"/>
        </w:rPr>
        <w:t xml:space="preserve">El Director del Departamento Administrativo para la Prosperidad Social, o su delegado. </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Aún no se hay información pública disponible sobre los avances de esta Comisión y su impacto en las políticas de inclusión social y superación de la pobreza. Sin embargo, en este capítulo se pretende dilucidar los mayores retos para cumplir los ODS, en clave de inclusión para la población con discapacidad. Dos temas de gran relevancia son la reducción de la pobreza extrema y el goce del derecho a la educación inclusiva y de calidad.</w:t>
      </w:r>
    </w:p>
    <w:p w:rsidR="00B34C19" w:rsidRPr="00D14232" w:rsidRDefault="00B34C19" w:rsidP="00B34C19">
      <w:pPr>
        <w:spacing w:before="120" w:after="120"/>
        <w:ind w:firstLine="567"/>
        <w:jc w:val="both"/>
        <w:rPr>
          <w:rFonts w:asciiTheme="majorHAnsi" w:hAnsiTheme="majorHAnsi"/>
          <w:sz w:val="24"/>
          <w:szCs w:val="24"/>
        </w:rPr>
      </w:pPr>
    </w:p>
    <w:p w:rsidR="00545654" w:rsidRPr="00D14232" w:rsidRDefault="00545654" w:rsidP="00B34C19">
      <w:pPr>
        <w:pStyle w:val="Heading3"/>
        <w:spacing w:before="120" w:after="120"/>
        <w:rPr>
          <w:color w:val="006C6C"/>
          <w:sz w:val="24"/>
          <w:szCs w:val="24"/>
          <w:lang w:val="es-ES_tradnl"/>
        </w:rPr>
      </w:pPr>
      <w:bookmarkStart w:id="4" w:name="_Toc451247833"/>
      <w:r w:rsidRPr="00D14232">
        <w:rPr>
          <w:color w:val="006C6C"/>
          <w:sz w:val="24"/>
          <w:szCs w:val="24"/>
          <w:lang w:val="es-ES_tradnl"/>
        </w:rPr>
        <w:t>Superación de la pobreza y discapacidad</w:t>
      </w:r>
      <w:bookmarkEnd w:id="4"/>
    </w:p>
    <w:p w:rsidR="00062B58" w:rsidRPr="00D14232" w:rsidRDefault="00E676FC" w:rsidP="00B34C19">
      <w:pPr>
        <w:autoSpaceDE w:val="0"/>
        <w:autoSpaceDN w:val="0"/>
        <w:adjustRightInd w:val="0"/>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Colombia es un país de renta media, con una población estimada en 2015 de 48 millones de personas, la esperanza de vida al nacer es de 74 años, cuenta con un producto interno bruto (PIB) de 377.7 billones de dólares y con un porcentaje de población por debajo de la línea de pobreza del 28,5%</w:t>
      </w:r>
      <w:r w:rsidRPr="00D14232">
        <w:rPr>
          <w:rStyle w:val="FootnoteReference"/>
          <w:rFonts w:asciiTheme="majorHAnsi" w:hAnsiTheme="majorHAnsi"/>
          <w:sz w:val="24"/>
          <w:szCs w:val="24"/>
          <w:lang w:val="es-ES_tradnl"/>
        </w:rPr>
        <w:footnoteReference w:id="2"/>
      </w:r>
      <w:r w:rsidRPr="00D14232">
        <w:rPr>
          <w:rFonts w:asciiTheme="majorHAnsi" w:hAnsiTheme="majorHAnsi"/>
          <w:sz w:val="24"/>
          <w:szCs w:val="24"/>
          <w:lang w:val="es-ES_tradnl"/>
        </w:rPr>
        <w:t xml:space="preserve">. De acuerdo con el </w:t>
      </w:r>
      <w:r w:rsidR="00062B58" w:rsidRPr="00D14232">
        <w:rPr>
          <w:rFonts w:asciiTheme="majorHAnsi" w:hAnsiTheme="majorHAnsi"/>
          <w:sz w:val="24"/>
          <w:szCs w:val="24"/>
          <w:lang w:val="es-ES_tradnl"/>
        </w:rPr>
        <w:t>Censo del 2005 en Colombia el 6.</w:t>
      </w:r>
      <w:r w:rsidRPr="00D14232">
        <w:rPr>
          <w:rFonts w:asciiTheme="majorHAnsi" w:hAnsiTheme="majorHAnsi"/>
          <w:sz w:val="24"/>
          <w:szCs w:val="24"/>
          <w:lang w:val="es-ES_tradnl"/>
        </w:rPr>
        <w:t>4% de la población tiene alguna discapacidad, es decir que para una población total estimada de 48 millones de personas en 2015, más de 3 millones de colombianos tendrán alguna discapacidad.</w:t>
      </w:r>
      <w:r w:rsidR="00062B58" w:rsidRPr="00D14232">
        <w:rPr>
          <w:rFonts w:asciiTheme="majorHAnsi" w:hAnsiTheme="majorHAnsi"/>
          <w:sz w:val="24"/>
          <w:szCs w:val="24"/>
          <w:lang w:val="es-ES_tradnl"/>
        </w:rPr>
        <w:t xml:space="preserve"> No obstante organizaciones de la sociedad civil y la misma Corte Constitucional colombiana estiman que la población con discapacidad en el país puede superar el 10% de la población, y una proporción significativa sería mayor de 60 años.</w:t>
      </w:r>
      <w:r w:rsidRPr="00D14232">
        <w:rPr>
          <w:rFonts w:asciiTheme="majorHAnsi" w:hAnsiTheme="majorHAnsi"/>
          <w:sz w:val="24"/>
          <w:szCs w:val="24"/>
          <w:lang w:val="es-ES_tradnl"/>
        </w:rPr>
        <w:t xml:space="preserve"> </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En el informe alternativo presentado por la FSC </w:t>
      </w:r>
      <w:r w:rsidR="00105AAF" w:rsidRPr="00D14232">
        <w:rPr>
          <w:rFonts w:asciiTheme="majorHAnsi" w:hAnsiTheme="majorHAnsi"/>
          <w:sz w:val="24"/>
          <w:szCs w:val="24"/>
          <w:lang w:val="es-ES_tradnl"/>
        </w:rPr>
        <w:t xml:space="preserve">y más de 300 organizaciones, personas con discapacidad y líderes </w:t>
      </w:r>
      <w:r w:rsidRPr="00D14232">
        <w:rPr>
          <w:rFonts w:asciiTheme="majorHAnsi" w:hAnsiTheme="majorHAnsi"/>
          <w:sz w:val="24"/>
          <w:szCs w:val="24"/>
          <w:lang w:val="es-ES_tradnl"/>
        </w:rPr>
        <w:t xml:space="preserve">ante el Comité de Naciones Unidas sobre los derechos de las personas con discapacidad que evaluará los avances y retos en la implementación de la CDPD, se aduce que “no es posible saber a ciencia cierta la relación entre la pobreza y la discapacidad en Colombia, no obstante, desde la experiencia de las organizaciones sociales es posible afirmar que: en primer lugar las personas con discapacidad en Colombia hacen parte de la población pobre y más pobre, y en segundo lugar la discapacidad, ante la falta de respuesta estatal y social, en </w:t>
      </w:r>
      <w:r w:rsidRPr="00D14232">
        <w:rPr>
          <w:rFonts w:asciiTheme="majorHAnsi" w:hAnsiTheme="majorHAnsi"/>
          <w:sz w:val="24"/>
          <w:szCs w:val="24"/>
          <w:lang w:val="es-ES_tradnl"/>
        </w:rPr>
        <w:lastRenderedPageBreak/>
        <w:t>muchos casos crea y aumenta los riesgos de caer en la pobreza para las personas y sus familias, de reproducir ciclos de pobreza o de ser significativamente más pobres que sus pa</w:t>
      </w:r>
      <w:r w:rsidR="00105AAF" w:rsidRPr="00D14232">
        <w:rPr>
          <w:rFonts w:asciiTheme="majorHAnsi" w:hAnsiTheme="majorHAnsi"/>
          <w:sz w:val="24"/>
          <w:szCs w:val="24"/>
          <w:lang w:val="es-ES_tradnl"/>
        </w:rPr>
        <w:t>res</w:t>
      </w:r>
      <w:r w:rsidRPr="00D14232">
        <w:rPr>
          <w:rFonts w:asciiTheme="majorHAnsi" w:hAnsiTheme="majorHAnsi"/>
          <w:sz w:val="24"/>
          <w:szCs w:val="24"/>
          <w:lang w:val="es-ES_tradnl"/>
        </w:rPr>
        <w:t>”</w:t>
      </w:r>
      <w:r w:rsidRPr="00D14232">
        <w:rPr>
          <w:rStyle w:val="FootnoteReference"/>
          <w:rFonts w:asciiTheme="majorHAnsi" w:hAnsiTheme="majorHAnsi"/>
          <w:sz w:val="24"/>
          <w:szCs w:val="24"/>
          <w:lang w:val="es-ES_tradnl"/>
        </w:rPr>
        <w:footnoteReference w:id="3"/>
      </w:r>
      <w:r w:rsidR="00105AAF" w:rsidRPr="00D14232">
        <w:rPr>
          <w:rFonts w:asciiTheme="majorHAnsi" w:hAnsiTheme="majorHAnsi"/>
          <w:sz w:val="24"/>
          <w:szCs w:val="24"/>
          <w:lang w:val="es-ES_tradnl"/>
        </w:rPr>
        <w:t>.</w:t>
      </w:r>
      <w:r w:rsidRPr="00D14232">
        <w:rPr>
          <w:rFonts w:asciiTheme="majorHAnsi" w:hAnsiTheme="majorHAnsi"/>
          <w:sz w:val="24"/>
          <w:szCs w:val="24"/>
          <w:lang w:val="es-ES_tradnl"/>
        </w:rPr>
        <w:t xml:space="preserve"> En esta medida, la reducción de la desigualdad y la eliminación de la pobreza, especialmente para las poblaciones excluidas e históricamente discriminadas es uno de los principales retos para cumplir los ODS.</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Según reportes económicos, “en primer lugar, a pesar de que la pobreza y la pobreza extrema disminuyeron gradualmente desde el 2009 hasta el 2015, todavía el cambio no es significativo. La pobreza disminuyó en un 27% en ese periodo de tiempo y la pobreza extrema un 46%. Sin embargo, a junio de 2015 todavía 13 millones de habitantes se encontraron en situación de pobreza y </w:t>
      </w:r>
      <w:r w:rsidR="00105AAF" w:rsidRPr="00D14232">
        <w:rPr>
          <w:rFonts w:asciiTheme="majorHAnsi" w:hAnsiTheme="majorHAnsi"/>
          <w:sz w:val="24"/>
          <w:szCs w:val="24"/>
          <w:lang w:val="es-ES_tradnl"/>
        </w:rPr>
        <w:t>3.6 millones en pobreza extrema</w:t>
      </w:r>
      <w:r w:rsidRPr="00D14232">
        <w:rPr>
          <w:rFonts w:asciiTheme="majorHAnsi" w:hAnsiTheme="majorHAnsi"/>
          <w:sz w:val="24"/>
          <w:szCs w:val="24"/>
          <w:lang w:val="es-ES_tradnl"/>
        </w:rPr>
        <w:t>”</w:t>
      </w:r>
      <w:r w:rsidRPr="00D14232">
        <w:rPr>
          <w:rStyle w:val="FootnoteReference"/>
          <w:rFonts w:asciiTheme="majorHAnsi" w:hAnsiTheme="majorHAnsi"/>
          <w:sz w:val="24"/>
          <w:szCs w:val="24"/>
          <w:lang w:val="es-ES_tradnl"/>
        </w:rPr>
        <w:footnoteReference w:id="4"/>
      </w:r>
      <w:r w:rsidR="00105AAF" w:rsidRPr="00D14232">
        <w:rPr>
          <w:rFonts w:asciiTheme="majorHAnsi" w:hAnsiTheme="majorHAnsi"/>
          <w:sz w:val="24"/>
          <w:szCs w:val="24"/>
          <w:lang w:val="es-ES_tradnl"/>
        </w:rPr>
        <w:t>. En Colombia no es posible saber el impacto de la reducción de la pobreza en las personas con discapacidad y sus familias.</w:t>
      </w:r>
      <w:r w:rsidRPr="00D14232">
        <w:rPr>
          <w:rFonts w:asciiTheme="majorHAnsi" w:hAnsiTheme="majorHAnsi"/>
          <w:sz w:val="24"/>
          <w:szCs w:val="24"/>
          <w:lang w:val="es-ES_tradnl"/>
        </w:rPr>
        <w:t xml:space="preserve"> </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El marco de política pública que está vigente y permite el cumplimiento de estos objetivos es el Plan Nacional de Desarrollo (PND) 2014-2018</w:t>
      </w:r>
      <w:r w:rsidRPr="00D14232">
        <w:rPr>
          <w:rStyle w:val="FootnoteReference"/>
          <w:rFonts w:asciiTheme="majorHAnsi" w:hAnsiTheme="majorHAnsi"/>
          <w:sz w:val="24"/>
          <w:szCs w:val="24"/>
          <w:lang w:val="es-ES_tradnl"/>
        </w:rPr>
        <w:footnoteReference w:id="5"/>
      </w:r>
      <w:r w:rsidRPr="00D14232">
        <w:rPr>
          <w:rFonts w:asciiTheme="majorHAnsi" w:hAnsiTheme="majorHAnsi"/>
          <w:sz w:val="24"/>
          <w:szCs w:val="24"/>
          <w:lang w:val="es-ES_tradnl"/>
        </w:rPr>
        <w:t xml:space="preserve">, en el cual se propone que “un modelo de desarrollo económico que favorece la equidad debe ser incluyente, aprovechar el talento de todos los colombianos y hacerlos partícipes de los beneficios del crecimiento. Todas las personas, sin importar su procedencia, grupo étnico, género, edad, o </w:t>
      </w:r>
      <w:r w:rsidRPr="00D14232">
        <w:rPr>
          <w:rFonts w:asciiTheme="majorHAnsi" w:hAnsiTheme="majorHAnsi"/>
          <w:b/>
          <w:sz w:val="24"/>
          <w:szCs w:val="24"/>
          <w:u w:val="single"/>
          <w:lang w:val="es-ES_tradnl"/>
        </w:rPr>
        <w:t>discapacidad,</w:t>
      </w:r>
      <w:r w:rsidRPr="00D14232">
        <w:rPr>
          <w:rFonts w:asciiTheme="majorHAnsi" w:hAnsiTheme="majorHAnsi"/>
          <w:sz w:val="24"/>
          <w:szCs w:val="24"/>
          <w:lang w:val="es-ES_tradnl"/>
        </w:rPr>
        <w:t xml:space="preserve"> deben tener la posibilidad de acceder a mejores servicios públicos, apropiadas condiciones de habitabilidad, vías de acceso para conectarse con las regiones y con el país, un servicio de salud de calidad y una educación que le permita construir su futuro.” Los pilares de este Plan son Paz, Equidad y Educación.</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En el PND se estipula como objetivo específico que “bajo el enfoque poblacional, se fortalecerá la Política Pública de Discapacidad e Inclusión Social, que busca cambiar de una visión asistencialista a políticas de desarrollo humano con un enfoque de derechos. Este enfoque permite el acceso a bienes y servicios para las personas con discapacidad, con criterios de pertinencia, calidad y disponibilidad; respeto por la </w:t>
      </w:r>
      <w:r w:rsidRPr="00D14232">
        <w:rPr>
          <w:rFonts w:asciiTheme="majorHAnsi" w:hAnsiTheme="majorHAnsi"/>
          <w:sz w:val="24"/>
          <w:szCs w:val="24"/>
          <w:lang w:val="es-ES_tradnl"/>
        </w:rPr>
        <w:lastRenderedPageBreak/>
        <w:t>diferencia y su aceptación como parte de la diversidad; accesibilidad; igualdad de oportunidades, y eliminación de prácticas que conlleven a la marginación y segregación de cualquier tipo”</w:t>
      </w:r>
      <w:r w:rsidR="00105AAF" w:rsidRPr="00D14232">
        <w:rPr>
          <w:rFonts w:asciiTheme="majorHAnsi" w:hAnsiTheme="majorHAnsi"/>
          <w:sz w:val="24"/>
          <w:szCs w:val="24"/>
          <w:lang w:val="es-ES_tradnl"/>
        </w:rPr>
        <w:t xml:space="preserve"> La inclusión del enfoque de derechos humanos en el actual plan de desarrollo nacional fue el resultado de los procesos de incidencia de algunas organizaciones de la sociedad civil, entre ellas la Fundación Saldarriaga Concha, así como de la madurez y evolución en los enfoques de trabajo de muchos funcionarios públicos del nivel nacional</w:t>
      </w:r>
      <w:r w:rsidRPr="00D14232">
        <w:rPr>
          <w:rFonts w:asciiTheme="majorHAnsi" w:hAnsiTheme="majorHAnsi"/>
          <w:sz w:val="24"/>
          <w:szCs w:val="24"/>
          <w:lang w:val="es-ES_tradnl"/>
        </w:rPr>
        <w:t>.</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La entidad encargada de lograr políticas que permitan cerrar brechas y crear programas sostenibles e incluyentes estaba en cabeza la Agencia Nacional para la Superación de la Pobreza Extrema (ANSPE). Esta agencia actualmente se denomina Prosperidad Social y tiene competencia sobre las políticas públicas dirigidas a las poblaciones vulnerables. Esta agencia es la encargada de la estrategia de promoción social para la población más pobre del país. En su plan de acción se prioriza el acompañamiento familiar y comunitario, la oferta de servicios de las instituciones públicas, la inversión social privada y las iniciativas de innovación social. Aún no se han dado a conocer los cambios y propuestas de la ANSPE para lograr los ODS y si en ellas se incluyen medidas particulares que impacten positivamente el nivel de vida de las personas con discapacidad.</w:t>
      </w:r>
    </w:p>
    <w:p w:rsidR="00B34C19" w:rsidRPr="00D14232" w:rsidRDefault="00B34C19" w:rsidP="00B34C19">
      <w:pPr>
        <w:autoSpaceDE w:val="0"/>
        <w:autoSpaceDN w:val="0"/>
        <w:adjustRightInd w:val="0"/>
        <w:spacing w:before="120" w:after="120"/>
        <w:ind w:firstLine="567"/>
        <w:jc w:val="both"/>
        <w:rPr>
          <w:rFonts w:asciiTheme="majorHAnsi" w:hAnsiTheme="majorHAnsi"/>
          <w:sz w:val="24"/>
          <w:szCs w:val="24"/>
          <w:lang w:val="es-ES_tradnl"/>
        </w:rPr>
      </w:pPr>
    </w:p>
    <w:p w:rsidR="00545654" w:rsidRPr="00D14232" w:rsidRDefault="00545654" w:rsidP="00B34C19">
      <w:pPr>
        <w:pStyle w:val="Heading3"/>
        <w:spacing w:before="120" w:after="120"/>
        <w:rPr>
          <w:color w:val="006C6C"/>
          <w:sz w:val="24"/>
          <w:szCs w:val="24"/>
          <w:lang w:val="es-ES_tradnl"/>
        </w:rPr>
      </w:pPr>
      <w:bookmarkStart w:id="5" w:name="_Toc451247834"/>
      <w:r w:rsidRPr="00D14232">
        <w:rPr>
          <w:color w:val="006C6C"/>
          <w:sz w:val="24"/>
          <w:szCs w:val="24"/>
          <w:lang w:val="es-ES_tradnl"/>
        </w:rPr>
        <w:t>Educación inclusiva de las personas con discapacidad</w:t>
      </w:r>
      <w:bookmarkEnd w:id="5"/>
    </w:p>
    <w:p w:rsidR="00E676FC" w:rsidRPr="00D14232" w:rsidRDefault="00E676FC" w:rsidP="00B34C19">
      <w:pPr>
        <w:autoSpaceDE w:val="0"/>
        <w:autoSpaceDN w:val="0"/>
        <w:adjustRightInd w:val="0"/>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Sin duda otro tema que requiere atención prioritaria y mayor compromiso es la garantía de educación inclusiva y de calidad para toda la población colombiana. Como lo ha reiterado el PNUD Colombia, el objetivo de lograr una educación inclusiva y de calidad para todos se basa en la firme convicción de que la educación es uno de los motores más poderosos y probados para garantizar el desarrollo sostenible. De acuerdo a los medios de implementación propuestos para los ODS, los Estados deben construir y mejorar las instalaciones educativas para hacerlas sensibles a los niños, las personas con discapacidad y el género y proporcionar entornos de aprendizaje seguros, no violentos, inclusivos y eficaces para todos.</w:t>
      </w:r>
    </w:p>
    <w:p w:rsidR="00E676FC" w:rsidRPr="00D14232" w:rsidRDefault="00E676FC" w:rsidP="00B34C19">
      <w:pPr>
        <w:autoSpaceDE w:val="0"/>
        <w:autoSpaceDN w:val="0"/>
        <w:adjustRightInd w:val="0"/>
        <w:spacing w:before="120" w:after="120"/>
        <w:ind w:firstLine="567"/>
        <w:jc w:val="both"/>
        <w:rPr>
          <w:rFonts w:asciiTheme="majorHAnsi" w:hAnsiTheme="majorHAnsi"/>
          <w:sz w:val="24"/>
          <w:szCs w:val="24"/>
        </w:rPr>
      </w:pPr>
      <w:r w:rsidRPr="00D14232">
        <w:rPr>
          <w:rFonts w:asciiTheme="majorHAnsi" w:hAnsiTheme="majorHAnsi"/>
          <w:sz w:val="24"/>
          <w:szCs w:val="24"/>
        </w:rPr>
        <w:t xml:space="preserve">Los datos del Sistema Integrado de Matrícula (SIMAT) del Ministerio de Educación Nacional de Colombia para 2014 y 2015 son alarmantes en lo que a las personas con discapacidad se refiere. La matrícula de personas con discapacidad para el 2014 representó el 1.21% de la matrícula total, siendo más alta en la educación pública (1.72%), y menor en la educación privada (0.77%). En 2014, de los 10.3 millones de personas en edad escolar matriculados en el sistema educativo colombiano, 156.030 eran personas con discapacidad. La matrícula de personas con </w:t>
      </w:r>
      <w:r w:rsidRPr="00D14232">
        <w:rPr>
          <w:rFonts w:asciiTheme="majorHAnsi" w:hAnsiTheme="majorHAnsi"/>
          <w:sz w:val="24"/>
          <w:szCs w:val="24"/>
        </w:rPr>
        <w:lastRenderedPageBreak/>
        <w:t>discapacidad para el 2015 representó el 1.34% de la matrícula total, siendo considerablemente más alta en la educación pública (1.91%), y menor en la educación privada (0.86%). En 2015, de los 10.3 millones de personas en edad escolar matriculados en el sistema educativo colombiano, 173.728 eran personas con discapacidad.</w:t>
      </w:r>
    </w:p>
    <w:p w:rsidR="00705AC0" w:rsidRPr="00D14232" w:rsidRDefault="00E676FC" w:rsidP="00B34C19">
      <w:pPr>
        <w:autoSpaceDE w:val="0"/>
        <w:autoSpaceDN w:val="0"/>
        <w:adjustRightInd w:val="0"/>
        <w:spacing w:before="120" w:after="120"/>
        <w:ind w:firstLine="567"/>
        <w:jc w:val="both"/>
        <w:rPr>
          <w:rFonts w:asciiTheme="majorHAnsi" w:hAnsiTheme="majorHAnsi"/>
          <w:sz w:val="24"/>
          <w:szCs w:val="24"/>
        </w:rPr>
      </w:pPr>
      <w:r w:rsidRPr="00D14232">
        <w:rPr>
          <w:rFonts w:asciiTheme="majorHAnsi" w:hAnsiTheme="majorHAnsi"/>
          <w:sz w:val="24"/>
          <w:szCs w:val="24"/>
        </w:rPr>
        <w:t>En Colombia el ordenamiento jurídico establece expresamente el derecho a la educación inclusiva de las personas con discapacidad, no solo por efectos del artículo 24 de la CDPD, sino también a través del artículo 11 de la Ley 1618 de 2013, el cual establece que “el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 No obstante, subsisten en el ordenamiento jurídico colombiano otras normas que permiten o fomentan de alguna manera la educación especial de personas con discapacidad y que en muchos casos son usadas para justificar la prestación de dichos servicios, entre otras: la Ley 115 de 1994, en su título III, capítulo 3; la Ley 361 de 1997, en sus artículos 10 y 12; la Ley 1098 de 2006, de Infancia y Adolescencia, en su artículo 36, parágrafo 3; así como la Resolución 2565 de 2003, en su artículo 3.</w:t>
      </w:r>
    </w:p>
    <w:p w:rsidR="00E676FC" w:rsidRPr="00D14232" w:rsidRDefault="00705AC0" w:rsidP="00B34C19">
      <w:pPr>
        <w:autoSpaceDE w:val="0"/>
        <w:autoSpaceDN w:val="0"/>
        <w:adjustRightInd w:val="0"/>
        <w:spacing w:before="120" w:after="120"/>
        <w:ind w:firstLine="567"/>
        <w:jc w:val="both"/>
        <w:rPr>
          <w:rFonts w:asciiTheme="majorHAnsi" w:hAnsiTheme="majorHAnsi"/>
          <w:bCs/>
          <w:sz w:val="24"/>
          <w:szCs w:val="24"/>
        </w:rPr>
      </w:pPr>
      <w:r w:rsidRPr="00D14232">
        <w:rPr>
          <w:rFonts w:asciiTheme="majorHAnsi" w:hAnsiTheme="majorHAnsi"/>
          <w:bCs/>
          <w:sz w:val="24"/>
          <w:szCs w:val="24"/>
        </w:rPr>
        <w:t>Colombia cuenta con una importante inversión financiera en la educación inclusiva de las personas con discapacidad. Solo en 2015 el Gobierno Nacional transfirió a las entidades territoriales más de 40.600 millones de pesos (</w:t>
      </w:r>
      <w:r w:rsidR="00105AAF" w:rsidRPr="00D14232">
        <w:rPr>
          <w:rFonts w:asciiTheme="majorHAnsi" w:hAnsiTheme="majorHAnsi"/>
          <w:bCs/>
          <w:sz w:val="24"/>
          <w:szCs w:val="24"/>
        </w:rPr>
        <w:t>US$</w:t>
      </w:r>
      <w:r w:rsidRPr="00D14232">
        <w:rPr>
          <w:rFonts w:asciiTheme="majorHAnsi" w:hAnsiTheme="majorHAnsi"/>
          <w:bCs/>
          <w:sz w:val="24"/>
          <w:szCs w:val="24"/>
        </w:rPr>
        <w:t xml:space="preserve">12.3 millones) para invertir en la educación inclusiva de las personas con discapacidad. No obstante la distribución geográfica de la inversión responde de </w:t>
      </w:r>
      <w:proofErr w:type="gramStart"/>
      <w:r w:rsidRPr="00D14232">
        <w:rPr>
          <w:rFonts w:asciiTheme="majorHAnsi" w:hAnsiTheme="majorHAnsi"/>
          <w:bCs/>
          <w:sz w:val="24"/>
          <w:szCs w:val="24"/>
        </w:rPr>
        <w:t>manera directa a la cantidad de estudiantes con discapacidad reportados</w:t>
      </w:r>
      <w:proofErr w:type="gramEnd"/>
      <w:r w:rsidRPr="00D14232">
        <w:rPr>
          <w:rFonts w:asciiTheme="majorHAnsi" w:hAnsiTheme="majorHAnsi"/>
          <w:bCs/>
          <w:sz w:val="24"/>
          <w:szCs w:val="24"/>
        </w:rPr>
        <w:t xml:space="preserve"> formalmente en el SIMAT, lo que fomenta que las entidades territoriales más avanzadas en el registro de estudiantes con discapacidad sean a su vez las que más recursos financieros reciben del gobierno nacional</w:t>
      </w:r>
      <w:r w:rsidRPr="00D14232">
        <w:rPr>
          <w:rFonts w:asciiTheme="majorHAnsi" w:hAnsiTheme="majorHAnsi"/>
          <w:b/>
          <w:bCs/>
          <w:sz w:val="24"/>
          <w:szCs w:val="24"/>
        </w:rPr>
        <w:t>.</w:t>
      </w:r>
    </w:p>
    <w:p w:rsidR="00E676FC" w:rsidRPr="00D14232" w:rsidRDefault="00E676FC" w:rsidP="00B34C19">
      <w:pPr>
        <w:autoSpaceDE w:val="0"/>
        <w:autoSpaceDN w:val="0"/>
        <w:adjustRightInd w:val="0"/>
        <w:spacing w:before="120" w:after="120"/>
        <w:ind w:firstLine="567"/>
        <w:jc w:val="both"/>
        <w:rPr>
          <w:rFonts w:asciiTheme="majorHAnsi" w:hAnsiTheme="majorHAnsi"/>
          <w:color w:val="000000"/>
          <w:sz w:val="24"/>
          <w:szCs w:val="24"/>
          <w:lang w:val="es-ES_tradnl"/>
        </w:rPr>
      </w:pPr>
      <w:r w:rsidRPr="00D14232">
        <w:rPr>
          <w:rFonts w:asciiTheme="majorHAnsi" w:hAnsiTheme="majorHAnsi"/>
          <w:sz w:val="24"/>
          <w:szCs w:val="24"/>
          <w:lang w:val="es-ES_tradnl"/>
        </w:rPr>
        <w:t xml:space="preserve">Actualmente la asignación de recursos para cumplir con los ODS se encuentra englobada en el PND y las políticas sectoriales que previamente estaban en marcha. Para el tema de discapacidad, en los informes de avance sobre la política pública se aduce que no se evidencia una partida específica por tratarse de un tema transversal y por lo tanto, no es posible desarrollar un análisis de impacto de la destinación de recursos, por cada derecho. En el Plan de Inversiones y Presupuestos Plurianuales no se encuentra ningún rubro específico para atender la discapacidad. Los datos que se </w:t>
      </w:r>
      <w:r w:rsidRPr="00D14232">
        <w:rPr>
          <w:rFonts w:asciiTheme="majorHAnsi" w:hAnsiTheme="majorHAnsi"/>
          <w:sz w:val="24"/>
          <w:szCs w:val="24"/>
          <w:lang w:val="es-ES_tradnl"/>
        </w:rPr>
        <w:lastRenderedPageBreak/>
        <w:t xml:space="preserve">relacionan son los aprobados para el </w:t>
      </w:r>
      <w:proofErr w:type="spellStart"/>
      <w:r w:rsidRPr="00D14232">
        <w:rPr>
          <w:rFonts w:asciiTheme="majorHAnsi" w:hAnsiTheme="majorHAnsi"/>
          <w:sz w:val="24"/>
          <w:szCs w:val="24"/>
          <w:lang w:val="es-ES_tradnl"/>
        </w:rPr>
        <w:t>Conpes</w:t>
      </w:r>
      <w:proofErr w:type="spellEnd"/>
      <w:r w:rsidRPr="00D14232">
        <w:rPr>
          <w:rFonts w:asciiTheme="majorHAnsi" w:hAnsiTheme="majorHAnsi"/>
          <w:sz w:val="24"/>
          <w:szCs w:val="24"/>
          <w:lang w:val="es-ES_tradnl"/>
        </w:rPr>
        <w:t xml:space="preserve"> Social 166 de 2013. El Gobierno informa que desde 2014 a 2022 se asignaron recursos de la siguiente manera:  </w:t>
      </w:r>
      <w:r w:rsidRPr="00D14232">
        <w:rPr>
          <w:rFonts w:asciiTheme="majorHAnsi" w:hAnsiTheme="majorHAnsi"/>
          <w:color w:val="000000"/>
          <w:sz w:val="24"/>
          <w:szCs w:val="24"/>
          <w:lang w:val="es-ES_tradnl"/>
        </w:rPr>
        <w:t xml:space="preserve"> (i) 2014: COP$143.786.276.085, (ii) 2015: COP$109.342.379.168, y (iii)</w:t>
      </w:r>
      <w:r w:rsidRPr="00D14232">
        <w:rPr>
          <w:rStyle w:val="apple-converted-space"/>
          <w:rFonts w:asciiTheme="majorHAnsi" w:hAnsiTheme="majorHAnsi"/>
          <w:color w:val="000000"/>
          <w:sz w:val="24"/>
          <w:szCs w:val="24"/>
          <w:lang w:val="es-ES_tradnl"/>
        </w:rPr>
        <w:t> </w:t>
      </w:r>
      <w:r w:rsidRPr="00D14232">
        <w:rPr>
          <w:rFonts w:asciiTheme="majorHAnsi" w:hAnsiTheme="majorHAnsi"/>
          <w:color w:val="000000"/>
          <w:sz w:val="24"/>
          <w:szCs w:val="24"/>
          <w:lang w:val="es-ES_tradnl"/>
        </w:rPr>
        <w:t>2016 a</w:t>
      </w:r>
      <w:r w:rsidRPr="00D14232">
        <w:rPr>
          <w:rStyle w:val="apple-converted-space"/>
          <w:rFonts w:asciiTheme="majorHAnsi" w:hAnsiTheme="majorHAnsi"/>
          <w:color w:val="000000"/>
          <w:sz w:val="24"/>
          <w:szCs w:val="24"/>
          <w:lang w:val="es-ES_tradnl"/>
        </w:rPr>
        <w:t> </w:t>
      </w:r>
      <w:r w:rsidR="00D55B1C" w:rsidRPr="00D14232">
        <w:rPr>
          <w:rFonts w:asciiTheme="majorHAnsi" w:hAnsiTheme="majorHAnsi"/>
          <w:color w:val="000000"/>
          <w:sz w:val="24"/>
          <w:szCs w:val="24"/>
          <w:lang w:val="es-ES_tradnl"/>
        </w:rPr>
        <w:t xml:space="preserve">2022: </w:t>
      </w:r>
      <w:r w:rsidRPr="00D14232">
        <w:rPr>
          <w:rFonts w:asciiTheme="majorHAnsi" w:hAnsiTheme="majorHAnsi"/>
          <w:color w:val="000000"/>
          <w:sz w:val="24"/>
          <w:szCs w:val="24"/>
          <w:lang w:val="es-ES_tradnl"/>
        </w:rPr>
        <w:t>COP</w:t>
      </w:r>
      <w:r w:rsidR="00D55B1C" w:rsidRPr="00D14232">
        <w:rPr>
          <w:rFonts w:asciiTheme="majorHAnsi" w:hAnsiTheme="majorHAnsi"/>
          <w:color w:val="000000"/>
          <w:sz w:val="24"/>
          <w:szCs w:val="24"/>
          <w:lang w:val="es-ES_tradnl"/>
        </w:rPr>
        <w:t xml:space="preserve">$ </w:t>
      </w:r>
      <w:r w:rsidR="00B34C19" w:rsidRPr="00D14232">
        <w:rPr>
          <w:rFonts w:asciiTheme="majorHAnsi" w:hAnsiTheme="majorHAnsi"/>
          <w:color w:val="000000"/>
          <w:sz w:val="24"/>
          <w:szCs w:val="24"/>
          <w:lang w:val="es-ES_tradnl"/>
        </w:rPr>
        <w:t>377.562.035.390.</w:t>
      </w:r>
    </w:p>
    <w:p w:rsidR="00E676FC" w:rsidRPr="00D14232" w:rsidRDefault="00E676FC" w:rsidP="00B34C19">
      <w:pPr>
        <w:autoSpaceDE w:val="0"/>
        <w:autoSpaceDN w:val="0"/>
        <w:adjustRightInd w:val="0"/>
        <w:spacing w:before="120" w:after="120"/>
        <w:ind w:firstLine="567"/>
        <w:jc w:val="both"/>
        <w:rPr>
          <w:rFonts w:asciiTheme="majorHAnsi" w:hAnsiTheme="majorHAnsi"/>
          <w:color w:val="000000"/>
          <w:sz w:val="24"/>
          <w:szCs w:val="24"/>
          <w:lang w:val="es-ES_tradnl"/>
        </w:rPr>
      </w:pPr>
      <w:r w:rsidRPr="00D14232">
        <w:rPr>
          <w:rFonts w:asciiTheme="majorHAnsi" w:hAnsiTheme="majorHAnsi"/>
          <w:color w:val="000000"/>
          <w:sz w:val="24"/>
          <w:szCs w:val="24"/>
          <w:lang w:val="es-ES_tradnl"/>
        </w:rPr>
        <w:t xml:space="preserve">En cuanto a la mención de mujeres, niñas, niños y adolescentes y adultos mayores con discapacidad, únicamente se hace mención en la política de discapacidad en temas como: (i) la afiliación al sistema de salud de personas con discapacidad, (ii) niños, niñas y adolescentes con discapacidad que actualmente estudian, (iii) personas mayores con discapacidad que tienen ocupación. Una de las principales recomendaciones de las organizaciones sociales que trabajan el tema, es la necesidad de realizar análisis </w:t>
      </w:r>
      <w:proofErr w:type="spellStart"/>
      <w:r w:rsidRPr="00D14232">
        <w:rPr>
          <w:rFonts w:asciiTheme="majorHAnsi" w:hAnsiTheme="majorHAnsi"/>
          <w:color w:val="000000"/>
          <w:sz w:val="24"/>
          <w:szCs w:val="24"/>
          <w:lang w:val="es-ES_tradnl"/>
        </w:rPr>
        <w:t>interseccionales</w:t>
      </w:r>
      <w:proofErr w:type="spellEnd"/>
      <w:r w:rsidRPr="00D14232">
        <w:rPr>
          <w:rFonts w:asciiTheme="majorHAnsi" w:hAnsiTheme="majorHAnsi"/>
          <w:color w:val="000000"/>
          <w:sz w:val="24"/>
          <w:szCs w:val="24"/>
          <w:lang w:val="es-ES_tradnl"/>
        </w:rPr>
        <w:t xml:space="preserve"> que permitan dar cuenta de los factores de vulnerabilidad que inciden en la inclusión social de esta población</w:t>
      </w:r>
      <w:r w:rsidR="00D55B1C" w:rsidRPr="00D14232">
        <w:rPr>
          <w:rFonts w:asciiTheme="majorHAnsi" w:hAnsiTheme="majorHAnsi"/>
          <w:color w:val="000000"/>
          <w:sz w:val="24"/>
          <w:szCs w:val="24"/>
          <w:lang w:val="es-ES_tradnl"/>
        </w:rPr>
        <w:t>, como el género, la diversidad sexual y la edad avanzada</w:t>
      </w:r>
      <w:r w:rsidR="00B34C19" w:rsidRPr="00D14232">
        <w:rPr>
          <w:rFonts w:asciiTheme="majorHAnsi" w:hAnsiTheme="majorHAnsi"/>
          <w:color w:val="000000"/>
          <w:sz w:val="24"/>
          <w:szCs w:val="24"/>
          <w:lang w:val="es-ES_tradnl"/>
        </w:rPr>
        <w:t>.</w:t>
      </w:r>
    </w:p>
    <w:p w:rsidR="00B34C19" w:rsidRPr="00D14232" w:rsidRDefault="00B34C19" w:rsidP="00B34C19">
      <w:pPr>
        <w:autoSpaceDE w:val="0"/>
        <w:autoSpaceDN w:val="0"/>
        <w:adjustRightInd w:val="0"/>
        <w:spacing w:before="120" w:after="120"/>
        <w:ind w:firstLine="567"/>
        <w:jc w:val="both"/>
        <w:rPr>
          <w:rFonts w:asciiTheme="majorHAnsi" w:hAnsiTheme="majorHAnsi"/>
          <w:color w:val="000000"/>
          <w:sz w:val="24"/>
          <w:szCs w:val="24"/>
          <w:lang w:val="es-ES_tradnl"/>
        </w:rPr>
      </w:pPr>
    </w:p>
    <w:p w:rsidR="00545654" w:rsidRPr="00D14232" w:rsidRDefault="00545654" w:rsidP="00B34C19">
      <w:pPr>
        <w:pStyle w:val="Heading3"/>
        <w:spacing w:before="120" w:after="120"/>
        <w:rPr>
          <w:color w:val="006C6C"/>
          <w:sz w:val="24"/>
          <w:szCs w:val="24"/>
          <w:lang w:val="es-ES_tradnl"/>
        </w:rPr>
      </w:pPr>
      <w:bookmarkStart w:id="6" w:name="_Toc451247835"/>
      <w:r w:rsidRPr="00D14232">
        <w:rPr>
          <w:color w:val="006C6C"/>
          <w:sz w:val="24"/>
          <w:szCs w:val="24"/>
          <w:lang w:val="es-ES_tradnl"/>
        </w:rPr>
        <w:t>Participación pública y política de las personas con discapacidad</w:t>
      </w:r>
      <w:bookmarkEnd w:id="6"/>
    </w:p>
    <w:p w:rsidR="00545654" w:rsidRPr="00D14232" w:rsidRDefault="00E676FC" w:rsidP="00B34C19">
      <w:pPr>
        <w:autoSpaceDE w:val="0"/>
        <w:autoSpaceDN w:val="0"/>
        <w:adjustRightInd w:val="0"/>
        <w:spacing w:before="120" w:after="120"/>
        <w:jc w:val="both"/>
        <w:rPr>
          <w:rFonts w:asciiTheme="majorHAnsi" w:hAnsiTheme="majorHAnsi"/>
          <w:b/>
          <w:bCs/>
          <w:color w:val="000000"/>
          <w:sz w:val="24"/>
          <w:szCs w:val="24"/>
        </w:rPr>
      </w:pPr>
      <w:r w:rsidRPr="00D14232">
        <w:rPr>
          <w:rFonts w:asciiTheme="majorHAnsi" w:hAnsiTheme="majorHAnsi"/>
          <w:color w:val="000000"/>
          <w:sz w:val="24"/>
          <w:szCs w:val="24"/>
        </w:rPr>
        <w:t xml:space="preserve">En lo que se refiere a la participación de personas con discapacidad en la elaboración de políticas inclusivas, cabe mencionar que </w:t>
      </w:r>
      <w:r w:rsidRPr="00D14232">
        <w:rPr>
          <w:rFonts w:asciiTheme="majorHAnsi" w:hAnsiTheme="majorHAnsi"/>
          <w:bCs/>
          <w:color w:val="000000"/>
          <w:sz w:val="24"/>
          <w:szCs w:val="24"/>
        </w:rPr>
        <w:t>el</w:t>
      </w:r>
      <w:r w:rsidRPr="00D14232">
        <w:rPr>
          <w:rFonts w:asciiTheme="majorHAnsi" w:hAnsiTheme="majorHAnsi"/>
          <w:b/>
          <w:bCs/>
          <w:color w:val="000000"/>
          <w:sz w:val="24"/>
          <w:szCs w:val="24"/>
        </w:rPr>
        <w:t xml:space="preserve"> </w:t>
      </w:r>
      <w:r w:rsidRPr="00D14232">
        <w:rPr>
          <w:rFonts w:asciiTheme="majorHAnsi" w:hAnsiTheme="majorHAnsi"/>
          <w:bCs/>
          <w:color w:val="000000"/>
          <w:sz w:val="24"/>
          <w:szCs w:val="24"/>
        </w:rPr>
        <w:t>Estado ha avanzado en la expedición de normas particulares para crear espacios de participación representativos de las personas con discapacidad, como la Ley 1145 de 2007, en la cual se creó el Sistema Nacional de Discapacidad (SND), orientado a impulsar la formulación e implementación de la política pública en discapacidad, en forma coordinada ente las entidades públicas del orden nacional, regional y local y las organizaciones de personas con discapacidad.</w:t>
      </w:r>
      <w:r w:rsidRPr="00D14232">
        <w:rPr>
          <w:rFonts w:asciiTheme="majorHAnsi" w:hAnsiTheme="majorHAnsi"/>
          <w:b/>
          <w:bCs/>
          <w:color w:val="000000"/>
          <w:sz w:val="24"/>
          <w:szCs w:val="24"/>
        </w:rPr>
        <w:t xml:space="preserve"> </w:t>
      </w:r>
    </w:p>
    <w:p w:rsidR="00E676FC" w:rsidRPr="00D14232" w:rsidRDefault="00E676FC" w:rsidP="00B34C19">
      <w:pPr>
        <w:autoSpaceDE w:val="0"/>
        <w:autoSpaceDN w:val="0"/>
        <w:adjustRightInd w:val="0"/>
        <w:spacing w:before="120" w:after="120"/>
        <w:ind w:firstLine="567"/>
        <w:jc w:val="both"/>
        <w:rPr>
          <w:rFonts w:asciiTheme="majorHAnsi" w:hAnsiTheme="majorHAnsi"/>
          <w:b/>
          <w:bCs/>
          <w:color w:val="000000"/>
          <w:sz w:val="24"/>
          <w:szCs w:val="24"/>
        </w:rPr>
      </w:pPr>
      <w:r w:rsidRPr="00D14232">
        <w:rPr>
          <w:rFonts w:asciiTheme="majorHAnsi" w:hAnsiTheme="majorHAnsi"/>
          <w:color w:val="000000"/>
          <w:sz w:val="24"/>
          <w:szCs w:val="24"/>
        </w:rPr>
        <w:t>El SND es coordinado por el Ministerio</w:t>
      </w:r>
      <w:r w:rsidRPr="00D14232">
        <w:rPr>
          <w:rFonts w:asciiTheme="majorHAnsi" w:hAnsiTheme="majorHAnsi"/>
          <w:b/>
          <w:bCs/>
          <w:color w:val="000000"/>
          <w:sz w:val="24"/>
          <w:szCs w:val="24"/>
        </w:rPr>
        <w:t xml:space="preserve"> </w:t>
      </w:r>
      <w:r w:rsidRPr="00D14232">
        <w:rPr>
          <w:rFonts w:asciiTheme="majorHAnsi" w:hAnsiTheme="majorHAnsi"/>
          <w:color w:val="000000"/>
          <w:sz w:val="24"/>
          <w:szCs w:val="24"/>
        </w:rPr>
        <w:t>de Salud y se define como uno de los espacios de mayor importancia para definir</w:t>
      </w:r>
      <w:r w:rsidRPr="00D14232">
        <w:rPr>
          <w:rFonts w:asciiTheme="majorHAnsi" w:hAnsiTheme="majorHAnsi"/>
          <w:b/>
          <w:bCs/>
          <w:color w:val="000000"/>
          <w:sz w:val="24"/>
          <w:szCs w:val="24"/>
        </w:rPr>
        <w:t xml:space="preserve"> </w:t>
      </w:r>
      <w:r w:rsidRPr="00D14232">
        <w:rPr>
          <w:rFonts w:asciiTheme="majorHAnsi" w:hAnsiTheme="majorHAnsi"/>
          <w:color w:val="000000"/>
          <w:sz w:val="24"/>
          <w:szCs w:val="24"/>
        </w:rPr>
        <w:t>lineamientos de política pública en materia de discapacidad.</w:t>
      </w:r>
      <w:r w:rsidRPr="00D14232">
        <w:rPr>
          <w:rFonts w:asciiTheme="majorHAnsi" w:hAnsiTheme="majorHAnsi"/>
          <w:b/>
          <w:bCs/>
          <w:color w:val="000000"/>
          <w:sz w:val="24"/>
          <w:szCs w:val="24"/>
        </w:rPr>
        <w:t xml:space="preserve"> </w:t>
      </w:r>
      <w:r w:rsidRPr="00D14232">
        <w:rPr>
          <w:rFonts w:asciiTheme="majorHAnsi" w:hAnsiTheme="majorHAnsi"/>
          <w:color w:val="000000"/>
          <w:sz w:val="24"/>
          <w:szCs w:val="24"/>
        </w:rPr>
        <w:t>Es importante ta</w:t>
      </w:r>
      <w:r w:rsidR="00545654" w:rsidRPr="00D14232">
        <w:rPr>
          <w:rFonts w:asciiTheme="majorHAnsi" w:hAnsiTheme="majorHAnsi"/>
          <w:color w:val="000000"/>
          <w:sz w:val="24"/>
          <w:szCs w:val="24"/>
        </w:rPr>
        <w:t>mbién mencionar la creación del</w:t>
      </w:r>
      <w:r w:rsidRPr="00D14232">
        <w:rPr>
          <w:rFonts w:asciiTheme="majorHAnsi" w:hAnsiTheme="majorHAnsi"/>
          <w:color w:val="000000"/>
          <w:sz w:val="24"/>
          <w:szCs w:val="24"/>
        </w:rPr>
        <w:t xml:space="preserve"> Consejo Nacional de Discapacidad (CND) y su función como organismo consultor de alto nivel, asesor institucional y de verificación, seguimiento</w:t>
      </w:r>
      <w:r w:rsidRPr="00D14232">
        <w:rPr>
          <w:rFonts w:asciiTheme="majorHAnsi" w:hAnsiTheme="majorHAnsi"/>
          <w:b/>
          <w:bCs/>
          <w:color w:val="000000"/>
          <w:sz w:val="24"/>
          <w:szCs w:val="24"/>
        </w:rPr>
        <w:t xml:space="preserve"> </w:t>
      </w:r>
      <w:r w:rsidRPr="00D14232">
        <w:rPr>
          <w:rFonts w:asciiTheme="majorHAnsi" w:hAnsiTheme="majorHAnsi"/>
          <w:color w:val="000000"/>
          <w:sz w:val="24"/>
          <w:szCs w:val="24"/>
        </w:rPr>
        <w:t>y evaluación del Sistema Nacional, conformado por representantes del</w:t>
      </w:r>
      <w:r w:rsidRPr="00D14232">
        <w:rPr>
          <w:rFonts w:asciiTheme="majorHAnsi" w:hAnsiTheme="majorHAnsi"/>
          <w:b/>
          <w:bCs/>
          <w:color w:val="000000"/>
          <w:sz w:val="24"/>
          <w:szCs w:val="24"/>
        </w:rPr>
        <w:t xml:space="preserve"> </w:t>
      </w:r>
      <w:r w:rsidRPr="00D14232">
        <w:rPr>
          <w:rFonts w:asciiTheme="majorHAnsi" w:hAnsiTheme="majorHAnsi"/>
          <w:color w:val="000000"/>
          <w:sz w:val="24"/>
          <w:szCs w:val="24"/>
        </w:rPr>
        <w:t>gobierno nacional y de las organizaciones sociales de discapacidad.</w:t>
      </w:r>
    </w:p>
    <w:p w:rsidR="00E676FC" w:rsidRPr="00D14232" w:rsidRDefault="00E676FC" w:rsidP="00B34C19">
      <w:pPr>
        <w:autoSpaceDE w:val="0"/>
        <w:autoSpaceDN w:val="0"/>
        <w:adjustRightInd w:val="0"/>
        <w:spacing w:before="120" w:after="120"/>
        <w:ind w:firstLine="567"/>
        <w:jc w:val="both"/>
        <w:rPr>
          <w:rFonts w:asciiTheme="majorHAnsi" w:hAnsiTheme="majorHAnsi"/>
          <w:color w:val="000000"/>
          <w:sz w:val="24"/>
          <w:szCs w:val="24"/>
        </w:rPr>
      </w:pPr>
      <w:r w:rsidRPr="00D14232">
        <w:rPr>
          <w:rFonts w:asciiTheme="majorHAnsi" w:hAnsiTheme="majorHAnsi"/>
          <w:color w:val="000000"/>
          <w:sz w:val="24"/>
          <w:szCs w:val="24"/>
        </w:rPr>
        <w:t>A nivel local, el Estado cuenta con los comités municipales y locales de discapacidad encargados de incidir en los planes locales de desarrollo y de hacer seguimiento tanto a los presupuestos destinados como al impacto de las políticas territoriales en materia de discapacidad. Estos Comités fungen como espacio institucional de participación y representación de personas con discapacidad</w:t>
      </w:r>
      <w:r w:rsidR="00B34C19" w:rsidRPr="00D14232">
        <w:rPr>
          <w:rFonts w:asciiTheme="majorHAnsi" w:hAnsiTheme="majorHAnsi"/>
          <w:color w:val="000000"/>
          <w:sz w:val="24"/>
          <w:szCs w:val="24"/>
        </w:rPr>
        <w:t xml:space="preserve"> a nivel local.</w:t>
      </w:r>
    </w:p>
    <w:p w:rsidR="00B34C19" w:rsidRPr="00D14232" w:rsidRDefault="00B34C19" w:rsidP="00B34C19">
      <w:pPr>
        <w:autoSpaceDE w:val="0"/>
        <w:autoSpaceDN w:val="0"/>
        <w:adjustRightInd w:val="0"/>
        <w:spacing w:before="120" w:after="120"/>
        <w:ind w:firstLine="567"/>
        <w:jc w:val="both"/>
        <w:rPr>
          <w:rFonts w:asciiTheme="majorHAnsi" w:hAnsiTheme="majorHAnsi"/>
          <w:color w:val="000000"/>
          <w:sz w:val="24"/>
          <w:szCs w:val="24"/>
        </w:rPr>
      </w:pPr>
    </w:p>
    <w:p w:rsidR="00E676FC" w:rsidRPr="00D14232" w:rsidRDefault="00E676FC" w:rsidP="00B34C19">
      <w:pPr>
        <w:pStyle w:val="Heading1"/>
        <w:spacing w:before="120" w:after="120"/>
        <w:jc w:val="both"/>
        <w:rPr>
          <w:b/>
          <w:color w:val="006C6C"/>
          <w:sz w:val="24"/>
          <w:szCs w:val="24"/>
          <w:lang w:val="es-CO"/>
        </w:rPr>
      </w:pPr>
      <w:bookmarkStart w:id="7" w:name="_Toc451157549"/>
      <w:bookmarkStart w:id="8" w:name="_Toc451247836"/>
      <w:r w:rsidRPr="00D14232">
        <w:rPr>
          <w:b/>
          <w:color w:val="006C6C"/>
          <w:sz w:val="24"/>
          <w:szCs w:val="24"/>
          <w:lang w:val="es-CO"/>
        </w:rPr>
        <w:t>II. Aplicación del principio de no discriminación</w:t>
      </w:r>
      <w:bookmarkEnd w:id="7"/>
      <w:bookmarkEnd w:id="8"/>
    </w:p>
    <w:p w:rsidR="00E676FC" w:rsidRPr="00D14232" w:rsidRDefault="00E676FC" w:rsidP="00B34C19">
      <w:pPr>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En este capítulo se describirá el marco normativo y de políticas existente en Colombia en relación con el principio de no discriminación, aludiendo especialmente a: (i) si la “discapacidad” se menciona específicamente como un motivo de discriminación prohibido, (ii) la existencia de cualquier mecanismo presupuestario para asegurar la realización de ajustes razonables por parte de entidades públicas, (iii) si la denegación de ajustes razonables constituye discriminación, (iv) la existencia de las medidas de acción afirmativa para las personas con discapacidad, (v) la existencia de recursos legales, administrativos o de otro tipo efectivos, disponibles para las personas que hayan sido objeto de discriminación por motivos de discapacidad, incluida la denegación de ajustes razonables y (vi) el establecimiento de agencias gubernamentales u otras institucionales similares para garantizar a las personas con discapacidad protección igual y efectiva contra la discriminación.</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lang w:val="es-ES_tradnl"/>
        </w:rPr>
        <w:t xml:space="preserve">En Colombia, el </w:t>
      </w:r>
      <w:r w:rsidRPr="00D14232">
        <w:rPr>
          <w:rFonts w:asciiTheme="majorHAnsi" w:hAnsiTheme="majorHAnsi"/>
          <w:b/>
          <w:i/>
          <w:sz w:val="24"/>
          <w:szCs w:val="24"/>
          <w:lang w:val="es-ES_tradnl"/>
        </w:rPr>
        <w:t>desarrollo del principio de no discriminación tiene rango constitucional</w:t>
      </w:r>
      <w:r w:rsidRPr="00D14232">
        <w:rPr>
          <w:rFonts w:asciiTheme="majorHAnsi" w:hAnsiTheme="majorHAnsi"/>
          <w:b/>
          <w:sz w:val="24"/>
          <w:szCs w:val="24"/>
          <w:lang w:val="es-ES_tradnl"/>
        </w:rPr>
        <w:t xml:space="preserve"> </w:t>
      </w:r>
      <w:r w:rsidRPr="00D14232">
        <w:rPr>
          <w:rFonts w:asciiTheme="majorHAnsi" w:hAnsiTheme="majorHAnsi"/>
          <w:sz w:val="24"/>
          <w:szCs w:val="24"/>
          <w:lang w:val="es-ES_tradnl"/>
        </w:rPr>
        <w:t>y ha sido la Corte Constitucional colombiana le ha dado contenido en su jurisprudencia. En el artículo 13 de la Constitución Política colombiana se consagra que “el Estado protegerá especialmente a aquellas personas que por su condición económica, física o mental, se encuentren en circunstancia de debilidad manifiesta y sancionará los abusos o maltratos que contra ellos se cometan”. En complemento a esta disposición, en el caso particular de la garantía de los derechos de las personas con discapacidad, los artículos constitucionales 47, 54 y 68 consagran obligaciones de eliminar la exclusión y discriminación contra esta población frente a sus derechos a la educación, a la salud, a la cultura y al trabajo –entre otros- con el fin de garantizar su inclusión social plena. Así, se desglosa del derecho a la igualdad la obligación a cargo del Estado de adelantar acciones afirmativas a favor de grupos históricamente marginados y excluidos de la sociedad.</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reiterada jurisprudencia</w:t>
      </w:r>
      <w:r w:rsidRPr="00D14232">
        <w:rPr>
          <w:rStyle w:val="FootnoteReference"/>
          <w:rFonts w:asciiTheme="majorHAnsi" w:hAnsiTheme="majorHAnsi"/>
          <w:sz w:val="24"/>
          <w:szCs w:val="24"/>
          <w:lang w:val="es-ES_tradnl"/>
        </w:rPr>
        <w:footnoteReference w:id="6"/>
      </w:r>
      <w:r w:rsidRPr="00D14232">
        <w:rPr>
          <w:rFonts w:asciiTheme="majorHAnsi" w:hAnsiTheme="majorHAnsi"/>
          <w:sz w:val="24"/>
          <w:szCs w:val="24"/>
          <w:lang w:val="es-ES_tradnl"/>
        </w:rPr>
        <w:t xml:space="preserve">, la Corte Constitucional ha enfatizado que las personas con discapacidad son sujetos de especial protección constitucional, y por tanto, deben gozar de sus derechos fundamentales en igualdad de condiciones que las personas sin discapacidad. Así, la Corte ha fijado una línea jurisprudencial robusta sobre el deber de eliminar las barreras sociales, económicas, políticas y culturales, que reflejan el sistema de discriminación a la cual se ven sometidas las personas con discapacidad.  La Corte también ha enfatizado en que el modelo social contenido en la </w:t>
      </w:r>
      <w:r w:rsidRPr="00D14232">
        <w:rPr>
          <w:rFonts w:asciiTheme="majorHAnsi" w:hAnsiTheme="majorHAnsi"/>
          <w:sz w:val="24"/>
          <w:szCs w:val="24"/>
          <w:lang w:val="es-ES_tradnl"/>
        </w:rPr>
        <w:lastRenderedPageBreak/>
        <w:t>CDPD fija el estándar más alto de interpretación de los derechos humanos de las personas con discapacidad y por estar contenido en el bloque de constitucionalidad es de obligatorio cumplimiento e implementación.</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Desde el 2012 la Corte Constitucional ha adoptado y reiterado jurisprudencialmente</w:t>
      </w:r>
      <w:r w:rsidRPr="00D14232">
        <w:rPr>
          <w:rStyle w:val="FootnoteReference"/>
          <w:rFonts w:asciiTheme="majorHAnsi" w:hAnsiTheme="majorHAnsi"/>
          <w:sz w:val="24"/>
          <w:szCs w:val="24"/>
        </w:rPr>
        <w:footnoteReference w:id="7"/>
      </w:r>
      <w:r w:rsidRPr="00D14232">
        <w:rPr>
          <w:rFonts w:asciiTheme="majorHAnsi" w:hAnsiTheme="majorHAnsi"/>
          <w:sz w:val="24"/>
          <w:szCs w:val="24"/>
        </w:rPr>
        <w:t xml:space="preserve"> el concepto de discriminación contra las personas con discapacidad que presenta la Convención Interamericana para la Eliminación de todas las Formas de Discriminación</w:t>
      </w:r>
      <w:r w:rsidRPr="00D14232">
        <w:rPr>
          <w:rStyle w:val="FootnoteReference"/>
          <w:rFonts w:asciiTheme="majorHAnsi" w:hAnsiTheme="majorHAnsi"/>
          <w:sz w:val="24"/>
          <w:szCs w:val="24"/>
        </w:rPr>
        <w:footnoteReference w:id="8"/>
      </w:r>
      <w:r w:rsidRPr="00D14232">
        <w:rPr>
          <w:rFonts w:asciiTheme="majorHAnsi" w:hAnsiTheme="majorHAnsi"/>
          <w:sz w:val="24"/>
          <w:szCs w:val="24"/>
        </w:rPr>
        <w:t>, la cual es consistente con el artículo 2 de la CDPD. Complementariamente la Corte ha señalado que existen por lo menos dos tipos de situaciones que pueden constituir un acto discriminatorio contrario al derecho a la igualdad de las personas con discapacidad, “por un lado, la conducta, actitud o trato, consciente o inconsciente, dirigido a anular o restringir sus derechos, libertades y oportunidades, sin justificación objetiva y razonable. Por otro, el acto discriminatorio consistente en una omisión injustificada en el trato especial a que tienen derecho (…) la cual trae como efecto directo su exclusión de un beneficio, ventaja u oportunidad”</w:t>
      </w:r>
      <w:r w:rsidRPr="00D14232">
        <w:rPr>
          <w:rStyle w:val="FootnoteReference"/>
          <w:rFonts w:asciiTheme="majorHAnsi" w:hAnsiTheme="majorHAnsi"/>
          <w:sz w:val="24"/>
          <w:szCs w:val="24"/>
        </w:rPr>
        <w:footnoteReference w:id="9"/>
      </w:r>
      <w:r w:rsidR="00B34C19" w:rsidRPr="00D14232">
        <w:rPr>
          <w:rFonts w:asciiTheme="majorHAnsi" w:hAnsiTheme="majorHAnsi"/>
          <w:sz w:val="24"/>
          <w:szCs w:val="24"/>
        </w:rPr>
        <w:t>.</w:t>
      </w:r>
    </w:p>
    <w:p w:rsidR="00E676FC" w:rsidRPr="00D14232" w:rsidRDefault="00B34C19"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La Corte </w:t>
      </w:r>
      <w:r w:rsidR="00E676FC" w:rsidRPr="00D14232">
        <w:rPr>
          <w:rFonts w:asciiTheme="majorHAnsi" w:hAnsiTheme="majorHAnsi"/>
          <w:sz w:val="24"/>
          <w:szCs w:val="24"/>
        </w:rPr>
        <w:t>Constitucional ha emitido fallos de tutela</w:t>
      </w:r>
      <w:r w:rsidR="00E676FC" w:rsidRPr="00D14232">
        <w:rPr>
          <w:rStyle w:val="FootnoteReference"/>
          <w:rFonts w:asciiTheme="majorHAnsi" w:hAnsiTheme="majorHAnsi"/>
          <w:sz w:val="24"/>
          <w:szCs w:val="24"/>
        </w:rPr>
        <w:footnoteReference w:id="10"/>
      </w:r>
      <w:r w:rsidR="00E676FC" w:rsidRPr="00D14232">
        <w:rPr>
          <w:rFonts w:asciiTheme="majorHAnsi" w:hAnsiTheme="majorHAnsi"/>
          <w:sz w:val="24"/>
          <w:szCs w:val="24"/>
        </w:rPr>
        <w:t xml:space="preserve"> recientes en los que ha protegido el principio de no discriminación de las personas con discapacidad en casos concretos relacionados con la denegación o la omisión de implementar ajustes razonables que permitan su plena inclusión social. Por ejemplo, en la resolución de una acción de tutela interpuesta por un abogado con discapacidad física que alegaba la no disposición de las autoridades para realizar ajustes razonables que le permitieran trabajar en igualdad de condiciones con sus pares sin discapacidad, la Corte protegió su derecho y reiteró que “los actos discriminatorios pueden originarse en el lenguaje de las normas o en las prácticas de las instituciones o de la sociedad que de manera injustificada llegan a constituirse en una forma de vida y son aceptados con naturalidad, lo cual conlleva que las personas que sufren este tipo de exclusión tengan que soportar cargas infundadas desde el punto de vista moral y/o jurídico. A la luz de las consideraciones precedentes, la vulneración del derecho fundamental a la igualdad de las personas en situación de discapacidad puede devenir no sólo por acción sino también por la omisión de acciones afirmativas de que son titulares lo cual mantiene </w:t>
      </w:r>
      <w:r w:rsidR="00E676FC" w:rsidRPr="00D14232">
        <w:rPr>
          <w:rFonts w:asciiTheme="majorHAnsi" w:hAnsiTheme="majorHAnsi"/>
          <w:sz w:val="24"/>
          <w:szCs w:val="24"/>
        </w:rPr>
        <w:lastRenderedPageBreak/>
        <w:t>la estructura de exclusión social e invisibilidad a la que han sido sometidas históricamente, y que obstaculiza el ejercicio pleno de sus derechos fundamentales”</w:t>
      </w:r>
      <w:r w:rsidR="00E676FC" w:rsidRPr="00D14232">
        <w:rPr>
          <w:rStyle w:val="FootnoteReference"/>
          <w:rFonts w:asciiTheme="majorHAnsi" w:hAnsiTheme="majorHAnsi"/>
          <w:sz w:val="24"/>
          <w:szCs w:val="24"/>
        </w:rPr>
        <w:footnoteReference w:id="11"/>
      </w:r>
      <w:r w:rsidR="00E676FC" w:rsidRPr="00D14232">
        <w:rPr>
          <w:rFonts w:asciiTheme="majorHAnsi" w:hAnsiTheme="majorHAnsi"/>
          <w:sz w:val="24"/>
          <w:szCs w:val="24"/>
        </w:rPr>
        <w:t>.</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b/>
          <w:i/>
          <w:sz w:val="24"/>
          <w:szCs w:val="24"/>
        </w:rPr>
        <w:t>En el sistema normativo, varias disposiciones hacen alusión a la prohibición de discriminación por motivos de discapacidad.</w:t>
      </w:r>
      <w:r w:rsidRPr="00D14232">
        <w:rPr>
          <w:rFonts w:asciiTheme="majorHAnsi" w:hAnsiTheme="majorHAnsi"/>
          <w:sz w:val="24"/>
          <w:szCs w:val="24"/>
        </w:rPr>
        <w:t xml:space="preserve"> En la Ley 1306 de 2009, “por la cual se dictan normas para la protección de personas con discapacidad mental y se establece el Régimen de la Representación Legal de Incapaces Emancipados (sic), en los principios se estableció el de la no discriminación por razón de discapacidad (art. 3, numeral b) así como la obligación del Estado de prohibir, prevenir, investigar y sancionar toda forma de discriminación por este motivo (art. 5, numeral 2).</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Por su parte, la Ley estatutaria 1618 de 2013, “por medio de la cual se establecen las disposiciones para garantizar el pleno ejercicio de los derechos de las personas con discapacidad”, es el principal avance legislativo para implementar la CDPD en Colombia. Como fundamento de esta ley está el principio de no discriminación, junto con los principios de dignidad humana, respeto, autonomía individual, independencia, igualdad, equidad, justicia, inclusión, progresividad en la financiación, equiparación de oportunidades, protección, solidaridad, pluralismo, accesibilidad, diversidad, respeto, aceptación de las diferencias y participación. Las definiciones de ajustes razonables y diseño universal fueron efectivamente incorporadas y desarrolladas por el artículo 2 de esta ley, en concordancia con la CDPD.</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El principio de no discriminación fue desarrollado por la Ley 1482 de 2011 conocida como la “Ley Antidiscriminación”, que penaliza las formas de discriminación por motivos raciales, de sexo, religión, nacionalidad, género, idioma, orientación sexual, condición económica o social, sin contemplar taxativamente la condición de discapacidad como criterio de discriminación reprochable penalmente. El debate legislativo registrado en las gacetas del Congreso, refleja la naturalización de la exclusión de las personas con discapacidad y la interpretación de la exigibilidad de sus derechos únicamente como un asunto de asistencia, que no amerita consecuencias penales. Gracias a la presión de diferentes sectores sociales, con la Ley 1752 de 2015 se adicionó la condición de discapacidad como criterio discriminatorio, fijando así un estándar protección legal en igualdad de condiciones con los demás grupos poblacionales, de forma que actualmente la discriminación que se cometa contra ellas puede ser castigada penalmente.</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A pesar de contar con precedente constitucional y un marco normativo que incluye el principio de no discriminación, en materia de política pública dirigida para personas con discapacidad, éste aún no ha sido desarrollado ni cuenta con </w:t>
      </w:r>
      <w:r w:rsidRPr="00D14232">
        <w:rPr>
          <w:rFonts w:asciiTheme="majorHAnsi" w:hAnsiTheme="majorHAnsi"/>
          <w:sz w:val="24"/>
          <w:szCs w:val="24"/>
        </w:rPr>
        <w:lastRenderedPageBreak/>
        <w:t xml:space="preserve">mecanismos para monitorear los avances ni para hacer seguimiento a su implementación. El </w:t>
      </w:r>
      <w:proofErr w:type="spellStart"/>
      <w:r w:rsidRPr="00D14232">
        <w:rPr>
          <w:rFonts w:asciiTheme="majorHAnsi" w:hAnsiTheme="majorHAnsi"/>
          <w:sz w:val="24"/>
          <w:szCs w:val="24"/>
        </w:rPr>
        <w:t>Conpes</w:t>
      </w:r>
      <w:proofErr w:type="spellEnd"/>
      <w:r w:rsidRPr="00D14232">
        <w:rPr>
          <w:rStyle w:val="FootnoteReference"/>
          <w:rFonts w:asciiTheme="majorHAnsi" w:hAnsiTheme="majorHAnsi"/>
          <w:sz w:val="24"/>
          <w:szCs w:val="24"/>
        </w:rPr>
        <w:footnoteReference w:id="12"/>
      </w:r>
      <w:r w:rsidRPr="00D14232">
        <w:rPr>
          <w:rFonts w:asciiTheme="majorHAnsi" w:hAnsiTheme="majorHAnsi"/>
          <w:sz w:val="24"/>
          <w:szCs w:val="24"/>
        </w:rPr>
        <w:t xml:space="preserve"> Social 166 de 2013 o “Política pública nacional de discapacidad e inclusión social”, no menciona explícitamente que la no implementación de ajustes razonables sea un criterio sospechoso de discriminación.</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Cabe resaltar que en el informe presentado por el Estado colombiano ante el Comité CDPD en 2013, en el aparte sobre no discriminación, igualdad y recursos eficaces, únicamente se menciona como avance la creación de la Agencia Nacional para la Superación de la Pobreza Extrema como entidad encargada de la estrategia nacional de superación de la pobreza extrema en general, sin especificar las medidas dirigidas para superar la discriminación y exclusión de las personas con discapacidad</w:t>
      </w:r>
      <w:r w:rsidRPr="00D14232">
        <w:rPr>
          <w:rStyle w:val="FootnoteReference"/>
          <w:rFonts w:asciiTheme="majorHAnsi" w:hAnsiTheme="majorHAnsi"/>
          <w:sz w:val="24"/>
          <w:szCs w:val="24"/>
        </w:rPr>
        <w:footnoteReference w:id="13"/>
      </w:r>
      <w:r w:rsidRPr="00D14232">
        <w:rPr>
          <w:rFonts w:asciiTheme="majorHAnsi" w:hAnsiTheme="majorHAnsi"/>
          <w:sz w:val="24"/>
          <w:szCs w:val="24"/>
        </w:rPr>
        <w:t>.</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En cuanto a la </w:t>
      </w:r>
      <w:r w:rsidRPr="00D14232">
        <w:rPr>
          <w:rFonts w:asciiTheme="majorHAnsi" w:hAnsiTheme="majorHAnsi"/>
          <w:b/>
          <w:i/>
          <w:sz w:val="24"/>
          <w:szCs w:val="24"/>
        </w:rPr>
        <w:t>existencia de cualquier mecanismo presupuestario para asegurar la realización de ajustes razonables por parte de entidades públicas</w:t>
      </w:r>
      <w:r w:rsidRPr="00D14232">
        <w:rPr>
          <w:rFonts w:asciiTheme="majorHAnsi" w:hAnsiTheme="majorHAnsi"/>
          <w:sz w:val="24"/>
          <w:szCs w:val="24"/>
        </w:rPr>
        <w:t xml:space="preserve">, es necesario mencionar que en la Ley 1618 (art. 5) se establece que la garantía del ejercicio efectivo de todos los derechos de las personas con discapacidad y de su inclusión son responsabilidad de las entidades públicas del orden nacional, departamental, municipal, distrital y local, en el marco del Sistema Nacional de Discapacidad, debiendo asegurar que todas las políticas, planes y programas, garanticen el ejercicio total y efectivo de sus derechos. </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Para este fin, se consagra en la citada norma que </w:t>
      </w:r>
      <w:r w:rsidRPr="00D14232">
        <w:rPr>
          <w:rFonts w:asciiTheme="majorHAnsi" w:hAnsiTheme="majorHAnsi"/>
          <w:b/>
          <w:sz w:val="24"/>
          <w:szCs w:val="24"/>
        </w:rPr>
        <w:t>“las autoridades públicas deberán, entre otras, implementar las siguientes acciones: (…) 4. Incorporar en su presupuesto y planes de inversiones, los recursos necesarios destinados para implementar los ajustes razonables que se requieran para que las personas con discapacidad puedan acceder a un determinado bien o servicio social, y publicar esta información para consulta de los ciudadanos.</w:t>
      </w:r>
      <w:r w:rsidRPr="00D14232">
        <w:rPr>
          <w:rFonts w:asciiTheme="majorHAnsi" w:hAnsiTheme="majorHAnsi"/>
          <w:sz w:val="24"/>
          <w:szCs w:val="24"/>
        </w:rPr>
        <w:t xml:space="preserve"> (…) 8. Todos los Ministerios, en concordancia con la directriz del Ministerio de Hacienda y Crédito Público y el Departamento Nacional de Planeación, elaborarán un plan interinstitucional en un término no mayor a dos (2) años, en el que, se determinen los recursos requeridos para la protección de los derechos de las personas con discapacidad”</w:t>
      </w:r>
      <w:r w:rsidRPr="00D14232">
        <w:rPr>
          <w:rStyle w:val="FootnoteReference"/>
          <w:rFonts w:asciiTheme="majorHAnsi" w:hAnsiTheme="majorHAnsi"/>
          <w:sz w:val="24"/>
          <w:szCs w:val="24"/>
        </w:rPr>
        <w:footnoteReference w:id="14"/>
      </w:r>
      <w:r w:rsidRPr="00D14232">
        <w:rPr>
          <w:rFonts w:asciiTheme="majorHAnsi" w:hAnsiTheme="majorHAnsi"/>
          <w:sz w:val="24"/>
          <w:szCs w:val="24"/>
        </w:rPr>
        <w:t>.</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lastRenderedPageBreak/>
        <w:t xml:space="preserve">Esta obligación fue desarrollada en el </w:t>
      </w:r>
      <w:proofErr w:type="spellStart"/>
      <w:r w:rsidRPr="00D14232">
        <w:rPr>
          <w:rFonts w:asciiTheme="majorHAnsi" w:hAnsiTheme="majorHAnsi"/>
          <w:sz w:val="24"/>
          <w:szCs w:val="24"/>
        </w:rPr>
        <w:t>Conpes</w:t>
      </w:r>
      <w:proofErr w:type="spellEnd"/>
      <w:r w:rsidRPr="00D14232">
        <w:rPr>
          <w:rFonts w:asciiTheme="majorHAnsi" w:hAnsiTheme="majorHAnsi"/>
          <w:sz w:val="24"/>
          <w:szCs w:val="24"/>
        </w:rPr>
        <w:t xml:space="preserve"> 166 de 2013, en el cual se propuso un plan de acción que priorizaba los siguientes puntos: (i) estrategia para la transformación de lo público, (ii) estrategia para la garantía jurídica, (iii) estrategia para la participación en la vida política y pública, (iv) estrategia para el desarrollo de la capacidad y (v) estrategia para el reconocimiento de la diversidad. Únicamente se menciona la garantía de ajustes razonables en términos de accesibilidad: “se implementarán las medidas necesarias para garantizar la accesibilidad física, comunicacional e informativa a los escenarios y prácticas deportivas y recreativas para la participación de las personas con discapacidad. Por su parte, el ICBF construirá e implementará un programa de atención a las familias de personas con discapacidad en situación de vulnerabilidad. Así mismo, se implementará el Programa Nacional de Alfabetización para personas con discapacidad, incluyendo la formación de docentes, también se garantizarán los apoyos necesarios para la inclusión educativa durante todo el año lectivo y se definirán estrategias para la participación de NNA excluidos del sistema educativo en razón de su discapacidad”</w:t>
      </w:r>
      <w:r w:rsidRPr="00D14232">
        <w:rPr>
          <w:rStyle w:val="FootnoteReference"/>
          <w:rFonts w:asciiTheme="majorHAnsi" w:hAnsiTheme="majorHAnsi"/>
          <w:sz w:val="24"/>
          <w:szCs w:val="24"/>
        </w:rPr>
        <w:footnoteReference w:id="15"/>
      </w:r>
      <w:r w:rsidRPr="00D14232">
        <w:rPr>
          <w:rFonts w:asciiTheme="majorHAnsi" w:hAnsiTheme="majorHAnsi"/>
          <w:sz w:val="24"/>
          <w:szCs w:val="24"/>
        </w:rPr>
        <w:t>.</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b/>
          <w:i/>
          <w:sz w:val="24"/>
          <w:szCs w:val="24"/>
          <w:lang w:val="es-ES_tradnl"/>
        </w:rPr>
        <w:t>En lo que respecta al deber del Estado de implementar los ajustes razonables para garantizar el goce pleno de los derechos de las personas con discapacidad</w:t>
      </w:r>
      <w:r w:rsidRPr="00D14232">
        <w:rPr>
          <w:rFonts w:asciiTheme="majorHAnsi" w:hAnsiTheme="majorHAnsi"/>
          <w:sz w:val="24"/>
          <w:szCs w:val="24"/>
          <w:lang w:val="es-ES_tradnl"/>
        </w:rPr>
        <w:t>, es importante mencionar que la jurisprudencia constitucional ha determinado que la denegación de dichos ajustes constituye discriminación. Particularmente, en asuntos como la atención a la población víctima del conflicto interno la Corte ha sido enfática en la necesidad de realizar este derecho de manera progresiva, en concordancia con la no regresividad de los derechos económicos, sociales y culturales, aduciendo que “tales ajustes se deben implementar en todos los ámbitos de la vida social, sobre la infraestructura instalada pero también sobre los proceso y acceso a servicios de salud, educación inclusiva y en el ámbito del trabajo, entre otros. La denegación de dichos ajustes es considerada como una manifestación de discriminación, al perpetuar las barreras que excluyen a dicha población del acceso a bienes, servicios básicos y oportunidades sociales, limitando el goce efectivo y en igualdad de condiciones de sus derechos”</w:t>
      </w:r>
      <w:r w:rsidRPr="00D14232">
        <w:rPr>
          <w:rStyle w:val="FootnoteReference"/>
          <w:rFonts w:asciiTheme="majorHAnsi" w:hAnsiTheme="majorHAnsi"/>
          <w:sz w:val="24"/>
          <w:szCs w:val="24"/>
          <w:lang w:val="es-ES_tradnl"/>
        </w:rPr>
        <w:footnoteReference w:id="16"/>
      </w:r>
      <w:r w:rsidRPr="00D14232">
        <w:rPr>
          <w:rFonts w:asciiTheme="majorHAnsi" w:hAnsiTheme="majorHAnsi"/>
          <w:sz w:val="24"/>
          <w:szCs w:val="24"/>
          <w:lang w:val="es-ES_tradnl"/>
        </w:rPr>
        <w:t>.</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En el proceso legislativo de reconocimiento de los derechos de las personas con discapacidad, se han tomado </w:t>
      </w:r>
      <w:r w:rsidRPr="00D14232">
        <w:rPr>
          <w:rFonts w:asciiTheme="majorHAnsi" w:hAnsiTheme="majorHAnsi"/>
          <w:b/>
          <w:i/>
          <w:sz w:val="24"/>
          <w:szCs w:val="24"/>
          <w:lang w:val="es-ES_tradnl"/>
        </w:rPr>
        <w:t>medidas de acción afirmativa</w:t>
      </w:r>
      <w:r w:rsidRPr="00D14232">
        <w:rPr>
          <w:rFonts w:asciiTheme="majorHAnsi" w:hAnsiTheme="majorHAnsi"/>
          <w:sz w:val="24"/>
          <w:szCs w:val="24"/>
          <w:lang w:val="es-ES_tradnl"/>
        </w:rPr>
        <w:t xml:space="preserve"> en temas como el acceso al trabajo y la priorización de esta población cuando ha sido víctima del conflicto interno. El derecho al trabajo de las personas con discapacidad fue protegido desde 1997 con la Ley 361 y es actualmente profundizado por el artículo 13 de la Ley 1618 </w:t>
      </w:r>
      <w:r w:rsidRPr="00D14232">
        <w:rPr>
          <w:rFonts w:asciiTheme="majorHAnsi" w:hAnsiTheme="majorHAnsi"/>
          <w:sz w:val="24"/>
          <w:szCs w:val="24"/>
          <w:lang w:val="es-ES_tradnl"/>
        </w:rPr>
        <w:lastRenderedPageBreak/>
        <w:t xml:space="preserve">de 2013. Bajo esta normativa se prohíbe la discriminación de las personas con discapacidad en el empleo y se establecen obligaciones para garantizar los ajustes razonables. </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Colombia las personas con discapacidad gozan de una protección laboral reforzada, ello significa a grandes rasgos, que los empleadores no pueden despedir a una persona con discapacidad, aun cuando haya una justa causa legal, salvo que medie una autorización previa y por escrito del Ministerio del Trabajo a través de los inspectores de trabajo, con el fin de garantizar que el motivo para terminar un contrato con una persona con discapacidad no sea precisamente su condición. La protección reforzada de las personas con discapacidad fue establecida inicialmente por el artículo 26 de la Ley 361 de 1997 y luego fue ampliada y reforzada por la Corte Constitucional</w:t>
      </w:r>
      <w:r w:rsidRPr="00D14232">
        <w:rPr>
          <w:rStyle w:val="FootnoteReference"/>
          <w:rFonts w:asciiTheme="majorHAnsi" w:hAnsiTheme="majorHAnsi"/>
          <w:sz w:val="24"/>
          <w:szCs w:val="24"/>
          <w:lang w:val="es-ES_tradnl"/>
        </w:rPr>
        <w:footnoteReference w:id="17"/>
      </w:r>
      <w:r w:rsidRPr="00D14232">
        <w:rPr>
          <w:rFonts w:asciiTheme="majorHAnsi" w:hAnsiTheme="majorHAnsi"/>
          <w:sz w:val="24"/>
          <w:szCs w:val="24"/>
          <w:lang w:val="es-ES_tradnl"/>
        </w:rPr>
        <w:t>.</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Por otra parte, cabe destacar que Colombia tiene una historia de más de cincuenta años de conflicto interno, en los cuales más de siete millones de personas han sufrido algún tipo de victimización. La política de atención, asistencia y reparación a las víctimas ha logrado algunos avances en el reconocimiento de sus derechos, pero aún tiene grandes falencias para </w:t>
      </w:r>
      <w:proofErr w:type="spellStart"/>
      <w:r w:rsidRPr="00D14232">
        <w:rPr>
          <w:rFonts w:asciiTheme="majorHAnsi" w:hAnsiTheme="majorHAnsi"/>
          <w:sz w:val="24"/>
          <w:szCs w:val="24"/>
          <w:lang w:val="es-ES_tradnl"/>
        </w:rPr>
        <w:t>transversalizar</w:t>
      </w:r>
      <w:proofErr w:type="spellEnd"/>
      <w:r w:rsidRPr="00D14232">
        <w:rPr>
          <w:rFonts w:asciiTheme="majorHAnsi" w:hAnsiTheme="majorHAnsi"/>
          <w:sz w:val="24"/>
          <w:szCs w:val="24"/>
          <w:lang w:val="es-ES_tradnl"/>
        </w:rPr>
        <w:t xml:space="preserve"> el enfoque de discapacidad. Ha sido la Corte Constitucional quien ha dictado algunas medidas afirmativas para la población con discapacidad víctima del conflicto. Gracias al análisis constitucional de los impactos del desplazamiento forzado sobre las personas con discapacidad, la Corte ordenó al Gobierno Nacional en 2009, aplicar dos presunciones constitucionales, en virtud de su condición de especial protección constitucional. Estas dos presunciones buscan: (i) reconocer jurídicamente que las personas con discapacidad tienen vulnerabilidad acentuada en el conflicto y por tanto, merecen atención prioritaria y acorde a sus necesidades y (ii) el establecimiento de la prórroga automática de ayuda humanitaria para las personas con discapacidad en situación de desplazamiento, hasta que se compruebe su plena estabilización socio económica, directamente o gracias a sus familias”. Estas medidas afirmativas fueron complementadas en el año 2014, pues la Unidad Administrativa Especial para la Atención y Reparación Integral a las Víctimas estableció la priorización de las víctimas con discapacidad para la realización del Plan de Atención, Asistencia y Reparación Integral a las Víctimas (PAARI).</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En lo que respecta a la </w:t>
      </w:r>
      <w:r w:rsidRPr="00D14232">
        <w:rPr>
          <w:rFonts w:asciiTheme="majorHAnsi" w:hAnsiTheme="majorHAnsi"/>
          <w:b/>
          <w:i/>
          <w:sz w:val="24"/>
          <w:szCs w:val="24"/>
          <w:lang w:val="es-ES_tradnl"/>
        </w:rPr>
        <w:t>existencia de recursos legales, administrativos o de otro tipo, disponibles para las personas que hayan sido objeto de discriminación por motivos de discapacidad</w:t>
      </w:r>
      <w:r w:rsidRPr="00D14232">
        <w:rPr>
          <w:rFonts w:asciiTheme="majorHAnsi" w:hAnsiTheme="majorHAnsi"/>
          <w:sz w:val="24"/>
          <w:szCs w:val="24"/>
          <w:lang w:val="es-ES_tradnl"/>
        </w:rPr>
        <w:t xml:space="preserve">, incluida la denegación de ajustes razonables es </w:t>
      </w:r>
      <w:r w:rsidRPr="00D14232">
        <w:rPr>
          <w:rFonts w:asciiTheme="majorHAnsi" w:hAnsiTheme="majorHAnsi"/>
          <w:sz w:val="24"/>
          <w:szCs w:val="24"/>
          <w:lang w:val="es-ES_tradnl"/>
        </w:rPr>
        <w:lastRenderedPageBreak/>
        <w:t>importante mencionar que en Colombia se cuenta con la acción de tutela o amparo constitucional. Esta acción es una medida de exigibilidad que es ampliamente conocida en Colombia, por su eficacia y accesibilidad. Cualquier persona que considere que algún derecho fundamental no está siendo garantizado o es vulnerado por el Estado o alguna entidad privada que brinde servicios públicos, puede inter</w:t>
      </w:r>
      <w:r w:rsidR="005432BB" w:rsidRPr="00D14232">
        <w:rPr>
          <w:rFonts w:asciiTheme="majorHAnsi" w:hAnsiTheme="majorHAnsi"/>
          <w:sz w:val="24"/>
          <w:szCs w:val="24"/>
          <w:lang w:val="es-ES_tradnl"/>
        </w:rPr>
        <w:t>ponerla ante un juez de la r</w:t>
      </w:r>
      <w:r w:rsidRPr="00D14232">
        <w:rPr>
          <w:rFonts w:asciiTheme="majorHAnsi" w:hAnsiTheme="majorHAnsi"/>
          <w:sz w:val="24"/>
          <w:szCs w:val="24"/>
          <w:lang w:val="es-ES_tradnl"/>
        </w:rPr>
        <w:t>epública solicitando la protección inmediata de sus derechos. Algunos casos sobre la denegación de ajustes razonables han llegado a sede de revisión constitucional, especialmente en temas de transporte público, derecho a la salud y al trabajo.</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Otro mecanismo jurídico de exigibilidad es la excepción de inconstitucionalidad, en la cual se solicita ante un juez la posibilidad excepcional de inaplicación de disposiciones de carácter general y abstracto producidas en el orden jurídico colombiano como leyes, decretos, resoluciones, ordenanzas y demás normas. Este recurso no tiene mayor acogida y se desconocen sus alcances puesto que se trata de una solicitud a más largo plazo y de mayor dificultad argumentativa que la acción de tutela.</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Cualquier persona puede también interponer una acción de inconstitucionalidad ante la autoridad judicial competente con el fin de que se decida sobre la </w:t>
      </w:r>
      <w:proofErr w:type="spellStart"/>
      <w:r w:rsidRPr="00D14232">
        <w:rPr>
          <w:rFonts w:asciiTheme="majorHAnsi" w:hAnsiTheme="majorHAnsi"/>
          <w:sz w:val="24"/>
          <w:szCs w:val="24"/>
          <w:lang w:val="es-ES_tradnl"/>
        </w:rPr>
        <w:t>exequibilidad</w:t>
      </w:r>
      <w:proofErr w:type="spellEnd"/>
      <w:r w:rsidRPr="00D14232">
        <w:rPr>
          <w:rFonts w:asciiTheme="majorHAnsi" w:hAnsiTheme="majorHAnsi"/>
          <w:sz w:val="24"/>
          <w:szCs w:val="24"/>
          <w:lang w:val="es-ES_tradnl"/>
        </w:rPr>
        <w:t xml:space="preserve"> de las leyes en su contenido material o del procedi</w:t>
      </w:r>
      <w:r w:rsidR="005432BB" w:rsidRPr="00D14232">
        <w:rPr>
          <w:rFonts w:asciiTheme="majorHAnsi" w:hAnsiTheme="majorHAnsi"/>
          <w:sz w:val="24"/>
          <w:szCs w:val="24"/>
          <w:lang w:val="es-ES_tradnl"/>
        </w:rPr>
        <w:t xml:space="preserve">miento para su expedición. </w:t>
      </w:r>
      <w:r w:rsidRPr="00D14232">
        <w:rPr>
          <w:rFonts w:asciiTheme="majorHAnsi" w:hAnsiTheme="majorHAnsi"/>
          <w:sz w:val="24"/>
          <w:szCs w:val="24"/>
          <w:lang w:val="es-ES_tradnl"/>
        </w:rPr>
        <w:t>Estas sentencias de constitucionalidad tienen afectos sobre la aplicación o inaplicación de normas por considerarlas contrarias a la Constitución. Algunas normas o apartes de normas sobre discapacidad han sido demandadas por su inconstitucionalidad como la Ley 1306 de 2009 (sobre capacidad jurídica) y la Ley 1412 de 2010 (sobre derechos sexuales y reproductivos). En estas oportunidades, la Corte Constitucional se ha encargado de establecer el alcance interpretativo de estas normas y de analizar su armonía con las disposiciones de derechos humanos sobre la materia.</w:t>
      </w:r>
    </w:p>
    <w:p w:rsidR="00E676FC" w:rsidRPr="00D14232" w:rsidRDefault="00E676FC" w:rsidP="00B34C19">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Otro mecanismo jurídico disponible es la acción de nulidad contra un acto administrativo, por medio del cual se solicita que disposiciones contrarias a la constitución o al bloque de constitucionalidad queden sin efecto. Esta acción es de interés general y tiene efectos legales en abstracto. Por último, cabe mencionar las acciones populares establecidas en el artículo 88 de la Constitución, por medio de las cuales los ciudadanos pueden solicitar el reconocimiento y protección de los derechos e intereses colectivos.</w:t>
      </w:r>
    </w:p>
    <w:p w:rsidR="005432BB" w:rsidRPr="00D14232" w:rsidRDefault="00E676FC" w:rsidP="005432BB">
      <w:pPr>
        <w:spacing w:before="120" w:after="120"/>
        <w:ind w:firstLine="567"/>
        <w:jc w:val="both"/>
        <w:rPr>
          <w:rFonts w:asciiTheme="majorHAnsi" w:hAnsiTheme="majorHAnsi"/>
          <w:sz w:val="24"/>
          <w:szCs w:val="24"/>
        </w:rPr>
      </w:pPr>
      <w:r w:rsidRPr="00D14232">
        <w:rPr>
          <w:rFonts w:asciiTheme="majorHAnsi" w:hAnsiTheme="majorHAnsi"/>
          <w:sz w:val="24"/>
          <w:szCs w:val="24"/>
          <w:lang w:val="es-ES_tradnl"/>
        </w:rPr>
        <w:t>Como se mencionó anteriormente, en Colombia también existe la posibilidad de iniciar un proceso penal en casos de discriminación contra perso</w:t>
      </w:r>
      <w:r w:rsidR="005432BB" w:rsidRPr="00D14232">
        <w:rPr>
          <w:rFonts w:asciiTheme="majorHAnsi" w:hAnsiTheme="majorHAnsi"/>
          <w:sz w:val="24"/>
          <w:szCs w:val="24"/>
          <w:lang w:val="es-ES_tradnl"/>
        </w:rPr>
        <w:t>nas con discapacidad.</w:t>
      </w:r>
      <w:r w:rsidRPr="00D14232">
        <w:rPr>
          <w:rFonts w:asciiTheme="majorHAnsi" w:hAnsiTheme="majorHAnsi"/>
          <w:sz w:val="24"/>
          <w:szCs w:val="24"/>
          <w:lang w:val="es-ES"/>
        </w:rPr>
        <w:t xml:space="preserve"> Por medio de la  </w:t>
      </w:r>
      <w:r w:rsidRPr="00D14232">
        <w:rPr>
          <w:rFonts w:asciiTheme="majorHAnsi" w:hAnsiTheme="majorHAnsi"/>
          <w:sz w:val="24"/>
          <w:szCs w:val="24"/>
        </w:rPr>
        <w:t xml:space="preserve">Ley 1752 de 2015 se adicionó el criterio de discapacidad y cualquier </w:t>
      </w:r>
      <w:r w:rsidRPr="00D14232">
        <w:rPr>
          <w:rFonts w:asciiTheme="majorHAnsi" w:hAnsiTheme="majorHAnsi"/>
          <w:sz w:val="24"/>
          <w:szCs w:val="24"/>
        </w:rPr>
        <w:lastRenderedPageBreak/>
        <w:t>persona puede interponer una denuncia penal ante la Fiscalía General de la Nación para iniciar una investigación penal por este</w:t>
      </w:r>
      <w:r w:rsidR="005432BB" w:rsidRPr="00D14232">
        <w:rPr>
          <w:rFonts w:asciiTheme="majorHAnsi" w:hAnsiTheme="majorHAnsi"/>
          <w:sz w:val="24"/>
          <w:szCs w:val="24"/>
        </w:rPr>
        <w:t xml:space="preserve"> motivo. Se integraron así dos delitos al Código Penal, a través del artículo 134A</w:t>
      </w:r>
      <w:r w:rsidRPr="00D14232">
        <w:rPr>
          <w:rFonts w:asciiTheme="majorHAnsi" w:hAnsiTheme="majorHAnsi"/>
          <w:sz w:val="24"/>
          <w:szCs w:val="24"/>
        </w:rPr>
        <w:t xml:space="preserve">, </w:t>
      </w:r>
      <w:r w:rsidR="005432BB" w:rsidRPr="00D14232">
        <w:rPr>
          <w:rFonts w:asciiTheme="majorHAnsi" w:hAnsiTheme="majorHAnsi"/>
          <w:sz w:val="24"/>
          <w:szCs w:val="24"/>
        </w:rPr>
        <w:t xml:space="preserve">el delito de </w:t>
      </w:r>
      <w:r w:rsidRPr="00D14232">
        <w:rPr>
          <w:rFonts w:asciiTheme="majorHAnsi" w:hAnsiTheme="majorHAnsi"/>
          <w:sz w:val="24"/>
          <w:szCs w:val="24"/>
        </w:rPr>
        <w:t>actos de discriminación</w:t>
      </w:r>
      <w:r w:rsidR="005432BB" w:rsidRPr="00D14232">
        <w:rPr>
          <w:rFonts w:asciiTheme="majorHAnsi" w:hAnsiTheme="majorHAnsi"/>
          <w:sz w:val="24"/>
          <w:szCs w:val="24"/>
        </w:rPr>
        <w:t xml:space="preserve"> que reza:</w:t>
      </w:r>
      <w:r w:rsidRPr="00D14232">
        <w:rPr>
          <w:rFonts w:asciiTheme="majorHAnsi" w:hAnsiTheme="majorHAnsi"/>
          <w:sz w:val="24"/>
          <w:szCs w:val="24"/>
        </w:rPr>
        <w:t xml:space="preserve"> “el que arbitrariamente impida, obstruya o restrinja el pleno ejercicio de los derechos de las personas por razón de su raza, nacionalidad, sexo u orientación sexual, discapacidad y demás razones de discriminación, incurrirá en prisión de doce (12) a treinta y seis (36) meses y multa de diez (10) a quince (15) salarios mínimos legales mensuales vigentes.</w:t>
      </w:r>
      <w:r w:rsidR="005432BB" w:rsidRPr="00D14232">
        <w:rPr>
          <w:rFonts w:asciiTheme="majorHAnsi" w:hAnsiTheme="majorHAnsi"/>
          <w:sz w:val="24"/>
          <w:szCs w:val="24"/>
        </w:rPr>
        <w:t xml:space="preserve"> Igualmente se establece en el artículo 134B el delito de hostigamiento que reza “el que promueva o instigue actos, conductas o comportamientos constitutivos de hostigamiento, orientados a causarle daño físico o moral a una persona, grupo de personas, comunidad o pueblo, por razón de su raza, etnia, religión, nacionalidad, ideología política o filosófica, sexo u orientación sexual o discapacidad y demás razones de discriminación, incurrirá en prisión de doce (12) a treinta y seis (36) meses y multa de diez (10) a quince (15) salarios mínimos legales mensuales vigentes, salvo que la conducta constituya delito sancionable con pena mayor”.</w:t>
      </w:r>
    </w:p>
    <w:p w:rsidR="00E676FC" w:rsidRPr="00D14232" w:rsidRDefault="00E676FC" w:rsidP="00B34C19">
      <w:pPr>
        <w:spacing w:before="120" w:after="120"/>
        <w:ind w:firstLine="567"/>
        <w:jc w:val="both"/>
        <w:rPr>
          <w:rFonts w:asciiTheme="majorHAnsi" w:hAnsiTheme="majorHAnsi"/>
          <w:sz w:val="24"/>
          <w:szCs w:val="24"/>
        </w:rPr>
      </w:pPr>
      <w:r w:rsidRPr="00D14232">
        <w:rPr>
          <w:rFonts w:asciiTheme="majorHAnsi" w:hAnsiTheme="majorHAnsi"/>
          <w:sz w:val="24"/>
          <w:szCs w:val="24"/>
        </w:rPr>
        <w:t xml:space="preserve">En lo que respecta al </w:t>
      </w:r>
      <w:r w:rsidRPr="00D14232">
        <w:rPr>
          <w:rFonts w:asciiTheme="majorHAnsi" w:hAnsiTheme="majorHAnsi"/>
          <w:b/>
          <w:i/>
          <w:sz w:val="24"/>
          <w:szCs w:val="24"/>
        </w:rPr>
        <w:t>establecimiento de agencias gubernamentales u otras institucionales similares para garantizar a las personas con discapacidad protección igual y efectiva contra la discriminación</w:t>
      </w:r>
      <w:r w:rsidRPr="00D14232">
        <w:rPr>
          <w:rFonts w:asciiTheme="majorHAnsi" w:hAnsiTheme="majorHAnsi"/>
          <w:sz w:val="24"/>
          <w:szCs w:val="24"/>
        </w:rPr>
        <w:t xml:space="preserve"> es importante mencionar el rol que deben ejercer tanto la Procuraduría General de la Nación como la Defensoría del Pueblo, entidades del Ministerio Público. Estos organismos de control tienen el deber de velar por la garantía y protección de los derechos humanos y la protección del interés público, entre otros asuntos. Especialmente la Defensoría del Pueblo ha logrado incidir en el trámite legislativo y constitucional de medidas para el goce efectivo de los derechos de las personas con discapacidad. En lo que respecta a las acciones de orden judicial y penal, es la Fiscalía General de la Nación la entidad competente para impulsar las investigaciones</w:t>
      </w:r>
      <w:r w:rsidR="005432BB" w:rsidRPr="00D14232">
        <w:rPr>
          <w:rFonts w:asciiTheme="majorHAnsi" w:hAnsiTheme="majorHAnsi"/>
          <w:sz w:val="24"/>
          <w:szCs w:val="24"/>
        </w:rPr>
        <w:t xml:space="preserve"> penales</w:t>
      </w:r>
      <w:r w:rsidRPr="00D14232">
        <w:rPr>
          <w:rFonts w:asciiTheme="majorHAnsi" w:hAnsiTheme="majorHAnsi"/>
          <w:sz w:val="24"/>
          <w:szCs w:val="24"/>
        </w:rPr>
        <w:t xml:space="preserve"> y el acceso a la justicia de las personas con discapacidad en casos de discriminación. En ma</w:t>
      </w:r>
      <w:r w:rsidR="005432BB" w:rsidRPr="00D14232">
        <w:rPr>
          <w:rFonts w:asciiTheme="majorHAnsi" w:hAnsiTheme="majorHAnsi"/>
          <w:sz w:val="24"/>
          <w:szCs w:val="24"/>
        </w:rPr>
        <w:t xml:space="preserve">teria laboral, </w:t>
      </w:r>
      <w:r w:rsidRPr="00D14232">
        <w:rPr>
          <w:rFonts w:asciiTheme="majorHAnsi" w:hAnsiTheme="majorHAnsi"/>
          <w:sz w:val="24"/>
          <w:szCs w:val="24"/>
        </w:rPr>
        <w:t>el Ministerio del Trabajo por intermedio de los inspectores de trabajo</w:t>
      </w:r>
      <w:r w:rsidR="005432BB" w:rsidRPr="00D14232">
        <w:rPr>
          <w:rFonts w:asciiTheme="majorHAnsi" w:hAnsiTheme="majorHAnsi"/>
          <w:sz w:val="24"/>
          <w:szCs w:val="24"/>
        </w:rPr>
        <w:t>, es competente</w:t>
      </w:r>
      <w:r w:rsidRPr="00D14232">
        <w:rPr>
          <w:rFonts w:asciiTheme="majorHAnsi" w:hAnsiTheme="majorHAnsi"/>
          <w:sz w:val="24"/>
          <w:szCs w:val="24"/>
        </w:rPr>
        <w:t xml:space="preserve"> para determinar si una persona con discapacidad es discriminada por su condición, ejerce la vigilancia de la aplicación de la protección laboral reforzada.</w:t>
      </w:r>
    </w:p>
    <w:p w:rsidR="002C1662" w:rsidRPr="00D14232" w:rsidRDefault="002C1662" w:rsidP="00062B58">
      <w:pPr>
        <w:jc w:val="both"/>
        <w:rPr>
          <w:rFonts w:asciiTheme="majorHAnsi" w:hAnsiTheme="majorHAnsi"/>
          <w:sz w:val="24"/>
          <w:szCs w:val="24"/>
        </w:rPr>
      </w:pPr>
    </w:p>
    <w:p w:rsidR="00083A38" w:rsidRPr="00D14232" w:rsidRDefault="00083A38" w:rsidP="005432BB">
      <w:pPr>
        <w:pStyle w:val="Heading1"/>
        <w:spacing w:before="120" w:after="120"/>
        <w:jc w:val="both"/>
        <w:rPr>
          <w:b/>
          <w:color w:val="006C6C"/>
          <w:sz w:val="24"/>
          <w:szCs w:val="24"/>
          <w:lang w:val="es-CO"/>
        </w:rPr>
      </w:pPr>
      <w:bookmarkStart w:id="9" w:name="_Toc451247837"/>
      <w:r w:rsidRPr="00D14232">
        <w:rPr>
          <w:b/>
          <w:color w:val="006C6C"/>
          <w:sz w:val="24"/>
          <w:szCs w:val="24"/>
          <w:lang w:val="es-CO"/>
        </w:rPr>
        <w:t>III. Marco legislativo y de políticas existente en Colombia sobre la accesibilidad para las personas con discapacidad</w:t>
      </w:r>
      <w:r w:rsidR="005432BB" w:rsidRPr="00D14232">
        <w:rPr>
          <w:b/>
          <w:color w:val="006C6C"/>
          <w:sz w:val="24"/>
          <w:szCs w:val="24"/>
          <w:lang w:val="es-CO"/>
        </w:rPr>
        <w:t>.</w:t>
      </w:r>
      <w:bookmarkEnd w:id="9"/>
    </w:p>
    <w:p w:rsidR="00083A38" w:rsidRPr="00D14232" w:rsidRDefault="00083A38" w:rsidP="005432BB">
      <w:pPr>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 xml:space="preserve">En este capítulo se abordará la implementación de políticas sobre accesibilidad para personas con discapacidad, en relación con el entorno físico, el transporte, la </w:t>
      </w:r>
      <w:r w:rsidRPr="00D14232">
        <w:rPr>
          <w:rFonts w:asciiTheme="majorHAnsi" w:hAnsiTheme="majorHAnsi"/>
          <w:sz w:val="24"/>
          <w:szCs w:val="24"/>
          <w:lang w:val="es-ES_tradnl"/>
        </w:rPr>
        <w:lastRenderedPageBreak/>
        <w:t>información y las comunicaciones y otros servicios e instalaciones. De acuerdo a lo sugerido por la Relatora Especial, se profundizará en los siguientes aspectos: (i) la existencia de normas, directrices nacionales y regulaciones relativas a la accesibilidad y el diseño universal, incluido el acceso a tecnologías de la información y la comunicación, (ii) la existencia de planes de acción con plazos específicos para hacer las instalaciones y servicios públicos y privados accesibles para las personas con discapacidad, (iii) la existencia de requisitos de accesibilidad en la contratación pública, (iv) la existencia de requisitos de cualquier mecanismo para asegurar el cumplimiento de las normas de accesibilidad y (v) la formación de funcionarios del Estado y otros actores en materia de accesibilidad.</w:t>
      </w:r>
    </w:p>
    <w:p w:rsidR="00083A38" w:rsidRPr="00D14232" w:rsidRDefault="00083A38" w:rsidP="005432BB">
      <w:pPr>
        <w:autoSpaceDE w:val="0"/>
        <w:autoSpaceDN w:val="0"/>
        <w:adjustRightInd w:val="0"/>
        <w:spacing w:before="120" w:after="120"/>
        <w:ind w:firstLine="567"/>
        <w:jc w:val="both"/>
        <w:rPr>
          <w:rFonts w:asciiTheme="majorHAnsi" w:hAnsiTheme="majorHAnsi" w:cs="FrutigerLTStd-Light"/>
          <w:sz w:val="24"/>
          <w:szCs w:val="24"/>
        </w:rPr>
      </w:pPr>
      <w:r w:rsidRPr="00D14232">
        <w:rPr>
          <w:rFonts w:asciiTheme="majorHAnsi" w:hAnsiTheme="majorHAnsi" w:cs="FrutigerLTStd-Light"/>
          <w:sz w:val="24"/>
          <w:szCs w:val="24"/>
        </w:rPr>
        <w:t xml:space="preserve">A lo largo de los años y a través de diferentes leyes el Estado se han fijado diferentes plazos para garantizar la accesibilidad de edificios públicos y privados abiertos al público. Por ejemplo a través de la Ley 361 de 1997, en su artículo 57 el Estado fijó un plazo de 18 meses para que las entidades públicas elaboraran planes de adaptación de espacios públicos, edificios y servicios de forma que fueran accesibles a las personas con discapacidad. En el artículo 52 de la misma Ley se fijó un plazo de 4 años para hacer adecuaciones a los edificios privados abiertos al público. </w:t>
      </w:r>
    </w:p>
    <w:p w:rsidR="00083A38" w:rsidRPr="00D14232" w:rsidRDefault="00083A38"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el informe que presentó el Estado colombiano ante el Comité CDPD en 2013, se resalta que la Ley 1618 de 2013 impone un máximo de diez años para garantizar el acceso de las personas con discapacidad al transporte público y ocho años para adecuar las vías, aeropuertos y terminales del país. Esta obligación de progresividad es el marco legal para la implementación de políticas de accesibilidad y establece responsabilidad de las entidades de todos los niveles para su cumplimiento. En el artículo 14 de esta ley se consagra que “corresponde a las entidades públicas y privadas encargadas de la prestación de los servicios públicos, de cualquier naturaleza, tipo y nivel, desarrollar sus funciones, competencias, objetos sociales, y en general, todas las actividades, siguiendo los postulados del diseño universal, de manera que no se excluya o limite el acceso en condiciones de igualdad, en todo o en parte, a ninguna persona en razón de su discapacidad. Para ello, dichas entidades deberán diseñar, implementar y financiar todos los ajustes razonables que sean necesarios para cumplir con los fines del artículo 9 de la Ley 1346 de 2009”. A pesar de este avance, aún Colombia no cuenta con un marco de política pública general que establezca reglas, plazos y presupuesto específicamente para el tema de accesibilidad.</w:t>
      </w:r>
    </w:p>
    <w:p w:rsidR="00083A38" w:rsidRPr="00D14232" w:rsidRDefault="005432BB"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esta L</w:t>
      </w:r>
      <w:r w:rsidR="00083A38" w:rsidRPr="00D14232">
        <w:rPr>
          <w:rFonts w:asciiTheme="majorHAnsi" w:hAnsiTheme="majorHAnsi"/>
          <w:sz w:val="24"/>
          <w:szCs w:val="24"/>
          <w:lang w:val="es-ES_tradnl"/>
        </w:rPr>
        <w:t xml:space="preserve">ey también se estableció un plan de acción para la implementación en cabeza del Ministerio de Hacienda y Crédito Público y el Departamento Nacional de Planeación. Dichas entidades tienen la responsabilidad de” elaborar anualmente los estudios económicos requeridos que permitan establecer progresivamente, en el </w:t>
      </w:r>
      <w:r w:rsidR="00083A38" w:rsidRPr="00D14232">
        <w:rPr>
          <w:rFonts w:asciiTheme="majorHAnsi" w:hAnsiTheme="majorHAnsi"/>
          <w:sz w:val="24"/>
          <w:szCs w:val="24"/>
          <w:lang w:val="es-ES_tradnl"/>
        </w:rPr>
        <w:lastRenderedPageBreak/>
        <w:t>marco fiscal de mediano plazo, los montos de los recursos necesarios a incluir dentro del presupuesto nacional destinados al cumplimiento de las políticas, planes, programas y proyectos que garanticen el ejercicio total y efectivo de los derechos de las personas con discapacidad”. A la vez, se estableció responsabilidad para las entidades públicas del orden nacional, departamental, municipal, distrital y local para que incluyan en sus presupuestos anuales, en forma progresiva, en el marco fiscal de mediano plazo, las partidas necesarias para hacer efectivas estas acciones. A pesar de este avance, aún Colombia no cuenta con un marco de política pública general que establezca reglas, plazos y presupuesto específicamente para el tema de accesibilidad.</w:t>
      </w:r>
    </w:p>
    <w:p w:rsidR="00083A38" w:rsidRPr="00D14232" w:rsidRDefault="00083A38"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Otros avances puntuales se han dado por vía de jurisprudencia, en la cual la Corte Constitucional ha interpretado los alcances del derecho a la accesibilidad y lo ha atado como un tema de cumplimiento de las obligaciones de derechos humanos adquiridos con la CDPD. Las órdenes se han emitido en temas como la accesibilidad del transporte público, de las instalaciones que proveen servicios de salud y de los complejos judiciales</w:t>
      </w:r>
      <w:r w:rsidRPr="00D14232">
        <w:rPr>
          <w:rStyle w:val="FootnoteReference"/>
          <w:rFonts w:asciiTheme="majorHAnsi" w:hAnsiTheme="majorHAnsi"/>
          <w:sz w:val="24"/>
          <w:szCs w:val="24"/>
          <w:lang w:val="es-ES_tradnl"/>
        </w:rPr>
        <w:footnoteReference w:id="18"/>
      </w:r>
      <w:r w:rsidRPr="00D14232">
        <w:rPr>
          <w:rFonts w:asciiTheme="majorHAnsi" w:hAnsiTheme="majorHAnsi"/>
          <w:sz w:val="24"/>
          <w:szCs w:val="24"/>
          <w:lang w:val="es-ES_tradnl"/>
        </w:rPr>
        <w:t>. Si bien se ha avanzado en el precedente jurídico sobre el derecho a la accesibilidad, aún hay temas como la educación en los que no se evidencian grandes cambios en la materia. Como lo reconoció el Estado en el informe citado, “sin embargo estas órdenes no se han implementado en su totalidad”</w:t>
      </w:r>
      <w:r w:rsidRPr="00D14232">
        <w:rPr>
          <w:rStyle w:val="FootnoteReference"/>
          <w:rFonts w:asciiTheme="majorHAnsi" w:hAnsiTheme="majorHAnsi"/>
          <w:sz w:val="24"/>
          <w:szCs w:val="24"/>
          <w:lang w:val="es-ES_tradnl"/>
        </w:rPr>
        <w:footnoteReference w:id="19"/>
      </w:r>
      <w:r w:rsidRPr="00D14232">
        <w:rPr>
          <w:rFonts w:asciiTheme="majorHAnsi" w:hAnsiTheme="majorHAnsi"/>
          <w:sz w:val="24"/>
          <w:szCs w:val="24"/>
          <w:lang w:val="es-ES_tradnl"/>
        </w:rPr>
        <w:t>.</w:t>
      </w:r>
    </w:p>
    <w:p w:rsidR="00083A38" w:rsidRPr="00D14232" w:rsidRDefault="00083A38" w:rsidP="005432BB">
      <w:pPr>
        <w:autoSpaceDE w:val="0"/>
        <w:autoSpaceDN w:val="0"/>
        <w:adjustRightInd w:val="0"/>
        <w:spacing w:before="120" w:after="120"/>
        <w:ind w:firstLine="567"/>
        <w:jc w:val="both"/>
        <w:rPr>
          <w:rFonts w:asciiTheme="majorHAnsi" w:hAnsiTheme="majorHAnsi" w:cs="FrutigerLTStd-Light"/>
          <w:sz w:val="24"/>
          <w:szCs w:val="24"/>
        </w:rPr>
      </w:pPr>
      <w:r w:rsidRPr="00D14232">
        <w:rPr>
          <w:rFonts w:asciiTheme="majorHAnsi" w:hAnsiTheme="majorHAnsi" w:cs="FrutigerLTStd-Light"/>
          <w:sz w:val="24"/>
          <w:szCs w:val="24"/>
        </w:rPr>
        <w:t>El Estado colombiano y los gobiernos locales han avanzado tímidamente en la garantía del derecho a la accesibilidad para lograr que las personas con discapacidad puedan vivir en forma independiente y participar plenamente en todos los aspectos de la vida social, política, económica y cultural. Algunas de las medidas de accesibilidad y de diseño universal combinan ajustes para eliminar obstáculos y barreras de acceso a edificios, vías públicas, transporte, escuelas, viviendas, lugares de trabajo, tecnologías de la información y las comunicaciones, y servicios; no obstante aún nos queda un largo camino por recorrer para hacer de Colombia una sociedad para todos.</w:t>
      </w:r>
    </w:p>
    <w:p w:rsidR="00083A38" w:rsidRPr="00D14232" w:rsidRDefault="00083A38"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Particularmente, en lo que atañe al derecho a la vivienda y al espacio público, Colombia cuenta con normas mínimas de accesibilidad compiladas en las normas ICONTEC, que aún no se cumplen de manera voluntaria e informada. En Colombia existen cuotas para que los proyectos de vivienda de interés social construidos por el gobierno nacional garanticen la accesibilidad de por lo menos un porcentaje de dicha oferta. La Ley 361 de 1997 estableció en su artículo 49 que por lo menos un 10% de las viviendas de interés social debían ser accesibles y libres de barreras </w:t>
      </w:r>
      <w:r w:rsidRPr="00D14232">
        <w:rPr>
          <w:rFonts w:asciiTheme="majorHAnsi" w:hAnsiTheme="majorHAnsi"/>
          <w:sz w:val="24"/>
          <w:szCs w:val="24"/>
          <w:lang w:val="es-ES_tradnl"/>
        </w:rPr>
        <w:lastRenderedPageBreak/>
        <w:t>arquitectónicas. Por su parte la Ley 1114 de 2006 estableció una cuota del 1% con las mismas características para todos los proyectos de vivienda. No obstante la exigibilidad y el monitoreo del cumplimiento de dichas cuotas carece de un responsable claro y no existen sanciones ante su incumplimiento, lo que resulta en muchos casos en la ineficacia de dichas acciones afirmativas. En algunos casos se considera que realizar los ajustes o construir espacios accesibles que garanticen las condiciones dignas para esta población constituye una carga desproporcionada y por tanto, las personas con discapacidad deben acudir a las vías judiciales para garantizar sus derechos</w:t>
      </w:r>
      <w:r w:rsidRPr="00D14232">
        <w:rPr>
          <w:rStyle w:val="FootnoteReference"/>
          <w:rFonts w:asciiTheme="majorHAnsi" w:hAnsiTheme="majorHAnsi"/>
          <w:sz w:val="24"/>
          <w:szCs w:val="24"/>
          <w:lang w:val="es-ES_tradnl"/>
        </w:rPr>
        <w:footnoteReference w:id="20"/>
      </w:r>
      <w:r w:rsidRPr="00D14232">
        <w:rPr>
          <w:rFonts w:asciiTheme="majorHAnsi" w:hAnsiTheme="majorHAnsi"/>
          <w:sz w:val="24"/>
          <w:szCs w:val="24"/>
          <w:lang w:val="es-ES_tradnl"/>
        </w:rPr>
        <w:t>.</w:t>
      </w:r>
    </w:p>
    <w:p w:rsidR="00083A38" w:rsidRPr="00D14232" w:rsidRDefault="00083A38" w:rsidP="005432BB">
      <w:pPr>
        <w:autoSpaceDE w:val="0"/>
        <w:autoSpaceDN w:val="0"/>
        <w:adjustRightInd w:val="0"/>
        <w:spacing w:before="120" w:after="120"/>
        <w:ind w:firstLine="567"/>
        <w:jc w:val="both"/>
        <w:rPr>
          <w:rFonts w:asciiTheme="majorHAnsi" w:hAnsiTheme="majorHAnsi" w:cs="FrutigerLTStd-Light"/>
          <w:sz w:val="24"/>
          <w:szCs w:val="24"/>
        </w:rPr>
      </w:pPr>
      <w:r w:rsidRPr="00D14232">
        <w:rPr>
          <w:rFonts w:asciiTheme="majorHAnsi" w:hAnsiTheme="majorHAnsi" w:cs="FrutigerLTStd-Light"/>
          <w:sz w:val="24"/>
          <w:szCs w:val="24"/>
        </w:rPr>
        <w:t>En cuanto al acceso al transporte público, en Colombia se cuenta con el Decreto 1660 de 2003, que tiene por objeto fijar la normativa general que garantice gradualmente la accesibilidad a los modos de transporte y la movilización, en especial de las personas con discapacidad. Gracias a esta reglamentación el Ministerio de Transporte ha avanzado en la adopción de actos administrativos sobre accesibilidad y en este momento se está planeando construir una guía de diseño universal para los sistemas de transporte terrestre. A pesar de estos avances, son pocos los datos oficiales disponibles sobre condiciones de accesibilidad de los sistemas masivos de transporte público, una de las pocas cifras disponibles muestra que en Bogotá D.C. menos del 1% de los buses del Sistema Integrado de Transporte Público (SITP) son accesibles a las personas con discapacidad</w:t>
      </w:r>
      <w:r w:rsidRPr="00D14232">
        <w:rPr>
          <w:rStyle w:val="FootnoteReference"/>
          <w:rFonts w:asciiTheme="majorHAnsi" w:hAnsiTheme="majorHAnsi" w:cs="FrutigerLTStd-Light"/>
          <w:sz w:val="24"/>
          <w:szCs w:val="24"/>
        </w:rPr>
        <w:footnoteReference w:id="21"/>
      </w:r>
      <w:r w:rsidRPr="00D14232">
        <w:rPr>
          <w:rFonts w:asciiTheme="majorHAnsi" w:hAnsiTheme="majorHAnsi" w:cs="FrutigerLTStd-Light"/>
          <w:sz w:val="24"/>
          <w:szCs w:val="24"/>
        </w:rPr>
        <w:t>, los mismos datos en otros lugares de Colombia difícilmente están disponibles.</w:t>
      </w:r>
    </w:p>
    <w:p w:rsidR="00083A38" w:rsidRPr="00D14232" w:rsidRDefault="00083A38" w:rsidP="005432BB">
      <w:pPr>
        <w:autoSpaceDE w:val="0"/>
        <w:autoSpaceDN w:val="0"/>
        <w:adjustRightInd w:val="0"/>
        <w:spacing w:before="120" w:after="120"/>
        <w:ind w:firstLine="567"/>
        <w:jc w:val="both"/>
        <w:rPr>
          <w:rFonts w:asciiTheme="majorHAnsi" w:hAnsiTheme="majorHAnsi" w:cs="FrutigerLTStd-Light"/>
          <w:sz w:val="24"/>
          <w:szCs w:val="24"/>
        </w:rPr>
      </w:pPr>
      <w:r w:rsidRPr="00D14232">
        <w:rPr>
          <w:rFonts w:asciiTheme="majorHAnsi" w:hAnsiTheme="majorHAnsi" w:cs="FrutigerLTStd-Light"/>
          <w:sz w:val="24"/>
          <w:szCs w:val="24"/>
        </w:rPr>
        <w:t xml:space="preserve">En cuanto al acceso a la información, el conocimiento y la cultura, es importante destacar la expedición de la Norma Técnica Colombiana (NTC) 5854 que consagra reglas específicas sobre accesibilidad web, mencionando los lectores de pantalla, magnificadores, audio descripción, entre otros, como mecanismos para garantizar ajustes de acceso a herramientas virtuales. A su vez, gracias a la expedición de la Ley 1680 de 2013 “Por la cual se garantiza a las personas ciegas y con baja visión, el acceso a la información, a las comunicaciones, al conocimiento y a las Tecnologías de la Información y de las Comunicaciones”, Colombia ha avanzado en la garantía del derecho a acceder a la información y al conocimiento en igualdad de condiciones. Uno de los mayores avances se logró con la adquisición de la “licencia país” de un software lector de pantalla, el cual puede ser descargado gratuitamente en Colombia y que permite la captura de información de los dispositivos y la convierte en sonidos o </w:t>
      </w:r>
      <w:r w:rsidRPr="00D14232">
        <w:rPr>
          <w:rFonts w:asciiTheme="majorHAnsi" w:hAnsiTheme="majorHAnsi" w:cs="FrutigerLTStd-Light"/>
          <w:sz w:val="24"/>
          <w:szCs w:val="24"/>
        </w:rPr>
        <w:lastRenderedPageBreak/>
        <w:t>formas táctiles que pueden ser percibidos por las personas con discapacidades visuales, dicha licencia también puede ser utilizada en entidades públicas a nivel nacional, departamental y municipal, y en general en todas las entidades que presten servicios públicos.</w:t>
      </w:r>
    </w:p>
    <w:p w:rsidR="00083A38" w:rsidRPr="00D14232" w:rsidRDefault="00083A38" w:rsidP="005432BB">
      <w:pPr>
        <w:autoSpaceDE w:val="0"/>
        <w:autoSpaceDN w:val="0"/>
        <w:adjustRightInd w:val="0"/>
        <w:spacing w:before="120" w:after="120"/>
        <w:ind w:firstLine="567"/>
        <w:jc w:val="both"/>
        <w:rPr>
          <w:rFonts w:asciiTheme="majorHAnsi" w:hAnsiTheme="majorHAnsi" w:cs="FrutigerLTStd-Light"/>
          <w:sz w:val="24"/>
          <w:szCs w:val="24"/>
        </w:rPr>
      </w:pPr>
      <w:r w:rsidRPr="00D14232">
        <w:rPr>
          <w:rFonts w:asciiTheme="majorHAnsi" w:hAnsiTheme="majorHAnsi" w:cs="FrutigerLTStd-Light"/>
          <w:sz w:val="24"/>
          <w:szCs w:val="24"/>
        </w:rPr>
        <w:t>El Estado colombiano adhirió al Tratado de Marrakech, con el fin de facilitar el acceso a libros para personas con discapacidad, lo cual es un gran avance normativo. Sin embargo, el Estado aún no ha ratificado dicho tratado y todavía no se han tomado acciones complementarias que ponderen positivamente la tensión entre la protección a la propiedad intelectual y el acceso al conocimiento de las personas con discapacidad. Algunas propuestas normativas para ajustar la legislación nacional a los retos propuestos por el Tratado de Marrakech son, por una parte, ampliar la población beneficiaria y la excepción y limitación respecto al derecho de reproducción, de distribución y de puesta a disposición del público. A su vez, se debe contemplar la posibilidad de proponer una definición completa de lo que es un formato accesible, para evitar restricciones injustificadas. En el análisis legislativo también se debe incluir la posibilidad de permitir el intercambio transfronterizo, la importación por parte de beneficiarios y entidades autorizadas y la elusión de medidas tecnológicas de protección</w:t>
      </w:r>
      <w:r w:rsidRPr="00D14232">
        <w:rPr>
          <w:rStyle w:val="FootnoteReference"/>
          <w:rFonts w:asciiTheme="majorHAnsi" w:hAnsiTheme="majorHAnsi" w:cs="FrutigerLTStd-Light"/>
          <w:sz w:val="24"/>
          <w:szCs w:val="24"/>
        </w:rPr>
        <w:footnoteReference w:id="22"/>
      </w:r>
      <w:r w:rsidRPr="00D14232">
        <w:rPr>
          <w:rFonts w:asciiTheme="majorHAnsi" w:hAnsiTheme="majorHAnsi" w:cs="FrutigerLTStd-Light"/>
          <w:sz w:val="24"/>
          <w:szCs w:val="24"/>
        </w:rPr>
        <w:t>.</w:t>
      </w:r>
    </w:p>
    <w:p w:rsidR="00083A38" w:rsidRPr="00D14232" w:rsidRDefault="00083A38" w:rsidP="005432BB">
      <w:pPr>
        <w:spacing w:before="120" w:after="120"/>
        <w:ind w:firstLine="567"/>
        <w:jc w:val="both"/>
        <w:rPr>
          <w:rFonts w:asciiTheme="majorHAnsi" w:hAnsiTheme="majorHAnsi"/>
          <w:sz w:val="24"/>
          <w:szCs w:val="24"/>
        </w:rPr>
      </w:pPr>
      <w:r w:rsidRPr="00D14232">
        <w:rPr>
          <w:rFonts w:asciiTheme="majorHAnsi" w:hAnsiTheme="majorHAnsi"/>
          <w:sz w:val="24"/>
          <w:szCs w:val="24"/>
        </w:rPr>
        <w:t>La realidad colombiana ha mostrado que la existencia de leyes que fijen de plazos para hacer que los espacios, construcciones y servicios sean accesibles o por lo menos tengan planes de adecuación no han producido los efectos esperados. Ello puede explicarse por múltiples causas:</w:t>
      </w:r>
    </w:p>
    <w:p w:rsidR="00083A38" w:rsidRPr="00D14232" w:rsidRDefault="00083A38" w:rsidP="005432BB">
      <w:pPr>
        <w:pStyle w:val="ListParagraph"/>
        <w:numPr>
          <w:ilvl w:val="0"/>
          <w:numId w:val="13"/>
        </w:numPr>
        <w:spacing w:before="120" w:after="120" w:line="276" w:lineRule="auto"/>
        <w:ind w:left="357" w:hanging="357"/>
        <w:jc w:val="both"/>
        <w:rPr>
          <w:rFonts w:asciiTheme="majorHAnsi" w:hAnsiTheme="majorHAnsi"/>
          <w:lang w:val="es-CO"/>
        </w:rPr>
      </w:pPr>
      <w:r w:rsidRPr="00D14232">
        <w:rPr>
          <w:rFonts w:asciiTheme="majorHAnsi" w:hAnsiTheme="majorHAnsi"/>
          <w:lang w:val="es-CO"/>
        </w:rPr>
        <w:t>Por un desconocimiento generalizado de dichas normas entre las entidades públicas. En este punto cabe mencionar la necesidad de implementar y fortalecer procesos de formación a funcionarios públicos de todos los niveles sobre la garantía del derecho a la accesibilidad, para transformar poco a poco el imaginario de carga excesiva para las administraciones.</w:t>
      </w:r>
    </w:p>
    <w:p w:rsidR="00083A38" w:rsidRPr="00D14232" w:rsidRDefault="00083A38" w:rsidP="005432BB">
      <w:pPr>
        <w:pStyle w:val="ListParagraph"/>
        <w:numPr>
          <w:ilvl w:val="0"/>
          <w:numId w:val="13"/>
        </w:numPr>
        <w:spacing w:before="120" w:after="120" w:line="276" w:lineRule="auto"/>
        <w:ind w:left="357" w:hanging="357"/>
        <w:jc w:val="both"/>
        <w:rPr>
          <w:rFonts w:asciiTheme="majorHAnsi" w:hAnsiTheme="majorHAnsi"/>
          <w:lang w:val="es-CO"/>
        </w:rPr>
      </w:pPr>
      <w:r w:rsidRPr="00D14232">
        <w:rPr>
          <w:rFonts w:asciiTheme="majorHAnsi" w:hAnsiTheme="majorHAnsi"/>
          <w:lang w:val="es-CO"/>
        </w:rPr>
        <w:t>También por la ausencia de mecanismos de supervisión y vigilancia efectivos que puedan hacer seguimiento al cumplimiento de dichas normas e imponer sanciones cuando corresponda.</w:t>
      </w:r>
    </w:p>
    <w:p w:rsidR="00083A38" w:rsidRPr="00D14232" w:rsidRDefault="00083A38" w:rsidP="005432BB">
      <w:pPr>
        <w:pStyle w:val="ListParagraph"/>
        <w:numPr>
          <w:ilvl w:val="0"/>
          <w:numId w:val="13"/>
        </w:numPr>
        <w:spacing w:before="120" w:after="120" w:line="276" w:lineRule="auto"/>
        <w:ind w:left="357" w:hanging="357"/>
        <w:jc w:val="both"/>
        <w:rPr>
          <w:rFonts w:asciiTheme="majorHAnsi" w:hAnsiTheme="majorHAnsi"/>
          <w:lang w:val="es-CO"/>
        </w:rPr>
      </w:pPr>
      <w:r w:rsidRPr="00D14232">
        <w:rPr>
          <w:rFonts w:asciiTheme="majorHAnsi" w:hAnsiTheme="majorHAnsi"/>
          <w:lang w:val="es-CO"/>
        </w:rPr>
        <w:t>Finalmente debido a la falta de movilización de las personas y organizaciones relacionadas con la discapacidad que, salvo pocos casos exitosos, no usan dichas normas y obligaciones en sus procesos de incidencia para avanzar decididamente en la garantía del derecho a la accesibilidad.</w:t>
      </w:r>
    </w:p>
    <w:p w:rsidR="002920A5" w:rsidRPr="00D14232" w:rsidRDefault="002920A5" w:rsidP="005432BB">
      <w:pPr>
        <w:spacing w:before="120" w:after="120"/>
        <w:jc w:val="both"/>
        <w:rPr>
          <w:rFonts w:asciiTheme="majorHAnsi" w:hAnsiTheme="majorHAnsi"/>
          <w:sz w:val="24"/>
          <w:szCs w:val="24"/>
          <w:lang w:val="es-ES_tradnl"/>
        </w:rPr>
      </w:pPr>
    </w:p>
    <w:p w:rsidR="002920A5" w:rsidRPr="00D14232" w:rsidRDefault="002920A5" w:rsidP="005432BB">
      <w:pPr>
        <w:pStyle w:val="Heading1"/>
        <w:spacing w:before="120" w:after="120"/>
        <w:jc w:val="both"/>
        <w:rPr>
          <w:b/>
          <w:color w:val="006C6C"/>
          <w:sz w:val="24"/>
          <w:szCs w:val="24"/>
          <w:lang w:val="es-CO"/>
        </w:rPr>
      </w:pPr>
      <w:bookmarkStart w:id="10" w:name="_Toc451247838"/>
      <w:r w:rsidRPr="00D14232">
        <w:rPr>
          <w:b/>
          <w:color w:val="006C6C"/>
          <w:sz w:val="24"/>
          <w:szCs w:val="24"/>
          <w:lang w:val="es-CO"/>
        </w:rPr>
        <w:lastRenderedPageBreak/>
        <w:t>IV. Servicios de apoyo para las personas con discapacidad en Colombia</w:t>
      </w:r>
      <w:bookmarkEnd w:id="10"/>
    </w:p>
    <w:p w:rsidR="002920A5" w:rsidRPr="00D14232" w:rsidRDefault="002920A5" w:rsidP="005432BB">
      <w:pPr>
        <w:spacing w:before="120" w:after="120"/>
        <w:jc w:val="both"/>
        <w:rPr>
          <w:rFonts w:asciiTheme="majorHAnsi" w:hAnsiTheme="majorHAnsi"/>
          <w:sz w:val="24"/>
          <w:szCs w:val="24"/>
          <w:lang w:val="es-ES_tradnl"/>
        </w:rPr>
      </w:pPr>
      <w:r w:rsidRPr="00D14232">
        <w:rPr>
          <w:rFonts w:asciiTheme="majorHAnsi" w:hAnsiTheme="majorHAnsi"/>
          <w:sz w:val="24"/>
          <w:szCs w:val="24"/>
          <w:lang w:val="es-ES_tradnl"/>
        </w:rPr>
        <w:t xml:space="preserve">En este capítulo se describirán los servicios disponibles para materializar el derecho a llevar una vida independiente que redunden en la inclusión en comunidad de las personas con discapacidad. Algunas medidas especiales se han tomado para la toma de decisiones con apoyo, especialmente para las víctimas del conflicto interno con discapacidad y en tema de acceso a la justicia. Si bien estas medidas son incipientes y aún no se han implementado, pueden ser un precedente útil para replicar en otros ámbitos de la vida de esta población. </w:t>
      </w:r>
    </w:p>
    <w:p w:rsidR="002920A5" w:rsidRPr="00D14232" w:rsidRDefault="002920A5"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A diferencia de otros derechos, el Estado colombiano ha hecho pocos avances para garantizar el derecho de las personas con discapacidad a vivir de forma independiente y a ser incluidos en la comunidad. Si bien no todas las personas con discapacidad en Colombia son dependientes y algunas están efectivamente incluidas en la comunidad, la ausencia de una estrategia nacional que tenga como norte el derecho a la vida independiente e incluida en la comunidad para las personas con discapacidad hace que este derecho no sea una prioridad política ni legislativa y que no se traduzca en una oferta local específica.</w:t>
      </w:r>
    </w:p>
    <w:p w:rsidR="002920A5" w:rsidRPr="00D14232" w:rsidRDefault="002920A5"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Colombia aún se desconoce el derecho de las personas con discapacidad a llevar una vida autónoma y libre de violencias y se presume su incapacidad para forjar un proyecto de vida independiente y a poder definir libremente su arreglo de vivienda. En la mayoría de los casos este derecho es abordado de forma parcial, a través de servicios de rehabilitación, de salud, educación o trabajo, pero carece de un marco normativo propio, por ejemplo, no fue desarrollado a profundidad en la Ley 1618 de 2013 y no existe un servicio estatal articulado que fomente su goce efectivo. En la mayoría de los casos la inclusión social de las personas con discapacidad es algo que se espera que suceda de forma correlacionada al goce de otros derechos humanos y difícilmente es reconocido como un derecho humano independiente. De hecho, el escaso reconocimiento de este derecho se relaciona estrechamente con el bajo acceso de las personas con discapacidad al sistema educativo y laboral en igualdad de condiciones con sus pares sin discapacidad, lo que limita sus posibilidades de poder tener una vida autónoma, de producir su sustento económico y de no depender de terceros para tener una vida digna. Las barreras de acceso a oportunidades de rehabilitación integral, de educación inclusiva o de generación de ingresos, perpetúan el ciclo de pobreza en el que viven las personas con discapacidad en el país y limitan la posibilidad de lograr su inclusión social y económica.</w:t>
      </w:r>
    </w:p>
    <w:p w:rsidR="002920A5" w:rsidRPr="00D14232" w:rsidRDefault="002920A5"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 xml:space="preserve">No existe en Colombia información disponible sobre el nivel de vida independiente, ni de inclusión en la comunidad de las personas con discapacidad. La información del RLCPD es la única información disponible que da cuenta del arreglo </w:t>
      </w:r>
      <w:r w:rsidRPr="00D14232">
        <w:rPr>
          <w:rFonts w:asciiTheme="majorHAnsi" w:hAnsiTheme="majorHAnsi"/>
          <w:sz w:val="24"/>
          <w:szCs w:val="24"/>
          <w:lang w:val="es-ES_tradnl"/>
        </w:rPr>
        <w:lastRenderedPageBreak/>
        <w:t>de vivienda de las personas con discapacidad, pero difícilmente puede dar cuenta de los esfuerzos y resultados de procesos de inclusión y de vida en la comunidad de las personas con discapacidad en Colombia. La mayor cantidad de personas con discapacidad, al margen de su edad y su sexo (94.4% de las mujeres, y el 92.6% de los hombres) viven acompañados, es posible inferir que viven con sus familias, quienes en el país ejercen principalmente el rol de cuidadores, a su vez, no es posible conocer si dicho arreglo de vivienda familiar fue libremente elegido o si es el único al que han tenido acceso.</w:t>
      </w:r>
    </w:p>
    <w:p w:rsidR="002920A5" w:rsidRPr="00D14232" w:rsidRDefault="002920A5" w:rsidP="005432BB">
      <w:pPr>
        <w:spacing w:before="120" w:after="120"/>
        <w:ind w:firstLine="567"/>
        <w:jc w:val="both"/>
        <w:rPr>
          <w:rFonts w:asciiTheme="majorHAnsi" w:hAnsiTheme="majorHAnsi"/>
          <w:sz w:val="24"/>
          <w:szCs w:val="24"/>
          <w:lang w:val="es-ES_tradnl"/>
        </w:rPr>
      </w:pPr>
      <w:r w:rsidRPr="00D14232">
        <w:rPr>
          <w:rFonts w:asciiTheme="majorHAnsi" w:hAnsiTheme="majorHAnsi"/>
          <w:sz w:val="24"/>
          <w:szCs w:val="24"/>
          <w:lang w:val="es-ES_tradnl"/>
        </w:rPr>
        <w:t>En cuanto a la institucionalización de las personas con discapacidad en Colombia, el dato más cercano que puede dar una idea de la proporción de personas con discapacidad que viven en instituciones se obtiene del reporte nacional de niños, niñas y adolescentes con discapacidad atendidos por el Instituto Colombiano de Bienestar Familiar, que a septiembre de 2015 reportaba atender cerca 1.883.000 personas en todas sus modalidades, de las cuales 11.499 personas, es decir menos de 0.6%, eran personas con discapacidad. Cerca del 40% accedían a una modalidad de atención familiar y el 24% a una modalidad institucional. En Colombia los datos formales sobre institucionalización de personas con discapacidad son bajos, lo que puede indicar que en la mayoría de los casos son las familias quienes asumen el rol de cuidadoras y de proveedoras de sustento económico y de vivienda para las personas con discapacidad.</w:t>
      </w:r>
    </w:p>
    <w:p w:rsidR="00826497" w:rsidRPr="00D14232" w:rsidRDefault="002920A5" w:rsidP="005432BB">
      <w:pPr>
        <w:spacing w:before="120" w:after="120"/>
        <w:ind w:firstLine="567"/>
        <w:jc w:val="both"/>
        <w:rPr>
          <w:rFonts w:asciiTheme="majorHAnsi" w:hAnsiTheme="majorHAnsi"/>
          <w:sz w:val="24"/>
          <w:szCs w:val="24"/>
        </w:rPr>
      </w:pPr>
      <w:r w:rsidRPr="00D14232">
        <w:rPr>
          <w:rFonts w:asciiTheme="majorHAnsi" w:hAnsiTheme="majorHAnsi"/>
          <w:sz w:val="24"/>
          <w:szCs w:val="24"/>
          <w:lang w:val="es-ES_tradnl"/>
        </w:rPr>
        <w:t>Un avance puntual en materia de acceso a la justicia y toma de decisiones con apoyo es la publicación en febrero de 2016 de la “Guía de atención a las personas con discapaci</w:t>
      </w:r>
      <w:r w:rsidR="00062B58" w:rsidRPr="00D14232">
        <w:rPr>
          <w:rFonts w:asciiTheme="majorHAnsi" w:hAnsiTheme="majorHAnsi"/>
          <w:sz w:val="24"/>
          <w:szCs w:val="24"/>
          <w:lang w:val="es-ES_tradnl"/>
        </w:rPr>
        <w:t>dad en el acceso a la justicia”</w:t>
      </w:r>
      <w:r w:rsidRPr="00D14232">
        <w:rPr>
          <w:rFonts w:asciiTheme="majorHAnsi" w:hAnsiTheme="majorHAnsi"/>
          <w:sz w:val="24"/>
          <w:szCs w:val="24"/>
          <w:lang w:val="es-ES_tradnl"/>
        </w:rPr>
        <w:t>, elaborada en conjunto por la Unidad para las Víctimas, el Ministerio de Justicia y el Ministerio de Salud. Esta es la primera iniciativa oficial sobre el igual reconocimiento de las personas con discapacidad ante la ley para garantizar el goce de sus derechos como ciudadanos plenos y como víctimas del conflicto interno. En esta guía se establece un diagnóstico sobre las principales barreras que enfrentan las personas con discapacidad, especialmente cognitiva y psicosocial, para poder participar en igualdad de condiciones ante el sistema judicial. A la vez, se proponen sugerencias para la atención de personas con discapacidad y una lista de apoyos tecnológicos disponibles.</w:t>
      </w:r>
    </w:p>
    <w:p w:rsidR="00062B58" w:rsidRPr="00D14232" w:rsidRDefault="00144279" w:rsidP="00144279">
      <w:pPr>
        <w:jc w:val="center"/>
        <w:rPr>
          <w:rFonts w:asciiTheme="majorHAnsi" w:hAnsiTheme="majorHAnsi"/>
          <w:color w:val="006C6C"/>
          <w:sz w:val="24"/>
          <w:szCs w:val="24"/>
        </w:rPr>
      </w:pPr>
      <w:r w:rsidRPr="00D14232">
        <w:rPr>
          <w:rFonts w:asciiTheme="majorHAnsi" w:hAnsiTheme="majorHAnsi"/>
          <w:color w:val="006C6C"/>
          <w:sz w:val="24"/>
          <w:szCs w:val="24"/>
        </w:rPr>
        <w:t>***</w:t>
      </w:r>
    </w:p>
    <w:sectPr w:rsidR="00062B58" w:rsidRPr="00D142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DF" w:rsidRDefault="00852CDF" w:rsidP="00B57C92">
      <w:pPr>
        <w:spacing w:after="0" w:line="240" w:lineRule="auto"/>
      </w:pPr>
      <w:r>
        <w:separator/>
      </w:r>
    </w:p>
  </w:endnote>
  <w:endnote w:type="continuationSeparator" w:id="0">
    <w:p w:rsidR="00852CDF" w:rsidRDefault="00852CDF" w:rsidP="00B5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Pro XLt">
    <w:altName w:val="Arial"/>
    <w:panose1 w:val="00000000000000000000"/>
    <w:charset w:val="00"/>
    <w:family w:val="modern"/>
    <w:notTrueType/>
    <w:pitch w:val="variable"/>
    <w:sig w:usb0="00000001" w:usb1="5000205A" w:usb2="00000000" w:usb3="00000000" w:csb0="0000019B" w:csb1="00000000"/>
  </w:font>
  <w:font w:name="ITC Avant Garde Pro Bk">
    <w:altName w:val="Corbel"/>
    <w:panose1 w:val="00000000000000000000"/>
    <w:charset w:val="00"/>
    <w:family w:val="modern"/>
    <w:notTrueType/>
    <w:pitch w:val="variable"/>
    <w:sig w:usb0="00000001" w:usb1="5000205A" w:usb2="00000000" w:usb3="00000000" w:csb0="0000019B" w:csb1="00000000"/>
  </w:font>
  <w:font w:name="Arial">
    <w:panose1 w:val="020B0604020202020204"/>
    <w:charset w:val="00"/>
    <w:family w:val="swiss"/>
    <w:pitch w:val="variable"/>
    <w:sig w:usb0="E0002AFF" w:usb1="C0007843" w:usb2="00000009"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FrutigerLTStd-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ITC Avant Garde Pro Bk" w:hAnsi="ITC Avant Garde Pro Bk"/>
        <w:sz w:val="20"/>
        <w:szCs w:val="20"/>
      </w:rPr>
      <w:id w:val="1857847792"/>
      <w:docPartObj>
        <w:docPartGallery w:val="Page Numbers (Bottom of Page)"/>
        <w:docPartUnique/>
      </w:docPartObj>
    </w:sdtPr>
    <w:sdtEndPr/>
    <w:sdtContent>
      <w:p w:rsidR="005432BB" w:rsidRPr="00B34C19" w:rsidRDefault="005432BB" w:rsidP="00B34C19">
        <w:pPr>
          <w:pStyle w:val="Footer"/>
          <w:jc w:val="center"/>
          <w:rPr>
            <w:rFonts w:ascii="ITC Avant Garde Pro Bk" w:hAnsi="ITC Avant Garde Pro Bk"/>
            <w:sz w:val="20"/>
            <w:szCs w:val="20"/>
          </w:rPr>
        </w:pPr>
        <w:r w:rsidRPr="00B34C19">
          <w:rPr>
            <w:rFonts w:ascii="ITC Avant Garde Pro Bk" w:hAnsi="ITC Avant Garde Pro Bk"/>
            <w:sz w:val="20"/>
            <w:szCs w:val="20"/>
          </w:rPr>
          <w:fldChar w:fldCharType="begin"/>
        </w:r>
        <w:r w:rsidRPr="00B34C19">
          <w:rPr>
            <w:rFonts w:ascii="ITC Avant Garde Pro Bk" w:hAnsi="ITC Avant Garde Pro Bk"/>
            <w:sz w:val="20"/>
            <w:szCs w:val="20"/>
          </w:rPr>
          <w:instrText>PAGE   \* MERGEFORMAT</w:instrText>
        </w:r>
        <w:r w:rsidRPr="00B34C19">
          <w:rPr>
            <w:rFonts w:ascii="ITC Avant Garde Pro Bk" w:hAnsi="ITC Avant Garde Pro Bk"/>
            <w:sz w:val="20"/>
            <w:szCs w:val="20"/>
          </w:rPr>
          <w:fldChar w:fldCharType="separate"/>
        </w:r>
        <w:r w:rsidR="0072607A" w:rsidRPr="0072607A">
          <w:rPr>
            <w:rFonts w:ascii="ITC Avant Garde Pro Bk" w:hAnsi="ITC Avant Garde Pro Bk"/>
            <w:noProof/>
            <w:sz w:val="20"/>
            <w:szCs w:val="20"/>
            <w:lang w:val="es-ES"/>
          </w:rPr>
          <w:t>1</w:t>
        </w:r>
        <w:r w:rsidRPr="00B34C19">
          <w:rPr>
            <w:rFonts w:ascii="ITC Avant Garde Pro Bk" w:hAnsi="ITC Avant Garde Pro Bk"/>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DF" w:rsidRDefault="00852CDF" w:rsidP="00B57C92">
      <w:pPr>
        <w:spacing w:after="0" w:line="240" w:lineRule="auto"/>
      </w:pPr>
      <w:r>
        <w:separator/>
      </w:r>
    </w:p>
  </w:footnote>
  <w:footnote w:type="continuationSeparator" w:id="0">
    <w:p w:rsidR="00852CDF" w:rsidRDefault="00852CDF" w:rsidP="00B57C92">
      <w:pPr>
        <w:spacing w:after="0" w:line="240" w:lineRule="auto"/>
      </w:pPr>
      <w:r>
        <w:continuationSeparator/>
      </w:r>
    </w:p>
  </w:footnote>
  <w:footnote w:id="1">
    <w:p w:rsidR="005432BB" w:rsidRPr="00144279" w:rsidRDefault="005432BB">
      <w:pPr>
        <w:pStyle w:val="FootnoteText"/>
        <w:rPr>
          <w:rFonts w:ascii="ITC Avant Garde Pro XLt" w:hAnsi="ITC Avant Garde Pro XLt"/>
          <w:sz w:val="18"/>
          <w:szCs w:val="18"/>
          <w:lang w:val="es-CO"/>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lang w:val="es-CO"/>
        </w:rPr>
        <w:t xml:space="preserve"> El presente informe fue elaborado por Marta Catalina Castro Martínez y Lucas Correa Montoya, del área de incidencia de la Fundación Saldarriaga Concha. Las opiniones expresada</w:t>
      </w:r>
      <w:bookmarkStart w:id="0" w:name="_GoBack"/>
      <w:bookmarkEnd w:id="0"/>
      <w:r w:rsidRPr="00144279">
        <w:rPr>
          <w:rFonts w:ascii="ITC Avant Garde Pro XLt" w:hAnsi="ITC Avant Garde Pro XLt"/>
          <w:sz w:val="18"/>
          <w:szCs w:val="18"/>
          <w:lang w:val="es-CO"/>
        </w:rPr>
        <w:t>s en el presente informe son responsabilidad de los autores y no representan necesariamente la opinión de la Fundación Saldarriaga Concha o de sus socios.</w:t>
      </w:r>
    </w:p>
  </w:footnote>
  <w:footnote w:id="2">
    <w:p w:rsidR="005432BB" w:rsidRPr="00144279" w:rsidRDefault="005432BB" w:rsidP="002C1662">
      <w:pPr>
        <w:pStyle w:val="FootnoteText"/>
        <w:jc w:val="both"/>
        <w:rPr>
          <w:rFonts w:ascii="ITC Avant Garde Pro XLt" w:hAnsi="ITC Avant Garde Pro XLt"/>
          <w:sz w:val="18"/>
          <w:szCs w:val="18"/>
          <w:lang w:val="en-US"/>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lang w:val="en-US"/>
        </w:rPr>
        <w:t xml:space="preserve"> </w:t>
      </w:r>
      <w:proofErr w:type="gramStart"/>
      <w:r w:rsidRPr="00144279">
        <w:rPr>
          <w:rFonts w:ascii="ITC Avant Garde Pro XLt" w:hAnsi="ITC Avant Garde Pro XLt"/>
          <w:sz w:val="18"/>
          <w:szCs w:val="18"/>
          <w:lang w:val="en-US"/>
        </w:rPr>
        <w:t>World Bank Data, Colombia.</w:t>
      </w:r>
      <w:proofErr w:type="gramEnd"/>
      <w:r w:rsidRPr="00144279">
        <w:rPr>
          <w:rFonts w:ascii="ITC Avant Garde Pro XLt" w:hAnsi="ITC Avant Garde Pro XLt"/>
          <w:sz w:val="18"/>
          <w:szCs w:val="18"/>
          <w:lang w:val="en-US"/>
        </w:rPr>
        <w:t xml:space="preserve"> </w:t>
      </w:r>
      <w:hyperlink r:id="rId1" w:history="1">
        <w:r w:rsidRPr="00144279">
          <w:rPr>
            <w:rStyle w:val="Hyperlink"/>
            <w:rFonts w:ascii="ITC Avant Garde Pro XLt" w:hAnsi="ITC Avant Garde Pro XLt"/>
            <w:color w:val="auto"/>
            <w:sz w:val="18"/>
            <w:szCs w:val="18"/>
            <w:lang w:val="en-US"/>
          </w:rPr>
          <w:t>http://data.worldbank.org/country/colombia</w:t>
        </w:r>
      </w:hyperlink>
    </w:p>
  </w:footnote>
  <w:footnote w:id="3">
    <w:p w:rsidR="005432BB" w:rsidRPr="00144279" w:rsidRDefault="005432BB" w:rsidP="002C1662">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Informe Alternativo presentado por la Fundación Saldarriaga Concha ante el Comité CDPD, Mayo de 2016.</w:t>
      </w:r>
    </w:p>
  </w:footnote>
  <w:footnote w:id="4">
    <w:p w:rsidR="005432BB" w:rsidRPr="00144279" w:rsidRDefault="005432BB" w:rsidP="0039478C">
      <w:pPr>
        <w:pStyle w:val="NoSpacing"/>
        <w:jc w:val="both"/>
        <w:rPr>
          <w:rFonts w:ascii="ITC Avant Garde Pro XLt" w:hAnsi="ITC Avant Garde Pro XLt" w:cs="Arial"/>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Análisis Revista Dinero, “El desafío de Colombia con los Objetivos de Desarrollo Sostenible”, enero de 2016. Consulta en: </w:t>
      </w:r>
      <w:hyperlink r:id="rId2" w:history="1">
        <w:r w:rsidRPr="00144279">
          <w:rPr>
            <w:rStyle w:val="Hyperlink"/>
            <w:rFonts w:ascii="ITC Avant Garde Pro XLt" w:hAnsi="ITC Avant Garde Pro XLt" w:cs="Arial"/>
            <w:color w:val="auto"/>
            <w:sz w:val="18"/>
            <w:szCs w:val="18"/>
          </w:rPr>
          <w:t>http://www.dinero.com/economia/articulo/objetivos-de-desarrollo-sostenible-en-colombia/218173</w:t>
        </w:r>
      </w:hyperlink>
    </w:p>
  </w:footnote>
  <w:footnote w:id="5">
    <w:p w:rsidR="005432BB" w:rsidRPr="00144279" w:rsidRDefault="005432BB" w:rsidP="0039478C">
      <w:pPr>
        <w:pStyle w:val="NoSpacing"/>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Documento que sirve de base y provee los lineamientos estratégicos de las políticas públicas formuladas por el Presidente de la República a través de su equipo de Gobierno. Su elaboración, socialización, evaluación y seguimiento es responsabilidad directa del Departamento Nacional de Planeación. El PND es el instrumento formal y legal por medio del cual se trazan los objetivos del Gobierno permitiendo la subsecuente evaluación de su gestión. De acuerdo con la Constitución política de Colombia de 1991 en su artículo 339 del Título XII: "Del Régimen Económico y de la Hacienda Pública", Capítulo II: "De los planes de desarrollo", el PND se compone por una parte general y un plan de inversiones de las entidades públicas del orden nacional. En la parte general se señalan los propósitos y objetivos nacionales de largo plazo, las metas y prioridades de la acción estatal en el mediano plazo y las estrategias y orientaciones generales de la política económica, social y ambiental que serán adoptadas por el gobierno. Por otro lado, el plan de inversiones públicas contiene los presupuestos plurianuales de los principales programas y proyectos de inversión pública nacional y la especificación de los recursos financieros requeridos para su ejecución y, sus fuentes de financiación</w:t>
      </w:r>
    </w:p>
  </w:footnote>
  <w:footnote w:id="6">
    <w:p w:rsidR="005432BB" w:rsidRPr="00144279" w:rsidRDefault="005432BB" w:rsidP="00E676FC">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sz w:val="18"/>
          <w:szCs w:val="18"/>
          <w:lang w:val="es-MX"/>
        </w:rPr>
        <w:t xml:space="preserve">Cfr. Sentencias C-076 del 2006, </w:t>
      </w:r>
      <w:r w:rsidRPr="00144279">
        <w:rPr>
          <w:rFonts w:ascii="ITC Avant Garde Pro XLt" w:hAnsi="ITC Avant Garde Pro XLt"/>
          <w:sz w:val="18"/>
          <w:szCs w:val="18"/>
        </w:rPr>
        <w:t>T-644 de 1996, T-556 de 1998, T-134 de 2001, T-786 de 2002, T-065 de 1996, T-700 de 2002, C-531 de 2001, T 117 de 1995, T-473 de 2002, T-620 de 1999; T-513 de 1999; T-559 de 2001, T-288 de 1995, T-823 de 1999, T-595 de 2002, C- 410 de 2001 y T- 1639 de 2000.</w:t>
      </w:r>
    </w:p>
  </w:footnote>
  <w:footnote w:id="7">
    <w:p w:rsidR="005432BB" w:rsidRPr="00144279" w:rsidRDefault="005432BB" w:rsidP="00E676FC">
      <w:pPr>
        <w:pStyle w:val="FootnoteText"/>
        <w:jc w:val="both"/>
        <w:rPr>
          <w:rFonts w:ascii="ITC Avant Garde Pro XLt" w:hAnsi="ITC Avant Garde Pro XLt"/>
          <w:sz w:val="18"/>
          <w:szCs w:val="18"/>
          <w:lang w:val="es-CO"/>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Al respecto pueden consultarse, entre otras, las siguientes sentencias de la Corte Constitucional de Colombia: C-156 de 2004, C-381 de 2005, T -288 de 1995 y T-378 de 1997.</w:t>
      </w:r>
    </w:p>
  </w:footnote>
  <w:footnote w:id="8">
    <w:p w:rsidR="005432BB" w:rsidRPr="00144279" w:rsidRDefault="005432BB" w:rsidP="00E676FC">
      <w:pPr>
        <w:pStyle w:val="FootnoteText"/>
        <w:jc w:val="both"/>
        <w:rPr>
          <w:rFonts w:ascii="ITC Avant Garde Pro XLt" w:hAnsi="ITC Avant Garde Pro XLt"/>
          <w:sz w:val="18"/>
          <w:szCs w:val="18"/>
          <w:lang w:val="es-CO"/>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Convención Interamericana para la Eliminación de Todas las Formas de Discriminación, art. 1º, numeral. 2º.</w:t>
      </w:r>
    </w:p>
  </w:footnote>
  <w:footnote w:id="9">
    <w:p w:rsidR="005432BB" w:rsidRPr="00144279" w:rsidRDefault="005432BB" w:rsidP="00E676FC">
      <w:pPr>
        <w:pStyle w:val="FootnoteText"/>
        <w:jc w:val="both"/>
        <w:rPr>
          <w:rFonts w:ascii="ITC Avant Garde Pro XLt" w:hAnsi="ITC Avant Garde Pro XLt"/>
          <w:sz w:val="18"/>
          <w:szCs w:val="18"/>
          <w:lang w:val="es-CO"/>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Esta regla se ha reiterado desde la Sentencia T-288 de 1995, ver entre otras: Sentencia C-156 del 2004, Sentencia C-401 del 2003.</w:t>
      </w:r>
    </w:p>
  </w:footnote>
  <w:footnote w:id="10">
    <w:p w:rsidR="005432BB" w:rsidRPr="00144279" w:rsidRDefault="005432BB" w:rsidP="00E676FC">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Algunos casos recientes relativos a la implementación de ajustes razonables son: Sentencia de tutela T-270 de 2013, sobre accesibilidad de las viviendas entregadas para población desplazada y Sentencia de tutela T-553 de 2011 sobre accesibilidad en el lugar de trabajo.</w:t>
      </w:r>
    </w:p>
  </w:footnote>
  <w:footnote w:id="11">
    <w:p w:rsidR="005432BB" w:rsidRPr="00144279" w:rsidRDefault="005432BB" w:rsidP="00E676FC">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Corte Constitucional de Colombia, </w:t>
      </w:r>
      <w:r w:rsidRPr="00144279">
        <w:rPr>
          <w:rFonts w:ascii="ITC Avant Garde Pro XLt" w:hAnsi="ITC Avant Garde Pro XLt"/>
          <w:bCs/>
          <w:sz w:val="18"/>
          <w:szCs w:val="18"/>
          <w:lang w:val="es-CO"/>
        </w:rPr>
        <w:t>Sentencia T-553/11.</w:t>
      </w:r>
    </w:p>
  </w:footnote>
  <w:footnote w:id="12">
    <w:p w:rsidR="005432BB" w:rsidRPr="00144279" w:rsidRDefault="005432BB" w:rsidP="00E676FC">
      <w:pPr>
        <w:pStyle w:val="FootnoteText"/>
        <w:jc w:val="both"/>
        <w:rPr>
          <w:rFonts w:ascii="ITC Avant Garde Pro XLt" w:hAnsi="ITC Avant Garde Pro XLt"/>
          <w:sz w:val="18"/>
          <w:szCs w:val="18"/>
          <w:lang w:val="es-CO"/>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Los documentos CONPES son documentos técnicos de política pública, elaborados por el </w:t>
      </w:r>
      <w:r w:rsidRPr="00144279">
        <w:rPr>
          <w:rFonts w:ascii="ITC Avant Garde Pro XLt" w:hAnsi="ITC Avant Garde Pro XLt"/>
          <w:sz w:val="18"/>
          <w:szCs w:val="18"/>
          <w:lang w:val="es-CO"/>
        </w:rPr>
        <w:t>Consejo Nacional de Política Económica y Social.</w:t>
      </w:r>
    </w:p>
  </w:footnote>
  <w:footnote w:id="13">
    <w:p w:rsidR="005432BB" w:rsidRPr="00144279" w:rsidRDefault="005432BB" w:rsidP="00E676FC">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Informe presentado por el Estado colombiano ante el Comité de Naciones Unidas sobre los derechos de las personas con discapacidad, Julio de 2013. </w:t>
      </w:r>
    </w:p>
  </w:footnote>
  <w:footnote w:id="14">
    <w:p w:rsidR="005432BB" w:rsidRPr="00144279" w:rsidRDefault="005432BB" w:rsidP="00E676FC">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Ley estatutaria 1618 de 2013, </w:t>
      </w:r>
      <w:r w:rsidRPr="00144279">
        <w:rPr>
          <w:rFonts w:ascii="ITC Avant Garde Pro XLt" w:hAnsi="ITC Avant Garde Pro XLt"/>
          <w:sz w:val="18"/>
          <w:szCs w:val="18"/>
          <w:lang w:val="es-CO"/>
        </w:rPr>
        <w:t>“por medio de la cual se establecen las disposiciones para garantizar el pleno ejercicio de los derechos de las personas con discapacidad”.</w:t>
      </w:r>
      <w:r w:rsidRPr="00144279">
        <w:rPr>
          <w:rFonts w:ascii="ITC Avant Garde Pro XLt" w:hAnsi="ITC Avant Garde Pro XLt"/>
          <w:sz w:val="18"/>
          <w:szCs w:val="18"/>
        </w:rPr>
        <w:t xml:space="preserve"> </w:t>
      </w:r>
      <w:r w:rsidRPr="00144279">
        <w:rPr>
          <w:rFonts w:ascii="ITC Avant Garde Pro XLt" w:hAnsi="ITC Avant Garde Pro XLt"/>
          <w:sz w:val="18"/>
          <w:szCs w:val="18"/>
          <w:lang w:val="es-CO"/>
        </w:rPr>
        <w:t>Las leyes estatutarias en Colombia gozan de una jerarquía superior a las leyes ordinarias. De acuerdo con el artículo 152 de la Constitución Política de 1991, el Congreso de la República debe regular a través de estas</w:t>
      </w:r>
      <w:r w:rsidRPr="00144279">
        <w:rPr>
          <w:rFonts w:ascii="ITC Avant Garde Pro XLt" w:hAnsi="ITC Avant Garde Pro XLt"/>
          <w:sz w:val="18"/>
          <w:szCs w:val="18"/>
        </w:rPr>
        <w:t xml:space="preserve"> </w:t>
      </w:r>
      <w:r w:rsidRPr="00144279">
        <w:rPr>
          <w:rFonts w:ascii="ITC Avant Garde Pro XLt" w:hAnsi="ITC Avant Garde Pro XLt"/>
          <w:sz w:val="18"/>
          <w:szCs w:val="18"/>
          <w:lang w:val="es-CO"/>
        </w:rPr>
        <w:t>leyes los temas referidos a los derechos y deberes fundamentales, así como los procedimientos y recursos para su protección.</w:t>
      </w:r>
    </w:p>
  </w:footnote>
  <w:footnote w:id="15">
    <w:p w:rsidR="005432BB" w:rsidRPr="00144279" w:rsidRDefault="005432BB" w:rsidP="00E676FC">
      <w:pPr>
        <w:pStyle w:val="FootnoteText"/>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proofErr w:type="spellStart"/>
      <w:r w:rsidRPr="00144279">
        <w:rPr>
          <w:rFonts w:ascii="ITC Avant Garde Pro XLt" w:hAnsi="ITC Avant Garde Pro XLt"/>
          <w:sz w:val="18"/>
          <w:szCs w:val="18"/>
        </w:rPr>
        <w:t>Conpes</w:t>
      </w:r>
      <w:proofErr w:type="spellEnd"/>
      <w:r w:rsidRPr="00144279">
        <w:rPr>
          <w:rFonts w:ascii="ITC Avant Garde Pro XLt" w:hAnsi="ITC Avant Garde Pro XLt"/>
          <w:sz w:val="18"/>
          <w:szCs w:val="18"/>
        </w:rPr>
        <w:t xml:space="preserve"> Social 166 de 2013, página 34.</w:t>
      </w:r>
    </w:p>
  </w:footnote>
  <w:footnote w:id="16">
    <w:p w:rsidR="005432BB" w:rsidRPr="00144279" w:rsidRDefault="005432BB" w:rsidP="002C1662">
      <w:pPr>
        <w:pStyle w:val="FootnoteText"/>
        <w:jc w:val="both"/>
        <w:rPr>
          <w:rFonts w:ascii="ITC Avant Garde Pro XLt" w:hAnsi="ITC Avant Garde Pro XL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Corte Constitucional de Colombia, Auto No. 173 de 2014, </w:t>
      </w:r>
      <w:r w:rsidRPr="00144279">
        <w:rPr>
          <w:rFonts w:ascii="ITC Avant Garde Pro XLt" w:hAnsi="ITC Avant Garde Pro XLt"/>
          <w:sz w:val="18"/>
          <w:szCs w:val="18"/>
          <w:lang w:val="es-CO"/>
        </w:rPr>
        <w:t>Seguimiento a las órdenes proferidas por la Corte Constitucional en el Auto No. 006 de 2009 sobre protección de las personas en situación de desplazamiento con discapacidad, en el marco del estado de cosas inconstitucional declarado en la sentencia T-025 de 2004.</w:t>
      </w:r>
    </w:p>
  </w:footnote>
  <w:footnote w:id="17">
    <w:p w:rsidR="005432BB" w:rsidRPr="00144279" w:rsidRDefault="005432BB" w:rsidP="00E676FC">
      <w:pPr>
        <w:pStyle w:val="FootnoteText"/>
        <w:spacing w:after="60"/>
        <w:rPr>
          <w:rFonts w:ascii="ITC Avant Garde Pro XLt" w:hAnsi="ITC Avant Garde Pro XLt"/>
          <w:sz w:val="18"/>
          <w:szCs w:val="18"/>
          <w:lang w:val="es-ES_tradnl"/>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sz w:val="18"/>
          <w:szCs w:val="18"/>
          <w:lang w:val="es-ES_tradnl"/>
        </w:rPr>
        <w:t>Cfr. Corte Constitucional de Colombia, Sentencias C-744 de 2012 y C-531 de 2000.</w:t>
      </w:r>
    </w:p>
  </w:footnote>
  <w:footnote w:id="18">
    <w:p w:rsidR="005432BB" w:rsidRPr="00144279" w:rsidRDefault="005432BB" w:rsidP="00083A38">
      <w:pPr>
        <w:autoSpaceDE w:val="0"/>
        <w:autoSpaceDN w:val="0"/>
        <w:adjustRightInd w:val="0"/>
        <w:spacing w:after="0" w:line="240" w:lineRule="auto"/>
        <w:rPr>
          <w:rFonts w:ascii="ITC Avant Garde Pro XLt" w:hAnsi="ITC Avant Garde Pro XLt" w:cs="Times-Roman"/>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cs="Times-Roman"/>
          <w:sz w:val="18"/>
          <w:szCs w:val="18"/>
        </w:rPr>
        <w:t xml:space="preserve">Corte Constitucional. Sentencia T-553 de 2011 En: </w:t>
      </w:r>
      <w:hyperlink r:id="rId3" w:history="1">
        <w:r w:rsidRPr="00144279">
          <w:rPr>
            <w:rStyle w:val="Hyperlink"/>
            <w:rFonts w:ascii="ITC Avant Garde Pro XLt" w:hAnsi="ITC Avant Garde Pro XLt" w:cs="Times-Roman"/>
            <w:color w:val="auto"/>
            <w:sz w:val="18"/>
            <w:szCs w:val="18"/>
          </w:rPr>
          <w:t>http://www.corteconstitucional.gov.co/</w:t>
        </w:r>
      </w:hyperlink>
      <w:r w:rsidRPr="00144279">
        <w:rPr>
          <w:rFonts w:ascii="ITC Avant Garde Pro XLt" w:hAnsi="ITC Avant Garde Pro XLt" w:cs="Times-Roman"/>
          <w:sz w:val="18"/>
          <w:szCs w:val="18"/>
        </w:rPr>
        <w:t xml:space="preserve"> </w:t>
      </w:r>
      <w:proofErr w:type="spellStart"/>
      <w:r w:rsidRPr="00144279">
        <w:rPr>
          <w:rFonts w:ascii="ITC Avant Garde Pro XLt" w:hAnsi="ITC Avant Garde Pro XLt" w:cs="Times-Roman"/>
          <w:sz w:val="18"/>
          <w:szCs w:val="18"/>
        </w:rPr>
        <w:t>relatoria</w:t>
      </w:r>
      <w:proofErr w:type="spellEnd"/>
      <w:r w:rsidRPr="00144279">
        <w:rPr>
          <w:rFonts w:ascii="ITC Avant Garde Pro XLt" w:hAnsi="ITC Avant Garde Pro XLt" w:cs="Times-Roman"/>
          <w:sz w:val="18"/>
          <w:szCs w:val="18"/>
        </w:rPr>
        <w:t>/2011/T-553-11.htm</w:t>
      </w:r>
    </w:p>
  </w:footnote>
  <w:footnote w:id="19">
    <w:p w:rsidR="005432BB" w:rsidRPr="00144279" w:rsidRDefault="005432BB" w:rsidP="00083A38">
      <w:pPr>
        <w:pStyle w:val="FootnoteText"/>
        <w:rPr>
          <w:rFonts w:ascii="ITC Avant Garde Pro XLt" w:hAnsi="ITC Avant Garde Pro XLt"/>
          <w:sz w:val="18"/>
          <w:szCs w:val="18"/>
          <w:lang w:val="es-MX"/>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Informe Estado colombiano ante Comité de la CDPD, julio de 2013, página 12.</w:t>
      </w:r>
    </w:p>
  </w:footnote>
  <w:footnote w:id="20">
    <w:p w:rsidR="005432BB" w:rsidRPr="00144279" w:rsidRDefault="005432BB" w:rsidP="00083A38">
      <w:pPr>
        <w:autoSpaceDE w:val="0"/>
        <w:autoSpaceDN w:val="0"/>
        <w:adjustRightInd w:val="0"/>
        <w:spacing w:after="0" w:line="240" w:lineRule="auto"/>
        <w:jc w:val="both"/>
        <w:rPr>
          <w:rFonts w:ascii="ITC Avant Garde Pro XLt" w:hAnsi="ITC Avant Garde Pro XLt" w:cs="FrutigerLTStd-Ligh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cs="FrutigerLTStd-Light"/>
          <w:sz w:val="18"/>
          <w:szCs w:val="18"/>
        </w:rPr>
        <w:t xml:space="preserve">En numerosos casos las personas con discapacidad deben presentar acciones de tutela o de amparo constitucional para garantizar la accesibilidad de las viviendas ofrecidas por el gobierno para poblaciones vulnerables. </w:t>
      </w:r>
      <w:r w:rsidRPr="00144279">
        <w:rPr>
          <w:rFonts w:ascii="ITC Avant Garde Pro XLt" w:hAnsi="ITC Avant Garde Pro XLt" w:cs="FrutigerLTStd-LightItalic"/>
          <w:i/>
          <w:iCs/>
          <w:sz w:val="18"/>
          <w:szCs w:val="18"/>
        </w:rPr>
        <w:t xml:space="preserve">Cfr. </w:t>
      </w:r>
      <w:r w:rsidRPr="00144279">
        <w:rPr>
          <w:rFonts w:ascii="ITC Avant Garde Pro XLt" w:hAnsi="ITC Avant Garde Pro XLt" w:cs="FrutigerLTStd-Light"/>
          <w:sz w:val="18"/>
          <w:szCs w:val="18"/>
        </w:rPr>
        <w:t>Corte Constitucional de Colombia, Sentencia T-270/14 (MP. Luis Ernesto Vargas).</w:t>
      </w:r>
    </w:p>
  </w:footnote>
  <w:footnote w:id="21">
    <w:p w:rsidR="005432BB" w:rsidRPr="00144279" w:rsidRDefault="005432BB" w:rsidP="00083A38">
      <w:pPr>
        <w:pStyle w:val="FootnoteText"/>
        <w:jc w:val="both"/>
        <w:rPr>
          <w:rFonts w:ascii="ITC Avant Garde Pro XLt" w:hAnsi="ITC Avant Garde Pro XLt"/>
          <w:sz w:val="18"/>
          <w:szCs w:val="18"/>
          <w:lang w:val="es-MX"/>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cs="FrutigerLTStd-LightItalic"/>
          <w:i/>
          <w:iCs/>
          <w:sz w:val="18"/>
          <w:szCs w:val="18"/>
        </w:rPr>
        <w:t xml:space="preserve">Cfr. </w:t>
      </w:r>
      <w:r w:rsidRPr="00144279">
        <w:rPr>
          <w:rFonts w:ascii="ITC Avant Garde Pro XLt" w:hAnsi="ITC Avant Garde Pro XLt" w:cs="FrutigerLTStd-Light"/>
          <w:sz w:val="18"/>
          <w:szCs w:val="18"/>
        </w:rPr>
        <w:t>Personería Distrital, Informe de la Personería Distrital, SITP de espaldas a las personas con discapacidad, 2014.</w:t>
      </w:r>
    </w:p>
  </w:footnote>
  <w:footnote w:id="22">
    <w:p w:rsidR="005432BB" w:rsidRPr="00144279" w:rsidRDefault="005432BB" w:rsidP="00083A38">
      <w:pPr>
        <w:autoSpaceDE w:val="0"/>
        <w:autoSpaceDN w:val="0"/>
        <w:adjustRightInd w:val="0"/>
        <w:spacing w:after="0" w:line="240" w:lineRule="auto"/>
        <w:rPr>
          <w:rFonts w:ascii="ITC Avant Garde Pro XLt" w:hAnsi="ITC Avant Garde Pro XLt" w:cs="FrutigerLTStd-Light"/>
          <w:sz w:val="18"/>
          <w:szCs w:val="18"/>
        </w:rPr>
      </w:pPr>
      <w:r w:rsidRPr="00144279">
        <w:rPr>
          <w:rStyle w:val="FootnoteReference"/>
          <w:rFonts w:ascii="ITC Avant Garde Pro XLt" w:hAnsi="ITC Avant Garde Pro XLt"/>
          <w:sz w:val="18"/>
          <w:szCs w:val="18"/>
        </w:rPr>
        <w:footnoteRef/>
      </w:r>
      <w:r w:rsidRPr="00144279">
        <w:rPr>
          <w:rFonts w:ascii="ITC Avant Garde Pro XLt" w:hAnsi="ITC Avant Garde Pro XLt"/>
          <w:sz w:val="18"/>
          <w:szCs w:val="18"/>
        </w:rPr>
        <w:t xml:space="preserve"> </w:t>
      </w:r>
      <w:r w:rsidRPr="00144279">
        <w:rPr>
          <w:rFonts w:ascii="ITC Avant Garde Pro XLt" w:hAnsi="ITC Avant Garde Pro XLt" w:cs="FrutigerLTStd-LightItalic"/>
          <w:i/>
          <w:iCs/>
          <w:sz w:val="18"/>
          <w:szCs w:val="18"/>
        </w:rPr>
        <w:t xml:space="preserve">Cfr. </w:t>
      </w:r>
      <w:r w:rsidRPr="00144279">
        <w:rPr>
          <w:rFonts w:ascii="ITC Avant Garde Pro XLt" w:hAnsi="ITC Avant Garde Pro XLt" w:cs="FrutigerLTStd-Light"/>
          <w:sz w:val="18"/>
          <w:szCs w:val="18"/>
        </w:rPr>
        <w:t xml:space="preserve">“Un milagro desde Marrakech para Colombia”, escrito por Luisa Fernanda Guzmán, Fundación </w:t>
      </w:r>
      <w:proofErr w:type="spellStart"/>
      <w:r w:rsidRPr="00144279">
        <w:rPr>
          <w:rFonts w:ascii="ITC Avant Garde Pro XLt" w:hAnsi="ITC Avant Garde Pro XLt" w:cs="FrutigerLTStd-Light"/>
          <w:sz w:val="18"/>
          <w:szCs w:val="18"/>
        </w:rPr>
        <w:t>Karisma</w:t>
      </w:r>
      <w:proofErr w:type="spellEnd"/>
      <w:r w:rsidRPr="00144279">
        <w:rPr>
          <w:rFonts w:ascii="ITC Avant Garde Pro XLt" w:hAnsi="ITC Avant Garde Pro XLt" w:cs="FrutigerLTStd-Light"/>
          <w:sz w:val="18"/>
          <w:szCs w:val="18"/>
        </w:rPr>
        <w:t>,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BB" w:rsidRDefault="005432BB" w:rsidP="00B34C19">
    <w:pPr>
      <w:pStyle w:val="Header"/>
      <w:tabs>
        <w:tab w:val="clear" w:pos="4419"/>
        <w:tab w:val="clear" w:pos="8838"/>
        <w:tab w:val="left" w:pos="6870"/>
      </w:tabs>
      <w:jc w:val="right"/>
    </w:pPr>
    <w:r>
      <w:rPr>
        <w:noProof/>
        <w:lang w:val="en-GB" w:eastAsia="en-GB"/>
      </w:rPr>
      <w:drawing>
        <wp:inline distT="0" distB="0" distL="0" distR="0" wp14:anchorId="76716BAB" wp14:editId="783C75F4">
          <wp:extent cx="2495550" cy="619125"/>
          <wp:effectExtent l="0" t="0" r="0" b="9525"/>
          <wp:docPr id="1" name="Picture 2" descr="Logo Fundación Saldarriaga Concha" title="Logo Fundación Saldarriaga Co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19125"/>
                  </a:xfrm>
                  <a:prstGeom prst="rect">
                    <a:avLst/>
                  </a:prstGeom>
                  <a:noFill/>
                  <a:ln>
                    <a:noFill/>
                  </a:ln>
                </pic:spPr>
              </pic:pic>
            </a:graphicData>
          </a:graphic>
        </wp:inline>
      </w:drawing>
    </w:r>
  </w:p>
  <w:p w:rsidR="005432BB" w:rsidRDefault="005432BB" w:rsidP="00B34C19">
    <w:pPr>
      <w:pStyle w:val="Header"/>
      <w:tabs>
        <w:tab w:val="clear" w:pos="4419"/>
        <w:tab w:val="clear" w:pos="8838"/>
        <w:tab w:val="left" w:pos="687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447C"/>
    <w:multiLevelType w:val="hybridMultilevel"/>
    <w:tmpl w:val="3BD841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2FFB70C7"/>
    <w:multiLevelType w:val="hybridMultilevel"/>
    <w:tmpl w:val="A8D6972C"/>
    <w:lvl w:ilvl="0" w:tplc="0798B1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3CD055F"/>
    <w:multiLevelType w:val="hybridMultilevel"/>
    <w:tmpl w:val="723A9376"/>
    <w:lvl w:ilvl="0" w:tplc="A8DC7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65477BA"/>
    <w:multiLevelType w:val="hybridMultilevel"/>
    <w:tmpl w:val="6AD61D1A"/>
    <w:lvl w:ilvl="0" w:tplc="4A2247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96B5F7E"/>
    <w:multiLevelType w:val="hybridMultilevel"/>
    <w:tmpl w:val="7B5AB2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nsid w:val="4D0E558C"/>
    <w:multiLevelType w:val="hybridMultilevel"/>
    <w:tmpl w:val="433E12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nsid w:val="618E51C0"/>
    <w:multiLevelType w:val="hybridMultilevel"/>
    <w:tmpl w:val="ECECDED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nsid w:val="637B43F0"/>
    <w:multiLevelType w:val="hybridMultilevel"/>
    <w:tmpl w:val="B3F2D6A2"/>
    <w:lvl w:ilvl="0" w:tplc="960496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AD07B2"/>
    <w:multiLevelType w:val="hybridMultilevel"/>
    <w:tmpl w:val="490A9B5A"/>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7C8A60D2">
      <w:numFmt w:val="bullet"/>
      <w:lvlText w:val="-"/>
      <w:lvlJc w:val="left"/>
      <w:pPr>
        <w:ind w:left="3351" w:hanging="570"/>
      </w:pPr>
      <w:rPr>
        <w:rFonts w:ascii="Times New Roman" w:eastAsia="Calibri" w:hAnsi="Times New Roman" w:cs="Times New Roman"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nsid w:val="69C85E50"/>
    <w:multiLevelType w:val="hybridMultilevel"/>
    <w:tmpl w:val="D77C4830"/>
    <w:lvl w:ilvl="0" w:tplc="08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B4D344F"/>
    <w:multiLevelType w:val="hybridMultilevel"/>
    <w:tmpl w:val="23F0F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513BB9"/>
    <w:multiLevelType w:val="hybridMultilevel"/>
    <w:tmpl w:val="D158D23A"/>
    <w:lvl w:ilvl="0" w:tplc="08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295390"/>
    <w:multiLevelType w:val="hybridMultilevel"/>
    <w:tmpl w:val="23FCEC08"/>
    <w:lvl w:ilvl="0" w:tplc="48D6CC16">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0"/>
  </w:num>
  <w:num w:numId="6">
    <w:abstractNumId w:val="8"/>
  </w:num>
  <w:num w:numId="7">
    <w:abstractNumId w:val="2"/>
  </w:num>
  <w:num w:numId="8">
    <w:abstractNumId w:val="3"/>
  </w:num>
  <w:num w:numId="9">
    <w:abstractNumId w:val="7"/>
  </w:num>
  <w:num w:numId="10">
    <w:abstractNumId w:val="12"/>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EF"/>
    <w:rsid w:val="000072DF"/>
    <w:rsid w:val="0001645A"/>
    <w:rsid w:val="00036568"/>
    <w:rsid w:val="00062B58"/>
    <w:rsid w:val="00083A38"/>
    <w:rsid w:val="00091838"/>
    <w:rsid w:val="000A6DAE"/>
    <w:rsid w:val="000A6FE0"/>
    <w:rsid w:val="000F263D"/>
    <w:rsid w:val="000F7AF2"/>
    <w:rsid w:val="00105AAF"/>
    <w:rsid w:val="00142125"/>
    <w:rsid w:val="00144279"/>
    <w:rsid w:val="001462C8"/>
    <w:rsid w:val="00165A5E"/>
    <w:rsid w:val="00181EAE"/>
    <w:rsid w:val="001C1B9B"/>
    <w:rsid w:val="001D1FDE"/>
    <w:rsid w:val="001F2365"/>
    <w:rsid w:val="00203347"/>
    <w:rsid w:val="00246F7A"/>
    <w:rsid w:val="002920A5"/>
    <w:rsid w:val="002C1662"/>
    <w:rsid w:val="002F3958"/>
    <w:rsid w:val="00357093"/>
    <w:rsid w:val="00381190"/>
    <w:rsid w:val="0039478C"/>
    <w:rsid w:val="00464D4E"/>
    <w:rsid w:val="004767EF"/>
    <w:rsid w:val="00525810"/>
    <w:rsid w:val="005432BB"/>
    <w:rsid w:val="00545654"/>
    <w:rsid w:val="00705AC0"/>
    <w:rsid w:val="0072581C"/>
    <w:rsid w:val="0072607A"/>
    <w:rsid w:val="007610DE"/>
    <w:rsid w:val="00826497"/>
    <w:rsid w:val="00852CDF"/>
    <w:rsid w:val="00860EAE"/>
    <w:rsid w:val="008B1D5B"/>
    <w:rsid w:val="008C0903"/>
    <w:rsid w:val="008E0E6D"/>
    <w:rsid w:val="00913EA5"/>
    <w:rsid w:val="00917773"/>
    <w:rsid w:val="0096738D"/>
    <w:rsid w:val="00AB4544"/>
    <w:rsid w:val="00AB6221"/>
    <w:rsid w:val="00AC5B1C"/>
    <w:rsid w:val="00B07AD4"/>
    <w:rsid w:val="00B34C19"/>
    <w:rsid w:val="00B37F90"/>
    <w:rsid w:val="00B57C92"/>
    <w:rsid w:val="00B60D16"/>
    <w:rsid w:val="00C4477A"/>
    <w:rsid w:val="00C67AE9"/>
    <w:rsid w:val="00C87468"/>
    <w:rsid w:val="00D14232"/>
    <w:rsid w:val="00D55B1C"/>
    <w:rsid w:val="00D8524C"/>
    <w:rsid w:val="00E40EE6"/>
    <w:rsid w:val="00E676FC"/>
    <w:rsid w:val="00E8336B"/>
    <w:rsid w:val="00E871E5"/>
    <w:rsid w:val="00EB65F6"/>
    <w:rsid w:val="00EF5B76"/>
    <w:rsid w:val="00F349E6"/>
    <w:rsid w:val="00FB1EE4"/>
    <w:rsid w:val="00FE3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76FC"/>
    <w:pPr>
      <w:keepNext/>
      <w:keepLines/>
      <w:spacing w:before="240" w:after="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link w:val="Heading2Char"/>
    <w:uiPriority w:val="9"/>
    <w:qFormat/>
    <w:rsid w:val="00181EA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Heading3">
    <w:name w:val="heading 3"/>
    <w:basedOn w:val="Normal"/>
    <w:next w:val="Normal"/>
    <w:link w:val="Heading3Char"/>
    <w:uiPriority w:val="9"/>
    <w:unhideWhenUsed/>
    <w:qFormat/>
    <w:rsid w:val="00545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EAE"/>
    <w:rPr>
      <w:rFonts w:ascii="Times New Roman" w:eastAsia="Times New Roman" w:hAnsi="Times New Roman" w:cs="Times New Roman"/>
      <w:b/>
      <w:bCs/>
      <w:sz w:val="36"/>
      <w:szCs w:val="36"/>
      <w:lang w:eastAsia="es-CO"/>
    </w:rPr>
  </w:style>
  <w:style w:type="character" w:styleId="Strong">
    <w:name w:val="Strong"/>
    <w:basedOn w:val="DefaultParagraphFont"/>
    <w:uiPriority w:val="22"/>
    <w:qFormat/>
    <w:rsid w:val="00181EAE"/>
    <w:rPr>
      <w:b/>
      <w:bCs/>
    </w:rPr>
  </w:style>
  <w:style w:type="paragraph" w:styleId="NormalWeb">
    <w:name w:val="Normal (Web)"/>
    <w:basedOn w:val="Normal"/>
    <w:uiPriority w:val="99"/>
    <w:semiHidden/>
    <w:unhideWhenUsed/>
    <w:rsid w:val="00181EA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Emphasis">
    <w:name w:val="Emphasis"/>
    <w:basedOn w:val="DefaultParagraphFont"/>
    <w:uiPriority w:val="20"/>
    <w:qFormat/>
    <w:rsid w:val="00181EAE"/>
    <w:rPr>
      <w:i/>
      <w:iCs/>
    </w:rPr>
  </w:style>
  <w:style w:type="character" w:styleId="Hyperlink">
    <w:name w:val="Hyperlink"/>
    <w:basedOn w:val="DefaultParagraphFont"/>
    <w:uiPriority w:val="99"/>
    <w:unhideWhenUsed/>
    <w:rsid w:val="00181EAE"/>
    <w:rPr>
      <w:color w:val="0000FF"/>
      <w:u w:val="single"/>
    </w:rPr>
  </w:style>
  <w:style w:type="paragraph" w:styleId="ListParagraph">
    <w:name w:val="List Paragraph"/>
    <w:basedOn w:val="Normal"/>
    <w:uiPriority w:val="34"/>
    <w:qFormat/>
    <w:rsid w:val="00181EAE"/>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aliases w:val="FA Fu,Footnote Text Char Char Char Char Char,Footnote Text Char Char Char Char,Footnote reference,texto de nota al pie,Texto nota pie_Instituto,Footnote Text Char Char Char,Texto nota pie Car Car,FA Fußnotentext,FA Fuﬂnotentext,ft,Car1,F"/>
    <w:basedOn w:val="Normal"/>
    <w:link w:val="FootnoteTextChar"/>
    <w:uiPriority w:val="99"/>
    <w:qFormat/>
    <w:rsid w:val="00B57C92"/>
    <w:pPr>
      <w:spacing w:after="0" w:line="240" w:lineRule="auto"/>
    </w:pPr>
    <w:rPr>
      <w:rFonts w:ascii="Calibri" w:eastAsia="MS Mincho" w:hAnsi="Calibri" w:cs="Times New Roman"/>
      <w:sz w:val="20"/>
      <w:szCs w:val="20"/>
      <w:lang w:val="es-ES" w:eastAsia="es-ES"/>
    </w:rPr>
  </w:style>
  <w:style w:type="character" w:customStyle="1" w:styleId="FootnoteTextChar">
    <w:name w:val="Footnote Text Char"/>
    <w:aliases w:val="FA Fu Char,Footnote Text Char Char Char Char Char Char,Footnote Text Char Char Char Char Char1,Footnote reference Char,texto de nota al pie Char,Texto nota pie_Instituto Char,Footnote Text Char Char Char Char1,FA Fußnotentext Char"/>
    <w:basedOn w:val="DefaultParagraphFont"/>
    <w:link w:val="FootnoteText"/>
    <w:uiPriority w:val="99"/>
    <w:rsid w:val="00B57C92"/>
    <w:rPr>
      <w:rFonts w:ascii="Calibri" w:eastAsia="MS Mincho" w:hAnsi="Calibri" w:cs="Times New Roman"/>
      <w:sz w:val="20"/>
      <w:szCs w:val="20"/>
      <w:lang w:val="es-ES" w:eastAsia="es-ES"/>
    </w:rPr>
  </w:style>
  <w:style w:type="character" w:styleId="FootnoteReference">
    <w:name w:val="footnote reference"/>
    <w:aliases w:val="referencia nota al pie,Texto de nota al pie,BVI fnr,Footnote symbol,Footnote,Ref. de nota al pie2,Nota de pie,Ref,de nota al pie,Pie de pagina,Ref. ...,Ref1,FC,Fago Fußnotenzeichen,Appel note de bas de page,Fußnotenzeichen DISS,ftref"/>
    <w:basedOn w:val="DefaultParagraphFont"/>
    <w:uiPriority w:val="99"/>
    <w:qFormat/>
    <w:rsid w:val="00B57C92"/>
    <w:rPr>
      <w:rFonts w:cs="Times New Roman"/>
      <w:vertAlign w:val="superscript"/>
    </w:rPr>
  </w:style>
  <w:style w:type="paragraph" w:customStyle="1" w:styleId="H1G">
    <w:name w:val="_ H_1_G"/>
    <w:basedOn w:val="Normal"/>
    <w:next w:val="Normal"/>
    <w:rsid w:val="0072581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fr-CH"/>
    </w:rPr>
  </w:style>
  <w:style w:type="paragraph" w:customStyle="1" w:styleId="H23G">
    <w:name w:val="_ H_2/3_G"/>
    <w:basedOn w:val="Normal"/>
    <w:next w:val="Normal"/>
    <w:rsid w:val="0072581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link w:val="SingleTxtGCar"/>
    <w:uiPriority w:val="99"/>
    <w:rsid w:val="0072581C"/>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paragraph" w:customStyle="1" w:styleId="Bullet1G">
    <w:name w:val="_Bullet 1_G"/>
    <w:basedOn w:val="Normal"/>
    <w:rsid w:val="0072581C"/>
    <w:pPr>
      <w:numPr>
        <w:numId w:val="6"/>
      </w:numPr>
      <w:suppressAutoHyphens/>
      <w:spacing w:after="120" w:line="240" w:lineRule="atLeast"/>
      <w:ind w:right="1134"/>
      <w:jc w:val="both"/>
    </w:pPr>
    <w:rPr>
      <w:rFonts w:ascii="Times New Roman" w:eastAsia="Times New Roman" w:hAnsi="Times New Roman" w:cs="Times New Roman"/>
      <w:sz w:val="20"/>
      <w:szCs w:val="20"/>
      <w:lang w:val="fr-CH"/>
    </w:rPr>
  </w:style>
  <w:style w:type="character" w:customStyle="1" w:styleId="SingleTxtGCar">
    <w:name w:val="_ Single Txt_G Car"/>
    <w:link w:val="SingleTxtG"/>
    <w:uiPriority w:val="99"/>
    <w:locked/>
    <w:rsid w:val="0072581C"/>
    <w:rPr>
      <w:rFonts w:ascii="Times New Roman" w:eastAsia="Times New Roman" w:hAnsi="Times New Roman" w:cs="Times New Roman"/>
      <w:sz w:val="20"/>
      <w:szCs w:val="20"/>
      <w:lang w:val="fr-CH"/>
    </w:rPr>
  </w:style>
  <w:style w:type="paragraph" w:styleId="BalloonText">
    <w:name w:val="Balloon Text"/>
    <w:basedOn w:val="Normal"/>
    <w:link w:val="BalloonTextChar"/>
    <w:uiPriority w:val="99"/>
    <w:semiHidden/>
    <w:unhideWhenUsed/>
    <w:rsid w:val="0072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1C"/>
    <w:rPr>
      <w:rFonts w:ascii="Tahoma" w:hAnsi="Tahoma" w:cs="Tahoma"/>
      <w:sz w:val="16"/>
      <w:szCs w:val="16"/>
    </w:rPr>
  </w:style>
  <w:style w:type="character" w:customStyle="1" w:styleId="Heading1Char">
    <w:name w:val="Heading 1 Char"/>
    <w:basedOn w:val="DefaultParagraphFont"/>
    <w:link w:val="Heading1"/>
    <w:uiPriority w:val="9"/>
    <w:rsid w:val="00E676FC"/>
    <w:rPr>
      <w:rFonts w:asciiTheme="majorHAnsi" w:eastAsiaTheme="majorEastAsia" w:hAnsiTheme="majorHAnsi" w:cstheme="majorBidi"/>
      <w:color w:val="365F91" w:themeColor="accent1" w:themeShade="BF"/>
      <w:sz w:val="32"/>
      <w:szCs w:val="32"/>
      <w:lang w:val="en-GB"/>
    </w:rPr>
  </w:style>
  <w:style w:type="paragraph" w:styleId="Footer">
    <w:name w:val="footer"/>
    <w:basedOn w:val="Normal"/>
    <w:link w:val="FooterChar"/>
    <w:uiPriority w:val="99"/>
    <w:unhideWhenUsed/>
    <w:rsid w:val="00E676FC"/>
    <w:pPr>
      <w:tabs>
        <w:tab w:val="center" w:pos="4419"/>
        <w:tab w:val="right" w:pos="8838"/>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E676FC"/>
    <w:rPr>
      <w:rFonts w:ascii="Calibri" w:eastAsia="Calibri" w:hAnsi="Calibri" w:cs="Times New Roman"/>
      <w:lang w:val="en-GB"/>
    </w:rPr>
  </w:style>
  <w:style w:type="character" w:customStyle="1" w:styleId="apple-converted-space">
    <w:name w:val="apple-converted-space"/>
    <w:basedOn w:val="DefaultParagraphFont"/>
    <w:rsid w:val="00E676FC"/>
  </w:style>
  <w:style w:type="paragraph" w:styleId="NoSpacing">
    <w:name w:val="No Spacing"/>
    <w:uiPriority w:val="1"/>
    <w:qFormat/>
    <w:rsid w:val="0039478C"/>
    <w:pPr>
      <w:spacing w:after="0" w:line="240" w:lineRule="auto"/>
    </w:pPr>
  </w:style>
  <w:style w:type="paragraph" w:styleId="TOCHeading">
    <w:name w:val="TOC Heading"/>
    <w:basedOn w:val="Heading1"/>
    <w:next w:val="Normal"/>
    <w:uiPriority w:val="39"/>
    <w:semiHidden/>
    <w:unhideWhenUsed/>
    <w:qFormat/>
    <w:rsid w:val="002920A5"/>
    <w:pPr>
      <w:spacing w:before="480"/>
      <w:outlineLvl w:val="9"/>
    </w:pPr>
    <w:rPr>
      <w:b/>
      <w:bCs/>
      <w:sz w:val="28"/>
      <w:szCs w:val="28"/>
      <w:lang w:val="en-US" w:eastAsia="ja-JP"/>
    </w:rPr>
  </w:style>
  <w:style w:type="paragraph" w:styleId="TOC1">
    <w:name w:val="toc 1"/>
    <w:basedOn w:val="Normal"/>
    <w:next w:val="Normal"/>
    <w:autoRedefine/>
    <w:uiPriority w:val="39"/>
    <w:unhideWhenUsed/>
    <w:rsid w:val="002920A5"/>
    <w:pPr>
      <w:spacing w:after="100"/>
    </w:pPr>
  </w:style>
  <w:style w:type="paragraph" w:styleId="Header">
    <w:name w:val="header"/>
    <w:basedOn w:val="Normal"/>
    <w:link w:val="HeaderChar"/>
    <w:uiPriority w:val="99"/>
    <w:unhideWhenUsed/>
    <w:rsid w:val="00EF5B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5B76"/>
  </w:style>
  <w:style w:type="character" w:customStyle="1" w:styleId="Heading3Char">
    <w:name w:val="Heading 3 Char"/>
    <w:basedOn w:val="DefaultParagraphFont"/>
    <w:link w:val="Heading3"/>
    <w:uiPriority w:val="9"/>
    <w:rsid w:val="0054565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4427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76FC"/>
    <w:pPr>
      <w:keepNext/>
      <w:keepLines/>
      <w:spacing w:before="240" w:after="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link w:val="Heading2Char"/>
    <w:uiPriority w:val="9"/>
    <w:qFormat/>
    <w:rsid w:val="00181EA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Heading3">
    <w:name w:val="heading 3"/>
    <w:basedOn w:val="Normal"/>
    <w:next w:val="Normal"/>
    <w:link w:val="Heading3Char"/>
    <w:uiPriority w:val="9"/>
    <w:unhideWhenUsed/>
    <w:qFormat/>
    <w:rsid w:val="00545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EAE"/>
    <w:rPr>
      <w:rFonts w:ascii="Times New Roman" w:eastAsia="Times New Roman" w:hAnsi="Times New Roman" w:cs="Times New Roman"/>
      <w:b/>
      <w:bCs/>
      <w:sz w:val="36"/>
      <w:szCs w:val="36"/>
      <w:lang w:eastAsia="es-CO"/>
    </w:rPr>
  </w:style>
  <w:style w:type="character" w:styleId="Strong">
    <w:name w:val="Strong"/>
    <w:basedOn w:val="DefaultParagraphFont"/>
    <w:uiPriority w:val="22"/>
    <w:qFormat/>
    <w:rsid w:val="00181EAE"/>
    <w:rPr>
      <w:b/>
      <w:bCs/>
    </w:rPr>
  </w:style>
  <w:style w:type="paragraph" w:styleId="NormalWeb">
    <w:name w:val="Normal (Web)"/>
    <w:basedOn w:val="Normal"/>
    <w:uiPriority w:val="99"/>
    <w:semiHidden/>
    <w:unhideWhenUsed/>
    <w:rsid w:val="00181EA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Emphasis">
    <w:name w:val="Emphasis"/>
    <w:basedOn w:val="DefaultParagraphFont"/>
    <w:uiPriority w:val="20"/>
    <w:qFormat/>
    <w:rsid w:val="00181EAE"/>
    <w:rPr>
      <w:i/>
      <w:iCs/>
    </w:rPr>
  </w:style>
  <w:style w:type="character" w:styleId="Hyperlink">
    <w:name w:val="Hyperlink"/>
    <w:basedOn w:val="DefaultParagraphFont"/>
    <w:uiPriority w:val="99"/>
    <w:unhideWhenUsed/>
    <w:rsid w:val="00181EAE"/>
    <w:rPr>
      <w:color w:val="0000FF"/>
      <w:u w:val="single"/>
    </w:rPr>
  </w:style>
  <w:style w:type="paragraph" w:styleId="ListParagraph">
    <w:name w:val="List Paragraph"/>
    <w:basedOn w:val="Normal"/>
    <w:uiPriority w:val="34"/>
    <w:qFormat/>
    <w:rsid w:val="00181EAE"/>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aliases w:val="FA Fu,Footnote Text Char Char Char Char Char,Footnote Text Char Char Char Char,Footnote reference,texto de nota al pie,Texto nota pie_Instituto,Footnote Text Char Char Char,Texto nota pie Car Car,FA Fußnotentext,FA Fuﬂnotentext,ft,Car1,F"/>
    <w:basedOn w:val="Normal"/>
    <w:link w:val="FootnoteTextChar"/>
    <w:uiPriority w:val="99"/>
    <w:qFormat/>
    <w:rsid w:val="00B57C92"/>
    <w:pPr>
      <w:spacing w:after="0" w:line="240" w:lineRule="auto"/>
    </w:pPr>
    <w:rPr>
      <w:rFonts w:ascii="Calibri" w:eastAsia="MS Mincho" w:hAnsi="Calibri" w:cs="Times New Roman"/>
      <w:sz w:val="20"/>
      <w:szCs w:val="20"/>
      <w:lang w:val="es-ES" w:eastAsia="es-ES"/>
    </w:rPr>
  </w:style>
  <w:style w:type="character" w:customStyle="1" w:styleId="FootnoteTextChar">
    <w:name w:val="Footnote Text Char"/>
    <w:aliases w:val="FA Fu Char,Footnote Text Char Char Char Char Char Char,Footnote Text Char Char Char Char Char1,Footnote reference Char,texto de nota al pie Char,Texto nota pie_Instituto Char,Footnote Text Char Char Char Char1,FA Fußnotentext Char"/>
    <w:basedOn w:val="DefaultParagraphFont"/>
    <w:link w:val="FootnoteText"/>
    <w:uiPriority w:val="99"/>
    <w:rsid w:val="00B57C92"/>
    <w:rPr>
      <w:rFonts w:ascii="Calibri" w:eastAsia="MS Mincho" w:hAnsi="Calibri" w:cs="Times New Roman"/>
      <w:sz w:val="20"/>
      <w:szCs w:val="20"/>
      <w:lang w:val="es-ES" w:eastAsia="es-ES"/>
    </w:rPr>
  </w:style>
  <w:style w:type="character" w:styleId="FootnoteReference">
    <w:name w:val="footnote reference"/>
    <w:aliases w:val="referencia nota al pie,Texto de nota al pie,BVI fnr,Footnote symbol,Footnote,Ref. de nota al pie2,Nota de pie,Ref,de nota al pie,Pie de pagina,Ref. ...,Ref1,FC,Fago Fußnotenzeichen,Appel note de bas de page,Fußnotenzeichen DISS,ftref"/>
    <w:basedOn w:val="DefaultParagraphFont"/>
    <w:uiPriority w:val="99"/>
    <w:qFormat/>
    <w:rsid w:val="00B57C92"/>
    <w:rPr>
      <w:rFonts w:cs="Times New Roman"/>
      <w:vertAlign w:val="superscript"/>
    </w:rPr>
  </w:style>
  <w:style w:type="paragraph" w:customStyle="1" w:styleId="H1G">
    <w:name w:val="_ H_1_G"/>
    <w:basedOn w:val="Normal"/>
    <w:next w:val="Normal"/>
    <w:rsid w:val="0072581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fr-CH"/>
    </w:rPr>
  </w:style>
  <w:style w:type="paragraph" w:customStyle="1" w:styleId="H23G">
    <w:name w:val="_ H_2/3_G"/>
    <w:basedOn w:val="Normal"/>
    <w:next w:val="Normal"/>
    <w:rsid w:val="0072581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link w:val="SingleTxtGCar"/>
    <w:uiPriority w:val="99"/>
    <w:rsid w:val="0072581C"/>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paragraph" w:customStyle="1" w:styleId="Bullet1G">
    <w:name w:val="_Bullet 1_G"/>
    <w:basedOn w:val="Normal"/>
    <w:rsid w:val="0072581C"/>
    <w:pPr>
      <w:numPr>
        <w:numId w:val="6"/>
      </w:numPr>
      <w:suppressAutoHyphens/>
      <w:spacing w:after="120" w:line="240" w:lineRule="atLeast"/>
      <w:ind w:right="1134"/>
      <w:jc w:val="both"/>
    </w:pPr>
    <w:rPr>
      <w:rFonts w:ascii="Times New Roman" w:eastAsia="Times New Roman" w:hAnsi="Times New Roman" w:cs="Times New Roman"/>
      <w:sz w:val="20"/>
      <w:szCs w:val="20"/>
      <w:lang w:val="fr-CH"/>
    </w:rPr>
  </w:style>
  <w:style w:type="character" w:customStyle="1" w:styleId="SingleTxtGCar">
    <w:name w:val="_ Single Txt_G Car"/>
    <w:link w:val="SingleTxtG"/>
    <w:uiPriority w:val="99"/>
    <w:locked/>
    <w:rsid w:val="0072581C"/>
    <w:rPr>
      <w:rFonts w:ascii="Times New Roman" w:eastAsia="Times New Roman" w:hAnsi="Times New Roman" w:cs="Times New Roman"/>
      <w:sz w:val="20"/>
      <w:szCs w:val="20"/>
      <w:lang w:val="fr-CH"/>
    </w:rPr>
  </w:style>
  <w:style w:type="paragraph" w:styleId="BalloonText">
    <w:name w:val="Balloon Text"/>
    <w:basedOn w:val="Normal"/>
    <w:link w:val="BalloonTextChar"/>
    <w:uiPriority w:val="99"/>
    <w:semiHidden/>
    <w:unhideWhenUsed/>
    <w:rsid w:val="0072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1C"/>
    <w:rPr>
      <w:rFonts w:ascii="Tahoma" w:hAnsi="Tahoma" w:cs="Tahoma"/>
      <w:sz w:val="16"/>
      <w:szCs w:val="16"/>
    </w:rPr>
  </w:style>
  <w:style w:type="character" w:customStyle="1" w:styleId="Heading1Char">
    <w:name w:val="Heading 1 Char"/>
    <w:basedOn w:val="DefaultParagraphFont"/>
    <w:link w:val="Heading1"/>
    <w:uiPriority w:val="9"/>
    <w:rsid w:val="00E676FC"/>
    <w:rPr>
      <w:rFonts w:asciiTheme="majorHAnsi" w:eastAsiaTheme="majorEastAsia" w:hAnsiTheme="majorHAnsi" w:cstheme="majorBidi"/>
      <w:color w:val="365F91" w:themeColor="accent1" w:themeShade="BF"/>
      <w:sz w:val="32"/>
      <w:szCs w:val="32"/>
      <w:lang w:val="en-GB"/>
    </w:rPr>
  </w:style>
  <w:style w:type="paragraph" w:styleId="Footer">
    <w:name w:val="footer"/>
    <w:basedOn w:val="Normal"/>
    <w:link w:val="FooterChar"/>
    <w:uiPriority w:val="99"/>
    <w:unhideWhenUsed/>
    <w:rsid w:val="00E676FC"/>
    <w:pPr>
      <w:tabs>
        <w:tab w:val="center" w:pos="4419"/>
        <w:tab w:val="right" w:pos="8838"/>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E676FC"/>
    <w:rPr>
      <w:rFonts w:ascii="Calibri" w:eastAsia="Calibri" w:hAnsi="Calibri" w:cs="Times New Roman"/>
      <w:lang w:val="en-GB"/>
    </w:rPr>
  </w:style>
  <w:style w:type="character" w:customStyle="1" w:styleId="apple-converted-space">
    <w:name w:val="apple-converted-space"/>
    <w:basedOn w:val="DefaultParagraphFont"/>
    <w:rsid w:val="00E676FC"/>
  </w:style>
  <w:style w:type="paragraph" w:styleId="NoSpacing">
    <w:name w:val="No Spacing"/>
    <w:uiPriority w:val="1"/>
    <w:qFormat/>
    <w:rsid w:val="0039478C"/>
    <w:pPr>
      <w:spacing w:after="0" w:line="240" w:lineRule="auto"/>
    </w:pPr>
  </w:style>
  <w:style w:type="paragraph" w:styleId="TOCHeading">
    <w:name w:val="TOC Heading"/>
    <w:basedOn w:val="Heading1"/>
    <w:next w:val="Normal"/>
    <w:uiPriority w:val="39"/>
    <w:semiHidden/>
    <w:unhideWhenUsed/>
    <w:qFormat/>
    <w:rsid w:val="002920A5"/>
    <w:pPr>
      <w:spacing w:before="480"/>
      <w:outlineLvl w:val="9"/>
    </w:pPr>
    <w:rPr>
      <w:b/>
      <w:bCs/>
      <w:sz w:val="28"/>
      <w:szCs w:val="28"/>
      <w:lang w:val="en-US" w:eastAsia="ja-JP"/>
    </w:rPr>
  </w:style>
  <w:style w:type="paragraph" w:styleId="TOC1">
    <w:name w:val="toc 1"/>
    <w:basedOn w:val="Normal"/>
    <w:next w:val="Normal"/>
    <w:autoRedefine/>
    <w:uiPriority w:val="39"/>
    <w:unhideWhenUsed/>
    <w:rsid w:val="002920A5"/>
    <w:pPr>
      <w:spacing w:after="100"/>
    </w:pPr>
  </w:style>
  <w:style w:type="paragraph" w:styleId="Header">
    <w:name w:val="header"/>
    <w:basedOn w:val="Normal"/>
    <w:link w:val="HeaderChar"/>
    <w:uiPriority w:val="99"/>
    <w:unhideWhenUsed/>
    <w:rsid w:val="00EF5B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5B76"/>
  </w:style>
  <w:style w:type="character" w:customStyle="1" w:styleId="Heading3Char">
    <w:name w:val="Heading 3 Char"/>
    <w:basedOn w:val="DefaultParagraphFont"/>
    <w:link w:val="Heading3"/>
    <w:uiPriority w:val="9"/>
    <w:rsid w:val="0054565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442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6763">
      <w:bodyDiv w:val="1"/>
      <w:marLeft w:val="0"/>
      <w:marRight w:val="0"/>
      <w:marTop w:val="0"/>
      <w:marBottom w:val="0"/>
      <w:divBdr>
        <w:top w:val="none" w:sz="0" w:space="0" w:color="auto"/>
        <w:left w:val="none" w:sz="0" w:space="0" w:color="auto"/>
        <w:bottom w:val="none" w:sz="0" w:space="0" w:color="auto"/>
        <w:right w:val="none" w:sz="0" w:space="0" w:color="auto"/>
      </w:divBdr>
      <w:divsChild>
        <w:div w:id="731582120">
          <w:marLeft w:val="0"/>
          <w:marRight w:val="0"/>
          <w:marTop w:val="0"/>
          <w:marBottom w:val="0"/>
          <w:divBdr>
            <w:top w:val="none" w:sz="0" w:space="0" w:color="auto"/>
            <w:left w:val="none" w:sz="0" w:space="0" w:color="auto"/>
            <w:bottom w:val="none" w:sz="0" w:space="0" w:color="auto"/>
            <w:right w:val="none" w:sz="0" w:space="0" w:color="auto"/>
          </w:divBdr>
        </w:div>
        <w:div w:id="1072393428">
          <w:marLeft w:val="0"/>
          <w:marRight w:val="0"/>
          <w:marTop w:val="0"/>
          <w:marBottom w:val="0"/>
          <w:divBdr>
            <w:top w:val="none" w:sz="0" w:space="0" w:color="auto"/>
            <w:left w:val="none" w:sz="0" w:space="0" w:color="auto"/>
            <w:bottom w:val="none" w:sz="0" w:space="0" w:color="auto"/>
            <w:right w:val="none" w:sz="0" w:space="0" w:color="auto"/>
          </w:divBdr>
        </w:div>
        <w:div w:id="635532503">
          <w:marLeft w:val="0"/>
          <w:marRight w:val="0"/>
          <w:marTop w:val="0"/>
          <w:marBottom w:val="0"/>
          <w:divBdr>
            <w:top w:val="none" w:sz="0" w:space="0" w:color="auto"/>
            <w:left w:val="none" w:sz="0" w:space="0" w:color="auto"/>
            <w:bottom w:val="none" w:sz="0" w:space="0" w:color="auto"/>
            <w:right w:val="none" w:sz="0" w:space="0" w:color="auto"/>
          </w:divBdr>
        </w:div>
      </w:divsChild>
    </w:div>
    <w:div w:id="516388432">
      <w:bodyDiv w:val="1"/>
      <w:marLeft w:val="0"/>
      <w:marRight w:val="0"/>
      <w:marTop w:val="0"/>
      <w:marBottom w:val="0"/>
      <w:divBdr>
        <w:top w:val="none" w:sz="0" w:space="0" w:color="auto"/>
        <w:left w:val="none" w:sz="0" w:space="0" w:color="auto"/>
        <w:bottom w:val="none" w:sz="0" w:space="0" w:color="auto"/>
        <w:right w:val="none" w:sz="0" w:space="0" w:color="auto"/>
      </w:divBdr>
      <w:divsChild>
        <w:div w:id="402872973">
          <w:marLeft w:val="0"/>
          <w:marRight w:val="0"/>
          <w:marTop w:val="0"/>
          <w:marBottom w:val="0"/>
          <w:divBdr>
            <w:top w:val="none" w:sz="0" w:space="0" w:color="auto"/>
            <w:left w:val="none" w:sz="0" w:space="0" w:color="auto"/>
            <w:bottom w:val="none" w:sz="0" w:space="0" w:color="auto"/>
            <w:right w:val="none" w:sz="0" w:space="0" w:color="auto"/>
          </w:divBdr>
        </w:div>
        <w:div w:id="2086761594">
          <w:marLeft w:val="0"/>
          <w:marRight w:val="0"/>
          <w:marTop w:val="0"/>
          <w:marBottom w:val="0"/>
          <w:divBdr>
            <w:top w:val="none" w:sz="0" w:space="0" w:color="auto"/>
            <w:left w:val="none" w:sz="0" w:space="0" w:color="auto"/>
            <w:bottom w:val="none" w:sz="0" w:space="0" w:color="auto"/>
            <w:right w:val="none" w:sz="0" w:space="0" w:color="auto"/>
          </w:divBdr>
        </w:div>
        <w:div w:id="269053805">
          <w:marLeft w:val="0"/>
          <w:marRight w:val="0"/>
          <w:marTop w:val="0"/>
          <w:marBottom w:val="0"/>
          <w:divBdr>
            <w:top w:val="none" w:sz="0" w:space="0" w:color="auto"/>
            <w:left w:val="none" w:sz="0" w:space="0" w:color="auto"/>
            <w:bottom w:val="none" w:sz="0" w:space="0" w:color="auto"/>
            <w:right w:val="none" w:sz="0" w:space="0" w:color="auto"/>
          </w:divBdr>
        </w:div>
        <w:div w:id="1402751610">
          <w:marLeft w:val="0"/>
          <w:marRight w:val="0"/>
          <w:marTop w:val="0"/>
          <w:marBottom w:val="0"/>
          <w:divBdr>
            <w:top w:val="none" w:sz="0" w:space="0" w:color="auto"/>
            <w:left w:val="none" w:sz="0" w:space="0" w:color="auto"/>
            <w:bottom w:val="none" w:sz="0" w:space="0" w:color="auto"/>
            <w:right w:val="none" w:sz="0" w:space="0" w:color="auto"/>
          </w:divBdr>
        </w:div>
        <w:div w:id="1506822946">
          <w:marLeft w:val="0"/>
          <w:marRight w:val="0"/>
          <w:marTop w:val="0"/>
          <w:marBottom w:val="0"/>
          <w:divBdr>
            <w:top w:val="none" w:sz="0" w:space="0" w:color="auto"/>
            <w:left w:val="none" w:sz="0" w:space="0" w:color="auto"/>
            <w:bottom w:val="none" w:sz="0" w:space="0" w:color="auto"/>
            <w:right w:val="none" w:sz="0" w:space="0" w:color="auto"/>
          </w:divBdr>
        </w:div>
        <w:div w:id="1897667321">
          <w:marLeft w:val="0"/>
          <w:marRight w:val="0"/>
          <w:marTop w:val="0"/>
          <w:marBottom w:val="0"/>
          <w:divBdr>
            <w:top w:val="none" w:sz="0" w:space="0" w:color="auto"/>
            <w:left w:val="none" w:sz="0" w:space="0" w:color="auto"/>
            <w:bottom w:val="none" w:sz="0" w:space="0" w:color="auto"/>
            <w:right w:val="none" w:sz="0" w:space="0" w:color="auto"/>
          </w:divBdr>
        </w:div>
        <w:div w:id="1169251333">
          <w:marLeft w:val="0"/>
          <w:marRight w:val="0"/>
          <w:marTop w:val="0"/>
          <w:marBottom w:val="0"/>
          <w:divBdr>
            <w:top w:val="none" w:sz="0" w:space="0" w:color="auto"/>
            <w:left w:val="none" w:sz="0" w:space="0" w:color="auto"/>
            <w:bottom w:val="none" w:sz="0" w:space="0" w:color="auto"/>
            <w:right w:val="none" w:sz="0" w:space="0" w:color="auto"/>
          </w:divBdr>
        </w:div>
        <w:div w:id="1273629303">
          <w:marLeft w:val="0"/>
          <w:marRight w:val="0"/>
          <w:marTop w:val="0"/>
          <w:marBottom w:val="0"/>
          <w:divBdr>
            <w:top w:val="none" w:sz="0" w:space="0" w:color="auto"/>
            <w:left w:val="none" w:sz="0" w:space="0" w:color="auto"/>
            <w:bottom w:val="none" w:sz="0" w:space="0" w:color="auto"/>
            <w:right w:val="none" w:sz="0" w:space="0" w:color="auto"/>
          </w:divBdr>
        </w:div>
        <w:div w:id="283468912">
          <w:marLeft w:val="0"/>
          <w:marRight w:val="0"/>
          <w:marTop w:val="0"/>
          <w:marBottom w:val="0"/>
          <w:divBdr>
            <w:top w:val="none" w:sz="0" w:space="0" w:color="auto"/>
            <w:left w:val="none" w:sz="0" w:space="0" w:color="auto"/>
            <w:bottom w:val="none" w:sz="0" w:space="0" w:color="auto"/>
            <w:right w:val="none" w:sz="0" w:space="0" w:color="auto"/>
          </w:divBdr>
        </w:div>
        <w:div w:id="956182773">
          <w:marLeft w:val="0"/>
          <w:marRight w:val="0"/>
          <w:marTop w:val="0"/>
          <w:marBottom w:val="0"/>
          <w:divBdr>
            <w:top w:val="none" w:sz="0" w:space="0" w:color="auto"/>
            <w:left w:val="none" w:sz="0" w:space="0" w:color="auto"/>
            <w:bottom w:val="none" w:sz="0" w:space="0" w:color="auto"/>
            <w:right w:val="none" w:sz="0" w:space="0" w:color="auto"/>
          </w:divBdr>
        </w:div>
        <w:div w:id="957178383">
          <w:marLeft w:val="0"/>
          <w:marRight w:val="0"/>
          <w:marTop w:val="0"/>
          <w:marBottom w:val="0"/>
          <w:divBdr>
            <w:top w:val="none" w:sz="0" w:space="0" w:color="auto"/>
            <w:left w:val="none" w:sz="0" w:space="0" w:color="auto"/>
            <w:bottom w:val="none" w:sz="0" w:space="0" w:color="auto"/>
            <w:right w:val="none" w:sz="0" w:space="0" w:color="auto"/>
          </w:divBdr>
        </w:div>
        <w:div w:id="208958118">
          <w:marLeft w:val="0"/>
          <w:marRight w:val="0"/>
          <w:marTop w:val="0"/>
          <w:marBottom w:val="0"/>
          <w:divBdr>
            <w:top w:val="none" w:sz="0" w:space="0" w:color="auto"/>
            <w:left w:val="none" w:sz="0" w:space="0" w:color="auto"/>
            <w:bottom w:val="none" w:sz="0" w:space="0" w:color="auto"/>
            <w:right w:val="none" w:sz="0" w:space="0" w:color="auto"/>
          </w:divBdr>
        </w:div>
        <w:div w:id="1967000438">
          <w:marLeft w:val="0"/>
          <w:marRight w:val="0"/>
          <w:marTop w:val="0"/>
          <w:marBottom w:val="0"/>
          <w:divBdr>
            <w:top w:val="none" w:sz="0" w:space="0" w:color="auto"/>
            <w:left w:val="none" w:sz="0" w:space="0" w:color="auto"/>
            <w:bottom w:val="none" w:sz="0" w:space="0" w:color="auto"/>
            <w:right w:val="none" w:sz="0" w:space="0" w:color="auto"/>
          </w:divBdr>
        </w:div>
        <w:div w:id="1114329346">
          <w:marLeft w:val="0"/>
          <w:marRight w:val="0"/>
          <w:marTop w:val="0"/>
          <w:marBottom w:val="0"/>
          <w:divBdr>
            <w:top w:val="none" w:sz="0" w:space="0" w:color="auto"/>
            <w:left w:val="none" w:sz="0" w:space="0" w:color="auto"/>
            <w:bottom w:val="none" w:sz="0" w:space="0" w:color="auto"/>
            <w:right w:val="none" w:sz="0" w:space="0" w:color="auto"/>
          </w:divBdr>
        </w:div>
        <w:div w:id="1339043610">
          <w:marLeft w:val="0"/>
          <w:marRight w:val="0"/>
          <w:marTop w:val="0"/>
          <w:marBottom w:val="0"/>
          <w:divBdr>
            <w:top w:val="none" w:sz="0" w:space="0" w:color="auto"/>
            <w:left w:val="none" w:sz="0" w:space="0" w:color="auto"/>
            <w:bottom w:val="none" w:sz="0" w:space="0" w:color="auto"/>
            <w:right w:val="none" w:sz="0" w:space="0" w:color="auto"/>
          </w:divBdr>
        </w:div>
        <w:div w:id="453451930">
          <w:marLeft w:val="0"/>
          <w:marRight w:val="0"/>
          <w:marTop w:val="0"/>
          <w:marBottom w:val="0"/>
          <w:divBdr>
            <w:top w:val="none" w:sz="0" w:space="0" w:color="auto"/>
            <w:left w:val="none" w:sz="0" w:space="0" w:color="auto"/>
            <w:bottom w:val="none" w:sz="0" w:space="0" w:color="auto"/>
            <w:right w:val="none" w:sz="0" w:space="0" w:color="auto"/>
          </w:divBdr>
        </w:div>
        <w:div w:id="1327856423">
          <w:marLeft w:val="0"/>
          <w:marRight w:val="0"/>
          <w:marTop w:val="0"/>
          <w:marBottom w:val="0"/>
          <w:divBdr>
            <w:top w:val="none" w:sz="0" w:space="0" w:color="auto"/>
            <w:left w:val="none" w:sz="0" w:space="0" w:color="auto"/>
            <w:bottom w:val="none" w:sz="0" w:space="0" w:color="auto"/>
            <w:right w:val="none" w:sz="0" w:space="0" w:color="auto"/>
          </w:divBdr>
        </w:div>
        <w:div w:id="741830002">
          <w:marLeft w:val="0"/>
          <w:marRight w:val="0"/>
          <w:marTop w:val="0"/>
          <w:marBottom w:val="0"/>
          <w:divBdr>
            <w:top w:val="none" w:sz="0" w:space="0" w:color="auto"/>
            <w:left w:val="none" w:sz="0" w:space="0" w:color="auto"/>
            <w:bottom w:val="none" w:sz="0" w:space="0" w:color="auto"/>
            <w:right w:val="none" w:sz="0" w:space="0" w:color="auto"/>
          </w:divBdr>
        </w:div>
        <w:div w:id="1356536747">
          <w:marLeft w:val="0"/>
          <w:marRight w:val="0"/>
          <w:marTop w:val="0"/>
          <w:marBottom w:val="0"/>
          <w:divBdr>
            <w:top w:val="none" w:sz="0" w:space="0" w:color="auto"/>
            <w:left w:val="none" w:sz="0" w:space="0" w:color="auto"/>
            <w:bottom w:val="none" w:sz="0" w:space="0" w:color="auto"/>
            <w:right w:val="none" w:sz="0" w:space="0" w:color="auto"/>
          </w:divBdr>
        </w:div>
        <w:div w:id="1840609880">
          <w:marLeft w:val="0"/>
          <w:marRight w:val="0"/>
          <w:marTop w:val="0"/>
          <w:marBottom w:val="0"/>
          <w:divBdr>
            <w:top w:val="none" w:sz="0" w:space="0" w:color="auto"/>
            <w:left w:val="none" w:sz="0" w:space="0" w:color="auto"/>
            <w:bottom w:val="none" w:sz="0" w:space="0" w:color="auto"/>
            <w:right w:val="none" w:sz="0" w:space="0" w:color="auto"/>
          </w:divBdr>
        </w:div>
        <w:div w:id="700397376">
          <w:marLeft w:val="0"/>
          <w:marRight w:val="0"/>
          <w:marTop w:val="0"/>
          <w:marBottom w:val="0"/>
          <w:divBdr>
            <w:top w:val="none" w:sz="0" w:space="0" w:color="auto"/>
            <w:left w:val="none" w:sz="0" w:space="0" w:color="auto"/>
            <w:bottom w:val="none" w:sz="0" w:space="0" w:color="auto"/>
            <w:right w:val="none" w:sz="0" w:space="0" w:color="auto"/>
          </w:divBdr>
        </w:div>
        <w:div w:id="759376976">
          <w:marLeft w:val="0"/>
          <w:marRight w:val="0"/>
          <w:marTop w:val="0"/>
          <w:marBottom w:val="0"/>
          <w:divBdr>
            <w:top w:val="none" w:sz="0" w:space="0" w:color="auto"/>
            <w:left w:val="none" w:sz="0" w:space="0" w:color="auto"/>
            <w:bottom w:val="none" w:sz="0" w:space="0" w:color="auto"/>
            <w:right w:val="none" w:sz="0" w:space="0" w:color="auto"/>
          </w:divBdr>
        </w:div>
        <w:div w:id="132675631">
          <w:marLeft w:val="0"/>
          <w:marRight w:val="0"/>
          <w:marTop w:val="0"/>
          <w:marBottom w:val="0"/>
          <w:divBdr>
            <w:top w:val="none" w:sz="0" w:space="0" w:color="auto"/>
            <w:left w:val="none" w:sz="0" w:space="0" w:color="auto"/>
            <w:bottom w:val="none" w:sz="0" w:space="0" w:color="auto"/>
            <w:right w:val="none" w:sz="0" w:space="0" w:color="auto"/>
          </w:divBdr>
        </w:div>
        <w:div w:id="1267468757">
          <w:marLeft w:val="0"/>
          <w:marRight w:val="0"/>
          <w:marTop w:val="0"/>
          <w:marBottom w:val="0"/>
          <w:divBdr>
            <w:top w:val="none" w:sz="0" w:space="0" w:color="auto"/>
            <w:left w:val="none" w:sz="0" w:space="0" w:color="auto"/>
            <w:bottom w:val="none" w:sz="0" w:space="0" w:color="auto"/>
            <w:right w:val="none" w:sz="0" w:space="0" w:color="auto"/>
          </w:divBdr>
        </w:div>
        <w:div w:id="677927810">
          <w:marLeft w:val="0"/>
          <w:marRight w:val="0"/>
          <w:marTop w:val="0"/>
          <w:marBottom w:val="0"/>
          <w:divBdr>
            <w:top w:val="none" w:sz="0" w:space="0" w:color="auto"/>
            <w:left w:val="none" w:sz="0" w:space="0" w:color="auto"/>
            <w:bottom w:val="none" w:sz="0" w:space="0" w:color="auto"/>
            <w:right w:val="none" w:sz="0" w:space="0" w:color="auto"/>
          </w:divBdr>
        </w:div>
        <w:div w:id="916063125">
          <w:marLeft w:val="0"/>
          <w:marRight w:val="0"/>
          <w:marTop w:val="0"/>
          <w:marBottom w:val="0"/>
          <w:divBdr>
            <w:top w:val="none" w:sz="0" w:space="0" w:color="auto"/>
            <w:left w:val="none" w:sz="0" w:space="0" w:color="auto"/>
            <w:bottom w:val="none" w:sz="0" w:space="0" w:color="auto"/>
            <w:right w:val="none" w:sz="0" w:space="0" w:color="auto"/>
          </w:divBdr>
        </w:div>
        <w:div w:id="1763866991">
          <w:marLeft w:val="0"/>
          <w:marRight w:val="0"/>
          <w:marTop w:val="0"/>
          <w:marBottom w:val="0"/>
          <w:divBdr>
            <w:top w:val="none" w:sz="0" w:space="0" w:color="auto"/>
            <w:left w:val="none" w:sz="0" w:space="0" w:color="auto"/>
            <w:bottom w:val="none" w:sz="0" w:space="0" w:color="auto"/>
            <w:right w:val="none" w:sz="0" w:space="0" w:color="auto"/>
          </w:divBdr>
        </w:div>
        <w:div w:id="1007903452">
          <w:marLeft w:val="0"/>
          <w:marRight w:val="0"/>
          <w:marTop w:val="0"/>
          <w:marBottom w:val="0"/>
          <w:divBdr>
            <w:top w:val="none" w:sz="0" w:space="0" w:color="auto"/>
            <w:left w:val="none" w:sz="0" w:space="0" w:color="auto"/>
            <w:bottom w:val="none" w:sz="0" w:space="0" w:color="auto"/>
            <w:right w:val="none" w:sz="0" w:space="0" w:color="auto"/>
          </w:divBdr>
        </w:div>
        <w:div w:id="1250624247">
          <w:marLeft w:val="0"/>
          <w:marRight w:val="0"/>
          <w:marTop w:val="0"/>
          <w:marBottom w:val="0"/>
          <w:divBdr>
            <w:top w:val="none" w:sz="0" w:space="0" w:color="auto"/>
            <w:left w:val="none" w:sz="0" w:space="0" w:color="auto"/>
            <w:bottom w:val="none" w:sz="0" w:space="0" w:color="auto"/>
            <w:right w:val="none" w:sz="0" w:space="0" w:color="auto"/>
          </w:divBdr>
        </w:div>
        <w:div w:id="1315716486">
          <w:marLeft w:val="0"/>
          <w:marRight w:val="0"/>
          <w:marTop w:val="0"/>
          <w:marBottom w:val="0"/>
          <w:divBdr>
            <w:top w:val="none" w:sz="0" w:space="0" w:color="auto"/>
            <w:left w:val="none" w:sz="0" w:space="0" w:color="auto"/>
            <w:bottom w:val="none" w:sz="0" w:space="0" w:color="auto"/>
            <w:right w:val="none" w:sz="0" w:space="0" w:color="auto"/>
          </w:divBdr>
        </w:div>
        <w:div w:id="1174539819">
          <w:marLeft w:val="0"/>
          <w:marRight w:val="0"/>
          <w:marTop w:val="0"/>
          <w:marBottom w:val="0"/>
          <w:divBdr>
            <w:top w:val="none" w:sz="0" w:space="0" w:color="auto"/>
            <w:left w:val="none" w:sz="0" w:space="0" w:color="auto"/>
            <w:bottom w:val="none" w:sz="0" w:space="0" w:color="auto"/>
            <w:right w:val="none" w:sz="0" w:space="0" w:color="auto"/>
          </w:divBdr>
        </w:div>
        <w:div w:id="595407656">
          <w:marLeft w:val="0"/>
          <w:marRight w:val="0"/>
          <w:marTop w:val="0"/>
          <w:marBottom w:val="0"/>
          <w:divBdr>
            <w:top w:val="none" w:sz="0" w:space="0" w:color="auto"/>
            <w:left w:val="none" w:sz="0" w:space="0" w:color="auto"/>
            <w:bottom w:val="none" w:sz="0" w:space="0" w:color="auto"/>
            <w:right w:val="none" w:sz="0" w:space="0" w:color="auto"/>
          </w:divBdr>
        </w:div>
        <w:div w:id="664942025">
          <w:marLeft w:val="0"/>
          <w:marRight w:val="0"/>
          <w:marTop w:val="0"/>
          <w:marBottom w:val="0"/>
          <w:divBdr>
            <w:top w:val="none" w:sz="0" w:space="0" w:color="auto"/>
            <w:left w:val="none" w:sz="0" w:space="0" w:color="auto"/>
            <w:bottom w:val="none" w:sz="0" w:space="0" w:color="auto"/>
            <w:right w:val="none" w:sz="0" w:space="0" w:color="auto"/>
          </w:divBdr>
        </w:div>
        <w:div w:id="2130318116">
          <w:marLeft w:val="0"/>
          <w:marRight w:val="0"/>
          <w:marTop w:val="0"/>
          <w:marBottom w:val="0"/>
          <w:divBdr>
            <w:top w:val="none" w:sz="0" w:space="0" w:color="auto"/>
            <w:left w:val="none" w:sz="0" w:space="0" w:color="auto"/>
            <w:bottom w:val="none" w:sz="0" w:space="0" w:color="auto"/>
            <w:right w:val="none" w:sz="0" w:space="0" w:color="auto"/>
          </w:divBdr>
        </w:div>
        <w:div w:id="1376853424">
          <w:marLeft w:val="0"/>
          <w:marRight w:val="0"/>
          <w:marTop w:val="0"/>
          <w:marBottom w:val="0"/>
          <w:divBdr>
            <w:top w:val="none" w:sz="0" w:space="0" w:color="auto"/>
            <w:left w:val="none" w:sz="0" w:space="0" w:color="auto"/>
            <w:bottom w:val="none" w:sz="0" w:space="0" w:color="auto"/>
            <w:right w:val="none" w:sz="0" w:space="0" w:color="auto"/>
          </w:divBdr>
        </w:div>
        <w:div w:id="182285379">
          <w:marLeft w:val="0"/>
          <w:marRight w:val="0"/>
          <w:marTop w:val="0"/>
          <w:marBottom w:val="0"/>
          <w:divBdr>
            <w:top w:val="none" w:sz="0" w:space="0" w:color="auto"/>
            <w:left w:val="none" w:sz="0" w:space="0" w:color="auto"/>
            <w:bottom w:val="none" w:sz="0" w:space="0" w:color="auto"/>
            <w:right w:val="none" w:sz="0" w:space="0" w:color="auto"/>
          </w:divBdr>
        </w:div>
        <w:div w:id="1546335431">
          <w:marLeft w:val="0"/>
          <w:marRight w:val="0"/>
          <w:marTop w:val="0"/>
          <w:marBottom w:val="0"/>
          <w:divBdr>
            <w:top w:val="none" w:sz="0" w:space="0" w:color="auto"/>
            <w:left w:val="none" w:sz="0" w:space="0" w:color="auto"/>
            <w:bottom w:val="none" w:sz="0" w:space="0" w:color="auto"/>
            <w:right w:val="none" w:sz="0" w:space="0" w:color="auto"/>
          </w:divBdr>
        </w:div>
        <w:div w:id="1074746383">
          <w:marLeft w:val="0"/>
          <w:marRight w:val="0"/>
          <w:marTop w:val="0"/>
          <w:marBottom w:val="0"/>
          <w:divBdr>
            <w:top w:val="none" w:sz="0" w:space="0" w:color="auto"/>
            <w:left w:val="none" w:sz="0" w:space="0" w:color="auto"/>
            <w:bottom w:val="none" w:sz="0" w:space="0" w:color="auto"/>
            <w:right w:val="none" w:sz="0" w:space="0" w:color="auto"/>
          </w:divBdr>
        </w:div>
        <w:div w:id="1699624583">
          <w:marLeft w:val="0"/>
          <w:marRight w:val="0"/>
          <w:marTop w:val="0"/>
          <w:marBottom w:val="0"/>
          <w:divBdr>
            <w:top w:val="none" w:sz="0" w:space="0" w:color="auto"/>
            <w:left w:val="none" w:sz="0" w:space="0" w:color="auto"/>
            <w:bottom w:val="none" w:sz="0" w:space="0" w:color="auto"/>
            <w:right w:val="none" w:sz="0" w:space="0" w:color="auto"/>
          </w:divBdr>
        </w:div>
        <w:div w:id="1747066709">
          <w:marLeft w:val="0"/>
          <w:marRight w:val="0"/>
          <w:marTop w:val="0"/>
          <w:marBottom w:val="0"/>
          <w:divBdr>
            <w:top w:val="none" w:sz="0" w:space="0" w:color="auto"/>
            <w:left w:val="none" w:sz="0" w:space="0" w:color="auto"/>
            <w:bottom w:val="none" w:sz="0" w:space="0" w:color="auto"/>
            <w:right w:val="none" w:sz="0" w:space="0" w:color="auto"/>
          </w:divBdr>
        </w:div>
        <w:div w:id="528376926">
          <w:marLeft w:val="0"/>
          <w:marRight w:val="0"/>
          <w:marTop w:val="0"/>
          <w:marBottom w:val="0"/>
          <w:divBdr>
            <w:top w:val="none" w:sz="0" w:space="0" w:color="auto"/>
            <w:left w:val="none" w:sz="0" w:space="0" w:color="auto"/>
            <w:bottom w:val="none" w:sz="0" w:space="0" w:color="auto"/>
            <w:right w:val="none" w:sz="0" w:space="0" w:color="auto"/>
          </w:divBdr>
        </w:div>
        <w:div w:id="10836490">
          <w:marLeft w:val="0"/>
          <w:marRight w:val="0"/>
          <w:marTop w:val="0"/>
          <w:marBottom w:val="0"/>
          <w:divBdr>
            <w:top w:val="none" w:sz="0" w:space="0" w:color="auto"/>
            <w:left w:val="none" w:sz="0" w:space="0" w:color="auto"/>
            <w:bottom w:val="none" w:sz="0" w:space="0" w:color="auto"/>
            <w:right w:val="none" w:sz="0" w:space="0" w:color="auto"/>
          </w:divBdr>
        </w:div>
        <w:div w:id="1621958802">
          <w:marLeft w:val="0"/>
          <w:marRight w:val="0"/>
          <w:marTop w:val="0"/>
          <w:marBottom w:val="0"/>
          <w:divBdr>
            <w:top w:val="none" w:sz="0" w:space="0" w:color="auto"/>
            <w:left w:val="none" w:sz="0" w:space="0" w:color="auto"/>
            <w:bottom w:val="none" w:sz="0" w:space="0" w:color="auto"/>
            <w:right w:val="none" w:sz="0" w:space="0" w:color="auto"/>
          </w:divBdr>
        </w:div>
        <w:div w:id="367606494">
          <w:marLeft w:val="0"/>
          <w:marRight w:val="0"/>
          <w:marTop w:val="0"/>
          <w:marBottom w:val="0"/>
          <w:divBdr>
            <w:top w:val="none" w:sz="0" w:space="0" w:color="auto"/>
            <w:left w:val="none" w:sz="0" w:space="0" w:color="auto"/>
            <w:bottom w:val="none" w:sz="0" w:space="0" w:color="auto"/>
            <w:right w:val="none" w:sz="0" w:space="0" w:color="auto"/>
          </w:divBdr>
        </w:div>
        <w:div w:id="1733694964">
          <w:marLeft w:val="0"/>
          <w:marRight w:val="0"/>
          <w:marTop w:val="0"/>
          <w:marBottom w:val="0"/>
          <w:divBdr>
            <w:top w:val="none" w:sz="0" w:space="0" w:color="auto"/>
            <w:left w:val="none" w:sz="0" w:space="0" w:color="auto"/>
            <w:bottom w:val="none" w:sz="0" w:space="0" w:color="auto"/>
            <w:right w:val="none" w:sz="0" w:space="0" w:color="auto"/>
          </w:divBdr>
        </w:div>
        <w:div w:id="1234586955">
          <w:marLeft w:val="0"/>
          <w:marRight w:val="0"/>
          <w:marTop w:val="0"/>
          <w:marBottom w:val="0"/>
          <w:divBdr>
            <w:top w:val="none" w:sz="0" w:space="0" w:color="auto"/>
            <w:left w:val="none" w:sz="0" w:space="0" w:color="auto"/>
            <w:bottom w:val="none" w:sz="0" w:space="0" w:color="auto"/>
            <w:right w:val="none" w:sz="0" w:space="0" w:color="auto"/>
          </w:divBdr>
        </w:div>
        <w:div w:id="1682971675">
          <w:marLeft w:val="0"/>
          <w:marRight w:val="0"/>
          <w:marTop w:val="0"/>
          <w:marBottom w:val="0"/>
          <w:divBdr>
            <w:top w:val="none" w:sz="0" w:space="0" w:color="auto"/>
            <w:left w:val="none" w:sz="0" w:space="0" w:color="auto"/>
            <w:bottom w:val="none" w:sz="0" w:space="0" w:color="auto"/>
            <w:right w:val="none" w:sz="0" w:space="0" w:color="auto"/>
          </w:divBdr>
        </w:div>
        <w:div w:id="1427729749">
          <w:marLeft w:val="0"/>
          <w:marRight w:val="0"/>
          <w:marTop w:val="0"/>
          <w:marBottom w:val="0"/>
          <w:divBdr>
            <w:top w:val="none" w:sz="0" w:space="0" w:color="auto"/>
            <w:left w:val="none" w:sz="0" w:space="0" w:color="auto"/>
            <w:bottom w:val="none" w:sz="0" w:space="0" w:color="auto"/>
            <w:right w:val="none" w:sz="0" w:space="0" w:color="auto"/>
          </w:divBdr>
        </w:div>
        <w:div w:id="1803884286">
          <w:marLeft w:val="0"/>
          <w:marRight w:val="0"/>
          <w:marTop w:val="0"/>
          <w:marBottom w:val="0"/>
          <w:divBdr>
            <w:top w:val="none" w:sz="0" w:space="0" w:color="auto"/>
            <w:left w:val="none" w:sz="0" w:space="0" w:color="auto"/>
            <w:bottom w:val="none" w:sz="0" w:space="0" w:color="auto"/>
            <w:right w:val="none" w:sz="0" w:space="0" w:color="auto"/>
          </w:divBdr>
        </w:div>
        <w:div w:id="222906910">
          <w:marLeft w:val="0"/>
          <w:marRight w:val="0"/>
          <w:marTop w:val="0"/>
          <w:marBottom w:val="0"/>
          <w:divBdr>
            <w:top w:val="none" w:sz="0" w:space="0" w:color="auto"/>
            <w:left w:val="none" w:sz="0" w:space="0" w:color="auto"/>
            <w:bottom w:val="none" w:sz="0" w:space="0" w:color="auto"/>
            <w:right w:val="none" w:sz="0" w:space="0" w:color="auto"/>
          </w:divBdr>
        </w:div>
        <w:div w:id="1955676892">
          <w:marLeft w:val="0"/>
          <w:marRight w:val="0"/>
          <w:marTop w:val="0"/>
          <w:marBottom w:val="0"/>
          <w:divBdr>
            <w:top w:val="none" w:sz="0" w:space="0" w:color="auto"/>
            <w:left w:val="none" w:sz="0" w:space="0" w:color="auto"/>
            <w:bottom w:val="none" w:sz="0" w:space="0" w:color="auto"/>
            <w:right w:val="none" w:sz="0" w:space="0" w:color="auto"/>
          </w:divBdr>
        </w:div>
        <w:div w:id="509637162">
          <w:marLeft w:val="0"/>
          <w:marRight w:val="0"/>
          <w:marTop w:val="0"/>
          <w:marBottom w:val="0"/>
          <w:divBdr>
            <w:top w:val="none" w:sz="0" w:space="0" w:color="auto"/>
            <w:left w:val="none" w:sz="0" w:space="0" w:color="auto"/>
            <w:bottom w:val="none" w:sz="0" w:space="0" w:color="auto"/>
            <w:right w:val="none" w:sz="0" w:space="0" w:color="auto"/>
          </w:divBdr>
        </w:div>
        <w:div w:id="1452284808">
          <w:marLeft w:val="0"/>
          <w:marRight w:val="0"/>
          <w:marTop w:val="0"/>
          <w:marBottom w:val="0"/>
          <w:divBdr>
            <w:top w:val="none" w:sz="0" w:space="0" w:color="auto"/>
            <w:left w:val="none" w:sz="0" w:space="0" w:color="auto"/>
            <w:bottom w:val="none" w:sz="0" w:space="0" w:color="auto"/>
            <w:right w:val="none" w:sz="0" w:space="0" w:color="auto"/>
          </w:divBdr>
        </w:div>
        <w:div w:id="923297143">
          <w:marLeft w:val="0"/>
          <w:marRight w:val="0"/>
          <w:marTop w:val="0"/>
          <w:marBottom w:val="0"/>
          <w:divBdr>
            <w:top w:val="none" w:sz="0" w:space="0" w:color="auto"/>
            <w:left w:val="none" w:sz="0" w:space="0" w:color="auto"/>
            <w:bottom w:val="none" w:sz="0" w:space="0" w:color="auto"/>
            <w:right w:val="none" w:sz="0" w:space="0" w:color="auto"/>
          </w:divBdr>
        </w:div>
      </w:divsChild>
    </w:div>
    <w:div w:id="1056507803">
      <w:bodyDiv w:val="1"/>
      <w:marLeft w:val="0"/>
      <w:marRight w:val="0"/>
      <w:marTop w:val="0"/>
      <w:marBottom w:val="0"/>
      <w:divBdr>
        <w:top w:val="none" w:sz="0" w:space="0" w:color="auto"/>
        <w:left w:val="none" w:sz="0" w:space="0" w:color="auto"/>
        <w:bottom w:val="none" w:sz="0" w:space="0" w:color="auto"/>
        <w:right w:val="none" w:sz="0" w:space="0" w:color="auto"/>
      </w:divBdr>
    </w:div>
    <w:div w:id="1488784240">
      <w:bodyDiv w:val="1"/>
      <w:marLeft w:val="0"/>
      <w:marRight w:val="0"/>
      <w:marTop w:val="0"/>
      <w:marBottom w:val="0"/>
      <w:divBdr>
        <w:top w:val="none" w:sz="0" w:space="0" w:color="auto"/>
        <w:left w:val="none" w:sz="0" w:space="0" w:color="auto"/>
        <w:bottom w:val="none" w:sz="0" w:space="0" w:color="auto"/>
        <w:right w:val="none" w:sz="0" w:space="0" w:color="auto"/>
      </w:divBdr>
      <w:divsChild>
        <w:div w:id="1518617660">
          <w:marLeft w:val="0"/>
          <w:marRight w:val="0"/>
          <w:marTop w:val="0"/>
          <w:marBottom w:val="0"/>
          <w:divBdr>
            <w:top w:val="none" w:sz="0" w:space="0" w:color="auto"/>
            <w:left w:val="none" w:sz="0" w:space="0" w:color="auto"/>
            <w:bottom w:val="none" w:sz="0" w:space="0" w:color="auto"/>
            <w:right w:val="none" w:sz="0" w:space="0" w:color="auto"/>
          </w:divBdr>
        </w:div>
        <w:div w:id="1529374046">
          <w:marLeft w:val="0"/>
          <w:marRight w:val="0"/>
          <w:marTop w:val="0"/>
          <w:marBottom w:val="0"/>
          <w:divBdr>
            <w:top w:val="none" w:sz="0" w:space="0" w:color="auto"/>
            <w:left w:val="none" w:sz="0" w:space="0" w:color="auto"/>
            <w:bottom w:val="none" w:sz="0" w:space="0" w:color="auto"/>
            <w:right w:val="none" w:sz="0" w:space="0" w:color="auto"/>
          </w:divBdr>
        </w:div>
        <w:div w:id="1845166331">
          <w:marLeft w:val="0"/>
          <w:marRight w:val="0"/>
          <w:marTop w:val="0"/>
          <w:marBottom w:val="0"/>
          <w:divBdr>
            <w:top w:val="none" w:sz="0" w:space="0" w:color="auto"/>
            <w:left w:val="none" w:sz="0" w:space="0" w:color="auto"/>
            <w:bottom w:val="none" w:sz="0" w:space="0" w:color="auto"/>
            <w:right w:val="none" w:sz="0" w:space="0" w:color="auto"/>
          </w:divBdr>
        </w:div>
        <w:div w:id="533426189">
          <w:marLeft w:val="0"/>
          <w:marRight w:val="0"/>
          <w:marTop w:val="0"/>
          <w:marBottom w:val="0"/>
          <w:divBdr>
            <w:top w:val="none" w:sz="0" w:space="0" w:color="auto"/>
            <w:left w:val="none" w:sz="0" w:space="0" w:color="auto"/>
            <w:bottom w:val="none" w:sz="0" w:space="0" w:color="auto"/>
            <w:right w:val="none" w:sz="0" w:space="0" w:color="auto"/>
          </w:divBdr>
        </w:div>
        <w:div w:id="1322387892">
          <w:marLeft w:val="0"/>
          <w:marRight w:val="0"/>
          <w:marTop w:val="0"/>
          <w:marBottom w:val="0"/>
          <w:divBdr>
            <w:top w:val="none" w:sz="0" w:space="0" w:color="auto"/>
            <w:left w:val="none" w:sz="0" w:space="0" w:color="auto"/>
            <w:bottom w:val="none" w:sz="0" w:space="0" w:color="auto"/>
            <w:right w:val="none" w:sz="0" w:space="0" w:color="auto"/>
          </w:divBdr>
        </w:div>
        <w:div w:id="1485202056">
          <w:marLeft w:val="0"/>
          <w:marRight w:val="0"/>
          <w:marTop w:val="0"/>
          <w:marBottom w:val="0"/>
          <w:divBdr>
            <w:top w:val="none" w:sz="0" w:space="0" w:color="auto"/>
            <w:left w:val="none" w:sz="0" w:space="0" w:color="auto"/>
            <w:bottom w:val="none" w:sz="0" w:space="0" w:color="auto"/>
            <w:right w:val="none" w:sz="0" w:space="0" w:color="auto"/>
          </w:divBdr>
        </w:div>
        <w:div w:id="345405396">
          <w:marLeft w:val="0"/>
          <w:marRight w:val="0"/>
          <w:marTop w:val="0"/>
          <w:marBottom w:val="0"/>
          <w:divBdr>
            <w:top w:val="none" w:sz="0" w:space="0" w:color="auto"/>
            <w:left w:val="none" w:sz="0" w:space="0" w:color="auto"/>
            <w:bottom w:val="none" w:sz="0" w:space="0" w:color="auto"/>
            <w:right w:val="none" w:sz="0" w:space="0" w:color="auto"/>
          </w:divBdr>
        </w:div>
        <w:div w:id="535853996">
          <w:marLeft w:val="0"/>
          <w:marRight w:val="0"/>
          <w:marTop w:val="0"/>
          <w:marBottom w:val="0"/>
          <w:divBdr>
            <w:top w:val="none" w:sz="0" w:space="0" w:color="auto"/>
            <w:left w:val="none" w:sz="0" w:space="0" w:color="auto"/>
            <w:bottom w:val="none" w:sz="0" w:space="0" w:color="auto"/>
            <w:right w:val="none" w:sz="0" w:space="0" w:color="auto"/>
          </w:divBdr>
        </w:div>
        <w:div w:id="562180416">
          <w:marLeft w:val="0"/>
          <w:marRight w:val="0"/>
          <w:marTop w:val="0"/>
          <w:marBottom w:val="0"/>
          <w:divBdr>
            <w:top w:val="none" w:sz="0" w:space="0" w:color="auto"/>
            <w:left w:val="none" w:sz="0" w:space="0" w:color="auto"/>
            <w:bottom w:val="none" w:sz="0" w:space="0" w:color="auto"/>
            <w:right w:val="none" w:sz="0" w:space="0" w:color="auto"/>
          </w:divBdr>
        </w:div>
        <w:div w:id="1775517504">
          <w:marLeft w:val="0"/>
          <w:marRight w:val="0"/>
          <w:marTop w:val="0"/>
          <w:marBottom w:val="0"/>
          <w:divBdr>
            <w:top w:val="none" w:sz="0" w:space="0" w:color="auto"/>
            <w:left w:val="none" w:sz="0" w:space="0" w:color="auto"/>
            <w:bottom w:val="none" w:sz="0" w:space="0" w:color="auto"/>
            <w:right w:val="none" w:sz="0" w:space="0" w:color="auto"/>
          </w:divBdr>
        </w:div>
        <w:div w:id="303581579">
          <w:marLeft w:val="0"/>
          <w:marRight w:val="0"/>
          <w:marTop w:val="0"/>
          <w:marBottom w:val="0"/>
          <w:divBdr>
            <w:top w:val="none" w:sz="0" w:space="0" w:color="auto"/>
            <w:left w:val="none" w:sz="0" w:space="0" w:color="auto"/>
            <w:bottom w:val="none" w:sz="0" w:space="0" w:color="auto"/>
            <w:right w:val="none" w:sz="0" w:space="0" w:color="auto"/>
          </w:divBdr>
        </w:div>
        <w:div w:id="1955479229">
          <w:marLeft w:val="0"/>
          <w:marRight w:val="0"/>
          <w:marTop w:val="0"/>
          <w:marBottom w:val="0"/>
          <w:divBdr>
            <w:top w:val="none" w:sz="0" w:space="0" w:color="auto"/>
            <w:left w:val="none" w:sz="0" w:space="0" w:color="auto"/>
            <w:bottom w:val="none" w:sz="0" w:space="0" w:color="auto"/>
            <w:right w:val="none" w:sz="0" w:space="0" w:color="auto"/>
          </w:divBdr>
        </w:div>
        <w:div w:id="2109765262">
          <w:marLeft w:val="0"/>
          <w:marRight w:val="0"/>
          <w:marTop w:val="0"/>
          <w:marBottom w:val="0"/>
          <w:divBdr>
            <w:top w:val="none" w:sz="0" w:space="0" w:color="auto"/>
            <w:left w:val="none" w:sz="0" w:space="0" w:color="auto"/>
            <w:bottom w:val="none" w:sz="0" w:space="0" w:color="auto"/>
            <w:right w:val="none" w:sz="0" w:space="0" w:color="auto"/>
          </w:divBdr>
        </w:div>
        <w:div w:id="1111046696">
          <w:marLeft w:val="0"/>
          <w:marRight w:val="0"/>
          <w:marTop w:val="0"/>
          <w:marBottom w:val="0"/>
          <w:divBdr>
            <w:top w:val="none" w:sz="0" w:space="0" w:color="auto"/>
            <w:left w:val="none" w:sz="0" w:space="0" w:color="auto"/>
            <w:bottom w:val="none" w:sz="0" w:space="0" w:color="auto"/>
            <w:right w:val="none" w:sz="0" w:space="0" w:color="auto"/>
          </w:divBdr>
        </w:div>
        <w:div w:id="519702363">
          <w:marLeft w:val="0"/>
          <w:marRight w:val="0"/>
          <w:marTop w:val="0"/>
          <w:marBottom w:val="0"/>
          <w:divBdr>
            <w:top w:val="none" w:sz="0" w:space="0" w:color="auto"/>
            <w:left w:val="none" w:sz="0" w:space="0" w:color="auto"/>
            <w:bottom w:val="none" w:sz="0" w:space="0" w:color="auto"/>
            <w:right w:val="none" w:sz="0" w:space="0" w:color="auto"/>
          </w:divBdr>
        </w:div>
        <w:div w:id="1115908365">
          <w:marLeft w:val="0"/>
          <w:marRight w:val="0"/>
          <w:marTop w:val="0"/>
          <w:marBottom w:val="0"/>
          <w:divBdr>
            <w:top w:val="none" w:sz="0" w:space="0" w:color="auto"/>
            <w:left w:val="none" w:sz="0" w:space="0" w:color="auto"/>
            <w:bottom w:val="none" w:sz="0" w:space="0" w:color="auto"/>
            <w:right w:val="none" w:sz="0" w:space="0" w:color="auto"/>
          </w:divBdr>
        </w:div>
        <w:div w:id="1125926673">
          <w:marLeft w:val="0"/>
          <w:marRight w:val="0"/>
          <w:marTop w:val="0"/>
          <w:marBottom w:val="0"/>
          <w:divBdr>
            <w:top w:val="none" w:sz="0" w:space="0" w:color="auto"/>
            <w:left w:val="none" w:sz="0" w:space="0" w:color="auto"/>
            <w:bottom w:val="none" w:sz="0" w:space="0" w:color="auto"/>
            <w:right w:val="none" w:sz="0" w:space="0" w:color="auto"/>
          </w:divBdr>
        </w:div>
        <w:div w:id="1631785538">
          <w:marLeft w:val="0"/>
          <w:marRight w:val="0"/>
          <w:marTop w:val="0"/>
          <w:marBottom w:val="0"/>
          <w:divBdr>
            <w:top w:val="none" w:sz="0" w:space="0" w:color="auto"/>
            <w:left w:val="none" w:sz="0" w:space="0" w:color="auto"/>
            <w:bottom w:val="none" w:sz="0" w:space="0" w:color="auto"/>
            <w:right w:val="none" w:sz="0" w:space="0" w:color="auto"/>
          </w:divBdr>
        </w:div>
        <w:div w:id="43330391">
          <w:marLeft w:val="0"/>
          <w:marRight w:val="0"/>
          <w:marTop w:val="0"/>
          <w:marBottom w:val="0"/>
          <w:divBdr>
            <w:top w:val="none" w:sz="0" w:space="0" w:color="auto"/>
            <w:left w:val="none" w:sz="0" w:space="0" w:color="auto"/>
            <w:bottom w:val="none" w:sz="0" w:space="0" w:color="auto"/>
            <w:right w:val="none" w:sz="0" w:space="0" w:color="auto"/>
          </w:divBdr>
        </w:div>
        <w:div w:id="834496638">
          <w:marLeft w:val="0"/>
          <w:marRight w:val="0"/>
          <w:marTop w:val="0"/>
          <w:marBottom w:val="0"/>
          <w:divBdr>
            <w:top w:val="none" w:sz="0" w:space="0" w:color="auto"/>
            <w:left w:val="none" w:sz="0" w:space="0" w:color="auto"/>
            <w:bottom w:val="none" w:sz="0" w:space="0" w:color="auto"/>
            <w:right w:val="none" w:sz="0" w:space="0" w:color="auto"/>
          </w:divBdr>
        </w:div>
        <w:div w:id="1578399595">
          <w:marLeft w:val="0"/>
          <w:marRight w:val="0"/>
          <w:marTop w:val="0"/>
          <w:marBottom w:val="0"/>
          <w:divBdr>
            <w:top w:val="none" w:sz="0" w:space="0" w:color="auto"/>
            <w:left w:val="none" w:sz="0" w:space="0" w:color="auto"/>
            <w:bottom w:val="none" w:sz="0" w:space="0" w:color="auto"/>
            <w:right w:val="none" w:sz="0" w:space="0" w:color="auto"/>
          </w:divBdr>
        </w:div>
        <w:div w:id="1800997737">
          <w:marLeft w:val="0"/>
          <w:marRight w:val="0"/>
          <w:marTop w:val="0"/>
          <w:marBottom w:val="0"/>
          <w:divBdr>
            <w:top w:val="none" w:sz="0" w:space="0" w:color="auto"/>
            <w:left w:val="none" w:sz="0" w:space="0" w:color="auto"/>
            <w:bottom w:val="none" w:sz="0" w:space="0" w:color="auto"/>
            <w:right w:val="none" w:sz="0" w:space="0" w:color="auto"/>
          </w:divBdr>
        </w:div>
      </w:divsChild>
    </w:div>
    <w:div w:id="1558279279">
      <w:bodyDiv w:val="1"/>
      <w:marLeft w:val="0"/>
      <w:marRight w:val="0"/>
      <w:marTop w:val="0"/>
      <w:marBottom w:val="0"/>
      <w:divBdr>
        <w:top w:val="none" w:sz="0" w:space="0" w:color="auto"/>
        <w:left w:val="none" w:sz="0" w:space="0" w:color="auto"/>
        <w:bottom w:val="none" w:sz="0" w:space="0" w:color="auto"/>
        <w:right w:val="none" w:sz="0" w:space="0" w:color="auto"/>
      </w:divBdr>
      <w:divsChild>
        <w:div w:id="815881914">
          <w:marLeft w:val="0"/>
          <w:marRight w:val="0"/>
          <w:marTop w:val="0"/>
          <w:marBottom w:val="0"/>
          <w:divBdr>
            <w:top w:val="none" w:sz="0" w:space="0" w:color="auto"/>
            <w:left w:val="none" w:sz="0" w:space="0" w:color="auto"/>
            <w:bottom w:val="none" w:sz="0" w:space="0" w:color="auto"/>
            <w:right w:val="none" w:sz="0" w:space="0" w:color="auto"/>
          </w:divBdr>
        </w:div>
        <w:div w:id="871192596">
          <w:marLeft w:val="0"/>
          <w:marRight w:val="0"/>
          <w:marTop w:val="0"/>
          <w:marBottom w:val="0"/>
          <w:divBdr>
            <w:top w:val="none" w:sz="0" w:space="0" w:color="auto"/>
            <w:left w:val="none" w:sz="0" w:space="0" w:color="auto"/>
            <w:bottom w:val="none" w:sz="0" w:space="0" w:color="auto"/>
            <w:right w:val="none" w:sz="0" w:space="0" w:color="auto"/>
          </w:divBdr>
        </w:div>
        <w:div w:id="386222143">
          <w:marLeft w:val="0"/>
          <w:marRight w:val="0"/>
          <w:marTop w:val="0"/>
          <w:marBottom w:val="0"/>
          <w:divBdr>
            <w:top w:val="none" w:sz="0" w:space="0" w:color="auto"/>
            <w:left w:val="none" w:sz="0" w:space="0" w:color="auto"/>
            <w:bottom w:val="none" w:sz="0" w:space="0" w:color="auto"/>
            <w:right w:val="none" w:sz="0" w:space="0" w:color="auto"/>
          </w:divBdr>
        </w:div>
        <w:div w:id="911624757">
          <w:marLeft w:val="0"/>
          <w:marRight w:val="0"/>
          <w:marTop w:val="0"/>
          <w:marBottom w:val="0"/>
          <w:divBdr>
            <w:top w:val="none" w:sz="0" w:space="0" w:color="auto"/>
            <w:left w:val="none" w:sz="0" w:space="0" w:color="auto"/>
            <w:bottom w:val="none" w:sz="0" w:space="0" w:color="auto"/>
            <w:right w:val="none" w:sz="0" w:space="0" w:color="auto"/>
          </w:divBdr>
        </w:div>
        <w:div w:id="1793286524">
          <w:marLeft w:val="0"/>
          <w:marRight w:val="0"/>
          <w:marTop w:val="0"/>
          <w:marBottom w:val="0"/>
          <w:divBdr>
            <w:top w:val="none" w:sz="0" w:space="0" w:color="auto"/>
            <w:left w:val="none" w:sz="0" w:space="0" w:color="auto"/>
            <w:bottom w:val="none" w:sz="0" w:space="0" w:color="auto"/>
            <w:right w:val="none" w:sz="0" w:space="0" w:color="auto"/>
          </w:divBdr>
        </w:div>
        <w:div w:id="1737506636">
          <w:marLeft w:val="0"/>
          <w:marRight w:val="0"/>
          <w:marTop w:val="0"/>
          <w:marBottom w:val="0"/>
          <w:divBdr>
            <w:top w:val="none" w:sz="0" w:space="0" w:color="auto"/>
            <w:left w:val="none" w:sz="0" w:space="0" w:color="auto"/>
            <w:bottom w:val="none" w:sz="0" w:space="0" w:color="auto"/>
            <w:right w:val="none" w:sz="0" w:space="0" w:color="auto"/>
          </w:divBdr>
        </w:div>
        <w:div w:id="1758476793">
          <w:marLeft w:val="0"/>
          <w:marRight w:val="0"/>
          <w:marTop w:val="0"/>
          <w:marBottom w:val="0"/>
          <w:divBdr>
            <w:top w:val="none" w:sz="0" w:space="0" w:color="auto"/>
            <w:left w:val="none" w:sz="0" w:space="0" w:color="auto"/>
            <w:bottom w:val="none" w:sz="0" w:space="0" w:color="auto"/>
            <w:right w:val="none" w:sz="0" w:space="0" w:color="auto"/>
          </w:divBdr>
        </w:div>
        <w:div w:id="297418451">
          <w:marLeft w:val="0"/>
          <w:marRight w:val="0"/>
          <w:marTop w:val="0"/>
          <w:marBottom w:val="0"/>
          <w:divBdr>
            <w:top w:val="none" w:sz="0" w:space="0" w:color="auto"/>
            <w:left w:val="none" w:sz="0" w:space="0" w:color="auto"/>
            <w:bottom w:val="none" w:sz="0" w:space="0" w:color="auto"/>
            <w:right w:val="none" w:sz="0" w:space="0" w:color="auto"/>
          </w:divBdr>
        </w:div>
        <w:div w:id="898326976">
          <w:marLeft w:val="0"/>
          <w:marRight w:val="0"/>
          <w:marTop w:val="0"/>
          <w:marBottom w:val="0"/>
          <w:divBdr>
            <w:top w:val="none" w:sz="0" w:space="0" w:color="auto"/>
            <w:left w:val="none" w:sz="0" w:space="0" w:color="auto"/>
            <w:bottom w:val="none" w:sz="0" w:space="0" w:color="auto"/>
            <w:right w:val="none" w:sz="0" w:space="0" w:color="auto"/>
          </w:divBdr>
        </w:div>
        <w:div w:id="797913388">
          <w:marLeft w:val="0"/>
          <w:marRight w:val="0"/>
          <w:marTop w:val="0"/>
          <w:marBottom w:val="0"/>
          <w:divBdr>
            <w:top w:val="none" w:sz="0" w:space="0" w:color="auto"/>
            <w:left w:val="none" w:sz="0" w:space="0" w:color="auto"/>
            <w:bottom w:val="none" w:sz="0" w:space="0" w:color="auto"/>
            <w:right w:val="none" w:sz="0" w:space="0" w:color="auto"/>
          </w:divBdr>
        </w:div>
        <w:div w:id="2010057163">
          <w:marLeft w:val="0"/>
          <w:marRight w:val="0"/>
          <w:marTop w:val="0"/>
          <w:marBottom w:val="0"/>
          <w:divBdr>
            <w:top w:val="none" w:sz="0" w:space="0" w:color="auto"/>
            <w:left w:val="none" w:sz="0" w:space="0" w:color="auto"/>
            <w:bottom w:val="none" w:sz="0" w:space="0" w:color="auto"/>
            <w:right w:val="none" w:sz="0" w:space="0" w:color="auto"/>
          </w:divBdr>
        </w:div>
        <w:div w:id="1088230896">
          <w:marLeft w:val="0"/>
          <w:marRight w:val="0"/>
          <w:marTop w:val="0"/>
          <w:marBottom w:val="0"/>
          <w:divBdr>
            <w:top w:val="none" w:sz="0" w:space="0" w:color="auto"/>
            <w:left w:val="none" w:sz="0" w:space="0" w:color="auto"/>
            <w:bottom w:val="none" w:sz="0" w:space="0" w:color="auto"/>
            <w:right w:val="none" w:sz="0" w:space="0" w:color="auto"/>
          </w:divBdr>
        </w:div>
        <w:div w:id="465123499">
          <w:marLeft w:val="0"/>
          <w:marRight w:val="0"/>
          <w:marTop w:val="0"/>
          <w:marBottom w:val="0"/>
          <w:divBdr>
            <w:top w:val="none" w:sz="0" w:space="0" w:color="auto"/>
            <w:left w:val="none" w:sz="0" w:space="0" w:color="auto"/>
            <w:bottom w:val="none" w:sz="0" w:space="0" w:color="auto"/>
            <w:right w:val="none" w:sz="0" w:space="0" w:color="auto"/>
          </w:divBdr>
        </w:div>
        <w:div w:id="251746965">
          <w:marLeft w:val="0"/>
          <w:marRight w:val="0"/>
          <w:marTop w:val="0"/>
          <w:marBottom w:val="0"/>
          <w:divBdr>
            <w:top w:val="none" w:sz="0" w:space="0" w:color="auto"/>
            <w:left w:val="none" w:sz="0" w:space="0" w:color="auto"/>
            <w:bottom w:val="none" w:sz="0" w:space="0" w:color="auto"/>
            <w:right w:val="none" w:sz="0" w:space="0" w:color="auto"/>
          </w:divBdr>
        </w:div>
        <w:div w:id="577640104">
          <w:marLeft w:val="0"/>
          <w:marRight w:val="0"/>
          <w:marTop w:val="0"/>
          <w:marBottom w:val="0"/>
          <w:divBdr>
            <w:top w:val="none" w:sz="0" w:space="0" w:color="auto"/>
            <w:left w:val="none" w:sz="0" w:space="0" w:color="auto"/>
            <w:bottom w:val="none" w:sz="0" w:space="0" w:color="auto"/>
            <w:right w:val="none" w:sz="0" w:space="0" w:color="auto"/>
          </w:divBdr>
        </w:div>
        <w:div w:id="1079642808">
          <w:marLeft w:val="0"/>
          <w:marRight w:val="0"/>
          <w:marTop w:val="0"/>
          <w:marBottom w:val="0"/>
          <w:divBdr>
            <w:top w:val="none" w:sz="0" w:space="0" w:color="auto"/>
            <w:left w:val="none" w:sz="0" w:space="0" w:color="auto"/>
            <w:bottom w:val="none" w:sz="0" w:space="0" w:color="auto"/>
            <w:right w:val="none" w:sz="0" w:space="0" w:color="auto"/>
          </w:divBdr>
        </w:div>
        <w:div w:id="925113165">
          <w:marLeft w:val="0"/>
          <w:marRight w:val="0"/>
          <w:marTop w:val="0"/>
          <w:marBottom w:val="0"/>
          <w:divBdr>
            <w:top w:val="none" w:sz="0" w:space="0" w:color="auto"/>
            <w:left w:val="none" w:sz="0" w:space="0" w:color="auto"/>
            <w:bottom w:val="none" w:sz="0" w:space="0" w:color="auto"/>
            <w:right w:val="none" w:sz="0" w:space="0" w:color="auto"/>
          </w:divBdr>
        </w:div>
        <w:div w:id="1655452663">
          <w:marLeft w:val="0"/>
          <w:marRight w:val="0"/>
          <w:marTop w:val="0"/>
          <w:marBottom w:val="0"/>
          <w:divBdr>
            <w:top w:val="none" w:sz="0" w:space="0" w:color="auto"/>
            <w:left w:val="none" w:sz="0" w:space="0" w:color="auto"/>
            <w:bottom w:val="none" w:sz="0" w:space="0" w:color="auto"/>
            <w:right w:val="none" w:sz="0" w:space="0" w:color="auto"/>
          </w:divBdr>
        </w:div>
        <w:div w:id="276840100">
          <w:marLeft w:val="0"/>
          <w:marRight w:val="0"/>
          <w:marTop w:val="0"/>
          <w:marBottom w:val="0"/>
          <w:divBdr>
            <w:top w:val="none" w:sz="0" w:space="0" w:color="auto"/>
            <w:left w:val="none" w:sz="0" w:space="0" w:color="auto"/>
            <w:bottom w:val="none" w:sz="0" w:space="0" w:color="auto"/>
            <w:right w:val="none" w:sz="0" w:space="0" w:color="auto"/>
          </w:divBdr>
        </w:div>
        <w:div w:id="1151025339">
          <w:marLeft w:val="0"/>
          <w:marRight w:val="0"/>
          <w:marTop w:val="0"/>
          <w:marBottom w:val="0"/>
          <w:divBdr>
            <w:top w:val="none" w:sz="0" w:space="0" w:color="auto"/>
            <w:left w:val="none" w:sz="0" w:space="0" w:color="auto"/>
            <w:bottom w:val="none" w:sz="0" w:space="0" w:color="auto"/>
            <w:right w:val="none" w:sz="0" w:space="0" w:color="auto"/>
          </w:divBdr>
        </w:div>
        <w:div w:id="1498887925">
          <w:marLeft w:val="0"/>
          <w:marRight w:val="0"/>
          <w:marTop w:val="0"/>
          <w:marBottom w:val="0"/>
          <w:divBdr>
            <w:top w:val="none" w:sz="0" w:space="0" w:color="auto"/>
            <w:left w:val="none" w:sz="0" w:space="0" w:color="auto"/>
            <w:bottom w:val="none" w:sz="0" w:space="0" w:color="auto"/>
            <w:right w:val="none" w:sz="0" w:space="0" w:color="auto"/>
          </w:divBdr>
        </w:div>
        <w:div w:id="2122989755">
          <w:marLeft w:val="0"/>
          <w:marRight w:val="0"/>
          <w:marTop w:val="0"/>
          <w:marBottom w:val="0"/>
          <w:divBdr>
            <w:top w:val="none" w:sz="0" w:space="0" w:color="auto"/>
            <w:left w:val="none" w:sz="0" w:space="0" w:color="auto"/>
            <w:bottom w:val="none" w:sz="0" w:space="0" w:color="auto"/>
            <w:right w:val="none" w:sz="0" w:space="0" w:color="auto"/>
          </w:divBdr>
        </w:div>
      </w:divsChild>
    </w:div>
    <w:div w:id="1740400267">
      <w:bodyDiv w:val="1"/>
      <w:marLeft w:val="0"/>
      <w:marRight w:val="0"/>
      <w:marTop w:val="0"/>
      <w:marBottom w:val="0"/>
      <w:divBdr>
        <w:top w:val="none" w:sz="0" w:space="0" w:color="auto"/>
        <w:left w:val="none" w:sz="0" w:space="0" w:color="auto"/>
        <w:bottom w:val="none" w:sz="0" w:space="0" w:color="auto"/>
        <w:right w:val="none" w:sz="0" w:space="0" w:color="auto"/>
      </w:divBdr>
      <w:divsChild>
        <w:div w:id="1760563608">
          <w:marLeft w:val="0"/>
          <w:marRight w:val="0"/>
          <w:marTop w:val="0"/>
          <w:marBottom w:val="0"/>
          <w:divBdr>
            <w:top w:val="none" w:sz="0" w:space="0" w:color="auto"/>
            <w:left w:val="none" w:sz="0" w:space="0" w:color="auto"/>
            <w:bottom w:val="none" w:sz="0" w:space="0" w:color="auto"/>
            <w:right w:val="none" w:sz="0" w:space="0" w:color="auto"/>
          </w:divBdr>
        </w:div>
        <w:div w:id="283536041">
          <w:marLeft w:val="0"/>
          <w:marRight w:val="0"/>
          <w:marTop w:val="0"/>
          <w:marBottom w:val="0"/>
          <w:divBdr>
            <w:top w:val="none" w:sz="0" w:space="0" w:color="auto"/>
            <w:left w:val="none" w:sz="0" w:space="0" w:color="auto"/>
            <w:bottom w:val="none" w:sz="0" w:space="0" w:color="auto"/>
            <w:right w:val="none" w:sz="0" w:space="0" w:color="auto"/>
          </w:divBdr>
        </w:div>
        <w:div w:id="181274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 TargetMode="External"/><Relationship Id="rId2" Type="http://schemas.openxmlformats.org/officeDocument/2006/relationships/hyperlink" Target="http://www.dinero.com/economia/articulo/objetivos-de-desarrollo-sostenible-en-colombia/218173" TargetMode="External"/><Relationship Id="rId1" Type="http://schemas.openxmlformats.org/officeDocument/2006/relationships/hyperlink" Target="http://data.worldbank.org/country/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B3D79-005C-476B-AC82-F1FC90DD5798}"/>
</file>

<file path=customXml/itemProps2.xml><?xml version="1.0" encoding="utf-8"?>
<ds:datastoreItem xmlns:ds="http://schemas.openxmlformats.org/officeDocument/2006/customXml" ds:itemID="{70A90A5A-386A-4B55-B4CA-2CF088A32D59}"/>
</file>

<file path=customXml/itemProps3.xml><?xml version="1.0" encoding="utf-8"?>
<ds:datastoreItem xmlns:ds="http://schemas.openxmlformats.org/officeDocument/2006/customXml" ds:itemID="{15C72C59-77EA-4FEA-B201-3D0539FA8911}"/>
</file>

<file path=customXml/itemProps4.xml><?xml version="1.0" encoding="utf-8"?>
<ds:datastoreItem xmlns:ds="http://schemas.openxmlformats.org/officeDocument/2006/customXml" ds:itemID="{662FEE60-2D44-48A5-9EBA-992B21B487C1}"/>
</file>

<file path=docProps/app.xml><?xml version="1.0" encoding="utf-8"?>
<Properties xmlns="http://schemas.openxmlformats.org/officeDocument/2006/extended-properties" xmlns:vt="http://schemas.openxmlformats.org/officeDocument/2006/docPropsVTypes">
  <Template>Normal.dotm</Template>
  <TotalTime>1</TotalTime>
  <Pages>23</Pages>
  <Words>8341</Words>
  <Characters>47544</Characters>
  <Application>Microsoft Office Word</Application>
  <DocSecurity>0</DocSecurity>
  <Lines>396</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Alina Grigoras</cp:lastModifiedBy>
  <cp:revision>2</cp:revision>
  <cp:lastPrinted>2016-05-17T16:33:00Z</cp:lastPrinted>
  <dcterms:created xsi:type="dcterms:W3CDTF">2016-05-24T15:35:00Z</dcterms:created>
  <dcterms:modified xsi:type="dcterms:W3CDTF">2016-05-24T15:35:00Z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