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9A" w:rsidRDefault="0095789A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rPr>
          <w:lang w:val="es-ES_tradnl"/>
        </w:rPr>
      </w:pPr>
      <w:bookmarkStart w:id="0" w:name="_GoBack"/>
      <w:bookmarkEnd w:id="0"/>
    </w:p>
    <w:p w:rsidR="0095789A" w:rsidRDefault="0095789A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rPr>
          <w:lang w:val="es-ES_tradnl"/>
        </w:rPr>
      </w:pPr>
    </w:p>
    <w:p w:rsidR="0095789A" w:rsidRDefault="0095789A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rPr>
          <w:lang w:val="es-ES_tradnl"/>
        </w:rPr>
      </w:pPr>
    </w:p>
    <w:p w:rsidR="0095789A" w:rsidRDefault="00676F09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jc w:val="center"/>
        <w:rPr>
          <w:rStyle w:val="Ninguno"/>
          <w:lang w:val="es-ES_tradnl"/>
        </w:rPr>
      </w:pPr>
      <w:r>
        <w:rPr>
          <w:rStyle w:val="Ninguno"/>
          <w:b/>
          <w:bCs/>
          <w:sz w:val="24"/>
          <w:szCs w:val="24"/>
          <w:u w:val="single"/>
          <w:lang w:val="es-ES_tradnl"/>
        </w:rPr>
        <w:t>Cuestionario sobre políticas inclusivas de la discapacidad</w:t>
      </w:r>
    </w:p>
    <w:p w:rsidR="0095789A" w:rsidRDefault="0095789A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rPr>
          <w:rStyle w:val="Ninguno"/>
          <w:kern w:val="2"/>
          <w:lang w:val="es-ES_tradnl"/>
        </w:rPr>
      </w:pPr>
    </w:p>
    <w:p w:rsidR="0095789A" w:rsidRDefault="00676F09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240" w:lineRule="atLeast"/>
        <w:rPr>
          <w:rStyle w:val="Ninguno"/>
          <w:b/>
          <w:bCs/>
          <w:kern w:val="2"/>
          <w:sz w:val="24"/>
          <w:szCs w:val="24"/>
          <w:lang w:val="es-ES_tradnl"/>
        </w:rPr>
      </w:pPr>
      <w:r>
        <w:rPr>
          <w:rStyle w:val="Ninguno"/>
          <w:b/>
          <w:bCs/>
          <w:kern w:val="2"/>
          <w:sz w:val="24"/>
          <w:szCs w:val="24"/>
          <w:lang w:val="es-ES_tradnl"/>
        </w:rPr>
        <w:t>Preguntas para la sociedad civil:</w:t>
      </w:r>
    </w:p>
    <w:p w:rsidR="0095789A" w:rsidRDefault="0095789A">
      <w:pPr>
        <w:pStyle w:val="Paragraphedeliste"/>
        <w:ind w:left="0"/>
        <w:jc w:val="both"/>
        <w:rPr>
          <w:lang w:val="es-ES_tradnl"/>
        </w:rPr>
      </w:pPr>
    </w:p>
    <w:p w:rsidR="0095789A" w:rsidRDefault="00676F09">
      <w:pPr>
        <w:pStyle w:val="Paragraphedeliste"/>
        <w:numPr>
          <w:ilvl w:val="0"/>
          <w:numId w:val="2"/>
        </w:numPr>
        <w:spacing w:after="240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Sírvanse proporcionar información sobre cómo su país está considerando los derechos de las personas con discapacidad en </w:t>
      </w:r>
      <w:r>
        <w:rPr>
          <w:rStyle w:val="Ninguno"/>
          <w:b/>
          <w:bCs/>
          <w:lang w:val="es-ES_tradnl"/>
        </w:rPr>
        <w:t xml:space="preserve">sus políticas dirigidas a la </w:t>
      </w:r>
      <w:r>
        <w:rPr>
          <w:rStyle w:val="Ninguno"/>
          <w:b/>
          <w:bCs/>
          <w:lang w:val="es-ES_tradnl"/>
        </w:rPr>
        <w:t>implementación y el seguimiento de los objetivos de desarrollo sostenible</w:t>
      </w:r>
      <w:r>
        <w:rPr>
          <w:rStyle w:val="Ninguno"/>
          <w:lang w:val="es-ES_tradnl"/>
        </w:rPr>
        <w:t>, incluyendo:</w:t>
      </w:r>
    </w:p>
    <w:p w:rsidR="0095789A" w:rsidRDefault="00676F09">
      <w:pPr>
        <w:pStyle w:val="Paragraphedeliste"/>
        <w:numPr>
          <w:ilvl w:val="0"/>
          <w:numId w:val="4"/>
        </w:numPr>
        <w:spacing w:after="60"/>
        <w:rPr>
          <w:rStyle w:val="Ninguno"/>
          <w:lang w:val="es-ES_tradnl"/>
        </w:rPr>
      </w:pPr>
      <w:r>
        <w:rPr>
          <w:rStyle w:val="Ninguno"/>
          <w:lang w:val="es-ES_tradnl"/>
        </w:rPr>
        <w:t>Las estrategias y los planes de acción nacionales existentes,</w:t>
      </w:r>
    </w:p>
    <w:p w:rsidR="0095789A" w:rsidRDefault="00676F09">
      <w:pPr>
        <w:pStyle w:val="Paragraphedeliste"/>
        <w:numPr>
          <w:ilvl w:val="0"/>
          <w:numId w:val="4"/>
        </w:numPr>
        <w:spacing w:after="60"/>
        <w:rPr>
          <w:rStyle w:val="Ninguno"/>
          <w:lang w:val="es-ES_tradnl"/>
        </w:rPr>
      </w:pPr>
      <w:r>
        <w:rPr>
          <w:rStyle w:val="Ninguno"/>
          <w:lang w:val="es-ES_tradnl"/>
        </w:rPr>
        <w:t>La asignación del presupuesto para su ejecución,</w:t>
      </w:r>
    </w:p>
    <w:p w:rsidR="0095789A" w:rsidRDefault="0095789A">
      <w:pPr>
        <w:pStyle w:val="Paragraphedeliste"/>
        <w:spacing w:after="60"/>
        <w:ind w:left="0"/>
        <w:rPr>
          <w:rStyle w:val="Ninguno"/>
          <w:rFonts w:ascii="Courier New" w:eastAsia="Courier New" w:hAnsi="Courier New" w:cs="Courier New"/>
          <w:lang w:val="es-ES_tradnl"/>
        </w:rPr>
      </w:pPr>
    </w:p>
    <w:p w:rsidR="0095789A" w:rsidRDefault="00676F09">
      <w:pPr>
        <w:pStyle w:val="Paragraphedeliste"/>
        <w:spacing w:after="60"/>
        <w:ind w:left="0"/>
        <w:rPr>
          <w:rStyle w:val="Ninguno"/>
          <w:rFonts w:ascii="Courier New" w:eastAsia="Courier New" w:hAnsi="Courier New" w:cs="Courier New"/>
          <w:lang w:val="es-ES_tradnl"/>
        </w:rPr>
      </w:pPr>
      <w:r>
        <w:rPr>
          <w:rStyle w:val="Ninguno"/>
          <w:rFonts w:ascii="Courier New" w:hAnsi="Courier New"/>
          <w:lang w:val="es-ES_tradnl"/>
        </w:rPr>
        <w:t>En 2011 fue organizado en el mes de noviembre con accione</w:t>
      </w:r>
      <w:r>
        <w:rPr>
          <w:rStyle w:val="Ninguno"/>
          <w:rFonts w:ascii="Courier New" w:hAnsi="Courier New"/>
          <w:lang w:val="es-ES_tradnl"/>
        </w:rPr>
        <w:t xml:space="preserve">s y recursos hasta 2015 el Plan </w:t>
      </w:r>
      <w:r>
        <w:rPr>
          <w:rStyle w:val="Ninguno"/>
          <w:rFonts w:ascii="Courier New" w:hAnsi="Courier New"/>
          <w:lang w:val="es-ES_tradnl"/>
        </w:rPr>
        <w:t>“</w:t>
      </w:r>
      <w:r>
        <w:rPr>
          <w:rStyle w:val="Ninguno"/>
          <w:rFonts w:ascii="Courier New" w:hAnsi="Courier New"/>
          <w:lang w:val="es-ES_tradnl"/>
        </w:rPr>
        <w:t>Vivir sin Limite</w:t>
      </w:r>
      <w:r>
        <w:rPr>
          <w:rStyle w:val="Ninguno"/>
          <w:rFonts w:ascii="Courier New" w:hAnsi="Courier New"/>
          <w:lang w:val="es-ES_tradnl"/>
        </w:rPr>
        <w:t xml:space="preserve">” </w:t>
      </w:r>
      <w:r>
        <w:rPr>
          <w:rStyle w:val="Ninguno"/>
          <w:rFonts w:ascii="Courier New" w:hAnsi="Courier New"/>
          <w:lang w:val="es-ES_tradnl"/>
        </w:rPr>
        <w:t>que alcanzaba 04 acciones con los ministerios de Educaci</w:t>
      </w:r>
      <w:r>
        <w:rPr>
          <w:rStyle w:val="Ninguno"/>
          <w:rFonts w:ascii="Courier New" w:hAnsi="Courier New"/>
          <w:lang w:val="es-ES_tradnl"/>
        </w:rPr>
        <w:t>ó</w:t>
      </w:r>
      <w:r>
        <w:rPr>
          <w:rStyle w:val="Ninguno"/>
          <w:rFonts w:ascii="Courier New" w:hAnsi="Courier New"/>
          <w:lang w:val="es-ES_tradnl"/>
        </w:rPr>
        <w:t>n,Sal</w:t>
      </w:r>
      <w:r>
        <w:rPr>
          <w:rStyle w:val="Ninguno"/>
          <w:rFonts w:ascii="Courier New" w:hAnsi="Courier New"/>
          <w:lang w:val="es-ES_tradnl"/>
        </w:rPr>
        <w:t>ú</w:t>
      </w:r>
      <w:r>
        <w:rPr>
          <w:rStyle w:val="Ninguno"/>
          <w:rFonts w:ascii="Courier New" w:hAnsi="Courier New"/>
          <w:lang w:val="es-ES_tradnl"/>
        </w:rPr>
        <w:t xml:space="preserve">d, Asistencia Social y Ciencias y </w:t>
      </w:r>
      <w:r>
        <w:rPr>
          <w:rStyle w:val="Ninguno"/>
          <w:rFonts w:ascii="Arial Unicode MS" w:eastAsia="Arial Unicode MS" w:hAnsi="Arial Unicode MS" w:cs="Arial Unicode MS"/>
          <w:lang w:val="es-ES_tradnl"/>
        </w:rPr>
        <w:br/>
      </w:r>
      <w:r>
        <w:rPr>
          <w:rStyle w:val="Ninguno"/>
          <w:rFonts w:ascii="Courier New" w:hAnsi="Courier New"/>
          <w:lang w:val="es-ES_tradnl"/>
        </w:rPr>
        <w:t>Tecnolog</w:t>
      </w:r>
      <w:r>
        <w:rPr>
          <w:rStyle w:val="Ninguno"/>
          <w:rFonts w:ascii="Courier New" w:hAnsi="Courier New"/>
          <w:lang w:val="es-ES_tradnl"/>
        </w:rPr>
        <w:t>í</w:t>
      </w:r>
      <w:r>
        <w:rPr>
          <w:rStyle w:val="Ninguno"/>
          <w:rFonts w:ascii="Courier New" w:hAnsi="Courier New"/>
          <w:lang w:val="es-ES_tradnl"/>
        </w:rPr>
        <w:t>a y esas aciones permanecen siendo realizadas.</w:t>
      </w:r>
    </w:p>
    <w:p w:rsidR="0095789A" w:rsidRDefault="0095789A">
      <w:pPr>
        <w:pStyle w:val="Paragraphedeliste"/>
        <w:spacing w:after="60"/>
        <w:ind w:left="0"/>
        <w:rPr>
          <w:rStyle w:val="Ninguno"/>
          <w:lang w:val="es-ES_tradnl"/>
        </w:rPr>
      </w:pPr>
    </w:p>
    <w:p w:rsidR="0095789A" w:rsidRDefault="00676F09">
      <w:pPr>
        <w:pStyle w:val="Paragraphedeliste"/>
        <w:numPr>
          <w:ilvl w:val="0"/>
          <w:numId w:val="4"/>
        </w:numPr>
        <w:spacing w:after="60"/>
        <w:rPr>
          <w:rStyle w:val="Ninguno"/>
          <w:lang w:val="es-ES_tradnl"/>
        </w:rPr>
      </w:pPr>
      <w:r>
        <w:rPr>
          <w:rStyle w:val="Ninguno"/>
          <w:lang w:val="es-ES_tradnl"/>
        </w:rPr>
        <w:t>Los mecanismos o marcos existentes para vigilar su</w:t>
      </w:r>
      <w:r>
        <w:rPr>
          <w:rStyle w:val="Ninguno"/>
          <w:lang w:val="es-ES_tradnl"/>
        </w:rPr>
        <w:t xml:space="preserve"> implementación,</w:t>
      </w:r>
    </w:p>
    <w:p w:rsidR="0095789A" w:rsidRDefault="00676F09">
      <w:pPr>
        <w:pStyle w:val="Paragraphedeliste"/>
        <w:numPr>
          <w:ilvl w:val="0"/>
          <w:numId w:val="4"/>
        </w:numPr>
        <w:spacing w:after="60"/>
        <w:rPr>
          <w:rStyle w:val="Ninguno"/>
          <w:lang w:val="es-ES_tradnl"/>
        </w:rPr>
      </w:pPr>
      <w:r>
        <w:rPr>
          <w:rStyle w:val="Ninguno"/>
          <w:lang w:val="es-ES_tradnl"/>
        </w:rPr>
        <w:t>¿Cómo estas estrategias y/o planes tienen en cuenta la situación de las mujeres y las niñas con discapacidad, así como los niños y las personas mayores con discapacidad?</w:t>
      </w:r>
    </w:p>
    <w:p w:rsidR="0095789A" w:rsidRDefault="0095789A">
      <w:pPr>
        <w:pStyle w:val="Paragraphedeliste"/>
        <w:spacing w:after="60"/>
        <w:ind w:left="0"/>
        <w:rPr>
          <w:rStyle w:val="Ninguno"/>
          <w:lang w:val="es-ES_tradnl"/>
        </w:rPr>
      </w:pPr>
    </w:p>
    <w:p w:rsidR="0095789A" w:rsidRDefault="00676F09">
      <w:pPr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El plan vivo sin l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í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 xml:space="preserve">mite ha creado los 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“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CER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”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 xml:space="preserve"> Centros de rehabilitaci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para la intervenci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temprana para la salud y adultos a trav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é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s del ministerio de la asistencia centros Social ConVivencias.</w:t>
      </w:r>
    </w:p>
    <w:p w:rsidR="0095789A" w:rsidRDefault="0095789A">
      <w:pPr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</w:p>
    <w:p w:rsidR="0095789A" w:rsidRDefault="00676F09">
      <w:pPr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Tambi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é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hay acciones con las secretarias municipales de los derechos de las personas con Discapacidad.</w:t>
      </w:r>
    </w:p>
    <w:p w:rsidR="0095789A" w:rsidRDefault="0095789A">
      <w:pPr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</w:p>
    <w:p w:rsidR="0095789A" w:rsidRDefault="00676F09">
      <w:pPr>
        <w:rPr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En cuanto a como tiene en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 xml:space="preserve"> cuenta la participaci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n, en Grupo Brasil (red de personas sordociegas, profesionales, familias) las mujeres l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í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deres sordociegas de Sao Paulo, como Claudia Sof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í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a y Camila Indalecio, Eulalia Cordero participan en representaci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del Consejo en la acci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pol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í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tica para las mujeres y el Consejo municipal de salud.</w:t>
      </w:r>
    </w:p>
    <w:p w:rsidR="0095789A" w:rsidRDefault="0095789A">
      <w:pPr>
        <w:pStyle w:val="Paragraphedeliste"/>
        <w:spacing w:after="60"/>
        <w:ind w:left="0"/>
        <w:rPr>
          <w:lang w:val="es-ES_tradnl"/>
        </w:rPr>
      </w:pPr>
    </w:p>
    <w:p w:rsidR="0095789A" w:rsidRDefault="00676F09">
      <w:pPr>
        <w:pStyle w:val="Paragraphedeliste"/>
        <w:numPr>
          <w:ilvl w:val="0"/>
          <w:numId w:val="4"/>
        </w:numPr>
        <w:spacing w:after="60"/>
        <w:rPr>
          <w:rStyle w:val="Ninguno"/>
          <w:lang w:val="es-ES_tradnl"/>
        </w:rPr>
      </w:pPr>
      <w:r>
        <w:rPr>
          <w:rStyle w:val="Ninguno"/>
          <w:lang w:val="es-ES_tradnl"/>
        </w:rPr>
        <w:t>¿Cómo se asegura la participación de las personas con discapacidad y sus organizaciones representativas en el desarrollo e implementación de tales estrategias y/o planes?</w:t>
      </w:r>
    </w:p>
    <w:p w:rsidR="0095789A" w:rsidRDefault="0095789A">
      <w:pPr>
        <w:pStyle w:val="Paragraphedeliste"/>
        <w:spacing w:after="60"/>
        <w:ind w:left="0"/>
        <w:rPr>
          <w:rFonts w:ascii="Courier New" w:eastAsia="Courier New" w:hAnsi="Courier New" w:cs="Courier New"/>
          <w:lang w:val="es-ES_tradnl"/>
        </w:rPr>
      </w:pP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Estamos incentivando </w:t>
      </w:r>
      <w:r>
        <w:rPr>
          <w:rFonts w:ascii="Courier New" w:hAnsi="Courier New"/>
          <w:sz w:val="24"/>
          <w:szCs w:val="24"/>
          <w:lang w:val="es-ES_tradnl"/>
        </w:rPr>
        <w:t xml:space="preserve">la </w:t>
      </w:r>
      <w:r>
        <w:rPr>
          <w:rFonts w:ascii="Courier New" w:hAnsi="Courier New"/>
          <w:sz w:val="24"/>
          <w:szCs w:val="24"/>
          <w:lang w:val="es-ES_tradnl"/>
        </w:rPr>
        <w:t>participaci</w:t>
      </w:r>
      <w:r>
        <w:rPr>
          <w:rFonts w:ascii="Courier New" w:hAnsi="Courier New"/>
          <w:sz w:val="24"/>
          <w:szCs w:val="24"/>
          <w:lang w:val="es-ES_tradnl"/>
        </w:rPr>
        <w:t>ó</w:t>
      </w:r>
      <w:r>
        <w:rPr>
          <w:rFonts w:ascii="Courier New" w:hAnsi="Courier New"/>
          <w:sz w:val="24"/>
          <w:szCs w:val="24"/>
          <w:lang w:val="es-ES_tradnl"/>
        </w:rPr>
        <w:t xml:space="preserve">n y 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  <w:lang w:val="es-ES_tradnl"/>
        </w:rPr>
        <w:t>tambi</w:t>
      </w:r>
      <w:r>
        <w:rPr>
          <w:rFonts w:ascii="Courier New" w:hAnsi="Courier New"/>
          <w:sz w:val="24"/>
          <w:szCs w:val="24"/>
          <w:lang w:val="es-ES_tradnl"/>
        </w:rPr>
        <w:t>é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 xml:space="preserve"> traba</w:t>
      </w:r>
      <w:r>
        <w:rPr>
          <w:rFonts w:ascii="Courier New" w:hAnsi="Courier New"/>
          <w:sz w:val="24"/>
          <w:szCs w:val="24"/>
          <w:lang w:val="es-ES_tradnl"/>
        </w:rPr>
        <w:t>ja</w:t>
      </w:r>
      <w:r>
        <w:rPr>
          <w:rFonts w:ascii="Courier New" w:hAnsi="Courier New"/>
          <w:sz w:val="24"/>
          <w:szCs w:val="24"/>
        </w:rPr>
        <w:t>ndo co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  <w:lang w:val="es-ES_tradnl"/>
        </w:rPr>
        <w:t>l</w:t>
      </w:r>
      <w:r>
        <w:rPr>
          <w:rFonts w:ascii="Courier New" w:hAnsi="Courier New"/>
          <w:sz w:val="24"/>
          <w:szCs w:val="24"/>
        </w:rPr>
        <w:t>as pe</w:t>
      </w:r>
      <w:r>
        <w:rPr>
          <w:rFonts w:ascii="Courier New" w:hAnsi="Courier New"/>
          <w:sz w:val="24"/>
          <w:szCs w:val="24"/>
          <w:lang w:val="es-ES_tradnl"/>
        </w:rPr>
        <w:t>r</w:t>
      </w:r>
      <w:r>
        <w:rPr>
          <w:rFonts w:ascii="Courier New" w:hAnsi="Courier New"/>
          <w:sz w:val="24"/>
          <w:szCs w:val="24"/>
        </w:rPr>
        <w:t>so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>as para participa</w:t>
      </w:r>
      <w:r>
        <w:rPr>
          <w:rFonts w:ascii="Courier New" w:hAnsi="Courier New"/>
          <w:sz w:val="24"/>
          <w:szCs w:val="24"/>
          <w:lang w:val="es-ES_tradnl"/>
        </w:rPr>
        <w:t>ci</w:t>
      </w:r>
      <w:r>
        <w:rPr>
          <w:rFonts w:ascii="Courier New" w:hAnsi="Courier New"/>
          <w:sz w:val="24"/>
          <w:szCs w:val="24"/>
          <w:lang w:val="es-ES_tradnl"/>
        </w:rPr>
        <w:t>ó</w:t>
      </w:r>
      <w:r>
        <w:rPr>
          <w:rFonts w:ascii="Courier New" w:hAnsi="Courier New"/>
          <w:sz w:val="24"/>
          <w:szCs w:val="24"/>
          <w:lang w:val="es-ES_tradnl"/>
        </w:rPr>
        <w:t>n en l</w:t>
      </w:r>
      <w:r>
        <w:rPr>
          <w:rFonts w:ascii="Courier New" w:hAnsi="Courier New"/>
          <w:sz w:val="24"/>
          <w:szCs w:val="24"/>
        </w:rPr>
        <w:t>os conse</w:t>
      </w:r>
      <w:r>
        <w:rPr>
          <w:rFonts w:ascii="Courier New" w:hAnsi="Courier New"/>
          <w:sz w:val="24"/>
          <w:szCs w:val="24"/>
          <w:lang w:val="es-ES_tradnl"/>
        </w:rPr>
        <w:t>jos de l</w:t>
      </w:r>
      <w:r>
        <w:rPr>
          <w:rFonts w:ascii="Courier New" w:hAnsi="Courier New"/>
          <w:sz w:val="24"/>
          <w:szCs w:val="24"/>
        </w:rPr>
        <w:t xml:space="preserve">as </w:t>
      </w:r>
      <w:r>
        <w:rPr>
          <w:rFonts w:ascii="Courier New" w:hAnsi="Courier New"/>
          <w:sz w:val="24"/>
          <w:szCs w:val="24"/>
        </w:rPr>
        <w:lastRenderedPageBreak/>
        <w:t>pe</w:t>
      </w:r>
      <w:r>
        <w:rPr>
          <w:rFonts w:ascii="Courier New" w:hAnsi="Courier New"/>
          <w:sz w:val="24"/>
          <w:szCs w:val="24"/>
          <w:lang w:val="es-ES_tradnl"/>
        </w:rPr>
        <w:t>r</w:t>
      </w:r>
      <w:r>
        <w:rPr>
          <w:rFonts w:ascii="Courier New" w:hAnsi="Courier New"/>
          <w:sz w:val="24"/>
          <w:szCs w:val="24"/>
        </w:rPr>
        <w:t>so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>as co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  <w:lang w:val="es-ES_tradnl"/>
        </w:rPr>
        <w:t>discapacidad por med</w:t>
      </w:r>
      <w:r>
        <w:rPr>
          <w:rFonts w:ascii="Courier New" w:hAnsi="Courier New"/>
          <w:sz w:val="24"/>
          <w:szCs w:val="24"/>
          <w:lang w:val="it-IT"/>
        </w:rPr>
        <w:t>io d</w:t>
      </w:r>
      <w:r>
        <w:rPr>
          <w:rFonts w:ascii="Courier New" w:hAnsi="Courier New"/>
          <w:sz w:val="24"/>
          <w:szCs w:val="24"/>
          <w:lang w:val="es-ES_tradnl"/>
        </w:rPr>
        <w:t>e l</w:t>
      </w:r>
      <w:r>
        <w:rPr>
          <w:rFonts w:ascii="Courier New" w:hAnsi="Courier New"/>
          <w:sz w:val="24"/>
          <w:szCs w:val="24"/>
        </w:rPr>
        <w:t>as confer</w:t>
      </w:r>
      <w:r>
        <w:rPr>
          <w:rFonts w:ascii="Courier New" w:hAnsi="Courier New"/>
          <w:sz w:val="24"/>
          <w:szCs w:val="24"/>
          <w:lang w:val="es-ES_tradnl"/>
        </w:rPr>
        <w:t>e</w:t>
      </w:r>
      <w:r>
        <w:rPr>
          <w:rFonts w:ascii="Courier New" w:hAnsi="Courier New"/>
          <w:sz w:val="24"/>
          <w:szCs w:val="24"/>
        </w:rPr>
        <w:t>ncias municipa</w:t>
      </w:r>
      <w:r>
        <w:rPr>
          <w:rFonts w:ascii="Courier New" w:hAnsi="Courier New"/>
          <w:sz w:val="24"/>
          <w:szCs w:val="24"/>
          <w:lang w:val="es-ES_tradnl"/>
        </w:rPr>
        <w:t>le</w:t>
      </w:r>
      <w:r>
        <w:rPr>
          <w:rFonts w:ascii="Courier New" w:hAnsi="Courier New"/>
          <w:sz w:val="24"/>
          <w:szCs w:val="24"/>
        </w:rPr>
        <w:t xml:space="preserve">s, </w:t>
      </w:r>
      <w:r>
        <w:rPr>
          <w:rFonts w:ascii="Courier New" w:hAnsi="Courier New"/>
          <w:sz w:val="24"/>
          <w:szCs w:val="24"/>
          <w:lang w:val="es-ES_tradnl"/>
        </w:rPr>
        <w:t>estatales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  <w:lang w:val="es-ES_tradnl"/>
        </w:rPr>
        <w:t>y</w:t>
      </w:r>
      <w:r>
        <w:rPr>
          <w:rFonts w:ascii="Courier New" w:hAnsi="Courier New"/>
          <w:sz w:val="24"/>
          <w:szCs w:val="24"/>
        </w:rPr>
        <w:t xml:space="preserve"> naciona</w:t>
      </w:r>
      <w:r>
        <w:rPr>
          <w:rFonts w:ascii="Courier New" w:hAnsi="Courier New"/>
          <w:sz w:val="24"/>
          <w:szCs w:val="24"/>
          <w:lang w:val="es-ES_tradnl"/>
        </w:rPr>
        <w:t>le</w:t>
      </w:r>
      <w:r w:rsidRPr="00676F09">
        <w:rPr>
          <w:rFonts w:ascii="Courier New" w:hAnsi="Courier New"/>
          <w:sz w:val="24"/>
          <w:szCs w:val="24"/>
          <w:lang w:val="es-ES"/>
        </w:rPr>
        <w:t>s de sa</w:t>
      </w:r>
      <w:r>
        <w:rPr>
          <w:rFonts w:ascii="Courier New" w:hAnsi="Courier New"/>
          <w:sz w:val="24"/>
          <w:szCs w:val="24"/>
          <w:lang w:val="es-ES_tradnl"/>
        </w:rPr>
        <w:t>l</w:t>
      </w:r>
      <w:r>
        <w:rPr>
          <w:rFonts w:ascii="Courier New" w:hAnsi="Courier New"/>
          <w:sz w:val="24"/>
          <w:szCs w:val="24"/>
        </w:rPr>
        <w:t>ú</w:t>
      </w:r>
      <w:r>
        <w:rPr>
          <w:rFonts w:ascii="Courier New" w:hAnsi="Courier New"/>
          <w:sz w:val="24"/>
          <w:szCs w:val="24"/>
          <w:lang w:val="de-DE"/>
        </w:rPr>
        <w:t>d, d</w:t>
      </w:r>
      <w:r>
        <w:rPr>
          <w:rFonts w:ascii="Courier New" w:hAnsi="Courier New"/>
          <w:sz w:val="24"/>
          <w:szCs w:val="24"/>
          <w:lang w:val="es-ES_tradnl"/>
        </w:rPr>
        <w:t>e</w:t>
      </w:r>
      <w:r>
        <w:rPr>
          <w:rFonts w:ascii="Courier New" w:hAnsi="Courier New"/>
          <w:sz w:val="24"/>
          <w:szCs w:val="24"/>
        </w:rPr>
        <w:t>re</w:t>
      </w:r>
      <w:r>
        <w:rPr>
          <w:rFonts w:ascii="Courier New" w:hAnsi="Courier New"/>
          <w:sz w:val="24"/>
          <w:szCs w:val="24"/>
          <w:lang w:val="es-ES_tradnl"/>
        </w:rPr>
        <w:t xml:space="preserve">chos y </w:t>
      </w:r>
      <w:r>
        <w:rPr>
          <w:rFonts w:ascii="Courier New" w:hAnsi="Courier New"/>
          <w:sz w:val="24"/>
          <w:szCs w:val="24"/>
        </w:rPr>
        <w:t>d</w:t>
      </w:r>
      <w:r>
        <w:rPr>
          <w:rFonts w:ascii="Courier New" w:hAnsi="Courier New"/>
          <w:sz w:val="24"/>
          <w:szCs w:val="24"/>
          <w:lang w:val="es-ES_tradnl"/>
        </w:rPr>
        <w:t>e las muj</w:t>
      </w:r>
      <w:r>
        <w:rPr>
          <w:rFonts w:ascii="Courier New" w:hAnsi="Courier New"/>
          <w:sz w:val="24"/>
          <w:szCs w:val="24"/>
        </w:rPr>
        <w:t>eres.</w:t>
      </w:r>
    </w:p>
    <w:p w:rsidR="0095789A" w:rsidRDefault="0095789A">
      <w:pPr>
        <w:pStyle w:val="Paragraphedeliste"/>
        <w:spacing w:after="60"/>
        <w:ind w:left="0"/>
        <w:rPr>
          <w:rFonts w:ascii="Courier New" w:eastAsia="Courier New" w:hAnsi="Courier New" w:cs="Courier New"/>
          <w:lang w:val="es-ES_tradnl"/>
        </w:rPr>
      </w:pPr>
    </w:p>
    <w:p w:rsidR="0095789A" w:rsidRDefault="0095789A">
      <w:pPr>
        <w:pStyle w:val="Paragraphedeliste"/>
        <w:spacing w:after="60"/>
        <w:ind w:left="0"/>
        <w:rPr>
          <w:lang w:val="es-ES_tradnl"/>
        </w:rPr>
      </w:pPr>
    </w:p>
    <w:p w:rsidR="0095789A" w:rsidRDefault="00676F09">
      <w:pPr>
        <w:pStyle w:val="Paragraphedeliste"/>
        <w:numPr>
          <w:ilvl w:val="0"/>
          <w:numId w:val="5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Sírvanse proporcionar </w:t>
      </w:r>
      <w:r>
        <w:rPr>
          <w:rStyle w:val="Ninguno"/>
          <w:lang w:val="es-ES_tradnl"/>
        </w:rPr>
        <w:t xml:space="preserve">información sobre el </w:t>
      </w:r>
      <w:r>
        <w:rPr>
          <w:rStyle w:val="Ninguno"/>
          <w:b/>
          <w:bCs/>
          <w:lang w:val="es-ES_tradnl"/>
        </w:rPr>
        <w:t>marco legislativo y de políticas existente en su país en relación con la no discriminación</w:t>
      </w:r>
      <w:r>
        <w:rPr>
          <w:rStyle w:val="Ninguno"/>
          <w:lang w:val="es-ES_tradnl"/>
        </w:rPr>
        <w:t>, incluyendo: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Si la "discapacidad" se menciona específicamente como un motivo de discriminación prohibido,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La existencia de cualquier mecanismo p</w:t>
      </w:r>
      <w:r>
        <w:rPr>
          <w:rStyle w:val="Ninguno"/>
          <w:lang w:val="es-ES_tradnl"/>
        </w:rPr>
        <w:t>resupuestario para asegurar la realización de ajustes razonables por parte de entidades públicas,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Si la denegación de ajustes razonables constituye discriminación,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La existencia de las medidas de acción afirmativa para las personas con discapacidad,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La exi</w:t>
      </w:r>
      <w:r>
        <w:rPr>
          <w:rStyle w:val="Ninguno"/>
          <w:lang w:val="es-ES_tradnl"/>
        </w:rPr>
        <w:t>stencia de recursos legales, administrativas o de otro tipo efectivos, disponibles para las personas que hayan sido objeto de discriminación por motivos de discapacidad, incluida la denegación de ajustes razonables,</w:t>
      </w:r>
    </w:p>
    <w:p w:rsidR="0095789A" w:rsidRDefault="00676F09">
      <w:pPr>
        <w:pStyle w:val="Paragraphedeliste"/>
        <w:numPr>
          <w:ilvl w:val="0"/>
          <w:numId w:val="7"/>
        </w:numPr>
        <w:rPr>
          <w:rStyle w:val="Ninguno"/>
          <w:lang w:val="es-ES_tradnl"/>
        </w:rPr>
      </w:pPr>
      <w:r>
        <w:rPr>
          <w:rStyle w:val="Ninguno"/>
          <w:lang w:val="es-ES_tradnl"/>
        </w:rPr>
        <w:t>El establecimiento de agencias gubername</w:t>
      </w:r>
      <w:r>
        <w:rPr>
          <w:rStyle w:val="Ninguno"/>
          <w:lang w:val="es-ES_tradnl"/>
        </w:rPr>
        <w:t>ntales u otras instituciones similares para garantizar a las personas con discapacidad protección  igual y efectiva contra la discriminación.</w:t>
      </w:r>
    </w:p>
    <w:p w:rsidR="0095789A" w:rsidRDefault="0095789A">
      <w:pPr>
        <w:rPr>
          <w:rStyle w:val="Ninguno"/>
          <w:lang w:val="es-ES_tradnl"/>
        </w:rPr>
      </w:pPr>
    </w:p>
    <w:p w:rsidR="0095789A" w:rsidRDefault="0095789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ourier New" w:eastAsia="Courier New" w:hAnsi="Courier New" w:cs="Courier New"/>
          <w:lang w:val="es-ES_tradnl"/>
        </w:rPr>
      </w:pP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Todas esas aciones son realizadas por medio de las Secretarias Municipales y estatales de Derechos de las Person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as con Discapacidad y los consejos Estatales y Municipales de derechos de las Personas con discapacidad.</w:t>
      </w:r>
    </w:p>
    <w:p w:rsidR="0095789A" w:rsidRDefault="0095789A">
      <w:pPr>
        <w:rPr>
          <w:rStyle w:val="Ninguno"/>
          <w:lang w:val="es-ES_tradnl"/>
        </w:rPr>
      </w:pPr>
    </w:p>
    <w:p w:rsidR="0095789A" w:rsidRDefault="00676F09">
      <w:pPr>
        <w:pStyle w:val="Paragraphedeliste"/>
        <w:numPr>
          <w:ilvl w:val="0"/>
          <w:numId w:val="8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Sírvanse proporcionar información sobre el </w:t>
      </w:r>
      <w:r>
        <w:rPr>
          <w:rStyle w:val="Ninguno"/>
          <w:b/>
          <w:bCs/>
          <w:lang w:val="es-ES_tradnl"/>
        </w:rPr>
        <w:t>marco legislativo y de políticas existente en su país sobre la accesibilidad para las personas con discapac</w:t>
      </w:r>
      <w:r>
        <w:rPr>
          <w:rStyle w:val="Ninguno"/>
          <w:b/>
          <w:bCs/>
          <w:lang w:val="es-ES_tradnl"/>
        </w:rPr>
        <w:t>idad</w:t>
      </w:r>
      <w:r>
        <w:rPr>
          <w:rStyle w:val="Ninguno"/>
          <w:lang w:val="es-ES_tradnl"/>
        </w:rPr>
        <w:t xml:space="preserve"> en relación con el entorno físico, el transporte, la información y las comunicaciones, y otros servicios e instalaciones; incluyendo:</w:t>
      </w:r>
    </w:p>
    <w:p w:rsidR="0095789A" w:rsidRDefault="00676F09">
      <w:pPr>
        <w:pStyle w:val="Paragraphedeliste"/>
        <w:numPr>
          <w:ilvl w:val="0"/>
          <w:numId w:val="10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existencia de normas, directrices nacionales y regulaciones relativas a la accesibilidad y el diseño universal, in</w:t>
      </w:r>
      <w:r>
        <w:rPr>
          <w:rStyle w:val="Ninguno"/>
          <w:lang w:val="es-ES_tradnl"/>
        </w:rPr>
        <w:t>cluido el acceso a tecnologías de la información y la comunicación,</w:t>
      </w:r>
    </w:p>
    <w:p w:rsidR="0095789A" w:rsidRDefault="00676F09">
      <w:pPr>
        <w:pStyle w:val="Paragraphedeliste"/>
        <w:numPr>
          <w:ilvl w:val="0"/>
          <w:numId w:val="10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existencia de planes de acción con plazos específicos para hacer las instalaciones y servicios públicos y privados accesibles para las personas con discapacidad,</w:t>
      </w:r>
    </w:p>
    <w:p w:rsidR="0095789A" w:rsidRDefault="00676F09">
      <w:pPr>
        <w:pStyle w:val="Paragraphedeliste"/>
        <w:numPr>
          <w:ilvl w:val="0"/>
          <w:numId w:val="10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La existencia de </w:t>
      </w:r>
      <w:r>
        <w:rPr>
          <w:rStyle w:val="Ninguno"/>
          <w:lang w:val="es-ES_tradnl"/>
        </w:rPr>
        <w:t>requisitos de accesibilidad en la contratación pública,</w:t>
      </w:r>
    </w:p>
    <w:p w:rsidR="0095789A" w:rsidRDefault="00676F09">
      <w:pPr>
        <w:pStyle w:val="Paragraphedeliste"/>
        <w:numPr>
          <w:ilvl w:val="0"/>
          <w:numId w:val="10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existencia de cualquier mecanismo de asegurar el cumplimiento de las normas de accesibilidad,</w:t>
      </w:r>
    </w:p>
    <w:p w:rsidR="0095789A" w:rsidRDefault="00676F09">
      <w:pPr>
        <w:pStyle w:val="Paragraphedeliste"/>
        <w:numPr>
          <w:ilvl w:val="0"/>
          <w:numId w:val="10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formación de funcionarios del Estado y otros actores en materia de accesibilidad.</w:t>
      </w:r>
    </w:p>
    <w:p w:rsidR="0095789A" w:rsidRDefault="0095789A">
      <w:pPr>
        <w:rPr>
          <w:rStyle w:val="Ninguno"/>
          <w:rFonts w:ascii="Courier New" w:eastAsia="Courier New" w:hAnsi="Courier New" w:cs="Courier New"/>
          <w:lang w:val="es-ES_tradnl"/>
        </w:rPr>
      </w:pP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Estamos </w:t>
      </w:r>
      <w:r>
        <w:rPr>
          <w:rFonts w:ascii="Courier New" w:hAnsi="Courier New"/>
          <w:sz w:val="24"/>
          <w:szCs w:val="24"/>
          <w:lang w:val="es-ES_tradnl"/>
        </w:rPr>
        <w:t>in</w:t>
      </w:r>
      <w:r>
        <w:rPr>
          <w:rFonts w:ascii="Courier New" w:hAnsi="Courier New"/>
          <w:sz w:val="24"/>
          <w:szCs w:val="24"/>
        </w:rPr>
        <w:t>tentand</w:t>
      </w:r>
      <w:r>
        <w:rPr>
          <w:rFonts w:ascii="Courier New" w:hAnsi="Courier New"/>
          <w:sz w:val="24"/>
          <w:szCs w:val="24"/>
        </w:rPr>
        <w:t>o pri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>cipalmente p</w:t>
      </w:r>
      <w:r>
        <w:rPr>
          <w:rFonts w:ascii="Courier New" w:hAnsi="Courier New"/>
          <w:sz w:val="24"/>
          <w:szCs w:val="24"/>
          <w:lang w:val="es-ES_tradnl"/>
        </w:rPr>
        <w:t>ara que se pague el servicio de</w:t>
      </w:r>
      <w:r>
        <w:rPr>
          <w:rFonts w:ascii="Courier New" w:hAnsi="Courier New"/>
          <w:sz w:val="24"/>
          <w:szCs w:val="24"/>
        </w:rPr>
        <w:t>l guia</w:t>
      </w:r>
      <w:r>
        <w:rPr>
          <w:rFonts w:ascii="Courier New" w:hAnsi="Courier New"/>
          <w:sz w:val="24"/>
          <w:szCs w:val="24"/>
          <w:lang w:val="es-ES_tradnl"/>
        </w:rPr>
        <w:t>-interprete</w:t>
      </w:r>
      <w:r>
        <w:rPr>
          <w:rFonts w:ascii="Courier New" w:hAnsi="Courier New"/>
          <w:sz w:val="24"/>
          <w:szCs w:val="24"/>
        </w:rPr>
        <w:t xml:space="preserve"> para pe</w:t>
      </w:r>
      <w:r>
        <w:rPr>
          <w:rFonts w:ascii="Courier New" w:hAnsi="Courier New"/>
          <w:sz w:val="24"/>
          <w:szCs w:val="24"/>
          <w:lang w:val="es-ES_tradnl"/>
        </w:rPr>
        <w:t>r</w:t>
      </w:r>
      <w:r>
        <w:rPr>
          <w:rFonts w:ascii="Courier New" w:hAnsi="Courier New"/>
          <w:sz w:val="24"/>
          <w:szCs w:val="24"/>
        </w:rPr>
        <w:t>so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>as co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 xml:space="preserve"> s</w:t>
      </w:r>
      <w:r>
        <w:rPr>
          <w:rFonts w:ascii="Courier New" w:hAnsi="Courier New"/>
          <w:sz w:val="24"/>
          <w:szCs w:val="24"/>
          <w:lang w:val="es-ES_tradnl"/>
        </w:rPr>
        <w:t>ordoceguera que en algunos espaci</w:t>
      </w:r>
      <w:r>
        <w:rPr>
          <w:rFonts w:ascii="Courier New" w:hAnsi="Courier New"/>
          <w:sz w:val="24"/>
          <w:szCs w:val="24"/>
        </w:rPr>
        <w:t>os a</w:t>
      </w:r>
      <w:r>
        <w:rPr>
          <w:rFonts w:ascii="Courier New" w:hAnsi="Courier New"/>
          <w:sz w:val="24"/>
          <w:szCs w:val="24"/>
          <w:lang w:val="es-ES_tradnl"/>
        </w:rPr>
        <w:t>ú</w:t>
      </w:r>
      <w:r>
        <w:rPr>
          <w:rFonts w:ascii="Courier New" w:hAnsi="Courier New"/>
          <w:sz w:val="24"/>
          <w:szCs w:val="24"/>
          <w:lang w:val="es-ES_tradnl"/>
        </w:rPr>
        <w:t xml:space="preserve">n no </w:t>
      </w:r>
      <w:r>
        <w:rPr>
          <w:rFonts w:ascii="Courier New" w:hAnsi="Courier New"/>
          <w:sz w:val="24"/>
          <w:szCs w:val="24"/>
        </w:rPr>
        <w:t>oc</w:t>
      </w:r>
      <w:r>
        <w:rPr>
          <w:rFonts w:ascii="Courier New" w:hAnsi="Courier New"/>
          <w:sz w:val="24"/>
          <w:szCs w:val="24"/>
          <w:lang w:val="es-ES_tradnl"/>
        </w:rPr>
        <w:t>u</w:t>
      </w:r>
      <w:r>
        <w:rPr>
          <w:rFonts w:ascii="Courier New" w:hAnsi="Courier New"/>
          <w:sz w:val="24"/>
          <w:szCs w:val="24"/>
        </w:rPr>
        <w:t>rre de forma corre</w:t>
      </w:r>
      <w:r>
        <w:rPr>
          <w:rFonts w:ascii="Courier New" w:hAnsi="Courier New"/>
          <w:sz w:val="24"/>
          <w:szCs w:val="24"/>
          <w:lang w:val="es-ES_tradnl"/>
        </w:rPr>
        <w:t>cta, estamos intentando para responder esas necesidades</w:t>
      </w: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</w:t>
      </w:r>
      <w:r>
        <w:rPr>
          <w:rFonts w:ascii="Courier New" w:hAnsi="Courier New"/>
          <w:sz w:val="24"/>
          <w:szCs w:val="24"/>
          <w:lang w:val="es-ES_tradnl"/>
        </w:rPr>
        <w:t>ene</w:t>
      </w:r>
      <w:r>
        <w:rPr>
          <w:rFonts w:ascii="Courier New" w:hAnsi="Courier New"/>
          <w:sz w:val="24"/>
          <w:szCs w:val="24"/>
        </w:rPr>
        <w:t>mos apo</w:t>
      </w:r>
      <w:r>
        <w:rPr>
          <w:rFonts w:ascii="Courier New" w:hAnsi="Courier New"/>
          <w:sz w:val="24"/>
          <w:szCs w:val="24"/>
          <w:lang w:val="es-ES_tradnl"/>
        </w:rPr>
        <w:t>y</w:t>
      </w:r>
      <w:r>
        <w:rPr>
          <w:rFonts w:ascii="Courier New" w:hAnsi="Courier New"/>
          <w:sz w:val="24"/>
          <w:szCs w:val="24"/>
          <w:lang w:val="it-IT"/>
        </w:rPr>
        <w:t>o d</w:t>
      </w:r>
      <w:r>
        <w:rPr>
          <w:rFonts w:ascii="Courier New" w:hAnsi="Courier New"/>
          <w:sz w:val="24"/>
          <w:szCs w:val="24"/>
          <w:lang w:val="es-ES_tradnl"/>
        </w:rPr>
        <w:t>e l</w:t>
      </w:r>
      <w:r>
        <w:rPr>
          <w:rFonts w:ascii="Courier New" w:hAnsi="Courier New"/>
          <w:sz w:val="24"/>
          <w:szCs w:val="24"/>
        </w:rPr>
        <w:t>a Secretaria Nacional de D</w:t>
      </w:r>
      <w:r>
        <w:rPr>
          <w:rFonts w:ascii="Courier New" w:hAnsi="Courier New"/>
          <w:sz w:val="24"/>
          <w:szCs w:val="24"/>
          <w:lang w:val="es-ES_tradnl"/>
        </w:rPr>
        <w:t>e</w:t>
      </w:r>
      <w:r>
        <w:rPr>
          <w:rFonts w:ascii="Courier New" w:hAnsi="Courier New"/>
          <w:sz w:val="24"/>
          <w:szCs w:val="24"/>
        </w:rPr>
        <w:t>re</w:t>
      </w:r>
      <w:r>
        <w:rPr>
          <w:rFonts w:ascii="Courier New" w:hAnsi="Courier New"/>
          <w:sz w:val="24"/>
          <w:szCs w:val="24"/>
          <w:lang w:val="es-ES_tradnl"/>
        </w:rPr>
        <w:t>ch</w:t>
      </w:r>
      <w:r>
        <w:rPr>
          <w:rFonts w:ascii="Courier New" w:hAnsi="Courier New"/>
          <w:sz w:val="24"/>
          <w:szCs w:val="24"/>
          <w:lang w:val="es-ES_tradnl"/>
        </w:rPr>
        <w:t>os de l</w:t>
      </w:r>
      <w:r>
        <w:rPr>
          <w:rFonts w:ascii="Courier New" w:hAnsi="Courier New"/>
          <w:sz w:val="24"/>
          <w:szCs w:val="24"/>
          <w:lang w:val="de-DE"/>
        </w:rPr>
        <w:t>as Pe</w:t>
      </w:r>
      <w:r>
        <w:rPr>
          <w:rFonts w:ascii="Courier New" w:hAnsi="Courier New"/>
          <w:sz w:val="24"/>
          <w:szCs w:val="24"/>
          <w:lang w:val="es-ES_tradnl"/>
        </w:rPr>
        <w:t>r</w:t>
      </w:r>
      <w:r>
        <w:rPr>
          <w:rFonts w:ascii="Courier New" w:hAnsi="Courier New"/>
          <w:sz w:val="24"/>
          <w:szCs w:val="24"/>
        </w:rPr>
        <w:t>so</w:t>
      </w:r>
      <w:r>
        <w:rPr>
          <w:rFonts w:ascii="Courier New" w:hAnsi="Courier New"/>
          <w:sz w:val="24"/>
          <w:szCs w:val="24"/>
          <w:lang w:val="es-ES_tradnl"/>
        </w:rPr>
        <w:t>n</w:t>
      </w:r>
      <w:r>
        <w:rPr>
          <w:rFonts w:ascii="Courier New" w:hAnsi="Courier New"/>
          <w:sz w:val="24"/>
          <w:szCs w:val="24"/>
        </w:rPr>
        <w:t>as co</w:t>
      </w:r>
      <w:r>
        <w:rPr>
          <w:rFonts w:ascii="Courier New" w:hAnsi="Courier New"/>
          <w:sz w:val="24"/>
          <w:szCs w:val="24"/>
          <w:lang w:val="es-ES_tradnl"/>
        </w:rPr>
        <w:t>n discapacidad para l</w:t>
      </w:r>
      <w:r w:rsidRPr="00676F09">
        <w:rPr>
          <w:rFonts w:ascii="Courier New" w:hAnsi="Courier New"/>
          <w:sz w:val="24"/>
          <w:szCs w:val="24"/>
          <w:lang w:val="es-ES"/>
        </w:rPr>
        <w:t>a cr</w:t>
      </w:r>
      <w:r>
        <w:rPr>
          <w:rFonts w:ascii="Courier New" w:hAnsi="Courier New"/>
          <w:sz w:val="24"/>
          <w:szCs w:val="24"/>
          <w:lang w:val="es-ES_tradnl"/>
        </w:rPr>
        <w:t>e</w:t>
      </w:r>
      <w:r>
        <w:rPr>
          <w:rFonts w:ascii="Courier New" w:hAnsi="Courier New"/>
          <w:sz w:val="24"/>
          <w:szCs w:val="24"/>
        </w:rPr>
        <w:t>a</w:t>
      </w:r>
      <w:r>
        <w:rPr>
          <w:rFonts w:ascii="Courier New" w:hAnsi="Courier New"/>
          <w:sz w:val="24"/>
          <w:szCs w:val="24"/>
          <w:lang w:val="es-ES_tradnl"/>
        </w:rPr>
        <w:t>ci</w:t>
      </w:r>
      <w:r>
        <w:rPr>
          <w:rFonts w:ascii="Courier New" w:hAnsi="Courier New"/>
          <w:sz w:val="24"/>
          <w:szCs w:val="24"/>
          <w:lang w:val="es-ES_tradnl"/>
        </w:rPr>
        <w:t>ó</w:t>
      </w:r>
      <w:r>
        <w:rPr>
          <w:rFonts w:ascii="Courier New" w:hAnsi="Courier New"/>
          <w:sz w:val="24"/>
          <w:szCs w:val="24"/>
          <w:lang w:val="es-ES_tradnl"/>
        </w:rPr>
        <w:t xml:space="preserve">n </w:t>
      </w:r>
      <w:r>
        <w:rPr>
          <w:rFonts w:ascii="Courier New" w:hAnsi="Courier New"/>
          <w:sz w:val="24"/>
          <w:szCs w:val="24"/>
        </w:rPr>
        <w:t>d</w:t>
      </w:r>
      <w:r>
        <w:rPr>
          <w:rFonts w:ascii="Courier New" w:hAnsi="Courier New"/>
          <w:sz w:val="24"/>
          <w:szCs w:val="24"/>
          <w:lang w:val="es-ES_tradnl"/>
        </w:rPr>
        <w:t>el Cil Central de Interpreteci</w:t>
      </w:r>
      <w:r>
        <w:rPr>
          <w:rFonts w:ascii="Courier New" w:hAnsi="Courier New"/>
          <w:sz w:val="24"/>
          <w:szCs w:val="24"/>
          <w:lang w:val="es-ES_tradnl"/>
        </w:rPr>
        <w:t>ó</w:t>
      </w:r>
      <w:r>
        <w:rPr>
          <w:rFonts w:ascii="Courier New" w:hAnsi="Courier New"/>
          <w:sz w:val="24"/>
          <w:szCs w:val="24"/>
          <w:lang w:val="es-ES_tradnl"/>
        </w:rPr>
        <w:t>n</w:t>
      </w:r>
      <w:r w:rsidRPr="00676F09">
        <w:rPr>
          <w:rFonts w:ascii="Courier New" w:hAnsi="Courier New"/>
          <w:sz w:val="24"/>
          <w:szCs w:val="24"/>
          <w:lang w:val="es-ES"/>
        </w:rPr>
        <w:t xml:space="preserve"> de Libras</w:t>
      </w:r>
      <w:r>
        <w:rPr>
          <w:rFonts w:ascii="Courier New" w:hAnsi="Courier New"/>
          <w:sz w:val="24"/>
          <w:szCs w:val="24"/>
          <w:lang w:val="es-ES_tradnl"/>
        </w:rPr>
        <w:t xml:space="preserve"> (lengua de se</w:t>
      </w:r>
      <w:r>
        <w:rPr>
          <w:rFonts w:ascii="Courier New" w:hAnsi="Courier New"/>
          <w:sz w:val="24"/>
          <w:szCs w:val="24"/>
          <w:lang w:val="es-ES_tradnl"/>
        </w:rPr>
        <w:t>ñ</w:t>
      </w:r>
      <w:r>
        <w:rPr>
          <w:rFonts w:ascii="Courier New" w:hAnsi="Courier New"/>
          <w:sz w:val="24"/>
          <w:szCs w:val="24"/>
          <w:lang w:val="es-ES_tradnl"/>
        </w:rPr>
        <w:t>as brasile</w:t>
      </w:r>
      <w:r>
        <w:rPr>
          <w:rFonts w:ascii="Courier New" w:hAnsi="Courier New"/>
          <w:sz w:val="24"/>
          <w:szCs w:val="24"/>
          <w:lang w:val="es-ES_tradnl"/>
        </w:rPr>
        <w:t>ñ</w:t>
      </w:r>
      <w:r>
        <w:rPr>
          <w:rFonts w:ascii="Courier New" w:hAnsi="Courier New"/>
          <w:sz w:val="24"/>
          <w:szCs w:val="24"/>
          <w:lang w:val="es-ES_tradnl"/>
        </w:rPr>
        <w:t>a)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lastRenderedPageBreak/>
        <w:t>para ac</w:t>
      </w:r>
      <w:r>
        <w:rPr>
          <w:rFonts w:ascii="Courier New" w:hAnsi="Courier New"/>
          <w:sz w:val="24"/>
          <w:szCs w:val="24"/>
          <w:lang w:val="es-ES_tradnl"/>
        </w:rPr>
        <w:t>c</w:t>
      </w:r>
      <w:r>
        <w:rPr>
          <w:rFonts w:ascii="Courier New" w:hAnsi="Courier New"/>
          <w:sz w:val="24"/>
          <w:szCs w:val="24"/>
        </w:rPr>
        <w:t>eso</w:t>
      </w:r>
      <w:r>
        <w:rPr>
          <w:rFonts w:ascii="Courier New" w:hAnsi="Courier New"/>
          <w:sz w:val="24"/>
          <w:szCs w:val="24"/>
          <w:lang w:val="es-ES_tradnl"/>
        </w:rPr>
        <w:t xml:space="preserve"> a l</w:t>
      </w:r>
      <w:r>
        <w:rPr>
          <w:rFonts w:ascii="Courier New" w:hAnsi="Courier New"/>
          <w:sz w:val="24"/>
          <w:szCs w:val="24"/>
        </w:rPr>
        <w:t>as pe</w:t>
      </w:r>
      <w:r>
        <w:rPr>
          <w:rFonts w:ascii="Courier New" w:hAnsi="Courier New"/>
          <w:sz w:val="24"/>
          <w:szCs w:val="24"/>
          <w:lang w:val="es-ES_tradnl"/>
        </w:rPr>
        <w:t>r</w:t>
      </w:r>
      <w:r>
        <w:rPr>
          <w:rFonts w:ascii="Courier New" w:hAnsi="Courier New"/>
          <w:sz w:val="24"/>
          <w:szCs w:val="24"/>
        </w:rPr>
        <w:t>so</w:t>
      </w:r>
      <w:r>
        <w:rPr>
          <w:rFonts w:ascii="Courier New" w:hAnsi="Courier New"/>
          <w:sz w:val="24"/>
          <w:szCs w:val="24"/>
          <w:lang w:val="es-ES_tradnl"/>
        </w:rPr>
        <w:t>n</w:t>
      </w:r>
      <w:r w:rsidRPr="00676F09">
        <w:rPr>
          <w:rFonts w:ascii="Courier New" w:hAnsi="Courier New"/>
          <w:sz w:val="24"/>
          <w:szCs w:val="24"/>
          <w:lang w:val="es-ES"/>
        </w:rPr>
        <w:t xml:space="preserve">as </w:t>
      </w:r>
      <w:r>
        <w:rPr>
          <w:rFonts w:ascii="Courier New" w:hAnsi="Courier New"/>
          <w:sz w:val="24"/>
          <w:szCs w:val="24"/>
          <w:lang w:val="es-ES_tradnl"/>
        </w:rPr>
        <w:t>sordas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  <w:lang w:val="es-ES_tradnl"/>
        </w:rPr>
        <w:t>y</w:t>
      </w:r>
      <w:r>
        <w:rPr>
          <w:rFonts w:ascii="Courier New" w:hAnsi="Courier New"/>
          <w:sz w:val="24"/>
          <w:szCs w:val="24"/>
        </w:rPr>
        <w:t xml:space="preserve"> s</w:t>
      </w:r>
      <w:r>
        <w:rPr>
          <w:rFonts w:ascii="Courier New" w:hAnsi="Courier New"/>
          <w:sz w:val="24"/>
          <w:szCs w:val="24"/>
          <w:lang w:val="es-ES_tradnl"/>
        </w:rPr>
        <w:t>ordoceguera en los espa</w:t>
      </w:r>
      <w:r>
        <w:rPr>
          <w:rFonts w:ascii="Courier New" w:hAnsi="Courier New"/>
          <w:sz w:val="24"/>
          <w:szCs w:val="24"/>
        </w:rPr>
        <w:t>ç</w:t>
      </w:r>
      <w:r>
        <w:rPr>
          <w:rFonts w:ascii="Courier New" w:hAnsi="Courier New"/>
          <w:sz w:val="24"/>
          <w:szCs w:val="24"/>
          <w:lang w:val="es-ES_tradnl"/>
        </w:rPr>
        <w:t>i</w:t>
      </w:r>
      <w:r>
        <w:rPr>
          <w:rFonts w:ascii="Courier New" w:hAnsi="Courier New"/>
          <w:sz w:val="24"/>
          <w:szCs w:val="24"/>
        </w:rPr>
        <w:t>os p</w:t>
      </w:r>
      <w:r>
        <w:rPr>
          <w:rFonts w:ascii="Courier New" w:hAnsi="Courier New"/>
          <w:sz w:val="24"/>
          <w:szCs w:val="24"/>
        </w:rPr>
        <w:t>ú</w:t>
      </w:r>
      <w:r>
        <w:rPr>
          <w:rFonts w:ascii="Courier New" w:hAnsi="Courier New"/>
          <w:sz w:val="24"/>
          <w:szCs w:val="24"/>
        </w:rPr>
        <w:t>blicos.</w:t>
      </w:r>
    </w:p>
    <w:p w:rsidR="0095789A" w:rsidRDefault="0095789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  <w:lang w:val="es-ES_tradnl"/>
        </w:rPr>
        <w:t>Hay los proyectos secretar</w:t>
      </w:r>
      <w:r>
        <w:rPr>
          <w:rFonts w:ascii="Courier New" w:hAnsi="Courier New"/>
          <w:sz w:val="24"/>
          <w:szCs w:val="24"/>
        </w:rPr>
        <w:t>í</w:t>
      </w:r>
      <w:r>
        <w:rPr>
          <w:rFonts w:ascii="Courier New" w:hAnsi="Courier New"/>
          <w:sz w:val="24"/>
          <w:szCs w:val="24"/>
          <w:lang w:val="es-ES_tradnl"/>
        </w:rPr>
        <w:t xml:space="preserve">as para mejorar los </w:t>
      </w:r>
      <w:r>
        <w:rPr>
          <w:rFonts w:ascii="Courier New" w:hAnsi="Courier New"/>
          <w:sz w:val="24"/>
          <w:szCs w:val="24"/>
          <w:lang w:val="es-ES_tradnl"/>
        </w:rPr>
        <w:t>problemas de acceso y tambi</w:t>
      </w:r>
      <w:r w:rsidRPr="00676F09">
        <w:rPr>
          <w:rFonts w:ascii="Courier New" w:hAnsi="Courier New"/>
          <w:sz w:val="24"/>
          <w:szCs w:val="24"/>
          <w:lang w:val="es-ES"/>
        </w:rPr>
        <w:t>é</w:t>
      </w:r>
      <w:r>
        <w:rPr>
          <w:rFonts w:ascii="Courier New" w:hAnsi="Courier New"/>
          <w:sz w:val="24"/>
          <w:szCs w:val="24"/>
          <w:lang w:val="es-ES_tradnl"/>
        </w:rPr>
        <w:t>n la formaci</w:t>
      </w:r>
      <w:r>
        <w:rPr>
          <w:rFonts w:ascii="Courier New" w:hAnsi="Courier New"/>
          <w:sz w:val="24"/>
          <w:szCs w:val="24"/>
          <w:lang w:val="es-ES_tradnl"/>
        </w:rPr>
        <w:t>ó</w:t>
      </w:r>
      <w:r>
        <w:rPr>
          <w:rFonts w:ascii="Courier New" w:hAnsi="Courier New"/>
          <w:sz w:val="24"/>
          <w:szCs w:val="24"/>
          <w:lang w:val="es-ES_tradnl"/>
        </w:rPr>
        <w:t>n de profesionales para satisfacer todas las personas con discapacidad.</w:t>
      </w: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Fonts w:ascii="Courier New" w:hAnsi="Courier New"/>
          <w:sz w:val="24"/>
          <w:szCs w:val="24"/>
        </w:rPr>
        <w:t xml:space="preserve"> </w:t>
      </w:r>
    </w:p>
    <w:p w:rsidR="0095789A" w:rsidRDefault="0095789A">
      <w:pPr>
        <w:rPr>
          <w:lang w:val="es-ES_tradnl"/>
        </w:rPr>
      </w:pPr>
    </w:p>
    <w:p w:rsidR="0095789A" w:rsidRDefault="00676F09">
      <w:pPr>
        <w:pStyle w:val="Paragraphedeliste"/>
        <w:numPr>
          <w:ilvl w:val="0"/>
          <w:numId w:val="11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Sírvanse proporcionar información sobre el </w:t>
      </w:r>
      <w:r>
        <w:rPr>
          <w:rStyle w:val="Ninguno"/>
          <w:b/>
          <w:bCs/>
          <w:lang w:val="es-ES_tradnl"/>
        </w:rPr>
        <w:t>marco legislativo y de políticas existente en su país en relación con los servicios de apoyo para</w:t>
      </w:r>
      <w:r>
        <w:rPr>
          <w:rStyle w:val="Ninguno"/>
          <w:b/>
          <w:bCs/>
          <w:lang w:val="es-ES_tradnl"/>
        </w:rPr>
        <w:t xml:space="preserve"> las personas con discapacidad</w:t>
      </w:r>
      <w:r>
        <w:rPr>
          <w:rStyle w:val="Ninguno"/>
          <w:lang w:val="es-ES_tradnl"/>
        </w:rPr>
        <w:t>, incluyendo:</w:t>
      </w:r>
    </w:p>
    <w:p w:rsidR="0095789A" w:rsidRDefault="00676F09">
      <w:pPr>
        <w:pStyle w:val="Paragraphedeliste"/>
        <w:numPr>
          <w:ilvl w:val="0"/>
          <w:numId w:val="13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diversidad y cobertura de los servicios disponibles (por ejemplo, servicios para la toma de decisiones con apoyo, la comunicación, la movilidad, el apoyo personal, los arreglos de vivienda, el acceso a servici</w:t>
      </w:r>
      <w:r>
        <w:rPr>
          <w:rStyle w:val="Ninguno"/>
          <w:lang w:val="es-ES_tradnl"/>
        </w:rPr>
        <w:t>os generales tales como la educación, el empleo, la justicia y la salud, y otros servicios a la comunidad),</w:t>
      </w:r>
    </w:p>
    <w:p w:rsidR="0095789A" w:rsidRDefault="00676F09">
      <w:pPr>
        <w:pStyle w:val="Paragraphedeliste"/>
        <w:numPr>
          <w:ilvl w:val="0"/>
          <w:numId w:val="13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 disponibilidad de intérpretes de lengua de señas certificados,</w:t>
      </w:r>
    </w:p>
    <w:p w:rsidR="0095789A" w:rsidRDefault="00676F09">
      <w:pPr>
        <w:pStyle w:val="Paragraphedeliste"/>
        <w:numPr>
          <w:ilvl w:val="0"/>
          <w:numId w:val="13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Los tipos de esquemas de prestación de servicios (por ejemplo, la provisión direct</w:t>
      </w:r>
      <w:r>
        <w:rPr>
          <w:rStyle w:val="Ninguno"/>
          <w:lang w:val="es-ES_tradnl"/>
        </w:rPr>
        <w:t>a, las asociaciones público-privadas, las asociaciones con organizaciones comunitarias o no gubernamentales, la contratación externa, la privatización),</w:t>
      </w:r>
    </w:p>
    <w:p w:rsidR="0095789A" w:rsidRDefault="00676F09">
      <w:pPr>
        <w:pStyle w:val="Paragraphedeliste"/>
        <w:numPr>
          <w:ilvl w:val="0"/>
          <w:numId w:val="13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Los mecanismos financieros para garantizar la asequibilidad de los servicios de apoyo para todas las pe</w:t>
      </w:r>
      <w:r>
        <w:rPr>
          <w:rStyle w:val="Ninguno"/>
          <w:lang w:val="es-ES_tradnl"/>
        </w:rPr>
        <w:t xml:space="preserve">rsonas con discapacidad, </w:t>
      </w:r>
    </w:p>
    <w:p w:rsidR="0095789A" w:rsidRDefault="00676F09">
      <w:pPr>
        <w:pStyle w:val="Paragraphedeliste"/>
        <w:numPr>
          <w:ilvl w:val="0"/>
          <w:numId w:val="13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¿Cómo los servicios permiten la elección directa y el control de los usuarios con discapacidad?</w:t>
      </w:r>
    </w:p>
    <w:p w:rsidR="0095789A" w:rsidRDefault="0095789A">
      <w:pPr>
        <w:rPr>
          <w:rStyle w:val="Ninguno"/>
          <w:lang w:val="es-ES_tradnl"/>
        </w:rPr>
      </w:pPr>
    </w:p>
    <w:p w:rsidR="0095789A" w:rsidRDefault="00676F09">
      <w:pPr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Existe el Cil como mencionamos y hay tambi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é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contrataci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de empresas para favorecer los servicios de apoyo a interpretaci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 xml:space="preserve">n, audio 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descripci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ó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n y gu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í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a, pero no ocurre de forma igual en todos los estados de Brail. Pero en S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ã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>o Paulo tenemos esta posibilidad por medio de las Secretarias de Derechos de las personas con discapacidad.</w:t>
      </w:r>
    </w:p>
    <w:p w:rsidR="0095789A" w:rsidRDefault="0095789A">
      <w:pPr>
        <w:rPr>
          <w:lang w:val="es-ES_tradnl"/>
        </w:rPr>
      </w:pPr>
    </w:p>
    <w:p w:rsidR="0095789A" w:rsidRDefault="00676F09">
      <w:pPr>
        <w:pStyle w:val="Paragraphedeliste"/>
        <w:numPr>
          <w:ilvl w:val="0"/>
          <w:numId w:val="14"/>
        </w:numPr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Sírvanse proporcionar </w:t>
      </w:r>
      <w:r>
        <w:rPr>
          <w:rStyle w:val="Ninguno"/>
          <w:b/>
          <w:bCs/>
          <w:lang w:val="es-ES_tradnl"/>
        </w:rPr>
        <w:t>cualquier otra información relevan</w:t>
      </w:r>
      <w:r>
        <w:rPr>
          <w:rStyle w:val="Ninguno"/>
          <w:b/>
          <w:bCs/>
          <w:lang w:val="es-ES_tradnl"/>
        </w:rPr>
        <w:t xml:space="preserve">te </w:t>
      </w:r>
      <w:r>
        <w:rPr>
          <w:rStyle w:val="Ninguno"/>
          <w:lang w:val="es-ES_tradnl"/>
        </w:rPr>
        <w:t>(incluyendo información proveniente de encuestas, censos y datos administrativos -estadísticas, informes y estudios),</w:t>
      </w:r>
      <w:r>
        <w:rPr>
          <w:rStyle w:val="Ninguno"/>
          <w:b/>
          <w:bCs/>
          <w:lang w:val="es-ES_tradnl"/>
        </w:rPr>
        <w:t xml:space="preserve"> en relación con la implementación de políticas y planes de acción inclusivos de las personas con discapacidad existentes en su país</w:t>
      </w:r>
      <w:r>
        <w:rPr>
          <w:rStyle w:val="Ninguno"/>
          <w:lang w:val="es-ES_tradnl"/>
        </w:rPr>
        <w:t>.</w:t>
      </w:r>
    </w:p>
    <w:p w:rsidR="0095789A" w:rsidRDefault="0095789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ourier New" w:eastAsia="Courier New" w:hAnsi="Courier New" w:cs="Courier New"/>
          <w:color w:val="FF2600"/>
          <w:lang w:val="es-ES_tradnl"/>
        </w:rPr>
      </w:pPr>
    </w:p>
    <w:p w:rsidR="0095789A" w:rsidRDefault="00676F0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ourier New" w:eastAsia="Courier New" w:hAnsi="Courier New" w:cs="Courier New"/>
          <w:sz w:val="24"/>
          <w:szCs w:val="24"/>
          <w:lang w:val="es-ES_tradnl"/>
        </w:rPr>
      </w:pPr>
      <w:r>
        <w:rPr>
          <w:rStyle w:val="Ninguno"/>
          <w:rFonts w:ascii="Courier New" w:hAnsi="Courier New"/>
          <w:sz w:val="24"/>
          <w:szCs w:val="24"/>
          <w:lang w:val="es-ES_tradnl"/>
        </w:rPr>
        <w:t>T</w:t>
      </w:r>
      <w:r>
        <w:rPr>
          <w:rStyle w:val="Ninguno"/>
          <w:rFonts w:ascii="Courier New" w:hAnsi="Courier New"/>
          <w:sz w:val="24"/>
          <w:szCs w:val="24"/>
          <w:lang w:val="es-ES_tradnl"/>
        </w:rPr>
        <w:t xml:space="preserve">enemos siempre eventos para cambio de informaciones y apoyo a las personas con discapacidad y por medio de los Consejos de las personas con discapacidad articular para el cumplimiento de las normas.  </w:t>
      </w:r>
    </w:p>
    <w:p w:rsidR="0095789A" w:rsidRDefault="0095789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sectPr w:rsidR="009578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701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6F09">
      <w:r>
        <w:separator/>
      </w:r>
    </w:p>
  </w:endnote>
  <w:endnote w:type="continuationSeparator" w:id="0">
    <w:p w:rsidR="00000000" w:rsidRDefault="0067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9A" w:rsidRDefault="0095789A">
    <w:pPr>
      <w:pStyle w:val="Cabeceraypi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9A" w:rsidRDefault="009578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6F09">
      <w:r>
        <w:separator/>
      </w:r>
    </w:p>
  </w:footnote>
  <w:footnote w:type="continuationSeparator" w:id="0">
    <w:p w:rsidR="00000000" w:rsidRDefault="0067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9A" w:rsidRDefault="00676F09">
    <w:pPr>
      <w:pStyle w:val="En-tte"/>
      <w:tabs>
        <w:tab w:val="clear" w:pos="4153"/>
        <w:tab w:val="clear" w:pos="8306"/>
        <w:tab w:val="right" w:pos="8478"/>
      </w:tabs>
      <w:spacing w:before="360" w:after="840"/>
    </w:pPr>
    <w:r>
      <w:rPr>
        <w:noProof/>
        <w:lang w:val="en-GB"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2547937</wp:posOffset>
          </wp:positionH>
          <wp:positionV relativeFrom="page">
            <wp:posOffset>304800</wp:posOffset>
          </wp:positionV>
          <wp:extent cx="2464436" cy="45021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6" cy="450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sz w:val="14"/>
        <w:szCs w:val="14"/>
      </w:rPr>
      <w:tab/>
      <w:t xml:space="preserve">PAGE </w:t>
    </w:r>
    <w:r>
      <w:rPr>
        <w:rStyle w:val="Ninguno"/>
        <w:sz w:val="14"/>
        <w:szCs w:val="14"/>
      </w:rPr>
      <w:fldChar w:fldCharType="begin"/>
    </w:r>
    <w:r>
      <w:rPr>
        <w:rStyle w:val="Ninguno"/>
        <w:sz w:val="14"/>
        <w:szCs w:val="14"/>
      </w:rPr>
      <w:instrText xml:space="preserve"> PAGE </w:instrText>
    </w:r>
    <w:r>
      <w:rPr>
        <w:rStyle w:val="Ninguno"/>
        <w:sz w:val="14"/>
        <w:szCs w:val="14"/>
      </w:rPr>
      <w:fldChar w:fldCharType="separate"/>
    </w:r>
    <w:r>
      <w:rPr>
        <w:rStyle w:val="Ninguno"/>
        <w:noProof/>
        <w:sz w:val="14"/>
        <w:szCs w:val="14"/>
      </w:rPr>
      <w:t>2</w:t>
    </w:r>
    <w:r>
      <w:rPr>
        <w:rStyle w:val="Ninguno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9A" w:rsidRDefault="00676F09">
    <w:pPr>
      <w:pStyle w:val="En-tte"/>
      <w:tabs>
        <w:tab w:val="clear" w:pos="4153"/>
        <w:tab w:val="clear" w:pos="8306"/>
      </w:tabs>
      <w:spacing w:before="1680" w:after="60"/>
      <w:jc w:val="cent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1798955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F"/>
    <w:multiLevelType w:val="hybridMultilevel"/>
    <w:tmpl w:val="42DC7968"/>
    <w:styleLink w:val="Estiloimportado5"/>
    <w:lvl w:ilvl="0" w:tplc="183C053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2481FC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03FBC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6CDF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B7AE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44E3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78AAD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E67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CB19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2E43D0"/>
    <w:multiLevelType w:val="hybridMultilevel"/>
    <w:tmpl w:val="A50E7602"/>
    <w:numStyleLink w:val="Estiloimportado4"/>
  </w:abstractNum>
  <w:abstractNum w:abstractNumId="2">
    <w:nsid w:val="1318222E"/>
    <w:multiLevelType w:val="hybridMultilevel"/>
    <w:tmpl w:val="3C46CAF8"/>
    <w:numStyleLink w:val="Estiloimportado1"/>
  </w:abstractNum>
  <w:abstractNum w:abstractNumId="3">
    <w:nsid w:val="23A64532"/>
    <w:multiLevelType w:val="hybridMultilevel"/>
    <w:tmpl w:val="BBA6562E"/>
    <w:numStyleLink w:val="Estiloimportado3"/>
  </w:abstractNum>
  <w:abstractNum w:abstractNumId="4">
    <w:nsid w:val="3DE95746"/>
    <w:multiLevelType w:val="hybridMultilevel"/>
    <w:tmpl w:val="A50E7602"/>
    <w:styleLink w:val="Estiloimportado4"/>
    <w:lvl w:ilvl="0" w:tplc="CF64E19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4A636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ECEBD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AB33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4344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264E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A5654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CD00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ED52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D74058"/>
    <w:multiLevelType w:val="hybridMultilevel"/>
    <w:tmpl w:val="FFCCD31E"/>
    <w:numStyleLink w:val="Estiloimportado2"/>
  </w:abstractNum>
  <w:abstractNum w:abstractNumId="6">
    <w:nsid w:val="62BA3562"/>
    <w:multiLevelType w:val="hybridMultilevel"/>
    <w:tmpl w:val="3C46CAF8"/>
    <w:styleLink w:val="Estiloimportado1"/>
    <w:lvl w:ilvl="0" w:tplc="48E6354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4B12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8A472">
      <w:start w:val="1"/>
      <w:numFmt w:val="lowerRoman"/>
      <w:lvlText w:val="%3."/>
      <w:lvlJc w:val="left"/>
      <w:pPr>
        <w:ind w:left="2007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96B8F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7AF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CE4A6">
      <w:start w:val="1"/>
      <w:numFmt w:val="lowerRoman"/>
      <w:lvlText w:val="%6."/>
      <w:lvlJc w:val="left"/>
      <w:pPr>
        <w:ind w:left="4167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CAA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C21E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8CBD0">
      <w:start w:val="1"/>
      <w:numFmt w:val="lowerRoman"/>
      <w:lvlText w:val="%9."/>
      <w:lvlJc w:val="left"/>
      <w:pPr>
        <w:ind w:left="6327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7492B1F"/>
    <w:multiLevelType w:val="hybridMultilevel"/>
    <w:tmpl w:val="42DC7968"/>
    <w:numStyleLink w:val="Estiloimportado5"/>
  </w:abstractNum>
  <w:abstractNum w:abstractNumId="8">
    <w:nsid w:val="6CF953BB"/>
    <w:multiLevelType w:val="hybridMultilevel"/>
    <w:tmpl w:val="FFCCD31E"/>
    <w:styleLink w:val="Estiloimportado2"/>
    <w:lvl w:ilvl="0" w:tplc="B290D85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E41D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B4B0BC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8212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86BF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4B9B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A61D7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C2A81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C101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77105BA"/>
    <w:multiLevelType w:val="hybridMultilevel"/>
    <w:tmpl w:val="BBA6562E"/>
    <w:styleLink w:val="Estiloimportado3"/>
    <w:lvl w:ilvl="0" w:tplc="8B42E8A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28E26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28AB0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4D03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2633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20CF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08592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4FC0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E8628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2"/>
    <w:lvlOverride w:ilvl="0">
      <w:startOverride w:val="2"/>
    </w:lvlOverride>
  </w:num>
  <w:num w:numId="6">
    <w:abstractNumId w:val="9"/>
  </w:num>
  <w:num w:numId="7">
    <w:abstractNumId w:val="3"/>
  </w:num>
  <w:num w:numId="8">
    <w:abstractNumId w:val="2"/>
    <w:lvlOverride w:ilvl="0">
      <w:startOverride w:val="3"/>
    </w:lvlOverride>
  </w:num>
  <w:num w:numId="9">
    <w:abstractNumId w:val="4"/>
  </w:num>
  <w:num w:numId="10">
    <w:abstractNumId w:val="1"/>
  </w:num>
  <w:num w:numId="11">
    <w:abstractNumId w:val="2"/>
    <w:lvlOverride w:ilvl="0">
      <w:startOverride w:val="4"/>
    </w:lvlOverride>
  </w:num>
  <w:num w:numId="12">
    <w:abstractNumId w:val="0"/>
  </w:num>
  <w:num w:numId="13">
    <w:abstractNumId w:val="7"/>
  </w:num>
  <w:num w:numId="1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789A"/>
    <w:rsid w:val="00676F09"/>
    <w:rsid w:val="009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Pieddepage">
    <w:name w:val="Pied de page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Paragraphedeliste">
    <w:name w:val="Paragraphe de liste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5">
    <w:name w:val="Estilo importado 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Pieddepage">
    <w:name w:val="Pied de page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Paragraphedeliste">
    <w:name w:val="Paragraphe de liste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5">
    <w:name w:val="Estilo importado 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2C30D-3A24-4848-8981-44271EBA6505}"/>
</file>

<file path=customXml/itemProps2.xml><?xml version="1.0" encoding="utf-8"?>
<ds:datastoreItem xmlns:ds="http://schemas.openxmlformats.org/officeDocument/2006/customXml" ds:itemID="{E2B1E61F-57A8-4D5B-9907-1A341BC7B7F0}"/>
</file>

<file path=customXml/itemProps3.xml><?xml version="1.0" encoding="utf-8"?>
<ds:datastoreItem xmlns:ds="http://schemas.openxmlformats.org/officeDocument/2006/customXml" ds:itemID="{53FCEA0D-E832-4A08-8632-EB8DC1FB0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Alina Grigoras</cp:lastModifiedBy>
  <cp:revision>2</cp:revision>
  <dcterms:created xsi:type="dcterms:W3CDTF">2016-07-11T10:06:00Z</dcterms:created>
  <dcterms:modified xsi:type="dcterms:W3CDTF">2016-07-11T10:06:00Z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3622800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