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2769" w:rsidRPr="00750F23" w:rsidRDefault="007B2769" w:rsidP="00AA700A">
      <w:pPr>
        <w:jc w:val="center"/>
        <w:rPr>
          <w:rFonts w:ascii="Times New Roman" w:eastAsia="Times New Roman" w:hAnsi="Times New Roman" w:cs="Times New Roman"/>
          <w:b/>
          <w:sz w:val="24"/>
          <w:szCs w:val="24"/>
          <w:u w:val="single"/>
        </w:rPr>
      </w:pPr>
    </w:p>
    <w:p w:rsidR="000F6896" w:rsidRPr="00750F23" w:rsidRDefault="008F2EE2" w:rsidP="00AA700A">
      <w:pPr>
        <w:jc w:val="center"/>
        <w:rPr>
          <w:rFonts w:ascii="Times New Roman" w:hAnsi="Times New Roman" w:cs="Times New Roman"/>
          <w:b/>
          <w:sz w:val="28"/>
          <w:szCs w:val="24"/>
        </w:rPr>
      </w:pPr>
      <w:r w:rsidRPr="00750F23">
        <w:rPr>
          <w:rFonts w:ascii="Times New Roman" w:eastAsia="Times New Roman" w:hAnsi="Times New Roman" w:cs="Times New Roman"/>
          <w:b/>
          <w:sz w:val="28"/>
          <w:szCs w:val="24"/>
          <w:u w:val="single"/>
        </w:rPr>
        <w:t>Respuesta al Cuestionario sobre políticas inclusivas de la discapacidad</w:t>
      </w:r>
    </w:p>
    <w:p w:rsidR="000F6896" w:rsidRPr="00750F23" w:rsidRDefault="000F6896">
      <w:pPr>
        <w:jc w:val="both"/>
        <w:rPr>
          <w:rFonts w:ascii="Times New Roman" w:hAnsi="Times New Roman" w:cs="Times New Roman"/>
          <w:sz w:val="24"/>
          <w:szCs w:val="24"/>
        </w:rPr>
      </w:pPr>
    </w:p>
    <w:p w:rsidR="007B2769" w:rsidRPr="00750F23" w:rsidRDefault="007B2769" w:rsidP="00AA700A">
      <w:pPr>
        <w:jc w:val="both"/>
        <w:rPr>
          <w:rFonts w:ascii="Times New Roman" w:hAnsi="Times New Roman" w:cs="Times New Roman"/>
          <w:b/>
          <w:sz w:val="24"/>
          <w:szCs w:val="24"/>
        </w:rPr>
      </w:pPr>
    </w:p>
    <w:bookmarkStart w:id="0" w:name="_GoBack"/>
    <w:p w:rsidR="00AA700A" w:rsidRPr="00750F23" w:rsidRDefault="000243D8" w:rsidP="00AA700A">
      <w:pPr>
        <w:jc w:val="both"/>
        <w:rPr>
          <w:rFonts w:ascii="Times New Roman" w:hAnsi="Times New Roman" w:cs="Times New Roman"/>
          <w:b/>
          <w:sz w:val="24"/>
          <w:szCs w:val="24"/>
        </w:rPr>
      </w:pPr>
      <w:r>
        <w:fldChar w:fldCharType="begin"/>
      </w:r>
      <w:r>
        <w:instrText xml:space="preserve"> HYPERLINK "http://paiis.uniandes.edu.co" </w:instrText>
      </w:r>
      <w:r>
        <w:fldChar w:fldCharType="separate"/>
      </w:r>
      <w:r w:rsidR="00AA700A" w:rsidRPr="00750F23">
        <w:rPr>
          <w:rFonts w:ascii="Times New Roman" w:hAnsi="Times New Roman" w:cs="Times New Roman"/>
          <w:b/>
          <w:sz w:val="24"/>
          <w:szCs w:val="24"/>
        </w:rPr>
        <w:t>Universidad de los Andes, Programa de Acción por la Igualdad y la Inclusión Social (PAIIS)</w:t>
      </w:r>
      <w:r>
        <w:rPr>
          <w:rFonts w:ascii="Times New Roman" w:hAnsi="Times New Roman" w:cs="Times New Roman"/>
          <w:b/>
          <w:sz w:val="24"/>
          <w:szCs w:val="24"/>
        </w:rPr>
        <w:fldChar w:fldCharType="end"/>
      </w:r>
    </w:p>
    <w:bookmarkEnd w:id="0"/>
    <w:p w:rsidR="00AA700A" w:rsidRPr="00750F23" w:rsidRDefault="00AA700A">
      <w:pPr>
        <w:pBdr>
          <w:bottom w:val="single" w:sz="12" w:space="1" w:color="auto"/>
        </w:pBdr>
        <w:jc w:val="both"/>
        <w:rPr>
          <w:rFonts w:ascii="Times New Roman" w:hAnsi="Times New Roman" w:cs="Times New Roman"/>
          <w:sz w:val="24"/>
          <w:szCs w:val="24"/>
        </w:rPr>
      </w:pPr>
      <w:r w:rsidRPr="00750F23">
        <w:rPr>
          <w:rFonts w:ascii="Times New Roman" w:hAnsi="Times New Roman" w:cs="Times New Roman"/>
          <w:sz w:val="24"/>
          <w:szCs w:val="24"/>
        </w:rPr>
        <w:t xml:space="preserve">PAIIS es una clínica jurídica de derecho de interés público perteneciente a la Facultad de Derecho de la Universidad de los Andes. Desde el año 2007, PAIIS realiza acciones de incidencia legal y política a nivel nacional e internacional, dirigidas al avance de los derechos de las personas discriminadas por razón de su discapacidad, su género o su orientación sexual, que incluyen litigio estratégico, investigación socio-jurídica, pedagogía en derechos, apoyo técnico en diseño e implementación de políticas públicas y educación en derecho de interés público para futuros profesionales del derecho. PAIIS ha presentado múltiples intervenciones ante la Corte Constitucional y ante organismos internacionales del Sistema Interamericano de Derechos Humanos y el Sistema de Naciones Unidas de Derechos Humanos y trabaja en alianza con organizaciones en Colombia y otros países de la región. </w:t>
      </w:r>
    </w:p>
    <w:p w:rsidR="007B2769" w:rsidRPr="00750F23" w:rsidRDefault="007B2769">
      <w:pPr>
        <w:pBdr>
          <w:bottom w:val="single" w:sz="12" w:space="1" w:color="auto"/>
        </w:pBdr>
        <w:jc w:val="both"/>
        <w:rPr>
          <w:rFonts w:ascii="Times New Roman" w:hAnsi="Times New Roman" w:cs="Times New Roman"/>
          <w:sz w:val="24"/>
          <w:szCs w:val="24"/>
        </w:rPr>
      </w:pPr>
    </w:p>
    <w:p w:rsidR="007B2769" w:rsidRPr="00750F23" w:rsidRDefault="007B2769">
      <w:pPr>
        <w:jc w:val="both"/>
        <w:rPr>
          <w:rFonts w:ascii="Times New Roman" w:hAnsi="Times New Roman" w:cs="Times New Roman"/>
          <w:sz w:val="24"/>
          <w:szCs w:val="24"/>
        </w:rPr>
      </w:pPr>
    </w:p>
    <w:p w:rsidR="000F6896" w:rsidRPr="00750F23" w:rsidRDefault="000F6896">
      <w:pPr>
        <w:jc w:val="both"/>
        <w:rPr>
          <w:rFonts w:ascii="Times New Roman" w:hAnsi="Times New Roman" w:cs="Times New Roman"/>
          <w:sz w:val="24"/>
          <w:szCs w:val="24"/>
        </w:rPr>
      </w:pPr>
    </w:p>
    <w:p w:rsidR="000F6896" w:rsidRPr="00750F23" w:rsidRDefault="007B2769">
      <w:pPr>
        <w:jc w:val="both"/>
        <w:rPr>
          <w:rFonts w:ascii="Times New Roman" w:hAnsi="Times New Roman" w:cs="Times New Roman"/>
          <w:sz w:val="24"/>
          <w:szCs w:val="24"/>
        </w:rPr>
      </w:pPr>
      <w:r w:rsidRPr="00750F23">
        <w:rPr>
          <w:rFonts w:ascii="Times New Roman" w:eastAsia="Times New Roman" w:hAnsi="Times New Roman" w:cs="Times New Roman"/>
          <w:sz w:val="24"/>
          <w:szCs w:val="24"/>
        </w:rPr>
        <w:t>1</w:t>
      </w:r>
      <w:r w:rsidR="008F2EE2" w:rsidRPr="00750F23">
        <w:rPr>
          <w:rFonts w:ascii="Times New Roman" w:eastAsia="Times New Roman" w:hAnsi="Times New Roman" w:cs="Times New Roman"/>
          <w:sz w:val="24"/>
          <w:szCs w:val="24"/>
        </w:rPr>
        <w:t>. Sírvanse proporcionar información sobre el marco legislativo y de políticas existente en su país en relación con l</w:t>
      </w:r>
      <w:r w:rsidR="00AA700A" w:rsidRPr="00750F23">
        <w:rPr>
          <w:rFonts w:ascii="Times New Roman" w:eastAsia="Times New Roman" w:hAnsi="Times New Roman" w:cs="Times New Roman"/>
          <w:sz w:val="24"/>
          <w:szCs w:val="24"/>
        </w:rPr>
        <w:t>a no discriminación, incluyendo:</w:t>
      </w:r>
    </w:p>
    <w:p w:rsidR="000F6896" w:rsidRPr="00750F23" w:rsidRDefault="008F2EE2">
      <w:pPr>
        <w:ind w:left="540" w:hanging="135"/>
        <w:jc w:val="both"/>
        <w:rPr>
          <w:rFonts w:ascii="Times New Roman" w:hAnsi="Times New Roman" w:cs="Times New Roman"/>
          <w:sz w:val="24"/>
          <w:szCs w:val="24"/>
        </w:rPr>
      </w:pPr>
      <w:r w:rsidRPr="00750F23">
        <w:rPr>
          <w:rFonts w:ascii="Times New Roman" w:eastAsia="Times New Roman" w:hAnsi="Times New Roman" w:cs="Times New Roman"/>
          <w:sz w:val="24"/>
          <w:szCs w:val="24"/>
        </w:rPr>
        <w:t>· Si la "discapacidad" se menciona específicamente como un motivo de discriminación prohibido,</w:t>
      </w:r>
    </w:p>
    <w:p w:rsidR="000F6896" w:rsidRPr="00750F23" w:rsidRDefault="008F2EE2">
      <w:pPr>
        <w:ind w:left="540" w:hanging="135"/>
        <w:jc w:val="both"/>
        <w:rPr>
          <w:rFonts w:ascii="Times New Roman" w:hAnsi="Times New Roman" w:cs="Times New Roman"/>
          <w:sz w:val="24"/>
          <w:szCs w:val="24"/>
        </w:rPr>
      </w:pPr>
      <w:r w:rsidRPr="00750F23">
        <w:rPr>
          <w:rFonts w:ascii="Times New Roman" w:eastAsia="Times New Roman" w:hAnsi="Times New Roman" w:cs="Times New Roman"/>
          <w:sz w:val="24"/>
          <w:szCs w:val="24"/>
        </w:rPr>
        <w:t>· La existencia de cualquier mecanismo presupuestario para asegurar la realización de ajustes razonables por parte de entidades públicas,</w:t>
      </w:r>
    </w:p>
    <w:p w:rsidR="000F6896" w:rsidRPr="00750F23" w:rsidRDefault="008F2EE2">
      <w:pPr>
        <w:ind w:left="540" w:hanging="135"/>
        <w:jc w:val="both"/>
        <w:rPr>
          <w:rFonts w:ascii="Times New Roman" w:hAnsi="Times New Roman" w:cs="Times New Roman"/>
          <w:sz w:val="24"/>
          <w:szCs w:val="24"/>
        </w:rPr>
      </w:pPr>
      <w:r w:rsidRPr="00750F23">
        <w:rPr>
          <w:rFonts w:ascii="Times New Roman" w:eastAsia="Times New Roman" w:hAnsi="Times New Roman" w:cs="Times New Roman"/>
          <w:sz w:val="24"/>
          <w:szCs w:val="24"/>
        </w:rPr>
        <w:t>· Si la denegación de ajustes razonables constituye discriminación,</w:t>
      </w:r>
    </w:p>
    <w:p w:rsidR="000F6896" w:rsidRPr="00750F23" w:rsidRDefault="008F2EE2">
      <w:pPr>
        <w:ind w:left="540" w:hanging="135"/>
        <w:jc w:val="both"/>
        <w:rPr>
          <w:rFonts w:ascii="Times New Roman" w:hAnsi="Times New Roman" w:cs="Times New Roman"/>
          <w:sz w:val="24"/>
          <w:szCs w:val="24"/>
        </w:rPr>
      </w:pPr>
      <w:r w:rsidRPr="00750F23">
        <w:rPr>
          <w:rFonts w:ascii="Times New Roman" w:eastAsia="Times New Roman" w:hAnsi="Times New Roman" w:cs="Times New Roman"/>
          <w:sz w:val="24"/>
          <w:szCs w:val="24"/>
        </w:rPr>
        <w:t>· La existencia de las medidas de acción afirmativa para las personas con discapacidad,</w:t>
      </w:r>
    </w:p>
    <w:p w:rsidR="000F6896" w:rsidRPr="00750F23" w:rsidRDefault="008F2EE2">
      <w:pPr>
        <w:ind w:left="540" w:hanging="135"/>
        <w:jc w:val="both"/>
        <w:rPr>
          <w:rFonts w:ascii="Times New Roman" w:hAnsi="Times New Roman" w:cs="Times New Roman"/>
          <w:sz w:val="24"/>
          <w:szCs w:val="24"/>
        </w:rPr>
      </w:pPr>
      <w:r w:rsidRPr="00750F23">
        <w:rPr>
          <w:rFonts w:ascii="Times New Roman" w:eastAsia="Times New Roman" w:hAnsi="Times New Roman" w:cs="Times New Roman"/>
          <w:sz w:val="24"/>
          <w:szCs w:val="24"/>
        </w:rPr>
        <w:t>· La existencia de recursos legales, administrativas o de otro tipo efectivos, disponibles para las personas que hayan sido objeto de discriminación por motivos de discapacidad, incluida la denegación de ajustes razonables,</w:t>
      </w:r>
    </w:p>
    <w:p w:rsidR="000F6896" w:rsidRPr="00750F23" w:rsidRDefault="008F2EE2">
      <w:pPr>
        <w:ind w:left="540" w:hanging="135"/>
        <w:jc w:val="both"/>
        <w:rPr>
          <w:rFonts w:ascii="Times New Roman" w:hAnsi="Times New Roman" w:cs="Times New Roman"/>
          <w:sz w:val="24"/>
          <w:szCs w:val="24"/>
        </w:rPr>
      </w:pPr>
      <w:r w:rsidRPr="00750F23">
        <w:rPr>
          <w:rFonts w:ascii="Times New Roman" w:eastAsia="Times New Roman" w:hAnsi="Times New Roman" w:cs="Times New Roman"/>
          <w:sz w:val="24"/>
          <w:szCs w:val="24"/>
        </w:rPr>
        <w:t>· El establecimiento de agencias gubernamentales u otras instituciones similares para garantizar a las personas con discapacidad protección igual y efectiva contra la discriminación.</w:t>
      </w:r>
    </w:p>
    <w:p w:rsidR="000F6896" w:rsidRPr="00750F23" w:rsidRDefault="000F6896">
      <w:pPr>
        <w:ind w:left="-30"/>
        <w:jc w:val="both"/>
        <w:rPr>
          <w:rFonts w:ascii="Times New Roman" w:hAnsi="Times New Roman" w:cs="Times New Roman"/>
          <w:sz w:val="24"/>
          <w:szCs w:val="24"/>
        </w:rPr>
      </w:pPr>
    </w:p>
    <w:p w:rsidR="000F6896" w:rsidRPr="00750F23" w:rsidRDefault="008F2EE2">
      <w:pPr>
        <w:ind w:left="-30"/>
        <w:jc w:val="both"/>
        <w:rPr>
          <w:rFonts w:ascii="Times New Roman" w:hAnsi="Times New Roman" w:cs="Times New Roman"/>
          <w:sz w:val="24"/>
          <w:szCs w:val="24"/>
        </w:rPr>
      </w:pPr>
      <w:r w:rsidRPr="00750F23">
        <w:rPr>
          <w:rFonts w:ascii="Times New Roman" w:eastAsia="Times New Roman" w:hAnsi="Times New Roman" w:cs="Times New Roman"/>
          <w:sz w:val="24"/>
          <w:szCs w:val="24"/>
        </w:rPr>
        <w:t xml:space="preserve">En Colombia la “discapacidad” sí se considera como un motivo de discriminación prohibido. Aunque esa categoría no está contenida en la lista de criterios sospechosos de discriminación que menciona el artículo 13 de la Constitución Política (dentro del cual se incluyen otros criterios como por ejemplo el sexo, la raza, el origen nacional o familiar, la lengua, y la religión), la jurisprudencia de la Corte Constitucional ha ampliado ese listado y </w:t>
      </w:r>
      <w:r w:rsidRPr="00750F23">
        <w:rPr>
          <w:rFonts w:ascii="Times New Roman" w:eastAsia="Times New Roman" w:hAnsi="Times New Roman" w:cs="Times New Roman"/>
          <w:sz w:val="24"/>
          <w:szCs w:val="24"/>
        </w:rPr>
        <w:lastRenderedPageBreak/>
        <w:t xml:space="preserve">ha incluido la “discapacidad” dentro del catálogo de criterios sospechosos de discriminación. </w:t>
      </w:r>
    </w:p>
    <w:p w:rsidR="000F6896" w:rsidRPr="00750F23" w:rsidRDefault="000F6896">
      <w:pPr>
        <w:ind w:left="-30"/>
        <w:jc w:val="both"/>
        <w:rPr>
          <w:rFonts w:ascii="Times New Roman" w:hAnsi="Times New Roman" w:cs="Times New Roman"/>
          <w:sz w:val="24"/>
          <w:szCs w:val="24"/>
        </w:rPr>
      </w:pPr>
    </w:p>
    <w:p w:rsidR="000F6896" w:rsidRPr="00750F23" w:rsidRDefault="008F2EE2">
      <w:pPr>
        <w:ind w:left="-30"/>
        <w:jc w:val="both"/>
        <w:rPr>
          <w:rFonts w:ascii="Times New Roman" w:hAnsi="Times New Roman" w:cs="Times New Roman"/>
          <w:sz w:val="24"/>
          <w:szCs w:val="24"/>
        </w:rPr>
      </w:pPr>
      <w:r w:rsidRPr="00750F23">
        <w:rPr>
          <w:rFonts w:ascii="Times New Roman" w:eastAsia="Times New Roman" w:hAnsi="Times New Roman" w:cs="Times New Roman"/>
          <w:sz w:val="24"/>
          <w:szCs w:val="24"/>
        </w:rPr>
        <w:t>Así por ejemplo, en las sentencias T-340 de 2010 (MP. Juan Carlos Henao), T-826 de 2004 (MP.</w:t>
      </w:r>
      <w:r w:rsidR="00000037" w:rsidRPr="00750F23">
        <w:rPr>
          <w:rFonts w:ascii="Times New Roman" w:eastAsia="Times New Roman" w:hAnsi="Times New Roman" w:cs="Times New Roman"/>
          <w:sz w:val="24"/>
          <w:szCs w:val="24"/>
        </w:rPr>
        <w:t xml:space="preserve"> </w:t>
      </w:r>
      <w:r w:rsidRPr="00750F23">
        <w:rPr>
          <w:rFonts w:ascii="Times New Roman" w:eastAsia="Times New Roman" w:hAnsi="Times New Roman" w:cs="Times New Roman"/>
          <w:sz w:val="24"/>
          <w:szCs w:val="24"/>
        </w:rPr>
        <w:t xml:space="preserve">(e). Rodrigo Uprimny), T-378 de 1997 (MP. Eduardo Cifuentes) y T-288 de 1995 (MP. Eduardo Cifuentes) la Corte ha dicho que el texto del artículo 13 constitucional, que habla sobre los criterios sospechosos de discriminación, no debe entenderse como un listado taxativo sino como uno meramente enunciativo y que, en esa medida, siempre y cuando un criterio de diferenciación cumpla con una serie de requisitos -que a continuación se van a especificar- éste debía entenderse como un criterio sospechoso de discriminación. </w:t>
      </w:r>
    </w:p>
    <w:p w:rsidR="000F6896" w:rsidRPr="00750F23" w:rsidRDefault="000F6896">
      <w:pPr>
        <w:ind w:left="-30"/>
        <w:jc w:val="both"/>
        <w:rPr>
          <w:rFonts w:ascii="Times New Roman" w:hAnsi="Times New Roman" w:cs="Times New Roman"/>
          <w:sz w:val="24"/>
          <w:szCs w:val="24"/>
        </w:rPr>
      </w:pPr>
    </w:p>
    <w:p w:rsidR="000F6896" w:rsidRPr="00750F23" w:rsidRDefault="008F2EE2">
      <w:pPr>
        <w:ind w:left="-30"/>
        <w:jc w:val="both"/>
        <w:rPr>
          <w:rFonts w:ascii="Times New Roman" w:hAnsi="Times New Roman" w:cs="Times New Roman"/>
          <w:sz w:val="24"/>
          <w:szCs w:val="24"/>
        </w:rPr>
      </w:pPr>
      <w:r w:rsidRPr="00750F23">
        <w:rPr>
          <w:rFonts w:ascii="Times New Roman" w:eastAsia="Times New Roman" w:hAnsi="Times New Roman" w:cs="Times New Roman"/>
          <w:sz w:val="24"/>
          <w:szCs w:val="24"/>
        </w:rPr>
        <w:t xml:space="preserve">Sobre este punto resulta especialmente ilustrativo lo que </w:t>
      </w:r>
      <w:r w:rsidR="007B2769" w:rsidRPr="00750F23">
        <w:rPr>
          <w:rFonts w:ascii="Times New Roman" w:eastAsia="Times New Roman" w:hAnsi="Times New Roman" w:cs="Times New Roman"/>
          <w:sz w:val="24"/>
          <w:szCs w:val="24"/>
        </w:rPr>
        <w:t xml:space="preserve">señaló </w:t>
      </w:r>
      <w:r w:rsidRPr="00750F23">
        <w:rPr>
          <w:rFonts w:ascii="Times New Roman" w:eastAsia="Times New Roman" w:hAnsi="Times New Roman" w:cs="Times New Roman"/>
          <w:sz w:val="24"/>
          <w:szCs w:val="24"/>
        </w:rPr>
        <w:t xml:space="preserve">la Corte Constitucional en la sentencia T-826 de 2004:  </w:t>
      </w:r>
    </w:p>
    <w:p w:rsidR="000F6896" w:rsidRPr="00750F23" w:rsidRDefault="000F6896">
      <w:pPr>
        <w:ind w:left="-30"/>
        <w:jc w:val="both"/>
        <w:rPr>
          <w:rFonts w:ascii="Times New Roman" w:hAnsi="Times New Roman" w:cs="Times New Roman"/>
          <w:sz w:val="24"/>
          <w:szCs w:val="24"/>
        </w:rPr>
      </w:pPr>
    </w:p>
    <w:p w:rsidR="000F6896" w:rsidRPr="00750F23" w:rsidRDefault="008F2EE2">
      <w:pPr>
        <w:ind w:left="540"/>
        <w:jc w:val="both"/>
        <w:rPr>
          <w:rFonts w:ascii="Times New Roman" w:hAnsi="Times New Roman" w:cs="Times New Roman"/>
          <w:sz w:val="24"/>
          <w:szCs w:val="24"/>
        </w:rPr>
      </w:pPr>
      <w:r w:rsidRPr="00750F23">
        <w:rPr>
          <w:rFonts w:ascii="Times New Roman" w:eastAsia="Times New Roman" w:hAnsi="Times New Roman" w:cs="Times New Roman"/>
          <w:i/>
          <w:color w:val="2D2D2D"/>
          <w:sz w:val="24"/>
          <w:szCs w:val="24"/>
          <w:highlight w:val="white"/>
        </w:rPr>
        <w:t>Aunque el artículo 13 superior no menciona explícitamente la discapacidad como un criterio “sospechoso” o constitucionalmente prohibido para limitar los beneficios a las personas, es claro que, conforme a los criterios desarrollados por esta Corte y por la doctrina internacional de derechos humanos, la discapacidad es un criterio prohibido para establecer diferencias en contra de las personas … el caso de los discapacitados es paradigmático, ya que concurren en él tres de los factores que determinan criterios diferenciadores como sospechosos: la inmodificabilidad de los rasgos externos determinada por la manifestación de la propia discapacidad, una historia de discriminación caracterizada por el aislamiento y la segregación, y finalmente, una propensión social a desarrollar sentimientos de rechazo de temor o de desconfianza ante la manifestación de la diferencia.</w:t>
      </w:r>
      <w:r w:rsidRPr="00750F23">
        <w:rPr>
          <w:rFonts w:ascii="Times New Roman" w:eastAsia="Times New Roman" w:hAnsi="Times New Roman" w:cs="Times New Roman"/>
          <w:color w:val="2D2D2D"/>
          <w:sz w:val="24"/>
          <w:szCs w:val="24"/>
          <w:highlight w:val="white"/>
        </w:rPr>
        <w:t xml:space="preserve"> (Subrayado por fuera del original).</w:t>
      </w:r>
    </w:p>
    <w:p w:rsidR="000F6896" w:rsidRPr="00750F23" w:rsidRDefault="000F6896">
      <w:pPr>
        <w:ind w:left="540"/>
        <w:jc w:val="both"/>
        <w:rPr>
          <w:rFonts w:ascii="Times New Roman" w:hAnsi="Times New Roman" w:cs="Times New Roman"/>
          <w:sz w:val="24"/>
          <w:szCs w:val="24"/>
        </w:rPr>
      </w:pPr>
    </w:p>
    <w:p w:rsidR="000F6896" w:rsidRPr="00750F23" w:rsidRDefault="008F2EE2">
      <w:pPr>
        <w:jc w:val="both"/>
        <w:rPr>
          <w:rFonts w:ascii="Times New Roman" w:hAnsi="Times New Roman" w:cs="Times New Roman"/>
          <w:sz w:val="24"/>
          <w:szCs w:val="24"/>
        </w:rPr>
      </w:pPr>
      <w:r w:rsidRPr="00750F23">
        <w:rPr>
          <w:rFonts w:ascii="Times New Roman" w:eastAsia="Times New Roman" w:hAnsi="Times New Roman" w:cs="Times New Roman"/>
          <w:color w:val="2D2D2D"/>
          <w:sz w:val="24"/>
          <w:szCs w:val="24"/>
          <w:highlight w:val="white"/>
        </w:rPr>
        <w:t xml:space="preserve">La pregunta acerca de si la denegación de ajustes razonables constituye discriminación ha sido ampliamente abordada por la jurisprudencia de la Corte Constitucional. La respuesta que el alto tribunal le ha dado al interrogante ha sido, en la inmensa mayoría de los casos, afirmativa. La Corte Constitucional ha sentado entonces un sólido precedente judicial que obliga a los operadores y autoridades judiciales a considerar la denegación de ajustes razonables como una forma de discriminación. </w:t>
      </w:r>
    </w:p>
    <w:p w:rsidR="000F6896" w:rsidRPr="00750F23" w:rsidRDefault="000F6896">
      <w:pPr>
        <w:jc w:val="both"/>
        <w:rPr>
          <w:rFonts w:ascii="Times New Roman" w:hAnsi="Times New Roman" w:cs="Times New Roman"/>
          <w:sz w:val="24"/>
          <w:szCs w:val="24"/>
        </w:rPr>
      </w:pPr>
    </w:p>
    <w:p w:rsidR="000F6896" w:rsidRPr="00750F23" w:rsidRDefault="008F2EE2">
      <w:pPr>
        <w:jc w:val="both"/>
        <w:rPr>
          <w:rFonts w:ascii="Times New Roman" w:hAnsi="Times New Roman" w:cs="Times New Roman"/>
          <w:sz w:val="24"/>
          <w:szCs w:val="24"/>
        </w:rPr>
      </w:pPr>
      <w:r w:rsidRPr="00750F23">
        <w:rPr>
          <w:rFonts w:ascii="Times New Roman" w:eastAsia="Times New Roman" w:hAnsi="Times New Roman" w:cs="Times New Roman"/>
          <w:color w:val="2D2D2D"/>
          <w:sz w:val="24"/>
          <w:szCs w:val="24"/>
          <w:highlight w:val="white"/>
        </w:rPr>
        <w:t>Esta posición se puede constatar, entre otras, en las siguientes sentencias: T- 933 de 2013 (MP. Jorge Pretelt), T- 427 de 2012</w:t>
      </w:r>
      <w:r w:rsidR="00BE001B">
        <w:rPr>
          <w:rFonts w:ascii="Times New Roman" w:eastAsia="Times New Roman" w:hAnsi="Times New Roman" w:cs="Times New Roman"/>
          <w:color w:val="2D2D2D"/>
          <w:sz w:val="24"/>
          <w:szCs w:val="24"/>
          <w:highlight w:val="white"/>
        </w:rPr>
        <w:t xml:space="preserve"> (MP. Marí</w:t>
      </w:r>
      <w:r w:rsidRPr="00750F23">
        <w:rPr>
          <w:rFonts w:ascii="Times New Roman" w:eastAsia="Times New Roman" w:hAnsi="Times New Roman" w:cs="Times New Roman"/>
          <w:color w:val="2D2D2D"/>
          <w:sz w:val="24"/>
          <w:szCs w:val="24"/>
          <w:highlight w:val="white"/>
        </w:rPr>
        <w:t xml:space="preserve">a Victoria Calle), T-340 de 2010 (MP. Juan Carlos Henao). Por ejemplo, al fallar un caso de un estudiante en situación de discapacidad cuya solicitud de condonación de un crédito educativo al ICETEX (Instituto Colombiano de Crédito Educativo y Estudios Técnicos en el Exterior) fue denegada, la Corte Constitucional, </w:t>
      </w:r>
      <w:r w:rsidR="00BB222A" w:rsidRPr="00750F23">
        <w:rPr>
          <w:rFonts w:ascii="Times New Roman" w:eastAsia="Times New Roman" w:hAnsi="Times New Roman" w:cs="Times New Roman"/>
          <w:color w:val="2D2D2D"/>
          <w:sz w:val="24"/>
          <w:szCs w:val="24"/>
          <w:highlight w:val="white"/>
        </w:rPr>
        <w:t>en sentencia</w:t>
      </w:r>
      <w:r w:rsidRPr="00750F23">
        <w:rPr>
          <w:rFonts w:ascii="Times New Roman" w:eastAsia="Times New Roman" w:hAnsi="Times New Roman" w:cs="Times New Roman"/>
          <w:color w:val="2D2D2D"/>
          <w:sz w:val="24"/>
          <w:szCs w:val="24"/>
          <w:highlight w:val="white"/>
        </w:rPr>
        <w:t xml:space="preserve"> T-933 de 2013, concluyó: </w:t>
      </w:r>
    </w:p>
    <w:p w:rsidR="000F6896" w:rsidRPr="00750F23" w:rsidRDefault="000F6896">
      <w:pPr>
        <w:jc w:val="both"/>
        <w:rPr>
          <w:rFonts w:ascii="Times New Roman" w:hAnsi="Times New Roman" w:cs="Times New Roman"/>
          <w:sz w:val="24"/>
          <w:szCs w:val="24"/>
        </w:rPr>
      </w:pPr>
    </w:p>
    <w:p w:rsidR="000F6896" w:rsidRPr="00750F23" w:rsidRDefault="00BB222A">
      <w:pPr>
        <w:ind w:left="540"/>
        <w:jc w:val="both"/>
        <w:rPr>
          <w:rFonts w:ascii="Times New Roman" w:hAnsi="Times New Roman" w:cs="Times New Roman"/>
          <w:sz w:val="24"/>
          <w:szCs w:val="24"/>
        </w:rPr>
      </w:pPr>
      <w:r w:rsidRPr="00750F23">
        <w:rPr>
          <w:rFonts w:ascii="Times New Roman" w:eastAsia="Times New Roman" w:hAnsi="Times New Roman" w:cs="Times New Roman"/>
          <w:i/>
          <w:color w:val="2D2D2D"/>
          <w:sz w:val="24"/>
          <w:szCs w:val="24"/>
          <w:highlight w:val="white"/>
        </w:rPr>
        <w:lastRenderedPageBreak/>
        <w:t>“</w:t>
      </w:r>
      <w:r w:rsidR="008F2EE2" w:rsidRPr="00750F23">
        <w:rPr>
          <w:rFonts w:ascii="Times New Roman" w:eastAsia="Times New Roman" w:hAnsi="Times New Roman" w:cs="Times New Roman"/>
          <w:i/>
          <w:color w:val="2D2D2D"/>
          <w:sz w:val="24"/>
          <w:szCs w:val="24"/>
          <w:highlight w:val="white"/>
        </w:rPr>
        <w:t>La Sala encuentra que la norma del Reglamento del Crédito Educativo que regula lo atinente a la condonación de la deuda de los créditos otorgados, vulnera el derecho a la igualdad de las personas con discapacidad al no contemplar ajustes razonables que tengan en cuenta su circunstancia específica</w:t>
      </w:r>
      <w:r w:rsidR="008F2EE2" w:rsidRPr="00750F23">
        <w:rPr>
          <w:rFonts w:ascii="Times New Roman" w:eastAsia="Times New Roman" w:hAnsi="Times New Roman" w:cs="Times New Roman"/>
          <w:color w:val="2D2D2D"/>
          <w:sz w:val="24"/>
          <w:szCs w:val="24"/>
          <w:highlight w:val="white"/>
        </w:rPr>
        <w:t>.</w:t>
      </w:r>
      <w:r w:rsidRPr="00750F23">
        <w:rPr>
          <w:rFonts w:ascii="Times New Roman" w:eastAsia="Times New Roman" w:hAnsi="Times New Roman" w:cs="Times New Roman"/>
          <w:color w:val="2D2D2D"/>
          <w:sz w:val="24"/>
          <w:szCs w:val="24"/>
        </w:rPr>
        <w:t>”</w:t>
      </w:r>
    </w:p>
    <w:p w:rsidR="000F6896" w:rsidRPr="00750F23" w:rsidRDefault="000F6896">
      <w:pPr>
        <w:jc w:val="both"/>
        <w:rPr>
          <w:rFonts w:ascii="Times New Roman" w:hAnsi="Times New Roman" w:cs="Times New Roman"/>
          <w:sz w:val="24"/>
          <w:szCs w:val="24"/>
        </w:rPr>
      </w:pPr>
    </w:p>
    <w:p w:rsidR="000F6896" w:rsidRPr="00750F23" w:rsidRDefault="008F2EE2">
      <w:pPr>
        <w:jc w:val="both"/>
        <w:rPr>
          <w:rFonts w:ascii="Times New Roman" w:hAnsi="Times New Roman" w:cs="Times New Roman"/>
          <w:sz w:val="24"/>
          <w:szCs w:val="24"/>
        </w:rPr>
      </w:pPr>
      <w:r w:rsidRPr="00750F23">
        <w:rPr>
          <w:rFonts w:ascii="Times New Roman" w:eastAsia="Times New Roman" w:hAnsi="Times New Roman" w:cs="Times New Roman"/>
          <w:color w:val="2D2D2D"/>
          <w:sz w:val="24"/>
          <w:szCs w:val="24"/>
          <w:highlight w:val="white"/>
        </w:rPr>
        <w:t xml:space="preserve">La pregunta sobre si en Colombia existen acciones afirmativas para la población en situación de discapacidad debe contestarse afirmativamente. Esto, porque en diversos instrumentos legales se pueden encontrar este tipo medidas a favor de las personas con discapacidad. </w:t>
      </w:r>
    </w:p>
    <w:p w:rsidR="000F6896" w:rsidRPr="00750F23" w:rsidRDefault="000F6896">
      <w:pPr>
        <w:jc w:val="both"/>
        <w:rPr>
          <w:rFonts w:ascii="Times New Roman" w:hAnsi="Times New Roman" w:cs="Times New Roman"/>
          <w:sz w:val="24"/>
          <w:szCs w:val="24"/>
        </w:rPr>
      </w:pPr>
    </w:p>
    <w:p w:rsidR="000F6896" w:rsidRPr="00750F23" w:rsidRDefault="008F2EE2">
      <w:pPr>
        <w:jc w:val="both"/>
        <w:rPr>
          <w:rFonts w:ascii="Times New Roman" w:hAnsi="Times New Roman" w:cs="Times New Roman"/>
          <w:sz w:val="24"/>
          <w:szCs w:val="24"/>
        </w:rPr>
      </w:pPr>
      <w:r w:rsidRPr="00750F23">
        <w:rPr>
          <w:rFonts w:ascii="Times New Roman" w:eastAsia="Times New Roman" w:hAnsi="Times New Roman" w:cs="Times New Roman"/>
          <w:color w:val="2D2D2D"/>
          <w:sz w:val="24"/>
          <w:szCs w:val="24"/>
          <w:highlight w:val="white"/>
        </w:rPr>
        <w:t xml:space="preserve">Antes de proceder a especificar en qué consisten estas medidas, es importante aclarar que cuando hablamos de acciones afirmativas nos referimos a las medidas, instrumentos y estrategias de política pública que establecen algún trato ventajoso a favor de algún grupo poblacional que ha sido históricamente discriminado o marginado, con el objetivo de lograr mayores niveles de equidad y de integración social. </w:t>
      </w:r>
    </w:p>
    <w:p w:rsidR="000F6896" w:rsidRPr="00750F23" w:rsidRDefault="000F6896">
      <w:pPr>
        <w:jc w:val="both"/>
        <w:rPr>
          <w:rFonts w:ascii="Times New Roman" w:hAnsi="Times New Roman" w:cs="Times New Roman"/>
          <w:sz w:val="24"/>
          <w:szCs w:val="24"/>
        </w:rPr>
      </w:pPr>
    </w:p>
    <w:p w:rsidR="000F6896" w:rsidRPr="00750F23" w:rsidRDefault="008F2EE2">
      <w:pPr>
        <w:jc w:val="both"/>
        <w:rPr>
          <w:rFonts w:ascii="Times New Roman" w:hAnsi="Times New Roman" w:cs="Times New Roman"/>
          <w:sz w:val="24"/>
          <w:szCs w:val="24"/>
        </w:rPr>
      </w:pPr>
      <w:r w:rsidRPr="00750F23">
        <w:rPr>
          <w:rFonts w:ascii="Times New Roman" w:eastAsia="Times New Roman" w:hAnsi="Times New Roman" w:cs="Times New Roman"/>
          <w:color w:val="2D2D2D"/>
          <w:sz w:val="24"/>
          <w:szCs w:val="24"/>
          <w:highlight w:val="white"/>
        </w:rPr>
        <w:t>Dicho esto entonces, en primer lugar, el artículo 47 de la Constitución Política establece que “</w:t>
      </w:r>
      <w:r w:rsidRPr="00750F23">
        <w:rPr>
          <w:rFonts w:ascii="Times New Roman" w:eastAsia="Times New Roman" w:hAnsi="Times New Roman" w:cs="Times New Roman"/>
          <w:i/>
          <w:sz w:val="24"/>
          <w:szCs w:val="24"/>
          <w:highlight w:val="white"/>
        </w:rPr>
        <w:t xml:space="preserve">El Estado adelantará una política de previsión, rehabilitación e integración social para los disminuidos </w:t>
      </w:r>
      <w:r w:rsidRPr="00750F23">
        <w:rPr>
          <w:rFonts w:ascii="Times New Roman" w:eastAsia="Times New Roman" w:hAnsi="Times New Roman" w:cs="Times New Roman"/>
          <w:sz w:val="24"/>
          <w:szCs w:val="24"/>
          <w:highlight w:val="white"/>
        </w:rPr>
        <w:t xml:space="preserve">(SIC) </w:t>
      </w:r>
      <w:r w:rsidRPr="00750F23">
        <w:rPr>
          <w:rFonts w:ascii="Times New Roman" w:eastAsia="Times New Roman" w:hAnsi="Times New Roman" w:cs="Times New Roman"/>
          <w:i/>
          <w:sz w:val="24"/>
          <w:szCs w:val="24"/>
          <w:highlight w:val="white"/>
        </w:rPr>
        <w:t>físicos, sensoriales y psíquicos, a quienes se prestará la atención especializada que requieran</w:t>
      </w:r>
      <w:r w:rsidRPr="00750F23">
        <w:rPr>
          <w:rFonts w:ascii="Times New Roman" w:eastAsia="Times New Roman" w:hAnsi="Times New Roman" w:cs="Times New Roman"/>
          <w:color w:val="2D2D2D"/>
          <w:sz w:val="24"/>
          <w:szCs w:val="24"/>
          <w:highlight w:val="white"/>
        </w:rPr>
        <w:t xml:space="preserve">”. </w:t>
      </w:r>
    </w:p>
    <w:p w:rsidR="000F6896" w:rsidRPr="00750F23" w:rsidRDefault="000F6896">
      <w:pPr>
        <w:jc w:val="both"/>
        <w:rPr>
          <w:rFonts w:ascii="Times New Roman" w:hAnsi="Times New Roman" w:cs="Times New Roman"/>
          <w:sz w:val="24"/>
          <w:szCs w:val="24"/>
        </w:rPr>
      </w:pPr>
    </w:p>
    <w:p w:rsidR="000F6896" w:rsidRPr="00750F23" w:rsidRDefault="008F2EE2">
      <w:pPr>
        <w:jc w:val="both"/>
        <w:rPr>
          <w:rFonts w:ascii="Times New Roman" w:hAnsi="Times New Roman" w:cs="Times New Roman"/>
          <w:sz w:val="24"/>
          <w:szCs w:val="24"/>
        </w:rPr>
      </w:pPr>
      <w:r w:rsidRPr="00750F23">
        <w:rPr>
          <w:rFonts w:ascii="Times New Roman" w:eastAsia="Times New Roman" w:hAnsi="Times New Roman" w:cs="Times New Roman"/>
          <w:color w:val="2D2D2D"/>
          <w:sz w:val="24"/>
          <w:szCs w:val="24"/>
          <w:highlight w:val="white"/>
        </w:rPr>
        <w:t xml:space="preserve">En desarrollo de ese artículo se han expedido los siguientes instrumentos legales: </w:t>
      </w:r>
    </w:p>
    <w:p w:rsidR="000F6896" w:rsidRPr="00750F23" w:rsidRDefault="000F6896">
      <w:pPr>
        <w:jc w:val="both"/>
        <w:rPr>
          <w:rFonts w:ascii="Times New Roman" w:hAnsi="Times New Roman" w:cs="Times New Roman"/>
          <w:sz w:val="24"/>
          <w:szCs w:val="24"/>
        </w:rPr>
      </w:pPr>
    </w:p>
    <w:p w:rsidR="000F6896" w:rsidRPr="00750F23" w:rsidRDefault="008F2EE2">
      <w:pPr>
        <w:jc w:val="both"/>
        <w:rPr>
          <w:rFonts w:ascii="Times New Roman" w:hAnsi="Times New Roman" w:cs="Times New Roman"/>
          <w:sz w:val="24"/>
          <w:szCs w:val="24"/>
        </w:rPr>
      </w:pPr>
      <w:r w:rsidRPr="00750F23">
        <w:rPr>
          <w:rFonts w:ascii="Times New Roman" w:eastAsia="Times New Roman" w:hAnsi="Times New Roman" w:cs="Times New Roman"/>
          <w:color w:val="2D2D2D"/>
          <w:sz w:val="24"/>
          <w:szCs w:val="24"/>
          <w:highlight w:val="white"/>
        </w:rPr>
        <w:t xml:space="preserve">El </w:t>
      </w:r>
      <w:r w:rsidR="00BB222A" w:rsidRPr="00750F23">
        <w:rPr>
          <w:rFonts w:ascii="Times New Roman" w:eastAsia="Times New Roman" w:hAnsi="Times New Roman" w:cs="Times New Roman"/>
          <w:color w:val="2D2D2D"/>
          <w:sz w:val="24"/>
          <w:szCs w:val="24"/>
          <w:highlight w:val="white"/>
        </w:rPr>
        <w:t>Conpes</w:t>
      </w:r>
      <w:r w:rsidRPr="00750F23">
        <w:rPr>
          <w:rFonts w:ascii="Times New Roman" w:eastAsia="Times New Roman" w:hAnsi="Times New Roman" w:cs="Times New Roman"/>
          <w:color w:val="2D2D2D"/>
          <w:sz w:val="24"/>
          <w:szCs w:val="24"/>
          <w:highlight w:val="white"/>
        </w:rPr>
        <w:t xml:space="preserve"> 80 de 2004, que tiene como propósito definir la </w:t>
      </w:r>
      <w:r w:rsidRPr="00750F23">
        <w:rPr>
          <w:rFonts w:ascii="Times New Roman" w:eastAsia="Times New Roman" w:hAnsi="Times New Roman" w:cs="Times New Roman"/>
          <w:color w:val="333333"/>
          <w:sz w:val="24"/>
          <w:szCs w:val="24"/>
          <w:highlight w:val="white"/>
        </w:rPr>
        <w:t xml:space="preserve">Política Pública Nacional de Discapacidad. Este documento </w:t>
      </w:r>
      <w:r w:rsidRPr="00750F23">
        <w:rPr>
          <w:rFonts w:ascii="Times New Roman" w:eastAsia="Times New Roman" w:hAnsi="Times New Roman" w:cs="Times New Roman"/>
          <w:color w:val="2D2D2D"/>
          <w:sz w:val="24"/>
          <w:szCs w:val="24"/>
          <w:highlight w:val="white"/>
        </w:rPr>
        <w:t xml:space="preserve">se ha convertido en una herramienta clave para crear, ordenar y articular la oferta institucional </w:t>
      </w:r>
      <w:r w:rsidR="00BB222A" w:rsidRPr="00750F23">
        <w:rPr>
          <w:rFonts w:ascii="Times New Roman" w:eastAsia="Times New Roman" w:hAnsi="Times New Roman" w:cs="Times New Roman"/>
          <w:color w:val="2D2D2D"/>
          <w:sz w:val="24"/>
          <w:szCs w:val="24"/>
          <w:highlight w:val="white"/>
        </w:rPr>
        <w:t>pública</w:t>
      </w:r>
      <w:r w:rsidRPr="00750F23">
        <w:rPr>
          <w:rFonts w:ascii="Times New Roman" w:eastAsia="Times New Roman" w:hAnsi="Times New Roman" w:cs="Times New Roman"/>
          <w:color w:val="2D2D2D"/>
          <w:sz w:val="24"/>
          <w:szCs w:val="24"/>
          <w:highlight w:val="white"/>
        </w:rPr>
        <w:t xml:space="preserve"> y privada -tanto a nivel nacional como en el plano municipal- encaminada a garantizar los derechos y la </w:t>
      </w:r>
      <w:r w:rsidR="00BB222A" w:rsidRPr="00750F23">
        <w:rPr>
          <w:rFonts w:ascii="Times New Roman" w:eastAsia="Times New Roman" w:hAnsi="Times New Roman" w:cs="Times New Roman"/>
          <w:color w:val="2D2D2D"/>
          <w:sz w:val="24"/>
          <w:szCs w:val="24"/>
          <w:highlight w:val="white"/>
        </w:rPr>
        <w:t>inclusión</w:t>
      </w:r>
      <w:r w:rsidRPr="00750F23">
        <w:rPr>
          <w:rFonts w:ascii="Times New Roman" w:eastAsia="Times New Roman" w:hAnsi="Times New Roman" w:cs="Times New Roman"/>
          <w:color w:val="2D2D2D"/>
          <w:sz w:val="24"/>
          <w:szCs w:val="24"/>
          <w:highlight w:val="white"/>
        </w:rPr>
        <w:t xml:space="preserve"> social de las personas con discapacidad. Este documento contempla, dentro de las estrategias tendientes a lograr mayores niveles de inclusión de la población en situación de discapacidad y como parte del programa para el manejo social del riesgo asociado a discapacidad, las siguientes disposiciones: </w:t>
      </w:r>
    </w:p>
    <w:p w:rsidR="000F6896" w:rsidRPr="00750F23" w:rsidRDefault="000F6896">
      <w:pPr>
        <w:jc w:val="both"/>
        <w:rPr>
          <w:rFonts w:ascii="Times New Roman" w:hAnsi="Times New Roman" w:cs="Times New Roman"/>
          <w:sz w:val="24"/>
          <w:szCs w:val="24"/>
        </w:rPr>
      </w:pPr>
    </w:p>
    <w:p w:rsidR="000F6896" w:rsidRPr="00750F23" w:rsidRDefault="008F2EE2" w:rsidP="007B2769">
      <w:pPr>
        <w:ind w:left="540"/>
        <w:jc w:val="both"/>
        <w:rPr>
          <w:rFonts w:ascii="Times New Roman" w:hAnsi="Times New Roman" w:cs="Times New Roman"/>
          <w:sz w:val="24"/>
          <w:szCs w:val="24"/>
        </w:rPr>
      </w:pPr>
      <w:r w:rsidRPr="00750F23">
        <w:rPr>
          <w:rFonts w:ascii="Times New Roman" w:eastAsia="Times New Roman" w:hAnsi="Times New Roman" w:cs="Times New Roman"/>
          <w:i/>
          <w:color w:val="2D2D2D"/>
          <w:sz w:val="24"/>
          <w:szCs w:val="24"/>
          <w:highlight w:val="white"/>
        </w:rPr>
        <w:t>La prevención de riesgos sociales (políticas de seguridad alimentaria y nutrición, laboral y de reducción del trabajo infantil, discriminación positiva y acción afirmativa para minorías y grupos vulnerables, discriminación negativa del discapacitado)</w:t>
      </w:r>
      <w:r w:rsidRPr="00750F23">
        <w:rPr>
          <w:rFonts w:ascii="Times New Roman" w:eastAsia="Times New Roman" w:hAnsi="Times New Roman" w:cs="Times New Roman"/>
          <w:color w:val="2D2D2D"/>
          <w:sz w:val="24"/>
          <w:szCs w:val="24"/>
          <w:highlight w:val="white"/>
        </w:rPr>
        <w:t xml:space="preserve"> </w:t>
      </w:r>
    </w:p>
    <w:p w:rsidR="000F6896" w:rsidRPr="00750F23" w:rsidRDefault="008F2EE2" w:rsidP="007B2769">
      <w:pPr>
        <w:ind w:left="540"/>
        <w:jc w:val="both"/>
        <w:rPr>
          <w:rFonts w:ascii="Times New Roman" w:hAnsi="Times New Roman" w:cs="Times New Roman"/>
          <w:sz w:val="24"/>
          <w:szCs w:val="24"/>
        </w:rPr>
      </w:pPr>
      <w:r w:rsidRPr="00750F23">
        <w:rPr>
          <w:rFonts w:ascii="Times New Roman" w:eastAsia="Times New Roman" w:hAnsi="Times New Roman" w:cs="Times New Roman"/>
          <w:color w:val="2D2D2D"/>
          <w:sz w:val="24"/>
          <w:szCs w:val="24"/>
          <w:highlight w:val="white"/>
        </w:rPr>
        <w:t xml:space="preserve">(...) </w:t>
      </w:r>
    </w:p>
    <w:p w:rsidR="000F6896" w:rsidRPr="00750F23" w:rsidRDefault="008F2EE2">
      <w:pPr>
        <w:ind w:left="540"/>
        <w:jc w:val="both"/>
        <w:rPr>
          <w:rFonts w:ascii="Times New Roman" w:hAnsi="Times New Roman" w:cs="Times New Roman"/>
          <w:sz w:val="24"/>
          <w:szCs w:val="24"/>
        </w:rPr>
      </w:pPr>
      <w:r w:rsidRPr="00750F23">
        <w:rPr>
          <w:rFonts w:ascii="Times New Roman" w:eastAsia="Times New Roman" w:hAnsi="Times New Roman" w:cs="Times New Roman"/>
          <w:i/>
          <w:color w:val="2D2D2D"/>
          <w:sz w:val="24"/>
          <w:szCs w:val="24"/>
          <w:highlight w:val="white"/>
        </w:rPr>
        <w:t xml:space="preserve">Políticas, programas y acciones orientadas a modificar el imaginario social sobre la situación de discapacidad (acción afirmativa, discriminación positiva, eliminación de barreras de acceso, equiparación de oportunidades, promoción de atención – </w:t>
      </w:r>
      <w:r w:rsidRPr="00750F23">
        <w:rPr>
          <w:rFonts w:ascii="Times New Roman" w:eastAsia="Times New Roman" w:hAnsi="Times New Roman" w:cs="Times New Roman"/>
          <w:i/>
          <w:color w:val="2D2D2D"/>
          <w:sz w:val="24"/>
          <w:szCs w:val="24"/>
          <w:highlight w:val="white"/>
        </w:rPr>
        <w:lastRenderedPageBreak/>
        <w:t>rehabilitación en medio social comunitario, integración educativa y en capacitación laboral</w:t>
      </w:r>
      <w:r w:rsidR="00B24619" w:rsidRPr="00750F23">
        <w:rPr>
          <w:rFonts w:ascii="Times New Roman" w:eastAsia="Times New Roman" w:hAnsi="Times New Roman" w:cs="Times New Roman"/>
          <w:color w:val="2D2D2D"/>
          <w:sz w:val="24"/>
          <w:szCs w:val="24"/>
        </w:rPr>
        <w:t>.</w:t>
      </w:r>
    </w:p>
    <w:p w:rsidR="000F6896" w:rsidRPr="00750F23" w:rsidRDefault="000F6896">
      <w:pPr>
        <w:jc w:val="both"/>
        <w:rPr>
          <w:rFonts w:ascii="Times New Roman" w:hAnsi="Times New Roman" w:cs="Times New Roman"/>
          <w:sz w:val="24"/>
          <w:szCs w:val="24"/>
        </w:rPr>
      </w:pPr>
    </w:p>
    <w:p w:rsidR="000F6896" w:rsidRPr="00750F23" w:rsidRDefault="008F2EE2">
      <w:pPr>
        <w:jc w:val="both"/>
        <w:rPr>
          <w:rFonts w:ascii="Times New Roman" w:hAnsi="Times New Roman" w:cs="Times New Roman"/>
          <w:sz w:val="24"/>
          <w:szCs w:val="24"/>
        </w:rPr>
      </w:pPr>
      <w:r w:rsidRPr="00750F23">
        <w:rPr>
          <w:rFonts w:ascii="Times New Roman" w:eastAsia="Times New Roman" w:hAnsi="Times New Roman" w:cs="Times New Roman"/>
          <w:color w:val="2D2D2D"/>
          <w:sz w:val="24"/>
          <w:szCs w:val="24"/>
          <w:highlight w:val="white"/>
        </w:rPr>
        <w:t xml:space="preserve">No obstante hacer mención a medidas de acción afirmativa, el CONPES no especifica en qué, concretamente, se deben traducir esas acciones. </w:t>
      </w:r>
    </w:p>
    <w:p w:rsidR="000F6896" w:rsidRPr="00750F23" w:rsidRDefault="000F6896">
      <w:pPr>
        <w:jc w:val="both"/>
        <w:rPr>
          <w:rFonts w:ascii="Times New Roman" w:hAnsi="Times New Roman" w:cs="Times New Roman"/>
          <w:sz w:val="24"/>
          <w:szCs w:val="24"/>
        </w:rPr>
      </w:pPr>
    </w:p>
    <w:p w:rsidR="000F6896" w:rsidRPr="00750F23" w:rsidRDefault="008F2EE2">
      <w:pPr>
        <w:jc w:val="both"/>
        <w:rPr>
          <w:rFonts w:ascii="Times New Roman" w:hAnsi="Times New Roman" w:cs="Times New Roman"/>
          <w:sz w:val="24"/>
          <w:szCs w:val="24"/>
        </w:rPr>
      </w:pPr>
      <w:r w:rsidRPr="00750F23">
        <w:rPr>
          <w:rFonts w:ascii="Times New Roman" w:eastAsia="Times New Roman" w:hAnsi="Times New Roman" w:cs="Times New Roman"/>
          <w:color w:val="2D2D2D"/>
          <w:sz w:val="24"/>
          <w:szCs w:val="24"/>
          <w:highlight w:val="white"/>
        </w:rPr>
        <w:t xml:space="preserve">Un complemento clave del </w:t>
      </w:r>
      <w:r w:rsidR="00BB222A" w:rsidRPr="00750F23">
        <w:rPr>
          <w:rFonts w:ascii="Times New Roman" w:eastAsia="Times New Roman" w:hAnsi="Times New Roman" w:cs="Times New Roman"/>
          <w:color w:val="2D2D2D"/>
          <w:sz w:val="24"/>
          <w:szCs w:val="24"/>
          <w:highlight w:val="white"/>
        </w:rPr>
        <w:t>Conpes</w:t>
      </w:r>
      <w:r w:rsidRPr="00750F23">
        <w:rPr>
          <w:rFonts w:ascii="Times New Roman" w:eastAsia="Times New Roman" w:hAnsi="Times New Roman" w:cs="Times New Roman"/>
          <w:color w:val="2D2D2D"/>
          <w:sz w:val="24"/>
          <w:szCs w:val="24"/>
          <w:highlight w:val="white"/>
        </w:rPr>
        <w:t xml:space="preserve"> ha sido la Ley 1145 de 2007, que estableció el Sistema Nacional de Discapacidad (SND). El SND obliga a los municipios y departamentos a conformar los </w:t>
      </w:r>
      <w:r w:rsidR="00BB222A" w:rsidRPr="00750F23">
        <w:rPr>
          <w:rFonts w:ascii="Times New Roman" w:eastAsia="Times New Roman" w:hAnsi="Times New Roman" w:cs="Times New Roman"/>
          <w:color w:val="2D2D2D"/>
          <w:sz w:val="24"/>
          <w:szCs w:val="24"/>
          <w:highlight w:val="white"/>
        </w:rPr>
        <w:t>Comités</w:t>
      </w:r>
      <w:r w:rsidRPr="00750F23">
        <w:rPr>
          <w:rFonts w:ascii="Times New Roman" w:eastAsia="Times New Roman" w:hAnsi="Times New Roman" w:cs="Times New Roman"/>
          <w:color w:val="2D2D2D"/>
          <w:sz w:val="24"/>
          <w:szCs w:val="24"/>
          <w:highlight w:val="white"/>
        </w:rPr>
        <w:t xml:space="preserve"> Territoriales de Discapacidad, los cuales tienen por objeto la “</w:t>
      </w:r>
      <w:r w:rsidR="00BB222A" w:rsidRPr="00750F23">
        <w:rPr>
          <w:rFonts w:ascii="Times New Roman" w:eastAsia="Times New Roman" w:hAnsi="Times New Roman" w:cs="Times New Roman"/>
          <w:i/>
          <w:color w:val="2D2D2D"/>
          <w:sz w:val="24"/>
          <w:szCs w:val="24"/>
          <w:highlight w:val="white"/>
        </w:rPr>
        <w:t>concertación</w:t>
      </w:r>
      <w:r w:rsidRPr="00750F23">
        <w:rPr>
          <w:rFonts w:ascii="Times New Roman" w:eastAsia="Times New Roman" w:hAnsi="Times New Roman" w:cs="Times New Roman"/>
          <w:i/>
          <w:color w:val="2D2D2D"/>
          <w:sz w:val="24"/>
          <w:szCs w:val="24"/>
          <w:highlight w:val="white"/>
        </w:rPr>
        <w:t xml:space="preserve">, </w:t>
      </w:r>
      <w:r w:rsidR="00BB222A" w:rsidRPr="00750F23">
        <w:rPr>
          <w:rFonts w:ascii="Times New Roman" w:eastAsia="Times New Roman" w:hAnsi="Times New Roman" w:cs="Times New Roman"/>
          <w:i/>
          <w:color w:val="2D2D2D"/>
          <w:sz w:val="24"/>
          <w:szCs w:val="24"/>
          <w:highlight w:val="white"/>
        </w:rPr>
        <w:t>asesoría</w:t>
      </w:r>
      <w:r w:rsidRPr="00750F23">
        <w:rPr>
          <w:rFonts w:ascii="Times New Roman" w:eastAsia="Times New Roman" w:hAnsi="Times New Roman" w:cs="Times New Roman"/>
          <w:i/>
          <w:color w:val="2D2D2D"/>
          <w:sz w:val="24"/>
          <w:szCs w:val="24"/>
          <w:highlight w:val="white"/>
        </w:rPr>
        <w:t xml:space="preserve">, </w:t>
      </w:r>
      <w:r w:rsidR="00BB222A" w:rsidRPr="00750F23">
        <w:rPr>
          <w:rFonts w:ascii="Times New Roman" w:eastAsia="Times New Roman" w:hAnsi="Times New Roman" w:cs="Times New Roman"/>
          <w:i/>
          <w:color w:val="2D2D2D"/>
          <w:sz w:val="24"/>
          <w:szCs w:val="24"/>
          <w:highlight w:val="white"/>
        </w:rPr>
        <w:t>consolidación</w:t>
      </w:r>
      <w:r w:rsidRPr="00750F23">
        <w:rPr>
          <w:rFonts w:ascii="Times New Roman" w:eastAsia="Times New Roman" w:hAnsi="Times New Roman" w:cs="Times New Roman"/>
          <w:i/>
          <w:color w:val="2D2D2D"/>
          <w:sz w:val="24"/>
          <w:szCs w:val="24"/>
          <w:highlight w:val="white"/>
        </w:rPr>
        <w:t xml:space="preserve">, seguimiento y </w:t>
      </w:r>
      <w:r w:rsidR="00BB222A" w:rsidRPr="00750F23">
        <w:rPr>
          <w:rFonts w:ascii="Times New Roman" w:eastAsia="Times New Roman" w:hAnsi="Times New Roman" w:cs="Times New Roman"/>
          <w:i/>
          <w:color w:val="2D2D2D"/>
          <w:sz w:val="24"/>
          <w:szCs w:val="24"/>
          <w:highlight w:val="white"/>
        </w:rPr>
        <w:t>verificación</w:t>
      </w:r>
      <w:r w:rsidRPr="00750F23">
        <w:rPr>
          <w:rFonts w:ascii="Times New Roman" w:eastAsia="Times New Roman" w:hAnsi="Times New Roman" w:cs="Times New Roman"/>
          <w:i/>
          <w:color w:val="2D2D2D"/>
          <w:sz w:val="24"/>
          <w:szCs w:val="24"/>
          <w:highlight w:val="white"/>
        </w:rPr>
        <w:t xml:space="preserve"> de la puesta en marcha de la </w:t>
      </w:r>
      <w:r w:rsidR="00BB222A" w:rsidRPr="00750F23">
        <w:rPr>
          <w:rFonts w:ascii="Times New Roman" w:eastAsia="Times New Roman" w:hAnsi="Times New Roman" w:cs="Times New Roman"/>
          <w:i/>
          <w:color w:val="2D2D2D"/>
          <w:sz w:val="24"/>
          <w:szCs w:val="24"/>
          <w:highlight w:val="white"/>
        </w:rPr>
        <w:t>Política</w:t>
      </w:r>
      <w:r w:rsidRPr="00750F23">
        <w:rPr>
          <w:rFonts w:ascii="Times New Roman" w:eastAsia="Times New Roman" w:hAnsi="Times New Roman" w:cs="Times New Roman"/>
          <w:i/>
          <w:color w:val="2D2D2D"/>
          <w:sz w:val="24"/>
          <w:szCs w:val="24"/>
          <w:highlight w:val="white"/>
        </w:rPr>
        <w:t xml:space="preserve"> </w:t>
      </w:r>
      <w:r w:rsidR="00BB222A" w:rsidRPr="00750F23">
        <w:rPr>
          <w:rFonts w:ascii="Times New Roman" w:eastAsia="Times New Roman" w:hAnsi="Times New Roman" w:cs="Times New Roman"/>
          <w:i/>
          <w:color w:val="2D2D2D"/>
          <w:sz w:val="24"/>
          <w:szCs w:val="24"/>
          <w:highlight w:val="white"/>
        </w:rPr>
        <w:t>Pública</w:t>
      </w:r>
      <w:r w:rsidRPr="00750F23">
        <w:rPr>
          <w:rFonts w:ascii="Times New Roman" w:eastAsia="Times New Roman" w:hAnsi="Times New Roman" w:cs="Times New Roman"/>
          <w:i/>
          <w:color w:val="2D2D2D"/>
          <w:sz w:val="24"/>
          <w:szCs w:val="24"/>
          <w:highlight w:val="white"/>
        </w:rPr>
        <w:t xml:space="preserve"> de la Discapacidad</w:t>
      </w:r>
      <w:r w:rsidRPr="00750F23">
        <w:rPr>
          <w:rFonts w:ascii="Times New Roman" w:eastAsia="Times New Roman" w:hAnsi="Times New Roman" w:cs="Times New Roman"/>
          <w:color w:val="2D2D2D"/>
          <w:sz w:val="24"/>
          <w:szCs w:val="24"/>
          <w:highlight w:val="white"/>
        </w:rPr>
        <w:t xml:space="preserve">” y contribuir a la </w:t>
      </w:r>
      <w:r w:rsidR="00BB222A" w:rsidRPr="00750F23">
        <w:rPr>
          <w:rFonts w:ascii="Times New Roman" w:eastAsia="Times New Roman" w:hAnsi="Times New Roman" w:cs="Times New Roman"/>
          <w:color w:val="2D2D2D"/>
          <w:sz w:val="24"/>
          <w:szCs w:val="24"/>
          <w:highlight w:val="white"/>
        </w:rPr>
        <w:t>inclusión</w:t>
      </w:r>
      <w:r w:rsidRPr="00750F23">
        <w:rPr>
          <w:rFonts w:ascii="Times New Roman" w:eastAsia="Times New Roman" w:hAnsi="Times New Roman" w:cs="Times New Roman"/>
          <w:color w:val="2D2D2D"/>
          <w:sz w:val="24"/>
          <w:szCs w:val="24"/>
          <w:highlight w:val="white"/>
        </w:rPr>
        <w:t xml:space="preserve"> social y laboral de la </w:t>
      </w:r>
      <w:r w:rsidR="00BB222A" w:rsidRPr="00750F23">
        <w:rPr>
          <w:rFonts w:ascii="Times New Roman" w:eastAsia="Times New Roman" w:hAnsi="Times New Roman" w:cs="Times New Roman"/>
          <w:color w:val="2D2D2D"/>
          <w:sz w:val="24"/>
          <w:szCs w:val="24"/>
          <w:highlight w:val="white"/>
        </w:rPr>
        <w:t>población</w:t>
      </w:r>
      <w:r w:rsidRPr="00750F23">
        <w:rPr>
          <w:rFonts w:ascii="Times New Roman" w:eastAsia="Times New Roman" w:hAnsi="Times New Roman" w:cs="Times New Roman"/>
          <w:color w:val="2D2D2D"/>
          <w:sz w:val="24"/>
          <w:szCs w:val="24"/>
          <w:highlight w:val="white"/>
        </w:rPr>
        <w:t xml:space="preserve"> con discapacidad. </w:t>
      </w:r>
    </w:p>
    <w:p w:rsidR="000F6896" w:rsidRPr="00750F23" w:rsidRDefault="008F2EE2">
      <w:pPr>
        <w:jc w:val="both"/>
        <w:rPr>
          <w:rFonts w:ascii="Times New Roman" w:hAnsi="Times New Roman" w:cs="Times New Roman"/>
          <w:sz w:val="24"/>
          <w:szCs w:val="24"/>
        </w:rPr>
      </w:pPr>
      <w:r w:rsidRPr="00750F23">
        <w:rPr>
          <w:rFonts w:ascii="Times New Roman" w:eastAsia="Times New Roman" w:hAnsi="Times New Roman" w:cs="Times New Roman"/>
          <w:color w:val="2D2D2D"/>
          <w:sz w:val="24"/>
          <w:szCs w:val="24"/>
          <w:highlight w:val="white"/>
        </w:rPr>
        <w:tab/>
      </w:r>
      <w:r w:rsidRPr="00750F23">
        <w:rPr>
          <w:rFonts w:ascii="Times New Roman" w:eastAsia="Times New Roman" w:hAnsi="Times New Roman" w:cs="Times New Roman"/>
          <w:color w:val="2D2D2D"/>
          <w:sz w:val="24"/>
          <w:szCs w:val="24"/>
          <w:highlight w:val="white"/>
        </w:rPr>
        <w:tab/>
      </w:r>
    </w:p>
    <w:p w:rsidR="000F6896" w:rsidRPr="00750F23" w:rsidRDefault="007B2769">
      <w:pPr>
        <w:jc w:val="both"/>
        <w:rPr>
          <w:rFonts w:ascii="Times New Roman" w:hAnsi="Times New Roman" w:cs="Times New Roman"/>
          <w:sz w:val="24"/>
          <w:szCs w:val="24"/>
        </w:rPr>
      </w:pPr>
      <w:r w:rsidRPr="00750F23">
        <w:rPr>
          <w:rFonts w:ascii="Times New Roman" w:eastAsia="Times New Roman" w:hAnsi="Times New Roman" w:cs="Times New Roman"/>
          <w:i/>
          <w:sz w:val="24"/>
          <w:szCs w:val="24"/>
        </w:rPr>
        <w:t>2</w:t>
      </w:r>
      <w:r w:rsidR="008F2EE2" w:rsidRPr="00750F23">
        <w:rPr>
          <w:rFonts w:ascii="Times New Roman" w:eastAsia="Times New Roman" w:hAnsi="Times New Roman" w:cs="Times New Roman"/>
          <w:i/>
          <w:sz w:val="24"/>
          <w:szCs w:val="24"/>
        </w:rPr>
        <w:t>.              Sírvanse proporcionar información sobre el marco legislativo y de políticas existente en su país sobre la accesibilidad para las personas con discapacidad en relación con el entorno físico, el transporte, la información y las comunicaciones, y otros servici</w:t>
      </w:r>
      <w:r w:rsidR="00AA700A" w:rsidRPr="00750F23">
        <w:rPr>
          <w:rFonts w:ascii="Times New Roman" w:eastAsia="Times New Roman" w:hAnsi="Times New Roman" w:cs="Times New Roman"/>
          <w:i/>
          <w:sz w:val="24"/>
          <w:szCs w:val="24"/>
        </w:rPr>
        <w:t>os e instalaciones; incluyendo</w:t>
      </w:r>
      <w:r w:rsidR="00AA700A" w:rsidRPr="00750F23">
        <w:rPr>
          <w:rFonts w:ascii="Times New Roman" w:eastAsia="Times New Roman" w:hAnsi="Times New Roman" w:cs="Times New Roman"/>
          <w:sz w:val="24"/>
          <w:szCs w:val="24"/>
        </w:rPr>
        <w:t>:</w:t>
      </w:r>
    </w:p>
    <w:p w:rsidR="000F6896" w:rsidRPr="00750F23" w:rsidRDefault="008F2EE2">
      <w:pPr>
        <w:ind w:left="1280" w:hanging="360"/>
        <w:jc w:val="both"/>
        <w:rPr>
          <w:rFonts w:ascii="Times New Roman" w:hAnsi="Times New Roman" w:cs="Times New Roman"/>
          <w:sz w:val="24"/>
          <w:szCs w:val="24"/>
        </w:rPr>
      </w:pPr>
      <w:r w:rsidRPr="00750F23">
        <w:rPr>
          <w:rFonts w:ascii="Times New Roman" w:eastAsia="Times New Roman" w:hAnsi="Times New Roman" w:cs="Times New Roman"/>
          <w:sz w:val="24"/>
          <w:szCs w:val="24"/>
        </w:rPr>
        <w:t>·         La existencia de normas, directrices nacionales y regulaciones relativas a la accesibilidad y el diseño universal, incluido el acceso a tecnologías de la información y la comunicación,</w:t>
      </w:r>
    </w:p>
    <w:p w:rsidR="000F6896" w:rsidRPr="00750F23" w:rsidRDefault="008F2EE2">
      <w:pPr>
        <w:ind w:left="1280" w:hanging="360"/>
        <w:jc w:val="both"/>
        <w:rPr>
          <w:rFonts w:ascii="Times New Roman" w:hAnsi="Times New Roman" w:cs="Times New Roman"/>
          <w:sz w:val="24"/>
          <w:szCs w:val="24"/>
        </w:rPr>
      </w:pPr>
      <w:r w:rsidRPr="00750F23">
        <w:rPr>
          <w:rFonts w:ascii="Times New Roman" w:eastAsia="Times New Roman" w:hAnsi="Times New Roman" w:cs="Times New Roman"/>
          <w:sz w:val="24"/>
          <w:szCs w:val="24"/>
        </w:rPr>
        <w:t>·         La existencia de planes de acción con plazos específicos para hacer las instalaciones y servicios públicos y privados accesibles para las personas con discapacidad,</w:t>
      </w:r>
    </w:p>
    <w:p w:rsidR="000F6896" w:rsidRPr="00750F23" w:rsidRDefault="008F2EE2">
      <w:pPr>
        <w:ind w:left="1280" w:hanging="360"/>
        <w:jc w:val="both"/>
        <w:rPr>
          <w:rFonts w:ascii="Times New Roman" w:hAnsi="Times New Roman" w:cs="Times New Roman"/>
          <w:sz w:val="24"/>
          <w:szCs w:val="24"/>
        </w:rPr>
      </w:pPr>
      <w:r w:rsidRPr="00750F23">
        <w:rPr>
          <w:rFonts w:ascii="Times New Roman" w:eastAsia="Times New Roman" w:hAnsi="Times New Roman" w:cs="Times New Roman"/>
          <w:sz w:val="24"/>
          <w:szCs w:val="24"/>
        </w:rPr>
        <w:t>·         La existencia de requisitos de accesibilidad en la contratación pública,</w:t>
      </w:r>
    </w:p>
    <w:p w:rsidR="000F6896" w:rsidRPr="00750F23" w:rsidRDefault="008F2EE2">
      <w:pPr>
        <w:ind w:left="1280" w:hanging="360"/>
        <w:jc w:val="both"/>
        <w:rPr>
          <w:rFonts w:ascii="Times New Roman" w:hAnsi="Times New Roman" w:cs="Times New Roman"/>
          <w:sz w:val="24"/>
          <w:szCs w:val="24"/>
        </w:rPr>
      </w:pPr>
      <w:r w:rsidRPr="00750F23">
        <w:rPr>
          <w:rFonts w:ascii="Times New Roman" w:eastAsia="Times New Roman" w:hAnsi="Times New Roman" w:cs="Times New Roman"/>
          <w:sz w:val="24"/>
          <w:szCs w:val="24"/>
        </w:rPr>
        <w:t>·         La existencia de cualquier mecanismo de asegurar el cumplimiento de las normas de accesibilidad,</w:t>
      </w:r>
    </w:p>
    <w:p w:rsidR="000F6896" w:rsidRPr="00750F23" w:rsidRDefault="008F2EE2">
      <w:pPr>
        <w:ind w:left="1280" w:hanging="360"/>
        <w:jc w:val="both"/>
        <w:rPr>
          <w:rFonts w:ascii="Times New Roman" w:hAnsi="Times New Roman" w:cs="Times New Roman"/>
          <w:sz w:val="24"/>
          <w:szCs w:val="24"/>
        </w:rPr>
      </w:pPr>
      <w:r w:rsidRPr="00750F23">
        <w:rPr>
          <w:rFonts w:ascii="Times New Roman" w:eastAsia="Times New Roman" w:hAnsi="Times New Roman" w:cs="Times New Roman"/>
          <w:sz w:val="24"/>
          <w:szCs w:val="24"/>
        </w:rPr>
        <w:t>·         La formación de funcionarios del Estado y otros actores en materia de accesibilidad.</w:t>
      </w:r>
    </w:p>
    <w:p w:rsidR="000F6896" w:rsidRPr="00750F23" w:rsidRDefault="000F6896">
      <w:pPr>
        <w:jc w:val="both"/>
        <w:rPr>
          <w:rFonts w:ascii="Times New Roman" w:hAnsi="Times New Roman" w:cs="Times New Roman"/>
          <w:sz w:val="24"/>
          <w:szCs w:val="24"/>
        </w:rPr>
      </w:pPr>
    </w:p>
    <w:p w:rsidR="000F6896"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Para comenzar, cabe hacer referencia a la existencia de un marco legal en Colombia que vela por la accesibilidad de las personas con discapacidad. </w:t>
      </w:r>
    </w:p>
    <w:p w:rsidR="000F6896" w:rsidRPr="00750F23" w:rsidRDefault="000F6896">
      <w:pPr>
        <w:jc w:val="both"/>
        <w:rPr>
          <w:rFonts w:ascii="Times New Roman" w:eastAsia="Times New Roman" w:hAnsi="Times New Roman" w:cs="Times New Roman"/>
          <w:sz w:val="24"/>
          <w:szCs w:val="24"/>
        </w:rPr>
      </w:pPr>
    </w:p>
    <w:p w:rsidR="007B2769"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En primer lugar está la Ley 361 de 1997, “</w:t>
      </w:r>
      <w:r w:rsidRPr="00750F23">
        <w:rPr>
          <w:rFonts w:ascii="Times New Roman" w:eastAsia="Times New Roman" w:hAnsi="Times New Roman" w:cs="Times New Roman"/>
          <w:i/>
          <w:sz w:val="24"/>
          <w:szCs w:val="24"/>
        </w:rPr>
        <w:t>Por la cual se establecen mecanismos de integración social de las personas en situación de discapacidad</w:t>
      </w:r>
      <w:r w:rsidRPr="00750F23">
        <w:rPr>
          <w:rFonts w:ascii="Times New Roman" w:eastAsia="Times New Roman" w:hAnsi="Times New Roman" w:cs="Times New Roman"/>
          <w:sz w:val="24"/>
          <w:szCs w:val="24"/>
        </w:rPr>
        <w:t>”, y que aborda el tema específico de la accesibilidad en su título IV (artículo 43 y s.s.)</w:t>
      </w:r>
      <w:r w:rsidR="007B2769" w:rsidRPr="00750F23">
        <w:rPr>
          <w:rFonts w:ascii="Times New Roman" w:eastAsia="Times New Roman" w:hAnsi="Times New Roman" w:cs="Times New Roman"/>
          <w:sz w:val="24"/>
          <w:szCs w:val="24"/>
        </w:rPr>
        <w:t>.</w:t>
      </w:r>
      <w:r w:rsidRPr="00750F23">
        <w:rPr>
          <w:rFonts w:ascii="Times New Roman" w:eastAsia="Times New Roman" w:hAnsi="Times New Roman" w:cs="Times New Roman"/>
          <w:sz w:val="24"/>
          <w:szCs w:val="24"/>
        </w:rPr>
        <w:t xml:space="preserve"> Este título de la citada Ley, en términos generales, busca “suprimir y evitar toda clase de barreras físicas en el diseño y ejecución de las vías y espacios públicos y del mobiliario urbano, así como en la construcción o reestructuración de edificios de propiedad públ</w:t>
      </w:r>
      <w:r w:rsidR="007B2769" w:rsidRPr="00750F23">
        <w:rPr>
          <w:rFonts w:ascii="Times New Roman" w:eastAsia="Times New Roman" w:hAnsi="Times New Roman" w:cs="Times New Roman"/>
          <w:sz w:val="24"/>
          <w:szCs w:val="24"/>
        </w:rPr>
        <w:t>ica”</w:t>
      </w:r>
    </w:p>
    <w:p w:rsidR="007B2769" w:rsidRPr="00750F23" w:rsidRDefault="007B2769">
      <w:pPr>
        <w:jc w:val="both"/>
        <w:rPr>
          <w:rFonts w:ascii="Times New Roman" w:eastAsia="Times New Roman" w:hAnsi="Times New Roman" w:cs="Times New Roman"/>
          <w:sz w:val="24"/>
          <w:szCs w:val="24"/>
        </w:rPr>
      </w:pPr>
    </w:p>
    <w:p w:rsidR="00BB222A" w:rsidRPr="00750F23" w:rsidRDefault="007B2769">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La Ley define la</w:t>
      </w:r>
      <w:r w:rsidR="008F2EE2" w:rsidRPr="00750F23">
        <w:rPr>
          <w:rFonts w:ascii="Times New Roman" w:eastAsia="Times New Roman" w:hAnsi="Times New Roman" w:cs="Times New Roman"/>
          <w:sz w:val="24"/>
          <w:szCs w:val="24"/>
        </w:rPr>
        <w:t xml:space="preserve"> accesibilidad “</w:t>
      </w:r>
      <w:r w:rsidR="008F2EE2" w:rsidRPr="00750F23">
        <w:rPr>
          <w:rFonts w:ascii="Times New Roman" w:eastAsia="Times New Roman" w:hAnsi="Times New Roman" w:cs="Times New Roman"/>
          <w:i/>
          <w:sz w:val="24"/>
          <w:szCs w:val="24"/>
        </w:rPr>
        <w:t xml:space="preserve">como la condición que permite en cualquier espacio o ambiente (...) el fácil y seguro desplazamiento de la población en general, y el uso en </w:t>
      </w:r>
      <w:r w:rsidR="008F2EE2" w:rsidRPr="00750F23">
        <w:rPr>
          <w:rFonts w:ascii="Times New Roman" w:eastAsia="Times New Roman" w:hAnsi="Times New Roman" w:cs="Times New Roman"/>
          <w:i/>
          <w:sz w:val="24"/>
          <w:szCs w:val="24"/>
        </w:rPr>
        <w:lastRenderedPageBreak/>
        <w:t>forma confiable y segura de los servicios instalados en estos ambientes. Por barreras físicas se entiende a todas aquellas trabas, irregularidades y obstáculos físicos que limiten o impidan la libertad o movimiento de las personas</w:t>
      </w:r>
      <w:r w:rsidR="008F2EE2" w:rsidRPr="00750F23">
        <w:rPr>
          <w:rFonts w:ascii="Times New Roman" w:eastAsia="Times New Roman" w:hAnsi="Times New Roman" w:cs="Times New Roman"/>
          <w:sz w:val="24"/>
          <w:szCs w:val="24"/>
        </w:rPr>
        <w:t xml:space="preserve">.” </w:t>
      </w:r>
    </w:p>
    <w:p w:rsidR="00BB222A" w:rsidRPr="00750F23" w:rsidRDefault="00BB222A">
      <w:pPr>
        <w:jc w:val="both"/>
        <w:rPr>
          <w:rFonts w:ascii="Times New Roman" w:eastAsia="Times New Roman" w:hAnsi="Times New Roman" w:cs="Times New Roman"/>
          <w:sz w:val="24"/>
          <w:szCs w:val="24"/>
        </w:rPr>
      </w:pPr>
    </w:p>
    <w:p w:rsidR="000F6896"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Como puede verse, esta parte general del título dedicado a la accesibilidad, pretende implementar diseños universales en los espacios físicos y de manera evidente asume una visión social de la discapacidad, según la cual la discapacidad no está en una limitación de la persona ni en un problema médico suyo, sino en las barreras del entorno que deben ser eliminadas, lo cual es armónico con l</w:t>
      </w:r>
      <w:r w:rsidR="007B2769" w:rsidRPr="00750F23">
        <w:rPr>
          <w:rFonts w:ascii="Times New Roman" w:eastAsia="Times New Roman" w:hAnsi="Times New Roman" w:cs="Times New Roman"/>
          <w:sz w:val="24"/>
          <w:szCs w:val="24"/>
        </w:rPr>
        <w:t>a visión de la discapacidad que el</w:t>
      </w:r>
      <w:r w:rsidRPr="00750F23">
        <w:rPr>
          <w:rFonts w:ascii="Times New Roman" w:eastAsia="Times New Roman" w:hAnsi="Times New Roman" w:cs="Times New Roman"/>
          <w:sz w:val="24"/>
          <w:szCs w:val="24"/>
        </w:rPr>
        <w:t xml:space="preserve"> bloque de constitucionalidad obliga. A este respecto, la única objeción que tenemos es que las únicas barreras que pretende eliminar la norma citada son físicas, olvidando la existencia de otro tipo de barreras, de tipo actitudinales, que de igual manera pueden limitar la accesibilidad de las personas con discapacidad. </w:t>
      </w:r>
    </w:p>
    <w:p w:rsidR="000F6896" w:rsidRPr="00750F23" w:rsidRDefault="000F6896">
      <w:pPr>
        <w:jc w:val="both"/>
        <w:rPr>
          <w:rFonts w:ascii="Times New Roman" w:eastAsia="Times New Roman" w:hAnsi="Times New Roman" w:cs="Times New Roman"/>
          <w:sz w:val="24"/>
          <w:szCs w:val="24"/>
        </w:rPr>
      </w:pPr>
    </w:p>
    <w:p w:rsidR="000F6896"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Ahora bien, el título IV aquí revisado tiene regulaciones más específicas, a saber: su capítulo II (arts. 47-58) versa sobre la eliminación de barreras arquitectónicas (y exhorta al gobierno a dictar normas técnicas sobre la materia y a imponer sanciones para su incumplimiento); su capítulo III (arts. 59-65) versa sobre el transporte; y su capítulo IV (arts. 66-69) versa sobre las comunicaciones.</w:t>
      </w:r>
    </w:p>
    <w:p w:rsidR="000F6896" w:rsidRPr="00750F23" w:rsidRDefault="000F6896">
      <w:pPr>
        <w:jc w:val="both"/>
        <w:rPr>
          <w:rFonts w:ascii="Times New Roman" w:eastAsia="Times New Roman" w:hAnsi="Times New Roman" w:cs="Times New Roman"/>
          <w:sz w:val="24"/>
          <w:szCs w:val="24"/>
        </w:rPr>
      </w:pPr>
    </w:p>
    <w:p w:rsidR="00BB222A"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En segundo lugar y en reglamentación de la Ley 361 arriba revisada, está el Decreto 1538 de 2005. Esta norma también tiene un acápite de definiciones (art. 2), donde define los conceptos de accesibilidad y barreras en sentido igual a la Ley 361. </w:t>
      </w:r>
    </w:p>
    <w:p w:rsidR="00BB222A" w:rsidRPr="00750F23" w:rsidRDefault="00BB222A">
      <w:pPr>
        <w:jc w:val="both"/>
        <w:rPr>
          <w:rFonts w:ascii="Times New Roman" w:eastAsia="Times New Roman" w:hAnsi="Times New Roman" w:cs="Times New Roman"/>
          <w:sz w:val="24"/>
          <w:szCs w:val="24"/>
        </w:rPr>
      </w:pPr>
    </w:p>
    <w:p w:rsidR="00BB222A"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El capítulo segundo de este Decreto habla sobre la accesibilidad a los espacios de uso público y para ello plantea parámetros de accesibilidad para: a) vías de circulación peatonal (andenes, cebras, etc.), b) mobiliario urbano (que garantice la circulación peatonal y sea fácilmente detectable), c) cruces a desnivel (puentes y túneles con rampas, pasamanos, pavimento antideslizante, entre otras medidas), d) parques, plazas y plazoletas (con límites detectables y seguros), y finalmente vías públicas dentro del perímetro urbano (calzadas, separadores, andenes accesibles). </w:t>
      </w:r>
    </w:p>
    <w:p w:rsidR="00BB222A" w:rsidRPr="00750F23" w:rsidRDefault="00BB222A">
      <w:pPr>
        <w:jc w:val="both"/>
        <w:rPr>
          <w:rFonts w:ascii="Times New Roman" w:eastAsia="Times New Roman" w:hAnsi="Times New Roman" w:cs="Times New Roman"/>
          <w:sz w:val="24"/>
          <w:szCs w:val="24"/>
        </w:rPr>
      </w:pPr>
    </w:p>
    <w:p w:rsidR="007B2769"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El capítulo tercero del Decreto objeto de análisis habla sobre la accesibilidad a edificios abiertos al público y dicta parámetros de accesibilidad para: a) acceso a edificaciones (se permiten perros guía, sillas de ruedas, habrán sistemas de guías e información, etc.), b) el entorno de las edificaciones (sobre los desniveles y las rutas peatonales, entre otros), c) el acceso al interior de las edificaciones de uso público, d) espacios de recepción o vestíbulo, y finalmente sobre accesibilidad a edificaciones para vivienda. </w:t>
      </w:r>
    </w:p>
    <w:p w:rsidR="007B2769" w:rsidRPr="00750F23" w:rsidRDefault="007B2769">
      <w:pPr>
        <w:jc w:val="both"/>
        <w:rPr>
          <w:rFonts w:ascii="Times New Roman" w:eastAsia="Times New Roman" w:hAnsi="Times New Roman" w:cs="Times New Roman"/>
          <w:sz w:val="24"/>
          <w:szCs w:val="24"/>
        </w:rPr>
      </w:pPr>
    </w:p>
    <w:p w:rsidR="000F6896"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El Decreto finaliza con un capítulo tercero donde se habla de accesibilidad a estacionamientos, y en concreto sobre la reserva de estacionamientos accesibles en zonas </w:t>
      </w:r>
      <w:r w:rsidRPr="00750F23">
        <w:rPr>
          <w:rFonts w:ascii="Times New Roman" w:eastAsia="Times New Roman" w:hAnsi="Times New Roman" w:cs="Times New Roman"/>
          <w:sz w:val="24"/>
          <w:szCs w:val="24"/>
        </w:rPr>
        <w:lastRenderedPageBreak/>
        <w:t>de parqueo de sitios abiertos al público (un 2% de los parqueaderos habilitados), y de las características de esos estacionamientos accesibles (al frente del acceso a la instalación y con rampas). Estas normas tienen que ser verificadas por la autoridad que otorga licencias de construcción y urbanización (art. 13).</w:t>
      </w:r>
    </w:p>
    <w:p w:rsidR="000F6896" w:rsidRPr="00750F23" w:rsidRDefault="000F6896">
      <w:pPr>
        <w:jc w:val="both"/>
        <w:rPr>
          <w:rFonts w:ascii="Times New Roman" w:eastAsia="Times New Roman" w:hAnsi="Times New Roman" w:cs="Times New Roman"/>
          <w:sz w:val="24"/>
          <w:szCs w:val="24"/>
        </w:rPr>
      </w:pPr>
    </w:p>
    <w:p w:rsidR="00BB222A"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En tercer lugar, fue expedida la Ley Estatutaria 1618 de 2013, que busca “</w:t>
      </w:r>
      <w:r w:rsidRPr="00750F23">
        <w:rPr>
          <w:rFonts w:ascii="Times New Roman" w:eastAsia="Times New Roman" w:hAnsi="Times New Roman" w:cs="Times New Roman"/>
          <w:i/>
          <w:sz w:val="24"/>
          <w:szCs w:val="24"/>
        </w:rPr>
        <w:t>garantizar y asegurar el ejercicio efectivo de los derechos de las personas con discapacidad, mediante adopción de medidas de inclusión, acción af</w:t>
      </w:r>
      <w:r w:rsidR="00BB222A" w:rsidRPr="00750F23">
        <w:rPr>
          <w:rFonts w:ascii="Times New Roman" w:eastAsia="Times New Roman" w:hAnsi="Times New Roman" w:cs="Times New Roman"/>
          <w:i/>
          <w:sz w:val="24"/>
          <w:szCs w:val="24"/>
        </w:rPr>
        <w:t xml:space="preserve">irmativa y de ajustes razonable </w:t>
      </w:r>
      <w:r w:rsidR="00BB222A" w:rsidRPr="00750F23">
        <w:rPr>
          <w:rFonts w:ascii="Times New Roman" w:eastAsia="Times New Roman" w:hAnsi="Times New Roman" w:cs="Times New Roman"/>
          <w:sz w:val="24"/>
          <w:szCs w:val="24"/>
        </w:rPr>
        <w:t>(…)</w:t>
      </w:r>
      <w:r w:rsidRPr="00750F23">
        <w:rPr>
          <w:rFonts w:ascii="Times New Roman" w:eastAsia="Times New Roman" w:hAnsi="Times New Roman" w:cs="Times New Roman"/>
          <w:sz w:val="24"/>
          <w:szCs w:val="24"/>
        </w:rPr>
        <w:t xml:space="preserve">”. En su acápite de definiciones (art. 2), esta Ley Estatutaria es más completa que la Ley 361 de 1997, examinada párrafos arriba. A manera de ejemplo, en el concepto de barreras, define por separado las barreras actitudinales, las comunicativas y las físicas. Así, puede verse un progreso frente a la Ley 361 en materia de profundización en los conceptos de discapacidad.  </w:t>
      </w:r>
    </w:p>
    <w:p w:rsidR="00BB222A" w:rsidRPr="00750F23" w:rsidRDefault="00BB222A">
      <w:pPr>
        <w:jc w:val="both"/>
        <w:rPr>
          <w:rFonts w:ascii="Times New Roman" w:eastAsia="Times New Roman" w:hAnsi="Times New Roman" w:cs="Times New Roman"/>
          <w:sz w:val="24"/>
          <w:szCs w:val="24"/>
        </w:rPr>
      </w:pPr>
    </w:p>
    <w:p w:rsidR="000F6896"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El artículo 14 de la Ley 1618 ahora evaluada aborda el tema de acceso y accesibilidad. Aquí, la norma declara que para lograr la vida autónoma e independiente de las personas con discapacidad, el Estado debe garantizar “el acceso de estas personas, en igualdad de condiciones, al entorno físico, al transporte, a la información y a las comunicaciones, incluidos los sistemas y tecnologías de la información y las comunicaciones, el espacio público, los bienes públicos, los lugares abiertos al público y los servicios públicos, tanto en zonas urbanas como rurales”. El artículo 16 de la misma Ley habla del derecho a la información y comunicaciones en específico, delegando al Ministerio de Tecnologías de la Información y las Comunicaciones relativas al acceso a la información y comunicaciones de las personas con discapacidad, en igualdad de condiciones.</w:t>
      </w:r>
    </w:p>
    <w:p w:rsidR="000F6896" w:rsidRPr="00750F23" w:rsidRDefault="000F6896">
      <w:pPr>
        <w:jc w:val="both"/>
        <w:rPr>
          <w:rFonts w:ascii="Times New Roman" w:eastAsia="Times New Roman" w:hAnsi="Times New Roman" w:cs="Times New Roman"/>
          <w:sz w:val="24"/>
          <w:szCs w:val="24"/>
        </w:rPr>
      </w:pPr>
    </w:p>
    <w:p w:rsidR="00BB222A"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En tal sentido, el artículo 14 citado desarrolla una serie de numerales que abordan distintas medidas, relativas a los siguientes asuntos: </w:t>
      </w:r>
    </w:p>
    <w:p w:rsidR="0044616E" w:rsidRPr="00750F23" w:rsidRDefault="0044616E">
      <w:pPr>
        <w:jc w:val="both"/>
        <w:rPr>
          <w:rFonts w:ascii="Times New Roman" w:eastAsia="Times New Roman" w:hAnsi="Times New Roman" w:cs="Times New Roman"/>
          <w:sz w:val="24"/>
          <w:szCs w:val="24"/>
        </w:rPr>
      </w:pPr>
    </w:p>
    <w:p w:rsidR="00BB222A" w:rsidRPr="00750F23" w:rsidRDefault="007B2769" w:rsidP="0044616E">
      <w:pPr>
        <w:pStyle w:val="ListParagraph"/>
        <w:numPr>
          <w:ilvl w:val="0"/>
          <w:numId w:val="3"/>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L</w:t>
      </w:r>
      <w:r w:rsidR="008F2EE2" w:rsidRPr="00750F23">
        <w:rPr>
          <w:rFonts w:ascii="Times New Roman" w:eastAsia="Times New Roman" w:hAnsi="Times New Roman" w:cs="Times New Roman"/>
          <w:sz w:val="24"/>
          <w:szCs w:val="24"/>
        </w:rPr>
        <w:t xml:space="preserve">a prestación de servicios públicos debe seguir los postulados del diseño universal y las entidades deben diseñar, implementar y financiar ajustes razonables; </w:t>
      </w:r>
    </w:p>
    <w:p w:rsidR="00BB222A" w:rsidRPr="00750F23" w:rsidRDefault="007B2769" w:rsidP="0044616E">
      <w:pPr>
        <w:pStyle w:val="ListParagraph"/>
        <w:numPr>
          <w:ilvl w:val="0"/>
          <w:numId w:val="3"/>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w:t>
      </w:r>
      <w:r w:rsidR="008F2EE2" w:rsidRPr="00750F23">
        <w:rPr>
          <w:rFonts w:ascii="Times New Roman" w:eastAsia="Times New Roman" w:hAnsi="Times New Roman" w:cs="Times New Roman"/>
          <w:sz w:val="24"/>
          <w:szCs w:val="24"/>
        </w:rPr>
        <w:t xml:space="preserve">l servicio público del transporte debe ajustarse al diseño universal y los ajustes razonables también deben ser diseñados, implementados y financiados por las entidades que presten el servicio; </w:t>
      </w:r>
    </w:p>
    <w:p w:rsidR="00BB222A" w:rsidRPr="00750F23" w:rsidRDefault="007B2769" w:rsidP="0044616E">
      <w:pPr>
        <w:pStyle w:val="ListParagraph"/>
        <w:numPr>
          <w:ilvl w:val="0"/>
          <w:numId w:val="3"/>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w:t>
      </w:r>
      <w:r w:rsidR="008F2EE2" w:rsidRPr="00750F23">
        <w:rPr>
          <w:rFonts w:ascii="Times New Roman" w:eastAsia="Times New Roman" w:hAnsi="Times New Roman" w:cs="Times New Roman"/>
          <w:sz w:val="24"/>
          <w:szCs w:val="24"/>
        </w:rPr>
        <w:t xml:space="preserve">l Estado (en sus entidades territoriales con el apoyo del gobierno nacional) debe diseñar un plan de adecuación de vías y espacios públicos donde se fijen los ajustes razonables a implementar y el presupuesto asignado para ello, con una meta de alcanzar 80% de accesibilidad en 10 años; </w:t>
      </w:r>
    </w:p>
    <w:p w:rsidR="00BB222A" w:rsidRPr="00750F23" w:rsidRDefault="00BB222A" w:rsidP="0044616E">
      <w:pPr>
        <w:pStyle w:val="ListParagraph"/>
        <w:numPr>
          <w:ilvl w:val="0"/>
          <w:numId w:val="3"/>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La</w:t>
      </w:r>
      <w:r w:rsidR="008F2EE2" w:rsidRPr="00750F23">
        <w:rPr>
          <w:rFonts w:ascii="Times New Roman" w:eastAsia="Times New Roman" w:hAnsi="Times New Roman" w:cs="Times New Roman"/>
          <w:sz w:val="24"/>
          <w:szCs w:val="24"/>
        </w:rPr>
        <w:t xml:space="preserve"> eliminación de obstáculos para la accesibilidad universal al ambiente construido, transporte y comunicación; </w:t>
      </w:r>
    </w:p>
    <w:p w:rsidR="0044616E" w:rsidRPr="00750F23" w:rsidRDefault="00BB222A" w:rsidP="0044616E">
      <w:pPr>
        <w:pStyle w:val="ListParagraph"/>
        <w:numPr>
          <w:ilvl w:val="0"/>
          <w:numId w:val="3"/>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El</w:t>
      </w:r>
      <w:r w:rsidR="008F2EE2" w:rsidRPr="00750F23">
        <w:rPr>
          <w:rFonts w:ascii="Times New Roman" w:eastAsia="Times New Roman" w:hAnsi="Times New Roman" w:cs="Times New Roman"/>
          <w:sz w:val="24"/>
          <w:szCs w:val="24"/>
        </w:rPr>
        <w:t xml:space="preserve"> cumplimiento con las normas sobre accesibilidad en la construcción o en la adecuación de obras sobre el espacio público y privado que preste servicios al público; </w:t>
      </w:r>
    </w:p>
    <w:p w:rsidR="0044616E" w:rsidRPr="00750F23" w:rsidRDefault="00BB222A" w:rsidP="0044616E">
      <w:pPr>
        <w:pStyle w:val="ListParagraph"/>
        <w:numPr>
          <w:ilvl w:val="0"/>
          <w:numId w:val="3"/>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lastRenderedPageBreak/>
        <w:t>La</w:t>
      </w:r>
      <w:r w:rsidR="008F2EE2" w:rsidRPr="00750F23">
        <w:rPr>
          <w:rFonts w:ascii="Times New Roman" w:eastAsia="Times New Roman" w:hAnsi="Times New Roman" w:cs="Times New Roman"/>
          <w:sz w:val="24"/>
          <w:szCs w:val="24"/>
        </w:rPr>
        <w:t xml:space="preserve"> accesibilidad de todos los baños públicos; </w:t>
      </w:r>
    </w:p>
    <w:p w:rsidR="0044616E" w:rsidRPr="00750F23" w:rsidRDefault="00BB222A" w:rsidP="0044616E">
      <w:pPr>
        <w:pStyle w:val="ListParagraph"/>
        <w:numPr>
          <w:ilvl w:val="0"/>
          <w:numId w:val="3"/>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La</w:t>
      </w:r>
      <w:r w:rsidR="008F2EE2" w:rsidRPr="00750F23">
        <w:rPr>
          <w:rFonts w:ascii="Times New Roman" w:eastAsia="Times New Roman" w:hAnsi="Times New Roman" w:cs="Times New Roman"/>
          <w:sz w:val="24"/>
          <w:szCs w:val="24"/>
        </w:rPr>
        <w:t xml:space="preserve"> atención prioritaria a personas con discapacidad por parte de las entidades públicas, en turnos o filas o servicios públicos; </w:t>
      </w:r>
    </w:p>
    <w:p w:rsidR="0044616E" w:rsidRPr="00750F23" w:rsidRDefault="00BB222A" w:rsidP="0044616E">
      <w:pPr>
        <w:pStyle w:val="ListParagraph"/>
        <w:numPr>
          <w:ilvl w:val="0"/>
          <w:numId w:val="3"/>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El</w:t>
      </w:r>
      <w:r w:rsidR="008F2EE2" w:rsidRPr="00750F23">
        <w:rPr>
          <w:rFonts w:ascii="Times New Roman" w:eastAsia="Times New Roman" w:hAnsi="Times New Roman" w:cs="Times New Roman"/>
          <w:sz w:val="24"/>
          <w:szCs w:val="24"/>
        </w:rPr>
        <w:t xml:space="preserve"> control, vigilancia y sanción por parte del Ministerio de Vivienda, Ciudad y Territorio, para que las alcaldías y curadurías garanticen que todas las licencias y construcciones sean accesibles; </w:t>
      </w:r>
    </w:p>
    <w:p w:rsidR="0044616E" w:rsidRPr="00750F23" w:rsidRDefault="00BB222A" w:rsidP="0044616E">
      <w:pPr>
        <w:pStyle w:val="ListParagraph"/>
        <w:numPr>
          <w:ilvl w:val="0"/>
          <w:numId w:val="3"/>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La</w:t>
      </w:r>
      <w:r w:rsidR="008F2EE2" w:rsidRPr="00750F23">
        <w:rPr>
          <w:rFonts w:ascii="Times New Roman" w:eastAsia="Times New Roman" w:hAnsi="Times New Roman" w:cs="Times New Roman"/>
          <w:sz w:val="24"/>
          <w:szCs w:val="24"/>
        </w:rPr>
        <w:t xml:space="preserve"> adecuación de los campus de entidades de educación superior; </w:t>
      </w:r>
    </w:p>
    <w:p w:rsidR="0044616E" w:rsidRPr="00750F23" w:rsidRDefault="00BB222A" w:rsidP="0044616E">
      <w:pPr>
        <w:pStyle w:val="ListParagraph"/>
        <w:numPr>
          <w:ilvl w:val="0"/>
          <w:numId w:val="3"/>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La</w:t>
      </w:r>
      <w:r w:rsidR="008F2EE2" w:rsidRPr="00750F23">
        <w:rPr>
          <w:rFonts w:ascii="Times New Roman" w:eastAsia="Times New Roman" w:hAnsi="Times New Roman" w:cs="Times New Roman"/>
          <w:sz w:val="24"/>
          <w:szCs w:val="24"/>
        </w:rPr>
        <w:t xml:space="preserve"> adecuación de teatros, auditorios, cines y espacios cu</w:t>
      </w:r>
      <w:r w:rsidR="0044616E" w:rsidRPr="00750F23">
        <w:rPr>
          <w:rFonts w:ascii="Times New Roman" w:eastAsia="Times New Roman" w:hAnsi="Times New Roman" w:cs="Times New Roman"/>
          <w:sz w:val="24"/>
          <w:szCs w:val="24"/>
        </w:rPr>
        <w:t xml:space="preserve">lturales para eventos públicos; </w:t>
      </w:r>
      <w:r w:rsidR="008F2EE2" w:rsidRPr="00750F23">
        <w:rPr>
          <w:rFonts w:ascii="Times New Roman" w:eastAsia="Times New Roman" w:hAnsi="Times New Roman" w:cs="Times New Roman"/>
          <w:sz w:val="24"/>
          <w:szCs w:val="24"/>
        </w:rPr>
        <w:t xml:space="preserve">y </w:t>
      </w:r>
    </w:p>
    <w:p w:rsidR="000F6896" w:rsidRPr="00750F23" w:rsidRDefault="00BB222A" w:rsidP="007B2769">
      <w:pPr>
        <w:pStyle w:val="ListParagraph"/>
        <w:numPr>
          <w:ilvl w:val="0"/>
          <w:numId w:val="3"/>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El</w:t>
      </w:r>
      <w:r w:rsidR="008F2EE2" w:rsidRPr="00750F23">
        <w:rPr>
          <w:rFonts w:ascii="Times New Roman" w:eastAsia="Times New Roman" w:hAnsi="Times New Roman" w:cs="Times New Roman"/>
          <w:sz w:val="24"/>
          <w:szCs w:val="24"/>
        </w:rPr>
        <w:t xml:space="preserve"> efectivo cumplimiento a las normas sobre accesibilidad en escenarios deportivos, culturales y recreativos. </w:t>
      </w:r>
    </w:p>
    <w:p w:rsidR="000F6896"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Por último, fuera del cuerpo legal arriba reseñado, existen múltiples manuales de distintas entidades que dictan pautas y fundamentos para quienes diseñan los elementos que conforman las ciudades, a efecto de que tengan en cuenta los requisitos de accesibilidad para personas con discapacidad. </w:t>
      </w:r>
    </w:p>
    <w:p w:rsidR="000F6896" w:rsidRPr="00750F23" w:rsidRDefault="000F6896">
      <w:pPr>
        <w:jc w:val="both"/>
        <w:rPr>
          <w:rFonts w:ascii="Times New Roman" w:eastAsia="Times New Roman" w:hAnsi="Times New Roman" w:cs="Times New Roman"/>
          <w:sz w:val="24"/>
          <w:szCs w:val="24"/>
        </w:rPr>
      </w:pPr>
    </w:p>
    <w:p w:rsidR="000F6896"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Por ejemplo, la Consejería para la Política Social de la Presidencia de la República, junto con otras entidades gubernamentales, desarrollaron un manual titulado “</w:t>
      </w:r>
      <w:r w:rsidRPr="00750F23">
        <w:rPr>
          <w:rFonts w:ascii="Times New Roman" w:eastAsia="Times New Roman" w:hAnsi="Times New Roman" w:cs="Times New Roman"/>
          <w:i/>
          <w:sz w:val="24"/>
          <w:szCs w:val="24"/>
        </w:rPr>
        <w:t>Accesibilidad al medio físico</w:t>
      </w:r>
      <w:r w:rsidR="00BB222A" w:rsidRPr="00750F23">
        <w:rPr>
          <w:rFonts w:ascii="Times New Roman" w:eastAsia="Times New Roman" w:hAnsi="Times New Roman" w:cs="Times New Roman"/>
          <w:i/>
          <w:sz w:val="24"/>
          <w:szCs w:val="24"/>
        </w:rPr>
        <w:t xml:space="preserve"> y al transporte</w:t>
      </w:r>
      <w:r w:rsidR="00BB222A" w:rsidRPr="00750F23">
        <w:rPr>
          <w:rFonts w:ascii="Times New Roman" w:eastAsia="Times New Roman" w:hAnsi="Times New Roman" w:cs="Times New Roman"/>
          <w:sz w:val="24"/>
          <w:szCs w:val="24"/>
        </w:rPr>
        <w:t>”</w:t>
      </w:r>
      <w:r w:rsidR="00BB222A" w:rsidRPr="00750F23">
        <w:rPr>
          <w:rStyle w:val="FootnoteReference"/>
          <w:rFonts w:ascii="Times New Roman" w:eastAsia="Times New Roman" w:hAnsi="Times New Roman" w:cs="Times New Roman"/>
          <w:sz w:val="24"/>
          <w:szCs w:val="24"/>
        </w:rPr>
        <w:footnoteReference w:id="1"/>
      </w:r>
      <w:r w:rsidRPr="00750F23">
        <w:rPr>
          <w:rFonts w:ascii="Times New Roman" w:eastAsia="Times New Roman" w:hAnsi="Times New Roman" w:cs="Times New Roman"/>
          <w:sz w:val="24"/>
          <w:szCs w:val="24"/>
        </w:rPr>
        <w:t xml:space="preserve">, donde se abordan distintos aspectos relativos a la accesibilidad, tales como: 1. redes peatonales accesibles, 2. accesibilidad en el espacio público (incluyendo escaleras, cruces peatonales, parqueaderos en espacios públicos, etc.), 3. </w:t>
      </w:r>
      <w:r w:rsidR="00BB222A" w:rsidRPr="00750F23">
        <w:rPr>
          <w:rFonts w:ascii="Times New Roman" w:eastAsia="Times New Roman" w:hAnsi="Times New Roman" w:cs="Times New Roman"/>
          <w:sz w:val="24"/>
          <w:szCs w:val="24"/>
        </w:rPr>
        <w:t>Accesibilidad</w:t>
      </w:r>
      <w:r w:rsidRPr="00750F23">
        <w:rPr>
          <w:rFonts w:ascii="Times New Roman" w:eastAsia="Times New Roman" w:hAnsi="Times New Roman" w:cs="Times New Roman"/>
          <w:sz w:val="24"/>
          <w:szCs w:val="24"/>
        </w:rPr>
        <w:t xml:space="preserve"> en edificios públicos (pasillos, ascensores, baños, etc.), y 4. </w:t>
      </w:r>
      <w:r w:rsidR="00BB222A" w:rsidRPr="00750F23">
        <w:rPr>
          <w:rFonts w:ascii="Times New Roman" w:eastAsia="Times New Roman" w:hAnsi="Times New Roman" w:cs="Times New Roman"/>
          <w:sz w:val="24"/>
          <w:szCs w:val="24"/>
        </w:rPr>
        <w:t>Accesibilidad</w:t>
      </w:r>
      <w:r w:rsidRPr="00750F23">
        <w:rPr>
          <w:rFonts w:ascii="Times New Roman" w:eastAsia="Times New Roman" w:hAnsi="Times New Roman" w:cs="Times New Roman"/>
          <w:sz w:val="24"/>
          <w:szCs w:val="24"/>
        </w:rPr>
        <w:t xml:space="preserve"> a los medios de transporte público de pasajeros e infraestructuras (paraderos, terminales, aviones, embarcaciones, etc.). En igual sentido, el Instituto de Desarrollo Urbano, IDU, también cuenta con un manual titulado “</w:t>
      </w:r>
      <w:r w:rsidRPr="00750F23">
        <w:rPr>
          <w:rFonts w:ascii="Times New Roman" w:eastAsia="Times New Roman" w:hAnsi="Times New Roman" w:cs="Times New Roman"/>
          <w:i/>
          <w:sz w:val="24"/>
          <w:szCs w:val="24"/>
        </w:rPr>
        <w:t>Guía práctica de la movilidad</w:t>
      </w:r>
      <w:r w:rsidR="00BB222A" w:rsidRPr="00750F23">
        <w:rPr>
          <w:rFonts w:ascii="Times New Roman" w:eastAsia="Times New Roman" w:hAnsi="Times New Roman" w:cs="Times New Roman"/>
          <w:i/>
          <w:sz w:val="24"/>
          <w:szCs w:val="24"/>
        </w:rPr>
        <w:t xml:space="preserve"> peatonal urbana</w:t>
      </w:r>
      <w:r w:rsidR="00BB222A" w:rsidRPr="00750F23">
        <w:rPr>
          <w:rFonts w:ascii="Times New Roman" w:eastAsia="Times New Roman" w:hAnsi="Times New Roman" w:cs="Times New Roman"/>
          <w:sz w:val="24"/>
          <w:szCs w:val="24"/>
        </w:rPr>
        <w:t>”</w:t>
      </w:r>
      <w:r w:rsidR="00BB222A" w:rsidRPr="00750F23">
        <w:rPr>
          <w:rStyle w:val="FootnoteReference"/>
          <w:rFonts w:ascii="Times New Roman" w:eastAsia="Times New Roman" w:hAnsi="Times New Roman" w:cs="Times New Roman"/>
          <w:sz w:val="24"/>
          <w:szCs w:val="24"/>
        </w:rPr>
        <w:footnoteReference w:id="2"/>
      </w:r>
      <w:r w:rsidRPr="00750F23">
        <w:rPr>
          <w:rFonts w:ascii="Times New Roman" w:eastAsia="Times New Roman" w:hAnsi="Times New Roman" w:cs="Times New Roman"/>
          <w:sz w:val="24"/>
          <w:szCs w:val="24"/>
        </w:rPr>
        <w:t xml:space="preserve">, en donde se tratan temas </w:t>
      </w:r>
      <w:r w:rsidR="00BB222A" w:rsidRPr="00750F23">
        <w:rPr>
          <w:rFonts w:ascii="Times New Roman" w:eastAsia="Times New Roman" w:hAnsi="Times New Roman" w:cs="Times New Roman"/>
          <w:sz w:val="24"/>
          <w:szCs w:val="24"/>
        </w:rPr>
        <w:t>de accesibilidad</w:t>
      </w:r>
      <w:r w:rsidRPr="00750F23">
        <w:rPr>
          <w:rFonts w:ascii="Times New Roman" w:eastAsia="Times New Roman" w:hAnsi="Times New Roman" w:cs="Times New Roman"/>
          <w:sz w:val="24"/>
          <w:szCs w:val="24"/>
        </w:rPr>
        <w:t xml:space="preserve"> peatonal en andenes, en puentes peatonales, en cebras y en estaciones de transporte masivo, entre otros. En este orden de ideas, Transmilenio también cuenta con una guía</w:t>
      </w:r>
      <w:r w:rsidR="00BB222A" w:rsidRPr="00750F23">
        <w:rPr>
          <w:rFonts w:ascii="Times New Roman" w:eastAsia="Times New Roman" w:hAnsi="Times New Roman" w:cs="Times New Roman"/>
          <w:sz w:val="24"/>
          <w:szCs w:val="24"/>
        </w:rPr>
        <w:t xml:space="preserve"> de accesibilidad</w:t>
      </w:r>
      <w:r w:rsidR="00BB222A" w:rsidRPr="00750F23">
        <w:rPr>
          <w:rStyle w:val="FootnoteReference"/>
          <w:rFonts w:ascii="Times New Roman" w:eastAsia="Times New Roman" w:hAnsi="Times New Roman" w:cs="Times New Roman"/>
          <w:sz w:val="24"/>
          <w:szCs w:val="24"/>
        </w:rPr>
        <w:footnoteReference w:id="3"/>
      </w:r>
      <w:r w:rsidRPr="00750F23">
        <w:rPr>
          <w:rFonts w:ascii="Times New Roman" w:eastAsia="Times New Roman" w:hAnsi="Times New Roman" w:cs="Times New Roman"/>
          <w:sz w:val="24"/>
          <w:szCs w:val="24"/>
        </w:rPr>
        <w:t xml:space="preserve"> para los usuarios de este sistema de transporte, donde se miran asuntos como el acceso a los puentes peatonales de acceso al sistema, los ascensores, apoyos isquiáticos y otros. </w:t>
      </w:r>
    </w:p>
    <w:p w:rsidR="000F6896" w:rsidRPr="00750F23" w:rsidRDefault="000F6896">
      <w:pPr>
        <w:jc w:val="both"/>
        <w:rPr>
          <w:rFonts w:ascii="Times New Roman" w:hAnsi="Times New Roman" w:cs="Times New Roman"/>
          <w:sz w:val="24"/>
          <w:szCs w:val="24"/>
        </w:rPr>
      </w:pPr>
    </w:p>
    <w:p w:rsidR="0084166E" w:rsidRPr="00750F23" w:rsidRDefault="007B2769" w:rsidP="0084166E">
      <w:pPr>
        <w:spacing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i/>
          <w:sz w:val="24"/>
          <w:szCs w:val="24"/>
        </w:rPr>
        <w:t>3</w:t>
      </w:r>
      <w:r w:rsidR="0084166E" w:rsidRPr="00750F23">
        <w:rPr>
          <w:rFonts w:ascii="Times New Roman" w:eastAsia="Times New Roman" w:hAnsi="Times New Roman" w:cs="Times New Roman"/>
          <w:i/>
          <w:sz w:val="24"/>
          <w:szCs w:val="24"/>
        </w:rPr>
        <w:t xml:space="preserve">.              Sírvanse proporcionar información sobre el </w:t>
      </w:r>
      <w:r w:rsidR="0084166E" w:rsidRPr="00750F23">
        <w:rPr>
          <w:rFonts w:ascii="Times New Roman" w:eastAsia="Times New Roman" w:hAnsi="Times New Roman" w:cs="Times New Roman"/>
          <w:b/>
          <w:bCs/>
          <w:i/>
          <w:sz w:val="24"/>
          <w:szCs w:val="24"/>
        </w:rPr>
        <w:t>marco legislativo y de políticas existente en su país en relación con los servicios de apoyo para las personas con discapacidad</w:t>
      </w:r>
      <w:r w:rsidR="0084166E" w:rsidRPr="00750F23">
        <w:rPr>
          <w:rFonts w:ascii="Times New Roman" w:eastAsia="Times New Roman" w:hAnsi="Times New Roman" w:cs="Times New Roman"/>
          <w:i/>
          <w:sz w:val="24"/>
          <w:szCs w:val="24"/>
        </w:rPr>
        <w:t>, incluyendo</w:t>
      </w:r>
      <w:r w:rsidR="0084166E" w:rsidRPr="00750F23">
        <w:rPr>
          <w:rFonts w:ascii="Times New Roman" w:eastAsia="Times New Roman" w:hAnsi="Times New Roman" w:cs="Times New Roman"/>
          <w:sz w:val="24"/>
          <w:szCs w:val="24"/>
        </w:rPr>
        <w:t>:</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p>
    <w:p w:rsidR="0084166E" w:rsidRPr="00750F23" w:rsidRDefault="0084166E" w:rsidP="0084166E">
      <w:pPr>
        <w:spacing w:line="240" w:lineRule="auto"/>
        <w:ind w:left="1280" w:hanging="360"/>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         La diversidad y cobertura de los servicios disponibles (por ejemplo, servicios para la toma de decisiones con apoyo, la comunicación, la </w:t>
      </w:r>
      <w:r w:rsidRPr="00750F23">
        <w:rPr>
          <w:rFonts w:ascii="Times New Roman" w:eastAsia="Times New Roman" w:hAnsi="Times New Roman" w:cs="Times New Roman"/>
          <w:sz w:val="24"/>
          <w:szCs w:val="24"/>
        </w:rPr>
        <w:lastRenderedPageBreak/>
        <w:t>movilidad, el apoyo personal, los arreglos de vivienda, el acceso a servicios generales tales como la educación, el empleo, la justicia y la salud, y otros servicios a la comunidad),</w:t>
      </w:r>
    </w:p>
    <w:p w:rsidR="0084166E" w:rsidRPr="00750F23" w:rsidRDefault="0084166E" w:rsidP="0084166E">
      <w:pPr>
        <w:spacing w:line="240" w:lineRule="auto"/>
        <w:ind w:left="1280" w:hanging="360"/>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La disponibilidad de intérpretes de lengua de señas certificados,</w:t>
      </w:r>
    </w:p>
    <w:p w:rsidR="0084166E" w:rsidRPr="00750F23" w:rsidRDefault="0084166E" w:rsidP="0084166E">
      <w:pPr>
        <w:spacing w:line="240" w:lineRule="auto"/>
        <w:ind w:left="1280" w:hanging="360"/>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color w:val="FF0000"/>
          <w:sz w:val="24"/>
          <w:szCs w:val="24"/>
        </w:rPr>
        <w:t>·     </w:t>
      </w:r>
      <w:r w:rsidRPr="00750F23">
        <w:rPr>
          <w:rFonts w:ascii="Times New Roman" w:eastAsia="Times New Roman" w:hAnsi="Times New Roman" w:cs="Times New Roman"/>
          <w:sz w:val="24"/>
          <w:szCs w:val="24"/>
        </w:rPr>
        <w:t>    Los tipos de esquemas de prestación de servicios (por ejemplo, la provisión directa, las asociaciones público-privadas, las asociaciones con organizaciones comunitarias o no gubernamentales, la contratación externa, la privatización),</w:t>
      </w:r>
    </w:p>
    <w:p w:rsidR="0084166E" w:rsidRPr="00750F23" w:rsidRDefault="0084166E" w:rsidP="0084166E">
      <w:pPr>
        <w:spacing w:line="240" w:lineRule="auto"/>
        <w:ind w:left="1280" w:hanging="360"/>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Los mecanismos financieros para garantizar la asequibilidad de los servicios de apoyo para todas las personas con discapacidad,</w:t>
      </w:r>
    </w:p>
    <w:p w:rsidR="0084166E" w:rsidRPr="00750F23" w:rsidRDefault="0084166E" w:rsidP="0084166E">
      <w:pPr>
        <w:spacing w:line="240" w:lineRule="auto"/>
        <w:ind w:left="1280" w:hanging="360"/>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¿Cómo los servicios permiten la elección directa y el control de los usuarios con discapacidad?</w:t>
      </w:r>
    </w:p>
    <w:p w:rsidR="0084166E" w:rsidRPr="00750F23" w:rsidRDefault="0084166E" w:rsidP="0084166E">
      <w:pPr>
        <w:spacing w:line="240" w:lineRule="auto"/>
        <w:jc w:val="both"/>
        <w:rPr>
          <w:rFonts w:ascii="Times New Roman" w:eastAsia="Times New Roman" w:hAnsi="Times New Roman" w:cs="Times New Roman"/>
          <w:sz w:val="24"/>
          <w:szCs w:val="24"/>
        </w:rPr>
      </w:pPr>
    </w:p>
    <w:p w:rsidR="0084166E" w:rsidRPr="00750F23" w:rsidRDefault="0084166E" w:rsidP="0084166E">
      <w:pPr>
        <w:numPr>
          <w:ilvl w:val="0"/>
          <w:numId w:val="1"/>
        </w:numPr>
        <w:spacing w:line="240" w:lineRule="auto"/>
        <w:contextualSpacing/>
        <w:jc w:val="both"/>
        <w:textAlignment w:val="baseline"/>
        <w:rPr>
          <w:rFonts w:ascii="Times New Roman" w:eastAsia="Times New Roman" w:hAnsi="Times New Roman" w:cs="Times New Roman"/>
          <w:sz w:val="24"/>
          <w:szCs w:val="24"/>
        </w:rPr>
      </w:pPr>
      <w:r w:rsidRPr="00750F23">
        <w:rPr>
          <w:rFonts w:ascii="Times New Roman" w:eastAsia="Times New Roman" w:hAnsi="Times New Roman" w:cs="Times New Roman"/>
          <w:b/>
          <w:bCs/>
          <w:i/>
          <w:sz w:val="24"/>
          <w:szCs w:val="24"/>
        </w:rPr>
        <w:t>Educativos</w:t>
      </w:r>
    </w:p>
    <w:p w:rsidR="0084166E" w:rsidRPr="00750F23" w:rsidRDefault="0084166E" w:rsidP="0084166E">
      <w:pPr>
        <w:spacing w:line="240" w:lineRule="auto"/>
        <w:contextualSpacing/>
        <w:jc w:val="both"/>
        <w:textAlignment w:val="baseline"/>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Con la expedición de la Ley 1618 de 2013 se establece la responsabilidad del Ministerio de Educación Nacional como garante de los servicios educativos para la población con discapacidad. El articulado normativo en mención, expande la organización del servicio educativo para fomentar la educación inclusiva, previamente establecida en el Decreto 366 de 2009 y la Directiva Ministerial 15 del 2010.</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    </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Si bien se ha intentado avanzar para garantizar el derecho a la educación de las personas con discapacidad, el Informe de la Fundación Saldarriaga Concha, presentado al Comité de Naciones Unidas, señala que, a 2015, de 10.3 millones de personas en edad escolar matriculadas en el sistema educativo colombiano, sólo el 1.34% correspondía a personas en situación de discapacidad</w:t>
      </w:r>
      <w:r w:rsidRPr="00750F23">
        <w:rPr>
          <w:rStyle w:val="FootnoteReference"/>
          <w:rFonts w:ascii="Times New Roman" w:eastAsia="Times New Roman" w:hAnsi="Times New Roman" w:cs="Times New Roman"/>
          <w:sz w:val="24"/>
          <w:szCs w:val="24"/>
        </w:rPr>
        <w:footnoteReference w:id="4"/>
      </w:r>
      <w:r w:rsidRPr="00750F23">
        <w:rPr>
          <w:rFonts w:ascii="Times New Roman" w:eastAsia="Times New Roman" w:hAnsi="Times New Roman" w:cs="Times New Roman"/>
          <w:sz w:val="24"/>
          <w:szCs w:val="24"/>
        </w:rPr>
        <w:t>. Estos datos evidencian las importantes limitaciones con las que cuenta el concepto de inclusión y su implementación en la educación colombiana. Es también importante recordar que a 2012, según el DANE, el 80% del total de las personas de entre 5 y 9 años con alguna discapacidad no ha alcanzado ningún nivel educativo, mientras que del grupo de 10 a 17 años, el 47,1% no había aprobado ningún nivel educativo</w:t>
      </w:r>
      <w:r w:rsidRPr="00750F23">
        <w:rPr>
          <w:rStyle w:val="FootnoteReference"/>
          <w:rFonts w:ascii="Times New Roman" w:eastAsia="Times New Roman" w:hAnsi="Times New Roman" w:cs="Times New Roman"/>
          <w:sz w:val="24"/>
          <w:szCs w:val="24"/>
        </w:rPr>
        <w:footnoteReference w:id="5"/>
      </w:r>
      <w:r w:rsidRPr="00750F23">
        <w:rPr>
          <w:rFonts w:ascii="Times New Roman" w:eastAsia="Times New Roman" w:hAnsi="Times New Roman" w:cs="Times New Roman"/>
          <w:sz w:val="24"/>
          <w:szCs w:val="24"/>
        </w:rPr>
        <w:t>.</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Esto es así, aun cuando los recursos financieros destinados a los servicios educativos inclusivos en educación son bastante grandes, de acuerdo a la asignación de recursos especificada en el documento Conpes 178 de 2015. Es importante señalar que, debido al método de distribución de los ingresos -de acuerdo a la cantidad de estudiantes con discapacidad registrado y reportado en el SIMAT-, son las entidades territoriales con mayor avance en términos de registro quienes reciben mayor proporción de recursos financieros. Esto genera que aquellas entidades que no cuentan con sistemas de registro efectivos, ven limitada su oportunidad para recibir recursos financieros apropiados</w:t>
      </w:r>
      <w:r w:rsidRPr="00750F23">
        <w:rPr>
          <w:rStyle w:val="FootnoteReference"/>
          <w:rFonts w:ascii="Times New Roman" w:eastAsia="Times New Roman" w:hAnsi="Times New Roman" w:cs="Times New Roman"/>
          <w:sz w:val="24"/>
          <w:szCs w:val="24"/>
        </w:rPr>
        <w:footnoteReference w:id="6"/>
      </w:r>
      <w:r w:rsidRPr="00750F23">
        <w:rPr>
          <w:rFonts w:ascii="Times New Roman" w:eastAsia="Times New Roman" w:hAnsi="Times New Roman" w:cs="Times New Roman"/>
          <w:sz w:val="24"/>
          <w:szCs w:val="24"/>
        </w:rPr>
        <w:t xml:space="preserve">. </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Otros ejemplos de financiación, han venido de entidades como el Instituto Colombiano de Crédito Educativo y Estudios Técnicos en el Exterior (ICETEX), entidad cuyo objeto es la financiación en la educación superior en Colombia y en el exterior, y el MEN, gracias a </w:t>
      </w:r>
      <w:r w:rsidRPr="00750F23">
        <w:rPr>
          <w:rFonts w:ascii="Times New Roman" w:eastAsia="Times New Roman" w:hAnsi="Times New Roman" w:cs="Times New Roman"/>
          <w:sz w:val="24"/>
          <w:szCs w:val="24"/>
        </w:rPr>
        <w:lastRenderedPageBreak/>
        <w:t>alianzas público-privadas, han ampliado, de manera mínima, la oferta de créditos a personas con discapacidad para acceder a espacios educativos.</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Esto evidencia, como señala el Informe de la Coalición Colombiana por la Implementación de la Convención sobre los Derechos de las Personas con Discapacidad al Comité de Naciones Unidas, que la política educativa y de inclusión educativa, de y para la población con discapacidad, aún se encuentra desarrollada de manera independiente entre las distintas entidades del orden nacional, y su implementación se ve bastante restringida a lugares “centrales” del país, pues en las regiones más apartadas del país, donde la presencia estatal e institucional no es tan fuerte, estas limitadas políticas educativas no tienen lugar</w:t>
      </w:r>
      <w:r w:rsidRPr="00750F23">
        <w:rPr>
          <w:rStyle w:val="FootnoteReference"/>
          <w:rFonts w:ascii="Times New Roman" w:eastAsia="Times New Roman" w:hAnsi="Times New Roman" w:cs="Times New Roman"/>
          <w:sz w:val="24"/>
          <w:szCs w:val="24"/>
        </w:rPr>
        <w:footnoteReference w:id="7"/>
      </w:r>
      <w:r w:rsidRPr="00750F23">
        <w:rPr>
          <w:rFonts w:ascii="Times New Roman" w:eastAsia="Times New Roman" w:hAnsi="Times New Roman" w:cs="Times New Roman"/>
          <w:sz w:val="24"/>
          <w:szCs w:val="24"/>
        </w:rPr>
        <w:t xml:space="preserve">. Es preciso la concreción de un sistema de políticas públicas de orden nacional que puedan ser implementadas en todos los territorios del país, y tengan una repercusión importante en la vida de las personas en situación de discapacidad. </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p>
    <w:p w:rsidR="0084166E" w:rsidRPr="00750F23" w:rsidRDefault="0084166E" w:rsidP="0084166E">
      <w:pPr>
        <w:pStyle w:val="ListParagraph"/>
        <w:numPr>
          <w:ilvl w:val="0"/>
          <w:numId w:val="1"/>
        </w:numPr>
        <w:spacing w:after="0" w:line="240" w:lineRule="auto"/>
        <w:jc w:val="both"/>
        <w:rPr>
          <w:rFonts w:ascii="Times New Roman" w:eastAsia="Times New Roman" w:hAnsi="Times New Roman" w:cs="Times New Roman"/>
          <w:i/>
          <w:sz w:val="24"/>
          <w:szCs w:val="24"/>
          <w:lang w:eastAsia="es-CO"/>
        </w:rPr>
      </w:pPr>
      <w:r w:rsidRPr="00750F23">
        <w:rPr>
          <w:rFonts w:ascii="Times New Roman" w:eastAsia="Times New Roman" w:hAnsi="Times New Roman" w:cs="Times New Roman"/>
          <w:b/>
          <w:bCs/>
          <w:i/>
          <w:color w:val="000000"/>
          <w:sz w:val="24"/>
          <w:szCs w:val="24"/>
          <w:lang w:eastAsia="es-CO"/>
        </w:rPr>
        <w:t>Toma de decisiones con apoyo</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El sistema de capacidad jurídica vigente en Colombia, regido por el ordenamiento civil, sigue vulnerando lo establecido en el artículo 12 de la CDPD y las observaciones realizadas por el Comité; específicamente la Observación General No. 1. </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La concreción de las obligaciones internacionales para el Estado en relación a la CDPD, fueron demarcadas en la Ley Estatutaria 1618 de 2013. En la misma, se le ordenó al Estado colombiano reformar el sistema de interdicción para cumplir con los requisitos exigidos por la normativa internacional relacionada a los derechos de las personas con discapacidad.  La capacidad jurídica de la población con discapacidad, a pesar de la Ley Estatutaria, sigue girando en torno a la Ley 1306 de 2009, la cual regula el régimen de discapacidad mental y representación legal de “</w:t>
      </w:r>
      <w:r w:rsidRPr="00750F23">
        <w:rPr>
          <w:rFonts w:ascii="Times New Roman" w:eastAsia="Times New Roman" w:hAnsi="Times New Roman" w:cs="Times New Roman"/>
          <w:i/>
          <w:sz w:val="24"/>
          <w:szCs w:val="24"/>
        </w:rPr>
        <w:t>incapaces emancipados</w:t>
      </w:r>
      <w:r w:rsidRPr="00750F23">
        <w:rPr>
          <w:rFonts w:ascii="Times New Roman" w:eastAsia="Times New Roman" w:hAnsi="Times New Roman" w:cs="Times New Roman"/>
          <w:sz w:val="24"/>
          <w:szCs w:val="24"/>
        </w:rPr>
        <w:t>”, clasificando a las personas bajo un modelo contrario a la de Convención</w:t>
      </w:r>
      <w:r w:rsidR="00DC6E56" w:rsidRPr="00750F23">
        <w:rPr>
          <w:rFonts w:ascii="Times New Roman" w:eastAsia="Times New Roman" w:hAnsi="Times New Roman" w:cs="Times New Roman"/>
          <w:sz w:val="24"/>
          <w:szCs w:val="24"/>
        </w:rPr>
        <w:t xml:space="preserve"> (en adelante CDPD)</w:t>
      </w:r>
      <w:r w:rsidRPr="00750F23">
        <w:rPr>
          <w:rFonts w:ascii="Times New Roman" w:eastAsia="Times New Roman" w:hAnsi="Times New Roman" w:cs="Times New Roman"/>
          <w:sz w:val="24"/>
          <w:szCs w:val="24"/>
        </w:rPr>
        <w:t xml:space="preserve">. </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De manera puntual, en cuanto a los servicios ofrecidos por el Estado en relación a la toma de decisiones con apoyos, la Corte Constitucional, en la orden número doce (12) de la sentencia C-173 de 2014, le indica al SNARIV la necesidad de implementar la toma de decisiones con apoyo en los procesos de reparación integral. Hoy ya se cuenta con el protocolo de toma de decisiones con apoyo de la UARIV y el instrumento de valoración de apoyos utilizado por las entidades que conforman el SNARIV, dentro de los procesos de reparación, específicamente la indemnización administrativa.</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Esta garantía de implementación en toma de decisiones con apoyos, mientras es reformado el sistema normativo jurídico en relación a la capacidad jurídica, debe ser replicada por la mayor cantidad de entidades e instituciones privadas que, ya sea de manera directa o indirecta, cubran dentro del espectro específico de prestación de servicios a la población con discapacidad. Si bien los mismos son adelantado importantes en el desarrollo de la toma de decisiones con apoyos, la Corte Constitucional no puede funcionar como el eje a </w:t>
      </w:r>
      <w:r w:rsidRPr="00750F23">
        <w:rPr>
          <w:rFonts w:ascii="Times New Roman" w:eastAsia="Times New Roman" w:hAnsi="Times New Roman" w:cs="Times New Roman"/>
          <w:sz w:val="24"/>
          <w:szCs w:val="24"/>
        </w:rPr>
        <w:lastRenderedPageBreak/>
        <w:t xml:space="preserve">través del cual inician y terminan las políticas públicas, de implementación de toma de decisiones con apoyo, pero también de los demás derechos establecidos en la CDPD. </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p>
    <w:p w:rsidR="0084166E" w:rsidRPr="00750F23" w:rsidRDefault="0084166E" w:rsidP="0084166E">
      <w:pPr>
        <w:pStyle w:val="ListParagraph"/>
        <w:numPr>
          <w:ilvl w:val="0"/>
          <w:numId w:val="1"/>
        </w:numPr>
        <w:spacing w:after="0" w:line="240" w:lineRule="auto"/>
        <w:jc w:val="both"/>
        <w:rPr>
          <w:rFonts w:ascii="Times New Roman" w:eastAsia="Times New Roman" w:hAnsi="Times New Roman" w:cs="Times New Roman"/>
          <w:i/>
          <w:sz w:val="24"/>
          <w:szCs w:val="24"/>
          <w:lang w:eastAsia="es-CO"/>
        </w:rPr>
      </w:pPr>
      <w:r w:rsidRPr="00750F23">
        <w:rPr>
          <w:rFonts w:ascii="Times New Roman" w:eastAsia="Times New Roman" w:hAnsi="Times New Roman" w:cs="Times New Roman"/>
          <w:b/>
          <w:bCs/>
          <w:i/>
          <w:color w:val="000000"/>
          <w:sz w:val="24"/>
          <w:szCs w:val="24"/>
          <w:lang w:eastAsia="es-CO"/>
        </w:rPr>
        <w:t>Comunicación</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El acceso a los servicios de información y a la información en concreto, gira en torno a la determinación de significados amparados por la CDPD en su artículo segundo (2). En este sentido, la definición de comunicación que brinda la Convención ha sido desarrollada ya a través de varias normas; entre ellas, la Ley 982 de 2005 y la Ley 1680 de 2013, que señalan las diversas formas de comunicación y su protección, lo que implica su efectivo reconocimiento y garantía de cumplimiento por parte de las autoridades.</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La “</w:t>
      </w:r>
      <w:r w:rsidRPr="00750F23">
        <w:rPr>
          <w:rFonts w:ascii="Times New Roman" w:eastAsia="Times New Roman" w:hAnsi="Times New Roman" w:cs="Times New Roman"/>
          <w:i/>
          <w:sz w:val="24"/>
          <w:szCs w:val="24"/>
        </w:rPr>
        <w:t>licencia país</w:t>
      </w:r>
      <w:r w:rsidRPr="00750F23">
        <w:rPr>
          <w:rFonts w:ascii="Times New Roman" w:eastAsia="Times New Roman" w:hAnsi="Times New Roman" w:cs="Times New Roman"/>
          <w:sz w:val="24"/>
          <w:szCs w:val="24"/>
        </w:rPr>
        <w:t>” de un software lector de pantalla, adquirido por el Estado colombiano, de acceso y utilización gratuita, representa un importante avance para la población ciega y con baja visión. Sin embargo, como lo ha manifestado la sociedad civil</w:t>
      </w:r>
      <w:r w:rsidRPr="00750F23">
        <w:rPr>
          <w:rStyle w:val="FootnoteReference"/>
          <w:rFonts w:ascii="Times New Roman" w:eastAsia="Times New Roman" w:hAnsi="Times New Roman" w:cs="Times New Roman"/>
          <w:sz w:val="24"/>
          <w:szCs w:val="24"/>
        </w:rPr>
        <w:footnoteReference w:id="8"/>
      </w:r>
      <w:r w:rsidRPr="00750F23">
        <w:rPr>
          <w:rFonts w:ascii="Times New Roman" w:eastAsia="Times New Roman" w:hAnsi="Times New Roman" w:cs="Times New Roman"/>
          <w:sz w:val="24"/>
          <w:szCs w:val="24"/>
        </w:rPr>
        <w:t>, es indispensable que para seguir garantizando el sistema de accesibilidad a la comunicación, el Estado colombiano se comprometa a ratificar y cumplir el Tratado de Marrakech, el cual permite ampliar los beneficios de las excepciones y limitaciones al Derecho de Autor, y expandir la garantía de acceso a la información de diversos grupos de personas con discapacidad, y no sólo de algunos.</w:t>
      </w:r>
    </w:p>
    <w:p w:rsidR="0084166E" w:rsidRPr="00750F23" w:rsidRDefault="0084166E" w:rsidP="0084166E">
      <w:pPr>
        <w:spacing w:line="240" w:lineRule="auto"/>
        <w:contextualSpacing/>
        <w:jc w:val="both"/>
        <w:rPr>
          <w:rFonts w:ascii="Times New Roman" w:eastAsia="Times New Roman" w:hAnsi="Times New Roman" w:cs="Times New Roman"/>
          <w:sz w:val="24"/>
          <w:szCs w:val="24"/>
        </w:rPr>
      </w:pPr>
    </w:p>
    <w:p w:rsidR="0084166E" w:rsidRPr="00750F23" w:rsidRDefault="0084166E" w:rsidP="0084166E">
      <w:pPr>
        <w:pStyle w:val="ListParagraph"/>
        <w:numPr>
          <w:ilvl w:val="0"/>
          <w:numId w:val="1"/>
        </w:numPr>
        <w:spacing w:after="0" w:line="240" w:lineRule="auto"/>
        <w:jc w:val="both"/>
        <w:rPr>
          <w:rFonts w:ascii="Times New Roman" w:eastAsia="Times New Roman" w:hAnsi="Times New Roman" w:cs="Times New Roman"/>
          <w:i/>
          <w:sz w:val="24"/>
          <w:szCs w:val="24"/>
          <w:lang w:eastAsia="es-CO"/>
        </w:rPr>
      </w:pPr>
      <w:r w:rsidRPr="00750F23">
        <w:rPr>
          <w:rFonts w:ascii="Times New Roman" w:eastAsia="Times New Roman" w:hAnsi="Times New Roman" w:cs="Times New Roman"/>
          <w:b/>
          <w:bCs/>
          <w:i/>
          <w:color w:val="000000"/>
          <w:sz w:val="24"/>
          <w:szCs w:val="24"/>
          <w:lang w:eastAsia="es-CO"/>
        </w:rPr>
        <w:t>Empleo</w:t>
      </w:r>
    </w:p>
    <w:p w:rsidR="0084166E" w:rsidRPr="00750F23" w:rsidRDefault="0084166E" w:rsidP="0084166E">
      <w:pPr>
        <w:spacing w:after="240"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br/>
        <w:t xml:space="preserve">La Ley 361 de 1997 establece y protege el derecho al trabajo de la población con discapacidad, y es posteriormente desarrollado en la Ley 1618 de 2013. Si bien existe entonces una regulación específica de la normativa colombiana a la población con discapacidad, al acceso y mantenimiento de su trabajo, inclusive los avances de políticas públicas han resultado en limitaciones concretas para el acceso a empleo de muchas personas con discapacidad. </w:t>
      </w:r>
    </w:p>
    <w:p w:rsidR="0084166E" w:rsidRPr="00750F23" w:rsidRDefault="0084166E" w:rsidP="0084166E">
      <w:pPr>
        <w:spacing w:after="240" w:line="240" w:lineRule="auto"/>
        <w:contextualSpacing/>
        <w:jc w:val="both"/>
        <w:rPr>
          <w:rFonts w:ascii="Times New Roman" w:eastAsia="Times New Roman" w:hAnsi="Times New Roman" w:cs="Times New Roman"/>
          <w:sz w:val="24"/>
          <w:szCs w:val="24"/>
        </w:rPr>
      </w:pPr>
    </w:p>
    <w:p w:rsidR="00AA700A" w:rsidRPr="00750F23" w:rsidRDefault="0084166E" w:rsidP="0084166E">
      <w:pPr>
        <w:spacing w:after="240"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Esto así</w:t>
      </w:r>
      <w:r w:rsidR="00D5174A" w:rsidRPr="00750F23">
        <w:rPr>
          <w:rFonts w:ascii="Times New Roman" w:eastAsia="Times New Roman" w:hAnsi="Times New Roman" w:cs="Times New Roman"/>
          <w:sz w:val="24"/>
          <w:szCs w:val="24"/>
        </w:rPr>
        <w:t xml:space="preserve"> puesto que vía jurisprudencial</w:t>
      </w:r>
      <w:r w:rsidRPr="00750F23">
        <w:rPr>
          <w:rFonts w:ascii="Times New Roman" w:eastAsia="Times New Roman" w:hAnsi="Times New Roman" w:cs="Times New Roman"/>
          <w:sz w:val="24"/>
          <w:szCs w:val="24"/>
        </w:rPr>
        <w:t xml:space="preserve"> se ha integrado a la población con discapacidad como un grupo poblacional que goza de la denominada estabilidad laboral reforzada, que pretende evitar abusos por parte de los empleadores contra la población, así como garantizar que </w:t>
      </w:r>
      <w:r w:rsidR="00D5174A" w:rsidRPr="00750F23">
        <w:rPr>
          <w:rFonts w:ascii="Times New Roman" w:eastAsia="Times New Roman" w:hAnsi="Times New Roman" w:cs="Times New Roman"/>
          <w:sz w:val="24"/>
          <w:szCs w:val="24"/>
        </w:rPr>
        <w:t>se garantice su acceso y permanencia en el trabajo.</w:t>
      </w:r>
      <w:r w:rsidRPr="00750F23">
        <w:rPr>
          <w:rFonts w:ascii="Times New Roman" w:eastAsia="Times New Roman" w:hAnsi="Times New Roman" w:cs="Times New Roman"/>
          <w:sz w:val="24"/>
          <w:szCs w:val="24"/>
        </w:rPr>
        <w:t xml:space="preserve"> </w:t>
      </w:r>
      <w:r w:rsidR="00D5174A" w:rsidRPr="00750F23">
        <w:rPr>
          <w:rFonts w:ascii="Times New Roman" w:eastAsia="Times New Roman" w:hAnsi="Times New Roman" w:cs="Times New Roman"/>
          <w:sz w:val="24"/>
          <w:szCs w:val="24"/>
        </w:rPr>
        <w:t>Sin embargo, uno de los efectos generados por esta</w:t>
      </w:r>
      <w:r w:rsidR="00AA700A" w:rsidRPr="00750F23">
        <w:rPr>
          <w:rFonts w:ascii="Times New Roman" w:eastAsia="Times New Roman" w:hAnsi="Times New Roman" w:cs="Times New Roman"/>
          <w:sz w:val="24"/>
          <w:szCs w:val="24"/>
        </w:rPr>
        <w:t xml:space="preserve"> protección, es la de que los empleadores no deseen contratar personas con discapacidad, pues en la práctica, la estabilidad laboral reforzada incrementa los requerimientos para la realización de un despido. </w:t>
      </w:r>
    </w:p>
    <w:p w:rsidR="00AA700A" w:rsidRPr="00750F23" w:rsidRDefault="00AA700A" w:rsidP="0084166E">
      <w:pPr>
        <w:spacing w:after="240" w:line="240" w:lineRule="auto"/>
        <w:contextualSpacing/>
        <w:jc w:val="both"/>
        <w:rPr>
          <w:rFonts w:ascii="Times New Roman" w:eastAsia="Times New Roman" w:hAnsi="Times New Roman" w:cs="Times New Roman"/>
          <w:sz w:val="24"/>
          <w:szCs w:val="24"/>
        </w:rPr>
      </w:pPr>
    </w:p>
    <w:p w:rsidR="0084166E" w:rsidRPr="00750F23" w:rsidRDefault="00AA700A" w:rsidP="0084166E">
      <w:pPr>
        <w:spacing w:after="240"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En concreto, para que una persona con discapacidad pueda ser despedida, asegurando que el despido no obedezca a la situación e discapacidad, debe existir una autorización del Ministerio de Trabajo, a través de sus inspectores. Además, las funciones de los inspectores de trabajo en relación a este tipo de solicitud de despidos, no se encuentran reglamentadas puntualmente. Estas varias situaciones desincentivan la ya de por sí escasa contratación de población con discapacidad, existente además por la necesidad de implementación de </w:t>
      </w:r>
      <w:r w:rsidRPr="00750F23">
        <w:rPr>
          <w:rFonts w:ascii="Times New Roman" w:eastAsia="Times New Roman" w:hAnsi="Times New Roman" w:cs="Times New Roman"/>
          <w:sz w:val="24"/>
          <w:szCs w:val="24"/>
        </w:rPr>
        <w:lastRenderedPageBreak/>
        <w:t>ajustes razonables cuando los mismos sean solicitados; hecho que se ve como una carga para el empleador.</w:t>
      </w:r>
    </w:p>
    <w:p w:rsidR="0084166E" w:rsidRPr="00750F23" w:rsidRDefault="0084166E" w:rsidP="0084166E">
      <w:pPr>
        <w:spacing w:after="240" w:line="240" w:lineRule="auto"/>
        <w:contextualSpacing/>
        <w:jc w:val="both"/>
        <w:rPr>
          <w:rFonts w:ascii="Times New Roman" w:eastAsia="Times New Roman" w:hAnsi="Times New Roman" w:cs="Times New Roman"/>
          <w:sz w:val="24"/>
          <w:szCs w:val="24"/>
        </w:rPr>
      </w:pPr>
    </w:p>
    <w:p w:rsidR="007B2769" w:rsidRPr="00750F23" w:rsidRDefault="007B2769" w:rsidP="007B2769">
      <w:pPr>
        <w:spacing w:after="240" w:line="240" w:lineRule="auto"/>
        <w:contextualSpacing/>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En 2013 creó la Unidad Administrativa Especial del Servicio Público de Empleo, con el objetivo de administrar y promocionar la prestación del servicio público de empleo y hacer más eficiente el encuentro entre oferta y demanda de trabajo</w:t>
      </w:r>
    </w:p>
    <w:p w:rsidR="007B2769" w:rsidRPr="00750F23" w:rsidRDefault="007B2769" w:rsidP="0084166E">
      <w:pPr>
        <w:spacing w:after="240" w:line="240" w:lineRule="auto"/>
        <w:contextualSpacing/>
        <w:jc w:val="both"/>
        <w:rPr>
          <w:rFonts w:ascii="Times New Roman" w:eastAsia="Times New Roman" w:hAnsi="Times New Roman" w:cs="Times New Roman"/>
          <w:sz w:val="24"/>
          <w:szCs w:val="24"/>
        </w:rPr>
      </w:pPr>
    </w:p>
    <w:p w:rsidR="000F6896" w:rsidRPr="00750F23" w:rsidRDefault="000F6896">
      <w:pPr>
        <w:jc w:val="both"/>
        <w:rPr>
          <w:rFonts w:ascii="Times New Roman" w:hAnsi="Times New Roman" w:cs="Times New Roman"/>
          <w:sz w:val="24"/>
          <w:szCs w:val="24"/>
        </w:rPr>
      </w:pPr>
    </w:p>
    <w:p w:rsidR="000F6896" w:rsidRPr="00750F23" w:rsidRDefault="008F2EE2">
      <w:pPr>
        <w:jc w:val="both"/>
        <w:rPr>
          <w:rFonts w:ascii="Times New Roman" w:hAnsi="Times New Roman" w:cs="Times New Roman"/>
          <w:sz w:val="24"/>
          <w:szCs w:val="24"/>
        </w:rPr>
      </w:pPr>
      <w:r w:rsidRPr="00750F23">
        <w:rPr>
          <w:rFonts w:ascii="Times New Roman" w:eastAsia="Times New Roman" w:hAnsi="Times New Roman" w:cs="Times New Roman"/>
          <w:i/>
          <w:sz w:val="24"/>
          <w:szCs w:val="24"/>
        </w:rPr>
        <w:t>5. Sírvanse proporcionar cualquier otra información relevante (incluyendo información proveniente de encuestas, censos y datos administrativos -estadísticas, informes y estudios), en relación con la implementación de políticas y planes de acción inclusivos de las personas con discapacidad existentes en su país</w:t>
      </w:r>
      <w:r w:rsidRPr="00750F23">
        <w:rPr>
          <w:rFonts w:ascii="Times New Roman" w:eastAsia="Times New Roman" w:hAnsi="Times New Roman" w:cs="Times New Roman"/>
          <w:sz w:val="24"/>
          <w:szCs w:val="24"/>
        </w:rPr>
        <w:t xml:space="preserve"> </w:t>
      </w:r>
    </w:p>
    <w:p w:rsidR="000F6896" w:rsidRPr="00750F23" w:rsidRDefault="000F6896">
      <w:pPr>
        <w:jc w:val="both"/>
        <w:rPr>
          <w:rFonts w:ascii="Times New Roman" w:hAnsi="Times New Roman" w:cs="Times New Roman"/>
          <w:sz w:val="24"/>
          <w:szCs w:val="24"/>
        </w:rPr>
      </w:pPr>
    </w:p>
    <w:p w:rsidR="007B2769"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 xml:space="preserve">Existen informes y estudios de entidades independientes sobre la implementación de políticas de inclusión de las personas con discapacidad. </w:t>
      </w:r>
    </w:p>
    <w:p w:rsidR="007B2769" w:rsidRPr="00750F23" w:rsidRDefault="007B2769">
      <w:pPr>
        <w:jc w:val="both"/>
        <w:rPr>
          <w:rFonts w:ascii="Times New Roman" w:eastAsia="Times New Roman" w:hAnsi="Times New Roman" w:cs="Times New Roman"/>
          <w:sz w:val="24"/>
          <w:szCs w:val="24"/>
        </w:rPr>
      </w:pPr>
    </w:p>
    <w:p w:rsidR="007B2769" w:rsidRPr="00750F23" w:rsidRDefault="008F2EE2">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Sobre la inclusión laboral de personas con discapacidad, en específico, Pacto de Productividad (un programa empresarial de promoción laboral para personas con discapacidad), emitió un documento titulado “</w:t>
      </w:r>
      <w:r w:rsidRPr="00750F23">
        <w:rPr>
          <w:rFonts w:ascii="Times New Roman" w:eastAsia="Times New Roman" w:hAnsi="Times New Roman" w:cs="Times New Roman"/>
          <w:i/>
          <w:sz w:val="24"/>
          <w:szCs w:val="24"/>
        </w:rPr>
        <w:t>Consultoría sobre análisis de la normat</w:t>
      </w:r>
      <w:r w:rsidR="007B2769" w:rsidRPr="00750F23">
        <w:rPr>
          <w:rFonts w:ascii="Times New Roman" w:eastAsia="Times New Roman" w:hAnsi="Times New Roman" w:cs="Times New Roman"/>
          <w:i/>
          <w:sz w:val="24"/>
          <w:szCs w:val="24"/>
        </w:rPr>
        <w:t>ividad y propuesta de ajustes</w:t>
      </w:r>
      <w:r w:rsidR="007B2769" w:rsidRPr="00750F23">
        <w:rPr>
          <w:rFonts w:ascii="Times New Roman" w:eastAsia="Times New Roman" w:hAnsi="Times New Roman" w:cs="Times New Roman"/>
          <w:sz w:val="24"/>
          <w:szCs w:val="24"/>
        </w:rPr>
        <w:t>”</w:t>
      </w:r>
      <w:r w:rsidR="007B2769" w:rsidRPr="00750F23">
        <w:rPr>
          <w:rStyle w:val="FootnoteReference"/>
          <w:rFonts w:ascii="Times New Roman" w:eastAsia="Times New Roman" w:hAnsi="Times New Roman" w:cs="Times New Roman"/>
          <w:sz w:val="24"/>
          <w:szCs w:val="24"/>
        </w:rPr>
        <w:footnoteReference w:id="9"/>
      </w:r>
      <w:r w:rsidR="007B2769" w:rsidRPr="00750F23">
        <w:rPr>
          <w:rFonts w:ascii="Times New Roman" w:eastAsia="Times New Roman" w:hAnsi="Times New Roman" w:cs="Times New Roman"/>
          <w:sz w:val="24"/>
          <w:szCs w:val="24"/>
        </w:rPr>
        <w:t xml:space="preserve">, </w:t>
      </w:r>
      <w:r w:rsidRPr="00750F23">
        <w:rPr>
          <w:rFonts w:ascii="Times New Roman" w:eastAsia="Times New Roman" w:hAnsi="Times New Roman" w:cs="Times New Roman"/>
          <w:sz w:val="24"/>
          <w:szCs w:val="24"/>
        </w:rPr>
        <w:t xml:space="preserve">donde se señalan los siguientes problemas relativos a la inclusión laboral: </w:t>
      </w:r>
    </w:p>
    <w:p w:rsidR="007B2769" w:rsidRPr="00750F23" w:rsidRDefault="007B2769">
      <w:pPr>
        <w:jc w:val="both"/>
        <w:rPr>
          <w:rFonts w:ascii="Times New Roman" w:eastAsia="Times New Roman" w:hAnsi="Times New Roman" w:cs="Times New Roman"/>
          <w:sz w:val="24"/>
          <w:szCs w:val="24"/>
        </w:rPr>
      </w:pPr>
    </w:p>
    <w:p w:rsidR="007B2769" w:rsidRPr="00750F23" w:rsidRDefault="007B2769" w:rsidP="007B2769">
      <w:pPr>
        <w:pStyle w:val="ListParagraph"/>
        <w:numPr>
          <w:ilvl w:val="0"/>
          <w:numId w:val="5"/>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L</w:t>
      </w:r>
      <w:r w:rsidR="008F2EE2" w:rsidRPr="00750F23">
        <w:rPr>
          <w:rFonts w:ascii="Times New Roman" w:eastAsia="Times New Roman" w:hAnsi="Times New Roman" w:cs="Times New Roman"/>
          <w:sz w:val="24"/>
          <w:szCs w:val="24"/>
        </w:rPr>
        <w:t xml:space="preserve">a estabilidad laboral reforzada y la interpretación restrictiva del artículo 26 de la Ley 361 de 1997 desincentivan la contratación de personas con discapacidad; </w:t>
      </w:r>
    </w:p>
    <w:p w:rsidR="007B2769" w:rsidRPr="00750F23" w:rsidRDefault="007B2769" w:rsidP="007B2769">
      <w:pPr>
        <w:pStyle w:val="ListParagraph"/>
        <w:numPr>
          <w:ilvl w:val="0"/>
          <w:numId w:val="5"/>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N</w:t>
      </w:r>
      <w:r w:rsidR="008F2EE2" w:rsidRPr="00750F23">
        <w:rPr>
          <w:rFonts w:ascii="Times New Roman" w:eastAsia="Times New Roman" w:hAnsi="Times New Roman" w:cs="Times New Roman"/>
          <w:sz w:val="24"/>
          <w:szCs w:val="24"/>
        </w:rPr>
        <w:t xml:space="preserve">o hay unidad en los procedimientos del Ministerio de Trabajo para la autorización del artículo 26 de la misma Ley, ni claridad del alcance de las funciones de los inspectores de trabajo para su implementación; </w:t>
      </w:r>
    </w:p>
    <w:p w:rsidR="007B2769" w:rsidRPr="00750F23" w:rsidRDefault="007B2769" w:rsidP="007B2769">
      <w:pPr>
        <w:pStyle w:val="ListParagraph"/>
        <w:numPr>
          <w:ilvl w:val="0"/>
          <w:numId w:val="5"/>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N</w:t>
      </w:r>
      <w:r w:rsidR="008F2EE2" w:rsidRPr="00750F23">
        <w:rPr>
          <w:rFonts w:ascii="Times New Roman" w:eastAsia="Times New Roman" w:hAnsi="Times New Roman" w:cs="Times New Roman"/>
          <w:sz w:val="24"/>
          <w:szCs w:val="24"/>
        </w:rPr>
        <w:t>o hay claridad sobre quién debe adoptar los ajustes razonables requeridos, ni quién debe prestar asesoría técnica sobre cómo deben adoptarse;</w:t>
      </w:r>
    </w:p>
    <w:p w:rsidR="007B2769" w:rsidRPr="00750F23" w:rsidRDefault="007B2769" w:rsidP="007B2769">
      <w:pPr>
        <w:pStyle w:val="ListParagraph"/>
        <w:numPr>
          <w:ilvl w:val="0"/>
          <w:numId w:val="5"/>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H</w:t>
      </w:r>
      <w:r w:rsidR="008F2EE2" w:rsidRPr="00750F23">
        <w:rPr>
          <w:rFonts w:ascii="Times New Roman" w:eastAsia="Times New Roman" w:hAnsi="Times New Roman" w:cs="Times New Roman"/>
          <w:sz w:val="24"/>
          <w:szCs w:val="24"/>
        </w:rPr>
        <w:t xml:space="preserve">ay desconocimiento generalizado sobre el marco legal de incentivos tributarios; </w:t>
      </w:r>
    </w:p>
    <w:p w:rsidR="007B2769" w:rsidRPr="00750F23" w:rsidRDefault="007B2769" w:rsidP="007B2769">
      <w:pPr>
        <w:pStyle w:val="ListParagraph"/>
        <w:numPr>
          <w:ilvl w:val="0"/>
          <w:numId w:val="5"/>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w:t>
      </w:r>
      <w:r w:rsidR="008F2EE2" w:rsidRPr="00750F23">
        <w:rPr>
          <w:rFonts w:ascii="Times New Roman" w:eastAsia="Times New Roman" w:hAnsi="Times New Roman" w:cs="Times New Roman"/>
          <w:sz w:val="24"/>
          <w:szCs w:val="24"/>
        </w:rPr>
        <w:t xml:space="preserve">l régimen legal es negativo en la contratación de personas con discapacidad cognitiva o psicosocial que se encuentren interdictas; </w:t>
      </w:r>
    </w:p>
    <w:p w:rsidR="007B2769" w:rsidRPr="00750F23" w:rsidRDefault="007B2769" w:rsidP="007B2769">
      <w:pPr>
        <w:pStyle w:val="ListParagraph"/>
        <w:numPr>
          <w:ilvl w:val="0"/>
          <w:numId w:val="5"/>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N</w:t>
      </w:r>
      <w:r w:rsidR="008F2EE2" w:rsidRPr="00750F23">
        <w:rPr>
          <w:rFonts w:ascii="Times New Roman" w:eastAsia="Times New Roman" w:hAnsi="Times New Roman" w:cs="Times New Roman"/>
          <w:sz w:val="24"/>
          <w:szCs w:val="24"/>
        </w:rPr>
        <w:t xml:space="preserve">o hay suficientes programas de formación para el trabajo y los que existen son deficientes; </w:t>
      </w:r>
    </w:p>
    <w:p w:rsidR="007B2769" w:rsidRPr="00750F23" w:rsidRDefault="007B2769" w:rsidP="007B2769">
      <w:pPr>
        <w:pStyle w:val="ListParagraph"/>
        <w:numPr>
          <w:ilvl w:val="0"/>
          <w:numId w:val="5"/>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L</w:t>
      </w:r>
      <w:r w:rsidR="008F2EE2" w:rsidRPr="00750F23">
        <w:rPr>
          <w:rFonts w:ascii="Times New Roman" w:eastAsia="Times New Roman" w:hAnsi="Times New Roman" w:cs="Times New Roman"/>
          <w:sz w:val="24"/>
          <w:szCs w:val="24"/>
        </w:rPr>
        <w:t xml:space="preserve">a vinculación laboral de personas con discapacidad a veces genera la pérdida de beneficios bajo el sistema de seguridad social; </w:t>
      </w:r>
    </w:p>
    <w:p w:rsidR="007B2769" w:rsidRPr="00750F23" w:rsidRDefault="007B2769" w:rsidP="007B2769">
      <w:pPr>
        <w:pStyle w:val="ListParagraph"/>
        <w:numPr>
          <w:ilvl w:val="0"/>
          <w:numId w:val="5"/>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L</w:t>
      </w:r>
      <w:r w:rsidR="008F2EE2" w:rsidRPr="00750F23">
        <w:rPr>
          <w:rFonts w:ascii="Times New Roman" w:eastAsia="Times New Roman" w:hAnsi="Times New Roman" w:cs="Times New Roman"/>
          <w:sz w:val="24"/>
          <w:szCs w:val="24"/>
        </w:rPr>
        <w:t xml:space="preserve">a vinculación laboral de personas con discapacidad a veces genera la pérdida de beneficios y derechos no derivados del sistema de seguridad social; </w:t>
      </w:r>
    </w:p>
    <w:p w:rsidR="007B2769" w:rsidRPr="00750F23" w:rsidRDefault="007B2769" w:rsidP="007B2769">
      <w:pPr>
        <w:pStyle w:val="ListParagraph"/>
        <w:numPr>
          <w:ilvl w:val="0"/>
          <w:numId w:val="5"/>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E</w:t>
      </w:r>
      <w:r w:rsidR="008F2EE2" w:rsidRPr="00750F23">
        <w:rPr>
          <w:rFonts w:ascii="Times New Roman" w:eastAsia="Times New Roman" w:hAnsi="Times New Roman" w:cs="Times New Roman"/>
          <w:sz w:val="24"/>
          <w:szCs w:val="24"/>
        </w:rPr>
        <w:t xml:space="preserve">l sistema de calificación de invalidez como medio de prueba de la discapacidad genera perjuicios para las personas con discapacidad; </w:t>
      </w:r>
    </w:p>
    <w:p w:rsidR="000F6896" w:rsidRPr="00750F23" w:rsidRDefault="007B2769" w:rsidP="007B2769">
      <w:pPr>
        <w:pStyle w:val="ListParagraph"/>
        <w:numPr>
          <w:ilvl w:val="0"/>
          <w:numId w:val="5"/>
        </w:num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lastRenderedPageBreak/>
        <w:t>L</w:t>
      </w:r>
      <w:r w:rsidR="008F2EE2" w:rsidRPr="00750F23">
        <w:rPr>
          <w:rFonts w:ascii="Times New Roman" w:eastAsia="Times New Roman" w:hAnsi="Times New Roman" w:cs="Times New Roman"/>
          <w:sz w:val="24"/>
          <w:szCs w:val="24"/>
        </w:rPr>
        <w:t>os procesos de inclusión laboral que impulsan organizaciones son heterogéneos y no sujetos a vigilancia ni orientación por lineamientos claros de desarrollo de perfiles ocupacionales con base en la demanda empresarial.</w:t>
      </w:r>
    </w:p>
    <w:p w:rsidR="00DC6E56" w:rsidRPr="00750F23" w:rsidRDefault="007B2769">
      <w:pPr>
        <w:jc w:val="both"/>
        <w:rPr>
          <w:rFonts w:ascii="Times New Roman" w:eastAsia="Times New Roman" w:hAnsi="Times New Roman" w:cs="Times New Roman"/>
          <w:sz w:val="24"/>
          <w:szCs w:val="24"/>
        </w:rPr>
      </w:pPr>
      <w:r w:rsidRPr="00750F23">
        <w:rPr>
          <w:rFonts w:ascii="Times New Roman" w:eastAsia="Times New Roman" w:hAnsi="Times New Roman" w:cs="Times New Roman"/>
          <w:sz w:val="24"/>
          <w:szCs w:val="24"/>
        </w:rPr>
        <w:t>Adicionalmente, es importante evidenciar el nivel de subregistro que existe en Colombia. Si bien se ha avanzado en el mismo</w:t>
      </w:r>
      <w:r w:rsidR="00DC6E56" w:rsidRPr="00750F23">
        <w:rPr>
          <w:rFonts w:ascii="Times New Roman" w:eastAsia="Times New Roman" w:hAnsi="Times New Roman" w:cs="Times New Roman"/>
          <w:sz w:val="24"/>
          <w:szCs w:val="24"/>
        </w:rPr>
        <w:t xml:space="preserve"> desde la ratificación dela CDPD</w:t>
      </w:r>
      <w:r w:rsidRPr="00750F23">
        <w:rPr>
          <w:rFonts w:ascii="Times New Roman" w:eastAsia="Times New Roman" w:hAnsi="Times New Roman" w:cs="Times New Roman"/>
          <w:sz w:val="24"/>
          <w:szCs w:val="24"/>
        </w:rPr>
        <w:t xml:space="preserve">, </w:t>
      </w:r>
      <w:r w:rsidR="00DC6E56" w:rsidRPr="00750F23">
        <w:rPr>
          <w:rFonts w:ascii="Times New Roman" w:eastAsia="Times New Roman" w:hAnsi="Times New Roman" w:cs="Times New Roman"/>
          <w:sz w:val="24"/>
          <w:szCs w:val="24"/>
        </w:rPr>
        <w:t xml:space="preserve">aún no existe, por ejemplo, una estimación precisa del número de víctimas del conflicto armado que hagan parte de la población con discapacidad. Esto a pesar de los llamados emitidos por la Corte Constitucional, especialmente por medio del Auto 006 de 2009 y 173 de 2014. Este problema se presenta también en el limitado registro existente de niños, niñas y adolescentes con discapacidad, especialmente por rango de edad. </w:t>
      </w:r>
    </w:p>
    <w:p w:rsidR="00DC6E56" w:rsidRPr="00750F23" w:rsidRDefault="00DC6E56">
      <w:pPr>
        <w:jc w:val="both"/>
        <w:rPr>
          <w:rFonts w:ascii="Times New Roman" w:eastAsia="Times New Roman" w:hAnsi="Times New Roman" w:cs="Times New Roman"/>
          <w:sz w:val="24"/>
          <w:szCs w:val="24"/>
        </w:rPr>
      </w:pPr>
    </w:p>
    <w:p w:rsidR="00DC6E56" w:rsidRPr="00750F23" w:rsidRDefault="00DC6E56">
      <w:pPr>
        <w:jc w:val="both"/>
        <w:rPr>
          <w:rFonts w:ascii="Times New Roman" w:eastAsia="Times New Roman" w:hAnsi="Times New Roman" w:cs="Times New Roman"/>
          <w:sz w:val="24"/>
          <w:szCs w:val="24"/>
        </w:rPr>
      </w:pPr>
    </w:p>
    <w:p w:rsidR="00DC6E56" w:rsidRPr="00750F23" w:rsidRDefault="00DC6E56">
      <w:pPr>
        <w:jc w:val="both"/>
        <w:rPr>
          <w:rFonts w:ascii="Times New Roman" w:eastAsia="Times New Roman" w:hAnsi="Times New Roman" w:cs="Times New Roman"/>
          <w:sz w:val="24"/>
          <w:szCs w:val="24"/>
        </w:rPr>
      </w:pPr>
    </w:p>
    <w:sectPr w:rsidR="00DC6E56" w:rsidRPr="00750F23">
      <w:headerReference w:type="default" r:id="rId8"/>
      <w:pgSz w:w="11909" w:h="16834"/>
      <w:pgMar w:top="1440" w:right="1440" w:bottom="1440" w:left="1440" w:header="720" w:footer="720" w:gutter="0"/>
      <w:pgNumType w:start="1"/>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EE2" w:rsidRDefault="008F2EE2" w:rsidP="0084166E">
      <w:pPr>
        <w:spacing w:line="240" w:lineRule="auto"/>
      </w:pPr>
      <w:r>
        <w:separator/>
      </w:r>
    </w:p>
  </w:endnote>
  <w:endnote w:type="continuationSeparator" w:id="0">
    <w:p w:rsidR="008F2EE2" w:rsidRDefault="008F2EE2" w:rsidP="00841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EE2" w:rsidRDefault="008F2EE2" w:rsidP="0084166E">
      <w:pPr>
        <w:spacing w:line="240" w:lineRule="auto"/>
      </w:pPr>
      <w:r>
        <w:separator/>
      </w:r>
    </w:p>
  </w:footnote>
  <w:footnote w:type="continuationSeparator" w:id="0">
    <w:p w:rsidR="008F2EE2" w:rsidRDefault="008F2EE2" w:rsidP="0084166E">
      <w:pPr>
        <w:spacing w:line="240" w:lineRule="auto"/>
      </w:pPr>
      <w:r>
        <w:continuationSeparator/>
      </w:r>
    </w:p>
  </w:footnote>
  <w:footnote w:id="1">
    <w:p w:rsidR="00BB222A" w:rsidRPr="007B2769" w:rsidRDefault="00BB222A">
      <w:pPr>
        <w:pStyle w:val="FootnoteText"/>
        <w:rPr>
          <w:rFonts w:ascii="Times New Roman" w:hAnsi="Times New Roman" w:cs="Times New Roman"/>
        </w:rPr>
      </w:pPr>
      <w:r w:rsidRPr="007B2769">
        <w:rPr>
          <w:rStyle w:val="FootnoteReference"/>
          <w:rFonts w:ascii="Times New Roman" w:hAnsi="Times New Roman" w:cs="Times New Roman"/>
        </w:rPr>
        <w:footnoteRef/>
      </w:r>
      <w:r w:rsidRPr="007B2769">
        <w:rPr>
          <w:rFonts w:ascii="Times New Roman" w:hAnsi="Times New Roman" w:cs="Times New Roman"/>
        </w:rPr>
        <w:t>http://www.cnree.go.cr/documentacion/publicaciones/ACCESIBILIDAD%20AL%20MEDIO%20FISICO%20Y%20AL%20TRANSPORTE.pdf</w:t>
      </w:r>
    </w:p>
  </w:footnote>
  <w:footnote w:id="2">
    <w:p w:rsidR="00BB222A" w:rsidRPr="007B2769" w:rsidRDefault="00BB222A">
      <w:pPr>
        <w:pStyle w:val="FootnoteText"/>
        <w:rPr>
          <w:rFonts w:ascii="Times New Roman" w:hAnsi="Times New Roman" w:cs="Times New Roman"/>
        </w:rPr>
      </w:pPr>
      <w:r w:rsidRPr="007B2769">
        <w:rPr>
          <w:rStyle w:val="FootnoteReference"/>
          <w:rFonts w:ascii="Times New Roman" w:hAnsi="Times New Roman" w:cs="Times New Roman"/>
        </w:rPr>
        <w:footnoteRef/>
      </w:r>
      <w:r w:rsidRPr="007B2769">
        <w:rPr>
          <w:rFonts w:ascii="Times New Roman" w:hAnsi="Times New Roman" w:cs="Times New Roman"/>
        </w:rPr>
        <w:t xml:space="preserve"> http://app.idu.gov.co/otros_serv/Download/2008/guia_de_movilidad_peatonal.pdf</w:t>
      </w:r>
    </w:p>
  </w:footnote>
  <w:footnote w:id="3">
    <w:p w:rsidR="00BB222A" w:rsidRPr="007B2769" w:rsidRDefault="00BB222A">
      <w:pPr>
        <w:pStyle w:val="FootnoteText"/>
        <w:rPr>
          <w:rFonts w:ascii="Times New Roman" w:hAnsi="Times New Roman" w:cs="Times New Roman"/>
        </w:rPr>
      </w:pPr>
      <w:r w:rsidRPr="007B2769">
        <w:rPr>
          <w:rStyle w:val="FootnoteReference"/>
          <w:rFonts w:ascii="Times New Roman" w:hAnsi="Times New Roman" w:cs="Times New Roman"/>
        </w:rPr>
        <w:footnoteRef/>
      </w:r>
      <w:r w:rsidRPr="007B2769">
        <w:rPr>
          <w:rFonts w:ascii="Times New Roman" w:hAnsi="Times New Roman" w:cs="Times New Roman"/>
        </w:rPr>
        <w:t xml:space="preserve"> http://www.transmilenio.gov.co/es/articulos/accesibilidad-personas-en-condicion-de-discapacidad-en-el-sistema-transmilenio</w:t>
      </w:r>
    </w:p>
  </w:footnote>
  <w:footnote w:id="4">
    <w:p w:rsidR="0084166E" w:rsidRPr="007B2769" w:rsidRDefault="0084166E" w:rsidP="0084166E">
      <w:pPr>
        <w:pStyle w:val="FootnoteText"/>
        <w:rPr>
          <w:rFonts w:ascii="Times New Roman" w:hAnsi="Times New Roman" w:cs="Times New Roman"/>
        </w:rPr>
      </w:pPr>
      <w:r w:rsidRPr="007B2769">
        <w:rPr>
          <w:rStyle w:val="FootnoteReference"/>
          <w:rFonts w:ascii="Times New Roman" w:hAnsi="Times New Roman" w:cs="Times New Roman"/>
        </w:rPr>
        <w:footnoteRef/>
      </w:r>
      <w:r w:rsidRPr="007B2769">
        <w:rPr>
          <w:rFonts w:ascii="Times New Roman" w:hAnsi="Times New Roman" w:cs="Times New Roman"/>
        </w:rPr>
        <w:t xml:space="preserve"> Informe alternativo de la Fundación Saldarriaga Concha. 2016. pp. 72.</w:t>
      </w:r>
    </w:p>
  </w:footnote>
  <w:footnote w:id="5">
    <w:p w:rsidR="0084166E" w:rsidRPr="007B2769" w:rsidRDefault="0084166E" w:rsidP="0084166E">
      <w:pPr>
        <w:pStyle w:val="FootnoteText"/>
        <w:rPr>
          <w:rFonts w:ascii="Times New Roman" w:hAnsi="Times New Roman" w:cs="Times New Roman"/>
        </w:rPr>
      </w:pPr>
      <w:r w:rsidRPr="007B2769">
        <w:rPr>
          <w:rStyle w:val="FootnoteReference"/>
          <w:rFonts w:ascii="Times New Roman" w:hAnsi="Times New Roman" w:cs="Times New Roman"/>
        </w:rPr>
        <w:footnoteRef/>
      </w:r>
      <w:r w:rsidRPr="007B2769">
        <w:rPr>
          <w:rFonts w:ascii="Times New Roman" w:hAnsi="Times New Roman" w:cs="Times New Roman"/>
        </w:rPr>
        <w:t xml:space="preserve"> Informe alternativo de la Coalición Colombiana por la Implementación de la Convención sobre los Derechos de las Personas con Discapacidad. 2016. P. 36.</w:t>
      </w:r>
    </w:p>
  </w:footnote>
  <w:footnote w:id="6">
    <w:p w:rsidR="0084166E" w:rsidRPr="007B2769" w:rsidRDefault="0084166E" w:rsidP="0084166E">
      <w:pPr>
        <w:pStyle w:val="FootnoteText"/>
        <w:rPr>
          <w:rFonts w:ascii="Times New Roman" w:hAnsi="Times New Roman" w:cs="Times New Roman"/>
        </w:rPr>
      </w:pPr>
      <w:r w:rsidRPr="007B2769">
        <w:rPr>
          <w:rStyle w:val="FootnoteReference"/>
          <w:rFonts w:ascii="Times New Roman" w:hAnsi="Times New Roman" w:cs="Times New Roman"/>
        </w:rPr>
        <w:footnoteRef/>
      </w:r>
      <w:r w:rsidRPr="007B2769">
        <w:rPr>
          <w:rFonts w:ascii="Times New Roman" w:hAnsi="Times New Roman" w:cs="Times New Roman"/>
        </w:rPr>
        <w:t xml:space="preserve"> Ibídem. P. 74.</w:t>
      </w:r>
    </w:p>
  </w:footnote>
  <w:footnote w:id="7">
    <w:p w:rsidR="0084166E" w:rsidRPr="007B2769" w:rsidRDefault="0084166E" w:rsidP="0084166E">
      <w:pPr>
        <w:pStyle w:val="FootnoteText"/>
        <w:rPr>
          <w:rFonts w:ascii="Times New Roman" w:hAnsi="Times New Roman" w:cs="Times New Roman"/>
        </w:rPr>
      </w:pPr>
      <w:r w:rsidRPr="007B2769">
        <w:rPr>
          <w:rStyle w:val="FootnoteReference"/>
          <w:rFonts w:ascii="Times New Roman" w:hAnsi="Times New Roman" w:cs="Times New Roman"/>
        </w:rPr>
        <w:footnoteRef/>
      </w:r>
      <w:r w:rsidRPr="007B2769">
        <w:rPr>
          <w:rFonts w:ascii="Times New Roman" w:hAnsi="Times New Roman" w:cs="Times New Roman"/>
        </w:rPr>
        <w:t xml:space="preserve"> Informe alternativo de la Coalición Colombiana por la Implementación de la Convención sobre los Derechos de las Personas con Discapacidad. 2016. Pp. 36-37.</w:t>
      </w:r>
    </w:p>
  </w:footnote>
  <w:footnote w:id="8">
    <w:p w:rsidR="0084166E" w:rsidRPr="007B2769" w:rsidRDefault="0084166E" w:rsidP="0084166E">
      <w:pPr>
        <w:pStyle w:val="FootnoteText"/>
        <w:rPr>
          <w:rFonts w:ascii="Times New Roman" w:hAnsi="Times New Roman" w:cs="Times New Roman"/>
        </w:rPr>
      </w:pPr>
      <w:r w:rsidRPr="007B2769">
        <w:rPr>
          <w:rStyle w:val="FootnoteReference"/>
          <w:rFonts w:ascii="Times New Roman" w:hAnsi="Times New Roman" w:cs="Times New Roman"/>
        </w:rPr>
        <w:footnoteRef/>
      </w:r>
      <w:r w:rsidRPr="007B2769">
        <w:rPr>
          <w:rFonts w:ascii="Times New Roman" w:hAnsi="Times New Roman" w:cs="Times New Roman"/>
        </w:rPr>
        <w:t xml:space="preserve"> Informe alternativo de la Coalición Colombiana por la Implementación de la Convención sobre los Derechos de las Personas con Discapacidad. 2016. P. 28.</w:t>
      </w:r>
    </w:p>
  </w:footnote>
  <w:footnote w:id="9">
    <w:p w:rsidR="007B2769" w:rsidRPr="007B2769" w:rsidRDefault="007B2769">
      <w:pPr>
        <w:pStyle w:val="FootnoteText"/>
        <w:rPr>
          <w:rFonts w:ascii="Times New Roman" w:hAnsi="Times New Roman" w:cs="Times New Roman"/>
        </w:rPr>
      </w:pPr>
      <w:r w:rsidRPr="007B2769">
        <w:rPr>
          <w:rStyle w:val="FootnoteReference"/>
          <w:rFonts w:ascii="Times New Roman" w:hAnsi="Times New Roman" w:cs="Times New Roman"/>
        </w:rPr>
        <w:footnoteRef/>
      </w:r>
      <w:r w:rsidRPr="007B2769">
        <w:rPr>
          <w:rFonts w:ascii="Times New Roman" w:hAnsi="Times New Roman" w:cs="Times New Roman"/>
        </w:rPr>
        <w:t>http://www.pactodeproductividad.com/pdf/informenarrativopercepcionesproblemasyrecomendacionescompleto.pdf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69" w:rsidRDefault="007B2769" w:rsidP="007B2769">
    <w:pPr>
      <w:pStyle w:val="Header"/>
    </w:pPr>
    <w:r>
      <w:rPr>
        <w:noProof/>
        <w:lang w:val="en-GB" w:eastAsia="en-GB"/>
      </w:rPr>
      <w:drawing>
        <wp:inline distT="0" distB="0" distL="0" distR="0" wp14:anchorId="23631350" wp14:editId="2AE8A853">
          <wp:extent cx="1933575" cy="857250"/>
          <wp:effectExtent l="0" t="0" r="9525" b="0"/>
          <wp:docPr id="6" name="Imagen 6" descr="C:\Users\PAIIS\Documents\PAIIS - Compartida\PAIIS\Administrativos\Logos\Logos Uniandes\fac de derecho - blanco y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IIS\Documents\PAIIS - Compartida\PAIIS\Administrativos\Logos\Logos Uniandes\fac de derecho - blanco y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857250"/>
                  </a:xfrm>
                  <a:prstGeom prst="rect">
                    <a:avLst/>
                  </a:prstGeom>
                  <a:noFill/>
                  <a:ln>
                    <a:noFill/>
                  </a:ln>
                </pic:spPr>
              </pic:pic>
            </a:graphicData>
          </a:graphic>
        </wp:inline>
      </w:drawing>
    </w:r>
    <w:r>
      <w:tab/>
    </w:r>
    <w:r>
      <w:tab/>
    </w:r>
    <w:r>
      <w:rPr>
        <w:noProof/>
        <w:lang w:val="en-GB" w:eastAsia="en-GB"/>
      </w:rPr>
      <w:drawing>
        <wp:inline distT="0" distB="0" distL="0" distR="0" wp14:anchorId="3A8E3DD6" wp14:editId="7DE711BB">
          <wp:extent cx="1238250" cy="790575"/>
          <wp:effectExtent l="0" t="0" r="0" b="9525"/>
          <wp:docPr id="2" name="Imagen 1" descr="pa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i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790575"/>
                  </a:xfrm>
                  <a:prstGeom prst="rect">
                    <a:avLst/>
                  </a:prstGeom>
                  <a:noFill/>
                  <a:ln>
                    <a:noFill/>
                  </a:ln>
                </pic:spPr>
              </pic:pic>
            </a:graphicData>
          </a:graphic>
        </wp:inline>
      </w:drawing>
    </w:r>
  </w:p>
  <w:p w:rsidR="007B2769" w:rsidRDefault="007B2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85222"/>
    <w:multiLevelType w:val="hybridMultilevel"/>
    <w:tmpl w:val="1B4CAC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863404E"/>
    <w:multiLevelType w:val="hybridMultilevel"/>
    <w:tmpl w:val="785CF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69025A6"/>
    <w:multiLevelType w:val="hybridMultilevel"/>
    <w:tmpl w:val="F020C3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FCC02A1"/>
    <w:multiLevelType w:val="hybridMultilevel"/>
    <w:tmpl w:val="953205B0"/>
    <w:lvl w:ilvl="0" w:tplc="C5C811AE">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18C7F3A"/>
    <w:multiLevelType w:val="hybridMultilevel"/>
    <w:tmpl w:val="612C74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4CE0BA2"/>
    <w:multiLevelType w:val="multilevel"/>
    <w:tmpl w:val="DB54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 w:ilvl="0">
        <w:numFmt w:val="lowerLetter"/>
        <w:lvlText w:val="%1."/>
        <w:lvlJc w:val="left"/>
      </w:lvl>
    </w:lvlOverride>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F6896"/>
    <w:rsid w:val="00000037"/>
    <w:rsid w:val="000243D8"/>
    <w:rsid w:val="00067B03"/>
    <w:rsid w:val="000F6896"/>
    <w:rsid w:val="00231802"/>
    <w:rsid w:val="0044616E"/>
    <w:rsid w:val="00750F23"/>
    <w:rsid w:val="007B2769"/>
    <w:rsid w:val="0084166E"/>
    <w:rsid w:val="008F2EE2"/>
    <w:rsid w:val="00A339A5"/>
    <w:rsid w:val="00AA700A"/>
    <w:rsid w:val="00B24619"/>
    <w:rsid w:val="00BB222A"/>
    <w:rsid w:val="00BE001B"/>
    <w:rsid w:val="00D5174A"/>
    <w:rsid w:val="00DC6E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84166E"/>
    <w:pPr>
      <w:spacing w:after="160" w:line="259" w:lineRule="auto"/>
      <w:ind w:left="720"/>
      <w:contextualSpacing/>
    </w:pPr>
    <w:rPr>
      <w:rFonts w:asciiTheme="minorHAnsi" w:eastAsiaTheme="minorHAnsi" w:hAnsiTheme="minorHAnsi" w:cstheme="minorBidi"/>
      <w:color w:val="auto"/>
      <w:lang w:eastAsia="en-US"/>
    </w:rPr>
  </w:style>
  <w:style w:type="paragraph" w:styleId="FootnoteText">
    <w:name w:val="footnote text"/>
    <w:basedOn w:val="Normal"/>
    <w:link w:val="FootnoteTextChar"/>
    <w:uiPriority w:val="99"/>
    <w:semiHidden/>
    <w:unhideWhenUsed/>
    <w:rsid w:val="0084166E"/>
    <w:pPr>
      <w:spacing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84166E"/>
    <w:rPr>
      <w:rFonts w:asciiTheme="minorHAnsi" w:eastAsiaTheme="minorHAnsi"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84166E"/>
    <w:rPr>
      <w:vertAlign w:val="superscript"/>
    </w:rPr>
  </w:style>
  <w:style w:type="character" w:styleId="Hyperlink">
    <w:name w:val="Hyperlink"/>
    <w:basedOn w:val="DefaultParagraphFont"/>
    <w:uiPriority w:val="99"/>
    <w:unhideWhenUsed/>
    <w:rsid w:val="00AA700A"/>
    <w:rPr>
      <w:color w:val="0563C1" w:themeColor="hyperlink"/>
      <w:u w:val="single"/>
    </w:rPr>
  </w:style>
  <w:style w:type="paragraph" w:styleId="Header">
    <w:name w:val="header"/>
    <w:basedOn w:val="Normal"/>
    <w:link w:val="HeaderChar"/>
    <w:uiPriority w:val="99"/>
    <w:unhideWhenUsed/>
    <w:rsid w:val="007B2769"/>
    <w:pPr>
      <w:tabs>
        <w:tab w:val="center" w:pos="4419"/>
        <w:tab w:val="right" w:pos="8838"/>
      </w:tabs>
      <w:spacing w:line="240" w:lineRule="auto"/>
    </w:pPr>
  </w:style>
  <w:style w:type="character" w:customStyle="1" w:styleId="HeaderChar">
    <w:name w:val="Header Char"/>
    <w:basedOn w:val="DefaultParagraphFont"/>
    <w:link w:val="Header"/>
    <w:uiPriority w:val="99"/>
    <w:rsid w:val="007B2769"/>
  </w:style>
  <w:style w:type="paragraph" w:styleId="Footer">
    <w:name w:val="footer"/>
    <w:basedOn w:val="Normal"/>
    <w:link w:val="FooterChar"/>
    <w:uiPriority w:val="99"/>
    <w:unhideWhenUsed/>
    <w:rsid w:val="007B2769"/>
    <w:pPr>
      <w:tabs>
        <w:tab w:val="center" w:pos="4419"/>
        <w:tab w:val="right" w:pos="8838"/>
      </w:tabs>
      <w:spacing w:line="240" w:lineRule="auto"/>
    </w:pPr>
  </w:style>
  <w:style w:type="character" w:customStyle="1" w:styleId="FooterChar">
    <w:name w:val="Footer Char"/>
    <w:basedOn w:val="DefaultParagraphFont"/>
    <w:link w:val="Footer"/>
    <w:uiPriority w:val="99"/>
    <w:rsid w:val="007B2769"/>
  </w:style>
  <w:style w:type="paragraph" w:styleId="BalloonText">
    <w:name w:val="Balloon Text"/>
    <w:basedOn w:val="Normal"/>
    <w:link w:val="BalloonTextChar"/>
    <w:uiPriority w:val="99"/>
    <w:semiHidden/>
    <w:unhideWhenUsed/>
    <w:rsid w:val="002318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84166E"/>
    <w:pPr>
      <w:spacing w:after="160" w:line="259" w:lineRule="auto"/>
      <w:ind w:left="720"/>
      <w:contextualSpacing/>
    </w:pPr>
    <w:rPr>
      <w:rFonts w:asciiTheme="minorHAnsi" w:eastAsiaTheme="minorHAnsi" w:hAnsiTheme="minorHAnsi" w:cstheme="minorBidi"/>
      <w:color w:val="auto"/>
      <w:lang w:eastAsia="en-US"/>
    </w:rPr>
  </w:style>
  <w:style w:type="paragraph" w:styleId="FootnoteText">
    <w:name w:val="footnote text"/>
    <w:basedOn w:val="Normal"/>
    <w:link w:val="FootnoteTextChar"/>
    <w:uiPriority w:val="99"/>
    <w:semiHidden/>
    <w:unhideWhenUsed/>
    <w:rsid w:val="0084166E"/>
    <w:pPr>
      <w:spacing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84166E"/>
    <w:rPr>
      <w:rFonts w:asciiTheme="minorHAnsi" w:eastAsiaTheme="minorHAnsi"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84166E"/>
    <w:rPr>
      <w:vertAlign w:val="superscript"/>
    </w:rPr>
  </w:style>
  <w:style w:type="character" w:styleId="Hyperlink">
    <w:name w:val="Hyperlink"/>
    <w:basedOn w:val="DefaultParagraphFont"/>
    <w:uiPriority w:val="99"/>
    <w:unhideWhenUsed/>
    <w:rsid w:val="00AA700A"/>
    <w:rPr>
      <w:color w:val="0563C1" w:themeColor="hyperlink"/>
      <w:u w:val="single"/>
    </w:rPr>
  </w:style>
  <w:style w:type="paragraph" w:styleId="Header">
    <w:name w:val="header"/>
    <w:basedOn w:val="Normal"/>
    <w:link w:val="HeaderChar"/>
    <w:uiPriority w:val="99"/>
    <w:unhideWhenUsed/>
    <w:rsid w:val="007B2769"/>
    <w:pPr>
      <w:tabs>
        <w:tab w:val="center" w:pos="4419"/>
        <w:tab w:val="right" w:pos="8838"/>
      </w:tabs>
      <w:spacing w:line="240" w:lineRule="auto"/>
    </w:pPr>
  </w:style>
  <w:style w:type="character" w:customStyle="1" w:styleId="HeaderChar">
    <w:name w:val="Header Char"/>
    <w:basedOn w:val="DefaultParagraphFont"/>
    <w:link w:val="Header"/>
    <w:uiPriority w:val="99"/>
    <w:rsid w:val="007B2769"/>
  </w:style>
  <w:style w:type="paragraph" w:styleId="Footer">
    <w:name w:val="footer"/>
    <w:basedOn w:val="Normal"/>
    <w:link w:val="FooterChar"/>
    <w:uiPriority w:val="99"/>
    <w:unhideWhenUsed/>
    <w:rsid w:val="007B2769"/>
    <w:pPr>
      <w:tabs>
        <w:tab w:val="center" w:pos="4419"/>
        <w:tab w:val="right" w:pos="8838"/>
      </w:tabs>
      <w:spacing w:line="240" w:lineRule="auto"/>
    </w:pPr>
  </w:style>
  <w:style w:type="character" w:customStyle="1" w:styleId="FooterChar">
    <w:name w:val="Footer Char"/>
    <w:basedOn w:val="DefaultParagraphFont"/>
    <w:link w:val="Footer"/>
    <w:uiPriority w:val="99"/>
    <w:rsid w:val="007B2769"/>
  </w:style>
  <w:style w:type="paragraph" w:styleId="BalloonText">
    <w:name w:val="Balloon Text"/>
    <w:basedOn w:val="Normal"/>
    <w:link w:val="BalloonTextChar"/>
    <w:uiPriority w:val="99"/>
    <w:semiHidden/>
    <w:unhideWhenUsed/>
    <w:rsid w:val="002318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5E055A-C209-42A0-9B16-963A4B1128B1}"/>
</file>

<file path=customXml/itemProps2.xml><?xml version="1.0" encoding="utf-8"?>
<ds:datastoreItem xmlns:ds="http://schemas.openxmlformats.org/officeDocument/2006/customXml" ds:itemID="{91787E8C-DA38-4F8B-9B62-77CFD4096126}"/>
</file>

<file path=customXml/itemProps3.xml><?xml version="1.0" encoding="utf-8"?>
<ds:datastoreItem xmlns:ds="http://schemas.openxmlformats.org/officeDocument/2006/customXml" ds:itemID="{983EDA88-571B-48AD-B896-8B5A609691B0}"/>
</file>

<file path=docProps/app.xml><?xml version="1.0" encoding="utf-8"?>
<Properties xmlns="http://schemas.openxmlformats.org/officeDocument/2006/extended-properties" xmlns:vt="http://schemas.openxmlformats.org/officeDocument/2006/docPropsVTypes">
  <Template>Normal.dotm</Template>
  <TotalTime>0</TotalTime>
  <Pages>12</Pages>
  <Words>4575</Words>
  <Characters>26081</Characters>
  <Application>Microsoft Office Word</Application>
  <DocSecurity>0</DocSecurity>
  <Lines>217</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Grigoras</dc:creator>
  <cp:lastModifiedBy>Alina Grigoras</cp:lastModifiedBy>
  <cp:revision>2</cp:revision>
  <dcterms:created xsi:type="dcterms:W3CDTF">2016-07-11T09:20:00Z</dcterms:created>
  <dcterms:modified xsi:type="dcterms:W3CDTF">2016-07-11T09:20:00Z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3623200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