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4A2" w:rsidRDefault="00CB283B" w:rsidP="00CB283B">
      <w:pPr>
        <w:tabs>
          <w:tab w:val="left" w:pos="2280"/>
        </w:tabs>
        <w:jc w:val="center"/>
      </w:pPr>
      <w:r w:rsidRPr="00CB283B">
        <w:rPr>
          <w:rFonts w:ascii="Calibri" w:eastAsia="Calibri" w:hAnsi="Calibri" w:cs="Arial"/>
          <w:noProof/>
          <w:lang w:val="en-GB" w:eastAsia="en-GB"/>
        </w:rPr>
        <w:drawing>
          <wp:inline distT="0" distB="0" distL="0" distR="0" wp14:anchorId="02860A5C" wp14:editId="6B480FE9">
            <wp:extent cx="4102735" cy="8045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2735" cy="804545"/>
                    </a:xfrm>
                    <a:prstGeom prst="rect">
                      <a:avLst/>
                    </a:prstGeom>
                    <a:noFill/>
                  </pic:spPr>
                </pic:pic>
              </a:graphicData>
            </a:graphic>
          </wp:inline>
        </w:drawing>
      </w:r>
    </w:p>
    <w:p w:rsidR="00CB283B" w:rsidRPr="00441CB4" w:rsidRDefault="00CB283B" w:rsidP="00CB283B">
      <w:pPr>
        <w:tabs>
          <w:tab w:val="left" w:pos="2280"/>
        </w:tabs>
        <w:jc w:val="center"/>
        <w:rPr>
          <w:rFonts w:asciiTheme="majorBidi" w:hAnsiTheme="majorBidi" w:cstheme="majorBidi"/>
          <w:b/>
          <w:bCs/>
          <w:sz w:val="24"/>
          <w:szCs w:val="24"/>
          <w:u w:val="single"/>
        </w:rPr>
      </w:pPr>
      <w:r w:rsidRPr="00441CB4">
        <w:rPr>
          <w:rFonts w:asciiTheme="majorBidi" w:hAnsiTheme="majorBidi" w:cstheme="majorBidi"/>
          <w:b/>
          <w:bCs/>
          <w:sz w:val="24"/>
          <w:szCs w:val="24"/>
          <w:u w:val="single"/>
        </w:rPr>
        <w:t xml:space="preserve">Eléments de réponse au questionnaire de la rapporteuse spéciale sur les droits des personnes en situation de handicap </w:t>
      </w:r>
    </w:p>
    <w:tbl>
      <w:tblPr>
        <w:tblStyle w:val="TableGrid"/>
        <w:tblW w:w="14459" w:type="dxa"/>
        <w:tblInd w:w="-34" w:type="dxa"/>
        <w:tblLook w:val="04A0" w:firstRow="1" w:lastRow="0" w:firstColumn="1" w:lastColumn="0" w:noHBand="0" w:noVBand="1"/>
      </w:tblPr>
      <w:tblGrid>
        <w:gridCol w:w="5290"/>
        <w:gridCol w:w="9169"/>
      </w:tblGrid>
      <w:tr w:rsidR="0021586B" w:rsidTr="00566A61">
        <w:trPr>
          <w:trHeight w:val="509"/>
        </w:trPr>
        <w:tc>
          <w:tcPr>
            <w:tcW w:w="5290" w:type="dxa"/>
            <w:shd w:val="clear" w:color="auto" w:fill="BDD6EE" w:themeFill="accent1" w:themeFillTint="66"/>
            <w:vAlign w:val="center"/>
          </w:tcPr>
          <w:p w:rsidR="0021586B" w:rsidRPr="002B69E6" w:rsidRDefault="0021586B" w:rsidP="002B69E6">
            <w:pPr>
              <w:jc w:val="center"/>
              <w:rPr>
                <w:rFonts w:ascii="Times New Roman" w:hAnsi="Times New Roman" w:cs="Times New Roman"/>
                <w:b/>
                <w:bCs/>
                <w:sz w:val="28"/>
                <w:szCs w:val="28"/>
              </w:rPr>
            </w:pPr>
            <w:r w:rsidRPr="002B69E6">
              <w:rPr>
                <w:rFonts w:ascii="Times New Roman" w:hAnsi="Times New Roman" w:cs="Times New Roman"/>
                <w:b/>
                <w:bCs/>
                <w:sz w:val="28"/>
                <w:szCs w:val="28"/>
              </w:rPr>
              <w:t>Question</w:t>
            </w:r>
          </w:p>
        </w:tc>
        <w:tc>
          <w:tcPr>
            <w:tcW w:w="9169" w:type="dxa"/>
            <w:shd w:val="clear" w:color="auto" w:fill="BDD6EE" w:themeFill="accent1" w:themeFillTint="66"/>
            <w:vAlign w:val="center"/>
          </w:tcPr>
          <w:p w:rsidR="0021586B" w:rsidRPr="002B69E6" w:rsidRDefault="0021586B" w:rsidP="002B69E6">
            <w:pPr>
              <w:pStyle w:val="ListParagraph"/>
              <w:ind w:left="317"/>
              <w:jc w:val="center"/>
              <w:rPr>
                <w:rFonts w:ascii="Times New Roman" w:hAnsi="Times New Roman" w:cs="Times New Roman"/>
                <w:b/>
                <w:bCs/>
                <w:sz w:val="28"/>
                <w:szCs w:val="28"/>
              </w:rPr>
            </w:pPr>
            <w:r w:rsidRPr="002B69E6">
              <w:rPr>
                <w:rFonts w:ascii="Times New Roman" w:hAnsi="Times New Roman" w:cs="Times New Roman"/>
                <w:b/>
                <w:bCs/>
                <w:sz w:val="28"/>
                <w:szCs w:val="28"/>
              </w:rPr>
              <w:t>Eléments de réponse</w:t>
            </w:r>
          </w:p>
        </w:tc>
      </w:tr>
      <w:tr w:rsidR="0021586B" w:rsidTr="00566A61">
        <w:trPr>
          <w:trHeight w:val="827"/>
        </w:trPr>
        <w:tc>
          <w:tcPr>
            <w:tcW w:w="14459" w:type="dxa"/>
            <w:gridSpan w:val="2"/>
            <w:shd w:val="clear" w:color="auto" w:fill="D9D9D9" w:themeFill="background1" w:themeFillShade="D9"/>
          </w:tcPr>
          <w:p w:rsidR="0021586B" w:rsidRPr="00457E32" w:rsidRDefault="0021586B" w:rsidP="0021586B">
            <w:pPr>
              <w:pStyle w:val="ListParagraph"/>
              <w:numPr>
                <w:ilvl w:val="0"/>
                <w:numId w:val="5"/>
              </w:numPr>
              <w:ind w:left="414" w:hanging="283"/>
              <w:rPr>
                <w:rFonts w:ascii="Times New Roman" w:hAnsi="Times New Roman" w:cs="Times New Roman"/>
                <w:b/>
                <w:bCs/>
                <w:sz w:val="24"/>
                <w:szCs w:val="24"/>
              </w:rPr>
            </w:pPr>
            <w:r w:rsidRPr="00457E32">
              <w:rPr>
                <w:rFonts w:ascii="Times New Roman" w:hAnsi="Times New Roman" w:cs="Times New Roman"/>
                <w:b/>
                <w:bCs/>
                <w:sz w:val="24"/>
                <w:szCs w:val="24"/>
              </w:rPr>
              <w:t>Veuillez fournir des informations sur la façon dont votre pays considère les droits des personnes handicapées dans ses politiques visant à la mise en œuvre et le suivi des Objectifs de Développement Durable, y compris :</w:t>
            </w:r>
          </w:p>
          <w:p w:rsidR="0021586B" w:rsidRDefault="0021586B" w:rsidP="00A85399">
            <w:pPr>
              <w:pStyle w:val="ListParagraph"/>
              <w:ind w:left="0"/>
            </w:pPr>
          </w:p>
        </w:tc>
      </w:tr>
      <w:tr w:rsidR="0021586B" w:rsidTr="008E1C7F">
        <w:trPr>
          <w:trHeight w:val="638"/>
        </w:trPr>
        <w:tc>
          <w:tcPr>
            <w:tcW w:w="5290" w:type="dxa"/>
            <w:shd w:val="clear" w:color="auto" w:fill="F2F2F2" w:themeFill="background1" w:themeFillShade="F2"/>
          </w:tcPr>
          <w:p w:rsidR="00F945FA" w:rsidRPr="00F945FA" w:rsidRDefault="00F945FA" w:rsidP="00F945FA">
            <w:pPr>
              <w:pStyle w:val="ListParagraph"/>
              <w:ind w:left="556"/>
              <w:rPr>
                <w:rFonts w:ascii="Times New Roman" w:hAnsi="Times New Roman" w:cs="Times New Roman"/>
                <w:sz w:val="10"/>
                <w:szCs w:val="10"/>
              </w:rPr>
            </w:pPr>
          </w:p>
          <w:p w:rsidR="0021586B" w:rsidRPr="001D1709" w:rsidRDefault="0021586B" w:rsidP="001D1709">
            <w:pPr>
              <w:pStyle w:val="ListParagraph"/>
              <w:numPr>
                <w:ilvl w:val="0"/>
                <w:numId w:val="16"/>
              </w:numPr>
              <w:ind w:left="556" w:hanging="283"/>
              <w:rPr>
                <w:rFonts w:ascii="Times New Roman" w:hAnsi="Times New Roman" w:cs="Times New Roman"/>
                <w:sz w:val="24"/>
                <w:szCs w:val="24"/>
              </w:rPr>
            </w:pPr>
            <w:r w:rsidRPr="001D1709">
              <w:rPr>
                <w:rFonts w:ascii="Times New Roman" w:hAnsi="Times New Roman" w:cs="Times New Roman"/>
                <w:sz w:val="24"/>
                <w:szCs w:val="24"/>
              </w:rPr>
              <w:t>Les stratégies et plans d’action nationaux existants,</w:t>
            </w:r>
          </w:p>
        </w:tc>
        <w:tc>
          <w:tcPr>
            <w:tcW w:w="9169" w:type="dxa"/>
          </w:tcPr>
          <w:p w:rsidR="00A5783B" w:rsidRDefault="00A5783B" w:rsidP="003B1490">
            <w:pPr>
              <w:spacing w:line="360" w:lineRule="auto"/>
              <w:jc w:val="both"/>
              <w:rPr>
                <w:rFonts w:ascii="Times New Roman" w:hAnsi="Times New Roman" w:cs="Times New Roman"/>
                <w:sz w:val="24"/>
                <w:szCs w:val="24"/>
                <w:lang w:bidi="ar-MA"/>
              </w:rPr>
            </w:pPr>
          </w:p>
          <w:p w:rsidR="001177D9" w:rsidRDefault="00A9384B" w:rsidP="001177D9">
            <w:pPr>
              <w:spacing w:line="360" w:lineRule="auto"/>
              <w:ind w:left="273"/>
              <w:jc w:val="both"/>
              <w:rPr>
                <w:rFonts w:ascii="Times New Roman" w:hAnsi="Times New Roman" w:cs="Times New Roman"/>
                <w:sz w:val="24"/>
                <w:szCs w:val="24"/>
                <w:lang w:bidi="ar-MA"/>
              </w:rPr>
            </w:pPr>
            <w:r>
              <w:rPr>
                <w:rFonts w:ascii="Times New Roman" w:hAnsi="Times New Roman" w:cs="Times New Roman"/>
                <w:sz w:val="24"/>
                <w:szCs w:val="24"/>
                <w:lang w:bidi="ar-MA"/>
              </w:rPr>
              <w:t xml:space="preserve">Dans le cadre de la mise en œuvre du programme gouvernemental, le gouvernement </w:t>
            </w:r>
            <w:r w:rsidR="001177D9">
              <w:rPr>
                <w:rFonts w:ascii="Times New Roman" w:hAnsi="Times New Roman" w:cs="Times New Roman"/>
                <w:sz w:val="24"/>
                <w:szCs w:val="24"/>
                <w:lang w:bidi="ar-MA"/>
              </w:rPr>
              <w:t>a</w:t>
            </w:r>
            <w:r>
              <w:rPr>
                <w:rFonts w:ascii="Times New Roman" w:hAnsi="Times New Roman" w:cs="Times New Roman"/>
                <w:sz w:val="24"/>
                <w:szCs w:val="24"/>
                <w:lang w:bidi="ar-MA"/>
              </w:rPr>
              <w:t xml:space="preserve"> adopté une politique publique intégrée pour la promotion des Droits </w:t>
            </w:r>
            <w:r w:rsidR="0021586B" w:rsidRPr="00532DA5">
              <w:rPr>
                <w:rFonts w:ascii="Times New Roman" w:hAnsi="Times New Roman" w:cs="Times New Roman"/>
                <w:sz w:val="24"/>
                <w:szCs w:val="24"/>
                <w:lang w:bidi="ar-MA"/>
              </w:rPr>
              <w:t>des P</w:t>
            </w:r>
            <w:r w:rsidR="00865805">
              <w:rPr>
                <w:rFonts w:ascii="Times New Roman" w:hAnsi="Times New Roman" w:cs="Times New Roman"/>
                <w:sz w:val="24"/>
                <w:szCs w:val="24"/>
                <w:lang w:bidi="ar-MA"/>
              </w:rPr>
              <w:t xml:space="preserve">ersonnes en </w:t>
            </w:r>
            <w:r w:rsidR="0021586B" w:rsidRPr="00532DA5">
              <w:rPr>
                <w:rFonts w:ascii="Times New Roman" w:hAnsi="Times New Roman" w:cs="Times New Roman"/>
                <w:sz w:val="24"/>
                <w:szCs w:val="24"/>
                <w:lang w:bidi="ar-MA"/>
              </w:rPr>
              <w:t>S</w:t>
            </w:r>
            <w:r w:rsidR="00865805">
              <w:rPr>
                <w:rFonts w:ascii="Times New Roman" w:hAnsi="Times New Roman" w:cs="Times New Roman"/>
                <w:sz w:val="24"/>
                <w:szCs w:val="24"/>
                <w:lang w:bidi="ar-MA"/>
              </w:rPr>
              <w:t xml:space="preserve">ituation de </w:t>
            </w:r>
            <w:r w:rsidR="0021586B" w:rsidRPr="00532DA5">
              <w:rPr>
                <w:rFonts w:ascii="Times New Roman" w:hAnsi="Times New Roman" w:cs="Times New Roman"/>
                <w:sz w:val="24"/>
                <w:szCs w:val="24"/>
                <w:lang w:bidi="ar-MA"/>
              </w:rPr>
              <w:t>H</w:t>
            </w:r>
            <w:r w:rsidR="00865805">
              <w:rPr>
                <w:rFonts w:ascii="Times New Roman" w:hAnsi="Times New Roman" w:cs="Times New Roman"/>
                <w:sz w:val="24"/>
                <w:szCs w:val="24"/>
                <w:lang w:bidi="ar-MA"/>
              </w:rPr>
              <w:t>andicap</w:t>
            </w:r>
            <w:r>
              <w:rPr>
                <w:rFonts w:ascii="Times New Roman" w:hAnsi="Times New Roman" w:cs="Times New Roman"/>
                <w:sz w:val="24"/>
                <w:szCs w:val="24"/>
                <w:lang w:bidi="ar-MA"/>
              </w:rPr>
              <w:t xml:space="preserve">. Le </w:t>
            </w:r>
            <w:r w:rsidR="0046064E">
              <w:rPr>
                <w:rFonts w:ascii="Times New Roman" w:hAnsi="Times New Roman" w:cs="Times New Roman"/>
                <w:sz w:val="24"/>
                <w:szCs w:val="24"/>
                <w:lang w:bidi="ar-MA"/>
              </w:rPr>
              <w:t>processus</w:t>
            </w:r>
            <w:r w:rsidR="001177D9">
              <w:rPr>
                <w:rFonts w:ascii="Times New Roman" w:hAnsi="Times New Roman" w:cs="Times New Roman"/>
                <w:sz w:val="24"/>
                <w:szCs w:val="24"/>
                <w:lang w:bidi="ar-MA"/>
              </w:rPr>
              <w:t xml:space="preserve"> </w:t>
            </w:r>
            <w:r w:rsidR="0046064E">
              <w:rPr>
                <w:rFonts w:ascii="Times New Roman" w:hAnsi="Times New Roman" w:cs="Times New Roman"/>
                <w:sz w:val="24"/>
                <w:szCs w:val="24"/>
                <w:lang w:bidi="ar-MA"/>
              </w:rPr>
              <w:t xml:space="preserve">d’élaboration a été marqué par </w:t>
            </w:r>
            <w:r w:rsidR="00D07A83">
              <w:rPr>
                <w:rFonts w:ascii="Times New Roman" w:hAnsi="Times New Roman" w:cs="Times New Roman"/>
                <w:sz w:val="24"/>
                <w:szCs w:val="24"/>
                <w:lang w:bidi="ar-MA"/>
              </w:rPr>
              <w:t>une approche participative à tous les niveaux et toutes les étapes en assurant la contribution des tous les acteurs concernés</w:t>
            </w:r>
            <w:r w:rsidR="0021586B" w:rsidRPr="00532DA5">
              <w:rPr>
                <w:rFonts w:ascii="Times New Roman" w:hAnsi="Times New Roman" w:cs="Times New Roman"/>
                <w:sz w:val="24"/>
                <w:szCs w:val="24"/>
                <w:lang w:bidi="ar-MA"/>
              </w:rPr>
              <w:t>.</w:t>
            </w:r>
            <w:r w:rsidR="0046064E">
              <w:rPr>
                <w:rFonts w:ascii="Times New Roman" w:hAnsi="Times New Roman" w:cs="Times New Roman"/>
                <w:sz w:val="24"/>
                <w:szCs w:val="24"/>
                <w:lang w:bidi="ar-MA"/>
              </w:rPr>
              <w:t xml:space="preserve"> </w:t>
            </w:r>
          </w:p>
          <w:p w:rsidR="00522F19" w:rsidRDefault="0046064E" w:rsidP="008B5ADB">
            <w:pPr>
              <w:spacing w:line="360" w:lineRule="auto"/>
              <w:ind w:left="273"/>
              <w:jc w:val="both"/>
              <w:rPr>
                <w:rFonts w:ascii="Times New Roman" w:hAnsi="Times New Roman" w:cs="Times New Roman"/>
                <w:sz w:val="24"/>
                <w:szCs w:val="24"/>
                <w:lang w:bidi="ar-MA"/>
              </w:rPr>
            </w:pPr>
            <w:r>
              <w:rPr>
                <w:rFonts w:ascii="Times New Roman" w:hAnsi="Times New Roman" w:cs="Times New Roman"/>
                <w:sz w:val="24"/>
                <w:szCs w:val="24"/>
                <w:lang w:bidi="ar-MA"/>
              </w:rPr>
              <w:t>Cette politique publique</w:t>
            </w:r>
            <w:r w:rsidR="001177D9">
              <w:rPr>
                <w:rFonts w:ascii="Times New Roman" w:hAnsi="Times New Roman" w:cs="Times New Roman"/>
                <w:sz w:val="24"/>
                <w:szCs w:val="24"/>
                <w:lang w:bidi="ar-MA"/>
              </w:rPr>
              <w:t xml:space="preserve">, </w:t>
            </w:r>
            <w:r w:rsidR="008B5ADB">
              <w:rPr>
                <w:rFonts w:ascii="Times New Roman" w:hAnsi="Times New Roman" w:cs="Times New Roman"/>
                <w:sz w:val="24"/>
                <w:szCs w:val="24"/>
                <w:lang w:bidi="ar-MA"/>
              </w:rPr>
              <w:t>adoptée</w:t>
            </w:r>
            <w:r w:rsidR="001177D9" w:rsidRPr="00500BA0">
              <w:rPr>
                <w:rFonts w:ascii="Times New Roman" w:hAnsi="Times New Roman" w:cs="Times New Roman"/>
                <w:sz w:val="24"/>
                <w:szCs w:val="24"/>
                <w:lang w:bidi="ar-MA"/>
              </w:rPr>
              <w:t xml:space="preserve"> le 24 novembre 2015par une commission interministérielle présidée par le chef de gouvernement</w:t>
            </w:r>
            <w:r w:rsidR="008B5ADB" w:rsidRPr="00500BA0">
              <w:rPr>
                <w:rFonts w:ascii="Times New Roman" w:hAnsi="Times New Roman" w:cs="Times New Roman"/>
                <w:sz w:val="24"/>
                <w:szCs w:val="24"/>
                <w:lang w:bidi="ar-MA"/>
              </w:rPr>
              <w:t>, se</w:t>
            </w:r>
            <w:r w:rsidR="00522F19" w:rsidRPr="00500BA0">
              <w:rPr>
                <w:rFonts w:ascii="Times New Roman" w:hAnsi="Times New Roman" w:cs="Times New Roman"/>
                <w:sz w:val="24"/>
                <w:szCs w:val="24"/>
                <w:lang w:bidi="ar-MA"/>
              </w:rPr>
              <w:t xml:space="preserve"> base sur</w:t>
            </w:r>
            <w:r w:rsidR="00522F19">
              <w:rPr>
                <w:rFonts w:ascii="Times New Roman" w:hAnsi="Times New Roman" w:cs="Times New Roman"/>
                <w:sz w:val="24"/>
                <w:szCs w:val="24"/>
                <w:lang w:bidi="ar-MA"/>
              </w:rPr>
              <w:t xml:space="preserve"> des orientations stratégiques d’ordre transversal et thématique visant la participation socio-économique, culturelle et politique des personnes en situation de </w:t>
            </w:r>
            <w:r w:rsidR="008B5ADB">
              <w:rPr>
                <w:rFonts w:ascii="Times New Roman" w:hAnsi="Times New Roman" w:cs="Times New Roman"/>
                <w:sz w:val="24"/>
                <w:szCs w:val="24"/>
                <w:lang w:bidi="ar-MA"/>
              </w:rPr>
              <w:t>handicap.</w:t>
            </w:r>
          </w:p>
          <w:p w:rsidR="006F5F42" w:rsidRPr="00D46264" w:rsidRDefault="00C531F1" w:rsidP="00157A95">
            <w:pPr>
              <w:spacing w:line="360" w:lineRule="auto"/>
              <w:ind w:left="273"/>
              <w:jc w:val="both"/>
              <w:rPr>
                <w:rFonts w:ascii="Times New Roman" w:hAnsi="Times New Roman" w:cs="Times New Roman"/>
                <w:sz w:val="24"/>
                <w:szCs w:val="24"/>
                <w:lang w:bidi="ar-MA"/>
              </w:rPr>
            </w:pPr>
            <w:r>
              <w:rPr>
                <w:rFonts w:ascii="Times New Roman" w:hAnsi="Times New Roman" w:cs="Times New Roman"/>
                <w:sz w:val="24"/>
                <w:szCs w:val="24"/>
                <w:lang w:bidi="ar-MA"/>
              </w:rPr>
              <w:t>Elle est actuellement</w:t>
            </w:r>
            <w:r w:rsidR="00260EDA" w:rsidRPr="00260EDA">
              <w:rPr>
                <w:rFonts w:ascii="Times New Roman" w:hAnsi="Times New Roman" w:cs="Times New Roman"/>
                <w:sz w:val="24"/>
                <w:szCs w:val="24"/>
                <w:lang w:bidi="ar-MA"/>
              </w:rPr>
              <w:t xml:space="preserve"> en cours de déclinaison en un projet de plan d’action </w:t>
            </w:r>
            <w:r w:rsidR="00157A95">
              <w:rPr>
                <w:rFonts w:ascii="Times New Roman" w:hAnsi="Times New Roman" w:cs="Times New Roman"/>
                <w:sz w:val="24"/>
                <w:szCs w:val="24"/>
                <w:lang w:bidi="ar-MA"/>
              </w:rPr>
              <w:t>national</w:t>
            </w:r>
            <w:r w:rsidR="00260EDA" w:rsidRPr="00260EDA">
              <w:rPr>
                <w:rFonts w:ascii="Times New Roman" w:hAnsi="Times New Roman" w:cs="Times New Roman"/>
                <w:sz w:val="24"/>
                <w:szCs w:val="24"/>
                <w:lang w:bidi="ar-MA"/>
              </w:rPr>
              <w:t xml:space="preserve">, avec des actions concrètes, des indicateurs de mesures et </w:t>
            </w:r>
            <w:r w:rsidR="00157A95">
              <w:rPr>
                <w:rFonts w:ascii="Times New Roman" w:hAnsi="Times New Roman" w:cs="Times New Roman"/>
                <w:sz w:val="24"/>
                <w:szCs w:val="24"/>
                <w:lang w:bidi="ar-MA"/>
              </w:rPr>
              <w:t>d</w:t>
            </w:r>
            <w:r w:rsidR="00260EDA" w:rsidRPr="00260EDA">
              <w:rPr>
                <w:rFonts w:ascii="Times New Roman" w:hAnsi="Times New Roman" w:cs="Times New Roman"/>
                <w:sz w:val="24"/>
                <w:szCs w:val="24"/>
                <w:lang w:bidi="ar-MA"/>
              </w:rPr>
              <w:t xml:space="preserve">es ressources </w:t>
            </w:r>
            <w:r w:rsidR="00157A95">
              <w:rPr>
                <w:rFonts w:ascii="Times New Roman" w:hAnsi="Times New Roman" w:cs="Times New Roman"/>
                <w:sz w:val="24"/>
                <w:szCs w:val="24"/>
                <w:lang w:bidi="ar-MA"/>
              </w:rPr>
              <w:t>à mobiliser</w:t>
            </w:r>
            <w:r w:rsidR="00260EDA" w:rsidRPr="00260EDA">
              <w:rPr>
                <w:rFonts w:ascii="Times New Roman" w:hAnsi="Times New Roman" w:cs="Times New Roman"/>
                <w:sz w:val="24"/>
                <w:szCs w:val="24"/>
                <w:lang w:bidi="ar-MA"/>
              </w:rPr>
              <w:t>.</w:t>
            </w:r>
          </w:p>
        </w:tc>
      </w:tr>
      <w:tr w:rsidR="0021586B" w:rsidTr="008E1C7F">
        <w:trPr>
          <w:trHeight w:val="652"/>
        </w:trPr>
        <w:tc>
          <w:tcPr>
            <w:tcW w:w="5290" w:type="dxa"/>
            <w:shd w:val="clear" w:color="auto" w:fill="F2F2F2" w:themeFill="background1" w:themeFillShade="F2"/>
          </w:tcPr>
          <w:p w:rsidR="00566A61" w:rsidRPr="00566A61" w:rsidRDefault="00566A61" w:rsidP="00566A61">
            <w:pPr>
              <w:pStyle w:val="ListParagraph"/>
              <w:ind w:left="414"/>
              <w:rPr>
                <w:b/>
                <w:bCs/>
                <w:sz w:val="24"/>
                <w:szCs w:val="24"/>
              </w:rPr>
            </w:pPr>
          </w:p>
          <w:p w:rsidR="0021586B" w:rsidRPr="003C407A" w:rsidRDefault="0021586B" w:rsidP="00DB3B4D">
            <w:pPr>
              <w:pStyle w:val="ListParagraph"/>
              <w:numPr>
                <w:ilvl w:val="0"/>
                <w:numId w:val="14"/>
              </w:numPr>
              <w:ind w:left="414" w:hanging="283"/>
              <w:rPr>
                <w:b/>
                <w:bCs/>
                <w:sz w:val="24"/>
                <w:szCs w:val="24"/>
              </w:rPr>
            </w:pPr>
            <w:r w:rsidRPr="00DB3B4D">
              <w:rPr>
                <w:rFonts w:ascii="Times New Roman" w:hAnsi="Times New Roman" w:cs="Times New Roman"/>
                <w:sz w:val="24"/>
                <w:szCs w:val="24"/>
              </w:rPr>
              <w:t>L’allocation de budget pour leur mise en œuvre,</w:t>
            </w:r>
          </w:p>
        </w:tc>
        <w:tc>
          <w:tcPr>
            <w:tcW w:w="9169" w:type="dxa"/>
          </w:tcPr>
          <w:p w:rsidR="00F0300F" w:rsidRDefault="00F02500" w:rsidP="0039701F">
            <w:pPr>
              <w:spacing w:line="360" w:lineRule="auto"/>
              <w:ind w:left="273"/>
              <w:jc w:val="both"/>
              <w:rPr>
                <w:rFonts w:ascii="Times New Roman" w:hAnsi="Times New Roman" w:cs="Times New Roman"/>
                <w:sz w:val="24"/>
                <w:szCs w:val="24"/>
                <w:lang w:bidi="ar-MA"/>
              </w:rPr>
            </w:pPr>
            <w:r>
              <w:rPr>
                <w:rFonts w:ascii="Times New Roman" w:hAnsi="Times New Roman" w:cs="Times New Roman"/>
                <w:sz w:val="24"/>
                <w:szCs w:val="24"/>
                <w:lang w:bidi="ar-MA"/>
              </w:rPr>
              <w:t xml:space="preserve">Parmi les premières recommandations de la politique publique intégrée pour la promotion des droits des PSH est </w:t>
            </w:r>
            <w:r w:rsidR="008B5ADB">
              <w:rPr>
                <w:rFonts w:ascii="Times New Roman" w:hAnsi="Times New Roman" w:cs="Times New Roman"/>
                <w:sz w:val="24"/>
                <w:szCs w:val="24"/>
                <w:lang w:bidi="ar-MA"/>
              </w:rPr>
              <w:t>d</w:t>
            </w:r>
            <w:r w:rsidR="008B5ADB" w:rsidRPr="00554EA8">
              <w:rPr>
                <w:rFonts w:ascii="Times New Roman" w:hAnsi="Times New Roman" w:cs="Times New Roman"/>
                <w:sz w:val="24"/>
                <w:szCs w:val="24"/>
                <w:lang w:bidi="ar-MA"/>
              </w:rPr>
              <w:t>’intégrer la</w:t>
            </w:r>
            <w:r w:rsidR="006971D7" w:rsidRPr="00554EA8">
              <w:rPr>
                <w:rFonts w:ascii="Times New Roman" w:hAnsi="Times New Roman" w:cs="Times New Roman"/>
                <w:sz w:val="24"/>
                <w:szCs w:val="24"/>
                <w:lang w:bidi="ar-MA"/>
              </w:rPr>
              <w:t xml:space="preserve"> dimension de handicap au niveau des morasses budgétaires des départements ministériels avec définition du handicap comme indicateur dans ces budgets</w:t>
            </w:r>
            <w:r w:rsidR="0022738E">
              <w:rPr>
                <w:rFonts w:ascii="Times New Roman" w:hAnsi="Times New Roman" w:cs="Times New Roman"/>
                <w:sz w:val="24"/>
                <w:szCs w:val="24"/>
                <w:lang w:bidi="ar-MA"/>
              </w:rPr>
              <w:t>.</w:t>
            </w:r>
          </w:p>
          <w:p w:rsidR="00157A95" w:rsidRDefault="00F0300F" w:rsidP="008B5ADB">
            <w:pPr>
              <w:spacing w:line="360" w:lineRule="auto"/>
              <w:ind w:left="273"/>
              <w:jc w:val="both"/>
              <w:rPr>
                <w:rFonts w:ascii="Times New Roman" w:hAnsi="Times New Roman" w:cs="Times New Roman"/>
                <w:sz w:val="24"/>
                <w:szCs w:val="24"/>
                <w:lang w:bidi="ar-MA"/>
              </w:rPr>
            </w:pPr>
            <w:r>
              <w:rPr>
                <w:rFonts w:ascii="Times New Roman" w:hAnsi="Times New Roman" w:cs="Times New Roman"/>
                <w:sz w:val="24"/>
                <w:szCs w:val="24"/>
                <w:lang w:bidi="ar-MA"/>
              </w:rPr>
              <w:lastRenderedPageBreak/>
              <w:t>Au titre du budget de l’année 2016</w:t>
            </w:r>
            <w:r w:rsidR="00434E7A">
              <w:rPr>
                <w:rFonts w:ascii="Times New Roman" w:hAnsi="Times New Roman" w:cs="Times New Roman"/>
                <w:sz w:val="24"/>
                <w:szCs w:val="24"/>
                <w:lang w:bidi="ar-MA"/>
              </w:rPr>
              <w:t>,</w:t>
            </w:r>
            <w:r w:rsidR="006971D7" w:rsidRPr="00554EA8">
              <w:rPr>
                <w:rFonts w:ascii="Times New Roman" w:hAnsi="Times New Roman" w:cs="Times New Roman"/>
                <w:sz w:val="24"/>
                <w:szCs w:val="24"/>
                <w:lang w:bidi="ar-MA"/>
              </w:rPr>
              <w:t> </w:t>
            </w:r>
            <w:r w:rsidR="00F02500">
              <w:rPr>
                <w:rFonts w:ascii="Times New Roman" w:hAnsi="Times New Roman" w:cs="Times New Roman"/>
                <w:sz w:val="24"/>
                <w:szCs w:val="24"/>
                <w:lang w:bidi="ar-MA"/>
              </w:rPr>
              <w:t>l</w:t>
            </w:r>
            <w:r w:rsidR="006971D7" w:rsidRPr="00554EA8">
              <w:rPr>
                <w:rFonts w:ascii="Times New Roman" w:hAnsi="Times New Roman" w:cs="Times New Roman"/>
                <w:sz w:val="24"/>
                <w:szCs w:val="24"/>
                <w:lang w:bidi="ar-MA"/>
              </w:rPr>
              <w:t>e</w:t>
            </w:r>
            <w:r w:rsidR="00DD639A" w:rsidRPr="00554EA8">
              <w:rPr>
                <w:rFonts w:ascii="Times New Roman" w:hAnsi="Times New Roman" w:cs="Times New Roman"/>
                <w:sz w:val="24"/>
                <w:szCs w:val="24"/>
                <w:lang w:bidi="ar-MA"/>
              </w:rPr>
              <w:t xml:space="preserve"> gouvernement Marocain </w:t>
            </w:r>
            <w:r w:rsidR="006F041D">
              <w:rPr>
                <w:rFonts w:ascii="Times New Roman" w:hAnsi="Times New Roman" w:cs="Times New Roman"/>
                <w:sz w:val="24"/>
                <w:szCs w:val="24"/>
                <w:lang w:bidi="ar-MA"/>
              </w:rPr>
              <w:t>a mobilisé 111 millions de dirham</w:t>
            </w:r>
            <w:r>
              <w:rPr>
                <w:rFonts w:ascii="Times New Roman" w:hAnsi="Times New Roman" w:cs="Times New Roman"/>
                <w:sz w:val="24"/>
                <w:szCs w:val="24"/>
                <w:lang w:bidi="ar-MA"/>
              </w:rPr>
              <w:t>s pour le financement des prestations</w:t>
            </w:r>
            <w:r w:rsidR="008B5ADB">
              <w:rPr>
                <w:rFonts w:ascii="Times New Roman" w:hAnsi="Times New Roman" w:cs="Times New Roman"/>
                <w:sz w:val="24"/>
                <w:szCs w:val="24"/>
                <w:lang w:bidi="ar-MA"/>
              </w:rPr>
              <w:t xml:space="preserve"> au profit des PSH dans le cadre </w:t>
            </w:r>
            <w:r w:rsidR="006F041D">
              <w:rPr>
                <w:rFonts w:ascii="Times New Roman" w:hAnsi="Times New Roman" w:cs="Times New Roman"/>
                <w:sz w:val="24"/>
                <w:szCs w:val="24"/>
                <w:lang w:bidi="ar-MA"/>
              </w:rPr>
              <w:t>du</w:t>
            </w:r>
            <w:r w:rsidR="001177D9">
              <w:rPr>
                <w:rFonts w:ascii="Times New Roman" w:hAnsi="Times New Roman" w:cs="Times New Roman"/>
                <w:sz w:val="24"/>
                <w:szCs w:val="24"/>
                <w:lang w:bidi="ar-MA"/>
              </w:rPr>
              <w:t xml:space="preserve"> </w:t>
            </w:r>
            <w:r w:rsidR="006971D7" w:rsidRPr="00554EA8">
              <w:rPr>
                <w:rFonts w:ascii="Times New Roman" w:hAnsi="Times New Roman" w:cs="Times New Roman"/>
                <w:sz w:val="24"/>
                <w:szCs w:val="24"/>
                <w:lang w:bidi="ar-MA"/>
              </w:rPr>
              <w:t>Fond</w:t>
            </w:r>
            <w:r>
              <w:rPr>
                <w:rFonts w:ascii="Times New Roman" w:hAnsi="Times New Roman" w:cs="Times New Roman"/>
                <w:sz w:val="24"/>
                <w:szCs w:val="24"/>
                <w:lang w:bidi="ar-MA"/>
              </w:rPr>
              <w:t>s d’Appui à la Cohésion Sociale.</w:t>
            </w:r>
            <w:r w:rsidR="001177D9">
              <w:rPr>
                <w:rFonts w:ascii="Times New Roman" w:hAnsi="Times New Roman" w:cs="Times New Roman"/>
                <w:sz w:val="24"/>
                <w:szCs w:val="24"/>
                <w:lang w:bidi="ar-MA"/>
              </w:rPr>
              <w:t xml:space="preserve"> </w:t>
            </w:r>
            <w:r w:rsidR="006F041D">
              <w:rPr>
                <w:rFonts w:ascii="Times New Roman" w:hAnsi="Times New Roman" w:cs="Times New Roman"/>
                <w:sz w:val="24"/>
                <w:szCs w:val="24"/>
                <w:lang w:bidi="ar-MA"/>
              </w:rPr>
              <w:t>quatre</w:t>
            </w:r>
            <w:r w:rsidR="006971D7" w:rsidRPr="00554EA8">
              <w:rPr>
                <w:rFonts w:ascii="Times New Roman" w:hAnsi="Times New Roman" w:cs="Times New Roman"/>
                <w:sz w:val="24"/>
                <w:szCs w:val="24"/>
                <w:lang w:bidi="ar-MA"/>
              </w:rPr>
              <w:t xml:space="preserve"> domaines d’intervention </w:t>
            </w:r>
            <w:r w:rsidR="006F041D">
              <w:rPr>
                <w:rFonts w:ascii="Times New Roman" w:hAnsi="Times New Roman" w:cs="Times New Roman"/>
                <w:sz w:val="24"/>
                <w:szCs w:val="24"/>
                <w:lang w:bidi="ar-MA"/>
              </w:rPr>
              <w:t>ont été ciblés à savoir</w:t>
            </w:r>
            <w:r w:rsidR="00157A95">
              <w:rPr>
                <w:rFonts w:ascii="Times New Roman" w:hAnsi="Times New Roman" w:cs="Times New Roman"/>
                <w:sz w:val="24"/>
                <w:szCs w:val="24"/>
                <w:lang w:bidi="ar-MA"/>
              </w:rPr>
              <w:t> :</w:t>
            </w:r>
          </w:p>
          <w:p w:rsidR="00157A95" w:rsidRDefault="00157A95" w:rsidP="00157A95">
            <w:pPr>
              <w:spacing w:line="360" w:lineRule="auto"/>
              <w:ind w:left="273"/>
              <w:jc w:val="both"/>
              <w:rPr>
                <w:rFonts w:ascii="Times New Roman" w:hAnsi="Times New Roman" w:cs="Times New Roman"/>
                <w:sz w:val="24"/>
                <w:szCs w:val="24"/>
                <w:lang w:bidi="ar-MA"/>
              </w:rPr>
            </w:pPr>
            <w:r>
              <w:rPr>
                <w:rFonts w:ascii="Times New Roman" w:hAnsi="Times New Roman" w:cs="Times New Roman"/>
                <w:sz w:val="24"/>
                <w:szCs w:val="24"/>
                <w:lang w:bidi="ar-MA"/>
              </w:rPr>
              <w:t>-</w:t>
            </w:r>
            <w:r w:rsidR="006971D7" w:rsidRPr="00554EA8">
              <w:rPr>
                <w:rFonts w:ascii="Times New Roman" w:hAnsi="Times New Roman" w:cs="Times New Roman"/>
                <w:sz w:val="24"/>
                <w:szCs w:val="24"/>
                <w:lang w:bidi="ar-MA"/>
              </w:rPr>
              <w:t xml:space="preserve"> l’acquisition des appareils spécifiqu</w:t>
            </w:r>
            <w:r>
              <w:rPr>
                <w:rFonts w:ascii="Times New Roman" w:hAnsi="Times New Roman" w:cs="Times New Roman"/>
                <w:sz w:val="24"/>
                <w:szCs w:val="24"/>
                <w:lang w:bidi="ar-MA"/>
              </w:rPr>
              <w:t xml:space="preserve">es, aides techniques et prothèses et orthèses. </w:t>
            </w:r>
          </w:p>
          <w:p w:rsidR="00157A95" w:rsidRDefault="00157A95" w:rsidP="00157A95">
            <w:pPr>
              <w:spacing w:line="360" w:lineRule="auto"/>
              <w:ind w:left="273"/>
              <w:jc w:val="both"/>
              <w:rPr>
                <w:rFonts w:ascii="Times New Roman" w:hAnsi="Times New Roman" w:cs="Times New Roman"/>
                <w:sz w:val="24"/>
                <w:szCs w:val="24"/>
                <w:lang w:bidi="ar-MA"/>
              </w:rPr>
            </w:pPr>
            <w:r>
              <w:rPr>
                <w:rFonts w:ascii="Times New Roman" w:hAnsi="Times New Roman" w:cs="Times New Roman"/>
                <w:sz w:val="24"/>
                <w:szCs w:val="24"/>
                <w:lang w:bidi="ar-MA"/>
              </w:rPr>
              <w:t>-</w:t>
            </w:r>
            <w:r w:rsidR="006F041D">
              <w:rPr>
                <w:rFonts w:ascii="Times New Roman" w:hAnsi="Times New Roman" w:cs="Times New Roman"/>
                <w:sz w:val="24"/>
                <w:szCs w:val="24"/>
                <w:lang w:bidi="ar-MA"/>
              </w:rPr>
              <w:t xml:space="preserve"> </w:t>
            </w:r>
            <w:r w:rsidR="006971D7" w:rsidRPr="00554EA8">
              <w:rPr>
                <w:rFonts w:ascii="Times New Roman" w:hAnsi="Times New Roman" w:cs="Times New Roman"/>
                <w:sz w:val="24"/>
                <w:szCs w:val="24"/>
                <w:lang w:bidi="ar-MA"/>
              </w:rPr>
              <w:t xml:space="preserve">l’amélioration des conditions de scolarisation </w:t>
            </w:r>
          </w:p>
          <w:p w:rsidR="00157A95" w:rsidRDefault="00157A95" w:rsidP="00157A95">
            <w:pPr>
              <w:spacing w:line="360" w:lineRule="auto"/>
              <w:ind w:left="273"/>
              <w:jc w:val="both"/>
              <w:rPr>
                <w:rFonts w:ascii="Times New Roman" w:hAnsi="Times New Roman" w:cs="Times New Roman"/>
                <w:sz w:val="24"/>
                <w:szCs w:val="24"/>
                <w:lang w:bidi="ar-MA"/>
              </w:rPr>
            </w:pPr>
            <w:r>
              <w:rPr>
                <w:rFonts w:ascii="Times New Roman" w:hAnsi="Times New Roman" w:cs="Times New Roman"/>
                <w:sz w:val="24"/>
                <w:szCs w:val="24"/>
                <w:lang w:bidi="ar-MA"/>
              </w:rPr>
              <w:t xml:space="preserve">- </w:t>
            </w:r>
            <w:r w:rsidR="006971D7" w:rsidRPr="00554EA8">
              <w:rPr>
                <w:rFonts w:ascii="Times New Roman" w:hAnsi="Times New Roman" w:cs="Times New Roman"/>
                <w:sz w:val="24"/>
                <w:szCs w:val="24"/>
                <w:lang w:bidi="ar-MA"/>
              </w:rPr>
              <w:t>l’encouragement à l’insertion profes</w:t>
            </w:r>
            <w:r w:rsidR="006F041D">
              <w:rPr>
                <w:rFonts w:ascii="Times New Roman" w:hAnsi="Times New Roman" w:cs="Times New Roman"/>
                <w:sz w:val="24"/>
                <w:szCs w:val="24"/>
                <w:lang w:bidi="ar-MA"/>
              </w:rPr>
              <w:t xml:space="preserve">sionnelle et des AGR, </w:t>
            </w:r>
          </w:p>
          <w:p w:rsidR="00157A95" w:rsidRDefault="00157A95" w:rsidP="00157A95">
            <w:pPr>
              <w:spacing w:line="360" w:lineRule="auto"/>
              <w:ind w:left="273"/>
              <w:jc w:val="both"/>
              <w:rPr>
                <w:rFonts w:ascii="Times New Roman" w:hAnsi="Times New Roman" w:cs="Times New Roman"/>
                <w:sz w:val="24"/>
                <w:szCs w:val="24"/>
                <w:lang w:bidi="ar-MA"/>
              </w:rPr>
            </w:pPr>
            <w:r>
              <w:rPr>
                <w:rFonts w:ascii="Times New Roman" w:hAnsi="Times New Roman" w:cs="Times New Roman"/>
                <w:sz w:val="24"/>
                <w:szCs w:val="24"/>
                <w:lang w:bidi="ar-MA"/>
              </w:rPr>
              <w:t xml:space="preserve">- La </w:t>
            </w:r>
            <w:r w:rsidR="006971D7" w:rsidRPr="00554EA8">
              <w:rPr>
                <w:rFonts w:ascii="Times New Roman" w:hAnsi="Times New Roman" w:cs="Times New Roman"/>
                <w:sz w:val="24"/>
                <w:szCs w:val="24"/>
                <w:lang w:bidi="ar-MA"/>
              </w:rPr>
              <w:t>contribution à la création et à la gestion des centres d’accueil des PSH. </w:t>
            </w:r>
          </w:p>
          <w:p w:rsidR="0021586B" w:rsidRPr="0022738E" w:rsidRDefault="006971D7" w:rsidP="00157A95">
            <w:pPr>
              <w:spacing w:line="360" w:lineRule="auto"/>
              <w:ind w:left="273"/>
              <w:jc w:val="both"/>
              <w:rPr>
                <w:rFonts w:ascii="Times New Roman" w:hAnsi="Times New Roman" w:cs="Times New Roman"/>
                <w:sz w:val="24"/>
                <w:szCs w:val="24"/>
                <w:lang w:bidi="ar-MA"/>
              </w:rPr>
            </w:pPr>
            <w:r w:rsidRPr="00554EA8">
              <w:rPr>
                <w:rFonts w:ascii="Times New Roman" w:hAnsi="Times New Roman" w:cs="Times New Roman"/>
                <w:sz w:val="24"/>
                <w:szCs w:val="24"/>
                <w:lang w:bidi="ar-MA"/>
              </w:rPr>
              <w:t>Ce système d’appui des PSH sera élargi ultérieurement, dans le cadre d’un "système d'appui social", conform</w:t>
            </w:r>
            <w:r w:rsidR="00554EA8" w:rsidRPr="00554EA8">
              <w:rPr>
                <w:rFonts w:ascii="Times New Roman" w:hAnsi="Times New Roman" w:cs="Times New Roman"/>
                <w:sz w:val="24"/>
                <w:szCs w:val="24"/>
                <w:lang w:bidi="ar-MA"/>
              </w:rPr>
              <w:t>ément aux dispositions de la</w:t>
            </w:r>
            <w:r w:rsidRPr="00554EA8">
              <w:rPr>
                <w:rFonts w:ascii="Times New Roman" w:hAnsi="Times New Roman" w:cs="Times New Roman"/>
                <w:sz w:val="24"/>
                <w:szCs w:val="24"/>
                <w:lang w:bidi="ar-MA"/>
              </w:rPr>
              <w:t xml:space="preserve"> loi cadre n°97.13 relatif à la protection et à la promotion des Droits des personnes en situation de handicap.</w:t>
            </w:r>
          </w:p>
        </w:tc>
      </w:tr>
      <w:tr w:rsidR="0021586B" w:rsidTr="008E1C7F">
        <w:trPr>
          <w:trHeight w:val="1769"/>
        </w:trPr>
        <w:tc>
          <w:tcPr>
            <w:tcW w:w="5290" w:type="dxa"/>
            <w:shd w:val="clear" w:color="auto" w:fill="F2F2F2" w:themeFill="background1" w:themeFillShade="F2"/>
          </w:tcPr>
          <w:p w:rsidR="0021586B" w:rsidRPr="003C407A" w:rsidRDefault="0021586B" w:rsidP="001D1709">
            <w:pPr>
              <w:pStyle w:val="ListParagraph"/>
              <w:numPr>
                <w:ilvl w:val="0"/>
                <w:numId w:val="14"/>
              </w:numPr>
              <w:ind w:left="414" w:hanging="283"/>
              <w:rPr>
                <w:b/>
                <w:bCs/>
                <w:sz w:val="24"/>
                <w:szCs w:val="24"/>
              </w:rPr>
            </w:pPr>
            <w:r w:rsidRPr="001D1709">
              <w:rPr>
                <w:rFonts w:ascii="Times New Roman" w:hAnsi="Times New Roman" w:cs="Times New Roman"/>
                <w:sz w:val="24"/>
                <w:szCs w:val="24"/>
              </w:rPr>
              <w:lastRenderedPageBreak/>
              <w:t>Les mécanismes ou organes existants pour veiller à leur mise en œuvre,</w:t>
            </w:r>
          </w:p>
        </w:tc>
        <w:tc>
          <w:tcPr>
            <w:tcW w:w="9169" w:type="dxa"/>
          </w:tcPr>
          <w:p w:rsidR="0033793C" w:rsidRDefault="0033793C" w:rsidP="0033793C">
            <w:pPr>
              <w:spacing w:line="360" w:lineRule="auto"/>
              <w:jc w:val="both"/>
              <w:rPr>
                <w:rFonts w:ascii="Times New Roman" w:hAnsi="Times New Roman" w:cs="Times New Roman"/>
                <w:sz w:val="24"/>
                <w:szCs w:val="24"/>
                <w:lang w:bidi="ar-MA"/>
              </w:rPr>
            </w:pPr>
          </w:p>
          <w:p w:rsidR="00B9253F" w:rsidRDefault="008B5ADB" w:rsidP="00BC24A1">
            <w:pPr>
              <w:spacing w:line="360" w:lineRule="auto"/>
              <w:ind w:left="273"/>
              <w:jc w:val="both"/>
              <w:rPr>
                <w:rFonts w:ascii="Times New Roman" w:eastAsia="Times New Roman" w:hAnsi="Times New Roman" w:cs="Times New Roman"/>
                <w:sz w:val="24"/>
                <w:szCs w:val="24"/>
                <w:lang w:eastAsia="fr-FR"/>
              </w:rPr>
            </w:pPr>
            <w:r>
              <w:rPr>
                <w:rFonts w:ascii="Times New Roman" w:hAnsi="Times New Roman" w:cs="Times New Roman"/>
                <w:sz w:val="24"/>
                <w:szCs w:val="24"/>
                <w:lang w:bidi="ar-MA"/>
              </w:rPr>
              <w:t xml:space="preserve">- </w:t>
            </w:r>
            <w:r w:rsidR="0033793C">
              <w:rPr>
                <w:rFonts w:ascii="Times New Roman" w:hAnsi="Times New Roman" w:cs="Times New Roman"/>
                <w:sz w:val="24"/>
                <w:szCs w:val="24"/>
                <w:lang w:bidi="ar-MA"/>
              </w:rPr>
              <w:t>U</w:t>
            </w:r>
            <w:r w:rsidR="00833CF6">
              <w:rPr>
                <w:rFonts w:ascii="Times New Roman" w:hAnsi="Times New Roman" w:cs="Times New Roman"/>
                <w:sz w:val="24"/>
                <w:szCs w:val="24"/>
                <w:lang w:bidi="ar-MA"/>
              </w:rPr>
              <w:t>n</w:t>
            </w:r>
            <w:r w:rsidR="00B9253F">
              <w:rPr>
                <w:rFonts w:ascii="Times New Roman" w:hAnsi="Times New Roman" w:cs="Times New Roman"/>
                <w:sz w:val="24"/>
                <w:szCs w:val="24"/>
                <w:lang w:bidi="ar-MA"/>
              </w:rPr>
              <w:t>e</w:t>
            </w:r>
            <w:r w:rsidR="001177D9">
              <w:rPr>
                <w:rFonts w:ascii="Times New Roman" w:hAnsi="Times New Roman" w:cs="Times New Roman"/>
                <w:sz w:val="24"/>
                <w:szCs w:val="24"/>
                <w:lang w:bidi="ar-MA"/>
              </w:rPr>
              <w:t xml:space="preserve"> </w:t>
            </w:r>
            <w:r w:rsidR="00B9253F">
              <w:rPr>
                <w:rFonts w:ascii="Times New Roman" w:hAnsi="Times New Roman" w:cs="Times New Roman"/>
                <w:sz w:val="24"/>
                <w:szCs w:val="24"/>
                <w:lang w:bidi="ar-MA"/>
              </w:rPr>
              <w:t>commission</w:t>
            </w:r>
            <w:r w:rsidR="0021586B" w:rsidRPr="0022738E">
              <w:rPr>
                <w:rFonts w:ascii="Times New Roman" w:hAnsi="Times New Roman" w:cs="Times New Roman"/>
                <w:sz w:val="24"/>
                <w:szCs w:val="24"/>
                <w:lang w:bidi="ar-MA"/>
              </w:rPr>
              <w:t xml:space="preserve"> interministériel</w:t>
            </w:r>
            <w:r w:rsidR="00B9253F">
              <w:rPr>
                <w:rFonts w:ascii="Times New Roman" w:hAnsi="Times New Roman" w:cs="Times New Roman"/>
                <w:sz w:val="24"/>
                <w:szCs w:val="24"/>
                <w:lang w:bidi="ar-MA"/>
              </w:rPr>
              <w:t>le</w:t>
            </w:r>
            <w:r w:rsidR="001177D9">
              <w:rPr>
                <w:rFonts w:ascii="Times New Roman" w:hAnsi="Times New Roman" w:cs="Times New Roman"/>
                <w:sz w:val="24"/>
                <w:szCs w:val="24"/>
                <w:lang w:bidi="ar-MA"/>
              </w:rPr>
              <w:t xml:space="preserve"> </w:t>
            </w:r>
            <w:r w:rsidR="00BC24A1">
              <w:rPr>
                <w:rFonts w:ascii="Times New Roman" w:hAnsi="Times New Roman" w:cs="Times New Roman"/>
                <w:sz w:val="24"/>
                <w:szCs w:val="24"/>
                <w:lang w:bidi="ar-MA"/>
              </w:rPr>
              <w:t xml:space="preserve">présidée par </w:t>
            </w:r>
            <w:r w:rsidR="00704F7C">
              <w:rPr>
                <w:rFonts w:ascii="Times New Roman" w:hAnsi="Times New Roman" w:cs="Times New Roman"/>
                <w:sz w:val="24"/>
                <w:szCs w:val="24"/>
                <w:lang w:bidi="ar-MA"/>
              </w:rPr>
              <w:t xml:space="preserve">le chef de gouvernement </w:t>
            </w:r>
            <w:r w:rsidR="00833CF6">
              <w:rPr>
                <w:rFonts w:ascii="Times New Roman" w:hAnsi="Times New Roman" w:cs="Times New Roman"/>
                <w:sz w:val="24"/>
                <w:szCs w:val="24"/>
                <w:lang w:bidi="ar-MA"/>
              </w:rPr>
              <w:t>a</w:t>
            </w:r>
            <w:r w:rsidR="00B9253F">
              <w:rPr>
                <w:rFonts w:ascii="Times New Roman" w:hAnsi="Times New Roman" w:cs="Times New Roman"/>
                <w:sz w:val="24"/>
                <w:szCs w:val="24"/>
                <w:lang w:bidi="ar-MA"/>
              </w:rPr>
              <w:t xml:space="preserve"> été </w:t>
            </w:r>
            <w:r>
              <w:rPr>
                <w:rFonts w:ascii="Times New Roman" w:hAnsi="Times New Roman" w:cs="Times New Roman"/>
                <w:sz w:val="24"/>
                <w:szCs w:val="24"/>
                <w:lang w:bidi="ar-MA"/>
              </w:rPr>
              <w:t>créé, par</w:t>
            </w:r>
            <w:r w:rsidR="00BC24A1">
              <w:rPr>
                <w:rFonts w:ascii="Times New Roman" w:hAnsi="Times New Roman" w:cs="Times New Roman"/>
                <w:sz w:val="24"/>
                <w:szCs w:val="24"/>
                <w:lang w:bidi="ar-MA"/>
              </w:rPr>
              <w:t xml:space="preserve"> décret, </w:t>
            </w:r>
            <w:r w:rsidR="00704F7C">
              <w:rPr>
                <w:rFonts w:ascii="Times New Roman" w:hAnsi="Times New Roman" w:cs="Times New Roman"/>
                <w:sz w:val="24"/>
                <w:szCs w:val="24"/>
                <w:lang w:bidi="ar-MA"/>
              </w:rPr>
              <w:t>en 2014. Elle constitue une</w:t>
            </w:r>
            <w:r w:rsidR="00B9253F" w:rsidRPr="004F7139">
              <w:rPr>
                <w:rFonts w:ascii="Times New Roman" w:eastAsia="Times New Roman" w:hAnsi="Times New Roman" w:cs="Times New Roman"/>
                <w:sz w:val="24"/>
                <w:szCs w:val="24"/>
                <w:lang w:eastAsia="fr-FR"/>
              </w:rPr>
              <w:t xml:space="preserve"> instance de gouvernance et de coordination de l’action gouvern</w:t>
            </w:r>
            <w:r w:rsidR="0033793C">
              <w:rPr>
                <w:rFonts w:ascii="Times New Roman" w:eastAsia="Times New Roman" w:hAnsi="Times New Roman" w:cs="Times New Roman"/>
                <w:sz w:val="24"/>
                <w:szCs w:val="24"/>
                <w:lang w:eastAsia="fr-FR"/>
              </w:rPr>
              <w:t>ementale en matière du handicap</w:t>
            </w:r>
            <w:r w:rsidR="006E387F">
              <w:rPr>
                <w:rFonts w:ascii="Times New Roman" w:eastAsia="Times New Roman" w:hAnsi="Times New Roman" w:cs="Times New Roman"/>
                <w:sz w:val="24"/>
                <w:szCs w:val="24"/>
                <w:lang w:eastAsia="fr-FR"/>
              </w:rPr>
              <w:t xml:space="preserve"> et</w:t>
            </w:r>
            <w:r w:rsidR="00B9253F" w:rsidRPr="004F7139">
              <w:rPr>
                <w:rFonts w:ascii="Times New Roman" w:eastAsia="Times New Roman" w:hAnsi="Times New Roman" w:cs="Times New Roman"/>
                <w:sz w:val="24"/>
                <w:szCs w:val="24"/>
                <w:lang w:eastAsia="fr-FR"/>
              </w:rPr>
              <w:t xml:space="preserve"> chargée du sui</w:t>
            </w:r>
            <w:r w:rsidR="00BC24A1">
              <w:rPr>
                <w:rFonts w:ascii="Times New Roman" w:eastAsia="Times New Roman" w:hAnsi="Times New Roman" w:cs="Times New Roman"/>
                <w:sz w:val="24"/>
                <w:szCs w:val="24"/>
                <w:lang w:eastAsia="fr-FR"/>
              </w:rPr>
              <w:t xml:space="preserve">vi de la mise en œuvre des </w:t>
            </w:r>
            <w:r w:rsidR="00B9253F" w:rsidRPr="004F7139">
              <w:rPr>
                <w:rFonts w:ascii="Times New Roman" w:eastAsia="Times New Roman" w:hAnsi="Times New Roman" w:cs="Times New Roman"/>
                <w:sz w:val="24"/>
                <w:szCs w:val="24"/>
                <w:lang w:eastAsia="fr-FR"/>
              </w:rPr>
              <w:t xml:space="preserve">politiques </w:t>
            </w:r>
            <w:r w:rsidR="00BC24A1">
              <w:rPr>
                <w:rFonts w:ascii="Times New Roman" w:eastAsia="Times New Roman" w:hAnsi="Times New Roman" w:cs="Times New Roman"/>
                <w:sz w:val="24"/>
                <w:szCs w:val="24"/>
                <w:lang w:eastAsia="fr-FR"/>
              </w:rPr>
              <w:t>et programmes</w:t>
            </w:r>
            <w:r w:rsidR="00B9253F" w:rsidRPr="004F7139">
              <w:rPr>
                <w:rFonts w:ascii="Times New Roman" w:eastAsia="Times New Roman" w:hAnsi="Times New Roman" w:cs="Times New Roman"/>
                <w:sz w:val="24"/>
                <w:szCs w:val="24"/>
                <w:lang w:eastAsia="fr-FR"/>
              </w:rPr>
              <w:t xml:space="preserve"> en matière du handicap</w:t>
            </w:r>
            <w:r w:rsidR="00BC24A1">
              <w:rPr>
                <w:rFonts w:ascii="Times New Roman" w:eastAsia="Times New Roman" w:hAnsi="Times New Roman" w:cs="Times New Roman"/>
                <w:sz w:val="24"/>
                <w:szCs w:val="24"/>
                <w:lang w:eastAsia="fr-FR"/>
              </w:rPr>
              <w:t xml:space="preserve">  ainsi que la convention internationale des droits des personnes handicapées</w:t>
            </w:r>
            <w:r w:rsidR="00B9253F" w:rsidRPr="004F7139">
              <w:rPr>
                <w:rFonts w:ascii="Times New Roman" w:eastAsia="Times New Roman" w:hAnsi="Times New Roman" w:cs="Times New Roman"/>
                <w:sz w:val="24"/>
                <w:szCs w:val="24"/>
                <w:lang w:eastAsia="fr-FR"/>
              </w:rPr>
              <w:t xml:space="preserve">. Cette commission est composée de </w:t>
            </w:r>
            <w:r w:rsidR="00BC24A1">
              <w:rPr>
                <w:rFonts w:ascii="Times New Roman" w:eastAsia="Times New Roman" w:hAnsi="Times New Roman" w:cs="Times New Roman"/>
                <w:sz w:val="24"/>
                <w:szCs w:val="24"/>
                <w:lang w:eastAsia="fr-FR"/>
              </w:rPr>
              <w:t>l’ensemble des départements</w:t>
            </w:r>
            <w:r w:rsidR="00B9253F" w:rsidRPr="004F7139">
              <w:rPr>
                <w:rFonts w:ascii="Times New Roman" w:eastAsia="Times New Roman" w:hAnsi="Times New Roman" w:cs="Times New Roman"/>
                <w:sz w:val="24"/>
                <w:szCs w:val="24"/>
                <w:lang w:eastAsia="fr-FR"/>
              </w:rPr>
              <w:t xml:space="preserve"> gouvernementaux acteurs dans ce domaine, et assistée par une commission technique regroupant des points focaux dans les secteurs concernés. </w:t>
            </w:r>
          </w:p>
          <w:p w:rsidR="00B9253F" w:rsidRDefault="001177D9" w:rsidP="001177D9">
            <w:pPr>
              <w:spacing w:line="360" w:lineRule="auto"/>
              <w:ind w:left="273"/>
              <w:jc w:val="both"/>
              <w:rPr>
                <w:rFonts w:ascii="Times New Roman" w:eastAsia="Times New Roman" w:hAnsi="Times New Roman" w:cs="Times New Roman"/>
                <w:sz w:val="24"/>
                <w:szCs w:val="24"/>
                <w:lang w:eastAsia="fr-FR"/>
              </w:rPr>
            </w:pPr>
            <w:r w:rsidRPr="00157A95">
              <w:rPr>
                <w:rFonts w:ascii="Times New Roman" w:eastAsia="Times New Roman" w:hAnsi="Times New Roman" w:cs="Times New Roman"/>
                <w:sz w:val="24"/>
                <w:szCs w:val="24"/>
                <w:lang w:eastAsia="fr-FR"/>
              </w:rPr>
              <w:t xml:space="preserve">Une première réunion présidée par le chef de </w:t>
            </w:r>
            <w:r w:rsidR="008B5ADB" w:rsidRPr="00157A95">
              <w:rPr>
                <w:rFonts w:ascii="Times New Roman" w:eastAsia="Times New Roman" w:hAnsi="Times New Roman" w:cs="Times New Roman"/>
                <w:sz w:val="24"/>
                <w:szCs w:val="24"/>
                <w:lang w:eastAsia="fr-FR"/>
              </w:rPr>
              <w:t>gouvernement a</w:t>
            </w:r>
            <w:r w:rsidRPr="00157A95">
              <w:rPr>
                <w:rFonts w:ascii="Times New Roman" w:eastAsia="Times New Roman" w:hAnsi="Times New Roman" w:cs="Times New Roman"/>
                <w:sz w:val="24"/>
                <w:szCs w:val="24"/>
                <w:lang w:eastAsia="fr-FR"/>
              </w:rPr>
              <w:t xml:space="preserve"> été tenue le 24 novembre 2015 pour approuver la politique publique intégrée.</w:t>
            </w:r>
          </w:p>
          <w:p w:rsidR="008B5ADB" w:rsidRPr="006059DF" w:rsidRDefault="008B5ADB" w:rsidP="008B5ADB">
            <w:pPr>
              <w:spacing w:line="360" w:lineRule="auto"/>
              <w:ind w:left="273"/>
              <w:jc w:val="both"/>
              <w:rPr>
                <w:rFonts w:ascii="Times New Roman" w:hAnsi="Times New Roman" w:cs="Times New Roman"/>
                <w:sz w:val="24"/>
                <w:szCs w:val="24"/>
                <w:lang w:bidi="ar-MA"/>
              </w:rPr>
            </w:pPr>
            <w:r>
              <w:rPr>
                <w:rFonts w:ascii="Times New Roman" w:eastAsia="Times New Roman" w:hAnsi="Times New Roman" w:cs="Times New Roman"/>
                <w:sz w:val="24"/>
                <w:szCs w:val="24"/>
                <w:lang w:eastAsia="fr-FR"/>
              </w:rPr>
              <w:t xml:space="preserve">-Le Ministère de la solidarité, de la Femme, la Famille et du développement social à travers sa direction de promotion des droits des PSH assure la coordination entre tous les acteurs dans ce domaine. </w:t>
            </w:r>
          </w:p>
        </w:tc>
      </w:tr>
      <w:tr w:rsidR="0021586B" w:rsidTr="008E1C7F">
        <w:trPr>
          <w:trHeight w:val="708"/>
        </w:trPr>
        <w:tc>
          <w:tcPr>
            <w:tcW w:w="5290" w:type="dxa"/>
            <w:shd w:val="clear" w:color="auto" w:fill="F2F2F2" w:themeFill="background1" w:themeFillShade="F2"/>
          </w:tcPr>
          <w:p w:rsidR="008E1C7F" w:rsidRPr="008E1C7F" w:rsidRDefault="008E1C7F" w:rsidP="008E1C7F">
            <w:pPr>
              <w:pStyle w:val="ListParagraph"/>
              <w:ind w:left="414"/>
              <w:rPr>
                <w:sz w:val="24"/>
                <w:szCs w:val="24"/>
              </w:rPr>
            </w:pPr>
          </w:p>
          <w:p w:rsidR="0021586B" w:rsidRPr="00AA048A" w:rsidRDefault="0021586B" w:rsidP="00DD5520">
            <w:pPr>
              <w:pStyle w:val="ListParagraph"/>
              <w:numPr>
                <w:ilvl w:val="0"/>
                <w:numId w:val="14"/>
              </w:numPr>
              <w:ind w:left="414" w:hanging="283"/>
              <w:jc w:val="both"/>
              <w:rPr>
                <w:sz w:val="24"/>
                <w:szCs w:val="24"/>
              </w:rPr>
            </w:pPr>
            <w:r w:rsidRPr="001D1709">
              <w:rPr>
                <w:rFonts w:ascii="Times New Roman" w:hAnsi="Times New Roman" w:cs="Times New Roman"/>
                <w:sz w:val="24"/>
                <w:szCs w:val="24"/>
              </w:rPr>
              <w:t>Comment est-ce que ces stratégies et plans tiennent compte de la situation des femmes et des filles handicapées, ainsi que des enfants et des personnes âgées handicapées ?</w:t>
            </w:r>
          </w:p>
        </w:tc>
        <w:tc>
          <w:tcPr>
            <w:tcW w:w="9169" w:type="dxa"/>
          </w:tcPr>
          <w:p w:rsidR="001D1709" w:rsidRDefault="001D1709" w:rsidP="001D1709">
            <w:pPr>
              <w:pStyle w:val="Default"/>
            </w:pPr>
          </w:p>
          <w:p w:rsidR="006B115B" w:rsidRDefault="001D1709" w:rsidP="00DD5520">
            <w:pPr>
              <w:spacing w:line="360" w:lineRule="auto"/>
              <w:ind w:left="273"/>
              <w:jc w:val="both"/>
              <w:rPr>
                <w:rFonts w:ascii="Times New Roman" w:hAnsi="Times New Roman" w:cs="Times New Roman"/>
                <w:sz w:val="24"/>
                <w:szCs w:val="24"/>
                <w:lang w:bidi="ar-MA"/>
              </w:rPr>
            </w:pPr>
            <w:r w:rsidRPr="006059DF">
              <w:rPr>
                <w:rFonts w:ascii="Times New Roman" w:hAnsi="Times New Roman" w:cs="Times New Roman"/>
                <w:sz w:val="24"/>
                <w:szCs w:val="24"/>
                <w:lang w:bidi="ar-MA"/>
              </w:rPr>
              <w:t xml:space="preserve">Au Maroc, les filles et les femmes en situation de handicap jouissent de tous les droits et libertés fondamentales de la personne sur la base de l’égalité avec les garçons et les hommes </w:t>
            </w:r>
            <w:r w:rsidR="00B97725" w:rsidRPr="006059DF">
              <w:rPr>
                <w:rFonts w:ascii="Times New Roman" w:hAnsi="Times New Roman" w:cs="Times New Roman"/>
                <w:sz w:val="24"/>
                <w:szCs w:val="24"/>
                <w:lang w:bidi="ar-MA"/>
              </w:rPr>
              <w:t>en situation de handicap</w:t>
            </w:r>
            <w:r w:rsidRPr="006059DF">
              <w:rPr>
                <w:rFonts w:ascii="Times New Roman" w:hAnsi="Times New Roman" w:cs="Times New Roman"/>
                <w:sz w:val="24"/>
                <w:szCs w:val="24"/>
                <w:lang w:bidi="ar-MA"/>
              </w:rPr>
              <w:t xml:space="preserve">. </w:t>
            </w:r>
            <w:r w:rsidR="006059DF" w:rsidRPr="006059DF">
              <w:rPr>
                <w:rFonts w:ascii="Times New Roman" w:hAnsi="Times New Roman" w:cs="Times New Roman"/>
                <w:sz w:val="24"/>
                <w:szCs w:val="24"/>
                <w:lang w:bidi="ar-MA"/>
              </w:rPr>
              <w:t>le Ministère de la Solidarité, de la Femme, de la Famille et du Développement Social</w:t>
            </w:r>
            <w:r w:rsidR="006B115B">
              <w:rPr>
                <w:rFonts w:ascii="Times New Roman" w:hAnsi="Times New Roman" w:cs="Times New Roman"/>
                <w:sz w:val="24"/>
                <w:szCs w:val="24"/>
                <w:lang w:bidi="ar-MA"/>
              </w:rPr>
              <w:t>,</w:t>
            </w:r>
            <w:r w:rsidR="001177D9">
              <w:rPr>
                <w:rFonts w:ascii="Times New Roman" w:hAnsi="Times New Roman" w:cs="Times New Roman"/>
                <w:sz w:val="24"/>
                <w:szCs w:val="24"/>
                <w:lang w:bidi="ar-MA"/>
              </w:rPr>
              <w:t xml:space="preserve"> </w:t>
            </w:r>
            <w:r w:rsidR="008264C8">
              <w:rPr>
                <w:rFonts w:ascii="Times New Roman" w:hAnsi="Times New Roman" w:cs="Times New Roman"/>
                <w:sz w:val="24"/>
                <w:szCs w:val="24"/>
                <w:lang w:bidi="ar-MA"/>
              </w:rPr>
              <w:t xml:space="preserve">a </w:t>
            </w:r>
            <w:r w:rsidR="006B115B">
              <w:rPr>
                <w:rFonts w:ascii="Times New Roman" w:hAnsi="Times New Roman" w:cs="Times New Roman"/>
                <w:sz w:val="24"/>
                <w:szCs w:val="24"/>
                <w:lang w:bidi="ar-MA"/>
              </w:rPr>
              <w:t>intégré</w:t>
            </w:r>
            <w:r w:rsidR="001177D9">
              <w:rPr>
                <w:rFonts w:ascii="Times New Roman" w:hAnsi="Times New Roman" w:cs="Times New Roman"/>
                <w:sz w:val="24"/>
                <w:szCs w:val="24"/>
                <w:lang w:bidi="ar-MA"/>
              </w:rPr>
              <w:t xml:space="preserve"> </w:t>
            </w:r>
            <w:r w:rsidR="006B115B">
              <w:rPr>
                <w:rFonts w:ascii="Times New Roman" w:hAnsi="Times New Roman" w:cs="Times New Roman"/>
                <w:sz w:val="24"/>
                <w:szCs w:val="24"/>
                <w:lang w:bidi="ar-MA"/>
              </w:rPr>
              <w:t>les</w:t>
            </w:r>
            <w:r w:rsidR="0021586B" w:rsidRPr="006059DF">
              <w:rPr>
                <w:rFonts w:ascii="Times New Roman" w:hAnsi="Times New Roman" w:cs="Times New Roman"/>
                <w:sz w:val="24"/>
                <w:szCs w:val="24"/>
                <w:lang w:bidi="ar-MA"/>
              </w:rPr>
              <w:t xml:space="preserve"> principes d’équi</w:t>
            </w:r>
            <w:r w:rsidR="00FB2DAC">
              <w:rPr>
                <w:rFonts w:ascii="Times New Roman" w:hAnsi="Times New Roman" w:cs="Times New Roman"/>
                <w:sz w:val="24"/>
                <w:szCs w:val="24"/>
                <w:lang w:bidi="ar-MA"/>
              </w:rPr>
              <w:t xml:space="preserve">té et d’égalité de genre dans l’ensemble des axes de la </w:t>
            </w:r>
            <w:r w:rsidRPr="006059DF">
              <w:rPr>
                <w:rFonts w:ascii="Times New Roman" w:hAnsi="Times New Roman" w:cs="Times New Roman"/>
                <w:sz w:val="24"/>
                <w:szCs w:val="24"/>
                <w:lang w:bidi="ar-MA"/>
              </w:rPr>
              <w:t xml:space="preserve">politique </w:t>
            </w:r>
            <w:r w:rsidR="00FB2DAC">
              <w:rPr>
                <w:rFonts w:ascii="Times New Roman" w:hAnsi="Times New Roman" w:cs="Times New Roman"/>
                <w:sz w:val="24"/>
                <w:szCs w:val="24"/>
                <w:lang w:bidi="ar-MA"/>
              </w:rPr>
              <w:t xml:space="preserve">publique </w:t>
            </w:r>
            <w:r w:rsidR="008264C8">
              <w:rPr>
                <w:rFonts w:ascii="Times New Roman" w:hAnsi="Times New Roman" w:cs="Times New Roman"/>
                <w:sz w:val="24"/>
                <w:szCs w:val="24"/>
                <w:lang w:bidi="ar-MA"/>
              </w:rPr>
              <w:t xml:space="preserve">pour la </w:t>
            </w:r>
            <w:r w:rsidR="00DD5520">
              <w:rPr>
                <w:rFonts w:ascii="Times New Roman" w:hAnsi="Times New Roman" w:cs="Times New Roman"/>
                <w:sz w:val="24"/>
                <w:szCs w:val="24"/>
                <w:lang w:bidi="ar-MA"/>
              </w:rPr>
              <w:t>promotion des</w:t>
            </w:r>
            <w:r w:rsidR="008264C8">
              <w:rPr>
                <w:rFonts w:ascii="Times New Roman" w:hAnsi="Times New Roman" w:cs="Times New Roman"/>
                <w:sz w:val="24"/>
                <w:szCs w:val="24"/>
                <w:lang w:bidi="ar-MA"/>
              </w:rPr>
              <w:t xml:space="preserve"> droits des PSH</w:t>
            </w:r>
            <w:r w:rsidR="00FB2DAC">
              <w:rPr>
                <w:rFonts w:ascii="Times New Roman" w:hAnsi="Times New Roman" w:cs="Times New Roman"/>
                <w:sz w:val="24"/>
                <w:szCs w:val="24"/>
                <w:lang w:bidi="ar-MA"/>
              </w:rPr>
              <w:t>.</w:t>
            </w:r>
            <w:r w:rsidR="001177D9">
              <w:rPr>
                <w:rFonts w:ascii="Times New Roman" w:hAnsi="Times New Roman" w:cs="Times New Roman"/>
                <w:sz w:val="24"/>
                <w:szCs w:val="24"/>
                <w:lang w:bidi="ar-MA"/>
              </w:rPr>
              <w:t xml:space="preserve"> </w:t>
            </w:r>
            <w:r w:rsidR="00DD5520" w:rsidRPr="00157A95">
              <w:rPr>
                <w:rFonts w:ascii="Times New Roman" w:hAnsi="Times New Roman" w:cs="Times New Roman"/>
                <w:sz w:val="24"/>
                <w:szCs w:val="24"/>
                <w:lang w:bidi="ar-MA"/>
              </w:rPr>
              <w:t>Ainsi,</w:t>
            </w:r>
            <w:r w:rsidR="001177D9" w:rsidRPr="00157A95">
              <w:rPr>
                <w:rFonts w:ascii="Times New Roman" w:hAnsi="Times New Roman" w:cs="Times New Roman"/>
                <w:sz w:val="24"/>
                <w:szCs w:val="24"/>
                <w:lang w:bidi="ar-MA"/>
              </w:rPr>
              <w:t xml:space="preserve"> le</w:t>
            </w:r>
            <w:r w:rsidR="00DD5520">
              <w:rPr>
                <w:rFonts w:ascii="Times New Roman" w:hAnsi="Times New Roman" w:cs="Times New Roman"/>
                <w:sz w:val="24"/>
                <w:szCs w:val="24"/>
                <w:lang w:bidi="ar-MA"/>
              </w:rPr>
              <w:t xml:space="preserve"> projet de</w:t>
            </w:r>
            <w:r w:rsidR="001177D9" w:rsidRPr="00157A95">
              <w:rPr>
                <w:rFonts w:ascii="Times New Roman" w:hAnsi="Times New Roman" w:cs="Times New Roman"/>
                <w:sz w:val="24"/>
                <w:szCs w:val="24"/>
                <w:lang w:bidi="ar-MA"/>
              </w:rPr>
              <w:t xml:space="preserve"> plan d’action national a été gendérisé, en intégrant des mesures correctives et préventives.</w:t>
            </w:r>
            <w:r w:rsidR="001177D9">
              <w:rPr>
                <w:rFonts w:ascii="Times New Roman" w:hAnsi="Times New Roman" w:cs="Times New Roman"/>
                <w:sz w:val="24"/>
                <w:szCs w:val="24"/>
                <w:lang w:bidi="ar-MA"/>
              </w:rPr>
              <w:t xml:space="preserve"> </w:t>
            </w:r>
          </w:p>
          <w:p w:rsidR="00605F81" w:rsidRDefault="006B115B" w:rsidP="006B115B">
            <w:pPr>
              <w:spacing w:line="360" w:lineRule="auto"/>
              <w:ind w:left="273"/>
              <w:rPr>
                <w:rFonts w:ascii="Times New Roman" w:hAnsi="Times New Roman" w:cs="Times New Roman"/>
                <w:sz w:val="24"/>
                <w:szCs w:val="24"/>
                <w:lang w:bidi="ar-MA"/>
              </w:rPr>
            </w:pPr>
            <w:r>
              <w:rPr>
                <w:rFonts w:ascii="Times New Roman" w:hAnsi="Times New Roman" w:cs="Times New Roman"/>
                <w:sz w:val="24"/>
                <w:szCs w:val="24"/>
                <w:lang w:bidi="ar-MA"/>
              </w:rPr>
              <w:t>D’autre part,</w:t>
            </w:r>
            <w:r w:rsidR="001177D9">
              <w:rPr>
                <w:rFonts w:ascii="Times New Roman" w:hAnsi="Times New Roman" w:cs="Times New Roman"/>
                <w:sz w:val="24"/>
                <w:szCs w:val="24"/>
                <w:lang w:bidi="ar-MA"/>
              </w:rPr>
              <w:t xml:space="preserve"> </w:t>
            </w:r>
            <w:r w:rsidR="0067104E" w:rsidRPr="006059DF">
              <w:rPr>
                <w:rFonts w:ascii="Times New Roman" w:hAnsi="Times New Roman" w:cs="Times New Roman"/>
                <w:sz w:val="24"/>
                <w:szCs w:val="24"/>
                <w:lang w:bidi="ar-MA"/>
              </w:rPr>
              <w:t>le Ministère a pu développer un ensemble de dispositifs </w:t>
            </w:r>
            <w:r w:rsidR="009946AE">
              <w:rPr>
                <w:rFonts w:ascii="Times New Roman" w:hAnsi="Times New Roman" w:cs="Times New Roman"/>
                <w:sz w:val="24"/>
                <w:szCs w:val="24"/>
                <w:lang w:bidi="ar-MA"/>
              </w:rPr>
              <w:t xml:space="preserve">transversaux nous </w:t>
            </w:r>
            <w:r w:rsidR="00DD5520">
              <w:rPr>
                <w:rFonts w:ascii="Times New Roman" w:hAnsi="Times New Roman" w:cs="Times New Roman"/>
                <w:sz w:val="24"/>
                <w:szCs w:val="24"/>
                <w:lang w:bidi="ar-MA"/>
              </w:rPr>
              <w:t>citons</w:t>
            </w:r>
            <w:r w:rsidR="00DD5520" w:rsidRPr="006059DF">
              <w:rPr>
                <w:rFonts w:ascii="Times New Roman" w:hAnsi="Times New Roman" w:cs="Times New Roman"/>
                <w:sz w:val="24"/>
                <w:szCs w:val="24"/>
                <w:lang w:bidi="ar-MA"/>
              </w:rPr>
              <w:t> :</w:t>
            </w:r>
            <w:r w:rsidR="0067104E" w:rsidRPr="006059DF">
              <w:rPr>
                <w:rFonts w:ascii="Times New Roman" w:hAnsi="Times New Roman" w:cs="Times New Roman"/>
                <w:sz w:val="24"/>
                <w:szCs w:val="24"/>
                <w:lang w:bidi="ar-MA"/>
              </w:rPr>
              <w:t xml:space="preserve">  </w:t>
            </w:r>
          </w:p>
          <w:p w:rsidR="00605F81" w:rsidRDefault="00605F81" w:rsidP="00DD5520">
            <w:pPr>
              <w:spacing w:line="360" w:lineRule="auto"/>
              <w:ind w:left="273"/>
              <w:jc w:val="both"/>
              <w:rPr>
                <w:rFonts w:ascii="Times New Roman" w:hAnsi="Times New Roman" w:cs="Times New Roman"/>
                <w:sz w:val="24"/>
                <w:szCs w:val="24"/>
                <w:lang w:bidi="ar-MA"/>
              </w:rPr>
            </w:pPr>
            <w:r>
              <w:rPr>
                <w:rFonts w:ascii="Times New Roman" w:hAnsi="Times New Roman" w:cs="Times New Roman"/>
                <w:sz w:val="24"/>
                <w:szCs w:val="24"/>
                <w:lang w:bidi="ar-MA"/>
              </w:rPr>
              <w:t>-</w:t>
            </w:r>
            <w:r w:rsidR="009946AE">
              <w:rPr>
                <w:rFonts w:ascii="Times New Roman" w:hAnsi="Times New Roman" w:cs="Times New Roman"/>
                <w:sz w:val="24"/>
                <w:szCs w:val="24"/>
                <w:lang w:bidi="ar-MA"/>
              </w:rPr>
              <w:t xml:space="preserve"> La création d</w:t>
            </w:r>
            <w:r w:rsidRPr="00605F81">
              <w:rPr>
                <w:rFonts w:ascii="Times New Roman" w:hAnsi="Times New Roman" w:cs="Times New Roman"/>
                <w:sz w:val="24"/>
                <w:szCs w:val="24"/>
                <w:lang w:bidi="ar-MA"/>
              </w:rPr>
              <w:t>es cellules d’écoute et d’orientation des femmes, inclut les femmes en situation de handicap, victimes de violence mis en place au niveau des services provinciaux de la Police judiciaire et des tribunaux de première instance,</w:t>
            </w:r>
          </w:p>
          <w:p w:rsidR="0021586B" w:rsidRPr="00605F81" w:rsidRDefault="0021586B" w:rsidP="00DD5520">
            <w:pPr>
              <w:spacing w:line="360" w:lineRule="auto"/>
              <w:ind w:left="273"/>
              <w:jc w:val="both"/>
              <w:rPr>
                <w:rFonts w:ascii="Times New Roman" w:hAnsi="Times New Roman" w:cs="Times New Roman"/>
                <w:sz w:val="24"/>
                <w:szCs w:val="24"/>
                <w:lang w:bidi="ar-MA"/>
              </w:rPr>
            </w:pPr>
            <w:r w:rsidRPr="00605F81">
              <w:rPr>
                <w:rFonts w:ascii="Times New Roman" w:hAnsi="Times New Roman" w:cs="Times New Roman"/>
                <w:lang w:bidi="ar-MA"/>
              </w:rPr>
              <w:t>-</w:t>
            </w:r>
            <w:r w:rsidR="0067104E" w:rsidRPr="00605F81">
              <w:rPr>
                <w:rFonts w:ascii="Times New Roman" w:hAnsi="Times New Roman" w:cs="Times New Roman"/>
                <w:sz w:val="24"/>
                <w:szCs w:val="24"/>
                <w:lang w:bidi="ar-MA"/>
              </w:rPr>
              <w:t>L</w:t>
            </w:r>
            <w:r w:rsidRPr="00605F81">
              <w:rPr>
                <w:rFonts w:ascii="Times New Roman" w:hAnsi="Times New Roman" w:cs="Times New Roman"/>
                <w:sz w:val="24"/>
                <w:szCs w:val="24"/>
                <w:lang w:bidi="ar-MA"/>
              </w:rPr>
              <w:t>’Observatoire de lutte contre la violence à l’égard des femmes, l’Observatoire de</w:t>
            </w:r>
            <w:r w:rsidR="001177D9">
              <w:rPr>
                <w:rFonts w:ascii="Times New Roman" w:hAnsi="Times New Roman" w:cs="Times New Roman"/>
                <w:sz w:val="24"/>
                <w:szCs w:val="24"/>
                <w:lang w:bidi="ar-MA"/>
              </w:rPr>
              <w:t xml:space="preserve"> </w:t>
            </w:r>
            <w:r w:rsidRPr="00605F81">
              <w:rPr>
                <w:rFonts w:ascii="Times New Roman" w:hAnsi="Times New Roman" w:cs="Times New Roman"/>
                <w:sz w:val="24"/>
                <w:szCs w:val="24"/>
                <w:lang w:bidi="ar-MA"/>
              </w:rPr>
              <w:t>l’image de la femme dans les médias, l’Observatoire de la femme dans la fonction</w:t>
            </w:r>
            <w:r w:rsidR="001177D9">
              <w:rPr>
                <w:rFonts w:ascii="Times New Roman" w:hAnsi="Times New Roman" w:cs="Times New Roman"/>
                <w:sz w:val="24"/>
                <w:szCs w:val="24"/>
                <w:lang w:bidi="ar-MA"/>
              </w:rPr>
              <w:t xml:space="preserve"> </w:t>
            </w:r>
            <w:r w:rsidRPr="00605F81">
              <w:rPr>
                <w:rFonts w:ascii="Times New Roman" w:hAnsi="Times New Roman" w:cs="Times New Roman"/>
                <w:sz w:val="24"/>
                <w:szCs w:val="24"/>
                <w:lang w:bidi="ar-MA"/>
              </w:rPr>
              <w:t>publique et le Centre d’excellence du budget sensible au genre,</w:t>
            </w:r>
          </w:p>
          <w:p w:rsidR="0021586B" w:rsidRPr="0067104E" w:rsidRDefault="00DD5520" w:rsidP="00DD5520">
            <w:pPr>
              <w:pStyle w:val="Default"/>
              <w:ind w:left="273"/>
              <w:jc w:val="both"/>
              <w:rPr>
                <w:rFonts w:ascii="Times New Roman" w:hAnsi="Times New Roman" w:cs="Times New Roman"/>
              </w:rPr>
            </w:pPr>
            <w:r>
              <w:rPr>
                <w:rFonts w:ascii="Times New Roman" w:hAnsi="Times New Roman" w:cs="Times New Roman"/>
              </w:rPr>
              <w:t xml:space="preserve">- « Prix </w:t>
            </w:r>
            <w:proofErr w:type="spellStart"/>
            <w:r>
              <w:rPr>
                <w:rFonts w:ascii="Times New Roman" w:hAnsi="Times New Roman" w:cs="Times New Roman"/>
              </w:rPr>
              <w:t>Tamayuz</w:t>
            </w:r>
            <w:proofErr w:type="spellEnd"/>
            <w:r w:rsidR="00777CFA">
              <w:rPr>
                <w:rFonts w:ascii="Times New Roman" w:hAnsi="Times New Roman" w:cs="Times New Roman"/>
              </w:rPr>
              <w:t xml:space="preserve"> (Excellence)</w:t>
            </w:r>
            <w:r>
              <w:rPr>
                <w:rFonts w:ascii="Times New Roman" w:hAnsi="Times New Roman" w:cs="Times New Roman"/>
              </w:rPr>
              <w:t> »</w:t>
            </w:r>
            <w:r w:rsidR="0021586B" w:rsidRPr="0067104E">
              <w:rPr>
                <w:rFonts w:ascii="Times New Roman" w:hAnsi="Times New Roman" w:cs="Times New Roman"/>
              </w:rPr>
              <w:t xml:space="preserve"> </w:t>
            </w:r>
            <w:r w:rsidR="00157A95">
              <w:rPr>
                <w:rFonts w:ascii="Times New Roman" w:hAnsi="Times New Roman" w:cs="Times New Roman"/>
              </w:rPr>
              <w:t>qui récompense annuellement les femmes distinguées dans différents domaines</w:t>
            </w:r>
            <w:r>
              <w:rPr>
                <w:rFonts w:ascii="Times New Roman" w:hAnsi="Times New Roman" w:cs="Times New Roman"/>
              </w:rPr>
              <w:t>. La première édition de ce prix a été octroyée à une association des f</w:t>
            </w:r>
            <w:r w:rsidR="00326DC4">
              <w:rPr>
                <w:rFonts w:ascii="Times New Roman" w:hAnsi="Times New Roman" w:cs="Times New Roman"/>
              </w:rPr>
              <w:t xml:space="preserve">emmes en situation de handicap </w:t>
            </w:r>
            <w:r>
              <w:rPr>
                <w:rFonts w:ascii="Times New Roman" w:hAnsi="Times New Roman" w:cs="Times New Roman"/>
              </w:rPr>
              <w:t>dans le monde rural.</w:t>
            </w:r>
          </w:p>
          <w:p w:rsidR="0021586B" w:rsidRDefault="0021586B" w:rsidP="00FB7F9B">
            <w:pPr>
              <w:pStyle w:val="ListParagraph"/>
              <w:ind w:left="273"/>
              <w:rPr>
                <w:sz w:val="24"/>
                <w:szCs w:val="24"/>
              </w:rPr>
            </w:pPr>
          </w:p>
        </w:tc>
      </w:tr>
      <w:tr w:rsidR="0021586B" w:rsidTr="00565031">
        <w:trPr>
          <w:trHeight w:val="1133"/>
        </w:trPr>
        <w:tc>
          <w:tcPr>
            <w:tcW w:w="5290" w:type="dxa"/>
            <w:shd w:val="clear" w:color="auto" w:fill="F2F2F2" w:themeFill="background1" w:themeFillShade="F2"/>
          </w:tcPr>
          <w:p w:rsidR="003D799D" w:rsidRDefault="003D799D" w:rsidP="003D799D">
            <w:pPr>
              <w:pStyle w:val="ListParagraph"/>
              <w:ind w:left="414"/>
              <w:rPr>
                <w:rFonts w:ascii="Times New Roman" w:hAnsi="Times New Roman" w:cs="Times New Roman"/>
                <w:sz w:val="24"/>
                <w:szCs w:val="24"/>
              </w:rPr>
            </w:pPr>
          </w:p>
          <w:p w:rsidR="0021586B" w:rsidRPr="003D799D" w:rsidRDefault="0021586B" w:rsidP="00DD5520">
            <w:pPr>
              <w:pStyle w:val="ListParagraph"/>
              <w:numPr>
                <w:ilvl w:val="0"/>
                <w:numId w:val="14"/>
              </w:numPr>
              <w:ind w:left="414" w:hanging="283"/>
              <w:jc w:val="both"/>
              <w:rPr>
                <w:rFonts w:ascii="Times New Roman" w:hAnsi="Times New Roman" w:cs="Times New Roman"/>
                <w:sz w:val="24"/>
                <w:szCs w:val="24"/>
                <w:lang w:bidi="ar-MA"/>
              </w:rPr>
            </w:pPr>
            <w:r w:rsidRPr="003D799D">
              <w:rPr>
                <w:rFonts w:ascii="Times New Roman" w:hAnsi="Times New Roman" w:cs="Times New Roman"/>
                <w:sz w:val="24"/>
                <w:szCs w:val="24"/>
                <w:lang w:bidi="ar-MA"/>
              </w:rPr>
              <w:t>Comment la participation des Personnes handicapées et leurs organisations représentatives est assurée dans le développement et la mise en œuvre de ces stratégies et plans ?</w:t>
            </w:r>
          </w:p>
          <w:p w:rsidR="0021586B" w:rsidRPr="00AA048A" w:rsidRDefault="0021586B" w:rsidP="00A85399">
            <w:pPr>
              <w:pStyle w:val="ListParagraph"/>
              <w:ind w:left="0"/>
              <w:rPr>
                <w:sz w:val="24"/>
                <w:szCs w:val="24"/>
              </w:rPr>
            </w:pPr>
          </w:p>
        </w:tc>
        <w:tc>
          <w:tcPr>
            <w:tcW w:w="9169" w:type="dxa"/>
          </w:tcPr>
          <w:p w:rsidR="00776BB5" w:rsidRDefault="00776BB5" w:rsidP="00BC64A2">
            <w:pPr>
              <w:spacing w:line="360" w:lineRule="auto"/>
              <w:jc w:val="both"/>
              <w:rPr>
                <w:rFonts w:ascii="Times New Roman" w:hAnsi="Times New Roman" w:cs="Times New Roman"/>
                <w:sz w:val="24"/>
                <w:szCs w:val="24"/>
                <w:lang w:bidi="ar-MA"/>
              </w:rPr>
            </w:pPr>
          </w:p>
          <w:p w:rsidR="0007408A" w:rsidRDefault="00F53F98" w:rsidP="00157A95">
            <w:pPr>
              <w:spacing w:line="360" w:lineRule="auto"/>
              <w:ind w:left="273"/>
              <w:jc w:val="both"/>
              <w:rPr>
                <w:rFonts w:ascii="Times New Roman" w:hAnsi="Times New Roman" w:cs="Times New Roman"/>
                <w:sz w:val="24"/>
                <w:szCs w:val="24"/>
                <w:lang w:bidi="ar-MA"/>
              </w:rPr>
            </w:pPr>
            <w:r>
              <w:rPr>
                <w:rFonts w:ascii="Times New Roman" w:hAnsi="Times New Roman" w:cs="Times New Roman"/>
                <w:sz w:val="24"/>
                <w:szCs w:val="24"/>
                <w:lang w:bidi="ar-MA"/>
              </w:rPr>
              <w:t>Dès le début du processus</w:t>
            </w:r>
            <w:r w:rsidR="008E4699">
              <w:rPr>
                <w:rFonts w:ascii="Times New Roman" w:hAnsi="Times New Roman" w:cs="Times New Roman"/>
                <w:sz w:val="24"/>
                <w:szCs w:val="24"/>
                <w:lang w:bidi="ar-MA"/>
              </w:rPr>
              <w:t xml:space="preserve"> d’élaboration de la</w:t>
            </w:r>
            <w:r w:rsidR="0021586B" w:rsidRPr="00BC64A2">
              <w:rPr>
                <w:rFonts w:ascii="Times New Roman" w:hAnsi="Times New Roman" w:cs="Times New Roman"/>
                <w:sz w:val="24"/>
                <w:szCs w:val="24"/>
                <w:lang w:bidi="ar-MA"/>
              </w:rPr>
              <w:t xml:space="preserve"> politique publique intégrée pour la promotion des Droits des </w:t>
            </w:r>
            <w:r>
              <w:rPr>
                <w:rFonts w:ascii="Times New Roman" w:hAnsi="Times New Roman" w:cs="Times New Roman"/>
                <w:sz w:val="24"/>
                <w:szCs w:val="24"/>
                <w:lang w:bidi="ar-MA"/>
              </w:rPr>
              <w:t>PSH</w:t>
            </w:r>
            <w:r w:rsidR="008E4699">
              <w:rPr>
                <w:rFonts w:ascii="Times New Roman" w:hAnsi="Times New Roman" w:cs="Times New Roman"/>
                <w:sz w:val="24"/>
                <w:szCs w:val="24"/>
                <w:lang w:bidi="ar-MA"/>
              </w:rPr>
              <w:t xml:space="preserve"> en 2013,</w:t>
            </w:r>
            <w:r w:rsidR="0021586B" w:rsidRPr="00BC64A2">
              <w:rPr>
                <w:rFonts w:ascii="Times New Roman" w:hAnsi="Times New Roman" w:cs="Times New Roman"/>
                <w:sz w:val="24"/>
                <w:szCs w:val="24"/>
                <w:lang w:bidi="ar-MA"/>
              </w:rPr>
              <w:t xml:space="preserve"> le Ministère de la Solidarité, de la Femme, de la Famille et du Développement Social, </w:t>
            </w:r>
            <w:r w:rsidR="008E4699">
              <w:rPr>
                <w:rFonts w:ascii="Times New Roman" w:hAnsi="Times New Roman" w:cs="Times New Roman"/>
                <w:sz w:val="24"/>
                <w:szCs w:val="24"/>
                <w:lang w:bidi="ar-MA"/>
              </w:rPr>
              <w:t>a</w:t>
            </w:r>
            <w:r w:rsidR="00157A95">
              <w:rPr>
                <w:rFonts w:ascii="Times New Roman" w:hAnsi="Times New Roman" w:cs="Times New Roman"/>
                <w:sz w:val="24"/>
                <w:szCs w:val="24"/>
                <w:lang w:bidi="ar-MA"/>
              </w:rPr>
              <w:t xml:space="preserve"> ad</w:t>
            </w:r>
            <w:r w:rsidR="0007408A">
              <w:rPr>
                <w:rFonts w:ascii="Times New Roman" w:hAnsi="Times New Roman" w:cs="Times New Roman"/>
                <w:sz w:val="24"/>
                <w:szCs w:val="24"/>
                <w:lang w:bidi="ar-MA"/>
              </w:rPr>
              <w:t>opté</w:t>
            </w:r>
            <w:r w:rsidR="001177D9">
              <w:rPr>
                <w:rFonts w:ascii="Times New Roman" w:hAnsi="Times New Roman" w:cs="Times New Roman"/>
                <w:sz w:val="24"/>
                <w:szCs w:val="24"/>
                <w:lang w:bidi="ar-MA"/>
              </w:rPr>
              <w:t xml:space="preserve"> </w:t>
            </w:r>
            <w:r w:rsidR="00157A95">
              <w:rPr>
                <w:rFonts w:ascii="Times New Roman" w:hAnsi="Times New Roman" w:cs="Times New Roman"/>
                <w:sz w:val="24"/>
                <w:szCs w:val="24"/>
                <w:lang w:bidi="ar-MA"/>
              </w:rPr>
              <w:t xml:space="preserve">une approche de </w:t>
            </w:r>
            <w:r w:rsidR="008E4699">
              <w:rPr>
                <w:rFonts w:ascii="Times New Roman" w:hAnsi="Times New Roman" w:cs="Times New Roman"/>
                <w:sz w:val="24"/>
                <w:szCs w:val="24"/>
                <w:lang w:bidi="ar-MA"/>
              </w:rPr>
              <w:t xml:space="preserve"> </w:t>
            </w:r>
            <w:r w:rsidR="0021586B" w:rsidRPr="00BC64A2">
              <w:rPr>
                <w:rFonts w:ascii="Times New Roman" w:hAnsi="Times New Roman" w:cs="Times New Roman"/>
                <w:sz w:val="24"/>
                <w:szCs w:val="24"/>
                <w:lang w:bidi="ar-MA"/>
              </w:rPr>
              <w:t xml:space="preserve">concertation avec tous les acteurs œuvrant dans le domaine du handicap, auquel processus ont contribué plusieurs </w:t>
            </w:r>
            <w:r w:rsidR="0021586B" w:rsidRPr="00BC64A2">
              <w:rPr>
                <w:rFonts w:ascii="Times New Roman" w:hAnsi="Times New Roman" w:cs="Times New Roman"/>
                <w:sz w:val="24"/>
                <w:szCs w:val="24"/>
                <w:lang w:bidi="ar-MA"/>
              </w:rPr>
              <w:lastRenderedPageBreak/>
              <w:t>départements gouvernementaux et institutions publiques ainsi que la participat</w:t>
            </w:r>
            <w:r w:rsidR="0007408A">
              <w:rPr>
                <w:rFonts w:ascii="Times New Roman" w:hAnsi="Times New Roman" w:cs="Times New Roman"/>
                <w:sz w:val="24"/>
                <w:szCs w:val="24"/>
                <w:lang w:bidi="ar-MA"/>
              </w:rPr>
              <w:t xml:space="preserve">ion des associations </w:t>
            </w:r>
            <w:r w:rsidR="009946AE">
              <w:rPr>
                <w:rFonts w:ascii="Times New Roman" w:hAnsi="Times New Roman" w:cs="Times New Roman"/>
                <w:sz w:val="24"/>
                <w:szCs w:val="24"/>
                <w:lang w:bidi="ar-MA"/>
              </w:rPr>
              <w:t>et réseaux des associations des PSH</w:t>
            </w:r>
            <w:r w:rsidR="0007408A">
              <w:rPr>
                <w:rFonts w:ascii="Times New Roman" w:hAnsi="Times New Roman" w:cs="Times New Roman"/>
                <w:sz w:val="24"/>
                <w:szCs w:val="24"/>
                <w:lang w:bidi="ar-MA"/>
              </w:rPr>
              <w:t xml:space="preserve">. </w:t>
            </w:r>
          </w:p>
          <w:p w:rsidR="00136E2A" w:rsidRDefault="00381E94" w:rsidP="006B115B">
            <w:pPr>
              <w:spacing w:line="360" w:lineRule="auto"/>
              <w:ind w:left="273"/>
              <w:jc w:val="both"/>
              <w:rPr>
                <w:rFonts w:ascii="Times New Roman" w:hAnsi="Times New Roman" w:cs="Times New Roman"/>
                <w:b/>
                <w:bCs/>
                <w:sz w:val="32"/>
                <w:szCs w:val="32"/>
                <w:lang w:bidi="ar-MA"/>
              </w:rPr>
            </w:pPr>
            <w:r>
              <w:rPr>
                <w:rFonts w:ascii="Times New Roman" w:hAnsi="Times New Roman" w:cs="Times New Roman"/>
                <w:sz w:val="24"/>
                <w:szCs w:val="24"/>
                <w:lang w:bidi="ar-MA"/>
              </w:rPr>
              <w:t>Durant les mois de Mai et de Juin 2013, Cinq</w:t>
            </w:r>
            <w:r w:rsidR="00136E2A" w:rsidRPr="00BC64A2">
              <w:rPr>
                <w:rFonts w:ascii="Times New Roman" w:hAnsi="Times New Roman" w:cs="Times New Roman"/>
                <w:sz w:val="24"/>
                <w:szCs w:val="24"/>
                <w:lang w:bidi="ar-MA"/>
              </w:rPr>
              <w:t xml:space="preserve"> ateliers</w:t>
            </w:r>
            <w:r>
              <w:rPr>
                <w:rFonts w:ascii="Times New Roman" w:hAnsi="Times New Roman" w:cs="Times New Roman"/>
                <w:sz w:val="24"/>
                <w:szCs w:val="24"/>
                <w:lang w:bidi="ar-MA"/>
              </w:rPr>
              <w:t xml:space="preserve"> thématique</w:t>
            </w:r>
            <w:r w:rsidR="00A75757">
              <w:rPr>
                <w:rFonts w:ascii="Times New Roman" w:hAnsi="Times New Roman" w:cs="Times New Roman"/>
                <w:sz w:val="24"/>
                <w:szCs w:val="24"/>
                <w:lang w:bidi="ar-MA"/>
              </w:rPr>
              <w:t>s</w:t>
            </w:r>
            <w:r w:rsidR="001177D9">
              <w:rPr>
                <w:rFonts w:ascii="Times New Roman" w:hAnsi="Times New Roman" w:cs="Times New Roman"/>
                <w:sz w:val="24"/>
                <w:szCs w:val="24"/>
                <w:lang w:bidi="ar-MA"/>
              </w:rPr>
              <w:t xml:space="preserve"> </w:t>
            </w:r>
            <w:r w:rsidR="0007408A">
              <w:rPr>
                <w:rFonts w:ascii="Times New Roman" w:hAnsi="Times New Roman" w:cs="Times New Roman"/>
                <w:sz w:val="24"/>
                <w:szCs w:val="24"/>
                <w:lang w:bidi="ar-MA"/>
              </w:rPr>
              <w:t xml:space="preserve">de concertation </w:t>
            </w:r>
            <w:r w:rsidR="006B115B">
              <w:rPr>
                <w:rFonts w:ascii="Times New Roman" w:hAnsi="Times New Roman" w:cs="Times New Roman"/>
                <w:sz w:val="24"/>
                <w:szCs w:val="24"/>
                <w:lang w:bidi="ar-MA"/>
              </w:rPr>
              <w:t xml:space="preserve">ont </w:t>
            </w:r>
            <w:r>
              <w:rPr>
                <w:rFonts w:ascii="Times New Roman" w:hAnsi="Times New Roman" w:cs="Times New Roman"/>
                <w:sz w:val="24"/>
                <w:szCs w:val="24"/>
                <w:lang w:bidi="ar-MA"/>
              </w:rPr>
              <w:t xml:space="preserve">eu lieu dans différentes région de </w:t>
            </w:r>
            <w:r w:rsidR="00DD5520">
              <w:rPr>
                <w:rFonts w:ascii="Times New Roman" w:hAnsi="Times New Roman" w:cs="Times New Roman"/>
                <w:sz w:val="24"/>
                <w:szCs w:val="24"/>
                <w:lang w:bidi="ar-MA"/>
              </w:rPr>
              <w:t>Maroc pour</w:t>
            </w:r>
            <w:r w:rsidR="00136E2A" w:rsidRPr="00BC64A2">
              <w:rPr>
                <w:rFonts w:ascii="Times New Roman" w:hAnsi="Times New Roman" w:cs="Times New Roman"/>
                <w:sz w:val="24"/>
                <w:szCs w:val="24"/>
                <w:lang w:bidi="ar-MA"/>
              </w:rPr>
              <w:t xml:space="preserve"> faire adhérer et impliquer différents institutions nationales et acteurs de la société civile. Lors de ces débats, les participants et participantes ont communiqué et soumis différentes propositions et recommandations vis-à-vis des choix </w:t>
            </w:r>
            <w:r w:rsidR="00136E2A">
              <w:rPr>
                <w:rFonts w:ascii="Times New Roman" w:hAnsi="Times New Roman" w:cs="Times New Roman"/>
                <w:sz w:val="24"/>
                <w:szCs w:val="24"/>
                <w:lang w:bidi="ar-MA"/>
              </w:rPr>
              <w:t xml:space="preserve">stratégiques préconisés dans cette </w:t>
            </w:r>
            <w:r w:rsidR="00136E2A" w:rsidRPr="00BC64A2">
              <w:rPr>
                <w:rFonts w:ascii="Times New Roman" w:hAnsi="Times New Roman" w:cs="Times New Roman"/>
                <w:sz w:val="24"/>
                <w:szCs w:val="24"/>
                <w:lang w:bidi="ar-MA"/>
              </w:rPr>
              <w:t>politique publique intégrée</w:t>
            </w:r>
            <w:r w:rsidR="00136E2A">
              <w:rPr>
                <w:rFonts w:ascii="Times New Roman" w:hAnsi="Times New Roman" w:cs="Times New Roman"/>
                <w:sz w:val="24"/>
                <w:szCs w:val="24"/>
                <w:lang w:bidi="ar-MA"/>
              </w:rPr>
              <w:t>.</w:t>
            </w:r>
          </w:p>
          <w:p w:rsidR="0021586B" w:rsidRDefault="0021586B" w:rsidP="0039701F">
            <w:pPr>
              <w:spacing w:line="360" w:lineRule="auto"/>
              <w:ind w:left="273"/>
              <w:jc w:val="both"/>
              <w:rPr>
                <w:rFonts w:ascii="Times New Roman" w:hAnsi="Times New Roman" w:cs="Times New Roman"/>
                <w:sz w:val="24"/>
                <w:szCs w:val="24"/>
                <w:lang w:bidi="ar-MA"/>
              </w:rPr>
            </w:pPr>
            <w:r w:rsidRPr="00BC64A2">
              <w:rPr>
                <w:rFonts w:ascii="Times New Roman" w:hAnsi="Times New Roman" w:cs="Times New Roman"/>
                <w:sz w:val="24"/>
                <w:szCs w:val="24"/>
                <w:lang w:bidi="ar-MA"/>
              </w:rPr>
              <w:t>Le Ministère a aussi fait appel à l’expertise de l’UNESCO et à l’Org</w:t>
            </w:r>
            <w:r w:rsidR="006B115B">
              <w:rPr>
                <w:rFonts w:ascii="Times New Roman" w:hAnsi="Times New Roman" w:cs="Times New Roman"/>
                <w:sz w:val="24"/>
                <w:szCs w:val="24"/>
                <w:lang w:bidi="ar-MA"/>
              </w:rPr>
              <w:t>anisation Handicap International</w:t>
            </w:r>
            <w:r w:rsidRPr="00BC64A2">
              <w:rPr>
                <w:rFonts w:ascii="Times New Roman" w:hAnsi="Times New Roman" w:cs="Times New Roman"/>
                <w:sz w:val="24"/>
                <w:szCs w:val="24"/>
                <w:lang w:bidi="ar-MA"/>
              </w:rPr>
              <w:t>, pour accomp</w:t>
            </w:r>
            <w:r w:rsidR="00D67CC3">
              <w:rPr>
                <w:rFonts w:ascii="Times New Roman" w:hAnsi="Times New Roman" w:cs="Times New Roman"/>
                <w:sz w:val="24"/>
                <w:szCs w:val="24"/>
                <w:lang w:bidi="ar-MA"/>
              </w:rPr>
              <w:t>agner ce grand chantier.</w:t>
            </w:r>
          </w:p>
          <w:p w:rsidR="001177D9" w:rsidRDefault="001177D9" w:rsidP="00157A95">
            <w:pPr>
              <w:spacing w:line="360" w:lineRule="auto"/>
              <w:ind w:left="273"/>
              <w:jc w:val="both"/>
              <w:rPr>
                <w:rFonts w:ascii="Times New Roman" w:hAnsi="Times New Roman" w:cs="Times New Roman"/>
                <w:sz w:val="24"/>
                <w:szCs w:val="24"/>
                <w:lang w:bidi="ar-MA"/>
              </w:rPr>
            </w:pPr>
            <w:r w:rsidRPr="00157A95">
              <w:rPr>
                <w:rFonts w:ascii="Times New Roman" w:hAnsi="Times New Roman" w:cs="Times New Roman"/>
                <w:sz w:val="24"/>
                <w:szCs w:val="24"/>
                <w:lang w:bidi="ar-MA"/>
              </w:rPr>
              <w:t xml:space="preserve">Deux </w:t>
            </w:r>
            <w:r w:rsidR="00157A95" w:rsidRPr="00157A95">
              <w:rPr>
                <w:rFonts w:ascii="Times New Roman" w:hAnsi="Times New Roman" w:cs="Times New Roman"/>
                <w:sz w:val="24"/>
                <w:szCs w:val="24"/>
                <w:lang w:bidi="ar-MA"/>
              </w:rPr>
              <w:t xml:space="preserve">autres </w:t>
            </w:r>
            <w:r w:rsidRPr="00157A95">
              <w:rPr>
                <w:rFonts w:ascii="Times New Roman" w:hAnsi="Times New Roman" w:cs="Times New Roman"/>
                <w:sz w:val="24"/>
                <w:szCs w:val="24"/>
                <w:lang w:bidi="ar-MA"/>
              </w:rPr>
              <w:t>ateliers ont été organisés le 27</w:t>
            </w:r>
            <w:r w:rsidR="00157A95" w:rsidRPr="00157A95">
              <w:rPr>
                <w:rFonts w:ascii="Times New Roman" w:hAnsi="Times New Roman" w:cs="Times New Roman"/>
                <w:sz w:val="24"/>
                <w:szCs w:val="24"/>
                <w:lang w:bidi="ar-MA"/>
              </w:rPr>
              <w:t xml:space="preserve"> janvier 2016 pour les départements gouvernementaux et le </w:t>
            </w:r>
            <w:r w:rsidRPr="00157A95">
              <w:rPr>
                <w:rFonts w:ascii="Times New Roman" w:hAnsi="Times New Roman" w:cs="Times New Roman"/>
                <w:sz w:val="24"/>
                <w:szCs w:val="24"/>
                <w:lang w:bidi="ar-MA"/>
              </w:rPr>
              <w:t>28 janvier 2016 pour</w:t>
            </w:r>
            <w:r w:rsidR="00157A95" w:rsidRPr="00157A95">
              <w:rPr>
                <w:rFonts w:ascii="Times New Roman" w:hAnsi="Times New Roman" w:cs="Times New Roman"/>
                <w:sz w:val="24"/>
                <w:szCs w:val="24"/>
                <w:lang w:bidi="ar-MA"/>
              </w:rPr>
              <w:t xml:space="preserve"> les réseaux associatifs, et ce afin de partager</w:t>
            </w:r>
            <w:r w:rsidRPr="00157A95">
              <w:rPr>
                <w:rFonts w:ascii="Times New Roman" w:hAnsi="Times New Roman" w:cs="Times New Roman"/>
                <w:sz w:val="24"/>
                <w:szCs w:val="24"/>
                <w:lang w:bidi="ar-MA"/>
              </w:rPr>
              <w:t xml:space="preserve"> les orientations stratégiques de la politique </w:t>
            </w:r>
            <w:r w:rsidR="00157A95" w:rsidRPr="00157A95">
              <w:rPr>
                <w:rFonts w:ascii="Times New Roman" w:hAnsi="Times New Roman" w:cs="Times New Roman"/>
                <w:sz w:val="24"/>
                <w:szCs w:val="24"/>
                <w:lang w:bidi="ar-MA"/>
              </w:rPr>
              <w:t>publique et</w:t>
            </w:r>
            <w:r w:rsidRPr="00157A95">
              <w:rPr>
                <w:rFonts w:ascii="Times New Roman" w:hAnsi="Times New Roman" w:cs="Times New Roman"/>
                <w:sz w:val="24"/>
                <w:szCs w:val="24"/>
                <w:lang w:bidi="ar-MA"/>
              </w:rPr>
              <w:t xml:space="preserve"> la </w:t>
            </w:r>
            <w:r w:rsidR="00157A95" w:rsidRPr="00157A95">
              <w:rPr>
                <w:rFonts w:ascii="Times New Roman" w:hAnsi="Times New Roman" w:cs="Times New Roman"/>
                <w:sz w:val="24"/>
                <w:szCs w:val="24"/>
                <w:lang w:bidi="ar-MA"/>
              </w:rPr>
              <w:t>préparation du</w:t>
            </w:r>
            <w:r w:rsidRPr="00157A95">
              <w:rPr>
                <w:rFonts w:ascii="Times New Roman" w:hAnsi="Times New Roman" w:cs="Times New Roman"/>
                <w:sz w:val="24"/>
                <w:szCs w:val="24"/>
                <w:lang w:bidi="ar-MA"/>
              </w:rPr>
              <w:t xml:space="preserve"> </w:t>
            </w:r>
            <w:r w:rsidR="00157A95" w:rsidRPr="00157A95">
              <w:rPr>
                <w:rFonts w:ascii="Times New Roman" w:hAnsi="Times New Roman" w:cs="Times New Roman"/>
                <w:sz w:val="24"/>
                <w:szCs w:val="24"/>
                <w:lang w:bidi="ar-MA"/>
              </w:rPr>
              <w:t>plan d’action</w:t>
            </w:r>
            <w:r w:rsidRPr="00157A95">
              <w:rPr>
                <w:rFonts w:ascii="Times New Roman" w:hAnsi="Times New Roman" w:cs="Times New Roman"/>
                <w:sz w:val="24"/>
                <w:szCs w:val="24"/>
                <w:lang w:bidi="ar-MA"/>
              </w:rPr>
              <w:t xml:space="preserve"> national.</w:t>
            </w:r>
          </w:p>
          <w:p w:rsidR="001177D9" w:rsidRPr="0007408A" w:rsidRDefault="001177D9" w:rsidP="0039701F">
            <w:pPr>
              <w:spacing w:line="360" w:lineRule="auto"/>
              <w:ind w:left="273"/>
              <w:jc w:val="both"/>
              <w:rPr>
                <w:rFonts w:ascii="Times New Roman" w:hAnsi="Times New Roman" w:cs="Times New Roman"/>
                <w:sz w:val="24"/>
                <w:szCs w:val="24"/>
                <w:lang w:bidi="ar-MA"/>
              </w:rPr>
            </w:pPr>
          </w:p>
        </w:tc>
      </w:tr>
      <w:tr w:rsidR="00DB3B4D" w:rsidTr="00E17006">
        <w:trPr>
          <w:trHeight w:val="498"/>
        </w:trPr>
        <w:tc>
          <w:tcPr>
            <w:tcW w:w="14459" w:type="dxa"/>
            <w:gridSpan w:val="2"/>
            <w:shd w:val="clear" w:color="auto" w:fill="D9D9D9" w:themeFill="background1" w:themeFillShade="D9"/>
            <w:vAlign w:val="center"/>
          </w:tcPr>
          <w:p w:rsidR="00DB3B4D" w:rsidRPr="00D360C4" w:rsidRDefault="00D360C4" w:rsidP="00E17006">
            <w:pPr>
              <w:spacing w:line="360" w:lineRule="auto"/>
              <w:jc w:val="center"/>
              <w:rPr>
                <w:rFonts w:ascii="Times New Roman" w:hAnsi="Times New Roman" w:cs="Times New Roman"/>
                <w:b/>
                <w:bCs/>
                <w:sz w:val="24"/>
                <w:szCs w:val="24"/>
                <w:lang w:bidi="ar-MA"/>
              </w:rPr>
            </w:pPr>
            <w:r w:rsidRPr="00D360C4">
              <w:rPr>
                <w:rFonts w:ascii="Times New Roman" w:hAnsi="Times New Roman" w:cs="Times New Roman"/>
                <w:b/>
                <w:bCs/>
                <w:sz w:val="24"/>
                <w:szCs w:val="24"/>
              </w:rPr>
              <w:lastRenderedPageBreak/>
              <w:t>Veuillez fournir des informations sur toute législation et politique adoptées par votre pays conc</w:t>
            </w:r>
            <w:r w:rsidR="00F460DD">
              <w:rPr>
                <w:rFonts w:ascii="Times New Roman" w:hAnsi="Times New Roman" w:cs="Times New Roman"/>
                <w:b/>
                <w:bCs/>
                <w:sz w:val="24"/>
                <w:szCs w:val="24"/>
              </w:rPr>
              <w:t xml:space="preserve">ernant la non-discrimination, y </w:t>
            </w:r>
            <w:r w:rsidRPr="00D360C4">
              <w:rPr>
                <w:rFonts w:ascii="Times New Roman" w:hAnsi="Times New Roman" w:cs="Times New Roman"/>
                <w:b/>
                <w:bCs/>
                <w:sz w:val="24"/>
                <w:szCs w:val="24"/>
              </w:rPr>
              <w:t>compris</w:t>
            </w:r>
            <w:r w:rsidR="00F460DD">
              <w:rPr>
                <w:rFonts w:ascii="Times New Roman" w:hAnsi="Times New Roman" w:cs="Times New Roman"/>
                <w:b/>
                <w:bCs/>
                <w:sz w:val="24"/>
                <w:szCs w:val="24"/>
              </w:rPr>
              <w:t> :</w:t>
            </w:r>
          </w:p>
        </w:tc>
      </w:tr>
      <w:tr w:rsidR="0021586B" w:rsidTr="008E1C7F">
        <w:trPr>
          <w:trHeight w:val="848"/>
        </w:trPr>
        <w:tc>
          <w:tcPr>
            <w:tcW w:w="5290" w:type="dxa"/>
            <w:shd w:val="clear" w:color="auto" w:fill="F2F2F2" w:themeFill="background1" w:themeFillShade="F2"/>
          </w:tcPr>
          <w:p w:rsidR="000E6551" w:rsidRPr="000E6551" w:rsidRDefault="000E6551" w:rsidP="000E6551">
            <w:pPr>
              <w:pStyle w:val="ListParagraph"/>
              <w:ind w:left="414"/>
            </w:pPr>
          </w:p>
          <w:p w:rsidR="0021586B" w:rsidRDefault="0021586B" w:rsidP="00334B1E">
            <w:pPr>
              <w:pStyle w:val="ListParagraph"/>
              <w:numPr>
                <w:ilvl w:val="0"/>
                <w:numId w:val="14"/>
              </w:numPr>
              <w:ind w:left="414" w:hanging="283"/>
            </w:pPr>
            <w:r w:rsidRPr="00334B1E">
              <w:rPr>
                <w:rFonts w:ascii="Times New Roman" w:hAnsi="Times New Roman" w:cs="Times New Roman"/>
                <w:sz w:val="24"/>
                <w:szCs w:val="24"/>
              </w:rPr>
              <w:t>S’il y a une mention spécifique de la « discrimination fondée sur le handicap » comme motif de discrimination</w:t>
            </w:r>
          </w:p>
        </w:tc>
        <w:tc>
          <w:tcPr>
            <w:tcW w:w="9169" w:type="dxa"/>
          </w:tcPr>
          <w:p w:rsidR="00DD5520" w:rsidRDefault="00DD5520" w:rsidP="00DD5520">
            <w:pPr>
              <w:spacing w:line="360" w:lineRule="auto"/>
              <w:ind w:left="273"/>
              <w:jc w:val="both"/>
              <w:rPr>
                <w:rFonts w:ascii="Times New Roman" w:hAnsi="Times New Roman" w:cs="Times New Roman"/>
                <w:sz w:val="24"/>
                <w:szCs w:val="24"/>
                <w:lang w:bidi="ar-MA"/>
              </w:rPr>
            </w:pPr>
            <w:r>
              <w:rPr>
                <w:rFonts w:ascii="Times New Roman" w:hAnsi="Times New Roman" w:cs="Times New Roman"/>
                <w:sz w:val="24"/>
                <w:szCs w:val="24"/>
                <w:lang w:bidi="ar-MA"/>
              </w:rPr>
              <w:t>-</w:t>
            </w:r>
            <w:r w:rsidR="00894099">
              <w:rPr>
                <w:rFonts w:ascii="Times New Roman" w:hAnsi="Times New Roman" w:cs="Times New Roman"/>
                <w:sz w:val="24"/>
                <w:szCs w:val="24"/>
                <w:lang w:bidi="ar-MA"/>
              </w:rPr>
              <w:t xml:space="preserve">La constitution de 2011 stipule clairement dans son </w:t>
            </w:r>
            <w:r w:rsidR="00500BA0">
              <w:rPr>
                <w:rFonts w:ascii="Times New Roman" w:hAnsi="Times New Roman" w:cs="Times New Roman"/>
                <w:sz w:val="24"/>
                <w:szCs w:val="24"/>
                <w:lang w:bidi="ar-MA"/>
              </w:rPr>
              <w:t xml:space="preserve">préambule </w:t>
            </w:r>
            <w:r w:rsidR="00500BA0" w:rsidRPr="00157A95">
              <w:rPr>
                <w:rFonts w:ascii="Times New Roman" w:hAnsi="Times New Roman" w:cs="Times New Roman"/>
                <w:sz w:val="24"/>
                <w:szCs w:val="24"/>
                <w:lang w:bidi="ar-MA"/>
              </w:rPr>
              <w:t>l’engagement</w:t>
            </w:r>
            <w:r w:rsidR="00500BA0">
              <w:rPr>
                <w:rFonts w:ascii="Times New Roman" w:hAnsi="Times New Roman" w:cs="Times New Roman"/>
                <w:sz w:val="24"/>
                <w:szCs w:val="24"/>
                <w:lang w:bidi="ar-MA"/>
              </w:rPr>
              <w:t xml:space="preserve"> de l’Etat à</w:t>
            </w:r>
            <w:r w:rsidR="00B35D46" w:rsidRPr="00157A95">
              <w:rPr>
                <w:rFonts w:ascii="Times New Roman" w:hAnsi="Times New Roman" w:cs="Times New Roman"/>
                <w:sz w:val="24"/>
                <w:szCs w:val="24"/>
                <w:lang w:bidi="ar-MA"/>
              </w:rPr>
              <w:t xml:space="preserve"> bannir </w:t>
            </w:r>
            <w:r w:rsidR="00500BA0" w:rsidRPr="00500BA0">
              <w:rPr>
                <w:rFonts w:ascii="Times New Roman" w:hAnsi="Times New Roman" w:cs="Times New Roman"/>
                <w:sz w:val="24"/>
                <w:szCs w:val="24"/>
                <w:lang w:bidi="ar-MA"/>
              </w:rPr>
              <w:t xml:space="preserve">et combattre toute discrimination à l’encontre de quiconque, en raison du sexe, de la couleur, des croyances, de la culture, de l’origine sociale ou régionale, de la langue, de </w:t>
            </w:r>
            <w:r w:rsidRPr="00500BA0">
              <w:rPr>
                <w:rFonts w:ascii="Times New Roman" w:hAnsi="Times New Roman" w:cs="Times New Roman"/>
                <w:sz w:val="24"/>
                <w:szCs w:val="24"/>
                <w:lang w:bidi="ar-MA"/>
              </w:rPr>
              <w:t>le handicap</w:t>
            </w:r>
            <w:r w:rsidR="00500BA0" w:rsidRPr="00500BA0">
              <w:rPr>
                <w:rFonts w:ascii="Times New Roman" w:hAnsi="Times New Roman" w:cs="Times New Roman"/>
                <w:sz w:val="24"/>
                <w:szCs w:val="24"/>
                <w:lang w:bidi="ar-MA"/>
              </w:rPr>
              <w:t xml:space="preserve"> ou de quelque circonstance personnelle que ce soit</w:t>
            </w:r>
            <w:r>
              <w:rPr>
                <w:rFonts w:ascii="Times New Roman" w:hAnsi="Times New Roman" w:cs="Times New Roman"/>
                <w:sz w:val="24"/>
                <w:szCs w:val="24"/>
                <w:lang w:bidi="ar-MA"/>
              </w:rPr>
              <w:t>.</w:t>
            </w:r>
          </w:p>
          <w:p w:rsidR="00565031" w:rsidRDefault="00DD5520" w:rsidP="00DD5520">
            <w:pPr>
              <w:spacing w:line="360" w:lineRule="auto"/>
              <w:ind w:left="273"/>
              <w:jc w:val="both"/>
              <w:rPr>
                <w:rFonts w:ascii="Times New Roman" w:hAnsi="Times New Roman" w:cs="Times New Roman"/>
                <w:sz w:val="24"/>
                <w:szCs w:val="24"/>
                <w:lang w:bidi="ar-MA"/>
              </w:rPr>
            </w:pPr>
            <w:r>
              <w:rPr>
                <w:rFonts w:ascii="Times New Roman" w:hAnsi="Times New Roman" w:cs="Times New Roman"/>
                <w:sz w:val="24"/>
                <w:szCs w:val="24"/>
                <w:lang w:bidi="ar-MA"/>
              </w:rPr>
              <w:t>-</w:t>
            </w:r>
            <w:r w:rsidR="00500BA0">
              <w:rPr>
                <w:rFonts w:ascii="Times New Roman" w:hAnsi="Times New Roman" w:cs="Times New Roman"/>
                <w:sz w:val="24"/>
                <w:szCs w:val="24"/>
                <w:lang w:bidi="ar-MA"/>
              </w:rPr>
              <w:t xml:space="preserve"> </w:t>
            </w:r>
            <w:r w:rsidR="00096DAE">
              <w:rPr>
                <w:rFonts w:ascii="Times New Roman" w:hAnsi="Times New Roman" w:cs="Times New Roman"/>
                <w:sz w:val="24"/>
                <w:szCs w:val="24"/>
                <w:lang w:bidi="ar-MA"/>
              </w:rPr>
              <w:t>La loi cadre 97-13 relative à la protection et la promotion des personnes</w:t>
            </w:r>
            <w:r>
              <w:rPr>
                <w:rFonts w:ascii="Times New Roman" w:hAnsi="Times New Roman" w:cs="Times New Roman"/>
                <w:sz w:val="24"/>
                <w:szCs w:val="24"/>
                <w:lang w:bidi="ar-MA"/>
              </w:rPr>
              <w:t xml:space="preserve"> </w:t>
            </w:r>
            <w:r w:rsidR="00096DAE">
              <w:rPr>
                <w:rFonts w:ascii="Times New Roman" w:hAnsi="Times New Roman" w:cs="Times New Roman"/>
                <w:sz w:val="24"/>
                <w:szCs w:val="24"/>
                <w:lang w:bidi="ar-MA"/>
              </w:rPr>
              <w:t>en situation du handicap</w:t>
            </w:r>
            <w:r w:rsidR="00912687">
              <w:rPr>
                <w:rFonts w:ascii="Times New Roman" w:hAnsi="Times New Roman" w:cs="Times New Roman"/>
                <w:sz w:val="24"/>
                <w:szCs w:val="24"/>
                <w:lang w:bidi="ar-MA"/>
              </w:rPr>
              <w:t>, qui s’inscrit dans le processus d’harmonisation de l’arsenal</w:t>
            </w:r>
            <w:r>
              <w:rPr>
                <w:rFonts w:ascii="Times New Roman" w:hAnsi="Times New Roman" w:cs="Times New Roman"/>
                <w:sz w:val="24"/>
                <w:szCs w:val="24"/>
                <w:lang w:bidi="ar-MA"/>
              </w:rPr>
              <w:t xml:space="preserve"> </w:t>
            </w:r>
            <w:r w:rsidR="00912687">
              <w:rPr>
                <w:rFonts w:ascii="Times New Roman" w:hAnsi="Times New Roman" w:cs="Times New Roman"/>
                <w:sz w:val="24"/>
                <w:szCs w:val="24"/>
                <w:lang w:bidi="ar-MA"/>
              </w:rPr>
              <w:t>juridique national avec les dispositions de la convention internationale relative aux</w:t>
            </w:r>
            <w:r>
              <w:rPr>
                <w:rFonts w:ascii="Times New Roman" w:hAnsi="Times New Roman" w:cs="Times New Roman"/>
                <w:sz w:val="24"/>
                <w:szCs w:val="24"/>
                <w:lang w:bidi="ar-MA"/>
              </w:rPr>
              <w:t xml:space="preserve"> </w:t>
            </w:r>
            <w:r w:rsidR="00912687">
              <w:rPr>
                <w:rFonts w:ascii="Times New Roman" w:hAnsi="Times New Roman" w:cs="Times New Roman"/>
                <w:sz w:val="24"/>
                <w:szCs w:val="24"/>
                <w:lang w:bidi="ar-MA"/>
              </w:rPr>
              <w:t xml:space="preserve"> droits des personnes en situation de handicap</w:t>
            </w:r>
            <w:r w:rsidR="00096DAE">
              <w:rPr>
                <w:rFonts w:ascii="Times New Roman" w:hAnsi="Times New Roman" w:cs="Times New Roman"/>
                <w:sz w:val="24"/>
                <w:szCs w:val="24"/>
                <w:lang w:bidi="ar-MA"/>
              </w:rPr>
              <w:t xml:space="preserve"> interdit la</w:t>
            </w:r>
            <w:r w:rsidR="001177D9">
              <w:rPr>
                <w:rFonts w:ascii="Times New Roman" w:hAnsi="Times New Roman" w:cs="Times New Roman"/>
                <w:sz w:val="24"/>
                <w:szCs w:val="24"/>
                <w:lang w:bidi="ar-MA"/>
              </w:rPr>
              <w:t xml:space="preserve"> </w:t>
            </w:r>
            <w:r w:rsidR="00096DAE" w:rsidRPr="00565031">
              <w:rPr>
                <w:rFonts w:ascii="Times New Roman" w:hAnsi="Times New Roman" w:cs="Times New Roman"/>
                <w:sz w:val="24"/>
                <w:szCs w:val="24"/>
                <w:lang w:bidi="ar-MA"/>
              </w:rPr>
              <w:t>discrim</w:t>
            </w:r>
            <w:r w:rsidR="001177D9">
              <w:rPr>
                <w:rFonts w:ascii="Times New Roman" w:hAnsi="Times New Roman" w:cs="Times New Roman"/>
                <w:sz w:val="24"/>
                <w:szCs w:val="24"/>
                <w:lang w:bidi="ar-MA"/>
              </w:rPr>
              <w:t xml:space="preserve">ination fondée sur le handicap. </w:t>
            </w:r>
            <w:r w:rsidR="001177D9" w:rsidRPr="00157A95">
              <w:rPr>
                <w:rFonts w:ascii="Times New Roman" w:hAnsi="Times New Roman" w:cs="Times New Roman"/>
                <w:sz w:val="24"/>
                <w:szCs w:val="24"/>
                <w:lang w:bidi="ar-MA"/>
              </w:rPr>
              <w:t xml:space="preserve">La définition de la </w:t>
            </w:r>
            <w:r w:rsidRPr="00157A95">
              <w:rPr>
                <w:rFonts w:ascii="Times New Roman" w:hAnsi="Times New Roman" w:cs="Times New Roman"/>
                <w:sz w:val="24"/>
                <w:szCs w:val="24"/>
                <w:lang w:bidi="ar-MA"/>
              </w:rPr>
              <w:lastRenderedPageBreak/>
              <w:t>non-discrimination</w:t>
            </w:r>
            <w:r w:rsidR="001177D9" w:rsidRPr="00157A95">
              <w:rPr>
                <w:rFonts w:ascii="Times New Roman" w:hAnsi="Times New Roman" w:cs="Times New Roman"/>
                <w:sz w:val="24"/>
                <w:szCs w:val="24"/>
                <w:lang w:bidi="ar-MA"/>
              </w:rPr>
              <w:t xml:space="preserve"> stipulée dans </w:t>
            </w:r>
            <w:r w:rsidR="00935CA0" w:rsidRPr="00157A95">
              <w:rPr>
                <w:rFonts w:ascii="Times New Roman" w:hAnsi="Times New Roman" w:cs="Times New Roman"/>
                <w:sz w:val="24"/>
                <w:szCs w:val="24"/>
                <w:lang w:bidi="ar-MA"/>
              </w:rPr>
              <w:t xml:space="preserve">l’article 2 de </w:t>
            </w:r>
            <w:r w:rsidR="001177D9" w:rsidRPr="00157A95">
              <w:rPr>
                <w:rFonts w:ascii="Times New Roman" w:hAnsi="Times New Roman" w:cs="Times New Roman"/>
                <w:sz w:val="24"/>
                <w:szCs w:val="24"/>
                <w:lang w:bidi="ar-MA"/>
              </w:rPr>
              <w:t xml:space="preserve">la loi </w:t>
            </w:r>
            <w:r w:rsidRPr="00157A95">
              <w:rPr>
                <w:rFonts w:ascii="Times New Roman" w:hAnsi="Times New Roman" w:cs="Times New Roman"/>
                <w:sz w:val="24"/>
                <w:szCs w:val="24"/>
                <w:lang w:bidi="ar-MA"/>
              </w:rPr>
              <w:t>97.13 s’inspire</w:t>
            </w:r>
            <w:r w:rsidR="001177D9" w:rsidRPr="00157A95">
              <w:rPr>
                <w:rFonts w:ascii="Times New Roman" w:hAnsi="Times New Roman" w:cs="Times New Roman"/>
                <w:sz w:val="24"/>
                <w:szCs w:val="24"/>
                <w:lang w:bidi="ar-MA"/>
              </w:rPr>
              <w:t xml:space="preserve"> de celle de la Convention internationale relative aux</w:t>
            </w:r>
            <w:r w:rsidR="00935CA0" w:rsidRPr="00157A95">
              <w:rPr>
                <w:rFonts w:ascii="Times New Roman" w:hAnsi="Times New Roman" w:cs="Times New Roman"/>
                <w:sz w:val="24"/>
                <w:szCs w:val="24"/>
                <w:lang w:bidi="ar-MA"/>
              </w:rPr>
              <w:t xml:space="preserve"> </w:t>
            </w:r>
            <w:r w:rsidR="001177D9" w:rsidRPr="00157A95">
              <w:rPr>
                <w:rFonts w:ascii="Times New Roman" w:hAnsi="Times New Roman" w:cs="Times New Roman"/>
                <w:sz w:val="24"/>
                <w:szCs w:val="24"/>
                <w:lang w:bidi="ar-MA"/>
              </w:rPr>
              <w:t>droits des personnes en situation de handicap</w:t>
            </w:r>
            <w:r w:rsidR="00935CA0" w:rsidRPr="00157A95">
              <w:rPr>
                <w:rFonts w:ascii="Times New Roman" w:hAnsi="Times New Roman" w:cs="Times New Roman"/>
                <w:sz w:val="24"/>
                <w:szCs w:val="24"/>
                <w:lang w:bidi="ar-MA"/>
              </w:rPr>
              <w:t>.</w:t>
            </w:r>
          </w:p>
          <w:p w:rsidR="00565031" w:rsidRPr="00565031" w:rsidRDefault="00DD5520" w:rsidP="00CB283B">
            <w:pPr>
              <w:spacing w:line="360" w:lineRule="auto"/>
              <w:ind w:left="273"/>
              <w:jc w:val="both"/>
              <w:rPr>
                <w:rFonts w:ascii="Times New Roman" w:hAnsi="Times New Roman" w:cs="Times New Roman"/>
                <w:sz w:val="24"/>
                <w:szCs w:val="24"/>
                <w:lang w:bidi="ar-MA"/>
              </w:rPr>
            </w:pPr>
            <w:r>
              <w:rPr>
                <w:rFonts w:ascii="Times New Roman" w:hAnsi="Times New Roman" w:cs="Times New Roman"/>
                <w:sz w:val="24"/>
                <w:szCs w:val="24"/>
                <w:lang w:bidi="ar-MA"/>
              </w:rPr>
              <w:t>-</w:t>
            </w:r>
            <w:r w:rsidR="00565031">
              <w:rPr>
                <w:rFonts w:ascii="Times New Roman" w:hAnsi="Times New Roman" w:cs="Times New Roman"/>
                <w:sz w:val="24"/>
                <w:szCs w:val="24"/>
                <w:lang w:bidi="ar-MA"/>
              </w:rPr>
              <w:t>D’autre part, d</w:t>
            </w:r>
            <w:r w:rsidR="00565031" w:rsidRPr="00565031">
              <w:rPr>
                <w:rFonts w:ascii="Times New Roman" w:hAnsi="Times New Roman" w:cs="Times New Roman"/>
                <w:sz w:val="24"/>
                <w:szCs w:val="24"/>
                <w:lang w:bidi="ar-MA"/>
              </w:rPr>
              <w:t>ans son article 431-1, Le code pénal marocain sanctionne toute discrimination basé sur le handicap</w:t>
            </w:r>
          </w:p>
        </w:tc>
      </w:tr>
      <w:tr w:rsidR="0021586B" w:rsidTr="00500BA0">
        <w:trPr>
          <w:trHeight w:val="1260"/>
        </w:trPr>
        <w:tc>
          <w:tcPr>
            <w:tcW w:w="5290" w:type="dxa"/>
            <w:shd w:val="clear" w:color="auto" w:fill="F2F2F2" w:themeFill="background1" w:themeFillShade="F2"/>
          </w:tcPr>
          <w:p w:rsidR="00714420" w:rsidRPr="00714420" w:rsidRDefault="00714420" w:rsidP="00714420">
            <w:pPr>
              <w:pStyle w:val="ListParagraph"/>
              <w:ind w:left="414"/>
              <w:rPr>
                <w:sz w:val="24"/>
                <w:szCs w:val="24"/>
              </w:rPr>
            </w:pPr>
          </w:p>
          <w:p w:rsidR="0021586B" w:rsidRPr="00AA048A" w:rsidRDefault="0021586B" w:rsidP="00334B1E">
            <w:pPr>
              <w:pStyle w:val="ListParagraph"/>
              <w:numPr>
                <w:ilvl w:val="0"/>
                <w:numId w:val="14"/>
              </w:numPr>
              <w:ind w:left="414" w:hanging="283"/>
              <w:rPr>
                <w:sz w:val="24"/>
                <w:szCs w:val="24"/>
              </w:rPr>
            </w:pPr>
            <w:r w:rsidRPr="00334B1E">
              <w:rPr>
                <w:rFonts w:ascii="Times New Roman" w:hAnsi="Times New Roman" w:cs="Times New Roman"/>
                <w:sz w:val="24"/>
                <w:szCs w:val="24"/>
              </w:rPr>
              <w:t>L’existence de tout mécanisme budgétaire pour assurer la provision d’aménagement raisonnable par les entités publiques,</w:t>
            </w:r>
          </w:p>
        </w:tc>
        <w:tc>
          <w:tcPr>
            <w:tcW w:w="9169" w:type="dxa"/>
          </w:tcPr>
          <w:p w:rsidR="0021586B" w:rsidRDefault="00935CA0" w:rsidP="00935CA0">
            <w:pPr>
              <w:pStyle w:val="ListParagraph"/>
              <w:ind w:left="0"/>
            </w:pPr>
            <w:r>
              <w:t xml:space="preserve"> </w:t>
            </w:r>
          </w:p>
        </w:tc>
      </w:tr>
      <w:tr w:rsidR="0021586B" w:rsidTr="008E1C7F">
        <w:trPr>
          <w:trHeight w:val="1440"/>
        </w:trPr>
        <w:tc>
          <w:tcPr>
            <w:tcW w:w="5290" w:type="dxa"/>
            <w:shd w:val="clear" w:color="auto" w:fill="F2F2F2" w:themeFill="background1" w:themeFillShade="F2"/>
          </w:tcPr>
          <w:p w:rsidR="008E1C7F" w:rsidRDefault="008E1C7F" w:rsidP="008E1C7F">
            <w:pPr>
              <w:pStyle w:val="ListParagraph"/>
              <w:ind w:left="414"/>
              <w:rPr>
                <w:rFonts w:ascii="Times New Roman" w:hAnsi="Times New Roman" w:cs="Times New Roman"/>
                <w:sz w:val="24"/>
                <w:szCs w:val="24"/>
              </w:rPr>
            </w:pPr>
          </w:p>
          <w:p w:rsidR="0021586B" w:rsidRPr="00334B1E" w:rsidRDefault="0021586B" w:rsidP="00334B1E">
            <w:pPr>
              <w:pStyle w:val="ListParagraph"/>
              <w:numPr>
                <w:ilvl w:val="0"/>
                <w:numId w:val="14"/>
              </w:numPr>
              <w:ind w:left="414" w:hanging="283"/>
              <w:rPr>
                <w:rFonts w:ascii="Times New Roman" w:hAnsi="Times New Roman" w:cs="Times New Roman"/>
                <w:sz w:val="24"/>
                <w:szCs w:val="24"/>
              </w:rPr>
            </w:pPr>
            <w:r w:rsidRPr="00334B1E">
              <w:rPr>
                <w:rFonts w:ascii="Times New Roman" w:hAnsi="Times New Roman" w:cs="Times New Roman"/>
                <w:sz w:val="24"/>
                <w:szCs w:val="24"/>
              </w:rPr>
              <w:t xml:space="preserve"> Si le refus de mettre en place l’aménagement raisonnable constitue une discrimination fondée sur le handicap,</w:t>
            </w:r>
          </w:p>
        </w:tc>
        <w:tc>
          <w:tcPr>
            <w:tcW w:w="9169" w:type="dxa"/>
          </w:tcPr>
          <w:p w:rsidR="0021586B" w:rsidRDefault="00935CA0" w:rsidP="00DD5520">
            <w:pPr>
              <w:pStyle w:val="ListParagraph"/>
              <w:spacing w:line="360" w:lineRule="auto"/>
              <w:ind w:left="0"/>
              <w:jc w:val="both"/>
              <w:rPr>
                <w:rFonts w:ascii="Times New Roman" w:hAnsi="Times New Roman" w:cs="Times New Roman"/>
                <w:sz w:val="24"/>
                <w:szCs w:val="24"/>
                <w:lang w:bidi="ar-MA"/>
              </w:rPr>
            </w:pPr>
            <w:r w:rsidRPr="00500BA0">
              <w:rPr>
                <w:rFonts w:ascii="Times New Roman" w:hAnsi="Times New Roman" w:cs="Times New Roman"/>
                <w:sz w:val="24"/>
                <w:szCs w:val="24"/>
                <w:lang w:bidi="ar-MA"/>
              </w:rPr>
              <w:t xml:space="preserve">L’article 2 de la loi cadre 97.13 </w:t>
            </w:r>
            <w:proofErr w:type="gramStart"/>
            <w:r w:rsidRPr="00500BA0">
              <w:rPr>
                <w:rFonts w:ascii="Times New Roman" w:hAnsi="Times New Roman" w:cs="Times New Roman"/>
                <w:sz w:val="24"/>
                <w:szCs w:val="24"/>
                <w:lang w:bidi="ar-MA"/>
              </w:rPr>
              <w:t>a</w:t>
            </w:r>
            <w:proofErr w:type="gramEnd"/>
            <w:r w:rsidRPr="00500BA0">
              <w:rPr>
                <w:rFonts w:ascii="Times New Roman" w:hAnsi="Times New Roman" w:cs="Times New Roman"/>
                <w:sz w:val="24"/>
                <w:szCs w:val="24"/>
                <w:lang w:bidi="ar-MA"/>
              </w:rPr>
              <w:t xml:space="preserve"> bien défini l’aménagement raisonnable</w:t>
            </w:r>
            <w:r w:rsidR="00A6786A" w:rsidRPr="00500BA0">
              <w:rPr>
                <w:rFonts w:ascii="Times New Roman" w:hAnsi="Times New Roman" w:cs="Times New Roman"/>
                <w:sz w:val="24"/>
                <w:szCs w:val="24"/>
                <w:lang w:bidi="ar-MA"/>
              </w:rPr>
              <w:t xml:space="preserve"> pour assurer l’exercice des Droits </w:t>
            </w:r>
            <w:r w:rsidR="00DD5520" w:rsidRPr="00500BA0">
              <w:rPr>
                <w:rFonts w:ascii="Times New Roman" w:hAnsi="Times New Roman" w:cs="Times New Roman"/>
                <w:sz w:val="24"/>
                <w:szCs w:val="24"/>
                <w:lang w:bidi="ar-MA"/>
              </w:rPr>
              <w:t>des PSH</w:t>
            </w:r>
            <w:r w:rsidRPr="00500BA0">
              <w:rPr>
                <w:rFonts w:ascii="Times New Roman" w:hAnsi="Times New Roman" w:cs="Times New Roman"/>
                <w:sz w:val="24"/>
                <w:szCs w:val="24"/>
                <w:lang w:bidi="ar-MA"/>
              </w:rPr>
              <w:t xml:space="preserve"> sur la base de l’égalité avec les autres</w:t>
            </w:r>
            <w:r w:rsidRPr="00500BA0">
              <w:rPr>
                <w:rFonts w:ascii="TimesNewRoman" w:hAnsi="TimesNewRoman" w:cs="TimesNewRoman"/>
                <w:sz w:val="20"/>
                <w:szCs w:val="20"/>
              </w:rPr>
              <w:t>.</w:t>
            </w:r>
            <w:r w:rsidRPr="00500BA0">
              <w:rPr>
                <w:rFonts w:ascii="Times New Roman" w:hAnsi="Times New Roman" w:cs="Times New Roman"/>
                <w:sz w:val="24"/>
                <w:szCs w:val="24"/>
                <w:lang w:bidi="ar-MA"/>
              </w:rPr>
              <w:t xml:space="preserve"> Par </w:t>
            </w:r>
            <w:r w:rsidR="00DD5520" w:rsidRPr="00500BA0">
              <w:rPr>
                <w:rFonts w:ascii="Times New Roman" w:hAnsi="Times New Roman" w:cs="Times New Roman"/>
                <w:sz w:val="24"/>
                <w:szCs w:val="24"/>
                <w:lang w:bidi="ar-MA"/>
              </w:rPr>
              <w:t>ailleurs dans</w:t>
            </w:r>
            <w:r w:rsidRPr="00500BA0">
              <w:rPr>
                <w:rFonts w:ascii="Times New Roman" w:hAnsi="Times New Roman" w:cs="Times New Roman"/>
                <w:sz w:val="24"/>
                <w:szCs w:val="24"/>
                <w:lang w:bidi="ar-MA"/>
              </w:rPr>
              <w:t xml:space="preserve"> l’article 11 de la loi cadre 97.13, l’Etat s’engage expressément à assurer la mise en place des aménagements raisonnables pour répondre aux besoins des </w:t>
            </w:r>
            <w:r w:rsidR="00DD5520" w:rsidRPr="00500BA0">
              <w:rPr>
                <w:rFonts w:ascii="Times New Roman" w:hAnsi="Times New Roman" w:cs="Times New Roman"/>
                <w:sz w:val="24"/>
                <w:szCs w:val="24"/>
                <w:lang w:bidi="ar-MA"/>
              </w:rPr>
              <w:t>personnes en</w:t>
            </w:r>
            <w:r w:rsidRPr="00500BA0">
              <w:rPr>
                <w:rFonts w:ascii="Times New Roman" w:hAnsi="Times New Roman" w:cs="Times New Roman"/>
                <w:sz w:val="24"/>
                <w:szCs w:val="24"/>
                <w:lang w:bidi="ar-MA"/>
              </w:rPr>
              <w:t xml:space="preserve"> situation de handicap scolarisées.</w:t>
            </w:r>
          </w:p>
          <w:p w:rsidR="00500BA0" w:rsidRDefault="00500BA0" w:rsidP="00A6786A">
            <w:pPr>
              <w:pStyle w:val="ListParagraph"/>
              <w:ind w:left="0"/>
            </w:pPr>
          </w:p>
        </w:tc>
      </w:tr>
      <w:tr w:rsidR="0021586B" w:rsidTr="007E2D0F">
        <w:trPr>
          <w:trHeight w:val="274"/>
        </w:trPr>
        <w:tc>
          <w:tcPr>
            <w:tcW w:w="5290" w:type="dxa"/>
            <w:shd w:val="clear" w:color="auto" w:fill="F2F2F2" w:themeFill="background1" w:themeFillShade="F2"/>
          </w:tcPr>
          <w:p w:rsidR="008E1C7F" w:rsidRDefault="008E1C7F" w:rsidP="008E1C7F">
            <w:pPr>
              <w:pStyle w:val="ListParagraph"/>
              <w:ind w:left="414"/>
              <w:rPr>
                <w:rFonts w:ascii="Times New Roman" w:hAnsi="Times New Roman" w:cs="Times New Roman"/>
                <w:sz w:val="24"/>
                <w:szCs w:val="24"/>
              </w:rPr>
            </w:pPr>
          </w:p>
          <w:p w:rsidR="0021586B" w:rsidRPr="00334B1E" w:rsidRDefault="0021586B" w:rsidP="00334B1E">
            <w:pPr>
              <w:pStyle w:val="ListParagraph"/>
              <w:numPr>
                <w:ilvl w:val="0"/>
                <w:numId w:val="14"/>
              </w:numPr>
              <w:ind w:left="414" w:hanging="283"/>
              <w:rPr>
                <w:rFonts w:ascii="Times New Roman" w:hAnsi="Times New Roman" w:cs="Times New Roman"/>
                <w:sz w:val="24"/>
                <w:szCs w:val="24"/>
              </w:rPr>
            </w:pPr>
            <w:r w:rsidRPr="00334B1E">
              <w:rPr>
                <w:rFonts w:ascii="Times New Roman" w:hAnsi="Times New Roman" w:cs="Times New Roman"/>
                <w:sz w:val="24"/>
                <w:szCs w:val="24"/>
              </w:rPr>
              <w:t>L’existence de mesures d’action positives pour les personnes handicapées</w:t>
            </w:r>
          </w:p>
        </w:tc>
        <w:tc>
          <w:tcPr>
            <w:tcW w:w="9169" w:type="dxa"/>
          </w:tcPr>
          <w:p w:rsidR="0021586B" w:rsidRPr="00334B1E" w:rsidRDefault="00774FCF" w:rsidP="0039701F">
            <w:pPr>
              <w:spacing w:line="360" w:lineRule="auto"/>
              <w:ind w:left="273"/>
              <w:rPr>
                <w:rFonts w:ascii="Times New Roman" w:hAnsi="Times New Roman" w:cs="Times New Roman"/>
                <w:sz w:val="24"/>
                <w:szCs w:val="24"/>
                <w:lang w:bidi="ar-MA"/>
              </w:rPr>
            </w:pPr>
            <w:r>
              <w:rPr>
                <w:rFonts w:ascii="Times New Roman" w:hAnsi="Times New Roman" w:cs="Times New Roman"/>
                <w:sz w:val="24"/>
                <w:szCs w:val="24"/>
                <w:lang w:bidi="ar-MA"/>
              </w:rPr>
              <w:t>L</w:t>
            </w:r>
            <w:r w:rsidR="0021586B" w:rsidRPr="00334B1E">
              <w:rPr>
                <w:rFonts w:ascii="Times New Roman" w:hAnsi="Times New Roman" w:cs="Times New Roman"/>
                <w:sz w:val="24"/>
                <w:szCs w:val="24"/>
                <w:lang w:bidi="ar-MA"/>
              </w:rPr>
              <w:t xml:space="preserve">’Etat Marocain a adopté une batterie de mesures spécifiques pour la promotion des Droits des PSH dans le cadre de la discrimination </w:t>
            </w:r>
            <w:r w:rsidR="008A68F8" w:rsidRPr="00334B1E">
              <w:rPr>
                <w:rFonts w:ascii="Times New Roman" w:hAnsi="Times New Roman" w:cs="Times New Roman"/>
                <w:sz w:val="24"/>
                <w:szCs w:val="24"/>
                <w:lang w:bidi="ar-MA"/>
              </w:rPr>
              <w:t>positive :</w:t>
            </w:r>
            <w:r w:rsidR="0021586B" w:rsidRPr="00334B1E">
              <w:rPr>
                <w:rFonts w:ascii="Times New Roman" w:hAnsi="Times New Roman" w:cs="Times New Roman"/>
                <w:sz w:val="24"/>
                <w:szCs w:val="24"/>
                <w:lang w:bidi="ar-MA"/>
              </w:rPr>
              <w:t xml:space="preserve"> </w:t>
            </w:r>
          </w:p>
          <w:p w:rsidR="0021586B" w:rsidRPr="002A42A9" w:rsidRDefault="00774FCF" w:rsidP="002A42A9">
            <w:pPr>
              <w:pStyle w:val="ListParagraph"/>
              <w:numPr>
                <w:ilvl w:val="2"/>
                <w:numId w:val="5"/>
              </w:numPr>
              <w:spacing w:line="360" w:lineRule="auto"/>
              <w:ind w:left="981" w:hanging="283"/>
              <w:rPr>
                <w:rFonts w:ascii="Times New Roman" w:hAnsi="Times New Roman" w:cs="Times New Roman"/>
                <w:sz w:val="24"/>
                <w:szCs w:val="24"/>
                <w:lang w:bidi="ar-MA"/>
              </w:rPr>
            </w:pPr>
            <w:r w:rsidRPr="002A42A9">
              <w:rPr>
                <w:rFonts w:ascii="Times New Roman" w:hAnsi="Times New Roman" w:cs="Times New Roman"/>
                <w:sz w:val="24"/>
                <w:szCs w:val="24"/>
                <w:lang w:bidi="ar-MA"/>
              </w:rPr>
              <w:t>L</w:t>
            </w:r>
            <w:r w:rsidR="0021586B" w:rsidRPr="002A42A9">
              <w:rPr>
                <w:rFonts w:ascii="Times New Roman" w:hAnsi="Times New Roman" w:cs="Times New Roman"/>
                <w:sz w:val="24"/>
                <w:szCs w:val="24"/>
                <w:lang w:bidi="ar-MA"/>
              </w:rPr>
              <w:t>a législation actuelle oblige à réserver un quota de 7% pour l’intégration des PSH dans la fonction publique</w:t>
            </w:r>
            <w:r w:rsidR="00827274" w:rsidRPr="002A42A9">
              <w:rPr>
                <w:rFonts w:ascii="Times New Roman" w:hAnsi="Times New Roman" w:cs="Times New Roman"/>
                <w:sz w:val="24"/>
                <w:szCs w:val="24"/>
                <w:lang w:bidi="ar-MA"/>
              </w:rPr>
              <w:t>,</w:t>
            </w:r>
          </w:p>
          <w:p w:rsidR="0021586B" w:rsidRPr="0039701F" w:rsidRDefault="00827274" w:rsidP="006B115B">
            <w:pPr>
              <w:pStyle w:val="ListParagraph"/>
              <w:numPr>
                <w:ilvl w:val="2"/>
                <w:numId w:val="5"/>
              </w:numPr>
              <w:spacing w:line="360" w:lineRule="auto"/>
              <w:ind w:left="981" w:hanging="283"/>
              <w:rPr>
                <w:rFonts w:ascii="Times New Roman" w:hAnsi="Times New Roman" w:cs="Times New Roman"/>
                <w:sz w:val="24"/>
                <w:szCs w:val="24"/>
                <w:lang w:bidi="ar-MA"/>
              </w:rPr>
            </w:pPr>
            <w:r w:rsidRPr="0039701F">
              <w:rPr>
                <w:rFonts w:ascii="Times New Roman" w:hAnsi="Times New Roman" w:cs="Times New Roman"/>
                <w:sz w:val="24"/>
                <w:szCs w:val="24"/>
                <w:lang w:bidi="ar-MA"/>
              </w:rPr>
              <w:t>Les</w:t>
            </w:r>
            <w:r w:rsidR="0021586B" w:rsidRPr="0039701F">
              <w:rPr>
                <w:rFonts w:ascii="Times New Roman" w:hAnsi="Times New Roman" w:cs="Times New Roman"/>
                <w:sz w:val="24"/>
                <w:szCs w:val="24"/>
                <w:lang w:bidi="ar-MA"/>
              </w:rPr>
              <w:t xml:space="preserve"> enfants en situation du handicap </w:t>
            </w:r>
            <w:r w:rsidRPr="0039701F">
              <w:rPr>
                <w:rFonts w:ascii="Times New Roman" w:hAnsi="Times New Roman" w:cs="Times New Roman"/>
                <w:sz w:val="24"/>
                <w:szCs w:val="24"/>
                <w:lang w:bidi="ar-MA"/>
              </w:rPr>
              <w:t xml:space="preserve">bénéficient </w:t>
            </w:r>
            <w:r w:rsidR="000941E6" w:rsidRPr="0039701F">
              <w:rPr>
                <w:rFonts w:ascii="Times New Roman" w:hAnsi="Times New Roman" w:cs="Times New Roman"/>
                <w:sz w:val="24"/>
                <w:szCs w:val="24"/>
                <w:lang w:bidi="ar-MA"/>
              </w:rPr>
              <w:t xml:space="preserve">des allocations familiales et couverture </w:t>
            </w:r>
            <w:r w:rsidR="006B115B">
              <w:rPr>
                <w:rFonts w:ascii="Times New Roman" w:hAnsi="Times New Roman" w:cs="Times New Roman"/>
                <w:sz w:val="24"/>
                <w:szCs w:val="24"/>
                <w:lang w:bidi="ar-MA"/>
              </w:rPr>
              <w:t>médicale</w:t>
            </w:r>
            <w:r w:rsidR="000941E6" w:rsidRPr="0039701F">
              <w:rPr>
                <w:rFonts w:ascii="Times New Roman" w:hAnsi="Times New Roman" w:cs="Times New Roman"/>
                <w:sz w:val="24"/>
                <w:szCs w:val="24"/>
                <w:lang w:bidi="ar-MA"/>
              </w:rPr>
              <w:t xml:space="preserve"> de leurs parents ou</w:t>
            </w:r>
            <w:r w:rsidR="00A6786A">
              <w:rPr>
                <w:rFonts w:ascii="Times New Roman" w:hAnsi="Times New Roman" w:cs="Times New Roman"/>
                <w:sz w:val="24"/>
                <w:szCs w:val="24"/>
                <w:lang w:bidi="ar-MA"/>
              </w:rPr>
              <w:t xml:space="preserve"> tuteurs sans condition d’âge</w:t>
            </w:r>
            <w:r w:rsidR="007536C2">
              <w:rPr>
                <w:rFonts w:ascii="Times New Roman" w:hAnsi="Times New Roman" w:cs="Times New Roman"/>
                <w:sz w:val="24"/>
                <w:szCs w:val="24"/>
                <w:lang w:bidi="ar-MA"/>
              </w:rPr>
              <w:t>,</w:t>
            </w:r>
          </w:p>
          <w:p w:rsidR="007E475A" w:rsidRPr="007E475A" w:rsidRDefault="008A68F8" w:rsidP="006B115B">
            <w:pPr>
              <w:pStyle w:val="ListParagraph"/>
              <w:numPr>
                <w:ilvl w:val="2"/>
                <w:numId w:val="5"/>
              </w:numPr>
              <w:spacing w:line="360" w:lineRule="auto"/>
              <w:ind w:left="981" w:hanging="283"/>
              <w:rPr>
                <w:rFonts w:ascii="Times New Roman" w:hAnsi="Times New Roman" w:cs="Times New Roman"/>
                <w:sz w:val="24"/>
                <w:szCs w:val="24"/>
                <w:lang w:bidi="ar-MA"/>
              </w:rPr>
            </w:pPr>
            <w:r>
              <w:rPr>
                <w:rFonts w:ascii="Times New Roman" w:hAnsi="Times New Roman" w:cs="Times New Roman"/>
                <w:sz w:val="24"/>
                <w:szCs w:val="24"/>
                <w:lang w:bidi="ar-MA"/>
              </w:rPr>
              <w:t>La priorité</w:t>
            </w:r>
            <w:r w:rsidR="00517E33">
              <w:rPr>
                <w:rFonts w:ascii="Times New Roman" w:hAnsi="Times New Roman" w:cs="Times New Roman"/>
                <w:sz w:val="24"/>
                <w:szCs w:val="24"/>
                <w:lang w:bidi="ar-MA"/>
              </w:rPr>
              <w:t xml:space="preserve"> de bénéficier de</w:t>
            </w:r>
            <w:r w:rsidR="007A2B65">
              <w:rPr>
                <w:rFonts w:ascii="Times New Roman" w:hAnsi="Times New Roman" w:cs="Times New Roman"/>
                <w:sz w:val="24"/>
                <w:szCs w:val="24"/>
                <w:lang w:bidi="ar-MA"/>
              </w:rPr>
              <w:t xml:space="preserve"> quelques prestation</w:t>
            </w:r>
            <w:r w:rsidR="00517E33">
              <w:rPr>
                <w:rFonts w:ascii="Times New Roman" w:hAnsi="Times New Roman" w:cs="Times New Roman"/>
                <w:sz w:val="24"/>
                <w:szCs w:val="24"/>
                <w:lang w:bidi="ar-MA"/>
              </w:rPr>
              <w:t>s</w:t>
            </w:r>
            <w:r w:rsidR="007A2B65">
              <w:rPr>
                <w:rFonts w:ascii="Times New Roman" w:hAnsi="Times New Roman" w:cs="Times New Roman"/>
                <w:sz w:val="24"/>
                <w:szCs w:val="24"/>
                <w:lang w:bidi="ar-MA"/>
              </w:rPr>
              <w:t xml:space="preserve"> et services : </w:t>
            </w:r>
            <w:r w:rsidR="000941E6" w:rsidRPr="007E475A">
              <w:rPr>
                <w:rFonts w:ascii="Times New Roman" w:hAnsi="Times New Roman" w:cs="Times New Roman"/>
                <w:sz w:val="24"/>
                <w:szCs w:val="24"/>
                <w:lang w:bidi="ar-MA"/>
              </w:rPr>
              <w:t>bourses d’études</w:t>
            </w:r>
            <w:r w:rsidR="0063605A" w:rsidRPr="007E475A">
              <w:rPr>
                <w:rFonts w:ascii="Times New Roman" w:hAnsi="Times New Roman" w:cs="Times New Roman"/>
                <w:sz w:val="24"/>
                <w:szCs w:val="24"/>
                <w:lang w:bidi="ar-MA"/>
              </w:rPr>
              <w:t xml:space="preserve">, internat, </w:t>
            </w:r>
            <w:r w:rsidR="006B115B">
              <w:rPr>
                <w:rFonts w:ascii="Times New Roman" w:hAnsi="Times New Roman" w:cs="Times New Roman"/>
                <w:sz w:val="24"/>
                <w:szCs w:val="24"/>
                <w:lang w:bidi="ar-MA"/>
              </w:rPr>
              <w:t>aides aux femmes veuves</w:t>
            </w:r>
            <w:r w:rsidR="00585C6E">
              <w:rPr>
                <w:rFonts w:ascii="Times New Roman" w:hAnsi="Times New Roman" w:cs="Times New Roman"/>
                <w:sz w:val="24"/>
                <w:szCs w:val="24"/>
                <w:lang w:bidi="ar-MA"/>
              </w:rPr>
              <w:t xml:space="preserve"> </w:t>
            </w:r>
            <w:r w:rsidR="00061F0E">
              <w:rPr>
                <w:rFonts w:ascii="Times New Roman" w:hAnsi="Times New Roman" w:cs="Times New Roman"/>
                <w:sz w:val="24"/>
                <w:szCs w:val="24"/>
                <w:lang w:bidi="ar-MA"/>
              </w:rPr>
              <w:t>financières</w:t>
            </w:r>
            <w:r w:rsidR="008538CB">
              <w:rPr>
                <w:rFonts w:ascii="Times New Roman" w:hAnsi="Times New Roman" w:cs="Times New Roman"/>
                <w:sz w:val="24"/>
                <w:szCs w:val="24"/>
                <w:lang w:bidi="ar-MA"/>
              </w:rPr>
              <w:t xml:space="preserve"> pauvres qui ont des enfants en situation de handicap à leur charge  </w:t>
            </w:r>
          </w:p>
          <w:p w:rsidR="0021586B" w:rsidRPr="00034717" w:rsidRDefault="007E475A" w:rsidP="002A42A9">
            <w:pPr>
              <w:pStyle w:val="ListParagraph"/>
              <w:numPr>
                <w:ilvl w:val="2"/>
                <w:numId w:val="5"/>
              </w:numPr>
              <w:spacing w:line="360" w:lineRule="auto"/>
              <w:ind w:left="981" w:hanging="283"/>
              <w:rPr>
                <w:rFonts w:ascii="Times New Roman" w:hAnsi="Times New Roman" w:cs="Times New Roman"/>
                <w:sz w:val="24"/>
                <w:szCs w:val="24"/>
                <w:lang w:bidi="ar-MA"/>
              </w:rPr>
            </w:pPr>
            <w:r w:rsidRPr="00034717">
              <w:rPr>
                <w:rFonts w:ascii="Times New Roman" w:hAnsi="Times New Roman" w:cs="Times New Roman"/>
                <w:sz w:val="24"/>
                <w:szCs w:val="24"/>
                <w:lang w:bidi="ar-MA"/>
              </w:rPr>
              <w:t xml:space="preserve">Le droit de bénéficier de la taxe minimale </w:t>
            </w:r>
            <w:r w:rsidR="00034717" w:rsidRPr="00034717">
              <w:rPr>
                <w:rFonts w:ascii="Times New Roman" w:hAnsi="Times New Roman" w:cs="Times New Roman"/>
                <w:sz w:val="24"/>
                <w:szCs w:val="24"/>
                <w:lang w:bidi="ar-MA"/>
              </w:rPr>
              <w:t>d’importations des</w:t>
            </w:r>
            <w:r w:rsidRPr="00034717">
              <w:rPr>
                <w:rFonts w:ascii="Times New Roman" w:hAnsi="Times New Roman" w:cs="Times New Roman"/>
                <w:sz w:val="24"/>
                <w:szCs w:val="24"/>
                <w:lang w:bidi="ar-MA"/>
              </w:rPr>
              <w:t xml:space="preserve"> véhicules </w:t>
            </w:r>
            <w:r w:rsidR="00034717" w:rsidRPr="00034717">
              <w:rPr>
                <w:rFonts w:ascii="Times New Roman" w:hAnsi="Times New Roman" w:cs="Times New Roman"/>
                <w:sz w:val="24"/>
                <w:szCs w:val="24"/>
                <w:lang w:bidi="ar-MA"/>
              </w:rPr>
              <w:t xml:space="preserve">aménagées pour les PSH. </w:t>
            </w:r>
          </w:p>
          <w:p w:rsidR="0021586B" w:rsidRDefault="0021586B" w:rsidP="00A013D2">
            <w:pPr>
              <w:pStyle w:val="ListParagraph"/>
            </w:pPr>
          </w:p>
        </w:tc>
      </w:tr>
      <w:tr w:rsidR="0021586B" w:rsidTr="00500BA0">
        <w:trPr>
          <w:trHeight w:val="2095"/>
        </w:trPr>
        <w:tc>
          <w:tcPr>
            <w:tcW w:w="5290" w:type="dxa"/>
            <w:shd w:val="clear" w:color="auto" w:fill="F2F2F2" w:themeFill="background1" w:themeFillShade="F2"/>
          </w:tcPr>
          <w:p w:rsidR="00267847" w:rsidRPr="00FE3C41" w:rsidRDefault="00267847" w:rsidP="00267847">
            <w:pPr>
              <w:pStyle w:val="ListParagraph"/>
              <w:ind w:left="414"/>
              <w:rPr>
                <w:rFonts w:ascii="Times New Roman" w:hAnsi="Times New Roman" w:cs="Times New Roman"/>
                <w:sz w:val="24"/>
                <w:szCs w:val="24"/>
              </w:rPr>
            </w:pPr>
          </w:p>
          <w:p w:rsidR="0021586B" w:rsidRPr="00FE3C41" w:rsidRDefault="0021586B" w:rsidP="00D456E8">
            <w:pPr>
              <w:pStyle w:val="ListParagraph"/>
              <w:numPr>
                <w:ilvl w:val="0"/>
                <w:numId w:val="14"/>
              </w:numPr>
              <w:ind w:left="414" w:hanging="283"/>
              <w:rPr>
                <w:rFonts w:ascii="Times New Roman" w:hAnsi="Times New Roman" w:cs="Times New Roman"/>
                <w:sz w:val="24"/>
                <w:szCs w:val="24"/>
              </w:rPr>
            </w:pPr>
            <w:r w:rsidRPr="00FE3C41">
              <w:rPr>
                <w:rFonts w:ascii="Times New Roman" w:hAnsi="Times New Roman" w:cs="Times New Roman"/>
                <w:sz w:val="24"/>
                <w:szCs w:val="24"/>
              </w:rPr>
              <w:t>L’existence de toutes voies de recours (juridique, administrative ou autres) disponibles et effectives pour les personnes handicapées qui ont fait l’objet de discrimination fondée sur le handicap (y compris le refus d’aménagement raisonnable),</w:t>
            </w:r>
          </w:p>
        </w:tc>
        <w:tc>
          <w:tcPr>
            <w:tcW w:w="9169" w:type="dxa"/>
          </w:tcPr>
          <w:p w:rsidR="0021586B" w:rsidRDefault="0021586B" w:rsidP="00D456E8">
            <w:pPr>
              <w:pStyle w:val="ListParagraph"/>
              <w:ind w:left="0"/>
            </w:pPr>
          </w:p>
          <w:p w:rsidR="00385579" w:rsidRDefault="00385579" w:rsidP="00385579">
            <w:pPr>
              <w:pStyle w:val="ListParagraph"/>
              <w:ind w:left="0"/>
            </w:pPr>
          </w:p>
        </w:tc>
      </w:tr>
      <w:tr w:rsidR="0021586B" w:rsidTr="00500BA0">
        <w:trPr>
          <w:trHeight w:val="992"/>
        </w:trPr>
        <w:tc>
          <w:tcPr>
            <w:tcW w:w="5290" w:type="dxa"/>
            <w:shd w:val="clear" w:color="auto" w:fill="F2F2F2" w:themeFill="background1" w:themeFillShade="F2"/>
          </w:tcPr>
          <w:p w:rsidR="00CC7295" w:rsidRPr="00FE3C41" w:rsidRDefault="00CC7295" w:rsidP="00CC7295">
            <w:pPr>
              <w:pStyle w:val="ListParagraph"/>
              <w:ind w:left="414"/>
              <w:rPr>
                <w:rFonts w:ascii="Times New Roman" w:hAnsi="Times New Roman" w:cs="Times New Roman"/>
                <w:sz w:val="24"/>
                <w:szCs w:val="24"/>
              </w:rPr>
            </w:pPr>
          </w:p>
          <w:p w:rsidR="00CE2A54" w:rsidRPr="00500BA0" w:rsidRDefault="0021586B" w:rsidP="00500BA0">
            <w:pPr>
              <w:pStyle w:val="ListParagraph"/>
              <w:numPr>
                <w:ilvl w:val="0"/>
                <w:numId w:val="14"/>
              </w:numPr>
              <w:ind w:left="414" w:hanging="283"/>
              <w:rPr>
                <w:rFonts w:ascii="Times New Roman" w:hAnsi="Times New Roman" w:cs="Times New Roman"/>
                <w:sz w:val="24"/>
                <w:szCs w:val="24"/>
              </w:rPr>
            </w:pPr>
            <w:r w:rsidRPr="00FE3C41">
              <w:rPr>
                <w:rFonts w:ascii="Times New Roman" w:hAnsi="Times New Roman" w:cs="Times New Roman"/>
                <w:sz w:val="24"/>
                <w:szCs w:val="24"/>
              </w:rPr>
              <w:t>La mise en place d’organes gouvernementaux ou autres institutions</w:t>
            </w:r>
            <w:r w:rsidR="00D456E8" w:rsidRPr="00FE3C41">
              <w:rPr>
                <w:rFonts w:ascii="Times New Roman" w:hAnsi="Times New Roman" w:cs="Times New Roman"/>
                <w:sz w:val="24"/>
                <w:szCs w:val="24"/>
              </w:rPr>
              <w:t xml:space="preserve"> similaires qui auraient pour objet de</w:t>
            </w:r>
            <w:r w:rsidR="003E2887" w:rsidRPr="00FE3C41">
              <w:rPr>
                <w:rFonts w:ascii="Times New Roman" w:hAnsi="Times New Roman" w:cs="Times New Roman"/>
                <w:sz w:val="24"/>
                <w:szCs w:val="24"/>
              </w:rPr>
              <w:t xml:space="preserve"> garantir aux personnes handicapées l’égalité de traitement et la protection effective contre la discrimination fondée sur le handicap.  </w:t>
            </w:r>
          </w:p>
        </w:tc>
        <w:tc>
          <w:tcPr>
            <w:tcW w:w="9169" w:type="dxa"/>
          </w:tcPr>
          <w:p w:rsidR="00A6786A" w:rsidRDefault="00A6786A" w:rsidP="00A6786A">
            <w:pPr>
              <w:pStyle w:val="ListParagraph"/>
              <w:ind w:left="0"/>
            </w:pPr>
          </w:p>
        </w:tc>
      </w:tr>
      <w:tr w:rsidR="00D865E6" w:rsidTr="00566A61">
        <w:trPr>
          <w:trHeight w:val="938"/>
        </w:trPr>
        <w:tc>
          <w:tcPr>
            <w:tcW w:w="14459" w:type="dxa"/>
            <w:gridSpan w:val="2"/>
            <w:shd w:val="clear" w:color="auto" w:fill="D9D9D9" w:themeFill="background1" w:themeFillShade="D9"/>
          </w:tcPr>
          <w:p w:rsidR="00D865E6" w:rsidRPr="00F460DD" w:rsidRDefault="00F460DD" w:rsidP="00F460DD">
            <w:pPr>
              <w:pStyle w:val="ListParagraph"/>
              <w:ind w:left="0"/>
              <w:rPr>
                <w:rFonts w:ascii="Times New Roman" w:hAnsi="Times New Roman" w:cs="Times New Roman"/>
                <w:b/>
                <w:bCs/>
              </w:rPr>
            </w:pPr>
            <w:r>
              <w:rPr>
                <w:rFonts w:ascii="Times New Roman" w:hAnsi="Times New Roman" w:cs="Times New Roman"/>
                <w:b/>
                <w:bCs/>
                <w:sz w:val="24"/>
                <w:szCs w:val="24"/>
              </w:rPr>
              <w:t xml:space="preserve">3. </w:t>
            </w:r>
            <w:r w:rsidR="000238EF" w:rsidRPr="00F460DD">
              <w:rPr>
                <w:rFonts w:ascii="Times New Roman" w:hAnsi="Times New Roman" w:cs="Times New Roman"/>
                <w:b/>
                <w:bCs/>
                <w:sz w:val="24"/>
                <w:szCs w:val="24"/>
              </w:rPr>
              <w:t xml:space="preserve">Veuillez fournir des informations sur toute législation et politique adoptées par votre pays concernant l’accessibilité des personnes </w:t>
            </w:r>
            <w:r w:rsidR="008A68F8" w:rsidRPr="00F460DD">
              <w:rPr>
                <w:rFonts w:ascii="Times New Roman" w:hAnsi="Times New Roman" w:cs="Times New Roman"/>
                <w:b/>
                <w:bCs/>
                <w:sz w:val="24"/>
                <w:szCs w:val="24"/>
              </w:rPr>
              <w:t>Handicapées à</w:t>
            </w:r>
            <w:r w:rsidR="000238EF" w:rsidRPr="00F460DD">
              <w:rPr>
                <w:rFonts w:ascii="Times New Roman" w:hAnsi="Times New Roman" w:cs="Times New Roman"/>
                <w:b/>
                <w:bCs/>
                <w:sz w:val="24"/>
                <w:szCs w:val="24"/>
              </w:rPr>
              <w:t xml:space="preserve"> l’environnement physique, aux transports, à l’information et la communication, et à d’autres équipements et services, y compris :</w:t>
            </w:r>
          </w:p>
        </w:tc>
      </w:tr>
      <w:tr w:rsidR="00D865E6" w:rsidTr="007A6388">
        <w:trPr>
          <w:trHeight w:val="425"/>
        </w:trPr>
        <w:tc>
          <w:tcPr>
            <w:tcW w:w="5290" w:type="dxa"/>
            <w:shd w:val="clear" w:color="auto" w:fill="F2F2F2" w:themeFill="background1" w:themeFillShade="F2"/>
          </w:tcPr>
          <w:p w:rsidR="007A6388" w:rsidRDefault="007A6388" w:rsidP="007A6388">
            <w:pPr>
              <w:pStyle w:val="ListParagraph"/>
              <w:spacing w:after="200" w:line="276" w:lineRule="auto"/>
              <w:rPr>
                <w:rFonts w:ascii="Times New Roman" w:hAnsi="Times New Roman" w:cs="Times New Roman"/>
                <w:sz w:val="24"/>
                <w:szCs w:val="24"/>
              </w:rPr>
            </w:pPr>
          </w:p>
          <w:p w:rsidR="000238EF" w:rsidRDefault="000238EF" w:rsidP="00F913D6">
            <w:pPr>
              <w:pStyle w:val="ListParagraph"/>
              <w:numPr>
                <w:ilvl w:val="0"/>
                <w:numId w:val="17"/>
              </w:numPr>
              <w:spacing w:after="200" w:line="276" w:lineRule="auto"/>
              <w:rPr>
                <w:rFonts w:ascii="Times New Roman" w:hAnsi="Times New Roman" w:cs="Times New Roman"/>
                <w:sz w:val="24"/>
                <w:szCs w:val="24"/>
              </w:rPr>
            </w:pPr>
            <w:r w:rsidRPr="000238EF">
              <w:rPr>
                <w:rFonts w:ascii="Times New Roman" w:hAnsi="Times New Roman" w:cs="Times New Roman"/>
                <w:sz w:val="24"/>
                <w:szCs w:val="24"/>
              </w:rPr>
              <w:t xml:space="preserve">L’existence de nomes nationales, directives et </w:t>
            </w:r>
            <w:r w:rsidR="008A68F8" w:rsidRPr="000238EF">
              <w:rPr>
                <w:rFonts w:ascii="Times New Roman" w:hAnsi="Times New Roman" w:cs="Times New Roman"/>
                <w:sz w:val="24"/>
                <w:szCs w:val="24"/>
              </w:rPr>
              <w:t>règlements relatifs</w:t>
            </w:r>
            <w:r w:rsidRPr="000238EF">
              <w:rPr>
                <w:rFonts w:ascii="Times New Roman" w:hAnsi="Times New Roman" w:cs="Times New Roman"/>
                <w:sz w:val="24"/>
                <w:szCs w:val="24"/>
              </w:rPr>
              <w:t xml:space="preserve"> à L’accessibilité </w:t>
            </w:r>
            <w:r w:rsidR="008A68F8" w:rsidRPr="000238EF">
              <w:rPr>
                <w:rFonts w:ascii="Times New Roman" w:hAnsi="Times New Roman" w:cs="Times New Roman"/>
                <w:sz w:val="24"/>
                <w:szCs w:val="24"/>
              </w:rPr>
              <w:t>et la</w:t>
            </w:r>
            <w:r w:rsidRPr="000238EF">
              <w:rPr>
                <w:rFonts w:ascii="Times New Roman" w:hAnsi="Times New Roman" w:cs="Times New Roman"/>
                <w:sz w:val="24"/>
                <w:szCs w:val="24"/>
              </w:rPr>
              <w:t xml:space="preserve"> conception universelle y compris aux systèmes et technologies de l’information et de la communication </w:t>
            </w:r>
          </w:p>
          <w:p w:rsidR="006D278D" w:rsidRDefault="006D278D" w:rsidP="006D278D">
            <w:pPr>
              <w:pStyle w:val="ListParagraph"/>
              <w:spacing w:after="200" w:line="276" w:lineRule="auto"/>
              <w:rPr>
                <w:rFonts w:ascii="Times New Roman" w:hAnsi="Times New Roman" w:cs="Times New Roman"/>
                <w:sz w:val="24"/>
                <w:szCs w:val="24"/>
              </w:rPr>
            </w:pPr>
          </w:p>
          <w:p w:rsidR="006D278D" w:rsidRDefault="006D278D" w:rsidP="006D278D">
            <w:pPr>
              <w:pStyle w:val="ListParagraph"/>
              <w:spacing w:after="200" w:line="276" w:lineRule="auto"/>
              <w:rPr>
                <w:rFonts w:ascii="Times New Roman" w:hAnsi="Times New Roman" w:cs="Times New Roman"/>
                <w:sz w:val="24"/>
                <w:szCs w:val="24"/>
              </w:rPr>
            </w:pPr>
          </w:p>
          <w:p w:rsidR="001C5662" w:rsidRDefault="001C5662" w:rsidP="006D278D">
            <w:pPr>
              <w:pStyle w:val="ListParagraph"/>
              <w:spacing w:after="200" w:line="276" w:lineRule="auto"/>
              <w:rPr>
                <w:rFonts w:ascii="Times New Roman" w:hAnsi="Times New Roman" w:cs="Times New Roman"/>
                <w:sz w:val="24"/>
                <w:szCs w:val="24"/>
              </w:rPr>
            </w:pPr>
          </w:p>
          <w:p w:rsidR="001038EE" w:rsidRDefault="001038EE" w:rsidP="006D278D">
            <w:pPr>
              <w:pStyle w:val="ListParagraph"/>
              <w:spacing w:after="200" w:line="276" w:lineRule="auto"/>
              <w:rPr>
                <w:rFonts w:ascii="Times New Roman" w:hAnsi="Times New Roman" w:cs="Times New Roman"/>
                <w:sz w:val="24"/>
                <w:szCs w:val="24"/>
              </w:rPr>
            </w:pPr>
          </w:p>
          <w:p w:rsidR="001038EE" w:rsidRDefault="001038EE" w:rsidP="006D278D">
            <w:pPr>
              <w:pStyle w:val="ListParagraph"/>
              <w:spacing w:after="200" w:line="276" w:lineRule="auto"/>
              <w:rPr>
                <w:rFonts w:ascii="Times New Roman" w:hAnsi="Times New Roman" w:cs="Times New Roman"/>
                <w:sz w:val="24"/>
                <w:szCs w:val="24"/>
              </w:rPr>
            </w:pPr>
          </w:p>
          <w:p w:rsidR="001038EE" w:rsidRDefault="001038EE" w:rsidP="006D278D">
            <w:pPr>
              <w:pStyle w:val="ListParagraph"/>
              <w:spacing w:after="200" w:line="276" w:lineRule="auto"/>
              <w:rPr>
                <w:rFonts w:ascii="Times New Roman" w:hAnsi="Times New Roman" w:cs="Times New Roman"/>
                <w:sz w:val="24"/>
                <w:szCs w:val="24"/>
              </w:rPr>
            </w:pPr>
          </w:p>
          <w:p w:rsidR="001038EE" w:rsidRDefault="001038EE" w:rsidP="006D278D">
            <w:pPr>
              <w:pStyle w:val="ListParagraph"/>
              <w:spacing w:after="200" w:line="276" w:lineRule="auto"/>
              <w:rPr>
                <w:rFonts w:ascii="Times New Roman" w:hAnsi="Times New Roman" w:cs="Times New Roman"/>
                <w:sz w:val="24"/>
                <w:szCs w:val="24"/>
              </w:rPr>
            </w:pPr>
          </w:p>
          <w:p w:rsidR="001038EE" w:rsidRDefault="001038EE" w:rsidP="006D278D">
            <w:pPr>
              <w:pStyle w:val="ListParagraph"/>
              <w:spacing w:after="200" w:line="276" w:lineRule="auto"/>
              <w:rPr>
                <w:rFonts w:ascii="Times New Roman" w:hAnsi="Times New Roman" w:cs="Times New Roman"/>
                <w:sz w:val="24"/>
                <w:szCs w:val="24"/>
              </w:rPr>
            </w:pPr>
          </w:p>
          <w:p w:rsidR="001038EE" w:rsidRDefault="001038EE" w:rsidP="006D278D">
            <w:pPr>
              <w:pStyle w:val="ListParagraph"/>
              <w:spacing w:after="200" w:line="276" w:lineRule="auto"/>
              <w:rPr>
                <w:rFonts w:ascii="Times New Roman" w:hAnsi="Times New Roman" w:cs="Times New Roman"/>
                <w:sz w:val="24"/>
                <w:szCs w:val="24"/>
              </w:rPr>
            </w:pPr>
          </w:p>
          <w:p w:rsidR="001038EE" w:rsidRDefault="001038EE" w:rsidP="006D278D">
            <w:pPr>
              <w:pStyle w:val="ListParagraph"/>
              <w:spacing w:after="200" w:line="276" w:lineRule="auto"/>
              <w:rPr>
                <w:rFonts w:ascii="Times New Roman" w:hAnsi="Times New Roman" w:cs="Times New Roman"/>
                <w:sz w:val="24"/>
                <w:szCs w:val="24"/>
              </w:rPr>
            </w:pPr>
          </w:p>
          <w:p w:rsidR="001038EE" w:rsidRDefault="001038EE" w:rsidP="006D278D">
            <w:pPr>
              <w:pStyle w:val="ListParagraph"/>
              <w:spacing w:after="200" w:line="276" w:lineRule="auto"/>
              <w:rPr>
                <w:rFonts w:ascii="Times New Roman" w:hAnsi="Times New Roman" w:cs="Times New Roman"/>
                <w:sz w:val="24"/>
                <w:szCs w:val="24"/>
              </w:rPr>
            </w:pPr>
          </w:p>
          <w:p w:rsidR="001C5662" w:rsidRDefault="001C5662" w:rsidP="006D278D">
            <w:pPr>
              <w:pStyle w:val="ListParagraph"/>
              <w:spacing w:after="200" w:line="276" w:lineRule="auto"/>
              <w:rPr>
                <w:rFonts w:ascii="Times New Roman" w:hAnsi="Times New Roman" w:cs="Times New Roman"/>
                <w:sz w:val="24"/>
                <w:szCs w:val="24"/>
              </w:rPr>
            </w:pPr>
          </w:p>
          <w:p w:rsidR="001C5662" w:rsidRDefault="001C5662" w:rsidP="006D278D">
            <w:pPr>
              <w:pStyle w:val="ListParagraph"/>
              <w:spacing w:after="200" w:line="276" w:lineRule="auto"/>
              <w:rPr>
                <w:rFonts w:ascii="Times New Roman" w:hAnsi="Times New Roman" w:cs="Times New Roman"/>
                <w:sz w:val="24"/>
                <w:szCs w:val="24"/>
              </w:rPr>
            </w:pPr>
          </w:p>
          <w:p w:rsidR="001C5662" w:rsidRDefault="001C5662" w:rsidP="006D278D">
            <w:pPr>
              <w:pStyle w:val="ListParagraph"/>
              <w:spacing w:after="200" w:line="276" w:lineRule="auto"/>
              <w:rPr>
                <w:rFonts w:ascii="Times New Roman" w:hAnsi="Times New Roman" w:cs="Times New Roman"/>
                <w:sz w:val="24"/>
                <w:szCs w:val="24"/>
              </w:rPr>
            </w:pPr>
          </w:p>
          <w:p w:rsidR="006D278D" w:rsidRPr="00ED34EA" w:rsidRDefault="006D278D" w:rsidP="005E6855">
            <w:pPr>
              <w:pStyle w:val="ListParagraph"/>
              <w:numPr>
                <w:ilvl w:val="0"/>
                <w:numId w:val="19"/>
              </w:numPr>
              <w:spacing w:after="200" w:line="276" w:lineRule="auto"/>
              <w:rPr>
                <w:rFonts w:ascii="Times New Roman" w:hAnsi="Times New Roman" w:cs="Times New Roman"/>
                <w:sz w:val="24"/>
                <w:szCs w:val="24"/>
              </w:rPr>
            </w:pPr>
            <w:r w:rsidRPr="00ED34EA">
              <w:rPr>
                <w:rFonts w:ascii="Times New Roman" w:hAnsi="Times New Roman" w:cs="Times New Roman"/>
                <w:sz w:val="24"/>
                <w:szCs w:val="24"/>
              </w:rPr>
              <w:t>Les efforts de formation des fonctionnaires et d’autres acteurs publics sur les questions d’accessibilité.</w:t>
            </w:r>
          </w:p>
          <w:p w:rsidR="006D278D" w:rsidRPr="006D278D" w:rsidRDefault="006D278D" w:rsidP="006D278D">
            <w:pPr>
              <w:spacing w:after="200" w:line="276" w:lineRule="auto"/>
              <w:rPr>
                <w:rFonts w:ascii="Times New Roman" w:hAnsi="Times New Roman" w:cs="Times New Roman"/>
                <w:sz w:val="24"/>
                <w:szCs w:val="24"/>
              </w:rPr>
            </w:pPr>
          </w:p>
          <w:p w:rsidR="00D865E6" w:rsidRPr="00AA048A" w:rsidRDefault="00D865E6" w:rsidP="00D456E8">
            <w:pPr>
              <w:pStyle w:val="ListParagraph"/>
              <w:tabs>
                <w:tab w:val="left" w:pos="273"/>
              </w:tabs>
              <w:ind w:left="273"/>
              <w:jc w:val="both"/>
              <w:rPr>
                <w:sz w:val="24"/>
                <w:szCs w:val="24"/>
              </w:rPr>
            </w:pPr>
          </w:p>
        </w:tc>
        <w:tc>
          <w:tcPr>
            <w:tcW w:w="9169" w:type="dxa"/>
          </w:tcPr>
          <w:p w:rsidR="001F5A45" w:rsidRDefault="001F5A45" w:rsidP="002A04CE">
            <w:pPr>
              <w:spacing w:line="360" w:lineRule="auto"/>
              <w:ind w:left="273"/>
              <w:jc w:val="both"/>
              <w:rPr>
                <w:rFonts w:ascii="Times New Roman" w:hAnsi="Times New Roman" w:cs="Times New Roman"/>
                <w:sz w:val="24"/>
                <w:szCs w:val="24"/>
              </w:rPr>
            </w:pPr>
          </w:p>
          <w:p w:rsidR="00F75D25" w:rsidRDefault="000C10A0" w:rsidP="00F75D25">
            <w:pPr>
              <w:spacing w:line="360" w:lineRule="auto"/>
              <w:ind w:left="273"/>
              <w:jc w:val="both"/>
              <w:rPr>
                <w:rFonts w:ascii="Times New Roman" w:hAnsi="Times New Roman" w:cs="Times New Roman"/>
                <w:sz w:val="24"/>
                <w:szCs w:val="24"/>
              </w:rPr>
            </w:pPr>
            <w:r>
              <w:rPr>
                <w:rFonts w:ascii="Times New Roman" w:hAnsi="Times New Roman" w:cs="Times New Roman"/>
                <w:sz w:val="24"/>
                <w:szCs w:val="24"/>
              </w:rPr>
              <w:t>Depuis 2003, l</w:t>
            </w:r>
            <w:r w:rsidR="005C25F2">
              <w:rPr>
                <w:rFonts w:ascii="Times New Roman" w:hAnsi="Times New Roman" w:cs="Times New Roman"/>
                <w:sz w:val="24"/>
                <w:szCs w:val="24"/>
              </w:rPr>
              <w:t>e Maroc</w:t>
            </w:r>
            <w:r w:rsidR="00A973F0">
              <w:rPr>
                <w:rFonts w:ascii="Times New Roman" w:hAnsi="Times New Roman" w:cs="Times New Roman"/>
                <w:sz w:val="24"/>
                <w:szCs w:val="24"/>
              </w:rPr>
              <w:t xml:space="preserve"> dispose d’un texte de loi relatif aux accessibilités. </w:t>
            </w:r>
            <w:r>
              <w:rPr>
                <w:rFonts w:ascii="Times New Roman" w:hAnsi="Times New Roman" w:cs="Times New Roman"/>
                <w:sz w:val="24"/>
                <w:szCs w:val="24"/>
              </w:rPr>
              <w:t xml:space="preserve">Cette loi couvre l’ensemble des domaines d’accessibilités urbanistiques, architecturales de transport et de communication. </w:t>
            </w:r>
            <w:r w:rsidR="00F75D25">
              <w:rPr>
                <w:rFonts w:ascii="Times New Roman" w:hAnsi="Times New Roman" w:cs="Times New Roman"/>
                <w:sz w:val="24"/>
                <w:szCs w:val="24"/>
              </w:rPr>
              <w:t xml:space="preserve">L’année 2011 a connu la promulgation du décret d’application qui fixe certaines mesures mais ne précise pas les spécificités techniques et les normes d’accessibilités à respecter. </w:t>
            </w:r>
          </w:p>
          <w:p w:rsidR="00F75D25" w:rsidRDefault="00F75D25" w:rsidP="00F75D25">
            <w:pPr>
              <w:spacing w:line="360" w:lineRule="auto"/>
              <w:ind w:left="273"/>
              <w:jc w:val="both"/>
              <w:rPr>
                <w:rFonts w:ascii="Times New Roman" w:hAnsi="Times New Roman" w:cs="Times New Roman"/>
                <w:sz w:val="24"/>
                <w:szCs w:val="24"/>
              </w:rPr>
            </w:pPr>
            <w:r>
              <w:rPr>
                <w:rFonts w:ascii="Times New Roman" w:hAnsi="Times New Roman" w:cs="Times New Roman"/>
                <w:sz w:val="24"/>
                <w:szCs w:val="24"/>
              </w:rPr>
              <w:t>Actuellement le gouvernement ouvre pour la promulgation de 5 arrêtés fixant les normes en matière d’accessibilités</w:t>
            </w:r>
            <w:r w:rsidRPr="00F75D25">
              <w:rPr>
                <w:rFonts w:ascii="Times New Roman" w:hAnsi="Times New Roman" w:cs="Times New Roman"/>
                <w:sz w:val="24"/>
                <w:szCs w:val="24"/>
              </w:rPr>
              <w:t xml:space="preserve"> urbanistiques, architecturales de transport et de communication</w:t>
            </w:r>
            <w:r>
              <w:rPr>
                <w:rFonts w:ascii="Times New Roman" w:hAnsi="Times New Roman" w:cs="Times New Roman"/>
                <w:sz w:val="24"/>
                <w:szCs w:val="24"/>
              </w:rPr>
              <w:t>.</w:t>
            </w:r>
          </w:p>
          <w:p w:rsidR="008A68F8" w:rsidRPr="001038EE" w:rsidRDefault="00326DC4" w:rsidP="00326DC4">
            <w:pPr>
              <w:spacing w:line="360" w:lineRule="auto"/>
              <w:jc w:val="both"/>
              <w:rPr>
                <w:rFonts w:ascii="Times New Roman" w:hAnsi="Times New Roman" w:cs="Times New Roman"/>
                <w:sz w:val="24"/>
                <w:szCs w:val="24"/>
              </w:rPr>
            </w:pPr>
            <w:r w:rsidRPr="001038EE">
              <w:rPr>
                <w:rFonts w:ascii="Times New Roman" w:hAnsi="Times New Roman" w:cs="Times New Roman"/>
                <w:sz w:val="24"/>
                <w:szCs w:val="24"/>
              </w:rPr>
              <w:t xml:space="preserve">L’année 2012 a été marquée par la création d’une commission technique des accessibilités au sein de l’institut national de normalisation, organisme officiel marocain de production et </w:t>
            </w:r>
            <w:r w:rsidRPr="001038EE">
              <w:rPr>
                <w:rFonts w:ascii="Times New Roman" w:hAnsi="Times New Roman" w:cs="Times New Roman"/>
                <w:sz w:val="24"/>
                <w:szCs w:val="24"/>
              </w:rPr>
              <w:lastRenderedPageBreak/>
              <w:t xml:space="preserve">de certification de conformité des normes. Cette commission a étudié et adopté plusieurs normes en relation avec les accessibilités des personnes en situation de handicap. </w:t>
            </w:r>
          </w:p>
          <w:p w:rsidR="008A68F8" w:rsidRPr="001038EE" w:rsidRDefault="008A68F8" w:rsidP="001038EE">
            <w:pPr>
              <w:spacing w:line="360" w:lineRule="auto"/>
              <w:jc w:val="both"/>
              <w:rPr>
                <w:rFonts w:ascii="Times New Roman" w:hAnsi="Times New Roman" w:cs="Times New Roman"/>
                <w:sz w:val="24"/>
                <w:szCs w:val="24"/>
              </w:rPr>
            </w:pPr>
          </w:p>
          <w:p w:rsidR="003B76A3" w:rsidRDefault="003B76A3" w:rsidP="00F75D25">
            <w:pPr>
              <w:spacing w:line="360" w:lineRule="auto"/>
              <w:ind w:left="273"/>
              <w:jc w:val="both"/>
              <w:rPr>
                <w:rFonts w:ascii="Times New Roman" w:hAnsi="Times New Roman" w:cs="Times New Roman"/>
                <w:sz w:val="24"/>
                <w:szCs w:val="24"/>
              </w:rPr>
            </w:pPr>
          </w:p>
          <w:p w:rsidR="00A75757" w:rsidRDefault="003B76A3" w:rsidP="008A68F8">
            <w:pPr>
              <w:spacing w:line="360" w:lineRule="auto"/>
              <w:ind w:left="273"/>
              <w:jc w:val="both"/>
              <w:rPr>
                <w:rFonts w:ascii="Times New Roman" w:hAnsi="Times New Roman" w:cs="Times New Roman"/>
                <w:sz w:val="24"/>
                <w:szCs w:val="24"/>
              </w:rPr>
            </w:pPr>
            <w:r>
              <w:rPr>
                <w:rFonts w:ascii="Times New Roman" w:hAnsi="Times New Roman" w:cs="Times New Roman"/>
                <w:sz w:val="24"/>
                <w:szCs w:val="24"/>
              </w:rPr>
              <w:t xml:space="preserve">Dans le domaine de la formation, </w:t>
            </w:r>
            <w:r w:rsidRPr="001C5662">
              <w:rPr>
                <w:rFonts w:ascii="Times New Roman" w:hAnsi="Times New Roman" w:cs="Times New Roman"/>
                <w:sz w:val="24"/>
                <w:szCs w:val="24"/>
              </w:rPr>
              <w:t>des modules de formation</w:t>
            </w:r>
            <w:r w:rsidR="00500BA0">
              <w:rPr>
                <w:rFonts w:ascii="Times New Roman" w:hAnsi="Times New Roman" w:cs="Times New Roman"/>
                <w:sz w:val="24"/>
                <w:szCs w:val="24"/>
              </w:rPr>
              <w:t xml:space="preserve"> </w:t>
            </w:r>
            <w:r w:rsidRPr="001C5662">
              <w:rPr>
                <w:rFonts w:ascii="Times New Roman" w:hAnsi="Times New Roman" w:cs="Times New Roman"/>
                <w:sz w:val="24"/>
                <w:szCs w:val="24"/>
              </w:rPr>
              <w:t xml:space="preserve">en matière d'accessibilité </w:t>
            </w:r>
            <w:r w:rsidR="001C5662">
              <w:rPr>
                <w:rFonts w:ascii="Times New Roman" w:hAnsi="Times New Roman" w:cs="Times New Roman"/>
                <w:sz w:val="24"/>
                <w:szCs w:val="24"/>
              </w:rPr>
              <w:t>ont été élaboré,</w:t>
            </w:r>
            <w:r w:rsidR="00500BA0">
              <w:rPr>
                <w:rFonts w:ascii="Times New Roman" w:hAnsi="Times New Roman" w:cs="Times New Roman"/>
                <w:sz w:val="24"/>
                <w:szCs w:val="24"/>
              </w:rPr>
              <w:t xml:space="preserve"> </w:t>
            </w:r>
            <w:r w:rsidR="00A75757">
              <w:rPr>
                <w:rFonts w:ascii="Times New Roman" w:hAnsi="Times New Roman" w:cs="Times New Roman"/>
                <w:sz w:val="24"/>
                <w:szCs w:val="24"/>
              </w:rPr>
              <w:t>au profit</w:t>
            </w:r>
            <w:r w:rsidRPr="001C5662">
              <w:rPr>
                <w:rFonts w:ascii="Times New Roman" w:hAnsi="Times New Roman" w:cs="Times New Roman"/>
                <w:sz w:val="24"/>
                <w:szCs w:val="24"/>
              </w:rPr>
              <w:t xml:space="preserve"> architectes et techniciens relevant des collectivités territoriales et des agences urbaines, et pour les associations œuvrant dans le domaine de handicap</w:t>
            </w:r>
            <w:r w:rsidR="001C5662">
              <w:rPr>
                <w:rFonts w:ascii="Times New Roman" w:hAnsi="Times New Roman" w:cs="Times New Roman"/>
                <w:sz w:val="24"/>
                <w:szCs w:val="24"/>
              </w:rPr>
              <w:t>.</w:t>
            </w:r>
          </w:p>
          <w:p w:rsidR="007A6388" w:rsidRPr="001A781D" w:rsidRDefault="001A781D" w:rsidP="008A68F8">
            <w:pPr>
              <w:spacing w:line="360" w:lineRule="auto"/>
              <w:ind w:left="273"/>
              <w:jc w:val="both"/>
              <w:rPr>
                <w:rFonts w:ascii="Times New Roman" w:hAnsi="Times New Roman" w:cs="Times New Roman"/>
                <w:sz w:val="24"/>
                <w:szCs w:val="24"/>
              </w:rPr>
            </w:pPr>
            <w:r>
              <w:rPr>
                <w:rFonts w:ascii="Times New Roman" w:hAnsi="Times New Roman" w:cs="Times New Roman"/>
                <w:sz w:val="24"/>
                <w:szCs w:val="24"/>
              </w:rPr>
              <w:t>240 de ces architectes et techniciens ont bénéficié de 8 sessions de formation an matière des normes des accessibilités. Deux sessions de formation au profit des cadres des associations sont en cours d’exécution.</w:t>
            </w:r>
          </w:p>
        </w:tc>
      </w:tr>
      <w:tr w:rsidR="0021586B" w:rsidTr="007A6388">
        <w:trPr>
          <w:trHeight w:val="1065"/>
        </w:trPr>
        <w:tc>
          <w:tcPr>
            <w:tcW w:w="5290" w:type="dxa"/>
            <w:shd w:val="clear" w:color="auto" w:fill="F2F2F2" w:themeFill="background1" w:themeFillShade="F2"/>
          </w:tcPr>
          <w:p w:rsidR="007A6388" w:rsidRPr="007A6388" w:rsidRDefault="007A6388" w:rsidP="007A6388">
            <w:pPr>
              <w:pStyle w:val="ListParagraph"/>
              <w:spacing w:after="200" w:line="276" w:lineRule="auto"/>
              <w:rPr>
                <w:sz w:val="24"/>
                <w:szCs w:val="24"/>
              </w:rPr>
            </w:pPr>
          </w:p>
          <w:p w:rsidR="0021586B" w:rsidRPr="00ED34EA" w:rsidRDefault="00ED34EA" w:rsidP="005E6855">
            <w:pPr>
              <w:pStyle w:val="ListParagraph"/>
              <w:numPr>
                <w:ilvl w:val="0"/>
                <w:numId w:val="20"/>
              </w:numPr>
              <w:spacing w:after="200" w:line="276" w:lineRule="auto"/>
              <w:rPr>
                <w:sz w:val="24"/>
                <w:szCs w:val="24"/>
              </w:rPr>
            </w:pPr>
            <w:r w:rsidRPr="00ED34EA">
              <w:rPr>
                <w:rFonts w:ascii="Times New Roman" w:hAnsi="Times New Roman" w:cs="Times New Roman"/>
                <w:sz w:val="24"/>
                <w:szCs w:val="24"/>
              </w:rPr>
              <w:t xml:space="preserve">L’existence de plans d’action, assortis d’échéances précises, pour rendre les </w:t>
            </w:r>
            <w:r w:rsidR="008A68F8" w:rsidRPr="00ED34EA">
              <w:rPr>
                <w:rFonts w:ascii="Times New Roman" w:hAnsi="Times New Roman" w:cs="Times New Roman"/>
                <w:sz w:val="24"/>
                <w:szCs w:val="24"/>
              </w:rPr>
              <w:t>installations et</w:t>
            </w:r>
            <w:r w:rsidRPr="00ED34EA">
              <w:rPr>
                <w:rFonts w:ascii="Times New Roman" w:hAnsi="Times New Roman" w:cs="Times New Roman"/>
                <w:sz w:val="24"/>
                <w:szCs w:val="24"/>
              </w:rPr>
              <w:t xml:space="preserve"> les services publics et privés accessibles aux personnes handicapées</w:t>
            </w:r>
          </w:p>
        </w:tc>
        <w:tc>
          <w:tcPr>
            <w:tcW w:w="9169" w:type="dxa"/>
          </w:tcPr>
          <w:p w:rsidR="0046274B" w:rsidRDefault="0046274B" w:rsidP="0046274B">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Dans le cadre d’un programme de coopération avec la banque mondiale, la ville de Marrakech bénéficiera de l’instauration des accessibilités dans les principaux avenues, les structures relevant de la willaya et de la municipalité ainsi que deux jardins publiques. </w:t>
            </w:r>
          </w:p>
          <w:p w:rsidR="0046274B" w:rsidRDefault="0046274B" w:rsidP="0046274B">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Quatre autres villes ont bénéficié d’étude de diagnostic en matière d’accessibilité avant le lancement des travaux. Il s’agit des villes d</w:t>
            </w:r>
            <w:r w:rsidR="00500BA0">
              <w:rPr>
                <w:rFonts w:ascii="Times New Roman" w:hAnsi="Times New Roman" w:cs="Times New Roman"/>
                <w:sz w:val="24"/>
                <w:szCs w:val="24"/>
              </w:rPr>
              <w:t>e Tanger, Casablanca, Oujda et R</w:t>
            </w:r>
            <w:r>
              <w:rPr>
                <w:rFonts w:ascii="Times New Roman" w:hAnsi="Times New Roman" w:cs="Times New Roman"/>
                <w:sz w:val="24"/>
                <w:szCs w:val="24"/>
              </w:rPr>
              <w:t xml:space="preserve">abat.   </w:t>
            </w:r>
          </w:p>
          <w:p w:rsidR="0021586B" w:rsidRDefault="0046274B" w:rsidP="001A781D">
            <w:pPr>
              <w:pStyle w:val="ListParagraph"/>
              <w:spacing w:line="360" w:lineRule="auto"/>
              <w:ind w:left="0"/>
            </w:pPr>
            <w:r>
              <w:rPr>
                <w:rFonts w:ascii="Times New Roman" w:hAnsi="Times New Roman" w:cs="Times New Roman"/>
                <w:sz w:val="24"/>
                <w:szCs w:val="24"/>
              </w:rPr>
              <w:t>D’autre part, l</w:t>
            </w:r>
            <w:r w:rsidR="00A75757" w:rsidRPr="001A781D">
              <w:rPr>
                <w:rFonts w:ascii="Times New Roman" w:hAnsi="Times New Roman" w:cs="Times New Roman"/>
                <w:sz w:val="24"/>
                <w:szCs w:val="24"/>
              </w:rPr>
              <w:t xml:space="preserve">e projet du plan d’action national en matière de la promotion des droits des personnes en situation de handicap prévoit </w:t>
            </w:r>
            <w:r w:rsidR="001A781D" w:rsidRPr="001A781D">
              <w:rPr>
                <w:rFonts w:ascii="Times New Roman" w:hAnsi="Times New Roman" w:cs="Times New Roman"/>
                <w:sz w:val="24"/>
                <w:szCs w:val="24"/>
              </w:rPr>
              <w:t>la mise en accessibilités de l’ensemble des structures relevant des départements gouvernementaux</w:t>
            </w:r>
            <w:r w:rsidR="001A781D">
              <w:t>.</w:t>
            </w:r>
          </w:p>
        </w:tc>
      </w:tr>
      <w:tr w:rsidR="00ED34EA" w:rsidTr="007A6388">
        <w:trPr>
          <w:trHeight w:val="1064"/>
        </w:trPr>
        <w:tc>
          <w:tcPr>
            <w:tcW w:w="5290" w:type="dxa"/>
            <w:shd w:val="clear" w:color="auto" w:fill="F2F2F2" w:themeFill="background1" w:themeFillShade="F2"/>
          </w:tcPr>
          <w:p w:rsidR="007A6388" w:rsidRPr="007A6388" w:rsidRDefault="007A6388" w:rsidP="007A6388">
            <w:pPr>
              <w:pStyle w:val="ListParagraph"/>
              <w:spacing w:after="200" w:line="276" w:lineRule="auto"/>
              <w:rPr>
                <w:sz w:val="24"/>
                <w:szCs w:val="24"/>
              </w:rPr>
            </w:pPr>
          </w:p>
          <w:p w:rsidR="00ED34EA" w:rsidRPr="00C55E10" w:rsidRDefault="00ED34EA" w:rsidP="00C55E10">
            <w:pPr>
              <w:pStyle w:val="ListParagraph"/>
              <w:numPr>
                <w:ilvl w:val="0"/>
                <w:numId w:val="21"/>
              </w:numPr>
              <w:spacing w:after="200" w:line="276" w:lineRule="auto"/>
              <w:rPr>
                <w:sz w:val="24"/>
                <w:szCs w:val="24"/>
              </w:rPr>
            </w:pPr>
            <w:r w:rsidRPr="00457E32">
              <w:rPr>
                <w:rFonts w:ascii="Times New Roman" w:hAnsi="Times New Roman" w:cs="Times New Roman"/>
                <w:sz w:val="24"/>
                <w:szCs w:val="24"/>
              </w:rPr>
              <w:t>L’existence de critères d’accessibilité pour les procédures d’attribution de marchés publics</w:t>
            </w:r>
            <w:r w:rsidRPr="00AA048A">
              <w:rPr>
                <w:sz w:val="24"/>
                <w:szCs w:val="24"/>
              </w:rPr>
              <w:t>,</w:t>
            </w:r>
          </w:p>
        </w:tc>
        <w:tc>
          <w:tcPr>
            <w:tcW w:w="9169" w:type="dxa"/>
          </w:tcPr>
          <w:p w:rsidR="00500BA0" w:rsidRDefault="00500BA0" w:rsidP="00500BA0">
            <w:pPr>
              <w:pStyle w:val="ListParagraph"/>
              <w:spacing w:line="360" w:lineRule="auto"/>
              <w:ind w:left="0"/>
            </w:pPr>
          </w:p>
          <w:p w:rsidR="00ED34EA" w:rsidRDefault="0046274B" w:rsidP="00500BA0">
            <w:pPr>
              <w:pStyle w:val="ListParagraph"/>
              <w:spacing w:line="360" w:lineRule="auto"/>
              <w:ind w:left="0"/>
            </w:pPr>
            <w:r>
              <w:t xml:space="preserve"> </w:t>
            </w:r>
            <w:r w:rsidR="00500BA0">
              <w:rPr>
                <w:rFonts w:ascii="Times New Roman" w:hAnsi="Times New Roman" w:cs="Times New Roman"/>
                <w:sz w:val="24"/>
                <w:szCs w:val="24"/>
              </w:rPr>
              <w:t>D</w:t>
            </w:r>
            <w:r w:rsidRPr="00500BA0">
              <w:rPr>
                <w:rFonts w:ascii="Times New Roman" w:hAnsi="Times New Roman" w:cs="Times New Roman"/>
                <w:sz w:val="24"/>
                <w:szCs w:val="24"/>
              </w:rPr>
              <w:t xml:space="preserve">es critères d’accessibilités ont été </w:t>
            </w:r>
            <w:r w:rsidR="00565031" w:rsidRPr="00500BA0">
              <w:rPr>
                <w:rFonts w:ascii="Times New Roman" w:hAnsi="Times New Roman" w:cs="Times New Roman"/>
                <w:sz w:val="24"/>
                <w:szCs w:val="24"/>
              </w:rPr>
              <w:t>insérés</w:t>
            </w:r>
            <w:r w:rsidRPr="00500BA0">
              <w:rPr>
                <w:rFonts w:ascii="Times New Roman" w:hAnsi="Times New Roman" w:cs="Times New Roman"/>
                <w:sz w:val="24"/>
                <w:szCs w:val="24"/>
              </w:rPr>
              <w:t xml:space="preserve"> dans les CPS type de tous les marché</w:t>
            </w:r>
            <w:r w:rsidR="00565031" w:rsidRPr="00500BA0">
              <w:rPr>
                <w:rFonts w:ascii="Times New Roman" w:hAnsi="Times New Roman" w:cs="Times New Roman"/>
                <w:sz w:val="24"/>
                <w:szCs w:val="24"/>
              </w:rPr>
              <w:t>s</w:t>
            </w:r>
            <w:r w:rsidRPr="00500BA0">
              <w:rPr>
                <w:rFonts w:ascii="Times New Roman" w:hAnsi="Times New Roman" w:cs="Times New Roman"/>
                <w:sz w:val="24"/>
                <w:szCs w:val="24"/>
              </w:rPr>
              <w:t xml:space="preserve"> de travaux </w:t>
            </w:r>
            <w:r w:rsidR="007E2D0F">
              <w:rPr>
                <w:rFonts w:ascii="Times New Roman" w:hAnsi="Times New Roman" w:cs="Times New Roman"/>
                <w:sz w:val="24"/>
                <w:szCs w:val="24"/>
              </w:rPr>
              <w:t xml:space="preserve">d’aménagement urbanistiques </w:t>
            </w:r>
            <w:r w:rsidRPr="00500BA0">
              <w:rPr>
                <w:rFonts w:ascii="Times New Roman" w:hAnsi="Times New Roman" w:cs="Times New Roman"/>
                <w:sz w:val="24"/>
                <w:szCs w:val="24"/>
              </w:rPr>
              <w:t>lancé par les collectivités territoriale</w:t>
            </w:r>
            <w:r>
              <w:t xml:space="preserve">    </w:t>
            </w:r>
          </w:p>
        </w:tc>
      </w:tr>
      <w:tr w:rsidR="00ED34EA" w:rsidTr="007A6388">
        <w:trPr>
          <w:trHeight w:val="949"/>
        </w:trPr>
        <w:tc>
          <w:tcPr>
            <w:tcW w:w="5290" w:type="dxa"/>
            <w:shd w:val="clear" w:color="auto" w:fill="F2F2F2" w:themeFill="background1" w:themeFillShade="F2"/>
          </w:tcPr>
          <w:p w:rsidR="007A6388" w:rsidRDefault="007A6388" w:rsidP="007A6388">
            <w:pPr>
              <w:pStyle w:val="ListParagraph"/>
              <w:spacing w:after="200" w:line="276" w:lineRule="auto"/>
              <w:rPr>
                <w:rFonts w:ascii="Times New Roman" w:hAnsi="Times New Roman" w:cs="Times New Roman"/>
                <w:sz w:val="24"/>
                <w:szCs w:val="24"/>
              </w:rPr>
            </w:pPr>
          </w:p>
          <w:p w:rsidR="00ED34EA" w:rsidRPr="00ED34EA" w:rsidRDefault="00ED34EA" w:rsidP="005E6855">
            <w:pPr>
              <w:pStyle w:val="ListParagraph"/>
              <w:numPr>
                <w:ilvl w:val="0"/>
                <w:numId w:val="21"/>
              </w:numPr>
              <w:spacing w:after="200" w:line="276" w:lineRule="auto"/>
              <w:rPr>
                <w:rFonts w:ascii="Times New Roman" w:hAnsi="Times New Roman" w:cs="Times New Roman"/>
                <w:sz w:val="24"/>
                <w:szCs w:val="24"/>
              </w:rPr>
            </w:pPr>
            <w:r w:rsidRPr="00ED34EA">
              <w:rPr>
                <w:rFonts w:ascii="Times New Roman" w:hAnsi="Times New Roman" w:cs="Times New Roman"/>
                <w:sz w:val="24"/>
                <w:szCs w:val="24"/>
              </w:rPr>
              <w:t>L’existence de tout mécanisme pour assurer le respect des normes d’accessibilité,</w:t>
            </w:r>
          </w:p>
          <w:p w:rsidR="00ED34EA" w:rsidRPr="003E2887" w:rsidRDefault="00ED34EA" w:rsidP="003E2887">
            <w:pPr>
              <w:pStyle w:val="ListParagraph"/>
              <w:tabs>
                <w:tab w:val="left" w:pos="273"/>
              </w:tabs>
              <w:ind w:left="273"/>
              <w:jc w:val="both"/>
              <w:rPr>
                <w:sz w:val="24"/>
                <w:szCs w:val="24"/>
              </w:rPr>
            </w:pPr>
          </w:p>
        </w:tc>
        <w:tc>
          <w:tcPr>
            <w:tcW w:w="9169" w:type="dxa"/>
          </w:tcPr>
          <w:p w:rsidR="001038EE" w:rsidRPr="00C55E10" w:rsidRDefault="001038EE" w:rsidP="00C55E10">
            <w:pPr>
              <w:pStyle w:val="ListParagraph"/>
              <w:spacing w:line="360" w:lineRule="auto"/>
              <w:ind w:left="0"/>
              <w:rPr>
                <w:rFonts w:asciiTheme="majorBidi" w:hAnsiTheme="majorBidi" w:cstheme="majorBidi"/>
                <w:sz w:val="24"/>
                <w:szCs w:val="24"/>
              </w:rPr>
            </w:pPr>
            <w:r w:rsidRPr="00C55E10">
              <w:rPr>
                <w:rFonts w:asciiTheme="majorBidi" w:hAnsiTheme="majorBidi" w:cstheme="majorBidi"/>
                <w:sz w:val="24"/>
                <w:szCs w:val="24"/>
              </w:rPr>
              <w:lastRenderedPageBreak/>
              <w:t xml:space="preserve">Le décret d’application de la loi sur les accessibilités prévoit la promulgation de 5 arrêtés fixant les normes à respecter en matière des accessibilités. Ces textes réglementaires sont </w:t>
            </w:r>
            <w:r w:rsidRPr="00C55E10">
              <w:rPr>
                <w:rFonts w:asciiTheme="majorBidi" w:hAnsiTheme="majorBidi" w:cstheme="majorBidi"/>
                <w:sz w:val="24"/>
                <w:szCs w:val="24"/>
              </w:rPr>
              <w:lastRenderedPageBreak/>
              <w:t>actuellement en phase finale d’élaboration par les départements</w:t>
            </w:r>
            <w:r w:rsidR="00C55E10" w:rsidRPr="00C55E10">
              <w:rPr>
                <w:rFonts w:asciiTheme="majorBidi" w:hAnsiTheme="majorBidi" w:cstheme="majorBidi"/>
                <w:sz w:val="24"/>
                <w:szCs w:val="24"/>
              </w:rPr>
              <w:t xml:space="preserve"> ministériels.</w:t>
            </w:r>
            <w:r w:rsidRPr="00C55E10">
              <w:rPr>
                <w:rFonts w:asciiTheme="majorBidi" w:hAnsiTheme="majorBidi" w:cstheme="majorBidi"/>
                <w:sz w:val="24"/>
                <w:szCs w:val="24"/>
              </w:rPr>
              <w:t> </w:t>
            </w:r>
            <w:r w:rsidR="00C55E10" w:rsidRPr="00C55E10">
              <w:rPr>
                <w:rFonts w:asciiTheme="majorBidi" w:hAnsiTheme="majorBidi" w:cstheme="majorBidi"/>
                <w:sz w:val="24"/>
                <w:szCs w:val="24"/>
              </w:rPr>
              <w:t>Ils concernent les domaines suivants :</w:t>
            </w:r>
            <w:r w:rsidRPr="00C55E10">
              <w:rPr>
                <w:rFonts w:asciiTheme="majorBidi" w:hAnsiTheme="majorBidi" w:cstheme="majorBidi"/>
                <w:sz w:val="24"/>
                <w:szCs w:val="24"/>
              </w:rPr>
              <w:t xml:space="preserve"> </w:t>
            </w:r>
          </w:p>
          <w:p w:rsidR="00ED34EA" w:rsidRPr="00C55E10" w:rsidRDefault="00C55E10" w:rsidP="00C55E10">
            <w:pPr>
              <w:pStyle w:val="ListParagraph"/>
              <w:spacing w:line="360" w:lineRule="auto"/>
              <w:ind w:left="443"/>
              <w:rPr>
                <w:rFonts w:asciiTheme="majorBidi" w:hAnsiTheme="majorBidi" w:cstheme="majorBidi"/>
                <w:sz w:val="24"/>
                <w:szCs w:val="24"/>
              </w:rPr>
            </w:pPr>
            <w:r w:rsidRPr="00C55E10">
              <w:rPr>
                <w:rFonts w:asciiTheme="majorBidi" w:hAnsiTheme="majorBidi" w:cstheme="majorBidi"/>
                <w:sz w:val="24"/>
                <w:szCs w:val="24"/>
              </w:rPr>
              <w:t>-Accessibilités urbanistiques</w:t>
            </w:r>
          </w:p>
          <w:p w:rsidR="00C55E10" w:rsidRPr="00C55E10" w:rsidRDefault="00C55E10" w:rsidP="00C55E10">
            <w:pPr>
              <w:pStyle w:val="ListParagraph"/>
              <w:spacing w:line="360" w:lineRule="auto"/>
              <w:ind w:left="443"/>
              <w:rPr>
                <w:rFonts w:asciiTheme="majorBidi" w:hAnsiTheme="majorBidi" w:cstheme="majorBidi"/>
                <w:sz w:val="24"/>
                <w:szCs w:val="24"/>
              </w:rPr>
            </w:pPr>
            <w:r w:rsidRPr="00C55E10">
              <w:rPr>
                <w:rFonts w:asciiTheme="majorBidi" w:hAnsiTheme="majorBidi" w:cstheme="majorBidi"/>
                <w:sz w:val="24"/>
                <w:szCs w:val="24"/>
              </w:rPr>
              <w:t>- Accessibilités architecturales</w:t>
            </w:r>
          </w:p>
          <w:p w:rsidR="00C55E10" w:rsidRPr="00C55E10" w:rsidRDefault="00C55E10" w:rsidP="00C55E10">
            <w:pPr>
              <w:pStyle w:val="ListParagraph"/>
              <w:spacing w:line="360" w:lineRule="auto"/>
              <w:ind w:left="443"/>
              <w:rPr>
                <w:rFonts w:asciiTheme="majorBidi" w:hAnsiTheme="majorBidi" w:cstheme="majorBidi"/>
                <w:sz w:val="24"/>
                <w:szCs w:val="24"/>
              </w:rPr>
            </w:pPr>
            <w:r w:rsidRPr="00C55E10">
              <w:rPr>
                <w:rFonts w:asciiTheme="majorBidi" w:hAnsiTheme="majorBidi" w:cstheme="majorBidi"/>
                <w:sz w:val="24"/>
                <w:szCs w:val="24"/>
              </w:rPr>
              <w:t>- Accessibilités du matériel roulant</w:t>
            </w:r>
          </w:p>
          <w:p w:rsidR="00C55E10" w:rsidRPr="00C55E10" w:rsidRDefault="00C55E10" w:rsidP="00C55E10">
            <w:pPr>
              <w:pStyle w:val="ListParagraph"/>
              <w:spacing w:line="360" w:lineRule="auto"/>
              <w:ind w:left="443"/>
              <w:rPr>
                <w:rFonts w:asciiTheme="majorBidi" w:hAnsiTheme="majorBidi" w:cstheme="majorBidi"/>
                <w:sz w:val="24"/>
                <w:szCs w:val="24"/>
              </w:rPr>
            </w:pPr>
            <w:r w:rsidRPr="00C55E10">
              <w:rPr>
                <w:rFonts w:asciiTheme="majorBidi" w:hAnsiTheme="majorBidi" w:cstheme="majorBidi"/>
                <w:sz w:val="24"/>
                <w:szCs w:val="24"/>
              </w:rPr>
              <w:t>- Accessibilités d’infrastructure routière</w:t>
            </w:r>
          </w:p>
          <w:p w:rsidR="00C55E10" w:rsidRDefault="00C55E10" w:rsidP="00C55E10">
            <w:pPr>
              <w:pStyle w:val="ListParagraph"/>
              <w:spacing w:line="360" w:lineRule="auto"/>
              <w:ind w:left="443"/>
            </w:pPr>
            <w:r w:rsidRPr="00C55E10">
              <w:rPr>
                <w:rFonts w:asciiTheme="majorBidi" w:hAnsiTheme="majorBidi" w:cstheme="majorBidi"/>
                <w:sz w:val="24"/>
                <w:szCs w:val="24"/>
              </w:rPr>
              <w:t>- Accessibilités de communication</w:t>
            </w:r>
            <w:r>
              <w:t xml:space="preserve"> </w:t>
            </w:r>
          </w:p>
        </w:tc>
      </w:tr>
      <w:tr w:rsidR="00457E32" w:rsidTr="00566A61">
        <w:trPr>
          <w:trHeight w:val="524"/>
        </w:trPr>
        <w:tc>
          <w:tcPr>
            <w:tcW w:w="14459" w:type="dxa"/>
            <w:gridSpan w:val="2"/>
            <w:shd w:val="clear" w:color="auto" w:fill="D9D9D9" w:themeFill="background1" w:themeFillShade="D9"/>
          </w:tcPr>
          <w:p w:rsidR="00457E32" w:rsidRPr="00AA048A" w:rsidRDefault="00457E32" w:rsidP="00D303F7">
            <w:pPr>
              <w:rPr>
                <w:sz w:val="24"/>
                <w:szCs w:val="24"/>
              </w:rPr>
            </w:pPr>
            <w:r w:rsidRPr="00AA048A">
              <w:rPr>
                <w:sz w:val="24"/>
                <w:szCs w:val="24"/>
              </w:rPr>
              <w:lastRenderedPageBreak/>
              <w:t>4</w:t>
            </w:r>
            <w:r w:rsidRPr="00457E32">
              <w:rPr>
                <w:rFonts w:ascii="Times New Roman" w:hAnsi="Times New Roman" w:cs="Times New Roman"/>
                <w:sz w:val="24"/>
                <w:szCs w:val="24"/>
              </w:rPr>
              <w:t xml:space="preserve">. </w:t>
            </w:r>
            <w:r w:rsidRPr="00912A01">
              <w:rPr>
                <w:rFonts w:ascii="Times New Roman" w:hAnsi="Times New Roman" w:cs="Times New Roman"/>
                <w:b/>
                <w:bCs/>
                <w:sz w:val="24"/>
                <w:szCs w:val="24"/>
              </w:rPr>
              <w:t xml:space="preserve">Veuillez fournir des informations sur toute législation et politique adoptées par votre pays </w:t>
            </w:r>
            <w:r w:rsidR="008A68F8" w:rsidRPr="00912A01">
              <w:rPr>
                <w:rFonts w:ascii="Times New Roman" w:hAnsi="Times New Roman" w:cs="Times New Roman"/>
                <w:b/>
                <w:bCs/>
                <w:sz w:val="24"/>
                <w:szCs w:val="24"/>
              </w:rPr>
              <w:t>concernant les</w:t>
            </w:r>
            <w:r w:rsidRPr="00912A01">
              <w:rPr>
                <w:rFonts w:ascii="Times New Roman" w:hAnsi="Times New Roman" w:cs="Times New Roman"/>
                <w:b/>
                <w:bCs/>
                <w:sz w:val="24"/>
                <w:szCs w:val="24"/>
              </w:rPr>
              <w:t xml:space="preserve"> services d’accompagnement aux personnes handicapées, y compris :</w:t>
            </w:r>
          </w:p>
          <w:p w:rsidR="00457E32" w:rsidRDefault="00457E32" w:rsidP="00A85399">
            <w:pPr>
              <w:pStyle w:val="ListParagraph"/>
              <w:ind w:left="0"/>
            </w:pPr>
          </w:p>
        </w:tc>
      </w:tr>
      <w:tr w:rsidR="00457E32" w:rsidTr="007A6388">
        <w:trPr>
          <w:trHeight w:val="524"/>
        </w:trPr>
        <w:tc>
          <w:tcPr>
            <w:tcW w:w="5290" w:type="dxa"/>
            <w:shd w:val="clear" w:color="auto" w:fill="F2F2F2" w:themeFill="background1" w:themeFillShade="F2"/>
          </w:tcPr>
          <w:p w:rsidR="007A6388" w:rsidRDefault="007A6388" w:rsidP="007A6388">
            <w:pPr>
              <w:pStyle w:val="ListParagraph"/>
              <w:spacing w:after="200" w:line="276" w:lineRule="auto"/>
              <w:rPr>
                <w:rFonts w:ascii="Times New Roman" w:hAnsi="Times New Roman" w:cs="Times New Roman"/>
                <w:sz w:val="24"/>
                <w:szCs w:val="24"/>
              </w:rPr>
            </w:pPr>
          </w:p>
          <w:p w:rsidR="00457E32" w:rsidRPr="00494F0D" w:rsidRDefault="00457E32" w:rsidP="005E6855">
            <w:pPr>
              <w:pStyle w:val="ListParagraph"/>
              <w:numPr>
                <w:ilvl w:val="0"/>
                <w:numId w:val="22"/>
              </w:numPr>
              <w:spacing w:after="200" w:line="276" w:lineRule="auto"/>
              <w:rPr>
                <w:rFonts w:ascii="Times New Roman" w:hAnsi="Times New Roman" w:cs="Times New Roman"/>
                <w:sz w:val="24"/>
                <w:szCs w:val="24"/>
              </w:rPr>
            </w:pPr>
            <w:r w:rsidRPr="00457E32">
              <w:rPr>
                <w:rFonts w:ascii="Times New Roman" w:hAnsi="Times New Roman" w:cs="Times New Roman"/>
                <w:sz w:val="24"/>
                <w:szCs w:val="24"/>
              </w:rPr>
              <w:t xml:space="preserve">La diversité et la couverture des services disponibles (par exemple les services d’appui à la prise de décision, à la communication, mobilité, aide personnelle, logement, accès à des services généraux tels que l’éducation, l’emploi, la justice et la santé, et d’autres services communautaire), </w:t>
            </w:r>
          </w:p>
        </w:tc>
        <w:tc>
          <w:tcPr>
            <w:tcW w:w="9169" w:type="dxa"/>
          </w:tcPr>
          <w:p w:rsidR="001A781D" w:rsidRPr="00565031" w:rsidRDefault="001A781D" w:rsidP="00565031">
            <w:pPr>
              <w:spacing w:line="360" w:lineRule="auto"/>
              <w:jc w:val="both"/>
              <w:rPr>
                <w:rFonts w:ascii="Times New Roman" w:eastAsia="Times New Roman" w:hAnsi="Times New Roman" w:cs="Times New Roman"/>
                <w:sz w:val="24"/>
                <w:szCs w:val="24"/>
                <w:lang w:eastAsia="fr-FR"/>
              </w:rPr>
            </w:pPr>
          </w:p>
          <w:p w:rsidR="00457E32" w:rsidRPr="00BF7E26" w:rsidRDefault="001F5A45" w:rsidP="001F5A45">
            <w:pPr>
              <w:pStyle w:val="ListParagraph"/>
              <w:spacing w:line="360" w:lineRule="auto"/>
              <w:ind w:left="272"/>
              <w:jc w:val="both"/>
              <w:rPr>
                <w:rFonts w:ascii="Times New Roman" w:eastAsia="Times New Roman" w:hAnsi="Times New Roman" w:cs="Times New Roman"/>
                <w:sz w:val="24"/>
                <w:szCs w:val="24"/>
                <w:lang w:eastAsia="fr-FR"/>
              </w:rPr>
            </w:pPr>
            <w:r w:rsidRPr="00566A61">
              <w:rPr>
                <w:rFonts w:ascii="Times New Roman" w:eastAsia="Times New Roman" w:hAnsi="Times New Roman" w:cs="Times New Roman"/>
                <w:sz w:val="24"/>
                <w:szCs w:val="24"/>
                <w:lang w:eastAsia="fr-FR"/>
              </w:rPr>
              <w:t>Dans l’objectif d’instaurer une réelle politique de proximité et d’équité territoriale, le</w:t>
            </w:r>
            <w:r w:rsidR="008A68F8">
              <w:rPr>
                <w:rFonts w:ascii="Times New Roman" w:eastAsia="Times New Roman" w:hAnsi="Times New Roman" w:cs="Times New Roman"/>
                <w:sz w:val="24"/>
                <w:szCs w:val="24"/>
                <w:lang w:eastAsia="fr-FR"/>
              </w:rPr>
              <w:t xml:space="preserve"> </w:t>
            </w:r>
            <w:r w:rsidRPr="00566A61">
              <w:rPr>
                <w:rFonts w:ascii="Times New Roman" w:eastAsia="Times New Roman" w:hAnsi="Times New Roman" w:cs="Times New Roman"/>
                <w:sz w:val="24"/>
                <w:szCs w:val="24"/>
                <w:lang w:eastAsia="fr-FR"/>
              </w:rPr>
              <w:t>MSFFDS a opté pour la décentralisation des services d’accueil et d’orientation des personnes en situation de handicap, ce programme consiste à assurer aux personnes en situation de handicap, leurs familles ainsi que les associations œuvrant dans le domaine des prestations d’accueil, d’orientation et des</w:t>
            </w:r>
            <w:r>
              <w:rPr>
                <w:rFonts w:ascii="Times New Roman" w:eastAsia="Times New Roman" w:hAnsi="Times New Roman" w:cs="Times New Roman"/>
                <w:sz w:val="24"/>
                <w:szCs w:val="24"/>
                <w:lang w:eastAsia="fr-FR"/>
              </w:rPr>
              <w:t xml:space="preserve"> aides technique. Dans ce cadre </w:t>
            </w:r>
            <w:r w:rsidRPr="00566A61">
              <w:rPr>
                <w:rFonts w:ascii="Times New Roman" w:eastAsia="Times New Roman" w:hAnsi="Times New Roman" w:cs="Times New Roman"/>
                <w:sz w:val="24"/>
                <w:szCs w:val="24"/>
                <w:lang w:eastAsia="fr-FR"/>
              </w:rPr>
              <w:t xml:space="preserve">16 centres de proximités ont été créé au sein des coordinations régionales de l’entraide Nationale. Le programme a déjà </w:t>
            </w:r>
            <w:r w:rsidR="008A68F8" w:rsidRPr="00566A61">
              <w:rPr>
                <w:rFonts w:ascii="Times New Roman" w:eastAsia="Times New Roman" w:hAnsi="Times New Roman" w:cs="Times New Roman"/>
                <w:sz w:val="24"/>
                <w:szCs w:val="24"/>
                <w:lang w:eastAsia="fr-FR"/>
              </w:rPr>
              <w:t>créé</w:t>
            </w:r>
            <w:r w:rsidRPr="00566A61">
              <w:rPr>
                <w:rFonts w:ascii="Times New Roman" w:eastAsia="Times New Roman" w:hAnsi="Times New Roman" w:cs="Times New Roman"/>
                <w:sz w:val="24"/>
                <w:szCs w:val="24"/>
                <w:lang w:eastAsia="fr-FR"/>
              </w:rPr>
              <w:t xml:space="preserve"> 16 centres en 2015 et 30 centres </w:t>
            </w:r>
            <w:proofErr w:type="gramStart"/>
            <w:r w:rsidRPr="00566A61">
              <w:rPr>
                <w:rFonts w:ascii="Times New Roman" w:eastAsia="Times New Roman" w:hAnsi="Times New Roman" w:cs="Times New Roman"/>
                <w:sz w:val="24"/>
                <w:szCs w:val="24"/>
                <w:lang w:eastAsia="fr-FR"/>
              </w:rPr>
              <w:t>prévue</w:t>
            </w:r>
            <w:proofErr w:type="gramEnd"/>
            <w:r w:rsidRPr="00566A61">
              <w:rPr>
                <w:rFonts w:ascii="Times New Roman" w:eastAsia="Times New Roman" w:hAnsi="Times New Roman" w:cs="Times New Roman"/>
                <w:sz w:val="24"/>
                <w:szCs w:val="24"/>
                <w:lang w:eastAsia="fr-FR"/>
              </w:rPr>
              <w:t xml:space="preserve"> en 2016.     </w:t>
            </w:r>
          </w:p>
        </w:tc>
      </w:tr>
      <w:tr w:rsidR="00457E32" w:rsidTr="00932B21">
        <w:trPr>
          <w:trHeight w:val="737"/>
        </w:trPr>
        <w:tc>
          <w:tcPr>
            <w:tcW w:w="5290" w:type="dxa"/>
            <w:shd w:val="clear" w:color="auto" w:fill="F2F2F2" w:themeFill="background1" w:themeFillShade="F2"/>
          </w:tcPr>
          <w:p w:rsidR="00FC0470" w:rsidRPr="003E2887" w:rsidRDefault="00FC0470" w:rsidP="005E6855">
            <w:pPr>
              <w:pStyle w:val="ListParagraph"/>
              <w:numPr>
                <w:ilvl w:val="0"/>
                <w:numId w:val="22"/>
              </w:numPr>
              <w:spacing w:after="200" w:line="276" w:lineRule="auto"/>
              <w:rPr>
                <w:sz w:val="24"/>
                <w:szCs w:val="24"/>
              </w:rPr>
            </w:pPr>
            <w:r w:rsidRPr="00912A01">
              <w:rPr>
                <w:rFonts w:ascii="Times New Roman" w:hAnsi="Times New Roman" w:cs="Times New Roman"/>
                <w:sz w:val="24"/>
                <w:szCs w:val="24"/>
              </w:rPr>
              <w:t>La disponibilité d’interprètes certifiés en langue des signes,</w:t>
            </w:r>
          </w:p>
        </w:tc>
        <w:tc>
          <w:tcPr>
            <w:tcW w:w="9169" w:type="dxa"/>
          </w:tcPr>
          <w:p w:rsidR="00457E32" w:rsidRPr="00C55E10" w:rsidRDefault="008A68F8" w:rsidP="00C55E10">
            <w:pPr>
              <w:pStyle w:val="ListParagraph"/>
              <w:spacing w:line="360" w:lineRule="auto"/>
              <w:ind w:left="0"/>
              <w:rPr>
                <w:sz w:val="24"/>
                <w:szCs w:val="24"/>
              </w:rPr>
            </w:pPr>
            <w:r>
              <w:t xml:space="preserve">    </w:t>
            </w:r>
            <w:r w:rsidRPr="00C55E10">
              <w:rPr>
                <w:sz w:val="24"/>
                <w:szCs w:val="24"/>
              </w:rPr>
              <w:t xml:space="preserve">Au Maroc, la langue des signes n’est pas unifiée. Un projet est en cours, mais il existe au Maroc des interprètes qui sont accrédités par les tribunaux. </w:t>
            </w:r>
          </w:p>
        </w:tc>
      </w:tr>
      <w:tr w:rsidR="00FC0470" w:rsidTr="00932B21">
        <w:trPr>
          <w:trHeight w:val="157"/>
        </w:trPr>
        <w:tc>
          <w:tcPr>
            <w:tcW w:w="5290" w:type="dxa"/>
            <w:shd w:val="clear" w:color="auto" w:fill="F2F2F2" w:themeFill="background1" w:themeFillShade="F2"/>
          </w:tcPr>
          <w:p w:rsidR="00695E89" w:rsidRDefault="00695E89" w:rsidP="00695E89">
            <w:pPr>
              <w:pStyle w:val="ListParagraph"/>
              <w:spacing w:after="200" w:line="276" w:lineRule="auto"/>
              <w:rPr>
                <w:rFonts w:ascii="Times New Roman" w:hAnsi="Times New Roman" w:cs="Times New Roman"/>
                <w:sz w:val="24"/>
                <w:szCs w:val="24"/>
              </w:rPr>
            </w:pPr>
          </w:p>
          <w:p w:rsidR="00FC0470" w:rsidRPr="00912A01" w:rsidRDefault="00FC0470" w:rsidP="005E6855">
            <w:pPr>
              <w:pStyle w:val="ListParagraph"/>
              <w:numPr>
                <w:ilvl w:val="0"/>
                <w:numId w:val="22"/>
              </w:numPr>
              <w:spacing w:after="200" w:line="276" w:lineRule="auto"/>
              <w:rPr>
                <w:rFonts w:ascii="Times New Roman" w:hAnsi="Times New Roman" w:cs="Times New Roman"/>
                <w:sz w:val="24"/>
                <w:szCs w:val="24"/>
              </w:rPr>
            </w:pPr>
            <w:r w:rsidRPr="00912A01">
              <w:rPr>
                <w:rFonts w:ascii="Times New Roman" w:hAnsi="Times New Roman" w:cs="Times New Roman"/>
                <w:sz w:val="24"/>
                <w:szCs w:val="24"/>
              </w:rPr>
              <w:t xml:space="preserve">Les types d’arrangement de prestation de services (par exemple la prestation </w:t>
            </w:r>
            <w:r w:rsidR="008375EB" w:rsidRPr="00912A01">
              <w:rPr>
                <w:rFonts w:ascii="Times New Roman" w:hAnsi="Times New Roman" w:cs="Times New Roman"/>
                <w:sz w:val="24"/>
                <w:szCs w:val="24"/>
              </w:rPr>
              <w:t>directe</w:t>
            </w:r>
            <w:r w:rsidR="008375EB">
              <w:rPr>
                <w:rFonts w:ascii="Times New Roman" w:hAnsi="Times New Roman" w:cs="Times New Roman"/>
                <w:sz w:val="24"/>
                <w:szCs w:val="24"/>
              </w:rPr>
              <w:t>, les</w:t>
            </w:r>
            <w:r w:rsidR="005E6855">
              <w:rPr>
                <w:rFonts w:ascii="Times New Roman" w:hAnsi="Times New Roman" w:cs="Times New Roman"/>
                <w:sz w:val="24"/>
                <w:szCs w:val="24"/>
              </w:rPr>
              <w:t xml:space="preserve"> partenariats publics-privés, </w:t>
            </w:r>
            <w:r w:rsidRPr="00912A01">
              <w:rPr>
                <w:rFonts w:ascii="Times New Roman" w:hAnsi="Times New Roman" w:cs="Times New Roman"/>
                <w:sz w:val="24"/>
                <w:szCs w:val="24"/>
              </w:rPr>
              <w:t>les partenaires avec des organisations non gouvernementales ou communautaires</w:t>
            </w:r>
            <w:r w:rsidR="005E6855">
              <w:rPr>
                <w:rFonts w:ascii="Times New Roman" w:hAnsi="Times New Roman" w:cs="Times New Roman"/>
                <w:sz w:val="24"/>
                <w:szCs w:val="24"/>
              </w:rPr>
              <w:t>,</w:t>
            </w:r>
            <w:r w:rsidRPr="00912A01">
              <w:rPr>
                <w:rFonts w:ascii="Times New Roman" w:hAnsi="Times New Roman" w:cs="Times New Roman"/>
                <w:sz w:val="24"/>
                <w:szCs w:val="24"/>
              </w:rPr>
              <w:t xml:space="preserve"> la </w:t>
            </w:r>
            <w:r w:rsidRPr="00912A01">
              <w:rPr>
                <w:rFonts w:ascii="Times New Roman" w:hAnsi="Times New Roman" w:cs="Times New Roman"/>
                <w:sz w:val="24"/>
                <w:szCs w:val="24"/>
              </w:rPr>
              <w:lastRenderedPageBreak/>
              <w:t>sous-traitance de services</w:t>
            </w:r>
            <w:r w:rsidR="005E6855">
              <w:rPr>
                <w:rFonts w:ascii="Times New Roman" w:hAnsi="Times New Roman" w:cs="Times New Roman"/>
                <w:sz w:val="24"/>
                <w:szCs w:val="24"/>
              </w:rPr>
              <w:t>,</w:t>
            </w:r>
            <w:r w:rsidRPr="00912A01">
              <w:rPr>
                <w:rFonts w:ascii="Times New Roman" w:hAnsi="Times New Roman" w:cs="Times New Roman"/>
                <w:sz w:val="24"/>
                <w:szCs w:val="24"/>
              </w:rPr>
              <w:t xml:space="preserve"> la privatisation)</w:t>
            </w:r>
          </w:p>
          <w:p w:rsidR="00FC0470" w:rsidRPr="00AA048A" w:rsidRDefault="00FC0470" w:rsidP="00457E32">
            <w:pPr>
              <w:pStyle w:val="ListParagraph"/>
              <w:spacing w:after="200" w:line="276" w:lineRule="auto"/>
              <w:rPr>
                <w:sz w:val="24"/>
                <w:szCs w:val="24"/>
              </w:rPr>
            </w:pPr>
          </w:p>
        </w:tc>
        <w:tc>
          <w:tcPr>
            <w:tcW w:w="9169" w:type="dxa"/>
          </w:tcPr>
          <w:p w:rsidR="001A781D" w:rsidRDefault="002A04CE" w:rsidP="00745869">
            <w:pPr>
              <w:pStyle w:val="ListParagraph"/>
              <w:spacing w:line="360" w:lineRule="auto"/>
              <w:ind w:left="272"/>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L’approche de partenariat public-privé est fortement présente</w:t>
            </w:r>
            <w:r w:rsidR="00745869">
              <w:rPr>
                <w:rFonts w:ascii="Times New Roman" w:eastAsia="Times New Roman" w:hAnsi="Times New Roman" w:cs="Times New Roman"/>
                <w:sz w:val="24"/>
                <w:szCs w:val="24"/>
                <w:lang w:eastAsia="fr-FR"/>
              </w:rPr>
              <w:t xml:space="preserve"> dans la stratégie du Ministère. </w:t>
            </w:r>
            <w:r w:rsidR="008375EB">
              <w:rPr>
                <w:rFonts w:ascii="Times New Roman" w:eastAsia="Times New Roman" w:hAnsi="Times New Roman" w:cs="Times New Roman"/>
                <w:sz w:val="24"/>
                <w:szCs w:val="24"/>
                <w:lang w:eastAsia="fr-FR"/>
              </w:rPr>
              <w:t>A titre</w:t>
            </w:r>
            <w:r>
              <w:rPr>
                <w:rFonts w:ascii="Times New Roman" w:eastAsia="Times New Roman" w:hAnsi="Times New Roman" w:cs="Times New Roman"/>
                <w:sz w:val="24"/>
                <w:szCs w:val="24"/>
                <w:lang w:eastAsia="fr-FR"/>
              </w:rPr>
              <w:t xml:space="preserve"> d’exemple</w:t>
            </w:r>
            <w:r w:rsidR="0074586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00745869">
              <w:rPr>
                <w:rFonts w:ascii="Times New Roman" w:eastAsia="Times New Roman" w:hAnsi="Times New Roman" w:cs="Times New Roman"/>
                <w:sz w:val="24"/>
                <w:szCs w:val="24"/>
                <w:lang w:eastAsia="fr-FR"/>
              </w:rPr>
              <w:t>l’a</w:t>
            </w:r>
            <w:r w:rsidR="00745869" w:rsidRPr="004F7139">
              <w:rPr>
                <w:rFonts w:ascii="Times New Roman" w:eastAsia="Times New Roman" w:hAnsi="Times New Roman" w:cs="Times New Roman"/>
                <w:sz w:val="24"/>
                <w:szCs w:val="24"/>
                <w:lang w:eastAsia="fr-FR"/>
              </w:rPr>
              <w:t xml:space="preserve">mélioration des conditions de scolarisation des enfants en situation de </w:t>
            </w:r>
            <w:r w:rsidR="00745869">
              <w:rPr>
                <w:rFonts w:ascii="Times New Roman" w:eastAsia="Times New Roman" w:hAnsi="Times New Roman" w:cs="Times New Roman"/>
                <w:sz w:val="24"/>
                <w:szCs w:val="24"/>
                <w:lang w:eastAsia="fr-FR"/>
              </w:rPr>
              <w:t xml:space="preserve">handicap et </w:t>
            </w:r>
            <w:r w:rsidR="008375EB">
              <w:rPr>
                <w:rFonts w:ascii="Times New Roman" w:eastAsia="Times New Roman" w:hAnsi="Times New Roman" w:cs="Times New Roman"/>
                <w:sz w:val="24"/>
                <w:szCs w:val="24"/>
                <w:lang w:eastAsia="fr-FR"/>
              </w:rPr>
              <w:t>l’appui</w:t>
            </w:r>
            <w:r w:rsidR="00745869" w:rsidRPr="004F7139">
              <w:rPr>
                <w:rFonts w:ascii="Times New Roman" w:eastAsia="Times New Roman" w:hAnsi="Times New Roman" w:cs="Times New Roman"/>
                <w:sz w:val="24"/>
                <w:szCs w:val="24"/>
                <w:lang w:eastAsia="fr-FR"/>
              </w:rPr>
              <w:t xml:space="preserve"> à l’insertion socioprofessionnelle et des activités génératrices de revenus</w:t>
            </w:r>
            <w:r w:rsidR="00745869">
              <w:rPr>
                <w:rFonts w:ascii="Times New Roman" w:eastAsia="Times New Roman" w:hAnsi="Times New Roman" w:cs="Times New Roman"/>
                <w:sz w:val="24"/>
                <w:szCs w:val="24"/>
                <w:lang w:eastAsia="fr-FR"/>
              </w:rPr>
              <w:t>,</w:t>
            </w:r>
            <w:r w:rsidRPr="00980BDA">
              <w:rPr>
                <w:rFonts w:ascii="Times New Roman" w:eastAsia="Times New Roman" w:hAnsi="Times New Roman" w:cs="Times New Roman"/>
                <w:sz w:val="24"/>
                <w:szCs w:val="24"/>
                <w:lang w:eastAsia="fr-FR"/>
              </w:rPr>
              <w:t xml:space="preserve"> deux </w:t>
            </w:r>
            <w:r w:rsidR="00745869">
              <w:rPr>
                <w:rFonts w:ascii="Times New Roman" w:eastAsia="Times New Roman" w:hAnsi="Times New Roman" w:cs="Times New Roman"/>
                <w:sz w:val="24"/>
                <w:szCs w:val="24"/>
                <w:lang w:eastAsia="fr-FR"/>
              </w:rPr>
              <w:t>prestations du</w:t>
            </w:r>
            <w:r w:rsidRPr="00980BDA">
              <w:rPr>
                <w:rFonts w:ascii="Times New Roman" w:eastAsia="Times New Roman" w:hAnsi="Times New Roman" w:cs="Times New Roman"/>
                <w:sz w:val="24"/>
                <w:szCs w:val="24"/>
                <w:lang w:eastAsia="fr-FR"/>
              </w:rPr>
              <w:t xml:space="preserve"> Fonds d’Appui à la Cohésion Sociale</w:t>
            </w:r>
            <w:r w:rsidR="0074586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Le </w:t>
            </w:r>
            <w:r>
              <w:rPr>
                <w:rFonts w:ascii="Times New Roman" w:eastAsia="Times New Roman" w:hAnsi="Times New Roman" w:cs="Times New Roman"/>
                <w:sz w:val="24"/>
                <w:szCs w:val="24"/>
                <w:lang w:eastAsia="fr-FR"/>
              </w:rPr>
              <w:lastRenderedPageBreak/>
              <w:t xml:space="preserve">ministère a </w:t>
            </w:r>
            <w:r w:rsidR="001A781D">
              <w:rPr>
                <w:rFonts w:ascii="Times New Roman" w:eastAsia="Times New Roman" w:hAnsi="Times New Roman" w:cs="Times New Roman"/>
                <w:sz w:val="24"/>
                <w:szCs w:val="24"/>
                <w:lang w:eastAsia="fr-FR"/>
              </w:rPr>
              <w:t>mis en place</w:t>
            </w:r>
            <w:r>
              <w:rPr>
                <w:rFonts w:ascii="Times New Roman" w:eastAsia="Times New Roman" w:hAnsi="Times New Roman" w:cs="Times New Roman"/>
                <w:sz w:val="24"/>
                <w:szCs w:val="24"/>
                <w:lang w:eastAsia="fr-FR"/>
              </w:rPr>
              <w:t xml:space="preserve"> des partenariats avec les ONG des personnes en situation de handicap selon </w:t>
            </w:r>
            <w:r w:rsidRPr="004F7139">
              <w:rPr>
                <w:rFonts w:ascii="Times New Roman" w:eastAsia="Times New Roman" w:hAnsi="Times New Roman" w:cs="Times New Roman"/>
                <w:sz w:val="24"/>
                <w:szCs w:val="24"/>
                <w:lang w:eastAsia="fr-FR"/>
              </w:rPr>
              <w:t>un procédurier garantissant</w:t>
            </w:r>
            <w:r>
              <w:rPr>
                <w:rFonts w:ascii="Times New Roman" w:eastAsia="Times New Roman" w:hAnsi="Times New Roman" w:cs="Times New Roman"/>
                <w:sz w:val="24"/>
                <w:szCs w:val="24"/>
                <w:lang w:eastAsia="fr-FR"/>
              </w:rPr>
              <w:t xml:space="preserve"> la transparence et la bonne gouvernance </w:t>
            </w:r>
            <w:r w:rsidR="008375EB">
              <w:rPr>
                <w:rFonts w:ascii="Times New Roman" w:eastAsia="Times New Roman" w:hAnsi="Times New Roman" w:cs="Times New Roman"/>
                <w:sz w:val="24"/>
                <w:szCs w:val="24"/>
                <w:lang w:eastAsia="fr-FR"/>
              </w:rPr>
              <w:t xml:space="preserve">et </w:t>
            </w:r>
            <w:r w:rsidR="008375EB" w:rsidRPr="004F7139">
              <w:rPr>
                <w:rFonts w:ascii="Times New Roman" w:eastAsia="Times New Roman" w:hAnsi="Times New Roman" w:cs="Times New Roman"/>
                <w:sz w:val="24"/>
                <w:szCs w:val="24"/>
                <w:lang w:eastAsia="fr-FR"/>
              </w:rPr>
              <w:t>l’accès</w:t>
            </w:r>
            <w:r w:rsidRPr="004F7139">
              <w:rPr>
                <w:rFonts w:ascii="Times New Roman" w:eastAsia="Times New Roman" w:hAnsi="Times New Roman" w:cs="Times New Roman"/>
                <w:sz w:val="24"/>
                <w:szCs w:val="24"/>
                <w:lang w:eastAsia="fr-FR"/>
              </w:rPr>
              <w:t xml:space="preserve"> équitable et transparent des PSH aux prestations </w:t>
            </w:r>
            <w:r w:rsidR="00745869">
              <w:rPr>
                <w:rFonts w:ascii="Times New Roman" w:eastAsia="Times New Roman" w:hAnsi="Times New Roman" w:cs="Times New Roman"/>
                <w:sz w:val="24"/>
                <w:szCs w:val="24"/>
                <w:lang w:eastAsia="fr-FR"/>
              </w:rPr>
              <w:t>et</w:t>
            </w:r>
            <w:r w:rsidRPr="004F7139">
              <w:rPr>
                <w:rFonts w:ascii="Times New Roman" w:eastAsia="Times New Roman" w:hAnsi="Times New Roman" w:cs="Times New Roman"/>
                <w:sz w:val="24"/>
                <w:szCs w:val="24"/>
                <w:lang w:eastAsia="fr-FR"/>
              </w:rPr>
              <w:t xml:space="preserve"> services.</w:t>
            </w:r>
          </w:p>
          <w:p w:rsidR="002A04CE" w:rsidRDefault="002A04CE" w:rsidP="002A04CE">
            <w:pPr>
              <w:pStyle w:val="ListParagraph"/>
              <w:spacing w:line="360" w:lineRule="auto"/>
              <w:ind w:left="272"/>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financement de 65 Millions de Dirhams est mobilisé à titre de l’année 2016 pour les deux axes suscités.  </w:t>
            </w:r>
          </w:p>
          <w:p w:rsidR="002A04CE" w:rsidRDefault="002A04CE" w:rsidP="002A04CE">
            <w:pPr>
              <w:pStyle w:val="ListParagraph"/>
              <w:spacing w:line="360" w:lineRule="auto"/>
              <w:ind w:left="272"/>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Ministère compte aussi parmi ses actifs plusieurs partenariats avec des organisations internationales, pour favoriser l’échange d’expertises et un </w:t>
            </w:r>
            <w:r w:rsidR="008375EB">
              <w:rPr>
                <w:rFonts w:ascii="Times New Roman" w:eastAsia="Times New Roman" w:hAnsi="Times New Roman" w:cs="Times New Roman"/>
                <w:sz w:val="24"/>
                <w:szCs w:val="24"/>
                <w:lang w:eastAsia="fr-FR"/>
              </w:rPr>
              <w:t>accompagnement dans</w:t>
            </w:r>
            <w:r>
              <w:rPr>
                <w:rFonts w:ascii="Times New Roman" w:eastAsia="Times New Roman" w:hAnsi="Times New Roman" w:cs="Times New Roman"/>
                <w:sz w:val="24"/>
                <w:szCs w:val="24"/>
                <w:lang w:eastAsia="fr-FR"/>
              </w:rPr>
              <w:t xml:space="preserve"> ce domaine. Parmi eux on trouve l’UNESCO, Handicap International, UNICEF…</w:t>
            </w:r>
          </w:p>
          <w:p w:rsidR="00FC0470" w:rsidRPr="00C55E10" w:rsidRDefault="00A6786A" w:rsidP="00C55E10">
            <w:pPr>
              <w:pStyle w:val="ListParagraph"/>
              <w:spacing w:line="360" w:lineRule="auto"/>
              <w:ind w:left="272"/>
              <w:jc w:val="both"/>
              <w:rPr>
                <w:rFonts w:ascii="Times New Roman" w:eastAsia="Times New Roman" w:hAnsi="Times New Roman" w:cs="Times New Roman"/>
                <w:sz w:val="24"/>
                <w:szCs w:val="24"/>
                <w:lang w:eastAsia="fr-FR"/>
              </w:rPr>
            </w:pPr>
            <w:r w:rsidRPr="00500BA0">
              <w:rPr>
                <w:rFonts w:ascii="Times New Roman" w:eastAsia="Times New Roman" w:hAnsi="Times New Roman" w:cs="Times New Roman"/>
                <w:sz w:val="24"/>
                <w:szCs w:val="24"/>
                <w:lang w:eastAsia="fr-FR"/>
              </w:rPr>
              <w:t xml:space="preserve">La loi cadre 97.13 stipule dans son article 7 l’acquisition de logement </w:t>
            </w:r>
            <w:r w:rsidR="00745869" w:rsidRPr="00500BA0">
              <w:rPr>
                <w:rFonts w:ascii="Times New Roman" w:eastAsia="Times New Roman" w:hAnsi="Times New Roman" w:cs="Times New Roman"/>
                <w:sz w:val="24"/>
                <w:szCs w:val="24"/>
                <w:lang w:eastAsia="fr-FR"/>
              </w:rPr>
              <w:t xml:space="preserve">pour personnes en situation de </w:t>
            </w:r>
            <w:r w:rsidR="008375EB" w:rsidRPr="00500BA0">
              <w:rPr>
                <w:rFonts w:ascii="Times New Roman" w:eastAsia="Times New Roman" w:hAnsi="Times New Roman" w:cs="Times New Roman"/>
                <w:sz w:val="24"/>
                <w:szCs w:val="24"/>
                <w:lang w:eastAsia="fr-FR"/>
              </w:rPr>
              <w:t>handicap ;</w:t>
            </w:r>
            <w:r w:rsidR="00745869" w:rsidRPr="00500BA0">
              <w:rPr>
                <w:rFonts w:ascii="Times New Roman" w:eastAsia="Times New Roman" w:hAnsi="Times New Roman" w:cs="Times New Roman"/>
                <w:sz w:val="24"/>
                <w:szCs w:val="24"/>
                <w:lang w:eastAsia="fr-FR"/>
              </w:rPr>
              <w:t xml:space="preserve"> </w:t>
            </w:r>
            <w:r w:rsidRPr="00500BA0">
              <w:rPr>
                <w:rFonts w:ascii="Times New Roman" w:eastAsia="Times New Roman" w:hAnsi="Times New Roman" w:cs="Times New Roman"/>
                <w:sz w:val="24"/>
                <w:szCs w:val="24"/>
                <w:lang w:eastAsia="fr-FR"/>
              </w:rPr>
              <w:t xml:space="preserve">à des </w:t>
            </w:r>
            <w:r w:rsidR="008375EB" w:rsidRPr="00500BA0">
              <w:rPr>
                <w:rFonts w:ascii="Times New Roman" w:eastAsia="Times New Roman" w:hAnsi="Times New Roman" w:cs="Times New Roman"/>
                <w:sz w:val="24"/>
                <w:szCs w:val="24"/>
                <w:lang w:eastAsia="fr-FR"/>
              </w:rPr>
              <w:t>conditions préférentielles</w:t>
            </w:r>
            <w:r w:rsidRPr="00500BA0">
              <w:rPr>
                <w:rFonts w:ascii="Times New Roman" w:eastAsia="Times New Roman" w:hAnsi="Times New Roman" w:cs="Times New Roman"/>
                <w:sz w:val="24"/>
                <w:szCs w:val="24"/>
                <w:lang w:eastAsia="fr-FR"/>
              </w:rPr>
              <w:t>.</w:t>
            </w:r>
          </w:p>
        </w:tc>
      </w:tr>
      <w:tr w:rsidR="00FC0470" w:rsidTr="00932B21">
        <w:trPr>
          <w:trHeight w:val="164"/>
        </w:trPr>
        <w:tc>
          <w:tcPr>
            <w:tcW w:w="5290" w:type="dxa"/>
            <w:shd w:val="clear" w:color="auto" w:fill="F2F2F2" w:themeFill="background1" w:themeFillShade="F2"/>
          </w:tcPr>
          <w:p w:rsidR="00932B21" w:rsidRDefault="00932B21" w:rsidP="00932B21">
            <w:pPr>
              <w:pStyle w:val="ListParagraph"/>
              <w:spacing w:after="200" w:line="276" w:lineRule="auto"/>
              <w:rPr>
                <w:rFonts w:ascii="Times New Roman" w:hAnsi="Times New Roman" w:cs="Times New Roman"/>
                <w:sz w:val="24"/>
                <w:szCs w:val="24"/>
              </w:rPr>
            </w:pPr>
          </w:p>
          <w:p w:rsidR="00FC0470" w:rsidRPr="00A6786A" w:rsidRDefault="005E6855" w:rsidP="00A6786A">
            <w:pPr>
              <w:pStyle w:val="ListParagraph"/>
              <w:numPr>
                <w:ilvl w:val="0"/>
                <w:numId w:val="23"/>
              </w:numPr>
              <w:spacing w:after="200" w:line="276" w:lineRule="auto"/>
              <w:rPr>
                <w:rFonts w:ascii="Times New Roman" w:hAnsi="Times New Roman" w:cs="Times New Roman"/>
                <w:sz w:val="24"/>
                <w:szCs w:val="24"/>
              </w:rPr>
            </w:pPr>
            <w:r w:rsidRPr="00932B21">
              <w:rPr>
                <w:rFonts w:ascii="Times New Roman" w:hAnsi="Times New Roman" w:cs="Times New Roman"/>
                <w:sz w:val="24"/>
                <w:szCs w:val="24"/>
              </w:rPr>
              <w:t>Les mécanismes financiers pour assurer l’accessibilité financière des services de soutien pour toutes les personnes handicapées,</w:t>
            </w:r>
          </w:p>
        </w:tc>
        <w:tc>
          <w:tcPr>
            <w:tcW w:w="9169" w:type="dxa"/>
          </w:tcPr>
          <w:p w:rsidR="00FC0470" w:rsidRDefault="00FC0470" w:rsidP="00A85399">
            <w:pPr>
              <w:pStyle w:val="ListParagraph"/>
              <w:ind w:left="0"/>
            </w:pPr>
          </w:p>
        </w:tc>
      </w:tr>
      <w:tr w:rsidR="00FC0470" w:rsidTr="00932B21">
        <w:trPr>
          <w:trHeight w:val="949"/>
        </w:trPr>
        <w:tc>
          <w:tcPr>
            <w:tcW w:w="5290" w:type="dxa"/>
            <w:shd w:val="clear" w:color="auto" w:fill="F2F2F2" w:themeFill="background1" w:themeFillShade="F2"/>
          </w:tcPr>
          <w:p w:rsidR="00932B21" w:rsidRPr="00932B21" w:rsidRDefault="00932B21" w:rsidP="00932B21">
            <w:pPr>
              <w:pStyle w:val="ListParagraph"/>
              <w:spacing w:after="200" w:line="276" w:lineRule="auto"/>
              <w:rPr>
                <w:sz w:val="24"/>
                <w:szCs w:val="24"/>
              </w:rPr>
            </w:pPr>
          </w:p>
          <w:p w:rsidR="00B252C8" w:rsidRPr="00932B21" w:rsidRDefault="005E6855" w:rsidP="00B252C8">
            <w:pPr>
              <w:pStyle w:val="ListParagraph"/>
              <w:numPr>
                <w:ilvl w:val="0"/>
                <w:numId w:val="23"/>
              </w:numPr>
              <w:spacing w:after="200" w:line="276" w:lineRule="auto"/>
              <w:rPr>
                <w:sz w:val="24"/>
                <w:szCs w:val="24"/>
              </w:rPr>
            </w:pPr>
            <w:r w:rsidRPr="00932B21">
              <w:rPr>
                <w:rFonts w:ascii="Times New Roman" w:hAnsi="Times New Roman" w:cs="Times New Roman"/>
                <w:sz w:val="24"/>
                <w:szCs w:val="24"/>
              </w:rPr>
              <w:t>Comment ces services facilitent le choix et le contrôle direct des usagers handicapés ?</w:t>
            </w:r>
          </w:p>
        </w:tc>
        <w:tc>
          <w:tcPr>
            <w:tcW w:w="9169" w:type="dxa"/>
          </w:tcPr>
          <w:p w:rsidR="00FC0470" w:rsidRDefault="00FC0470" w:rsidP="00A85399">
            <w:pPr>
              <w:pStyle w:val="ListParagraph"/>
              <w:ind w:left="0"/>
            </w:pPr>
          </w:p>
        </w:tc>
      </w:tr>
      <w:tr w:rsidR="00F61E6C" w:rsidTr="00566A61">
        <w:trPr>
          <w:trHeight w:val="327"/>
        </w:trPr>
        <w:tc>
          <w:tcPr>
            <w:tcW w:w="14459" w:type="dxa"/>
            <w:gridSpan w:val="2"/>
            <w:shd w:val="clear" w:color="auto" w:fill="D9D9D9" w:themeFill="background1" w:themeFillShade="D9"/>
          </w:tcPr>
          <w:p w:rsidR="00F61E6C" w:rsidRPr="00AA048A" w:rsidRDefault="00F61E6C" w:rsidP="00F61E6C">
            <w:pPr>
              <w:rPr>
                <w:sz w:val="24"/>
                <w:szCs w:val="24"/>
              </w:rPr>
            </w:pPr>
            <w:r w:rsidRPr="00F61E6C">
              <w:rPr>
                <w:rFonts w:ascii="Times New Roman" w:hAnsi="Times New Roman" w:cs="Times New Roman"/>
                <w:b/>
                <w:bCs/>
                <w:sz w:val="24"/>
                <w:szCs w:val="24"/>
              </w:rPr>
              <w:t>5. Veuillez fournir toute autre information pertinente (y compris des informations provenant de sondage, recensements et données administrative-statistiques, rapports et études) concernant la mise en œuvre de politiques et plans d’actions inclusives des personnes handicapées dans votre pays</w:t>
            </w:r>
            <w:r w:rsidRPr="00AA048A">
              <w:rPr>
                <w:sz w:val="24"/>
                <w:szCs w:val="24"/>
              </w:rPr>
              <w:t xml:space="preserve">. </w:t>
            </w:r>
          </w:p>
          <w:p w:rsidR="00F61E6C" w:rsidRDefault="00F61E6C" w:rsidP="00A85399">
            <w:pPr>
              <w:pStyle w:val="ListParagraph"/>
              <w:ind w:left="0"/>
            </w:pPr>
          </w:p>
        </w:tc>
      </w:tr>
      <w:tr w:rsidR="0021586B" w:rsidTr="002F72F7">
        <w:trPr>
          <w:trHeight w:val="917"/>
        </w:trPr>
        <w:tc>
          <w:tcPr>
            <w:tcW w:w="5290" w:type="dxa"/>
            <w:shd w:val="clear" w:color="auto" w:fill="F2F2F2" w:themeFill="background1" w:themeFillShade="F2"/>
          </w:tcPr>
          <w:p w:rsidR="0021586B" w:rsidRPr="00AA048A" w:rsidRDefault="0021586B" w:rsidP="00547264">
            <w:pPr>
              <w:pStyle w:val="ListParagraph"/>
              <w:spacing w:after="200" w:line="276" w:lineRule="auto"/>
              <w:ind w:left="1155"/>
              <w:jc w:val="both"/>
              <w:rPr>
                <w:sz w:val="24"/>
                <w:szCs w:val="24"/>
              </w:rPr>
            </w:pPr>
          </w:p>
        </w:tc>
        <w:tc>
          <w:tcPr>
            <w:tcW w:w="9169" w:type="dxa"/>
          </w:tcPr>
          <w:p w:rsidR="00F86602" w:rsidRDefault="006750E1" w:rsidP="00F86602">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Annexe : </w:t>
            </w:r>
          </w:p>
          <w:p w:rsidR="009D53AB" w:rsidRPr="009D53AB" w:rsidRDefault="009D53AB" w:rsidP="009D53AB">
            <w:pPr>
              <w:pStyle w:val="ListParagraph"/>
              <w:ind w:left="585"/>
              <w:rPr>
                <w:rFonts w:ascii="Times New Roman" w:hAnsi="Times New Roman" w:cs="Times New Roman"/>
              </w:rPr>
            </w:pPr>
          </w:p>
          <w:p w:rsidR="0021586B" w:rsidRPr="003D21D5" w:rsidRDefault="00F86602" w:rsidP="00F86602">
            <w:pPr>
              <w:pStyle w:val="ListParagraph"/>
              <w:numPr>
                <w:ilvl w:val="2"/>
                <w:numId w:val="5"/>
              </w:numPr>
              <w:ind w:left="585"/>
              <w:rPr>
                <w:rFonts w:ascii="Times New Roman" w:hAnsi="Times New Roman" w:cs="Times New Roman"/>
              </w:rPr>
            </w:pPr>
            <w:r>
              <w:rPr>
                <w:rFonts w:ascii="Times New Roman" w:hAnsi="Times New Roman" w:cs="Times New Roman"/>
                <w:sz w:val="24"/>
                <w:szCs w:val="24"/>
                <w:lang w:bidi="ar-MA"/>
              </w:rPr>
              <w:t xml:space="preserve">Résultats </w:t>
            </w:r>
            <w:r w:rsidR="008375EB">
              <w:rPr>
                <w:rFonts w:ascii="Times New Roman" w:hAnsi="Times New Roman" w:cs="Times New Roman"/>
                <w:sz w:val="24"/>
                <w:szCs w:val="24"/>
                <w:lang w:bidi="ar-MA"/>
              </w:rPr>
              <w:t xml:space="preserve">de </w:t>
            </w:r>
            <w:r w:rsidR="008375EB" w:rsidRPr="003D21D5">
              <w:rPr>
                <w:rFonts w:ascii="Times New Roman" w:hAnsi="Times New Roman" w:cs="Times New Roman"/>
                <w:sz w:val="24"/>
                <w:szCs w:val="24"/>
              </w:rPr>
              <w:t>l’enquête</w:t>
            </w:r>
            <w:r w:rsidR="003D21D5" w:rsidRPr="003D21D5">
              <w:rPr>
                <w:rFonts w:ascii="Times New Roman" w:hAnsi="Times New Roman" w:cs="Times New Roman"/>
                <w:sz w:val="24"/>
                <w:szCs w:val="24"/>
              </w:rPr>
              <w:t xml:space="preserve"> natio</w:t>
            </w:r>
            <w:bookmarkStart w:id="0" w:name="_GoBack"/>
            <w:bookmarkEnd w:id="0"/>
            <w:r w:rsidR="003D21D5" w:rsidRPr="003D21D5">
              <w:rPr>
                <w:rFonts w:ascii="Times New Roman" w:hAnsi="Times New Roman" w:cs="Times New Roman"/>
                <w:sz w:val="24"/>
                <w:szCs w:val="24"/>
              </w:rPr>
              <w:t xml:space="preserve">nale sur la prévalence </w:t>
            </w:r>
            <w:r w:rsidR="008375EB" w:rsidRPr="003D21D5">
              <w:rPr>
                <w:rFonts w:ascii="Times New Roman" w:hAnsi="Times New Roman" w:cs="Times New Roman"/>
                <w:sz w:val="24"/>
                <w:szCs w:val="24"/>
              </w:rPr>
              <w:t>du handicap</w:t>
            </w:r>
            <w:r w:rsidR="003D21D5" w:rsidRPr="003D21D5">
              <w:rPr>
                <w:rFonts w:ascii="Times New Roman" w:hAnsi="Times New Roman" w:cs="Times New Roman"/>
                <w:sz w:val="24"/>
                <w:szCs w:val="24"/>
              </w:rPr>
              <w:t xml:space="preserve"> </w:t>
            </w:r>
            <w:r w:rsidR="00A243E0">
              <w:rPr>
                <w:rFonts w:ascii="Times New Roman" w:hAnsi="Times New Roman" w:cs="Times New Roman"/>
                <w:sz w:val="24"/>
                <w:szCs w:val="24"/>
              </w:rPr>
              <w:t xml:space="preserve">2014 </w:t>
            </w:r>
          </w:p>
        </w:tc>
      </w:tr>
    </w:tbl>
    <w:p w:rsidR="008A6344" w:rsidRDefault="008A6344" w:rsidP="00EB6641"/>
    <w:sectPr w:rsidR="008A6344" w:rsidSect="00CB283B">
      <w:footerReference w:type="default" r:id="rId9"/>
      <w:pgSz w:w="16838" w:h="11906" w:orient="landscape"/>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3C6" w:rsidRDefault="00B603C6" w:rsidP="00260EDA">
      <w:pPr>
        <w:spacing w:after="0" w:line="240" w:lineRule="auto"/>
      </w:pPr>
      <w:r>
        <w:separator/>
      </w:r>
    </w:p>
  </w:endnote>
  <w:endnote w:type="continuationSeparator" w:id="0">
    <w:p w:rsidR="00B603C6" w:rsidRDefault="00B603C6" w:rsidP="0026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381022"/>
      <w:docPartObj>
        <w:docPartGallery w:val="Page Numbers (Bottom of Page)"/>
        <w:docPartUnique/>
      </w:docPartObj>
    </w:sdtPr>
    <w:sdtEndPr/>
    <w:sdtContent>
      <w:p w:rsidR="00CB283B" w:rsidRDefault="00CB283B">
        <w:pPr>
          <w:pStyle w:val="Footer"/>
          <w:jc w:val="right"/>
        </w:pPr>
        <w:r>
          <w:fldChar w:fldCharType="begin"/>
        </w:r>
        <w:r>
          <w:instrText>PAGE   \* MERGEFORMAT</w:instrText>
        </w:r>
        <w:r>
          <w:fldChar w:fldCharType="separate"/>
        </w:r>
        <w:r w:rsidR="0013163E">
          <w:rPr>
            <w:noProof/>
          </w:rPr>
          <w:t>9</w:t>
        </w:r>
        <w:r>
          <w:fldChar w:fldCharType="end"/>
        </w:r>
      </w:p>
    </w:sdtContent>
  </w:sdt>
  <w:p w:rsidR="00CB283B" w:rsidRDefault="00CB2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3C6" w:rsidRDefault="00B603C6" w:rsidP="00260EDA">
      <w:pPr>
        <w:spacing w:after="0" w:line="240" w:lineRule="auto"/>
      </w:pPr>
      <w:r>
        <w:separator/>
      </w:r>
    </w:p>
  </w:footnote>
  <w:footnote w:type="continuationSeparator" w:id="0">
    <w:p w:rsidR="00B603C6" w:rsidRDefault="00B603C6" w:rsidP="00260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4FA2"/>
    <w:multiLevelType w:val="hybridMultilevel"/>
    <w:tmpl w:val="5E3CB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267E10"/>
    <w:multiLevelType w:val="hybridMultilevel"/>
    <w:tmpl w:val="136C547C"/>
    <w:lvl w:ilvl="0" w:tplc="09E27BE8">
      <w:start w:val="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7834B1"/>
    <w:multiLevelType w:val="hybridMultilevel"/>
    <w:tmpl w:val="57444072"/>
    <w:lvl w:ilvl="0" w:tplc="4D9013D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784B97"/>
    <w:multiLevelType w:val="hybridMultilevel"/>
    <w:tmpl w:val="3FE6EE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AB0E08"/>
    <w:multiLevelType w:val="hybridMultilevel"/>
    <w:tmpl w:val="0AE8D82C"/>
    <w:lvl w:ilvl="0" w:tplc="09E27BE8">
      <w:start w:val="2"/>
      <w:numFmt w:val="bullet"/>
      <w:lvlText w:val="-"/>
      <w:lvlJc w:val="left"/>
      <w:pPr>
        <w:ind w:left="720" w:hanging="360"/>
      </w:pPr>
      <w:rPr>
        <w:rFonts w:ascii="Calibri" w:eastAsia="Times New Roman" w:hAnsi="Calibri" w:cs="Calibri" w:hint="default"/>
      </w:rPr>
    </w:lvl>
    <w:lvl w:ilvl="1" w:tplc="57A27998">
      <w:numFmt w:val="bullet"/>
      <w:lvlText w:val="-"/>
      <w:lvlJc w:val="left"/>
      <w:pPr>
        <w:ind w:left="1440" w:hanging="360"/>
      </w:pPr>
      <w:rPr>
        <w:rFonts w:ascii="Times New Roman" w:eastAsia="Times New Roman" w:hAnsi="Times New Roman" w:cs="Times New Roman" w:hint="default"/>
        <w:sz w:val="3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E4358A"/>
    <w:multiLevelType w:val="hybridMultilevel"/>
    <w:tmpl w:val="C668221C"/>
    <w:lvl w:ilvl="0" w:tplc="F9AAA57A">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E95E75F4">
      <w:start w:val="5"/>
      <w:numFmt w:val="bullet"/>
      <w:lvlText w:val="-"/>
      <w:lvlJc w:val="left"/>
      <w:pPr>
        <w:ind w:left="2700" w:hanging="360"/>
      </w:pPr>
      <w:rPr>
        <w:rFonts w:ascii="Calibri" w:eastAsiaTheme="minorHAnsi" w:hAnsi="Calibri" w:cstheme="minorBidi"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0DB323D"/>
    <w:multiLevelType w:val="hybridMultilevel"/>
    <w:tmpl w:val="3AA09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3734CA"/>
    <w:multiLevelType w:val="hybridMultilevel"/>
    <w:tmpl w:val="9BB6133E"/>
    <w:lvl w:ilvl="0" w:tplc="F9AAA57A">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7F50900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337437FA"/>
    <w:multiLevelType w:val="hybridMultilevel"/>
    <w:tmpl w:val="8490E9C0"/>
    <w:lvl w:ilvl="0" w:tplc="040C0005">
      <w:start w:val="1"/>
      <w:numFmt w:val="bullet"/>
      <w:lvlText w:val=""/>
      <w:lvlJc w:val="left"/>
      <w:pPr>
        <w:ind w:left="1134" w:hanging="360"/>
      </w:pPr>
      <w:rPr>
        <w:rFonts w:ascii="Wingdings" w:hAnsi="Wingdings"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9">
    <w:nsid w:val="3B062712"/>
    <w:multiLevelType w:val="hybridMultilevel"/>
    <w:tmpl w:val="4C1C4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C060377"/>
    <w:multiLevelType w:val="hybridMultilevel"/>
    <w:tmpl w:val="B59EF8C2"/>
    <w:lvl w:ilvl="0" w:tplc="F9AAA57A">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3D791A93"/>
    <w:multiLevelType w:val="hybridMultilevel"/>
    <w:tmpl w:val="9FAE7F4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DDF674F"/>
    <w:multiLevelType w:val="hybridMultilevel"/>
    <w:tmpl w:val="1D709B9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3">
    <w:nsid w:val="3F5136A2"/>
    <w:multiLevelType w:val="hybridMultilevel"/>
    <w:tmpl w:val="5C14DE76"/>
    <w:lvl w:ilvl="0" w:tplc="040C0005">
      <w:start w:val="1"/>
      <w:numFmt w:val="bullet"/>
      <w:lvlText w:val=""/>
      <w:lvlJc w:val="left"/>
      <w:pPr>
        <w:ind w:left="1134" w:hanging="360"/>
      </w:pPr>
      <w:rPr>
        <w:rFonts w:ascii="Wingdings" w:hAnsi="Wingdings"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14">
    <w:nsid w:val="491E46B6"/>
    <w:multiLevelType w:val="hybridMultilevel"/>
    <w:tmpl w:val="D9CA93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40E6293"/>
    <w:multiLevelType w:val="hybridMultilevel"/>
    <w:tmpl w:val="D946CA42"/>
    <w:lvl w:ilvl="0" w:tplc="F9AAA57A">
      <w:start w:val="1"/>
      <w:numFmt w:val="decimal"/>
      <w:lvlText w:val="%1."/>
      <w:lvlJc w:val="left"/>
      <w:pPr>
        <w:ind w:left="1080" w:hanging="360"/>
      </w:pPr>
      <w:rPr>
        <w:rFonts w:hint="default"/>
      </w:rPr>
    </w:lvl>
    <w:lvl w:ilvl="1" w:tplc="040C0001">
      <w:start w:val="1"/>
      <w:numFmt w:val="bullet"/>
      <w:lvlText w:val=""/>
      <w:lvlJc w:val="left"/>
      <w:pPr>
        <w:ind w:left="1800" w:hanging="360"/>
      </w:pPr>
      <w:rPr>
        <w:rFonts w:ascii="Symbol" w:hAnsi="Symbol" w:hint="default"/>
      </w:rPr>
    </w:lvl>
    <w:lvl w:ilvl="2" w:tplc="7F50900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561F22E0"/>
    <w:multiLevelType w:val="hybridMultilevel"/>
    <w:tmpl w:val="65F24CF0"/>
    <w:lvl w:ilvl="0" w:tplc="0FD4AC5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573557DF"/>
    <w:multiLevelType w:val="hybridMultilevel"/>
    <w:tmpl w:val="238ADC7C"/>
    <w:lvl w:ilvl="0" w:tplc="57A27998">
      <w:numFmt w:val="bullet"/>
      <w:lvlText w:val="-"/>
      <w:lvlJc w:val="left"/>
      <w:pPr>
        <w:ind w:left="720" w:hanging="360"/>
      </w:pPr>
      <w:rPr>
        <w:rFonts w:ascii="Times New Roman" w:eastAsia="Times New Roman" w:hAnsi="Times New Roman" w:cs="Times New Roman"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7EC4D6E"/>
    <w:multiLevelType w:val="hybridMultilevel"/>
    <w:tmpl w:val="7608A9FA"/>
    <w:lvl w:ilvl="0" w:tplc="040C0005">
      <w:start w:val="1"/>
      <w:numFmt w:val="bullet"/>
      <w:lvlText w:val=""/>
      <w:lvlJc w:val="left"/>
      <w:pPr>
        <w:ind w:left="709" w:hanging="360"/>
      </w:pPr>
      <w:rPr>
        <w:rFonts w:ascii="Wingdings" w:hAnsi="Wingdings"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9">
    <w:nsid w:val="60B71626"/>
    <w:multiLevelType w:val="hybridMultilevel"/>
    <w:tmpl w:val="E39C5736"/>
    <w:lvl w:ilvl="0" w:tplc="040C0001">
      <w:start w:val="1"/>
      <w:numFmt w:val="bullet"/>
      <w:lvlText w:val=""/>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20">
    <w:nsid w:val="60E04350"/>
    <w:multiLevelType w:val="hybridMultilevel"/>
    <w:tmpl w:val="181ADB44"/>
    <w:lvl w:ilvl="0" w:tplc="244019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0845B05"/>
    <w:multiLevelType w:val="hybridMultilevel"/>
    <w:tmpl w:val="39D618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127286B"/>
    <w:multiLevelType w:val="hybridMultilevel"/>
    <w:tmpl w:val="7ECA7C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46756C4"/>
    <w:multiLevelType w:val="hybridMultilevel"/>
    <w:tmpl w:val="C03656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6711A45"/>
    <w:multiLevelType w:val="hybridMultilevel"/>
    <w:tmpl w:val="F92A77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7FC6298"/>
    <w:multiLevelType w:val="hybridMultilevel"/>
    <w:tmpl w:val="58505DB6"/>
    <w:lvl w:ilvl="0" w:tplc="09E27BE8">
      <w:start w:val="2"/>
      <w:numFmt w:val="bullet"/>
      <w:lvlText w:val="-"/>
      <w:lvlJc w:val="left"/>
      <w:pPr>
        <w:ind w:left="720" w:hanging="360"/>
      </w:pPr>
      <w:rPr>
        <w:rFonts w:ascii="Calibri" w:eastAsia="Times New Roman" w:hAnsi="Calibri" w:cs="Calibri" w:hint="default"/>
      </w:rPr>
    </w:lvl>
    <w:lvl w:ilvl="1" w:tplc="09E27BE8">
      <w:start w:val="2"/>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A253EF0"/>
    <w:multiLevelType w:val="hybridMultilevel"/>
    <w:tmpl w:val="A1129DB2"/>
    <w:lvl w:ilvl="0" w:tplc="F9AAA57A">
      <w:start w:val="1"/>
      <w:numFmt w:val="decimal"/>
      <w:lvlText w:val="%1."/>
      <w:lvlJc w:val="left"/>
      <w:pPr>
        <w:ind w:left="1080" w:hanging="360"/>
      </w:pPr>
      <w:rPr>
        <w:rFonts w:hint="default"/>
      </w:rPr>
    </w:lvl>
    <w:lvl w:ilvl="1" w:tplc="040C0001">
      <w:start w:val="1"/>
      <w:numFmt w:val="bullet"/>
      <w:lvlText w:val=""/>
      <w:lvlJc w:val="left"/>
      <w:pPr>
        <w:ind w:left="1800" w:hanging="360"/>
      </w:pPr>
      <w:rPr>
        <w:rFonts w:ascii="Symbol" w:hAnsi="Symbol" w:hint="default"/>
      </w:rPr>
    </w:lvl>
    <w:lvl w:ilvl="2" w:tplc="7F50900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7E2519A1"/>
    <w:multiLevelType w:val="hybridMultilevel"/>
    <w:tmpl w:val="FB22F720"/>
    <w:lvl w:ilvl="0" w:tplc="F9AAA57A">
      <w:start w:val="1"/>
      <w:numFmt w:val="decimal"/>
      <w:lvlText w:val="%1."/>
      <w:lvlJc w:val="left"/>
      <w:pPr>
        <w:ind w:left="1080" w:hanging="360"/>
      </w:pPr>
      <w:rPr>
        <w:rFonts w:hint="default"/>
      </w:rPr>
    </w:lvl>
    <w:lvl w:ilvl="1" w:tplc="040C0001">
      <w:start w:val="1"/>
      <w:numFmt w:val="bullet"/>
      <w:lvlText w:val=""/>
      <w:lvlJc w:val="left"/>
      <w:pPr>
        <w:ind w:left="1800" w:hanging="360"/>
      </w:pPr>
      <w:rPr>
        <w:rFonts w:ascii="Symbol" w:hAnsi="Symbol" w:hint="default"/>
      </w:rPr>
    </w:lvl>
    <w:lvl w:ilvl="2" w:tplc="7F50900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1"/>
  </w:num>
  <w:num w:numId="2">
    <w:abstractNumId w:val="7"/>
  </w:num>
  <w:num w:numId="3">
    <w:abstractNumId w:val="9"/>
  </w:num>
  <w:num w:numId="4">
    <w:abstractNumId w:val="19"/>
  </w:num>
  <w:num w:numId="5">
    <w:abstractNumId w:val="5"/>
  </w:num>
  <w:num w:numId="6">
    <w:abstractNumId w:val="12"/>
  </w:num>
  <w:num w:numId="7">
    <w:abstractNumId w:val="1"/>
  </w:num>
  <w:num w:numId="8">
    <w:abstractNumId w:val="25"/>
  </w:num>
  <w:num w:numId="9">
    <w:abstractNumId w:val="4"/>
  </w:num>
  <w:num w:numId="10">
    <w:abstractNumId w:val="17"/>
  </w:num>
  <w:num w:numId="11">
    <w:abstractNumId w:val="10"/>
  </w:num>
  <w:num w:numId="12">
    <w:abstractNumId w:val="16"/>
  </w:num>
  <w:num w:numId="13">
    <w:abstractNumId w:val="0"/>
  </w:num>
  <w:num w:numId="14">
    <w:abstractNumId w:val="13"/>
  </w:num>
  <w:num w:numId="15">
    <w:abstractNumId w:val="18"/>
  </w:num>
  <w:num w:numId="16">
    <w:abstractNumId w:val="8"/>
  </w:num>
  <w:num w:numId="17">
    <w:abstractNumId w:val="24"/>
  </w:num>
  <w:num w:numId="18">
    <w:abstractNumId w:val="20"/>
  </w:num>
  <w:num w:numId="19">
    <w:abstractNumId w:val="23"/>
  </w:num>
  <w:num w:numId="20">
    <w:abstractNumId w:val="21"/>
  </w:num>
  <w:num w:numId="21">
    <w:abstractNumId w:val="14"/>
  </w:num>
  <w:num w:numId="22">
    <w:abstractNumId w:val="3"/>
  </w:num>
  <w:num w:numId="23">
    <w:abstractNumId w:val="22"/>
  </w:num>
  <w:num w:numId="24">
    <w:abstractNumId w:val="2"/>
  </w:num>
  <w:num w:numId="25">
    <w:abstractNumId w:val="27"/>
  </w:num>
  <w:num w:numId="26">
    <w:abstractNumId w:val="15"/>
  </w:num>
  <w:num w:numId="27">
    <w:abstractNumId w:val="2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CF"/>
    <w:rsid w:val="000238EF"/>
    <w:rsid w:val="00034717"/>
    <w:rsid w:val="00037753"/>
    <w:rsid w:val="00056B07"/>
    <w:rsid w:val="00061F0E"/>
    <w:rsid w:val="00063D1C"/>
    <w:rsid w:val="00067D4B"/>
    <w:rsid w:val="00071B21"/>
    <w:rsid w:val="0007408A"/>
    <w:rsid w:val="00086C41"/>
    <w:rsid w:val="000915A9"/>
    <w:rsid w:val="000941E6"/>
    <w:rsid w:val="00096DAE"/>
    <w:rsid w:val="000C10A0"/>
    <w:rsid w:val="000E6551"/>
    <w:rsid w:val="000F00EB"/>
    <w:rsid w:val="000F1588"/>
    <w:rsid w:val="000F2881"/>
    <w:rsid w:val="000F730E"/>
    <w:rsid w:val="000F7AE3"/>
    <w:rsid w:val="001038EE"/>
    <w:rsid w:val="0011313A"/>
    <w:rsid w:val="0011524C"/>
    <w:rsid w:val="001177D9"/>
    <w:rsid w:val="0013163E"/>
    <w:rsid w:val="00136E2A"/>
    <w:rsid w:val="0014170E"/>
    <w:rsid w:val="0015213A"/>
    <w:rsid w:val="00155C51"/>
    <w:rsid w:val="00157A95"/>
    <w:rsid w:val="00163E66"/>
    <w:rsid w:val="0016665E"/>
    <w:rsid w:val="00192AAE"/>
    <w:rsid w:val="00193558"/>
    <w:rsid w:val="001A6BD0"/>
    <w:rsid w:val="001A781D"/>
    <w:rsid w:val="001B6045"/>
    <w:rsid w:val="001C5662"/>
    <w:rsid w:val="001D1709"/>
    <w:rsid w:val="001E5C42"/>
    <w:rsid w:val="001F5A45"/>
    <w:rsid w:val="0021586B"/>
    <w:rsid w:val="002221C5"/>
    <w:rsid w:val="002253B8"/>
    <w:rsid w:val="00226C0E"/>
    <w:rsid w:val="0022738E"/>
    <w:rsid w:val="00235EBB"/>
    <w:rsid w:val="00260EDA"/>
    <w:rsid w:val="00267847"/>
    <w:rsid w:val="00286435"/>
    <w:rsid w:val="002970D8"/>
    <w:rsid w:val="002A04CE"/>
    <w:rsid w:val="002A42A9"/>
    <w:rsid w:val="002B69E6"/>
    <w:rsid w:val="002F46A0"/>
    <w:rsid w:val="002F72F7"/>
    <w:rsid w:val="00317B96"/>
    <w:rsid w:val="00326DC4"/>
    <w:rsid w:val="00330B16"/>
    <w:rsid w:val="00332984"/>
    <w:rsid w:val="00334B1E"/>
    <w:rsid w:val="0033793C"/>
    <w:rsid w:val="0036007A"/>
    <w:rsid w:val="00381E94"/>
    <w:rsid w:val="00384C1E"/>
    <w:rsid w:val="00385579"/>
    <w:rsid w:val="0039701F"/>
    <w:rsid w:val="003A23A9"/>
    <w:rsid w:val="003B1490"/>
    <w:rsid w:val="003B76A3"/>
    <w:rsid w:val="003C407A"/>
    <w:rsid w:val="003D21D5"/>
    <w:rsid w:val="003D799D"/>
    <w:rsid w:val="003E2887"/>
    <w:rsid w:val="00402170"/>
    <w:rsid w:val="004062A2"/>
    <w:rsid w:val="0041246C"/>
    <w:rsid w:val="0043397F"/>
    <w:rsid w:val="00434E7A"/>
    <w:rsid w:val="00441CB4"/>
    <w:rsid w:val="00456813"/>
    <w:rsid w:val="00457E32"/>
    <w:rsid w:val="0046064E"/>
    <w:rsid w:val="0046274B"/>
    <w:rsid w:val="00467484"/>
    <w:rsid w:val="00494C47"/>
    <w:rsid w:val="00494F0D"/>
    <w:rsid w:val="004A1E91"/>
    <w:rsid w:val="004A37A5"/>
    <w:rsid w:val="004A7141"/>
    <w:rsid w:val="004D48A3"/>
    <w:rsid w:val="004F4445"/>
    <w:rsid w:val="00500BA0"/>
    <w:rsid w:val="00507A9E"/>
    <w:rsid w:val="00517E33"/>
    <w:rsid w:val="00520CEC"/>
    <w:rsid w:val="00521D5C"/>
    <w:rsid w:val="00522F19"/>
    <w:rsid w:val="00532DA5"/>
    <w:rsid w:val="0053653D"/>
    <w:rsid w:val="00547264"/>
    <w:rsid w:val="00554EA8"/>
    <w:rsid w:val="00561CF2"/>
    <w:rsid w:val="00565031"/>
    <w:rsid w:val="00566A61"/>
    <w:rsid w:val="00585C6E"/>
    <w:rsid w:val="00594789"/>
    <w:rsid w:val="005A7CB3"/>
    <w:rsid w:val="005C0F2C"/>
    <w:rsid w:val="005C25F2"/>
    <w:rsid w:val="005E6855"/>
    <w:rsid w:val="006059DF"/>
    <w:rsid w:val="00605F81"/>
    <w:rsid w:val="00607706"/>
    <w:rsid w:val="006157AE"/>
    <w:rsid w:val="00631C3E"/>
    <w:rsid w:val="0063246C"/>
    <w:rsid w:val="0063605A"/>
    <w:rsid w:val="00662BE8"/>
    <w:rsid w:val="0067104E"/>
    <w:rsid w:val="006750E1"/>
    <w:rsid w:val="00683398"/>
    <w:rsid w:val="00692B9F"/>
    <w:rsid w:val="00695E89"/>
    <w:rsid w:val="006964CA"/>
    <w:rsid w:val="006971D7"/>
    <w:rsid w:val="006A2D9A"/>
    <w:rsid w:val="006A7C58"/>
    <w:rsid w:val="006B115B"/>
    <w:rsid w:val="006D278D"/>
    <w:rsid w:val="006E387F"/>
    <w:rsid w:val="006E6221"/>
    <w:rsid w:val="006F041D"/>
    <w:rsid w:val="006F1AF0"/>
    <w:rsid w:val="006F5F42"/>
    <w:rsid w:val="00704F7C"/>
    <w:rsid w:val="00714420"/>
    <w:rsid w:val="00745869"/>
    <w:rsid w:val="007536C2"/>
    <w:rsid w:val="00754884"/>
    <w:rsid w:val="007550DA"/>
    <w:rsid w:val="00770F76"/>
    <w:rsid w:val="00774FCF"/>
    <w:rsid w:val="00775A6F"/>
    <w:rsid w:val="00776BB5"/>
    <w:rsid w:val="00777CFA"/>
    <w:rsid w:val="0078138B"/>
    <w:rsid w:val="00781C7F"/>
    <w:rsid w:val="007A2B65"/>
    <w:rsid w:val="007A6388"/>
    <w:rsid w:val="007C021C"/>
    <w:rsid w:val="007E2D0F"/>
    <w:rsid w:val="007E475A"/>
    <w:rsid w:val="007F6B90"/>
    <w:rsid w:val="00820381"/>
    <w:rsid w:val="008225AC"/>
    <w:rsid w:val="008264C8"/>
    <w:rsid w:val="00827274"/>
    <w:rsid w:val="0083075B"/>
    <w:rsid w:val="00831F47"/>
    <w:rsid w:val="00833BF5"/>
    <w:rsid w:val="00833CF6"/>
    <w:rsid w:val="008375EB"/>
    <w:rsid w:val="008538CB"/>
    <w:rsid w:val="00864089"/>
    <w:rsid w:val="0086480E"/>
    <w:rsid w:val="00865805"/>
    <w:rsid w:val="008733AF"/>
    <w:rsid w:val="00875A7D"/>
    <w:rsid w:val="00881B59"/>
    <w:rsid w:val="008876C7"/>
    <w:rsid w:val="00894099"/>
    <w:rsid w:val="008A6344"/>
    <w:rsid w:val="008A68F8"/>
    <w:rsid w:val="008B5ADB"/>
    <w:rsid w:val="008E0005"/>
    <w:rsid w:val="008E1C7F"/>
    <w:rsid w:val="008E20E4"/>
    <w:rsid w:val="008E4699"/>
    <w:rsid w:val="008E7065"/>
    <w:rsid w:val="00902BA1"/>
    <w:rsid w:val="00912687"/>
    <w:rsid w:val="00912A01"/>
    <w:rsid w:val="0091377E"/>
    <w:rsid w:val="00916BBE"/>
    <w:rsid w:val="00917620"/>
    <w:rsid w:val="009227DF"/>
    <w:rsid w:val="009240DF"/>
    <w:rsid w:val="00924EDC"/>
    <w:rsid w:val="00932B21"/>
    <w:rsid w:val="00935CA0"/>
    <w:rsid w:val="00942DA4"/>
    <w:rsid w:val="00967419"/>
    <w:rsid w:val="0097084B"/>
    <w:rsid w:val="00980BDA"/>
    <w:rsid w:val="00991374"/>
    <w:rsid w:val="00993D18"/>
    <w:rsid w:val="009946AE"/>
    <w:rsid w:val="009C0877"/>
    <w:rsid w:val="009C1ECB"/>
    <w:rsid w:val="009D3CAD"/>
    <w:rsid w:val="009D53AB"/>
    <w:rsid w:val="009E133D"/>
    <w:rsid w:val="00A007E6"/>
    <w:rsid w:val="00A013D2"/>
    <w:rsid w:val="00A126F3"/>
    <w:rsid w:val="00A243E0"/>
    <w:rsid w:val="00A5783B"/>
    <w:rsid w:val="00A6786A"/>
    <w:rsid w:val="00A75757"/>
    <w:rsid w:val="00A76180"/>
    <w:rsid w:val="00A85399"/>
    <w:rsid w:val="00A91871"/>
    <w:rsid w:val="00A9384B"/>
    <w:rsid w:val="00A973F0"/>
    <w:rsid w:val="00AA048A"/>
    <w:rsid w:val="00AA06DB"/>
    <w:rsid w:val="00AA3D7D"/>
    <w:rsid w:val="00AA54E8"/>
    <w:rsid w:val="00B04683"/>
    <w:rsid w:val="00B1562D"/>
    <w:rsid w:val="00B24328"/>
    <w:rsid w:val="00B252C8"/>
    <w:rsid w:val="00B30F3E"/>
    <w:rsid w:val="00B35D46"/>
    <w:rsid w:val="00B603C6"/>
    <w:rsid w:val="00B8694C"/>
    <w:rsid w:val="00B91E0E"/>
    <w:rsid w:val="00B9253F"/>
    <w:rsid w:val="00B97725"/>
    <w:rsid w:val="00BA46B5"/>
    <w:rsid w:val="00BB3ADF"/>
    <w:rsid w:val="00BB770F"/>
    <w:rsid w:val="00BC24A1"/>
    <w:rsid w:val="00BC271E"/>
    <w:rsid w:val="00BC64A2"/>
    <w:rsid w:val="00BD578A"/>
    <w:rsid w:val="00BD5DF2"/>
    <w:rsid w:val="00BF64F2"/>
    <w:rsid w:val="00BF7E26"/>
    <w:rsid w:val="00C370CD"/>
    <w:rsid w:val="00C37EA4"/>
    <w:rsid w:val="00C531F1"/>
    <w:rsid w:val="00C552E7"/>
    <w:rsid w:val="00C55E10"/>
    <w:rsid w:val="00C57768"/>
    <w:rsid w:val="00C64A9A"/>
    <w:rsid w:val="00C6635C"/>
    <w:rsid w:val="00C95492"/>
    <w:rsid w:val="00CA4739"/>
    <w:rsid w:val="00CB0F4D"/>
    <w:rsid w:val="00CB283B"/>
    <w:rsid w:val="00CB4CD9"/>
    <w:rsid w:val="00CC5363"/>
    <w:rsid w:val="00CC7295"/>
    <w:rsid w:val="00CD26F1"/>
    <w:rsid w:val="00CE2A54"/>
    <w:rsid w:val="00D00A5D"/>
    <w:rsid w:val="00D041C6"/>
    <w:rsid w:val="00D07A83"/>
    <w:rsid w:val="00D1724B"/>
    <w:rsid w:val="00D303F7"/>
    <w:rsid w:val="00D360C4"/>
    <w:rsid w:val="00D456E8"/>
    <w:rsid w:val="00D46264"/>
    <w:rsid w:val="00D67CC3"/>
    <w:rsid w:val="00D865E6"/>
    <w:rsid w:val="00DA58CF"/>
    <w:rsid w:val="00DB0BF1"/>
    <w:rsid w:val="00DB1028"/>
    <w:rsid w:val="00DB3B4D"/>
    <w:rsid w:val="00DC0311"/>
    <w:rsid w:val="00DD4CA0"/>
    <w:rsid w:val="00DD5520"/>
    <w:rsid w:val="00DD639A"/>
    <w:rsid w:val="00DE3F4B"/>
    <w:rsid w:val="00E15979"/>
    <w:rsid w:val="00E163BD"/>
    <w:rsid w:val="00E17006"/>
    <w:rsid w:val="00E21576"/>
    <w:rsid w:val="00E2201E"/>
    <w:rsid w:val="00E2715D"/>
    <w:rsid w:val="00E31454"/>
    <w:rsid w:val="00E51248"/>
    <w:rsid w:val="00E55095"/>
    <w:rsid w:val="00E64FD7"/>
    <w:rsid w:val="00E7046B"/>
    <w:rsid w:val="00E82D67"/>
    <w:rsid w:val="00E83FE1"/>
    <w:rsid w:val="00E859C7"/>
    <w:rsid w:val="00E91739"/>
    <w:rsid w:val="00EB53CA"/>
    <w:rsid w:val="00EB6641"/>
    <w:rsid w:val="00ED34EA"/>
    <w:rsid w:val="00ED7052"/>
    <w:rsid w:val="00ED76E9"/>
    <w:rsid w:val="00EF0FC2"/>
    <w:rsid w:val="00F000D8"/>
    <w:rsid w:val="00F02500"/>
    <w:rsid w:val="00F0300F"/>
    <w:rsid w:val="00F04E00"/>
    <w:rsid w:val="00F150E5"/>
    <w:rsid w:val="00F3596C"/>
    <w:rsid w:val="00F460DD"/>
    <w:rsid w:val="00F479C5"/>
    <w:rsid w:val="00F51408"/>
    <w:rsid w:val="00F53F98"/>
    <w:rsid w:val="00F61E6C"/>
    <w:rsid w:val="00F75D25"/>
    <w:rsid w:val="00F82190"/>
    <w:rsid w:val="00F82B84"/>
    <w:rsid w:val="00F86602"/>
    <w:rsid w:val="00F913D6"/>
    <w:rsid w:val="00F938C7"/>
    <w:rsid w:val="00F945FA"/>
    <w:rsid w:val="00F968A3"/>
    <w:rsid w:val="00FA6B2A"/>
    <w:rsid w:val="00FB2DAC"/>
    <w:rsid w:val="00FB3D0B"/>
    <w:rsid w:val="00FB7F9B"/>
    <w:rsid w:val="00FC0470"/>
    <w:rsid w:val="00FC329E"/>
    <w:rsid w:val="00FC6387"/>
    <w:rsid w:val="00FD7B40"/>
    <w:rsid w:val="00FE3C41"/>
    <w:rsid w:val="00FE45E0"/>
    <w:rsid w:val="00FF6D8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2E7"/>
  </w:style>
  <w:style w:type="paragraph" w:styleId="Heading1">
    <w:name w:val="heading 1"/>
    <w:basedOn w:val="Normal"/>
    <w:next w:val="Normal"/>
    <w:link w:val="Heading1Char"/>
    <w:uiPriority w:val="99"/>
    <w:qFormat/>
    <w:rsid w:val="00BC64A2"/>
    <w:pPr>
      <w:keepNext/>
      <w:keepLines/>
      <w:spacing w:before="480" w:after="0" w:line="240" w:lineRule="auto"/>
      <w:outlineLvl w:val="0"/>
    </w:pPr>
    <w:rPr>
      <w:rFonts w:ascii="Verdana" w:eastAsia="Calibri" w:hAnsi="Verdana" w:cs="Times New Roman"/>
      <w:b/>
      <w:bCs/>
      <w:color w:val="365F91"/>
      <w:spacing w:val="22"/>
      <w:sz w:val="56"/>
      <w:szCs w:val="28"/>
      <w:u w:color="00B050"/>
    </w:rPr>
  </w:style>
  <w:style w:type="paragraph" w:styleId="Heading3">
    <w:name w:val="heading 3"/>
    <w:basedOn w:val="Normal"/>
    <w:next w:val="Normal"/>
    <w:link w:val="Heading3Char"/>
    <w:uiPriority w:val="9"/>
    <w:semiHidden/>
    <w:unhideWhenUsed/>
    <w:qFormat/>
    <w:rsid w:val="005C25F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du rapport,Numbered list"/>
    <w:basedOn w:val="Normal"/>
    <w:link w:val="ListParagraphChar"/>
    <w:uiPriority w:val="34"/>
    <w:qFormat/>
    <w:rsid w:val="008A6344"/>
    <w:pPr>
      <w:ind w:left="720"/>
      <w:contextualSpacing/>
    </w:pPr>
  </w:style>
  <w:style w:type="table" w:styleId="TableGrid">
    <w:name w:val="Table Grid"/>
    <w:basedOn w:val="TableNormal"/>
    <w:uiPriority w:val="39"/>
    <w:rsid w:val="00067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7F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9"/>
    <w:rsid w:val="00BC64A2"/>
    <w:rPr>
      <w:rFonts w:ascii="Verdana" w:eastAsia="Calibri" w:hAnsi="Verdana" w:cs="Times New Roman"/>
      <w:b/>
      <w:bCs/>
      <w:color w:val="365F91"/>
      <w:spacing w:val="22"/>
      <w:sz w:val="56"/>
      <w:szCs w:val="28"/>
      <w:u w:color="00B050"/>
    </w:rPr>
  </w:style>
  <w:style w:type="character" w:customStyle="1" w:styleId="ListParagraphChar">
    <w:name w:val="List Paragraph Char"/>
    <w:aliases w:val="Paragraphe de liste du rapport Char,Numbered list Char"/>
    <w:link w:val="ListParagraph"/>
    <w:uiPriority w:val="34"/>
    <w:rsid w:val="00C6635C"/>
  </w:style>
  <w:style w:type="character" w:styleId="CommentReference">
    <w:name w:val="annotation reference"/>
    <w:basedOn w:val="DefaultParagraphFont"/>
    <w:uiPriority w:val="99"/>
    <w:semiHidden/>
    <w:unhideWhenUsed/>
    <w:rsid w:val="00385579"/>
    <w:rPr>
      <w:sz w:val="16"/>
      <w:szCs w:val="16"/>
    </w:rPr>
  </w:style>
  <w:style w:type="paragraph" w:styleId="CommentText">
    <w:name w:val="annotation text"/>
    <w:basedOn w:val="Normal"/>
    <w:link w:val="CommentTextChar"/>
    <w:uiPriority w:val="99"/>
    <w:semiHidden/>
    <w:unhideWhenUsed/>
    <w:rsid w:val="00385579"/>
    <w:pPr>
      <w:spacing w:line="240" w:lineRule="auto"/>
    </w:pPr>
    <w:rPr>
      <w:sz w:val="20"/>
      <w:szCs w:val="20"/>
    </w:rPr>
  </w:style>
  <w:style w:type="character" w:customStyle="1" w:styleId="CommentTextChar">
    <w:name w:val="Comment Text Char"/>
    <w:basedOn w:val="DefaultParagraphFont"/>
    <w:link w:val="CommentText"/>
    <w:uiPriority w:val="99"/>
    <w:semiHidden/>
    <w:rsid w:val="00385579"/>
    <w:rPr>
      <w:sz w:val="20"/>
      <w:szCs w:val="20"/>
    </w:rPr>
  </w:style>
  <w:style w:type="paragraph" w:styleId="CommentSubject">
    <w:name w:val="annotation subject"/>
    <w:basedOn w:val="CommentText"/>
    <w:next w:val="CommentText"/>
    <w:link w:val="CommentSubjectChar"/>
    <w:uiPriority w:val="99"/>
    <w:semiHidden/>
    <w:unhideWhenUsed/>
    <w:rsid w:val="00385579"/>
    <w:rPr>
      <w:b/>
      <w:bCs/>
    </w:rPr>
  </w:style>
  <w:style w:type="character" w:customStyle="1" w:styleId="CommentSubjectChar">
    <w:name w:val="Comment Subject Char"/>
    <w:basedOn w:val="CommentTextChar"/>
    <w:link w:val="CommentSubject"/>
    <w:uiPriority w:val="99"/>
    <w:semiHidden/>
    <w:rsid w:val="00385579"/>
    <w:rPr>
      <w:b/>
      <w:bCs/>
      <w:sz w:val="20"/>
      <w:szCs w:val="20"/>
    </w:rPr>
  </w:style>
  <w:style w:type="paragraph" w:styleId="BalloonText">
    <w:name w:val="Balloon Text"/>
    <w:basedOn w:val="Normal"/>
    <w:link w:val="BalloonTextChar"/>
    <w:uiPriority w:val="99"/>
    <w:semiHidden/>
    <w:unhideWhenUsed/>
    <w:rsid w:val="00385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79"/>
    <w:rPr>
      <w:rFonts w:ascii="Tahoma" w:hAnsi="Tahoma" w:cs="Tahoma"/>
      <w:sz w:val="16"/>
      <w:szCs w:val="16"/>
    </w:rPr>
  </w:style>
  <w:style w:type="paragraph" w:customStyle="1" w:styleId="Default">
    <w:name w:val="Default"/>
    <w:rsid w:val="001D170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9"/>
    <w:rsid w:val="005C25F2"/>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260E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0EDA"/>
  </w:style>
  <w:style w:type="paragraph" w:styleId="Footer">
    <w:name w:val="footer"/>
    <w:basedOn w:val="Normal"/>
    <w:link w:val="FooterChar"/>
    <w:uiPriority w:val="99"/>
    <w:unhideWhenUsed/>
    <w:rsid w:val="00260E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2E7"/>
  </w:style>
  <w:style w:type="paragraph" w:styleId="Heading1">
    <w:name w:val="heading 1"/>
    <w:basedOn w:val="Normal"/>
    <w:next w:val="Normal"/>
    <w:link w:val="Heading1Char"/>
    <w:uiPriority w:val="99"/>
    <w:qFormat/>
    <w:rsid w:val="00BC64A2"/>
    <w:pPr>
      <w:keepNext/>
      <w:keepLines/>
      <w:spacing w:before="480" w:after="0" w:line="240" w:lineRule="auto"/>
      <w:outlineLvl w:val="0"/>
    </w:pPr>
    <w:rPr>
      <w:rFonts w:ascii="Verdana" w:eastAsia="Calibri" w:hAnsi="Verdana" w:cs="Times New Roman"/>
      <w:b/>
      <w:bCs/>
      <w:color w:val="365F91"/>
      <w:spacing w:val="22"/>
      <w:sz w:val="56"/>
      <w:szCs w:val="28"/>
      <w:u w:color="00B050"/>
    </w:rPr>
  </w:style>
  <w:style w:type="paragraph" w:styleId="Heading3">
    <w:name w:val="heading 3"/>
    <w:basedOn w:val="Normal"/>
    <w:next w:val="Normal"/>
    <w:link w:val="Heading3Char"/>
    <w:uiPriority w:val="9"/>
    <w:semiHidden/>
    <w:unhideWhenUsed/>
    <w:qFormat/>
    <w:rsid w:val="005C25F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du rapport,Numbered list"/>
    <w:basedOn w:val="Normal"/>
    <w:link w:val="ListParagraphChar"/>
    <w:uiPriority w:val="34"/>
    <w:qFormat/>
    <w:rsid w:val="008A6344"/>
    <w:pPr>
      <w:ind w:left="720"/>
      <w:contextualSpacing/>
    </w:pPr>
  </w:style>
  <w:style w:type="table" w:styleId="TableGrid">
    <w:name w:val="Table Grid"/>
    <w:basedOn w:val="TableNormal"/>
    <w:uiPriority w:val="39"/>
    <w:rsid w:val="00067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7F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9"/>
    <w:rsid w:val="00BC64A2"/>
    <w:rPr>
      <w:rFonts w:ascii="Verdana" w:eastAsia="Calibri" w:hAnsi="Verdana" w:cs="Times New Roman"/>
      <w:b/>
      <w:bCs/>
      <w:color w:val="365F91"/>
      <w:spacing w:val="22"/>
      <w:sz w:val="56"/>
      <w:szCs w:val="28"/>
      <w:u w:color="00B050"/>
    </w:rPr>
  </w:style>
  <w:style w:type="character" w:customStyle="1" w:styleId="ListParagraphChar">
    <w:name w:val="List Paragraph Char"/>
    <w:aliases w:val="Paragraphe de liste du rapport Char,Numbered list Char"/>
    <w:link w:val="ListParagraph"/>
    <w:uiPriority w:val="34"/>
    <w:rsid w:val="00C6635C"/>
  </w:style>
  <w:style w:type="character" w:styleId="CommentReference">
    <w:name w:val="annotation reference"/>
    <w:basedOn w:val="DefaultParagraphFont"/>
    <w:uiPriority w:val="99"/>
    <w:semiHidden/>
    <w:unhideWhenUsed/>
    <w:rsid w:val="00385579"/>
    <w:rPr>
      <w:sz w:val="16"/>
      <w:szCs w:val="16"/>
    </w:rPr>
  </w:style>
  <w:style w:type="paragraph" w:styleId="CommentText">
    <w:name w:val="annotation text"/>
    <w:basedOn w:val="Normal"/>
    <w:link w:val="CommentTextChar"/>
    <w:uiPriority w:val="99"/>
    <w:semiHidden/>
    <w:unhideWhenUsed/>
    <w:rsid w:val="00385579"/>
    <w:pPr>
      <w:spacing w:line="240" w:lineRule="auto"/>
    </w:pPr>
    <w:rPr>
      <w:sz w:val="20"/>
      <w:szCs w:val="20"/>
    </w:rPr>
  </w:style>
  <w:style w:type="character" w:customStyle="1" w:styleId="CommentTextChar">
    <w:name w:val="Comment Text Char"/>
    <w:basedOn w:val="DefaultParagraphFont"/>
    <w:link w:val="CommentText"/>
    <w:uiPriority w:val="99"/>
    <w:semiHidden/>
    <w:rsid w:val="00385579"/>
    <w:rPr>
      <w:sz w:val="20"/>
      <w:szCs w:val="20"/>
    </w:rPr>
  </w:style>
  <w:style w:type="paragraph" w:styleId="CommentSubject">
    <w:name w:val="annotation subject"/>
    <w:basedOn w:val="CommentText"/>
    <w:next w:val="CommentText"/>
    <w:link w:val="CommentSubjectChar"/>
    <w:uiPriority w:val="99"/>
    <w:semiHidden/>
    <w:unhideWhenUsed/>
    <w:rsid w:val="00385579"/>
    <w:rPr>
      <w:b/>
      <w:bCs/>
    </w:rPr>
  </w:style>
  <w:style w:type="character" w:customStyle="1" w:styleId="CommentSubjectChar">
    <w:name w:val="Comment Subject Char"/>
    <w:basedOn w:val="CommentTextChar"/>
    <w:link w:val="CommentSubject"/>
    <w:uiPriority w:val="99"/>
    <w:semiHidden/>
    <w:rsid w:val="00385579"/>
    <w:rPr>
      <w:b/>
      <w:bCs/>
      <w:sz w:val="20"/>
      <w:szCs w:val="20"/>
    </w:rPr>
  </w:style>
  <w:style w:type="paragraph" w:styleId="BalloonText">
    <w:name w:val="Balloon Text"/>
    <w:basedOn w:val="Normal"/>
    <w:link w:val="BalloonTextChar"/>
    <w:uiPriority w:val="99"/>
    <w:semiHidden/>
    <w:unhideWhenUsed/>
    <w:rsid w:val="00385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79"/>
    <w:rPr>
      <w:rFonts w:ascii="Tahoma" w:hAnsi="Tahoma" w:cs="Tahoma"/>
      <w:sz w:val="16"/>
      <w:szCs w:val="16"/>
    </w:rPr>
  </w:style>
  <w:style w:type="paragraph" w:customStyle="1" w:styleId="Default">
    <w:name w:val="Default"/>
    <w:rsid w:val="001D170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9"/>
    <w:rsid w:val="005C25F2"/>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260E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0EDA"/>
  </w:style>
  <w:style w:type="paragraph" w:styleId="Footer">
    <w:name w:val="footer"/>
    <w:basedOn w:val="Normal"/>
    <w:link w:val="FooterChar"/>
    <w:uiPriority w:val="99"/>
    <w:unhideWhenUsed/>
    <w:rsid w:val="00260E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0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C6371-0DCF-43FA-90B1-C29139BC31DD}"/>
</file>

<file path=customXml/itemProps2.xml><?xml version="1.0" encoding="utf-8"?>
<ds:datastoreItem xmlns:ds="http://schemas.openxmlformats.org/officeDocument/2006/customXml" ds:itemID="{F428F3D6-A021-4D99-A936-E879B3B0EA18}"/>
</file>

<file path=customXml/itemProps3.xml><?xml version="1.0" encoding="utf-8"?>
<ds:datastoreItem xmlns:ds="http://schemas.openxmlformats.org/officeDocument/2006/customXml" ds:itemID="{C1881476-95D5-4175-B244-3D89FC08FE23}"/>
</file>

<file path=docProps/app.xml><?xml version="1.0" encoding="utf-8"?>
<Properties xmlns="http://schemas.openxmlformats.org/officeDocument/2006/extended-properties" xmlns:vt="http://schemas.openxmlformats.org/officeDocument/2006/docPropsVTypes">
  <Template>Normal.dotm</Template>
  <TotalTime>0</TotalTime>
  <Pages>9</Pages>
  <Words>2457</Words>
  <Characters>14006</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16431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AZERBI</dc:creator>
  <cp:lastModifiedBy>Alina Grigoras</cp:lastModifiedBy>
  <cp:revision>2</cp:revision>
  <cp:lastPrinted>2016-05-16T08:13:00Z</cp:lastPrinted>
  <dcterms:created xsi:type="dcterms:W3CDTF">2016-05-24T16:36:00Z</dcterms:created>
  <dcterms:modified xsi:type="dcterms:W3CDTF">2016-05-24T16:36:00Z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