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0B" w:rsidRPr="002F3E0B" w:rsidRDefault="002F3E0B" w:rsidP="00D03E00">
      <w:pPr>
        <w:spacing w:after="0" w:line="240" w:lineRule="auto"/>
        <w:jc w:val="center"/>
        <w:rPr>
          <w:rFonts w:ascii="Cambria" w:hAnsi="Cambria"/>
          <w:b/>
          <w:sz w:val="23"/>
          <w:szCs w:val="23"/>
        </w:rPr>
      </w:pPr>
      <w:bookmarkStart w:id="0" w:name="_GoBack"/>
      <w:bookmarkEnd w:id="0"/>
      <w:r w:rsidRPr="002F3E0B">
        <w:rPr>
          <w:rFonts w:ascii="Cambria" w:hAnsi="Cambria"/>
          <w:b/>
          <w:sz w:val="23"/>
          <w:szCs w:val="23"/>
        </w:rPr>
        <w:t>RELATOR</w:t>
      </w:r>
      <w:r>
        <w:rPr>
          <w:rFonts w:ascii="Cambria" w:hAnsi="Cambria"/>
          <w:b/>
          <w:sz w:val="23"/>
          <w:szCs w:val="23"/>
        </w:rPr>
        <w:t>Í</w:t>
      </w:r>
      <w:r w:rsidRPr="002F3E0B">
        <w:rPr>
          <w:rFonts w:ascii="Cambria" w:hAnsi="Cambria"/>
          <w:b/>
          <w:sz w:val="23"/>
          <w:szCs w:val="23"/>
        </w:rPr>
        <w:t>A ESPECIAL SOBRE LOS DERECHOS DE LAS PERSONAS CON DISCAPACIDAD</w:t>
      </w:r>
    </w:p>
    <w:p w:rsidR="002F3E0B" w:rsidRDefault="002F3E0B" w:rsidP="00D03E00">
      <w:pPr>
        <w:spacing w:after="0" w:line="240" w:lineRule="auto"/>
        <w:jc w:val="center"/>
        <w:rPr>
          <w:rFonts w:ascii="Cambria" w:hAnsi="Cambria"/>
          <w:b/>
          <w:sz w:val="23"/>
          <w:szCs w:val="23"/>
          <w:u w:val="single"/>
        </w:rPr>
      </w:pPr>
    </w:p>
    <w:p w:rsidR="00E43222" w:rsidRPr="001139BA" w:rsidRDefault="00E43222" w:rsidP="00D03E00">
      <w:pPr>
        <w:spacing w:after="0" w:line="240" w:lineRule="auto"/>
        <w:jc w:val="center"/>
        <w:rPr>
          <w:rFonts w:ascii="Cambria" w:hAnsi="Cambria"/>
          <w:b/>
          <w:sz w:val="23"/>
          <w:szCs w:val="23"/>
          <w:u w:val="single"/>
        </w:rPr>
      </w:pPr>
      <w:r w:rsidRPr="001139BA">
        <w:rPr>
          <w:rFonts w:ascii="Cambria" w:hAnsi="Cambria"/>
          <w:b/>
          <w:sz w:val="23"/>
          <w:szCs w:val="23"/>
          <w:u w:val="single"/>
        </w:rPr>
        <w:t>CUESTIONARIO</w:t>
      </w:r>
      <w:r w:rsidR="002F3E0B">
        <w:rPr>
          <w:rFonts w:ascii="Cambria" w:hAnsi="Cambria"/>
          <w:b/>
          <w:sz w:val="23"/>
          <w:szCs w:val="23"/>
          <w:u w:val="single"/>
        </w:rPr>
        <w:t>: EL DERECHO A LA LIBERTAD Y SEGURIDAD DE LAS PERSONAS CON DISCAPACIDAD</w:t>
      </w:r>
    </w:p>
    <w:p w:rsidR="00E43222" w:rsidRPr="001139BA" w:rsidRDefault="00E43222" w:rsidP="00D03E00">
      <w:pPr>
        <w:spacing w:after="0" w:line="240" w:lineRule="auto"/>
        <w:jc w:val="center"/>
        <w:rPr>
          <w:rFonts w:ascii="Cambria" w:hAnsi="Cambria"/>
          <w:b/>
          <w:sz w:val="23"/>
          <w:szCs w:val="23"/>
          <w:u w:val="single"/>
        </w:rPr>
      </w:pPr>
    </w:p>
    <w:p w:rsidR="00E166FD" w:rsidRPr="001139BA" w:rsidRDefault="00E43222" w:rsidP="00D03E00">
      <w:pPr>
        <w:spacing w:after="0" w:line="240" w:lineRule="auto"/>
        <w:jc w:val="center"/>
        <w:rPr>
          <w:rFonts w:ascii="Cambria" w:hAnsi="Cambria"/>
          <w:b/>
          <w:sz w:val="23"/>
          <w:szCs w:val="23"/>
          <w:u w:val="single"/>
        </w:rPr>
      </w:pPr>
      <w:r w:rsidRPr="001139BA">
        <w:rPr>
          <w:rFonts w:ascii="Cambria" w:hAnsi="Cambria"/>
          <w:b/>
          <w:sz w:val="23"/>
          <w:szCs w:val="23"/>
          <w:u w:val="single"/>
        </w:rPr>
        <w:t>APORTES DE LA</w:t>
      </w:r>
      <w:r w:rsidR="00E166FD" w:rsidRPr="001139BA">
        <w:rPr>
          <w:rFonts w:ascii="Cambria" w:hAnsi="Cambria"/>
          <w:b/>
          <w:sz w:val="23"/>
          <w:szCs w:val="23"/>
          <w:u w:val="single"/>
        </w:rPr>
        <w:t xml:space="preserve"> DEFENSORÍA DEL PUEBLO</w:t>
      </w:r>
    </w:p>
    <w:p w:rsidR="00E166FD" w:rsidRPr="001139BA" w:rsidRDefault="00E166FD" w:rsidP="00D03E00">
      <w:pPr>
        <w:spacing w:after="0" w:line="240" w:lineRule="auto"/>
        <w:jc w:val="center"/>
        <w:rPr>
          <w:rFonts w:ascii="Cambria" w:hAnsi="Cambria"/>
          <w:b/>
          <w:sz w:val="23"/>
          <w:szCs w:val="23"/>
          <w:u w:val="single"/>
        </w:rPr>
      </w:pPr>
      <w:r w:rsidRPr="001139BA">
        <w:rPr>
          <w:rFonts w:ascii="Cambria" w:hAnsi="Cambria"/>
          <w:b/>
          <w:sz w:val="23"/>
          <w:szCs w:val="23"/>
          <w:u w:val="single"/>
        </w:rPr>
        <w:t>DEL ESTADO PLURINACIONAL DE BOLIVIA</w:t>
      </w:r>
    </w:p>
    <w:p w:rsidR="00E43222" w:rsidRPr="001139BA" w:rsidRDefault="00E43222" w:rsidP="00E43222">
      <w:pPr>
        <w:spacing w:after="0" w:line="240" w:lineRule="auto"/>
        <w:rPr>
          <w:rFonts w:ascii="Cambria" w:hAnsi="Cambria"/>
          <w:b/>
          <w:sz w:val="23"/>
          <w:szCs w:val="23"/>
          <w:u w:val="single"/>
        </w:rPr>
      </w:pPr>
    </w:p>
    <w:p w:rsidR="00E43222" w:rsidRPr="001139BA" w:rsidRDefault="00E43222" w:rsidP="00E43222">
      <w:pPr>
        <w:spacing w:after="0" w:line="240" w:lineRule="auto"/>
        <w:rPr>
          <w:rFonts w:ascii="Cambria" w:hAnsi="Cambria"/>
          <w:b/>
          <w:sz w:val="23"/>
          <w:szCs w:val="23"/>
          <w:u w:val="single"/>
        </w:rPr>
      </w:pPr>
    </w:p>
    <w:p w:rsidR="00D03E00" w:rsidRPr="001139BA" w:rsidRDefault="00E43222" w:rsidP="00D03E00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  <w:r w:rsidRPr="001139BA">
        <w:rPr>
          <w:rFonts w:asciiTheme="majorHAnsi" w:hAnsiTheme="majorHAnsi" w:cs="Tahoma"/>
          <w:b/>
          <w:sz w:val="23"/>
          <w:szCs w:val="23"/>
          <w:u w:val="single"/>
        </w:rPr>
        <w:t>Pregunta 1:</w:t>
      </w:r>
      <w:r w:rsidR="002F3E0B">
        <w:rPr>
          <w:rFonts w:asciiTheme="majorHAnsi" w:hAnsiTheme="majorHAnsi" w:cs="Tahoma"/>
          <w:b/>
          <w:sz w:val="23"/>
          <w:szCs w:val="23"/>
        </w:rPr>
        <w:t xml:space="preserve"> </w:t>
      </w:r>
      <w:r w:rsidR="002F3E0B" w:rsidRPr="002F3E0B">
        <w:rPr>
          <w:rFonts w:asciiTheme="majorHAnsi" w:hAnsiTheme="majorHAnsi" w:cs="Tahoma"/>
          <w:b/>
          <w:sz w:val="23"/>
          <w:szCs w:val="23"/>
        </w:rPr>
        <w:t>Sírvanse proporcionar información sobre la existencia de legislación y políticas destinadas a garantizar y proteger el derecho a la libertad y la seguridad de las personas con discapacidad</w:t>
      </w:r>
      <w:r w:rsidR="002F3E0B">
        <w:rPr>
          <w:rFonts w:asciiTheme="majorHAnsi" w:hAnsiTheme="majorHAnsi" w:cs="Tahoma"/>
          <w:b/>
          <w:sz w:val="23"/>
          <w:szCs w:val="23"/>
        </w:rPr>
        <w:t>.</w:t>
      </w:r>
    </w:p>
    <w:p w:rsidR="00D03E00" w:rsidRPr="001139BA" w:rsidRDefault="00D03E00" w:rsidP="00D03E00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</w:p>
    <w:p w:rsidR="00E43222" w:rsidRPr="001139BA" w:rsidRDefault="00E43222" w:rsidP="00E43222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1139BA">
        <w:rPr>
          <w:rFonts w:asciiTheme="majorHAnsi" w:hAnsiTheme="majorHAnsi" w:cs="Arial"/>
          <w:b/>
          <w:sz w:val="24"/>
          <w:szCs w:val="24"/>
          <w:u w:val="single"/>
        </w:rPr>
        <w:t>Respuesta:</w:t>
      </w:r>
    </w:p>
    <w:p w:rsidR="001165DD" w:rsidRPr="001165DD" w:rsidRDefault="001165DD" w:rsidP="001165DD">
      <w:pPr>
        <w:spacing w:after="160" w:line="259" w:lineRule="auto"/>
        <w:jc w:val="both"/>
        <w:rPr>
          <w:rFonts w:asciiTheme="majorHAnsi" w:hAnsiTheme="majorHAnsi" w:cs="Arial"/>
        </w:rPr>
      </w:pPr>
      <w:r w:rsidRPr="001165DD">
        <w:rPr>
          <w:rFonts w:asciiTheme="majorHAnsi" w:hAnsiTheme="majorHAnsi" w:cs="Arial"/>
        </w:rPr>
        <w:t xml:space="preserve">La Constitución Política del Estado Plurinacional de Bolivia, en </w:t>
      </w:r>
      <w:r>
        <w:rPr>
          <w:rFonts w:asciiTheme="majorHAnsi" w:hAnsiTheme="majorHAnsi" w:cs="Arial"/>
        </w:rPr>
        <w:t>su artículo 3</w:t>
      </w:r>
      <w:r w:rsidRPr="001165D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señala</w:t>
      </w:r>
      <w:r w:rsidRPr="001165DD">
        <w:rPr>
          <w:rFonts w:asciiTheme="majorHAnsi" w:hAnsiTheme="majorHAnsi" w:cs="Arial"/>
        </w:rPr>
        <w:t xml:space="preserve"> que “</w:t>
      </w:r>
      <w:r w:rsidRPr="001165DD">
        <w:rPr>
          <w:rFonts w:asciiTheme="majorHAnsi" w:hAnsiTheme="majorHAnsi" w:cs="Arial"/>
          <w:i/>
        </w:rPr>
        <w:t>La nación boliviana está conformada por la totalidad de las bolivianas y los bolivianos,  las naciones y pueblos indígena originario campesinos, y las comunidades interculturales y afrobolivianas que en conjunto constituyen el pueblo boliviano</w:t>
      </w:r>
      <w:r>
        <w:rPr>
          <w:rFonts w:asciiTheme="majorHAnsi" w:hAnsiTheme="majorHAnsi" w:cs="Arial"/>
        </w:rPr>
        <w:t>”, en el numeral II del artí</w:t>
      </w:r>
      <w:r w:rsidRPr="001165DD">
        <w:rPr>
          <w:rFonts w:asciiTheme="majorHAnsi" w:hAnsiTheme="majorHAnsi" w:cs="Arial"/>
        </w:rPr>
        <w:t>culo 8 manifiesta que “</w:t>
      </w:r>
      <w:r w:rsidRPr="001165DD">
        <w:rPr>
          <w:rFonts w:asciiTheme="majorHAnsi" w:hAnsiTheme="majorHAnsi" w:cs="Arial"/>
          <w:i/>
        </w:rPr>
        <w:t>El Estado se sustenta en los valores de unidad, igualdad, inclusión, dignidad, libertad, solidaridad, reciprocidad, respeto, complementariedad, armonía, transparencia, equilibrio, igualdad de oportunidades, equidad social y de género en la participación, bienestar común, responsabilidad, justicia social, distribución y redistribución de los productos y bienes sociales, para vivir bien</w:t>
      </w:r>
      <w:r w:rsidRPr="001165DD">
        <w:rPr>
          <w:rFonts w:asciiTheme="majorHAnsi" w:hAnsiTheme="majorHAnsi" w:cs="Arial"/>
        </w:rPr>
        <w:t>”.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  <w:i/>
        </w:rPr>
      </w:pPr>
      <w:r w:rsidRPr="001165DD">
        <w:rPr>
          <w:rFonts w:asciiTheme="majorHAnsi" w:hAnsiTheme="majorHAnsi" w:cs="Arial"/>
        </w:rPr>
        <w:t xml:space="preserve">El Artículo 21 </w:t>
      </w:r>
      <w:r>
        <w:rPr>
          <w:rFonts w:asciiTheme="majorHAnsi" w:hAnsiTheme="majorHAnsi" w:cs="Arial"/>
        </w:rPr>
        <w:t>establece</w:t>
      </w:r>
      <w:r w:rsidRPr="001165DD">
        <w:rPr>
          <w:rFonts w:asciiTheme="majorHAnsi" w:hAnsiTheme="majorHAnsi" w:cs="Arial"/>
        </w:rPr>
        <w:t xml:space="preserve"> que “</w:t>
      </w:r>
      <w:r w:rsidRPr="001165DD">
        <w:rPr>
          <w:rFonts w:asciiTheme="majorHAnsi" w:hAnsiTheme="majorHAnsi" w:cs="Arial"/>
          <w:i/>
        </w:rPr>
        <w:t xml:space="preserve">las bolivianas y los bolivianos tienen los siguientes derechos: 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  <w:i/>
        </w:rPr>
      </w:pPr>
      <w:r w:rsidRPr="001165DD">
        <w:rPr>
          <w:rFonts w:asciiTheme="majorHAnsi" w:hAnsiTheme="majorHAnsi" w:cs="Arial"/>
          <w:i/>
        </w:rPr>
        <w:t xml:space="preserve">1. A la autoidentificación cultural. 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  <w:i/>
        </w:rPr>
      </w:pPr>
      <w:r w:rsidRPr="001165DD">
        <w:rPr>
          <w:rFonts w:asciiTheme="majorHAnsi" w:hAnsiTheme="majorHAnsi" w:cs="Arial"/>
          <w:i/>
        </w:rPr>
        <w:t xml:space="preserve">2. A la privacidad, intimidad, honra, honor, propia imagen y dignidad. 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  <w:i/>
        </w:rPr>
      </w:pPr>
      <w:r w:rsidRPr="001165DD">
        <w:rPr>
          <w:rFonts w:asciiTheme="majorHAnsi" w:hAnsiTheme="majorHAnsi" w:cs="Arial"/>
          <w:i/>
        </w:rPr>
        <w:t xml:space="preserve">3. A la libertad de pensamiento, espiritualidad, religión y culto, expresados en forma individual o colectiva, tanto en público como en privado, con fines lícitos.  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  <w:i/>
        </w:rPr>
      </w:pPr>
      <w:r w:rsidRPr="001165DD">
        <w:rPr>
          <w:rFonts w:asciiTheme="majorHAnsi" w:hAnsiTheme="majorHAnsi" w:cs="Arial"/>
          <w:i/>
        </w:rPr>
        <w:t xml:space="preserve">4. A la libertad de reunión y asociación, en forma pública y privada, con fines lícitos. 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  <w:i/>
        </w:rPr>
      </w:pPr>
      <w:r w:rsidRPr="001165DD">
        <w:rPr>
          <w:rFonts w:asciiTheme="majorHAnsi" w:hAnsiTheme="majorHAnsi" w:cs="Arial"/>
          <w:i/>
        </w:rPr>
        <w:t xml:space="preserve">5. A expresar y difundir libremente pensamientos u opiniones por cualquier medio de comunicación, de forma oral, escrita o visual, individual o colectiva. 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  <w:i/>
        </w:rPr>
      </w:pPr>
      <w:r w:rsidRPr="001165DD">
        <w:rPr>
          <w:rFonts w:asciiTheme="majorHAnsi" w:hAnsiTheme="majorHAnsi" w:cs="Arial"/>
          <w:i/>
        </w:rPr>
        <w:t xml:space="preserve">6. A acceder a la información, interpretarla, analizarla y comunicarla libremente, de manera individual o colectiva. </w:t>
      </w:r>
    </w:p>
    <w:p w:rsidR="001165DD" w:rsidRPr="001165DD" w:rsidRDefault="001165DD" w:rsidP="001165DD">
      <w:pPr>
        <w:spacing w:after="160" w:line="259" w:lineRule="auto"/>
        <w:jc w:val="both"/>
        <w:rPr>
          <w:rFonts w:asciiTheme="majorHAnsi" w:hAnsiTheme="majorHAnsi" w:cs="Arial"/>
        </w:rPr>
      </w:pPr>
      <w:r w:rsidRPr="001165DD">
        <w:rPr>
          <w:rFonts w:asciiTheme="majorHAnsi" w:hAnsiTheme="majorHAnsi" w:cs="Arial"/>
          <w:i/>
        </w:rPr>
        <w:t>7. A la libertad de residencia, permanencia y circulación en todo el territorio boliviano, que incluye la salida e ingreso del país</w:t>
      </w:r>
      <w:r w:rsidRPr="001165DD">
        <w:rPr>
          <w:rFonts w:asciiTheme="majorHAnsi" w:hAnsiTheme="majorHAnsi" w:cs="Arial"/>
        </w:rPr>
        <w:t xml:space="preserve">”. </w:t>
      </w:r>
    </w:p>
    <w:p w:rsidR="001165DD" w:rsidRPr="001165DD" w:rsidRDefault="00C54A1B" w:rsidP="001165DD">
      <w:pPr>
        <w:spacing w:after="160" w:line="259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También</w:t>
      </w:r>
      <w:r w:rsidR="001165DD">
        <w:rPr>
          <w:rFonts w:asciiTheme="majorHAnsi" w:hAnsiTheme="majorHAnsi" w:cs="Arial"/>
        </w:rPr>
        <w:t xml:space="preserve"> el artículo 22 prescribe que “</w:t>
      </w:r>
      <w:r w:rsidR="001165DD" w:rsidRPr="001165DD">
        <w:rPr>
          <w:rFonts w:asciiTheme="majorHAnsi" w:hAnsiTheme="majorHAnsi" w:cs="Arial"/>
          <w:i/>
        </w:rPr>
        <w:t>La dignidad y la libertad de la persona son inviolables, respetarlas y protegerlas es deber primordial del Estado</w:t>
      </w:r>
      <w:r w:rsidR="001165DD">
        <w:rPr>
          <w:rFonts w:asciiTheme="majorHAnsi" w:hAnsiTheme="majorHAnsi" w:cs="Arial"/>
        </w:rPr>
        <w:t>”. Asi</w:t>
      </w:r>
      <w:r w:rsidR="001165DD" w:rsidRPr="001165DD">
        <w:rPr>
          <w:rFonts w:asciiTheme="majorHAnsi" w:hAnsiTheme="majorHAnsi" w:cs="Arial"/>
        </w:rPr>
        <w:t>mismo</w:t>
      </w:r>
      <w:r w:rsidR="001165DD">
        <w:rPr>
          <w:rFonts w:asciiTheme="majorHAnsi" w:hAnsiTheme="majorHAnsi" w:cs="Arial"/>
        </w:rPr>
        <w:t>,</w:t>
      </w:r>
      <w:r w:rsidR="001165DD" w:rsidRPr="001165DD">
        <w:rPr>
          <w:rFonts w:asciiTheme="majorHAnsi" w:hAnsiTheme="majorHAnsi" w:cs="Arial"/>
        </w:rPr>
        <w:t xml:space="preserve"> el </w:t>
      </w:r>
      <w:r w:rsidR="00910608">
        <w:rPr>
          <w:rFonts w:asciiTheme="majorHAnsi" w:hAnsiTheme="majorHAnsi" w:cs="Arial"/>
        </w:rPr>
        <w:t>a</w:t>
      </w:r>
      <w:r w:rsidR="001165DD" w:rsidRPr="001165DD">
        <w:rPr>
          <w:rFonts w:asciiTheme="majorHAnsi" w:hAnsiTheme="majorHAnsi" w:cs="Arial"/>
        </w:rPr>
        <w:t>rtículo 23. Numeral  I. indica que “</w:t>
      </w:r>
      <w:r w:rsidR="00910608" w:rsidRPr="00910608">
        <w:rPr>
          <w:rFonts w:asciiTheme="majorHAnsi" w:hAnsiTheme="majorHAnsi" w:cs="Arial"/>
          <w:i/>
        </w:rPr>
        <w:t>T</w:t>
      </w:r>
      <w:r w:rsidR="001165DD" w:rsidRPr="00910608">
        <w:rPr>
          <w:rFonts w:asciiTheme="majorHAnsi" w:hAnsiTheme="majorHAnsi" w:cs="Arial"/>
          <w:i/>
        </w:rPr>
        <w:t xml:space="preserve">oda persona tiene derecho a la libertad y seguridad personal. La libertad personal sólo podrá </w:t>
      </w:r>
      <w:r w:rsidR="001165DD" w:rsidRPr="00910608">
        <w:rPr>
          <w:rFonts w:asciiTheme="majorHAnsi" w:hAnsiTheme="majorHAnsi" w:cs="Arial"/>
          <w:i/>
        </w:rPr>
        <w:lastRenderedPageBreak/>
        <w:t>ser restringida en los límites señalados por la ley, para asegurar el descubrimiento de la verdad histórica en la actuación de las instancias jurisdiccionales</w:t>
      </w:r>
      <w:r w:rsidR="00910608">
        <w:rPr>
          <w:rFonts w:asciiTheme="majorHAnsi" w:hAnsiTheme="majorHAnsi" w:cs="Arial"/>
        </w:rPr>
        <w:t>”</w:t>
      </w:r>
      <w:r w:rsidR="001165DD" w:rsidRPr="001165DD">
        <w:rPr>
          <w:rFonts w:asciiTheme="majorHAnsi" w:hAnsiTheme="majorHAnsi" w:cs="Arial"/>
        </w:rPr>
        <w:t>.</w:t>
      </w:r>
    </w:p>
    <w:p w:rsidR="001165DD" w:rsidRPr="001165DD" w:rsidRDefault="001165DD" w:rsidP="001165DD">
      <w:pPr>
        <w:spacing w:after="160" w:line="259" w:lineRule="auto"/>
        <w:jc w:val="both"/>
        <w:rPr>
          <w:rFonts w:asciiTheme="majorHAnsi" w:hAnsiTheme="majorHAnsi" w:cs="Arial"/>
        </w:rPr>
      </w:pPr>
      <w:r w:rsidRPr="001165DD">
        <w:rPr>
          <w:rFonts w:asciiTheme="majorHAnsi" w:hAnsiTheme="majorHAnsi" w:cs="Arial"/>
        </w:rPr>
        <w:t>Finalmente los artículos 70, 71 y 72 de la Constitución Política del Estado Plurinacional de Bolivia reconocen los derechos de las personas con discapacidad, prohíbe y sanciona cualquier tipo de discriminación, maltrato, violencia y explotación a  las personas con discapacidad.</w:t>
      </w:r>
    </w:p>
    <w:p w:rsidR="001165DD" w:rsidRDefault="001165DD" w:rsidP="001165DD">
      <w:pPr>
        <w:spacing w:after="160" w:line="259" w:lineRule="auto"/>
        <w:jc w:val="both"/>
        <w:rPr>
          <w:rFonts w:asciiTheme="majorHAnsi" w:hAnsiTheme="majorHAnsi" w:cs="Arial"/>
        </w:rPr>
      </w:pPr>
      <w:r w:rsidRPr="001165DD">
        <w:rPr>
          <w:rFonts w:asciiTheme="majorHAnsi" w:hAnsiTheme="majorHAnsi" w:cs="Arial"/>
        </w:rPr>
        <w:t>La Ley No. 223, Ley General para Personas con discapacidad</w:t>
      </w:r>
      <w:r w:rsidR="00910608">
        <w:rPr>
          <w:rFonts w:asciiTheme="majorHAnsi" w:hAnsiTheme="majorHAnsi" w:cs="Arial"/>
        </w:rPr>
        <w:t>,</w:t>
      </w:r>
      <w:r w:rsidRPr="001165DD">
        <w:rPr>
          <w:rFonts w:asciiTheme="majorHAnsi" w:hAnsiTheme="majorHAnsi" w:cs="Arial"/>
        </w:rPr>
        <w:t xml:space="preserve"> promulgado el 2 de marzo de 2012 por el gobierno de Juan Evo Morales Ayma, en el artículo 2, que hace referencia a los fines, indica, que la Ley No. 223 debe “</w:t>
      </w:r>
      <w:r w:rsidRPr="00910608">
        <w:rPr>
          <w:rFonts w:asciiTheme="majorHAnsi" w:hAnsiTheme="majorHAnsi" w:cs="Arial"/>
          <w:i/>
        </w:rPr>
        <w:t>Promover, proteger y asegurar el goce pleno, en condiciones de igualdad, de todos los derechos humanos y libertades fundamentales para todas las personas con discapacidad y promover el respeto de su dignidad</w:t>
      </w:r>
      <w:r w:rsidRPr="001165DD">
        <w:rPr>
          <w:rFonts w:asciiTheme="majorHAnsi" w:hAnsiTheme="majorHAnsi" w:cs="Arial"/>
        </w:rPr>
        <w:t>”,  otro de los  fines de esta norma es la de “</w:t>
      </w:r>
      <w:r w:rsidR="00376B51">
        <w:rPr>
          <w:rFonts w:asciiTheme="majorHAnsi" w:hAnsiTheme="majorHAnsi" w:cs="Arial"/>
        </w:rPr>
        <w:t>P</w:t>
      </w:r>
      <w:r w:rsidRPr="00376B51">
        <w:rPr>
          <w:rFonts w:asciiTheme="majorHAnsi" w:hAnsiTheme="majorHAnsi" w:cs="Arial"/>
          <w:i/>
        </w:rPr>
        <w:t>romover los derechos humanos y las libertades fundamentales de las niñas, niños, jóvenes y mujeres con discapacidad en igualdad de oportunidades en todas las esferas de la vida</w:t>
      </w:r>
      <w:r w:rsidR="00376B51">
        <w:rPr>
          <w:rFonts w:asciiTheme="majorHAnsi" w:hAnsiTheme="majorHAnsi" w:cs="Arial"/>
        </w:rPr>
        <w:t>”</w:t>
      </w:r>
      <w:r w:rsidRPr="001165DD">
        <w:rPr>
          <w:rFonts w:asciiTheme="majorHAnsi" w:hAnsiTheme="majorHAnsi" w:cs="Arial"/>
        </w:rPr>
        <w:t xml:space="preserve">. </w:t>
      </w:r>
    </w:p>
    <w:p w:rsidR="00E43222" w:rsidRPr="001139BA" w:rsidRDefault="00E43222" w:rsidP="00E43222">
      <w:pPr>
        <w:jc w:val="both"/>
        <w:rPr>
          <w:rFonts w:asciiTheme="majorHAnsi" w:hAnsiTheme="majorHAnsi" w:cs="Arial"/>
        </w:rPr>
      </w:pPr>
    </w:p>
    <w:p w:rsidR="00E43222" w:rsidRPr="001139BA" w:rsidRDefault="00E43222" w:rsidP="00E43222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  <w:r w:rsidRPr="001139BA">
        <w:rPr>
          <w:rFonts w:asciiTheme="majorHAnsi" w:hAnsiTheme="majorHAnsi" w:cs="Tahoma"/>
          <w:b/>
          <w:sz w:val="23"/>
          <w:szCs w:val="23"/>
          <w:u w:val="single"/>
        </w:rPr>
        <w:t>Pregunta 2:</w:t>
      </w:r>
      <w:r w:rsidRPr="001139BA">
        <w:rPr>
          <w:rFonts w:asciiTheme="majorHAnsi" w:hAnsiTheme="majorHAnsi" w:cs="Tahoma"/>
          <w:b/>
          <w:sz w:val="23"/>
          <w:szCs w:val="23"/>
        </w:rPr>
        <w:t xml:space="preserve"> </w:t>
      </w:r>
      <w:r w:rsidR="00E44CEC" w:rsidRPr="00E44CEC">
        <w:rPr>
          <w:rFonts w:asciiTheme="majorHAnsi" w:hAnsiTheme="majorHAnsi" w:cs="Tahoma"/>
          <w:b/>
          <w:sz w:val="23"/>
          <w:szCs w:val="23"/>
        </w:rPr>
        <w:t>Sírvanse proporcionar información sobre legislación y políticas relevantes relacionadas con:</w:t>
      </w:r>
      <w:r w:rsidRPr="001139BA">
        <w:rPr>
          <w:rFonts w:asciiTheme="majorHAnsi" w:hAnsiTheme="majorHAnsi" w:cs="Tahoma"/>
          <w:b/>
          <w:sz w:val="23"/>
          <w:szCs w:val="23"/>
        </w:rPr>
        <w:t xml:space="preserve">  </w:t>
      </w:r>
    </w:p>
    <w:p w:rsidR="00E43222" w:rsidRPr="001139BA" w:rsidRDefault="00E43222" w:rsidP="00E43222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</w:p>
    <w:p w:rsidR="00E43222" w:rsidRPr="001139BA" w:rsidRDefault="00E43222" w:rsidP="00E43222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1139BA">
        <w:rPr>
          <w:rFonts w:asciiTheme="majorHAnsi" w:hAnsiTheme="majorHAnsi" w:cs="Arial"/>
          <w:b/>
          <w:sz w:val="24"/>
          <w:szCs w:val="24"/>
          <w:u w:val="single"/>
        </w:rPr>
        <w:t>Respuesta:</w:t>
      </w:r>
    </w:p>
    <w:p w:rsidR="00E44CEC" w:rsidRPr="00E44CEC" w:rsidRDefault="00E44CEC" w:rsidP="00E44CEC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2.1.</w:t>
      </w:r>
      <w:r>
        <w:rPr>
          <w:rFonts w:asciiTheme="majorHAnsi" w:hAnsiTheme="majorHAnsi" w:cs="Arial"/>
          <w:b/>
        </w:rPr>
        <w:tab/>
        <w:t>E</w:t>
      </w:r>
      <w:r w:rsidRPr="00E44CEC">
        <w:rPr>
          <w:rFonts w:asciiTheme="majorHAnsi" w:hAnsiTheme="majorHAnsi" w:cs="Arial"/>
          <w:b/>
        </w:rPr>
        <w:t xml:space="preserve">l ejercicio de la capacidad jurídica; </w:t>
      </w:r>
    </w:p>
    <w:p w:rsidR="00E44CEC" w:rsidRDefault="00E44CEC" w:rsidP="00E44CEC">
      <w:pPr>
        <w:jc w:val="both"/>
        <w:rPr>
          <w:rFonts w:asciiTheme="majorHAnsi" w:hAnsiTheme="majorHAnsi" w:cs="Arial"/>
        </w:rPr>
      </w:pPr>
      <w:r w:rsidRPr="00E44CEC">
        <w:rPr>
          <w:rFonts w:asciiTheme="majorHAnsi" w:hAnsiTheme="majorHAnsi" w:cs="Arial"/>
        </w:rPr>
        <w:t>El  artículo 20 de la Ley No. 223, indica que  “Las personas con discapacidad intelectual y mental, leve y/o moderada, tienen el derecho a ser consultadas respecto a todas las decisiones que se refieran a su vida, salud, educación, familia, seguridad social, según sus posibilidades y medios proyectándose a la vida independiente.</w:t>
      </w:r>
    </w:p>
    <w:p w:rsidR="00DB7BE4" w:rsidRPr="001139BA" w:rsidRDefault="00DB7BE4" w:rsidP="00DB7BE4">
      <w:pPr>
        <w:spacing w:after="0"/>
        <w:jc w:val="both"/>
        <w:rPr>
          <w:rFonts w:asciiTheme="majorHAnsi" w:hAnsiTheme="majorHAnsi" w:cs="Tahoma"/>
          <w:b/>
          <w:sz w:val="23"/>
          <w:szCs w:val="23"/>
          <w:u w:val="single"/>
        </w:rPr>
      </w:pPr>
    </w:p>
    <w:p w:rsidR="00DB7BE4" w:rsidRPr="001139BA" w:rsidRDefault="00DB7BE4" w:rsidP="00DB7BE4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  <w:r w:rsidRPr="001139BA">
        <w:rPr>
          <w:rFonts w:asciiTheme="majorHAnsi" w:hAnsiTheme="majorHAnsi" w:cs="Tahoma"/>
          <w:b/>
          <w:sz w:val="23"/>
          <w:szCs w:val="23"/>
          <w:u w:val="single"/>
        </w:rPr>
        <w:t>Pregunta 3:</w:t>
      </w:r>
      <w:r w:rsidRPr="001139BA">
        <w:rPr>
          <w:rFonts w:asciiTheme="majorHAnsi" w:hAnsiTheme="majorHAnsi" w:cs="Tahoma"/>
          <w:b/>
          <w:sz w:val="23"/>
          <w:szCs w:val="23"/>
        </w:rPr>
        <w:t xml:space="preserve"> </w:t>
      </w:r>
      <w:r w:rsidR="00E44CEC" w:rsidRPr="00E44CEC">
        <w:rPr>
          <w:rFonts w:asciiTheme="majorHAnsi" w:hAnsiTheme="majorHAnsi" w:cs="Tahoma"/>
          <w:b/>
          <w:sz w:val="23"/>
          <w:szCs w:val="23"/>
        </w:rPr>
        <w:t>Sírvase proporcionar los datos disponibles más recientes, desagregados por sexo y edad si es posible, sobre el número de:</w:t>
      </w:r>
      <w:r w:rsidRPr="001139BA">
        <w:rPr>
          <w:rFonts w:asciiTheme="majorHAnsi" w:hAnsiTheme="majorHAnsi" w:cs="Tahoma"/>
          <w:b/>
          <w:sz w:val="23"/>
          <w:szCs w:val="23"/>
        </w:rPr>
        <w:t xml:space="preserve">  </w:t>
      </w:r>
    </w:p>
    <w:p w:rsidR="00DB7BE4" w:rsidRPr="001139BA" w:rsidRDefault="00DB7BE4" w:rsidP="00DB7BE4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</w:p>
    <w:p w:rsidR="00DB7BE4" w:rsidRPr="001139BA" w:rsidRDefault="00DB7BE4" w:rsidP="00DB7BE4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1139BA">
        <w:rPr>
          <w:rFonts w:asciiTheme="majorHAnsi" w:hAnsiTheme="majorHAnsi" w:cs="Arial"/>
          <w:b/>
          <w:sz w:val="24"/>
          <w:szCs w:val="24"/>
          <w:u w:val="single"/>
        </w:rPr>
        <w:t>Respuesta:</w:t>
      </w:r>
    </w:p>
    <w:p w:rsidR="00E80064" w:rsidRPr="00E80064" w:rsidRDefault="00E80064" w:rsidP="00DB7BE4">
      <w:pPr>
        <w:jc w:val="both"/>
        <w:rPr>
          <w:rFonts w:asciiTheme="majorHAnsi" w:hAnsiTheme="majorHAnsi" w:cs="Arial"/>
          <w:b/>
        </w:rPr>
      </w:pPr>
      <w:r w:rsidRPr="00E80064">
        <w:rPr>
          <w:rFonts w:asciiTheme="majorHAnsi" w:hAnsiTheme="majorHAnsi" w:cs="Arial"/>
          <w:b/>
        </w:rPr>
        <w:t>3.8.</w:t>
      </w:r>
      <w:r w:rsidRPr="00E80064">
        <w:rPr>
          <w:rFonts w:asciiTheme="majorHAnsi" w:hAnsiTheme="majorHAnsi" w:cs="Arial"/>
          <w:b/>
        </w:rPr>
        <w:tab/>
        <w:t>Centros de salud mental existentes que admitan pacientes internos;</w:t>
      </w:r>
    </w:p>
    <w:p w:rsidR="00E80064" w:rsidRPr="005A1101" w:rsidRDefault="00E80064" w:rsidP="00E80064">
      <w:pPr>
        <w:tabs>
          <w:tab w:val="left" w:pos="720"/>
        </w:tabs>
        <w:spacing w:after="0"/>
        <w:ind w:right="-1"/>
        <w:jc w:val="both"/>
        <w:rPr>
          <w:rFonts w:cstheme="minorHAnsi"/>
          <w:b/>
          <w:sz w:val="24"/>
          <w:szCs w:val="24"/>
          <w:lang w:val="es-ES"/>
        </w:rPr>
      </w:pPr>
    </w:p>
    <w:tbl>
      <w:tblPr>
        <w:tblStyle w:val="TableGrid"/>
        <w:tblW w:w="7796" w:type="dxa"/>
        <w:tblInd w:w="704" w:type="dxa"/>
        <w:tblLook w:val="04A0" w:firstRow="1" w:lastRow="0" w:firstColumn="1" w:lastColumn="0" w:noHBand="0" w:noVBand="1"/>
      </w:tblPr>
      <w:tblGrid>
        <w:gridCol w:w="570"/>
        <w:gridCol w:w="3334"/>
        <w:gridCol w:w="2283"/>
        <w:gridCol w:w="1609"/>
      </w:tblGrid>
      <w:tr w:rsidR="00E80064" w:rsidRPr="00E80064" w:rsidTr="00E80064">
        <w:trPr>
          <w:trHeight w:val="379"/>
        </w:trPr>
        <w:tc>
          <w:tcPr>
            <w:tcW w:w="570" w:type="dxa"/>
          </w:tcPr>
          <w:p w:rsidR="00E80064" w:rsidRPr="00E80064" w:rsidRDefault="00E80064" w:rsidP="00E80064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  <w:b/>
              </w:rPr>
            </w:pPr>
            <w:r w:rsidRPr="00E80064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3334" w:type="dxa"/>
          </w:tcPr>
          <w:p w:rsidR="00E80064" w:rsidRPr="00E80064" w:rsidRDefault="00E80064" w:rsidP="00E80064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  <w:b/>
              </w:rPr>
            </w:pPr>
            <w:r w:rsidRPr="00E80064">
              <w:rPr>
                <w:rFonts w:asciiTheme="majorHAnsi" w:hAnsiTheme="majorHAnsi" w:cs="Arial"/>
                <w:b/>
              </w:rPr>
              <w:t>NOMBRE DE ENTIDAD</w:t>
            </w:r>
          </w:p>
        </w:tc>
        <w:tc>
          <w:tcPr>
            <w:tcW w:w="2283" w:type="dxa"/>
          </w:tcPr>
          <w:p w:rsidR="00E80064" w:rsidRPr="00E80064" w:rsidRDefault="00E80064" w:rsidP="00E80064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  <w:b/>
              </w:rPr>
            </w:pPr>
            <w:r w:rsidRPr="00E80064">
              <w:rPr>
                <w:rFonts w:asciiTheme="majorHAnsi" w:hAnsiTheme="majorHAnsi" w:cs="Arial"/>
                <w:b/>
              </w:rPr>
              <w:t>DEPARTAMENTO</w:t>
            </w:r>
          </w:p>
        </w:tc>
        <w:tc>
          <w:tcPr>
            <w:tcW w:w="1609" w:type="dxa"/>
          </w:tcPr>
          <w:p w:rsidR="00E80064" w:rsidRPr="00E80064" w:rsidRDefault="00E80064" w:rsidP="00E80064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  <w:b/>
              </w:rPr>
            </w:pPr>
            <w:r w:rsidRPr="00E80064">
              <w:rPr>
                <w:rFonts w:asciiTheme="majorHAnsi" w:hAnsiTheme="majorHAnsi" w:cs="Arial"/>
                <w:b/>
              </w:rPr>
              <w:t>CONTACTO</w:t>
            </w:r>
          </w:p>
        </w:tc>
      </w:tr>
      <w:tr w:rsidR="00E80064" w:rsidRPr="009C6FBD" w:rsidTr="006D0E58">
        <w:tc>
          <w:tcPr>
            <w:tcW w:w="570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1</w:t>
            </w:r>
          </w:p>
        </w:tc>
        <w:tc>
          <w:tcPr>
            <w:tcW w:w="3334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INSTITUTO PSIQUIATRICO SAN JUAN DE DIOS</w:t>
            </w:r>
          </w:p>
        </w:tc>
        <w:tc>
          <w:tcPr>
            <w:tcW w:w="2283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COCHABAMBA</w:t>
            </w:r>
          </w:p>
        </w:tc>
        <w:tc>
          <w:tcPr>
            <w:tcW w:w="1609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591 – 4 - 4400724</w:t>
            </w:r>
          </w:p>
        </w:tc>
      </w:tr>
      <w:tr w:rsidR="00E80064" w:rsidRPr="009C6FBD" w:rsidTr="006D0E58">
        <w:tc>
          <w:tcPr>
            <w:tcW w:w="570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2</w:t>
            </w:r>
          </w:p>
        </w:tc>
        <w:tc>
          <w:tcPr>
            <w:tcW w:w="3334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INSTITUTO NACIONAL DE PSIQUIATRIA “GREGORIO PACHECO”</w:t>
            </w:r>
          </w:p>
        </w:tc>
        <w:tc>
          <w:tcPr>
            <w:tcW w:w="2283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SUCRE - CHUQUISACA</w:t>
            </w:r>
          </w:p>
        </w:tc>
        <w:tc>
          <w:tcPr>
            <w:tcW w:w="1609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591 – 4 – 6455170</w:t>
            </w:r>
          </w:p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 xml:space="preserve">591 – 4 - </w:t>
            </w:r>
            <w:r w:rsidRPr="00E80064">
              <w:rPr>
                <w:rFonts w:asciiTheme="majorHAnsi" w:hAnsiTheme="majorHAnsi" w:cs="Arial"/>
              </w:rPr>
              <w:lastRenderedPageBreak/>
              <w:t>6455897</w:t>
            </w:r>
          </w:p>
        </w:tc>
      </w:tr>
      <w:tr w:rsidR="00E80064" w:rsidRPr="009C6FBD" w:rsidTr="006D0E58">
        <w:tc>
          <w:tcPr>
            <w:tcW w:w="570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lastRenderedPageBreak/>
              <w:t>3</w:t>
            </w:r>
          </w:p>
        </w:tc>
        <w:tc>
          <w:tcPr>
            <w:tcW w:w="3334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CENTRO DE REHABILITACION Y SALUD MENTAL “SAN JUAN DE DIOS”</w:t>
            </w:r>
          </w:p>
        </w:tc>
        <w:tc>
          <w:tcPr>
            <w:tcW w:w="2283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LA PAZ</w:t>
            </w:r>
          </w:p>
        </w:tc>
        <w:tc>
          <w:tcPr>
            <w:tcW w:w="1609" w:type="dxa"/>
          </w:tcPr>
          <w:p w:rsidR="00E80064" w:rsidRPr="00E80064" w:rsidRDefault="00E80064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E80064">
              <w:rPr>
                <w:rFonts w:asciiTheme="majorHAnsi" w:hAnsiTheme="majorHAnsi" w:cs="Arial"/>
              </w:rPr>
              <w:t>591 – 2 - 2723464</w:t>
            </w:r>
          </w:p>
        </w:tc>
      </w:tr>
    </w:tbl>
    <w:p w:rsidR="00E80064" w:rsidRDefault="00E80064" w:rsidP="00DB7BE4">
      <w:pPr>
        <w:jc w:val="both"/>
        <w:rPr>
          <w:rFonts w:asciiTheme="majorHAnsi" w:hAnsiTheme="majorHAnsi" w:cs="Arial"/>
        </w:rPr>
      </w:pPr>
    </w:p>
    <w:p w:rsidR="00E80064" w:rsidRPr="001139BA" w:rsidRDefault="00E80064" w:rsidP="00E80064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  <w:r w:rsidRPr="001139BA">
        <w:rPr>
          <w:rFonts w:asciiTheme="majorHAnsi" w:hAnsiTheme="majorHAnsi" w:cs="Tahoma"/>
          <w:b/>
          <w:sz w:val="23"/>
          <w:szCs w:val="23"/>
          <w:u w:val="single"/>
        </w:rPr>
        <w:t xml:space="preserve">Pregunta </w:t>
      </w:r>
      <w:r>
        <w:rPr>
          <w:rFonts w:asciiTheme="majorHAnsi" w:hAnsiTheme="majorHAnsi" w:cs="Tahoma"/>
          <w:b/>
          <w:sz w:val="23"/>
          <w:szCs w:val="23"/>
          <w:u w:val="single"/>
        </w:rPr>
        <w:t>4</w:t>
      </w:r>
      <w:r w:rsidRPr="001139BA">
        <w:rPr>
          <w:rFonts w:asciiTheme="majorHAnsi" w:hAnsiTheme="majorHAnsi" w:cs="Tahoma"/>
          <w:b/>
          <w:sz w:val="23"/>
          <w:szCs w:val="23"/>
          <w:u w:val="single"/>
        </w:rPr>
        <w:t>:</w:t>
      </w:r>
      <w:r w:rsidRPr="001139BA">
        <w:rPr>
          <w:rFonts w:asciiTheme="majorHAnsi" w:hAnsiTheme="majorHAnsi" w:cs="Tahoma"/>
          <w:b/>
          <w:sz w:val="23"/>
          <w:szCs w:val="23"/>
        </w:rPr>
        <w:t xml:space="preserve"> </w:t>
      </w:r>
      <w:r w:rsidRPr="00E80064">
        <w:rPr>
          <w:rFonts w:asciiTheme="majorHAnsi" w:hAnsiTheme="majorHAnsi" w:cs="Tahoma"/>
          <w:b/>
          <w:sz w:val="23"/>
          <w:szCs w:val="23"/>
        </w:rPr>
        <w:t>Sírvanse proporcionar información sobre jurisprudencia, denuncias o investigaciones en relación con abusos y violencia contra las personas con discapacidad en el hogar.</w:t>
      </w:r>
      <w:r w:rsidRPr="001139BA">
        <w:rPr>
          <w:rFonts w:asciiTheme="majorHAnsi" w:hAnsiTheme="majorHAnsi" w:cs="Tahoma"/>
          <w:b/>
          <w:sz w:val="23"/>
          <w:szCs w:val="23"/>
        </w:rPr>
        <w:t xml:space="preserve">  </w:t>
      </w:r>
    </w:p>
    <w:p w:rsidR="00E80064" w:rsidRPr="001139BA" w:rsidRDefault="00E80064" w:rsidP="00E80064">
      <w:pPr>
        <w:spacing w:after="0"/>
        <w:jc w:val="both"/>
        <w:rPr>
          <w:rFonts w:asciiTheme="majorHAnsi" w:hAnsiTheme="majorHAnsi" w:cs="Tahoma"/>
          <w:b/>
          <w:sz w:val="23"/>
          <w:szCs w:val="23"/>
        </w:rPr>
      </w:pPr>
    </w:p>
    <w:p w:rsidR="00E80064" w:rsidRPr="001139BA" w:rsidRDefault="00E80064" w:rsidP="00E80064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1139BA">
        <w:rPr>
          <w:rFonts w:asciiTheme="majorHAnsi" w:hAnsiTheme="majorHAnsi" w:cs="Arial"/>
          <w:b/>
          <w:sz w:val="24"/>
          <w:szCs w:val="24"/>
          <w:u w:val="single"/>
        </w:rPr>
        <w:t>Respuesta:</w:t>
      </w:r>
    </w:p>
    <w:p w:rsidR="004119B1" w:rsidRPr="004119B1" w:rsidRDefault="004119B1" w:rsidP="004119B1">
      <w:pPr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De acuerdo a información remitida por el Director Nacional de la Fuerza Especial de Lucha contra la Violencia “Genoveva Ríos” de la Policía Boliviana, a través del Informe No. 45/2017 y el Informe Técnico No. 019/2017;  sobre denuncias o investigaciones en relación con abusos y violencia contra las personas con discapacidad en el hogar son: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451"/>
        <w:gridCol w:w="2369"/>
      </w:tblGrid>
      <w:tr w:rsidR="004119B1" w:rsidRPr="004119B1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  <w:b/>
              </w:rPr>
            </w:pPr>
            <w:r w:rsidRPr="004119B1">
              <w:rPr>
                <w:rFonts w:asciiTheme="majorHAnsi" w:hAnsiTheme="majorHAnsi" w:cs="Arial"/>
                <w:b/>
              </w:rPr>
              <w:t>DEPARTAMENTO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  <w:b/>
              </w:rPr>
            </w:pPr>
            <w:r w:rsidRPr="004119B1">
              <w:rPr>
                <w:rFonts w:asciiTheme="majorHAnsi" w:hAnsiTheme="majorHAnsi" w:cs="Arial"/>
                <w:b/>
              </w:rPr>
              <w:t>2017 (Enero – Mayo)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SANTA CRUZ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8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LA PAZ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3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ORURO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1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TARIJA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1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COCHABAMBA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0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CHUQUISACA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0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POTOSI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0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BENI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0</w:t>
            </w:r>
          </w:p>
        </w:tc>
      </w:tr>
      <w:tr w:rsidR="004119B1" w:rsidRPr="009C6FBD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PANDO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</w:rPr>
            </w:pPr>
            <w:r w:rsidRPr="004119B1">
              <w:rPr>
                <w:rFonts w:asciiTheme="majorHAnsi" w:hAnsiTheme="majorHAnsi" w:cs="Arial"/>
              </w:rPr>
              <w:t>0</w:t>
            </w:r>
          </w:p>
        </w:tc>
      </w:tr>
      <w:tr w:rsidR="004119B1" w:rsidRPr="004119B1" w:rsidTr="006D0E58">
        <w:tc>
          <w:tcPr>
            <w:tcW w:w="2451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both"/>
              <w:rPr>
                <w:rFonts w:asciiTheme="majorHAnsi" w:hAnsiTheme="majorHAnsi" w:cs="Arial"/>
                <w:b/>
              </w:rPr>
            </w:pPr>
            <w:r w:rsidRPr="004119B1">
              <w:rPr>
                <w:rFonts w:asciiTheme="majorHAnsi" w:hAnsiTheme="majorHAnsi" w:cs="Arial"/>
                <w:b/>
              </w:rPr>
              <w:t>TOTAL</w:t>
            </w:r>
          </w:p>
        </w:tc>
        <w:tc>
          <w:tcPr>
            <w:tcW w:w="2369" w:type="dxa"/>
          </w:tcPr>
          <w:p w:rsidR="004119B1" w:rsidRPr="004119B1" w:rsidRDefault="004119B1" w:rsidP="006D0E58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Theme="majorHAnsi" w:hAnsiTheme="majorHAnsi" w:cs="Arial"/>
                <w:b/>
              </w:rPr>
            </w:pPr>
            <w:r w:rsidRPr="004119B1">
              <w:rPr>
                <w:rFonts w:asciiTheme="majorHAnsi" w:hAnsiTheme="majorHAnsi" w:cs="Arial"/>
                <w:b/>
              </w:rPr>
              <w:t>13</w:t>
            </w:r>
          </w:p>
        </w:tc>
      </w:tr>
    </w:tbl>
    <w:p w:rsidR="004119B1" w:rsidRDefault="004119B1" w:rsidP="004119B1">
      <w:pPr>
        <w:jc w:val="both"/>
        <w:rPr>
          <w:rFonts w:asciiTheme="majorHAnsi" w:hAnsiTheme="majorHAnsi" w:cs="Arial"/>
        </w:rPr>
      </w:pPr>
    </w:p>
    <w:p w:rsidR="004119B1" w:rsidRPr="004119B1" w:rsidRDefault="004119B1" w:rsidP="004119B1">
      <w:pPr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Las instituciones con los que coordinan para garantizar la seguridad de las personas con discapacidad que hayan sufrido abusos y violencia en sus hogares, en mérito al Manual de Organizaciones y Funciones de la Dirección Departamental de la FELCV, son: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Ministerio de Justicia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Consejo de la Judicatura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Tribunal Departamental de Justicia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Fiscalía Departamental (Ministerio Público).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Servicio Nacional de Defensa Pública.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lastRenderedPageBreak/>
        <w:t>•</w:t>
      </w:r>
      <w:r w:rsidRPr="004119B1">
        <w:rPr>
          <w:rFonts w:asciiTheme="majorHAnsi" w:hAnsiTheme="majorHAnsi" w:cs="Arial"/>
        </w:rPr>
        <w:tab/>
        <w:t>Servicios Integrados de Justicia.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Servicio Plurinacional de Defensa a las Victimas (SEPDAVI).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Servicio Legales Integrales Municipales.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Gobiernos Autónomos Departamentales y Municipales</w:t>
      </w:r>
    </w:p>
    <w:p w:rsidR="004119B1" w:rsidRPr="004119B1" w:rsidRDefault="004119B1" w:rsidP="004119B1">
      <w:pPr>
        <w:ind w:left="426"/>
        <w:jc w:val="both"/>
        <w:rPr>
          <w:rFonts w:asciiTheme="majorHAnsi" w:hAnsiTheme="majorHAnsi" w:cs="Arial"/>
        </w:rPr>
      </w:pPr>
      <w:r w:rsidRPr="004119B1">
        <w:rPr>
          <w:rFonts w:asciiTheme="majorHAnsi" w:hAnsiTheme="majorHAnsi" w:cs="Arial"/>
        </w:rPr>
        <w:t>•</w:t>
      </w:r>
      <w:r w:rsidRPr="004119B1">
        <w:rPr>
          <w:rFonts w:asciiTheme="majorHAnsi" w:hAnsiTheme="majorHAnsi" w:cs="Arial"/>
        </w:rPr>
        <w:tab/>
        <w:t>Y otros</w:t>
      </w:r>
    </w:p>
    <w:p w:rsidR="004119B1" w:rsidRPr="004119B1" w:rsidRDefault="004119B1" w:rsidP="004119B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Asi</w:t>
      </w:r>
      <w:r w:rsidRPr="004119B1">
        <w:rPr>
          <w:rFonts w:asciiTheme="majorHAnsi" w:hAnsiTheme="majorHAnsi" w:cs="Arial"/>
        </w:rPr>
        <w:t>mismo, en cumplimiento a la</w:t>
      </w:r>
      <w:r w:rsidR="008E49CF">
        <w:rPr>
          <w:rFonts w:asciiTheme="majorHAnsi" w:hAnsiTheme="majorHAnsi" w:cs="Arial"/>
        </w:rPr>
        <w:t xml:space="preserve"> Ley N°348 </w:t>
      </w:r>
      <w:r w:rsidR="008E49CF" w:rsidRPr="008E49CF">
        <w:rPr>
          <w:rFonts w:asciiTheme="majorHAnsi" w:hAnsiTheme="majorHAnsi" w:cs="Arial"/>
        </w:rPr>
        <w:t>Ley Integral para Garantizar a las Mujeres una Vida Libre de Violencia</w:t>
      </w:r>
      <w:r w:rsidR="008E49CF">
        <w:rPr>
          <w:rFonts w:asciiTheme="majorHAnsi" w:hAnsiTheme="majorHAnsi" w:cs="Arial"/>
        </w:rPr>
        <w:t xml:space="preserve"> </w:t>
      </w:r>
      <w:r w:rsidRPr="004119B1">
        <w:rPr>
          <w:rFonts w:asciiTheme="majorHAnsi" w:hAnsiTheme="majorHAnsi" w:cs="Arial"/>
        </w:rPr>
        <w:t xml:space="preserve">y otras </w:t>
      </w:r>
      <w:r w:rsidR="008E49CF">
        <w:rPr>
          <w:rFonts w:asciiTheme="majorHAnsi" w:hAnsiTheme="majorHAnsi" w:cs="Arial"/>
        </w:rPr>
        <w:t xml:space="preserve">conexas </w:t>
      </w:r>
      <w:r w:rsidRPr="004119B1">
        <w:rPr>
          <w:rFonts w:asciiTheme="majorHAnsi" w:hAnsiTheme="majorHAnsi" w:cs="Arial"/>
        </w:rPr>
        <w:t>del Estado Plurinacional de Bolivia, la Fuerza Especial de Lucha Contra la Violencia “Genoveva Ríos”, tiene l</w:t>
      </w:r>
      <w:r w:rsidR="008E49CF">
        <w:rPr>
          <w:rFonts w:asciiTheme="majorHAnsi" w:hAnsiTheme="majorHAnsi" w:cs="Arial"/>
        </w:rPr>
        <w:t>a División de Investigación de delitos c</w:t>
      </w:r>
      <w:r w:rsidRPr="004119B1">
        <w:rPr>
          <w:rFonts w:asciiTheme="majorHAnsi" w:hAnsiTheme="majorHAnsi" w:cs="Arial"/>
        </w:rPr>
        <w:t>ontra Niñas, Niños y Adolescentes,</w:t>
      </w:r>
      <w:r w:rsidR="008E49CF">
        <w:rPr>
          <w:rFonts w:asciiTheme="majorHAnsi" w:hAnsiTheme="majorHAnsi" w:cs="Arial"/>
        </w:rPr>
        <w:t xml:space="preserve"> Personas de la Tercera Edad y con C</w:t>
      </w:r>
      <w:r w:rsidRPr="004119B1">
        <w:rPr>
          <w:rFonts w:asciiTheme="majorHAnsi" w:hAnsiTheme="majorHAnsi" w:cs="Arial"/>
        </w:rPr>
        <w:t>apacidades Diferentes</w:t>
      </w:r>
      <w:r w:rsidR="008E49CF">
        <w:rPr>
          <w:rFonts w:asciiTheme="majorHAnsi" w:hAnsiTheme="majorHAnsi" w:cs="Arial"/>
        </w:rPr>
        <w:t xml:space="preserve">, </w:t>
      </w:r>
      <w:r w:rsidR="008E49CF" w:rsidRPr="004119B1">
        <w:rPr>
          <w:rFonts w:asciiTheme="majorHAnsi" w:hAnsiTheme="majorHAnsi" w:cs="Arial"/>
        </w:rPr>
        <w:t>en su estructura organizacional</w:t>
      </w:r>
      <w:r w:rsidR="008E49CF">
        <w:rPr>
          <w:rFonts w:asciiTheme="majorHAnsi" w:hAnsiTheme="majorHAnsi" w:cs="Arial"/>
        </w:rPr>
        <w:t>,</w:t>
      </w:r>
      <w:r w:rsidRPr="004119B1">
        <w:rPr>
          <w:rFonts w:asciiTheme="majorHAnsi" w:hAnsiTheme="majorHAnsi" w:cs="Arial"/>
        </w:rPr>
        <w:t xml:space="preserve"> </w:t>
      </w:r>
      <w:r w:rsidR="008E49CF">
        <w:rPr>
          <w:rFonts w:asciiTheme="majorHAnsi" w:hAnsiTheme="majorHAnsi" w:cs="Arial"/>
        </w:rPr>
        <w:t>c</w:t>
      </w:r>
      <w:r w:rsidRPr="004119B1">
        <w:rPr>
          <w:rFonts w:asciiTheme="majorHAnsi" w:hAnsiTheme="majorHAnsi" w:cs="Arial"/>
        </w:rPr>
        <w:t xml:space="preserve">on el fin de resguardar derechos y garantías cuando </w:t>
      </w:r>
      <w:r w:rsidR="008E49CF">
        <w:rPr>
          <w:rFonts w:asciiTheme="majorHAnsi" w:hAnsiTheme="majorHAnsi" w:cs="Arial"/>
        </w:rPr>
        <w:t>en la comisión de un delito está involucrada una P</w:t>
      </w:r>
      <w:r w:rsidRPr="004119B1">
        <w:rPr>
          <w:rFonts w:asciiTheme="majorHAnsi" w:hAnsiTheme="majorHAnsi" w:cs="Arial"/>
        </w:rPr>
        <w:t>ersona Con D</w:t>
      </w:r>
      <w:r w:rsidR="008E49CF">
        <w:rPr>
          <w:rFonts w:asciiTheme="majorHAnsi" w:hAnsiTheme="majorHAnsi" w:cs="Arial"/>
        </w:rPr>
        <w:t>iscapacidad</w:t>
      </w:r>
      <w:r w:rsidRPr="004119B1">
        <w:rPr>
          <w:rFonts w:asciiTheme="majorHAnsi" w:hAnsiTheme="majorHAnsi" w:cs="Arial"/>
        </w:rPr>
        <w:t>.</w:t>
      </w:r>
    </w:p>
    <w:p w:rsidR="004119B1" w:rsidRPr="004119B1" w:rsidRDefault="008E49CF" w:rsidP="004119B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En ese sentido, este organismo especializado</w:t>
      </w:r>
      <w:r w:rsidR="004119B1" w:rsidRPr="004119B1">
        <w:rPr>
          <w:rFonts w:asciiTheme="majorHAnsi" w:hAnsiTheme="majorHAnsi" w:cs="Arial"/>
        </w:rPr>
        <w:t xml:space="preserve"> cuenta con el Protocolo de la Fuerza Especial de Lucha Contra la Violencia “Genoveva Ríos”, para la atención de casos en el marco de la Ley No. 348 y</w:t>
      </w:r>
      <w:r>
        <w:rPr>
          <w:rFonts w:asciiTheme="majorHAnsi" w:hAnsiTheme="majorHAnsi" w:cs="Arial"/>
        </w:rPr>
        <w:t xml:space="preserve"> otras normas legales vigentes.</w:t>
      </w:r>
    </w:p>
    <w:sectPr w:rsidR="004119B1" w:rsidRPr="004119B1" w:rsidSect="00D03E00">
      <w:headerReference w:type="default" r:id="rId8"/>
      <w:footerReference w:type="default" r:id="rId9"/>
      <w:pgSz w:w="12240" w:h="15840" w:code="1"/>
      <w:pgMar w:top="2235" w:right="118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46" w:rsidRDefault="008C4746">
      <w:pPr>
        <w:spacing w:after="0" w:line="240" w:lineRule="auto"/>
      </w:pPr>
      <w:r>
        <w:separator/>
      </w:r>
    </w:p>
  </w:endnote>
  <w:endnote w:type="continuationSeparator" w:id="0">
    <w:p w:rsidR="008C4746" w:rsidRDefault="008C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8235"/>
      <w:docPartObj>
        <w:docPartGallery w:val="Page Numbers (Bottom of Page)"/>
        <w:docPartUnique/>
      </w:docPartObj>
    </w:sdtPr>
    <w:sdtEndPr/>
    <w:sdtContent>
      <w:p w:rsidR="008F654D" w:rsidRDefault="00E545EB">
        <w:pPr>
          <w:pStyle w:val="Footer"/>
          <w:jc w:val="right"/>
        </w:pPr>
        <w:r>
          <w:fldChar w:fldCharType="begin"/>
        </w:r>
        <w:r w:rsidR="008F540E">
          <w:instrText xml:space="preserve"> PAGE   \* MERGEFORMAT </w:instrText>
        </w:r>
        <w:r>
          <w:fldChar w:fldCharType="separate"/>
        </w:r>
        <w:r w:rsidR="0018151F">
          <w:rPr>
            <w:noProof/>
          </w:rPr>
          <w:t>1</w:t>
        </w:r>
        <w:r>
          <w:fldChar w:fldCharType="end"/>
        </w:r>
      </w:p>
    </w:sdtContent>
  </w:sdt>
  <w:p w:rsidR="008F654D" w:rsidRDefault="00181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46" w:rsidRDefault="008C4746">
      <w:pPr>
        <w:spacing w:after="0" w:line="240" w:lineRule="auto"/>
      </w:pPr>
      <w:r>
        <w:separator/>
      </w:r>
    </w:p>
  </w:footnote>
  <w:footnote w:type="continuationSeparator" w:id="0">
    <w:p w:rsidR="008C4746" w:rsidRDefault="008C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49" w:rsidRDefault="00331B28" w:rsidP="00FE22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-215163</wp:posOffset>
          </wp:positionH>
          <wp:positionV relativeFrom="paragraph">
            <wp:posOffset>102355</wp:posOffset>
          </wp:positionV>
          <wp:extent cx="2290119" cy="705914"/>
          <wp:effectExtent l="19050" t="0" r="0" b="0"/>
          <wp:wrapNone/>
          <wp:docPr id="2" name="img_logo" descr="http://www.media-scope.info/mediascope/app_logos/l_d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" descr="http://www.media-scope.info/mediascope/app_logos/l_d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119" cy="705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2249" w:rsidRDefault="00181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155"/>
    <w:multiLevelType w:val="hybridMultilevel"/>
    <w:tmpl w:val="CFC8C7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515EC"/>
    <w:multiLevelType w:val="hybridMultilevel"/>
    <w:tmpl w:val="78BAF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41873"/>
    <w:multiLevelType w:val="hybridMultilevel"/>
    <w:tmpl w:val="4AEA7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91DE4"/>
    <w:multiLevelType w:val="hybridMultilevel"/>
    <w:tmpl w:val="4CE42CAC"/>
    <w:lvl w:ilvl="0" w:tplc="1C321A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0E"/>
    <w:rsid w:val="00095341"/>
    <w:rsid w:val="000E1277"/>
    <w:rsid w:val="001139BA"/>
    <w:rsid w:val="001165DD"/>
    <w:rsid w:val="00133A08"/>
    <w:rsid w:val="0018151F"/>
    <w:rsid w:val="0018661A"/>
    <w:rsid w:val="001D2496"/>
    <w:rsid w:val="00240514"/>
    <w:rsid w:val="00244A0D"/>
    <w:rsid w:val="002F3E0B"/>
    <w:rsid w:val="003262D5"/>
    <w:rsid w:val="00331B28"/>
    <w:rsid w:val="003371FF"/>
    <w:rsid w:val="00370CC2"/>
    <w:rsid w:val="00376B51"/>
    <w:rsid w:val="00393AC5"/>
    <w:rsid w:val="003C5B8B"/>
    <w:rsid w:val="004119B1"/>
    <w:rsid w:val="0047255D"/>
    <w:rsid w:val="004A0C84"/>
    <w:rsid w:val="004A2D38"/>
    <w:rsid w:val="004E5B91"/>
    <w:rsid w:val="004F0BBF"/>
    <w:rsid w:val="005C4BE0"/>
    <w:rsid w:val="005D0C58"/>
    <w:rsid w:val="00655068"/>
    <w:rsid w:val="006C35B0"/>
    <w:rsid w:val="00725461"/>
    <w:rsid w:val="00751C32"/>
    <w:rsid w:val="00762713"/>
    <w:rsid w:val="007B51B3"/>
    <w:rsid w:val="008343AC"/>
    <w:rsid w:val="008A1941"/>
    <w:rsid w:val="008B268A"/>
    <w:rsid w:val="008C4746"/>
    <w:rsid w:val="008E49CF"/>
    <w:rsid w:val="008F540E"/>
    <w:rsid w:val="009027E8"/>
    <w:rsid w:val="00910608"/>
    <w:rsid w:val="00922289"/>
    <w:rsid w:val="009B0533"/>
    <w:rsid w:val="009D2766"/>
    <w:rsid w:val="00A074A4"/>
    <w:rsid w:val="00A209EB"/>
    <w:rsid w:val="00A2650C"/>
    <w:rsid w:val="00A26F0B"/>
    <w:rsid w:val="00A34A0D"/>
    <w:rsid w:val="00A90DFF"/>
    <w:rsid w:val="00AC7257"/>
    <w:rsid w:val="00AD0225"/>
    <w:rsid w:val="00B84C40"/>
    <w:rsid w:val="00C043F4"/>
    <w:rsid w:val="00C1632C"/>
    <w:rsid w:val="00C36AD1"/>
    <w:rsid w:val="00C54A1B"/>
    <w:rsid w:val="00C74F03"/>
    <w:rsid w:val="00D03E00"/>
    <w:rsid w:val="00D06F24"/>
    <w:rsid w:val="00DB7BE4"/>
    <w:rsid w:val="00DC0EB7"/>
    <w:rsid w:val="00E166FD"/>
    <w:rsid w:val="00E16950"/>
    <w:rsid w:val="00E42FD5"/>
    <w:rsid w:val="00E43222"/>
    <w:rsid w:val="00E44CEC"/>
    <w:rsid w:val="00E545EB"/>
    <w:rsid w:val="00E56B41"/>
    <w:rsid w:val="00E60FCC"/>
    <w:rsid w:val="00E80064"/>
    <w:rsid w:val="00EA5C66"/>
    <w:rsid w:val="00EF58A5"/>
    <w:rsid w:val="00F04C40"/>
    <w:rsid w:val="00F266FE"/>
    <w:rsid w:val="00F43545"/>
    <w:rsid w:val="00F52AA9"/>
    <w:rsid w:val="00F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0E"/>
    <w:rPr>
      <w:rFonts w:ascii="Calibri" w:eastAsia="Calibri" w:hAnsi="Calibri" w:cs="Times New Roman"/>
      <w:lang w:val="es-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0E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EncabezadoCar"/>
    <w:uiPriority w:val="99"/>
    <w:unhideWhenUsed/>
    <w:rsid w:val="008F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8F540E"/>
    <w:rPr>
      <w:rFonts w:ascii="Calibri" w:eastAsia="Calibri" w:hAnsi="Calibri" w:cs="Times New Roman"/>
      <w:lang w:val="es-BO"/>
    </w:rPr>
  </w:style>
  <w:style w:type="paragraph" w:styleId="Footer">
    <w:name w:val="footer"/>
    <w:basedOn w:val="Normal"/>
    <w:link w:val="PiedepginaCar"/>
    <w:uiPriority w:val="99"/>
    <w:unhideWhenUsed/>
    <w:rsid w:val="008F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8F540E"/>
    <w:rPr>
      <w:rFonts w:ascii="Calibri" w:eastAsia="Calibri" w:hAnsi="Calibri" w:cs="Times New Roman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8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8F540E"/>
    <w:rPr>
      <w:rFonts w:ascii="Tahoma" w:eastAsia="Calibri" w:hAnsi="Tahoma" w:cs="Tahoma"/>
      <w:sz w:val="16"/>
      <w:szCs w:val="16"/>
      <w:lang w:val="es-B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22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222"/>
    <w:rPr>
      <w:rFonts w:eastAsiaTheme="minorEastAsia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43222"/>
    <w:rPr>
      <w:vertAlign w:val="superscript"/>
    </w:rPr>
  </w:style>
  <w:style w:type="table" w:styleId="TableGrid">
    <w:name w:val="Table Grid"/>
    <w:basedOn w:val="TableNormal"/>
    <w:uiPriority w:val="39"/>
    <w:rsid w:val="00E80064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0E"/>
    <w:rPr>
      <w:rFonts w:ascii="Calibri" w:eastAsia="Calibri" w:hAnsi="Calibri" w:cs="Times New Roman"/>
      <w:lang w:val="es-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0E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EncabezadoCar"/>
    <w:uiPriority w:val="99"/>
    <w:unhideWhenUsed/>
    <w:rsid w:val="008F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8F540E"/>
    <w:rPr>
      <w:rFonts w:ascii="Calibri" w:eastAsia="Calibri" w:hAnsi="Calibri" w:cs="Times New Roman"/>
      <w:lang w:val="es-BO"/>
    </w:rPr>
  </w:style>
  <w:style w:type="paragraph" w:styleId="Footer">
    <w:name w:val="footer"/>
    <w:basedOn w:val="Normal"/>
    <w:link w:val="PiedepginaCar"/>
    <w:uiPriority w:val="99"/>
    <w:unhideWhenUsed/>
    <w:rsid w:val="008F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8F540E"/>
    <w:rPr>
      <w:rFonts w:ascii="Calibri" w:eastAsia="Calibri" w:hAnsi="Calibri" w:cs="Times New Roman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8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8F540E"/>
    <w:rPr>
      <w:rFonts w:ascii="Tahoma" w:eastAsia="Calibri" w:hAnsi="Tahoma" w:cs="Tahoma"/>
      <w:sz w:val="16"/>
      <w:szCs w:val="16"/>
      <w:lang w:val="es-B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22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222"/>
    <w:rPr>
      <w:rFonts w:eastAsiaTheme="minorEastAsia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43222"/>
    <w:rPr>
      <w:vertAlign w:val="superscript"/>
    </w:rPr>
  </w:style>
  <w:style w:type="table" w:styleId="TableGrid">
    <w:name w:val="Table Grid"/>
    <w:basedOn w:val="TableNormal"/>
    <w:uiPriority w:val="39"/>
    <w:rsid w:val="00E80064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02B7A-2375-4DF0-B211-07EB5413984A}"/>
</file>

<file path=customXml/itemProps2.xml><?xml version="1.0" encoding="utf-8"?>
<ds:datastoreItem xmlns:ds="http://schemas.openxmlformats.org/officeDocument/2006/customXml" ds:itemID="{015B485D-87D1-4193-8B6B-6315BAC13942}"/>
</file>

<file path=customXml/itemProps3.xml><?xml version="1.0" encoding="utf-8"?>
<ds:datastoreItem xmlns:ds="http://schemas.openxmlformats.org/officeDocument/2006/customXml" ds:itemID="{A5CD48EA-47A8-4CCA-A0C2-2C895EF62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DP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ztorrez</dc:creator>
  <cp:lastModifiedBy>Alina Grigoras</cp:lastModifiedBy>
  <cp:revision>2</cp:revision>
  <cp:lastPrinted>2017-05-29T23:15:00Z</cp:lastPrinted>
  <dcterms:created xsi:type="dcterms:W3CDTF">2017-06-16T16:08:00Z</dcterms:created>
  <dcterms:modified xsi:type="dcterms:W3CDTF">2017-06-16T16:08:00Z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