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8431E" w14:textId="77777777" w:rsidR="005D01DE" w:rsidRPr="005A0A1F" w:rsidRDefault="00292A4C" w:rsidP="00591247">
      <w:pPr>
        <w:pStyle w:val="Header"/>
        <w:tabs>
          <w:tab w:val="clear" w:pos="4153"/>
          <w:tab w:val="clear" w:pos="8306"/>
          <w:tab w:val="right" w:pos="3686"/>
          <w:tab w:val="left" w:pos="5812"/>
        </w:tabs>
        <w:spacing w:before="80"/>
        <w:jc w:val="center"/>
        <w:rPr>
          <w:b/>
          <w:sz w:val="24"/>
          <w:szCs w:val="24"/>
          <w:lang w:val="en-US"/>
        </w:rPr>
      </w:pPr>
      <w:bookmarkStart w:id="0" w:name="_GoBack"/>
      <w:bookmarkEnd w:id="0"/>
      <w:r w:rsidRPr="00292A4C">
        <w:rPr>
          <w:b/>
          <w:sz w:val="24"/>
          <w:szCs w:val="24"/>
          <w:lang w:val="en-US"/>
        </w:rPr>
        <w:t>Questionnaire:</w:t>
      </w:r>
      <w:r>
        <w:rPr>
          <w:b/>
          <w:sz w:val="24"/>
          <w:szCs w:val="24"/>
          <w:lang w:val="en-US"/>
        </w:rPr>
        <w:t xml:space="preserve"> T</w:t>
      </w:r>
      <w:r w:rsidR="00D1452C" w:rsidRPr="005A0A1F">
        <w:rPr>
          <w:b/>
          <w:sz w:val="24"/>
          <w:szCs w:val="24"/>
          <w:lang w:val="en-US"/>
        </w:rPr>
        <w:t>he</w:t>
      </w:r>
      <w:r w:rsidRPr="005A0A1F">
        <w:rPr>
          <w:b/>
          <w:sz w:val="24"/>
          <w:szCs w:val="24"/>
          <w:lang w:val="en-US"/>
        </w:rPr>
        <w:t xml:space="preserve"> </w:t>
      </w:r>
      <w:r w:rsidR="00FA56DE" w:rsidRPr="005A0A1F">
        <w:rPr>
          <w:b/>
          <w:sz w:val="24"/>
          <w:szCs w:val="24"/>
          <w:lang w:val="en-US"/>
        </w:rPr>
        <w:t>right to liberty and security of persons with disabilities</w:t>
      </w:r>
    </w:p>
    <w:p w14:paraId="6DF8431F" w14:textId="77777777" w:rsidR="00E85F96" w:rsidRDefault="00E85F96" w:rsidP="00591247">
      <w:pPr>
        <w:pStyle w:val="Default"/>
        <w:spacing w:after="240"/>
        <w:rPr>
          <w:rFonts w:eastAsia="Times New Roman"/>
          <w:b/>
          <w:snapToGrid w:val="0"/>
          <w:color w:val="auto"/>
          <w:lang w:eastAsia="en-US"/>
        </w:rPr>
      </w:pPr>
    </w:p>
    <w:p w14:paraId="6DF84320" w14:textId="77777777" w:rsidR="006C01C0" w:rsidRPr="005A0A1F" w:rsidRDefault="006C01C0" w:rsidP="00110BB9">
      <w:pPr>
        <w:pStyle w:val="Default"/>
        <w:numPr>
          <w:ilvl w:val="0"/>
          <w:numId w:val="2"/>
        </w:numPr>
        <w:rPr>
          <w:rFonts w:eastAsia="Times New Roman"/>
          <w:b/>
          <w:snapToGrid w:val="0"/>
          <w:color w:val="auto"/>
          <w:lang w:eastAsia="en-US"/>
        </w:rPr>
      </w:pPr>
      <w:r>
        <w:rPr>
          <w:rFonts w:eastAsia="Times New Roman"/>
          <w:b/>
          <w:snapToGrid w:val="0"/>
          <w:color w:val="auto"/>
          <w:lang w:eastAsia="en-US"/>
        </w:rPr>
        <w:t xml:space="preserve">Context </w:t>
      </w:r>
    </w:p>
    <w:p w14:paraId="6DF84321" w14:textId="77777777" w:rsidR="006C01C0" w:rsidRDefault="006C01C0">
      <w:pPr>
        <w:tabs>
          <w:tab w:val="left" w:pos="426"/>
          <w:tab w:val="left" w:pos="6030"/>
        </w:tabs>
        <w:jc w:val="both"/>
        <w:rPr>
          <w:sz w:val="24"/>
          <w:szCs w:val="24"/>
        </w:rPr>
      </w:pPr>
    </w:p>
    <w:p w14:paraId="6DF84322" w14:textId="77777777" w:rsidR="00693AAF" w:rsidRDefault="00591247">
      <w:pPr>
        <w:tabs>
          <w:tab w:val="left" w:pos="426"/>
          <w:tab w:val="left" w:pos="6030"/>
        </w:tabs>
        <w:jc w:val="both"/>
        <w:rPr>
          <w:sz w:val="24"/>
          <w:szCs w:val="24"/>
        </w:rPr>
      </w:pPr>
      <w:r>
        <w:rPr>
          <w:sz w:val="24"/>
          <w:szCs w:val="24"/>
        </w:rPr>
        <w:t xml:space="preserve">For her </w:t>
      </w:r>
      <w:r w:rsidR="00292A4C" w:rsidRPr="00292A4C">
        <w:rPr>
          <w:sz w:val="24"/>
          <w:szCs w:val="24"/>
        </w:rPr>
        <w:t xml:space="preserve">report to the </w:t>
      </w:r>
      <w:r w:rsidR="00292A4C">
        <w:rPr>
          <w:sz w:val="24"/>
          <w:szCs w:val="24"/>
        </w:rPr>
        <w:t>Human Rights Council, 40th</w:t>
      </w:r>
      <w:r w:rsidR="00292A4C" w:rsidRPr="00292A4C">
        <w:rPr>
          <w:sz w:val="24"/>
          <w:szCs w:val="24"/>
        </w:rPr>
        <w:t xml:space="preserve"> session, </w:t>
      </w:r>
      <w:r w:rsidR="006D275B">
        <w:rPr>
          <w:sz w:val="24"/>
          <w:szCs w:val="24"/>
        </w:rPr>
        <w:t>the Special Rapporteur on the rights of persons with disabilities, Ms. Catalina Devandas Aguilar</w:t>
      </w:r>
      <w:r w:rsidR="00292A4C">
        <w:rPr>
          <w:sz w:val="24"/>
          <w:szCs w:val="24"/>
        </w:rPr>
        <w:t xml:space="preserve">, intends to focus on the </w:t>
      </w:r>
      <w:r w:rsidR="000C3C16">
        <w:rPr>
          <w:sz w:val="24"/>
          <w:szCs w:val="24"/>
        </w:rPr>
        <w:t>right to liberty and security of persons with disabilities</w:t>
      </w:r>
      <w:r w:rsidR="00A9233A" w:rsidRPr="00DC5406">
        <w:rPr>
          <w:sz w:val="24"/>
          <w:szCs w:val="24"/>
        </w:rPr>
        <w:t>.</w:t>
      </w:r>
    </w:p>
    <w:p w14:paraId="6DF84323" w14:textId="77777777" w:rsidR="00F220DA" w:rsidRDefault="00F220DA" w:rsidP="000C3C16">
      <w:pPr>
        <w:tabs>
          <w:tab w:val="left" w:pos="426"/>
          <w:tab w:val="left" w:pos="6030"/>
        </w:tabs>
        <w:jc w:val="both"/>
        <w:rPr>
          <w:sz w:val="24"/>
          <w:szCs w:val="24"/>
        </w:rPr>
      </w:pPr>
    </w:p>
    <w:p w14:paraId="6DF84324" w14:textId="77777777" w:rsidR="00CA5658" w:rsidRDefault="00AD7060" w:rsidP="000C3C16">
      <w:pPr>
        <w:tabs>
          <w:tab w:val="left" w:pos="426"/>
          <w:tab w:val="left" w:pos="6030"/>
        </w:tabs>
        <w:jc w:val="both"/>
        <w:rPr>
          <w:sz w:val="24"/>
          <w:szCs w:val="24"/>
        </w:rPr>
      </w:pPr>
      <w:r w:rsidRPr="00AD7060">
        <w:rPr>
          <w:sz w:val="24"/>
          <w:szCs w:val="24"/>
        </w:rPr>
        <w:t>The Special Rapporteur intends to undertake an innovative research on the various forms of deprivation of liberty experienced exclusively by persons with disabilities across the globe. In her report, she aims to examine the global challenges in relation to securing enjoyment of the right to liberty and security of person by persons with disabilities on an equal basis with others, identify disability-specific forms of deprivation of liberty and scrutinize them through the lens of human rights, as well as to present emerging trends and good practices related to securing implementation of this right</w:t>
      </w:r>
      <w:r w:rsidR="00CA5658" w:rsidRPr="00F359EB">
        <w:rPr>
          <w:sz w:val="24"/>
          <w:szCs w:val="24"/>
        </w:rPr>
        <w:t>.</w:t>
      </w:r>
      <w:r w:rsidR="00CA5658">
        <w:rPr>
          <w:sz w:val="24"/>
          <w:szCs w:val="24"/>
        </w:rPr>
        <w:t xml:space="preserve"> </w:t>
      </w:r>
    </w:p>
    <w:p w14:paraId="6DF84325" w14:textId="77777777" w:rsidR="00055898" w:rsidRDefault="00055898" w:rsidP="000C3C16">
      <w:pPr>
        <w:tabs>
          <w:tab w:val="left" w:pos="426"/>
          <w:tab w:val="left" w:pos="6030"/>
        </w:tabs>
        <w:jc w:val="both"/>
        <w:rPr>
          <w:sz w:val="24"/>
          <w:szCs w:val="24"/>
        </w:rPr>
      </w:pPr>
    </w:p>
    <w:p w14:paraId="6DF84326" w14:textId="77777777" w:rsidR="00055898" w:rsidRDefault="00055898" w:rsidP="000C3C16">
      <w:pPr>
        <w:tabs>
          <w:tab w:val="left" w:pos="426"/>
          <w:tab w:val="left" w:pos="6030"/>
        </w:tabs>
        <w:jc w:val="both"/>
        <w:rPr>
          <w:sz w:val="24"/>
          <w:szCs w:val="24"/>
        </w:rPr>
      </w:pPr>
      <w:r w:rsidRPr="00055898">
        <w:rPr>
          <w:sz w:val="24"/>
          <w:szCs w:val="24"/>
        </w:rPr>
        <w:t>The Special Rapporteur hopes to</w:t>
      </w:r>
      <w:r w:rsidR="005B5EF0">
        <w:rPr>
          <w:sz w:val="24"/>
          <w:szCs w:val="24"/>
        </w:rPr>
        <w:t xml:space="preserve"> further develop the understanding of the scope </w:t>
      </w:r>
      <w:r w:rsidR="005B5EF0" w:rsidRPr="005B5EF0">
        <w:rPr>
          <w:sz w:val="24"/>
          <w:szCs w:val="24"/>
        </w:rPr>
        <w:t>of the right to liberty and security of the person in relation to persons with disabilities</w:t>
      </w:r>
      <w:r w:rsidR="005B5EF0">
        <w:rPr>
          <w:sz w:val="24"/>
          <w:szCs w:val="24"/>
        </w:rPr>
        <w:t xml:space="preserve"> and to </w:t>
      </w:r>
      <w:r w:rsidRPr="00055898">
        <w:rPr>
          <w:sz w:val="24"/>
          <w:szCs w:val="24"/>
        </w:rPr>
        <w:t xml:space="preserve">provide a clear </w:t>
      </w:r>
      <w:r w:rsidR="005B5EF0">
        <w:rPr>
          <w:sz w:val="24"/>
          <w:szCs w:val="24"/>
        </w:rPr>
        <w:t xml:space="preserve">guiding </w:t>
      </w:r>
      <w:r w:rsidRPr="00055898">
        <w:rPr>
          <w:sz w:val="24"/>
          <w:szCs w:val="24"/>
        </w:rPr>
        <w:t xml:space="preserve">framework </w:t>
      </w:r>
      <w:r w:rsidR="00F359EB">
        <w:rPr>
          <w:sz w:val="24"/>
          <w:szCs w:val="24"/>
        </w:rPr>
        <w:t xml:space="preserve">aimed at </w:t>
      </w:r>
      <w:r w:rsidRPr="00055898">
        <w:rPr>
          <w:sz w:val="24"/>
          <w:szCs w:val="24"/>
        </w:rPr>
        <w:t>assist</w:t>
      </w:r>
      <w:r w:rsidR="00F359EB">
        <w:rPr>
          <w:sz w:val="24"/>
          <w:szCs w:val="24"/>
        </w:rPr>
        <w:t>ing</w:t>
      </w:r>
      <w:r w:rsidRPr="00055898">
        <w:rPr>
          <w:sz w:val="24"/>
          <w:szCs w:val="24"/>
        </w:rPr>
        <w:t xml:space="preserve"> governments in the implementation of rights</w:t>
      </w:r>
      <w:r w:rsidR="00611EFC">
        <w:rPr>
          <w:sz w:val="24"/>
          <w:szCs w:val="24"/>
        </w:rPr>
        <w:t xml:space="preserve"> as set</w:t>
      </w:r>
      <w:r w:rsidRPr="00055898">
        <w:rPr>
          <w:sz w:val="24"/>
          <w:szCs w:val="24"/>
        </w:rPr>
        <w:t xml:space="preserve"> under </w:t>
      </w:r>
      <w:r>
        <w:rPr>
          <w:sz w:val="24"/>
          <w:szCs w:val="24"/>
        </w:rPr>
        <w:t>the article 9 of</w:t>
      </w:r>
      <w:r w:rsidRPr="00055898">
        <w:rPr>
          <w:sz w:val="24"/>
          <w:szCs w:val="24"/>
        </w:rPr>
        <w:t xml:space="preserve"> the International Covenant on Civ</w:t>
      </w:r>
      <w:r>
        <w:rPr>
          <w:sz w:val="24"/>
          <w:szCs w:val="24"/>
        </w:rPr>
        <w:t>il and Political Rights</w:t>
      </w:r>
      <w:r w:rsidRPr="00055898">
        <w:rPr>
          <w:sz w:val="24"/>
          <w:szCs w:val="24"/>
        </w:rPr>
        <w:t xml:space="preserve">, </w:t>
      </w:r>
      <w:r>
        <w:rPr>
          <w:sz w:val="24"/>
          <w:szCs w:val="24"/>
        </w:rPr>
        <w:t xml:space="preserve">article </w:t>
      </w:r>
      <w:r w:rsidRPr="00055898">
        <w:rPr>
          <w:sz w:val="24"/>
          <w:szCs w:val="24"/>
        </w:rPr>
        <w:t>37(b)</w:t>
      </w:r>
      <w:r>
        <w:rPr>
          <w:sz w:val="24"/>
          <w:szCs w:val="24"/>
        </w:rPr>
        <w:t xml:space="preserve"> of </w:t>
      </w:r>
      <w:r w:rsidRPr="00055898">
        <w:rPr>
          <w:sz w:val="24"/>
          <w:szCs w:val="24"/>
        </w:rPr>
        <w:t>the Convent</w:t>
      </w:r>
      <w:r>
        <w:rPr>
          <w:sz w:val="24"/>
          <w:szCs w:val="24"/>
        </w:rPr>
        <w:t>ion on the Rights of the Child</w:t>
      </w:r>
      <w:r w:rsidRPr="00055898">
        <w:rPr>
          <w:sz w:val="24"/>
          <w:szCs w:val="24"/>
        </w:rPr>
        <w:t xml:space="preserve">, </w:t>
      </w:r>
      <w:r>
        <w:rPr>
          <w:sz w:val="24"/>
          <w:szCs w:val="24"/>
        </w:rPr>
        <w:t xml:space="preserve">and article 14 of </w:t>
      </w:r>
      <w:r w:rsidRPr="00055898">
        <w:rPr>
          <w:sz w:val="24"/>
          <w:szCs w:val="24"/>
        </w:rPr>
        <w:t>the Convention on the Righ</w:t>
      </w:r>
      <w:r>
        <w:rPr>
          <w:sz w:val="24"/>
          <w:szCs w:val="24"/>
        </w:rPr>
        <w:t>ts of Persons with Disabilities.</w:t>
      </w:r>
    </w:p>
    <w:p w14:paraId="6DF84327" w14:textId="77777777" w:rsidR="00055898" w:rsidRDefault="00055898" w:rsidP="000C3C16">
      <w:pPr>
        <w:tabs>
          <w:tab w:val="left" w:pos="426"/>
          <w:tab w:val="left" w:pos="6030"/>
        </w:tabs>
        <w:jc w:val="both"/>
        <w:rPr>
          <w:sz w:val="24"/>
          <w:szCs w:val="24"/>
        </w:rPr>
      </w:pPr>
    </w:p>
    <w:p w14:paraId="6DF84328" w14:textId="77777777" w:rsidR="00055898" w:rsidRDefault="00055898" w:rsidP="000C3C16">
      <w:pPr>
        <w:tabs>
          <w:tab w:val="left" w:pos="426"/>
          <w:tab w:val="left" w:pos="6030"/>
        </w:tabs>
        <w:jc w:val="both"/>
        <w:rPr>
          <w:sz w:val="24"/>
          <w:szCs w:val="24"/>
        </w:rPr>
      </w:pPr>
      <w:r w:rsidRPr="00055898">
        <w:rPr>
          <w:sz w:val="24"/>
          <w:szCs w:val="24"/>
        </w:rPr>
        <w:t xml:space="preserve">The following questionnaire will assist the Special Rapporteur to </w:t>
      </w:r>
      <w:r>
        <w:rPr>
          <w:sz w:val="24"/>
          <w:szCs w:val="24"/>
        </w:rPr>
        <w:t xml:space="preserve">identify </w:t>
      </w:r>
      <w:r w:rsidR="00611EFC" w:rsidRPr="00611EFC">
        <w:rPr>
          <w:sz w:val="24"/>
          <w:szCs w:val="24"/>
        </w:rPr>
        <w:t>instances in which persons may be de</w:t>
      </w:r>
      <w:r w:rsidR="002F7E4F">
        <w:rPr>
          <w:sz w:val="24"/>
          <w:szCs w:val="24"/>
        </w:rPr>
        <w:t>prived of their liberty</w:t>
      </w:r>
      <w:r w:rsidR="00611EFC" w:rsidRPr="00611EFC">
        <w:rPr>
          <w:sz w:val="24"/>
          <w:szCs w:val="24"/>
        </w:rPr>
        <w:t xml:space="preserve"> </w:t>
      </w:r>
      <w:r w:rsidR="00611EFC">
        <w:rPr>
          <w:sz w:val="24"/>
          <w:szCs w:val="24"/>
        </w:rPr>
        <w:t xml:space="preserve">for </w:t>
      </w:r>
      <w:r w:rsidR="00611EFC" w:rsidRPr="00611EFC">
        <w:rPr>
          <w:sz w:val="24"/>
          <w:szCs w:val="24"/>
        </w:rPr>
        <w:t xml:space="preserve">reasons tied to their actual or perceived </w:t>
      </w:r>
      <w:r w:rsidR="00611EFC">
        <w:rPr>
          <w:sz w:val="24"/>
          <w:szCs w:val="24"/>
        </w:rPr>
        <w:t>disabilities</w:t>
      </w:r>
      <w:r w:rsidR="00611EFC" w:rsidRPr="005A0A1F">
        <w:rPr>
          <w:sz w:val="24"/>
          <w:szCs w:val="24"/>
        </w:rPr>
        <w:t xml:space="preserve"> and </w:t>
      </w:r>
      <w:r w:rsidR="00707819" w:rsidRPr="005A0A1F">
        <w:rPr>
          <w:sz w:val="24"/>
          <w:szCs w:val="24"/>
        </w:rPr>
        <w:t xml:space="preserve">to </w:t>
      </w:r>
      <w:r w:rsidR="00611EFC" w:rsidRPr="00611EFC">
        <w:rPr>
          <w:sz w:val="24"/>
          <w:szCs w:val="24"/>
        </w:rPr>
        <w:t xml:space="preserve">better </w:t>
      </w:r>
      <w:r w:rsidR="00707819">
        <w:rPr>
          <w:sz w:val="24"/>
          <w:szCs w:val="24"/>
        </w:rPr>
        <w:t xml:space="preserve">grasp </w:t>
      </w:r>
      <w:r w:rsidR="00611EFC" w:rsidRPr="00611EFC">
        <w:rPr>
          <w:sz w:val="24"/>
          <w:szCs w:val="24"/>
        </w:rPr>
        <w:t xml:space="preserve">the current situation </w:t>
      </w:r>
      <w:r w:rsidR="00707819">
        <w:rPr>
          <w:sz w:val="24"/>
          <w:szCs w:val="24"/>
        </w:rPr>
        <w:t xml:space="preserve">when it comes </w:t>
      </w:r>
      <w:r w:rsidR="00611EFC" w:rsidRPr="00611EFC">
        <w:rPr>
          <w:sz w:val="24"/>
          <w:szCs w:val="24"/>
        </w:rPr>
        <w:t>to the enjoyment of the right to liberty and security by persons with disabilities</w:t>
      </w:r>
      <w:r>
        <w:rPr>
          <w:sz w:val="24"/>
          <w:szCs w:val="24"/>
        </w:rPr>
        <w:t xml:space="preserve">. </w:t>
      </w:r>
    </w:p>
    <w:p w14:paraId="6DF84329" w14:textId="77777777" w:rsidR="00CA5658" w:rsidRDefault="00CA5658" w:rsidP="000C3C16">
      <w:pPr>
        <w:tabs>
          <w:tab w:val="left" w:pos="426"/>
          <w:tab w:val="left" w:pos="6030"/>
        </w:tabs>
        <w:jc w:val="both"/>
        <w:rPr>
          <w:sz w:val="24"/>
          <w:szCs w:val="24"/>
        </w:rPr>
      </w:pPr>
    </w:p>
    <w:p w14:paraId="6DF8432A" w14:textId="77777777" w:rsidR="00CA5658" w:rsidRPr="00DC5406" w:rsidRDefault="00CA5658" w:rsidP="000C3C16">
      <w:pPr>
        <w:tabs>
          <w:tab w:val="left" w:pos="426"/>
          <w:tab w:val="left" w:pos="6030"/>
        </w:tabs>
        <w:jc w:val="both"/>
        <w:rPr>
          <w:sz w:val="24"/>
          <w:szCs w:val="24"/>
        </w:rPr>
      </w:pPr>
    </w:p>
    <w:p w14:paraId="6DF8432B" w14:textId="77777777" w:rsidR="00CF6119" w:rsidRPr="000C3C16" w:rsidRDefault="00CF6119" w:rsidP="00110BB9">
      <w:pPr>
        <w:pStyle w:val="ListParagraph"/>
        <w:numPr>
          <w:ilvl w:val="0"/>
          <w:numId w:val="2"/>
        </w:numPr>
        <w:rPr>
          <w:b/>
        </w:rPr>
      </w:pPr>
      <w:r w:rsidRPr="000C3C16">
        <w:rPr>
          <w:b/>
        </w:rPr>
        <w:t>Question</w:t>
      </w:r>
      <w:r w:rsidR="006C01C0">
        <w:rPr>
          <w:b/>
        </w:rPr>
        <w:t>naire</w:t>
      </w:r>
    </w:p>
    <w:p w14:paraId="6DF8432C" w14:textId="77777777" w:rsidR="00CF6119" w:rsidRPr="009B626E" w:rsidRDefault="00CF6119" w:rsidP="000C3C16">
      <w:pPr>
        <w:rPr>
          <w:sz w:val="24"/>
          <w:szCs w:val="24"/>
        </w:rPr>
      </w:pPr>
    </w:p>
    <w:p w14:paraId="6DF8432D" w14:textId="77777777" w:rsidR="008872F9" w:rsidRDefault="000C3C16" w:rsidP="00110BB9">
      <w:pPr>
        <w:numPr>
          <w:ilvl w:val="0"/>
          <w:numId w:val="1"/>
        </w:numPr>
        <w:spacing w:after="200"/>
        <w:jc w:val="both"/>
        <w:rPr>
          <w:sz w:val="24"/>
          <w:szCs w:val="24"/>
        </w:rPr>
      </w:pPr>
      <w:r w:rsidRPr="009B626E">
        <w:rPr>
          <w:sz w:val="24"/>
          <w:szCs w:val="24"/>
        </w:rPr>
        <w:t xml:space="preserve">Please </w:t>
      </w:r>
      <w:r w:rsidR="00BE6E03" w:rsidRPr="009B626E">
        <w:rPr>
          <w:sz w:val="24"/>
          <w:szCs w:val="24"/>
        </w:rPr>
        <w:t xml:space="preserve">provide information in relation to the existence of legislation </w:t>
      </w:r>
      <w:r w:rsidR="008872F9">
        <w:rPr>
          <w:sz w:val="24"/>
          <w:szCs w:val="24"/>
        </w:rPr>
        <w:t xml:space="preserve">and policies </w:t>
      </w:r>
      <w:r w:rsidR="0026293F" w:rsidRPr="0026293F">
        <w:rPr>
          <w:sz w:val="24"/>
          <w:szCs w:val="24"/>
        </w:rPr>
        <w:t>that are intended to ensure</w:t>
      </w:r>
      <w:r w:rsidR="0026293F">
        <w:rPr>
          <w:sz w:val="24"/>
          <w:szCs w:val="24"/>
        </w:rPr>
        <w:t xml:space="preserve"> and </w:t>
      </w:r>
      <w:r w:rsidR="00221FEB">
        <w:rPr>
          <w:sz w:val="24"/>
          <w:szCs w:val="24"/>
        </w:rPr>
        <w:t>protect</w:t>
      </w:r>
      <w:r w:rsidR="008872F9">
        <w:rPr>
          <w:sz w:val="24"/>
          <w:szCs w:val="24"/>
        </w:rPr>
        <w:t xml:space="preserve"> the right to liberty and security of persons with disabilities.</w:t>
      </w:r>
    </w:p>
    <w:p w14:paraId="6DF8432E" w14:textId="77777777" w:rsidR="004424CE" w:rsidRPr="0036289A" w:rsidRDefault="004424CE" w:rsidP="00BD67DD">
      <w:pPr>
        <w:spacing w:after="200"/>
        <w:ind w:left="360"/>
        <w:jc w:val="both"/>
        <w:rPr>
          <w:rFonts w:ascii="Arial" w:hAnsi="Arial" w:cs="Arial"/>
          <w:color w:val="0070C0"/>
          <w:sz w:val="24"/>
          <w:szCs w:val="24"/>
        </w:rPr>
      </w:pPr>
      <w:r w:rsidRPr="0036289A">
        <w:rPr>
          <w:rFonts w:ascii="Arial" w:hAnsi="Arial" w:cs="Arial"/>
          <w:color w:val="0070C0"/>
          <w:sz w:val="24"/>
          <w:szCs w:val="24"/>
        </w:rPr>
        <w:t>Scotland has a separate legal system from the rest of the United Kingdom and deprivation of liberty is dealt with under the devolved powers of the Scottish Parliament with entirely separate legislation from England and Wales or Northern Ireland.</w:t>
      </w:r>
    </w:p>
    <w:p w14:paraId="6DF8432F" w14:textId="77777777" w:rsidR="004424CE" w:rsidRPr="0036289A" w:rsidRDefault="004424CE" w:rsidP="00BD67DD">
      <w:pPr>
        <w:spacing w:after="200"/>
        <w:ind w:left="360"/>
        <w:jc w:val="both"/>
        <w:rPr>
          <w:rFonts w:ascii="Arial" w:hAnsi="Arial" w:cs="Arial"/>
          <w:color w:val="0070C0"/>
          <w:sz w:val="24"/>
          <w:szCs w:val="24"/>
        </w:rPr>
      </w:pPr>
    </w:p>
    <w:p w14:paraId="6DF84330" w14:textId="77777777" w:rsidR="00BD67DD" w:rsidRPr="0036289A" w:rsidRDefault="00BD67DD" w:rsidP="00BD67DD">
      <w:pPr>
        <w:spacing w:after="200"/>
        <w:ind w:left="360"/>
        <w:jc w:val="both"/>
        <w:rPr>
          <w:rFonts w:ascii="Arial" w:hAnsi="Arial" w:cs="Arial"/>
          <w:color w:val="0070C0"/>
          <w:sz w:val="24"/>
          <w:szCs w:val="24"/>
        </w:rPr>
      </w:pPr>
      <w:r w:rsidRPr="0036289A">
        <w:rPr>
          <w:rFonts w:ascii="Arial" w:hAnsi="Arial" w:cs="Arial"/>
          <w:color w:val="0070C0"/>
          <w:sz w:val="24"/>
          <w:szCs w:val="24"/>
        </w:rPr>
        <w:lastRenderedPageBreak/>
        <w:t>The European Convention on Human Rights (ECHR) applies in Scotland by virtue of the Human Rights Act 1998 (HRA) and the Scotland Act 1998.  The HRA requires all public authorities, such as hospitals, schools, local authorities, courts and the police to comply with those human rights. According to the HRA, all other legislation should also be interpreted and applied in a way that is consistent with the rights included in the Act.  The Scotland Act 1998 established the Scottish Parliament and the Scottish Government. It ensures that neither the Scottish Parliament nor the Scottish Government can pass any law that is incompatible with the human rights contained in the Human Rights Act or the European Convention on Human Rights.</w:t>
      </w:r>
    </w:p>
    <w:p w14:paraId="6DF84331" w14:textId="77777777" w:rsidR="004424CE" w:rsidRPr="0036289A" w:rsidRDefault="00BD67DD" w:rsidP="00BD67DD">
      <w:pPr>
        <w:spacing w:after="200"/>
        <w:ind w:left="360"/>
        <w:jc w:val="both"/>
        <w:rPr>
          <w:rFonts w:ascii="Arial" w:hAnsi="Arial" w:cs="Arial"/>
          <w:color w:val="0070C0"/>
          <w:sz w:val="24"/>
          <w:szCs w:val="24"/>
        </w:rPr>
      </w:pPr>
      <w:r w:rsidRPr="0036289A">
        <w:rPr>
          <w:rFonts w:ascii="Arial" w:hAnsi="Arial" w:cs="Arial"/>
          <w:color w:val="0070C0"/>
          <w:sz w:val="24"/>
          <w:szCs w:val="24"/>
        </w:rPr>
        <w:t xml:space="preserve">Article 5 ECHR protects the right to liberty.  A legal gap in the protections required was identified by the European Court of Human Rights in </w:t>
      </w:r>
      <w:r w:rsidRPr="0036289A">
        <w:rPr>
          <w:rFonts w:ascii="Arial" w:hAnsi="Arial" w:cs="Arial"/>
          <w:i/>
          <w:color w:val="0070C0"/>
          <w:sz w:val="24"/>
          <w:szCs w:val="24"/>
        </w:rPr>
        <w:t>HL v United Kingdom</w:t>
      </w:r>
      <w:r w:rsidRPr="0036289A">
        <w:rPr>
          <w:rFonts w:ascii="Arial" w:hAnsi="Arial" w:cs="Arial"/>
          <w:color w:val="0070C0"/>
          <w:sz w:val="24"/>
          <w:szCs w:val="24"/>
        </w:rPr>
        <w:t xml:space="preserve"> (2005) 40 EHRR 32 (the Bournewood case).  The case concerned an individual who had been treated on an “informal” basis in a psychiatric hospital, against the wishes of his carers who had been deprived access to him.  The European Court found that this constituted a breach of Article 5</w:t>
      </w:r>
      <w:r w:rsidR="004424CE" w:rsidRPr="0036289A">
        <w:rPr>
          <w:rFonts w:ascii="Arial" w:hAnsi="Arial" w:cs="Arial"/>
          <w:color w:val="0070C0"/>
          <w:sz w:val="24"/>
          <w:szCs w:val="24"/>
        </w:rPr>
        <w:t xml:space="preserve"> as a person who was not considered capable of consenting to their detention, despite being compliant with their care, could not be treated as a voluntary patient.  Such individuals were in fact deprived of their liberty and accordingly a lawful process was required in order to ensure the necessary safeguards of Article 5 were met.  There has therefore been what is referred to as the “Bournewood gap” in legal protections since 2005.  </w:t>
      </w:r>
    </w:p>
    <w:p w14:paraId="6DF84332" w14:textId="77777777" w:rsidR="004424CE" w:rsidRPr="0036289A" w:rsidRDefault="004424CE" w:rsidP="00BD67DD">
      <w:pPr>
        <w:spacing w:after="200"/>
        <w:ind w:left="360"/>
        <w:jc w:val="both"/>
        <w:rPr>
          <w:rFonts w:ascii="Arial" w:hAnsi="Arial" w:cs="Arial"/>
          <w:color w:val="0070C0"/>
          <w:sz w:val="24"/>
          <w:szCs w:val="24"/>
        </w:rPr>
      </w:pPr>
      <w:r w:rsidRPr="0036289A">
        <w:rPr>
          <w:rFonts w:ascii="Arial" w:hAnsi="Arial" w:cs="Arial"/>
          <w:color w:val="0070C0"/>
          <w:sz w:val="24"/>
          <w:szCs w:val="24"/>
        </w:rPr>
        <w:t xml:space="preserve">In 2014, a further case at the Supreme Court of the United Kingdom, </w:t>
      </w:r>
      <w:r w:rsidRPr="0036289A">
        <w:rPr>
          <w:rFonts w:ascii="Arial" w:hAnsi="Arial" w:cs="Arial"/>
          <w:i/>
          <w:color w:val="0070C0"/>
          <w:sz w:val="24"/>
          <w:szCs w:val="24"/>
        </w:rPr>
        <w:t>Cheshire West and Chester Council v P</w:t>
      </w:r>
      <w:r w:rsidRPr="0036289A">
        <w:rPr>
          <w:rFonts w:ascii="Arial" w:hAnsi="Arial" w:cs="Arial"/>
          <w:color w:val="0070C0"/>
          <w:sz w:val="24"/>
          <w:szCs w:val="24"/>
        </w:rPr>
        <w:t xml:space="preserve"> [2014] UKSC 19, clarified that there is a deprivation of liberty for the purposes of Article 5 where the person is under continuous supervision and control and is not free to leave and the person lacks capacity to consent to these arrangements</w:t>
      </w:r>
      <w:r w:rsidR="00A5145B" w:rsidRPr="0036289A">
        <w:rPr>
          <w:rFonts w:ascii="Arial" w:hAnsi="Arial" w:cs="Arial"/>
          <w:color w:val="0070C0"/>
          <w:sz w:val="24"/>
          <w:szCs w:val="24"/>
        </w:rPr>
        <w:t xml:space="preserve">. </w:t>
      </w:r>
      <w:r w:rsidR="00F92E1A">
        <w:rPr>
          <w:rFonts w:ascii="Arial" w:hAnsi="Arial" w:cs="Arial"/>
          <w:color w:val="0070C0"/>
          <w:sz w:val="24"/>
          <w:szCs w:val="24"/>
        </w:rPr>
        <w:t xml:space="preserve">While </w:t>
      </w:r>
      <w:r w:rsidR="00A5145B">
        <w:rPr>
          <w:rFonts w:ascii="Arial" w:hAnsi="Arial" w:cs="Arial"/>
          <w:color w:val="0070C0"/>
          <w:sz w:val="24"/>
          <w:szCs w:val="24"/>
        </w:rPr>
        <w:t>both of these cases involved the law of England and Wales, the same issues arise under the law in Scotland.</w:t>
      </w:r>
    </w:p>
    <w:p w14:paraId="6DF84333" w14:textId="77777777" w:rsidR="000B3266" w:rsidRDefault="008C3E69" w:rsidP="008C3E69">
      <w:pPr>
        <w:spacing w:after="200"/>
        <w:ind w:left="360"/>
        <w:jc w:val="both"/>
        <w:rPr>
          <w:rFonts w:ascii="Arial" w:hAnsi="Arial" w:cs="Arial"/>
          <w:color w:val="0070C0"/>
          <w:sz w:val="24"/>
          <w:szCs w:val="24"/>
        </w:rPr>
      </w:pPr>
      <w:r w:rsidRPr="0036289A">
        <w:rPr>
          <w:rFonts w:ascii="Arial" w:hAnsi="Arial" w:cs="Arial"/>
          <w:color w:val="0070C0"/>
          <w:sz w:val="24"/>
          <w:szCs w:val="24"/>
        </w:rPr>
        <w:t>The gaps identified by the Bournewood case and Cheshire West have yet to be addressed by legislative provisions in Scotland.  The Scottish Law Commission has made proposals to address the situation of people in hospitals or care settings who lack capacity to consent to their deprivation of liberty,</w:t>
      </w:r>
      <w:r w:rsidRPr="0036289A">
        <w:rPr>
          <w:rFonts w:ascii="Arial" w:hAnsi="Arial" w:cs="Arial"/>
          <w:color w:val="0070C0"/>
          <w:sz w:val="24"/>
          <w:szCs w:val="24"/>
          <w:vertAlign w:val="superscript"/>
        </w:rPr>
        <w:footnoteReference w:id="1"/>
      </w:r>
      <w:r w:rsidRPr="0036289A">
        <w:rPr>
          <w:rFonts w:ascii="Arial" w:hAnsi="Arial" w:cs="Arial"/>
          <w:color w:val="0070C0"/>
          <w:sz w:val="24"/>
          <w:szCs w:val="24"/>
        </w:rPr>
        <w:t xml:space="preserve">  on which the Scottish Government has consulted. </w:t>
      </w:r>
      <w:r w:rsidR="000B3266" w:rsidRPr="000B3266">
        <w:rPr>
          <w:rFonts w:ascii="Arial" w:hAnsi="Arial" w:cs="Arial"/>
          <w:color w:val="0070C0"/>
          <w:sz w:val="24"/>
          <w:szCs w:val="24"/>
        </w:rPr>
        <w:t xml:space="preserve">However, the proposals provide for a substituted decision-making process and do not explicitly engage with the implications of supported decision-making.  </w:t>
      </w:r>
    </w:p>
    <w:p w14:paraId="6DF84334" w14:textId="77777777" w:rsidR="008C3E69" w:rsidRPr="0036289A" w:rsidRDefault="008C3E69" w:rsidP="008C3E69">
      <w:pPr>
        <w:spacing w:after="200"/>
        <w:ind w:left="360"/>
        <w:jc w:val="both"/>
        <w:rPr>
          <w:rFonts w:ascii="Arial" w:hAnsi="Arial" w:cs="Arial"/>
          <w:color w:val="0070C0"/>
          <w:sz w:val="24"/>
          <w:szCs w:val="24"/>
        </w:rPr>
      </w:pPr>
      <w:r w:rsidRPr="0036289A">
        <w:rPr>
          <w:rFonts w:ascii="Arial" w:hAnsi="Arial" w:cs="Arial"/>
          <w:color w:val="0070C0"/>
          <w:sz w:val="24"/>
          <w:szCs w:val="24"/>
        </w:rPr>
        <w:t xml:space="preserve">The proposals set out limited processes to authorise such deprivations of liberty on behalf of incapacitated individuals. The proposals look at persons within hospital settings and persons within a community setting and recommend a different approach for each setting.  For hospital settings, an authorisation process is recommended whereby a medical practitioner would be able to put measures in place to prevent an adult with cognitive impairments, who is in hospital for the treatment of physical illness, leaving the hospital if certain conditions are satisfied.  In community settings, which will mainly be residential care settings, the focus is on the authorisation of </w:t>
      </w:r>
      <w:r w:rsidRPr="0036289A">
        <w:rPr>
          <w:rFonts w:ascii="Arial" w:hAnsi="Arial" w:cs="Arial"/>
          <w:color w:val="0070C0"/>
          <w:sz w:val="24"/>
          <w:szCs w:val="24"/>
        </w:rPr>
        <w:lastRenderedPageBreak/>
        <w:t>“significant restriction” in an individual’s day to day life.  The proposals would result in changes to the Adults with Incapacity (Scotland) Act 2000</w:t>
      </w:r>
      <w:r w:rsidR="006704DA" w:rsidRPr="0036289A">
        <w:rPr>
          <w:rStyle w:val="FootnoteReference"/>
          <w:rFonts w:ascii="Arial" w:hAnsi="Arial"/>
          <w:color w:val="0070C0"/>
          <w:sz w:val="24"/>
          <w:szCs w:val="24"/>
        </w:rPr>
        <w:footnoteReference w:id="2"/>
      </w:r>
      <w:r w:rsidRPr="0036289A">
        <w:rPr>
          <w:rFonts w:ascii="Arial" w:hAnsi="Arial" w:cs="Arial"/>
          <w:color w:val="0070C0"/>
          <w:sz w:val="24"/>
          <w:szCs w:val="24"/>
        </w:rPr>
        <w:t>, which</w:t>
      </w:r>
      <w:r w:rsidR="006704DA" w:rsidRPr="0036289A">
        <w:rPr>
          <w:rFonts w:ascii="Arial" w:hAnsi="Arial" w:cs="Arial"/>
          <w:color w:val="0070C0"/>
          <w:sz w:val="24"/>
          <w:szCs w:val="24"/>
        </w:rPr>
        <w:t xml:space="preserve"> already</w:t>
      </w:r>
      <w:r w:rsidRPr="0036289A">
        <w:rPr>
          <w:rFonts w:ascii="Arial" w:hAnsi="Arial" w:cs="Arial"/>
          <w:color w:val="0070C0"/>
          <w:sz w:val="24"/>
          <w:szCs w:val="24"/>
        </w:rPr>
        <w:t xml:space="preserve"> makes provision for </w:t>
      </w:r>
      <w:r w:rsidR="006704DA" w:rsidRPr="0036289A">
        <w:rPr>
          <w:rFonts w:ascii="Arial" w:hAnsi="Arial" w:cs="Arial"/>
          <w:color w:val="0070C0"/>
          <w:sz w:val="24"/>
          <w:szCs w:val="24"/>
        </w:rPr>
        <w:t>decisions to be made regarding the property, financial affairs and personal welfare of adults who are incapable by reason of mental disorder or inability to communicate.</w:t>
      </w:r>
    </w:p>
    <w:p w14:paraId="6DF84335" w14:textId="77777777" w:rsidR="008C3E69" w:rsidRDefault="008C3E69" w:rsidP="008C3E69">
      <w:pPr>
        <w:spacing w:after="200"/>
        <w:ind w:left="360"/>
        <w:jc w:val="both"/>
        <w:rPr>
          <w:rFonts w:ascii="Arial" w:hAnsi="Arial" w:cs="Arial"/>
          <w:color w:val="0070C0"/>
          <w:sz w:val="24"/>
          <w:szCs w:val="24"/>
        </w:rPr>
      </w:pPr>
      <w:r w:rsidRPr="0036289A">
        <w:rPr>
          <w:rFonts w:ascii="Arial" w:hAnsi="Arial" w:cs="Arial"/>
          <w:color w:val="0070C0"/>
          <w:sz w:val="24"/>
          <w:szCs w:val="24"/>
        </w:rPr>
        <w:t>A substantial majority of respondents to the consultation expressed the view that any changes to the law in this area should take place within the context of a wider revision of Adults with Incapacity legislation, as the current legislation is not working effectively. The Law Society of Scotland, the Mental Welfare Commission, the Public Guardian and SHRC,</w:t>
      </w:r>
      <w:r w:rsidRPr="0036289A">
        <w:rPr>
          <w:rFonts w:ascii="Arial" w:hAnsi="Arial" w:cs="Arial"/>
          <w:color w:val="0070C0"/>
          <w:sz w:val="24"/>
          <w:szCs w:val="24"/>
          <w:vertAlign w:val="superscript"/>
        </w:rPr>
        <w:footnoteReference w:id="3"/>
      </w:r>
      <w:r w:rsidRPr="0036289A">
        <w:rPr>
          <w:rFonts w:ascii="Arial" w:hAnsi="Arial" w:cs="Arial"/>
          <w:color w:val="0070C0"/>
          <w:sz w:val="24"/>
          <w:szCs w:val="24"/>
        </w:rPr>
        <w:t xml:space="preserve"> among others, all recommended a comprehensive review of the three pieces of legislation which govern non-consensual care and treatment</w:t>
      </w:r>
      <w:r w:rsidRPr="0036289A">
        <w:rPr>
          <w:rFonts w:ascii="Arial" w:hAnsi="Arial" w:cs="Arial"/>
          <w:color w:val="0070C0"/>
          <w:sz w:val="24"/>
          <w:szCs w:val="24"/>
          <w:vertAlign w:val="superscript"/>
        </w:rPr>
        <w:footnoteReference w:id="4"/>
      </w:r>
      <w:r w:rsidRPr="0036289A">
        <w:rPr>
          <w:rFonts w:ascii="Arial" w:hAnsi="Arial" w:cs="Arial"/>
          <w:color w:val="0070C0"/>
          <w:sz w:val="24"/>
          <w:szCs w:val="24"/>
        </w:rPr>
        <w:t xml:space="preserve"> in part, to reflect the requirements of the </w:t>
      </w:r>
      <w:r w:rsidR="00D02330">
        <w:rPr>
          <w:rFonts w:ascii="Arial" w:hAnsi="Arial" w:cs="Arial"/>
          <w:color w:val="0070C0"/>
          <w:sz w:val="24"/>
          <w:szCs w:val="24"/>
        </w:rPr>
        <w:t xml:space="preserve">UN </w:t>
      </w:r>
      <w:r w:rsidRPr="0036289A">
        <w:rPr>
          <w:rFonts w:ascii="Arial" w:hAnsi="Arial" w:cs="Arial"/>
          <w:color w:val="0070C0"/>
          <w:sz w:val="24"/>
          <w:szCs w:val="24"/>
        </w:rPr>
        <w:t>Convention</w:t>
      </w:r>
      <w:r w:rsidR="00D02330">
        <w:rPr>
          <w:rFonts w:ascii="Arial" w:hAnsi="Arial" w:cs="Arial"/>
          <w:color w:val="0070C0"/>
          <w:sz w:val="24"/>
          <w:szCs w:val="24"/>
        </w:rPr>
        <w:t xml:space="preserve"> on the Rights of Persons with Disabilities (the Convention)</w:t>
      </w:r>
      <w:r w:rsidRPr="0036289A">
        <w:rPr>
          <w:rFonts w:ascii="Arial" w:hAnsi="Arial" w:cs="Arial"/>
          <w:color w:val="0070C0"/>
          <w:sz w:val="24"/>
          <w:szCs w:val="24"/>
        </w:rPr>
        <w:t xml:space="preserve">. </w:t>
      </w:r>
    </w:p>
    <w:p w14:paraId="6DF84336" w14:textId="77777777" w:rsidR="00DE3BF4" w:rsidRPr="0036289A" w:rsidRDefault="00DE3BF4" w:rsidP="008C3E69">
      <w:pPr>
        <w:spacing w:after="200"/>
        <w:ind w:left="360"/>
        <w:jc w:val="both"/>
        <w:rPr>
          <w:rFonts w:ascii="Arial" w:hAnsi="Arial" w:cs="Arial"/>
          <w:color w:val="0070C0"/>
          <w:sz w:val="24"/>
          <w:szCs w:val="24"/>
        </w:rPr>
      </w:pPr>
      <w:r>
        <w:rPr>
          <w:rFonts w:ascii="Arial" w:hAnsi="Arial" w:cs="Arial"/>
          <w:color w:val="0070C0"/>
          <w:sz w:val="24"/>
          <w:szCs w:val="24"/>
        </w:rPr>
        <w:t>The Centre for Mental Health &amp; Capacity Law and the Mental Welfare Commission for Scotland recently published a report setting out the case for reform of Scotland’s Mental Health and Capacity Law</w:t>
      </w:r>
      <w:r w:rsidR="005F0BBC">
        <w:rPr>
          <w:rFonts w:ascii="Arial" w:hAnsi="Arial" w:cs="Arial"/>
          <w:color w:val="0070C0"/>
          <w:sz w:val="24"/>
          <w:szCs w:val="24"/>
        </w:rPr>
        <w:t>.</w:t>
      </w:r>
      <w:r>
        <w:rPr>
          <w:rStyle w:val="FootnoteReference"/>
          <w:rFonts w:ascii="Arial" w:hAnsi="Arial"/>
          <w:color w:val="0070C0"/>
          <w:sz w:val="24"/>
          <w:szCs w:val="24"/>
        </w:rPr>
        <w:footnoteReference w:id="5"/>
      </w:r>
      <w:r w:rsidR="005F0BBC">
        <w:rPr>
          <w:rFonts w:ascii="Arial" w:hAnsi="Arial" w:cs="Arial"/>
          <w:color w:val="0070C0"/>
          <w:sz w:val="24"/>
          <w:szCs w:val="24"/>
        </w:rPr>
        <w:t xml:space="preserve"> This report recognises that there remains widespread support for the principles of Scotland’s mental health and capacity law. However, it also recognises that “there is also concern that individuals may remain disempowered and unable effectively to assert their rights, and that balancing safeguards and rights to appropriate care have been undermined by resource constraints.</w:t>
      </w:r>
      <w:r w:rsidR="005F0BBC">
        <w:rPr>
          <w:rStyle w:val="FootnoteReference"/>
          <w:rFonts w:ascii="Arial" w:hAnsi="Arial"/>
          <w:color w:val="0070C0"/>
          <w:sz w:val="24"/>
          <w:szCs w:val="24"/>
        </w:rPr>
        <w:footnoteReference w:id="6"/>
      </w:r>
      <w:r w:rsidR="005F0BBC">
        <w:rPr>
          <w:rFonts w:ascii="Arial" w:hAnsi="Arial" w:cs="Arial"/>
          <w:color w:val="0070C0"/>
          <w:sz w:val="24"/>
          <w:szCs w:val="24"/>
        </w:rPr>
        <w:t>”</w:t>
      </w:r>
    </w:p>
    <w:p w14:paraId="6DF84337" w14:textId="77777777" w:rsidR="006704DA" w:rsidRPr="0036289A" w:rsidRDefault="006704DA" w:rsidP="00BD67DD">
      <w:pPr>
        <w:spacing w:after="200"/>
        <w:ind w:left="360"/>
        <w:jc w:val="both"/>
        <w:rPr>
          <w:rFonts w:ascii="Arial" w:hAnsi="Arial" w:cs="Arial"/>
          <w:color w:val="0070C0"/>
          <w:sz w:val="24"/>
          <w:szCs w:val="24"/>
        </w:rPr>
      </w:pPr>
      <w:r w:rsidRPr="0036289A">
        <w:rPr>
          <w:rFonts w:ascii="Arial" w:hAnsi="Arial" w:cs="Arial"/>
          <w:color w:val="0070C0"/>
          <w:sz w:val="24"/>
          <w:szCs w:val="24"/>
        </w:rPr>
        <w:t>The Scottish Government’s Mental Health Strategy 2017-2027</w:t>
      </w:r>
      <w:r w:rsidRPr="0036289A">
        <w:rPr>
          <w:rStyle w:val="FootnoteReference"/>
          <w:rFonts w:ascii="Arial" w:hAnsi="Arial"/>
          <w:color w:val="0070C0"/>
          <w:sz w:val="24"/>
          <w:szCs w:val="24"/>
        </w:rPr>
        <w:footnoteReference w:id="7"/>
      </w:r>
      <w:r w:rsidRPr="0036289A">
        <w:rPr>
          <w:rFonts w:ascii="Arial" w:hAnsi="Arial" w:cs="Arial"/>
          <w:color w:val="0070C0"/>
          <w:sz w:val="24"/>
          <w:szCs w:val="24"/>
        </w:rPr>
        <w:t xml:space="preserve"> makes a commitment to reform Adults with Incapacity legislation on the following basis:</w:t>
      </w:r>
    </w:p>
    <w:p w14:paraId="6DF84338" w14:textId="77777777" w:rsidR="008C3E69" w:rsidRDefault="006704DA" w:rsidP="006704DA">
      <w:pPr>
        <w:spacing w:after="200"/>
        <w:ind w:left="360"/>
        <w:jc w:val="both"/>
        <w:rPr>
          <w:rFonts w:ascii="Arial" w:hAnsi="Arial" w:cs="Arial"/>
          <w:i/>
          <w:color w:val="0070C0"/>
          <w:sz w:val="24"/>
          <w:szCs w:val="24"/>
        </w:rPr>
      </w:pPr>
      <w:r w:rsidRPr="0036289A">
        <w:rPr>
          <w:rFonts w:ascii="Arial" w:hAnsi="Arial" w:cs="Arial"/>
          <w:i/>
          <w:color w:val="0070C0"/>
          <w:sz w:val="24"/>
          <w:szCs w:val="24"/>
        </w:rPr>
        <w:t xml:space="preserve">“Adults with Incapacity legislation should fully reflect the requirements of the United Nations Convention on the Rights of Persons with Disabilities (UNCRPD), with particular emphasis on provision of supported decision making, addressing issues around deprivation of liberty and the interaction of AWI legislation with the legislation on mental health and adult support and protection.” </w:t>
      </w:r>
    </w:p>
    <w:p w14:paraId="6DF84339" w14:textId="77777777" w:rsidR="00F6765A" w:rsidRPr="00DE3BF4" w:rsidRDefault="00F6765A" w:rsidP="00EC6B10">
      <w:pPr>
        <w:spacing w:after="200"/>
        <w:ind w:left="360"/>
        <w:rPr>
          <w:rFonts w:ascii="Arial" w:hAnsi="Arial" w:cs="Arial"/>
          <w:color w:val="0070C0"/>
          <w:sz w:val="24"/>
          <w:szCs w:val="24"/>
        </w:rPr>
      </w:pPr>
      <w:r>
        <w:rPr>
          <w:rFonts w:ascii="Arial" w:hAnsi="Arial" w:cs="Arial"/>
          <w:color w:val="0070C0"/>
          <w:sz w:val="24"/>
          <w:szCs w:val="24"/>
        </w:rPr>
        <w:t xml:space="preserve">More recently, the Scottish Government has begun initial conversations </w:t>
      </w:r>
      <w:r w:rsidR="00DE3BF4">
        <w:rPr>
          <w:rFonts w:ascii="Arial" w:hAnsi="Arial" w:cs="Arial"/>
          <w:color w:val="0070C0"/>
          <w:sz w:val="24"/>
          <w:szCs w:val="24"/>
        </w:rPr>
        <w:t>with key stakeholders about</w:t>
      </w:r>
      <w:r>
        <w:rPr>
          <w:rFonts w:ascii="Arial" w:hAnsi="Arial" w:cs="Arial"/>
          <w:color w:val="0070C0"/>
          <w:sz w:val="24"/>
          <w:szCs w:val="24"/>
        </w:rPr>
        <w:t xml:space="preserve"> </w:t>
      </w:r>
      <w:r w:rsidR="00DE3BF4">
        <w:rPr>
          <w:rFonts w:ascii="Arial" w:hAnsi="Arial" w:cs="Arial"/>
          <w:color w:val="0070C0"/>
          <w:sz w:val="24"/>
          <w:szCs w:val="24"/>
        </w:rPr>
        <w:t>what the reforms could look like and has indicated that they are planning to launch a consultation in September / October about the proposed changes to AWI law and practice.</w:t>
      </w:r>
    </w:p>
    <w:p w14:paraId="6DF8433A" w14:textId="77777777" w:rsidR="008872F9" w:rsidRPr="00015868" w:rsidRDefault="008872F9" w:rsidP="00110BB9">
      <w:pPr>
        <w:numPr>
          <w:ilvl w:val="0"/>
          <w:numId w:val="1"/>
        </w:numPr>
        <w:spacing w:after="200"/>
        <w:jc w:val="both"/>
        <w:rPr>
          <w:sz w:val="24"/>
          <w:szCs w:val="24"/>
        </w:rPr>
      </w:pPr>
      <w:r w:rsidRPr="00015868">
        <w:rPr>
          <w:sz w:val="24"/>
          <w:szCs w:val="24"/>
        </w:rPr>
        <w:t xml:space="preserve">Please provide information </w:t>
      </w:r>
      <w:r w:rsidR="0026293F" w:rsidRPr="00015868">
        <w:rPr>
          <w:sz w:val="24"/>
          <w:szCs w:val="24"/>
        </w:rPr>
        <w:t xml:space="preserve">on relevant </w:t>
      </w:r>
      <w:r w:rsidRPr="00015868">
        <w:rPr>
          <w:sz w:val="24"/>
          <w:szCs w:val="24"/>
        </w:rPr>
        <w:t>legislation and policies related to:</w:t>
      </w:r>
    </w:p>
    <w:p w14:paraId="6DF8433B" w14:textId="77777777" w:rsidR="00015868" w:rsidRDefault="00DB48ED" w:rsidP="00110BB9">
      <w:pPr>
        <w:numPr>
          <w:ilvl w:val="1"/>
          <w:numId w:val="1"/>
        </w:numPr>
        <w:spacing w:after="200"/>
        <w:ind w:left="993" w:hanging="633"/>
        <w:jc w:val="both"/>
        <w:rPr>
          <w:sz w:val="24"/>
          <w:szCs w:val="24"/>
        </w:rPr>
      </w:pPr>
      <w:r w:rsidRPr="00015868">
        <w:rPr>
          <w:sz w:val="24"/>
          <w:szCs w:val="24"/>
        </w:rPr>
        <w:lastRenderedPageBreak/>
        <w:t xml:space="preserve">exercise of legal capacity; </w:t>
      </w:r>
    </w:p>
    <w:p w14:paraId="6DF8433C" w14:textId="77777777" w:rsidR="00B34205" w:rsidRDefault="00B34205" w:rsidP="00B34205">
      <w:pPr>
        <w:spacing w:after="200"/>
        <w:ind w:left="993"/>
        <w:jc w:val="both"/>
        <w:rPr>
          <w:rFonts w:ascii="Arial" w:hAnsi="Arial" w:cs="Arial"/>
          <w:color w:val="0070C0"/>
          <w:sz w:val="24"/>
          <w:szCs w:val="24"/>
        </w:rPr>
      </w:pPr>
      <w:r w:rsidRPr="0036289A">
        <w:rPr>
          <w:rFonts w:ascii="Arial" w:hAnsi="Arial" w:cs="Arial"/>
          <w:color w:val="0070C0"/>
          <w:sz w:val="24"/>
          <w:szCs w:val="24"/>
        </w:rPr>
        <w:t>The Adults with Incapacity (Scotland) Act 2000 makes provision for decisions to be made regarding the property, financial affairs and personal welfare of adults who are incapable by reason of mental disorder or inability to communicate.</w:t>
      </w:r>
    </w:p>
    <w:p w14:paraId="6DF8433D" w14:textId="77777777" w:rsidR="005F0BBC" w:rsidRDefault="005F0BBC" w:rsidP="00B34205">
      <w:pPr>
        <w:spacing w:after="200"/>
        <w:ind w:left="993"/>
        <w:jc w:val="both"/>
        <w:rPr>
          <w:rFonts w:ascii="Arial" w:hAnsi="Arial" w:cs="Arial"/>
          <w:color w:val="0070C0"/>
          <w:sz w:val="24"/>
          <w:szCs w:val="24"/>
        </w:rPr>
      </w:pPr>
      <w:r>
        <w:rPr>
          <w:rFonts w:ascii="Arial" w:hAnsi="Arial" w:cs="Arial"/>
          <w:color w:val="0070C0"/>
          <w:sz w:val="24"/>
          <w:szCs w:val="24"/>
        </w:rPr>
        <w:t>Before interventions and non-consensual care and treatment may be considered under the 2000 Act, an individual must be assessed as being ‘incapable.’</w:t>
      </w:r>
    </w:p>
    <w:p w14:paraId="6DF8433E" w14:textId="77777777" w:rsidR="008F6E47" w:rsidRDefault="008F6E47" w:rsidP="00B34205">
      <w:pPr>
        <w:spacing w:after="200"/>
        <w:ind w:left="993"/>
        <w:jc w:val="both"/>
        <w:rPr>
          <w:rFonts w:ascii="Arial" w:hAnsi="Arial" w:cs="Arial"/>
          <w:color w:val="0070C0"/>
          <w:sz w:val="24"/>
          <w:szCs w:val="24"/>
        </w:rPr>
      </w:pPr>
      <w:r>
        <w:rPr>
          <w:rFonts w:ascii="Arial" w:hAnsi="Arial" w:cs="Arial"/>
          <w:color w:val="0070C0"/>
          <w:sz w:val="24"/>
          <w:szCs w:val="24"/>
        </w:rPr>
        <w:t xml:space="preserve">The Adult Support and Protection (Scotland) Act 2007 allows </w:t>
      </w:r>
      <w:r w:rsidR="005F0BBC">
        <w:rPr>
          <w:rFonts w:ascii="Arial" w:hAnsi="Arial" w:cs="Arial"/>
          <w:color w:val="0070C0"/>
          <w:sz w:val="24"/>
          <w:szCs w:val="24"/>
        </w:rPr>
        <w:t xml:space="preserve">local authorities to apply to the sheriff court </w:t>
      </w:r>
      <w:r>
        <w:rPr>
          <w:rFonts w:ascii="Arial" w:hAnsi="Arial" w:cs="Arial"/>
          <w:color w:val="0070C0"/>
          <w:sz w:val="24"/>
          <w:szCs w:val="24"/>
        </w:rPr>
        <w:t>for a range of protection orders to be made</w:t>
      </w:r>
      <w:r w:rsidRPr="008F6E47">
        <w:rPr>
          <w:rFonts w:ascii="Arial" w:hAnsi="Arial" w:cs="Arial"/>
          <w:color w:val="0070C0"/>
          <w:sz w:val="24"/>
          <w:szCs w:val="24"/>
        </w:rPr>
        <w:t xml:space="preserve"> </w:t>
      </w:r>
      <w:r>
        <w:rPr>
          <w:rFonts w:ascii="Arial" w:hAnsi="Arial" w:cs="Arial"/>
          <w:color w:val="0070C0"/>
          <w:sz w:val="24"/>
          <w:szCs w:val="24"/>
        </w:rPr>
        <w:t xml:space="preserve">in relation to ‘adults at risk’, including assessment orders, removal orders and banning orders. Adults at risk are people age 16 or over who are unable to safeguard themselves, their property, rights or other interests; are at risk of harm and because they are affected by disability, mental disorder, illness or physical or mental infirmity are more vulnerable to being harmed than others who are not so affected. </w:t>
      </w:r>
    </w:p>
    <w:p w14:paraId="6DF8433F" w14:textId="77777777" w:rsidR="008F6E47" w:rsidRPr="0036289A" w:rsidRDefault="008F6E47" w:rsidP="00B34205">
      <w:pPr>
        <w:spacing w:after="200"/>
        <w:ind w:left="993"/>
        <w:jc w:val="both"/>
        <w:rPr>
          <w:rFonts w:ascii="Arial" w:hAnsi="Arial" w:cs="Arial"/>
          <w:color w:val="0070C0"/>
          <w:sz w:val="24"/>
          <w:szCs w:val="24"/>
        </w:rPr>
      </w:pPr>
      <w:r>
        <w:rPr>
          <w:rFonts w:ascii="Arial" w:hAnsi="Arial" w:cs="Arial"/>
          <w:color w:val="0070C0"/>
          <w:sz w:val="24"/>
          <w:szCs w:val="24"/>
        </w:rPr>
        <w:t>It is understood that the majority of the interventions made under the 2007 Act have involved people with mental illness, dementia or learning disability</w:t>
      </w:r>
      <w:r>
        <w:rPr>
          <w:rStyle w:val="FootnoteReference"/>
          <w:rFonts w:ascii="Arial" w:hAnsi="Arial"/>
          <w:color w:val="0070C0"/>
          <w:sz w:val="24"/>
          <w:szCs w:val="24"/>
        </w:rPr>
        <w:footnoteReference w:id="8"/>
      </w:r>
      <w:r>
        <w:rPr>
          <w:rFonts w:ascii="Arial" w:hAnsi="Arial" w:cs="Arial"/>
          <w:color w:val="0070C0"/>
          <w:sz w:val="24"/>
          <w:szCs w:val="24"/>
        </w:rPr>
        <w:t xml:space="preserve">. </w:t>
      </w:r>
    </w:p>
    <w:p w14:paraId="6DF84340" w14:textId="77777777" w:rsidR="00751C4D" w:rsidRDefault="00405EA1" w:rsidP="00110BB9">
      <w:pPr>
        <w:numPr>
          <w:ilvl w:val="1"/>
          <w:numId w:val="1"/>
        </w:numPr>
        <w:spacing w:after="200"/>
        <w:ind w:left="993" w:hanging="633"/>
        <w:jc w:val="both"/>
        <w:rPr>
          <w:sz w:val="24"/>
          <w:szCs w:val="24"/>
        </w:rPr>
      </w:pPr>
      <w:r>
        <w:rPr>
          <w:sz w:val="24"/>
          <w:szCs w:val="24"/>
        </w:rPr>
        <w:t xml:space="preserve">the rights of </w:t>
      </w:r>
      <w:r w:rsidR="001225E3" w:rsidRPr="00015868">
        <w:rPr>
          <w:sz w:val="24"/>
          <w:szCs w:val="24"/>
        </w:rPr>
        <w:t>persons with disabilities in institution</w:t>
      </w:r>
      <w:r w:rsidR="008100CE" w:rsidRPr="00015868">
        <w:rPr>
          <w:sz w:val="24"/>
          <w:szCs w:val="24"/>
        </w:rPr>
        <w:t>s</w:t>
      </w:r>
      <w:r w:rsidR="0050315E">
        <w:rPr>
          <w:sz w:val="24"/>
          <w:szCs w:val="24"/>
        </w:rPr>
        <w:t xml:space="preserve"> </w:t>
      </w:r>
      <w:r w:rsidR="0044586D">
        <w:rPr>
          <w:sz w:val="24"/>
          <w:szCs w:val="24"/>
        </w:rPr>
        <w:t>including</w:t>
      </w:r>
      <w:r w:rsidR="0050315E" w:rsidRPr="0050315E">
        <w:rPr>
          <w:sz w:val="24"/>
          <w:szCs w:val="24"/>
        </w:rPr>
        <w:t xml:space="preserve"> processes of deinstitutionalisation</w:t>
      </w:r>
      <w:r w:rsidR="001225E3" w:rsidRPr="00015868">
        <w:rPr>
          <w:sz w:val="24"/>
          <w:szCs w:val="24"/>
        </w:rPr>
        <w:t xml:space="preserve">; </w:t>
      </w:r>
    </w:p>
    <w:p w14:paraId="6DF84341" w14:textId="77777777" w:rsidR="00B34205" w:rsidRPr="0036289A" w:rsidRDefault="00B34205" w:rsidP="00B34205">
      <w:pPr>
        <w:spacing w:after="200"/>
        <w:ind w:left="993"/>
        <w:jc w:val="both"/>
        <w:rPr>
          <w:rFonts w:ascii="Arial" w:hAnsi="Arial" w:cs="Arial"/>
          <w:color w:val="0070C0"/>
          <w:sz w:val="24"/>
          <w:szCs w:val="24"/>
        </w:rPr>
      </w:pPr>
      <w:r w:rsidRPr="0036289A">
        <w:rPr>
          <w:rFonts w:ascii="Arial" w:hAnsi="Arial" w:cs="Arial"/>
          <w:color w:val="0070C0"/>
          <w:sz w:val="24"/>
          <w:szCs w:val="24"/>
        </w:rPr>
        <w:t>All measures authorising involuntary placement in institutions provide rights of appeal against those decisions</w:t>
      </w:r>
      <w:r w:rsidR="000B3266">
        <w:rPr>
          <w:rFonts w:ascii="Arial" w:hAnsi="Arial" w:cs="Arial"/>
          <w:color w:val="0070C0"/>
          <w:sz w:val="24"/>
          <w:szCs w:val="24"/>
        </w:rPr>
        <w:t xml:space="preserve">, either to the Mental Health Tribunal for Scotland, in relation to mental health detention under the Mental Health </w:t>
      </w:r>
      <w:r w:rsidR="000B3266" w:rsidRPr="0036289A">
        <w:rPr>
          <w:rFonts w:ascii="Arial" w:hAnsi="Arial" w:cs="Arial"/>
          <w:color w:val="0070C0"/>
          <w:sz w:val="24"/>
          <w:szCs w:val="24"/>
        </w:rPr>
        <w:t>(Care and Treatment)(Scotland) Act 2003</w:t>
      </w:r>
      <w:r w:rsidR="000B3266">
        <w:rPr>
          <w:rFonts w:ascii="Arial" w:hAnsi="Arial" w:cs="Arial"/>
          <w:color w:val="0070C0"/>
          <w:sz w:val="24"/>
          <w:szCs w:val="24"/>
        </w:rPr>
        <w:t>, or to the Sheriff Court (local courts), in relation to the Adults with Incapacity (Scotland) Act 2000)</w:t>
      </w:r>
      <w:r w:rsidRPr="0036289A">
        <w:rPr>
          <w:rFonts w:ascii="Arial" w:hAnsi="Arial" w:cs="Arial"/>
          <w:color w:val="0070C0"/>
          <w:sz w:val="24"/>
          <w:szCs w:val="24"/>
        </w:rPr>
        <w:t>.</w:t>
      </w:r>
      <w:r w:rsidR="000A0AF0">
        <w:rPr>
          <w:rFonts w:ascii="Arial" w:hAnsi="Arial" w:cs="Arial"/>
          <w:color w:val="0070C0"/>
          <w:sz w:val="24"/>
          <w:szCs w:val="24"/>
        </w:rPr>
        <w:t xml:space="preserve">  </w:t>
      </w:r>
    </w:p>
    <w:p w14:paraId="6DF84342" w14:textId="77777777" w:rsidR="001225E3" w:rsidRDefault="00751C4D" w:rsidP="00110BB9">
      <w:pPr>
        <w:numPr>
          <w:ilvl w:val="1"/>
          <w:numId w:val="1"/>
        </w:numPr>
        <w:spacing w:after="200"/>
        <w:ind w:left="993" w:hanging="633"/>
        <w:jc w:val="both"/>
        <w:rPr>
          <w:sz w:val="24"/>
          <w:szCs w:val="24"/>
        </w:rPr>
      </w:pPr>
      <w:r w:rsidRPr="00015868">
        <w:rPr>
          <w:sz w:val="24"/>
          <w:szCs w:val="24"/>
        </w:rPr>
        <w:t xml:space="preserve">involuntary admission to mental health services or other institutions; </w:t>
      </w:r>
    </w:p>
    <w:p w14:paraId="6DF84343" w14:textId="77777777" w:rsidR="006704DA" w:rsidRPr="0036289A" w:rsidRDefault="006704DA" w:rsidP="006704DA">
      <w:pPr>
        <w:spacing w:after="200"/>
        <w:ind w:left="993"/>
        <w:jc w:val="both"/>
        <w:rPr>
          <w:rFonts w:ascii="Arial" w:hAnsi="Arial" w:cs="Arial"/>
          <w:color w:val="0070C0"/>
          <w:sz w:val="24"/>
          <w:szCs w:val="24"/>
        </w:rPr>
      </w:pPr>
      <w:r w:rsidRPr="0036289A">
        <w:rPr>
          <w:rFonts w:ascii="Arial" w:hAnsi="Arial" w:cs="Arial"/>
          <w:color w:val="0070C0"/>
          <w:sz w:val="24"/>
          <w:szCs w:val="24"/>
        </w:rPr>
        <w:t>The Mental Health (Care and Treatment)</w:t>
      </w:r>
      <w:r w:rsidR="009030FB">
        <w:rPr>
          <w:rFonts w:ascii="Arial" w:hAnsi="Arial" w:cs="Arial"/>
          <w:color w:val="0070C0"/>
          <w:sz w:val="24"/>
          <w:szCs w:val="24"/>
        </w:rPr>
        <w:t xml:space="preserve"> </w:t>
      </w:r>
      <w:r w:rsidRPr="0036289A">
        <w:rPr>
          <w:rFonts w:ascii="Arial" w:hAnsi="Arial" w:cs="Arial"/>
          <w:color w:val="0070C0"/>
          <w:sz w:val="24"/>
          <w:szCs w:val="24"/>
        </w:rPr>
        <w:t>(Scotland) Act 2003</w:t>
      </w:r>
      <w:r w:rsidRPr="0036289A">
        <w:rPr>
          <w:rStyle w:val="FootnoteReference"/>
          <w:rFonts w:ascii="Arial" w:hAnsi="Arial" w:cs="Arial"/>
          <w:color w:val="0070C0"/>
          <w:sz w:val="24"/>
          <w:szCs w:val="24"/>
        </w:rPr>
        <w:footnoteReference w:id="9"/>
      </w:r>
      <w:r w:rsidRPr="0036289A">
        <w:rPr>
          <w:rFonts w:ascii="Arial" w:hAnsi="Arial" w:cs="Arial"/>
          <w:color w:val="0070C0"/>
          <w:sz w:val="24"/>
          <w:szCs w:val="24"/>
        </w:rPr>
        <w:t xml:space="preserve"> makes provision for involuntary detention in hospitals or in the community for people with a mental disorder (</w:t>
      </w:r>
      <w:r w:rsidR="00F13C39" w:rsidRPr="0036289A">
        <w:rPr>
          <w:rFonts w:ascii="Arial" w:hAnsi="Arial" w:cs="Arial"/>
          <w:color w:val="0070C0"/>
          <w:sz w:val="24"/>
          <w:szCs w:val="24"/>
        </w:rPr>
        <w:t>defined as mental illness, learning disability or personality disorder).</w:t>
      </w:r>
    </w:p>
    <w:p w14:paraId="6DF84344" w14:textId="77777777" w:rsidR="00F13C39" w:rsidRPr="0036289A" w:rsidRDefault="00F13C39" w:rsidP="006704DA">
      <w:pPr>
        <w:spacing w:after="200"/>
        <w:ind w:left="993"/>
        <w:jc w:val="both"/>
        <w:rPr>
          <w:rFonts w:ascii="Arial" w:hAnsi="Arial" w:cs="Arial"/>
          <w:color w:val="0070C0"/>
          <w:sz w:val="24"/>
          <w:szCs w:val="24"/>
        </w:rPr>
      </w:pPr>
      <w:r w:rsidRPr="0036289A">
        <w:rPr>
          <w:rFonts w:ascii="Arial" w:hAnsi="Arial" w:cs="Arial"/>
          <w:color w:val="0070C0"/>
          <w:sz w:val="24"/>
          <w:szCs w:val="24"/>
        </w:rPr>
        <w:t>The Adults with Incapacity (Scotland) Act 2000 allows for substitute decision-makers (guardians, attorneys or interveners) to be appointed to make decisions on behalf of a person deemed incapable of making those decisions.  Decisions regarding place of residence can be included within these powers and can be enforced by an order permitting a police constable to apprehend the adult and return them to their place of residence</w:t>
      </w:r>
      <w:r w:rsidRPr="0036289A">
        <w:rPr>
          <w:rStyle w:val="FootnoteReference"/>
          <w:rFonts w:ascii="Arial" w:hAnsi="Arial" w:cs="Arial"/>
          <w:color w:val="0070C0"/>
          <w:sz w:val="24"/>
          <w:szCs w:val="24"/>
        </w:rPr>
        <w:footnoteReference w:id="10"/>
      </w:r>
      <w:r w:rsidR="00B34205" w:rsidRPr="0036289A">
        <w:rPr>
          <w:rFonts w:ascii="Arial" w:hAnsi="Arial" w:cs="Arial"/>
          <w:color w:val="0070C0"/>
          <w:sz w:val="24"/>
          <w:szCs w:val="24"/>
        </w:rPr>
        <w:t>.</w:t>
      </w:r>
    </w:p>
    <w:p w14:paraId="6DF84345" w14:textId="77777777" w:rsidR="008872F9" w:rsidRDefault="00DB48ED" w:rsidP="00110BB9">
      <w:pPr>
        <w:numPr>
          <w:ilvl w:val="1"/>
          <w:numId w:val="1"/>
        </w:numPr>
        <w:spacing w:after="200"/>
        <w:ind w:left="993" w:hanging="633"/>
        <w:jc w:val="both"/>
        <w:rPr>
          <w:sz w:val="24"/>
          <w:szCs w:val="24"/>
        </w:rPr>
      </w:pPr>
      <w:r w:rsidRPr="00015868">
        <w:rPr>
          <w:sz w:val="24"/>
          <w:szCs w:val="24"/>
        </w:rPr>
        <w:lastRenderedPageBreak/>
        <w:t xml:space="preserve">criteria to be found not criminally responsible (insanity defence, </w:t>
      </w:r>
      <w:r w:rsidRPr="00015868">
        <w:rPr>
          <w:i/>
          <w:sz w:val="24"/>
          <w:szCs w:val="24"/>
        </w:rPr>
        <w:t>inimputabilidad</w:t>
      </w:r>
      <w:r w:rsidRPr="00015868">
        <w:rPr>
          <w:sz w:val="24"/>
          <w:szCs w:val="24"/>
        </w:rPr>
        <w:t>, etc.);</w:t>
      </w:r>
      <w:r w:rsidR="001225E3" w:rsidRPr="00015868">
        <w:rPr>
          <w:sz w:val="24"/>
          <w:szCs w:val="24"/>
        </w:rPr>
        <w:t>.</w:t>
      </w:r>
    </w:p>
    <w:p w14:paraId="6DF84346" w14:textId="77777777" w:rsidR="009F6E27" w:rsidRPr="0036289A" w:rsidRDefault="009F6E27" w:rsidP="009F6E27">
      <w:pPr>
        <w:pStyle w:val="ListParagraph"/>
        <w:spacing w:before="240" w:after="240"/>
        <w:ind w:left="993"/>
        <w:jc w:val="both"/>
        <w:rPr>
          <w:rFonts w:ascii="Arial" w:hAnsi="Arial" w:cs="Arial"/>
          <w:color w:val="0070C0"/>
          <w:lang w:val="en-GB"/>
        </w:rPr>
      </w:pPr>
      <w:r w:rsidRPr="0036289A">
        <w:rPr>
          <w:rFonts w:ascii="Arial" w:hAnsi="Arial" w:cs="Arial"/>
          <w:color w:val="0070C0"/>
          <w:lang w:val="en-GB"/>
        </w:rPr>
        <w:t>The Criminal Procedure (Scotland) Act 1995</w:t>
      </w:r>
      <w:r w:rsidRPr="0036289A">
        <w:rPr>
          <w:rStyle w:val="FootnoteReference"/>
          <w:rFonts w:ascii="Arial" w:hAnsi="Arial" w:cs="Arial"/>
          <w:color w:val="0070C0"/>
          <w:lang w:val="en-GB"/>
        </w:rPr>
        <w:footnoteReference w:id="11"/>
      </w:r>
      <w:r w:rsidRPr="0036289A">
        <w:rPr>
          <w:rFonts w:ascii="Arial" w:hAnsi="Arial" w:cs="Arial"/>
          <w:color w:val="0070C0"/>
          <w:lang w:val="en-GB"/>
        </w:rPr>
        <w:t xml:space="preserve"> establishes the following</w:t>
      </w:r>
      <w:r w:rsidRPr="0036289A">
        <w:rPr>
          <w:rStyle w:val="FootnoteReference"/>
          <w:rFonts w:ascii="Arial" w:hAnsi="Arial" w:cs="Arial"/>
          <w:color w:val="0070C0"/>
          <w:lang w:val="en-GB"/>
        </w:rPr>
        <w:footnoteReference w:id="12"/>
      </w:r>
      <w:r w:rsidRPr="0036289A">
        <w:rPr>
          <w:rFonts w:ascii="Arial" w:hAnsi="Arial" w:cs="Arial"/>
          <w:color w:val="0070C0"/>
          <w:lang w:val="en-GB"/>
        </w:rPr>
        <w:t>:</w:t>
      </w:r>
    </w:p>
    <w:p w14:paraId="6DF84347" w14:textId="77777777" w:rsidR="009F6E27" w:rsidRPr="0036289A" w:rsidRDefault="009F6E27" w:rsidP="009F6E27">
      <w:pPr>
        <w:pStyle w:val="ListParagraph"/>
        <w:spacing w:before="240" w:after="240"/>
        <w:ind w:left="993"/>
        <w:jc w:val="both"/>
        <w:rPr>
          <w:rFonts w:ascii="Arial" w:hAnsi="Arial" w:cs="Arial"/>
          <w:color w:val="0070C0"/>
          <w:lang w:val="en"/>
        </w:rPr>
      </w:pPr>
    </w:p>
    <w:p w14:paraId="6DF84348" w14:textId="77777777" w:rsidR="009F6E27" w:rsidRPr="0036289A" w:rsidRDefault="009F6E27" w:rsidP="009F6E27">
      <w:pPr>
        <w:pStyle w:val="ListParagraph"/>
        <w:spacing w:before="240" w:after="240"/>
        <w:ind w:left="993"/>
        <w:jc w:val="both"/>
        <w:rPr>
          <w:rFonts w:ascii="Arial" w:hAnsi="Arial" w:cs="Arial"/>
          <w:i/>
          <w:color w:val="0070C0"/>
          <w:lang w:val="en"/>
        </w:rPr>
      </w:pPr>
      <w:r w:rsidRPr="0036289A">
        <w:rPr>
          <w:rFonts w:ascii="Arial" w:hAnsi="Arial" w:cs="Arial"/>
          <w:i/>
          <w:color w:val="0070C0"/>
          <w:lang w:val="en"/>
        </w:rPr>
        <w:t>Criminal responsibility of persons with mental disorder</w:t>
      </w:r>
    </w:p>
    <w:p w14:paraId="6DF84349" w14:textId="77777777" w:rsidR="009F6E27" w:rsidRPr="0036289A" w:rsidRDefault="009F6E27" w:rsidP="009F6E27">
      <w:pPr>
        <w:pStyle w:val="ListParagraph"/>
        <w:spacing w:before="240" w:after="240"/>
        <w:ind w:left="993"/>
        <w:jc w:val="both"/>
        <w:rPr>
          <w:rFonts w:ascii="Arial" w:hAnsi="Arial" w:cs="Arial"/>
          <w:color w:val="0070C0"/>
          <w:lang w:val="en"/>
        </w:rPr>
      </w:pPr>
      <w:r w:rsidRPr="0036289A">
        <w:rPr>
          <w:rFonts w:ascii="Arial" w:hAnsi="Arial" w:cs="Arial"/>
          <w:b/>
          <w:bCs/>
          <w:vanish/>
          <w:color w:val="0070C0"/>
          <w:lang w:val="en"/>
        </w:rPr>
        <w:t>S</w:t>
      </w:r>
    </w:p>
    <w:p w14:paraId="6DF8434A" w14:textId="77777777" w:rsidR="009F6E27" w:rsidRPr="0036289A" w:rsidRDefault="009F6E27" w:rsidP="009F6E27">
      <w:pPr>
        <w:pStyle w:val="ListParagraph"/>
        <w:spacing w:before="240" w:after="240"/>
        <w:ind w:left="993"/>
        <w:jc w:val="both"/>
        <w:rPr>
          <w:rFonts w:ascii="Arial" w:hAnsi="Arial" w:cs="Arial"/>
          <w:color w:val="0070C0"/>
          <w:lang w:val="en"/>
        </w:rPr>
      </w:pPr>
      <w:r w:rsidRPr="0036289A">
        <w:rPr>
          <w:rFonts w:ascii="Arial" w:hAnsi="Arial" w:cs="Arial"/>
          <w:color w:val="0070C0"/>
          <w:lang w:val="en"/>
        </w:rPr>
        <w:t>(1)A person is not criminally responsible for conduct constituting an offence, and is to be acquitted of the offence if the person was at the time of the conduct unable by reason of mental disorder to appreciate the nature or wrongfulness of the conduct.</w:t>
      </w:r>
    </w:p>
    <w:p w14:paraId="6DF8434B" w14:textId="77777777" w:rsidR="009F6E27" w:rsidRPr="0036289A" w:rsidRDefault="009F6E27" w:rsidP="009F6E27">
      <w:pPr>
        <w:pStyle w:val="ListParagraph"/>
        <w:spacing w:before="240" w:after="240"/>
        <w:ind w:left="993"/>
        <w:jc w:val="both"/>
        <w:rPr>
          <w:rFonts w:ascii="Arial" w:hAnsi="Arial" w:cs="Arial"/>
          <w:color w:val="0070C0"/>
          <w:lang w:val="en"/>
        </w:rPr>
      </w:pPr>
      <w:r w:rsidRPr="0036289A">
        <w:rPr>
          <w:rFonts w:ascii="Arial" w:hAnsi="Arial" w:cs="Arial"/>
          <w:color w:val="0070C0"/>
          <w:lang w:val="en"/>
        </w:rPr>
        <w:t>(2)But a person does not lack criminal responsibility for such conduct if the mental disorder in question consists only of a personality disorder which is characterised solely or principally by abnormally aggressive or seriously irresponsible conduct.</w:t>
      </w:r>
    </w:p>
    <w:p w14:paraId="6DF8434C" w14:textId="77777777" w:rsidR="009F6E27" w:rsidRPr="00015868" w:rsidRDefault="009F6E27" w:rsidP="009F6E27">
      <w:pPr>
        <w:pStyle w:val="ListParagraph"/>
        <w:spacing w:before="240" w:after="240"/>
        <w:ind w:left="993"/>
        <w:jc w:val="both"/>
      </w:pPr>
    </w:p>
    <w:p w14:paraId="6DF8434D" w14:textId="77777777" w:rsidR="00DB48ED" w:rsidRPr="00903AED" w:rsidRDefault="00DB48ED" w:rsidP="00110BB9">
      <w:pPr>
        <w:pStyle w:val="ListParagraph"/>
        <w:numPr>
          <w:ilvl w:val="1"/>
          <w:numId w:val="1"/>
        </w:numPr>
        <w:spacing w:before="240" w:after="240"/>
        <w:ind w:left="993" w:hanging="633"/>
        <w:contextualSpacing w:val="0"/>
        <w:jc w:val="both"/>
      </w:pPr>
      <w:r w:rsidRPr="00015868">
        <w:rPr>
          <w:lang w:val="en-GB"/>
        </w:rPr>
        <w:t>unfitness to stand trial or unfitness to plead;</w:t>
      </w:r>
    </w:p>
    <w:p w14:paraId="6DF8434E" w14:textId="77777777" w:rsidR="00903AED" w:rsidRPr="000B3266" w:rsidRDefault="00903AED" w:rsidP="00903AED">
      <w:pPr>
        <w:pStyle w:val="ListParagraph"/>
        <w:spacing w:before="240" w:after="240"/>
        <w:ind w:left="993"/>
        <w:contextualSpacing w:val="0"/>
        <w:jc w:val="both"/>
        <w:rPr>
          <w:rFonts w:ascii="Arial" w:hAnsi="Arial" w:cs="Arial"/>
          <w:color w:val="0070C0"/>
          <w:lang w:val="en-GB"/>
        </w:rPr>
      </w:pPr>
      <w:r w:rsidRPr="000B3266">
        <w:rPr>
          <w:rFonts w:ascii="Arial" w:hAnsi="Arial" w:cs="Arial"/>
          <w:color w:val="0070C0"/>
          <w:lang w:val="en-GB"/>
        </w:rPr>
        <w:t>Section 53F of the Criminal Procedure (Scotland) Act 1995</w:t>
      </w:r>
      <w:r w:rsidRPr="000B3266">
        <w:rPr>
          <w:rStyle w:val="FootnoteReference"/>
          <w:rFonts w:ascii="Arial" w:hAnsi="Arial" w:cs="Arial"/>
          <w:color w:val="0070C0"/>
          <w:lang w:val="en-GB"/>
        </w:rPr>
        <w:footnoteReference w:id="13"/>
      </w:r>
      <w:r w:rsidRPr="000B3266">
        <w:rPr>
          <w:rFonts w:ascii="Arial" w:hAnsi="Arial" w:cs="Arial"/>
          <w:color w:val="0070C0"/>
          <w:lang w:val="en-GB"/>
        </w:rPr>
        <w:t xml:space="preserve"> makes provision for when someone is unfit to stand trial. </w:t>
      </w:r>
    </w:p>
    <w:p w14:paraId="6DF8434F" w14:textId="77777777" w:rsidR="00903AED" w:rsidRPr="000B3266" w:rsidRDefault="00903AED" w:rsidP="00903AED">
      <w:pPr>
        <w:pStyle w:val="ListParagraph"/>
        <w:spacing w:before="240" w:after="240"/>
        <w:ind w:left="993"/>
        <w:contextualSpacing w:val="0"/>
        <w:jc w:val="both"/>
        <w:rPr>
          <w:rFonts w:ascii="Arial" w:hAnsi="Arial" w:cs="Arial"/>
          <w:color w:val="0070C0"/>
          <w:lang w:val="en-GB"/>
        </w:rPr>
      </w:pPr>
      <w:r w:rsidRPr="000B3266">
        <w:rPr>
          <w:rFonts w:ascii="Arial" w:hAnsi="Arial" w:cs="Arial"/>
          <w:color w:val="0070C0"/>
          <w:lang w:val="en-GB"/>
        </w:rPr>
        <w:t>(1) A person is unfit for trial if it is established on the balance of probabilities that the person is incapable, by reason of a mental or physical condition, of participating effectively in a trial</w:t>
      </w:r>
    </w:p>
    <w:p w14:paraId="6DF84350" w14:textId="77777777" w:rsidR="00903AED" w:rsidRPr="000B3266" w:rsidRDefault="00903AED" w:rsidP="00903AED">
      <w:pPr>
        <w:pStyle w:val="ListParagraph"/>
        <w:spacing w:before="240" w:after="240"/>
        <w:ind w:left="993"/>
        <w:contextualSpacing w:val="0"/>
        <w:jc w:val="both"/>
        <w:rPr>
          <w:rFonts w:ascii="Arial" w:hAnsi="Arial" w:cs="Arial"/>
          <w:color w:val="0070C0"/>
          <w:lang w:val="en-GB"/>
        </w:rPr>
      </w:pPr>
      <w:r w:rsidRPr="000B3266">
        <w:rPr>
          <w:rFonts w:ascii="Arial" w:hAnsi="Arial" w:cs="Arial"/>
          <w:color w:val="0070C0"/>
          <w:lang w:val="en-GB"/>
        </w:rPr>
        <w:t xml:space="preserve">(2) In determining whether a person is unfit for trial the court is to have regard to – </w:t>
      </w:r>
    </w:p>
    <w:p w14:paraId="6DF84351" w14:textId="77777777" w:rsidR="00903AED" w:rsidRPr="000B3266" w:rsidRDefault="00903AED" w:rsidP="00903AED">
      <w:pPr>
        <w:pStyle w:val="ListParagraph"/>
        <w:spacing w:before="240" w:after="240"/>
        <w:ind w:left="993"/>
        <w:contextualSpacing w:val="0"/>
        <w:jc w:val="both"/>
        <w:rPr>
          <w:rFonts w:ascii="Arial" w:hAnsi="Arial" w:cs="Arial"/>
          <w:color w:val="0070C0"/>
          <w:lang w:val="en-GB"/>
        </w:rPr>
      </w:pPr>
      <w:r w:rsidRPr="000B3266">
        <w:rPr>
          <w:rFonts w:ascii="Arial" w:hAnsi="Arial" w:cs="Arial"/>
          <w:color w:val="0070C0"/>
          <w:lang w:val="en-GB"/>
        </w:rPr>
        <w:t xml:space="preserve">(a) </w:t>
      </w:r>
      <w:r w:rsidR="007F2822" w:rsidRPr="000B3266">
        <w:rPr>
          <w:rFonts w:ascii="Arial" w:hAnsi="Arial" w:cs="Arial"/>
          <w:color w:val="0070C0"/>
          <w:lang w:val="en-GB"/>
        </w:rPr>
        <w:t>T</w:t>
      </w:r>
      <w:r w:rsidRPr="000B3266">
        <w:rPr>
          <w:rFonts w:ascii="Arial" w:hAnsi="Arial" w:cs="Arial"/>
          <w:color w:val="0070C0"/>
          <w:lang w:val="en-GB"/>
        </w:rPr>
        <w:t>he ability of the person to-</w:t>
      </w:r>
    </w:p>
    <w:p w14:paraId="6DF84352" w14:textId="77777777" w:rsidR="00903AED" w:rsidRPr="000B3266" w:rsidRDefault="00903AED" w:rsidP="007F2822">
      <w:pPr>
        <w:pStyle w:val="ListParagraph"/>
        <w:spacing w:before="240" w:after="240"/>
        <w:ind w:left="1418"/>
        <w:contextualSpacing w:val="0"/>
        <w:jc w:val="both"/>
        <w:rPr>
          <w:rFonts w:ascii="Arial" w:hAnsi="Arial" w:cs="Arial"/>
          <w:color w:val="0070C0"/>
          <w:lang w:val="en-GB"/>
        </w:rPr>
      </w:pPr>
      <w:r w:rsidRPr="000B3266">
        <w:rPr>
          <w:rFonts w:ascii="Arial" w:hAnsi="Arial" w:cs="Arial"/>
          <w:color w:val="0070C0"/>
          <w:lang w:val="en-GB"/>
        </w:rPr>
        <w:tab/>
        <w:t xml:space="preserve">(i) </w:t>
      </w:r>
      <w:r w:rsidR="007F2822" w:rsidRPr="000B3266">
        <w:rPr>
          <w:rFonts w:ascii="Arial" w:hAnsi="Arial" w:cs="Arial"/>
          <w:color w:val="0070C0"/>
          <w:lang w:val="en-GB"/>
        </w:rPr>
        <w:t xml:space="preserve"> U</w:t>
      </w:r>
      <w:r w:rsidRPr="000B3266">
        <w:rPr>
          <w:rFonts w:ascii="Arial" w:hAnsi="Arial" w:cs="Arial"/>
          <w:color w:val="0070C0"/>
          <w:lang w:val="en-GB"/>
        </w:rPr>
        <w:t>nderstand the nature of the charge</w:t>
      </w:r>
    </w:p>
    <w:p w14:paraId="6DF84353" w14:textId="77777777" w:rsidR="00903AED" w:rsidRPr="000B3266" w:rsidRDefault="00903AED" w:rsidP="007F2822">
      <w:pPr>
        <w:pStyle w:val="ListParagraph"/>
        <w:spacing w:before="240" w:after="240"/>
        <w:ind w:left="1418"/>
        <w:contextualSpacing w:val="0"/>
        <w:jc w:val="both"/>
        <w:rPr>
          <w:rFonts w:ascii="Arial" w:hAnsi="Arial" w:cs="Arial"/>
          <w:color w:val="0070C0"/>
          <w:lang w:val="en-GB"/>
        </w:rPr>
      </w:pPr>
      <w:r w:rsidRPr="000B3266">
        <w:rPr>
          <w:rFonts w:ascii="Arial" w:hAnsi="Arial" w:cs="Arial"/>
          <w:color w:val="0070C0"/>
          <w:lang w:val="en-GB"/>
        </w:rPr>
        <w:t xml:space="preserve">(ii) Understand the requirement to tender a plea to the charge and the </w:t>
      </w:r>
      <w:r w:rsidR="007F2822" w:rsidRPr="000B3266">
        <w:rPr>
          <w:rFonts w:ascii="Arial" w:hAnsi="Arial" w:cs="Arial"/>
          <w:color w:val="0070C0"/>
          <w:lang w:val="en-GB"/>
        </w:rPr>
        <w:t xml:space="preserve">  </w:t>
      </w:r>
      <w:r w:rsidRPr="000B3266">
        <w:rPr>
          <w:rFonts w:ascii="Arial" w:hAnsi="Arial" w:cs="Arial"/>
          <w:color w:val="0070C0"/>
          <w:lang w:val="en-GB"/>
        </w:rPr>
        <w:t>effect of such a plea</w:t>
      </w:r>
    </w:p>
    <w:p w14:paraId="6DF84354" w14:textId="77777777" w:rsidR="00903AED" w:rsidRPr="000B3266" w:rsidRDefault="00903AED" w:rsidP="007F2822">
      <w:pPr>
        <w:pStyle w:val="ListParagraph"/>
        <w:spacing w:before="240" w:after="240"/>
        <w:ind w:left="1418"/>
        <w:contextualSpacing w:val="0"/>
        <w:jc w:val="both"/>
        <w:rPr>
          <w:rFonts w:ascii="Arial" w:hAnsi="Arial" w:cs="Arial"/>
          <w:color w:val="0070C0"/>
        </w:rPr>
      </w:pPr>
      <w:r w:rsidRPr="000B3266">
        <w:rPr>
          <w:rFonts w:ascii="Arial" w:hAnsi="Arial" w:cs="Arial"/>
          <w:color w:val="0070C0"/>
        </w:rPr>
        <w:t>(iii) Understand the purpose of, and follow the course of, the trial,</w:t>
      </w:r>
    </w:p>
    <w:p w14:paraId="6DF84355" w14:textId="77777777" w:rsidR="00903AED" w:rsidRPr="000B3266" w:rsidRDefault="00903AED" w:rsidP="007F2822">
      <w:pPr>
        <w:pStyle w:val="ListParagraph"/>
        <w:spacing w:before="240" w:after="240"/>
        <w:ind w:left="1418"/>
        <w:contextualSpacing w:val="0"/>
        <w:jc w:val="both"/>
        <w:rPr>
          <w:rFonts w:ascii="Arial" w:hAnsi="Arial" w:cs="Arial"/>
          <w:color w:val="0070C0"/>
        </w:rPr>
      </w:pPr>
      <w:r w:rsidRPr="000B3266">
        <w:rPr>
          <w:rFonts w:ascii="Arial" w:hAnsi="Arial" w:cs="Arial"/>
          <w:color w:val="0070C0"/>
        </w:rPr>
        <w:t>(iv) Understand the evidence that may be given against the person,</w:t>
      </w:r>
    </w:p>
    <w:p w14:paraId="6DF84356" w14:textId="77777777" w:rsidR="00903AED" w:rsidRPr="000B3266" w:rsidRDefault="007F2822" w:rsidP="007F2822">
      <w:pPr>
        <w:pStyle w:val="ListParagraph"/>
        <w:spacing w:before="240" w:after="240"/>
        <w:ind w:left="1418"/>
        <w:contextualSpacing w:val="0"/>
        <w:jc w:val="both"/>
        <w:rPr>
          <w:rFonts w:ascii="Arial" w:hAnsi="Arial" w:cs="Arial"/>
          <w:color w:val="0070C0"/>
        </w:rPr>
      </w:pPr>
      <w:r w:rsidRPr="000B3266">
        <w:rPr>
          <w:rFonts w:ascii="Arial" w:hAnsi="Arial" w:cs="Arial"/>
          <w:color w:val="0070C0"/>
        </w:rPr>
        <w:t xml:space="preserve">(v) </w:t>
      </w:r>
      <w:r w:rsidR="00903AED" w:rsidRPr="000B3266">
        <w:rPr>
          <w:rFonts w:ascii="Arial" w:hAnsi="Arial" w:cs="Arial"/>
          <w:color w:val="0070C0"/>
        </w:rPr>
        <w:t>Instruct and otherwise community with the p</w:t>
      </w:r>
      <w:r w:rsidRPr="000B3266">
        <w:rPr>
          <w:rFonts w:ascii="Arial" w:hAnsi="Arial" w:cs="Arial"/>
          <w:color w:val="0070C0"/>
        </w:rPr>
        <w:t>e</w:t>
      </w:r>
      <w:r w:rsidR="00903AED" w:rsidRPr="000B3266">
        <w:rPr>
          <w:rFonts w:ascii="Arial" w:hAnsi="Arial" w:cs="Arial"/>
          <w:color w:val="0070C0"/>
        </w:rPr>
        <w:t>rson’s legal representative</w:t>
      </w:r>
      <w:r w:rsidRPr="000B3266">
        <w:rPr>
          <w:rFonts w:ascii="Arial" w:hAnsi="Arial" w:cs="Arial"/>
          <w:color w:val="0070C0"/>
        </w:rPr>
        <w:t>, and</w:t>
      </w:r>
    </w:p>
    <w:p w14:paraId="6DF84357" w14:textId="77777777" w:rsidR="007F2822" w:rsidRPr="000B3266" w:rsidRDefault="007F2822" w:rsidP="00903AED">
      <w:pPr>
        <w:pStyle w:val="ListParagraph"/>
        <w:spacing w:before="240" w:after="240"/>
        <w:ind w:left="993"/>
        <w:contextualSpacing w:val="0"/>
        <w:jc w:val="both"/>
        <w:rPr>
          <w:rFonts w:ascii="Arial" w:hAnsi="Arial" w:cs="Arial"/>
          <w:color w:val="0070C0"/>
        </w:rPr>
      </w:pPr>
      <w:r w:rsidRPr="000B3266">
        <w:rPr>
          <w:rFonts w:ascii="Arial" w:hAnsi="Arial" w:cs="Arial"/>
          <w:color w:val="0070C0"/>
        </w:rPr>
        <w:t>(b) Any other factor which the court considers relevant.</w:t>
      </w:r>
    </w:p>
    <w:p w14:paraId="6DF84358" w14:textId="77777777" w:rsidR="00DB48ED" w:rsidRPr="009F6E27" w:rsidRDefault="00DB48ED" w:rsidP="00110BB9">
      <w:pPr>
        <w:pStyle w:val="ListParagraph"/>
        <w:numPr>
          <w:ilvl w:val="1"/>
          <w:numId w:val="1"/>
        </w:numPr>
        <w:spacing w:before="240" w:after="240"/>
        <w:ind w:left="993" w:hanging="633"/>
        <w:jc w:val="both"/>
      </w:pPr>
      <w:r w:rsidRPr="00015868">
        <w:rPr>
          <w:lang w:val="en-GB"/>
        </w:rPr>
        <w:t>security measures</w:t>
      </w:r>
      <w:r w:rsidRPr="00015868">
        <w:t xml:space="preserve"> and </w:t>
      </w:r>
      <w:r w:rsidRPr="00015868">
        <w:rPr>
          <w:lang w:val="en-GB"/>
        </w:rPr>
        <w:t>diversion programmes</w:t>
      </w:r>
    </w:p>
    <w:p w14:paraId="6DF84359" w14:textId="77777777" w:rsidR="009F6E27" w:rsidRDefault="009F6E27" w:rsidP="009F6E27">
      <w:pPr>
        <w:pStyle w:val="ListParagraph"/>
        <w:spacing w:before="240" w:after="240"/>
        <w:ind w:left="993"/>
        <w:jc w:val="both"/>
        <w:rPr>
          <w:lang w:val="en-GB"/>
        </w:rPr>
      </w:pPr>
    </w:p>
    <w:p w14:paraId="6DF8435A" w14:textId="77777777" w:rsidR="009F6E27" w:rsidRPr="0036289A" w:rsidRDefault="009F6E27" w:rsidP="009F6E27">
      <w:pPr>
        <w:pStyle w:val="ListParagraph"/>
        <w:spacing w:before="240" w:after="240"/>
        <w:ind w:left="993"/>
        <w:jc w:val="both"/>
        <w:rPr>
          <w:rFonts w:ascii="Arial" w:hAnsi="Arial" w:cs="Arial"/>
          <w:color w:val="0070C0"/>
        </w:rPr>
      </w:pPr>
      <w:r w:rsidRPr="0036289A">
        <w:rPr>
          <w:rFonts w:ascii="Arial" w:hAnsi="Arial" w:cs="Arial"/>
          <w:color w:val="0070C0"/>
        </w:rPr>
        <w:lastRenderedPageBreak/>
        <w:t xml:space="preserve">The </w:t>
      </w:r>
      <w:r w:rsidRPr="0036289A">
        <w:rPr>
          <w:rFonts w:ascii="Arial" w:hAnsi="Arial" w:cs="Arial"/>
          <w:color w:val="0070C0"/>
          <w:lang w:val="en-GB"/>
        </w:rPr>
        <w:t>Criminal Procedure (Scotland) Act 1995 makes provision for a number of alternative disposals in relation to “mentally disordered offenders”:</w:t>
      </w:r>
    </w:p>
    <w:p w14:paraId="6DF8435B" w14:textId="77777777" w:rsidR="009F6E27" w:rsidRPr="0036289A" w:rsidRDefault="009F6E27" w:rsidP="009F6E27">
      <w:pPr>
        <w:pStyle w:val="ListParagraph"/>
        <w:spacing w:before="240" w:after="240"/>
        <w:ind w:left="993"/>
        <w:jc w:val="both"/>
        <w:rPr>
          <w:rFonts w:ascii="Arial" w:hAnsi="Arial" w:cs="Arial"/>
          <w:color w:val="0070C0"/>
        </w:rPr>
      </w:pPr>
    </w:p>
    <w:p w14:paraId="6DF8435C" w14:textId="77777777" w:rsidR="009F6E27" w:rsidRPr="0036289A" w:rsidRDefault="009F6E27" w:rsidP="00110BB9">
      <w:pPr>
        <w:pStyle w:val="ListParagraph"/>
        <w:numPr>
          <w:ilvl w:val="0"/>
          <w:numId w:val="6"/>
        </w:numPr>
        <w:spacing w:before="240" w:after="240"/>
        <w:jc w:val="both"/>
        <w:rPr>
          <w:rFonts w:ascii="Arial" w:hAnsi="Arial" w:cs="Arial"/>
          <w:color w:val="0070C0"/>
        </w:rPr>
      </w:pPr>
      <w:r w:rsidRPr="0036289A">
        <w:rPr>
          <w:rFonts w:ascii="Arial" w:hAnsi="Arial" w:cs="Arial"/>
          <w:color w:val="0070C0"/>
        </w:rPr>
        <w:t xml:space="preserve">Temporary Compulsion Order - A Temporary Compulsion Order (Section 53B) is used when the Court decides that </w:t>
      </w:r>
      <w:r w:rsidR="00B34205" w:rsidRPr="0036289A">
        <w:rPr>
          <w:rFonts w:ascii="Arial" w:hAnsi="Arial" w:cs="Arial"/>
          <w:color w:val="0070C0"/>
        </w:rPr>
        <w:t xml:space="preserve">a </w:t>
      </w:r>
      <w:r w:rsidRPr="0036289A">
        <w:rPr>
          <w:rFonts w:ascii="Arial" w:hAnsi="Arial" w:cs="Arial"/>
          <w:color w:val="0070C0"/>
        </w:rPr>
        <w:t xml:space="preserve">trial cannot start (or must stop) because of </w:t>
      </w:r>
      <w:r w:rsidR="00B34205" w:rsidRPr="0036289A">
        <w:rPr>
          <w:rFonts w:ascii="Arial" w:hAnsi="Arial" w:cs="Arial"/>
          <w:color w:val="0070C0"/>
        </w:rPr>
        <w:t>the accused’s</w:t>
      </w:r>
      <w:r w:rsidRPr="0036289A">
        <w:rPr>
          <w:rFonts w:ascii="Arial" w:hAnsi="Arial" w:cs="Arial"/>
          <w:color w:val="0070C0"/>
        </w:rPr>
        <w:t xml:space="preserve"> mental disorder. The court orders </w:t>
      </w:r>
      <w:r w:rsidR="00B34205" w:rsidRPr="0036289A">
        <w:rPr>
          <w:rFonts w:ascii="Arial" w:hAnsi="Arial" w:cs="Arial"/>
          <w:color w:val="0070C0"/>
        </w:rPr>
        <w:t>them</w:t>
      </w:r>
      <w:r w:rsidRPr="0036289A">
        <w:rPr>
          <w:rFonts w:ascii="Arial" w:hAnsi="Arial" w:cs="Arial"/>
          <w:color w:val="0070C0"/>
        </w:rPr>
        <w:t xml:space="preserve"> to stay in hospital for treatment. </w:t>
      </w:r>
    </w:p>
    <w:p w14:paraId="6DF8435D" w14:textId="77777777" w:rsidR="009F6E27" w:rsidRPr="0036289A" w:rsidRDefault="009F6E27" w:rsidP="00110BB9">
      <w:pPr>
        <w:pStyle w:val="ListParagraph"/>
        <w:numPr>
          <w:ilvl w:val="0"/>
          <w:numId w:val="6"/>
        </w:numPr>
        <w:spacing w:before="240" w:after="240"/>
        <w:jc w:val="both"/>
        <w:rPr>
          <w:rFonts w:ascii="Arial" w:hAnsi="Arial" w:cs="Arial"/>
          <w:color w:val="0070C0"/>
        </w:rPr>
      </w:pPr>
      <w:r w:rsidRPr="0036289A">
        <w:rPr>
          <w:rFonts w:ascii="Arial" w:hAnsi="Arial" w:cs="Arial"/>
          <w:color w:val="0070C0"/>
        </w:rPr>
        <w:t xml:space="preserve">Compulsion Order - A Compulsion Order (Section 57) is used when </w:t>
      </w:r>
      <w:r w:rsidR="00B34205" w:rsidRPr="0036289A">
        <w:rPr>
          <w:rFonts w:ascii="Arial" w:hAnsi="Arial" w:cs="Arial"/>
          <w:color w:val="0070C0"/>
        </w:rPr>
        <w:t>an accused is</w:t>
      </w:r>
      <w:r w:rsidRPr="0036289A">
        <w:rPr>
          <w:rFonts w:ascii="Arial" w:hAnsi="Arial" w:cs="Arial"/>
          <w:color w:val="0070C0"/>
        </w:rPr>
        <w:t xml:space="preserve"> convicted of an offence and the punishment is prison. Th</w:t>
      </w:r>
      <w:r w:rsidR="00B34205" w:rsidRPr="0036289A">
        <w:rPr>
          <w:rFonts w:ascii="Arial" w:hAnsi="Arial" w:cs="Arial"/>
          <w:color w:val="0070C0"/>
        </w:rPr>
        <w:t>e court can decide not to send them</w:t>
      </w:r>
      <w:r w:rsidRPr="0036289A">
        <w:rPr>
          <w:rFonts w:ascii="Arial" w:hAnsi="Arial" w:cs="Arial"/>
          <w:color w:val="0070C0"/>
        </w:rPr>
        <w:t xml:space="preserve"> to prison</w:t>
      </w:r>
      <w:r w:rsidR="00B34205" w:rsidRPr="0036289A">
        <w:rPr>
          <w:rFonts w:ascii="Arial" w:hAnsi="Arial" w:cs="Arial"/>
          <w:color w:val="0070C0"/>
        </w:rPr>
        <w:t xml:space="preserve"> and, instead, order that the individual</w:t>
      </w:r>
      <w:r w:rsidRPr="0036289A">
        <w:rPr>
          <w:rFonts w:ascii="Arial" w:hAnsi="Arial" w:cs="Arial"/>
          <w:color w:val="0070C0"/>
        </w:rPr>
        <w:t xml:space="preserve"> must stay in hospital for treatment or have treatment in the community. </w:t>
      </w:r>
    </w:p>
    <w:p w14:paraId="6DF8435E" w14:textId="77777777" w:rsidR="009F6E27" w:rsidRPr="0036289A" w:rsidRDefault="009F6E27" w:rsidP="00110BB9">
      <w:pPr>
        <w:pStyle w:val="ListParagraph"/>
        <w:numPr>
          <w:ilvl w:val="0"/>
          <w:numId w:val="6"/>
        </w:numPr>
        <w:spacing w:before="240" w:after="240"/>
        <w:jc w:val="both"/>
        <w:rPr>
          <w:rFonts w:ascii="Arial" w:hAnsi="Arial" w:cs="Arial"/>
          <w:color w:val="0070C0"/>
        </w:rPr>
      </w:pPr>
      <w:r w:rsidRPr="0036289A">
        <w:rPr>
          <w:rFonts w:ascii="Arial" w:hAnsi="Arial" w:cs="Arial"/>
          <w:color w:val="0070C0"/>
        </w:rPr>
        <w:t xml:space="preserve">Restriction Order </w:t>
      </w:r>
      <w:r w:rsidR="00B34205" w:rsidRPr="0036289A">
        <w:rPr>
          <w:rFonts w:ascii="Arial" w:hAnsi="Arial" w:cs="Arial"/>
          <w:color w:val="0070C0"/>
        </w:rPr>
        <w:t xml:space="preserve"> - </w:t>
      </w:r>
      <w:r w:rsidRPr="0036289A">
        <w:rPr>
          <w:rFonts w:ascii="Arial" w:hAnsi="Arial" w:cs="Arial"/>
          <w:color w:val="0070C0"/>
        </w:rPr>
        <w:t xml:space="preserve">A restriction order is made by the court under Section 59 of the Criminal Procedure (Scotland) Act 1995 at the time of disposal and is added to a compulsion order. It is made by the court at the time of sentencing where the court considers that the person presents a serious risk to the public. </w:t>
      </w:r>
    </w:p>
    <w:p w14:paraId="6DF8435F" w14:textId="77777777" w:rsidR="009F6E27" w:rsidRPr="0036289A" w:rsidRDefault="009F6E27" w:rsidP="00110BB9">
      <w:pPr>
        <w:pStyle w:val="ListParagraph"/>
        <w:numPr>
          <w:ilvl w:val="0"/>
          <w:numId w:val="6"/>
        </w:numPr>
        <w:spacing w:before="240" w:after="240"/>
        <w:jc w:val="both"/>
        <w:rPr>
          <w:rFonts w:ascii="Arial" w:hAnsi="Arial" w:cs="Arial"/>
          <w:color w:val="0070C0"/>
        </w:rPr>
      </w:pPr>
      <w:r w:rsidRPr="0036289A">
        <w:rPr>
          <w:rFonts w:ascii="Arial" w:hAnsi="Arial" w:cs="Arial"/>
          <w:color w:val="0070C0"/>
        </w:rPr>
        <w:t xml:space="preserve">Hospital Direction </w:t>
      </w:r>
      <w:r w:rsidR="00B34205" w:rsidRPr="0036289A">
        <w:rPr>
          <w:rFonts w:ascii="Arial" w:hAnsi="Arial" w:cs="Arial"/>
          <w:color w:val="0070C0"/>
        </w:rPr>
        <w:t xml:space="preserve"> - </w:t>
      </w:r>
      <w:r w:rsidRPr="0036289A">
        <w:rPr>
          <w:rFonts w:ascii="Arial" w:hAnsi="Arial" w:cs="Arial"/>
          <w:color w:val="0070C0"/>
        </w:rPr>
        <w:t>A Hospital Direction (Section 59) would be used alongside a prison s</w:t>
      </w:r>
      <w:r w:rsidR="00B34205" w:rsidRPr="0036289A">
        <w:rPr>
          <w:rFonts w:ascii="Arial" w:hAnsi="Arial" w:cs="Arial"/>
          <w:color w:val="0070C0"/>
        </w:rPr>
        <w:t>entence. The court can decide an individual</w:t>
      </w:r>
      <w:r w:rsidRPr="0036289A">
        <w:rPr>
          <w:rFonts w:ascii="Arial" w:hAnsi="Arial" w:cs="Arial"/>
          <w:color w:val="0070C0"/>
        </w:rPr>
        <w:t xml:space="preserve"> need</w:t>
      </w:r>
      <w:r w:rsidR="00B34205" w:rsidRPr="0036289A">
        <w:rPr>
          <w:rFonts w:ascii="Arial" w:hAnsi="Arial" w:cs="Arial"/>
          <w:color w:val="0070C0"/>
        </w:rPr>
        <w:t>s</w:t>
      </w:r>
      <w:r w:rsidRPr="0036289A">
        <w:rPr>
          <w:rFonts w:ascii="Arial" w:hAnsi="Arial" w:cs="Arial"/>
          <w:color w:val="0070C0"/>
        </w:rPr>
        <w:t xml:space="preserve"> treatment for mental disorder. </w:t>
      </w:r>
    </w:p>
    <w:p w14:paraId="6DF84360" w14:textId="77777777" w:rsidR="009F6E27" w:rsidRPr="00B34205" w:rsidRDefault="009F6E27" w:rsidP="009F6E27">
      <w:pPr>
        <w:pStyle w:val="ListParagraph"/>
        <w:spacing w:before="240" w:after="240"/>
        <w:ind w:left="993"/>
        <w:jc w:val="both"/>
        <w:rPr>
          <w:rFonts w:ascii="Arial" w:hAnsi="Arial" w:cs="Arial"/>
        </w:rPr>
      </w:pPr>
    </w:p>
    <w:p w14:paraId="6DF84361" w14:textId="77777777" w:rsidR="00396591" w:rsidRPr="00015868" w:rsidRDefault="00A653BE" w:rsidP="00110BB9">
      <w:pPr>
        <w:numPr>
          <w:ilvl w:val="0"/>
          <w:numId w:val="1"/>
        </w:numPr>
        <w:spacing w:after="200"/>
        <w:jc w:val="both"/>
        <w:rPr>
          <w:sz w:val="24"/>
          <w:szCs w:val="24"/>
        </w:rPr>
      </w:pPr>
      <w:r w:rsidRPr="00015868">
        <w:rPr>
          <w:sz w:val="24"/>
          <w:szCs w:val="24"/>
        </w:rPr>
        <w:t xml:space="preserve">Please provide </w:t>
      </w:r>
      <w:r w:rsidR="00F73634" w:rsidRPr="00015868">
        <w:rPr>
          <w:sz w:val="24"/>
          <w:szCs w:val="24"/>
        </w:rPr>
        <w:t>the most recently available</w:t>
      </w:r>
      <w:r w:rsidR="00062846" w:rsidRPr="00015868">
        <w:rPr>
          <w:sz w:val="24"/>
          <w:szCs w:val="24"/>
        </w:rPr>
        <w:t xml:space="preserve"> data</w:t>
      </w:r>
      <w:r w:rsidR="00E53277" w:rsidRPr="00015868">
        <w:rPr>
          <w:sz w:val="24"/>
          <w:szCs w:val="24"/>
        </w:rPr>
        <w:t>, disaggregated by sex and age if possible, on the number of</w:t>
      </w:r>
      <w:r w:rsidR="00062846" w:rsidRPr="00015868">
        <w:rPr>
          <w:sz w:val="24"/>
          <w:szCs w:val="24"/>
        </w:rPr>
        <w:t>:</w:t>
      </w:r>
      <w:r w:rsidR="00396591" w:rsidRPr="00015868">
        <w:rPr>
          <w:sz w:val="24"/>
          <w:szCs w:val="24"/>
        </w:rPr>
        <w:t xml:space="preserve"> </w:t>
      </w:r>
    </w:p>
    <w:p w14:paraId="6DF84362" w14:textId="77777777" w:rsidR="008100CE" w:rsidRDefault="008100CE" w:rsidP="00110BB9">
      <w:pPr>
        <w:numPr>
          <w:ilvl w:val="1"/>
          <w:numId w:val="1"/>
        </w:numPr>
        <w:spacing w:after="200"/>
        <w:ind w:left="993" w:hanging="633"/>
        <w:jc w:val="both"/>
        <w:rPr>
          <w:sz w:val="24"/>
          <w:szCs w:val="24"/>
        </w:rPr>
      </w:pPr>
      <w:r w:rsidRPr="00015868">
        <w:rPr>
          <w:sz w:val="24"/>
          <w:szCs w:val="24"/>
        </w:rPr>
        <w:t xml:space="preserve">persons under guardianship; </w:t>
      </w:r>
    </w:p>
    <w:p w14:paraId="6DF84363" w14:textId="77777777" w:rsidR="0005688D" w:rsidRPr="0036289A" w:rsidRDefault="0005688D" w:rsidP="0005688D">
      <w:pPr>
        <w:spacing w:after="200"/>
        <w:ind w:left="993"/>
        <w:jc w:val="both"/>
        <w:rPr>
          <w:rFonts w:ascii="Arial" w:hAnsi="Arial" w:cs="Arial"/>
          <w:color w:val="0070C0"/>
          <w:sz w:val="24"/>
          <w:szCs w:val="24"/>
        </w:rPr>
      </w:pPr>
      <w:r w:rsidRPr="0036289A">
        <w:rPr>
          <w:rFonts w:ascii="Arial" w:hAnsi="Arial" w:cs="Arial"/>
          <w:color w:val="0070C0"/>
          <w:sz w:val="24"/>
          <w:szCs w:val="24"/>
        </w:rPr>
        <w:t>In the period 2015-16</w:t>
      </w:r>
      <w:r w:rsidR="00110BB9" w:rsidRPr="0036289A">
        <w:rPr>
          <w:rStyle w:val="FootnoteReference"/>
          <w:rFonts w:ascii="Arial" w:hAnsi="Arial"/>
          <w:color w:val="0070C0"/>
          <w:sz w:val="24"/>
          <w:szCs w:val="24"/>
        </w:rPr>
        <w:footnoteReference w:id="14"/>
      </w:r>
      <w:r w:rsidRPr="0036289A">
        <w:rPr>
          <w:rFonts w:ascii="Arial" w:hAnsi="Arial" w:cs="Arial"/>
          <w:color w:val="0070C0"/>
          <w:sz w:val="24"/>
          <w:szCs w:val="24"/>
        </w:rPr>
        <w:t xml:space="preserve"> </w:t>
      </w:r>
    </w:p>
    <w:p w14:paraId="6DF84364" w14:textId="77777777" w:rsidR="0005688D" w:rsidRPr="0036289A" w:rsidRDefault="0005688D" w:rsidP="00110BB9">
      <w:pPr>
        <w:pStyle w:val="ListParagraph"/>
        <w:numPr>
          <w:ilvl w:val="0"/>
          <w:numId w:val="8"/>
        </w:numPr>
        <w:spacing w:after="200"/>
        <w:jc w:val="both"/>
        <w:rPr>
          <w:rFonts w:ascii="Arial" w:hAnsi="Arial" w:cs="Arial"/>
          <w:color w:val="0070C0"/>
        </w:rPr>
      </w:pPr>
      <w:r w:rsidRPr="0036289A">
        <w:rPr>
          <w:rFonts w:ascii="Arial" w:hAnsi="Arial" w:cs="Arial"/>
          <w:color w:val="0070C0"/>
        </w:rPr>
        <w:t>Total persons under guardianship = 10,735</w:t>
      </w:r>
    </w:p>
    <w:p w14:paraId="6DF84365" w14:textId="77777777" w:rsidR="0005688D" w:rsidRPr="0036289A" w:rsidRDefault="0005688D" w:rsidP="00110BB9">
      <w:pPr>
        <w:pStyle w:val="ListParagraph"/>
        <w:numPr>
          <w:ilvl w:val="0"/>
          <w:numId w:val="8"/>
        </w:numPr>
        <w:spacing w:after="200"/>
        <w:jc w:val="both"/>
        <w:rPr>
          <w:rFonts w:ascii="Arial" w:hAnsi="Arial" w:cs="Arial"/>
          <w:color w:val="0070C0"/>
        </w:rPr>
      </w:pPr>
      <w:r w:rsidRPr="0036289A">
        <w:rPr>
          <w:rFonts w:ascii="Arial" w:hAnsi="Arial" w:cs="Arial"/>
          <w:color w:val="0070C0"/>
        </w:rPr>
        <w:t>Total guardianship orders granted in 2015-16, disaggregated by age</w:t>
      </w:r>
    </w:p>
    <w:p w14:paraId="6DF84366" w14:textId="77777777" w:rsidR="0005688D" w:rsidRPr="0036289A" w:rsidRDefault="0005688D" w:rsidP="00110BB9">
      <w:pPr>
        <w:pStyle w:val="ListParagraph"/>
        <w:numPr>
          <w:ilvl w:val="1"/>
          <w:numId w:val="8"/>
        </w:numPr>
        <w:spacing w:after="200"/>
        <w:jc w:val="both"/>
        <w:rPr>
          <w:rFonts w:ascii="Arial" w:hAnsi="Arial" w:cs="Arial"/>
          <w:color w:val="0070C0"/>
        </w:rPr>
      </w:pPr>
      <w:r w:rsidRPr="0036289A">
        <w:rPr>
          <w:rFonts w:ascii="Arial" w:hAnsi="Arial" w:cs="Arial"/>
          <w:color w:val="0070C0"/>
        </w:rPr>
        <w:t>16-24 = 526</w:t>
      </w:r>
    </w:p>
    <w:p w14:paraId="6DF84367" w14:textId="77777777" w:rsidR="0005688D" w:rsidRPr="0036289A" w:rsidRDefault="0005688D" w:rsidP="00110BB9">
      <w:pPr>
        <w:pStyle w:val="ListParagraph"/>
        <w:numPr>
          <w:ilvl w:val="1"/>
          <w:numId w:val="8"/>
        </w:numPr>
        <w:spacing w:after="200"/>
        <w:jc w:val="both"/>
        <w:rPr>
          <w:rFonts w:ascii="Arial" w:hAnsi="Arial" w:cs="Arial"/>
          <w:color w:val="0070C0"/>
        </w:rPr>
      </w:pPr>
      <w:r w:rsidRPr="0036289A">
        <w:rPr>
          <w:rFonts w:ascii="Arial" w:hAnsi="Arial" w:cs="Arial"/>
          <w:color w:val="0070C0"/>
        </w:rPr>
        <w:t>25-44 = 356</w:t>
      </w:r>
    </w:p>
    <w:p w14:paraId="6DF84368" w14:textId="77777777" w:rsidR="0005688D" w:rsidRPr="0036289A" w:rsidRDefault="0005688D" w:rsidP="00110BB9">
      <w:pPr>
        <w:pStyle w:val="ListParagraph"/>
        <w:numPr>
          <w:ilvl w:val="1"/>
          <w:numId w:val="8"/>
        </w:numPr>
        <w:spacing w:after="200"/>
        <w:jc w:val="both"/>
        <w:rPr>
          <w:rFonts w:ascii="Arial" w:hAnsi="Arial" w:cs="Arial"/>
          <w:color w:val="0070C0"/>
        </w:rPr>
      </w:pPr>
      <w:r w:rsidRPr="0036289A">
        <w:rPr>
          <w:rFonts w:ascii="Arial" w:hAnsi="Arial" w:cs="Arial"/>
          <w:color w:val="0070C0"/>
        </w:rPr>
        <w:t>45-64 = 457</w:t>
      </w:r>
    </w:p>
    <w:p w14:paraId="6DF84369" w14:textId="77777777" w:rsidR="0005688D" w:rsidRPr="0036289A" w:rsidRDefault="0005688D" w:rsidP="00110BB9">
      <w:pPr>
        <w:pStyle w:val="ListParagraph"/>
        <w:numPr>
          <w:ilvl w:val="1"/>
          <w:numId w:val="8"/>
        </w:numPr>
        <w:spacing w:after="200"/>
        <w:jc w:val="both"/>
        <w:rPr>
          <w:rFonts w:ascii="Arial" w:hAnsi="Arial" w:cs="Arial"/>
          <w:color w:val="0070C0"/>
        </w:rPr>
      </w:pPr>
      <w:r w:rsidRPr="0036289A">
        <w:rPr>
          <w:rFonts w:ascii="Arial" w:hAnsi="Arial" w:cs="Arial"/>
          <w:color w:val="0070C0"/>
        </w:rPr>
        <w:t>65+ = 1318</w:t>
      </w:r>
    </w:p>
    <w:p w14:paraId="6DF8436A" w14:textId="77777777" w:rsidR="008100CE" w:rsidRDefault="008100CE" w:rsidP="00110BB9">
      <w:pPr>
        <w:numPr>
          <w:ilvl w:val="1"/>
          <w:numId w:val="1"/>
        </w:numPr>
        <w:spacing w:after="200"/>
        <w:ind w:left="993" w:hanging="633"/>
        <w:jc w:val="both"/>
        <w:rPr>
          <w:sz w:val="24"/>
          <w:szCs w:val="24"/>
        </w:rPr>
      </w:pPr>
      <w:r w:rsidRPr="00015868">
        <w:rPr>
          <w:sz w:val="24"/>
          <w:szCs w:val="24"/>
        </w:rPr>
        <w:t>cases where the state or an organisation has been appointed guardian;</w:t>
      </w:r>
    </w:p>
    <w:p w14:paraId="6DF8436B" w14:textId="77777777" w:rsidR="0005688D" w:rsidRPr="0036289A" w:rsidRDefault="0005688D" w:rsidP="0005688D">
      <w:pPr>
        <w:spacing w:after="200"/>
        <w:ind w:left="993"/>
        <w:jc w:val="both"/>
        <w:rPr>
          <w:rFonts w:ascii="Arial" w:hAnsi="Arial" w:cs="Arial"/>
          <w:color w:val="0070C0"/>
          <w:sz w:val="24"/>
          <w:szCs w:val="24"/>
        </w:rPr>
      </w:pPr>
      <w:r w:rsidRPr="0036289A">
        <w:rPr>
          <w:rFonts w:ascii="Arial" w:hAnsi="Arial" w:cs="Arial"/>
          <w:color w:val="0070C0"/>
          <w:sz w:val="24"/>
          <w:szCs w:val="24"/>
        </w:rPr>
        <w:t>Guardianship orders appointing the local authority (state) granted in 2015-16</w:t>
      </w:r>
      <w:r w:rsidR="00110BB9" w:rsidRPr="0036289A">
        <w:rPr>
          <w:rStyle w:val="FootnoteReference"/>
          <w:rFonts w:ascii="Arial" w:hAnsi="Arial"/>
          <w:color w:val="0070C0"/>
          <w:sz w:val="24"/>
          <w:szCs w:val="24"/>
        </w:rPr>
        <w:footnoteReference w:id="15"/>
      </w:r>
      <w:r w:rsidR="002646EE" w:rsidRPr="0036289A">
        <w:rPr>
          <w:rFonts w:ascii="Arial" w:hAnsi="Arial" w:cs="Arial"/>
          <w:color w:val="0070C0"/>
          <w:sz w:val="24"/>
          <w:szCs w:val="24"/>
        </w:rPr>
        <w:t xml:space="preserve"> = </w:t>
      </w:r>
      <w:r w:rsidRPr="0036289A">
        <w:rPr>
          <w:rFonts w:ascii="Arial" w:hAnsi="Arial" w:cs="Arial"/>
          <w:color w:val="0070C0"/>
          <w:sz w:val="24"/>
          <w:szCs w:val="24"/>
        </w:rPr>
        <w:t>678</w:t>
      </w:r>
    </w:p>
    <w:p w14:paraId="6DF8436C" w14:textId="77777777" w:rsidR="004A5E11" w:rsidRDefault="004A5E11" w:rsidP="00110BB9">
      <w:pPr>
        <w:numPr>
          <w:ilvl w:val="1"/>
          <w:numId w:val="1"/>
        </w:numPr>
        <w:spacing w:after="200"/>
        <w:ind w:left="993" w:hanging="633"/>
        <w:jc w:val="both"/>
        <w:rPr>
          <w:sz w:val="24"/>
          <w:szCs w:val="24"/>
        </w:rPr>
      </w:pPr>
      <w:r w:rsidRPr="00015868">
        <w:rPr>
          <w:sz w:val="24"/>
          <w:szCs w:val="24"/>
        </w:rPr>
        <w:t>institution</w:t>
      </w:r>
      <w:r w:rsidR="00EB0A8B" w:rsidRPr="00015868">
        <w:rPr>
          <w:sz w:val="24"/>
          <w:szCs w:val="24"/>
        </w:rPr>
        <w:t>s</w:t>
      </w:r>
      <w:r w:rsidRPr="00015868">
        <w:rPr>
          <w:sz w:val="24"/>
          <w:szCs w:val="24"/>
        </w:rPr>
        <w:t xml:space="preserve"> for persons with disabilities;</w:t>
      </w:r>
    </w:p>
    <w:p w14:paraId="6DF8436D" w14:textId="77777777" w:rsidR="0092551E" w:rsidRPr="000B3266" w:rsidRDefault="0080765F" w:rsidP="0080765F">
      <w:pPr>
        <w:spacing w:after="200"/>
        <w:ind w:left="993"/>
        <w:jc w:val="both"/>
        <w:rPr>
          <w:rFonts w:ascii="Arial" w:hAnsi="Arial" w:cs="Arial"/>
          <w:color w:val="0070C0"/>
          <w:sz w:val="24"/>
          <w:szCs w:val="24"/>
        </w:rPr>
      </w:pPr>
      <w:r w:rsidRPr="000B3266">
        <w:rPr>
          <w:rFonts w:ascii="Arial" w:hAnsi="Arial" w:cs="Arial"/>
          <w:color w:val="0070C0"/>
          <w:sz w:val="24"/>
          <w:szCs w:val="24"/>
        </w:rPr>
        <w:t xml:space="preserve">We are unaware of any published list of institutions for disabled people. </w:t>
      </w:r>
    </w:p>
    <w:p w14:paraId="6DF8436E" w14:textId="77777777" w:rsidR="0080765F" w:rsidRPr="000B3266" w:rsidRDefault="0080765F" w:rsidP="0080765F">
      <w:pPr>
        <w:spacing w:after="200"/>
        <w:ind w:left="993"/>
        <w:jc w:val="both"/>
        <w:rPr>
          <w:rFonts w:ascii="Arial" w:hAnsi="Arial" w:cs="Arial"/>
          <w:color w:val="0070C0"/>
          <w:sz w:val="24"/>
          <w:szCs w:val="24"/>
        </w:rPr>
      </w:pPr>
      <w:r w:rsidRPr="000B3266">
        <w:rPr>
          <w:rFonts w:ascii="Arial" w:hAnsi="Arial" w:cs="Arial"/>
          <w:color w:val="0070C0"/>
          <w:sz w:val="24"/>
          <w:szCs w:val="24"/>
        </w:rPr>
        <w:lastRenderedPageBreak/>
        <w:t>There are different types of accommodation for disabled people who need particular support, care or treatment. This accommodation is provided by the public, private and voluntary sectors and includes hospitals, residential homes and supported tenancies.</w:t>
      </w:r>
    </w:p>
    <w:p w14:paraId="6DF8436F" w14:textId="77777777" w:rsidR="004A5E11" w:rsidRDefault="004A5E11" w:rsidP="00110BB9">
      <w:pPr>
        <w:numPr>
          <w:ilvl w:val="1"/>
          <w:numId w:val="1"/>
        </w:numPr>
        <w:spacing w:after="200"/>
        <w:ind w:left="993" w:hanging="633"/>
        <w:jc w:val="both"/>
        <w:rPr>
          <w:sz w:val="24"/>
          <w:szCs w:val="24"/>
        </w:rPr>
      </w:pPr>
      <w:r w:rsidRPr="00015868">
        <w:rPr>
          <w:sz w:val="24"/>
          <w:szCs w:val="24"/>
        </w:rPr>
        <w:t>persons with disabilities placed in institutions;</w:t>
      </w:r>
    </w:p>
    <w:p w14:paraId="6DF84370" w14:textId="77777777" w:rsidR="0092551E" w:rsidRPr="000B3266" w:rsidRDefault="0092551E" w:rsidP="008A2DFC">
      <w:pPr>
        <w:spacing w:after="200"/>
        <w:ind w:left="993"/>
        <w:jc w:val="both"/>
        <w:rPr>
          <w:rFonts w:ascii="Arial" w:hAnsi="Arial" w:cs="Arial"/>
          <w:color w:val="0070C0"/>
          <w:sz w:val="24"/>
          <w:szCs w:val="24"/>
        </w:rPr>
      </w:pPr>
      <w:r w:rsidRPr="000B3266">
        <w:rPr>
          <w:rFonts w:ascii="Arial" w:hAnsi="Arial" w:cs="Arial"/>
          <w:color w:val="0070C0"/>
          <w:sz w:val="24"/>
          <w:szCs w:val="24"/>
        </w:rPr>
        <w:t xml:space="preserve">We are unaware of any data published on disabled people placed in institutions. </w:t>
      </w:r>
    </w:p>
    <w:p w14:paraId="6DF84371" w14:textId="77777777" w:rsidR="00506360" w:rsidRPr="000B3266" w:rsidRDefault="00506360" w:rsidP="00506360">
      <w:pPr>
        <w:spacing w:after="200"/>
        <w:ind w:left="993"/>
        <w:jc w:val="both"/>
        <w:rPr>
          <w:rFonts w:ascii="Arial" w:hAnsi="Arial" w:cs="Arial"/>
          <w:color w:val="0070C0"/>
          <w:sz w:val="24"/>
          <w:szCs w:val="24"/>
        </w:rPr>
      </w:pPr>
      <w:r w:rsidRPr="000B3266">
        <w:rPr>
          <w:rFonts w:ascii="Arial" w:hAnsi="Arial" w:cs="Arial"/>
          <w:color w:val="0070C0"/>
          <w:sz w:val="24"/>
          <w:szCs w:val="24"/>
        </w:rPr>
        <w:t>The majority of people with learning disability and autism are now supported in the community, rather than in hospitals or other institutions. The Scottish Government started its final phase of learning disability hospital closures in 2000, when around 2,450 adults with learning disabilities were living in a hospital setting.</w:t>
      </w:r>
      <w:r w:rsidRPr="000B3266">
        <w:rPr>
          <w:rStyle w:val="FootnoteReference"/>
          <w:rFonts w:ascii="Arial" w:hAnsi="Arial" w:cs="Arial"/>
          <w:color w:val="0070C0"/>
          <w:sz w:val="24"/>
          <w:szCs w:val="24"/>
        </w:rPr>
        <w:footnoteReference w:id="16"/>
      </w:r>
      <w:r w:rsidRPr="000B3266">
        <w:rPr>
          <w:rFonts w:ascii="Arial" w:hAnsi="Arial" w:cs="Arial"/>
          <w:color w:val="0070C0"/>
          <w:sz w:val="24"/>
          <w:szCs w:val="24"/>
        </w:rPr>
        <w:t xml:space="preserve"> By 2015, 188 adults with learning disabilities lived in N</w:t>
      </w:r>
      <w:r w:rsidR="00A73274">
        <w:rPr>
          <w:rFonts w:ascii="Arial" w:hAnsi="Arial" w:cs="Arial"/>
          <w:color w:val="0070C0"/>
          <w:sz w:val="24"/>
          <w:szCs w:val="24"/>
        </w:rPr>
        <w:t xml:space="preserve">ational </w:t>
      </w:r>
      <w:r w:rsidRPr="000B3266">
        <w:rPr>
          <w:rFonts w:ascii="Arial" w:hAnsi="Arial" w:cs="Arial"/>
          <w:color w:val="0070C0"/>
          <w:sz w:val="24"/>
          <w:szCs w:val="24"/>
        </w:rPr>
        <w:t>H</w:t>
      </w:r>
      <w:r w:rsidR="00A73274">
        <w:rPr>
          <w:rFonts w:ascii="Arial" w:hAnsi="Arial" w:cs="Arial"/>
          <w:color w:val="0070C0"/>
          <w:sz w:val="24"/>
          <w:szCs w:val="24"/>
        </w:rPr>
        <w:t xml:space="preserve">ealth </w:t>
      </w:r>
      <w:r w:rsidRPr="000B3266">
        <w:rPr>
          <w:rFonts w:ascii="Arial" w:hAnsi="Arial" w:cs="Arial"/>
          <w:color w:val="0070C0"/>
          <w:sz w:val="24"/>
          <w:szCs w:val="24"/>
        </w:rPr>
        <w:t>S</w:t>
      </w:r>
      <w:r w:rsidR="00A73274">
        <w:rPr>
          <w:rFonts w:ascii="Arial" w:hAnsi="Arial" w:cs="Arial"/>
          <w:color w:val="0070C0"/>
          <w:sz w:val="24"/>
          <w:szCs w:val="24"/>
        </w:rPr>
        <w:t>ervice (NHS)</w:t>
      </w:r>
      <w:r w:rsidRPr="000B3266">
        <w:rPr>
          <w:rFonts w:ascii="Arial" w:hAnsi="Arial" w:cs="Arial"/>
          <w:color w:val="0070C0"/>
          <w:sz w:val="24"/>
          <w:szCs w:val="24"/>
        </w:rPr>
        <w:t xml:space="preserve"> facilities/ hospitals, 30 in independent hospitals and 12 in specialist rehabilitation units.</w:t>
      </w:r>
      <w:r w:rsidRPr="000B3266">
        <w:rPr>
          <w:rStyle w:val="FootnoteReference"/>
          <w:rFonts w:ascii="Arial" w:hAnsi="Arial" w:cs="Arial"/>
          <w:color w:val="0070C0"/>
          <w:sz w:val="24"/>
          <w:szCs w:val="24"/>
        </w:rPr>
        <w:footnoteReference w:id="17"/>
      </w:r>
    </w:p>
    <w:p w14:paraId="6DF84372" w14:textId="77777777" w:rsidR="004A5E11" w:rsidRDefault="004A5E11" w:rsidP="00110BB9">
      <w:pPr>
        <w:numPr>
          <w:ilvl w:val="1"/>
          <w:numId w:val="1"/>
        </w:numPr>
        <w:spacing w:after="200"/>
        <w:ind w:left="993" w:hanging="633"/>
        <w:jc w:val="both"/>
        <w:rPr>
          <w:sz w:val="24"/>
          <w:szCs w:val="24"/>
        </w:rPr>
      </w:pPr>
      <w:r w:rsidRPr="00015868">
        <w:rPr>
          <w:sz w:val="24"/>
          <w:szCs w:val="24"/>
        </w:rPr>
        <w:t xml:space="preserve">persons in institutions under guardianship; </w:t>
      </w:r>
    </w:p>
    <w:p w14:paraId="6DF84373" w14:textId="77777777" w:rsidR="00506360" w:rsidRPr="000B3266" w:rsidRDefault="00506360" w:rsidP="00506360">
      <w:pPr>
        <w:spacing w:after="200"/>
        <w:ind w:left="993"/>
        <w:jc w:val="both"/>
        <w:rPr>
          <w:rFonts w:ascii="Arial" w:hAnsi="Arial" w:cs="Arial"/>
          <w:color w:val="0070C0"/>
          <w:sz w:val="24"/>
          <w:szCs w:val="24"/>
        </w:rPr>
      </w:pPr>
      <w:r w:rsidRPr="000B3266">
        <w:rPr>
          <w:rFonts w:ascii="Arial" w:hAnsi="Arial" w:cs="Arial"/>
          <w:color w:val="0070C0"/>
          <w:sz w:val="24"/>
          <w:szCs w:val="24"/>
        </w:rPr>
        <w:t xml:space="preserve">We are unaware of any data published on people in institutions who are under guardianship. We have </w:t>
      </w:r>
      <w:r w:rsidR="00685F85" w:rsidRPr="000B3266">
        <w:rPr>
          <w:rFonts w:ascii="Arial" w:hAnsi="Arial" w:cs="Arial"/>
          <w:color w:val="0070C0"/>
          <w:sz w:val="24"/>
          <w:szCs w:val="24"/>
        </w:rPr>
        <w:t xml:space="preserve">referred to published data on guardianship in response to other questions. </w:t>
      </w:r>
    </w:p>
    <w:p w14:paraId="6DF84374" w14:textId="77777777" w:rsidR="00EB0A8B" w:rsidRDefault="00EB0A8B" w:rsidP="00110BB9">
      <w:pPr>
        <w:numPr>
          <w:ilvl w:val="1"/>
          <w:numId w:val="1"/>
        </w:numPr>
        <w:spacing w:after="200"/>
        <w:ind w:left="993" w:hanging="633"/>
        <w:jc w:val="both"/>
        <w:rPr>
          <w:sz w:val="24"/>
          <w:szCs w:val="24"/>
        </w:rPr>
      </w:pPr>
      <w:r w:rsidRPr="00015868">
        <w:rPr>
          <w:sz w:val="24"/>
          <w:szCs w:val="24"/>
        </w:rPr>
        <w:t>registers of the use of seclusion and restraints and its frequency;</w:t>
      </w:r>
    </w:p>
    <w:p w14:paraId="6DF84375" w14:textId="77777777" w:rsidR="002646EE" w:rsidRPr="0036289A" w:rsidRDefault="002646EE" w:rsidP="002646EE">
      <w:pPr>
        <w:spacing w:after="200"/>
        <w:ind w:left="993"/>
        <w:jc w:val="both"/>
        <w:rPr>
          <w:rFonts w:ascii="Arial" w:hAnsi="Arial" w:cs="Arial"/>
          <w:color w:val="0070C0"/>
          <w:sz w:val="24"/>
          <w:szCs w:val="24"/>
        </w:rPr>
      </w:pPr>
      <w:r w:rsidRPr="0036289A">
        <w:rPr>
          <w:rFonts w:ascii="Arial" w:hAnsi="Arial" w:cs="Arial"/>
          <w:color w:val="0070C0"/>
          <w:sz w:val="24"/>
          <w:szCs w:val="24"/>
        </w:rPr>
        <w:t>There is no systematic collection of data of the use of physical restraint in care settings.  The Scottish Patient Safety Programme – Mental Health has a programme dedicated to reducing harm from seclusion and restraint.  Health boards participating in this programme collect data.</w:t>
      </w:r>
    </w:p>
    <w:p w14:paraId="6DF84376" w14:textId="77777777" w:rsidR="00EB0A8B" w:rsidRDefault="00EB0A8B" w:rsidP="00110BB9">
      <w:pPr>
        <w:numPr>
          <w:ilvl w:val="1"/>
          <w:numId w:val="1"/>
        </w:numPr>
        <w:spacing w:after="200"/>
        <w:ind w:left="993" w:hanging="633"/>
        <w:jc w:val="both"/>
        <w:rPr>
          <w:sz w:val="24"/>
          <w:szCs w:val="24"/>
        </w:rPr>
      </w:pPr>
      <w:r w:rsidRPr="00015868">
        <w:rPr>
          <w:sz w:val="24"/>
          <w:szCs w:val="24"/>
        </w:rPr>
        <w:t xml:space="preserve">involuntary admissions to mental health services or other social care facilities; </w:t>
      </w:r>
    </w:p>
    <w:p w14:paraId="6DF84377" w14:textId="77777777" w:rsidR="00442351" w:rsidRPr="0036289A" w:rsidRDefault="00442351" w:rsidP="00442351">
      <w:pPr>
        <w:spacing w:after="200"/>
        <w:ind w:left="993"/>
        <w:jc w:val="both"/>
        <w:rPr>
          <w:rFonts w:ascii="Arial" w:hAnsi="Arial" w:cs="Arial"/>
          <w:color w:val="0070C0"/>
          <w:sz w:val="24"/>
          <w:szCs w:val="24"/>
        </w:rPr>
      </w:pPr>
      <w:r w:rsidRPr="0036289A">
        <w:rPr>
          <w:rFonts w:ascii="Arial" w:hAnsi="Arial" w:cs="Arial"/>
          <w:color w:val="0070C0"/>
          <w:sz w:val="24"/>
          <w:szCs w:val="24"/>
        </w:rPr>
        <w:t>In the period 2015-2016</w:t>
      </w:r>
      <w:r w:rsidR="001346E1" w:rsidRPr="0036289A">
        <w:rPr>
          <w:rStyle w:val="FootnoteReference"/>
          <w:rFonts w:ascii="Arial" w:hAnsi="Arial" w:cs="Arial"/>
          <w:color w:val="0070C0"/>
          <w:sz w:val="24"/>
          <w:szCs w:val="24"/>
        </w:rPr>
        <w:footnoteReference w:id="18"/>
      </w:r>
      <w:r w:rsidR="002646EE" w:rsidRPr="0036289A">
        <w:rPr>
          <w:rFonts w:ascii="Arial" w:hAnsi="Arial" w:cs="Arial"/>
          <w:color w:val="0070C0"/>
          <w:sz w:val="24"/>
          <w:szCs w:val="24"/>
        </w:rPr>
        <w:t>:</w:t>
      </w:r>
    </w:p>
    <w:p w14:paraId="6DF84378" w14:textId="77777777" w:rsidR="00442351" w:rsidRPr="0036289A" w:rsidRDefault="00442351" w:rsidP="00110BB9">
      <w:pPr>
        <w:pStyle w:val="ListParagraph"/>
        <w:numPr>
          <w:ilvl w:val="0"/>
          <w:numId w:val="9"/>
        </w:numPr>
        <w:spacing w:after="200"/>
        <w:jc w:val="both"/>
        <w:rPr>
          <w:rFonts w:ascii="Arial" w:hAnsi="Arial" w:cs="Arial"/>
          <w:color w:val="0070C0"/>
        </w:rPr>
      </w:pPr>
      <w:r w:rsidRPr="0036289A">
        <w:rPr>
          <w:rFonts w:ascii="Arial" w:hAnsi="Arial" w:cs="Arial"/>
          <w:color w:val="0070C0"/>
        </w:rPr>
        <w:t>Total new episodes of compulsory treatment = 5,008</w:t>
      </w:r>
    </w:p>
    <w:p w14:paraId="6DF84379" w14:textId="77777777" w:rsidR="00442351" w:rsidRPr="0036289A" w:rsidRDefault="00442351" w:rsidP="00110BB9">
      <w:pPr>
        <w:pStyle w:val="ListParagraph"/>
        <w:numPr>
          <w:ilvl w:val="0"/>
          <w:numId w:val="9"/>
        </w:numPr>
        <w:spacing w:after="200"/>
        <w:jc w:val="both"/>
        <w:rPr>
          <w:rFonts w:ascii="Arial" w:hAnsi="Arial" w:cs="Arial"/>
          <w:color w:val="0070C0"/>
        </w:rPr>
      </w:pPr>
      <w:r w:rsidRPr="0036289A">
        <w:rPr>
          <w:rFonts w:ascii="Arial" w:hAnsi="Arial" w:cs="Arial"/>
          <w:color w:val="0070C0"/>
        </w:rPr>
        <w:t>Total extant episodes of compulsory treatment = 3,312</w:t>
      </w:r>
    </w:p>
    <w:p w14:paraId="6DF8437A" w14:textId="77777777" w:rsidR="00EB0A8B" w:rsidRDefault="00EB0A8B" w:rsidP="00110BB9">
      <w:pPr>
        <w:numPr>
          <w:ilvl w:val="1"/>
          <w:numId w:val="1"/>
        </w:numPr>
        <w:spacing w:after="200"/>
        <w:ind w:left="993" w:hanging="633"/>
        <w:jc w:val="both"/>
        <w:rPr>
          <w:sz w:val="24"/>
          <w:szCs w:val="24"/>
        </w:rPr>
      </w:pPr>
      <w:r w:rsidRPr="00015868">
        <w:rPr>
          <w:sz w:val="24"/>
          <w:szCs w:val="24"/>
        </w:rPr>
        <w:t>existing inpatient mental health facilities</w:t>
      </w:r>
      <w:r w:rsidR="00751C4D" w:rsidRPr="00015868">
        <w:rPr>
          <w:sz w:val="24"/>
          <w:szCs w:val="24"/>
        </w:rPr>
        <w:t>;</w:t>
      </w:r>
    </w:p>
    <w:p w14:paraId="6DF8437B" w14:textId="77777777" w:rsidR="00A73274" w:rsidRPr="00872DA1" w:rsidRDefault="00A73274" w:rsidP="00A73274">
      <w:pPr>
        <w:spacing w:after="200"/>
        <w:ind w:left="993"/>
        <w:jc w:val="both"/>
        <w:rPr>
          <w:rFonts w:ascii="Arial" w:hAnsi="Arial" w:cs="Arial"/>
          <w:color w:val="0070C0"/>
          <w:sz w:val="24"/>
          <w:szCs w:val="24"/>
        </w:rPr>
      </w:pPr>
      <w:r w:rsidRPr="00872DA1">
        <w:rPr>
          <w:rFonts w:ascii="Arial" w:hAnsi="Arial" w:cs="Arial"/>
          <w:color w:val="0070C0"/>
          <w:sz w:val="24"/>
          <w:szCs w:val="24"/>
        </w:rPr>
        <w:t xml:space="preserve">We are unaware of any published list of inpatient mental health facilities. </w:t>
      </w:r>
    </w:p>
    <w:p w14:paraId="6DF8437C" w14:textId="77777777" w:rsidR="00EB0A8B" w:rsidRDefault="00EB0A8B" w:rsidP="00110BB9">
      <w:pPr>
        <w:numPr>
          <w:ilvl w:val="1"/>
          <w:numId w:val="1"/>
        </w:numPr>
        <w:spacing w:after="200"/>
        <w:ind w:left="993" w:hanging="633"/>
        <w:jc w:val="both"/>
        <w:rPr>
          <w:sz w:val="24"/>
          <w:szCs w:val="24"/>
        </w:rPr>
      </w:pPr>
      <w:r w:rsidRPr="00015868">
        <w:rPr>
          <w:sz w:val="24"/>
          <w:szCs w:val="24"/>
        </w:rPr>
        <w:lastRenderedPageBreak/>
        <w:t>beds for mental health inpatients in psychiatric hospitals and general hospitals;</w:t>
      </w:r>
    </w:p>
    <w:p w14:paraId="6DF8437D" w14:textId="77777777" w:rsidR="00A96485" w:rsidRPr="0036289A" w:rsidRDefault="00A96485" w:rsidP="00A96485">
      <w:pPr>
        <w:spacing w:after="200"/>
        <w:ind w:left="993"/>
        <w:jc w:val="both"/>
        <w:rPr>
          <w:rFonts w:ascii="Arial" w:hAnsi="Arial" w:cs="Arial"/>
          <w:color w:val="0070C0"/>
          <w:sz w:val="24"/>
          <w:szCs w:val="24"/>
        </w:rPr>
      </w:pPr>
      <w:r w:rsidRPr="0036289A">
        <w:rPr>
          <w:rFonts w:ascii="Arial" w:hAnsi="Arial" w:cs="Arial"/>
          <w:color w:val="0070C0"/>
          <w:sz w:val="24"/>
          <w:szCs w:val="24"/>
        </w:rPr>
        <w:t>At the 2016 census</w:t>
      </w:r>
      <w:r w:rsidRPr="0036289A">
        <w:rPr>
          <w:rStyle w:val="FootnoteReference"/>
          <w:rFonts w:ascii="Arial" w:hAnsi="Arial" w:cs="Arial"/>
          <w:color w:val="0070C0"/>
          <w:sz w:val="24"/>
          <w:szCs w:val="24"/>
        </w:rPr>
        <w:footnoteReference w:id="19"/>
      </w:r>
      <w:r w:rsidRPr="0036289A">
        <w:rPr>
          <w:rFonts w:ascii="Arial" w:hAnsi="Arial" w:cs="Arial"/>
          <w:color w:val="0070C0"/>
          <w:sz w:val="24"/>
          <w:szCs w:val="24"/>
        </w:rPr>
        <w:t xml:space="preserve"> </w:t>
      </w:r>
    </w:p>
    <w:p w14:paraId="6DF8437E" w14:textId="77777777" w:rsidR="00A96485" w:rsidRPr="0036289A" w:rsidRDefault="00A96485"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 xml:space="preserve">4,254 available mental health, addiction and learning disability beds in Scotland </w:t>
      </w:r>
    </w:p>
    <w:p w14:paraId="6DF8437F" w14:textId="77777777" w:rsidR="00A96485" w:rsidRDefault="00A96485"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The age breakdown of patients occupying mental health, learning disability and addiction inpatients beds</w:t>
      </w:r>
      <w:r w:rsidR="00A73274">
        <w:rPr>
          <w:rFonts w:ascii="Arial" w:hAnsi="Arial" w:cs="Arial"/>
          <w:color w:val="0070C0"/>
        </w:rPr>
        <w:t xml:space="preserve"> is set out in the table below.</w:t>
      </w:r>
    </w:p>
    <w:p w14:paraId="6DF84380" w14:textId="77777777" w:rsidR="00A73274" w:rsidRPr="0036289A" w:rsidRDefault="00A73274" w:rsidP="00A73274">
      <w:pPr>
        <w:pStyle w:val="ListParagraph"/>
        <w:spacing w:after="200"/>
        <w:ind w:left="1713"/>
        <w:jc w:val="both"/>
        <w:rPr>
          <w:rFonts w:ascii="Arial" w:hAnsi="Arial" w:cs="Arial"/>
          <w:color w:val="0070C0"/>
        </w:rPr>
      </w:pPr>
    </w:p>
    <w:tbl>
      <w:tblPr>
        <w:tblW w:w="0" w:type="auto"/>
        <w:tblInd w:w="1499"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441"/>
        <w:gridCol w:w="3654"/>
      </w:tblGrid>
      <w:tr w:rsidR="0036289A" w:rsidRPr="0036289A" w14:paraId="6DF84383"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1"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Age group </w:t>
            </w:r>
          </w:p>
        </w:tc>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2"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Patients (March 2016) </w:t>
            </w:r>
          </w:p>
        </w:tc>
      </w:tr>
      <w:tr w:rsidR="0036289A" w:rsidRPr="0036289A" w14:paraId="6DF84386"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4"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Under 18 </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hideMark/>
          </w:tcPr>
          <w:p w14:paraId="6DF84385" w14:textId="77777777" w:rsidR="001346E1" w:rsidRPr="0036289A" w:rsidRDefault="001346E1"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 xml:space="preserve">55 </w:t>
            </w:r>
          </w:p>
        </w:tc>
      </w:tr>
      <w:tr w:rsidR="0036289A" w:rsidRPr="0036289A" w14:paraId="6DF84389"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7"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18-39 </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hideMark/>
          </w:tcPr>
          <w:p w14:paraId="6DF84388" w14:textId="77777777" w:rsidR="001346E1" w:rsidRPr="0036289A" w:rsidRDefault="001346E1"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 xml:space="preserve">806 </w:t>
            </w:r>
          </w:p>
        </w:tc>
      </w:tr>
      <w:tr w:rsidR="0036289A" w:rsidRPr="0036289A" w14:paraId="6DF8438C"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A"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40-64 </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hideMark/>
          </w:tcPr>
          <w:p w14:paraId="6DF8438B" w14:textId="77777777" w:rsidR="001346E1" w:rsidRPr="0036289A" w:rsidRDefault="001346E1"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 xml:space="preserve">1,267 </w:t>
            </w:r>
          </w:p>
        </w:tc>
      </w:tr>
      <w:tr w:rsidR="0036289A" w:rsidRPr="0036289A" w14:paraId="6DF8438F"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8D"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65+ </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hideMark/>
          </w:tcPr>
          <w:p w14:paraId="6DF8438E" w14:textId="77777777" w:rsidR="001346E1" w:rsidRPr="0036289A" w:rsidRDefault="001346E1" w:rsidP="00110BB9">
            <w:pPr>
              <w:pStyle w:val="ListParagraph"/>
              <w:numPr>
                <w:ilvl w:val="0"/>
                <w:numId w:val="10"/>
              </w:numPr>
              <w:spacing w:after="200"/>
              <w:jc w:val="both"/>
              <w:rPr>
                <w:rFonts w:ascii="Arial" w:hAnsi="Arial" w:cs="Arial"/>
                <w:color w:val="0070C0"/>
              </w:rPr>
            </w:pPr>
            <w:r w:rsidRPr="0036289A">
              <w:rPr>
                <w:rFonts w:ascii="Arial" w:hAnsi="Arial" w:cs="Arial"/>
                <w:color w:val="0070C0"/>
              </w:rPr>
              <w:t xml:space="preserve">1,505 </w:t>
            </w:r>
          </w:p>
        </w:tc>
      </w:tr>
      <w:tr w:rsidR="0036289A" w:rsidRPr="0036289A" w14:paraId="6DF84392" w14:textId="77777777" w:rsidTr="001346E1">
        <w:tc>
          <w:tcPr>
            <w:tcW w:w="0" w:type="auto"/>
            <w:tcBorders>
              <w:top w:val="single" w:sz="6" w:space="0" w:color="AAAAAA"/>
              <w:left w:val="single" w:sz="6" w:space="0" w:color="AAAAAA"/>
              <w:bottom w:val="single" w:sz="6" w:space="0" w:color="AAAAAA"/>
              <w:right w:val="single" w:sz="6" w:space="0" w:color="AAAAAA"/>
            </w:tcBorders>
            <w:shd w:val="clear" w:color="auto" w:fill="CCD4E0"/>
            <w:tcMar>
              <w:top w:w="45" w:type="dxa"/>
              <w:left w:w="45" w:type="dxa"/>
              <w:bottom w:w="45" w:type="dxa"/>
              <w:right w:w="45" w:type="dxa"/>
            </w:tcMar>
            <w:hideMark/>
          </w:tcPr>
          <w:p w14:paraId="6DF84390" w14:textId="77777777" w:rsidR="001346E1" w:rsidRPr="0036289A" w:rsidRDefault="001346E1" w:rsidP="00110BB9">
            <w:pPr>
              <w:pStyle w:val="ListParagraph"/>
              <w:numPr>
                <w:ilvl w:val="0"/>
                <w:numId w:val="10"/>
              </w:numPr>
              <w:spacing w:after="200"/>
              <w:jc w:val="both"/>
              <w:rPr>
                <w:rFonts w:ascii="Arial" w:hAnsi="Arial" w:cs="Arial"/>
                <w:b/>
                <w:bCs/>
                <w:color w:val="0070C0"/>
              </w:rPr>
            </w:pPr>
            <w:r w:rsidRPr="0036289A">
              <w:rPr>
                <w:rFonts w:ascii="Arial" w:hAnsi="Arial" w:cs="Arial"/>
                <w:b/>
                <w:bCs/>
                <w:color w:val="0070C0"/>
              </w:rPr>
              <w:t xml:space="preserve">All </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hideMark/>
          </w:tcPr>
          <w:p w14:paraId="6DF84391" w14:textId="77777777" w:rsidR="001346E1" w:rsidRPr="0036289A" w:rsidRDefault="001346E1" w:rsidP="00110BB9">
            <w:pPr>
              <w:pStyle w:val="ListParagraph"/>
              <w:numPr>
                <w:ilvl w:val="0"/>
                <w:numId w:val="10"/>
              </w:numPr>
              <w:spacing w:after="200"/>
              <w:jc w:val="both"/>
              <w:rPr>
                <w:rFonts w:ascii="Arial" w:hAnsi="Arial" w:cs="Arial"/>
                <w:color w:val="0070C0"/>
              </w:rPr>
            </w:pPr>
            <w:r w:rsidRPr="0036289A">
              <w:rPr>
                <w:rFonts w:ascii="Arial" w:hAnsi="Arial" w:cs="Arial"/>
                <w:b/>
                <w:bCs/>
                <w:color w:val="0070C0"/>
              </w:rPr>
              <w:t>3,633</w:t>
            </w:r>
            <w:r w:rsidRPr="0036289A">
              <w:rPr>
                <w:rFonts w:ascii="Arial" w:hAnsi="Arial" w:cs="Arial"/>
                <w:color w:val="0070C0"/>
              </w:rPr>
              <w:t xml:space="preserve"> </w:t>
            </w:r>
          </w:p>
        </w:tc>
      </w:tr>
    </w:tbl>
    <w:p w14:paraId="6DF84393" w14:textId="77777777" w:rsidR="00A96485" w:rsidRPr="0036289A" w:rsidRDefault="00A96485" w:rsidP="00A96485">
      <w:pPr>
        <w:spacing w:after="200"/>
        <w:ind w:left="993"/>
        <w:jc w:val="both"/>
        <w:rPr>
          <w:rFonts w:ascii="Arial" w:hAnsi="Arial" w:cs="Arial"/>
          <w:color w:val="0070C0"/>
          <w:sz w:val="24"/>
          <w:szCs w:val="24"/>
        </w:rPr>
      </w:pPr>
    </w:p>
    <w:p w14:paraId="6DF84394" w14:textId="77777777" w:rsidR="002646EE" w:rsidRPr="0036289A" w:rsidRDefault="00A73274" w:rsidP="00110BB9">
      <w:pPr>
        <w:pStyle w:val="ListParagraph"/>
        <w:numPr>
          <w:ilvl w:val="0"/>
          <w:numId w:val="10"/>
        </w:numPr>
        <w:spacing w:after="200"/>
        <w:jc w:val="both"/>
        <w:rPr>
          <w:rFonts w:ascii="Arial" w:hAnsi="Arial" w:cs="Arial"/>
          <w:color w:val="0070C0"/>
        </w:rPr>
      </w:pPr>
      <w:r>
        <w:rPr>
          <w:rFonts w:ascii="Arial" w:hAnsi="Arial" w:cs="Arial"/>
          <w:color w:val="0070C0"/>
        </w:rPr>
        <w:t xml:space="preserve">The gender breakdown of patients occupying mental health, learning disability and addiction inpatients beds was </w:t>
      </w:r>
      <w:r w:rsidR="002646EE" w:rsidRPr="0036289A">
        <w:rPr>
          <w:rFonts w:ascii="Arial" w:hAnsi="Arial" w:cs="Arial"/>
          <w:color w:val="0070C0"/>
        </w:rPr>
        <w:t xml:space="preserve">58% </w:t>
      </w:r>
      <w:r>
        <w:rPr>
          <w:rFonts w:ascii="Arial" w:hAnsi="Arial" w:cs="Arial"/>
          <w:color w:val="0070C0"/>
        </w:rPr>
        <w:t>m</w:t>
      </w:r>
      <w:r w:rsidR="002646EE" w:rsidRPr="0036289A">
        <w:rPr>
          <w:rFonts w:ascii="Arial" w:hAnsi="Arial" w:cs="Arial"/>
          <w:color w:val="0070C0"/>
        </w:rPr>
        <w:t>ale, 42% female.</w:t>
      </w:r>
    </w:p>
    <w:p w14:paraId="6DF84395" w14:textId="77777777" w:rsidR="00EB0A8B" w:rsidRDefault="00EB0A8B" w:rsidP="00110BB9">
      <w:pPr>
        <w:numPr>
          <w:ilvl w:val="1"/>
          <w:numId w:val="1"/>
        </w:numPr>
        <w:spacing w:after="200"/>
        <w:ind w:left="993" w:hanging="633"/>
        <w:jc w:val="both"/>
        <w:rPr>
          <w:sz w:val="24"/>
          <w:szCs w:val="24"/>
        </w:rPr>
      </w:pPr>
      <w:r w:rsidRPr="00015868">
        <w:rPr>
          <w:sz w:val="24"/>
          <w:szCs w:val="24"/>
        </w:rPr>
        <w:t>average days a person spends under involuntary admission at mental health facilities;</w:t>
      </w:r>
    </w:p>
    <w:p w14:paraId="6DF84396" w14:textId="77777777" w:rsidR="002646EE" w:rsidRPr="0036289A" w:rsidRDefault="002646EE" w:rsidP="00872DA1">
      <w:pPr>
        <w:pStyle w:val="FootnoteText"/>
        <w:tabs>
          <w:tab w:val="left" w:pos="993"/>
        </w:tabs>
        <w:ind w:left="360"/>
        <w:rPr>
          <w:rFonts w:ascii="Arial" w:hAnsi="Arial" w:cs="Arial"/>
          <w:color w:val="0070C0"/>
        </w:rPr>
      </w:pPr>
      <w:r>
        <w:tab/>
      </w:r>
      <w:r w:rsidRPr="0036289A">
        <w:rPr>
          <w:rFonts w:ascii="Arial" w:hAnsi="Arial" w:cs="Arial"/>
          <w:color w:val="0070C0"/>
        </w:rPr>
        <w:t>The average (median) number of days since admission for:</w:t>
      </w:r>
    </w:p>
    <w:p w14:paraId="6DF84397" w14:textId="77777777" w:rsidR="002646EE" w:rsidRPr="0036289A" w:rsidRDefault="00A73274" w:rsidP="00872DA1">
      <w:pPr>
        <w:pStyle w:val="FootnoteText"/>
        <w:numPr>
          <w:ilvl w:val="0"/>
          <w:numId w:val="7"/>
        </w:numPr>
        <w:ind w:left="1440" w:hanging="447"/>
        <w:rPr>
          <w:rFonts w:ascii="Arial" w:hAnsi="Arial" w:cs="Arial"/>
          <w:color w:val="0070C0"/>
        </w:rPr>
      </w:pPr>
      <w:r>
        <w:rPr>
          <w:rFonts w:ascii="Arial" w:hAnsi="Arial" w:cs="Arial"/>
          <w:color w:val="0070C0"/>
        </w:rPr>
        <w:t>Patients with a learning d</w:t>
      </w:r>
      <w:r w:rsidR="002646EE" w:rsidRPr="0036289A">
        <w:rPr>
          <w:rFonts w:ascii="Arial" w:hAnsi="Arial" w:cs="Arial"/>
          <w:color w:val="0070C0"/>
        </w:rPr>
        <w:t xml:space="preserve">isability  = </w:t>
      </w:r>
      <w:r w:rsidR="00EC6B10">
        <w:rPr>
          <w:rFonts w:ascii="Arial" w:hAnsi="Arial" w:cs="Arial"/>
          <w:color w:val="0070C0"/>
        </w:rPr>
        <w:t xml:space="preserve"> </w:t>
      </w:r>
      <w:r w:rsidR="002646EE" w:rsidRPr="0036289A">
        <w:rPr>
          <w:rFonts w:ascii="Arial" w:hAnsi="Arial" w:cs="Arial"/>
          <w:color w:val="0070C0"/>
        </w:rPr>
        <w:t xml:space="preserve">759 days (around 2 years and one month). </w:t>
      </w:r>
    </w:p>
    <w:p w14:paraId="6DF84398" w14:textId="77777777" w:rsidR="002646EE" w:rsidRPr="0036289A" w:rsidRDefault="00A73274" w:rsidP="00872DA1">
      <w:pPr>
        <w:pStyle w:val="FootnoteText"/>
        <w:numPr>
          <w:ilvl w:val="0"/>
          <w:numId w:val="7"/>
        </w:numPr>
        <w:ind w:left="1440" w:hanging="447"/>
        <w:rPr>
          <w:rFonts w:ascii="Arial" w:hAnsi="Arial" w:cs="Arial"/>
          <w:color w:val="0070C0"/>
        </w:rPr>
      </w:pPr>
      <w:r>
        <w:rPr>
          <w:rFonts w:ascii="Arial" w:hAnsi="Arial" w:cs="Arial"/>
          <w:color w:val="0070C0"/>
        </w:rPr>
        <w:t>Non-learning d</w:t>
      </w:r>
      <w:r w:rsidR="002646EE" w:rsidRPr="0036289A">
        <w:rPr>
          <w:rFonts w:ascii="Arial" w:hAnsi="Arial" w:cs="Arial"/>
          <w:color w:val="0070C0"/>
        </w:rPr>
        <w:t>isability patients = 129 days.</w:t>
      </w:r>
      <w:r w:rsidRPr="0036289A">
        <w:rPr>
          <w:rStyle w:val="FootnoteReference"/>
          <w:rFonts w:ascii="Arial" w:hAnsi="Arial" w:cs="Arial"/>
          <w:color w:val="0070C0"/>
        </w:rPr>
        <w:footnoteReference w:id="20"/>
      </w:r>
      <w:r w:rsidR="002646EE" w:rsidRPr="0036289A">
        <w:rPr>
          <w:rFonts w:ascii="Arial" w:hAnsi="Arial" w:cs="Arial"/>
          <w:color w:val="0070C0"/>
        </w:rPr>
        <w:t xml:space="preserve"> </w:t>
      </w:r>
    </w:p>
    <w:p w14:paraId="6DF84399" w14:textId="77777777" w:rsidR="002646EE" w:rsidRPr="002646EE" w:rsidRDefault="002646EE" w:rsidP="002646EE">
      <w:pPr>
        <w:pStyle w:val="FootnoteText"/>
        <w:ind w:left="720"/>
      </w:pPr>
    </w:p>
    <w:p w14:paraId="6DF8439A" w14:textId="77777777" w:rsidR="009847B6" w:rsidRDefault="00062846" w:rsidP="00110BB9">
      <w:pPr>
        <w:numPr>
          <w:ilvl w:val="1"/>
          <w:numId w:val="1"/>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2E1B54" w:rsidRPr="00015868">
        <w:rPr>
          <w:sz w:val="24"/>
          <w:szCs w:val="24"/>
        </w:rPr>
        <w:t>have been</w:t>
      </w:r>
      <w:r w:rsidRPr="00015868">
        <w:rPr>
          <w:sz w:val="24"/>
          <w:szCs w:val="24"/>
        </w:rPr>
        <w:t xml:space="preserve"> declared unfit to </w:t>
      </w:r>
      <w:r w:rsidR="009847B6" w:rsidRPr="00015868">
        <w:rPr>
          <w:sz w:val="24"/>
          <w:szCs w:val="24"/>
        </w:rPr>
        <w:t xml:space="preserve">stand trial or unfit to </w:t>
      </w:r>
      <w:r w:rsidRPr="00015868">
        <w:rPr>
          <w:sz w:val="24"/>
          <w:szCs w:val="24"/>
        </w:rPr>
        <w:t>plead</w:t>
      </w:r>
      <w:r w:rsidR="009847B6" w:rsidRPr="00015868">
        <w:rPr>
          <w:sz w:val="24"/>
          <w:szCs w:val="24"/>
        </w:rPr>
        <w:t>;</w:t>
      </w:r>
    </w:p>
    <w:p w14:paraId="6DF8439B" w14:textId="77777777" w:rsidR="00442351" w:rsidRPr="0036289A" w:rsidRDefault="00442351" w:rsidP="00442351">
      <w:pPr>
        <w:spacing w:after="200"/>
        <w:ind w:left="993"/>
        <w:jc w:val="both"/>
        <w:rPr>
          <w:rFonts w:ascii="Arial" w:hAnsi="Arial" w:cs="Arial"/>
          <w:color w:val="0070C0"/>
          <w:sz w:val="24"/>
          <w:szCs w:val="24"/>
        </w:rPr>
      </w:pPr>
      <w:r w:rsidRPr="0036289A">
        <w:rPr>
          <w:rFonts w:ascii="Arial" w:hAnsi="Arial" w:cs="Arial"/>
          <w:color w:val="0070C0"/>
          <w:sz w:val="24"/>
          <w:szCs w:val="24"/>
        </w:rPr>
        <w:t>In the period 2015 – 16 = 19</w:t>
      </w:r>
      <w:r w:rsidR="00A73274">
        <w:rPr>
          <w:rFonts w:ascii="Arial" w:hAnsi="Arial" w:cs="Arial"/>
          <w:color w:val="0070C0"/>
          <w:sz w:val="24"/>
          <w:szCs w:val="24"/>
        </w:rPr>
        <w:t xml:space="preserve"> people.</w:t>
      </w:r>
      <w:r w:rsidR="001346E1" w:rsidRPr="0036289A">
        <w:rPr>
          <w:rStyle w:val="FootnoteReference"/>
          <w:rFonts w:ascii="Arial" w:hAnsi="Arial" w:cs="Arial"/>
          <w:color w:val="0070C0"/>
          <w:sz w:val="24"/>
          <w:szCs w:val="24"/>
        </w:rPr>
        <w:footnoteReference w:id="21"/>
      </w:r>
    </w:p>
    <w:p w14:paraId="6DF8439C" w14:textId="77777777" w:rsidR="00062846" w:rsidRDefault="00062846" w:rsidP="00110BB9">
      <w:pPr>
        <w:numPr>
          <w:ilvl w:val="1"/>
          <w:numId w:val="1"/>
        </w:numPr>
        <w:spacing w:after="200"/>
        <w:ind w:left="993" w:hanging="633"/>
        <w:jc w:val="both"/>
        <w:rPr>
          <w:sz w:val="24"/>
          <w:szCs w:val="24"/>
        </w:rPr>
      </w:pPr>
      <w:r w:rsidRPr="00015868">
        <w:rPr>
          <w:sz w:val="24"/>
          <w:szCs w:val="24"/>
        </w:rPr>
        <w:t>pe</w:t>
      </w:r>
      <w:r w:rsidR="002E1B54" w:rsidRPr="00015868">
        <w:rPr>
          <w:sz w:val="24"/>
          <w:szCs w:val="24"/>
        </w:rPr>
        <w:t>rsons</w:t>
      </w:r>
      <w:r w:rsidRPr="00015868">
        <w:rPr>
          <w:sz w:val="24"/>
          <w:szCs w:val="24"/>
        </w:rPr>
        <w:t xml:space="preserve"> who </w:t>
      </w:r>
      <w:r w:rsidR="00CF1AA7" w:rsidRPr="00015868">
        <w:rPr>
          <w:sz w:val="24"/>
          <w:szCs w:val="24"/>
        </w:rPr>
        <w:t xml:space="preserve">have been found </w:t>
      </w:r>
      <w:r w:rsidR="00221FEB" w:rsidRPr="00015868">
        <w:rPr>
          <w:sz w:val="24"/>
          <w:szCs w:val="24"/>
        </w:rPr>
        <w:t xml:space="preserve">not </w:t>
      </w:r>
      <w:r w:rsidR="00CF1AA7" w:rsidRPr="00015868">
        <w:rPr>
          <w:sz w:val="24"/>
          <w:szCs w:val="24"/>
        </w:rPr>
        <w:t xml:space="preserve">to be </w:t>
      </w:r>
      <w:r w:rsidR="00221FEB" w:rsidRPr="00015868">
        <w:rPr>
          <w:sz w:val="24"/>
          <w:szCs w:val="24"/>
        </w:rPr>
        <w:t>criminally responsible;</w:t>
      </w:r>
    </w:p>
    <w:p w14:paraId="6DF8439D" w14:textId="77777777" w:rsidR="00442351" w:rsidRPr="0036289A" w:rsidRDefault="00442351" w:rsidP="00442351">
      <w:pPr>
        <w:spacing w:after="200"/>
        <w:ind w:left="993"/>
        <w:jc w:val="both"/>
        <w:rPr>
          <w:rFonts w:ascii="Arial" w:hAnsi="Arial" w:cs="Arial"/>
          <w:color w:val="0070C0"/>
          <w:sz w:val="24"/>
          <w:szCs w:val="24"/>
        </w:rPr>
      </w:pPr>
      <w:r w:rsidRPr="0036289A">
        <w:rPr>
          <w:rFonts w:ascii="Arial" w:hAnsi="Arial" w:cs="Arial"/>
          <w:color w:val="0070C0"/>
          <w:sz w:val="24"/>
          <w:szCs w:val="24"/>
        </w:rPr>
        <w:t>In the period 2015-16</w:t>
      </w:r>
      <w:r w:rsidR="00A73274">
        <w:rPr>
          <w:rFonts w:ascii="Arial" w:hAnsi="Arial" w:cs="Arial"/>
          <w:color w:val="0070C0"/>
          <w:sz w:val="24"/>
          <w:szCs w:val="24"/>
        </w:rPr>
        <w:t>:</w:t>
      </w:r>
      <w:r w:rsidR="001346E1" w:rsidRPr="0036289A">
        <w:rPr>
          <w:rStyle w:val="FootnoteReference"/>
          <w:rFonts w:ascii="Arial" w:hAnsi="Arial" w:cs="Arial"/>
          <w:color w:val="0070C0"/>
          <w:sz w:val="24"/>
          <w:szCs w:val="24"/>
        </w:rPr>
        <w:footnoteReference w:id="22"/>
      </w:r>
      <w:r w:rsidR="002646EE" w:rsidRPr="0036289A">
        <w:rPr>
          <w:rFonts w:ascii="Arial" w:hAnsi="Arial" w:cs="Arial"/>
          <w:color w:val="0070C0"/>
          <w:sz w:val="24"/>
          <w:szCs w:val="24"/>
        </w:rPr>
        <w:t>:</w:t>
      </w:r>
    </w:p>
    <w:p w14:paraId="6DF8439E" w14:textId="77777777" w:rsidR="00442351" w:rsidRPr="0036289A" w:rsidRDefault="00442351" w:rsidP="00442351">
      <w:pPr>
        <w:spacing w:after="200"/>
        <w:ind w:left="993"/>
        <w:jc w:val="both"/>
        <w:rPr>
          <w:rFonts w:ascii="Arial" w:hAnsi="Arial" w:cs="Arial"/>
          <w:color w:val="0070C0"/>
          <w:sz w:val="24"/>
          <w:szCs w:val="24"/>
        </w:rPr>
      </w:pPr>
      <w:r w:rsidRPr="0036289A">
        <w:rPr>
          <w:rFonts w:ascii="Arial" w:hAnsi="Arial" w:cs="Arial"/>
          <w:color w:val="0070C0"/>
          <w:sz w:val="24"/>
          <w:szCs w:val="24"/>
        </w:rPr>
        <w:lastRenderedPageBreak/>
        <w:t>Acquitted by reason of mental disorder and unfitness for trial = 28</w:t>
      </w:r>
    </w:p>
    <w:p w14:paraId="6DF8439F" w14:textId="77777777" w:rsidR="00015868" w:rsidRDefault="00062846" w:rsidP="00110BB9">
      <w:pPr>
        <w:numPr>
          <w:ilvl w:val="1"/>
          <w:numId w:val="1"/>
        </w:numPr>
        <w:spacing w:after="200"/>
        <w:ind w:left="993" w:hanging="633"/>
        <w:jc w:val="both"/>
        <w:rPr>
          <w:sz w:val="24"/>
          <w:szCs w:val="24"/>
        </w:rPr>
      </w:pPr>
      <w:r w:rsidRPr="00015868">
        <w:rPr>
          <w:sz w:val="24"/>
          <w:szCs w:val="24"/>
        </w:rPr>
        <w:t>institutions</w:t>
      </w:r>
      <w:r w:rsidR="00A717FB" w:rsidRPr="00015868">
        <w:rPr>
          <w:sz w:val="24"/>
          <w:szCs w:val="24"/>
        </w:rPr>
        <w:t xml:space="preserve"> </w:t>
      </w:r>
      <w:r w:rsidR="00DB48ED" w:rsidRPr="00015868">
        <w:rPr>
          <w:sz w:val="24"/>
          <w:szCs w:val="24"/>
        </w:rPr>
        <w:t>where</w:t>
      </w:r>
      <w:r w:rsidR="00A717FB" w:rsidRPr="00015868">
        <w:rPr>
          <w:sz w:val="24"/>
          <w:szCs w:val="24"/>
        </w:rPr>
        <w:t xml:space="preserve"> </w:t>
      </w:r>
      <w:r w:rsidRPr="00015868">
        <w:rPr>
          <w:sz w:val="24"/>
          <w:szCs w:val="24"/>
        </w:rPr>
        <w:t>pe</w:t>
      </w:r>
      <w:r w:rsidR="002E1B54" w:rsidRPr="00015868">
        <w:rPr>
          <w:sz w:val="24"/>
          <w:szCs w:val="24"/>
        </w:rPr>
        <w:t>rsons</w:t>
      </w:r>
      <w:r w:rsidRPr="00015868">
        <w:rPr>
          <w:sz w:val="24"/>
          <w:szCs w:val="24"/>
        </w:rPr>
        <w:t xml:space="preserve"> who have been declared unfit to plead</w:t>
      </w:r>
      <w:r w:rsidR="009847B6" w:rsidRPr="00015868">
        <w:rPr>
          <w:sz w:val="24"/>
          <w:szCs w:val="24"/>
        </w:rPr>
        <w:t xml:space="preserve">, stand trial </w:t>
      </w:r>
      <w:r w:rsidRPr="00015868">
        <w:rPr>
          <w:sz w:val="24"/>
          <w:szCs w:val="24"/>
        </w:rPr>
        <w:t xml:space="preserve">or </w:t>
      </w:r>
      <w:r w:rsidR="00D9166A" w:rsidRPr="00015868">
        <w:rPr>
          <w:sz w:val="24"/>
          <w:szCs w:val="24"/>
        </w:rPr>
        <w:t>foun</w:t>
      </w:r>
      <w:r w:rsidR="00EB0A8B" w:rsidRPr="00015868">
        <w:rPr>
          <w:sz w:val="24"/>
          <w:szCs w:val="24"/>
        </w:rPr>
        <w:t>d</w:t>
      </w:r>
      <w:r w:rsidR="00D9166A" w:rsidRPr="00015868">
        <w:rPr>
          <w:sz w:val="24"/>
          <w:szCs w:val="24"/>
        </w:rPr>
        <w:t xml:space="preserve"> to be </w:t>
      </w:r>
      <w:r w:rsidR="00EB0A8B" w:rsidRPr="00015868">
        <w:rPr>
          <w:sz w:val="24"/>
          <w:szCs w:val="24"/>
        </w:rPr>
        <w:t xml:space="preserve">not </w:t>
      </w:r>
      <w:r w:rsidRPr="00015868">
        <w:rPr>
          <w:sz w:val="24"/>
          <w:szCs w:val="24"/>
        </w:rPr>
        <w:t xml:space="preserve">criminally </w:t>
      </w:r>
      <w:r w:rsidR="00D9166A" w:rsidRPr="00015868">
        <w:rPr>
          <w:sz w:val="24"/>
          <w:szCs w:val="24"/>
        </w:rPr>
        <w:t>responsible</w:t>
      </w:r>
      <w:r w:rsidR="00DB48ED" w:rsidRPr="00015868">
        <w:rPr>
          <w:sz w:val="24"/>
          <w:szCs w:val="24"/>
        </w:rPr>
        <w:t xml:space="preserve"> are placed</w:t>
      </w:r>
      <w:r w:rsidR="00EB0A8B" w:rsidRPr="00015868">
        <w:rPr>
          <w:sz w:val="24"/>
          <w:szCs w:val="24"/>
        </w:rPr>
        <w:t xml:space="preserve"> and number of inmates</w:t>
      </w:r>
      <w:r w:rsidR="00DB48ED" w:rsidRPr="00015868">
        <w:rPr>
          <w:sz w:val="24"/>
          <w:szCs w:val="24"/>
        </w:rPr>
        <w:t>;</w:t>
      </w:r>
      <w:r w:rsidR="00436346" w:rsidRPr="00015868">
        <w:rPr>
          <w:sz w:val="24"/>
          <w:szCs w:val="24"/>
        </w:rPr>
        <w:t xml:space="preserve"> </w:t>
      </w:r>
    </w:p>
    <w:p w14:paraId="6DF843A0" w14:textId="77777777" w:rsidR="00A73274" w:rsidRDefault="00A247B3" w:rsidP="00A247B3">
      <w:pPr>
        <w:spacing w:after="200"/>
        <w:ind w:left="993"/>
        <w:jc w:val="both"/>
        <w:rPr>
          <w:rFonts w:ascii="Arial" w:hAnsi="Arial" w:cs="Arial"/>
          <w:color w:val="0070C0"/>
          <w:sz w:val="24"/>
          <w:szCs w:val="24"/>
        </w:rPr>
      </w:pPr>
      <w:r w:rsidRPr="0036289A">
        <w:rPr>
          <w:rFonts w:ascii="Arial" w:hAnsi="Arial" w:cs="Arial"/>
          <w:color w:val="0070C0"/>
          <w:sz w:val="24"/>
          <w:szCs w:val="24"/>
        </w:rPr>
        <w:t>There is one high secure psychiatric hospital (The State Hospital)</w:t>
      </w:r>
      <w:r w:rsidR="00A73274">
        <w:rPr>
          <w:rFonts w:ascii="Arial" w:hAnsi="Arial" w:cs="Arial"/>
          <w:color w:val="0070C0"/>
          <w:sz w:val="24"/>
          <w:szCs w:val="24"/>
        </w:rPr>
        <w:t>.</w:t>
      </w:r>
      <w:r w:rsidRPr="0036289A">
        <w:rPr>
          <w:rFonts w:ascii="Arial" w:hAnsi="Arial" w:cs="Arial"/>
          <w:color w:val="0070C0"/>
          <w:sz w:val="24"/>
          <w:szCs w:val="24"/>
        </w:rPr>
        <w:t xml:space="preserve"> </w:t>
      </w:r>
    </w:p>
    <w:p w14:paraId="6DF843A1" w14:textId="77777777" w:rsidR="00A247B3" w:rsidRDefault="00A247B3" w:rsidP="00A247B3">
      <w:pPr>
        <w:spacing w:after="200"/>
        <w:ind w:left="993"/>
        <w:jc w:val="both"/>
        <w:rPr>
          <w:rFonts w:ascii="Arial" w:hAnsi="Arial" w:cs="Arial"/>
          <w:color w:val="0070C0"/>
          <w:sz w:val="24"/>
          <w:szCs w:val="24"/>
        </w:rPr>
      </w:pPr>
      <w:r w:rsidRPr="0036289A">
        <w:rPr>
          <w:rFonts w:ascii="Arial" w:hAnsi="Arial" w:cs="Arial"/>
          <w:color w:val="0070C0"/>
          <w:sz w:val="24"/>
          <w:szCs w:val="24"/>
        </w:rPr>
        <w:t>There are 140 high-secure beds for male patients requiring maximum secure care: 12 beds specifically for patients with a learning disability.  All patients are male, with an average age of 42. The most common primary diagnosis is schizophrenia. The current average length of stay is 6.8 years, with individual lengths of stay ranging from two months to over 30 years.  During 2015/16 there were 36 patient admissions and 39 discharges.</w:t>
      </w:r>
    </w:p>
    <w:p w14:paraId="6DF843A2" w14:textId="77777777" w:rsidR="00D55275" w:rsidRPr="0036289A" w:rsidRDefault="00D55275" w:rsidP="00A247B3">
      <w:pPr>
        <w:spacing w:after="200"/>
        <w:ind w:left="993"/>
        <w:jc w:val="both"/>
        <w:rPr>
          <w:rFonts w:ascii="Arial" w:hAnsi="Arial" w:cs="Arial"/>
          <w:color w:val="0070C0"/>
          <w:sz w:val="24"/>
          <w:szCs w:val="24"/>
        </w:rPr>
      </w:pPr>
      <w:r>
        <w:rPr>
          <w:rFonts w:ascii="Arial" w:hAnsi="Arial" w:cs="Arial"/>
          <w:color w:val="0070C0"/>
          <w:sz w:val="24"/>
          <w:szCs w:val="24"/>
        </w:rPr>
        <w:t xml:space="preserve">Female patients are sent to medium secure psychiatric facilities </w:t>
      </w:r>
      <w:r w:rsidR="00F92E1A">
        <w:rPr>
          <w:rFonts w:ascii="Arial" w:hAnsi="Arial" w:cs="Arial"/>
          <w:color w:val="0070C0"/>
          <w:sz w:val="24"/>
          <w:szCs w:val="24"/>
        </w:rPr>
        <w:t xml:space="preserve">in Scotland </w:t>
      </w:r>
      <w:r>
        <w:rPr>
          <w:rFonts w:ascii="Arial" w:hAnsi="Arial" w:cs="Arial"/>
          <w:color w:val="0070C0"/>
          <w:sz w:val="24"/>
          <w:szCs w:val="24"/>
        </w:rPr>
        <w:t>or to a high security psychiatric unit in England.</w:t>
      </w:r>
    </w:p>
    <w:p w14:paraId="6DF843A3" w14:textId="77777777" w:rsidR="00A247B3" w:rsidRPr="0036289A" w:rsidRDefault="00A247B3" w:rsidP="00A247B3">
      <w:pPr>
        <w:spacing w:after="200"/>
        <w:ind w:left="993"/>
        <w:jc w:val="both"/>
        <w:rPr>
          <w:rFonts w:ascii="Arial" w:hAnsi="Arial" w:cs="Arial"/>
          <w:color w:val="0070C0"/>
          <w:sz w:val="24"/>
          <w:szCs w:val="24"/>
        </w:rPr>
      </w:pPr>
      <w:r w:rsidRPr="0036289A">
        <w:rPr>
          <w:rFonts w:ascii="Arial" w:hAnsi="Arial" w:cs="Arial"/>
          <w:color w:val="0070C0"/>
          <w:sz w:val="24"/>
          <w:szCs w:val="24"/>
        </w:rPr>
        <w:t>In addition, there are three medium secure psychiatric facilities.</w:t>
      </w:r>
    </w:p>
    <w:p w14:paraId="6DF843A4" w14:textId="77777777" w:rsidR="00015868" w:rsidRPr="007D321A" w:rsidRDefault="00015868" w:rsidP="00110BB9">
      <w:pPr>
        <w:pStyle w:val="ListParagraph"/>
        <w:numPr>
          <w:ilvl w:val="0"/>
          <w:numId w:val="1"/>
        </w:numPr>
        <w:rPr>
          <w:color w:val="000000" w:themeColor="text1"/>
        </w:rPr>
      </w:pPr>
      <w:r w:rsidRPr="00E82366">
        <w:rPr>
          <w:color w:val="000000" w:themeColor="text1"/>
          <w:shd w:val="clear" w:color="auto" w:fill="FFFFFF"/>
        </w:rPr>
        <w:t>Please provide information on jurisprudence, complaints or investigations in relation to abuses and violence against persons with disabilities at home. </w:t>
      </w:r>
    </w:p>
    <w:p w14:paraId="6DF843A5" w14:textId="77777777" w:rsidR="007D321A" w:rsidRDefault="007D321A" w:rsidP="007D321A">
      <w:pPr>
        <w:rPr>
          <w:rFonts w:ascii="Arial" w:hAnsi="Arial" w:cs="Arial"/>
          <w:color w:val="000000" w:themeColor="text1"/>
          <w:sz w:val="24"/>
          <w:szCs w:val="24"/>
        </w:rPr>
      </w:pPr>
    </w:p>
    <w:p w14:paraId="6DF843A6" w14:textId="77777777" w:rsidR="007D321A" w:rsidRPr="0036289A" w:rsidRDefault="007D321A" w:rsidP="00872DA1">
      <w:pPr>
        <w:jc w:val="both"/>
        <w:rPr>
          <w:rFonts w:ascii="Arial" w:hAnsi="Arial" w:cs="Arial"/>
          <w:color w:val="0070C0"/>
          <w:sz w:val="24"/>
          <w:szCs w:val="24"/>
        </w:rPr>
      </w:pPr>
      <w:r w:rsidRPr="0036289A">
        <w:rPr>
          <w:rFonts w:ascii="Arial" w:hAnsi="Arial" w:cs="Arial"/>
          <w:color w:val="0070C0"/>
          <w:sz w:val="24"/>
          <w:szCs w:val="24"/>
        </w:rPr>
        <w:t xml:space="preserve">The Mental Welfare Commission </w:t>
      </w:r>
      <w:r w:rsidR="00872DA1">
        <w:rPr>
          <w:rFonts w:ascii="Arial" w:hAnsi="Arial" w:cs="Arial"/>
          <w:color w:val="0070C0"/>
          <w:sz w:val="24"/>
          <w:szCs w:val="24"/>
        </w:rPr>
        <w:t xml:space="preserve">(MWC) </w:t>
      </w:r>
      <w:r w:rsidRPr="0036289A">
        <w:rPr>
          <w:rFonts w:ascii="Arial" w:hAnsi="Arial" w:cs="Arial"/>
          <w:color w:val="0070C0"/>
          <w:sz w:val="24"/>
          <w:szCs w:val="24"/>
        </w:rPr>
        <w:t xml:space="preserve">carries out investigations into an individual's care and treatment when they believe there are similar issues in other people's care and lessons to be learnt for services throughout Scotland.  All of these investigations can be found here </w:t>
      </w:r>
      <w:r w:rsidR="00872DA1">
        <w:rPr>
          <w:rFonts w:ascii="Arial" w:hAnsi="Arial" w:cs="Arial"/>
          <w:color w:val="0070C0"/>
          <w:sz w:val="24"/>
          <w:szCs w:val="24"/>
        </w:rPr>
        <w:t xml:space="preserve"> </w:t>
      </w:r>
      <w:hyperlink r:id="rId12" w:history="1">
        <w:r w:rsidRPr="0036289A">
          <w:rPr>
            <w:rStyle w:val="Hyperlink"/>
            <w:rFonts w:ascii="Arial" w:hAnsi="Arial" w:cs="Arial"/>
            <w:color w:val="0070C0"/>
            <w:sz w:val="24"/>
            <w:szCs w:val="24"/>
          </w:rPr>
          <w:t>http://www.mwcscot.org.uk/publications/investigation-reports/</w:t>
        </w:r>
      </w:hyperlink>
      <w:r w:rsidRPr="0036289A">
        <w:rPr>
          <w:rFonts w:ascii="Arial" w:hAnsi="Arial" w:cs="Arial"/>
          <w:color w:val="0070C0"/>
          <w:sz w:val="24"/>
          <w:szCs w:val="24"/>
        </w:rPr>
        <w:t xml:space="preserve"> </w:t>
      </w:r>
    </w:p>
    <w:p w14:paraId="6DF843A7" w14:textId="77777777" w:rsidR="007D321A" w:rsidRPr="0036289A" w:rsidRDefault="007D321A" w:rsidP="007D321A">
      <w:pPr>
        <w:jc w:val="both"/>
        <w:rPr>
          <w:rFonts w:ascii="Arial" w:hAnsi="Arial" w:cs="Arial"/>
          <w:color w:val="0070C0"/>
          <w:sz w:val="24"/>
          <w:szCs w:val="24"/>
        </w:rPr>
      </w:pPr>
    </w:p>
    <w:p w14:paraId="6DF843A8" w14:textId="77777777" w:rsidR="007D321A" w:rsidRPr="0036289A" w:rsidRDefault="008F6E47" w:rsidP="007D321A">
      <w:pPr>
        <w:jc w:val="both"/>
        <w:rPr>
          <w:rFonts w:ascii="Arial" w:hAnsi="Arial" w:cs="Arial"/>
          <w:color w:val="0070C0"/>
          <w:sz w:val="24"/>
          <w:szCs w:val="24"/>
        </w:rPr>
      </w:pPr>
      <w:r>
        <w:rPr>
          <w:rFonts w:ascii="Arial" w:hAnsi="Arial" w:cs="Arial"/>
          <w:color w:val="0070C0"/>
          <w:sz w:val="24"/>
          <w:szCs w:val="24"/>
        </w:rPr>
        <w:t>The MWC carried out an</w:t>
      </w:r>
      <w:r w:rsidR="007D321A" w:rsidRPr="0036289A">
        <w:rPr>
          <w:rFonts w:ascii="Arial" w:hAnsi="Arial" w:cs="Arial"/>
          <w:color w:val="0070C0"/>
          <w:sz w:val="24"/>
          <w:szCs w:val="24"/>
        </w:rPr>
        <w:t xml:space="preserve"> investigation into the death of Ms MN, who died in December 2012 after hanging herself in the care home to which she had recently been moved following a period of inpatient care.  The investigation recommended that the Scottish Government should audit the availability of specialist services for individuals with highly complex needs who are not appropriately accommodated in learning disability or mental health settings, and identify how gaps can be filled.</w:t>
      </w:r>
      <w:r w:rsidR="007D321A" w:rsidRPr="0036289A">
        <w:rPr>
          <w:rFonts w:ascii="Arial" w:hAnsi="Arial" w:cs="Arial"/>
          <w:color w:val="0070C0"/>
          <w:sz w:val="24"/>
          <w:szCs w:val="24"/>
          <w:vertAlign w:val="superscript"/>
        </w:rPr>
        <w:footnoteReference w:id="23"/>
      </w:r>
      <w:r w:rsidR="007D321A" w:rsidRPr="0036289A">
        <w:rPr>
          <w:rFonts w:ascii="Arial" w:hAnsi="Arial" w:cs="Arial"/>
          <w:color w:val="0070C0"/>
          <w:sz w:val="24"/>
          <w:szCs w:val="24"/>
        </w:rPr>
        <w:t xml:space="preserve">  </w:t>
      </w:r>
    </w:p>
    <w:p w14:paraId="6DF843A9" w14:textId="77777777" w:rsidR="00015868" w:rsidRPr="00E82366" w:rsidRDefault="00015868" w:rsidP="00015868">
      <w:pPr>
        <w:pStyle w:val="ListParagraph"/>
        <w:ind w:left="360"/>
        <w:rPr>
          <w:color w:val="000000" w:themeColor="text1"/>
        </w:rPr>
      </w:pPr>
    </w:p>
    <w:p w14:paraId="6DF843AA" w14:textId="77777777" w:rsidR="005A0A1F" w:rsidRDefault="00733B7C" w:rsidP="00110BB9">
      <w:pPr>
        <w:numPr>
          <w:ilvl w:val="0"/>
          <w:numId w:val="1"/>
        </w:numPr>
        <w:spacing w:after="200"/>
        <w:jc w:val="both"/>
        <w:rPr>
          <w:sz w:val="24"/>
          <w:szCs w:val="24"/>
        </w:rPr>
      </w:pPr>
      <w:r w:rsidRPr="00E82366">
        <w:rPr>
          <w:color w:val="000000" w:themeColor="text1"/>
          <w:sz w:val="24"/>
          <w:szCs w:val="24"/>
        </w:rPr>
        <w:t>Please provide any other relevant information (including information from surveys, censuses, administrative data, reports, studies, and case law) in relation to the right to liberty and security of persons with disabilities in your country.</w:t>
      </w:r>
      <w:r w:rsidR="005F4FFD" w:rsidRPr="00E82366">
        <w:rPr>
          <w:color w:val="000000" w:themeColor="text1"/>
          <w:sz w:val="24"/>
          <w:szCs w:val="24"/>
        </w:rPr>
        <w:t xml:space="preserve"> Please also refer to any innovative initiatives that have been taken at the local, regional </w:t>
      </w:r>
      <w:r w:rsidR="005F4FFD" w:rsidRPr="00015868">
        <w:rPr>
          <w:sz w:val="24"/>
          <w:szCs w:val="24"/>
        </w:rPr>
        <w:t>or national level to promote and ensure the right to liberty and security of persons with disabilities and identify lessons</w:t>
      </w:r>
      <w:r w:rsidR="005F4FFD" w:rsidRPr="005F4FFD">
        <w:rPr>
          <w:sz w:val="24"/>
          <w:szCs w:val="24"/>
        </w:rPr>
        <w:t xml:space="preserve"> learned from these.</w:t>
      </w:r>
    </w:p>
    <w:p w14:paraId="6DF843AB" w14:textId="77777777" w:rsidR="00534BAF" w:rsidRPr="000B3266" w:rsidRDefault="00534BAF" w:rsidP="00EC6B10">
      <w:pPr>
        <w:spacing w:after="200"/>
        <w:jc w:val="both"/>
        <w:rPr>
          <w:rFonts w:ascii="Arial" w:hAnsi="Arial" w:cs="Arial"/>
          <w:color w:val="0070C0"/>
          <w:sz w:val="24"/>
          <w:szCs w:val="24"/>
        </w:rPr>
      </w:pPr>
      <w:r w:rsidRPr="000B3266">
        <w:rPr>
          <w:rFonts w:ascii="Arial" w:hAnsi="Arial" w:cs="Arial"/>
          <w:color w:val="0070C0"/>
          <w:sz w:val="24"/>
          <w:szCs w:val="24"/>
        </w:rPr>
        <w:lastRenderedPageBreak/>
        <w:t>In our submission to inform the UNCRPD Committee List of Issues on the UK</w:t>
      </w:r>
      <w:r w:rsidR="00863591" w:rsidRPr="000B3266">
        <w:rPr>
          <w:rStyle w:val="FootnoteReference"/>
          <w:rFonts w:ascii="Arial" w:hAnsi="Arial" w:cs="Arial"/>
          <w:color w:val="0070C0"/>
          <w:sz w:val="24"/>
          <w:szCs w:val="24"/>
        </w:rPr>
        <w:footnoteReference w:id="24"/>
      </w:r>
      <w:r w:rsidRPr="000B3266">
        <w:rPr>
          <w:rFonts w:ascii="Arial" w:hAnsi="Arial" w:cs="Arial"/>
          <w:color w:val="0070C0"/>
          <w:sz w:val="24"/>
          <w:szCs w:val="24"/>
        </w:rPr>
        <w:t xml:space="preserve"> we drew the Committee’s attention to:</w:t>
      </w:r>
    </w:p>
    <w:p w14:paraId="6DF843AC" w14:textId="77777777" w:rsidR="00534BAF" w:rsidRPr="000B3266" w:rsidRDefault="00534BAF" w:rsidP="00EC6B10">
      <w:pPr>
        <w:pStyle w:val="ListParagraph"/>
        <w:numPr>
          <w:ilvl w:val="0"/>
          <w:numId w:val="11"/>
        </w:numPr>
        <w:spacing w:after="200"/>
        <w:ind w:left="360"/>
        <w:jc w:val="both"/>
        <w:rPr>
          <w:rFonts w:ascii="Arial" w:hAnsi="Arial" w:cs="Arial"/>
          <w:color w:val="0070C0"/>
        </w:rPr>
      </w:pPr>
      <w:r w:rsidRPr="000B3266">
        <w:rPr>
          <w:rFonts w:ascii="Arial" w:hAnsi="Arial" w:cs="Arial"/>
          <w:color w:val="0070C0"/>
        </w:rPr>
        <w:t>The ongoing shortfall of Mental Health Officers across Scotland, which is the highest since data was first collected on this issue. This is of concern because the MHO provides an essential safeguard under mental health and capacity legislation and has a critical role in reviewing the proposal to detain an individual, considering alternatives and explaining an individual’s rights to them.</w:t>
      </w:r>
    </w:p>
    <w:p w14:paraId="6DF843AD" w14:textId="77777777" w:rsidR="00534BAF" w:rsidRPr="000B3266" w:rsidRDefault="00534BAF" w:rsidP="00EC6B10">
      <w:pPr>
        <w:pStyle w:val="ListParagraph"/>
        <w:numPr>
          <w:ilvl w:val="0"/>
          <w:numId w:val="11"/>
        </w:numPr>
        <w:spacing w:after="200"/>
        <w:ind w:left="360"/>
        <w:jc w:val="both"/>
        <w:rPr>
          <w:rFonts w:ascii="Arial" w:hAnsi="Arial" w:cs="Arial"/>
          <w:color w:val="0070C0"/>
        </w:rPr>
      </w:pPr>
      <w:r w:rsidRPr="000B3266">
        <w:rPr>
          <w:rFonts w:ascii="Arial" w:hAnsi="Arial" w:cs="Arial"/>
          <w:color w:val="0070C0"/>
        </w:rPr>
        <w:t>The recommendation that the Scottish Government review the three pieces of legislation which govern non-consensual care and treatment, in part to ensure they reflect the requirements of UNCRPD.</w:t>
      </w:r>
    </w:p>
    <w:p w14:paraId="6DF843AE" w14:textId="77777777" w:rsidR="00534BAF" w:rsidRPr="00872DA1" w:rsidRDefault="00863591" w:rsidP="00872DA1">
      <w:pPr>
        <w:spacing w:after="200"/>
        <w:jc w:val="both"/>
        <w:rPr>
          <w:rFonts w:ascii="Arial" w:hAnsi="Arial" w:cs="Arial"/>
          <w:color w:val="0070C0"/>
          <w:sz w:val="24"/>
          <w:szCs w:val="24"/>
        </w:rPr>
      </w:pPr>
      <w:r w:rsidRPr="00872DA1">
        <w:rPr>
          <w:rFonts w:ascii="Arial" w:hAnsi="Arial" w:cs="Arial"/>
          <w:color w:val="0070C0"/>
          <w:sz w:val="24"/>
          <w:szCs w:val="24"/>
        </w:rPr>
        <w:t>For the most recent review of the arguments for reform of Scotland’s capacity and mental health legislation, we recommend the Napier University and Mental Welfare Commission report</w:t>
      </w:r>
      <w:r w:rsidRPr="00872DA1">
        <w:rPr>
          <w:rStyle w:val="FootnoteReference"/>
          <w:rFonts w:ascii="Arial" w:hAnsi="Arial" w:cs="Arial"/>
          <w:color w:val="0070C0"/>
          <w:sz w:val="24"/>
          <w:szCs w:val="24"/>
        </w:rPr>
        <w:footnoteReference w:id="25"/>
      </w:r>
      <w:r w:rsidRPr="00872DA1">
        <w:rPr>
          <w:rFonts w:ascii="Arial" w:hAnsi="Arial" w:cs="Arial"/>
          <w:color w:val="0070C0"/>
          <w:sz w:val="24"/>
          <w:szCs w:val="24"/>
        </w:rPr>
        <w:t>.</w:t>
      </w:r>
    </w:p>
    <w:p w14:paraId="6DF843AF" w14:textId="77777777" w:rsidR="00EC6B10" w:rsidRDefault="00EC6B10" w:rsidP="00534BAF">
      <w:pPr>
        <w:spacing w:after="200"/>
        <w:ind w:left="360"/>
        <w:jc w:val="both"/>
        <w:rPr>
          <w:rFonts w:ascii="Arial" w:hAnsi="Arial" w:cs="Arial"/>
          <w:color w:val="4F81BD" w:themeColor="accent1"/>
          <w:sz w:val="24"/>
          <w:szCs w:val="24"/>
        </w:rPr>
      </w:pPr>
    </w:p>
    <w:p w14:paraId="6DF843B0" w14:textId="77777777" w:rsidR="00EC6B10" w:rsidRDefault="00EC6B10" w:rsidP="00534BAF">
      <w:pPr>
        <w:spacing w:after="200"/>
        <w:ind w:left="360"/>
        <w:jc w:val="both"/>
        <w:rPr>
          <w:rFonts w:ascii="Arial" w:hAnsi="Arial" w:cs="Arial"/>
          <w:color w:val="4F81BD" w:themeColor="accent1"/>
          <w:sz w:val="24"/>
          <w:szCs w:val="24"/>
        </w:rPr>
      </w:pPr>
    </w:p>
    <w:p w14:paraId="6DF843B1" w14:textId="77777777" w:rsidR="00EC6B10" w:rsidRPr="00EC6B10" w:rsidRDefault="00EC6B10" w:rsidP="00534BAF">
      <w:pPr>
        <w:spacing w:after="200"/>
        <w:ind w:left="360"/>
        <w:jc w:val="both"/>
        <w:rPr>
          <w:rFonts w:ascii="Arial" w:hAnsi="Arial" w:cs="Arial"/>
          <w:color w:val="4F81BD" w:themeColor="accent1"/>
          <w:sz w:val="24"/>
          <w:szCs w:val="24"/>
        </w:rPr>
      </w:pPr>
    </w:p>
    <w:p w14:paraId="6DF843B2" w14:textId="77777777" w:rsidR="00A83DD0" w:rsidRDefault="005A0A1F" w:rsidP="005A0A1F">
      <w:pPr>
        <w:spacing w:after="200"/>
        <w:ind w:left="360"/>
        <w:jc w:val="right"/>
        <w:rPr>
          <w:sz w:val="24"/>
          <w:szCs w:val="24"/>
        </w:rPr>
      </w:pPr>
      <w:r w:rsidRPr="005A0A1F">
        <w:rPr>
          <w:sz w:val="24"/>
          <w:szCs w:val="24"/>
        </w:rPr>
        <w:t>Thank you for your responses and contributions</w:t>
      </w:r>
      <w:r>
        <w:rPr>
          <w:sz w:val="24"/>
          <w:szCs w:val="24"/>
        </w:rPr>
        <w:t>.</w:t>
      </w:r>
    </w:p>
    <w:p w14:paraId="6DF843B3" w14:textId="77777777" w:rsidR="00436346" w:rsidRPr="005A0A1F" w:rsidRDefault="00436346" w:rsidP="00216444">
      <w:pPr>
        <w:spacing w:after="200"/>
        <w:ind w:left="360"/>
        <w:jc w:val="right"/>
        <w:rPr>
          <w:b/>
          <w:sz w:val="24"/>
          <w:szCs w:val="24"/>
          <w:lang w:val="en-US"/>
        </w:rPr>
      </w:pPr>
    </w:p>
    <w:p w14:paraId="6DF843B4" w14:textId="77777777" w:rsidR="006C01C0" w:rsidRDefault="006C01C0" w:rsidP="00110BB9">
      <w:pPr>
        <w:pStyle w:val="ListParagraph"/>
        <w:numPr>
          <w:ilvl w:val="0"/>
          <w:numId w:val="2"/>
        </w:numPr>
        <w:spacing w:after="200"/>
        <w:jc w:val="both"/>
        <w:rPr>
          <w:b/>
        </w:rPr>
      </w:pPr>
      <w:r w:rsidRPr="005A0A1F">
        <w:rPr>
          <w:b/>
        </w:rPr>
        <w:t>Submission of responses</w:t>
      </w:r>
    </w:p>
    <w:p w14:paraId="6DF843B5" w14:textId="77777777" w:rsidR="00204657" w:rsidRDefault="006C01C0">
      <w:pPr>
        <w:spacing w:after="200"/>
        <w:ind w:left="360"/>
        <w:jc w:val="both"/>
        <w:rPr>
          <w:color w:val="000000" w:themeColor="text1"/>
          <w:sz w:val="24"/>
          <w:szCs w:val="24"/>
        </w:rPr>
      </w:pPr>
      <w:r w:rsidRPr="005A0A1F">
        <w:rPr>
          <w:color w:val="000000" w:themeColor="text1"/>
          <w:sz w:val="24"/>
          <w:szCs w:val="24"/>
        </w:rPr>
        <w:t xml:space="preserve">Due to limited capacity for translation, we kindly request that you submit your answers, if possible, in </w:t>
      </w:r>
      <w:r w:rsidRPr="005A0A1F">
        <w:rPr>
          <w:b/>
          <w:color w:val="000000" w:themeColor="text1"/>
          <w:sz w:val="24"/>
          <w:szCs w:val="24"/>
        </w:rPr>
        <w:t>English, Spanish or French</w:t>
      </w:r>
      <w:r w:rsidRPr="005A0A1F">
        <w:rPr>
          <w:color w:val="000000" w:themeColor="text1"/>
          <w:sz w:val="24"/>
          <w:szCs w:val="24"/>
        </w:rPr>
        <w:t xml:space="preserve"> and, no later than </w:t>
      </w:r>
      <w:r w:rsidR="00BC0810" w:rsidRPr="00BC0810">
        <w:rPr>
          <w:b/>
          <w:color w:val="000000" w:themeColor="text1"/>
          <w:sz w:val="24"/>
          <w:szCs w:val="24"/>
        </w:rPr>
        <w:t>30</w:t>
      </w:r>
      <w:r w:rsidRPr="00BC0810">
        <w:rPr>
          <w:b/>
          <w:color w:val="000000" w:themeColor="text1"/>
          <w:sz w:val="24"/>
          <w:szCs w:val="24"/>
        </w:rPr>
        <w:t xml:space="preserve"> May 2017.</w:t>
      </w:r>
      <w:r w:rsidRPr="005A0A1F">
        <w:rPr>
          <w:color w:val="000000" w:themeColor="text1"/>
          <w:sz w:val="24"/>
          <w:szCs w:val="24"/>
        </w:rPr>
        <w:t xml:space="preserve"> Kindly identify links or provide copies of any laws, documents or cases, related to your answers. All responses will be posted in the official web page of the Rapporteur unless you indicate otherwise at: </w:t>
      </w:r>
    </w:p>
    <w:p w14:paraId="6DF843B6" w14:textId="77777777" w:rsidR="006C01C0" w:rsidRPr="005A0A1F" w:rsidRDefault="00226FAA">
      <w:pPr>
        <w:spacing w:after="200"/>
        <w:ind w:left="360"/>
        <w:jc w:val="both"/>
        <w:rPr>
          <w:color w:val="000000" w:themeColor="text1"/>
          <w:sz w:val="24"/>
          <w:szCs w:val="24"/>
        </w:rPr>
      </w:pPr>
      <w:hyperlink r:id="rId13" w:history="1">
        <w:r w:rsidR="00204657" w:rsidRPr="0014303E">
          <w:rPr>
            <w:rStyle w:val="Hyperlink"/>
            <w:sz w:val="24"/>
            <w:szCs w:val="24"/>
          </w:rPr>
          <w:t>http://www.ohchr.org/EN/Issues/Disability/SRDisabilities</w:t>
        </w:r>
      </w:hyperlink>
      <w:r w:rsidR="00204657">
        <w:rPr>
          <w:color w:val="000000" w:themeColor="text1"/>
          <w:sz w:val="24"/>
          <w:szCs w:val="24"/>
        </w:rPr>
        <w:t xml:space="preserve"> </w:t>
      </w:r>
    </w:p>
    <w:p w14:paraId="6DF843B7" w14:textId="77777777" w:rsidR="00AF6A4B" w:rsidRDefault="006C01C0" w:rsidP="006C01C0">
      <w:pPr>
        <w:spacing w:after="200"/>
        <w:ind w:left="360"/>
        <w:jc w:val="both"/>
        <w:rPr>
          <w:color w:val="000000" w:themeColor="text1"/>
          <w:sz w:val="24"/>
          <w:szCs w:val="24"/>
        </w:rPr>
      </w:pPr>
      <w:r w:rsidRPr="005A0A1F">
        <w:rPr>
          <w:color w:val="000000" w:themeColor="text1"/>
          <w:sz w:val="24"/>
          <w:szCs w:val="24"/>
        </w:rPr>
        <w:t xml:space="preserve">Kindly </w:t>
      </w:r>
      <w:r w:rsidR="001772B8" w:rsidRPr="001772B8">
        <w:rPr>
          <w:color w:val="000000" w:themeColor="text1"/>
          <w:sz w:val="24"/>
          <w:szCs w:val="24"/>
        </w:rPr>
        <w:t xml:space="preserve">be concise in your responses </w:t>
      </w:r>
      <w:r w:rsidR="001772B8">
        <w:rPr>
          <w:color w:val="000000" w:themeColor="text1"/>
          <w:sz w:val="24"/>
          <w:szCs w:val="24"/>
        </w:rPr>
        <w:t>and them</w:t>
      </w:r>
      <w:r w:rsidRPr="005A0A1F">
        <w:rPr>
          <w:color w:val="000000" w:themeColor="text1"/>
          <w:sz w:val="24"/>
          <w:szCs w:val="24"/>
        </w:rPr>
        <w:t xml:space="preserve"> preferably via email to: </w:t>
      </w:r>
      <w:hyperlink r:id="rId14" w:history="1">
        <w:r w:rsidR="001D3509" w:rsidRPr="00C23E68">
          <w:rPr>
            <w:rStyle w:val="Hyperlink"/>
            <w:sz w:val="24"/>
            <w:szCs w:val="24"/>
          </w:rPr>
          <w:t>sr.disability@ohchr.org</w:t>
        </w:r>
      </w:hyperlink>
      <w:r w:rsidR="00204657">
        <w:rPr>
          <w:color w:val="000000" w:themeColor="text1"/>
          <w:sz w:val="24"/>
          <w:szCs w:val="24"/>
        </w:rPr>
        <w:t xml:space="preserve">, </w:t>
      </w:r>
      <w:r w:rsidRPr="005A0A1F">
        <w:rPr>
          <w:color w:val="000000" w:themeColor="text1"/>
          <w:sz w:val="24"/>
          <w:szCs w:val="24"/>
        </w:rPr>
        <w:t xml:space="preserve"> copying </w:t>
      </w:r>
      <w:hyperlink r:id="rId15" w:history="1">
        <w:r w:rsidR="00AF6A4B" w:rsidRPr="005A0A1F">
          <w:rPr>
            <w:rStyle w:val="Hyperlink"/>
            <w:sz w:val="24"/>
            <w:szCs w:val="24"/>
          </w:rPr>
          <w:t>registry@ohchr.org</w:t>
        </w:r>
      </w:hyperlink>
      <w:r w:rsidR="00B96B47">
        <w:rPr>
          <w:color w:val="000000" w:themeColor="text1"/>
          <w:sz w:val="24"/>
          <w:szCs w:val="24"/>
        </w:rPr>
        <w:t>.</w:t>
      </w:r>
    </w:p>
    <w:p w14:paraId="6DF843B8" w14:textId="77777777" w:rsidR="006C01C0" w:rsidRPr="005A0A1F" w:rsidRDefault="00AF6A4B" w:rsidP="006C01C0">
      <w:pPr>
        <w:spacing w:after="200"/>
        <w:ind w:left="360"/>
        <w:jc w:val="both"/>
        <w:rPr>
          <w:color w:val="000000" w:themeColor="text1"/>
          <w:sz w:val="24"/>
          <w:szCs w:val="24"/>
        </w:rPr>
      </w:pPr>
      <w:r w:rsidRPr="00AF6A4B">
        <w:rPr>
          <w:color w:val="000000" w:themeColor="text1"/>
          <w:sz w:val="24"/>
          <w:szCs w:val="24"/>
        </w:rPr>
        <w:t xml:space="preserve">For any question, please contact the Special Rapporteur through Ms. </w:t>
      </w:r>
      <w:r>
        <w:rPr>
          <w:color w:val="000000" w:themeColor="text1"/>
          <w:sz w:val="24"/>
          <w:szCs w:val="24"/>
        </w:rPr>
        <w:t>Alina Grigoras</w:t>
      </w:r>
      <w:r w:rsidRPr="00AF6A4B">
        <w:rPr>
          <w:color w:val="000000" w:themeColor="text1"/>
          <w:sz w:val="24"/>
          <w:szCs w:val="24"/>
        </w:rPr>
        <w:t xml:space="preserve">, human rights officer at Special Procedures Branch- OHCHR: email: </w:t>
      </w:r>
      <w:r>
        <w:rPr>
          <w:color w:val="000000" w:themeColor="text1"/>
          <w:sz w:val="24"/>
          <w:szCs w:val="24"/>
        </w:rPr>
        <w:t>agrigoras</w:t>
      </w:r>
      <w:r w:rsidRPr="00AF6A4B">
        <w:rPr>
          <w:color w:val="000000" w:themeColor="text1"/>
          <w:sz w:val="24"/>
          <w:szCs w:val="24"/>
        </w:rPr>
        <w:t xml:space="preserve">@ohchr.org; phone: +41 22 </w:t>
      </w:r>
      <w:r w:rsidRPr="00204657">
        <w:rPr>
          <w:color w:val="000000" w:themeColor="text1"/>
          <w:sz w:val="24"/>
          <w:szCs w:val="24"/>
        </w:rPr>
        <w:t>917 9</w:t>
      </w:r>
      <w:r w:rsidR="00204657" w:rsidRPr="005A0A1F">
        <w:rPr>
          <w:color w:val="000000" w:themeColor="text1"/>
          <w:sz w:val="24"/>
          <w:szCs w:val="24"/>
        </w:rPr>
        <w:t>2</w:t>
      </w:r>
      <w:r w:rsidRPr="00204657">
        <w:rPr>
          <w:color w:val="000000" w:themeColor="text1"/>
          <w:sz w:val="24"/>
          <w:szCs w:val="24"/>
        </w:rPr>
        <w:t xml:space="preserve"> </w:t>
      </w:r>
      <w:r w:rsidR="00204657" w:rsidRPr="005A0A1F">
        <w:rPr>
          <w:color w:val="000000" w:themeColor="text1"/>
          <w:sz w:val="24"/>
          <w:szCs w:val="24"/>
        </w:rPr>
        <w:t>89</w:t>
      </w:r>
      <w:r w:rsidRPr="00204657">
        <w:rPr>
          <w:color w:val="000000" w:themeColor="text1"/>
          <w:sz w:val="24"/>
          <w:szCs w:val="24"/>
        </w:rPr>
        <w:t xml:space="preserve">; or Ms. Cristina Michels, human rights officer at Special Procedures Branch- OHCHR: email: </w:t>
      </w:r>
      <w:r w:rsidR="00204657" w:rsidRPr="00204657">
        <w:rPr>
          <w:color w:val="000000" w:themeColor="text1"/>
          <w:sz w:val="24"/>
          <w:szCs w:val="24"/>
        </w:rPr>
        <w:t>cmichels@ohchr.org</w:t>
      </w:r>
      <w:r w:rsidRPr="00204657">
        <w:rPr>
          <w:color w:val="000000" w:themeColor="text1"/>
          <w:sz w:val="24"/>
          <w:szCs w:val="24"/>
        </w:rPr>
        <w:t xml:space="preserve">, phone +41 22 </w:t>
      </w:r>
      <w:r w:rsidR="00204657" w:rsidRPr="00204657">
        <w:rPr>
          <w:color w:val="000000" w:themeColor="text1"/>
          <w:sz w:val="24"/>
          <w:szCs w:val="24"/>
        </w:rPr>
        <w:t>928 9866</w:t>
      </w:r>
      <w:r w:rsidRPr="00204657">
        <w:rPr>
          <w:color w:val="000000" w:themeColor="text1"/>
          <w:sz w:val="24"/>
          <w:szCs w:val="24"/>
        </w:rPr>
        <w:t>.</w:t>
      </w:r>
    </w:p>
    <w:p w14:paraId="6DF843B9" w14:textId="77777777" w:rsidR="00AE2961" w:rsidRDefault="00AE2961">
      <w:pPr>
        <w:rPr>
          <w:b/>
        </w:rPr>
      </w:pPr>
    </w:p>
    <w:sectPr w:rsidR="00AE2961" w:rsidSect="00C772EF">
      <w:headerReference w:type="default" r:id="rId16"/>
      <w:footerReference w:type="default" r:id="rId17"/>
      <w:head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843BC" w14:textId="77777777" w:rsidR="005001D0" w:rsidRDefault="005001D0">
      <w:r>
        <w:separator/>
      </w:r>
    </w:p>
  </w:endnote>
  <w:endnote w:type="continuationSeparator" w:id="0">
    <w:p w14:paraId="6DF843BD" w14:textId="77777777" w:rsidR="005001D0" w:rsidRDefault="0050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43BF" w14:textId="77777777" w:rsidR="00DB48ED" w:rsidRDefault="00DB48E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843BA" w14:textId="77777777" w:rsidR="005001D0" w:rsidRDefault="005001D0">
      <w:r>
        <w:separator/>
      </w:r>
    </w:p>
  </w:footnote>
  <w:footnote w:type="continuationSeparator" w:id="0">
    <w:p w14:paraId="6DF843BB" w14:textId="77777777" w:rsidR="005001D0" w:rsidRDefault="005001D0">
      <w:r>
        <w:continuationSeparator/>
      </w:r>
    </w:p>
  </w:footnote>
  <w:footnote w:id="1">
    <w:p w14:paraId="6DF843C9" w14:textId="77777777" w:rsidR="008C3E69" w:rsidRDefault="008C3E69" w:rsidP="008C3E69">
      <w:pPr>
        <w:pStyle w:val="FootnoteText"/>
      </w:pPr>
      <w:r>
        <w:rPr>
          <w:rStyle w:val="FootnoteReference"/>
        </w:rPr>
        <w:footnoteRef/>
      </w:r>
      <w:r>
        <w:t xml:space="preserve"> Scottish Law Commission (2014) Report on Adults with Incapacity, available </w:t>
      </w:r>
      <w:hyperlink r:id="rId1" w:history="1">
        <w:r>
          <w:rPr>
            <w:rStyle w:val="Hyperlink"/>
          </w:rPr>
          <w:t>here</w:t>
        </w:r>
      </w:hyperlink>
      <w:r>
        <w:t xml:space="preserve"> </w:t>
      </w:r>
    </w:p>
  </w:footnote>
  <w:footnote w:id="2">
    <w:p w14:paraId="6DF843CA" w14:textId="77777777" w:rsidR="006704DA" w:rsidRDefault="006704DA">
      <w:pPr>
        <w:pStyle w:val="FootnoteText"/>
      </w:pPr>
      <w:r>
        <w:rPr>
          <w:rStyle w:val="FootnoteReference"/>
        </w:rPr>
        <w:footnoteRef/>
      </w:r>
      <w:r>
        <w:t xml:space="preserve"> </w:t>
      </w:r>
      <w:hyperlink r:id="rId2" w:history="1">
        <w:r w:rsidRPr="00BA03C8">
          <w:rPr>
            <w:rStyle w:val="Hyperlink"/>
          </w:rPr>
          <w:t>http://www.legislation.gov.uk/asp/2000/4/contents</w:t>
        </w:r>
      </w:hyperlink>
      <w:r>
        <w:t xml:space="preserve"> </w:t>
      </w:r>
    </w:p>
  </w:footnote>
  <w:footnote w:id="3">
    <w:p w14:paraId="6DF843CB" w14:textId="77777777" w:rsidR="008C3E69" w:rsidRDefault="008C3E69" w:rsidP="008C3E69">
      <w:pPr>
        <w:pStyle w:val="FootnoteText"/>
      </w:pPr>
      <w:r>
        <w:rPr>
          <w:rStyle w:val="FootnoteReference"/>
        </w:rPr>
        <w:footnoteRef/>
      </w:r>
      <w:r>
        <w:t xml:space="preserve"> Scottish Government published responses to the Scottish Law Commissions report on adults with incapacity, available </w:t>
      </w:r>
      <w:hyperlink r:id="rId3" w:history="1">
        <w:r>
          <w:rPr>
            <w:rStyle w:val="Hyperlink"/>
          </w:rPr>
          <w:t>here</w:t>
        </w:r>
      </w:hyperlink>
    </w:p>
  </w:footnote>
  <w:footnote w:id="4">
    <w:p w14:paraId="6DF843CC" w14:textId="77777777" w:rsidR="008C3E69" w:rsidRDefault="008C3E69" w:rsidP="008C3E69">
      <w:pPr>
        <w:pStyle w:val="FootnoteText"/>
      </w:pPr>
      <w:r>
        <w:rPr>
          <w:rStyle w:val="FootnoteReference"/>
        </w:rPr>
        <w:footnoteRef/>
      </w:r>
      <w:r>
        <w:t xml:space="preserve"> The Adults with Incapacity (Scotland) Act 2000, the Adult Support and Protection (Scotland) Act 2007 and the Mental Health (Care and Treatment)(Scotland) Act 2003.</w:t>
      </w:r>
    </w:p>
  </w:footnote>
  <w:footnote w:id="5">
    <w:p w14:paraId="6DF843CD" w14:textId="77777777" w:rsidR="00DE3BF4" w:rsidRDefault="00DE3BF4">
      <w:pPr>
        <w:pStyle w:val="FootnoteText"/>
      </w:pPr>
      <w:r>
        <w:rPr>
          <w:rStyle w:val="FootnoteReference"/>
        </w:rPr>
        <w:footnoteRef/>
      </w:r>
      <w:r>
        <w:t xml:space="preserve"> </w:t>
      </w:r>
      <w:r w:rsidR="005F0BBC">
        <w:t xml:space="preserve">Napier University Centre for Mental Health &amp; Capacity Law and MWC (May 2017) Scotland’s Mental Health and Capacity Law: the case for reform, available </w:t>
      </w:r>
      <w:hyperlink r:id="rId4" w:history="1">
        <w:r w:rsidR="005F0BBC" w:rsidRPr="005F0BBC">
          <w:rPr>
            <w:rStyle w:val="Hyperlink"/>
          </w:rPr>
          <w:t>here</w:t>
        </w:r>
      </w:hyperlink>
    </w:p>
  </w:footnote>
  <w:footnote w:id="6">
    <w:p w14:paraId="6DF843CE" w14:textId="77777777" w:rsidR="005F0BBC" w:rsidRDefault="005F0BBC">
      <w:pPr>
        <w:pStyle w:val="FootnoteText"/>
      </w:pPr>
      <w:r>
        <w:rPr>
          <w:rStyle w:val="FootnoteReference"/>
        </w:rPr>
        <w:footnoteRef/>
      </w:r>
      <w:r>
        <w:t xml:space="preserve"> </w:t>
      </w:r>
      <w:r w:rsidR="003A0B47">
        <w:t>Napier University and MWC (May 2017) s</w:t>
      </w:r>
      <w:r>
        <w:t>ee note 5 p3</w:t>
      </w:r>
    </w:p>
  </w:footnote>
  <w:footnote w:id="7">
    <w:p w14:paraId="6DF843CF" w14:textId="77777777" w:rsidR="006704DA" w:rsidRDefault="006704DA">
      <w:pPr>
        <w:pStyle w:val="FootnoteText"/>
      </w:pPr>
      <w:r>
        <w:rPr>
          <w:rStyle w:val="FootnoteReference"/>
        </w:rPr>
        <w:footnoteRef/>
      </w:r>
      <w:r>
        <w:t xml:space="preserve"> </w:t>
      </w:r>
      <w:hyperlink r:id="rId5" w:history="1">
        <w:r w:rsidRPr="00BA03C8">
          <w:rPr>
            <w:rStyle w:val="Hyperlink"/>
          </w:rPr>
          <w:t>http://www.gov.scot/Resource/0051/00516047.pdf</w:t>
        </w:r>
      </w:hyperlink>
      <w:r>
        <w:t xml:space="preserve"> </w:t>
      </w:r>
    </w:p>
  </w:footnote>
  <w:footnote w:id="8">
    <w:p w14:paraId="6DF843D0" w14:textId="77777777" w:rsidR="008F6E47" w:rsidRDefault="008F6E47">
      <w:pPr>
        <w:pStyle w:val="FootnoteText"/>
      </w:pPr>
      <w:r>
        <w:rPr>
          <w:rStyle w:val="FootnoteReference"/>
        </w:rPr>
        <w:footnoteRef/>
      </w:r>
      <w:r>
        <w:t xml:space="preserve"> </w:t>
      </w:r>
      <w:r w:rsidR="003A0B47">
        <w:t xml:space="preserve">Napier University and MWC (May 2017) see note 5 </w:t>
      </w:r>
      <w:r>
        <w:t>p11</w:t>
      </w:r>
    </w:p>
  </w:footnote>
  <w:footnote w:id="9">
    <w:p w14:paraId="6DF843D1" w14:textId="77777777" w:rsidR="006704DA" w:rsidRDefault="006704DA">
      <w:pPr>
        <w:pStyle w:val="FootnoteText"/>
      </w:pPr>
      <w:r>
        <w:rPr>
          <w:rStyle w:val="FootnoteReference"/>
        </w:rPr>
        <w:footnoteRef/>
      </w:r>
      <w:r>
        <w:t xml:space="preserve"> </w:t>
      </w:r>
      <w:hyperlink r:id="rId6" w:history="1">
        <w:r w:rsidRPr="00BA03C8">
          <w:rPr>
            <w:rStyle w:val="Hyperlink"/>
          </w:rPr>
          <w:t>http://www.legislation.gov.uk/asp/2003/13/contents</w:t>
        </w:r>
      </w:hyperlink>
      <w:r>
        <w:t xml:space="preserve"> </w:t>
      </w:r>
    </w:p>
  </w:footnote>
  <w:footnote w:id="10">
    <w:p w14:paraId="6DF843D2" w14:textId="77777777" w:rsidR="00F13C39" w:rsidRDefault="00F13C39">
      <w:pPr>
        <w:pStyle w:val="FootnoteText"/>
      </w:pPr>
      <w:r>
        <w:rPr>
          <w:rStyle w:val="FootnoteReference"/>
        </w:rPr>
        <w:footnoteRef/>
      </w:r>
      <w:r>
        <w:t xml:space="preserve"> Section 70 Adults with Incapacity (Scotland) Act 2000</w:t>
      </w:r>
    </w:p>
  </w:footnote>
  <w:footnote w:id="11">
    <w:p w14:paraId="6DF843D3" w14:textId="77777777" w:rsidR="009F6E27" w:rsidRDefault="009F6E27" w:rsidP="009F6E27">
      <w:pPr>
        <w:pStyle w:val="FootnoteText"/>
      </w:pPr>
      <w:r>
        <w:rPr>
          <w:rStyle w:val="FootnoteReference"/>
        </w:rPr>
        <w:footnoteRef/>
      </w:r>
      <w:r>
        <w:t xml:space="preserve"> </w:t>
      </w:r>
      <w:hyperlink r:id="rId7" w:history="1">
        <w:r w:rsidRPr="00BA03C8">
          <w:rPr>
            <w:rStyle w:val="Hyperlink"/>
          </w:rPr>
          <w:t>http://www.legislation.gov.uk/ukpga/1995/46/contents</w:t>
        </w:r>
      </w:hyperlink>
      <w:r>
        <w:t xml:space="preserve"> </w:t>
      </w:r>
    </w:p>
  </w:footnote>
  <w:footnote w:id="12">
    <w:p w14:paraId="6DF843D4" w14:textId="77777777" w:rsidR="009F6E27" w:rsidRDefault="009F6E27" w:rsidP="009F6E27">
      <w:pPr>
        <w:pStyle w:val="FootnoteText"/>
      </w:pPr>
      <w:r>
        <w:rPr>
          <w:rStyle w:val="FootnoteReference"/>
        </w:rPr>
        <w:footnoteRef/>
      </w:r>
      <w:r>
        <w:t xml:space="preserve"> </w:t>
      </w:r>
      <w:r w:rsidRPr="009F6E27">
        <w:t>Section 51A</w:t>
      </w:r>
    </w:p>
  </w:footnote>
  <w:footnote w:id="13">
    <w:p w14:paraId="6DF843D5" w14:textId="77777777" w:rsidR="00903AED" w:rsidRDefault="00903AED">
      <w:pPr>
        <w:pStyle w:val="FootnoteText"/>
      </w:pPr>
      <w:r>
        <w:rPr>
          <w:rStyle w:val="FootnoteReference"/>
        </w:rPr>
        <w:footnoteRef/>
      </w:r>
      <w:r>
        <w:t xml:space="preserve"> Section 53F</w:t>
      </w:r>
    </w:p>
  </w:footnote>
  <w:footnote w:id="14">
    <w:p w14:paraId="6DF843D6" w14:textId="77777777" w:rsidR="00110BB9" w:rsidRDefault="00110BB9">
      <w:pPr>
        <w:pStyle w:val="FootnoteText"/>
      </w:pPr>
      <w:r>
        <w:rPr>
          <w:rStyle w:val="FootnoteReference"/>
        </w:rPr>
        <w:footnoteRef/>
      </w:r>
      <w:r>
        <w:t xml:space="preserve"> </w:t>
      </w:r>
      <w:hyperlink r:id="rId8" w:history="1">
        <w:r w:rsidRPr="00BA03C8">
          <w:rPr>
            <w:rStyle w:val="Hyperlink"/>
          </w:rPr>
          <w:t>http://www.mwcscot.org.uk/media/342863/2016_awi_report_v3_07.09.2016_final_jw_27.09.16.pdf</w:t>
        </w:r>
      </w:hyperlink>
      <w:r>
        <w:t xml:space="preserve"> </w:t>
      </w:r>
    </w:p>
  </w:footnote>
  <w:footnote w:id="15">
    <w:p w14:paraId="6DF843D7" w14:textId="77777777" w:rsidR="00110BB9" w:rsidRDefault="00110BB9">
      <w:pPr>
        <w:pStyle w:val="FootnoteText"/>
      </w:pPr>
      <w:r>
        <w:rPr>
          <w:rStyle w:val="FootnoteReference"/>
        </w:rPr>
        <w:footnoteRef/>
      </w:r>
      <w:r>
        <w:t xml:space="preserve"> See footnote 11</w:t>
      </w:r>
    </w:p>
  </w:footnote>
  <w:footnote w:id="16">
    <w:p w14:paraId="6DF843D8" w14:textId="77777777" w:rsidR="00506360" w:rsidRDefault="00506360" w:rsidP="00506360">
      <w:pPr>
        <w:pStyle w:val="FootnoteText"/>
      </w:pPr>
      <w:r>
        <w:rPr>
          <w:rStyle w:val="FootnoteReference"/>
        </w:rPr>
        <w:footnoteRef/>
      </w:r>
      <w:r>
        <w:t xml:space="preserve"> Scottish Government (2000) Same As You? A review of services for people with learning disabilities available </w:t>
      </w:r>
      <w:hyperlink r:id="rId9" w:history="1">
        <w:r w:rsidRPr="00506360">
          <w:rPr>
            <w:rStyle w:val="Hyperlink"/>
          </w:rPr>
          <w:t>here</w:t>
        </w:r>
      </w:hyperlink>
    </w:p>
  </w:footnote>
  <w:footnote w:id="17">
    <w:p w14:paraId="6DF843D9" w14:textId="77777777" w:rsidR="00506360" w:rsidRDefault="00506360" w:rsidP="00506360">
      <w:pPr>
        <w:pStyle w:val="FootnoteText"/>
      </w:pPr>
      <w:r>
        <w:rPr>
          <w:rStyle w:val="FootnoteReference"/>
        </w:rPr>
        <w:footnoteRef/>
      </w:r>
      <w:r>
        <w:t xml:space="preserve"> Scottish Commission for Learning Disabilities (2016) Learning disability statistics Scotland 2015 available </w:t>
      </w:r>
      <w:hyperlink r:id="rId10" w:history="1">
        <w:r w:rsidRPr="00506360">
          <w:rPr>
            <w:rStyle w:val="Hyperlink"/>
          </w:rPr>
          <w:t>here</w:t>
        </w:r>
      </w:hyperlink>
    </w:p>
  </w:footnote>
  <w:footnote w:id="18">
    <w:p w14:paraId="6DF843DA" w14:textId="77777777" w:rsidR="001346E1" w:rsidRDefault="001346E1">
      <w:pPr>
        <w:pStyle w:val="FootnoteText"/>
      </w:pPr>
      <w:r>
        <w:rPr>
          <w:rStyle w:val="FootnoteReference"/>
        </w:rPr>
        <w:footnoteRef/>
      </w:r>
      <w:r>
        <w:t xml:space="preserve"> </w:t>
      </w:r>
      <w:hyperlink r:id="rId11" w:history="1">
        <w:r w:rsidRPr="00BA03C8">
          <w:rPr>
            <w:rStyle w:val="Hyperlink"/>
          </w:rPr>
          <w:t>http://www.mwcscot.org.uk/media/342871/mental_health_act_monitoring_2015-16.pdf</w:t>
        </w:r>
      </w:hyperlink>
      <w:r>
        <w:t xml:space="preserve"> </w:t>
      </w:r>
    </w:p>
  </w:footnote>
  <w:footnote w:id="19">
    <w:p w14:paraId="6DF843DB" w14:textId="77777777" w:rsidR="00A96485" w:rsidRDefault="00A96485">
      <w:pPr>
        <w:pStyle w:val="FootnoteText"/>
      </w:pPr>
      <w:r>
        <w:rPr>
          <w:rStyle w:val="FootnoteReference"/>
        </w:rPr>
        <w:footnoteRef/>
      </w:r>
      <w:r>
        <w:t xml:space="preserve"> </w:t>
      </w:r>
      <w:hyperlink r:id="rId12" w:history="1">
        <w:r w:rsidRPr="00BA03C8">
          <w:rPr>
            <w:rStyle w:val="Hyperlink"/>
          </w:rPr>
          <w:t>http://www.gov.scot/Publications/2016/09/9885/4</w:t>
        </w:r>
      </w:hyperlink>
      <w:r>
        <w:t xml:space="preserve"> </w:t>
      </w:r>
    </w:p>
  </w:footnote>
  <w:footnote w:id="20">
    <w:p w14:paraId="6DF843DC" w14:textId="77777777" w:rsidR="00A73274" w:rsidRDefault="00A73274" w:rsidP="00A73274">
      <w:pPr>
        <w:pStyle w:val="FootnoteText"/>
      </w:pPr>
      <w:r>
        <w:rPr>
          <w:rStyle w:val="FootnoteReference"/>
        </w:rPr>
        <w:footnoteRef/>
      </w:r>
      <w:r>
        <w:t xml:space="preserve"> </w:t>
      </w:r>
      <w:r w:rsidRPr="000805DF">
        <w:t>The Mental Health &amp; Learning Disability</w:t>
      </w:r>
      <w:r>
        <w:t xml:space="preserve"> Inpatient</w:t>
      </w:r>
      <w:r w:rsidRPr="000805DF">
        <w:t xml:space="preserve"> Bed Census, was carried out by the Scottish Government and NHS Boards as at midnight, </w:t>
      </w:r>
      <w:r>
        <w:t>31 March 2016</w:t>
      </w:r>
      <w:r w:rsidRPr="000805DF">
        <w:t>.</w:t>
      </w:r>
      <w:r>
        <w:t xml:space="preserve"> </w:t>
      </w:r>
      <w:hyperlink r:id="rId13" w:history="1">
        <w:r w:rsidRPr="00193EBB">
          <w:rPr>
            <w:rStyle w:val="Hyperlink"/>
          </w:rPr>
          <w:t>http://www.gov.scot/Resource/0050/00505394.pdf</w:t>
        </w:r>
      </w:hyperlink>
    </w:p>
  </w:footnote>
  <w:footnote w:id="21">
    <w:p w14:paraId="6DF843DD" w14:textId="77777777" w:rsidR="001346E1" w:rsidRDefault="001346E1">
      <w:pPr>
        <w:pStyle w:val="FootnoteText"/>
      </w:pPr>
      <w:r>
        <w:rPr>
          <w:rStyle w:val="FootnoteReference"/>
        </w:rPr>
        <w:footnoteRef/>
      </w:r>
      <w:r>
        <w:t xml:space="preserve"> See </w:t>
      </w:r>
      <w:r w:rsidR="00110BB9">
        <w:t>footnote 13</w:t>
      </w:r>
    </w:p>
  </w:footnote>
  <w:footnote w:id="22">
    <w:p w14:paraId="6DF843DE" w14:textId="77777777" w:rsidR="001346E1" w:rsidRDefault="001346E1">
      <w:pPr>
        <w:pStyle w:val="FootnoteText"/>
      </w:pPr>
      <w:r>
        <w:rPr>
          <w:rStyle w:val="FootnoteReference"/>
        </w:rPr>
        <w:footnoteRef/>
      </w:r>
      <w:r>
        <w:t xml:space="preserve"> See </w:t>
      </w:r>
      <w:r w:rsidR="00110BB9">
        <w:t>footnote 13</w:t>
      </w:r>
    </w:p>
  </w:footnote>
  <w:footnote w:id="23">
    <w:p w14:paraId="6DF843DF" w14:textId="77777777" w:rsidR="007D321A" w:rsidRDefault="007D321A" w:rsidP="007D321A">
      <w:pPr>
        <w:pStyle w:val="FootnoteText"/>
      </w:pPr>
      <w:r>
        <w:rPr>
          <w:rStyle w:val="FootnoteReference"/>
        </w:rPr>
        <w:footnoteRef/>
      </w:r>
      <w:r>
        <w:t xml:space="preserve"> Investigation into t</w:t>
      </w:r>
      <w:r w:rsidRPr="00DE435E">
        <w:t xml:space="preserve">he death of Ms MN, MWC, January 2016, Summary report available at </w:t>
      </w:r>
      <w:hyperlink r:id="rId14" w:history="1">
        <w:r w:rsidRPr="00DE435E">
          <w:rPr>
            <w:rStyle w:val="Hyperlink"/>
          </w:rPr>
          <w:t>http://www.mwcscot.org.uk/media/244679/ms_mn_investigation_summary_report.pdf</w:t>
        </w:r>
      </w:hyperlink>
      <w:r w:rsidRPr="00DE435E">
        <w:t xml:space="preserve"> </w:t>
      </w:r>
    </w:p>
  </w:footnote>
  <w:footnote w:id="24">
    <w:p w14:paraId="6DF843E0" w14:textId="77777777" w:rsidR="00863591" w:rsidRDefault="00863591">
      <w:pPr>
        <w:pStyle w:val="FootnoteText"/>
      </w:pPr>
      <w:r>
        <w:rPr>
          <w:rStyle w:val="FootnoteReference"/>
        </w:rPr>
        <w:footnoteRef/>
      </w:r>
      <w:r>
        <w:t xml:space="preserve"> EHRC &amp; SHRC (February 2017) Submission to the UN Committee on CRPD about disability rights in Scotland available </w:t>
      </w:r>
      <w:hyperlink r:id="rId15" w:history="1">
        <w:r w:rsidRPr="00863591">
          <w:rPr>
            <w:rStyle w:val="Hyperlink"/>
          </w:rPr>
          <w:t>here</w:t>
        </w:r>
      </w:hyperlink>
    </w:p>
  </w:footnote>
  <w:footnote w:id="25">
    <w:p w14:paraId="6DF843E1" w14:textId="77777777" w:rsidR="00863591" w:rsidRDefault="00863591">
      <w:pPr>
        <w:pStyle w:val="FootnoteText"/>
      </w:pPr>
      <w:r>
        <w:rPr>
          <w:rStyle w:val="FootnoteReference"/>
        </w:rPr>
        <w:footnoteRef/>
      </w:r>
      <w:r>
        <w:t xml:space="preserve"> Napier University and MWC (May 2017) Scotland’s Mental Health and Capacity Law: the Case for Reform available </w:t>
      </w:r>
      <w:hyperlink r:id="rId16" w:history="1">
        <w:r w:rsidRPr="00863591">
          <w:rPr>
            <w:rStyle w:val="Hyperlink"/>
          </w:rPr>
          <w:t>here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43BE" w14:textId="77777777" w:rsidR="00DB48ED" w:rsidRPr="00AD4CA9" w:rsidRDefault="00DB48ED"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14:anchorId="6DF843C5" wp14:editId="6DF843C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226FAA">
      <w:rPr>
        <w:noProof/>
        <w:sz w:val="14"/>
        <w:szCs w:val="14"/>
        <w:lang w:val="en-GB"/>
      </w:rPr>
      <w:t>10</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43C0" w14:textId="77777777" w:rsidR="00DB48ED" w:rsidRPr="00925A9D" w:rsidRDefault="00DB48ED"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14:anchorId="6DF843C7" wp14:editId="6DF843C8">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anchor>
      </w:drawing>
    </w:r>
    <w:r w:rsidRPr="00925A9D">
      <w:rPr>
        <w:sz w:val="14"/>
        <w:szCs w:val="14"/>
        <w:lang w:val="en-GB"/>
      </w:rPr>
      <w:t>HAUT-COMMISSARIAT AUX DROITS DE L’HOMME • OFFICE OF THE HIGH COMMISSIONER FOR HUMAN RIGHTS</w:t>
    </w:r>
  </w:p>
  <w:p w14:paraId="6DF843C1" w14:textId="77777777" w:rsidR="00DB48ED" w:rsidRPr="004746FB" w:rsidRDefault="00DB48ED" w:rsidP="00D3608E">
    <w:pPr>
      <w:pStyle w:val="Header"/>
      <w:tabs>
        <w:tab w:val="clear" w:pos="4153"/>
        <w:tab w:val="right" w:pos="3686"/>
        <w:tab w:val="left" w:pos="5812"/>
      </w:tabs>
      <w:jc w:val="center"/>
      <w:rPr>
        <w:sz w:val="14"/>
        <w:szCs w:val="14"/>
        <w:lang w:val="fr-CH"/>
      </w:rPr>
    </w:pPr>
    <w:r w:rsidRPr="004746FB">
      <w:rPr>
        <w:sz w:val="14"/>
        <w:szCs w:val="14"/>
        <w:lang w:val="fr-CH"/>
      </w:rPr>
      <w:t>PALAIS DES NATIONS • 1211 GENEVA 10, SWITZERLAND</w:t>
    </w:r>
  </w:p>
  <w:p w14:paraId="6DF843C2" w14:textId="77777777" w:rsidR="00DB48ED" w:rsidRDefault="00DB48ED" w:rsidP="00F45796">
    <w:pPr>
      <w:pStyle w:val="Header"/>
      <w:tabs>
        <w:tab w:val="clear" w:pos="4153"/>
        <w:tab w:val="clear" w:pos="8306"/>
        <w:tab w:val="right" w:pos="3686"/>
        <w:tab w:val="left" w:pos="5812"/>
      </w:tabs>
      <w:spacing w:before="80" w:after="360"/>
      <w:jc w:val="center"/>
      <w:rPr>
        <w:rStyle w:val="Hyperlink"/>
        <w:sz w:val="14"/>
        <w:szCs w:val="14"/>
        <w:lang w:val="fr-CH"/>
      </w:rPr>
    </w:pPr>
    <w:r>
      <w:rPr>
        <w:sz w:val="14"/>
        <w:szCs w:val="14"/>
        <w:lang w:val="fr-CH"/>
      </w:rPr>
      <w:t>www.ohchr.org • TEL: +41 22 928 9866 • FAX: +41 22 917 9006 • E-MAIL:</w:t>
    </w:r>
    <w:r w:rsidRPr="004F5665">
      <w:rPr>
        <w:sz w:val="14"/>
        <w:szCs w:val="14"/>
        <w:lang w:val="fr-CH"/>
      </w:rPr>
      <w:t xml:space="preserve"> </w:t>
    </w:r>
    <w:hyperlink r:id="rId2" w:history="1">
      <w:r w:rsidRPr="005339D9">
        <w:rPr>
          <w:rStyle w:val="Hyperlink"/>
          <w:sz w:val="14"/>
          <w:szCs w:val="14"/>
          <w:lang w:val="fr-CH"/>
        </w:rPr>
        <w:t>sr.disability@ohchr.org</w:t>
      </w:r>
    </w:hyperlink>
  </w:p>
  <w:p w14:paraId="6DF843C3" w14:textId="77777777" w:rsidR="00B02121" w:rsidRPr="00216444" w:rsidRDefault="00B02121" w:rsidP="00B02121">
    <w:pPr>
      <w:pStyle w:val="Header"/>
      <w:tabs>
        <w:tab w:val="clear" w:pos="4153"/>
        <w:tab w:val="clear" w:pos="8306"/>
        <w:tab w:val="right" w:pos="3686"/>
        <w:tab w:val="left" w:pos="5812"/>
      </w:tabs>
      <w:spacing w:before="80"/>
      <w:jc w:val="center"/>
      <w:rPr>
        <w:rFonts w:eastAsia="SimSun"/>
        <w:b/>
        <w:bCs/>
        <w:lang w:val="en-US" w:eastAsia="zh-CN"/>
      </w:rPr>
    </w:pPr>
    <w:r w:rsidRPr="00216444">
      <w:rPr>
        <w:rFonts w:eastAsia="SimSun"/>
        <w:b/>
        <w:bCs/>
        <w:lang w:val="en-US" w:eastAsia="zh-CN"/>
      </w:rPr>
      <w:t>Mandate of the Special Rapporteur on the rights of persons with disabilities</w:t>
    </w:r>
  </w:p>
  <w:p w14:paraId="6DF843C4" w14:textId="77777777" w:rsidR="00B02121" w:rsidRPr="009B6D38" w:rsidRDefault="00B02121" w:rsidP="00F45796">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A0BDC"/>
    <w:multiLevelType w:val="hybridMultilevel"/>
    <w:tmpl w:val="6BD8B6E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nsid w:val="330507A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C571353"/>
    <w:multiLevelType w:val="hybridMultilevel"/>
    <w:tmpl w:val="37D0B20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nsid w:val="3F3E68FA"/>
    <w:multiLevelType w:val="hybridMultilevel"/>
    <w:tmpl w:val="93B4DE5C"/>
    <w:lvl w:ilvl="0" w:tplc="5A0843D4">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454B1558"/>
    <w:multiLevelType w:val="hybridMultilevel"/>
    <w:tmpl w:val="74A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8F75FC"/>
    <w:multiLevelType w:val="hybridMultilevel"/>
    <w:tmpl w:val="11762C7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4C772AED"/>
    <w:multiLevelType w:val="hybridMultilevel"/>
    <w:tmpl w:val="E7D460E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D7165DA"/>
    <w:multiLevelType w:val="hybridMultilevel"/>
    <w:tmpl w:val="14D23034"/>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4F09CD"/>
    <w:multiLevelType w:val="hybridMultilevel"/>
    <w:tmpl w:val="F2B21DFC"/>
    <w:lvl w:ilvl="0" w:tplc="287447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E63ED3"/>
    <w:multiLevelType w:val="hybridMultilevel"/>
    <w:tmpl w:val="A614F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10"/>
  </w:num>
  <w:num w:numId="8">
    <w:abstractNumId w:val="2"/>
  </w:num>
  <w:num w:numId="9">
    <w:abstractNumId w:val="0"/>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837"/>
    <w:rsid w:val="0000105C"/>
    <w:rsid w:val="0000665F"/>
    <w:rsid w:val="0001082F"/>
    <w:rsid w:val="000138F6"/>
    <w:rsid w:val="00015868"/>
    <w:rsid w:val="00020DA8"/>
    <w:rsid w:val="00022272"/>
    <w:rsid w:val="0002581C"/>
    <w:rsid w:val="00026D1F"/>
    <w:rsid w:val="00030756"/>
    <w:rsid w:val="00037AD6"/>
    <w:rsid w:val="00041143"/>
    <w:rsid w:val="00044B57"/>
    <w:rsid w:val="000503A6"/>
    <w:rsid w:val="000526EE"/>
    <w:rsid w:val="00055898"/>
    <w:rsid w:val="0005688D"/>
    <w:rsid w:val="00062846"/>
    <w:rsid w:val="00064F32"/>
    <w:rsid w:val="00076F24"/>
    <w:rsid w:val="00077294"/>
    <w:rsid w:val="00082BC1"/>
    <w:rsid w:val="000875C6"/>
    <w:rsid w:val="000A0AF0"/>
    <w:rsid w:val="000A1BC3"/>
    <w:rsid w:val="000A2B89"/>
    <w:rsid w:val="000A31C1"/>
    <w:rsid w:val="000A6F03"/>
    <w:rsid w:val="000B3266"/>
    <w:rsid w:val="000C211B"/>
    <w:rsid w:val="000C3C16"/>
    <w:rsid w:val="000C3DE3"/>
    <w:rsid w:val="000C4ABB"/>
    <w:rsid w:val="000C59B5"/>
    <w:rsid w:val="000D0381"/>
    <w:rsid w:val="000D1385"/>
    <w:rsid w:val="000D34F2"/>
    <w:rsid w:val="000D4E3E"/>
    <w:rsid w:val="000D712B"/>
    <w:rsid w:val="000E42EE"/>
    <w:rsid w:val="000F68BA"/>
    <w:rsid w:val="00106F64"/>
    <w:rsid w:val="00107B32"/>
    <w:rsid w:val="00110BB9"/>
    <w:rsid w:val="00112587"/>
    <w:rsid w:val="00114BD7"/>
    <w:rsid w:val="00115798"/>
    <w:rsid w:val="0011754D"/>
    <w:rsid w:val="001204C4"/>
    <w:rsid w:val="001205D6"/>
    <w:rsid w:val="001225E3"/>
    <w:rsid w:val="001333BC"/>
    <w:rsid w:val="001346E1"/>
    <w:rsid w:val="001415C7"/>
    <w:rsid w:val="00144C13"/>
    <w:rsid w:val="00157F4E"/>
    <w:rsid w:val="001607B1"/>
    <w:rsid w:val="00166EE8"/>
    <w:rsid w:val="001676F2"/>
    <w:rsid w:val="00173844"/>
    <w:rsid w:val="00173E83"/>
    <w:rsid w:val="001772B8"/>
    <w:rsid w:val="00186CFB"/>
    <w:rsid w:val="001874B6"/>
    <w:rsid w:val="00194332"/>
    <w:rsid w:val="001B7C8A"/>
    <w:rsid w:val="001D3509"/>
    <w:rsid w:val="001E30F4"/>
    <w:rsid w:val="001E3384"/>
    <w:rsid w:val="001E3766"/>
    <w:rsid w:val="001E6AD2"/>
    <w:rsid w:val="001E6BDC"/>
    <w:rsid w:val="001F2BA8"/>
    <w:rsid w:val="00201178"/>
    <w:rsid w:val="002028A9"/>
    <w:rsid w:val="00203757"/>
    <w:rsid w:val="00204657"/>
    <w:rsid w:val="0021296A"/>
    <w:rsid w:val="00216444"/>
    <w:rsid w:val="00221893"/>
    <w:rsid w:val="00221FEB"/>
    <w:rsid w:val="00226FAA"/>
    <w:rsid w:val="00227B17"/>
    <w:rsid w:val="00227E2F"/>
    <w:rsid w:val="00235A1A"/>
    <w:rsid w:val="00240C25"/>
    <w:rsid w:val="002431DB"/>
    <w:rsid w:val="0025174E"/>
    <w:rsid w:val="00256678"/>
    <w:rsid w:val="0026293F"/>
    <w:rsid w:val="002646EE"/>
    <w:rsid w:val="00271518"/>
    <w:rsid w:val="00275009"/>
    <w:rsid w:val="002859D2"/>
    <w:rsid w:val="0028624E"/>
    <w:rsid w:val="002863A2"/>
    <w:rsid w:val="00292A4C"/>
    <w:rsid w:val="00293596"/>
    <w:rsid w:val="002945A5"/>
    <w:rsid w:val="002A2C99"/>
    <w:rsid w:val="002A40A1"/>
    <w:rsid w:val="002A59EA"/>
    <w:rsid w:val="002B5FF9"/>
    <w:rsid w:val="002B6BDD"/>
    <w:rsid w:val="002B7B06"/>
    <w:rsid w:val="002C0DAB"/>
    <w:rsid w:val="002C194D"/>
    <w:rsid w:val="002D0685"/>
    <w:rsid w:val="002D62B6"/>
    <w:rsid w:val="002E1B54"/>
    <w:rsid w:val="002E4075"/>
    <w:rsid w:val="002E65F4"/>
    <w:rsid w:val="002E6D19"/>
    <w:rsid w:val="002F4326"/>
    <w:rsid w:val="002F7E4F"/>
    <w:rsid w:val="0030301F"/>
    <w:rsid w:val="003051B1"/>
    <w:rsid w:val="00306D19"/>
    <w:rsid w:val="003150A1"/>
    <w:rsid w:val="0032244C"/>
    <w:rsid w:val="00326397"/>
    <w:rsid w:val="00335FB9"/>
    <w:rsid w:val="00336DB7"/>
    <w:rsid w:val="00336EE8"/>
    <w:rsid w:val="00341533"/>
    <w:rsid w:val="00344D33"/>
    <w:rsid w:val="00356299"/>
    <w:rsid w:val="0036289A"/>
    <w:rsid w:val="003730C2"/>
    <w:rsid w:val="0037416F"/>
    <w:rsid w:val="00375F6E"/>
    <w:rsid w:val="00382F49"/>
    <w:rsid w:val="00396591"/>
    <w:rsid w:val="00396E4C"/>
    <w:rsid w:val="003A0B47"/>
    <w:rsid w:val="003A2A47"/>
    <w:rsid w:val="003A3957"/>
    <w:rsid w:val="003A4DA9"/>
    <w:rsid w:val="003A6AFB"/>
    <w:rsid w:val="003A76EE"/>
    <w:rsid w:val="003B2DA2"/>
    <w:rsid w:val="003B3321"/>
    <w:rsid w:val="003B7DA0"/>
    <w:rsid w:val="003C2732"/>
    <w:rsid w:val="003C37C3"/>
    <w:rsid w:val="003C44C1"/>
    <w:rsid w:val="003D1D44"/>
    <w:rsid w:val="003D261F"/>
    <w:rsid w:val="003D3B58"/>
    <w:rsid w:val="003D3D66"/>
    <w:rsid w:val="003E2462"/>
    <w:rsid w:val="003F01A0"/>
    <w:rsid w:val="003F7DFF"/>
    <w:rsid w:val="004012F3"/>
    <w:rsid w:val="00405EA1"/>
    <w:rsid w:val="004068FF"/>
    <w:rsid w:val="00415EFC"/>
    <w:rsid w:val="00416496"/>
    <w:rsid w:val="00426596"/>
    <w:rsid w:val="00436346"/>
    <w:rsid w:val="00440E30"/>
    <w:rsid w:val="00442351"/>
    <w:rsid w:val="004424CE"/>
    <w:rsid w:val="00443DF5"/>
    <w:rsid w:val="0044586D"/>
    <w:rsid w:val="00447412"/>
    <w:rsid w:val="00447CCA"/>
    <w:rsid w:val="00455C6D"/>
    <w:rsid w:val="00456419"/>
    <w:rsid w:val="00460258"/>
    <w:rsid w:val="004746FB"/>
    <w:rsid w:val="00474CAA"/>
    <w:rsid w:val="00482B52"/>
    <w:rsid w:val="00482B9D"/>
    <w:rsid w:val="004907D5"/>
    <w:rsid w:val="0049194C"/>
    <w:rsid w:val="004A5E11"/>
    <w:rsid w:val="004C044F"/>
    <w:rsid w:val="004C0904"/>
    <w:rsid w:val="004C31F7"/>
    <w:rsid w:val="004C68D6"/>
    <w:rsid w:val="004D0824"/>
    <w:rsid w:val="004D41B0"/>
    <w:rsid w:val="004D53A2"/>
    <w:rsid w:val="004D6A7D"/>
    <w:rsid w:val="004D7705"/>
    <w:rsid w:val="004E0532"/>
    <w:rsid w:val="004E065E"/>
    <w:rsid w:val="004E0AB6"/>
    <w:rsid w:val="004E1E4C"/>
    <w:rsid w:val="004E25D2"/>
    <w:rsid w:val="004E49EC"/>
    <w:rsid w:val="004E4D86"/>
    <w:rsid w:val="004F0157"/>
    <w:rsid w:val="004F1220"/>
    <w:rsid w:val="004F4FC0"/>
    <w:rsid w:val="004F5665"/>
    <w:rsid w:val="004F60AF"/>
    <w:rsid w:val="004F64DD"/>
    <w:rsid w:val="005001D0"/>
    <w:rsid w:val="0050315E"/>
    <w:rsid w:val="00506360"/>
    <w:rsid w:val="005079ED"/>
    <w:rsid w:val="00517733"/>
    <w:rsid w:val="005214ED"/>
    <w:rsid w:val="00530D26"/>
    <w:rsid w:val="00530EF5"/>
    <w:rsid w:val="005339D9"/>
    <w:rsid w:val="00534BAF"/>
    <w:rsid w:val="0055573E"/>
    <w:rsid w:val="00562D63"/>
    <w:rsid w:val="00570A1B"/>
    <w:rsid w:val="00570F54"/>
    <w:rsid w:val="00571AF0"/>
    <w:rsid w:val="00572D8D"/>
    <w:rsid w:val="00576638"/>
    <w:rsid w:val="00580386"/>
    <w:rsid w:val="00580C92"/>
    <w:rsid w:val="005849E6"/>
    <w:rsid w:val="00585F8E"/>
    <w:rsid w:val="00586807"/>
    <w:rsid w:val="005871D9"/>
    <w:rsid w:val="00591247"/>
    <w:rsid w:val="005957ED"/>
    <w:rsid w:val="00596534"/>
    <w:rsid w:val="005A0A1F"/>
    <w:rsid w:val="005A2AE9"/>
    <w:rsid w:val="005A5F75"/>
    <w:rsid w:val="005B3534"/>
    <w:rsid w:val="005B50CE"/>
    <w:rsid w:val="005B5EF0"/>
    <w:rsid w:val="005C1172"/>
    <w:rsid w:val="005C1CCD"/>
    <w:rsid w:val="005D01DE"/>
    <w:rsid w:val="005D0B0B"/>
    <w:rsid w:val="005D1FED"/>
    <w:rsid w:val="005D2EC2"/>
    <w:rsid w:val="005D4F96"/>
    <w:rsid w:val="005D5169"/>
    <w:rsid w:val="005D51E8"/>
    <w:rsid w:val="005E7C37"/>
    <w:rsid w:val="005F0BBC"/>
    <w:rsid w:val="005F1599"/>
    <w:rsid w:val="005F2CEF"/>
    <w:rsid w:val="005F38F2"/>
    <w:rsid w:val="005F4FFD"/>
    <w:rsid w:val="005F5506"/>
    <w:rsid w:val="0060068B"/>
    <w:rsid w:val="006061A7"/>
    <w:rsid w:val="006079A3"/>
    <w:rsid w:val="006110A3"/>
    <w:rsid w:val="00611976"/>
    <w:rsid w:val="00611EFC"/>
    <w:rsid w:val="00623AE6"/>
    <w:rsid w:val="00627A52"/>
    <w:rsid w:val="00632504"/>
    <w:rsid w:val="006336F3"/>
    <w:rsid w:val="00636BD7"/>
    <w:rsid w:val="006412EA"/>
    <w:rsid w:val="00643190"/>
    <w:rsid w:val="00645695"/>
    <w:rsid w:val="0064790A"/>
    <w:rsid w:val="006605E5"/>
    <w:rsid w:val="006617A4"/>
    <w:rsid w:val="00661AB8"/>
    <w:rsid w:val="00667227"/>
    <w:rsid w:val="006704DA"/>
    <w:rsid w:val="006749F6"/>
    <w:rsid w:val="006819CB"/>
    <w:rsid w:val="00682D26"/>
    <w:rsid w:val="00682DDB"/>
    <w:rsid w:val="006834E4"/>
    <w:rsid w:val="00685F85"/>
    <w:rsid w:val="00692D3D"/>
    <w:rsid w:val="006934FC"/>
    <w:rsid w:val="00693AAF"/>
    <w:rsid w:val="006B5A71"/>
    <w:rsid w:val="006C01C0"/>
    <w:rsid w:val="006D2428"/>
    <w:rsid w:val="006D275B"/>
    <w:rsid w:val="006E6FF8"/>
    <w:rsid w:val="006F3B6C"/>
    <w:rsid w:val="006F527C"/>
    <w:rsid w:val="006F790C"/>
    <w:rsid w:val="00701DF3"/>
    <w:rsid w:val="00707819"/>
    <w:rsid w:val="00712363"/>
    <w:rsid w:val="00717F3F"/>
    <w:rsid w:val="007210F6"/>
    <w:rsid w:val="007211B9"/>
    <w:rsid w:val="00722C5E"/>
    <w:rsid w:val="00723438"/>
    <w:rsid w:val="0073154F"/>
    <w:rsid w:val="00732BA2"/>
    <w:rsid w:val="00733660"/>
    <w:rsid w:val="00733B7C"/>
    <w:rsid w:val="00741EBC"/>
    <w:rsid w:val="007432E5"/>
    <w:rsid w:val="007437D0"/>
    <w:rsid w:val="007450E8"/>
    <w:rsid w:val="0074546B"/>
    <w:rsid w:val="00751C4D"/>
    <w:rsid w:val="00752026"/>
    <w:rsid w:val="007537CF"/>
    <w:rsid w:val="0075629D"/>
    <w:rsid w:val="00760E35"/>
    <w:rsid w:val="007735C4"/>
    <w:rsid w:val="00774A56"/>
    <w:rsid w:val="00776BDB"/>
    <w:rsid w:val="00777275"/>
    <w:rsid w:val="00782D1D"/>
    <w:rsid w:val="0078767B"/>
    <w:rsid w:val="00790CBE"/>
    <w:rsid w:val="007B3923"/>
    <w:rsid w:val="007C4A8E"/>
    <w:rsid w:val="007C684C"/>
    <w:rsid w:val="007D1657"/>
    <w:rsid w:val="007D321A"/>
    <w:rsid w:val="007D37C8"/>
    <w:rsid w:val="007D77B1"/>
    <w:rsid w:val="007F2822"/>
    <w:rsid w:val="0080650B"/>
    <w:rsid w:val="0080765F"/>
    <w:rsid w:val="008100CE"/>
    <w:rsid w:val="0081081E"/>
    <w:rsid w:val="008226B7"/>
    <w:rsid w:val="00824961"/>
    <w:rsid w:val="00824E25"/>
    <w:rsid w:val="008318F2"/>
    <w:rsid w:val="0084002F"/>
    <w:rsid w:val="008405B2"/>
    <w:rsid w:val="00842220"/>
    <w:rsid w:val="008427AA"/>
    <w:rsid w:val="00843E67"/>
    <w:rsid w:val="00846A45"/>
    <w:rsid w:val="0084718C"/>
    <w:rsid w:val="008553DE"/>
    <w:rsid w:val="008568EA"/>
    <w:rsid w:val="008570CB"/>
    <w:rsid w:val="00863591"/>
    <w:rsid w:val="00864D88"/>
    <w:rsid w:val="008656FA"/>
    <w:rsid w:val="00872DA1"/>
    <w:rsid w:val="00874280"/>
    <w:rsid w:val="008774E3"/>
    <w:rsid w:val="008872F9"/>
    <w:rsid w:val="00897239"/>
    <w:rsid w:val="00897C8C"/>
    <w:rsid w:val="008A2DFC"/>
    <w:rsid w:val="008A5522"/>
    <w:rsid w:val="008B4DD7"/>
    <w:rsid w:val="008B5F77"/>
    <w:rsid w:val="008B62A4"/>
    <w:rsid w:val="008B6339"/>
    <w:rsid w:val="008C1E3D"/>
    <w:rsid w:val="008C2924"/>
    <w:rsid w:val="008C2E60"/>
    <w:rsid w:val="008C3E69"/>
    <w:rsid w:val="008C60C0"/>
    <w:rsid w:val="008C7026"/>
    <w:rsid w:val="008E46C1"/>
    <w:rsid w:val="008E4C61"/>
    <w:rsid w:val="008F3552"/>
    <w:rsid w:val="008F629B"/>
    <w:rsid w:val="008F6E47"/>
    <w:rsid w:val="00901820"/>
    <w:rsid w:val="009030FB"/>
    <w:rsid w:val="00903AED"/>
    <w:rsid w:val="00923E75"/>
    <w:rsid w:val="009240B2"/>
    <w:rsid w:val="00924630"/>
    <w:rsid w:val="0092551E"/>
    <w:rsid w:val="00925A9D"/>
    <w:rsid w:val="009303A7"/>
    <w:rsid w:val="00937642"/>
    <w:rsid w:val="00937CBB"/>
    <w:rsid w:val="00941F12"/>
    <w:rsid w:val="00944040"/>
    <w:rsid w:val="00944D89"/>
    <w:rsid w:val="00944E25"/>
    <w:rsid w:val="00945260"/>
    <w:rsid w:val="00950BCB"/>
    <w:rsid w:val="00953FCC"/>
    <w:rsid w:val="00955472"/>
    <w:rsid w:val="009578FA"/>
    <w:rsid w:val="00966856"/>
    <w:rsid w:val="00974600"/>
    <w:rsid w:val="0098227D"/>
    <w:rsid w:val="0098262F"/>
    <w:rsid w:val="009847B6"/>
    <w:rsid w:val="00984AA7"/>
    <w:rsid w:val="00991B17"/>
    <w:rsid w:val="00993C52"/>
    <w:rsid w:val="0099697A"/>
    <w:rsid w:val="009A4094"/>
    <w:rsid w:val="009B459A"/>
    <w:rsid w:val="009B6110"/>
    <w:rsid w:val="009B626E"/>
    <w:rsid w:val="009B6D38"/>
    <w:rsid w:val="009B7687"/>
    <w:rsid w:val="009C188F"/>
    <w:rsid w:val="009C2649"/>
    <w:rsid w:val="009C5BBA"/>
    <w:rsid w:val="009C7A1F"/>
    <w:rsid w:val="009D2E48"/>
    <w:rsid w:val="009D3F04"/>
    <w:rsid w:val="009D72C9"/>
    <w:rsid w:val="009D76A9"/>
    <w:rsid w:val="009E2638"/>
    <w:rsid w:val="009E3685"/>
    <w:rsid w:val="009F16F0"/>
    <w:rsid w:val="009F18EC"/>
    <w:rsid w:val="009F2043"/>
    <w:rsid w:val="009F39D8"/>
    <w:rsid w:val="009F416C"/>
    <w:rsid w:val="009F4FA5"/>
    <w:rsid w:val="009F50A1"/>
    <w:rsid w:val="009F6E27"/>
    <w:rsid w:val="00A000EF"/>
    <w:rsid w:val="00A01741"/>
    <w:rsid w:val="00A13674"/>
    <w:rsid w:val="00A162FA"/>
    <w:rsid w:val="00A16C16"/>
    <w:rsid w:val="00A21EF1"/>
    <w:rsid w:val="00A23FAB"/>
    <w:rsid w:val="00A241B2"/>
    <w:rsid w:val="00A2422E"/>
    <w:rsid w:val="00A247B3"/>
    <w:rsid w:val="00A34DA7"/>
    <w:rsid w:val="00A35862"/>
    <w:rsid w:val="00A3761B"/>
    <w:rsid w:val="00A40C26"/>
    <w:rsid w:val="00A439B9"/>
    <w:rsid w:val="00A5145B"/>
    <w:rsid w:val="00A517F6"/>
    <w:rsid w:val="00A51A2D"/>
    <w:rsid w:val="00A54482"/>
    <w:rsid w:val="00A61E26"/>
    <w:rsid w:val="00A621F4"/>
    <w:rsid w:val="00A63977"/>
    <w:rsid w:val="00A653BE"/>
    <w:rsid w:val="00A713CE"/>
    <w:rsid w:val="00A717FB"/>
    <w:rsid w:val="00A73274"/>
    <w:rsid w:val="00A76A88"/>
    <w:rsid w:val="00A83DD0"/>
    <w:rsid w:val="00A86B19"/>
    <w:rsid w:val="00A9233A"/>
    <w:rsid w:val="00A96485"/>
    <w:rsid w:val="00AB0475"/>
    <w:rsid w:val="00AB0DFE"/>
    <w:rsid w:val="00AB1767"/>
    <w:rsid w:val="00AB3A09"/>
    <w:rsid w:val="00AC2E50"/>
    <w:rsid w:val="00AC50E4"/>
    <w:rsid w:val="00AD4CA9"/>
    <w:rsid w:val="00AD7060"/>
    <w:rsid w:val="00AE1D18"/>
    <w:rsid w:val="00AE2961"/>
    <w:rsid w:val="00AE5A4E"/>
    <w:rsid w:val="00AF291B"/>
    <w:rsid w:val="00AF6A4B"/>
    <w:rsid w:val="00B02121"/>
    <w:rsid w:val="00B04529"/>
    <w:rsid w:val="00B066FB"/>
    <w:rsid w:val="00B12FB5"/>
    <w:rsid w:val="00B14752"/>
    <w:rsid w:val="00B16AB8"/>
    <w:rsid w:val="00B258E3"/>
    <w:rsid w:val="00B27710"/>
    <w:rsid w:val="00B34205"/>
    <w:rsid w:val="00B35629"/>
    <w:rsid w:val="00B36502"/>
    <w:rsid w:val="00B42B30"/>
    <w:rsid w:val="00B458C8"/>
    <w:rsid w:val="00B458F6"/>
    <w:rsid w:val="00B50EFF"/>
    <w:rsid w:val="00B54DD5"/>
    <w:rsid w:val="00B7425B"/>
    <w:rsid w:val="00B82E7C"/>
    <w:rsid w:val="00B84B37"/>
    <w:rsid w:val="00B84F46"/>
    <w:rsid w:val="00B84FC7"/>
    <w:rsid w:val="00B91D9D"/>
    <w:rsid w:val="00B96B47"/>
    <w:rsid w:val="00BA3887"/>
    <w:rsid w:val="00BB1A81"/>
    <w:rsid w:val="00BB71C4"/>
    <w:rsid w:val="00BC0810"/>
    <w:rsid w:val="00BC39DE"/>
    <w:rsid w:val="00BD6119"/>
    <w:rsid w:val="00BD67CD"/>
    <w:rsid w:val="00BD67DD"/>
    <w:rsid w:val="00BD6F49"/>
    <w:rsid w:val="00BD7280"/>
    <w:rsid w:val="00BE6E03"/>
    <w:rsid w:val="00BE7B68"/>
    <w:rsid w:val="00BF67DE"/>
    <w:rsid w:val="00C00049"/>
    <w:rsid w:val="00C01373"/>
    <w:rsid w:val="00C12BED"/>
    <w:rsid w:val="00C14DC2"/>
    <w:rsid w:val="00C224D9"/>
    <w:rsid w:val="00C23DDD"/>
    <w:rsid w:val="00C25838"/>
    <w:rsid w:val="00C30276"/>
    <w:rsid w:val="00C30D40"/>
    <w:rsid w:val="00C35851"/>
    <w:rsid w:val="00C4370B"/>
    <w:rsid w:val="00C55F78"/>
    <w:rsid w:val="00C57E94"/>
    <w:rsid w:val="00C64254"/>
    <w:rsid w:val="00C67598"/>
    <w:rsid w:val="00C726D3"/>
    <w:rsid w:val="00C74811"/>
    <w:rsid w:val="00C772EF"/>
    <w:rsid w:val="00C82CCE"/>
    <w:rsid w:val="00C869DD"/>
    <w:rsid w:val="00C87E89"/>
    <w:rsid w:val="00C92230"/>
    <w:rsid w:val="00C9250F"/>
    <w:rsid w:val="00C93AA0"/>
    <w:rsid w:val="00CA0E94"/>
    <w:rsid w:val="00CA1C66"/>
    <w:rsid w:val="00CA4D3D"/>
    <w:rsid w:val="00CA5658"/>
    <w:rsid w:val="00CA618D"/>
    <w:rsid w:val="00CA7ED5"/>
    <w:rsid w:val="00CB1C6E"/>
    <w:rsid w:val="00CB5595"/>
    <w:rsid w:val="00CC1D6E"/>
    <w:rsid w:val="00CC43B1"/>
    <w:rsid w:val="00CC5BEF"/>
    <w:rsid w:val="00CD009E"/>
    <w:rsid w:val="00CD2C58"/>
    <w:rsid w:val="00CE2415"/>
    <w:rsid w:val="00CE407C"/>
    <w:rsid w:val="00CF1AA7"/>
    <w:rsid w:val="00CF418C"/>
    <w:rsid w:val="00CF5C93"/>
    <w:rsid w:val="00CF6119"/>
    <w:rsid w:val="00D00DDC"/>
    <w:rsid w:val="00D01267"/>
    <w:rsid w:val="00D02330"/>
    <w:rsid w:val="00D024BD"/>
    <w:rsid w:val="00D02F61"/>
    <w:rsid w:val="00D03E06"/>
    <w:rsid w:val="00D07550"/>
    <w:rsid w:val="00D1452C"/>
    <w:rsid w:val="00D25420"/>
    <w:rsid w:val="00D32E5B"/>
    <w:rsid w:val="00D3608E"/>
    <w:rsid w:val="00D36635"/>
    <w:rsid w:val="00D4001E"/>
    <w:rsid w:val="00D4333B"/>
    <w:rsid w:val="00D5082F"/>
    <w:rsid w:val="00D52509"/>
    <w:rsid w:val="00D55275"/>
    <w:rsid w:val="00D6041F"/>
    <w:rsid w:val="00D641BA"/>
    <w:rsid w:val="00D67524"/>
    <w:rsid w:val="00D70178"/>
    <w:rsid w:val="00D76F83"/>
    <w:rsid w:val="00D83F03"/>
    <w:rsid w:val="00D84C7E"/>
    <w:rsid w:val="00D85112"/>
    <w:rsid w:val="00D8795F"/>
    <w:rsid w:val="00D9166A"/>
    <w:rsid w:val="00D93F82"/>
    <w:rsid w:val="00D968C8"/>
    <w:rsid w:val="00DA2ACE"/>
    <w:rsid w:val="00DB48ED"/>
    <w:rsid w:val="00DB5616"/>
    <w:rsid w:val="00DC17A0"/>
    <w:rsid w:val="00DC5406"/>
    <w:rsid w:val="00DC6CA2"/>
    <w:rsid w:val="00DD4909"/>
    <w:rsid w:val="00DD581B"/>
    <w:rsid w:val="00DE3BF4"/>
    <w:rsid w:val="00E11173"/>
    <w:rsid w:val="00E15347"/>
    <w:rsid w:val="00E2240F"/>
    <w:rsid w:val="00E225BD"/>
    <w:rsid w:val="00E325CB"/>
    <w:rsid w:val="00E370FB"/>
    <w:rsid w:val="00E524D4"/>
    <w:rsid w:val="00E53277"/>
    <w:rsid w:val="00E5561D"/>
    <w:rsid w:val="00E60057"/>
    <w:rsid w:val="00E657DD"/>
    <w:rsid w:val="00E679E8"/>
    <w:rsid w:val="00E719B8"/>
    <w:rsid w:val="00E72D46"/>
    <w:rsid w:val="00E73EA5"/>
    <w:rsid w:val="00E75D57"/>
    <w:rsid w:val="00E80679"/>
    <w:rsid w:val="00E80682"/>
    <w:rsid w:val="00E80ED1"/>
    <w:rsid w:val="00E82366"/>
    <w:rsid w:val="00E84254"/>
    <w:rsid w:val="00E85F96"/>
    <w:rsid w:val="00E8603C"/>
    <w:rsid w:val="00E92EC2"/>
    <w:rsid w:val="00E95A5E"/>
    <w:rsid w:val="00EA33B0"/>
    <w:rsid w:val="00EA6B3E"/>
    <w:rsid w:val="00EA71F1"/>
    <w:rsid w:val="00EB0A8B"/>
    <w:rsid w:val="00EB16B1"/>
    <w:rsid w:val="00EB3D33"/>
    <w:rsid w:val="00EC04F9"/>
    <w:rsid w:val="00EC6B10"/>
    <w:rsid w:val="00EE18F3"/>
    <w:rsid w:val="00EE3D40"/>
    <w:rsid w:val="00EE5BA8"/>
    <w:rsid w:val="00EE7D52"/>
    <w:rsid w:val="00EF0007"/>
    <w:rsid w:val="00EF0135"/>
    <w:rsid w:val="00EF0E4B"/>
    <w:rsid w:val="00EF4E04"/>
    <w:rsid w:val="00F006B5"/>
    <w:rsid w:val="00F13C39"/>
    <w:rsid w:val="00F143F3"/>
    <w:rsid w:val="00F14B4D"/>
    <w:rsid w:val="00F220DA"/>
    <w:rsid w:val="00F359EB"/>
    <w:rsid w:val="00F45796"/>
    <w:rsid w:val="00F47B64"/>
    <w:rsid w:val="00F51153"/>
    <w:rsid w:val="00F611C6"/>
    <w:rsid w:val="00F6765A"/>
    <w:rsid w:val="00F72FF7"/>
    <w:rsid w:val="00F73634"/>
    <w:rsid w:val="00F80A14"/>
    <w:rsid w:val="00F80D28"/>
    <w:rsid w:val="00F862E8"/>
    <w:rsid w:val="00F87FEA"/>
    <w:rsid w:val="00F92766"/>
    <w:rsid w:val="00F92E1A"/>
    <w:rsid w:val="00F97DF1"/>
    <w:rsid w:val="00FA56DE"/>
    <w:rsid w:val="00FA5C41"/>
    <w:rsid w:val="00FA6240"/>
    <w:rsid w:val="00FA6292"/>
    <w:rsid w:val="00FA6A44"/>
    <w:rsid w:val="00FB15CC"/>
    <w:rsid w:val="00FB41B6"/>
    <w:rsid w:val="00FC1DDB"/>
    <w:rsid w:val="00FC7567"/>
    <w:rsid w:val="00FD4A7B"/>
    <w:rsid w:val="00FD63DC"/>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F8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nhideWhenUsed/>
    <w:qFormat/>
    <w:rsid w:val="004A5E11"/>
    <w:rPr>
      <w:sz w:val="24"/>
      <w:szCs w:val="24"/>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rsid w:val="004A5E11"/>
    <w:rPr>
      <w:sz w:val="24"/>
      <w:szCs w:val="24"/>
      <w:lang w:eastAsia="en-US"/>
    </w:rPr>
  </w:style>
  <w:style w:type="character" w:styleId="FollowedHyperlink">
    <w:name w:val="FollowedHyperlink"/>
    <w:basedOn w:val="DefaultParagraphFont"/>
    <w:semiHidden/>
    <w:unhideWhenUsed/>
    <w:rsid w:val="008C3E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nhideWhenUsed/>
    <w:qFormat/>
    <w:rsid w:val="004A5E11"/>
    <w:rPr>
      <w:sz w:val="24"/>
      <w:szCs w:val="24"/>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rsid w:val="004A5E11"/>
    <w:rPr>
      <w:sz w:val="24"/>
      <w:szCs w:val="24"/>
      <w:lang w:eastAsia="en-US"/>
    </w:rPr>
  </w:style>
  <w:style w:type="character" w:styleId="FollowedHyperlink">
    <w:name w:val="FollowedHyperlink"/>
    <w:basedOn w:val="DefaultParagraphFont"/>
    <w:semiHidden/>
    <w:unhideWhenUsed/>
    <w:rsid w:val="008C3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95">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85668341">
      <w:bodyDiv w:val="1"/>
      <w:marLeft w:val="0"/>
      <w:marRight w:val="0"/>
      <w:marTop w:val="0"/>
      <w:marBottom w:val="0"/>
      <w:divBdr>
        <w:top w:val="none" w:sz="0" w:space="0" w:color="auto"/>
        <w:left w:val="none" w:sz="0" w:space="0" w:color="auto"/>
        <w:bottom w:val="none" w:sz="0" w:space="0" w:color="auto"/>
        <w:right w:val="none" w:sz="0" w:space="0" w:color="auto"/>
      </w:divBdr>
    </w:div>
    <w:div w:id="889804353">
      <w:bodyDiv w:val="1"/>
      <w:marLeft w:val="0"/>
      <w:marRight w:val="0"/>
      <w:marTop w:val="0"/>
      <w:marBottom w:val="0"/>
      <w:divBdr>
        <w:top w:val="none" w:sz="0" w:space="0" w:color="auto"/>
        <w:left w:val="none" w:sz="0" w:space="0" w:color="auto"/>
        <w:bottom w:val="none" w:sz="0" w:space="0" w:color="auto"/>
        <w:right w:val="none" w:sz="0" w:space="0" w:color="auto"/>
      </w:divBdr>
    </w:div>
    <w:div w:id="1360551510">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21719976">
      <w:bodyDiv w:val="1"/>
      <w:marLeft w:val="0"/>
      <w:marRight w:val="0"/>
      <w:marTop w:val="0"/>
      <w:marBottom w:val="0"/>
      <w:divBdr>
        <w:top w:val="none" w:sz="0" w:space="0" w:color="auto"/>
        <w:left w:val="none" w:sz="0" w:space="0" w:color="auto"/>
        <w:bottom w:val="none" w:sz="0" w:space="0" w:color="auto"/>
        <w:right w:val="none" w:sz="0" w:space="0" w:color="auto"/>
      </w:divBdr>
      <w:divsChild>
        <w:div w:id="1082797446">
          <w:marLeft w:val="0"/>
          <w:marRight w:val="0"/>
          <w:marTop w:val="0"/>
          <w:marBottom w:val="0"/>
          <w:divBdr>
            <w:top w:val="none" w:sz="0" w:space="0" w:color="auto"/>
            <w:left w:val="none" w:sz="0" w:space="0" w:color="auto"/>
            <w:bottom w:val="none" w:sz="0" w:space="0" w:color="auto"/>
            <w:right w:val="none" w:sz="0" w:space="0" w:color="auto"/>
          </w:divBdr>
          <w:divsChild>
            <w:div w:id="1960141979">
              <w:marLeft w:val="0"/>
              <w:marRight w:val="0"/>
              <w:marTop w:val="0"/>
              <w:marBottom w:val="0"/>
              <w:divBdr>
                <w:top w:val="single" w:sz="2" w:space="0" w:color="FFFFFF"/>
                <w:left w:val="single" w:sz="6" w:space="0" w:color="FFFFFF"/>
                <w:bottom w:val="single" w:sz="6" w:space="0" w:color="FFFFFF"/>
                <w:right w:val="single" w:sz="6" w:space="0" w:color="FFFFFF"/>
              </w:divBdr>
              <w:divsChild>
                <w:div w:id="698699454">
                  <w:marLeft w:val="0"/>
                  <w:marRight w:val="0"/>
                  <w:marTop w:val="0"/>
                  <w:marBottom w:val="0"/>
                  <w:divBdr>
                    <w:top w:val="single" w:sz="6" w:space="1" w:color="D3D3D3"/>
                    <w:left w:val="none" w:sz="0" w:space="0" w:color="auto"/>
                    <w:bottom w:val="none" w:sz="0" w:space="0" w:color="auto"/>
                    <w:right w:val="none" w:sz="0" w:space="0" w:color="auto"/>
                  </w:divBdr>
                  <w:divsChild>
                    <w:div w:id="1707021508">
                      <w:marLeft w:val="0"/>
                      <w:marRight w:val="0"/>
                      <w:marTop w:val="0"/>
                      <w:marBottom w:val="0"/>
                      <w:divBdr>
                        <w:top w:val="none" w:sz="0" w:space="0" w:color="auto"/>
                        <w:left w:val="none" w:sz="0" w:space="0" w:color="auto"/>
                        <w:bottom w:val="none" w:sz="0" w:space="0" w:color="auto"/>
                        <w:right w:val="none" w:sz="0" w:space="0" w:color="auto"/>
                      </w:divBdr>
                      <w:divsChild>
                        <w:div w:id="3478348">
                          <w:marLeft w:val="0"/>
                          <w:marRight w:val="0"/>
                          <w:marTop w:val="0"/>
                          <w:marBottom w:val="0"/>
                          <w:divBdr>
                            <w:top w:val="none" w:sz="0" w:space="0" w:color="auto"/>
                            <w:left w:val="none" w:sz="0" w:space="0" w:color="auto"/>
                            <w:bottom w:val="none" w:sz="0" w:space="0" w:color="auto"/>
                            <w:right w:val="none" w:sz="0" w:space="0" w:color="auto"/>
                          </w:divBdr>
                          <w:divsChild>
                            <w:div w:id="1317957967">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7811">
      <w:bodyDiv w:val="1"/>
      <w:marLeft w:val="0"/>
      <w:marRight w:val="0"/>
      <w:marTop w:val="0"/>
      <w:marBottom w:val="0"/>
      <w:divBdr>
        <w:top w:val="none" w:sz="0" w:space="0" w:color="auto"/>
        <w:left w:val="none" w:sz="0" w:space="0" w:color="auto"/>
        <w:bottom w:val="none" w:sz="0" w:space="0" w:color="auto"/>
        <w:right w:val="none" w:sz="0" w:space="0" w:color="auto"/>
      </w:divBdr>
      <w:divsChild>
        <w:div w:id="599332832">
          <w:marLeft w:val="0"/>
          <w:marRight w:val="0"/>
          <w:marTop w:val="0"/>
          <w:marBottom w:val="0"/>
          <w:divBdr>
            <w:top w:val="none" w:sz="0" w:space="0" w:color="auto"/>
            <w:left w:val="none" w:sz="0" w:space="0" w:color="auto"/>
            <w:bottom w:val="none" w:sz="0" w:space="0" w:color="auto"/>
            <w:right w:val="none" w:sz="0" w:space="0" w:color="auto"/>
          </w:divBdr>
          <w:divsChild>
            <w:div w:id="907694250">
              <w:marLeft w:val="0"/>
              <w:marRight w:val="0"/>
              <w:marTop w:val="0"/>
              <w:marBottom w:val="0"/>
              <w:divBdr>
                <w:top w:val="none" w:sz="0" w:space="0" w:color="auto"/>
                <w:left w:val="none" w:sz="0" w:space="0" w:color="auto"/>
                <w:bottom w:val="none" w:sz="0" w:space="0" w:color="auto"/>
                <w:right w:val="none" w:sz="0" w:space="0" w:color="auto"/>
              </w:divBdr>
              <w:divsChild>
                <w:div w:id="1515340826">
                  <w:marLeft w:val="0"/>
                  <w:marRight w:val="0"/>
                  <w:marTop w:val="0"/>
                  <w:marBottom w:val="0"/>
                  <w:divBdr>
                    <w:top w:val="none" w:sz="0" w:space="0" w:color="auto"/>
                    <w:left w:val="none" w:sz="0" w:space="0" w:color="auto"/>
                    <w:bottom w:val="none" w:sz="0" w:space="0" w:color="auto"/>
                    <w:right w:val="none" w:sz="0" w:space="0" w:color="auto"/>
                  </w:divBdr>
                  <w:divsChild>
                    <w:div w:id="611786843">
                      <w:marLeft w:val="0"/>
                      <w:marRight w:val="0"/>
                      <w:marTop w:val="0"/>
                      <w:marBottom w:val="0"/>
                      <w:divBdr>
                        <w:top w:val="none" w:sz="0" w:space="0" w:color="auto"/>
                        <w:left w:val="none" w:sz="0" w:space="0" w:color="auto"/>
                        <w:bottom w:val="none" w:sz="0" w:space="0" w:color="auto"/>
                        <w:right w:val="none" w:sz="0" w:space="0" w:color="auto"/>
                      </w:divBdr>
                      <w:divsChild>
                        <w:div w:id="1756703671">
                          <w:marLeft w:val="0"/>
                          <w:marRight w:val="0"/>
                          <w:marTop w:val="0"/>
                          <w:marBottom w:val="0"/>
                          <w:divBdr>
                            <w:top w:val="none" w:sz="0" w:space="0" w:color="auto"/>
                            <w:left w:val="none" w:sz="0" w:space="0" w:color="auto"/>
                            <w:bottom w:val="none" w:sz="0" w:space="0" w:color="auto"/>
                            <w:right w:val="none" w:sz="0" w:space="0" w:color="auto"/>
                          </w:divBdr>
                          <w:divsChild>
                            <w:div w:id="7881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EN/Issues/Disability/SRDisabilities"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wcscot.org.uk/publications/investigation-repor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egistry@ohchr.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r.disability@ohch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wcscot.org.uk/media/342863/2016_awi_report_v3_07.09.2016_final_jw_27.09.16.pdf" TargetMode="External"/><Relationship Id="rId13" Type="http://schemas.openxmlformats.org/officeDocument/2006/relationships/hyperlink" Target="http://www.gov.scot/Resource/0050/00505394.pdf" TargetMode="External"/><Relationship Id="rId3" Type="http://schemas.openxmlformats.org/officeDocument/2006/relationships/hyperlink" Target="https://consult.scotland.gov.uk/integration-partnerships/report-on-adults-with-incapacity/consultation/published_select_respondent" TargetMode="External"/><Relationship Id="rId7" Type="http://schemas.openxmlformats.org/officeDocument/2006/relationships/hyperlink" Target="http://www.legislation.gov.uk/ukpga/1995/46/contents" TargetMode="External"/><Relationship Id="rId12" Type="http://schemas.openxmlformats.org/officeDocument/2006/relationships/hyperlink" Target="http://www.gov.scot/Publications/2016/09/9885/4" TargetMode="External"/><Relationship Id="rId2" Type="http://schemas.openxmlformats.org/officeDocument/2006/relationships/hyperlink" Target="http://www.legislation.gov.uk/asp/2000/4/contents" TargetMode="External"/><Relationship Id="rId16" Type="http://schemas.openxmlformats.org/officeDocument/2006/relationships/hyperlink" Target="http://www.mwcscot.org.uk/publications/corporate-reports/" TargetMode="External"/><Relationship Id="rId1" Type="http://schemas.openxmlformats.org/officeDocument/2006/relationships/hyperlink" Target="http://www.scotlawcom.gov.uk/files/6414/1215/2710/Report_on_Adults_with_Incapacity_-_SLC_240.pdf" TargetMode="External"/><Relationship Id="rId6" Type="http://schemas.openxmlformats.org/officeDocument/2006/relationships/hyperlink" Target="http://www.legislation.gov.uk/asp/2003/13/contents" TargetMode="External"/><Relationship Id="rId11" Type="http://schemas.openxmlformats.org/officeDocument/2006/relationships/hyperlink" Target="http://www.mwcscot.org.uk/media/342871/mental_health_act_monitoring_2015-16.pdf" TargetMode="External"/><Relationship Id="rId5" Type="http://schemas.openxmlformats.org/officeDocument/2006/relationships/hyperlink" Target="http://www.gov.scot/Resource/0051/00516047.pdf" TargetMode="External"/><Relationship Id="rId15" Type="http://schemas.openxmlformats.org/officeDocument/2006/relationships/hyperlink" Target="https://www.equalityhumanrights.com/en/advice-and-guidance/un-convention-rights-persons-disabilities-scotland" TargetMode="External"/><Relationship Id="rId10" Type="http://schemas.openxmlformats.org/officeDocument/2006/relationships/hyperlink" Target="https://www.scld.org.uk/evidence-and-research/2015-report/" TargetMode="External"/><Relationship Id="rId4" Type="http://schemas.openxmlformats.org/officeDocument/2006/relationships/hyperlink" Target="http://www.mwcscot.org.uk/about-us/latest-news/call-for-reform-of-scotlands-mental-health-laws/" TargetMode="External"/><Relationship Id="rId9" Type="http://schemas.openxmlformats.org/officeDocument/2006/relationships/hyperlink" Target="http://www.scotland.gov.uk/Resource/Doc/159140/0043285.pdf" TargetMode="External"/><Relationship Id="rId14" Type="http://schemas.openxmlformats.org/officeDocument/2006/relationships/hyperlink" Target="http://www.mwcscot.org.uk/media/244679/ms_mn_investigation_summary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BC87-0F7A-4BFA-A8E5-9EF6CC2281B6}"/>
</file>

<file path=customXml/itemProps2.xml><?xml version="1.0" encoding="utf-8"?>
<ds:datastoreItem xmlns:ds="http://schemas.openxmlformats.org/officeDocument/2006/customXml" ds:itemID="{88F9B628-7FAE-41CB-814F-7B09B30653EF}">
  <ds:schemaRefs>
    <ds:schemaRef ds:uri="http://schemas.microsoft.com/sharepoint/v3/contenttype/forms"/>
  </ds:schemaRefs>
</ds:datastoreItem>
</file>

<file path=customXml/itemProps3.xml><?xml version="1.0" encoding="utf-8"?>
<ds:datastoreItem xmlns:ds="http://schemas.openxmlformats.org/officeDocument/2006/customXml" ds:itemID="{5E21581F-8B6D-431A-B237-C4A574785AAF}">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BBB5C07-95F3-44D6-8D44-BF01F10C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3138</Words>
  <Characters>17890</Characters>
  <Application>Microsoft Office Word</Application>
  <DocSecurity>0</DocSecurity>
  <Lines>149</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20987</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2017-06-14T09:05:00Z</dcterms:created>
  <dcterms:modified xsi:type="dcterms:W3CDTF">2017-06-14T09:05:00Z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