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5559"/>
      </w:tblGrid>
      <w:tr w:rsidR="00DF50E6" w:rsidRPr="004E3CC8" w:rsidTr="00DF50E6">
        <w:trPr>
          <w:cantSplit/>
        </w:trPr>
        <w:tc>
          <w:tcPr>
            <w:tcW w:w="15559" w:type="dxa"/>
            <w:shd w:val="clear" w:color="auto" w:fill="E5B8B7" w:themeFill="accent2" w:themeFillTint="66"/>
          </w:tcPr>
          <w:p w:rsidR="00DF50E6" w:rsidRPr="004E3CC8" w:rsidRDefault="00DF50E6" w:rsidP="00EE46E5">
            <w:pPr>
              <w:spacing w:before="240" w:after="240"/>
              <w:rPr>
                <w:rFonts w:ascii="Verdana" w:hAnsi="Verdana"/>
                <w:kern w:val="2"/>
                <w:sz w:val="24"/>
                <w:szCs w:val="22"/>
                <w:lang w:val="en-US"/>
              </w:rPr>
            </w:pPr>
            <w:r w:rsidRPr="004E3CC8">
              <w:rPr>
                <w:rFonts w:ascii="Verdana" w:hAnsi="Verdana"/>
                <w:b/>
                <w:kern w:val="2"/>
                <w:sz w:val="24"/>
                <w:szCs w:val="22"/>
                <w:lang w:val="en-US"/>
              </w:rPr>
              <w:t>Questionnaire</w:t>
            </w:r>
            <w:r w:rsidRPr="004E3CC8">
              <w:rPr>
                <w:rFonts w:ascii="Verdana" w:hAnsi="Verdana"/>
                <w:kern w:val="2"/>
                <w:sz w:val="24"/>
                <w:szCs w:val="22"/>
                <w:lang w:val="en-US"/>
              </w:rPr>
              <w:t xml:space="preserve"> </w:t>
            </w:r>
            <w:r w:rsidRPr="00953364">
              <w:rPr>
                <w:rFonts w:ascii="Verdana" w:hAnsi="Verdana"/>
                <w:b/>
                <w:kern w:val="2"/>
                <w:sz w:val="24"/>
                <w:szCs w:val="22"/>
                <w:lang w:val="en-US"/>
              </w:rPr>
              <w:t>on the right to liberty and security of persons with disabilities</w:t>
            </w:r>
          </w:p>
          <w:p w:rsidR="002C6C68" w:rsidRPr="002C6C68" w:rsidRDefault="00DF50E6" w:rsidP="002C6C68">
            <w:pPr>
              <w:pStyle w:val="ListParagraph"/>
              <w:numPr>
                <w:ilvl w:val="0"/>
                <w:numId w:val="4"/>
              </w:numPr>
              <w:spacing w:before="240" w:after="240"/>
              <w:rPr>
                <w:rFonts w:ascii="Verdana" w:hAnsi="Verdana"/>
                <w:kern w:val="2"/>
                <w:sz w:val="24"/>
                <w:szCs w:val="22"/>
                <w:lang w:val="en-US"/>
              </w:rPr>
            </w:pPr>
            <w:r>
              <w:rPr>
                <w:rFonts w:ascii="Verdana" w:hAnsi="Verdana"/>
                <w:kern w:val="2"/>
                <w:sz w:val="24"/>
                <w:szCs w:val="22"/>
                <w:lang w:val="en-US"/>
              </w:rPr>
              <w:t xml:space="preserve">A </w:t>
            </w:r>
            <w:r w:rsidR="00977976">
              <w:rPr>
                <w:rFonts w:ascii="Verdana" w:hAnsi="Verdana"/>
                <w:kern w:val="2"/>
                <w:sz w:val="24"/>
                <w:szCs w:val="22"/>
                <w:lang w:val="en-US"/>
              </w:rPr>
              <w:t>number</w:t>
            </w:r>
            <w:r>
              <w:rPr>
                <w:rFonts w:ascii="Verdana" w:hAnsi="Verdana"/>
                <w:kern w:val="2"/>
                <w:sz w:val="24"/>
                <w:szCs w:val="22"/>
                <w:lang w:val="en-US"/>
              </w:rPr>
              <w:t xml:space="preserve"> of agencies across the New Zealand government are responsible for creating policy and delivering services that relate to the liberty and security of persons with disabilities. To ensure clarity, information is grouped </w:t>
            </w:r>
            <w:r w:rsidR="00977976">
              <w:rPr>
                <w:rFonts w:ascii="Verdana" w:hAnsi="Verdana"/>
                <w:kern w:val="2"/>
                <w:sz w:val="24"/>
                <w:szCs w:val="22"/>
                <w:lang w:val="en-US"/>
              </w:rPr>
              <w:t>by</w:t>
            </w:r>
            <w:r>
              <w:rPr>
                <w:rFonts w:ascii="Verdana" w:hAnsi="Verdana"/>
                <w:kern w:val="2"/>
                <w:sz w:val="24"/>
                <w:szCs w:val="22"/>
                <w:lang w:val="en-US"/>
              </w:rPr>
              <w:t xml:space="preserve"> responsible </w:t>
            </w:r>
            <w:r w:rsidR="00977976">
              <w:rPr>
                <w:rFonts w:ascii="Verdana" w:hAnsi="Verdana"/>
                <w:kern w:val="2"/>
                <w:sz w:val="24"/>
                <w:szCs w:val="22"/>
                <w:lang w:val="en-US"/>
              </w:rPr>
              <w:t>agency for</w:t>
            </w:r>
            <w:r>
              <w:rPr>
                <w:rFonts w:ascii="Verdana" w:hAnsi="Verdana"/>
                <w:kern w:val="2"/>
                <w:sz w:val="24"/>
                <w:szCs w:val="22"/>
                <w:lang w:val="en-US"/>
              </w:rPr>
              <w:t xml:space="preserve"> each of the questions below.</w:t>
            </w:r>
          </w:p>
        </w:tc>
      </w:tr>
      <w:tr w:rsidR="00DF50E6" w:rsidRPr="00EE46E5" w:rsidTr="00DF50E6">
        <w:trPr>
          <w:cantSplit/>
        </w:trPr>
        <w:tc>
          <w:tcPr>
            <w:tcW w:w="15559" w:type="dxa"/>
            <w:shd w:val="clear" w:color="auto" w:fill="B6DDE8" w:themeFill="accent5" w:themeFillTint="66"/>
          </w:tcPr>
          <w:p w:rsidR="00DF50E6" w:rsidRPr="00713D10" w:rsidRDefault="00DF50E6" w:rsidP="007C47D5">
            <w:pPr>
              <w:pStyle w:val="ListParagraph"/>
              <w:numPr>
                <w:ilvl w:val="0"/>
                <w:numId w:val="1"/>
              </w:numPr>
              <w:spacing w:before="240" w:after="240"/>
              <w:rPr>
                <w:rFonts w:ascii="Verdana" w:hAnsi="Verdana"/>
                <w:b/>
                <w:kern w:val="2"/>
                <w:sz w:val="22"/>
                <w:szCs w:val="22"/>
                <w:lang w:val="en-US"/>
              </w:rPr>
            </w:pPr>
            <w:r w:rsidRPr="00713D10">
              <w:rPr>
                <w:rFonts w:ascii="Verdana" w:hAnsi="Verdana"/>
                <w:b/>
                <w:kern w:val="2"/>
                <w:sz w:val="22"/>
                <w:szCs w:val="22"/>
                <w:lang w:val="en-US"/>
              </w:rPr>
              <w:t>Please provide information in relation to the existence of legislation and policies that are intended to ensure and protect the right to liberty and security of persons with disabilities.</w:t>
            </w:r>
          </w:p>
        </w:tc>
      </w:tr>
      <w:tr w:rsidR="00DF50E6" w:rsidRPr="00EE46E5" w:rsidTr="00DF50E6">
        <w:tc>
          <w:tcPr>
            <w:tcW w:w="15559" w:type="dxa"/>
          </w:tcPr>
          <w:p w:rsidR="002D040E" w:rsidRDefault="002D040E" w:rsidP="00E07792">
            <w:pPr>
              <w:pStyle w:val="Heading4"/>
              <w:numPr>
                <w:ilvl w:val="0"/>
                <w:numId w:val="4"/>
              </w:numPr>
              <w:spacing w:before="240" w:after="240"/>
              <w:rPr>
                <w:rFonts w:ascii="Verdana" w:hAnsi="Verdana"/>
                <w:sz w:val="22"/>
                <w:szCs w:val="22"/>
                <w:lang w:val="en-US"/>
              </w:rPr>
            </w:pPr>
            <w:r>
              <w:rPr>
                <w:rFonts w:ascii="Verdana" w:hAnsi="Verdana"/>
                <w:sz w:val="22"/>
                <w:szCs w:val="22"/>
                <w:lang w:val="en-US"/>
              </w:rPr>
              <w:t>The New Zealand Bill of Rights Act 1990 provides for the life and security of the person (Part 2) and</w:t>
            </w:r>
            <w:r w:rsidR="00E07792">
              <w:rPr>
                <w:rFonts w:ascii="Verdana" w:hAnsi="Verdana"/>
                <w:sz w:val="22"/>
                <w:szCs w:val="22"/>
                <w:lang w:val="en-US"/>
              </w:rPr>
              <w:t xml:space="preserve"> provides</w:t>
            </w:r>
            <w:r>
              <w:rPr>
                <w:rFonts w:ascii="Verdana" w:hAnsi="Verdana"/>
                <w:sz w:val="22"/>
                <w:szCs w:val="22"/>
                <w:lang w:val="en-US"/>
              </w:rPr>
              <w:t xml:space="preserve"> that everyone has the right not to be arbitrarily arrested or detained (section 22).</w:t>
            </w:r>
          </w:p>
          <w:p w:rsidR="002D040E" w:rsidRPr="00E07792" w:rsidRDefault="002D040E" w:rsidP="00E07792">
            <w:pPr>
              <w:pStyle w:val="Heading4"/>
              <w:numPr>
                <w:ilvl w:val="0"/>
                <w:numId w:val="4"/>
              </w:numPr>
              <w:spacing w:before="240" w:after="240"/>
              <w:rPr>
                <w:rFonts w:ascii="Verdana" w:hAnsi="Verdana"/>
                <w:sz w:val="22"/>
                <w:szCs w:val="22"/>
                <w:lang w:val="en-US"/>
              </w:rPr>
            </w:pPr>
            <w:r w:rsidRPr="00E07792">
              <w:rPr>
                <w:rFonts w:ascii="Verdana" w:hAnsi="Verdana"/>
                <w:sz w:val="22"/>
                <w:szCs w:val="22"/>
                <w:lang w:val="en-US"/>
              </w:rPr>
              <w:t>The New Zealand Disabil</w:t>
            </w:r>
            <w:r>
              <w:rPr>
                <w:rFonts w:ascii="Verdana" w:hAnsi="Verdana"/>
                <w:sz w:val="22"/>
                <w:szCs w:val="22"/>
                <w:lang w:val="en-US"/>
              </w:rPr>
              <w:t>i</w:t>
            </w:r>
            <w:r w:rsidRPr="00E07792">
              <w:rPr>
                <w:rFonts w:ascii="Verdana" w:hAnsi="Verdana"/>
                <w:sz w:val="22"/>
                <w:szCs w:val="22"/>
                <w:lang w:val="en-US"/>
              </w:rPr>
              <w:t>ty Strategy 2016-2026</w:t>
            </w:r>
            <w:r>
              <w:rPr>
                <w:rFonts w:ascii="Verdana" w:hAnsi="Verdana"/>
                <w:sz w:val="22"/>
                <w:szCs w:val="22"/>
                <w:lang w:val="en-US"/>
              </w:rPr>
              <w:t xml:space="preserve"> supports implementation of the UN Convention on the Rights of Persons with Disabilities in New Zealand. The Strategy will guide the work of government agencies on disability issues over the next 10 years. One o</w:t>
            </w:r>
            <w:r w:rsidR="002F2D07">
              <w:rPr>
                <w:rFonts w:ascii="Verdana" w:hAnsi="Verdana"/>
                <w:sz w:val="22"/>
                <w:szCs w:val="22"/>
                <w:lang w:val="en-US"/>
              </w:rPr>
              <w:t>f the eight outcomes is “rights</w:t>
            </w:r>
            <w:r>
              <w:rPr>
                <w:rFonts w:ascii="Verdana" w:hAnsi="Verdana"/>
                <w:sz w:val="22"/>
                <w:szCs w:val="22"/>
                <w:lang w:val="en-US"/>
              </w:rPr>
              <w:t xml:space="preserve"> protection and justice”. You can access the Strategy here: </w:t>
            </w:r>
            <w:hyperlink r:id="rId12" w:history="1">
              <w:r w:rsidRPr="00C763C3">
                <w:rPr>
                  <w:rStyle w:val="Hyperlink"/>
                  <w:rFonts w:ascii="Verdana" w:hAnsi="Verdana"/>
                  <w:sz w:val="22"/>
                  <w:szCs w:val="22"/>
                  <w:lang w:val="en-US"/>
                </w:rPr>
                <w:t>http://www.odi.govt.nz/nz-disability-strategy/</w:t>
              </w:r>
            </w:hyperlink>
            <w:r>
              <w:rPr>
                <w:rFonts w:ascii="Verdana" w:hAnsi="Verdana"/>
                <w:sz w:val="22"/>
                <w:szCs w:val="22"/>
                <w:lang w:val="en-US"/>
              </w:rPr>
              <w:t xml:space="preserve">. </w:t>
            </w:r>
          </w:p>
          <w:p w:rsidR="00DF50E6" w:rsidRPr="00EB519B" w:rsidRDefault="00DF50E6" w:rsidP="00EB519B">
            <w:pPr>
              <w:pStyle w:val="Heading4"/>
              <w:spacing w:before="240" w:after="240"/>
              <w:rPr>
                <w:rFonts w:ascii="Verdana" w:hAnsi="Verdana"/>
                <w:b/>
                <w:sz w:val="22"/>
                <w:szCs w:val="22"/>
                <w:lang w:val="en-US"/>
              </w:rPr>
            </w:pPr>
            <w:r w:rsidRPr="00EB519B">
              <w:rPr>
                <w:rFonts w:ascii="Verdana" w:hAnsi="Verdana"/>
                <w:b/>
                <w:sz w:val="22"/>
                <w:szCs w:val="22"/>
                <w:lang w:val="en-US"/>
              </w:rPr>
              <w:t>Ministry of Education</w:t>
            </w:r>
          </w:p>
          <w:p w:rsidR="00AA5786" w:rsidRPr="00AA5786" w:rsidRDefault="00AA5786" w:rsidP="007C47D5">
            <w:pPr>
              <w:pStyle w:val="Heading4"/>
              <w:numPr>
                <w:ilvl w:val="0"/>
                <w:numId w:val="11"/>
              </w:numPr>
              <w:spacing w:before="240" w:after="240"/>
              <w:rPr>
                <w:rFonts w:ascii="Verdana" w:hAnsi="Verdana"/>
                <w:sz w:val="22"/>
                <w:szCs w:val="22"/>
                <w:lang w:val="en-US"/>
              </w:rPr>
            </w:pPr>
            <w:r>
              <w:rPr>
                <w:rFonts w:ascii="Verdana" w:hAnsi="Verdana"/>
                <w:sz w:val="22"/>
                <w:szCs w:val="22"/>
              </w:rPr>
              <w:t>The intent of the Learning Support</w:t>
            </w:r>
            <w:r w:rsidRPr="00AA5786">
              <w:rPr>
                <w:rFonts w:ascii="Verdana" w:hAnsi="Verdana"/>
                <w:sz w:val="22"/>
                <w:szCs w:val="22"/>
              </w:rPr>
              <w:t xml:space="preserve"> policy is to provide additional support for students with high and complex needs in their home community, to attend their local schools and remain with their families. This aligns with the Ministry and government strategy of inclusive education for all children (as well as international and national Disability Strategies). </w:t>
            </w:r>
          </w:p>
          <w:p w:rsidR="00AA5786" w:rsidRPr="00AA5786" w:rsidRDefault="00AA5786" w:rsidP="007C47D5">
            <w:pPr>
              <w:pStyle w:val="Heading4"/>
              <w:numPr>
                <w:ilvl w:val="0"/>
                <w:numId w:val="11"/>
              </w:numPr>
              <w:spacing w:before="240" w:after="240"/>
              <w:rPr>
                <w:rFonts w:ascii="Verdana" w:hAnsi="Verdana"/>
                <w:sz w:val="22"/>
                <w:szCs w:val="22"/>
                <w:lang w:val="en-US"/>
              </w:rPr>
            </w:pPr>
            <w:r w:rsidRPr="00AA5786">
              <w:rPr>
                <w:rFonts w:ascii="Verdana" w:hAnsi="Verdana"/>
                <w:sz w:val="22"/>
                <w:szCs w:val="22"/>
              </w:rPr>
              <w:t xml:space="preserve">Over the last 10 years there has been a significant reduction in the use of residential school placements.  Ten years ago there were three residential schools for children and young people who were deaf or </w:t>
            </w:r>
            <w:r>
              <w:rPr>
                <w:rFonts w:ascii="Verdana" w:hAnsi="Verdana"/>
                <w:sz w:val="22"/>
                <w:szCs w:val="22"/>
              </w:rPr>
              <w:t xml:space="preserve">blind or had </w:t>
            </w:r>
            <w:r w:rsidRPr="00AA5786">
              <w:rPr>
                <w:rFonts w:ascii="Verdana" w:hAnsi="Verdana"/>
                <w:sz w:val="22"/>
                <w:szCs w:val="22"/>
              </w:rPr>
              <w:t>low vision.  There were five other residential schools</w:t>
            </w:r>
            <w:r>
              <w:rPr>
                <w:rFonts w:ascii="Verdana" w:hAnsi="Verdana"/>
                <w:sz w:val="22"/>
                <w:szCs w:val="22"/>
              </w:rPr>
              <w:t xml:space="preserve"> for students with learning and/</w:t>
            </w:r>
            <w:r w:rsidRPr="00AA5786">
              <w:rPr>
                <w:rFonts w:ascii="Verdana" w:hAnsi="Verdana"/>
                <w:sz w:val="22"/>
                <w:szCs w:val="22"/>
              </w:rPr>
              <w:t>or behavioural</w:t>
            </w:r>
            <w:r>
              <w:rPr>
                <w:rFonts w:ascii="Verdana" w:hAnsi="Verdana"/>
                <w:sz w:val="22"/>
                <w:szCs w:val="22"/>
              </w:rPr>
              <w:t xml:space="preserve"> difficulties with capacity for approximately </w:t>
            </w:r>
            <w:r w:rsidRPr="00AA5786">
              <w:rPr>
                <w:rFonts w:ascii="Verdana" w:hAnsi="Verdana"/>
                <w:sz w:val="22"/>
                <w:szCs w:val="22"/>
              </w:rPr>
              <w:t xml:space="preserve">220 students. </w:t>
            </w:r>
          </w:p>
          <w:p w:rsidR="00AA5786" w:rsidRPr="00AA5786" w:rsidRDefault="00AA5786" w:rsidP="007C47D5">
            <w:pPr>
              <w:pStyle w:val="Heading4"/>
              <w:numPr>
                <w:ilvl w:val="0"/>
                <w:numId w:val="11"/>
              </w:numPr>
              <w:spacing w:before="240" w:after="240"/>
              <w:rPr>
                <w:rFonts w:ascii="Verdana" w:hAnsi="Verdana"/>
                <w:sz w:val="22"/>
                <w:szCs w:val="22"/>
                <w:lang w:val="en-US"/>
              </w:rPr>
            </w:pPr>
            <w:r w:rsidRPr="00AA5786">
              <w:rPr>
                <w:rFonts w:ascii="Verdana" w:hAnsi="Verdana"/>
                <w:sz w:val="22"/>
                <w:szCs w:val="22"/>
              </w:rPr>
              <w:t>The availability of increased supports for children and young people in their local schools since 2000 and the benefits of supporting children and young people in their local school and community has meant a gradual reduction in residential special school enrolments.  </w:t>
            </w:r>
          </w:p>
          <w:p w:rsidR="00AA5786" w:rsidRPr="00AA5786" w:rsidRDefault="00AA5786" w:rsidP="007C47D5">
            <w:pPr>
              <w:pStyle w:val="Heading4"/>
              <w:numPr>
                <w:ilvl w:val="0"/>
                <w:numId w:val="11"/>
              </w:numPr>
              <w:spacing w:before="240" w:after="240"/>
              <w:rPr>
                <w:rFonts w:ascii="Verdana" w:hAnsi="Verdana"/>
                <w:sz w:val="22"/>
                <w:szCs w:val="22"/>
                <w:lang w:val="en-US"/>
              </w:rPr>
            </w:pPr>
            <w:r w:rsidRPr="00AA5786">
              <w:rPr>
                <w:rFonts w:ascii="Verdana" w:hAnsi="Verdana"/>
                <w:sz w:val="22"/>
                <w:szCs w:val="22"/>
              </w:rPr>
              <w:t xml:space="preserve">Since 2010 two residential schools were closed with funding from those schools and additional funding from the government </w:t>
            </w:r>
            <w:r>
              <w:rPr>
                <w:rFonts w:ascii="Verdana" w:hAnsi="Verdana"/>
                <w:sz w:val="22"/>
                <w:szCs w:val="22"/>
              </w:rPr>
              <w:t>being used to create</w:t>
            </w:r>
            <w:r w:rsidRPr="00AA5786">
              <w:rPr>
                <w:rFonts w:ascii="Verdana" w:hAnsi="Verdana"/>
                <w:sz w:val="22"/>
                <w:szCs w:val="22"/>
              </w:rPr>
              <w:t xml:space="preserve"> the Intensive Wraparound Service (IWS)</w:t>
            </w:r>
            <w:r>
              <w:rPr>
                <w:rFonts w:ascii="Verdana" w:hAnsi="Verdana"/>
                <w:sz w:val="22"/>
                <w:szCs w:val="22"/>
              </w:rPr>
              <w:t>,</w:t>
            </w:r>
            <w:r w:rsidRPr="00AA5786">
              <w:rPr>
                <w:rFonts w:ascii="Verdana" w:hAnsi="Verdana"/>
                <w:sz w:val="22"/>
                <w:szCs w:val="22"/>
              </w:rPr>
              <w:t xml:space="preserve"> which funds a holistic programme for children in their home, local community and schools. This has further reduced the need for residential school placement</w:t>
            </w:r>
            <w:r>
              <w:rPr>
                <w:rFonts w:ascii="Verdana" w:hAnsi="Verdana"/>
                <w:sz w:val="22"/>
                <w:szCs w:val="22"/>
              </w:rPr>
              <w:t>,</w:t>
            </w:r>
            <w:r w:rsidRPr="00AA5786">
              <w:rPr>
                <w:rFonts w:ascii="Verdana" w:hAnsi="Verdana"/>
                <w:sz w:val="22"/>
                <w:szCs w:val="22"/>
              </w:rPr>
              <w:t xml:space="preserve"> with about 400 children and </w:t>
            </w:r>
            <w:r>
              <w:rPr>
                <w:rFonts w:ascii="Verdana" w:hAnsi="Verdana"/>
                <w:sz w:val="22"/>
                <w:szCs w:val="22"/>
              </w:rPr>
              <w:t xml:space="preserve">young </w:t>
            </w:r>
            <w:r w:rsidRPr="00AA5786">
              <w:rPr>
                <w:rFonts w:ascii="Verdana" w:hAnsi="Verdana"/>
                <w:sz w:val="22"/>
                <w:szCs w:val="22"/>
              </w:rPr>
              <w:t xml:space="preserve">people per year provided </w:t>
            </w:r>
            <w:r>
              <w:rPr>
                <w:rFonts w:ascii="Verdana" w:hAnsi="Verdana"/>
                <w:sz w:val="22"/>
                <w:szCs w:val="22"/>
              </w:rPr>
              <w:t xml:space="preserve">for under </w:t>
            </w:r>
            <w:r w:rsidRPr="00AA5786">
              <w:rPr>
                <w:rFonts w:ascii="Verdana" w:hAnsi="Verdana"/>
                <w:sz w:val="22"/>
                <w:szCs w:val="22"/>
              </w:rPr>
              <w:t>the IWS.</w:t>
            </w:r>
            <w:r>
              <w:rPr>
                <w:rFonts w:ascii="Verdana" w:hAnsi="Verdana"/>
                <w:sz w:val="22"/>
                <w:szCs w:val="22"/>
              </w:rPr>
              <w:t xml:space="preserve"> </w:t>
            </w:r>
          </w:p>
          <w:p w:rsidR="00DF50E6" w:rsidRPr="00AA5786" w:rsidRDefault="00AA5786" w:rsidP="00AA5786">
            <w:pPr>
              <w:pStyle w:val="Heading4"/>
              <w:numPr>
                <w:ilvl w:val="0"/>
                <w:numId w:val="11"/>
              </w:numPr>
              <w:spacing w:before="240" w:after="240"/>
              <w:rPr>
                <w:rFonts w:ascii="Verdana" w:hAnsi="Verdana"/>
                <w:sz w:val="22"/>
                <w:szCs w:val="22"/>
                <w:lang w:val="en-US"/>
              </w:rPr>
            </w:pPr>
            <w:r w:rsidRPr="00AA5786">
              <w:rPr>
                <w:rFonts w:ascii="Verdana" w:hAnsi="Verdana"/>
                <w:sz w:val="22"/>
                <w:szCs w:val="22"/>
              </w:rPr>
              <w:t>This lifts the capability of local schools who receive funding directly for the student’s individualised plan and staff professional development supp</w:t>
            </w:r>
            <w:r w:rsidR="008041FA">
              <w:rPr>
                <w:rFonts w:ascii="Verdana" w:hAnsi="Verdana"/>
                <w:sz w:val="22"/>
                <w:szCs w:val="22"/>
              </w:rPr>
              <w:t>ort for each individual student</w:t>
            </w:r>
            <w:r w:rsidRPr="00AA5786">
              <w:rPr>
                <w:rFonts w:ascii="Verdana" w:hAnsi="Verdana"/>
                <w:sz w:val="22"/>
                <w:szCs w:val="22"/>
              </w:rPr>
              <w:t>.  An independent evaluation of the IWS has provided evidence of the positive difference made for children and young people receiving the service.</w:t>
            </w:r>
          </w:p>
        </w:tc>
      </w:tr>
    </w:tbl>
    <w:p w:rsidR="00713D10" w:rsidRDefault="00713D10"/>
    <w:tbl>
      <w:tblPr>
        <w:tblStyle w:val="TableGrid"/>
        <w:tblW w:w="0" w:type="auto"/>
        <w:tblLook w:val="04A0" w:firstRow="1" w:lastRow="0" w:firstColumn="1" w:lastColumn="0" w:noHBand="0" w:noVBand="1"/>
      </w:tblPr>
      <w:tblGrid>
        <w:gridCol w:w="15559"/>
      </w:tblGrid>
      <w:tr w:rsidR="00DF50E6" w:rsidRPr="00EE46E5" w:rsidTr="00DF50E6">
        <w:tc>
          <w:tcPr>
            <w:tcW w:w="15559" w:type="dxa"/>
            <w:shd w:val="clear" w:color="auto" w:fill="B6DDE8" w:themeFill="accent5" w:themeFillTint="66"/>
          </w:tcPr>
          <w:p w:rsidR="00DF50E6" w:rsidRPr="00713D10" w:rsidRDefault="00DF50E6" w:rsidP="007C47D5">
            <w:pPr>
              <w:pStyle w:val="ListParagraph"/>
              <w:numPr>
                <w:ilvl w:val="0"/>
                <w:numId w:val="1"/>
              </w:numPr>
              <w:spacing w:before="240" w:after="240"/>
              <w:rPr>
                <w:rFonts w:ascii="Verdana" w:hAnsi="Verdana"/>
                <w:b/>
                <w:kern w:val="2"/>
                <w:sz w:val="22"/>
                <w:szCs w:val="22"/>
                <w:lang w:val="en-US"/>
              </w:rPr>
            </w:pPr>
            <w:r w:rsidRPr="00713D10">
              <w:rPr>
                <w:rFonts w:ascii="Verdana" w:hAnsi="Verdana"/>
                <w:b/>
                <w:kern w:val="2"/>
                <w:sz w:val="22"/>
                <w:szCs w:val="22"/>
                <w:lang w:val="en-US"/>
              </w:rPr>
              <w:t>Please provide information on relevant legislation and policies related to:</w:t>
            </w:r>
          </w:p>
        </w:tc>
      </w:tr>
      <w:tr w:rsidR="00DF50E6" w:rsidRPr="00EE46E5" w:rsidTr="00DF50E6">
        <w:tc>
          <w:tcPr>
            <w:tcW w:w="15559" w:type="dxa"/>
            <w:shd w:val="clear" w:color="auto" w:fill="DBE5F1" w:themeFill="accent1" w:themeFillTint="33"/>
          </w:tcPr>
          <w:p w:rsidR="00DF50E6" w:rsidRPr="00EE46E5" w:rsidRDefault="00DF50E6" w:rsidP="007C47D5">
            <w:pPr>
              <w:pStyle w:val="ListParagraph"/>
              <w:numPr>
                <w:ilvl w:val="1"/>
                <w:numId w:val="3"/>
              </w:numPr>
              <w:spacing w:before="240" w:after="240"/>
              <w:rPr>
                <w:rFonts w:ascii="Verdana" w:hAnsi="Verdana"/>
                <w:sz w:val="22"/>
                <w:szCs w:val="22"/>
              </w:rPr>
            </w:pPr>
            <w:r>
              <w:rPr>
                <w:rFonts w:ascii="Verdana" w:hAnsi="Verdana"/>
                <w:sz w:val="22"/>
                <w:szCs w:val="22"/>
              </w:rPr>
              <w:t>E</w:t>
            </w:r>
            <w:r w:rsidRPr="00EE46E5">
              <w:rPr>
                <w:rFonts w:ascii="Verdana" w:hAnsi="Verdana"/>
                <w:sz w:val="22"/>
                <w:szCs w:val="22"/>
              </w:rPr>
              <w:t xml:space="preserve">xercise of legal capacity; </w:t>
            </w:r>
          </w:p>
        </w:tc>
      </w:tr>
      <w:tr w:rsidR="00DF50E6" w:rsidRPr="00EE46E5" w:rsidTr="00DF50E6">
        <w:tc>
          <w:tcPr>
            <w:tcW w:w="15559" w:type="dxa"/>
            <w:shd w:val="clear" w:color="auto" w:fill="FFFFFF" w:themeFill="background1"/>
          </w:tcPr>
          <w:p w:rsidR="00DF50E6" w:rsidRPr="00C84A18" w:rsidRDefault="00DF50E6" w:rsidP="00C84A18">
            <w:pPr>
              <w:tabs>
                <w:tab w:val="left" w:pos="680"/>
                <w:tab w:val="left" w:pos="1359"/>
                <w:tab w:val="left" w:pos="1983"/>
                <w:tab w:val="left" w:pos="6349"/>
                <w:tab w:val="left" w:pos="6915"/>
                <w:tab w:val="left" w:pos="8370"/>
              </w:tabs>
              <w:spacing w:before="240" w:after="240"/>
              <w:rPr>
                <w:rFonts w:ascii="Verdana" w:hAnsi="Verdana"/>
                <w:b/>
                <w:kern w:val="2"/>
                <w:sz w:val="22"/>
                <w:szCs w:val="22"/>
                <w:lang w:val="en-US"/>
              </w:rPr>
            </w:pPr>
            <w:r w:rsidRPr="00C84A18">
              <w:rPr>
                <w:rFonts w:ascii="Verdana" w:hAnsi="Verdana"/>
                <w:b/>
                <w:kern w:val="2"/>
                <w:sz w:val="22"/>
                <w:szCs w:val="22"/>
                <w:lang w:val="en-US"/>
              </w:rPr>
              <w:t>Ministry of Justice</w:t>
            </w:r>
          </w:p>
          <w:p w:rsidR="00DF50E6" w:rsidRDefault="00DF50E6" w:rsidP="006D2A11">
            <w:pPr>
              <w:pStyle w:val="Heading4"/>
              <w:numPr>
                <w:ilvl w:val="0"/>
                <w:numId w:val="9"/>
              </w:numPr>
              <w:spacing w:before="240" w:after="240"/>
              <w:rPr>
                <w:rFonts w:ascii="Verdana" w:hAnsi="Verdana"/>
                <w:sz w:val="22"/>
                <w:szCs w:val="22"/>
                <w:lang w:val="en-US"/>
              </w:rPr>
            </w:pPr>
            <w:r w:rsidRPr="00DF50E6">
              <w:rPr>
                <w:rFonts w:ascii="Verdana" w:hAnsi="Verdana"/>
                <w:sz w:val="22"/>
                <w:szCs w:val="22"/>
                <w:lang w:val="en-US"/>
              </w:rPr>
              <w:t>The Protection of Personal and Property Rights Act 1988, provides for the protection and promotion of the personal and property rights of persons who are not fully able to manage their own affairs, through:</w:t>
            </w:r>
          </w:p>
          <w:p w:rsidR="00DF50E6" w:rsidRPr="00DF50E6" w:rsidRDefault="00DF50E6" w:rsidP="00977976">
            <w:pPr>
              <w:pStyle w:val="Heading4"/>
              <w:numPr>
                <w:ilvl w:val="0"/>
                <w:numId w:val="24"/>
              </w:numPr>
              <w:spacing w:before="240" w:after="240"/>
              <w:ind w:left="1701"/>
              <w:rPr>
                <w:rFonts w:ascii="Verdana" w:hAnsi="Verdana"/>
                <w:sz w:val="22"/>
                <w:szCs w:val="22"/>
                <w:lang w:val="en-US"/>
              </w:rPr>
            </w:pPr>
            <w:proofErr w:type="gramStart"/>
            <w:r w:rsidRPr="00DF50E6">
              <w:rPr>
                <w:rFonts w:ascii="Verdana" w:hAnsi="Verdana"/>
                <w:sz w:val="22"/>
                <w:szCs w:val="22"/>
                <w:lang w:val="en-US"/>
              </w:rPr>
              <w:t>personal</w:t>
            </w:r>
            <w:proofErr w:type="gramEnd"/>
            <w:r w:rsidRPr="00DF50E6">
              <w:rPr>
                <w:rFonts w:ascii="Verdana" w:hAnsi="Verdana"/>
                <w:sz w:val="22"/>
                <w:szCs w:val="22"/>
                <w:lang w:val="en-US"/>
              </w:rPr>
              <w:t xml:space="preserve"> and property orders made by the court if a person lacks the capacity to make their own decisions about their personal care and welfare, and/or property</w:t>
            </w:r>
            <w:r w:rsidR="002D040E">
              <w:rPr>
                <w:rFonts w:ascii="Verdana" w:hAnsi="Verdana"/>
                <w:sz w:val="22"/>
                <w:szCs w:val="22"/>
                <w:lang w:val="en-US"/>
              </w:rPr>
              <w:t>;</w:t>
            </w:r>
          </w:p>
          <w:p w:rsidR="00DF50E6" w:rsidRPr="00DF50E6" w:rsidRDefault="00DF50E6" w:rsidP="00977976">
            <w:pPr>
              <w:pStyle w:val="Heading4"/>
              <w:numPr>
                <w:ilvl w:val="0"/>
                <w:numId w:val="24"/>
              </w:numPr>
              <w:spacing w:before="240" w:after="240"/>
              <w:ind w:left="1701"/>
              <w:rPr>
                <w:rFonts w:ascii="Verdana" w:hAnsi="Verdana"/>
                <w:sz w:val="22"/>
                <w:szCs w:val="22"/>
                <w:lang w:val="en-US"/>
              </w:rPr>
            </w:pPr>
            <w:proofErr w:type="gramStart"/>
            <w:r w:rsidRPr="00DF50E6">
              <w:rPr>
                <w:rFonts w:ascii="Verdana" w:hAnsi="Verdana"/>
                <w:sz w:val="22"/>
                <w:szCs w:val="22"/>
                <w:lang w:val="en-US"/>
              </w:rPr>
              <w:t>enduring</w:t>
            </w:r>
            <w:proofErr w:type="gramEnd"/>
            <w:r w:rsidRPr="00DF50E6">
              <w:rPr>
                <w:rFonts w:ascii="Verdana" w:hAnsi="Verdana"/>
                <w:sz w:val="22"/>
                <w:szCs w:val="22"/>
                <w:lang w:val="en-US"/>
              </w:rPr>
              <w:t xml:space="preserve"> powers of attorney, which are set up by a person when they are capable of doing so.</w:t>
            </w:r>
          </w:p>
          <w:p w:rsidR="00DF50E6" w:rsidRDefault="00DF50E6" w:rsidP="006D2A11">
            <w:pPr>
              <w:pStyle w:val="ListParagraph"/>
              <w:numPr>
                <w:ilvl w:val="0"/>
                <w:numId w:val="9"/>
              </w:numPr>
              <w:rPr>
                <w:rFonts w:ascii="Verdana" w:hAnsi="Verdana"/>
                <w:sz w:val="22"/>
                <w:szCs w:val="22"/>
                <w:lang w:val="en-US"/>
              </w:rPr>
            </w:pPr>
            <w:r w:rsidRPr="00DF50E6">
              <w:rPr>
                <w:rFonts w:ascii="Verdana" w:hAnsi="Verdana"/>
                <w:sz w:val="22"/>
                <w:szCs w:val="22"/>
                <w:lang w:val="en-US"/>
              </w:rPr>
              <w:t xml:space="preserve">For more information, visit </w:t>
            </w:r>
            <w:hyperlink r:id="rId13" w:anchor="DLM126575" w:history="1">
              <w:r w:rsidRPr="00DF50E6">
                <w:rPr>
                  <w:rStyle w:val="Hyperlink"/>
                  <w:rFonts w:ascii="Verdana" w:hAnsi="Verdana"/>
                  <w:sz w:val="22"/>
                  <w:szCs w:val="22"/>
                  <w:lang w:val="en-US"/>
                </w:rPr>
                <w:t>http://legislation.govt.nz/act/public/1988/0004/latest/whole.html#DLM126575</w:t>
              </w:r>
            </w:hyperlink>
            <w:r w:rsidR="00E07792">
              <w:rPr>
                <w:rStyle w:val="Hyperlink"/>
                <w:rFonts w:ascii="Verdana" w:hAnsi="Verdana"/>
                <w:sz w:val="22"/>
                <w:szCs w:val="22"/>
                <w:lang w:val="en-US"/>
              </w:rPr>
              <w:t>.</w:t>
            </w:r>
            <w:r w:rsidRPr="00DF50E6">
              <w:rPr>
                <w:rFonts w:ascii="Verdana" w:hAnsi="Verdana"/>
                <w:sz w:val="22"/>
                <w:szCs w:val="22"/>
                <w:lang w:val="en-US"/>
              </w:rPr>
              <w:t xml:space="preserve">  </w:t>
            </w:r>
          </w:p>
          <w:p w:rsidR="006D2A11" w:rsidRDefault="006D2A11" w:rsidP="006D2A11">
            <w:pPr>
              <w:rPr>
                <w:rFonts w:ascii="Verdana" w:hAnsi="Verdana"/>
                <w:sz w:val="22"/>
                <w:szCs w:val="22"/>
                <w:lang w:val="en-US"/>
              </w:rPr>
            </w:pPr>
          </w:p>
          <w:p w:rsidR="006D2A11" w:rsidRPr="006E2D8F" w:rsidRDefault="006D2A11" w:rsidP="006D2A11">
            <w:pPr>
              <w:rPr>
                <w:rFonts w:ascii="Verdana" w:hAnsi="Verdana"/>
                <w:b/>
                <w:sz w:val="22"/>
                <w:szCs w:val="22"/>
                <w:lang w:val="en-US"/>
              </w:rPr>
            </w:pPr>
            <w:r w:rsidRPr="006D2A11">
              <w:rPr>
                <w:rFonts w:ascii="Verdana" w:hAnsi="Verdana"/>
                <w:b/>
                <w:sz w:val="22"/>
                <w:szCs w:val="22"/>
                <w:lang w:val="en-US"/>
              </w:rPr>
              <w:t>Ministry of Health</w:t>
            </w:r>
          </w:p>
          <w:p w:rsidR="006E2D8F" w:rsidRPr="00DF50E6" w:rsidRDefault="006E2D8F" w:rsidP="00E07792">
            <w:pPr>
              <w:pStyle w:val="Heading4"/>
              <w:numPr>
                <w:ilvl w:val="0"/>
                <w:numId w:val="9"/>
              </w:numPr>
              <w:spacing w:before="240" w:after="240"/>
              <w:rPr>
                <w:rFonts w:ascii="Verdana" w:hAnsi="Verdana"/>
                <w:sz w:val="22"/>
                <w:szCs w:val="22"/>
                <w:lang w:val="en-US"/>
              </w:rPr>
            </w:pPr>
            <w:r w:rsidRPr="006D2A11">
              <w:rPr>
                <w:rFonts w:ascii="Verdana" w:hAnsi="Verdana"/>
                <w:sz w:val="22"/>
                <w:szCs w:val="22"/>
              </w:rPr>
              <w:t>In New Zealand, the Mental Health</w:t>
            </w:r>
            <w:r>
              <w:rPr>
                <w:rFonts w:ascii="Verdana" w:hAnsi="Verdana"/>
                <w:sz w:val="22"/>
                <w:szCs w:val="22"/>
              </w:rPr>
              <w:t xml:space="preserve"> </w:t>
            </w:r>
            <w:r w:rsidRPr="006D2A11">
              <w:rPr>
                <w:rFonts w:ascii="Verdana" w:hAnsi="Verdana"/>
                <w:sz w:val="22"/>
                <w:szCs w:val="22"/>
              </w:rPr>
              <w:t>(Compulsory Assessment and Treatment) Act 1992</w:t>
            </w:r>
            <w:r w:rsidR="00977976">
              <w:rPr>
                <w:rFonts w:ascii="Verdana" w:hAnsi="Verdana"/>
                <w:sz w:val="22"/>
                <w:szCs w:val="22"/>
              </w:rPr>
              <w:t xml:space="preserve"> (hereon referred to as the Mental Health Act 1992)</w:t>
            </w:r>
            <w:r w:rsidRPr="006D2A11">
              <w:rPr>
                <w:rFonts w:ascii="Verdana" w:hAnsi="Verdana"/>
                <w:sz w:val="22"/>
                <w:szCs w:val="22"/>
              </w:rPr>
              <w:t xml:space="preserve"> provides for non-consensual assessment and treatment, where patients meet the two-step definition of ‘mental disorder’ in the legislation (</w:t>
            </w:r>
            <w:r w:rsidR="002D040E">
              <w:rPr>
                <w:rFonts w:ascii="Verdana" w:hAnsi="Verdana"/>
                <w:sz w:val="22"/>
                <w:szCs w:val="22"/>
              </w:rPr>
              <w:t>for example,</w:t>
            </w:r>
            <w:r w:rsidRPr="006D2A11">
              <w:rPr>
                <w:rFonts w:ascii="Verdana" w:hAnsi="Verdana"/>
                <w:sz w:val="22"/>
                <w:szCs w:val="22"/>
              </w:rPr>
              <w:t xml:space="preserve"> </w:t>
            </w:r>
            <w:r w:rsidR="00977976">
              <w:rPr>
                <w:rFonts w:ascii="Verdana" w:hAnsi="Verdana"/>
                <w:sz w:val="22"/>
                <w:szCs w:val="22"/>
              </w:rPr>
              <w:t>presence of a mental disorder to</w:t>
            </w:r>
            <w:r w:rsidRPr="006D2A11">
              <w:rPr>
                <w:rFonts w:ascii="Verdana" w:hAnsi="Verdana"/>
                <w:sz w:val="22"/>
                <w:szCs w:val="22"/>
              </w:rPr>
              <w:t xml:space="preserve"> such a degree that it poses a serious danger to self or others</w:t>
            </w:r>
            <w:r>
              <w:rPr>
                <w:rFonts w:ascii="Verdana" w:hAnsi="Verdana"/>
                <w:sz w:val="22"/>
                <w:szCs w:val="22"/>
              </w:rPr>
              <w:t>,</w:t>
            </w:r>
            <w:r w:rsidRPr="006D2A11">
              <w:rPr>
                <w:rFonts w:ascii="Verdana" w:hAnsi="Verdana"/>
                <w:sz w:val="22"/>
                <w:szCs w:val="22"/>
              </w:rPr>
              <w:t xml:space="preserve"> or seriously diminishes the capacity of that person to take care of themselves). It is not capacity-based legislation. However, a clinician must attempt to obtain a patient’s written consent to treatment (this is clarified in Guide</w:t>
            </w:r>
            <w:r>
              <w:rPr>
                <w:rFonts w:ascii="Verdana" w:hAnsi="Verdana"/>
                <w:sz w:val="22"/>
                <w:szCs w:val="22"/>
              </w:rPr>
              <w:t>lines promulgated under the</w:t>
            </w:r>
            <w:r w:rsidR="00977976">
              <w:rPr>
                <w:rFonts w:ascii="Verdana" w:hAnsi="Verdana"/>
                <w:sz w:val="22"/>
                <w:szCs w:val="22"/>
              </w:rPr>
              <w:t xml:space="preserve"> Mental Health</w:t>
            </w:r>
            <w:r>
              <w:rPr>
                <w:rFonts w:ascii="Verdana" w:hAnsi="Verdana"/>
                <w:sz w:val="22"/>
                <w:szCs w:val="22"/>
              </w:rPr>
              <w:t xml:space="preserve"> Act</w:t>
            </w:r>
            <w:r w:rsidR="00977976">
              <w:rPr>
                <w:rFonts w:ascii="Verdana" w:hAnsi="Verdana"/>
                <w:sz w:val="22"/>
                <w:szCs w:val="22"/>
              </w:rPr>
              <w:t xml:space="preserve"> 1992</w:t>
            </w:r>
            <w:r w:rsidR="00E07792">
              <w:rPr>
                <w:rFonts w:ascii="Verdana" w:hAnsi="Verdana"/>
                <w:sz w:val="22"/>
                <w:szCs w:val="22"/>
              </w:rPr>
              <w:t xml:space="preserve"> </w:t>
            </w:r>
            <w:hyperlink r:id="rId14" w:history="1">
              <w:r w:rsidR="00E07792" w:rsidRPr="00320752">
                <w:rPr>
                  <w:rStyle w:val="Hyperlink"/>
                  <w:rFonts w:ascii="Verdana" w:hAnsi="Verdana"/>
                  <w:sz w:val="22"/>
                  <w:szCs w:val="22"/>
                </w:rPr>
                <w:t>http://www.health.govt.nz/publication/guidelines-mental-health-compulsory-assessment-and-treatment-act-1992</w:t>
              </w:r>
            </w:hyperlink>
            <w:r w:rsidRPr="006D2A11">
              <w:rPr>
                <w:rFonts w:ascii="Verdana" w:hAnsi="Verdana"/>
                <w:sz w:val="22"/>
                <w:szCs w:val="22"/>
              </w:rPr>
              <w:t>)</w:t>
            </w:r>
            <w:r>
              <w:rPr>
                <w:rFonts w:ascii="Verdana" w:hAnsi="Verdana"/>
                <w:sz w:val="22"/>
                <w:szCs w:val="22"/>
              </w:rPr>
              <w:t>.</w:t>
            </w:r>
          </w:p>
          <w:p w:rsidR="002F2D07" w:rsidRPr="002F2D07" w:rsidRDefault="006D2A11" w:rsidP="002F2D07">
            <w:pPr>
              <w:pStyle w:val="Heading4"/>
              <w:numPr>
                <w:ilvl w:val="0"/>
                <w:numId w:val="9"/>
              </w:numPr>
              <w:spacing w:before="240" w:after="240"/>
              <w:rPr>
                <w:rFonts w:ascii="Verdana" w:hAnsi="Verdana" w:cs="Arial Mäori"/>
                <w:sz w:val="22"/>
                <w:szCs w:val="22"/>
                <w:lang w:val="en-NZ" w:eastAsia="zh-CN"/>
              </w:rPr>
            </w:pPr>
            <w:r w:rsidRPr="006E2D8F">
              <w:rPr>
                <w:rFonts w:ascii="Verdana" w:hAnsi="Verdana" w:cs="Arial Mäori"/>
                <w:sz w:val="22"/>
                <w:szCs w:val="22"/>
                <w:lang w:val="en-NZ" w:eastAsia="zh-CN"/>
              </w:rPr>
              <w:t xml:space="preserve">The Substance Addiction (Compulsory Assessment and Treatment) Act </w:t>
            </w:r>
            <w:proofErr w:type="gramStart"/>
            <w:r w:rsidRPr="006E2D8F">
              <w:rPr>
                <w:rFonts w:ascii="Verdana" w:hAnsi="Verdana" w:cs="Arial Mäori"/>
                <w:sz w:val="22"/>
                <w:szCs w:val="22"/>
                <w:lang w:val="en-NZ" w:eastAsia="zh-CN"/>
              </w:rPr>
              <w:t>2017</w:t>
            </w:r>
            <w:r w:rsidR="00977976">
              <w:rPr>
                <w:rFonts w:ascii="Verdana" w:hAnsi="Verdana" w:cs="Arial Mäori"/>
                <w:sz w:val="22"/>
                <w:szCs w:val="22"/>
                <w:lang w:val="en-NZ" w:eastAsia="zh-CN"/>
              </w:rPr>
              <w:t>,</w:t>
            </w:r>
            <w:proofErr w:type="gramEnd"/>
            <w:r w:rsidRPr="006E2D8F">
              <w:rPr>
                <w:rFonts w:ascii="Verdana" w:hAnsi="Verdana" w:cs="Arial Mäori"/>
                <w:sz w:val="22"/>
                <w:szCs w:val="22"/>
                <w:lang w:val="en-NZ" w:eastAsia="zh-CN"/>
              </w:rPr>
              <w:t xml:space="preserve"> comes into force on 21 February 2018. The Act provides for a limited period of compulsory assessment and treatment of people with severe substance addiction</w:t>
            </w:r>
            <w:r w:rsidR="006E2D8F">
              <w:rPr>
                <w:rFonts w:ascii="Verdana" w:hAnsi="Verdana" w:cs="Arial Mäori"/>
                <w:sz w:val="22"/>
                <w:szCs w:val="22"/>
                <w:lang w:val="en-NZ" w:eastAsia="zh-CN"/>
              </w:rPr>
              <w:t>,</w:t>
            </w:r>
            <w:r w:rsidRPr="006E2D8F">
              <w:rPr>
                <w:rFonts w:ascii="Verdana" w:hAnsi="Verdana" w:cs="Arial Mäori"/>
                <w:sz w:val="22"/>
                <w:szCs w:val="22"/>
                <w:lang w:val="en-NZ" w:eastAsia="zh-CN"/>
              </w:rPr>
              <w:t xml:space="preserve"> </w:t>
            </w:r>
            <w:proofErr w:type="gramStart"/>
            <w:r w:rsidR="006E2D8F">
              <w:rPr>
                <w:rFonts w:ascii="Verdana" w:hAnsi="Verdana" w:cs="Arial Mäori"/>
                <w:sz w:val="22"/>
                <w:szCs w:val="22"/>
                <w:lang w:val="en-NZ" w:eastAsia="zh-CN"/>
              </w:rPr>
              <w:t>who</w:t>
            </w:r>
            <w:proofErr w:type="gramEnd"/>
            <w:r w:rsidRPr="006E2D8F">
              <w:rPr>
                <w:rFonts w:ascii="Verdana" w:hAnsi="Verdana" w:cs="Arial Mäori"/>
                <w:sz w:val="22"/>
                <w:szCs w:val="22"/>
                <w:lang w:val="en-NZ" w:eastAsia="zh-CN"/>
              </w:rPr>
              <w:t xml:space="preserve"> have severely impaired capacity to consent to treatment for that addiction. One of the aims of the legislation is to restore the individual's capacity to make decisions about substance use and ongoing treatment.</w:t>
            </w:r>
            <w:r w:rsidR="006E2D8F">
              <w:rPr>
                <w:rFonts w:ascii="Verdana" w:hAnsi="Verdana" w:cs="Arial Mäori"/>
                <w:sz w:val="22"/>
                <w:szCs w:val="22"/>
                <w:lang w:val="en-NZ" w:eastAsia="zh-CN"/>
              </w:rPr>
              <w:t xml:space="preserve"> For more information, please visit</w:t>
            </w:r>
            <w:r w:rsidR="002D040E">
              <w:rPr>
                <w:rFonts w:ascii="Verdana" w:hAnsi="Verdana" w:cs="Arial Mäori"/>
                <w:sz w:val="22"/>
                <w:szCs w:val="22"/>
                <w:lang w:val="en-NZ" w:eastAsia="zh-CN"/>
              </w:rPr>
              <w:t>:</w:t>
            </w:r>
            <w:r w:rsidR="006E2D8F">
              <w:rPr>
                <w:rFonts w:ascii="Verdana" w:hAnsi="Verdana" w:cs="Arial Mäori"/>
                <w:sz w:val="22"/>
                <w:szCs w:val="22"/>
                <w:lang w:val="en-NZ" w:eastAsia="zh-CN"/>
              </w:rPr>
              <w:t xml:space="preserve"> </w:t>
            </w:r>
            <w:hyperlink r:id="rId15" w:history="1">
              <w:r w:rsidRPr="006E2D8F">
                <w:rPr>
                  <w:rStyle w:val="Hyperlink"/>
                  <w:rFonts w:ascii="Verdana" w:hAnsi="Verdana" w:cs="Arial Mäori"/>
                  <w:sz w:val="22"/>
                  <w:szCs w:val="22"/>
                  <w:lang w:val="en-NZ" w:eastAsia="zh-CN"/>
                </w:rPr>
                <w:t>http://www.legislation.govt.nz/act/public/2017/0004/23.0/DLM6609057.html</w:t>
              </w:r>
            </w:hyperlink>
            <w:r w:rsidRPr="006E2D8F">
              <w:rPr>
                <w:rFonts w:ascii="Verdana" w:hAnsi="Verdana" w:cs="Arial Mäori"/>
                <w:sz w:val="22"/>
                <w:szCs w:val="22"/>
                <w:lang w:val="en-NZ" w:eastAsia="zh-CN"/>
              </w:rPr>
              <w:t>.</w:t>
            </w:r>
          </w:p>
          <w:p w:rsidR="00DF50E6" w:rsidRPr="00DF50E6" w:rsidRDefault="00DF50E6" w:rsidP="00DF50E6">
            <w:pPr>
              <w:rPr>
                <w:lang w:val="en-US"/>
              </w:rPr>
            </w:pPr>
          </w:p>
        </w:tc>
      </w:tr>
      <w:tr w:rsidR="00DF50E6" w:rsidRPr="00EE46E5" w:rsidTr="00DF50E6">
        <w:tc>
          <w:tcPr>
            <w:tcW w:w="15559" w:type="dxa"/>
            <w:shd w:val="clear" w:color="auto" w:fill="DBE5F1" w:themeFill="accent1" w:themeFillTint="33"/>
          </w:tcPr>
          <w:p w:rsidR="00DF50E6" w:rsidRPr="00EE46E5" w:rsidRDefault="00DF50E6" w:rsidP="007C47D5">
            <w:pPr>
              <w:pStyle w:val="ListParagraph"/>
              <w:numPr>
                <w:ilvl w:val="1"/>
                <w:numId w:val="3"/>
              </w:numPr>
              <w:spacing w:before="240" w:after="240"/>
              <w:rPr>
                <w:rFonts w:ascii="Verdana" w:hAnsi="Verdana"/>
                <w:sz w:val="22"/>
                <w:szCs w:val="22"/>
              </w:rPr>
            </w:pPr>
            <w:r w:rsidRPr="00EE46E5">
              <w:rPr>
                <w:rFonts w:ascii="Verdana" w:hAnsi="Verdana"/>
                <w:sz w:val="22"/>
                <w:szCs w:val="22"/>
              </w:rPr>
              <w:t>The rights of persons wi</w:t>
            </w:r>
            <w:r>
              <w:rPr>
                <w:rFonts w:ascii="Verdana" w:hAnsi="Verdana"/>
                <w:sz w:val="22"/>
                <w:szCs w:val="22"/>
              </w:rPr>
              <w:t>th disabilities in institutions</w:t>
            </w:r>
            <w:r w:rsidRPr="00EE46E5">
              <w:rPr>
                <w:rFonts w:ascii="Verdana" w:hAnsi="Verdana"/>
                <w:sz w:val="22"/>
                <w:szCs w:val="22"/>
              </w:rPr>
              <w:t xml:space="preserve"> including processes of deinstitutionalisation; </w:t>
            </w:r>
          </w:p>
        </w:tc>
      </w:tr>
      <w:tr w:rsidR="00DF50E6" w:rsidRPr="00EE46E5" w:rsidTr="00DF50E6">
        <w:tc>
          <w:tcPr>
            <w:tcW w:w="15559" w:type="dxa"/>
            <w:shd w:val="clear" w:color="auto" w:fill="FFFFFF" w:themeFill="background1"/>
          </w:tcPr>
          <w:p w:rsidR="00DF50E6" w:rsidRPr="00EB519B" w:rsidRDefault="00DF50E6" w:rsidP="00EB519B">
            <w:pPr>
              <w:tabs>
                <w:tab w:val="left" w:pos="680"/>
                <w:tab w:val="left" w:pos="1359"/>
                <w:tab w:val="left" w:pos="1983"/>
                <w:tab w:val="left" w:pos="6349"/>
                <w:tab w:val="left" w:pos="6915"/>
                <w:tab w:val="left" w:pos="8370"/>
              </w:tabs>
              <w:spacing w:before="240" w:after="240"/>
              <w:rPr>
                <w:rFonts w:ascii="Verdana" w:hAnsi="Verdana"/>
                <w:b/>
                <w:kern w:val="2"/>
                <w:sz w:val="22"/>
                <w:szCs w:val="22"/>
                <w:lang w:val="en-US"/>
              </w:rPr>
            </w:pPr>
            <w:r w:rsidRPr="00EB519B">
              <w:rPr>
                <w:rFonts w:ascii="Verdana" w:hAnsi="Verdana"/>
                <w:b/>
                <w:kern w:val="2"/>
                <w:sz w:val="22"/>
                <w:szCs w:val="22"/>
                <w:lang w:val="en-US"/>
              </w:rPr>
              <w:t>Ministry of Education</w:t>
            </w:r>
          </w:p>
          <w:p w:rsidR="00690426" w:rsidRPr="00CA6168" w:rsidRDefault="00690426" w:rsidP="00690426">
            <w:pPr>
              <w:pStyle w:val="ListParagraph"/>
              <w:numPr>
                <w:ilvl w:val="0"/>
                <w:numId w:val="9"/>
              </w:numPr>
              <w:spacing w:before="240" w:after="240"/>
              <w:jc w:val="both"/>
              <w:rPr>
                <w:rFonts w:ascii="Verdana" w:hAnsi="Verdana" w:cs="Arial"/>
                <w:sz w:val="22"/>
                <w:szCs w:val="22"/>
                <w:lang w:val="en"/>
              </w:rPr>
            </w:pPr>
            <w:r w:rsidRPr="00AA5786">
              <w:rPr>
                <w:rFonts w:ascii="Verdana" w:hAnsi="Verdana"/>
                <w:sz w:val="22"/>
                <w:szCs w:val="22"/>
              </w:rPr>
              <w:t xml:space="preserve">Deinstitutionalisation is being achieved by the provision of the Intensive Wraparound Service (IWS) which has reduced the demand for residential schooling. </w:t>
            </w:r>
          </w:p>
          <w:p w:rsidR="00690426" w:rsidRDefault="00690426" w:rsidP="00690426">
            <w:pPr>
              <w:pStyle w:val="Heading4"/>
              <w:numPr>
                <w:ilvl w:val="0"/>
                <w:numId w:val="9"/>
              </w:numPr>
              <w:spacing w:before="240" w:after="240"/>
              <w:rPr>
                <w:rFonts w:ascii="Verdana" w:hAnsi="Verdana"/>
                <w:sz w:val="22"/>
                <w:szCs w:val="22"/>
              </w:rPr>
            </w:pPr>
            <w:r w:rsidRPr="00CA6168">
              <w:rPr>
                <w:rFonts w:ascii="Verdana" w:hAnsi="Verdana"/>
                <w:sz w:val="22"/>
                <w:szCs w:val="22"/>
              </w:rPr>
              <w:t>The IWS develops a comprehensive whole-of life plan for the child/young person with funding and support provided through the local school</w:t>
            </w:r>
            <w:r>
              <w:rPr>
                <w:rFonts w:ascii="Verdana" w:hAnsi="Verdana"/>
                <w:sz w:val="22"/>
                <w:szCs w:val="22"/>
              </w:rPr>
              <w:t xml:space="preserve">. This will </w:t>
            </w:r>
            <w:r w:rsidRPr="00CA6168">
              <w:rPr>
                <w:rFonts w:ascii="Verdana" w:hAnsi="Verdana"/>
                <w:sz w:val="22"/>
                <w:szCs w:val="22"/>
              </w:rPr>
              <w:t>often include professional development and coaching for teachers</w:t>
            </w:r>
            <w:r>
              <w:rPr>
                <w:rFonts w:ascii="Verdana" w:hAnsi="Verdana"/>
                <w:sz w:val="22"/>
                <w:szCs w:val="22"/>
              </w:rPr>
              <w:t>,</w:t>
            </w:r>
            <w:r w:rsidRPr="00CA6168">
              <w:rPr>
                <w:rFonts w:ascii="Verdana" w:hAnsi="Verdana"/>
                <w:sz w:val="22"/>
                <w:szCs w:val="22"/>
              </w:rPr>
              <w:t xml:space="preserve"> as well as funding for specialist services for each the child/young person. </w:t>
            </w:r>
          </w:p>
          <w:p w:rsidR="00690426" w:rsidRDefault="00690426" w:rsidP="00690426">
            <w:pPr>
              <w:pStyle w:val="Heading4"/>
              <w:numPr>
                <w:ilvl w:val="0"/>
                <w:numId w:val="9"/>
              </w:numPr>
              <w:spacing w:before="240" w:after="240"/>
              <w:rPr>
                <w:rFonts w:ascii="Verdana" w:hAnsi="Verdana"/>
                <w:sz w:val="22"/>
                <w:szCs w:val="22"/>
              </w:rPr>
            </w:pPr>
            <w:r w:rsidRPr="00CA6168">
              <w:rPr>
                <w:rFonts w:ascii="Verdana" w:hAnsi="Verdana"/>
                <w:sz w:val="22"/>
                <w:szCs w:val="22"/>
              </w:rPr>
              <w:t>The child’s plan also includes community based and home based interventions and support</w:t>
            </w:r>
            <w:r>
              <w:rPr>
                <w:rFonts w:ascii="Verdana" w:hAnsi="Verdana"/>
                <w:sz w:val="22"/>
                <w:szCs w:val="22"/>
              </w:rPr>
              <w:t>,</w:t>
            </w:r>
            <w:r w:rsidRPr="00CA6168">
              <w:rPr>
                <w:rFonts w:ascii="Verdana" w:hAnsi="Verdana"/>
                <w:sz w:val="22"/>
                <w:szCs w:val="22"/>
              </w:rPr>
              <w:t xml:space="preserve"> as well as school based support.  The IWS support complements other supports already available to a student </w:t>
            </w:r>
            <w:r>
              <w:rPr>
                <w:rFonts w:ascii="Verdana" w:hAnsi="Verdana"/>
                <w:sz w:val="22"/>
                <w:szCs w:val="22"/>
              </w:rPr>
              <w:t>from</w:t>
            </w:r>
            <w:r w:rsidRPr="00CA6168">
              <w:rPr>
                <w:rFonts w:ascii="Verdana" w:hAnsi="Verdana"/>
                <w:sz w:val="22"/>
                <w:szCs w:val="22"/>
              </w:rPr>
              <w:t xml:space="preserve"> their school and other medical/disability and/or welfare supports available to </w:t>
            </w:r>
            <w:r>
              <w:rPr>
                <w:rFonts w:ascii="Verdana" w:hAnsi="Verdana"/>
                <w:sz w:val="22"/>
                <w:szCs w:val="22"/>
              </w:rPr>
              <w:t>a</w:t>
            </w:r>
            <w:r w:rsidRPr="00CA6168">
              <w:rPr>
                <w:rFonts w:ascii="Verdana" w:hAnsi="Verdana"/>
                <w:sz w:val="22"/>
                <w:szCs w:val="22"/>
              </w:rPr>
              <w:t xml:space="preserve"> child/young person. </w:t>
            </w:r>
          </w:p>
          <w:p w:rsidR="00690426" w:rsidRDefault="00690426" w:rsidP="00690426">
            <w:pPr>
              <w:pStyle w:val="Heading4"/>
              <w:numPr>
                <w:ilvl w:val="0"/>
                <w:numId w:val="9"/>
              </w:numPr>
              <w:spacing w:before="240" w:after="240"/>
              <w:rPr>
                <w:rFonts w:ascii="Verdana" w:hAnsi="Verdana"/>
                <w:sz w:val="22"/>
                <w:szCs w:val="22"/>
              </w:rPr>
            </w:pPr>
            <w:r w:rsidRPr="00CA6168">
              <w:rPr>
                <w:rFonts w:ascii="Verdana" w:hAnsi="Verdana"/>
                <w:sz w:val="22"/>
                <w:szCs w:val="22"/>
              </w:rPr>
              <w:t>Two residential special schools have been closed since 2010</w:t>
            </w:r>
            <w:r>
              <w:rPr>
                <w:rFonts w:ascii="Verdana" w:hAnsi="Verdana"/>
                <w:sz w:val="22"/>
                <w:szCs w:val="22"/>
              </w:rPr>
              <w:t>. As of April 2017,</w:t>
            </w:r>
            <w:r w:rsidRPr="00CA6168">
              <w:rPr>
                <w:rFonts w:ascii="Verdana" w:hAnsi="Verdana"/>
                <w:sz w:val="22"/>
                <w:szCs w:val="22"/>
              </w:rPr>
              <w:t xml:space="preserve"> the remaining schools have </w:t>
            </w:r>
            <w:r>
              <w:rPr>
                <w:rFonts w:ascii="Verdana" w:hAnsi="Verdana"/>
                <w:sz w:val="22"/>
                <w:szCs w:val="22"/>
              </w:rPr>
              <w:t>only 27 students enrolled</w:t>
            </w:r>
            <w:r w:rsidRPr="00CA6168">
              <w:rPr>
                <w:rFonts w:ascii="Verdana" w:hAnsi="Verdana"/>
                <w:sz w:val="22"/>
                <w:szCs w:val="22"/>
              </w:rPr>
              <w:t xml:space="preserve">. </w:t>
            </w:r>
          </w:p>
          <w:p w:rsidR="00690426" w:rsidRPr="00690426" w:rsidRDefault="00690426" w:rsidP="00690426">
            <w:pPr>
              <w:pStyle w:val="Heading4"/>
              <w:numPr>
                <w:ilvl w:val="0"/>
                <w:numId w:val="9"/>
              </w:numPr>
              <w:spacing w:before="240" w:after="240"/>
              <w:rPr>
                <w:rFonts w:ascii="Verdana" w:hAnsi="Verdana"/>
                <w:sz w:val="22"/>
                <w:szCs w:val="22"/>
              </w:rPr>
            </w:pPr>
            <w:r w:rsidRPr="00690426">
              <w:rPr>
                <w:rFonts w:ascii="Verdana" w:hAnsi="Verdana"/>
                <w:sz w:val="22"/>
                <w:szCs w:val="22"/>
              </w:rPr>
              <w:t>The IWS now has capacity for 400 children and young people per year.  Children and young people with the highest needs are provided residential placements for a short time, with the aim to assist the child to return and be successful in their home community.</w:t>
            </w:r>
          </w:p>
          <w:p w:rsidR="006D2A11" w:rsidRPr="006E2D8F" w:rsidRDefault="006D2A11" w:rsidP="00690426">
            <w:pPr>
              <w:tabs>
                <w:tab w:val="left" w:pos="680"/>
                <w:tab w:val="left" w:pos="1359"/>
                <w:tab w:val="left" w:pos="1983"/>
                <w:tab w:val="left" w:pos="6349"/>
                <w:tab w:val="left" w:pos="6915"/>
                <w:tab w:val="left" w:pos="8370"/>
              </w:tabs>
              <w:spacing w:before="240" w:after="240"/>
              <w:rPr>
                <w:rFonts w:ascii="Verdana" w:hAnsi="Verdana"/>
                <w:b/>
                <w:kern w:val="2"/>
                <w:sz w:val="22"/>
                <w:szCs w:val="22"/>
                <w:lang w:val="en-US"/>
              </w:rPr>
            </w:pPr>
            <w:r w:rsidRPr="006E2D8F">
              <w:rPr>
                <w:rFonts w:ascii="Verdana" w:hAnsi="Verdana"/>
                <w:b/>
                <w:kern w:val="2"/>
                <w:sz w:val="22"/>
                <w:szCs w:val="22"/>
                <w:lang w:val="en-US"/>
              </w:rPr>
              <w:t>Ministry of Health</w:t>
            </w:r>
          </w:p>
          <w:p w:rsidR="006D2A11" w:rsidRDefault="006D2A11" w:rsidP="006D2A11">
            <w:pPr>
              <w:tabs>
                <w:tab w:val="left" w:pos="680"/>
                <w:tab w:val="left" w:pos="1359"/>
                <w:tab w:val="left" w:pos="1983"/>
                <w:tab w:val="left" w:pos="6349"/>
                <w:tab w:val="left" w:pos="6915"/>
                <w:tab w:val="left" w:pos="8370"/>
              </w:tabs>
              <w:spacing w:before="60"/>
              <w:rPr>
                <w:rFonts w:ascii="Verdana" w:hAnsi="Verdana"/>
                <w:kern w:val="2"/>
                <w:sz w:val="22"/>
                <w:szCs w:val="22"/>
                <w:lang w:val="en-US"/>
              </w:rPr>
            </w:pPr>
            <w:r w:rsidRPr="006E2D8F">
              <w:rPr>
                <w:rFonts w:ascii="Verdana" w:hAnsi="Verdana"/>
                <w:kern w:val="2"/>
                <w:sz w:val="22"/>
                <w:szCs w:val="22"/>
                <w:lang w:val="en-US"/>
              </w:rPr>
              <w:t>Mental Health</w:t>
            </w:r>
          </w:p>
          <w:p w:rsidR="006E2D8F" w:rsidRPr="006E2D8F" w:rsidRDefault="006E2D8F" w:rsidP="006E2D8F">
            <w:pPr>
              <w:pStyle w:val="Heading4"/>
              <w:numPr>
                <w:ilvl w:val="0"/>
                <w:numId w:val="9"/>
              </w:numPr>
              <w:spacing w:before="240" w:after="240"/>
              <w:rPr>
                <w:rFonts w:ascii="Verdana" w:hAnsi="Verdana"/>
                <w:sz w:val="22"/>
                <w:szCs w:val="22"/>
                <w:lang w:val="en-US"/>
              </w:rPr>
            </w:pPr>
            <w:r w:rsidRPr="006E2D8F">
              <w:rPr>
                <w:rFonts w:ascii="Verdana" w:hAnsi="Verdana"/>
                <w:sz w:val="22"/>
                <w:szCs w:val="22"/>
              </w:rPr>
              <w:t>New Zealand overhauled its mental health services in the 1990s. The main change was the closure of large mental hospitals and</w:t>
            </w:r>
            <w:r>
              <w:rPr>
                <w:rFonts w:ascii="Verdana" w:hAnsi="Verdana"/>
                <w:sz w:val="22"/>
                <w:szCs w:val="22"/>
              </w:rPr>
              <w:t xml:space="preserve"> </w:t>
            </w:r>
            <w:r w:rsidRPr="006E2D8F">
              <w:rPr>
                <w:rFonts w:ascii="Verdana" w:hAnsi="Verdana"/>
                <w:sz w:val="22"/>
                <w:szCs w:val="22"/>
              </w:rPr>
              <w:t>the move</w:t>
            </w:r>
            <w:r w:rsidR="00977976">
              <w:rPr>
                <w:rFonts w:ascii="Verdana" w:hAnsi="Verdana"/>
                <w:sz w:val="22"/>
                <w:szCs w:val="22"/>
              </w:rPr>
              <w:t>ment of care into the community. This was</w:t>
            </w:r>
            <w:r w:rsidRPr="006E2D8F">
              <w:rPr>
                <w:rFonts w:ascii="Verdana" w:hAnsi="Verdana"/>
                <w:sz w:val="22"/>
                <w:szCs w:val="22"/>
              </w:rPr>
              <w:t xml:space="preserve"> facilitated by new drugs and pushed by the d</w:t>
            </w:r>
            <w:r>
              <w:rPr>
                <w:rFonts w:ascii="Verdana" w:hAnsi="Verdana"/>
                <w:sz w:val="22"/>
                <w:szCs w:val="22"/>
              </w:rPr>
              <w:t xml:space="preserve">einstitutionalization movement. </w:t>
            </w:r>
            <w:r w:rsidRPr="006E2D8F">
              <w:rPr>
                <w:rFonts w:ascii="Verdana" w:hAnsi="Verdana"/>
                <w:sz w:val="22"/>
                <w:szCs w:val="22"/>
              </w:rPr>
              <w:t>For more information</w:t>
            </w:r>
            <w:r>
              <w:rPr>
                <w:rFonts w:ascii="Verdana" w:hAnsi="Verdana"/>
                <w:sz w:val="22"/>
                <w:szCs w:val="22"/>
              </w:rPr>
              <w:t>,</w:t>
            </w:r>
            <w:r w:rsidRPr="006E2D8F">
              <w:rPr>
                <w:rFonts w:ascii="Verdana" w:hAnsi="Verdana"/>
                <w:sz w:val="22"/>
                <w:szCs w:val="22"/>
              </w:rPr>
              <w:t xml:space="preserve"> please visit </w:t>
            </w:r>
            <w:hyperlink r:id="rId16" w:history="1">
              <w:r w:rsidRPr="006E2D8F">
                <w:rPr>
                  <w:rStyle w:val="Hyperlink"/>
                  <w:rFonts w:ascii="Verdana" w:hAnsi="Verdana"/>
                  <w:sz w:val="22"/>
                  <w:szCs w:val="22"/>
                </w:rPr>
                <w:t>http://www.wpro.who.int/asia_pacific_observatory/hits/series/Nez_Health_Systems_Review.pdf</w:t>
              </w:r>
            </w:hyperlink>
            <w:r w:rsidRPr="006E2D8F">
              <w:rPr>
                <w:rFonts w:ascii="Verdana" w:hAnsi="Verdana"/>
                <w:sz w:val="22"/>
                <w:szCs w:val="22"/>
              </w:rPr>
              <w:t>.</w:t>
            </w:r>
          </w:p>
          <w:p w:rsidR="006D2A11" w:rsidRPr="006E2D8F" w:rsidRDefault="006D2A11" w:rsidP="006E2D8F">
            <w:pPr>
              <w:pStyle w:val="Heading4"/>
              <w:numPr>
                <w:ilvl w:val="0"/>
                <w:numId w:val="9"/>
              </w:numPr>
              <w:spacing w:before="240" w:after="240"/>
              <w:rPr>
                <w:rFonts w:ascii="Verdana" w:hAnsi="Verdana"/>
                <w:sz w:val="22"/>
                <w:szCs w:val="22"/>
                <w:lang w:val="en-US"/>
              </w:rPr>
            </w:pPr>
            <w:r w:rsidRPr="006E2D8F">
              <w:rPr>
                <w:rFonts w:ascii="Verdana" w:hAnsi="Verdana"/>
                <w:sz w:val="22"/>
                <w:szCs w:val="22"/>
              </w:rPr>
              <w:t xml:space="preserve">In 2005, the New Zealand Government established a reconciliation initiative (Confidential Forum for Former In-Patients of Psychiatric Hospitals) to address ongoing abuse and mistreatment grievances of ex-patients of mental health institutions in the 1970s to 1990s. </w:t>
            </w:r>
          </w:p>
          <w:p w:rsidR="006D2A11" w:rsidRDefault="006D2A11" w:rsidP="006D2A11">
            <w:pPr>
              <w:tabs>
                <w:tab w:val="left" w:pos="680"/>
                <w:tab w:val="left" w:pos="1359"/>
                <w:tab w:val="left" w:pos="1983"/>
                <w:tab w:val="left" w:pos="6349"/>
                <w:tab w:val="left" w:pos="6915"/>
                <w:tab w:val="left" w:pos="8370"/>
              </w:tabs>
              <w:spacing w:before="60"/>
              <w:rPr>
                <w:rFonts w:ascii="Verdana" w:hAnsi="Verdana"/>
                <w:kern w:val="2"/>
                <w:sz w:val="22"/>
                <w:szCs w:val="22"/>
                <w:lang w:val="en-US"/>
              </w:rPr>
            </w:pPr>
            <w:r w:rsidRPr="006E2D8F">
              <w:rPr>
                <w:rFonts w:ascii="Verdana" w:hAnsi="Verdana"/>
                <w:kern w:val="2"/>
                <w:sz w:val="22"/>
                <w:szCs w:val="22"/>
                <w:lang w:val="en-US"/>
              </w:rPr>
              <w:t>Disability Support Services</w:t>
            </w:r>
            <w:r w:rsidR="00CF67A4">
              <w:rPr>
                <w:rFonts w:ascii="Verdana" w:hAnsi="Verdana"/>
                <w:kern w:val="2"/>
                <w:sz w:val="22"/>
                <w:szCs w:val="22"/>
                <w:lang w:val="en-US"/>
              </w:rPr>
              <w:t xml:space="preserve"> (DSS)</w:t>
            </w:r>
          </w:p>
          <w:p w:rsidR="006E2D8F" w:rsidRPr="006E2D8F" w:rsidRDefault="006E2D8F" w:rsidP="009A3D9E">
            <w:pPr>
              <w:pStyle w:val="Heading4"/>
              <w:numPr>
                <w:ilvl w:val="0"/>
                <w:numId w:val="9"/>
              </w:numPr>
              <w:spacing w:before="240" w:after="240"/>
              <w:rPr>
                <w:rFonts w:ascii="Verdana" w:hAnsi="Verdana"/>
                <w:sz w:val="22"/>
                <w:szCs w:val="22"/>
                <w:lang w:val="en-US"/>
              </w:rPr>
            </w:pPr>
            <w:r w:rsidRPr="006E2D8F">
              <w:rPr>
                <w:rFonts w:ascii="Verdana" w:hAnsi="Verdana" w:cs="CMR10"/>
                <w:sz w:val="22"/>
                <w:szCs w:val="22"/>
                <w:lang w:val="en-NZ" w:eastAsia="zh-CN"/>
              </w:rPr>
              <w:t xml:space="preserve">The last institution in New Zealand for </w:t>
            </w:r>
            <w:r w:rsidR="009A3D9E">
              <w:rPr>
                <w:rFonts w:ascii="Verdana" w:hAnsi="Verdana" w:cs="CMR10"/>
                <w:sz w:val="22"/>
                <w:szCs w:val="22"/>
                <w:lang w:val="en-NZ" w:eastAsia="zh-CN"/>
              </w:rPr>
              <w:t>persons</w:t>
            </w:r>
            <w:r w:rsidRPr="006E2D8F">
              <w:rPr>
                <w:rFonts w:ascii="Verdana" w:hAnsi="Verdana" w:cs="CMR10"/>
                <w:sz w:val="22"/>
                <w:szCs w:val="22"/>
                <w:lang w:val="en-NZ" w:eastAsia="zh-CN"/>
              </w:rPr>
              <w:t xml:space="preserve"> with intellectual disabilities, the Kimberley Centre, was closed in October 2006</w:t>
            </w:r>
            <w:r w:rsidR="00CF67A4">
              <w:rPr>
                <w:rFonts w:ascii="Verdana" w:hAnsi="Verdana" w:cs="CMR10"/>
                <w:sz w:val="22"/>
                <w:szCs w:val="22"/>
                <w:lang w:val="en-NZ" w:eastAsia="zh-CN"/>
              </w:rPr>
              <w:t xml:space="preserve">. For more information, visit </w:t>
            </w:r>
            <w:hyperlink r:id="rId17" w:history="1">
              <w:r w:rsidRPr="006E2D8F">
                <w:rPr>
                  <w:rStyle w:val="Hyperlink"/>
                  <w:rFonts w:ascii="Verdana" w:hAnsi="Verdana" w:cs="CMR10"/>
                  <w:sz w:val="22"/>
                  <w:szCs w:val="22"/>
                  <w:lang w:val="en-NZ" w:eastAsia="zh-CN"/>
                </w:rPr>
                <w:t>http://www.health.govt.nz/system/files/documents/publications/resettlement-of-kimberley-residents.pdf</w:t>
              </w:r>
            </w:hyperlink>
            <w:r w:rsidRPr="006E2D8F">
              <w:rPr>
                <w:rFonts w:ascii="Verdana" w:hAnsi="Verdana" w:cs="CMR10"/>
                <w:sz w:val="22"/>
                <w:szCs w:val="22"/>
                <w:lang w:val="en-NZ" w:eastAsia="zh-CN"/>
              </w:rPr>
              <w:t>.</w:t>
            </w:r>
            <w:r w:rsidR="006D2A11" w:rsidRPr="006E2D8F">
              <w:rPr>
                <w:rFonts w:ascii="Verdana" w:hAnsi="Verdana"/>
                <w:sz w:val="22"/>
                <w:szCs w:val="22"/>
              </w:rPr>
              <w:t xml:space="preserve">DSS funds day services for </w:t>
            </w:r>
            <w:r w:rsidR="009A3D9E">
              <w:rPr>
                <w:rFonts w:ascii="Verdana" w:hAnsi="Verdana"/>
                <w:sz w:val="22"/>
                <w:szCs w:val="22"/>
              </w:rPr>
              <w:t>persons with disabilities</w:t>
            </w:r>
            <w:r w:rsidR="006D2A11" w:rsidRPr="006E2D8F">
              <w:rPr>
                <w:rFonts w:ascii="Verdana" w:hAnsi="Verdana"/>
                <w:sz w:val="22"/>
                <w:szCs w:val="22"/>
              </w:rPr>
              <w:t xml:space="preserve"> who were deinstitutionalised</w:t>
            </w:r>
            <w:r w:rsidR="00CF67A4">
              <w:rPr>
                <w:rFonts w:ascii="Verdana" w:hAnsi="Verdana"/>
                <w:sz w:val="22"/>
                <w:szCs w:val="22"/>
              </w:rPr>
              <w:t>,</w:t>
            </w:r>
            <w:r w:rsidR="006D2A11" w:rsidRPr="006E2D8F">
              <w:rPr>
                <w:rFonts w:ascii="Verdana" w:hAnsi="Verdana"/>
                <w:sz w:val="22"/>
                <w:szCs w:val="22"/>
              </w:rPr>
              <w:t xml:space="preserve"> unde</w:t>
            </w:r>
            <w:r w:rsidR="008041FA">
              <w:rPr>
                <w:rFonts w:ascii="Verdana" w:hAnsi="Verdana"/>
                <w:sz w:val="22"/>
                <w:szCs w:val="22"/>
              </w:rPr>
              <w:t xml:space="preserve">r formal deinstitutionalisation </w:t>
            </w:r>
            <w:r w:rsidR="006D2A11" w:rsidRPr="006E2D8F">
              <w:rPr>
                <w:rFonts w:ascii="Verdana" w:hAnsi="Verdana"/>
                <w:sz w:val="22"/>
                <w:szCs w:val="22"/>
              </w:rPr>
              <w:t>plans</w:t>
            </w:r>
            <w:r>
              <w:rPr>
                <w:rFonts w:ascii="Verdana" w:hAnsi="Verdana"/>
                <w:sz w:val="22"/>
                <w:szCs w:val="22"/>
              </w:rPr>
              <w:t>.</w:t>
            </w:r>
          </w:p>
        </w:tc>
      </w:tr>
      <w:tr w:rsidR="00DF50E6" w:rsidRPr="00EE46E5" w:rsidTr="00DF50E6">
        <w:tc>
          <w:tcPr>
            <w:tcW w:w="15559" w:type="dxa"/>
            <w:shd w:val="clear" w:color="auto" w:fill="DBE5F1" w:themeFill="accent1" w:themeFillTint="33"/>
          </w:tcPr>
          <w:p w:rsidR="00DF50E6" w:rsidRPr="00EE46E5" w:rsidRDefault="00DF50E6" w:rsidP="007C47D5">
            <w:pPr>
              <w:pStyle w:val="ListParagraph"/>
              <w:numPr>
                <w:ilvl w:val="1"/>
                <w:numId w:val="3"/>
              </w:numPr>
              <w:spacing w:before="240" w:after="240"/>
              <w:rPr>
                <w:rFonts w:ascii="Verdana" w:hAnsi="Verdana"/>
                <w:sz w:val="22"/>
                <w:szCs w:val="22"/>
              </w:rPr>
            </w:pPr>
            <w:r w:rsidRPr="00EE46E5">
              <w:rPr>
                <w:rFonts w:ascii="Verdana" w:hAnsi="Verdana"/>
                <w:sz w:val="22"/>
                <w:szCs w:val="22"/>
              </w:rPr>
              <w:t xml:space="preserve">Involuntary admission to mental health services or other institutions; </w:t>
            </w:r>
          </w:p>
        </w:tc>
      </w:tr>
      <w:tr w:rsidR="004E0314" w:rsidRPr="00EE46E5" w:rsidTr="00DF50E6">
        <w:tc>
          <w:tcPr>
            <w:tcW w:w="15559" w:type="dxa"/>
          </w:tcPr>
          <w:p w:rsidR="004E0314" w:rsidRPr="00CF67A4" w:rsidRDefault="006D2A11" w:rsidP="006D2A11">
            <w:pPr>
              <w:tabs>
                <w:tab w:val="left" w:pos="680"/>
                <w:tab w:val="left" w:pos="1359"/>
                <w:tab w:val="left" w:pos="1983"/>
                <w:tab w:val="left" w:pos="6349"/>
                <w:tab w:val="left" w:pos="6915"/>
                <w:tab w:val="left" w:pos="8370"/>
              </w:tabs>
              <w:spacing w:before="240" w:after="240"/>
              <w:rPr>
                <w:rFonts w:ascii="Verdana" w:hAnsi="Verdana"/>
                <w:b/>
                <w:kern w:val="2"/>
                <w:sz w:val="22"/>
                <w:szCs w:val="22"/>
                <w:lang w:val="en-US"/>
              </w:rPr>
            </w:pPr>
            <w:r w:rsidRPr="00CF67A4">
              <w:rPr>
                <w:rFonts w:ascii="Verdana" w:hAnsi="Verdana"/>
                <w:b/>
                <w:kern w:val="2"/>
                <w:sz w:val="22"/>
                <w:szCs w:val="22"/>
                <w:lang w:val="en-US"/>
              </w:rPr>
              <w:t>Ministry of Health</w:t>
            </w:r>
          </w:p>
          <w:p w:rsidR="006D2A11" w:rsidRPr="00CF67A4" w:rsidRDefault="00977976" w:rsidP="001F4D7F">
            <w:pPr>
              <w:pStyle w:val="Heading4"/>
              <w:numPr>
                <w:ilvl w:val="0"/>
                <w:numId w:val="9"/>
              </w:numPr>
              <w:spacing w:before="240" w:after="240"/>
              <w:rPr>
                <w:rFonts w:ascii="Verdana" w:hAnsi="Verdana"/>
                <w:sz w:val="22"/>
                <w:szCs w:val="22"/>
                <w:lang w:val="en-US"/>
              </w:rPr>
            </w:pPr>
            <w:r>
              <w:rPr>
                <w:rFonts w:ascii="Verdana" w:hAnsi="Verdana" w:cs="Arial"/>
                <w:sz w:val="22"/>
                <w:szCs w:val="22"/>
              </w:rPr>
              <w:t xml:space="preserve">The Mental Health </w:t>
            </w:r>
            <w:r w:rsidR="006D2A11" w:rsidRPr="00CF67A4">
              <w:rPr>
                <w:rFonts w:ascii="Verdana" w:hAnsi="Verdana" w:cs="Arial"/>
                <w:sz w:val="22"/>
                <w:szCs w:val="22"/>
              </w:rPr>
              <w:t xml:space="preserve">Act 1992 </w:t>
            </w:r>
            <w:r>
              <w:rPr>
                <w:rFonts w:ascii="Verdana" w:hAnsi="Verdana" w:cs="Arial"/>
                <w:sz w:val="22"/>
                <w:szCs w:val="22"/>
              </w:rPr>
              <w:t xml:space="preserve">allows </w:t>
            </w:r>
            <w:r w:rsidR="006D2A11" w:rsidRPr="00CF67A4">
              <w:rPr>
                <w:rFonts w:ascii="Verdana" w:hAnsi="Verdana" w:cs="Arial"/>
                <w:sz w:val="22"/>
                <w:szCs w:val="22"/>
              </w:rPr>
              <w:t>for non-consensual assessment and treatment in limited circumstances</w:t>
            </w:r>
            <w:r w:rsidR="00CF67A4">
              <w:rPr>
                <w:rFonts w:ascii="Verdana" w:hAnsi="Verdana" w:cs="Arial"/>
                <w:sz w:val="22"/>
                <w:szCs w:val="22"/>
              </w:rPr>
              <w:t>,</w:t>
            </w:r>
            <w:r w:rsidR="006D2A11" w:rsidRPr="00CF67A4">
              <w:rPr>
                <w:rFonts w:ascii="Verdana" w:hAnsi="Verdana" w:cs="Arial"/>
                <w:sz w:val="22"/>
                <w:szCs w:val="22"/>
              </w:rPr>
              <w:t xml:space="preserve"> where needed</w:t>
            </w:r>
            <w:r w:rsidR="006D2A11" w:rsidRPr="00CF67A4">
              <w:rPr>
                <w:rFonts w:ascii="Verdana" w:hAnsi="Verdana"/>
                <w:i/>
                <w:sz w:val="22"/>
                <w:szCs w:val="22"/>
              </w:rPr>
              <w:t xml:space="preserve"> </w:t>
            </w:r>
            <w:r w:rsidR="006D2A11" w:rsidRPr="00CF67A4">
              <w:rPr>
                <w:rFonts w:ascii="Verdana" w:hAnsi="Verdana"/>
                <w:sz w:val="22"/>
                <w:szCs w:val="22"/>
              </w:rPr>
              <w:t>to protect people with a mental disorder that pose a serious danger to themselves or other</w:t>
            </w:r>
            <w:r w:rsidR="00CF67A4">
              <w:rPr>
                <w:rFonts w:ascii="Verdana" w:hAnsi="Verdana"/>
                <w:sz w:val="22"/>
                <w:szCs w:val="22"/>
              </w:rPr>
              <w:t>s, including from self-neglect. For more information, visit</w:t>
            </w:r>
            <w:r w:rsidR="006D2A11" w:rsidRPr="00CF67A4">
              <w:rPr>
                <w:rFonts w:ascii="Verdana" w:hAnsi="Verdana"/>
                <w:sz w:val="22"/>
                <w:szCs w:val="22"/>
              </w:rPr>
              <w:t xml:space="preserve"> </w:t>
            </w:r>
            <w:hyperlink r:id="rId18" w:history="1">
              <w:r w:rsidR="006D2A11" w:rsidRPr="00CF67A4">
                <w:rPr>
                  <w:rStyle w:val="Hyperlink"/>
                  <w:rFonts w:ascii="Verdana" w:hAnsi="Verdana"/>
                  <w:sz w:val="22"/>
                  <w:szCs w:val="22"/>
                </w:rPr>
                <w:t>http://www.legislation.govt.nz/act/public/1992/0046/latest/DLM262176.html</w:t>
              </w:r>
            </w:hyperlink>
            <w:r w:rsidR="00CF67A4">
              <w:rPr>
                <w:rFonts w:ascii="Verdana" w:hAnsi="Verdana"/>
                <w:sz w:val="22"/>
                <w:szCs w:val="22"/>
              </w:rPr>
              <w:t>.</w:t>
            </w:r>
          </w:p>
        </w:tc>
      </w:tr>
      <w:tr w:rsidR="004E0314" w:rsidRPr="00EE46E5" w:rsidTr="00DF50E6">
        <w:tc>
          <w:tcPr>
            <w:tcW w:w="15559" w:type="dxa"/>
            <w:shd w:val="clear" w:color="auto" w:fill="DBE5F1" w:themeFill="accent1" w:themeFillTint="33"/>
          </w:tcPr>
          <w:p w:rsidR="004E0314" w:rsidRPr="00EE46E5" w:rsidRDefault="004E0314" w:rsidP="007C47D5">
            <w:pPr>
              <w:pStyle w:val="ListParagraph"/>
              <w:numPr>
                <w:ilvl w:val="1"/>
                <w:numId w:val="3"/>
              </w:numPr>
              <w:spacing w:before="240" w:after="240"/>
              <w:rPr>
                <w:rFonts w:ascii="Verdana" w:hAnsi="Verdana"/>
                <w:sz w:val="22"/>
                <w:szCs w:val="22"/>
              </w:rPr>
            </w:pPr>
            <w:r w:rsidRPr="00EE46E5">
              <w:rPr>
                <w:rFonts w:ascii="Verdana" w:hAnsi="Verdana"/>
                <w:sz w:val="22"/>
                <w:szCs w:val="22"/>
              </w:rPr>
              <w:t xml:space="preserve">Criteria to be found not criminally responsible (insanity defence, </w:t>
            </w:r>
            <w:proofErr w:type="spellStart"/>
            <w:r w:rsidRPr="00EE46E5">
              <w:rPr>
                <w:rFonts w:ascii="Verdana" w:hAnsi="Verdana"/>
                <w:sz w:val="22"/>
                <w:szCs w:val="22"/>
              </w:rPr>
              <w:t>inimputabilidad</w:t>
            </w:r>
            <w:proofErr w:type="spellEnd"/>
            <w:r w:rsidRPr="00EE46E5">
              <w:rPr>
                <w:rFonts w:ascii="Verdana" w:hAnsi="Verdana"/>
                <w:sz w:val="22"/>
                <w:szCs w:val="22"/>
              </w:rPr>
              <w:t>, etc.)</w:t>
            </w:r>
            <w:proofErr w:type="gramStart"/>
            <w:r w:rsidRPr="00EE46E5">
              <w:rPr>
                <w:rFonts w:ascii="Verdana" w:hAnsi="Verdana"/>
                <w:sz w:val="22"/>
                <w:szCs w:val="22"/>
              </w:rPr>
              <w:t>;.</w:t>
            </w:r>
            <w:proofErr w:type="gramEnd"/>
          </w:p>
        </w:tc>
      </w:tr>
      <w:tr w:rsidR="004E0314" w:rsidRPr="00EE46E5" w:rsidTr="00DF50E6">
        <w:tc>
          <w:tcPr>
            <w:tcW w:w="15559" w:type="dxa"/>
          </w:tcPr>
          <w:p w:rsidR="004E0314" w:rsidRPr="00C84A18" w:rsidRDefault="004E0314" w:rsidP="00C84A18">
            <w:pPr>
              <w:tabs>
                <w:tab w:val="left" w:pos="680"/>
                <w:tab w:val="left" w:pos="1359"/>
                <w:tab w:val="left" w:pos="1983"/>
                <w:tab w:val="left" w:pos="6349"/>
                <w:tab w:val="left" w:pos="6915"/>
                <w:tab w:val="left" w:pos="8370"/>
              </w:tabs>
              <w:spacing w:before="240" w:after="240"/>
              <w:rPr>
                <w:rFonts w:ascii="Verdana" w:hAnsi="Verdana"/>
                <w:b/>
                <w:kern w:val="2"/>
                <w:sz w:val="22"/>
                <w:szCs w:val="22"/>
                <w:lang w:val="en-US"/>
              </w:rPr>
            </w:pPr>
            <w:r w:rsidRPr="00C84A18">
              <w:rPr>
                <w:rFonts w:ascii="Verdana" w:hAnsi="Verdana"/>
                <w:b/>
                <w:kern w:val="2"/>
                <w:sz w:val="22"/>
                <w:szCs w:val="22"/>
                <w:lang w:val="en-US"/>
              </w:rPr>
              <w:t>Ministry of Justice</w:t>
            </w:r>
          </w:p>
          <w:p w:rsidR="00CF67A4" w:rsidRPr="00DF50E6" w:rsidRDefault="00CF67A4" w:rsidP="00CF67A4">
            <w:pPr>
              <w:pStyle w:val="Heading4"/>
              <w:numPr>
                <w:ilvl w:val="0"/>
                <w:numId w:val="9"/>
              </w:numPr>
              <w:spacing w:before="240" w:after="240"/>
              <w:rPr>
                <w:rFonts w:ascii="Verdana" w:hAnsi="Verdana"/>
                <w:sz w:val="22"/>
                <w:szCs w:val="22"/>
                <w:lang w:val="en-US"/>
              </w:rPr>
            </w:pPr>
            <w:r>
              <w:rPr>
                <w:rFonts w:ascii="Verdana" w:hAnsi="Verdana"/>
                <w:kern w:val="2"/>
                <w:sz w:val="22"/>
                <w:szCs w:val="22"/>
                <w:lang w:val="en-US"/>
              </w:rPr>
              <w:t xml:space="preserve">Under the Criminal Procedure (Mentally Impaired Persons) Act 2003, a defendant will be acquitted in the case of insanity. For further information, visit </w:t>
            </w:r>
            <w:hyperlink r:id="rId19" w:history="1">
              <w:r w:rsidRPr="001F7109">
                <w:rPr>
                  <w:rStyle w:val="Hyperlink"/>
                  <w:rFonts w:ascii="Verdana" w:hAnsi="Verdana"/>
                  <w:kern w:val="2"/>
                  <w:sz w:val="22"/>
                  <w:szCs w:val="22"/>
                  <w:lang w:val="en-US"/>
                </w:rPr>
                <w:t>http://legislation.govt.nz/act/public/2003/0115/latest/DLM223818.html</w:t>
              </w:r>
            </w:hyperlink>
            <w:r>
              <w:rPr>
                <w:rFonts w:ascii="Verdana" w:hAnsi="Verdana"/>
                <w:kern w:val="2"/>
                <w:sz w:val="22"/>
                <w:szCs w:val="22"/>
                <w:lang w:val="en-US"/>
              </w:rPr>
              <w:t>.</w:t>
            </w:r>
          </w:p>
          <w:p w:rsidR="001F4D7F" w:rsidRPr="00E07792" w:rsidRDefault="004E0314" w:rsidP="00CF67A4">
            <w:pPr>
              <w:pStyle w:val="Heading4"/>
              <w:numPr>
                <w:ilvl w:val="0"/>
                <w:numId w:val="9"/>
              </w:numPr>
              <w:spacing w:before="240" w:after="240"/>
              <w:rPr>
                <w:rFonts w:ascii="Verdana" w:hAnsi="Verdana"/>
                <w:sz w:val="22"/>
                <w:szCs w:val="22"/>
                <w:lang w:val="en-US"/>
              </w:rPr>
            </w:pPr>
            <w:r w:rsidRPr="00CF67A4">
              <w:rPr>
                <w:rFonts w:ascii="Verdana" w:hAnsi="Verdana"/>
                <w:kern w:val="2"/>
                <w:sz w:val="22"/>
                <w:szCs w:val="22"/>
                <w:lang w:val="en-US"/>
              </w:rPr>
              <w:t xml:space="preserve">Under the Crimes Act 1961, </w:t>
            </w:r>
            <w:r w:rsidR="001F4D7F">
              <w:rPr>
                <w:rFonts w:ascii="Verdana" w:hAnsi="Verdana"/>
                <w:kern w:val="2"/>
                <w:sz w:val="22"/>
                <w:szCs w:val="22"/>
                <w:lang w:val="en-US"/>
              </w:rPr>
              <w:t>“</w:t>
            </w:r>
            <w:r w:rsidRPr="00CF67A4">
              <w:rPr>
                <w:rFonts w:ascii="Verdana" w:hAnsi="Verdana"/>
                <w:kern w:val="2"/>
                <w:sz w:val="22"/>
                <w:szCs w:val="22"/>
                <w:lang w:val="en-US"/>
              </w:rPr>
              <w:t xml:space="preserve">no person shall be convicted of an offence by reason of an act done or omitted by him or her when </w:t>
            </w:r>
            <w:proofErr w:type="spellStart"/>
            <w:r w:rsidRPr="00CF67A4">
              <w:rPr>
                <w:rFonts w:ascii="Verdana" w:hAnsi="Verdana"/>
                <w:kern w:val="2"/>
                <w:sz w:val="22"/>
                <w:szCs w:val="22"/>
                <w:lang w:val="en-US"/>
              </w:rPr>
              <w:t>labouring</w:t>
            </w:r>
            <w:proofErr w:type="spellEnd"/>
            <w:r w:rsidRPr="00CF67A4">
              <w:rPr>
                <w:rFonts w:ascii="Verdana" w:hAnsi="Verdana"/>
                <w:kern w:val="2"/>
                <w:sz w:val="22"/>
                <w:szCs w:val="22"/>
                <w:lang w:val="en-US"/>
              </w:rPr>
              <w:t xml:space="preserve"> under natural imbecility or disease of the mind to such an extent as to render him or her incapable </w:t>
            </w:r>
            <w:r w:rsidR="001F4D7F">
              <w:rPr>
                <w:rFonts w:ascii="Verdana" w:hAnsi="Verdana"/>
                <w:kern w:val="2"/>
                <w:sz w:val="22"/>
                <w:szCs w:val="22"/>
                <w:lang w:val="en-US"/>
              </w:rPr>
              <w:t>–</w:t>
            </w:r>
          </w:p>
          <w:p w:rsidR="001F4D7F" w:rsidRDefault="001F4D7F" w:rsidP="00E07792">
            <w:pPr>
              <w:pStyle w:val="Heading4"/>
              <w:spacing w:before="240" w:after="240"/>
              <w:ind w:left="1080"/>
              <w:rPr>
                <w:rFonts w:ascii="Verdana" w:hAnsi="Verdana"/>
                <w:kern w:val="2"/>
                <w:sz w:val="22"/>
                <w:szCs w:val="22"/>
                <w:lang w:val="en-US"/>
              </w:rPr>
            </w:pPr>
            <w:proofErr w:type="gramStart"/>
            <w:r>
              <w:rPr>
                <w:rFonts w:ascii="Verdana" w:hAnsi="Verdana"/>
                <w:kern w:val="2"/>
                <w:sz w:val="22"/>
                <w:szCs w:val="22"/>
                <w:lang w:val="en-US"/>
              </w:rPr>
              <w:t>a</w:t>
            </w:r>
            <w:proofErr w:type="gramEnd"/>
            <w:r>
              <w:rPr>
                <w:rFonts w:ascii="Verdana" w:hAnsi="Verdana"/>
                <w:kern w:val="2"/>
                <w:sz w:val="22"/>
                <w:szCs w:val="22"/>
                <w:lang w:val="en-US"/>
              </w:rPr>
              <w:t xml:space="preserve">) </w:t>
            </w:r>
            <w:r w:rsidR="004E0314" w:rsidRPr="00CF67A4">
              <w:rPr>
                <w:rFonts w:ascii="Verdana" w:hAnsi="Verdana"/>
                <w:kern w:val="2"/>
                <w:sz w:val="22"/>
                <w:szCs w:val="22"/>
                <w:lang w:val="en-US"/>
              </w:rPr>
              <w:t xml:space="preserve">of understanding the nature and quality of the act or omission; or </w:t>
            </w:r>
          </w:p>
          <w:p w:rsidR="001F4D7F" w:rsidRDefault="001F4D7F" w:rsidP="00E07792">
            <w:pPr>
              <w:pStyle w:val="Heading4"/>
              <w:spacing w:before="240" w:after="240"/>
              <w:ind w:left="1080"/>
              <w:rPr>
                <w:rFonts w:ascii="Verdana" w:hAnsi="Verdana"/>
                <w:kern w:val="2"/>
                <w:sz w:val="22"/>
                <w:szCs w:val="22"/>
                <w:lang w:val="en-US"/>
              </w:rPr>
            </w:pPr>
            <w:proofErr w:type="gramStart"/>
            <w:r>
              <w:rPr>
                <w:rFonts w:ascii="Verdana" w:hAnsi="Verdana"/>
                <w:kern w:val="2"/>
                <w:sz w:val="22"/>
                <w:szCs w:val="22"/>
                <w:lang w:val="en-US"/>
              </w:rPr>
              <w:t>b)</w:t>
            </w:r>
            <w:r w:rsidR="004E0314" w:rsidRPr="00CF67A4">
              <w:rPr>
                <w:rFonts w:ascii="Verdana" w:hAnsi="Verdana"/>
                <w:kern w:val="2"/>
                <w:sz w:val="22"/>
                <w:szCs w:val="22"/>
                <w:lang w:val="en-US"/>
              </w:rPr>
              <w:t>of</w:t>
            </w:r>
            <w:proofErr w:type="gramEnd"/>
            <w:r w:rsidR="004E0314" w:rsidRPr="00CF67A4">
              <w:rPr>
                <w:rFonts w:ascii="Verdana" w:hAnsi="Verdana"/>
                <w:kern w:val="2"/>
                <w:sz w:val="22"/>
                <w:szCs w:val="22"/>
                <w:lang w:val="en-US"/>
              </w:rPr>
              <w:t xml:space="preserve"> knowing that the act or omission was morally wrong, having regard to the commonly accepted standards of right and wrong.</w:t>
            </w:r>
            <w:r>
              <w:rPr>
                <w:rFonts w:ascii="Verdana" w:hAnsi="Verdana"/>
                <w:kern w:val="2"/>
                <w:sz w:val="22"/>
                <w:szCs w:val="22"/>
                <w:lang w:val="en-US"/>
              </w:rPr>
              <w:t>”</w:t>
            </w:r>
            <w:r w:rsidR="00C60DED" w:rsidRPr="00CF67A4">
              <w:rPr>
                <w:rFonts w:ascii="Verdana" w:hAnsi="Verdana"/>
                <w:kern w:val="2"/>
                <w:sz w:val="22"/>
                <w:szCs w:val="22"/>
                <w:lang w:val="en-US"/>
              </w:rPr>
              <w:t xml:space="preserve"> </w:t>
            </w:r>
          </w:p>
          <w:p w:rsidR="004E0314" w:rsidRPr="00E07792" w:rsidRDefault="00C60DED" w:rsidP="00E07792">
            <w:pPr>
              <w:pStyle w:val="Heading4"/>
              <w:numPr>
                <w:ilvl w:val="0"/>
                <w:numId w:val="9"/>
              </w:numPr>
              <w:spacing w:before="240" w:after="240"/>
              <w:rPr>
                <w:rFonts w:ascii="Verdana" w:hAnsi="Verdana"/>
                <w:kern w:val="2"/>
                <w:sz w:val="22"/>
                <w:szCs w:val="22"/>
                <w:lang w:val="en-US"/>
              </w:rPr>
            </w:pPr>
            <w:r w:rsidRPr="00CF67A4">
              <w:rPr>
                <w:rFonts w:ascii="Verdana" w:hAnsi="Verdana"/>
                <w:kern w:val="2"/>
                <w:sz w:val="22"/>
                <w:szCs w:val="22"/>
                <w:lang w:val="en-US"/>
              </w:rPr>
              <w:t>For further information</w:t>
            </w:r>
            <w:r w:rsidR="001F4D7F">
              <w:rPr>
                <w:rFonts w:ascii="Verdana" w:hAnsi="Verdana"/>
                <w:kern w:val="2"/>
                <w:sz w:val="22"/>
                <w:szCs w:val="22"/>
                <w:lang w:val="en-US"/>
              </w:rPr>
              <w:t>,</w:t>
            </w:r>
            <w:r w:rsidRPr="00CF67A4">
              <w:rPr>
                <w:rFonts w:ascii="Verdana" w:hAnsi="Verdana"/>
                <w:kern w:val="2"/>
                <w:sz w:val="22"/>
                <w:szCs w:val="22"/>
                <w:lang w:val="en-US"/>
              </w:rPr>
              <w:t xml:space="preserve"> visit </w:t>
            </w:r>
            <w:hyperlink r:id="rId20" w:history="1">
              <w:r w:rsidRPr="00CF67A4">
                <w:rPr>
                  <w:rStyle w:val="Hyperlink"/>
                  <w:rFonts w:ascii="Verdana" w:hAnsi="Verdana"/>
                  <w:kern w:val="2"/>
                  <w:sz w:val="22"/>
                  <w:szCs w:val="22"/>
                  <w:lang w:val="en-US"/>
                </w:rPr>
                <w:t>http://legislation.govt.nz/act/public/1961/0043/latest/DLM327382.html</w:t>
              </w:r>
            </w:hyperlink>
            <w:r w:rsidRPr="00CF67A4">
              <w:rPr>
                <w:rFonts w:ascii="Verdana" w:hAnsi="Verdana"/>
                <w:kern w:val="2"/>
                <w:sz w:val="22"/>
                <w:szCs w:val="22"/>
                <w:lang w:val="en-US"/>
              </w:rPr>
              <w:t xml:space="preserve">. </w:t>
            </w:r>
          </w:p>
        </w:tc>
      </w:tr>
      <w:tr w:rsidR="004E0314" w:rsidRPr="00EE46E5" w:rsidTr="00DF50E6">
        <w:tc>
          <w:tcPr>
            <w:tcW w:w="15559" w:type="dxa"/>
            <w:shd w:val="clear" w:color="auto" w:fill="DBE5F1" w:themeFill="accent1" w:themeFillTint="33"/>
          </w:tcPr>
          <w:p w:rsidR="004E0314" w:rsidRPr="00EE46E5" w:rsidRDefault="004E0314" w:rsidP="007C47D5">
            <w:pPr>
              <w:pStyle w:val="ListParagraph"/>
              <w:numPr>
                <w:ilvl w:val="1"/>
                <w:numId w:val="3"/>
              </w:numPr>
              <w:spacing w:before="240" w:after="240"/>
              <w:rPr>
                <w:rFonts w:ascii="Verdana" w:hAnsi="Verdana"/>
                <w:sz w:val="22"/>
                <w:szCs w:val="22"/>
              </w:rPr>
            </w:pPr>
            <w:r w:rsidRPr="00EE46E5">
              <w:rPr>
                <w:rFonts w:ascii="Verdana" w:hAnsi="Verdana"/>
                <w:sz w:val="22"/>
                <w:szCs w:val="22"/>
              </w:rPr>
              <w:t>Unfitness to stand trial or unfitness to plead;</w:t>
            </w:r>
          </w:p>
        </w:tc>
      </w:tr>
      <w:tr w:rsidR="004E0314" w:rsidRPr="00EE46E5" w:rsidTr="00DF50E6">
        <w:tc>
          <w:tcPr>
            <w:tcW w:w="15559" w:type="dxa"/>
          </w:tcPr>
          <w:p w:rsidR="004E0314" w:rsidRPr="00C84A18" w:rsidRDefault="004E0314" w:rsidP="00C84A18">
            <w:pPr>
              <w:tabs>
                <w:tab w:val="left" w:pos="680"/>
                <w:tab w:val="left" w:pos="1359"/>
                <w:tab w:val="left" w:pos="1983"/>
                <w:tab w:val="left" w:pos="6349"/>
                <w:tab w:val="left" w:pos="6915"/>
                <w:tab w:val="left" w:pos="8370"/>
              </w:tabs>
              <w:spacing w:before="240" w:after="240"/>
              <w:rPr>
                <w:rFonts w:ascii="Verdana" w:hAnsi="Verdana"/>
                <w:b/>
                <w:kern w:val="2"/>
                <w:sz w:val="22"/>
                <w:szCs w:val="22"/>
                <w:lang w:val="en-US"/>
              </w:rPr>
            </w:pPr>
            <w:r w:rsidRPr="00C84A18">
              <w:rPr>
                <w:rFonts w:ascii="Verdana" w:hAnsi="Verdana"/>
                <w:b/>
                <w:kern w:val="2"/>
                <w:sz w:val="22"/>
                <w:szCs w:val="22"/>
                <w:lang w:val="en-US"/>
              </w:rPr>
              <w:t>Ministry of Justice</w:t>
            </w:r>
          </w:p>
          <w:p w:rsidR="00CF67A4" w:rsidRPr="00CF67A4" w:rsidRDefault="004E0314" w:rsidP="00CF67A4">
            <w:pPr>
              <w:pStyle w:val="Heading4"/>
              <w:numPr>
                <w:ilvl w:val="0"/>
                <w:numId w:val="9"/>
              </w:numPr>
              <w:spacing w:before="240" w:after="240"/>
              <w:rPr>
                <w:rFonts w:ascii="Verdana" w:hAnsi="Verdana"/>
                <w:sz w:val="22"/>
                <w:szCs w:val="22"/>
                <w:lang w:val="en-US"/>
              </w:rPr>
            </w:pPr>
            <w:r w:rsidRPr="00CF67A4">
              <w:rPr>
                <w:rFonts w:ascii="Verdana" w:hAnsi="Verdana"/>
                <w:kern w:val="2"/>
                <w:sz w:val="22"/>
                <w:szCs w:val="22"/>
                <w:lang w:val="en-US"/>
              </w:rPr>
              <w:t>Under the Criminal Procedure (Mentally Impaired Persons) Act 2003 a court may make a finding that a defendant is unfit to stand trial at any stage.</w:t>
            </w:r>
            <w:r w:rsidR="00C60DED" w:rsidRPr="00CF67A4">
              <w:rPr>
                <w:rFonts w:ascii="Verdana" w:hAnsi="Verdana"/>
                <w:kern w:val="2"/>
                <w:sz w:val="22"/>
                <w:szCs w:val="22"/>
                <w:lang w:val="en-US"/>
              </w:rPr>
              <w:t xml:space="preserve"> </w:t>
            </w:r>
          </w:p>
          <w:p w:rsidR="00CF67A4" w:rsidRPr="00CF67A4" w:rsidRDefault="004E0314" w:rsidP="00CF67A4">
            <w:pPr>
              <w:pStyle w:val="Heading4"/>
              <w:numPr>
                <w:ilvl w:val="0"/>
                <w:numId w:val="9"/>
              </w:numPr>
              <w:spacing w:before="240" w:after="240"/>
              <w:rPr>
                <w:rFonts w:ascii="Verdana" w:hAnsi="Verdana"/>
                <w:sz w:val="22"/>
                <w:szCs w:val="22"/>
                <w:lang w:val="en-US"/>
              </w:rPr>
            </w:pPr>
            <w:r w:rsidRPr="00CF67A4">
              <w:rPr>
                <w:rFonts w:ascii="Verdana" w:hAnsi="Verdana"/>
                <w:kern w:val="2"/>
                <w:sz w:val="22"/>
                <w:szCs w:val="22"/>
                <w:lang w:val="en-US"/>
              </w:rPr>
              <w:t>The court must receive the evidence of two health assessors before making a finding.</w:t>
            </w:r>
          </w:p>
          <w:p w:rsidR="00C60DED" w:rsidRPr="00CF67A4" w:rsidRDefault="00C60DED" w:rsidP="00CF67A4">
            <w:pPr>
              <w:pStyle w:val="Heading4"/>
              <w:numPr>
                <w:ilvl w:val="0"/>
                <w:numId w:val="9"/>
              </w:numPr>
              <w:spacing w:before="240" w:after="240"/>
              <w:rPr>
                <w:rFonts w:ascii="Verdana" w:hAnsi="Verdana"/>
                <w:sz w:val="22"/>
                <w:szCs w:val="22"/>
                <w:lang w:val="en-US"/>
              </w:rPr>
            </w:pPr>
            <w:r w:rsidRPr="00CF67A4">
              <w:rPr>
                <w:rFonts w:ascii="Verdana" w:hAnsi="Verdana"/>
                <w:kern w:val="2"/>
                <w:sz w:val="22"/>
                <w:szCs w:val="22"/>
                <w:lang w:val="en-US"/>
              </w:rPr>
              <w:t xml:space="preserve">For further information, visit </w:t>
            </w:r>
            <w:hyperlink r:id="rId21" w:history="1">
              <w:r w:rsidRPr="00CF67A4">
                <w:rPr>
                  <w:rStyle w:val="Hyperlink"/>
                  <w:rFonts w:ascii="Verdana" w:hAnsi="Verdana"/>
                  <w:kern w:val="2"/>
                  <w:sz w:val="22"/>
                  <w:szCs w:val="22"/>
                  <w:lang w:val="en-US"/>
                </w:rPr>
                <w:t>http://legislation.govt.nz/act/public/2003/0115/latest/DLM223818.html</w:t>
              </w:r>
            </w:hyperlink>
            <w:r w:rsidRPr="00CF67A4">
              <w:rPr>
                <w:rFonts w:ascii="Verdana" w:hAnsi="Verdana"/>
                <w:kern w:val="2"/>
                <w:sz w:val="22"/>
                <w:szCs w:val="22"/>
                <w:lang w:val="en-US"/>
              </w:rPr>
              <w:t>.</w:t>
            </w:r>
          </w:p>
          <w:p w:rsidR="006D2A11" w:rsidRPr="00CF67A4" w:rsidRDefault="006D2A11" w:rsidP="006D2A11">
            <w:pPr>
              <w:tabs>
                <w:tab w:val="left" w:pos="680"/>
                <w:tab w:val="left" w:pos="1359"/>
                <w:tab w:val="left" w:pos="1983"/>
                <w:tab w:val="left" w:pos="6349"/>
                <w:tab w:val="left" w:pos="6915"/>
                <w:tab w:val="left" w:pos="8370"/>
              </w:tabs>
              <w:spacing w:before="240" w:after="240"/>
              <w:rPr>
                <w:rFonts w:ascii="Verdana" w:hAnsi="Verdana"/>
                <w:b/>
                <w:kern w:val="2"/>
                <w:sz w:val="22"/>
                <w:szCs w:val="22"/>
                <w:lang w:val="en-US"/>
              </w:rPr>
            </w:pPr>
            <w:r w:rsidRPr="00CF67A4">
              <w:rPr>
                <w:rFonts w:ascii="Verdana" w:hAnsi="Verdana"/>
                <w:b/>
                <w:kern w:val="2"/>
                <w:sz w:val="22"/>
                <w:szCs w:val="22"/>
                <w:lang w:val="en-US"/>
              </w:rPr>
              <w:t>Ministry of Health</w:t>
            </w:r>
          </w:p>
          <w:p w:rsidR="00CF67A4" w:rsidRPr="00CF67A4" w:rsidRDefault="006D2A11" w:rsidP="00CF67A4">
            <w:pPr>
              <w:pStyle w:val="Heading4"/>
              <w:numPr>
                <w:ilvl w:val="0"/>
                <w:numId w:val="9"/>
              </w:numPr>
              <w:spacing w:before="240" w:after="240"/>
              <w:rPr>
                <w:rFonts w:ascii="Verdana" w:hAnsi="Verdana"/>
                <w:sz w:val="22"/>
                <w:szCs w:val="22"/>
                <w:lang w:val="en-US"/>
              </w:rPr>
            </w:pPr>
            <w:r w:rsidRPr="00CF67A4">
              <w:rPr>
                <w:rFonts w:ascii="Verdana" w:hAnsi="Verdana"/>
                <w:sz w:val="22"/>
                <w:szCs w:val="22"/>
              </w:rPr>
              <w:t xml:space="preserve">Individuals with an intellectual disability made subject to orders under the Intellectual Disability (Compulsory Care and Rehabilitation) Act 2003 are described as ‘care recipients’. Those found unfit to stand trial on serious charges can be made ‘special care recipients’ and placed under compulsory care up to a maximum period of 10 years. </w:t>
            </w:r>
          </w:p>
          <w:p w:rsidR="00CF67A4" w:rsidRPr="00CF67A4" w:rsidRDefault="006D2A11" w:rsidP="00CF67A4">
            <w:pPr>
              <w:pStyle w:val="Heading4"/>
              <w:numPr>
                <w:ilvl w:val="0"/>
                <w:numId w:val="9"/>
              </w:numPr>
              <w:spacing w:before="240" w:after="240"/>
              <w:rPr>
                <w:rFonts w:ascii="Verdana" w:hAnsi="Verdana"/>
                <w:sz w:val="22"/>
                <w:szCs w:val="22"/>
                <w:lang w:val="en-US"/>
              </w:rPr>
            </w:pPr>
            <w:r w:rsidRPr="00CF67A4">
              <w:rPr>
                <w:rFonts w:ascii="Verdana" w:hAnsi="Verdana"/>
                <w:sz w:val="22"/>
                <w:szCs w:val="22"/>
              </w:rPr>
              <w:t>Alternatively</w:t>
            </w:r>
            <w:r w:rsidR="00CF67A4">
              <w:rPr>
                <w:rFonts w:ascii="Verdana" w:hAnsi="Verdana"/>
                <w:sz w:val="22"/>
                <w:szCs w:val="22"/>
              </w:rPr>
              <w:t>,</w:t>
            </w:r>
            <w:r w:rsidRPr="00CF67A4">
              <w:rPr>
                <w:rFonts w:ascii="Verdana" w:hAnsi="Verdana"/>
                <w:sz w:val="22"/>
                <w:szCs w:val="22"/>
              </w:rPr>
              <w:t xml:space="preserve"> they can be made a care recipient subject to a ‘compulsory care order’ for an initial duration of up to three years. Compulsory care orders can be extended by the Family Court. In addition</w:t>
            </w:r>
            <w:r w:rsidR="00CF67A4">
              <w:rPr>
                <w:rFonts w:ascii="Verdana" w:hAnsi="Verdana"/>
                <w:sz w:val="22"/>
                <w:szCs w:val="22"/>
              </w:rPr>
              <w:t>,</w:t>
            </w:r>
            <w:r w:rsidRPr="00CF67A4">
              <w:rPr>
                <w:rFonts w:ascii="Verdana" w:hAnsi="Verdana"/>
                <w:sz w:val="22"/>
                <w:szCs w:val="22"/>
              </w:rPr>
              <w:t xml:space="preserve"> individuals can be made subject to a sentence of imprisonment and also made subject to a compulsory care order with matching duration and serve their sentence in a designated facility</w:t>
            </w:r>
            <w:r w:rsidR="00CF67A4">
              <w:rPr>
                <w:rFonts w:ascii="Verdana" w:hAnsi="Verdana"/>
                <w:sz w:val="22"/>
                <w:szCs w:val="22"/>
              </w:rPr>
              <w:t>.</w:t>
            </w:r>
          </w:p>
          <w:p w:rsidR="006D2A11" w:rsidRPr="00CF67A4" w:rsidRDefault="00CF67A4" w:rsidP="001F4D7F">
            <w:pPr>
              <w:pStyle w:val="Heading4"/>
              <w:numPr>
                <w:ilvl w:val="0"/>
                <w:numId w:val="9"/>
              </w:numPr>
              <w:spacing w:before="240" w:after="240"/>
              <w:rPr>
                <w:rFonts w:ascii="Verdana" w:hAnsi="Verdana"/>
                <w:sz w:val="22"/>
                <w:szCs w:val="22"/>
                <w:lang w:val="en-US"/>
              </w:rPr>
            </w:pPr>
            <w:r>
              <w:rPr>
                <w:rFonts w:ascii="Verdana" w:hAnsi="Verdana"/>
                <w:sz w:val="22"/>
                <w:szCs w:val="22"/>
              </w:rPr>
              <w:t xml:space="preserve">For more information, visit </w:t>
            </w:r>
            <w:hyperlink r:id="rId22" w:history="1">
              <w:r w:rsidR="006D2A11" w:rsidRPr="00CF67A4">
                <w:rPr>
                  <w:rStyle w:val="Hyperlink"/>
                  <w:rFonts w:ascii="Verdana" w:hAnsi="Verdana"/>
                  <w:sz w:val="22"/>
                  <w:szCs w:val="22"/>
                </w:rPr>
                <w:t>http://www.health.govt.nz/our-work/disability-services/about-disability-support-services/intellectual-disability-compulsory-care-and-rehabilitation-act-2003</w:t>
              </w:r>
            </w:hyperlink>
            <w:r>
              <w:rPr>
                <w:rFonts w:ascii="Verdana" w:hAnsi="Verdana"/>
                <w:sz w:val="22"/>
                <w:szCs w:val="22"/>
              </w:rPr>
              <w:t xml:space="preserve">. Please note that the </w:t>
            </w:r>
            <w:r w:rsidR="006D2A11" w:rsidRPr="00CF67A4">
              <w:rPr>
                <w:rFonts w:ascii="Verdana" w:hAnsi="Verdana"/>
                <w:sz w:val="22"/>
                <w:szCs w:val="22"/>
              </w:rPr>
              <w:t xml:space="preserve">Ministry </w:t>
            </w:r>
            <w:r>
              <w:rPr>
                <w:rFonts w:ascii="Verdana" w:hAnsi="Verdana"/>
                <w:sz w:val="22"/>
                <w:szCs w:val="22"/>
              </w:rPr>
              <w:t>of Justice administers this Act</w:t>
            </w:r>
            <w:r w:rsidR="006D2A11" w:rsidRPr="00CF67A4">
              <w:rPr>
                <w:rFonts w:ascii="Verdana" w:hAnsi="Verdana"/>
                <w:sz w:val="22"/>
                <w:szCs w:val="22"/>
              </w:rPr>
              <w:t>.</w:t>
            </w:r>
          </w:p>
        </w:tc>
      </w:tr>
      <w:tr w:rsidR="004E0314" w:rsidRPr="00EE46E5" w:rsidTr="00DF50E6">
        <w:tc>
          <w:tcPr>
            <w:tcW w:w="15559" w:type="dxa"/>
            <w:shd w:val="clear" w:color="auto" w:fill="DBE5F1" w:themeFill="accent1" w:themeFillTint="33"/>
          </w:tcPr>
          <w:p w:rsidR="004E0314" w:rsidRPr="00EE46E5" w:rsidRDefault="004E0314" w:rsidP="007C47D5">
            <w:pPr>
              <w:pStyle w:val="ListParagraph"/>
              <w:numPr>
                <w:ilvl w:val="1"/>
                <w:numId w:val="3"/>
              </w:numPr>
              <w:spacing w:before="240" w:after="240"/>
              <w:rPr>
                <w:rFonts w:ascii="Verdana" w:hAnsi="Verdana"/>
                <w:sz w:val="22"/>
                <w:szCs w:val="22"/>
              </w:rPr>
            </w:pPr>
            <w:r w:rsidRPr="00EE46E5">
              <w:rPr>
                <w:rFonts w:ascii="Verdana" w:hAnsi="Verdana"/>
                <w:sz w:val="22"/>
                <w:szCs w:val="22"/>
              </w:rPr>
              <w:t>Security measures and diversion programmes.</w:t>
            </w:r>
          </w:p>
        </w:tc>
      </w:tr>
      <w:tr w:rsidR="004E0314" w:rsidRPr="00EE46E5" w:rsidTr="00DF50E6">
        <w:tc>
          <w:tcPr>
            <w:tcW w:w="15559" w:type="dxa"/>
          </w:tcPr>
          <w:p w:rsidR="004E0314" w:rsidRPr="00CF67A4" w:rsidRDefault="006D2A11" w:rsidP="006D2A11">
            <w:pPr>
              <w:tabs>
                <w:tab w:val="left" w:pos="680"/>
                <w:tab w:val="left" w:pos="1359"/>
                <w:tab w:val="left" w:pos="1983"/>
                <w:tab w:val="left" w:pos="6349"/>
                <w:tab w:val="left" w:pos="6915"/>
                <w:tab w:val="left" w:pos="8370"/>
              </w:tabs>
              <w:spacing w:before="240" w:after="240"/>
              <w:rPr>
                <w:rFonts w:ascii="Verdana" w:hAnsi="Verdana"/>
                <w:b/>
                <w:kern w:val="2"/>
                <w:sz w:val="22"/>
                <w:szCs w:val="22"/>
                <w:lang w:val="en-US"/>
              </w:rPr>
            </w:pPr>
            <w:r w:rsidRPr="00CF67A4">
              <w:rPr>
                <w:rFonts w:ascii="Verdana" w:hAnsi="Verdana"/>
                <w:b/>
                <w:kern w:val="2"/>
                <w:sz w:val="22"/>
                <w:szCs w:val="22"/>
                <w:lang w:val="en-US"/>
              </w:rPr>
              <w:t>Ministry of Health</w:t>
            </w:r>
          </w:p>
          <w:p w:rsidR="006D2A11" w:rsidRPr="00CF67A4" w:rsidRDefault="006D2A11" w:rsidP="00CF67A4">
            <w:pPr>
              <w:pStyle w:val="Heading4"/>
              <w:numPr>
                <w:ilvl w:val="0"/>
                <w:numId w:val="9"/>
              </w:numPr>
              <w:spacing w:before="240" w:after="240"/>
              <w:rPr>
                <w:rFonts w:ascii="Verdana" w:hAnsi="Verdana"/>
                <w:sz w:val="22"/>
                <w:szCs w:val="22"/>
                <w:lang w:val="en-US"/>
              </w:rPr>
            </w:pPr>
            <w:r w:rsidRPr="00CF67A4">
              <w:rPr>
                <w:rFonts w:ascii="Verdana" w:hAnsi="Verdana"/>
                <w:kern w:val="2"/>
                <w:sz w:val="22"/>
                <w:szCs w:val="22"/>
                <w:lang w:val="en-US"/>
              </w:rPr>
              <w:t>An Alcohol and Other Drug Therapeutic Court (AODTC) pilot has been established in Auckland. The results are promising and the Government is considering a two year extension to allow for evaluation. The Court provides a therapeutic alternative for people facing up to three years of imprisonment.</w:t>
            </w:r>
          </w:p>
        </w:tc>
      </w:tr>
    </w:tbl>
    <w:p w:rsidR="00713D10" w:rsidRDefault="00713D10"/>
    <w:tbl>
      <w:tblPr>
        <w:tblStyle w:val="TableGrid"/>
        <w:tblW w:w="0" w:type="auto"/>
        <w:tblLook w:val="04A0" w:firstRow="1" w:lastRow="0" w:firstColumn="1" w:lastColumn="0" w:noHBand="0" w:noVBand="1"/>
      </w:tblPr>
      <w:tblGrid>
        <w:gridCol w:w="15559"/>
      </w:tblGrid>
      <w:tr w:rsidR="00DF50E6" w:rsidRPr="00EE46E5" w:rsidTr="00DF50E6">
        <w:tc>
          <w:tcPr>
            <w:tcW w:w="15559" w:type="dxa"/>
            <w:shd w:val="clear" w:color="auto" w:fill="B6DDE8" w:themeFill="accent5" w:themeFillTint="66"/>
          </w:tcPr>
          <w:p w:rsidR="00DF50E6" w:rsidRPr="00713D10" w:rsidRDefault="00DF50E6" w:rsidP="007C47D5">
            <w:pPr>
              <w:pStyle w:val="ListParagraph"/>
              <w:numPr>
                <w:ilvl w:val="0"/>
                <w:numId w:val="1"/>
              </w:numPr>
              <w:spacing w:before="240" w:after="240"/>
              <w:rPr>
                <w:rFonts w:ascii="Verdana" w:hAnsi="Verdana"/>
                <w:b/>
                <w:kern w:val="2"/>
                <w:sz w:val="22"/>
                <w:szCs w:val="22"/>
                <w:lang w:val="en-US"/>
              </w:rPr>
            </w:pPr>
            <w:r w:rsidRPr="00713D10">
              <w:rPr>
                <w:rFonts w:ascii="Verdana" w:hAnsi="Verdana"/>
                <w:b/>
                <w:kern w:val="2"/>
                <w:sz w:val="22"/>
                <w:szCs w:val="22"/>
                <w:lang w:val="en-US"/>
              </w:rPr>
              <w:t xml:space="preserve">Please provide the most recently available data, disaggregated by sex and age if possible, on the number of: </w:t>
            </w:r>
          </w:p>
        </w:tc>
      </w:tr>
      <w:tr w:rsidR="00DF50E6" w:rsidRPr="00EE46E5" w:rsidTr="00DF50E6">
        <w:tc>
          <w:tcPr>
            <w:tcW w:w="15559" w:type="dxa"/>
            <w:shd w:val="clear" w:color="auto" w:fill="DBE5F1" w:themeFill="accent1" w:themeFillTint="33"/>
          </w:tcPr>
          <w:p w:rsidR="00DF50E6" w:rsidRPr="00EE46E5" w:rsidRDefault="00DF50E6" w:rsidP="007C47D5">
            <w:pPr>
              <w:pStyle w:val="ListParagraph"/>
              <w:numPr>
                <w:ilvl w:val="1"/>
                <w:numId w:val="5"/>
              </w:numPr>
              <w:spacing w:before="240" w:after="240"/>
              <w:rPr>
                <w:rFonts w:ascii="Verdana" w:hAnsi="Verdana"/>
                <w:sz w:val="22"/>
                <w:szCs w:val="22"/>
              </w:rPr>
            </w:pPr>
            <w:r w:rsidRPr="00EE46E5">
              <w:rPr>
                <w:rFonts w:ascii="Verdana" w:hAnsi="Verdana"/>
                <w:sz w:val="22"/>
                <w:szCs w:val="22"/>
              </w:rPr>
              <w:t xml:space="preserve">Persons under guardianship; </w:t>
            </w:r>
          </w:p>
        </w:tc>
      </w:tr>
      <w:tr w:rsidR="004E0314" w:rsidRPr="00EE46E5" w:rsidTr="00DF50E6">
        <w:tc>
          <w:tcPr>
            <w:tcW w:w="15559" w:type="dxa"/>
            <w:shd w:val="clear" w:color="auto" w:fill="FFFFFF" w:themeFill="background1"/>
          </w:tcPr>
          <w:p w:rsidR="004E0314" w:rsidRPr="00EE46E5" w:rsidRDefault="004E0314" w:rsidP="001F4D7F">
            <w:pPr>
              <w:pStyle w:val="ListParagraph"/>
              <w:numPr>
                <w:ilvl w:val="0"/>
                <w:numId w:val="2"/>
              </w:numPr>
              <w:spacing w:before="240" w:after="240"/>
              <w:jc w:val="both"/>
              <w:rPr>
                <w:rFonts w:ascii="Verdana" w:hAnsi="Verdana"/>
                <w:sz w:val="22"/>
                <w:szCs w:val="22"/>
              </w:rPr>
            </w:pPr>
            <w:r>
              <w:rPr>
                <w:rFonts w:ascii="Verdana" w:hAnsi="Verdana"/>
                <w:sz w:val="22"/>
                <w:szCs w:val="22"/>
              </w:rPr>
              <w:t>In the time available</w:t>
            </w:r>
            <w:r w:rsidR="00977976">
              <w:rPr>
                <w:rFonts w:ascii="Verdana" w:hAnsi="Verdana"/>
                <w:sz w:val="22"/>
                <w:szCs w:val="22"/>
              </w:rPr>
              <w:t xml:space="preserve"> we were not able to gather information </w:t>
            </w:r>
            <w:r>
              <w:rPr>
                <w:rFonts w:ascii="Verdana" w:hAnsi="Verdana"/>
                <w:sz w:val="22"/>
                <w:szCs w:val="22"/>
              </w:rPr>
              <w:t xml:space="preserve">in order to answer this question. For more information, please visit </w:t>
            </w:r>
            <w:hyperlink r:id="rId23" w:history="1">
              <w:r w:rsidRPr="001F7109">
                <w:rPr>
                  <w:rStyle w:val="Hyperlink"/>
                  <w:rFonts w:ascii="Verdana" w:hAnsi="Verdana"/>
                  <w:sz w:val="22"/>
                  <w:szCs w:val="22"/>
                </w:rPr>
                <w:t>https://www.justice.govt.nz/</w:t>
              </w:r>
            </w:hyperlink>
            <w:r>
              <w:rPr>
                <w:rFonts w:ascii="Verdana" w:hAnsi="Verdana"/>
                <w:sz w:val="22"/>
                <w:szCs w:val="22"/>
              </w:rPr>
              <w:t>.</w:t>
            </w:r>
          </w:p>
        </w:tc>
      </w:tr>
      <w:tr w:rsidR="004E0314" w:rsidRPr="00EE46E5" w:rsidTr="00DF50E6">
        <w:tc>
          <w:tcPr>
            <w:tcW w:w="15559" w:type="dxa"/>
            <w:shd w:val="clear" w:color="auto" w:fill="DBE5F1" w:themeFill="accent1" w:themeFillTint="33"/>
          </w:tcPr>
          <w:p w:rsidR="004E0314" w:rsidRPr="000A02AE" w:rsidRDefault="004E0314" w:rsidP="007C47D5">
            <w:pPr>
              <w:pStyle w:val="ListParagraph"/>
              <w:numPr>
                <w:ilvl w:val="1"/>
                <w:numId w:val="5"/>
              </w:numPr>
              <w:spacing w:before="240" w:after="240"/>
              <w:rPr>
                <w:rFonts w:ascii="Verdana" w:hAnsi="Verdana"/>
                <w:sz w:val="22"/>
                <w:szCs w:val="22"/>
              </w:rPr>
            </w:pPr>
            <w:r w:rsidRPr="00EE46E5">
              <w:rPr>
                <w:rFonts w:ascii="Verdana" w:hAnsi="Verdana"/>
                <w:sz w:val="22"/>
                <w:szCs w:val="22"/>
              </w:rPr>
              <w:t>Cases where the state or an organisation has been appointed guardian;</w:t>
            </w:r>
          </w:p>
        </w:tc>
      </w:tr>
      <w:tr w:rsidR="004E0314" w:rsidRPr="00EE46E5" w:rsidTr="00DF50E6">
        <w:tc>
          <w:tcPr>
            <w:tcW w:w="15559" w:type="dxa"/>
            <w:shd w:val="clear" w:color="auto" w:fill="FFFFFF" w:themeFill="background1"/>
          </w:tcPr>
          <w:p w:rsidR="004E0314" w:rsidRPr="00EE46E5" w:rsidRDefault="004E0314" w:rsidP="00B551E7">
            <w:pPr>
              <w:pStyle w:val="ListParagraph"/>
              <w:numPr>
                <w:ilvl w:val="0"/>
                <w:numId w:val="2"/>
              </w:numPr>
              <w:spacing w:before="240" w:after="240"/>
              <w:jc w:val="both"/>
              <w:rPr>
                <w:rFonts w:ascii="Verdana" w:hAnsi="Verdana"/>
                <w:sz w:val="22"/>
                <w:szCs w:val="22"/>
              </w:rPr>
            </w:pPr>
            <w:r>
              <w:rPr>
                <w:rFonts w:ascii="Verdana" w:hAnsi="Verdana"/>
                <w:sz w:val="22"/>
                <w:szCs w:val="22"/>
              </w:rPr>
              <w:t xml:space="preserve">In the time available we were not able to gather </w:t>
            </w:r>
            <w:r w:rsidR="00977976">
              <w:rPr>
                <w:rFonts w:ascii="Verdana" w:hAnsi="Verdana"/>
                <w:sz w:val="22"/>
                <w:szCs w:val="22"/>
              </w:rPr>
              <w:t>information</w:t>
            </w:r>
            <w:r>
              <w:rPr>
                <w:rFonts w:ascii="Verdana" w:hAnsi="Verdana"/>
                <w:sz w:val="22"/>
                <w:szCs w:val="22"/>
              </w:rPr>
              <w:t xml:space="preserve"> in order to answer this question. For more information, please visit </w:t>
            </w:r>
            <w:hyperlink r:id="rId24" w:history="1">
              <w:r w:rsidRPr="001F7109">
                <w:rPr>
                  <w:rStyle w:val="Hyperlink"/>
                  <w:rFonts w:ascii="Verdana" w:hAnsi="Verdana"/>
                  <w:sz w:val="22"/>
                  <w:szCs w:val="22"/>
                </w:rPr>
                <w:t>https://www.justice.govt.nz/</w:t>
              </w:r>
            </w:hyperlink>
            <w:r>
              <w:rPr>
                <w:rFonts w:ascii="Verdana" w:hAnsi="Verdana"/>
                <w:sz w:val="22"/>
                <w:szCs w:val="22"/>
              </w:rPr>
              <w:t>.</w:t>
            </w:r>
          </w:p>
        </w:tc>
      </w:tr>
      <w:tr w:rsidR="004E0314" w:rsidRPr="00EE46E5" w:rsidTr="00DF50E6">
        <w:tc>
          <w:tcPr>
            <w:tcW w:w="15559" w:type="dxa"/>
            <w:shd w:val="clear" w:color="auto" w:fill="DBE5F1" w:themeFill="accent1" w:themeFillTint="33"/>
          </w:tcPr>
          <w:p w:rsidR="004E0314" w:rsidRPr="00EE46E5" w:rsidRDefault="004E0314" w:rsidP="007C47D5">
            <w:pPr>
              <w:pStyle w:val="ListParagraph"/>
              <w:numPr>
                <w:ilvl w:val="1"/>
                <w:numId w:val="5"/>
              </w:numPr>
              <w:spacing w:before="240" w:after="240"/>
              <w:rPr>
                <w:rFonts w:ascii="Verdana" w:hAnsi="Verdana"/>
                <w:sz w:val="22"/>
                <w:szCs w:val="22"/>
              </w:rPr>
            </w:pPr>
            <w:r w:rsidRPr="00EE46E5">
              <w:rPr>
                <w:rFonts w:ascii="Verdana" w:hAnsi="Verdana"/>
                <w:sz w:val="22"/>
                <w:szCs w:val="22"/>
              </w:rPr>
              <w:t>Institutions for persons with disabilities;</w:t>
            </w:r>
          </w:p>
        </w:tc>
      </w:tr>
      <w:tr w:rsidR="004E0314" w:rsidRPr="00EE46E5" w:rsidTr="00DF50E6">
        <w:tc>
          <w:tcPr>
            <w:tcW w:w="15559" w:type="dxa"/>
            <w:shd w:val="clear" w:color="auto" w:fill="FFFFFF" w:themeFill="background1"/>
          </w:tcPr>
          <w:p w:rsidR="006D2A11" w:rsidRPr="00CF67A4" w:rsidRDefault="006D2A11" w:rsidP="006D2A11">
            <w:pPr>
              <w:spacing w:before="240" w:after="240"/>
              <w:jc w:val="both"/>
              <w:rPr>
                <w:rFonts w:ascii="Verdana" w:hAnsi="Verdana"/>
                <w:b/>
                <w:sz w:val="22"/>
                <w:szCs w:val="22"/>
              </w:rPr>
            </w:pPr>
            <w:r w:rsidRPr="00CF67A4">
              <w:rPr>
                <w:rFonts w:ascii="Verdana" w:hAnsi="Verdana"/>
                <w:b/>
                <w:sz w:val="22"/>
                <w:szCs w:val="22"/>
              </w:rPr>
              <w:t>Ministry of Health</w:t>
            </w:r>
          </w:p>
          <w:p w:rsidR="006D2A11" w:rsidRDefault="005854F7" w:rsidP="006D2A11">
            <w:pPr>
              <w:rPr>
                <w:rFonts w:ascii="Verdana" w:hAnsi="Verdana"/>
                <w:sz w:val="22"/>
                <w:szCs w:val="22"/>
              </w:rPr>
            </w:pPr>
            <w:r>
              <w:rPr>
                <w:rFonts w:ascii="Verdana" w:hAnsi="Verdana"/>
                <w:sz w:val="22"/>
                <w:szCs w:val="22"/>
              </w:rPr>
              <w:t>In New Zealand, state</w:t>
            </w:r>
            <w:r w:rsidR="006D2A11" w:rsidRPr="00CF67A4">
              <w:rPr>
                <w:rFonts w:ascii="Verdana" w:hAnsi="Verdana"/>
                <w:sz w:val="22"/>
                <w:szCs w:val="22"/>
              </w:rPr>
              <w:t xml:space="preserve"> funded mental health ‘and mental health institutions’ have been closed. Refer also to question 2.2.  Most mental health care and disability support is now provided in the community. </w:t>
            </w:r>
          </w:p>
          <w:p w:rsidR="00CF67A4" w:rsidRPr="00CF67A4" w:rsidRDefault="00CF67A4" w:rsidP="006D2A11">
            <w:pPr>
              <w:rPr>
                <w:rFonts w:ascii="Verdana" w:hAnsi="Verdana"/>
                <w:sz w:val="22"/>
                <w:szCs w:val="22"/>
              </w:rPr>
            </w:pPr>
          </w:p>
          <w:p w:rsidR="006D2A11" w:rsidRPr="00CF67A4" w:rsidRDefault="00CF67A4" w:rsidP="006D2A11">
            <w:pPr>
              <w:spacing w:before="60"/>
              <w:jc w:val="both"/>
              <w:rPr>
                <w:rFonts w:ascii="Verdana" w:hAnsi="Verdana"/>
                <w:sz w:val="22"/>
                <w:szCs w:val="22"/>
              </w:rPr>
            </w:pPr>
            <w:r>
              <w:rPr>
                <w:rFonts w:ascii="Verdana" w:hAnsi="Verdana"/>
                <w:sz w:val="22"/>
                <w:szCs w:val="22"/>
              </w:rPr>
              <w:t>Mental health</w:t>
            </w:r>
          </w:p>
          <w:p w:rsidR="00CF67A4" w:rsidRPr="00CF67A4" w:rsidRDefault="006D2A11" w:rsidP="00CF67A4">
            <w:pPr>
              <w:pStyle w:val="Heading4"/>
              <w:numPr>
                <w:ilvl w:val="0"/>
                <w:numId w:val="9"/>
              </w:numPr>
              <w:spacing w:before="240" w:after="240"/>
              <w:rPr>
                <w:rFonts w:ascii="Verdana" w:hAnsi="Verdana"/>
                <w:sz w:val="22"/>
                <w:szCs w:val="22"/>
                <w:lang w:val="en-US"/>
              </w:rPr>
            </w:pPr>
            <w:r w:rsidRPr="00CF67A4">
              <w:rPr>
                <w:rFonts w:ascii="Verdana" w:hAnsi="Verdana"/>
                <w:sz w:val="22"/>
                <w:szCs w:val="22"/>
              </w:rPr>
              <w:t>Mental health services, both hospital and community based, are predominantly publicly funded and are offered by a mix of public, NGO and private providers. Typically, a person with a psychiatric disability living in the community is treated by a public-sector community mental health team, but receives day-to-day support from NGOs</w:t>
            </w:r>
            <w:r w:rsidR="005854F7">
              <w:rPr>
                <w:rFonts w:ascii="Verdana" w:hAnsi="Verdana"/>
                <w:sz w:val="22"/>
                <w:szCs w:val="22"/>
              </w:rPr>
              <w:t>. For more information, please visit</w:t>
            </w:r>
            <w:r w:rsidRPr="00CF67A4">
              <w:rPr>
                <w:rFonts w:ascii="Verdana" w:hAnsi="Verdana"/>
                <w:sz w:val="22"/>
                <w:szCs w:val="22"/>
              </w:rPr>
              <w:t xml:space="preserve"> </w:t>
            </w:r>
            <w:hyperlink r:id="rId25" w:history="1">
              <w:r w:rsidR="005854F7" w:rsidRPr="00B63EAE">
                <w:rPr>
                  <w:rStyle w:val="Hyperlink"/>
                  <w:rFonts w:ascii="Verdana" w:hAnsi="Verdana"/>
                  <w:sz w:val="22"/>
                  <w:szCs w:val="22"/>
                </w:rPr>
                <w:t>http://www.wpro.who.int/asia_pacific_observatory/hits/series/Nez_Health_Systems_Review.pdf</w:t>
              </w:r>
            </w:hyperlink>
            <w:r w:rsidR="005854F7">
              <w:rPr>
                <w:rFonts w:ascii="Verdana" w:hAnsi="Verdana"/>
                <w:sz w:val="22"/>
                <w:szCs w:val="22"/>
              </w:rPr>
              <w:t xml:space="preserve">. </w:t>
            </w:r>
          </w:p>
          <w:p w:rsidR="006D2A11" w:rsidRPr="00CF67A4" w:rsidRDefault="006D2A11" w:rsidP="00CF67A4">
            <w:pPr>
              <w:pStyle w:val="Heading4"/>
              <w:numPr>
                <w:ilvl w:val="0"/>
                <w:numId w:val="9"/>
              </w:numPr>
              <w:spacing w:before="240" w:after="240"/>
              <w:rPr>
                <w:rFonts w:ascii="Verdana" w:hAnsi="Verdana"/>
                <w:sz w:val="22"/>
                <w:szCs w:val="22"/>
                <w:lang w:val="en-US"/>
              </w:rPr>
            </w:pPr>
            <w:r w:rsidRPr="00CF67A4">
              <w:rPr>
                <w:rFonts w:ascii="Verdana" w:hAnsi="Verdana"/>
                <w:sz w:val="22"/>
                <w:szCs w:val="22"/>
              </w:rPr>
              <w:t>District health boards (DHBs) fund most specialist services, including 38 inpatient facilities and most community-based residential and day and support services,</w:t>
            </w:r>
            <w:r w:rsidR="005854F7">
              <w:rPr>
                <w:rFonts w:ascii="Verdana" w:hAnsi="Verdana"/>
                <w:sz w:val="22"/>
                <w:szCs w:val="22"/>
              </w:rPr>
              <w:t xml:space="preserve"> provided by about 359 NGOs. For more information, please visit</w:t>
            </w:r>
            <w:r w:rsidRPr="00CF67A4">
              <w:rPr>
                <w:rFonts w:ascii="Verdana" w:hAnsi="Verdana"/>
                <w:sz w:val="22"/>
                <w:szCs w:val="22"/>
              </w:rPr>
              <w:t xml:space="preserve"> </w:t>
            </w:r>
            <w:hyperlink r:id="rId26" w:history="1">
              <w:r w:rsidR="005854F7" w:rsidRPr="00B63EAE">
                <w:rPr>
                  <w:rStyle w:val="Hyperlink"/>
                  <w:rFonts w:ascii="Verdana" w:hAnsi="Verdana"/>
                  <w:sz w:val="22"/>
                  <w:szCs w:val="22"/>
                </w:rPr>
                <w:t>http://www.wpro.who.int/asia_pacific_observatory/hits/series/Nez_Health_Systems_Review.pdf</w:t>
              </w:r>
            </w:hyperlink>
            <w:r w:rsidR="005854F7">
              <w:rPr>
                <w:rFonts w:ascii="Verdana" w:hAnsi="Verdana"/>
                <w:sz w:val="22"/>
                <w:szCs w:val="22"/>
              </w:rPr>
              <w:t xml:space="preserve">. </w:t>
            </w:r>
          </w:p>
          <w:p w:rsidR="006D2A11" w:rsidRPr="00CF67A4" w:rsidRDefault="00CF67A4" w:rsidP="006D2A11">
            <w:pPr>
              <w:spacing w:before="60"/>
              <w:jc w:val="both"/>
              <w:rPr>
                <w:rFonts w:ascii="Verdana" w:hAnsi="Verdana"/>
                <w:sz w:val="22"/>
                <w:szCs w:val="22"/>
              </w:rPr>
            </w:pPr>
            <w:r>
              <w:rPr>
                <w:rFonts w:ascii="Verdana" w:hAnsi="Verdana"/>
                <w:sz w:val="22"/>
                <w:szCs w:val="22"/>
              </w:rPr>
              <w:t>Disability support services</w:t>
            </w:r>
            <w:r w:rsidR="005854F7">
              <w:rPr>
                <w:rFonts w:ascii="Verdana" w:hAnsi="Verdana"/>
                <w:sz w:val="22"/>
                <w:szCs w:val="22"/>
              </w:rPr>
              <w:t xml:space="preserve"> (DSS)</w:t>
            </w:r>
          </w:p>
          <w:p w:rsidR="00CF67A4" w:rsidRPr="00CF67A4" w:rsidRDefault="005854F7" w:rsidP="00CF67A4">
            <w:pPr>
              <w:pStyle w:val="Heading4"/>
              <w:numPr>
                <w:ilvl w:val="0"/>
                <w:numId w:val="9"/>
              </w:numPr>
              <w:spacing w:before="240" w:after="240"/>
              <w:rPr>
                <w:rFonts w:ascii="Verdana" w:hAnsi="Verdana"/>
                <w:sz w:val="22"/>
                <w:szCs w:val="22"/>
              </w:rPr>
            </w:pPr>
            <w:r>
              <w:rPr>
                <w:rFonts w:ascii="Verdana" w:hAnsi="Verdana"/>
                <w:sz w:val="22"/>
                <w:szCs w:val="22"/>
              </w:rPr>
              <w:t>DSS f</w:t>
            </w:r>
            <w:r w:rsidR="006D2A11" w:rsidRPr="00CF67A4">
              <w:rPr>
                <w:rFonts w:ascii="Verdana" w:hAnsi="Verdana"/>
                <w:sz w:val="22"/>
                <w:szCs w:val="22"/>
              </w:rPr>
              <w:t>unds an estimated 1,700 residential care facilities and over 6,600 beds for its eligible client group with physical, sensory, and/or intellectual di</w:t>
            </w:r>
            <w:r>
              <w:rPr>
                <w:rFonts w:ascii="Verdana" w:hAnsi="Verdana"/>
                <w:sz w:val="22"/>
                <w:szCs w:val="22"/>
              </w:rPr>
              <w:t>sabilities.</w:t>
            </w:r>
          </w:p>
          <w:p w:rsidR="006D2A11" w:rsidRPr="00CF67A4" w:rsidRDefault="006D2A11" w:rsidP="00CF67A4">
            <w:pPr>
              <w:pStyle w:val="Heading4"/>
              <w:numPr>
                <w:ilvl w:val="0"/>
                <w:numId w:val="9"/>
              </w:numPr>
              <w:spacing w:before="240" w:after="240"/>
              <w:rPr>
                <w:rFonts w:ascii="Verdana" w:hAnsi="Verdana"/>
                <w:sz w:val="22"/>
                <w:szCs w:val="22"/>
              </w:rPr>
            </w:pPr>
            <w:r w:rsidRPr="00CF67A4">
              <w:rPr>
                <w:rFonts w:ascii="Verdana" w:hAnsi="Verdana"/>
                <w:sz w:val="22"/>
                <w:szCs w:val="22"/>
              </w:rPr>
              <w:t>Facilities with more than five</w:t>
            </w:r>
            <w:r w:rsidR="005854F7">
              <w:rPr>
                <w:rFonts w:ascii="Verdana" w:hAnsi="Verdana"/>
                <w:sz w:val="22"/>
                <w:szCs w:val="22"/>
              </w:rPr>
              <w:t xml:space="preserve"> beds are subject to regulation, </w:t>
            </w:r>
            <w:r w:rsidRPr="00CF67A4">
              <w:rPr>
                <w:rFonts w:ascii="Verdana" w:hAnsi="Verdana"/>
                <w:sz w:val="22"/>
                <w:szCs w:val="22"/>
              </w:rPr>
              <w:t>standards and audit compliance under the Health and Disability Services (Safety) Act 2001. The Act promotes the safe provision of health and disability services to the public</w:t>
            </w:r>
            <w:r w:rsidR="005854F7">
              <w:rPr>
                <w:rFonts w:ascii="Verdana" w:hAnsi="Verdana"/>
                <w:sz w:val="22"/>
                <w:szCs w:val="22"/>
              </w:rPr>
              <w:t xml:space="preserve">. For more information, please visit </w:t>
            </w:r>
            <w:hyperlink r:id="rId27" w:history="1">
              <w:r w:rsidRPr="00CF67A4">
                <w:rPr>
                  <w:rStyle w:val="Hyperlink"/>
                  <w:rFonts w:ascii="Verdana" w:hAnsi="Verdana"/>
                  <w:sz w:val="22"/>
                  <w:szCs w:val="22"/>
                </w:rPr>
                <w:t>http://www.health.govt.nz/our-work/regulation-health-and-disability-system/certification-health-care-services/health-and-disability-services-safety-act</w:t>
              </w:r>
            </w:hyperlink>
            <w:r w:rsidRPr="00CF67A4">
              <w:rPr>
                <w:rFonts w:ascii="Verdana" w:hAnsi="Verdana"/>
                <w:sz w:val="22"/>
                <w:szCs w:val="22"/>
              </w:rPr>
              <w:t>.</w:t>
            </w:r>
          </w:p>
          <w:p w:rsidR="006D2A11" w:rsidRPr="00E07792" w:rsidRDefault="006D2A11" w:rsidP="00E07792">
            <w:pPr>
              <w:pStyle w:val="ListParagraph"/>
              <w:numPr>
                <w:ilvl w:val="0"/>
                <w:numId w:val="9"/>
              </w:numPr>
              <w:spacing w:before="240" w:after="240"/>
              <w:jc w:val="both"/>
              <w:rPr>
                <w:rFonts w:ascii="Verdana" w:hAnsi="Verdana" w:cs="Arial"/>
                <w:sz w:val="22"/>
                <w:szCs w:val="22"/>
                <w:lang w:val="en"/>
              </w:rPr>
            </w:pPr>
            <w:r w:rsidRPr="00E07792">
              <w:rPr>
                <w:rFonts w:ascii="Verdana" w:hAnsi="Verdana" w:cs="Arial"/>
                <w:sz w:val="22"/>
                <w:szCs w:val="22"/>
                <w:lang w:val="en"/>
              </w:rPr>
              <w:t xml:space="preserve">Secure Care (hospital level or community based) or Supervised Care in the community </w:t>
            </w:r>
            <w:proofErr w:type="gramStart"/>
            <w:r w:rsidRPr="00E07792">
              <w:rPr>
                <w:rFonts w:ascii="Verdana" w:hAnsi="Verdana" w:cs="Arial"/>
                <w:sz w:val="22"/>
                <w:szCs w:val="22"/>
                <w:lang w:val="en"/>
              </w:rPr>
              <w:t>are</w:t>
            </w:r>
            <w:proofErr w:type="gramEnd"/>
            <w:r w:rsidRPr="00E07792">
              <w:rPr>
                <w:rFonts w:ascii="Verdana" w:hAnsi="Verdana" w:cs="Arial"/>
                <w:sz w:val="22"/>
                <w:szCs w:val="22"/>
                <w:lang w:val="en"/>
              </w:rPr>
              <w:t xml:space="preserve"> provided under the Intellectual Disability (Compulsory Care an</w:t>
            </w:r>
            <w:r w:rsidR="00287BE5" w:rsidRPr="00E07792">
              <w:rPr>
                <w:rFonts w:ascii="Verdana" w:hAnsi="Verdana" w:cs="Arial"/>
                <w:sz w:val="22"/>
                <w:szCs w:val="22"/>
                <w:lang w:val="en"/>
              </w:rPr>
              <w:t xml:space="preserve">d Rehabilitation) Act 2003. For more information, visit </w:t>
            </w:r>
            <w:hyperlink r:id="rId28" w:history="1">
              <w:r w:rsidR="00287BE5" w:rsidRPr="001F4D7F">
                <w:rPr>
                  <w:rStyle w:val="Hyperlink"/>
                  <w:rFonts w:ascii="Verdana" w:hAnsi="Verdana" w:cs="Arial"/>
                  <w:sz w:val="22"/>
                  <w:szCs w:val="22"/>
                  <w:lang w:val="en"/>
                </w:rPr>
                <w:t>http://www.health.govt.nz/our-work/disability-services/about-disability-support-services/intellectual-disability-compulsory-care-and-rehabilitation-act-2003</w:t>
              </w:r>
            </w:hyperlink>
            <w:r w:rsidR="00287BE5" w:rsidRPr="00E07792">
              <w:rPr>
                <w:rFonts w:ascii="Verdana" w:hAnsi="Verdana" w:cs="Arial"/>
                <w:sz w:val="22"/>
                <w:szCs w:val="22"/>
                <w:lang w:val="en"/>
              </w:rPr>
              <w:t xml:space="preserve">. </w:t>
            </w:r>
          </w:p>
          <w:p w:rsidR="00977976" w:rsidRPr="007C1118" w:rsidRDefault="00977976" w:rsidP="00977976">
            <w:pPr>
              <w:tabs>
                <w:tab w:val="left" w:pos="680"/>
                <w:tab w:val="left" w:pos="1359"/>
                <w:tab w:val="left" w:pos="1983"/>
                <w:tab w:val="left" w:pos="6349"/>
                <w:tab w:val="left" w:pos="6915"/>
                <w:tab w:val="left" w:pos="8370"/>
              </w:tabs>
              <w:spacing w:before="240" w:after="240"/>
              <w:rPr>
                <w:rFonts w:ascii="Verdana" w:hAnsi="Verdana"/>
                <w:b/>
                <w:kern w:val="2"/>
                <w:sz w:val="22"/>
                <w:szCs w:val="22"/>
                <w:lang w:val="en-US"/>
              </w:rPr>
            </w:pPr>
            <w:r w:rsidRPr="007C1118">
              <w:rPr>
                <w:rFonts w:ascii="Verdana" w:hAnsi="Verdana"/>
                <w:b/>
                <w:kern w:val="2"/>
                <w:sz w:val="22"/>
                <w:szCs w:val="22"/>
                <w:lang w:val="en-US"/>
              </w:rPr>
              <w:t>Ministry of Education</w:t>
            </w:r>
          </w:p>
          <w:p w:rsidR="00690426" w:rsidRDefault="00690426" w:rsidP="00CA6168">
            <w:pPr>
              <w:pStyle w:val="Heading4"/>
              <w:numPr>
                <w:ilvl w:val="0"/>
                <w:numId w:val="9"/>
              </w:numPr>
              <w:spacing w:before="240" w:after="240"/>
              <w:rPr>
                <w:rFonts w:ascii="Verdana" w:hAnsi="Verdana"/>
                <w:sz w:val="22"/>
                <w:szCs w:val="22"/>
              </w:rPr>
            </w:pPr>
            <w:r w:rsidRPr="00690426">
              <w:rPr>
                <w:rFonts w:ascii="Verdana" w:hAnsi="Verdana"/>
                <w:sz w:val="22"/>
                <w:szCs w:val="22"/>
              </w:rPr>
              <w:t>The Ministry has a total of six residential special schools. These include three sensory schools for students who are Deaf and hard of hearing and students who are blind</w:t>
            </w:r>
            <w:r>
              <w:rPr>
                <w:rFonts w:ascii="Verdana" w:hAnsi="Verdana"/>
                <w:sz w:val="22"/>
                <w:szCs w:val="22"/>
              </w:rPr>
              <w:t>,</w:t>
            </w:r>
            <w:r w:rsidRPr="00690426">
              <w:rPr>
                <w:rFonts w:ascii="Verdana" w:hAnsi="Verdana"/>
                <w:sz w:val="22"/>
                <w:szCs w:val="22"/>
              </w:rPr>
              <w:t xml:space="preserve"> and three for students who have behaviour, social and/or learning </w:t>
            </w:r>
            <w:proofErr w:type="gramStart"/>
            <w:r w:rsidRPr="00690426">
              <w:rPr>
                <w:rFonts w:ascii="Verdana" w:hAnsi="Verdana"/>
                <w:sz w:val="22"/>
                <w:szCs w:val="22"/>
              </w:rPr>
              <w:t>needs</w:t>
            </w:r>
            <w:proofErr w:type="gramEnd"/>
            <w:r w:rsidRPr="00690426">
              <w:rPr>
                <w:rFonts w:ascii="Verdana" w:hAnsi="Verdana"/>
                <w:sz w:val="22"/>
                <w:szCs w:val="22"/>
              </w:rPr>
              <w:t xml:space="preserve"> that are highly complex and challenging (and may have associated intellectual difficulty).</w:t>
            </w:r>
          </w:p>
          <w:p w:rsidR="00690426" w:rsidRDefault="00690426" w:rsidP="00CA6168">
            <w:pPr>
              <w:pStyle w:val="Heading4"/>
              <w:numPr>
                <w:ilvl w:val="0"/>
                <w:numId w:val="9"/>
              </w:numPr>
              <w:spacing w:before="240" w:after="240"/>
              <w:rPr>
                <w:rFonts w:ascii="Verdana" w:hAnsi="Verdana"/>
                <w:sz w:val="22"/>
                <w:szCs w:val="22"/>
              </w:rPr>
            </w:pPr>
            <w:r w:rsidRPr="00690426">
              <w:rPr>
                <w:rFonts w:ascii="Verdana" w:hAnsi="Verdana"/>
                <w:sz w:val="22"/>
                <w:szCs w:val="22"/>
              </w:rPr>
              <w:t xml:space="preserve">This response refers to the latter three residential special schools, two of which are for students with learning needs and the other for those with behavioural needs.  </w:t>
            </w:r>
          </w:p>
          <w:p w:rsidR="003A7CDF" w:rsidRPr="00690426" w:rsidRDefault="00690426" w:rsidP="00690426">
            <w:pPr>
              <w:pStyle w:val="Heading4"/>
              <w:numPr>
                <w:ilvl w:val="0"/>
                <w:numId w:val="9"/>
              </w:numPr>
              <w:spacing w:before="240" w:after="240"/>
              <w:rPr>
                <w:rFonts w:ascii="Verdana" w:hAnsi="Verdana"/>
                <w:sz w:val="22"/>
                <w:szCs w:val="22"/>
              </w:rPr>
            </w:pPr>
            <w:r w:rsidRPr="00690426">
              <w:rPr>
                <w:rFonts w:ascii="Verdana" w:hAnsi="Verdana"/>
                <w:sz w:val="22"/>
                <w:szCs w:val="22"/>
              </w:rPr>
              <w:t>As at 30 April 2017</w:t>
            </w:r>
            <w:r>
              <w:rPr>
                <w:rFonts w:ascii="Verdana" w:hAnsi="Verdana"/>
                <w:sz w:val="22"/>
                <w:szCs w:val="22"/>
              </w:rPr>
              <w:t>,</w:t>
            </w:r>
            <w:r w:rsidRPr="00690426">
              <w:rPr>
                <w:rFonts w:ascii="Verdana" w:hAnsi="Verdana"/>
                <w:sz w:val="22"/>
                <w:szCs w:val="22"/>
              </w:rPr>
              <w:t xml:space="preserve"> there were 27 students enrolled in the three residential</w:t>
            </w:r>
            <w:r w:rsidR="00ED3A9D">
              <w:rPr>
                <w:rFonts w:ascii="Verdana" w:hAnsi="Verdana"/>
                <w:sz w:val="22"/>
                <w:szCs w:val="22"/>
              </w:rPr>
              <w:t xml:space="preserve"> special</w:t>
            </w:r>
            <w:r w:rsidRPr="00690426">
              <w:rPr>
                <w:rFonts w:ascii="Verdana" w:hAnsi="Verdana"/>
                <w:sz w:val="22"/>
                <w:szCs w:val="22"/>
              </w:rPr>
              <w:t xml:space="preserve"> schools.  Enrolment at a residential school is through agreement between the Chief Executive of the Ministry of Education and the</w:t>
            </w:r>
            <w:r>
              <w:rPr>
                <w:rFonts w:ascii="Verdana" w:hAnsi="Verdana"/>
                <w:sz w:val="22"/>
                <w:szCs w:val="22"/>
              </w:rPr>
              <w:t xml:space="preserve"> child’s parent/legal guardian, pursuant to s</w:t>
            </w:r>
            <w:r w:rsidRPr="00690426">
              <w:rPr>
                <w:rFonts w:ascii="Verdana" w:hAnsi="Verdana"/>
                <w:sz w:val="22"/>
                <w:szCs w:val="22"/>
              </w:rPr>
              <w:t xml:space="preserve">ection </w:t>
            </w:r>
            <w:r>
              <w:rPr>
                <w:rFonts w:ascii="Verdana" w:hAnsi="Verdana"/>
                <w:sz w:val="22"/>
                <w:szCs w:val="22"/>
              </w:rPr>
              <w:t>9</w:t>
            </w:r>
            <w:r w:rsidR="008041FA">
              <w:rPr>
                <w:rFonts w:ascii="Verdana" w:hAnsi="Verdana"/>
                <w:sz w:val="22"/>
                <w:szCs w:val="22"/>
              </w:rPr>
              <w:t xml:space="preserve"> </w:t>
            </w:r>
            <w:r w:rsidRPr="00690426">
              <w:rPr>
                <w:rFonts w:ascii="Verdana" w:hAnsi="Verdana"/>
                <w:sz w:val="22"/>
                <w:szCs w:val="22"/>
              </w:rPr>
              <w:t>of the Education Act</w:t>
            </w:r>
            <w:r>
              <w:rPr>
                <w:rFonts w:ascii="Verdana" w:hAnsi="Verdana"/>
                <w:sz w:val="22"/>
                <w:szCs w:val="22"/>
              </w:rPr>
              <w:t xml:space="preserve"> 1989</w:t>
            </w:r>
            <w:r w:rsidRPr="00690426">
              <w:rPr>
                <w:rFonts w:ascii="Verdana" w:hAnsi="Verdana"/>
                <w:sz w:val="22"/>
                <w:szCs w:val="22"/>
              </w:rPr>
              <w:t>.</w:t>
            </w:r>
          </w:p>
        </w:tc>
      </w:tr>
      <w:tr w:rsidR="004E0314" w:rsidRPr="00EE46E5" w:rsidTr="00DF50E6">
        <w:tc>
          <w:tcPr>
            <w:tcW w:w="15559" w:type="dxa"/>
            <w:shd w:val="clear" w:color="auto" w:fill="DBE5F1" w:themeFill="accent1" w:themeFillTint="33"/>
          </w:tcPr>
          <w:p w:rsidR="004E0314" w:rsidRPr="00EE46E5" w:rsidRDefault="004E0314" w:rsidP="007C47D5">
            <w:pPr>
              <w:pStyle w:val="ListParagraph"/>
              <w:numPr>
                <w:ilvl w:val="1"/>
                <w:numId w:val="5"/>
              </w:numPr>
              <w:spacing w:before="240" w:after="240"/>
              <w:rPr>
                <w:rFonts w:ascii="Verdana" w:hAnsi="Verdana"/>
                <w:sz w:val="22"/>
                <w:szCs w:val="22"/>
              </w:rPr>
            </w:pPr>
            <w:r w:rsidRPr="00EE46E5">
              <w:rPr>
                <w:rFonts w:ascii="Verdana" w:hAnsi="Verdana"/>
                <w:sz w:val="22"/>
                <w:szCs w:val="22"/>
              </w:rPr>
              <w:t>Persons with disabilities placed in institutions;</w:t>
            </w:r>
          </w:p>
        </w:tc>
      </w:tr>
      <w:tr w:rsidR="004E0314" w:rsidRPr="00EE46E5" w:rsidTr="00DF50E6">
        <w:tc>
          <w:tcPr>
            <w:tcW w:w="15559" w:type="dxa"/>
            <w:shd w:val="clear" w:color="auto" w:fill="FFFFFF" w:themeFill="background1"/>
          </w:tcPr>
          <w:p w:rsidR="00174FAE" w:rsidRPr="00174FAE" w:rsidRDefault="004E0314" w:rsidP="00174FAE">
            <w:pPr>
              <w:spacing w:before="240" w:after="240"/>
              <w:jc w:val="both"/>
              <w:rPr>
                <w:rFonts w:ascii="Verdana" w:hAnsi="Verdana"/>
                <w:b/>
                <w:sz w:val="22"/>
                <w:szCs w:val="22"/>
              </w:rPr>
            </w:pPr>
            <w:r w:rsidRPr="007C1118">
              <w:rPr>
                <w:rFonts w:ascii="Verdana" w:hAnsi="Verdana"/>
                <w:b/>
                <w:sz w:val="22"/>
                <w:szCs w:val="22"/>
              </w:rPr>
              <w:t>Ministry of Education</w:t>
            </w:r>
          </w:p>
          <w:p w:rsidR="00174FAE" w:rsidRDefault="004E0314" w:rsidP="00174FAE">
            <w:pPr>
              <w:pStyle w:val="Heading4"/>
              <w:numPr>
                <w:ilvl w:val="0"/>
                <w:numId w:val="9"/>
              </w:numPr>
              <w:spacing w:before="240" w:after="240"/>
              <w:rPr>
                <w:rFonts w:ascii="Verdana" w:hAnsi="Verdana"/>
                <w:sz w:val="22"/>
                <w:szCs w:val="22"/>
              </w:rPr>
            </w:pPr>
            <w:r w:rsidRPr="00174FAE">
              <w:rPr>
                <w:rFonts w:ascii="Verdana" w:hAnsi="Verdana"/>
                <w:sz w:val="22"/>
                <w:szCs w:val="22"/>
              </w:rPr>
              <w:t xml:space="preserve">Students referred to all three of the Learning and Behaviour residential special schools are first referred to the Intensive Wraparound Service (IWS). </w:t>
            </w:r>
          </w:p>
          <w:p w:rsidR="00174FAE" w:rsidRDefault="004E0314" w:rsidP="00174FAE">
            <w:pPr>
              <w:pStyle w:val="Heading4"/>
              <w:numPr>
                <w:ilvl w:val="0"/>
                <w:numId w:val="9"/>
              </w:numPr>
              <w:spacing w:before="240" w:after="240"/>
              <w:rPr>
                <w:rFonts w:ascii="Verdana" w:hAnsi="Verdana"/>
                <w:sz w:val="22"/>
                <w:szCs w:val="22"/>
              </w:rPr>
            </w:pPr>
            <w:r w:rsidRPr="00174FAE">
              <w:rPr>
                <w:rFonts w:ascii="Verdana" w:hAnsi="Verdana"/>
                <w:sz w:val="22"/>
                <w:szCs w:val="22"/>
              </w:rPr>
              <w:t xml:space="preserve">The IWS primarily provides support for students to live in their home community and attend their local school. </w:t>
            </w:r>
          </w:p>
          <w:p w:rsidR="00174FAE" w:rsidRDefault="003A7CDF" w:rsidP="00174FAE">
            <w:pPr>
              <w:pStyle w:val="Heading4"/>
              <w:numPr>
                <w:ilvl w:val="0"/>
                <w:numId w:val="9"/>
              </w:numPr>
              <w:spacing w:before="240" w:after="240"/>
              <w:rPr>
                <w:rFonts w:ascii="Verdana" w:hAnsi="Verdana"/>
                <w:sz w:val="22"/>
                <w:szCs w:val="22"/>
              </w:rPr>
            </w:pPr>
            <w:r w:rsidRPr="00174FAE">
              <w:rPr>
                <w:rFonts w:ascii="Verdana" w:hAnsi="Verdana"/>
                <w:sz w:val="22"/>
                <w:szCs w:val="22"/>
              </w:rPr>
              <w:t xml:space="preserve">Each year the IWS provides wraparound services for </w:t>
            </w:r>
            <w:r w:rsidR="009E6361" w:rsidRPr="00174FAE">
              <w:rPr>
                <w:rFonts w:ascii="Verdana" w:hAnsi="Verdana"/>
                <w:sz w:val="22"/>
                <w:szCs w:val="22"/>
              </w:rPr>
              <w:t>approximately</w:t>
            </w:r>
            <w:r w:rsidRPr="00174FAE">
              <w:rPr>
                <w:rFonts w:ascii="Verdana" w:hAnsi="Verdana"/>
                <w:sz w:val="22"/>
                <w:szCs w:val="22"/>
              </w:rPr>
              <w:t xml:space="preserve"> 400 children and young people with the most complex and challenging needs.  These children are referred for IWS only when other interventions and supports have not been successful in reducing significant risks to a child’s social, behavioural and educational development. </w:t>
            </w:r>
          </w:p>
          <w:p w:rsidR="00174FAE" w:rsidRDefault="003A7CDF" w:rsidP="00174FAE">
            <w:pPr>
              <w:pStyle w:val="Heading4"/>
              <w:numPr>
                <w:ilvl w:val="0"/>
                <w:numId w:val="9"/>
              </w:numPr>
              <w:spacing w:before="240" w:after="240"/>
              <w:rPr>
                <w:rFonts w:ascii="Verdana" w:hAnsi="Verdana"/>
                <w:sz w:val="22"/>
                <w:szCs w:val="22"/>
              </w:rPr>
            </w:pPr>
            <w:r w:rsidRPr="00174FAE">
              <w:rPr>
                <w:rFonts w:ascii="Verdana" w:hAnsi="Verdana"/>
                <w:sz w:val="22"/>
                <w:szCs w:val="22"/>
              </w:rPr>
              <w:t xml:space="preserve">Residential school placement is considered if the parents request that support, or if the IWS is unable to significantly reduce the risks for the child/young person. </w:t>
            </w:r>
            <w:r w:rsidR="0097746E" w:rsidRPr="00174FAE">
              <w:rPr>
                <w:rFonts w:ascii="Verdana" w:hAnsi="Verdana"/>
                <w:sz w:val="22"/>
                <w:szCs w:val="22"/>
              </w:rPr>
              <w:t xml:space="preserve"> Before a student is considered, students must be psychologically assessed and the needs of the child and the family must be considered. </w:t>
            </w:r>
            <w:r w:rsidRPr="00174FAE">
              <w:rPr>
                <w:rFonts w:ascii="Verdana" w:hAnsi="Verdana"/>
                <w:sz w:val="22"/>
                <w:szCs w:val="22"/>
              </w:rPr>
              <w:t>An IWS service is based on a comprehensive plan for the child and includes support and funding for home, school and community programmes.</w:t>
            </w:r>
          </w:p>
          <w:p w:rsidR="003A7CDF" w:rsidRPr="00174FAE" w:rsidRDefault="003A7CDF" w:rsidP="00174FAE">
            <w:pPr>
              <w:pStyle w:val="Heading4"/>
              <w:numPr>
                <w:ilvl w:val="0"/>
                <w:numId w:val="9"/>
              </w:numPr>
              <w:spacing w:before="240" w:after="240"/>
              <w:rPr>
                <w:rFonts w:ascii="Verdana" w:hAnsi="Verdana"/>
                <w:sz w:val="22"/>
                <w:szCs w:val="22"/>
              </w:rPr>
            </w:pPr>
            <w:r w:rsidRPr="00174FAE">
              <w:rPr>
                <w:rFonts w:ascii="Verdana" w:hAnsi="Verdana"/>
                <w:sz w:val="22"/>
                <w:szCs w:val="22"/>
              </w:rPr>
              <w:t>Students accepted for IWS will need support at home, at school and in the community. Enrolment at a residential special school is for a 12-18 month period with the aim of working towards assisting the student to return to their home community with ongoing IWS transition and support. The residential programme is focused on this outcome.</w:t>
            </w:r>
          </w:p>
          <w:p w:rsidR="006D2A11" w:rsidRPr="00287BE5" w:rsidRDefault="006D2A11" w:rsidP="006D2A11">
            <w:pPr>
              <w:spacing w:before="240" w:after="240"/>
              <w:jc w:val="both"/>
              <w:rPr>
                <w:rFonts w:ascii="Verdana" w:hAnsi="Verdana"/>
                <w:b/>
                <w:sz w:val="22"/>
                <w:szCs w:val="22"/>
              </w:rPr>
            </w:pPr>
            <w:r w:rsidRPr="00287BE5">
              <w:rPr>
                <w:rFonts w:ascii="Verdana" w:hAnsi="Verdana"/>
                <w:b/>
                <w:sz w:val="22"/>
                <w:szCs w:val="22"/>
              </w:rPr>
              <w:t>Ministry of Health</w:t>
            </w:r>
          </w:p>
          <w:p w:rsidR="006D2A11" w:rsidRPr="00287BE5" w:rsidRDefault="00287BE5" w:rsidP="006D2A11">
            <w:pPr>
              <w:rPr>
                <w:rFonts w:ascii="Verdana" w:hAnsi="Verdana"/>
                <w:sz w:val="22"/>
                <w:szCs w:val="22"/>
              </w:rPr>
            </w:pPr>
            <w:r>
              <w:rPr>
                <w:rFonts w:ascii="Verdana" w:hAnsi="Verdana"/>
                <w:sz w:val="22"/>
                <w:szCs w:val="22"/>
              </w:rPr>
              <w:t>In New Zealand, state</w:t>
            </w:r>
            <w:r w:rsidR="006D2A11" w:rsidRPr="00287BE5">
              <w:rPr>
                <w:rFonts w:ascii="Verdana" w:hAnsi="Verdana"/>
                <w:sz w:val="22"/>
                <w:szCs w:val="22"/>
              </w:rPr>
              <w:t xml:space="preserve"> funded mental health ‘and mental health institutions’ have been closed. Refer to </w:t>
            </w:r>
            <w:r>
              <w:rPr>
                <w:rFonts w:ascii="Verdana" w:hAnsi="Verdana"/>
                <w:sz w:val="22"/>
                <w:szCs w:val="22"/>
              </w:rPr>
              <w:t>answer to question 2.2.</w:t>
            </w:r>
            <w:r w:rsidR="006D2A11" w:rsidRPr="00287BE5">
              <w:rPr>
                <w:rFonts w:ascii="Verdana" w:hAnsi="Verdana"/>
                <w:sz w:val="22"/>
                <w:szCs w:val="22"/>
              </w:rPr>
              <w:t xml:space="preserve"> Most mental health care and disability support is now provided in the community. </w:t>
            </w:r>
          </w:p>
          <w:p w:rsidR="00287BE5" w:rsidRPr="00287BE5" w:rsidRDefault="00287BE5" w:rsidP="006D2A11">
            <w:pPr>
              <w:rPr>
                <w:rFonts w:ascii="Verdana" w:hAnsi="Verdana"/>
                <w:sz w:val="22"/>
                <w:szCs w:val="22"/>
              </w:rPr>
            </w:pPr>
          </w:p>
          <w:p w:rsidR="006D2A11" w:rsidRPr="00287BE5" w:rsidRDefault="00287BE5" w:rsidP="006D2A11">
            <w:pPr>
              <w:pStyle w:val="Bullet"/>
              <w:numPr>
                <w:ilvl w:val="0"/>
                <w:numId w:val="0"/>
              </w:numPr>
              <w:tabs>
                <w:tab w:val="left" w:pos="720"/>
              </w:tabs>
              <w:spacing w:before="60" w:line="240" w:lineRule="auto"/>
              <w:ind w:left="284" w:hanging="284"/>
              <w:rPr>
                <w:rFonts w:ascii="Verdana" w:hAnsi="Verdana"/>
              </w:rPr>
            </w:pPr>
            <w:r w:rsidRPr="00287BE5">
              <w:rPr>
                <w:rFonts w:ascii="Verdana" w:hAnsi="Verdana"/>
              </w:rPr>
              <w:t>Mental Health</w:t>
            </w:r>
          </w:p>
          <w:p w:rsidR="006D2A11" w:rsidRPr="00287BE5" w:rsidRDefault="00287BE5" w:rsidP="00287BE5">
            <w:pPr>
              <w:pStyle w:val="Heading4"/>
              <w:numPr>
                <w:ilvl w:val="0"/>
                <w:numId w:val="9"/>
              </w:numPr>
              <w:spacing w:before="240" w:after="240"/>
              <w:rPr>
                <w:rFonts w:ascii="Verdana" w:hAnsi="Verdana"/>
                <w:sz w:val="22"/>
                <w:szCs w:val="22"/>
                <w:lang w:val="en-US"/>
              </w:rPr>
            </w:pPr>
            <w:r>
              <w:rPr>
                <w:rFonts w:ascii="Verdana" w:hAnsi="Verdana"/>
                <w:sz w:val="22"/>
                <w:szCs w:val="22"/>
              </w:rPr>
              <w:t>On any given day in 2015</w:t>
            </w:r>
            <w:r w:rsidR="001F4D7F">
              <w:rPr>
                <w:rFonts w:ascii="Verdana" w:hAnsi="Verdana"/>
                <w:sz w:val="22"/>
                <w:szCs w:val="22"/>
              </w:rPr>
              <w:t>,</w:t>
            </w:r>
            <w:r>
              <w:rPr>
                <w:rFonts w:ascii="Verdana" w:hAnsi="Verdana"/>
                <w:sz w:val="22"/>
                <w:szCs w:val="22"/>
              </w:rPr>
              <w:t xml:space="preserve"> </w:t>
            </w:r>
            <w:proofErr w:type="gramStart"/>
            <w:r>
              <w:rPr>
                <w:rFonts w:ascii="Verdana" w:hAnsi="Verdana"/>
                <w:sz w:val="22"/>
                <w:szCs w:val="22"/>
              </w:rPr>
              <w:t xml:space="preserve">an average of </w:t>
            </w:r>
            <w:r w:rsidR="006D2A11" w:rsidRPr="00287BE5">
              <w:rPr>
                <w:rFonts w:ascii="Verdana" w:hAnsi="Verdana"/>
                <w:sz w:val="22"/>
                <w:szCs w:val="22"/>
              </w:rPr>
              <w:t>654 people were</w:t>
            </w:r>
            <w:proofErr w:type="gramEnd"/>
            <w:r w:rsidR="006D2A11" w:rsidRPr="00287BE5">
              <w:rPr>
                <w:rFonts w:ascii="Verdana" w:hAnsi="Verdana"/>
                <w:sz w:val="22"/>
                <w:szCs w:val="22"/>
              </w:rPr>
              <w:t xml:space="preserve"> subject to a compulsory inpatient treatment</w:t>
            </w:r>
            <w:r w:rsidR="00977976">
              <w:rPr>
                <w:rFonts w:ascii="Verdana" w:hAnsi="Verdana"/>
                <w:sz w:val="22"/>
                <w:szCs w:val="22"/>
              </w:rPr>
              <w:t xml:space="preserve"> order under the Mental Health </w:t>
            </w:r>
            <w:r w:rsidR="006D2A11" w:rsidRPr="00287BE5">
              <w:rPr>
                <w:rFonts w:ascii="Verdana" w:hAnsi="Verdana"/>
                <w:sz w:val="22"/>
                <w:szCs w:val="22"/>
              </w:rPr>
              <w:t>Act</w:t>
            </w:r>
            <w:r w:rsidR="00977976">
              <w:rPr>
                <w:rFonts w:ascii="Verdana" w:hAnsi="Verdana"/>
                <w:sz w:val="22"/>
                <w:szCs w:val="22"/>
              </w:rPr>
              <w:t xml:space="preserve"> 1992,</w:t>
            </w:r>
            <w:r w:rsidR="006D2A11" w:rsidRPr="00287BE5">
              <w:rPr>
                <w:rFonts w:ascii="Verdana" w:hAnsi="Verdana"/>
                <w:sz w:val="22"/>
                <w:szCs w:val="22"/>
              </w:rPr>
              <w:t xml:space="preserve"> (14 per 100,000 population). </w:t>
            </w:r>
          </w:p>
          <w:p w:rsidR="006D2A11" w:rsidRPr="00287BE5" w:rsidRDefault="00287BE5" w:rsidP="006D2A11">
            <w:pPr>
              <w:pStyle w:val="Bullet"/>
              <w:numPr>
                <w:ilvl w:val="0"/>
                <w:numId w:val="0"/>
              </w:numPr>
              <w:tabs>
                <w:tab w:val="left" w:pos="720"/>
              </w:tabs>
              <w:spacing w:before="60" w:line="240" w:lineRule="auto"/>
              <w:ind w:left="284" w:hanging="284"/>
              <w:rPr>
                <w:rFonts w:ascii="Verdana" w:hAnsi="Verdana"/>
              </w:rPr>
            </w:pPr>
            <w:r w:rsidRPr="00287BE5">
              <w:rPr>
                <w:rFonts w:ascii="Verdana" w:hAnsi="Verdana"/>
              </w:rPr>
              <w:t>Disability Support Services</w:t>
            </w:r>
          </w:p>
          <w:p w:rsidR="006D2A11" w:rsidRPr="00287BE5" w:rsidRDefault="00287BE5" w:rsidP="00287BE5">
            <w:pPr>
              <w:pStyle w:val="Heading4"/>
              <w:numPr>
                <w:ilvl w:val="0"/>
                <w:numId w:val="9"/>
              </w:numPr>
              <w:spacing w:before="240" w:after="240"/>
              <w:rPr>
                <w:rFonts w:ascii="Verdana" w:hAnsi="Verdana"/>
                <w:sz w:val="22"/>
                <w:szCs w:val="22"/>
                <w:lang w:val="en-US"/>
              </w:rPr>
            </w:pPr>
            <w:r>
              <w:rPr>
                <w:rFonts w:ascii="Verdana" w:hAnsi="Verdana"/>
                <w:sz w:val="22"/>
                <w:szCs w:val="22"/>
              </w:rPr>
              <w:t>At</w:t>
            </w:r>
            <w:r w:rsidR="006D2A11" w:rsidRPr="00287BE5">
              <w:rPr>
                <w:rFonts w:ascii="Verdana" w:hAnsi="Verdana"/>
                <w:sz w:val="22"/>
                <w:szCs w:val="22"/>
              </w:rPr>
              <w:t xml:space="preserve"> September 2016, 7,926 clients were in community residential care services, including 6,557 clients living in the community and 739 clients with residential support needs being accommodated in aged care services</w:t>
            </w:r>
            <w:r>
              <w:rPr>
                <w:rFonts w:ascii="Verdana" w:hAnsi="Verdana"/>
                <w:sz w:val="22"/>
                <w:szCs w:val="22"/>
              </w:rPr>
              <w:t>.</w:t>
            </w:r>
          </w:p>
          <w:p w:rsidR="006D2A11" w:rsidRPr="006D2A11" w:rsidRDefault="00287BE5" w:rsidP="006D2A11">
            <w:pPr>
              <w:spacing w:before="240" w:after="240"/>
              <w:jc w:val="both"/>
              <w:rPr>
                <w:rFonts w:ascii="Verdana" w:hAnsi="Verdana"/>
                <w:sz w:val="22"/>
                <w:szCs w:val="22"/>
              </w:rPr>
            </w:pPr>
            <w:r>
              <w:rPr>
                <w:rFonts w:ascii="Verdana" w:hAnsi="Verdana"/>
                <w:sz w:val="22"/>
                <w:szCs w:val="22"/>
              </w:rPr>
              <w:t>Two hundred and fifty-eight</w:t>
            </w:r>
            <w:r w:rsidR="006D2A11" w:rsidRPr="00287BE5">
              <w:rPr>
                <w:rFonts w:ascii="Verdana" w:hAnsi="Verdana"/>
                <w:sz w:val="22"/>
                <w:szCs w:val="22"/>
              </w:rPr>
              <w:t xml:space="preserve"> clients with intellectual disability were receiving High and Complex services under the provisions of the Intellectual Disability (Compulsory Care</w:t>
            </w:r>
            <w:r>
              <w:rPr>
                <w:rFonts w:ascii="Verdana" w:hAnsi="Verdana"/>
                <w:sz w:val="22"/>
                <w:szCs w:val="22"/>
              </w:rPr>
              <w:t xml:space="preserve"> and Rehabilitation) Act 2003 (i</w:t>
            </w:r>
            <w:r w:rsidR="006D2A11" w:rsidRPr="00287BE5">
              <w:rPr>
                <w:rFonts w:ascii="Verdana" w:hAnsi="Verdana"/>
                <w:sz w:val="22"/>
                <w:szCs w:val="22"/>
              </w:rPr>
              <w:t>nformation obtained from monthly reporting from Socrates).</w:t>
            </w:r>
          </w:p>
        </w:tc>
      </w:tr>
      <w:tr w:rsidR="004E0314" w:rsidRPr="00EE46E5" w:rsidTr="00DF50E6">
        <w:tc>
          <w:tcPr>
            <w:tcW w:w="15559" w:type="dxa"/>
            <w:shd w:val="clear" w:color="auto" w:fill="DBE5F1" w:themeFill="accent1" w:themeFillTint="33"/>
          </w:tcPr>
          <w:p w:rsidR="004E0314" w:rsidRPr="00EE46E5" w:rsidRDefault="004E0314" w:rsidP="007C47D5">
            <w:pPr>
              <w:pStyle w:val="ListParagraph"/>
              <w:numPr>
                <w:ilvl w:val="1"/>
                <w:numId w:val="5"/>
              </w:numPr>
              <w:spacing w:before="240" w:after="240"/>
              <w:rPr>
                <w:rFonts w:ascii="Verdana" w:hAnsi="Verdana"/>
                <w:sz w:val="22"/>
                <w:szCs w:val="22"/>
              </w:rPr>
            </w:pPr>
            <w:r w:rsidRPr="00EE46E5">
              <w:rPr>
                <w:rFonts w:ascii="Verdana" w:hAnsi="Verdana"/>
                <w:sz w:val="22"/>
                <w:szCs w:val="22"/>
              </w:rPr>
              <w:t xml:space="preserve">Persons in institutions under guardianship; </w:t>
            </w:r>
          </w:p>
        </w:tc>
      </w:tr>
      <w:tr w:rsidR="004E0314" w:rsidRPr="00EE46E5" w:rsidTr="00DF50E6">
        <w:tc>
          <w:tcPr>
            <w:tcW w:w="15559" w:type="dxa"/>
            <w:shd w:val="clear" w:color="auto" w:fill="FFFFFF" w:themeFill="background1"/>
          </w:tcPr>
          <w:p w:rsidR="004E0314" w:rsidRPr="00232FB8" w:rsidRDefault="004E0314" w:rsidP="00232FB8">
            <w:pPr>
              <w:spacing w:before="240" w:after="240"/>
              <w:jc w:val="both"/>
              <w:rPr>
                <w:rFonts w:ascii="Verdana" w:hAnsi="Verdana"/>
                <w:b/>
                <w:sz w:val="22"/>
                <w:szCs w:val="22"/>
              </w:rPr>
            </w:pPr>
            <w:r w:rsidRPr="00232FB8">
              <w:rPr>
                <w:rFonts w:ascii="Verdana" w:hAnsi="Verdana"/>
                <w:b/>
                <w:sz w:val="22"/>
                <w:szCs w:val="22"/>
              </w:rPr>
              <w:t xml:space="preserve">Ministry for Vulnerable Children, </w:t>
            </w:r>
            <w:proofErr w:type="spellStart"/>
            <w:r w:rsidRPr="00232FB8">
              <w:rPr>
                <w:rFonts w:ascii="Verdana" w:hAnsi="Verdana"/>
                <w:b/>
                <w:sz w:val="22"/>
                <w:szCs w:val="22"/>
              </w:rPr>
              <w:t>Oranga</w:t>
            </w:r>
            <w:proofErr w:type="spellEnd"/>
            <w:r w:rsidRPr="00232FB8">
              <w:rPr>
                <w:rFonts w:ascii="Verdana" w:hAnsi="Verdana"/>
                <w:b/>
                <w:sz w:val="22"/>
                <w:szCs w:val="22"/>
              </w:rPr>
              <w:t xml:space="preserve"> </w:t>
            </w:r>
            <w:proofErr w:type="spellStart"/>
            <w:r w:rsidRPr="00232FB8">
              <w:rPr>
                <w:rFonts w:ascii="Verdana" w:hAnsi="Verdana"/>
                <w:b/>
                <w:sz w:val="22"/>
                <w:szCs w:val="22"/>
              </w:rPr>
              <w:t>Tamariki</w:t>
            </w:r>
            <w:proofErr w:type="spellEnd"/>
          </w:p>
          <w:p w:rsidR="004E0314" w:rsidRPr="00232FB8" w:rsidRDefault="004E0314" w:rsidP="007C47D5">
            <w:pPr>
              <w:pStyle w:val="ListParagraph"/>
              <w:numPr>
                <w:ilvl w:val="0"/>
                <w:numId w:val="8"/>
              </w:numPr>
              <w:spacing w:before="240" w:after="240"/>
              <w:jc w:val="both"/>
              <w:rPr>
                <w:rFonts w:ascii="Verdana" w:hAnsi="Verdana"/>
                <w:sz w:val="22"/>
                <w:szCs w:val="22"/>
              </w:rPr>
            </w:pPr>
            <w:r w:rsidRPr="00232FB8">
              <w:rPr>
                <w:rFonts w:ascii="Verdana" w:hAnsi="Verdana"/>
                <w:sz w:val="22"/>
                <w:szCs w:val="22"/>
              </w:rPr>
              <w:t xml:space="preserve">The Ministry for Vulnerable Children, </w:t>
            </w:r>
            <w:proofErr w:type="spellStart"/>
            <w:r w:rsidRPr="00232FB8">
              <w:rPr>
                <w:rFonts w:ascii="Verdana" w:hAnsi="Verdana"/>
                <w:sz w:val="22"/>
                <w:szCs w:val="22"/>
              </w:rPr>
              <w:t>Oranga</w:t>
            </w:r>
            <w:proofErr w:type="spellEnd"/>
            <w:r w:rsidRPr="00232FB8">
              <w:rPr>
                <w:rFonts w:ascii="Verdana" w:hAnsi="Verdana"/>
                <w:sz w:val="22"/>
                <w:szCs w:val="22"/>
              </w:rPr>
              <w:t xml:space="preserve"> </w:t>
            </w:r>
            <w:proofErr w:type="spellStart"/>
            <w:r w:rsidRPr="00232FB8">
              <w:rPr>
                <w:rFonts w:ascii="Verdana" w:hAnsi="Verdana"/>
                <w:sz w:val="22"/>
                <w:szCs w:val="22"/>
              </w:rPr>
              <w:t>Tamariki</w:t>
            </w:r>
            <w:proofErr w:type="spellEnd"/>
            <w:r w:rsidRPr="00232FB8">
              <w:rPr>
                <w:rFonts w:ascii="Verdana" w:hAnsi="Verdana"/>
                <w:sz w:val="22"/>
                <w:szCs w:val="22"/>
              </w:rPr>
              <w:t xml:space="preserve"> (</w:t>
            </w:r>
            <w:proofErr w:type="spellStart"/>
            <w:r w:rsidRPr="00232FB8">
              <w:rPr>
                <w:rFonts w:ascii="Verdana" w:hAnsi="Verdana"/>
                <w:sz w:val="22"/>
                <w:szCs w:val="22"/>
              </w:rPr>
              <w:t>Oranga</w:t>
            </w:r>
            <w:proofErr w:type="spellEnd"/>
            <w:r w:rsidRPr="00232FB8">
              <w:rPr>
                <w:rFonts w:ascii="Verdana" w:hAnsi="Verdana"/>
                <w:sz w:val="22"/>
                <w:szCs w:val="22"/>
              </w:rPr>
              <w:t xml:space="preserve"> </w:t>
            </w:r>
            <w:proofErr w:type="spellStart"/>
            <w:r w:rsidRPr="00232FB8">
              <w:rPr>
                <w:rFonts w:ascii="Verdana" w:hAnsi="Verdana"/>
                <w:sz w:val="22"/>
                <w:szCs w:val="22"/>
              </w:rPr>
              <w:t>Tamariki</w:t>
            </w:r>
            <w:proofErr w:type="spellEnd"/>
            <w:r w:rsidRPr="00232FB8">
              <w:rPr>
                <w:rFonts w:ascii="Verdana" w:hAnsi="Verdana"/>
                <w:sz w:val="22"/>
                <w:szCs w:val="22"/>
              </w:rPr>
              <w:t>) is the statutory agency responsible for meeting the needs of vulnerable children and young people up to the age of 17 years in New Zealand. It does not collect consistent information on children and young people in care who have disabilities. However</w:t>
            </w:r>
            <w:r w:rsidR="001F4D7F">
              <w:rPr>
                <w:rFonts w:ascii="Verdana" w:hAnsi="Verdana"/>
                <w:sz w:val="22"/>
                <w:szCs w:val="22"/>
              </w:rPr>
              <w:t>,</w:t>
            </w:r>
            <w:r w:rsidRPr="00232FB8">
              <w:rPr>
                <w:rFonts w:ascii="Verdana" w:hAnsi="Verdana"/>
                <w:sz w:val="22"/>
                <w:szCs w:val="22"/>
              </w:rPr>
              <w:t xml:space="preserve"> research overseas indicates that disabled children can be especially vulnerable to abuse, and over-representation in the care and protection system.</w:t>
            </w:r>
            <w:r w:rsidRPr="00232FB8">
              <w:rPr>
                <w:rStyle w:val="FootnoteReference"/>
                <w:rFonts w:ascii="Verdana" w:hAnsi="Verdana"/>
                <w:sz w:val="22"/>
                <w:szCs w:val="22"/>
              </w:rPr>
              <w:t xml:space="preserve"> </w:t>
            </w:r>
            <w:r>
              <w:rPr>
                <w:rStyle w:val="FootnoteReference"/>
                <w:rFonts w:ascii="Verdana" w:hAnsi="Verdana"/>
                <w:sz w:val="22"/>
                <w:szCs w:val="22"/>
              </w:rPr>
              <w:footnoteReference w:id="1"/>
            </w:r>
          </w:p>
          <w:p w:rsidR="004E0314" w:rsidRPr="00232FB8" w:rsidRDefault="004E0314" w:rsidP="007C47D5">
            <w:pPr>
              <w:pStyle w:val="ListParagraph"/>
              <w:numPr>
                <w:ilvl w:val="0"/>
                <w:numId w:val="8"/>
              </w:numPr>
              <w:spacing w:before="240" w:after="240"/>
              <w:jc w:val="both"/>
              <w:rPr>
                <w:rFonts w:ascii="Verdana" w:hAnsi="Verdana"/>
                <w:sz w:val="22"/>
                <w:szCs w:val="22"/>
              </w:rPr>
            </w:pPr>
            <w:r w:rsidRPr="00232FB8">
              <w:rPr>
                <w:rFonts w:ascii="Verdana" w:hAnsi="Verdana"/>
                <w:sz w:val="22"/>
                <w:szCs w:val="22"/>
              </w:rPr>
              <w:t xml:space="preserve">In New Zealand, a child or young person in need of care may be placed under the custody or guardianship of the Chief Executive of </w:t>
            </w:r>
            <w:proofErr w:type="spellStart"/>
            <w:r w:rsidRPr="00232FB8">
              <w:rPr>
                <w:rFonts w:ascii="Verdana" w:hAnsi="Verdana"/>
                <w:sz w:val="22"/>
                <w:szCs w:val="22"/>
              </w:rPr>
              <w:t>Oranga</w:t>
            </w:r>
            <w:proofErr w:type="spellEnd"/>
            <w:r w:rsidRPr="00232FB8">
              <w:rPr>
                <w:rFonts w:ascii="Verdana" w:hAnsi="Verdana"/>
                <w:sz w:val="22"/>
                <w:szCs w:val="22"/>
              </w:rPr>
              <w:t xml:space="preserve"> </w:t>
            </w:r>
            <w:proofErr w:type="spellStart"/>
            <w:r w:rsidRPr="00232FB8">
              <w:rPr>
                <w:rFonts w:ascii="Verdana" w:hAnsi="Verdana"/>
                <w:sz w:val="22"/>
                <w:szCs w:val="22"/>
              </w:rPr>
              <w:t>Tamariki</w:t>
            </w:r>
            <w:proofErr w:type="spellEnd"/>
            <w:r w:rsidRPr="00232FB8">
              <w:rPr>
                <w:rFonts w:ascii="Verdana" w:hAnsi="Verdana"/>
                <w:sz w:val="22"/>
                <w:szCs w:val="22"/>
              </w:rPr>
              <w:t>. If other suitable arrangements cannot be made for them to be cared for in a family type home, they may be placed in a care and protection residence. These residences are designed to be safe, secure centres where young people are placed if they cannot live safely with their family or in the community. A young person</w:t>
            </w:r>
            <w:r>
              <w:rPr>
                <w:rFonts w:ascii="Verdana" w:hAnsi="Verdana"/>
                <w:sz w:val="22"/>
                <w:szCs w:val="22"/>
              </w:rPr>
              <w:t xml:space="preserve"> </w:t>
            </w:r>
            <w:r w:rsidRPr="00232FB8">
              <w:rPr>
                <w:rFonts w:ascii="Verdana" w:hAnsi="Verdana"/>
                <w:sz w:val="22"/>
                <w:szCs w:val="22"/>
              </w:rPr>
              <w:t xml:space="preserve">might also stay at a care and protection residence if they have high needs, and their actions are putting themselves or others at serious risk of harm. </w:t>
            </w:r>
          </w:p>
          <w:p w:rsidR="004E0314" w:rsidRPr="00232FB8" w:rsidRDefault="004E0314" w:rsidP="007C47D5">
            <w:pPr>
              <w:pStyle w:val="ListParagraph"/>
              <w:numPr>
                <w:ilvl w:val="0"/>
                <w:numId w:val="8"/>
              </w:numPr>
              <w:spacing w:before="240" w:after="240"/>
              <w:jc w:val="both"/>
              <w:rPr>
                <w:rFonts w:ascii="Verdana" w:hAnsi="Verdana"/>
                <w:sz w:val="22"/>
                <w:szCs w:val="22"/>
              </w:rPr>
            </w:pPr>
            <w:r w:rsidRPr="00232FB8">
              <w:rPr>
                <w:rFonts w:ascii="Verdana" w:hAnsi="Verdana"/>
                <w:sz w:val="22"/>
                <w:szCs w:val="22"/>
              </w:rPr>
              <w:t xml:space="preserve">Young people aged between 14 and 17 years who have offended and been remanded, sentenced to imprisonment, or ordered by the Court to go into a residence are placed in one of </w:t>
            </w:r>
            <w:proofErr w:type="spellStart"/>
            <w:r w:rsidRPr="00232FB8">
              <w:rPr>
                <w:rFonts w:ascii="Verdana" w:hAnsi="Verdana"/>
                <w:sz w:val="22"/>
                <w:szCs w:val="22"/>
              </w:rPr>
              <w:t>Oranga</w:t>
            </w:r>
            <w:proofErr w:type="spellEnd"/>
            <w:r w:rsidRPr="00232FB8">
              <w:rPr>
                <w:rFonts w:ascii="Verdana" w:hAnsi="Verdana"/>
                <w:sz w:val="22"/>
                <w:szCs w:val="22"/>
              </w:rPr>
              <w:t xml:space="preserve"> </w:t>
            </w:r>
            <w:proofErr w:type="spellStart"/>
            <w:r w:rsidRPr="00232FB8">
              <w:rPr>
                <w:rFonts w:ascii="Verdana" w:hAnsi="Verdana"/>
                <w:sz w:val="22"/>
                <w:szCs w:val="22"/>
              </w:rPr>
              <w:t>Tamariki</w:t>
            </w:r>
            <w:r>
              <w:rPr>
                <w:rFonts w:ascii="Verdana" w:hAnsi="Verdana"/>
                <w:sz w:val="22"/>
                <w:szCs w:val="22"/>
              </w:rPr>
              <w:t>’s</w:t>
            </w:r>
            <w:proofErr w:type="spellEnd"/>
            <w:r w:rsidRPr="00232FB8">
              <w:rPr>
                <w:rFonts w:ascii="Verdana" w:hAnsi="Verdana"/>
                <w:sz w:val="22"/>
                <w:szCs w:val="22"/>
              </w:rPr>
              <w:t xml:space="preserve"> youth justice residences. A young person will be under the custody of the </w:t>
            </w:r>
            <w:r>
              <w:rPr>
                <w:rFonts w:ascii="Verdana" w:hAnsi="Verdana"/>
                <w:sz w:val="22"/>
                <w:szCs w:val="22"/>
              </w:rPr>
              <w:t xml:space="preserve">Chief </w:t>
            </w:r>
            <w:r w:rsidRPr="00232FB8">
              <w:rPr>
                <w:rFonts w:ascii="Verdana" w:hAnsi="Verdana"/>
                <w:sz w:val="22"/>
                <w:szCs w:val="22"/>
              </w:rPr>
              <w:t>E</w:t>
            </w:r>
            <w:r>
              <w:rPr>
                <w:rFonts w:ascii="Verdana" w:hAnsi="Verdana"/>
                <w:sz w:val="22"/>
                <w:szCs w:val="22"/>
              </w:rPr>
              <w:t>xecutive</w:t>
            </w:r>
            <w:r w:rsidRPr="00232FB8">
              <w:rPr>
                <w:rFonts w:ascii="Verdana" w:hAnsi="Verdana"/>
                <w:sz w:val="22"/>
                <w:szCs w:val="22"/>
              </w:rPr>
              <w:t xml:space="preserve"> of </w:t>
            </w:r>
            <w:proofErr w:type="spellStart"/>
            <w:r w:rsidRPr="00232FB8">
              <w:rPr>
                <w:rFonts w:ascii="Verdana" w:hAnsi="Verdana"/>
                <w:sz w:val="22"/>
                <w:szCs w:val="22"/>
              </w:rPr>
              <w:t>Oranga</w:t>
            </w:r>
            <w:proofErr w:type="spellEnd"/>
            <w:r w:rsidRPr="00232FB8">
              <w:rPr>
                <w:rFonts w:ascii="Verdana" w:hAnsi="Verdana"/>
                <w:sz w:val="22"/>
                <w:szCs w:val="22"/>
              </w:rPr>
              <w:t xml:space="preserve"> </w:t>
            </w:r>
            <w:proofErr w:type="spellStart"/>
            <w:r w:rsidRPr="00232FB8">
              <w:rPr>
                <w:rFonts w:ascii="Verdana" w:hAnsi="Verdana"/>
                <w:sz w:val="22"/>
                <w:szCs w:val="22"/>
              </w:rPr>
              <w:t>Tamariki</w:t>
            </w:r>
            <w:proofErr w:type="spellEnd"/>
            <w:r w:rsidRPr="00232FB8">
              <w:rPr>
                <w:rFonts w:ascii="Verdana" w:hAnsi="Verdana"/>
                <w:sz w:val="22"/>
                <w:szCs w:val="22"/>
              </w:rPr>
              <w:t xml:space="preserve"> while in the youth justice residence. Research suggests there is likely to be a high percentage of neuro-disability in young people who commit more serious offences.</w:t>
            </w:r>
            <w:r>
              <w:rPr>
                <w:rStyle w:val="FootnoteReference"/>
                <w:rFonts w:ascii="Verdana" w:hAnsi="Verdana"/>
                <w:sz w:val="22"/>
                <w:szCs w:val="22"/>
              </w:rPr>
              <w:footnoteReference w:id="2"/>
            </w:r>
            <w:r w:rsidRPr="00232FB8">
              <w:rPr>
                <w:rFonts w:ascii="Verdana" w:hAnsi="Verdana"/>
                <w:sz w:val="22"/>
                <w:szCs w:val="22"/>
              </w:rPr>
              <w:t xml:space="preserve"> </w:t>
            </w:r>
          </w:p>
          <w:p w:rsidR="004E0314" w:rsidRPr="00232FB8" w:rsidRDefault="009A3D9E" w:rsidP="007C47D5">
            <w:pPr>
              <w:pStyle w:val="ListParagraph"/>
              <w:numPr>
                <w:ilvl w:val="0"/>
                <w:numId w:val="8"/>
              </w:numPr>
              <w:spacing w:before="240" w:after="240"/>
              <w:jc w:val="both"/>
              <w:rPr>
                <w:rFonts w:ascii="Verdana" w:hAnsi="Verdana"/>
                <w:sz w:val="22"/>
                <w:szCs w:val="22"/>
              </w:rPr>
            </w:pPr>
            <w:r>
              <w:rPr>
                <w:rFonts w:ascii="Verdana" w:hAnsi="Verdana"/>
                <w:sz w:val="22"/>
                <w:szCs w:val="22"/>
              </w:rPr>
              <w:t>C</w:t>
            </w:r>
            <w:r w:rsidR="004E0314" w:rsidRPr="00232FB8">
              <w:rPr>
                <w:rFonts w:ascii="Verdana" w:hAnsi="Verdana"/>
                <w:sz w:val="22"/>
                <w:szCs w:val="22"/>
              </w:rPr>
              <w:t>hildren and young people</w:t>
            </w:r>
            <w:r>
              <w:rPr>
                <w:rFonts w:ascii="Verdana" w:hAnsi="Verdana"/>
                <w:sz w:val="22"/>
                <w:szCs w:val="22"/>
              </w:rPr>
              <w:t xml:space="preserve"> with severe disabilities</w:t>
            </w:r>
            <w:r w:rsidR="004E0314" w:rsidRPr="00232FB8">
              <w:rPr>
                <w:rFonts w:ascii="Verdana" w:hAnsi="Verdana"/>
                <w:sz w:val="22"/>
                <w:szCs w:val="22"/>
              </w:rPr>
              <w:t xml:space="preserve"> who are unable to be cared for at home by their parents may be placed in specialised residential care facilities run by non-government agencies through sections 141 and 142 of the Children, Young Persons and their Families Act 1989 (CYPF Act). In most cases, parents retain guardianship rights while their child is residential care. </w:t>
            </w:r>
          </w:p>
          <w:p w:rsidR="004E0314" w:rsidRPr="00232FB8" w:rsidRDefault="004E0314" w:rsidP="007C47D5">
            <w:pPr>
              <w:pStyle w:val="ListParagraph"/>
              <w:numPr>
                <w:ilvl w:val="0"/>
                <w:numId w:val="8"/>
              </w:numPr>
              <w:spacing w:before="240" w:after="240"/>
              <w:jc w:val="both"/>
              <w:rPr>
                <w:rFonts w:ascii="Verdana" w:hAnsi="Verdana"/>
                <w:sz w:val="22"/>
                <w:szCs w:val="22"/>
              </w:rPr>
            </w:pPr>
            <w:proofErr w:type="spellStart"/>
            <w:r w:rsidRPr="00232FB8">
              <w:rPr>
                <w:rFonts w:ascii="Verdana" w:hAnsi="Verdana"/>
                <w:sz w:val="22"/>
                <w:szCs w:val="22"/>
              </w:rPr>
              <w:t>Oranga</w:t>
            </w:r>
            <w:proofErr w:type="spellEnd"/>
            <w:r w:rsidRPr="00232FB8">
              <w:rPr>
                <w:rFonts w:ascii="Verdana" w:hAnsi="Verdana"/>
                <w:sz w:val="22"/>
                <w:szCs w:val="22"/>
              </w:rPr>
              <w:t xml:space="preserve"> </w:t>
            </w:r>
            <w:proofErr w:type="spellStart"/>
            <w:r w:rsidRPr="00232FB8">
              <w:rPr>
                <w:rFonts w:ascii="Verdana" w:hAnsi="Verdana"/>
                <w:sz w:val="22"/>
                <w:szCs w:val="22"/>
              </w:rPr>
              <w:t>Tamariki</w:t>
            </w:r>
            <w:proofErr w:type="spellEnd"/>
            <w:r w:rsidRPr="00232FB8">
              <w:rPr>
                <w:rFonts w:ascii="Verdana" w:hAnsi="Verdana"/>
                <w:sz w:val="22"/>
                <w:szCs w:val="22"/>
              </w:rPr>
              <w:t xml:space="preserve"> operates eight residences in New Zealand, four youth justice and four care and protection residences. </w:t>
            </w:r>
            <w:proofErr w:type="spellStart"/>
            <w:r w:rsidRPr="00232FB8">
              <w:rPr>
                <w:rFonts w:ascii="Verdana" w:hAnsi="Verdana"/>
                <w:sz w:val="22"/>
                <w:szCs w:val="22"/>
              </w:rPr>
              <w:t>Oranga</w:t>
            </w:r>
            <w:proofErr w:type="spellEnd"/>
            <w:r w:rsidRPr="00232FB8">
              <w:rPr>
                <w:rFonts w:ascii="Verdana" w:hAnsi="Verdana"/>
                <w:sz w:val="22"/>
                <w:szCs w:val="22"/>
              </w:rPr>
              <w:t xml:space="preserve"> </w:t>
            </w:r>
            <w:proofErr w:type="spellStart"/>
            <w:r w:rsidRPr="00232FB8">
              <w:rPr>
                <w:rFonts w:ascii="Verdana" w:hAnsi="Verdana"/>
                <w:sz w:val="22"/>
                <w:szCs w:val="22"/>
              </w:rPr>
              <w:t>Tamariki</w:t>
            </w:r>
            <w:proofErr w:type="spellEnd"/>
            <w:r w:rsidRPr="00232FB8">
              <w:rPr>
                <w:rFonts w:ascii="Verdana" w:hAnsi="Verdana"/>
                <w:sz w:val="22"/>
                <w:szCs w:val="22"/>
              </w:rPr>
              <w:t xml:space="preserve"> also contracts </w:t>
            </w:r>
            <w:proofErr w:type="spellStart"/>
            <w:r w:rsidRPr="00232FB8">
              <w:rPr>
                <w:rFonts w:ascii="Verdana" w:hAnsi="Verdana"/>
                <w:sz w:val="22"/>
                <w:szCs w:val="22"/>
              </w:rPr>
              <w:t>Barnardos</w:t>
            </w:r>
            <w:proofErr w:type="spellEnd"/>
            <w:r w:rsidRPr="00232FB8">
              <w:rPr>
                <w:rFonts w:ascii="Verdana" w:hAnsi="Verdana"/>
                <w:sz w:val="22"/>
                <w:szCs w:val="22"/>
              </w:rPr>
              <w:t>,</w:t>
            </w:r>
            <w:r w:rsidR="00695449">
              <w:rPr>
                <w:rFonts w:ascii="Verdana" w:hAnsi="Verdana"/>
                <w:sz w:val="22"/>
                <w:szCs w:val="22"/>
              </w:rPr>
              <w:t xml:space="preserve"> a NGO</w:t>
            </w:r>
            <w:r w:rsidRPr="00232FB8">
              <w:rPr>
                <w:rFonts w:ascii="Verdana" w:hAnsi="Verdana"/>
                <w:sz w:val="22"/>
                <w:szCs w:val="22"/>
              </w:rPr>
              <w:t xml:space="preserve"> to provide a ninth residence</w:t>
            </w:r>
            <w:r>
              <w:rPr>
                <w:rFonts w:ascii="Verdana" w:hAnsi="Verdana"/>
                <w:sz w:val="22"/>
                <w:szCs w:val="22"/>
              </w:rPr>
              <w:t>,</w:t>
            </w:r>
            <w:r w:rsidRPr="00232FB8">
              <w:rPr>
                <w:rFonts w:ascii="Verdana" w:hAnsi="Verdana"/>
                <w:sz w:val="22"/>
                <w:szCs w:val="22"/>
              </w:rPr>
              <w:t xml:space="preserve"> which provides specialist treatment services to children and young people with harmful sexual behaviour. There are four specialised out-of-home residential care facilities for children </w:t>
            </w:r>
            <w:r w:rsidR="009A3D9E">
              <w:rPr>
                <w:rFonts w:ascii="Verdana" w:hAnsi="Verdana"/>
                <w:sz w:val="22"/>
                <w:szCs w:val="22"/>
              </w:rPr>
              <w:t xml:space="preserve">with severe disabilities </w:t>
            </w:r>
            <w:r w:rsidRPr="00232FB8">
              <w:rPr>
                <w:rFonts w:ascii="Verdana" w:hAnsi="Verdana"/>
                <w:sz w:val="22"/>
                <w:szCs w:val="22"/>
              </w:rPr>
              <w:t xml:space="preserve">in New Zealand. </w:t>
            </w:r>
          </w:p>
          <w:p w:rsidR="004E0314" w:rsidRPr="00232FB8" w:rsidRDefault="004E0314" w:rsidP="007C47D5">
            <w:pPr>
              <w:pStyle w:val="ListParagraph"/>
              <w:numPr>
                <w:ilvl w:val="0"/>
                <w:numId w:val="8"/>
              </w:numPr>
              <w:spacing w:before="240" w:after="240"/>
              <w:jc w:val="both"/>
              <w:rPr>
                <w:rFonts w:ascii="Verdana" w:hAnsi="Verdana"/>
                <w:sz w:val="22"/>
                <w:szCs w:val="22"/>
              </w:rPr>
            </w:pPr>
            <w:r w:rsidRPr="00232FB8">
              <w:rPr>
                <w:rFonts w:ascii="Verdana" w:hAnsi="Verdana"/>
                <w:sz w:val="22"/>
                <w:szCs w:val="22"/>
              </w:rPr>
              <w:t xml:space="preserve">Care and protection and youth justice residences are designed to be safe and secure places where some children and young people live when they are in the care of </w:t>
            </w:r>
            <w:proofErr w:type="spellStart"/>
            <w:r w:rsidRPr="00232FB8">
              <w:rPr>
                <w:rFonts w:ascii="Verdana" w:hAnsi="Verdana"/>
                <w:sz w:val="22"/>
                <w:szCs w:val="22"/>
              </w:rPr>
              <w:t>Oranga</w:t>
            </w:r>
            <w:proofErr w:type="spellEnd"/>
            <w:r w:rsidRPr="00232FB8">
              <w:rPr>
                <w:rFonts w:ascii="Verdana" w:hAnsi="Verdana"/>
                <w:sz w:val="22"/>
                <w:szCs w:val="22"/>
              </w:rPr>
              <w:t xml:space="preserve"> </w:t>
            </w:r>
            <w:proofErr w:type="spellStart"/>
            <w:r w:rsidRPr="00232FB8">
              <w:rPr>
                <w:rFonts w:ascii="Verdana" w:hAnsi="Verdana"/>
                <w:sz w:val="22"/>
                <w:szCs w:val="22"/>
              </w:rPr>
              <w:t>Tamariki</w:t>
            </w:r>
            <w:proofErr w:type="spellEnd"/>
            <w:r w:rsidRPr="00232FB8">
              <w:rPr>
                <w:rFonts w:ascii="Verdana" w:hAnsi="Verdana"/>
                <w:sz w:val="22"/>
                <w:szCs w:val="22"/>
              </w:rPr>
              <w:t xml:space="preserve">. Most residences have 3-5 open units, each with beds for about 6-10 young people. There are a total of 48 beds provided across the four </w:t>
            </w:r>
            <w:proofErr w:type="gramStart"/>
            <w:r w:rsidRPr="00232FB8">
              <w:rPr>
                <w:rFonts w:ascii="Verdana" w:hAnsi="Verdana"/>
                <w:sz w:val="22"/>
                <w:szCs w:val="22"/>
              </w:rPr>
              <w:t>care</w:t>
            </w:r>
            <w:proofErr w:type="gramEnd"/>
            <w:r w:rsidRPr="00232FB8">
              <w:rPr>
                <w:rFonts w:ascii="Verdana" w:hAnsi="Verdana"/>
                <w:sz w:val="22"/>
                <w:szCs w:val="22"/>
              </w:rPr>
              <w:t xml:space="preserve"> and protection residences, and 136 beds provided across the four youth justice residences. At </w:t>
            </w:r>
            <w:proofErr w:type="spellStart"/>
            <w:r w:rsidRPr="00232FB8">
              <w:rPr>
                <w:rFonts w:ascii="Verdana" w:hAnsi="Verdana"/>
                <w:sz w:val="22"/>
                <w:szCs w:val="22"/>
              </w:rPr>
              <w:t>Hoepha</w:t>
            </w:r>
            <w:proofErr w:type="spellEnd"/>
            <w:r w:rsidRPr="00232FB8">
              <w:rPr>
                <w:rFonts w:ascii="Verdana" w:hAnsi="Verdana"/>
                <w:sz w:val="22"/>
                <w:szCs w:val="22"/>
              </w:rPr>
              <w:t>, the largest specialised residential care facility for severely disabled children and young people, residents live in family-like houses built on the property, with live-in support workers providing assistance and guidance.</w:t>
            </w:r>
          </w:p>
          <w:p w:rsidR="004E0314" w:rsidRPr="00232FB8" w:rsidRDefault="004E0314" w:rsidP="007C47D5">
            <w:pPr>
              <w:pStyle w:val="ListParagraph"/>
              <w:numPr>
                <w:ilvl w:val="0"/>
                <w:numId w:val="8"/>
              </w:numPr>
              <w:spacing w:before="240" w:after="240"/>
              <w:jc w:val="both"/>
              <w:rPr>
                <w:rFonts w:ascii="Verdana" w:hAnsi="Verdana"/>
                <w:sz w:val="22"/>
                <w:szCs w:val="22"/>
              </w:rPr>
            </w:pPr>
            <w:r w:rsidRPr="00232FB8">
              <w:rPr>
                <w:rFonts w:ascii="Verdana" w:hAnsi="Verdana"/>
                <w:sz w:val="22"/>
                <w:szCs w:val="22"/>
              </w:rPr>
              <w:t xml:space="preserve">For the 12 months to June 2016, there were </w:t>
            </w:r>
            <w:r w:rsidR="00695449">
              <w:rPr>
                <w:rFonts w:ascii="Verdana" w:hAnsi="Verdana"/>
                <w:sz w:val="22"/>
                <w:szCs w:val="22"/>
              </w:rPr>
              <w:t xml:space="preserve">a total of </w:t>
            </w:r>
            <w:r w:rsidRPr="00232FB8">
              <w:rPr>
                <w:rFonts w:ascii="Verdana" w:hAnsi="Verdana"/>
                <w:sz w:val="22"/>
                <w:szCs w:val="22"/>
              </w:rPr>
              <w:t>129 admissions to care and protection residences, and 190 admissions to youth justice residences.</w:t>
            </w:r>
            <w:r>
              <w:rPr>
                <w:rStyle w:val="FootnoteReference"/>
                <w:rFonts w:ascii="Verdana" w:hAnsi="Verdana"/>
                <w:sz w:val="22"/>
                <w:szCs w:val="22"/>
              </w:rPr>
              <w:footnoteReference w:id="3"/>
            </w:r>
            <w:r w:rsidRPr="00232FB8">
              <w:rPr>
                <w:rFonts w:ascii="Verdana" w:hAnsi="Verdana"/>
                <w:sz w:val="22"/>
                <w:szCs w:val="22"/>
              </w:rPr>
              <w:t xml:space="preserve"> As at 3 May 2016, there were 32 children and young people</w:t>
            </w:r>
            <w:r w:rsidR="009A3D9E">
              <w:rPr>
                <w:rFonts w:ascii="Verdana" w:hAnsi="Verdana"/>
                <w:sz w:val="22"/>
                <w:szCs w:val="22"/>
              </w:rPr>
              <w:t xml:space="preserve"> with </w:t>
            </w:r>
            <w:r w:rsidR="009A3D9E">
              <w:rPr>
                <w:rFonts w:ascii="Verdana" w:hAnsi="Verdana"/>
                <w:sz w:val="22"/>
                <w:szCs w:val="22"/>
              </w:rPr>
              <w:t>severe disabilities</w:t>
            </w:r>
            <w:r w:rsidRPr="00232FB8">
              <w:rPr>
                <w:rFonts w:ascii="Verdana" w:hAnsi="Verdana"/>
                <w:sz w:val="22"/>
                <w:szCs w:val="22"/>
              </w:rPr>
              <w:t xml:space="preserve"> living in out-of-home specialist residential care facilities.</w:t>
            </w:r>
          </w:p>
          <w:p w:rsidR="004E0314" w:rsidRPr="00232FB8" w:rsidRDefault="004E0314" w:rsidP="007C47D5">
            <w:pPr>
              <w:pStyle w:val="ListParagraph"/>
              <w:numPr>
                <w:ilvl w:val="0"/>
                <w:numId w:val="8"/>
              </w:numPr>
              <w:spacing w:before="240" w:after="240"/>
              <w:jc w:val="both"/>
              <w:rPr>
                <w:rFonts w:ascii="Verdana" w:hAnsi="Verdana"/>
                <w:sz w:val="22"/>
                <w:szCs w:val="22"/>
              </w:rPr>
            </w:pPr>
            <w:proofErr w:type="spellStart"/>
            <w:r w:rsidRPr="00232FB8">
              <w:rPr>
                <w:rFonts w:ascii="Verdana" w:hAnsi="Verdana"/>
                <w:sz w:val="22"/>
                <w:szCs w:val="22"/>
              </w:rPr>
              <w:t>Oranga</w:t>
            </w:r>
            <w:proofErr w:type="spellEnd"/>
            <w:r w:rsidRPr="00232FB8">
              <w:rPr>
                <w:rFonts w:ascii="Verdana" w:hAnsi="Verdana"/>
                <w:sz w:val="22"/>
                <w:szCs w:val="22"/>
              </w:rPr>
              <w:t xml:space="preserve"> </w:t>
            </w:r>
            <w:proofErr w:type="spellStart"/>
            <w:r w:rsidRPr="00232FB8">
              <w:rPr>
                <w:rFonts w:ascii="Verdana" w:hAnsi="Verdana"/>
                <w:sz w:val="22"/>
                <w:szCs w:val="22"/>
              </w:rPr>
              <w:t>Tamariki</w:t>
            </w:r>
            <w:proofErr w:type="spellEnd"/>
            <w:r w:rsidRPr="00232FB8">
              <w:rPr>
                <w:rFonts w:ascii="Verdana" w:hAnsi="Verdana"/>
                <w:sz w:val="22"/>
                <w:szCs w:val="22"/>
              </w:rPr>
              <w:t xml:space="preserve"> is developing National Care Standards so there is a clear expectation for the standard and quality of care in placement homes. These Standards are expected to be in place this year (2017). </w:t>
            </w:r>
          </w:p>
          <w:p w:rsidR="004E0314" w:rsidRPr="000A02AE" w:rsidRDefault="004E0314" w:rsidP="009A3D9E">
            <w:pPr>
              <w:pStyle w:val="ListParagraph"/>
              <w:numPr>
                <w:ilvl w:val="0"/>
                <w:numId w:val="8"/>
              </w:numPr>
              <w:spacing w:before="240" w:after="240"/>
              <w:jc w:val="both"/>
              <w:rPr>
                <w:rFonts w:ascii="Verdana" w:hAnsi="Verdana"/>
                <w:sz w:val="22"/>
                <w:szCs w:val="22"/>
              </w:rPr>
            </w:pPr>
            <w:r w:rsidRPr="00232FB8">
              <w:rPr>
                <w:rFonts w:ascii="Verdana" w:hAnsi="Verdana"/>
                <w:sz w:val="22"/>
                <w:szCs w:val="22"/>
              </w:rPr>
              <w:t>In addition, legislative change is underway to repeal sections 141 and 142 of the CYPF Act. This will provide children</w:t>
            </w:r>
            <w:r w:rsidR="009A3D9E">
              <w:rPr>
                <w:rFonts w:ascii="Verdana" w:hAnsi="Verdana"/>
                <w:sz w:val="22"/>
                <w:szCs w:val="22"/>
              </w:rPr>
              <w:t xml:space="preserve"> with disabilities</w:t>
            </w:r>
            <w:r w:rsidRPr="00232FB8">
              <w:rPr>
                <w:rFonts w:ascii="Verdana" w:hAnsi="Verdana"/>
                <w:sz w:val="22"/>
                <w:szCs w:val="22"/>
              </w:rPr>
              <w:t>, who would otherwise have been placed in voluntary out of home care through section 141 or 142 agreements, with the same rights and protections as children and young people without disabilities under the Act. This includes the same processes and safeguards (including fixed end-date to placements), and ensuring that children have the earliest opportunity for a safe, stable and loving family. These legislative changes will also mean there will be independent oversight of their care arrangements while they are in the residential care facility. Support workers providing assistance and guidance.</w:t>
            </w:r>
          </w:p>
        </w:tc>
      </w:tr>
      <w:tr w:rsidR="004E0314" w:rsidRPr="00EE46E5" w:rsidTr="00DF50E6">
        <w:tc>
          <w:tcPr>
            <w:tcW w:w="15559" w:type="dxa"/>
            <w:shd w:val="clear" w:color="auto" w:fill="DBE5F1" w:themeFill="accent1" w:themeFillTint="33"/>
          </w:tcPr>
          <w:p w:rsidR="004E0314" w:rsidRPr="00EE46E5" w:rsidRDefault="004E0314" w:rsidP="007C47D5">
            <w:pPr>
              <w:pStyle w:val="ListParagraph"/>
              <w:numPr>
                <w:ilvl w:val="1"/>
                <w:numId w:val="5"/>
              </w:numPr>
              <w:spacing w:before="240" w:after="240"/>
              <w:rPr>
                <w:rFonts w:ascii="Verdana" w:hAnsi="Verdana"/>
                <w:sz w:val="22"/>
                <w:szCs w:val="22"/>
              </w:rPr>
            </w:pPr>
            <w:r w:rsidRPr="00EE46E5">
              <w:rPr>
                <w:rFonts w:ascii="Verdana" w:hAnsi="Verdana"/>
                <w:sz w:val="22"/>
                <w:szCs w:val="22"/>
              </w:rPr>
              <w:t>Registers of the use of seclusion and restraints and its frequency;</w:t>
            </w:r>
          </w:p>
        </w:tc>
      </w:tr>
      <w:tr w:rsidR="004E0314" w:rsidRPr="00EE46E5" w:rsidTr="00DF50E6">
        <w:tc>
          <w:tcPr>
            <w:tcW w:w="15559" w:type="dxa"/>
            <w:shd w:val="clear" w:color="auto" w:fill="FFFFFF" w:themeFill="background1"/>
          </w:tcPr>
          <w:p w:rsidR="004E0314" w:rsidRPr="00232FB8" w:rsidRDefault="004E0314" w:rsidP="007C1118">
            <w:pPr>
              <w:spacing w:before="240" w:after="240"/>
              <w:jc w:val="both"/>
              <w:rPr>
                <w:rFonts w:ascii="Verdana" w:hAnsi="Verdana"/>
                <w:b/>
                <w:sz w:val="22"/>
                <w:szCs w:val="22"/>
              </w:rPr>
            </w:pPr>
            <w:r w:rsidRPr="00232FB8">
              <w:rPr>
                <w:rFonts w:ascii="Verdana" w:hAnsi="Verdana"/>
                <w:b/>
                <w:sz w:val="22"/>
                <w:szCs w:val="22"/>
              </w:rPr>
              <w:t>Ministry of Education</w:t>
            </w:r>
          </w:p>
          <w:p w:rsidR="003A7CDF" w:rsidRDefault="004E0314" w:rsidP="003A7CDF">
            <w:pPr>
              <w:pStyle w:val="Heading4"/>
              <w:numPr>
                <w:ilvl w:val="0"/>
                <w:numId w:val="9"/>
              </w:numPr>
              <w:spacing w:before="240" w:after="240"/>
              <w:rPr>
                <w:rFonts w:ascii="Verdana" w:hAnsi="Verdana"/>
                <w:sz w:val="22"/>
                <w:szCs w:val="22"/>
              </w:rPr>
            </w:pPr>
            <w:r w:rsidRPr="003A7CDF">
              <w:rPr>
                <w:rFonts w:ascii="Verdana" w:hAnsi="Verdana"/>
                <w:sz w:val="22"/>
                <w:szCs w:val="22"/>
              </w:rPr>
              <w:t xml:space="preserve">Incidents of use of a seclusion room or restraint are recorded in an Incident Register. The </w:t>
            </w:r>
            <w:r w:rsidRPr="009A3D9E">
              <w:rPr>
                <w:rFonts w:ascii="Verdana" w:hAnsi="Verdana"/>
                <w:sz w:val="22"/>
                <w:szCs w:val="22"/>
              </w:rPr>
              <w:t>Ministry of Educations’ guidelines advise strongly against the use of seclusion rooms and legislation banning their use is currently before Parliament. At the end of 2016, the Minister of Education directed all schools to stop using seclusion. Restraint guideline</w:t>
            </w:r>
            <w:r w:rsidR="00695449" w:rsidRPr="009A3D9E">
              <w:rPr>
                <w:rFonts w:ascii="Verdana" w:hAnsi="Verdana"/>
                <w:sz w:val="22"/>
                <w:szCs w:val="22"/>
              </w:rPr>
              <w:t xml:space="preserve">s have been developed </w:t>
            </w:r>
            <w:r w:rsidR="00695449" w:rsidRPr="003A7CDF">
              <w:rPr>
                <w:rFonts w:ascii="Verdana" w:hAnsi="Verdana"/>
                <w:sz w:val="22"/>
                <w:szCs w:val="22"/>
              </w:rPr>
              <w:t>and issued</w:t>
            </w:r>
            <w:r w:rsidRPr="003A7CDF">
              <w:rPr>
                <w:rFonts w:ascii="Verdana" w:hAnsi="Verdana"/>
                <w:sz w:val="22"/>
                <w:szCs w:val="22"/>
              </w:rPr>
              <w:t xml:space="preserve"> </w:t>
            </w:r>
            <w:r w:rsidR="00695449" w:rsidRPr="003A7CDF">
              <w:rPr>
                <w:rFonts w:ascii="Verdana" w:hAnsi="Verdana"/>
                <w:sz w:val="22"/>
                <w:szCs w:val="22"/>
              </w:rPr>
              <w:t>to</w:t>
            </w:r>
            <w:r w:rsidRPr="003A7CDF">
              <w:rPr>
                <w:rFonts w:ascii="Verdana" w:hAnsi="Verdana"/>
                <w:sz w:val="22"/>
                <w:szCs w:val="22"/>
              </w:rPr>
              <w:t xml:space="preserve"> all schools</w:t>
            </w:r>
            <w:r w:rsidR="00695449" w:rsidRPr="003A7CDF">
              <w:rPr>
                <w:rFonts w:ascii="Verdana" w:hAnsi="Verdana"/>
                <w:sz w:val="22"/>
                <w:szCs w:val="22"/>
              </w:rPr>
              <w:t>. T</w:t>
            </w:r>
            <w:r w:rsidRPr="003A7CDF">
              <w:rPr>
                <w:rFonts w:ascii="Verdana" w:hAnsi="Verdana"/>
                <w:sz w:val="22"/>
                <w:szCs w:val="22"/>
              </w:rPr>
              <w:t>raining and advice has recently been undertaken by the Ministry with the residential special schools.</w:t>
            </w:r>
          </w:p>
          <w:p w:rsidR="003A7CDF" w:rsidRDefault="00201B77" w:rsidP="003A7CDF">
            <w:pPr>
              <w:pStyle w:val="Heading4"/>
              <w:numPr>
                <w:ilvl w:val="0"/>
                <w:numId w:val="9"/>
              </w:numPr>
              <w:spacing w:before="240" w:after="240"/>
              <w:rPr>
                <w:rFonts w:ascii="Verdana" w:hAnsi="Verdana" w:cs="Arial"/>
                <w:sz w:val="22"/>
                <w:szCs w:val="22"/>
                <w:lang w:val="en"/>
              </w:rPr>
            </w:pPr>
            <w:r>
              <w:rPr>
                <w:rFonts w:ascii="Verdana" w:hAnsi="Verdana" w:cs="Arial"/>
                <w:sz w:val="22"/>
                <w:szCs w:val="22"/>
                <w:lang w:val="en"/>
              </w:rPr>
              <w:t>In 2016, the Ministry undertook a survey of all 2,529 schools in New Zealand on the use of seclusion in the previous 18 months.  In total, 36</w:t>
            </w:r>
            <w:r w:rsidR="003A7CDF">
              <w:rPr>
                <w:rFonts w:ascii="Verdana" w:hAnsi="Verdana" w:cs="Arial"/>
                <w:sz w:val="22"/>
                <w:szCs w:val="22"/>
                <w:lang w:val="en"/>
              </w:rPr>
              <w:t xml:space="preserve"> schools </w:t>
            </w:r>
            <w:r>
              <w:rPr>
                <w:rFonts w:ascii="Verdana" w:hAnsi="Verdana" w:cs="Arial"/>
                <w:sz w:val="22"/>
                <w:szCs w:val="22"/>
                <w:lang w:val="en"/>
              </w:rPr>
              <w:t>self-identified as potentially using</w:t>
            </w:r>
            <w:r w:rsidR="003A7CDF">
              <w:rPr>
                <w:rFonts w:ascii="Verdana" w:hAnsi="Verdana" w:cs="Arial"/>
                <w:sz w:val="22"/>
                <w:szCs w:val="22"/>
                <w:lang w:val="en"/>
              </w:rPr>
              <w:t xml:space="preserve"> seclusion in the previous 18 months.</w:t>
            </w:r>
            <w:r>
              <w:rPr>
                <w:rFonts w:ascii="Verdana" w:hAnsi="Verdana" w:cs="Arial"/>
                <w:sz w:val="22"/>
                <w:szCs w:val="22"/>
                <w:lang w:val="en"/>
              </w:rPr>
              <w:t xml:space="preserve"> Out of the 36 schools self-identifying as potentially using seclusion, five self-reported as not using seclusion in 2016.</w:t>
            </w:r>
          </w:p>
          <w:p w:rsidR="0013452E" w:rsidRDefault="00201B77" w:rsidP="00201B77">
            <w:pPr>
              <w:pStyle w:val="Heading4"/>
              <w:numPr>
                <w:ilvl w:val="0"/>
                <w:numId w:val="9"/>
              </w:numPr>
              <w:spacing w:before="240" w:after="240"/>
              <w:rPr>
                <w:rFonts w:ascii="Verdana" w:hAnsi="Verdana" w:cs="Arial"/>
                <w:sz w:val="22"/>
                <w:szCs w:val="22"/>
                <w:lang w:val="en"/>
              </w:rPr>
            </w:pPr>
            <w:r>
              <w:rPr>
                <w:rFonts w:ascii="Verdana" w:hAnsi="Verdana" w:cs="Arial"/>
                <w:sz w:val="22"/>
                <w:szCs w:val="22"/>
                <w:lang w:val="en"/>
              </w:rPr>
              <w:t>A Stage 2 process focused on working alongside the 31 schools that had self-reported using seclusion in 2016. After further investigation and visits with those schools, the Ministry concluded</w:t>
            </w:r>
            <w:r w:rsidR="0013452E">
              <w:rPr>
                <w:rFonts w:ascii="Verdana" w:hAnsi="Verdana" w:cs="Arial"/>
                <w:sz w:val="22"/>
                <w:szCs w:val="22"/>
                <w:lang w:val="en"/>
              </w:rPr>
              <w:t>:</w:t>
            </w:r>
            <w:r>
              <w:rPr>
                <w:rFonts w:ascii="Verdana" w:hAnsi="Verdana" w:cs="Arial"/>
                <w:sz w:val="22"/>
                <w:szCs w:val="22"/>
                <w:lang w:val="en"/>
              </w:rPr>
              <w:t xml:space="preserve"> </w:t>
            </w:r>
          </w:p>
          <w:p w:rsidR="0013452E" w:rsidRPr="0013452E" w:rsidRDefault="00201B77" w:rsidP="0013452E">
            <w:pPr>
              <w:pStyle w:val="Heading4"/>
              <w:numPr>
                <w:ilvl w:val="0"/>
                <w:numId w:val="23"/>
              </w:numPr>
              <w:spacing w:before="240" w:after="240"/>
              <w:ind w:left="1701"/>
              <w:rPr>
                <w:rFonts w:ascii="Verdana" w:hAnsi="Verdana"/>
                <w:sz w:val="22"/>
                <w:szCs w:val="22"/>
              </w:rPr>
            </w:pPr>
            <w:proofErr w:type="gramStart"/>
            <w:r w:rsidRPr="0013452E">
              <w:rPr>
                <w:rFonts w:ascii="Verdana" w:hAnsi="Verdana" w:cs="Arial"/>
                <w:sz w:val="22"/>
                <w:szCs w:val="22"/>
                <w:lang w:val="en"/>
              </w:rPr>
              <w:t>two</w:t>
            </w:r>
            <w:proofErr w:type="gramEnd"/>
            <w:r w:rsidRPr="0013452E">
              <w:rPr>
                <w:rFonts w:ascii="Verdana" w:hAnsi="Verdana" w:cs="Arial"/>
                <w:sz w:val="22"/>
                <w:szCs w:val="22"/>
                <w:lang w:val="en"/>
              </w:rPr>
              <w:t xml:space="preserve"> h</w:t>
            </w:r>
            <w:r w:rsidR="002C6C68">
              <w:rPr>
                <w:rFonts w:ascii="Verdana" w:hAnsi="Verdana" w:cs="Arial"/>
                <w:sz w:val="22"/>
                <w:szCs w:val="22"/>
                <w:lang w:val="en"/>
              </w:rPr>
              <w:t>ave not used seclusion in 2016</w:t>
            </w:r>
          </w:p>
          <w:p w:rsidR="0013452E" w:rsidRPr="0013452E" w:rsidRDefault="00201B77" w:rsidP="0013452E">
            <w:pPr>
              <w:pStyle w:val="Heading4"/>
              <w:numPr>
                <w:ilvl w:val="0"/>
                <w:numId w:val="23"/>
              </w:numPr>
              <w:spacing w:before="240" w:after="240"/>
              <w:ind w:left="1701"/>
              <w:rPr>
                <w:rFonts w:ascii="Verdana" w:hAnsi="Verdana"/>
                <w:sz w:val="22"/>
                <w:szCs w:val="22"/>
              </w:rPr>
            </w:pPr>
            <w:r w:rsidRPr="0013452E">
              <w:rPr>
                <w:rFonts w:ascii="Verdana" w:hAnsi="Verdana" w:cs="Arial"/>
                <w:sz w:val="22"/>
                <w:szCs w:val="22"/>
                <w:lang w:val="en"/>
              </w:rPr>
              <w:t>12 were considered to have used appropriate time out behaviour management practices that did not constitute seclusion</w:t>
            </w:r>
          </w:p>
          <w:p w:rsidR="00201B77" w:rsidRPr="0013452E" w:rsidRDefault="00201B77" w:rsidP="0013452E">
            <w:pPr>
              <w:pStyle w:val="Heading4"/>
              <w:numPr>
                <w:ilvl w:val="0"/>
                <w:numId w:val="23"/>
              </w:numPr>
              <w:spacing w:before="240" w:after="240"/>
              <w:ind w:left="1701"/>
              <w:rPr>
                <w:rFonts w:ascii="Verdana" w:hAnsi="Verdana"/>
                <w:sz w:val="22"/>
                <w:szCs w:val="22"/>
              </w:rPr>
            </w:pPr>
            <w:r w:rsidRPr="0013452E">
              <w:rPr>
                <w:rFonts w:ascii="Verdana" w:hAnsi="Verdana" w:cs="Arial"/>
                <w:sz w:val="22"/>
                <w:szCs w:val="22"/>
                <w:lang w:val="en"/>
              </w:rPr>
              <w:t xml:space="preserve">17 were considered to have been using seclusion, and agreed to stop using seclusion and revise their practice. </w:t>
            </w:r>
          </w:p>
          <w:p w:rsidR="006D2A11" w:rsidRPr="00287BE5" w:rsidRDefault="006D2A11" w:rsidP="006D2A11">
            <w:pPr>
              <w:spacing w:before="240" w:after="240"/>
              <w:jc w:val="both"/>
              <w:rPr>
                <w:rFonts w:ascii="Verdana" w:hAnsi="Verdana"/>
                <w:b/>
                <w:sz w:val="22"/>
                <w:szCs w:val="22"/>
              </w:rPr>
            </w:pPr>
            <w:r w:rsidRPr="00287BE5">
              <w:rPr>
                <w:rFonts w:ascii="Verdana" w:hAnsi="Verdana"/>
                <w:b/>
                <w:sz w:val="22"/>
                <w:szCs w:val="22"/>
              </w:rPr>
              <w:t>Ministry of Health</w:t>
            </w:r>
          </w:p>
          <w:p w:rsidR="00287BE5" w:rsidRPr="00287BE5" w:rsidRDefault="006D2A11" w:rsidP="00287BE5">
            <w:pPr>
              <w:pStyle w:val="Heading4"/>
              <w:numPr>
                <w:ilvl w:val="0"/>
                <w:numId w:val="9"/>
              </w:numPr>
              <w:spacing w:before="240" w:after="240"/>
              <w:rPr>
                <w:rFonts w:ascii="Verdana" w:hAnsi="Verdana"/>
                <w:sz w:val="22"/>
                <w:szCs w:val="22"/>
                <w:lang w:val="en-US"/>
              </w:rPr>
            </w:pPr>
            <w:r w:rsidRPr="00287BE5">
              <w:rPr>
                <w:rFonts w:ascii="Verdana" w:hAnsi="Verdana" w:cs="Arial"/>
                <w:sz w:val="22"/>
                <w:szCs w:val="22"/>
                <w:lang w:val="en"/>
              </w:rPr>
              <w:t>The Ministry of Health’s national seclusion policy to reduce and eventually eliminate the use of seclusion in mental health services has been implemented since 2009.</w:t>
            </w:r>
          </w:p>
          <w:p w:rsidR="00287BE5" w:rsidRPr="00287BE5" w:rsidRDefault="00695449" w:rsidP="00287BE5">
            <w:pPr>
              <w:pStyle w:val="Heading4"/>
              <w:numPr>
                <w:ilvl w:val="0"/>
                <w:numId w:val="9"/>
              </w:numPr>
              <w:spacing w:before="240" w:after="240"/>
              <w:rPr>
                <w:rFonts w:ascii="Verdana" w:hAnsi="Verdana"/>
                <w:sz w:val="22"/>
                <w:szCs w:val="22"/>
                <w:lang w:val="en-US"/>
              </w:rPr>
            </w:pPr>
            <w:r>
              <w:rPr>
                <w:rFonts w:ascii="Verdana" w:hAnsi="Verdana" w:cs="Arial"/>
                <w:sz w:val="22"/>
                <w:szCs w:val="22"/>
                <w:lang w:val="en"/>
              </w:rPr>
              <w:t>The use</w:t>
            </w:r>
            <w:r w:rsidR="006D2A11" w:rsidRPr="00287BE5">
              <w:rPr>
                <w:rFonts w:ascii="Verdana" w:hAnsi="Verdana" w:cs="Arial"/>
                <w:sz w:val="22"/>
                <w:szCs w:val="22"/>
                <w:lang w:val="en"/>
              </w:rPr>
              <w:t xml:space="preserve"> of seclusion in mental health services is provided for in section 71 of the Mental Health Act</w:t>
            </w:r>
            <w:r w:rsidR="00287BE5">
              <w:rPr>
                <w:rFonts w:ascii="Verdana" w:hAnsi="Verdana" w:cs="Arial"/>
                <w:sz w:val="22"/>
                <w:szCs w:val="22"/>
                <w:lang w:val="en"/>
              </w:rPr>
              <w:t xml:space="preserve"> 1992. For further information, please visit </w:t>
            </w:r>
            <w:hyperlink r:id="rId29" w:history="1">
              <w:r w:rsidR="00287BE5" w:rsidRPr="00287BE5">
                <w:rPr>
                  <w:rStyle w:val="Hyperlink"/>
                  <w:rFonts w:ascii="Verdana" w:hAnsi="Verdana" w:cs="Arial"/>
                  <w:sz w:val="22"/>
                  <w:szCs w:val="22"/>
                  <w:lang w:val="en"/>
                </w:rPr>
                <w:t>http://www.health.govt.nz/publication/seclusion-under-mental-health-compulsory-assessment-and-treatment-act-1992</w:t>
              </w:r>
            </w:hyperlink>
            <w:r w:rsidR="00287BE5">
              <w:rPr>
                <w:rFonts w:ascii="Verdana" w:hAnsi="Verdana" w:cs="Arial"/>
                <w:sz w:val="22"/>
                <w:szCs w:val="22"/>
                <w:lang w:val="en"/>
              </w:rPr>
              <w:t>.</w:t>
            </w:r>
          </w:p>
          <w:p w:rsidR="00287BE5" w:rsidRPr="00287BE5" w:rsidRDefault="006D2A11" w:rsidP="00287BE5">
            <w:pPr>
              <w:pStyle w:val="Heading4"/>
              <w:numPr>
                <w:ilvl w:val="0"/>
                <w:numId w:val="9"/>
              </w:numPr>
              <w:spacing w:before="240" w:after="240"/>
              <w:rPr>
                <w:rFonts w:ascii="Verdana" w:hAnsi="Verdana"/>
                <w:sz w:val="22"/>
                <w:szCs w:val="22"/>
                <w:lang w:val="en-US"/>
              </w:rPr>
            </w:pPr>
            <w:r w:rsidRPr="00287BE5">
              <w:rPr>
                <w:rFonts w:ascii="Verdana" w:hAnsi="Verdana" w:cs="Arial"/>
                <w:sz w:val="22"/>
                <w:szCs w:val="22"/>
                <w:lang w:val="en"/>
              </w:rPr>
              <w:t>The Ministry produces clinical guidelines to assist mental health services to interpret the provisions of the Act.</w:t>
            </w:r>
          </w:p>
          <w:p w:rsidR="00287BE5" w:rsidRPr="00287BE5" w:rsidRDefault="006D2A11" w:rsidP="00287BE5">
            <w:pPr>
              <w:pStyle w:val="Heading4"/>
              <w:numPr>
                <w:ilvl w:val="0"/>
                <w:numId w:val="9"/>
              </w:numPr>
              <w:spacing w:before="240" w:after="240"/>
              <w:rPr>
                <w:rFonts w:ascii="Verdana" w:hAnsi="Verdana"/>
                <w:sz w:val="22"/>
                <w:szCs w:val="22"/>
                <w:lang w:val="en-US"/>
              </w:rPr>
            </w:pPr>
            <w:r w:rsidRPr="00287BE5">
              <w:rPr>
                <w:rFonts w:ascii="Verdana" w:hAnsi="Verdana"/>
                <w:sz w:val="22"/>
                <w:szCs w:val="22"/>
              </w:rPr>
              <w:t>The use of seclusion is recorded in a register that can be scrutinised by District Inspectors (required under section 129b of the Mental Health Act</w:t>
            </w:r>
            <w:r w:rsidR="00287BE5">
              <w:rPr>
                <w:rFonts w:ascii="Verdana" w:hAnsi="Verdana"/>
                <w:sz w:val="22"/>
                <w:szCs w:val="22"/>
              </w:rPr>
              <w:t xml:space="preserve"> 1992</w:t>
            </w:r>
            <w:r w:rsidRPr="00287BE5">
              <w:rPr>
                <w:rFonts w:ascii="Verdana" w:hAnsi="Verdana"/>
                <w:sz w:val="22"/>
                <w:szCs w:val="22"/>
              </w:rPr>
              <w:t xml:space="preserve">) and data on its use </w:t>
            </w:r>
            <w:r w:rsidR="00287BE5">
              <w:rPr>
                <w:rFonts w:ascii="Verdana" w:hAnsi="Verdana"/>
                <w:sz w:val="22"/>
                <w:szCs w:val="22"/>
              </w:rPr>
              <w:t>is</w:t>
            </w:r>
            <w:r w:rsidRPr="00287BE5">
              <w:rPr>
                <w:rFonts w:ascii="Verdana" w:hAnsi="Verdana"/>
                <w:sz w:val="22"/>
                <w:szCs w:val="22"/>
              </w:rPr>
              <w:t xml:space="preserve"> </w:t>
            </w:r>
            <w:r w:rsidRPr="00287BE5">
              <w:rPr>
                <w:rFonts w:ascii="Verdana" w:hAnsi="Verdana" w:cs="OptimaNZ"/>
                <w:sz w:val="22"/>
                <w:szCs w:val="22"/>
                <w:lang w:val="en-NZ" w:eastAsia="zh-CN"/>
              </w:rPr>
              <w:t>reported in the Director of Mental Health’s A</w:t>
            </w:r>
            <w:r w:rsidR="00287BE5">
              <w:rPr>
                <w:rFonts w:ascii="Verdana" w:hAnsi="Verdana" w:cs="OptimaNZ"/>
                <w:sz w:val="22"/>
                <w:szCs w:val="22"/>
                <w:lang w:val="en-NZ" w:eastAsia="zh-CN"/>
              </w:rPr>
              <w:t>nnual Report. For more information, please visit</w:t>
            </w:r>
            <w:r w:rsidRPr="00287BE5">
              <w:rPr>
                <w:rFonts w:ascii="Verdana" w:hAnsi="Verdana" w:cs="Arial"/>
                <w:sz w:val="22"/>
                <w:szCs w:val="22"/>
              </w:rPr>
              <w:t xml:space="preserve"> </w:t>
            </w:r>
            <w:hyperlink r:id="rId30" w:history="1">
              <w:r w:rsidRPr="00287BE5">
                <w:rPr>
                  <w:rStyle w:val="Hyperlink"/>
                  <w:rFonts w:ascii="Verdana" w:hAnsi="Verdana" w:cs="Arial"/>
                  <w:sz w:val="22"/>
                  <w:szCs w:val="22"/>
                </w:rPr>
                <w:t>http://www.health.govt.nz/publication/office-director-mental-health-annual-report-2015</w:t>
              </w:r>
            </w:hyperlink>
            <w:r w:rsidRPr="00287BE5">
              <w:rPr>
                <w:rFonts w:ascii="Verdana" w:hAnsi="Verdana" w:cs="Arial"/>
                <w:sz w:val="22"/>
                <w:szCs w:val="22"/>
              </w:rPr>
              <w:t>.</w:t>
            </w:r>
          </w:p>
          <w:p w:rsidR="006D2A11" w:rsidRPr="00287BE5" w:rsidRDefault="006D2A11" w:rsidP="00287BE5">
            <w:pPr>
              <w:pStyle w:val="Heading4"/>
              <w:numPr>
                <w:ilvl w:val="0"/>
                <w:numId w:val="9"/>
              </w:numPr>
              <w:spacing w:before="240" w:after="240"/>
              <w:rPr>
                <w:rFonts w:ascii="Verdana" w:hAnsi="Verdana"/>
                <w:sz w:val="22"/>
                <w:szCs w:val="22"/>
                <w:lang w:val="en-US"/>
              </w:rPr>
            </w:pPr>
            <w:r w:rsidRPr="00287BE5">
              <w:rPr>
                <w:rFonts w:ascii="Verdana" w:hAnsi="Verdana" w:cs="OptimaNZ"/>
                <w:sz w:val="22"/>
                <w:szCs w:val="22"/>
                <w:lang w:val="en-NZ" w:eastAsia="zh-CN"/>
              </w:rPr>
              <w:t>Hospitals and services are required to comply with a national standard on the safe use of seclusion and restraint</w:t>
            </w:r>
            <w:r w:rsidR="00287BE5">
              <w:rPr>
                <w:rFonts w:ascii="Verdana" w:hAnsi="Verdana" w:cs="OptimaNZ"/>
                <w:sz w:val="22"/>
                <w:szCs w:val="22"/>
                <w:lang w:val="en-NZ" w:eastAsia="zh-CN"/>
              </w:rPr>
              <w:t xml:space="preserve">. For more information, please visit </w:t>
            </w:r>
            <w:hyperlink r:id="rId31" w:history="1">
              <w:r w:rsidRPr="00287BE5">
                <w:rPr>
                  <w:rStyle w:val="Hyperlink"/>
                  <w:rFonts w:ascii="Verdana" w:hAnsi="Verdana" w:cs="OptimaNZ"/>
                  <w:sz w:val="22"/>
                  <w:szCs w:val="22"/>
                  <w:lang w:val="en-NZ" w:eastAsia="zh-CN"/>
                </w:rPr>
                <w:t>https://www.health.govt.nz/system/files/documents/pages/81342-2008-nzs-health-and-disability-services-restraint-minimisation.pdf</w:t>
              </w:r>
            </w:hyperlink>
            <w:r w:rsidR="00287BE5">
              <w:rPr>
                <w:rFonts w:ascii="Verdana" w:hAnsi="Verdana" w:cs="OptimaNZ"/>
                <w:sz w:val="22"/>
                <w:szCs w:val="22"/>
                <w:lang w:val="en-NZ" w:eastAsia="zh-CN"/>
              </w:rPr>
              <w:t>.</w:t>
            </w:r>
          </w:p>
        </w:tc>
      </w:tr>
      <w:tr w:rsidR="004E0314" w:rsidRPr="00EE46E5" w:rsidTr="00DF50E6">
        <w:tc>
          <w:tcPr>
            <w:tcW w:w="15559" w:type="dxa"/>
            <w:shd w:val="clear" w:color="auto" w:fill="DBE5F1" w:themeFill="accent1" w:themeFillTint="33"/>
          </w:tcPr>
          <w:p w:rsidR="004E0314" w:rsidRPr="00EE46E5" w:rsidRDefault="004E0314" w:rsidP="007C47D5">
            <w:pPr>
              <w:pStyle w:val="ListParagraph"/>
              <w:numPr>
                <w:ilvl w:val="1"/>
                <w:numId w:val="5"/>
              </w:numPr>
              <w:spacing w:before="240" w:after="240"/>
              <w:rPr>
                <w:rFonts w:ascii="Verdana" w:hAnsi="Verdana"/>
                <w:sz w:val="22"/>
                <w:szCs w:val="22"/>
              </w:rPr>
            </w:pPr>
            <w:r w:rsidRPr="00EE46E5">
              <w:rPr>
                <w:rFonts w:ascii="Verdana" w:hAnsi="Verdana"/>
                <w:sz w:val="22"/>
                <w:szCs w:val="22"/>
              </w:rPr>
              <w:t xml:space="preserve">Involuntary admissions to mental health services or other social care facilities; </w:t>
            </w:r>
          </w:p>
        </w:tc>
      </w:tr>
      <w:tr w:rsidR="004E0314" w:rsidRPr="00EE46E5" w:rsidTr="00DF50E6">
        <w:tc>
          <w:tcPr>
            <w:tcW w:w="15559" w:type="dxa"/>
            <w:shd w:val="clear" w:color="auto" w:fill="FFFFFF" w:themeFill="background1"/>
          </w:tcPr>
          <w:p w:rsidR="004E0314" w:rsidRPr="00E07792" w:rsidRDefault="006D2A11" w:rsidP="006D2A11">
            <w:pPr>
              <w:spacing w:before="240" w:after="240"/>
              <w:rPr>
                <w:rFonts w:ascii="Verdana" w:hAnsi="Verdana"/>
                <w:b/>
                <w:sz w:val="22"/>
                <w:szCs w:val="22"/>
              </w:rPr>
            </w:pPr>
            <w:r w:rsidRPr="00E07792">
              <w:rPr>
                <w:rFonts w:ascii="Verdana" w:hAnsi="Verdana"/>
                <w:b/>
                <w:sz w:val="22"/>
                <w:szCs w:val="22"/>
              </w:rPr>
              <w:t>Ministry of Health</w:t>
            </w:r>
          </w:p>
          <w:p w:rsidR="007F1E3E" w:rsidRPr="007F1E3E" w:rsidRDefault="006D2A11" w:rsidP="006D2A11">
            <w:pPr>
              <w:pStyle w:val="Heading4"/>
              <w:numPr>
                <w:ilvl w:val="0"/>
                <w:numId w:val="9"/>
              </w:numPr>
              <w:spacing w:before="240" w:after="240"/>
              <w:rPr>
                <w:rFonts w:ascii="Verdana" w:hAnsi="Verdana"/>
                <w:sz w:val="22"/>
                <w:szCs w:val="22"/>
                <w:lang w:val="en-US"/>
              </w:rPr>
            </w:pPr>
            <w:r w:rsidRPr="00287BE5">
              <w:rPr>
                <w:rFonts w:ascii="Verdana" w:hAnsi="Verdana" w:cs="Arial"/>
                <w:sz w:val="22"/>
                <w:szCs w:val="22"/>
              </w:rPr>
              <w:t>In the 2015 calendar year, a total of 9,904 people in New Zealand were subject to the Mental Health Act</w:t>
            </w:r>
            <w:r w:rsidR="007F1E3E">
              <w:rPr>
                <w:rFonts w:ascii="Verdana" w:hAnsi="Verdana" w:cs="Arial"/>
                <w:sz w:val="22"/>
                <w:szCs w:val="22"/>
              </w:rPr>
              <w:t xml:space="preserve"> 1992.</w:t>
            </w:r>
            <w:r w:rsidRPr="00287BE5">
              <w:rPr>
                <w:rFonts w:ascii="Verdana" w:hAnsi="Verdana" w:cs="Arial"/>
                <w:sz w:val="22"/>
                <w:szCs w:val="22"/>
              </w:rPr>
              <w:t xml:space="preserve">  On 31 December 2015, there were 5,612 people under a compulsory assessment or compulsory treatment order under the Mental Health Act</w:t>
            </w:r>
            <w:r w:rsidR="007F1E3E">
              <w:rPr>
                <w:rFonts w:ascii="Verdana" w:hAnsi="Verdana" w:cs="Arial"/>
                <w:sz w:val="22"/>
                <w:szCs w:val="22"/>
              </w:rPr>
              <w:t xml:space="preserve"> 1992</w:t>
            </w:r>
            <w:r w:rsidRPr="00287BE5">
              <w:rPr>
                <w:rFonts w:ascii="Verdana" w:hAnsi="Verdana" w:cs="Arial"/>
                <w:sz w:val="22"/>
                <w:szCs w:val="22"/>
              </w:rPr>
              <w:t xml:space="preserve">. </w:t>
            </w:r>
          </w:p>
          <w:p w:rsidR="006D2A11" w:rsidRPr="007F1E3E" w:rsidRDefault="006D2A11" w:rsidP="007F1E3E">
            <w:pPr>
              <w:pStyle w:val="Heading4"/>
              <w:numPr>
                <w:ilvl w:val="0"/>
                <w:numId w:val="9"/>
              </w:numPr>
              <w:spacing w:before="240" w:after="240"/>
              <w:rPr>
                <w:rFonts w:ascii="Verdana" w:hAnsi="Verdana"/>
                <w:sz w:val="22"/>
                <w:szCs w:val="22"/>
                <w:lang w:val="en-US"/>
              </w:rPr>
            </w:pPr>
            <w:r w:rsidRPr="007F1E3E">
              <w:rPr>
                <w:rFonts w:ascii="Verdana" w:hAnsi="Verdana" w:cs="Arial"/>
                <w:sz w:val="22"/>
                <w:szCs w:val="22"/>
              </w:rPr>
              <w:t xml:space="preserve">On any given day in 2015, on average, approximately 16.5 percent of people subject to the Mental Health Act </w:t>
            </w:r>
            <w:r w:rsidR="007F1E3E" w:rsidRPr="007F1E3E">
              <w:rPr>
                <w:rFonts w:ascii="Verdana" w:hAnsi="Verdana" w:cs="Arial"/>
                <w:sz w:val="22"/>
                <w:szCs w:val="22"/>
              </w:rPr>
              <w:t xml:space="preserve">1992 </w:t>
            </w:r>
            <w:r w:rsidRPr="007F1E3E">
              <w:rPr>
                <w:rFonts w:ascii="Verdana" w:hAnsi="Verdana" w:cs="Arial"/>
                <w:sz w:val="22"/>
                <w:szCs w:val="22"/>
              </w:rPr>
              <w:t>were subject to an inpatient orde</w:t>
            </w:r>
            <w:r w:rsidR="007F1E3E">
              <w:rPr>
                <w:rFonts w:ascii="Verdana" w:hAnsi="Verdana" w:cs="Arial"/>
                <w:sz w:val="22"/>
                <w:szCs w:val="22"/>
              </w:rPr>
              <w:t xml:space="preserve">r. The remaining </w:t>
            </w:r>
            <w:r w:rsidRPr="007F1E3E">
              <w:rPr>
                <w:rFonts w:ascii="Verdana" w:hAnsi="Verdana" w:cs="Arial"/>
                <w:sz w:val="22"/>
                <w:szCs w:val="22"/>
              </w:rPr>
              <w:t xml:space="preserve">83.5 percent were subject to </w:t>
            </w:r>
            <w:r w:rsidR="00287BE5" w:rsidRPr="007F1E3E">
              <w:rPr>
                <w:rFonts w:ascii="Verdana" w:hAnsi="Verdana" w:cs="Arial"/>
                <w:sz w:val="22"/>
                <w:szCs w:val="22"/>
              </w:rPr>
              <w:t>a community treatment order. For more information, please visit</w:t>
            </w:r>
            <w:r w:rsidRPr="007F1E3E">
              <w:rPr>
                <w:rFonts w:ascii="Verdana" w:hAnsi="Verdana" w:cs="Arial"/>
                <w:sz w:val="22"/>
                <w:szCs w:val="22"/>
              </w:rPr>
              <w:t xml:space="preserve"> </w:t>
            </w:r>
            <w:hyperlink r:id="rId32" w:history="1">
              <w:r w:rsidRPr="007F1E3E">
                <w:rPr>
                  <w:rStyle w:val="Hyperlink"/>
                  <w:rFonts w:ascii="Verdana" w:hAnsi="Verdana" w:cs="Arial"/>
                  <w:sz w:val="22"/>
                  <w:szCs w:val="22"/>
                </w:rPr>
                <w:t>http://www.health.govt.nz/publication/office-director-mental-health-annual-report-2015</w:t>
              </w:r>
            </w:hyperlink>
            <w:r w:rsidRPr="007F1E3E">
              <w:rPr>
                <w:rFonts w:ascii="Verdana" w:hAnsi="Verdana" w:cs="Arial"/>
                <w:sz w:val="22"/>
                <w:szCs w:val="22"/>
              </w:rPr>
              <w:t>.</w:t>
            </w:r>
          </w:p>
        </w:tc>
      </w:tr>
      <w:tr w:rsidR="004E0314" w:rsidRPr="00EE46E5" w:rsidTr="00DF50E6">
        <w:tc>
          <w:tcPr>
            <w:tcW w:w="15559" w:type="dxa"/>
            <w:shd w:val="clear" w:color="auto" w:fill="DBE5F1" w:themeFill="accent1" w:themeFillTint="33"/>
          </w:tcPr>
          <w:p w:rsidR="004E0314" w:rsidRPr="00EE46E5" w:rsidRDefault="004E0314" w:rsidP="007C47D5">
            <w:pPr>
              <w:pStyle w:val="ListParagraph"/>
              <w:numPr>
                <w:ilvl w:val="1"/>
                <w:numId w:val="5"/>
              </w:numPr>
              <w:spacing w:before="240" w:after="240"/>
              <w:rPr>
                <w:rFonts w:ascii="Verdana" w:hAnsi="Verdana"/>
                <w:sz w:val="22"/>
                <w:szCs w:val="22"/>
              </w:rPr>
            </w:pPr>
            <w:r w:rsidRPr="00EE46E5">
              <w:rPr>
                <w:rFonts w:ascii="Verdana" w:hAnsi="Verdana"/>
                <w:sz w:val="22"/>
                <w:szCs w:val="22"/>
              </w:rPr>
              <w:t>Existing inpatient mental health facilities;</w:t>
            </w:r>
          </w:p>
        </w:tc>
      </w:tr>
      <w:tr w:rsidR="004E0314" w:rsidRPr="00EE46E5" w:rsidTr="00DF50E6">
        <w:tc>
          <w:tcPr>
            <w:tcW w:w="15559" w:type="dxa"/>
            <w:shd w:val="clear" w:color="auto" w:fill="FFFFFF" w:themeFill="background1"/>
          </w:tcPr>
          <w:p w:rsidR="004E0314" w:rsidRPr="007F1E3E" w:rsidRDefault="006D2A11" w:rsidP="006D2A11">
            <w:pPr>
              <w:spacing w:before="240" w:after="240"/>
              <w:jc w:val="both"/>
              <w:rPr>
                <w:rFonts w:ascii="Verdana" w:hAnsi="Verdana"/>
                <w:b/>
                <w:sz w:val="22"/>
                <w:szCs w:val="22"/>
              </w:rPr>
            </w:pPr>
            <w:r w:rsidRPr="007F1E3E">
              <w:rPr>
                <w:rFonts w:ascii="Verdana" w:hAnsi="Verdana"/>
                <w:b/>
                <w:sz w:val="22"/>
                <w:szCs w:val="22"/>
              </w:rPr>
              <w:t>Ministry of Health</w:t>
            </w:r>
          </w:p>
          <w:p w:rsidR="006D2A11" w:rsidRPr="007F1E3E" w:rsidRDefault="006D2A11" w:rsidP="006D2A11">
            <w:pPr>
              <w:pStyle w:val="Heading4"/>
              <w:numPr>
                <w:ilvl w:val="0"/>
                <w:numId w:val="9"/>
              </w:numPr>
              <w:spacing w:before="240" w:after="240"/>
              <w:jc w:val="both"/>
              <w:rPr>
                <w:rFonts w:ascii="Verdana" w:hAnsi="Verdana"/>
                <w:sz w:val="22"/>
                <w:szCs w:val="22"/>
              </w:rPr>
            </w:pPr>
            <w:r w:rsidRPr="007F1E3E">
              <w:rPr>
                <w:rFonts w:ascii="Verdana" w:hAnsi="Verdana"/>
                <w:sz w:val="22"/>
                <w:szCs w:val="22"/>
              </w:rPr>
              <w:t xml:space="preserve">There are 38 publicly funded inpatient mental health facilities.  </w:t>
            </w:r>
          </w:p>
        </w:tc>
      </w:tr>
      <w:tr w:rsidR="004E0314" w:rsidRPr="00EE46E5" w:rsidTr="00DF50E6">
        <w:tc>
          <w:tcPr>
            <w:tcW w:w="15559" w:type="dxa"/>
            <w:shd w:val="clear" w:color="auto" w:fill="DBE5F1" w:themeFill="accent1" w:themeFillTint="33"/>
          </w:tcPr>
          <w:p w:rsidR="004E0314" w:rsidRPr="00EE46E5" w:rsidRDefault="004E0314" w:rsidP="007C47D5">
            <w:pPr>
              <w:pStyle w:val="ListParagraph"/>
              <w:numPr>
                <w:ilvl w:val="1"/>
                <w:numId w:val="5"/>
              </w:numPr>
              <w:spacing w:before="240" w:after="240"/>
              <w:rPr>
                <w:rFonts w:ascii="Verdana" w:hAnsi="Verdana"/>
                <w:sz w:val="22"/>
                <w:szCs w:val="22"/>
              </w:rPr>
            </w:pPr>
            <w:r w:rsidRPr="00EE46E5">
              <w:rPr>
                <w:rFonts w:ascii="Verdana" w:hAnsi="Verdana"/>
                <w:sz w:val="22"/>
                <w:szCs w:val="22"/>
              </w:rPr>
              <w:t>Beds for mental health inpatients in psychiatric hospitals and general hospitals;</w:t>
            </w:r>
          </w:p>
        </w:tc>
      </w:tr>
      <w:tr w:rsidR="004E0314" w:rsidRPr="00EE46E5" w:rsidTr="00DF50E6">
        <w:tc>
          <w:tcPr>
            <w:tcW w:w="15559" w:type="dxa"/>
            <w:shd w:val="clear" w:color="auto" w:fill="FFFFFF" w:themeFill="background1"/>
          </w:tcPr>
          <w:p w:rsidR="004E0314" w:rsidRPr="007F1E3E" w:rsidRDefault="006D2A11" w:rsidP="006D2A11">
            <w:pPr>
              <w:spacing w:before="240" w:after="240"/>
              <w:jc w:val="both"/>
              <w:rPr>
                <w:rFonts w:ascii="Verdana" w:hAnsi="Verdana"/>
                <w:b/>
                <w:sz w:val="22"/>
                <w:szCs w:val="22"/>
              </w:rPr>
            </w:pPr>
            <w:r w:rsidRPr="007F1E3E">
              <w:rPr>
                <w:rFonts w:ascii="Verdana" w:hAnsi="Verdana"/>
                <w:b/>
                <w:sz w:val="22"/>
                <w:szCs w:val="22"/>
              </w:rPr>
              <w:t>Ministry of Health</w:t>
            </w:r>
          </w:p>
          <w:p w:rsidR="007F1E3E" w:rsidRPr="007F1E3E" w:rsidRDefault="006D2A11" w:rsidP="007F1E3E">
            <w:pPr>
              <w:pStyle w:val="Heading4"/>
              <w:numPr>
                <w:ilvl w:val="0"/>
                <w:numId w:val="9"/>
              </w:numPr>
              <w:spacing w:before="240" w:after="240"/>
              <w:rPr>
                <w:rFonts w:ascii="Verdana" w:hAnsi="Verdana"/>
                <w:sz w:val="22"/>
                <w:szCs w:val="22"/>
                <w:lang w:val="en-US"/>
              </w:rPr>
            </w:pPr>
            <w:r w:rsidRPr="007F1E3E">
              <w:rPr>
                <w:rFonts w:ascii="Verdana" w:hAnsi="Verdana" w:cs="Arial Mäori"/>
                <w:sz w:val="22"/>
                <w:szCs w:val="22"/>
                <w:lang w:val="en-NZ" w:eastAsia="zh-CN"/>
              </w:rPr>
              <w:t>The Ministry of Health does not direct</w:t>
            </w:r>
            <w:r w:rsidR="007F1E3E">
              <w:rPr>
                <w:rFonts w:ascii="Verdana" w:hAnsi="Verdana" w:cs="Arial Mäori"/>
                <w:sz w:val="22"/>
                <w:szCs w:val="22"/>
                <w:lang w:val="en-NZ" w:eastAsia="zh-CN"/>
              </w:rPr>
              <w:t>ly</w:t>
            </w:r>
            <w:r w:rsidRPr="007F1E3E">
              <w:rPr>
                <w:rFonts w:ascii="Verdana" w:hAnsi="Verdana" w:cs="Arial Mäori"/>
                <w:sz w:val="22"/>
                <w:szCs w:val="22"/>
                <w:lang w:val="en-NZ" w:eastAsia="zh-CN"/>
              </w:rPr>
              <w:t xml:space="preserve"> purchase mental health inpatient beds and does not routinely coll</w:t>
            </w:r>
            <w:r w:rsidR="00695449">
              <w:rPr>
                <w:rFonts w:ascii="Verdana" w:hAnsi="Verdana" w:cs="Arial Mäori"/>
                <w:sz w:val="22"/>
                <w:szCs w:val="22"/>
                <w:lang w:val="en-NZ" w:eastAsia="zh-CN"/>
              </w:rPr>
              <w:t>ect information on bed numbers. W</w:t>
            </w:r>
            <w:r w:rsidRPr="007F1E3E">
              <w:rPr>
                <w:rFonts w:ascii="Verdana" w:hAnsi="Verdana" w:cs="Arial Mäori"/>
                <w:sz w:val="22"/>
                <w:szCs w:val="22"/>
                <w:lang w:val="en-NZ" w:eastAsia="zh-CN"/>
              </w:rPr>
              <w:t xml:space="preserve">e could not </w:t>
            </w:r>
            <w:r w:rsidR="007F1E3E">
              <w:rPr>
                <w:rFonts w:ascii="Verdana" w:hAnsi="Verdana" w:cs="Arial Mäori"/>
                <w:sz w:val="22"/>
                <w:szCs w:val="22"/>
                <w:lang w:val="en-NZ" w:eastAsia="zh-CN"/>
              </w:rPr>
              <w:t xml:space="preserve">gather the information </w:t>
            </w:r>
            <w:r w:rsidRPr="007F1E3E">
              <w:rPr>
                <w:rFonts w:ascii="Verdana" w:hAnsi="Verdana" w:cs="Arial Mäori"/>
                <w:sz w:val="22"/>
                <w:szCs w:val="22"/>
                <w:lang w:val="en-NZ" w:eastAsia="zh-CN"/>
              </w:rPr>
              <w:t xml:space="preserve">within the </w:t>
            </w:r>
            <w:r w:rsidR="00695449">
              <w:rPr>
                <w:rFonts w:ascii="Verdana" w:hAnsi="Verdana" w:cs="Arial Mäori"/>
                <w:sz w:val="22"/>
                <w:szCs w:val="22"/>
                <w:lang w:val="en-NZ" w:eastAsia="zh-CN"/>
              </w:rPr>
              <w:t>timeframe of this questionnaire</w:t>
            </w:r>
            <w:r w:rsidRPr="007F1E3E">
              <w:rPr>
                <w:rFonts w:ascii="Verdana" w:hAnsi="Verdana" w:cs="Arial Mäori"/>
                <w:sz w:val="22"/>
                <w:szCs w:val="22"/>
                <w:lang w:val="en-NZ" w:eastAsia="zh-CN"/>
              </w:rPr>
              <w:t xml:space="preserve">. </w:t>
            </w:r>
          </w:p>
          <w:p w:rsidR="007F1E3E" w:rsidRPr="007F1E3E" w:rsidRDefault="006D2A11" w:rsidP="007F1E3E">
            <w:pPr>
              <w:pStyle w:val="Heading4"/>
              <w:numPr>
                <w:ilvl w:val="0"/>
                <w:numId w:val="9"/>
              </w:numPr>
              <w:spacing w:before="240" w:after="240"/>
              <w:rPr>
                <w:rFonts w:ascii="Verdana" w:hAnsi="Verdana"/>
                <w:sz w:val="22"/>
                <w:szCs w:val="22"/>
                <w:lang w:val="en-US"/>
              </w:rPr>
            </w:pPr>
            <w:r w:rsidRPr="007F1E3E">
              <w:rPr>
                <w:rFonts w:ascii="Verdana" w:hAnsi="Verdana" w:cs="Arial Mäori"/>
                <w:sz w:val="22"/>
                <w:szCs w:val="22"/>
                <w:lang w:val="en-NZ" w:eastAsia="zh-CN"/>
              </w:rPr>
              <w:t>The Ministry funds district health boards to procure mental health services to meet the needs of their population</w:t>
            </w:r>
            <w:r w:rsidR="007F1E3E">
              <w:rPr>
                <w:rFonts w:ascii="Verdana" w:hAnsi="Verdana" w:cs="Arial Mäori"/>
                <w:sz w:val="22"/>
                <w:szCs w:val="22"/>
                <w:lang w:val="en-NZ" w:eastAsia="zh-CN"/>
              </w:rPr>
              <w:t>. T</w:t>
            </w:r>
            <w:r w:rsidRPr="007F1E3E">
              <w:rPr>
                <w:rFonts w:ascii="Verdana" w:hAnsi="Verdana" w:cs="Arial Mäori"/>
                <w:sz w:val="22"/>
                <w:szCs w:val="22"/>
                <w:lang w:val="en-NZ" w:eastAsia="zh-CN"/>
              </w:rPr>
              <w:t xml:space="preserve">herefore acute beds may vary from time to time. </w:t>
            </w:r>
          </w:p>
          <w:p w:rsidR="006D2A11" w:rsidRPr="007F1E3E" w:rsidRDefault="006D2A11" w:rsidP="007F1E3E">
            <w:pPr>
              <w:pStyle w:val="Heading4"/>
              <w:numPr>
                <w:ilvl w:val="0"/>
                <w:numId w:val="9"/>
              </w:numPr>
              <w:spacing w:before="240" w:after="240"/>
              <w:rPr>
                <w:rFonts w:ascii="Verdana" w:hAnsi="Verdana"/>
                <w:sz w:val="22"/>
                <w:szCs w:val="22"/>
                <w:lang w:val="en-US"/>
              </w:rPr>
            </w:pPr>
            <w:r w:rsidRPr="007F1E3E">
              <w:rPr>
                <w:rFonts w:ascii="Verdana" w:hAnsi="Verdana" w:cs="Arial Mäori"/>
                <w:sz w:val="22"/>
                <w:szCs w:val="22"/>
                <w:lang w:val="en-NZ" w:eastAsia="zh-CN"/>
              </w:rPr>
              <w:t>The Ministry does routinely collect data on mental health inpati</w:t>
            </w:r>
            <w:r w:rsidR="007F1E3E">
              <w:rPr>
                <w:rFonts w:ascii="Verdana" w:hAnsi="Verdana" w:cs="Arial Mäori"/>
                <w:sz w:val="22"/>
                <w:szCs w:val="22"/>
                <w:lang w:val="en-NZ" w:eastAsia="zh-CN"/>
              </w:rPr>
              <w:t xml:space="preserve">ent admissions and bed nights. </w:t>
            </w:r>
            <w:r w:rsidRPr="007F1E3E">
              <w:rPr>
                <w:rFonts w:ascii="Verdana" w:hAnsi="Verdana" w:cs="Arial Mäori"/>
                <w:sz w:val="22"/>
                <w:szCs w:val="22"/>
                <w:lang w:val="en-NZ" w:eastAsia="zh-CN"/>
              </w:rPr>
              <w:t>Betw</w:t>
            </w:r>
            <w:r w:rsidRPr="007F1E3E">
              <w:rPr>
                <w:rFonts w:ascii="Verdana" w:hAnsi="Verdana" w:cs="Georgia"/>
                <w:sz w:val="22"/>
                <w:szCs w:val="22"/>
                <w:lang w:val="en-NZ" w:eastAsia="zh-CN"/>
              </w:rPr>
              <w:t>een 1 January and 31 December 2015, New Zealand adult mental health services (excluding forensic and other regional rehabilitation services) accommodated 7,545 people fo</w:t>
            </w:r>
            <w:r w:rsidR="007F1E3E">
              <w:rPr>
                <w:rFonts w:ascii="Verdana" w:hAnsi="Verdana" w:cs="Georgia"/>
                <w:sz w:val="22"/>
                <w:szCs w:val="22"/>
                <w:lang w:val="en-NZ" w:eastAsia="zh-CN"/>
              </w:rPr>
              <w:t>r a total of 198,525 bed nights. For more information, please visit</w:t>
            </w:r>
            <w:r w:rsidRPr="007F1E3E">
              <w:rPr>
                <w:rFonts w:ascii="Verdana" w:hAnsi="Verdana" w:cs="Arial"/>
                <w:sz w:val="22"/>
                <w:szCs w:val="22"/>
              </w:rPr>
              <w:t xml:space="preserve"> </w:t>
            </w:r>
            <w:hyperlink r:id="rId33" w:history="1">
              <w:r w:rsidRPr="007F1E3E">
                <w:rPr>
                  <w:rStyle w:val="Hyperlink"/>
                  <w:rFonts w:ascii="Verdana" w:hAnsi="Verdana" w:cs="Arial"/>
                  <w:sz w:val="22"/>
                  <w:szCs w:val="22"/>
                </w:rPr>
                <w:t>http://www.health.govt.nz/publication/office-director-mental-health-annual-report-2015</w:t>
              </w:r>
            </w:hyperlink>
            <w:r w:rsidRPr="007F1E3E">
              <w:rPr>
                <w:rFonts w:ascii="Verdana" w:hAnsi="Verdana" w:cs="Arial"/>
                <w:sz w:val="22"/>
                <w:szCs w:val="22"/>
              </w:rPr>
              <w:t>.</w:t>
            </w:r>
          </w:p>
        </w:tc>
      </w:tr>
      <w:tr w:rsidR="004E0314" w:rsidRPr="00EE46E5" w:rsidTr="00DF50E6">
        <w:tc>
          <w:tcPr>
            <w:tcW w:w="15559" w:type="dxa"/>
            <w:shd w:val="clear" w:color="auto" w:fill="DBE5F1" w:themeFill="accent1" w:themeFillTint="33"/>
          </w:tcPr>
          <w:p w:rsidR="004E0314" w:rsidRPr="00EE46E5" w:rsidRDefault="004E0314" w:rsidP="007C47D5">
            <w:pPr>
              <w:pStyle w:val="ListParagraph"/>
              <w:numPr>
                <w:ilvl w:val="1"/>
                <w:numId w:val="5"/>
              </w:numPr>
              <w:spacing w:before="240" w:after="240"/>
              <w:rPr>
                <w:rFonts w:ascii="Verdana" w:hAnsi="Verdana"/>
                <w:sz w:val="22"/>
                <w:szCs w:val="22"/>
              </w:rPr>
            </w:pPr>
            <w:r w:rsidRPr="00EE46E5">
              <w:rPr>
                <w:rFonts w:ascii="Verdana" w:hAnsi="Verdana"/>
                <w:sz w:val="22"/>
                <w:szCs w:val="22"/>
              </w:rPr>
              <w:t>Average days a person spends under involuntary admission at mental health facilities;</w:t>
            </w:r>
          </w:p>
        </w:tc>
      </w:tr>
      <w:tr w:rsidR="004E0314" w:rsidRPr="00EE46E5" w:rsidTr="00DF50E6">
        <w:tc>
          <w:tcPr>
            <w:tcW w:w="15559" w:type="dxa"/>
            <w:shd w:val="clear" w:color="auto" w:fill="FFFFFF" w:themeFill="background1"/>
          </w:tcPr>
          <w:p w:rsidR="004E0314" w:rsidRPr="007F1E3E" w:rsidRDefault="006D2A11" w:rsidP="006D2A11">
            <w:pPr>
              <w:spacing w:before="240" w:after="240"/>
              <w:jc w:val="both"/>
              <w:rPr>
                <w:rFonts w:ascii="Verdana" w:hAnsi="Verdana"/>
                <w:b/>
                <w:sz w:val="22"/>
                <w:szCs w:val="22"/>
              </w:rPr>
            </w:pPr>
            <w:r w:rsidRPr="007F1E3E">
              <w:rPr>
                <w:rFonts w:ascii="Verdana" w:hAnsi="Verdana"/>
                <w:b/>
                <w:sz w:val="22"/>
                <w:szCs w:val="22"/>
              </w:rPr>
              <w:t>Ministry of Health</w:t>
            </w:r>
          </w:p>
          <w:p w:rsidR="007F1E3E" w:rsidRDefault="007F1E3E" w:rsidP="007F1E3E">
            <w:pPr>
              <w:pStyle w:val="Heading4"/>
              <w:numPr>
                <w:ilvl w:val="0"/>
                <w:numId w:val="9"/>
              </w:numPr>
              <w:spacing w:before="240" w:after="240"/>
              <w:rPr>
                <w:rFonts w:ascii="Verdana" w:hAnsi="Verdana"/>
                <w:sz w:val="22"/>
                <w:szCs w:val="22"/>
                <w:lang w:val="en-US"/>
              </w:rPr>
            </w:pPr>
            <w:r>
              <w:rPr>
                <w:rFonts w:ascii="Verdana" w:hAnsi="Verdana"/>
                <w:sz w:val="22"/>
                <w:szCs w:val="22"/>
                <w:lang w:val="en-US"/>
              </w:rPr>
              <w:t xml:space="preserve">Between 2009 and 2013: </w:t>
            </w:r>
          </w:p>
          <w:p w:rsidR="007F1E3E" w:rsidRDefault="007F1E3E" w:rsidP="007F1E3E">
            <w:pPr>
              <w:pStyle w:val="Heading4"/>
              <w:numPr>
                <w:ilvl w:val="0"/>
                <w:numId w:val="23"/>
              </w:numPr>
              <w:spacing w:before="240" w:after="240"/>
              <w:ind w:left="1701"/>
              <w:rPr>
                <w:rFonts w:ascii="Verdana" w:hAnsi="Verdana"/>
                <w:sz w:val="22"/>
                <w:szCs w:val="22"/>
                <w:lang w:val="en-US"/>
              </w:rPr>
            </w:pPr>
            <w:proofErr w:type="gramStart"/>
            <w:r>
              <w:rPr>
                <w:rFonts w:ascii="Verdana" w:hAnsi="Verdana"/>
                <w:sz w:val="22"/>
                <w:szCs w:val="22"/>
                <w:lang w:val="en-US"/>
              </w:rPr>
              <w:t>approximately</w:t>
            </w:r>
            <w:proofErr w:type="gramEnd"/>
            <w:r>
              <w:rPr>
                <w:rFonts w:ascii="Verdana" w:hAnsi="Verdana"/>
                <w:sz w:val="22"/>
                <w:szCs w:val="22"/>
                <w:lang w:val="en-US"/>
              </w:rPr>
              <w:t xml:space="preserve"> 72 percent of patients subject to community treatment orders were subject to a compulsory order for less than one year</w:t>
            </w:r>
          </w:p>
          <w:p w:rsidR="007F1E3E" w:rsidRDefault="007F1E3E" w:rsidP="007F1E3E">
            <w:pPr>
              <w:pStyle w:val="Heading4"/>
              <w:numPr>
                <w:ilvl w:val="0"/>
                <w:numId w:val="23"/>
              </w:numPr>
              <w:spacing w:before="240" w:after="240"/>
              <w:ind w:left="1701"/>
              <w:rPr>
                <w:rFonts w:ascii="Verdana" w:hAnsi="Verdana"/>
                <w:sz w:val="22"/>
                <w:szCs w:val="22"/>
                <w:lang w:val="en-US"/>
              </w:rPr>
            </w:pPr>
            <w:proofErr w:type="gramStart"/>
            <w:r>
              <w:rPr>
                <w:rFonts w:ascii="Verdana" w:hAnsi="Verdana"/>
                <w:sz w:val="22"/>
                <w:szCs w:val="22"/>
                <w:lang w:val="en-US"/>
              </w:rPr>
              <w:t>approximately</w:t>
            </w:r>
            <w:proofErr w:type="gramEnd"/>
            <w:r>
              <w:rPr>
                <w:rFonts w:ascii="Verdana" w:hAnsi="Verdana"/>
                <w:sz w:val="22"/>
                <w:szCs w:val="22"/>
                <w:lang w:val="en-US"/>
              </w:rPr>
              <w:t xml:space="preserve"> 93 percent of patients subject to inpatient orders were subject to a compulsory order for less than one year</w:t>
            </w:r>
          </w:p>
          <w:p w:rsidR="006D2A11" w:rsidRPr="007F1E3E" w:rsidRDefault="007F1E3E" w:rsidP="007F1E3E">
            <w:pPr>
              <w:pStyle w:val="Heading4"/>
              <w:numPr>
                <w:ilvl w:val="0"/>
                <w:numId w:val="9"/>
              </w:numPr>
              <w:spacing w:before="240" w:after="240"/>
              <w:rPr>
                <w:rFonts w:ascii="Verdana" w:hAnsi="Verdana"/>
                <w:sz w:val="22"/>
                <w:szCs w:val="22"/>
                <w:lang w:val="en-US"/>
              </w:rPr>
            </w:pPr>
            <w:r>
              <w:rPr>
                <w:rFonts w:ascii="Verdana" w:hAnsi="Verdana"/>
                <w:sz w:val="22"/>
                <w:szCs w:val="22"/>
                <w:lang w:val="en-US"/>
              </w:rPr>
              <w:t xml:space="preserve">For more information, please visit </w:t>
            </w:r>
            <w:hyperlink r:id="rId34" w:history="1">
              <w:r w:rsidR="006D2A11" w:rsidRPr="007F1E3E">
                <w:rPr>
                  <w:rStyle w:val="Hyperlink"/>
                  <w:rFonts w:ascii="Verdana" w:hAnsi="Verdana" w:cs="Arial"/>
                  <w:sz w:val="22"/>
                  <w:szCs w:val="22"/>
                </w:rPr>
                <w:t>http://www.health.govt.nz/publication/office-director-mental-health-annual-report-2015</w:t>
              </w:r>
            </w:hyperlink>
            <w:r w:rsidRPr="007F1E3E">
              <w:rPr>
                <w:rFonts w:ascii="Verdana" w:hAnsi="Verdana" w:cs="Arial"/>
                <w:sz w:val="22"/>
                <w:szCs w:val="22"/>
              </w:rPr>
              <w:t>.</w:t>
            </w:r>
          </w:p>
        </w:tc>
      </w:tr>
      <w:tr w:rsidR="004E0314" w:rsidRPr="00EE46E5" w:rsidTr="00DF50E6">
        <w:tc>
          <w:tcPr>
            <w:tcW w:w="15559" w:type="dxa"/>
            <w:shd w:val="clear" w:color="auto" w:fill="DBE5F1" w:themeFill="accent1" w:themeFillTint="33"/>
          </w:tcPr>
          <w:p w:rsidR="004E0314" w:rsidRPr="00EE46E5" w:rsidRDefault="004E0314" w:rsidP="007C47D5">
            <w:pPr>
              <w:pStyle w:val="ListParagraph"/>
              <w:numPr>
                <w:ilvl w:val="1"/>
                <w:numId w:val="5"/>
              </w:numPr>
              <w:spacing w:before="240" w:after="240"/>
              <w:rPr>
                <w:rFonts w:ascii="Verdana" w:hAnsi="Verdana"/>
                <w:sz w:val="22"/>
                <w:szCs w:val="22"/>
              </w:rPr>
            </w:pPr>
            <w:r w:rsidRPr="00EE46E5">
              <w:rPr>
                <w:rFonts w:ascii="Verdana" w:hAnsi="Verdana"/>
                <w:sz w:val="22"/>
                <w:szCs w:val="22"/>
              </w:rPr>
              <w:t>Persons who have been declared unfit to stand trial or unfit to plead;</w:t>
            </w:r>
          </w:p>
        </w:tc>
      </w:tr>
      <w:tr w:rsidR="004E0314" w:rsidRPr="00EE46E5" w:rsidTr="00DF50E6">
        <w:tc>
          <w:tcPr>
            <w:tcW w:w="15559" w:type="dxa"/>
            <w:shd w:val="clear" w:color="auto" w:fill="FFFFFF" w:themeFill="background1"/>
          </w:tcPr>
          <w:p w:rsidR="004E0314" w:rsidRPr="00EE46E5" w:rsidRDefault="004E0314" w:rsidP="007F1E3E">
            <w:pPr>
              <w:pStyle w:val="ListParagraph"/>
              <w:numPr>
                <w:ilvl w:val="0"/>
                <w:numId w:val="2"/>
              </w:numPr>
              <w:spacing w:before="240" w:after="240"/>
              <w:jc w:val="both"/>
              <w:rPr>
                <w:rFonts w:ascii="Verdana" w:hAnsi="Verdana"/>
                <w:sz w:val="22"/>
                <w:szCs w:val="22"/>
              </w:rPr>
            </w:pPr>
            <w:r>
              <w:rPr>
                <w:rFonts w:ascii="Verdana" w:hAnsi="Verdana"/>
                <w:sz w:val="22"/>
                <w:szCs w:val="22"/>
              </w:rPr>
              <w:t xml:space="preserve">In the time available we were not able to gather </w:t>
            </w:r>
            <w:r w:rsidR="007F1E3E">
              <w:rPr>
                <w:rFonts w:ascii="Verdana" w:hAnsi="Verdana"/>
                <w:sz w:val="22"/>
                <w:szCs w:val="22"/>
              </w:rPr>
              <w:t>information</w:t>
            </w:r>
            <w:r>
              <w:rPr>
                <w:rFonts w:ascii="Verdana" w:hAnsi="Verdana"/>
                <w:sz w:val="22"/>
                <w:szCs w:val="22"/>
              </w:rPr>
              <w:t xml:space="preserve"> in order to answer this question. For more information, please visit </w:t>
            </w:r>
            <w:hyperlink r:id="rId35" w:history="1">
              <w:r w:rsidRPr="001F7109">
                <w:rPr>
                  <w:rStyle w:val="Hyperlink"/>
                  <w:rFonts w:ascii="Verdana" w:hAnsi="Verdana"/>
                  <w:sz w:val="22"/>
                  <w:szCs w:val="22"/>
                </w:rPr>
                <w:t>https://www.justice.govt.nz/</w:t>
              </w:r>
            </w:hyperlink>
            <w:r>
              <w:rPr>
                <w:rFonts w:ascii="Verdana" w:hAnsi="Verdana"/>
                <w:sz w:val="22"/>
                <w:szCs w:val="22"/>
              </w:rPr>
              <w:t xml:space="preserve">. </w:t>
            </w:r>
          </w:p>
        </w:tc>
      </w:tr>
      <w:tr w:rsidR="004E0314" w:rsidRPr="00EE46E5" w:rsidTr="00DF50E6">
        <w:tc>
          <w:tcPr>
            <w:tcW w:w="15559" w:type="dxa"/>
            <w:shd w:val="clear" w:color="auto" w:fill="DBE5F1" w:themeFill="accent1" w:themeFillTint="33"/>
          </w:tcPr>
          <w:p w:rsidR="004E0314" w:rsidRPr="00EE46E5" w:rsidRDefault="004E0314" w:rsidP="007C47D5">
            <w:pPr>
              <w:pStyle w:val="ListParagraph"/>
              <w:numPr>
                <w:ilvl w:val="1"/>
                <w:numId w:val="5"/>
              </w:numPr>
              <w:spacing w:before="240" w:after="240"/>
              <w:rPr>
                <w:rFonts w:ascii="Verdana" w:hAnsi="Verdana"/>
                <w:sz w:val="22"/>
                <w:szCs w:val="22"/>
              </w:rPr>
            </w:pPr>
            <w:r w:rsidRPr="00EE46E5">
              <w:rPr>
                <w:rFonts w:ascii="Verdana" w:hAnsi="Verdana"/>
                <w:sz w:val="22"/>
                <w:szCs w:val="22"/>
              </w:rPr>
              <w:t>Persons who have been found not to be criminally responsible;</w:t>
            </w:r>
          </w:p>
        </w:tc>
      </w:tr>
      <w:tr w:rsidR="004E0314" w:rsidRPr="00EE46E5" w:rsidTr="00DF50E6">
        <w:tc>
          <w:tcPr>
            <w:tcW w:w="15559" w:type="dxa"/>
            <w:shd w:val="clear" w:color="auto" w:fill="FFFFFF" w:themeFill="background1"/>
          </w:tcPr>
          <w:p w:rsidR="004E0314" w:rsidRPr="007C1118" w:rsidRDefault="004E0314" w:rsidP="00C84A18">
            <w:pPr>
              <w:spacing w:before="240" w:after="240"/>
              <w:jc w:val="both"/>
              <w:rPr>
                <w:rFonts w:ascii="Verdana" w:hAnsi="Verdana"/>
                <w:b/>
                <w:sz w:val="22"/>
                <w:szCs w:val="22"/>
              </w:rPr>
            </w:pPr>
            <w:r w:rsidRPr="007C1118">
              <w:rPr>
                <w:rFonts w:ascii="Verdana" w:hAnsi="Verdana"/>
                <w:b/>
                <w:sz w:val="22"/>
                <w:szCs w:val="22"/>
              </w:rPr>
              <w:t>Ministry of Justice</w:t>
            </w:r>
          </w:p>
          <w:p w:rsidR="004E0314" w:rsidRPr="00C84A18" w:rsidRDefault="004E0314" w:rsidP="007C47D5">
            <w:pPr>
              <w:pStyle w:val="ListParagraph"/>
              <w:numPr>
                <w:ilvl w:val="0"/>
                <w:numId w:val="7"/>
              </w:numPr>
              <w:spacing w:before="240" w:after="240"/>
              <w:jc w:val="both"/>
              <w:rPr>
                <w:rFonts w:ascii="Verdana" w:hAnsi="Verdana"/>
                <w:sz w:val="22"/>
                <w:szCs w:val="22"/>
              </w:rPr>
            </w:pPr>
            <w:r>
              <w:rPr>
                <w:rFonts w:ascii="Verdana" w:hAnsi="Verdana"/>
                <w:sz w:val="22"/>
                <w:szCs w:val="22"/>
              </w:rPr>
              <w:t>Number of people found not guilty by reason of insanity, 1995 – 2016:</w:t>
            </w:r>
          </w:p>
          <w:tbl>
            <w:tblPr>
              <w:tblW w:w="10120" w:type="dxa"/>
              <w:tblLook w:val="04A0" w:firstRow="1" w:lastRow="0" w:firstColumn="1" w:lastColumn="0" w:noHBand="0" w:noVBand="1"/>
            </w:tblPr>
            <w:tblGrid>
              <w:gridCol w:w="1024"/>
              <w:gridCol w:w="1024"/>
              <w:gridCol w:w="1024"/>
              <w:gridCol w:w="1024"/>
              <w:gridCol w:w="1024"/>
              <w:gridCol w:w="1024"/>
              <w:gridCol w:w="1024"/>
              <w:gridCol w:w="1024"/>
              <w:gridCol w:w="1024"/>
              <w:gridCol w:w="1024"/>
              <w:gridCol w:w="1024"/>
            </w:tblGrid>
            <w:tr w:rsidR="004E0314" w:rsidTr="00C84A18">
              <w:trPr>
                <w:trHeight w:val="285"/>
              </w:trPr>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1995/1996</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1996/1997</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1997/1998</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1998/1999</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1999/2000</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2000/2001</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2001/2002</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2002/2003</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2003/2004</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2004/2005</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2005/2006</w:t>
                  </w:r>
                </w:p>
              </w:tc>
            </w:tr>
            <w:tr w:rsidR="004E0314" w:rsidTr="00C84A18">
              <w:trPr>
                <w:trHeight w:val="285"/>
              </w:trPr>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5</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2</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5</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7</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3</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6</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11</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7</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12</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14</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17</w:t>
                  </w:r>
                </w:p>
              </w:tc>
            </w:tr>
          </w:tbl>
          <w:p w:rsidR="004E0314" w:rsidRDefault="004E0314" w:rsidP="00C84A18">
            <w:pPr>
              <w:spacing w:before="240" w:after="240"/>
              <w:jc w:val="both"/>
              <w:rPr>
                <w:rFonts w:ascii="Verdana" w:hAnsi="Verdana"/>
                <w:sz w:val="22"/>
                <w:szCs w:val="22"/>
              </w:rPr>
            </w:pPr>
          </w:p>
          <w:tbl>
            <w:tblPr>
              <w:tblW w:w="9360" w:type="dxa"/>
              <w:tblLook w:val="04A0" w:firstRow="1" w:lastRow="0" w:firstColumn="1" w:lastColumn="0" w:noHBand="0" w:noVBand="1"/>
            </w:tblPr>
            <w:tblGrid>
              <w:gridCol w:w="1024"/>
              <w:gridCol w:w="1024"/>
              <w:gridCol w:w="1024"/>
              <w:gridCol w:w="1024"/>
              <w:gridCol w:w="1024"/>
              <w:gridCol w:w="1024"/>
              <w:gridCol w:w="1024"/>
              <w:gridCol w:w="1024"/>
              <w:gridCol w:w="1024"/>
              <w:gridCol w:w="1080"/>
            </w:tblGrid>
            <w:tr w:rsidR="004E0314" w:rsidTr="00C84A18">
              <w:trPr>
                <w:trHeight w:val="285"/>
              </w:trPr>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2006/2007</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2007/2008</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2008/2009</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2009/2010</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2010/2011</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2011/2012</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2012/2013</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2013/2014</w:t>
                  </w:r>
                </w:p>
              </w:tc>
              <w:tc>
                <w:tcPr>
                  <w:tcW w:w="92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2014/2015</w:t>
                  </w:r>
                </w:p>
              </w:tc>
              <w:tc>
                <w:tcPr>
                  <w:tcW w:w="1080" w:type="dxa"/>
                  <w:shd w:val="clear" w:color="auto" w:fill="0087C0"/>
                  <w:noWrap/>
                  <w:hideMark/>
                </w:tcPr>
                <w:p w:rsidR="004E0314" w:rsidRDefault="004E0314">
                  <w:pPr>
                    <w:jc w:val="right"/>
                    <w:rPr>
                      <w:rFonts w:ascii="Calibri" w:hAnsi="Calibri" w:cs="Arial"/>
                      <w:b/>
                      <w:bCs/>
                      <w:color w:val="FFFFFF"/>
                      <w:sz w:val="18"/>
                      <w:szCs w:val="18"/>
                      <w:lang w:val="en-NZ" w:eastAsia="en-NZ"/>
                    </w:rPr>
                  </w:pPr>
                  <w:r>
                    <w:rPr>
                      <w:rFonts w:ascii="Calibri" w:hAnsi="Calibri" w:cs="Arial"/>
                      <w:b/>
                      <w:bCs/>
                      <w:color w:val="FFFFFF"/>
                      <w:sz w:val="18"/>
                      <w:szCs w:val="18"/>
                      <w:lang w:val="en-NZ" w:eastAsia="en-NZ"/>
                    </w:rPr>
                    <w:t>2015/2016</w:t>
                  </w:r>
                </w:p>
              </w:tc>
            </w:tr>
            <w:tr w:rsidR="004E0314" w:rsidTr="00C84A18">
              <w:trPr>
                <w:trHeight w:val="285"/>
              </w:trPr>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9</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17</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15</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12</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14</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21</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20</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22</w:t>
                  </w:r>
                </w:p>
              </w:tc>
              <w:tc>
                <w:tcPr>
                  <w:tcW w:w="92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27</w:t>
                  </w:r>
                </w:p>
              </w:tc>
              <w:tc>
                <w:tcPr>
                  <w:tcW w:w="1080" w:type="dxa"/>
                  <w:tcBorders>
                    <w:top w:val="single" w:sz="4" w:space="0" w:color="A6A6A6"/>
                    <w:left w:val="nil"/>
                    <w:bottom w:val="single" w:sz="4" w:space="0" w:color="263E78"/>
                    <w:right w:val="nil"/>
                  </w:tcBorders>
                  <w:noWrap/>
                  <w:hideMark/>
                </w:tcPr>
                <w:p w:rsidR="004E0314" w:rsidRDefault="004E0314">
                  <w:pPr>
                    <w:jc w:val="right"/>
                    <w:rPr>
                      <w:rFonts w:ascii="Calibri" w:hAnsi="Calibri" w:cs="Arial"/>
                      <w:b/>
                      <w:bCs/>
                      <w:color w:val="000000"/>
                      <w:sz w:val="18"/>
                      <w:szCs w:val="18"/>
                      <w:lang w:val="en-NZ" w:eastAsia="en-NZ"/>
                    </w:rPr>
                  </w:pPr>
                  <w:r>
                    <w:rPr>
                      <w:rFonts w:ascii="Calibri" w:hAnsi="Calibri" w:cs="Arial"/>
                      <w:b/>
                      <w:bCs/>
                      <w:color w:val="000000"/>
                      <w:sz w:val="18"/>
                      <w:szCs w:val="18"/>
                      <w:lang w:val="en-NZ" w:eastAsia="en-NZ"/>
                    </w:rPr>
                    <w:t>25</w:t>
                  </w:r>
                </w:p>
              </w:tc>
            </w:tr>
          </w:tbl>
          <w:p w:rsidR="004E0314" w:rsidRPr="00C84A18" w:rsidRDefault="004E0314" w:rsidP="00C84A18">
            <w:pPr>
              <w:spacing w:before="240" w:after="240"/>
              <w:jc w:val="both"/>
              <w:rPr>
                <w:rFonts w:ascii="Verdana" w:hAnsi="Verdana"/>
                <w:sz w:val="22"/>
                <w:szCs w:val="22"/>
              </w:rPr>
            </w:pPr>
          </w:p>
        </w:tc>
      </w:tr>
      <w:tr w:rsidR="004E0314" w:rsidRPr="00EE46E5" w:rsidTr="00DF50E6">
        <w:tc>
          <w:tcPr>
            <w:tcW w:w="15559" w:type="dxa"/>
            <w:shd w:val="clear" w:color="auto" w:fill="DBE5F1" w:themeFill="accent1" w:themeFillTint="33"/>
          </w:tcPr>
          <w:p w:rsidR="004E0314" w:rsidRPr="004E3CC8" w:rsidRDefault="004E0314" w:rsidP="007C47D5">
            <w:pPr>
              <w:pStyle w:val="ListParagraph"/>
              <w:numPr>
                <w:ilvl w:val="1"/>
                <w:numId w:val="5"/>
              </w:numPr>
              <w:spacing w:before="240" w:after="240"/>
              <w:rPr>
                <w:rFonts w:ascii="Verdana" w:hAnsi="Verdana"/>
                <w:sz w:val="22"/>
                <w:szCs w:val="22"/>
              </w:rPr>
            </w:pPr>
            <w:r w:rsidRPr="00EE46E5">
              <w:rPr>
                <w:rFonts w:ascii="Verdana" w:hAnsi="Verdana"/>
                <w:sz w:val="22"/>
                <w:szCs w:val="22"/>
              </w:rPr>
              <w:t xml:space="preserve">Institutions where persons who have been declared unfit to plead, stand trial or found to be not criminally responsible are placed and number of inmates; </w:t>
            </w:r>
          </w:p>
        </w:tc>
      </w:tr>
      <w:tr w:rsidR="004E0314" w:rsidRPr="00EE46E5" w:rsidTr="00DF50E6">
        <w:tc>
          <w:tcPr>
            <w:tcW w:w="15559" w:type="dxa"/>
            <w:shd w:val="clear" w:color="auto" w:fill="FFFFFF" w:themeFill="background1"/>
          </w:tcPr>
          <w:p w:rsidR="004E0314" w:rsidRPr="007F1E3E" w:rsidRDefault="006D2A11" w:rsidP="006D2A11">
            <w:pPr>
              <w:spacing w:before="240" w:after="240"/>
              <w:jc w:val="both"/>
              <w:rPr>
                <w:rFonts w:ascii="Verdana" w:hAnsi="Verdana"/>
                <w:b/>
                <w:sz w:val="22"/>
                <w:szCs w:val="22"/>
              </w:rPr>
            </w:pPr>
            <w:r w:rsidRPr="007F1E3E">
              <w:rPr>
                <w:rFonts w:ascii="Verdana" w:hAnsi="Verdana"/>
                <w:b/>
                <w:sz w:val="22"/>
                <w:szCs w:val="22"/>
              </w:rPr>
              <w:t>Ministry of Health</w:t>
            </w:r>
          </w:p>
          <w:p w:rsidR="00DF208A" w:rsidRPr="00DF208A" w:rsidRDefault="006D2A11" w:rsidP="007F1E3E">
            <w:pPr>
              <w:pStyle w:val="Heading4"/>
              <w:numPr>
                <w:ilvl w:val="0"/>
                <w:numId w:val="9"/>
              </w:numPr>
              <w:spacing w:before="240" w:after="240"/>
              <w:rPr>
                <w:rFonts w:ascii="Verdana" w:hAnsi="Verdana"/>
                <w:sz w:val="22"/>
                <w:szCs w:val="22"/>
                <w:lang w:val="en-US"/>
              </w:rPr>
            </w:pPr>
            <w:r w:rsidRPr="007F1E3E">
              <w:rPr>
                <w:rFonts w:ascii="Verdana" w:hAnsi="Verdana" w:cs="Arial"/>
                <w:sz w:val="22"/>
                <w:szCs w:val="22"/>
              </w:rPr>
              <w:t>There are five forensic mental health services throughout New Zealand, e</w:t>
            </w:r>
            <w:r w:rsidR="00DF208A">
              <w:rPr>
                <w:rFonts w:ascii="Verdana" w:hAnsi="Verdana" w:cs="Arial"/>
                <w:sz w:val="22"/>
                <w:szCs w:val="22"/>
              </w:rPr>
              <w:t xml:space="preserve">ach of which provides inpatient </w:t>
            </w:r>
            <w:r w:rsidRPr="007F1E3E">
              <w:rPr>
                <w:rFonts w:ascii="Verdana" w:hAnsi="Verdana" w:cs="Arial"/>
                <w:sz w:val="22"/>
                <w:szCs w:val="22"/>
              </w:rPr>
              <w:t xml:space="preserve">and community services, prison liaison services and court liaison services. </w:t>
            </w:r>
          </w:p>
          <w:p w:rsidR="006D2A11" w:rsidRPr="007F1E3E" w:rsidRDefault="006D2A11" w:rsidP="007F1E3E">
            <w:pPr>
              <w:pStyle w:val="Heading4"/>
              <w:numPr>
                <w:ilvl w:val="0"/>
                <w:numId w:val="9"/>
              </w:numPr>
              <w:spacing w:before="240" w:after="240"/>
              <w:rPr>
                <w:rFonts w:ascii="Verdana" w:hAnsi="Verdana"/>
                <w:sz w:val="22"/>
                <w:szCs w:val="22"/>
                <w:lang w:val="en-US"/>
              </w:rPr>
            </w:pPr>
            <w:r w:rsidRPr="007F1E3E">
              <w:rPr>
                <w:rFonts w:ascii="Verdana" w:hAnsi="Verdana" w:cs="Arial"/>
                <w:sz w:val="22"/>
                <w:szCs w:val="22"/>
              </w:rPr>
              <w:t>Approximately 284 beds are provided across the five forensic mental health services.</w:t>
            </w:r>
          </w:p>
        </w:tc>
      </w:tr>
      <w:tr w:rsidR="004E0314" w:rsidRPr="00EE46E5" w:rsidTr="00DF50E6">
        <w:tc>
          <w:tcPr>
            <w:tcW w:w="15559" w:type="dxa"/>
            <w:shd w:val="clear" w:color="auto" w:fill="DBE5F1" w:themeFill="accent1" w:themeFillTint="33"/>
          </w:tcPr>
          <w:p w:rsidR="004E0314" w:rsidRPr="00EE46E5" w:rsidRDefault="004E0314" w:rsidP="007C47D5">
            <w:pPr>
              <w:pStyle w:val="ListParagraph"/>
              <w:numPr>
                <w:ilvl w:val="1"/>
                <w:numId w:val="5"/>
              </w:numPr>
              <w:spacing w:before="240" w:after="240"/>
              <w:rPr>
                <w:rFonts w:ascii="Verdana" w:hAnsi="Verdana"/>
                <w:sz w:val="22"/>
                <w:szCs w:val="22"/>
              </w:rPr>
            </w:pPr>
            <w:r w:rsidRPr="00EE46E5">
              <w:rPr>
                <w:rFonts w:ascii="Verdana" w:hAnsi="Verdana"/>
                <w:sz w:val="22"/>
                <w:szCs w:val="22"/>
              </w:rPr>
              <w:t>Security or preventive measures applied in the criminal justice context.</w:t>
            </w:r>
          </w:p>
        </w:tc>
      </w:tr>
      <w:tr w:rsidR="004E0314" w:rsidRPr="00EE46E5" w:rsidTr="00DF50E6">
        <w:tc>
          <w:tcPr>
            <w:tcW w:w="15559" w:type="dxa"/>
            <w:shd w:val="clear" w:color="auto" w:fill="FFFFFF" w:themeFill="background1"/>
          </w:tcPr>
          <w:p w:rsidR="004E0314" w:rsidRPr="00EE46E5" w:rsidRDefault="004E0314" w:rsidP="007C47D5">
            <w:pPr>
              <w:pStyle w:val="ListParagraph"/>
              <w:numPr>
                <w:ilvl w:val="0"/>
                <w:numId w:val="2"/>
              </w:numPr>
              <w:spacing w:before="240" w:after="240"/>
              <w:jc w:val="both"/>
              <w:rPr>
                <w:rFonts w:ascii="Verdana" w:hAnsi="Verdana"/>
                <w:sz w:val="22"/>
                <w:szCs w:val="22"/>
              </w:rPr>
            </w:pPr>
            <w:r>
              <w:rPr>
                <w:rFonts w:ascii="Verdana" w:hAnsi="Verdana"/>
                <w:sz w:val="22"/>
                <w:szCs w:val="22"/>
              </w:rPr>
              <w:t xml:space="preserve">In the time available we were not able to gather the data in order to answer this question. For more information, please visit </w:t>
            </w:r>
            <w:hyperlink r:id="rId36" w:history="1">
              <w:r w:rsidRPr="001F7109">
                <w:rPr>
                  <w:rStyle w:val="Hyperlink"/>
                  <w:rFonts w:ascii="Verdana" w:hAnsi="Verdana"/>
                  <w:sz w:val="22"/>
                  <w:szCs w:val="22"/>
                </w:rPr>
                <w:t>https://www.justice.govt.nz/</w:t>
              </w:r>
            </w:hyperlink>
            <w:r>
              <w:rPr>
                <w:rFonts w:ascii="Verdana" w:hAnsi="Verdana"/>
                <w:sz w:val="22"/>
                <w:szCs w:val="22"/>
              </w:rPr>
              <w:t>.</w:t>
            </w:r>
          </w:p>
        </w:tc>
      </w:tr>
    </w:tbl>
    <w:p w:rsidR="00713D10" w:rsidRDefault="00713D10"/>
    <w:tbl>
      <w:tblPr>
        <w:tblStyle w:val="TableGrid"/>
        <w:tblW w:w="0" w:type="auto"/>
        <w:tblLook w:val="04A0" w:firstRow="1" w:lastRow="0" w:firstColumn="1" w:lastColumn="0" w:noHBand="0" w:noVBand="1"/>
      </w:tblPr>
      <w:tblGrid>
        <w:gridCol w:w="15559"/>
      </w:tblGrid>
      <w:tr w:rsidR="00DF50E6" w:rsidRPr="00EE46E5" w:rsidTr="00DF50E6">
        <w:tc>
          <w:tcPr>
            <w:tcW w:w="15559" w:type="dxa"/>
            <w:shd w:val="clear" w:color="auto" w:fill="B6DDE8" w:themeFill="accent5" w:themeFillTint="66"/>
          </w:tcPr>
          <w:p w:rsidR="00DF50E6" w:rsidRPr="00713D10" w:rsidRDefault="00DF50E6" w:rsidP="007C47D5">
            <w:pPr>
              <w:pStyle w:val="ListParagraph"/>
              <w:numPr>
                <w:ilvl w:val="0"/>
                <w:numId w:val="1"/>
              </w:numPr>
              <w:spacing w:before="240" w:after="240"/>
              <w:rPr>
                <w:rFonts w:ascii="Verdana" w:hAnsi="Verdana"/>
                <w:b/>
                <w:kern w:val="2"/>
                <w:sz w:val="22"/>
                <w:szCs w:val="22"/>
                <w:lang w:val="en-US"/>
              </w:rPr>
            </w:pPr>
            <w:r w:rsidRPr="00713D10">
              <w:rPr>
                <w:rFonts w:ascii="Verdana" w:hAnsi="Verdana"/>
                <w:b/>
                <w:kern w:val="2"/>
                <w:sz w:val="22"/>
                <w:szCs w:val="22"/>
                <w:lang w:val="en-US"/>
              </w:rPr>
              <w:t xml:space="preserve">Please provide information on jurisprudence, complaints or investigations in relation to abuses and violence against persons with disabilities at home. </w:t>
            </w:r>
          </w:p>
        </w:tc>
      </w:tr>
      <w:tr w:rsidR="00DF50E6" w:rsidRPr="00EE46E5" w:rsidTr="00DF50E6">
        <w:tc>
          <w:tcPr>
            <w:tcW w:w="15559" w:type="dxa"/>
            <w:shd w:val="clear" w:color="auto" w:fill="FFFFFF" w:themeFill="background1"/>
          </w:tcPr>
          <w:p w:rsidR="00DF50E6" w:rsidRPr="00DF208A" w:rsidRDefault="006D2A11" w:rsidP="006D2A11">
            <w:pPr>
              <w:spacing w:before="240" w:after="240"/>
              <w:jc w:val="both"/>
              <w:rPr>
                <w:rFonts w:ascii="Verdana" w:hAnsi="Verdana"/>
                <w:b/>
                <w:sz w:val="22"/>
                <w:szCs w:val="22"/>
              </w:rPr>
            </w:pPr>
            <w:r w:rsidRPr="00DF208A">
              <w:rPr>
                <w:rFonts w:ascii="Verdana" w:hAnsi="Verdana"/>
                <w:b/>
                <w:sz w:val="22"/>
                <w:szCs w:val="22"/>
              </w:rPr>
              <w:t>Ministry of Health</w:t>
            </w:r>
          </w:p>
          <w:p w:rsidR="006D2A11" w:rsidRDefault="006D2A11" w:rsidP="00DF208A">
            <w:pPr>
              <w:pStyle w:val="Heading4"/>
              <w:numPr>
                <w:ilvl w:val="0"/>
                <w:numId w:val="9"/>
              </w:numPr>
              <w:spacing w:before="240" w:after="240"/>
              <w:rPr>
                <w:rFonts w:ascii="Verdana" w:hAnsi="Verdana"/>
                <w:sz w:val="22"/>
                <w:szCs w:val="22"/>
              </w:rPr>
            </w:pPr>
            <w:r w:rsidRPr="00DF208A">
              <w:rPr>
                <w:rFonts w:ascii="Verdana" w:hAnsi="Verdana"/>
                <w:sz w:val="22"/>
                <w:szCs w:val="22"/>
              </w:rPr>
              <w:t>All health and disability services have processes for making a complaint.</w:t>
            </w:r>
          </w:p>
          <w:p w:rsidR="00DF208A" w:rsidRPr="00DF208A" w:rsidRDefault="006D2A11" w:rsidP="00DF208A">
            <w:pPr>
              <w:pStyle w:val="Heading4"/>
              <w:numPr>
                <w:ilvl w:val="0"/>
                <w:numId w:val="23"/>
              </w:numPr>
              <w:spacing w:before="240" w:after="240"/>
              <w:ind w:left="1701"/>
              <w:rPr>
                <w:rFonts w:ascii="Verdana" w:hAnsi="Verdana"/>
                <w:sz w:val="22"/>
                <w:szCs w:val="22"/>
                <w:lang w:val="en-US"/>
              </w:rPr>
            </w:pPr>
            <w:r w:rsidRPr="00DF208A">
              <w:rPr>
                <w:rFonts w:ascii="Verdana" w:hAnsi="Verdana"/>
                <w:sz w:val="22"/>
                <w:szCs w:val="22"/>
              </w:rPr>
              <w:t xml:space="preserve">Disability Support Services has its own </w:t>
            </w:r>
            <w:r w:rsidR="00DF208A">
              <w:rPr>
                <w:rFonts w:ascii="Verdana" w:hAnsi="Verdana"/>
                <w:sz w:val="22"/>
                <w:szCs w:val="22"/>
              </w:rPr>
              <w:t>complaints process. For more information, please visit</w:t>
            </w:r>
            <w:r w:rsidRPr="00DF208A">
              <w:rPr>
                <w:rFonts w:ascii="Verdana" w:hAnsi="Verdana"/>
                <w:sz w:val="22"/>
                <w:szCs w:val="22"/>
              </w:rPr>
              <w:t xml:space="preserve"> </w:t>
            </w:r>
            <w:hyperlink r:id="rId37" w:history="1">
              <w:r w:rsidR="00DF208A" w:rsidRPr="00B63EAE">
                <w:rPr>
                  <w:rStyle w:val="Hyperlink"/>
                  <w:rFonts w:ascii="Verdana" w:hAnsi="Verdana"/>
                  <w:sz w:val="22"/>
                  <w:szCs w:val="22"/>
                </w:rPr>
                <w:t>http://www.health.govt.nz/your-health/services-and-support/disability-services/more-information-disability-support/contact-disability-support-services</w:t>
              </w:r>
            </w:hyperlink>
            <w:r w:rsidR="00DF208A">
              <w:rPr>
                <w:rFonts w:ascii="Verdana" w:hAnsi="Verdana"/>
                <w:sz w:val="22"/>
                <w:szCs w:val="22"/>
              </w:rPr>
              <w:t>.</w:t>
            </w:r>
          </w:p>
          <w:p w:rsidR="006D2A11" w:rsidRPr="00DF208A" w:rsidRDefault="006D2A11" w:rsidP="00DF208A">
            <w:pPr>
              <w:pStyle w:val="Heading4"/>
              <w:numPr>
                <w:ilvl w:val="0"/>
                <w:numId w:val="23"/>
              </w:numPr>
              <w:spacing w:before="240" w:after="240"/>
              <w:ind w:left="1701"/>
              <w:rPr>
                <w:rFonts w:ascii="Verdana" w:hAnsi="Verdana"/>
                <w:sz w:val="22"/>
                <w:szCs w:val="22"/>
                <w:lang w:val="en-US"/>
              </w:rPr>
            </w:pPr>
            <w:r w:rsidRPr="00DF208A">
              <w:rPr>
                <w:rFonts w:ascii="Verdana" w:hAnsi="Verdana"/>
                <w:sz w:val="22"/>
                <w:szCs w:val="22"/>
              </w:rPr>
              <w:t>Family members or friends can help make a complaint through a Health and Disability Advocate</w:t>
            </w:r>
            <w:r w:rsidR="00DF208A">
              <w:rPr>
                <w:rFonts w:ascii="Verdana" w:hAnsi="Verdana"/>
                <w:sz w:val="22"/>
                <w:szCs w:val="22"/>
              </w:rPr>
              <w:t xml:space="preserve">. For more information, please visit </w:t>
            </w:r>
            <w:hyperlink r:id="rId38" w:history="1">
              <w:r w:rsidR="00DF208A" w:rsidRPr="00B63EAE">
                <w:rPr>
                  <w:rStyle w:val="Hyperlink"/>
                  <w:rFonts w:ascii="Verdana" w:hAnsi="Verdana"/>
                  <w:sz w:val="22"/>
                  <w:szCs w:val="22"/>
                </w:rPr>
                <w:t>http://advocacy.hdc.org.nz/</w:t>
              </w:r>
            </w:hyperlink>
            <w:r w:rsidR="00DF208A">
              <w:rPr>
                <w:rFonts w:ascii="Verdana" w:hAnsi="Verdana"/>
                <w:sz w:val="22"/>
                <w:szCs w:val="22"/>
              </w:rPr>
              <w:t xml:space="preserve">. </w:t>
            </w:r>
          </w:p>
          <w:p w:rsidR="006D2A11" w:rsidRDefault="006D2A11" w:rsidP="00DF208A">
            <w:pPr>
              <w:pStyle w:val="Heading4"/>
              <w:numPr>
                <w:ilvl w:val="0"/>
                <w:numId w:val="9"/>
              </w:numPr>
              <w:spacing w:before="240" w:after="240"/>
              <w:rPr>
                <w:rFonts w:ascii="Verdana" w:hAnsi="Verdana"/>
                <w:sz w:val="22"/>
                <w:szCs w:val="22"/>
              </w:rPr>
            </w:pPr>
            <w:r w:rsidRPr="00DF208A">
              <w:rPr>
                <w:rFonts w:ascii="Verdana" w:hAnsi="Verdana"/>
                <w:sz w:val="22"/>
                <w:szCs w:val="22"/>
              </w:rPr>
              <w:t>Key disability investigations:</w:t>
            </w:r>
          </w:p>
          <w:p w:rsidR="00DF208A" w:rsidRDefault="00F01C7B" w:rsidP="00DF208A">
            <w:pPr>
              <w:pStyle w:val="Heading4"/>
              <w:numPr>
                <w:ilvl w:val="0"/>
                <w:numId w:val="23"/>
              </w:numPr>
              <w:spacing w:before="240" w:after="240"/>
              <w:ind w:left="1701"/>
              <w:rPr>
                <w:rFonts w:ascii="Verdana" w:hAnsi="Verdana"/>
                <w:sz w:val="22"/>
                <w:szCs w:val="22"/>
              </w:rPr>
            </w:pPr>
            <w:r>
              <w:rPr>
                <w:rFonts w:ascii="Verdana" w:hAnsi="Verdana"/>
                <w:sz w:val="22"/>
                <w:szCs w:val="22"/>
              </w:rPr>
              <w:t xml:space="preserve">A </w:t>
            </w:r>
            <w:r w:rsidR="006D2A11" w:rsidRPr="00DF208A">
              <w:rPr>
                <w:rFonts w:ascii="Verdana" w:hAnsi="Verdana"/>
                <w:sz w:val="22"/>
                <w:szCs w:val="22"/>
              </w:rPr>
              <w:t>Select Committee Inquiry in</w:t>
            </w:r>
            <w:r>
              <w:rPr>
                <w:rFonts w:ascii="Verdana" w:hAnsi="Verdana"/>
                <w:sz w:val="22"/>
                <w:szCs w:val="22"/>
              </w:rPr>
              <w:t>to</w:t>
            </w:r>
            <w:r w:rsidR="006D2A11" w:rsidRPr="00DF208A">
              <w:rPr>
                <w:rFonts w:ascii="Verdana" w:hAnsi="Verdana"/>
                <w:sz w:val="22"/>
                <w:szCs w:val="22"/>
              </w:rPr>
              <w:t xml:space="preserve"> the quality of care and services for </w:t>
            </w:r>
            <w:r w:rsidR="009A3D9E">
              <w:rPr>
                <w:rFonts w:ascii="Verdana" w:hAnsi="Verdana"/>
                <w:sz w:val="22"/>
                <w:szCs w:val="22"/>
              </w:rPr>
              <w:t>persons with disabilities</w:t>
            </w:r>
            <w:r w:rsidR="006D2A11" w:rsidRPr="00DF208A">
              <w:rPr>
                <w:rFonts w:ascii="Verdana" w:hAnsi="Verdana"/>
                <w:sz w:val="22"/>
                <w:szCs w:val="22"/>
              </w:rPr>
              <w:t xml:space="preserve"> (2008) was prompted by concerns raised in the media about two major residential service providers and by more generally expressed dissatisfaction with current service provision. The inquiry made a number of recommendations to address these concerns</w:t>
            </w:r>
            <w:r w:rsidR="00DF208A">
              <w:rPr>
                <w:rFonts w:ascii="Verdana" w:hAnsi="Verdana"/>
                <w:sz w:val="22"/>
                <w:szCs w:val="22"/>
              </w:rPr>
              <w:t xml:space="preserve">. For more information, please visit </w:t>
            </w:r>
            <w:hyperlink r:id="rId39" w:history="1">
              <w:r w:rsidR="00DF208A" w:rsidRPr="00B63EAE">
                <w:rPr>
                  <w:rStyle w:val="Hyperlink"/>
                  <w:rFonts w:ascii="Verdana" w:hAnsi="Verdana"/>
                  <w:sz w:val="22"/>
                  <w:szCs w:val="22"/>
                </w:rPr>
                <w:t>https://www.parliament.nz/resource/en-nz/48DBSCH_SCR4194_1/cb220d2e3ba25dc33dec0b28b29b30578d110dd5</w:t>
              </w:r>
            </w:hyperlink>
            <w:r w:rsidR="006D2A11" w:rsidRPr="00DF208A">
              <w:rPr>
                <w:rFonts w:ascii="Verdana" w:hAnsi="Verdana"/>
                <w:sz w:val="22"/>
                <w:szCs w:val="22"/>
              </w:rPr>
              <w:t>.</w:t>
            </w:r>
          </w:p>
          <w:p w:rsidR="006D2A11" w:rsidRPr="00DF208A" w:rsidRDefault="00F01C7B" w:rsidP="00DF208A">
            <w:pPr>
              <w:pStyle w:val="Heading4"/>
              <w:numPr>
                <w:ilvl w:val="0"/>
                <w:numId w:val="23"/>
              </w:numPr>
              <w:spacing w:before="240" w:after="240"/>
              <w:ind w:left="1701"/>
              <w:rPr>
                <w:rFonts w:ascii="Verdana" w:hAnsi="Verdana"/>
                <w:sz w:val="22"/>
                <w:szCs w:val="22"/>
              </w:rPr>
            </w:pPr>
            <w:r>
              <w:rPr>
                <w:rFonts w:ascii="Verdana" w:hAnsi="Verdana"/>
                <w:sz w:val="22"/>
                <w:szCs w:val="22"/>
              </w:rPr>
              <w:t xml:space="preserve">The </w:t>
            </w:r>
            <w:r w:rsidR="006D2A11" w:rsidRPr="00DF208A">
              <w:rPr>
                <w:rFonts w:ascii="Verdana" w:hAnsi="Verdana"/>
                <w:sz w:val="22"/>
                <w:szCs w:val="22"/>
              </w:rPr>
              <w:t xml:space="preserve">Putting People First review (2013) of residential care for </w:t>
            </w:r>
            <w:r w:rsidR="009A3D9E">
              <w:rPr>
                <w:rFonts w:ascii="Verdana" w:hAnsi="Verdana"/>
                <w:sz w:val="22"/>
                <w:szCs w:val="22"/>
              </w:rPr>
              <w:t>persons with disabilities</w:t>
            </w:r>
            <w:r w:rsidR="006D2A11" w:rsidRPr="00DF208A">
              <w:rPr>
                <w:rFonts w:ascii="Verdana" w:hAnsi="Verdana"/>
                <w:sz w:val="22"/>
                <w:szCs w:val="22"/>
              </w:rPr>
              <w:t xml:space="preserve"> funded by Disability Support S</w:t>
            </w:r>
            <w:r>
              <w:rPr>
                <w:rFonts w:ascii="Verdana" w:hAnsi="Verdana"/>
                <w:sz w:val="22"/>
                <w:szCs w:val="22"/>
              </w:rPr>
              <w:t>ervices made 36 recommendations. These include</w:t>
            </w:r>
            <w:r w:rsidR="006D2A11" w:rsidRPr="00DF208A">
              <w:rPr>
                <w:rFonts w:ascii="Verdana" w:hAnsi="Verdana"/>
                <w:sz w:val="22"/>
                <w:szCs w:val="22"/>
              </w:rPr>
              <w:t xml:space="preserve"> </w:t>
            </w:r>
            <w:r>
              <w:rPr>
                <w:rFonts w:ascii="Verdana" w:hAnsi="Verdana"/>
                <w:sz w:val="22"/>
                <w:szCs w:val="22"/>
              </w:rPr>
              <w:t>a focus</w:t>
            </w:r>
            <w:r w:rsidR="006D2A11" w:rsidRPr="00DF208A">
              <w:rPr>
                <w:rFonts w:ascii="Verdana" w:hAnsi="Verdana"/>
                <w:sz w:val="22"/>
                <w:szCs w:val="22"/>
              </w:rPr>
              <w:t xml:space="preserve"> on keeping the </w:t>
            </w:r>
            <w:r w:rsidR="009A3D9E">
              <w:rPr>
                <w:rFonts w:ascii="Verdana" w:hAnsi="Verdana"/>
                <w:sz w:val="22"/>
                <w:szCs w:val="22"/>
              </w:rPr>
              <w:t>person</w:t>
            </w:r>
            <w:r w:rsidR="009A3D9E">
              <w:rPr>
                <w:rFonts w:ascii="Verdana" w:hAnsi="Verdana"/>
                <w:sz w:val="22"/>
                <w:szCs w:val="22"/>
              </w:rPr>
              <w:t xml:space="preserve"> with disabilities</w:t>
            </w:r>
            <w:r w:rsidR="009A3D9E" w:rsidRPr="00DF208A">
              <w:rPr>
                <w:rFonts w:ascii="Verdana" w:hAnsi="Verdana"/>
                <w:sz w:val="22"/>
                <w:szCs w:val="22"/>
              </w:rPr>
              <w:t xml:space="preserve"> </w:t>
            </w:r>
            <w:r w:rsidR="006D2A11" w:rsidRPr="00DF208A">
              <w:rPr>
                <w:rFonts w:ascii="Verdana" w:hAnsi="Verdana"/>
                <w:sz w:val="22"/>
                <w:szCs w:val="22"/>
              </w:rPr>
              <w:t xml:space="preserve">at the centre of service </w:t>
            </w:r>
            <w:proofErr w:type="gramStart"/>
            <w:r w:rsidR="006D2A11" w:rsidRPr="00DF208A">
              <w:rPr>
                <w:rFonts w:ascii="Verdana" w:hAnsi="Verdana"/>
                <w:sz w:val="22"/>
                <w:szCs w:val="22"/>
              </w:rPr>
              <w:t>delivery,</w:t>
            </w:r>
            <w:proofErr w:type="gramEnd"/>
            <w:r w:rsidR="006D2A11" w:rsidRPr="00DF208A">
              <w:rPr>
                <w:rFonts w:ascii="Verdana" w:hAnsi="Verdana"/>
                <w:sz w:val="22"/>
                <w:szCs w:val="22"/>
              </w:rPr>
              <w:t xml:space="preserve"> ensuring </w:t>
            </w:r>
            <w:r w:rsidR="009A3D9E">
              <w:rPr>
                <w:rFonts w:ascii="Verdana" w:hAnsi="Verdana"/>
                <w:sz w:val="22"/>
                <w:szCs w:val="22"/>
              </w:rPr>
              <w:t>persons with disabilities</w:t>
            </w:r>
            <w:r w:rsidR="009A3D9E" w:rsidRPr="00DF208A">
              <w:rPr>
                <w:rFonts w:ascii="Verdana" w:hAnsi="Verdana"/>
                <w:sz w:val="22"/>
                <w:szCs w:val="22"/>
              </w:rPr>
              <w:t xml:space="preserve"> </w:t>
            </w:r>
            <w:r w:rsidR="006D2A11" w:rsidRPr="00DF208A">
              <w:rPr>
                <w:rFonts w:ascii="Verdana" w:hAnsi="Verdana"/>
                <w:sz w:val="22"/>
                <w:szCs w:val="22"/>
              </w:rPr>
              <w:t xml:space="preserve">have a voice in decisions made, and keeping </w:t>
            </w:r>
            <w:r w:rsidR="009A3D9E">
              <w:rPr>
                <w:rFonts w:ascii="Verdana" w:hAnsi="Verdana"/>
                <w:sz w:val="22"/>
                <w:szCs w:val="22"/>
              </w:rPr>
              <w:t>persons with disabilities</w:t>
            </w:r>
            <w:r w:rsidR="009A3D9E" w:rsidRPr="00DF208A">
              <w:rPr>
                <w:rFonts w:ascii="Verdana" w:hAnsi="Verdana"/>
                <w:sz w:val="22"/>
                <w:szCs w:val="22"/>
              </w:rPr>
              <w:t xml:space="preserve"> </w:t>
            </w:r>
            <w:r w:rsidR="006D2A11" w:rsidRPr="00DF208A">
              <w:rPr>
                <w:rFonts w:ascii="Verdana" w:hAnsi="Verdana"/>
                <w:sz w:val="22"/>
                <w:szCs w:val="22"/>
              </w:rPr>
              <w:t>safe when they have something to say.  The majority of recommenda</w:t>
            </w:r>
            <w:r w:rsidR="00DF208A">
              <w:rPr>
                <w:rFonts w:ascii="Verdana" w:hAnsi="Verdana"/>
                <w:sz w:val="22"/>
                <w:szCs w:val="22"/>
              </w:rPr>
              <w:t>tions have been implemented. For more information, please visit</w:t>
            </w:r>
            <w:r w:rsidR="006D2A11" w:rsidRPr="00DF208A">
              <w:rPr>
                <w:rFonts w:ascii="Verdana" w:hAnsi="Verdana"/>
                <w:sz w:val="22"/>
                <w:szCs w:val="22"/>
              </w:rPr>
              <w:t xml:space="preserve"> </w:t>
            </w:r>
            <w:hyperlink r:id="rId40" w:history="1">
              <w:r w:rsidR="006D2A11" w:rsidRPr="00DF208A">
                <w:rPr>
                  <w:rStyle w:val="Hyperlink"/>
                  <w:rFonts w:ascii="Verdana" w:hAnsi="Verdana"/>
                  <w:sz w:val="22"/>
                  <w:szCs w:val="22"/>
                </w:rPr>
                <w:t>http://www.health.govt.nz/our-work/disability-services/disability-projects/putting-people-first-quality-review</w:t>
              </w:r>
            </w:hyperlink>
            <w:r w:rsidR="006D2A11" w:rsidRPr="00DF208A">
              <w:rPr>
                <w:rFonts w:ascii="Verdana" w:hAnsi="Verdana"/>
                <w:sz w:val="22"/>
                <w:szCs w:val="22"/>
              </w:rPr>
              <w:t>.</w:t>
            </w:r>
          </w:p>
          <w:p w:rsidR="00DF208A" w:rsidRPr="00DF208A" w:rsidRDefault="006D2A11" w:rsidP="00DF208A">
            <w:pPr>
              <w:pStyle w:val="Heading4"/>
              <w:numPr>
                <w:ilvl w:val="0"/>
                <w:numId w:val="9"/>
              </w:numPr>
              <w:spacing w:before="240" w:after="240"/>
              <w:rPr>
                <w:rFonts w:ascii="Verdana" w:hAnsi="Verdana"/>
                <w:sz w:val="22"/>
                <w:szCs w:val="22"/>
              </w:rPr>
            </w:pPr>
            <w:r w:rsidRPr="00DF208A">
              <w:rPr>
                <w:rFonts w:ascii="Verdana" w:hAnsi="Verdana"/>
                <w:sz w:val="22"/>
                <w:szCs w:val="22"/>
              </w:rPr>
              <w:t>Key mental health investigations:</w:t>
            </w:r>
          </w:p>
          <w:p w:rsidR="00DF208A" w:rsidRDefault="00F01C7B" w:rsidP="00DF208A">
            <w:pPr>
              <w:pStyle w:val="Heading4"/>
              <w:numPr>
                <w:ilvl w:val="0"/>
                <w:numId w:val="23"/>
              </w:numPr>
              <w:spacing w:before="240" w:after="240"/>
              <w:ind w:left="1701"/>
              <w:rPr>
                <w:rFonts w:ascii="Verdana" w:hAnsi="Verdana"/>
                <w:sz w:val="22"/>
                <w:szCs w:val="22"/>
              </w:rPr>
            </w:pPr>
            <w:r>
              <w:rPr>
                <w:rFonts w:ascii="Verdana" w:hAnsi="Verdana"/>
                <w:sz w:val="22"/>
                <w:szCs w:val="22"/>
              </w:rPr>
              <w:t>In 2015, section 99 of the Mental Health Act 1992, was invoked by the Director of Mental Health, to</w:t>
            </w:r>
            <w:r w:rsidR="006D2A11" w:rsidRPr="00DF208A">
              <w:rPr>
                <w:rFonts w:ascii="Verdana" w:hAnsi="Verdana"/>
                <w:sz w:val="22"/>
                <w:szCs w:val="22"/>
              </w:rPr>
              <w:t xml:space="preserve"> inspec</w:t>
            </w:r>
            <w:r>
              <w:rPr>
                <w:rFonts w:ascii="Verdana" w:hAnsi="Verdana"/>
                <w:sz w:val="22"/>
                <w:szCs w:val="22"/>
              </w:rPr>
              <w:t xml:space="preserve">t </w:t>
            </w:r>
            <w:r w:rsidR="006D2A11" w:rsidRPr="00DF208A">
              <w:rPr>
                <w:rFonts w:ascii="Verdana" w:hAnsi="Verdana"/>
                <w:sz w:val="22"/>
                <w:szCs w:val="22"/>
              </w:rPr>
              <w:t>Waikato Mental Health Services</w:t>
            </w:r>
            <w:r>
              <w:rPr>
                <w:rFonts w:ascii="Verdana" w:hAnsi="Verdana"/>
                <w:sz w:val="22"/>
                <w:szCs w:val="22"/>
              </w:rPr>
              <w:t>.</w:t>
            </w:r>
            <w:r w:rsidR="00DF208A">
              <w:rPr>
                <w:rFonts w:ascii="Verdana" w:hAnsi="Verdana"/>
                <w:sz w:val="22"/>
                <w:szCs w:val="22"/>
              </w:rPr>
              <w:t xml:space="preserve"> For more information, please visit </w:t>
            </w:r>
            <w:hyperlink r:id="rId41" w:history="1">
              <w:r w:rsidR="006D2A11" w:rsidRPr="00DF208A">
                <w:rPr>
                  <w:rStyle w:val="Hyperlink"/>
                  <w:rFonts w:ascii="Verdana" w:hAnsi="Verdana"/>
                  <w:sz w:val="22"/>
                  <w:szCs w:val="22"/>
                </w:rPr>
                <w:t>http://www.health.govt.nz/publication/section-99-inspection-waikato-district-health-board-mental-health-and-addiction-services</w:t>
              </w:r>
            </w:hyperlink>
            <w:r w:rsidR="00DF208A">
              <w:rPr>
                <w:rFonts w:ascii="Verdana" w:hAnsi="Verdana"/>
                <w:sz w:val="22"/>
                <w:szCs w:val="22"/>
              </w:rPr>
              <w:t>.</w:t>
            </w:r>
          </w:p>
          <w:p w:rsidR="006D2A11" w:rsidRDefault="00F01C7B" w:rsidP="00F01C7B">
            <w:pPr>
              <w:pStyle w:val="Heading4"/>
              <w:numPr>
                <w:ilvl w:val="0"/>
                <w:numId w:val="23"/>
              </w:numPr>
              <w:spacing w:before="240" w:after="240"/>
              <w:ind w:left="1701"/>
              <w:rPr>
                <w:rFonts w:ascii="Verdana" w:hAnsi="Verdana"/>
                <w:sz w:val="22"/>
                <w:szCs w:val="22"/>
              </w:rPr>
            </w:pPr>
            <w:r>
              <w:rPr>
                <w:rFonts w:ascii="Verdana" w:hAnsi="Verdana"/>
                <w:sz w:val="22"/>
                <w:szCs w:val="22"/>
              </w:rPr>
              <w:t>An e</w:t>
            </w:r>
            <w:r w:rsidR="006D2A11" w:rsidRPr="00DF208A">
              <w:rPr>
                <w:rFonts w:ascii="Verdana" w:hAnsi="Verdana"/>
                <w:sz w:val="22"/>
                <w:szCs w:val="22"/>
              </w:rPr>
              <w:t>xternal</w:t>
            </w:r>
            <w:r>
              <w:rPr>
                <w:rFonts w:ascii="Verdana" w:hAnsi="Verdana"/>
                <w:sz w:val="22"/>
                <w:szCs w:val="22"/>
              </w:rPr>
              <w:t xml:space="preserve"> </w:t>
            </w:r>
            <w:r w:rsidR="006D2A11" w:rsidRPr="00DF208A">
              <w:rPr>
                <w:rFonts w:ascii="Verdana" w:hAnsi="Verdana"/>
                <w:sz w:val="22"/>
                <w:szCs w:val="22"/>
              </w:rPr>
              <w:t xml:space="preserve">Review </w:t>
            </w:r>
            <w:r>
              <w:rPr>
                <w:rFonts w:ascii="Verdana" w:hAnsi="Verdana"/>
                <w:sz w:val="22"/>
                <w:szCs w:val="22"/>
              </w:rPr>
              <w:t>was recently undertaken into the treatment and management</w:t>
            </w:r>
            <w:r w:rsidRPr="00DF208A">
              <w:rPr>
                <w:rFonts w:ascii="Verdana" w:hAnsi="Verdana"/>
                <w:sz w:val="22"/>
                <w:szCs w:val="22"/>
              </w:rPr>
              <w:t xml:space="preserve"> </w:t>
            </w:r>
            <w:r w:rsidR="006D2A11" w:rsidRPr="00DF208A">
              <w:rPr>
                <w:rFonts w:ascii="Verdana" w:hAnsi="Verdana"/>
                <w:sz w:val="22"/>
                <w:szCs w:val="22"/>
              </w:rPr>
              <w:t xml:space="preserve">of </w:t>
            </w:r>
            <w:r>
              <w:rPr>
                <w:rFonts w:ascii="Verdana" w:hAnsi="Verdana"/>
                <w:sz w:val="22"/>
                <w:szCs w:val="22"/>
              </w:rPr>
              <w:t xml:space="preserve">a </w:t>
            </w:r>
            <w:r w:rsidR="006D2A11" w:rsidRPr="00DF208A">
              <w:rPr>
                <w:rFonts w:ascii="Verdana" w:hAnsi="Verdana"/>
                <w:sz w:val="22"/>
                <w:szCs w:val="22"/>
              </w:rPr>
              <w:t>forens</w:t>
            </w:r>
            <w:r>
              <w:rPr>
                <w:rFonts w:ascii="Verdana" w:hAnsi="Verdana"/>
                <w:sz w:val="22"/>
                <w:szCs w:val="22"/>
              </w:rPr>
              <w:t>ic mental health patient by Auckland’s Mason Clinic</w:t>
            </w:r>
            <w:r w:rsidR="00DF208A">
              <w:rPr>
                <w:rFonts w:ascii="Verdana" w:hAnsi="Verdana"/>
                <w:sz w:val="22"/>
                <w:szCs w:val="22"/>
              </w:rPr>
              <w:t xml:space="preserve">. </w:t>
            </w:r>
            <w:r>
              <w:rPr>
                <w:rFonts w:ascii="Verdana" w:hAnsi="Verdana"/>
                <w:sz w:val="22"/>
                <w:szCs w:val="22"/>
              </w:rPr>
              <w:t xml:space="preserve">The Ministry of Health has met a number of recommendations resulting from this Review. </w:t>
            </w:r>
            <w:r w:rsidR="00DF208A">
              <w:rPr>
                <w:rFonts w:ascii="Verdana" w:hAnsi="Verdana"/>
                <w:sz w:val="22"/>
                <w:szCs w:val="22"/>
              </w:rPr>
              <w:t>For more information, please visit</w:t>
            </w:r>
            <w:r w:rsidR="006D2A11" w:rsidRPr="00DF208A">
              <w:rPr>
                <w:rFonts w:ascii="Verdana" w:hAnsi="Verdana"/>
                <w:sz w:val="22"/>
                <w:szCs w:val="22"/>
              </w:rPr>
              <w:t xml:space="preserve"> </w:t>
            </w:r>
            <w:hyperlink r:id="rId42" w:history="1">
              <w:r w:rsidR="006D2A11" w:rsidRPr="00DF208A">
                <w:rPr>
                  <w:rStyle w:val="Hyperlink"/>
                  <w:rFonts w:ascii="Verdana" w:hAnsi="Verdana"/>
                  <w:sz w:val="22"/>
                  <w:szCs w:val="22"/>
                </w:rPr>
                <w:t>http://www.health.govt.nz/news-media/media-releases/all-recommendations-accepted-mental-health-inquiry</w:t>
              </w:r>
            </w:hyperlink>
            <w:r w:rsidR="006D2A11" w:rsidRPr="00DF208A">
              <w:rPr>
                <w:rFonts w:ascii="Verdana" w:hAnsi="Verdana"/>
                <w:sz w:val="22"/>
                <w:szCs w:val="22"/>
              </w:rPr>
              <w:t>.</w:t>
            </w:r>
          </w:p>
          <w:p w:rsidR="00E07792" w:rsidRPr="002F2D07" w:rsidRDefault="00E07792" w:rsidP="00E07792">
            <w:pPr>
              <w:rPr>
                <w:rFonts w:ascii="Verdana" w:hAnsi="Verdana"/>
                <w:b/>
                <w:sz w:val="22"/>
                <w:szCs w:val="22"/>
              </w:rPr>
            </w:pPr>
            <w:r w:rsidRPr="002F2D07">
              <w:rPr>
                <w:rFonts w:ascii="Verdana" w:hAnsi="Verdana"/>
                <w:b/>
                <w:sz w:val="22"/>
                <w:szCs w:val="22"/>
              </w:rPr>
              <w:t>Office for Disability Issues</w:t>
            </w:r>
            <w:r w:rsidR="002F2D07" w:rsidRPr="002F2D07">
              <w:rPr>
                <w:rFonts w:ascii="Verdana" w:hAnsi="Verdana"/>
                <w:b/>
                <w:sz w:val="22"/>
                <w:szCs w:val="22"/>
              </w:rPr>
              <w:t xml:space="preserve"> and the Ministry of Social Development</w:t>
            </w:r>
          </w:p>
          <w:p w:rsidR="00E07792" w:rsidRDefault="00E07792" w:rsidP="00E07792">
            <w:pPr>
              <w:rPr>
                <w:rFonts w:ascii="Verdana" w:hAnsi="Verdana"/>
                <w:sz w:val="22"/>
                <w:szCs w:val="22"/>
              </w:rPr>
            </w:pPr>
          </w:p>
          <w:p w:rsidR="002F2D07" w:rsidRDefault="00E07792" w:rsidP="002F2D07">
            <w:pPr>
              <w:pStyle w:val="Heading4"/>
              <w:numPr>
                <w:ilvl w:val="0"/>
                <w:numId w:val="9"/>
              </w:numPr>
              <w:spacing w:before="240" w:after="240"/>
              <w:rPr>
                <w:rFonts w:ascii="Verdana" w:hAnsi="Verdana"/>
                <w:sz w:val="22"/>
                <w:szCs w:val="22"/>
              </w:rPr>
            </w:pPr>
            <w:r w:rsidRPr="002F2D07">
              <w:rPr>
                <w:rFonts w:ascii="Verdana" w:hAnsi="Verdana"/>
                <w:sz w:val="22"/>
                <w:szCs w:val="22"/>
              </w:rPr>
              <w:t xml:space="preserve">Outcome 4 of the New Zealand Disability Strategy (NZDS) is rights protection and justice. </w:t>
            </w:r>
            <w:r w:rsidR="002F2D07">
              <w:rPr>
                <w:rFonts w:ascii="Verdana" w:hAnsi="Verdana"/>
                <w:sz w:val="22"/>
                <w:szCs w:val="22"/>
                <w:lang w:val="en-US"/>
              </w:rPr>
              <w:t xml:space="preserve">The Strategy will guide the work of government agencies on disability issues over the next 10 years. </w:t>
            </w:r>
            <w:r w:rsidR="002F2D07" w:rsidRPr="002F2D07">
              <w:rPr>
                <w:rFonts w:ascii="Verdana" w:hAnsi="Verdana"/>
                <w:sz w:val="22"/>
                <w:szCs w:val="22"/>
              </w:rPr>
              <w:t xml:space="preserve">For further information, visit </w:t>
            </w:r>
            <w:hyperlink r:id="rId43" w:history="1">
              <w:r w:rsidR="002F2D07" w:rsidRPr="002F2D07">
                <w:rPr>
                  <w:rStyle w:val="Hyperlink"/>
                  <w:rFonts w:ascii="Verdana" w:hAnsi="Verdana"/>
                  <w:sz w:val="22"/>
                  <w:szCs w:val="22"/>
                </w:rPr>
                <w:t>http://www.odi.govt.nz/nz-disability-strategy/outcome-4-rights-protection-and-justice/</w:t>
              </w:r>
            </w:hyperlink>
            <w:r w:rsidR="002F2D07" w:rsidRPr="002F2D07">
              <w:rPr>
                <w:rFonts w:ascii="Verdana" w:hAnsi="Verdana"/>
                <w:sz w:val="22"/>
                <w:szCs w:val="22"/>
              </w:rPr>
              <w:t xml:space="preserve">. </w:t>
            </w:r>
          </w:p>
          <w:p w:rsidR="00E07792" w:rsidRPr="002F2D07" w:rsidRDefault="00E07792" w:rsidP="002F2D07">
            <w:pPr>
              <w:pStyle w:val="Heading4"/>
              <w:numPr>
                <w:ilvl w:val="0"/>
                <w:numId w:val="9"/>
              </w:numPr>
              <w:spacing w:before="240" w:after="240"/>
              <w:rPr>
                <w:rFonts w:ascii="Verdana" w:hAnsi="Verdana"/>
                <w:sz w:val="22"/>
                <w:szCs w:val="22"/>
              </w:rPr>
            </w:pPr>
            <w:r w:rsidRPr="002F2D07">
              <w:rPr>
                <w:rFonts w:ascii="Verdana" w:hAnsi="Verdana"/>
                <w:sz w:val="22"/>
                <w:szCs w:val="22"/>
              </w:rPr>
              <w:t>The New Zealand Disability Action Plan (DAP)</w:t>
            </w:r>
            <w:r w:rsidR="002F2D07">
              <w:rPr>
                <w:rFonts w:ascii="Verdana" w:hAnsi="Verdana"/>
                <w:sz w:val="22"/>
                <w:szCs w:val="22"/>
              </w:rPr>
              <w:t xml:space="preserve"> is the key tool for implementing </w:t>
            </w:r>
            <w:r w:rsidRPr="002F2D07">
              <w:rPr>
                <w:rFonts w:ascii="Verdana" w:hAnsi="Verdana"/>
                <w:sz w:val="22"/>
                <w:szCs w:val="22"/>
              </w:rPr>
              <w:t xml:space="preserve">the </w:t>
            </w:r>
            <w:r w:rsidR="002F2D07">
              <w:rPr>
                <w:rFonts w:ascii="Verdana" w:hAnsi="Verdana"/>
                <w:sz w:val="22"/>
                <w:szCs w:val="22"/>
              </w:rPr>
              <w:t>Strategy</w:t>
            </w:r>
            <w:r w:rsidRPr="002F2D07">
              <w:rPr>
                <w:rFonts w:ascii="Verdana" w:hAnsi="Verdana"/>
                <w:sz w:val="22"/>
                <w:szCs w:val="22"/>
              </w:rPr>
              <w:t xml:space="preserve">. Action </w:t>
            </w:r>
            <w:r w:rsidR="002F2D07" w:rsidRPr="002F2D07">
              <w:rPr>
                <w:rFonts w:ascii="Verdana" w:hAnsi="Verdana"/>
                <w:sz w:val="22"/>
                <w:szCs w:val="22"/>
              </w:rPr>
              <w:t>8b of the DAP is to “explore options to reduce violence, abuse (all types, including bullying) and neglect of disabled people and understand the impact of different cultural contexts”. The Ministry of Social Development is the lead for this action</w:t>
            </w:r>
            <w:r w:rsidR="002F2D07">
              <w:rPr>
                <w:rFonts w:ascii="Verdana" w:hAnsi="Verdana"/>
                <w:sz w:val="22"/>
                <w:szCs w:val="22"/>
              </w:rPr>
              <w:t xml:space="preserve"> and is continuing work with Ministers, government agencies and NGOs </w:t>
            </w:r>
            <w:r w:rsidR="002F2D07" w:rsidRPr="002F2D07">
              <w:rPr>
                <w:rFonts w:ascii="Verdana" w:hAnsi="Verdana"/>
                <w:sz w:val="22"/>
                <w:szCs w:val="22"/>
              </w:rPr>
              <w:t>to progress this action.</w:t>
            </w:r>
          </w:p>
          <w:p w:rsidR="00E07792" w:rsidRPr="00E07792" w:rsidRDefault="00E07792" w:rsidP="00E07792"/>
        </w:tc>
      </w:tr>
    </w:tbl>
    <w:p w:rsidR="00713D10" w:rsidRDefault="00713D10"/>
    <w:tbl>
      <w:tblPr>
        <w:tblStyle w:val="TableGrid"/>
        <w:tblW w:w="0" w:type="auto"/>
        <w:tblLook w:val="04A0" w:firstRow="1" w:lastRow="0" w:firstColumn="1" w:lastColumn="0" w:noHBand="0" w:noVBand="1"/>
      </w:tblPr>
      <w:tblGrid>
        <w:gridCol w:w="15559"/>
      </w:tblGrid>
      <w:tr w:rsidR="00DF50E6" w:rsidRPr="00EE46E5" w:rsidTr="00DF50E6">
        <w:tc>
          <w:tcPr>
            <w:tcW w:w="15559" w:type="dxa"/>
            <w:shd w:val="clear" w:color="auto" w:fill="B6DDE8" w:themeFill="accent5" w:themeFillTint="66"/>
          </w:tcPr>
          <w:p w:rsidR="00DF50E6" w:rsidRPr="00713D10" w:rsidRDefault="00DF50E6" w:rsidP="007C47D5">
            <w:pPr>
              <w:pStyle w:val="ListParagraph"/>
              <w:numPr>
                <w:ilvl w:val="0"/>
                <w:numId w:val="1"/>
              </w:numPr>
              <w:spacing w:before="240" w:after="240"/>
              <w:rPr>
                <w:rFonts w:ascii="Verdana" w:hAnsi="Verdana"/>
                <w:b/>
                <w:kern w:val="2"/>
                <w:sz w:val="22"/>
                <w:szCs w:val="22"/>
                <w:lang w:val="en-US"/>
              </w:rPr>
            </w:pPr>
            <w:r w:rsidRPr="00713D10">
              <w:rPr>
                <w:rFonts w:ascii="Verdana" w:hAnsi="Verdana"/>
                <w:b/>
                <w:kern w:val="2"/>
                <w:sz w:val="22"/>
                <w:szCs w:val="22"/>
                <w:lang w:val="en-US"/>
              </w:rPr>
              <w:t>Please provide any other relevant information (including information from surveys, censuses, administrative data, reports, studies, and case law) in relation to the right to liberty and security of persons with disabilities in your country. Please also refer to any innovative initiatives that have been taken at the local, regional or national level to promote and ensure the right to liberty and security of persons with disabilities and identify lessons learned from these.</w:t>
            </w:r>
          </w:p>
        </w:tc>
      </w:tr>
      <w:tr w:rsidR="00DF50E6" w:rsidRPr="00EE46E5" w:rsidTr="00DF50E6">
        <w:tc>
          <w:tcPr>
            <w:tcW w:w="15559" w:type="dxa"/>
            <w:shd w:val="clear" w:color="auto" w:fill="FFFFFF" w:themeFill="background1"/>
          </w:tcPr>
          <w:p w:rsidR="00DF50E6" w:rsidRPr="00C84A18" w:rsidRDefault="00DF50E6" w:rsidP="00C84A18">
            <w:pPr>
              <w:spacing w:before="240" w:after="240"/>
              <w:jc w:val="both"/>
              <w:rPr>
                <w:rFonts w:ascii="Verdana" w:hAnsi="Verdana"/>
                <w:b/>
                <w:sz w:val="22"/>
                <w:szCs w:val="22"/>
              </w:rPr>
            </w:pPr>
            <w:r w:rsidRPr="00C84A18">
              <w:rPr>
                <w:rFonts w:ascii="Verdana" w:hAnsi="Verdana"/>
                <w:b/>
                <w:sz w:val="22"/>
                <w:szCs w:val="22"/>
              </w:rPr>
              <w:t>Ministry of Justice</w:t>
            </w:r>
          </w:p>
          <w:p w:rsidR="00977976" w:rsidRDefault="00DF50E6" w:rsidP="00977976">
            <w:pPr>
              <w:pStyle w:val="Heading4"/>
              <w:numPr>
                <w:ilvl w:val="0"/>
                <w:numId w:val="9"/>
              </w:numPr>
              <w:spacing w:before="240" w:after="240"/>
              <w:rPr>
                <w:rFonts w:ascii="Verdana" w:hAnsi="Verdana"/>
                <w:sz w:val="22"/>
                <w:szCs w:val="22"/>
              </w:rPr>
            </w:pPr>
            <w:r w:rsidRPr="00977976">
              <w:rPr>
                <w:rFonts w:ascii="Verdana" w:hAnsi="Verdana"/>
                <w:sz w:val="22"/>
                <w:szCs w:val="22"/>
              </w:rPr>
              <w:t>The New Zealand Bill of Rights Act 1990 protects the right to liberty of all persons, the right not to be subjected to cruel or degrading treatment and certain other rights of detainees.</w:t>
            </w:r>
            <w:r w:rsidR="008D0F29" w:rsidRPr="00977976">
              <w:rPr>
                <w:rFonts w:ascii="Verdana" w:hAnsi="Verdana"/>
                <w:sz w:val="22"/>
                <w:szCs w:val="22"/>
              </w:rPr>
              <w:t xml:space="preserve"> </w:t>
            </w:r>
          </w:p>
          <w:p w:rsidR="00977976" w:rsidRDefault="008D0F29" w:rsidP="00977976">
            <w:pPr>
              <w:pStyle w:val="Heading4"/>
              <w:numPr>
                <w:ilvl w:val="0"/>
                <w:numId w:val="9"/>
              </w:numPr>
              <w:spacing w:before="240" w:after="240"/>
              <w:rPr>
                <w:rFonts w:ascii="Verdana" w:hAnsi="Verdana"/>
                <w:sz w:val="22"/>
                <w:szCs w:val="22"/>
              </w:rPr>
            </w:pPr>
            <w:r w:rsidRPr="00977976">
              <w:rPr>
                <w:rFonts w:ascii="Verdana" w:hAnsi="Verdana"/>
                <w:sz w:val="22"/>
                <w:szCs w:val="22"/>
              </w:rPr>
              <w:t xml:space="preserve">For more information, please visit </w:t>
            </w:r>
            <w:hyperlink r:id="rId44" w:history="1">
              <w:r w:rsidRPr="00977976">
                <w:rPr>
                  <w:rStyle w:val="Hyperlink"/>
                  <w:rFonts w:ascii="Verdana" w:hAnsi="Verdana"/>
                  <w:sz w:val="22"/>
                  <w:szCs w:val="22"/>
                </w:rPr>
                <w:t>http://www.legislation.govt.nz/act/public/1990/0109/latest/DLM224792.html</w:t>
              </w:r>
            </w:hyperlink>
            <w:r w:rsidRPr="00977976">
              <w:rPr>
                <w:rFonts w:ascii="Verdana" w:hAnsi="Verdana"/>
                <w:sz w:val="22"/>
                <w:szCs w:val="22"/>
              </w:rPr>
              <w:t xml:space="preserve">. </w:t>
            </w:r>
          </w:p>
          <w:p w:rsidR="00977976" w:rsidRDefault="00DF50E6" w:rsidP="00977976">
            <w:pPr>
              <w:pStyle w:val="Heading4"/>
              <w:numPr>
                <w:ilvl w:val="0"/>
                <w:numId w:val="9"/>
              </w:numPr>
              <w:spacing w:before="240" w:after="240"/>
              <w:rPr>
                <w:rFonts w:ascii="Verdana" w:hAnsi="Verdana"/>
                <w:sz w:val="22"/>
                <w:szCs w:val="22"/>
              </w:rPr>
            </w:pPr>
            <w:r w:rsidRPr="00977976">
              <w:rPr>
                <w:rFonts w:ascii="Verdana" w:hAnsi="Verdana"/>
                <w:sz w:val="22"/>
                <w:szCs w:val="22"/>
              </w:rPr>
              <w:t>The Human Rights Act 1993 protects the right not to be discriminated against on the ground of disability.</w:t>
            </w:r>
            <w:r w:rsidR="008D0F29" w:rsidRPr="00977976">
              <w:rPr>
                <w:rFonts w:ascii="Verdana" w:hAnsi="Verdana"/>
                <w:sz w:val="22"/>
                <w:szCs w:val="22"/>
              </w:rPr>
              <w:t xml:space="preserve"> </w:t>
            </w:r>
          </w:p>
          <w:p w:rsidR="00DF50E6" w:rsidRPr="00977976" w:rsidRDefault="008D0F29" w:rsidP="00977976">
            <w:pPr>
              <w:pStyle w:val="Heading4"/>
              <w:numPr>
                <w:ilvl w:val="0"/>
                <w:numId w:val="9"/>
              </w:numPr>
              <w:spacing w:before="240" w:after="240"/>
              <w:rPr>
                <w:rFonts w:ascii="Verdana" w:hAnsi="Verdana"/>
                <w:sz w:val="22"/>
                <w:szCs w:val="22"/>
              </w:rPr>
            </w:pPr>
            <w:r w:rsidRPr="00977976">
              <w:rPr>
                <w:rFonts w:ascii="Verdana" w:hAnsi="Verdana"/>
                <w:sz w:val="22"/>
                <w:szCs w:val="22"/>
              </w:rPr>
              <w:t xml:space="preserve">For more information, please visit </w:t>
            </w:r>
            <w:hyperlink r:id="rId45" w:history="1">
              <w:r w:rsidRPr="00977976">
                <w:rPr>
                  <w:rStyle w:val="Hyperlink"/>
                  <w:rFonts w:ascii="Verdana" w:hAnsi="Verdana"/>
                  <w:sz w:val="22"/>
                  <w:szCs w:val="22"/>
                </w:rPr>
                <w:t>http://www.legislation.govt.nz/act/public/1993/0082/latest/DLM304212.html</w:t>
              </w:r>
            </w:hyperlink>
            <w:r w:rsidRPr="00977976">
              <w:rPr>
                <w:rFonts w:ascii="Verdana" w:hAnsi="Verdana"/>
                <w:sz w:val="22"/>
                <w:szCs w:val="22"/>
              </w:rPr>
              <w:t xml:space="preserve">. </w:t>
            </w:r>
          </w:p>
          <w:p w:rsidR="006D2A11" w:rsidRPr="006D2A11" w:rsidRDefault="006D2A11" w:rsidP="006D2A11">
            <w:pPr>
              <w:spacing w:before="240" w:after="240"/>
              <w:rPr>
                <w:rFonts w:ascii="Verdana" w:hAnsi="Verdana"/>
                <w:b/>
                <w:sz w:val="22"/>
                <w:szCs w:val="22"/>
              </w:rPr>
            </w:pPr>
            <w:r w:rsidRPr="006D2A11">
              <w:rPr>
                <w:rFonts w:ascii="Verdana" w:hAnsi="Verdana"/>
                <w:b/>
                <w:sz w:val="22"/>
                <w:szCs w:val="22"/>
              </w:rPr>
              <w:t>Ministry of Health</w:t>
            </w:r>
          </w:p>
          <w:p w:rsidR="00CE5EFD" w:rsidRPr="00CE5EFD" w:rsidRDefault="00CE5EFD" w:rsidP="006D2A11">
            <w:pPr>
              <w:rPr>
                <w:rFonts w:ascii="Verdana" w:hAnsi="Verdana"/>
                <w:sz w:val="22"/>
                <w:szCs w:val="22"/>
              </w:rPr>
            </w:pPr>
            <w:r>
              <w:rPr>
                <w:rFonts w:ascii="Verdana" w:hAnsi="Verdana"/>
                <w:sz w:val="22"/>
                <w:szCs w:val="22"/>
              </w:rPr>
              <w:t>Mental Health</w:t>
            </w:r>
          </w:p>
          <w:p w:rsidR="00F01C7B" w:rsidRPr="00CE5EFD" w:rsidRDefault="00F01C7B" w:rsidP="00F01C7B">
            <w:pPr>
              <w:pStyle w:val="Heading4"/>
              <w:numPr>
                <w:ilvl w:val="0"/>
                <w:numId w:val="9"/>
              </w:numPr>
              <w:spacing w:before="240" w:after="240"/>
              <w:rPr>
                <w:rFonts w:ascii="Verdana" w:hAnsi="Verdana"/>
                <w:sz w:val="22"/>
                <w:szCs w:val="22"/>
              </w:rPr>
            </w:pPr>
            <w:r w:rsidRPr="00CE5EFD">
              <w:rPr>
                <w:rFonts w:ascii="Verdana" w:hAnsi="Verdana"/>
                <w:sz w:val="22"/>
                <w:szCs w:val="22"/>
              </w:rPr>
              <w:t>Protective mechanisms under the Mental Health Act 1992 include:</w:t>
            </w:r>
          </w:p>
          <w:p w:rsidR="00F01C7B" w:rsidRPr="00CE5EFD" w:rsidRDefault="00CE5EFD" w:rsidP="00F01C7B">
            <w:pPr>
              <w:pStyle w:val="Heading4"/>
              <w:numPr>
                <w:ilvl w:val="0"/>
                <w:numId w:val="23"/>
              </w:numPr>
              <w:spacing w:before="240" w:after="240"/>
              <w:ind w:left="1701"/>
              <w:rPr>
                <w:rFonts w:ascii="Verdana" w:hAnsi="Verdana"/>
                <w:sz w:val="22"/>
                <w:szCs w:val="22"/>
              </w:rPr>
            </w:pPr>
            <w:r>
              <w:rPr>
                <w:rFonts w:ascii="Verdana" w:hAnsi="Verdana"/>
                <w:sz w:val="22"/>
                <w:szCs w:val="22"/>
              </w:rPr>
              <w:t xml:space="preserve">Approximately 34 District Inspectors, who </w:t>
            </w:r>
            <w:r w:rsidR="006D2A11" w:rsidRPr="00CE5EFD">
              <w:rPr>
                <w:rFonts w:ascii="Verdana" w:hAnsi="Verdana"/>
                <w:sz w:val="22"/>
                <w:szCs w:val="22"/>
              </w:rPr>
              <w:t xml:space="preserve">are Barristers or Solicitors appointed by the Minister of Health under the </w:t>
            </w:r>
            <w:r w:rsidR="00977976">
              <w:rPr>
                <w:rFonts w:ascii="Verdana" w:hAnsi="Verdana"/>
                <w:sz w:val="22"/>
                <w:szCs w:val="22"/>
              </w:rPr>
              <w:t xml:space="preserve">Mental Health </w:t>
            </w:r>
            <w:r w:rsidR="006D2A11" w:rsidRPr="00CE5EFD">
              <w:rPr>
                <w:rFonts w:ascii="Verdana" w:hAnsi="Verdana"/>
                <w:sz w:val="22"/>
                <w:szCs w:val="22"/>
              </w:rPr>
              <w:t>Act</w:t>
            </w:r>
            <w:r w:rsidR="00977976">
              <w:rPr>
                <w:rFonts w:ascii="Verdana" w:hAnsi="Verdana"/>
                <w:sz w:val="22"/>
                <w:szCs w:val="22"/>
              </w:rPr>
              <w:t xml:space="preserve"> 1992</w:t>
            </w:r>
            <w:r>
              <w:rPr>
                <w:rFonts w:ascii="Verdana" w:hAnsi="Verdana"/>
                <w:sz w:val="22"/>
                <w:szCs w:val="22"/>
              </w:rPr>
              <w:t>. They are</w:t>
            </w:r>
            <w:r w:rsidR="006D2A11" w:rsidRPr="00CE5EFD">
              <w:rPr>
                <w:rFonts w:ascii="Verdana" w:hAnsi="Verdana"/>
                <w:sz w:val="22"/>
                <w:szCs w:val="22"/>
              </w:rPr>
              <w:t xml:space="preserve"> the watchdogs of patient rights, </w:t>
            </w:r>
            <w:r>
              <w:rPr>
                <w:rFonts w:ascii="Verdana" w:hAnsi="Verdana"/>
                <w:sz w:val="22"/>
                <w:szCs w:val="22"/>
              </w:rPr>
              <w:t>whose main responsibility is ensuring that</w:t>
            </w:r>
            <w:r w:rsidR="006D2A11" w:rsidRPr="00CE5EFD">
              <w:rPr>
                <w:rFonts w:ascii="Verdana" w:hAnsi="Verdana"/>
                <w:sz w:val="22"/>
                <w:szCs w:val="22"/>
              </w:rPr>
              <w:t xml:space="preserve"> the Mental Health Act</w:t>
            </w:r>
            <w:r>
              <w:rPr>
                <w:rFonts w:ascii="Verdana" w:hAnsi="Verdana"/>
                <w:sz w:val="22"/>
                <w:szCs w:val="22"/>
              </w:rPr>
              <w:t xml:space="preserve"> 1992</w:t>
            </w:r>
            <w:r w:rsidR="006D2A11" w:rsidRPr="00CE5EFD">
              <w:rPr>
                <w:rFonts w:ascii="Verdana" w:hAnsi="Verdana"/>
                <w:sz w:val="22"/>
                <w:szCs w:val="22"/>
              </w:rPr>
              <w:t xml:space="preserve"> is correctly applied and the rights of individuals are respected and upheld. </w:t>
            </w:r>
          </w:p>
          <w:p w:rsidR="00CE5EFD" w:rsidRDefault="00CE5EFD" w:rsidP="00F01C7B">
            <w:pPr>
              <w:pStyle w:val="Heading4"/>
              <w:numPr>
                <w:ilvl w:val="0"/>
                <w:numId w:val="23"/>
              </w:numPr>
              <w:spacing w:before="240" w:after="240"/>
              <w:ind w:left="1701"/>
              <w:rPr>
                <w:rFonts w:ascii="Verdana" w:hAnsi="Verdana"/>
                <w:sz w:val="22"/>
                <w:szCs w:val="22"/>
              </w:rPr>
            </w:pPr>
            <w:proofErr w:type="gramStart"/>
            <w:r>
              <w:rPr>
                <w:rFonts w:ascii="Verdana" w:hAnsi="Verdana"/>
                <w:sz w:val="22"/>
                <w:szCs w:val="22"/>
              </w:rPr>
              <w:t>The Mental Health Review Tribunal</w:t>
            </w:r>
            <w:r w:rsidR="00B360E5">
              <w:rPr>
                <w:rFonts w:ascii="Verdana" w:hAnsi="Verdana"/>
                <w:sz w:val="22"/>
                <w:szCs w:val="22"/>
              </w:rPr>
              <w:t>.</w:t>
            </w:r>
            <w:proofErr w:type="gramEnd"/>
          </w:p>
          <w:p w:rsidR="00CE5EFD" w:rsidRDefault="00CE5EFD" w:rsidP="00F01C7B">
            <w:pPr>
              <w:pStyle w:val="Heading4"/>
              <w:numPr>
                <w:ilvl w:val="0"/>
                <w:numId w:val="23"/>
              </w:numPr>
              <w:spacing w:before="240" w:after="240"/>
              <w:ind w:left="1701"/>
              <w:rPr>
                <w:rFonts w:ascii="Verdana" w:hAnsi="Verdana"/>
                <w:sz w:val="22"/>
                <w:szCs w:val="22"/>
              </w:rPr>
            </w:pPr>
            <w:proofErr w:type="gramStart"/>
            <w:r>
              <w:rPr>
                <w:rFonts w:ascii="Verdana" w:hAnsi="Verdana"/>
                <w:sz w:val="22"/>
                <w:szCs w:val="22"/>
              </w:rPr>
              <w:t xml:space="preserve">The </w:t>
            </w:r>
            <w:r w:rsidR="006D2A11" w:rsidRPr="00CE5EFD">
              <w:rPr>
                <w:rFonts w:ascii="Verdana" w:hAnsi="Verdana"/>
                <w:sz w:val="22"/>
                <w:szCs w:val="22"/>
              </w:rPr>
              <w:t>Mental Heal</w:t>
            </w:r>
            <w:r>
              <w:rPr>
                <w:rFonts w:ascii="Verdana" w:hAnsi="Verdana"/>
                <w:sz w:val="22"/>
                <w:szCs w:val="22"/>
              </w:rPr>
              <w:t>th and Disability Commissioner</w:t>
            </w:r>
            <w:r w:rsidR="00B360E5">
              <w:rPr>
                <w:rFonts w:ascii="Verdana" w:hAnsi="Verdana"/>
                <w:sz w:val="22"/>
                <w:szCs w:val="22"/>
              </w:rPr>
              <w:t>.</w:t>
            </w:r>
            <w:proofErr w:type="gramEnd"/>
          </w:p>
          <w:p w:rsidR="00CE5EFD" w:rsidRDefault="00CE5EFD" w:rsidP="00F01C7B">
            <w:pPr>
              <w:pStyle w:val="Heading4"/>
              <w:numPr>
                <w:ilvl w:val="0"/>
                <w:numId w:val="23"/>
              </w:numPr>
              <w:spacing w:before="240" w:after="240"/>
              <w:ind w:left="1701"/>
              <w:rPr>
                <w:rFonts w:ascii="Verdana" w:hAnsi="Verdana"/>
                <w:sz w:val="22"/>
                <w:szCs w:val="22"/>
              </w:rPr>
            </w:pPr>
            <w:proofErr w:type="gramStart"/>
            <w:r>
              <w:rPr>
                <w:rFonts w:ascii="Verdana" w:hAnsi="Verdana"/>
                <w:sz w:val="22"/>
                <w:szCs w:val="22"/>
              </w:rPr>
              <w:t>The Office of the Ombudsman</w:t>
            </w:r>
            <w:r w:rsidR="00B360E5">
              <w:rPr>
                <w:rFonts w:ascii="Verdana" w:hAnsi="Verdana"/>
                <w:sz w:val="22"/>
                <w:szCs w:val="22"/>
              </w:rPr>
              <w:t>.</w:t>
            </w:r>
            <w:proofErr w:type="gramEnd"/>
          </w:p>
          <w:p w:rsidR="00CE5EFD" w:rsidRDefault="00CE5EFD" w:rsidP="00F01C7B">
            <w:pPr>
              <w:pStyle w:val="Heading4"/>
              <w:numPr>
                <w:ilvl w:val="0"/>
                <w:numId w:val="23"/>
              </w:numPr>
              <w:spacing w:before="240" w:after="240"/>
              <w:ind w:left="1701"/>
              <w:rPr>
                <w:rFonts w:ascii="Verdana" w:hAnsi="Verdana"/>
                <w:sz w:val="22"/>
                <w:szCs w:val="22"/>
              </w:rPr>
            </w:pPr>
            <w:proofErr w:type="gramStart"/>
            <w:r>
              <w:rPr>
                <w:rFonts w:ascii="Verdana" w:hAnsi="Verdana"/>
                <w:sz w:val="22"/>
                <w:szCs w:val="22"/>
              </w:rPr>
              <w:t>T</w:t>
            </w:r>
            <w:r w:rsidR="006D2A11" w:rsidRPr="00CE5EFD">
              <w:rPr>
                <w:rFonts w:ascii="Verdana" w:hAnsi="Verdana"/>
                <w:sz w:val="22"/>
                <w:szCs w:val="22"/>
              </w:rPr>
              <w:t>he Independent Monitoring Mechanism under the C</w:t>
            </w:r>
            <w:r>
              <w:rPr>
                <w:rFonts w:ascii="Verdana" w:hAnsi="Verdana"/>
                <w:sz w:val="22"/>
                <w:szCs w:val="22"/>
              </w:rPr>
              <w:t xml:space="preserve">onvention on the </w:t>
            </w:r>
            <w:r w:rsidR="006D2A11" w:rsidRPr="00CE5EFD">
              <w:rPr>
                <w:rFonts w:ascii="Verdana" w:hAnsi="Verdana"/>
                <w:sz w:val="22"/>
                <w:szCs w:val="22"/>
              </w:rPr>
              <w:t>R</w:t>
            </w:r>
            <w:r>
              <w:rPr>
                <w:rFonts w:ascii="Verdana" w:hAnsi="Verdana"/>
                <w:sz w:val="22"/>
                <w:szCs w:val="22"/>
              </w:rPr>
              <w:t xml:space="preserve">ights of </w:t>
            </w:r>
            <w:r w:rsidR="006D2A11" w:rsidRPr="00CE5EFD">
              <w:rPr>
                <w:rFonts w:ascii="Verdana" w:hAnsi="Verdana"/>
                <w:sz w:val="22"/>
                <w:szCs w:val="22"/>
              </w:rPr>
              <w:t>P</w:t>
            </w:r>
            <w:r>
              <w:rPr>
                <w:rFonts w:ascii="Verdana" w:hAnsi="Verdana"/>
                <w:sz w:val="22"/>
                <w:szCs w:val="22"/>
              </w:rPr>
              <w:t xml:space="preserve">ersons with </w:t>
            </w:r>
            <w:r w:rsidR="006D2A11" w:rsidRPr="00CE5EFD">
              <w:rPr>
                <w:rFonts w:ascii="Verdana" w:hAnsi="Verdana"/>
                <w:sz w:val="22"/>
                <w:szCs w:val="22"/>
              </w:rPr>
              <w:t>D</w:t>
            </w:r>
            <w:r>
              <w:rPr>
                <w:rFonts w:ascii="Verdana" w:hAnsi="Verdana"/>
                <w:sz w:val="22"/>
                <w:szCs w:val="22"/>
              </w:rPr>
              <w:t>isabilities</w:t>
            </w:r>
            <w:r w:rsidR="00B360E5">
              <w:rPr>
                <w:rFonts w:ascii="Verdana" w:hAnsi="Verdana"/>
                <w:sz w:val="22"/>
                <w:szCs w:val="22"/>
              </w:rPr>
              <w:t>.</w:t>
            </w:r>
            <w:proofErr w:type="gramEnd"/>
          </w:p>
          <w:p w:rsidR="00F01C7B" w:rsidRPr="00CE5EFD" w:rsidRDefault="00CE5EFD" w:rsidP="00F01C7B">
            <w:pPr>
              <w:pStyle w:val="Heading4"/>
              <w:numPr>
                <w:ilvl w:val="0"/>
                <w:numId w:val="23"/>
              </w:numPr>
              <w:spacing w:before="240" w:after="240"/>
              <w:ind w:left="1701"/>
              <w:rPr>
                <w:rFonts w:ascii="Verdana" w:hAnsi="Verdana"/>
                <w:sz w:val="22"/>
                <w:szCs w:val="22"/>
              </w:rPr>
            </w:pPr>
            <w:proofErr w:type="gramStart"/>
            <w:r>
              <w:rPr>
                <w:rFonts w:ascii="Verdana" w:hAnsi="Verdana"/>
                <w:sz w:val="22"/>
                <w:szCs w:val="22"/>
              </w:rPr>
              <w:t>T</w:t>
            </w:r>
            <w:r w:rsidR="006D2A11" w:rsidRPr="00CE5EFD">
              <w:rPr>
                <w:rFonts w:ascii="Verdana" w:hAnsi="Verdana"/>
                <w:sz w:val="22"/>
                <w:szCs w:val="22"/>
              </w:rPr>
              <w:t>he National Preventive mechanisms under the Crimes of Torture Act</w:t>
            </w:r>
            <w:r>
              <w:rPr>
                <w:rFonts w:ascii="Verdana" w:hAnsi="Verdana"/>
                <w:sz w:val="22"/>
                <w:szCs w:val="22"/>
              </w:rPr>
              <w:t xml:space="preserve"> 1989</w:t>
            </w:r>
            <w:r w:rsidR="00B360E5">
              <w:rPr>
                <w:rFonts w:ascii="Verdana" w:hAnsi="Verdana"/>
                <w:sz w:val="22"/>
                <w:szCs w:val="22"/>
              </w:rPr>
              <w:t>.</w:t>
            </w:r>
            <w:proofErr w:type="gramEnd"/>
          </w:p>
          <w:p w:rsidR="00F01C7B" w:rsidRPr="00CE5EFD" w:rsidRDefault="00CE5EFD" w:rsidP="00F01C7B">
            <w:pPr>
              <w:pStyle w:val="Heading4"/>
              <w:numPr>
                <w:ilvl w:val="0"/>
                <w:numId w:val="23"/>
              </w:numPr>
              <w:spacing w:before="240" w:after="240"/>
              <w:ind w:left="1701"/>
              <w:rPr>
                <w:rFonts w:ascii="Verdana" w:hAnsi="Verdana"/>
                <w:sz w:val="22"/>
                <w:szCs w:val="22"/>
              </w:rPr>
            </w:pPr>
            <w:r w:rsidRPr="00CE5EFD">
              <w:rPr>
                <w:rFonts w:ascii="Verdana" w:hAnsi="Verdana"/>
                <w:sz w:val="22"/>
                <w:szCs w:val="22"/>
              </w:rPr>
              <w:t xml:space="preserve">The </w:t>
            </w:r>
            <w:r w:rsidR="006D2A11" w:rsidRPr="00CE5EFD">
              <w:rPr>
                <w:rFonts w:ascii="Verdana" w:hAnsi="Verdana"/>
                <w:i/>
                <w:sz w:val="22"/>
                <w:szCs w:val="22"/>
              </w:rPr>
              <w:t xml:space="preserve">Guidelines to the </w:t>
            </w:r>
            <w:r w:rsidR="006D2A11" w:rsidRPr="00CE5EFD">
              <w:rPr>
                <w:rFonts w:ascii="Verdana" w:hAnsi="Verdana" w:cs="Arial"/>
                <w:i/>
                <w:sz w:val="22"/>
                <w:szCs w:val="22"/>
                <w:lang w:val="en"/>
              </w:rPr>
              <w:t>Mental Health (Compulsory Assessment and Treatment) Act 1992</w:t>
            </w:r>
            <w:r w:rsidR="006D2A11" w:rsidRPr="00CE5EFD">
              <w:rPr>
                <w:rFonts w:ascii="Verdana" w:hAnsi="Verdana" w:cs="Arial"/>
                <w:sz w:val="22"/>
                <w:szCs w:val="22"/>
                <w:lang w:val="en"/>
              </w:rPr>
              <w:t xml:space="preserve"> outline the rights of compulsory mental health consumers and the obligatio</w:t>
            </w:r>
            <w:r>
              <w:rPr>
                <w:rFonts w:ascii="Verdana" w:hAnsi="Verdana" w:cs="Arial"/>
                <w:sz w:val="22"/>
                <w:szCs w:val="22"/>
                <w:lang w:val="en"/>
              </w:rPr>
              <w:t>ns of mental health clinicians. For more information, please visit</w:t>
            </w:r>
            <w:r w:rsidR="006D2A11" w:rsidRPr="00CE5EFD">
              <w:rPr>
                <w:rFonts w:ascii="Verdana" w:hAnsi="Verdana" w:cs="Arial"/>
                <w:sz w:val="22"/>
                <w:szCs w:val="22"/>
                <w:lang w:val="en"/>
              </w:rPr>
              <w:t xml:space="preserve"> </w:t>
            </w:r>
            <w:hyperlink r:id="rId46" w:history="1">
              <w:r w:rsidR="006D2A11" w:rsidRPr="00CE5EFD">
                <w:rPr>
                  <w:rStyle w:val="Hyperlink"/>
                  <w:rFonts w:ascii="Verdana" w:hAnsi="Verdana" w:cs="Arial"/>
                  <w:sz w:val="22"/>
                  <w:szCs w:val="22"/>
                  <w:lang w:val="en"/>
                </w:rPr>
                <w:t>http://www.health.govt.nz/publication/guidelines-mental-health-compulsory-assessment-and-treatment-act-1992</w:t>
              </w:r>
            </w:hyperlink>
            <w:r>
              <w:rPr>
                <w:rFonts w:ascii="Verdana" w:hAnsi="Verdana" w:cs="Arial"/>
                <w:sz w:val="22"/>
                <w:szCs w:val="22"/>
                <w:lang w:val="en"/>
              </w:rPr>
              <w:t>.</w:t>
            </w:r>
          </w:p>
          <w:p w:rsidR="006D2A11" w:rsidRPr="00CE5EFD" w:rsidRDefault="00CE5EFD" w:rsidP="00F01C7B">
            <w:pPr>
              <w:pStyle w:val="Heading4"/>
              <w:numPr>
                <w:ilvl w:val="0"/>
                <w:numId w:val="23"/>
              </w:numPr>
              <w:spacing w:before="240" w:after="240"/>
              <w:ind w:left="1701"/>
              <w:rPr>
                <w:rFonts w:ascii="Verdana" w:hAnsi="Verdana" w:cs="Arial"/>
                <w:sz w:val="22"/>
                <w:szCs w:val="22"/>
                <w:lang w:val="en"/>
              </w:rPr>
            </w:pPr>
            <w:r w:rsidRPr="00CE5EFD">
              <w:rPr>
                <w:rFonts w:ascii="Verdana" w:hAnsi="Verdana" w:cs="Arial"/>
                <w:sz w:val="22"/>
                <w:szCs w:val="22"/>
                <w:lang w:val="en"/>
              </w:rPr>
              <w:t xml:space="preserve">The </w:t>
            </w:r>
            <w:r>
              <w:rPr>
                <w:rFonts w:ascii="Verdana" w:hAnsi="Verdana" w:cs="Arial"/>
                <w:i/>
                <w:sz w:val="22"/>
                <w:szCs w:val="22"/>
                <w:lang w:val="en"/>
              </w:rPr>
              <w:t xml:space="preserve">Seclusion </w:t>
            </w:r>
            <w:r w:rsidR="006D2A11" w:rsidRPr="00CE5EFD">
              <w:rPr>
                <w:rFonts w:ascii="Verdana" w:hAnsi="Verdana" w:cs="Arial"/>
                <w:i/>
                <w:sz w:val="22"/>
                <w:szCs w:val="22"/>
                <w:lang w:val="en"/>
              </w:rPr>
              <w:t>under the Mental Health (Compulsory Assessment and Treatment) Act 1992</w:t>
            </w:r>
            <w:r w:rsidR="006D2A11" w:rsidRPr="00CE5EFD">
              <w:rPr>
                <w:rFonts w:ascii="Verdana" w:hAnsi="Verdana" w:cs="Arial"/>
                <w:sz w:val="22"/>
                <w:szCs w:val="22"/>
                <w:lang w:val="en"/>
              </w:rPr>
              <w:t xml:space="preserve"> guidelines for the use of secl</w:t>
            </w:r>
            <w:r>
              <w:rPr>
                <w:rFonts w:ascii="Verdana" w:hAnsi="Verdana" w:cs="Arial"/>
                <w:sz w:val="22"/>
                <w:szCs w:val="22"/>
                <w:lang w:val="en"/>
              </w:rPr>
              <w:t xml:space="preserve">usion </w:t>
            </w:r>
            <w:r w:rsidR="00977976">
              <w:rPr>
                <w:rFonts w:ascii="Verdana" w:hAnsi="Verdana" w:cs="Arial"/>
                <w:sz w:val="22"/>
                <w:szCs w:val="22"/>
                <w:lang w:val="en"/>
              </w:rPr>
              <w:t>in mental health services</w:t>
            </w:r>
            <w:r>
              <w:rPr>
                <w:rFonts w:ascii="Verdana" w:hAnsi="Verdana" w:cs="Arial"/>
                <w:sz w:val="22"/>
                <w:szCs w:val="22"/>
                <w:lang w:val="en"/>
              </w:rPr>
              <w:t xml:space="preserve"> </w:t>
            </w:r>
            <w:proofErr w:type="gramStart"/>
            <w:r>
              <w:rPr>
                <w:rFonts w:ascii="Verdana" w:hAnsi="Verdana" w:cs="Arial"/>
                <w:sz w:val="22"/>
                <w:szCs w:val="22"/>
                <w:lang w:val="en"/>
              </w:rPr>
              <w:t>aim</w:t>
            </w:r>
            <w:proofErr w:type="gramEnd"/>
            <w:r>
              <w:rPr>
                <w:rFonts w:ascii="Verdana" w:hAnsi="Verdana" w:cs="Arial"/>
                <w:sz w:val="22"/>
                <w:szCs w:val="22"/>
                <w:lang w:val="en"/>
              </w:rPr>
              <w:t xml:space="preserve"> </w:t>
            </w:r>
            <w:r w:rsidR="006D2A11" w:rsidRPr="00CE5EFD">
              <w:rPr>
                <w:rFonts w:ascii="Verdana" w:hAnsi="Verdana" w:cs="Arial"/>
                <w:sz w:val="22"/>
                <w:szCs w:val="22"/>
                <w:lang w:val="en"/>
              </w:rPr>
              <w:t>to ident</w:t>
            </w:r>
            <w:r>
              <w:rPr>
                <w:rFonts w:ascii="Verdana" w:hAnsi="Verdana" w:cs="Arial"/>
                <w:sz w:val="22"/>
                <w:szCs w:val="22"/>
                <w:lang w:val="en"/>
              </w:rPr>
              <w:t>ify best seclusion practice. For more information, please visit</w:t>
            </w:r>
            <w:r w:rsidR="006D2A11" w:rsidRPr="00CE5EFD">
              <w:rPr>
                <w:rFonts w:ascii="Verdana" w:hAnsi="Verdana"/>
                <w:sz w:val="22"/>
                <w:szCs w:val="22"/>
                <w:lang w:val="en"/>
              </w:rPr>
              <w:t xml:space="preserve"> </w:t>
            </w:r>
            <w:hyperlink r:id="rId47" w:history="1">
              <w:r w:rsidR="00F01C7B" w:rsidRPr="00CE5EFD">
                <w:rPr>
                  <w:rStyle w:val="Hyperlink"/>
                  <w:rFonts w:ascii="Verdana" w:hAnsi="Verdana" w:cs="Arial"/>
                  <w:sz w:val="22"/>
                  <w:szCs w:val="22"/>
                  <w:lang w:val="en"/>
                </w:rPr>
                <w:t>http://www.health.govt.nz/publication/seclusion-under-mental-health-compulsory-assessment-and-treatment-act-1992</w:t>
              </w:r>
            </w:hyperlink>
            <w:r>
              <w:rPr>
                <w:rFonts w:ascii="Verdana" w:hAnsi="Verdana" w:cs="Arial"/>
                <w:sz w:val="22"/>
                <w:szCs w:val="22"/>
                <w:lang w:val="en"/>
              </w:rPr>
              <w:t>.</w:t>
            </w:r>
            <w:r w:rsidR="006D2A11" w:rsidRPr="00CE5EFD">
              <w:rPr>
                <w:rFonts w:ascii="Verdana" w:hAnsi="Verdana" w:cs="Arial"/>
                <w:sz w:val="22"/>
                <w:szCs w:val="22"/>
                <w:lang w:val="en"/>
              </w:rPr>
              <w:t xml:space="preserve"> </w:t>
            </w:r>
          </w:p>
          <w:p w:rsidR="00F01C7B" w:rsidRPr="00CE5EFD" w:rsidRDefault="00CE5EFD" w:rsidP="00F01C7B">
            <w:pPr>
              <w:pStyle w:val="Heading4"/>
              <w:numPr>
                <w:ilvl w:val="0"/>
                <w:numId w:val="9"/>
              </w:numPr>
              <w:spacing w:before="240" w:after="240"/>
              <w:rPr>
                <w:rFonts w:ascii="Verdana" w:hAnsi="Verdana" w:cs="Arial"/>
                <w:sz w:val="22"/>
                <w:szCs w:val="22"/>
              </w:rPr>
            </w:pPr>
            <w:r w:rsidRPr="00CE5EFD">
              <w:rPr>
                <w:rFonts w:ascii="Verdana" w:hAnsi="Verdana"/>
                <w:sz w:val="22"/>
                <w:szCs w:val="22"/>
              </w:rPr>
              <w:t>The Office of the Director of Mental Health publishes an annual report on clinical activities that must be reported under the Mental Health Act</w:t>
            </w:r>
            <w:r w:rsidR="00B360E5">
              <w:rPr>
                <w:rFonts w:ascii="Verdana" w:hAnsi="Verdana"/>
                <w:sz w:val="22"/>
                <w:szCs w:val="22"/>
              </w:rPr>
              <w:t xml:space="preserve"> 1992</w:t>
            </w:r>
            <w:r w:rsidRPr="00CE5EFD">
              <w:rPr>
                <w:rFonts w:ascii="Verdana" w:hAnsi="Verdana"/>
                <w:sz w:val="22"/>
                <w:szCs w:val="22"/>
              </w:rPr>
              <w:t>.  The report monitors the quality of mental health services and contributes to the improvement of standards of m</w:t>
            </w:r>
            <w:r>
              <w:rPr>
                <w:rFonts w:ascii="Verdana" w:hAnsi="Verdana"/>
                <w:sz w:val="22"/>
                <w:szCs w:val="22"/>
              </w:rPr>
              <w:t>ental health care and treatment. For more information, please visit</w:t>
            </w:r>
            <w:r w:rsidRPr="00CE5EFD">
              <w:rPr>
                <w:rFonts w:ascii="Verdana" w:hAnsi="Verdana" w:cs="Arial"/>
                <w:sz w:val="22"/>
                <w:szCs w:val="22"/>
              </w:rPr>
              <w:t xml:space="preserve"> </w:t>
            </w:r>
            <w:hyperlink r:id="rId48" w:history="1">
              <w:r w:rsidRPr="00CE5EFD">
                <w:rPr>
                  <w:rStyle w:val="Hyperlink"/>
                  <w:rFonts w:ascii="Verdana" w:hAnsi="Verdana" w:cs="Arial"/>
                  <w:sz w:val="22"/>
                  <w:szCs w:val="22"/>
                </w:rPr>
                <w:t>http://www.health.govt.nz/publication/office-director-mental-health-annual-report-2015</w:t>
              </w:r>
            </w:hyperlink>
            <w:r w:rsidRPr="00CE5EFD">
              <w:rPr>
                <w:rFonts w:ascii="Verdana" w:hAnsi="Verdana" w:cs="Arial"/>
                <w:sz w:val="22"/>
                <w:szCs w:val="22"/>
              </w:rPr>
              <w:t>.</w:t>
            </w:r>
          </w:p>
          <w:p w:rsidR="00B360E5" w:rsidRPr="00B360E5" w:rsidRDefault="00CE5EFD" w:rsidP="00B360E5">
            <w:pPr>
              <w:pStyle w:val="Heading4"/>
              <w:numPr>
                <w:ilvl w:val="0"/>
                <w:numId w:val="9"/>
              </w:numPr>
              <w:spacing w:before="240" w:after="240"/>
              <w:rPr>
                <w:rFonts w:ascii="Verdana" w:hAnsi="Verdana" w:cs="Arial"/>
                <w:sz w:val="22"/>
                <w:szCs w:val="22"/>
              </w:rPr>
            </w:pPr>
            <w:r w:rsidRPr="00CE5EFD">
              <w:rPr>
                <w:rFonts w:ascii="Verdana" w:hAnsi="Verdana"/>
                <w:sz w:val="22"/>
                <w:szCs w:val="22"/>
              </w:rPr>
              <w:t>The Ministry of Health</w:t>
            </w:r>
            <w:r w:rsidR="00B360E5">
              <w:rPr>
                <w:rFonts w:ascii="Verdana" w:hAnsi="Verdana"/>
                <w:sz w:val="22"/>
                <w:szCs w:val="22"/>
              </w:rPr>
              <w:t xml:space="preserve"> i</w:t>
            </w:r>
            <w:r w:rsidR="006D2A11" w:rsidRPr="00B360E5">
              <w:rPr>
                <w:rFonts w:ascii="Verdana" w:hAnsi="Verdana"/>
                <w:sz w:val="22"/>
                <w:szCs w:val="22"/>
              </w:rPr>
              <w:t>s the lead government agency for Action 9d in the Disability Action Plan 2014-</w:t>
            </w:r>
            <w:r w:rsidR="00B360E5" w:rsidRPr="00B360E5">
              <w:rPr>
                <w:rFonts w:ascii="Verdana" w:hAnsi="Verdana"/>
                <w:sz w:val="22"/>
                <w:szCs w:val="22"/>
              </w:rPr>
              <w:t>20</w:t>
            </w:r>
            <w:r w:rsidR="006D2A11" w:rsidRPr="00B360E5">
              <w:rPr>
                <w:rFonts w:ascii="Verdana" w:hAnsi="Verdana"/>
                <w:sz w:val="22"/>
                <w:szCs w:val="22"/>
              </w:rPr>
              <w:t>18</w:t>
            </w:r>
            <w:r w:rsidR="00B360E5">
              <w:rPr>
                <w:rFonts w:ascii="Verdana" w:hAnsi="Verdana"/>
                <w:sz w:val="22"/>
                <w:szCs w:val="22"/>
              </w:rPr>
              <w:t>,</w:t>
            </w:r>
            <w:r w:rsidR="006D2A11" w:rsidRPr="00B360E5">
              <w:rPr>
                <w:rFonts w:ascii="Verdana" w:hAnsi="Verdana"/>
                <w:sz w:val="22"/>
                <w:szCs w:val="22"/>
              </w:rPr>
              <w:t xml:space="preserve"> on whether the Mental Health Act </w:t>
            </w:r>
            <w:r w:rsidR="00B360E5" w:rsidRPr="00B360E5">
              <w:rPr>
                <w:rFonts w:ascii="Verdana" w:hAnsi="Verdana"/>
                <w:sz w:val="22"/>
                <w:szCs w:val="22"/>
              </w:rPr>
              <w:t xml:space="preserve">1992 </w:t>
            </w:r>
            <w:r w:rsidR="006D2A11" w:rsidRPr="00B360E5">
              <w:rPr>
                <w:rFonts w:ascii="Verdana" w:hAnsi="Verdana"/>
                <w:sz w:val="22"/>
                <w:szCs w:val="22"/>
              </w:rPr>
              <w:t xml:space="preserve">complies with the </w:t>
            </w:r>
            <w:r w:rsidR="00B360E5" w:rsidRPr="00B360E5">
              <w:rPr>
                <w:rFonts w:ascii="Verdana" w:hAnsi="Verdana"/>
                <w:sz w:val="22"/>
                <w:szCs w:val="22"/>
              </w:rPr>
              <w:t xml:space="preserve">UN </w:t>
            </w:r>
            <w:r w:rsidR="006D2A11" w:rsidRPr="00B360E5">
              <w:rPr>
                <w:rFonts w:ascii="Verdana" w:hAnsi="Verdana"/>
                <w:sz w:val="22"/>
                <w:szCs w:val="22"/>
              </w:rPr>
              <w:t>C</w:t>
            </w:r>
            <w:r w:rsidR="00B360E5" w:rsidRPr="00B360E5">
              <w:rPr>
                <w:rFonts w:ascii="Verdana" w:hAnsi="Verdana"/>
                <w:sz w:val="22"/>
                <w:szCs w:val="22"/>
              </w:rPr>
              <w:t xml:space="preserve">onvention on the </w:t>
            </w:r>
            <w:r w:rsidR="006D2A11" w:rsidRPr="00B360E5">
              <w:rPr>
                <w:rFonts w:ascii="Verdana" w:hAnsi="Verdana"/>
                <w:sz w:val="22"/>
                <w:szCs w:val="22"/>
              </w:rPr>
              <w:t>R</w:t>
            </w:r>
            <w:r w:rsidR="00B360E5" w:rsidRPr="00B360E5">
              <w:rPr>
                <w:rFonts w:ascii="Verdana" w:hAnsi="Verdana"/>
                <w:sz w:val="22"/>
                <w:szCs w:val="22"/>
              </w:rPr>
              <w:t xml:space="preserve">ights of </w:t>
            </w:r>
            <w:r w:rsidR="006D2A11" w:rsidRPr="00B360E5">
              <w:rPr>
                <w:rFonts w:ascii="Verdana" w:hAnsi="Verdana"/>
                <w:sz w:val="22"/>
                <w:szCs w:val="22"/>
              </w:rPr>
              <w:t>P</w:t>
            </w:r>
            <w:r w:rsidR="00B360E5" w:rsidRPr="00B360E5">
              <w:rPr>
                <w:rFonts w:ascii="Verdana" w:hAnsi="Verdana"/>
                <w:sz w:val="22"/>
                <w:szCs w:val="22"/>
              </w:rPr>
              <w:t xml:space="preserve">ersons with </w:t>
            </w:r>
            <w:r w:rsidR="006D2A11" w:rsidRPr="00B360E5">
              <w:rPr>
                <w:rFonts w:ascii="Verdana" w:hAnsi="Verdana"/>
                <w:sz w:val="22"/>
                <w:szCs w:val="22"/>
              </w:rPr>
              <w:t>D</w:t>
            </w:r>
            <w:r w:rsidR="00B360E5" w:rsidRPr="00B360E5">
              <w:rPr>
                <w:rFonts w:ascii="Verdana" w:hAnsi="Verdana"/>
                <w:sz w:val="22"/>
                <w:szCs w:val="22"/>
              </w:rPr>
              <w:t>isabilities. For more information, please visit</w:t>
            </w:r>
            <w:r w:rsidR="006D2A11" w:rsidRPr="00B360E5">
              <w:rPr>
                <w:rFonts w:ascii="Verdana" w:hAnsi="Verdana"/>
                <w:sz w:val="22"/>
                <w:szCs w:val="22"/>
              </w:rPr>
              <w:t xml:space="preserve"> </w:t>
            </w:r>
            <w:hyperlink r:id="rId49" w:history="1">
              <w:r w:rsidR="006D2A11" w:rsidRPr="00B360E5">
                <w:rPr>
                  <w:rStyle w:val="Hyperlink"/>
                  <w:rFonts w:ascii="Verdana" w:hAnsi="Verdana"/>
                  <w:sz w:val="22"/>
                  <w:szCs w:val="22"/>
                </w:rPr>
                <w:t>https://www.odi.govt.nz/assets/Disability-action-plan-files/disability-action-plan-2014-2018-update-2015.pdf</w:t>
              </w:r>
            </w:hyperlink>
            <w:r w:rsidR="006D2A11" w:rsidRPr="00B360E5">
              <w:rPr>
                <w:rFonts w:ascii="Verdana" w:hAnsi="Verdana"/>
                <w:sz w:val="22"/>
                <w:szCs w:val="22"/>
              </w:rPr>
              <w:t xml:space="preserve">).  </w:t>
            </w:r>
          </w:p>
          <w:p w:rsidR="00B360E5" w:rsidRDefault="006D2A11" w:rsidP="00B360E5">
            <w:pPr>
              <w:pStyle w:val="Heading4"/>
              <w:numPr>
                <w:ilvl w:val="0"/>
                <w:numId w:val="9"/>
              </w:numPr>
              <w:spacing w:before="240" w:after="240"/>
              <w:rPr>
                <w:rFonts w:ascii="Verdana" w:hAnsi="Verdana" w:cs="Arial"/>
                <w:sz w:val="22"/>
                <w:szCs w:val="22"/>
              </w:rPr>
            </w:pPr>
            <w:r w:rsidRPr="00B360E5">
              <w:rPr>
                <w:rFonts w:ascii="Verdana" w:hAnsi="Verdana"/>
                <w:sz w:val="22"/>
                <w:szCs w:val="22"/>
              </w:rPr>
              <w:t xml:space="preserve">Work </w:t>
            </w:r>
            <w:r w:rsidR="00B360E5">
              <w:rPr>
                <w:rFonts w:ascii="Verdana" w:hAnsi="Verdana"/>
                <w:sz w:val="22"/>
                <w:szCs w:val="22"/>
              </w:rPr>
              <w:t xml:space="preserve">on this action is carried out </w:t>
            </w:r>
            <w:r w:rsidRPr="00B360E5">
              <w:rPr>
                <w:rFonts w:ascii="Verdana" w:hAnsi="Verdana"/>
                <w:sz w:val="22"/>
                <w:szCs w:val="22"/>
              </w:rPr>
              <w:t>in partnership with Balance Aotearoa (</w:t>
            </w:r>
            <w:r w:rsidR="00B360E5">
              <w:rPr>
                <w:rFonts w:ascii="Verdana" w:hAnsi="Verdana"/>
                <w:sz w:val="22"/>
                <w:szCs w:val="22"/>
              </w:rPr>
              <w:t xml:space="preserve">a </w:t>
            </w:r>
            <w:r w:rsidRPr="00B360E5">
              <w:rPr>
                <w:rFonts w:ascii="Verdana" w:hAnsi="Verdana"/>
                <w:sz w:val="22"/>
                <w:szCs w:val="22"/>
              </w:rPr>
              <w:t xml:space="preserve">mental health </w:t>
            </w:r>
            <w:r w:rsidR="00B360E5">
              <w:rPr>
                <w:rFonts w:ascii="Verdana" w:hAnsi="Verdana"/>
                <w:sz w:val="22"/>
                <w:szCs w:val="22"/>
              </w:rPr>
              <w:t>NGO),</w:t>
            </w:r>
            <w:r w:rsidRPr="00B360E5">
              <w:rPr>
                <w:rFonts w:ascii="Verdana" w:hAnsi="Verdana"/>
                <w:sz w:val="22"/>
                <w:szCs w:val="22"/>
              </w:rPr>
              <w:t xml:space="preserve"> and a national reference group</w:t>
            </w:r>
            <w:r w:rsidR="00B360E5">
              <w:rPr>
                <w:rFonts w:ascii="Verdana" w:hAnsi="Verdana"/>
                <w:sz w:val="22"/>
                <w:szCs w:val="22"/>
              </w:rPr>
              <w:t>, which</w:t>
            </w:r>
            <w:r w:rsidRPr="00B360E5">
              <w:rPr>
                <w:rFonts w:ascii="Verdana" w:hAnsi="Verdana"/>
                <w:sz w:val="22"/>
                <w:szCs w:val="22"/>
              </w:rPr>
              <w:t xml:space="preserve"> includes targeted consultation with key stakeholders. The work is being informed by service use</w:t>
            </w:r>
            <w:r w:rsidR="00B360E5">
              <w:rPr>
                <w:rFonts w:ascii="Verdana" w:hAnsi="Verdana"/>
                <w:sz w:val="22"/>
                <w:szCs w:val="22"/>
              </w:rPr>
              <w:t xml:space="preserve">rs, families, service providers, </w:t>
            </w:r>
            <w:r w:rsidRPr="00B360E5">
              <w:rPr>
                <w:rFonts w:ascii="Verdana" w:hAnsi="Verdana"/>
                <w:sz w:val="22"/>
                <w:szCs w:val="22"/>
              </w:rPr>
              <w:t xml:space="preserve">sector experts and </w:t>
            </w:r>
            <w:r w:rsidR="00B360E5">
              <w:rPr>
                <w:rFonts w:ascii="Verdana" w:hAnsi="Verdana"/>
                <w:sz w:val="22"/>
                <w:szCs w:val="22"/>
              </w:rPr>
              <w:t xml:space="preserve">relevant </w:t>
            </w:r>
            <w:r w:rsidRPr="00B360E5">
              <w:rPr>
                <w:rFonts w:ascii="Verdana" w:hAnsi="Verdana"/>
                <w:sz w:val="22"/>
                <w:szCs w:val="22"/>
              </w:rPr>
              <w:t>research and literature.</w:t>
            </w:r>
            <w:r w:rsidR="00CE5EFD" w:rsidRPr="00B360E5">
              <w:rPr>
                <w:rFonts w:ascii="Verdana" w:hAnsi="Verdana"/>
                <w:sz w:val="22"/>
                <w:szCs w:val="22"/>
              </w:rPr>
              <w:t xml:space="preserve"> For more information, please visit</w:t>
            </w:r>
            <w:r w:rsidRPr="00B360E5">
              <w:rPr>
                <w:rFonts w:ascii="Verdana" w:hAnsi="Verdana"/>
                <w:sz w:val="22"/>
                <w:szCs w:val="22"/>
              </w:rPr>
              <w:t xml:space="preserve"> </w:t>
            </w:r>
            <w:hyperlink r:id="rId50" w:history="1">
              <w:r w:rsidRPr="00B360E5">
                <w:rPr>
                  <w:rStyle w:val="Hyperlink"/>
                  <w:rFonts w:ascii="Verdana" w:hAnsi="Verdana"/>
                  <w:sz w:val="22"/>
                  <w:szCs w:val="22"/>
                </w:rPr>
                <w:t>http://www.health.govt.nz/our-work/mental-health-and-addictions/mental-health/mental-health-and-human-rights-assessment</w:t>
              </w:r>
            </w:hyperlink>
            <w:r w:rsidRPr="00B360E5">
              <w:rPr>
                <w:rFonts w:ascii="Verdana" w:hAnsi="Verdana"/>
                <w:sz w:val="22"/>
                <w:szCs w:val="22"/>
              </w:rPr>
              <w:t>.</w:t>
            </w:r>
          </w:p>
          <w:p w:rsidR="006D2A11" w:rsidRPr="00B360E5" w:rsidRDefault="00B360E5" w:rsidP="00B360E5">
            <w:pPr>
              <w:pStyle w:val="Heading4"/>
              <w:numPr>
                <w:ilvl w:val="0"/>
                <w:numId w:val="9"/>
              </w:numPr>
              <w:spacing w:before="240" w:after="240"/>
              <w:rPr>
                <w:rFonts w:ascii="Verdana" w:hAnsi="Verdana" w:cs="Arial"/>
                <w:sz w:val="22"/>
                <w:szCs w:val="22"/>
              </w:rPr>
            </w:pPr>
            <w:r w:rsidRPr="00B360E5">
              <w:rPr>
                <w:rFonts w:ascii="Verdana" w:hAnsi="Verdana"/>
                <w:sz w:val="22"/>
                <w:szCs w:val="22"/>
              </w:rPr>
              <w:t>The Ministry of Health a</w:t>
            </w:r>
            <w:r w:rsidR="006D2A11" w:rsidRPr="00B360E5">
              <w:rPr>
                <w:rFonts w:ascii="Verdana" w:hAnsi="Verdana"/>
                <w:sz w:val="22"/>
                <w:szCs w:val="22"/>
              </w:rPr>
              <w:t>dministers the Programme for the Integration of Mental Health Data (PRIMHD)</w:t>
            </w:r>
            <w:r>
              <w:rPr>
                <w:rFonts w:ascii="Verdana" w:hAnsi="Verdana"/>
                <w:sz w:val="22"/>
                <w:szCs w:val="22"/>
              </w:rPr>
              <w:t xml:space="preserve">. This is a </w:t>
            </w:r>
            <w:r w:rsidR="006D2A11" w:rsidRPr="00B360E5">
              <w:rPr>
                <w:rFonts w:ascii="Verdana" w:hAnsi="Verdana"/>
                <w:sz w:val="22"/>
                <w:szCs w:val="22"/>
              </w:rPr>
              <w:t>national collection for mental health and addiction service outcomes</w:t>
            </w:r>
            <w:r>
              <w:rPr>
                <w:rFonts w:ascii="Verdana" w:hAnsi="Verdana"/>
                <w:sz w:val="22"/>
                <w:szCs w:val="22"/>
              </w:rPr>
              <w:t>, as well as</w:t>
            </w:r>
            <w:r w:rsidR="006D2A11" w:rsidRPr="00B360E5">
              <w:rPr>
                <w:rFonts w:ascii="Verdana" w:hAnsi="Verdana"/>
                <w:sz w:val="22"/>
                <w:szCs w:val="22"/>
              </w:rPr>
              <w:t xml:space="preserve"> outcome data for mental health </w:t>
            </w:r>
            <w:r w:rsidRPr="00B360E5">
              <w:rPr>
                <w:rFonts w:ascii="Verdana" w:hAnsi="Verdana"/>
                <w:sz w:val="22"/>
                <w:szCs w:val="22"/>
              </w:rPr>
              <w:t>consumers</w:t>
            </w:r>
            <w:r w:rsidR="00CE5EFD" w:rsidRPr="00B360E5">
              <w:rPr>
                <w:rFonts w:ascii="Verdana" w:hAnsi="Verdana"/>
                <w:sz w:val="22"/>
                <w:szCs w:val="22"/>
              </w:rPr>
              <w:t>. For more information, please visit</w:t>
            </w:r>
            <w:r w:rsidR="006D2A11" w:rsidRPr="00B360E5">
              <w:rPr>
                <w:rFonts w:ascii="Verdana" w:hAnsi="Verdana"/>
                <w:sz w:val="22"/>
                <w:szCs w:val="22"/>
              </w:rPr>
              <w:t xml:space="preserve"> </w:t>
            </w:r>
            <w:hyperlink r:id="rId51" w:history="1">
              <w:r w:rsidR="00CE5EFD" w:rsidRPr="00B360E5">
                <w:rPr>
                  <w:rStyle w:val="Hyperlink"/>
                  <w:rFonts w:ascii="Verdana" w:hAnsi="Verdana"/>
                  <w:sz w:val="22"/>
                  <w:szCs w:val="22"/>
                </w:rPr>
                <w:t>http://www.health.govt.nz/nz-health-statistics/national-collections-and-surveys/collections/primhd-mental-health-data</w:t>
              </w:r>
            </w:hyperlink>
            <w:r w:rsidR="00CE5EFD" w:rsidRPr="00B360E5">
              <w:rPr>
                <w:rFonts w:ascii="Verdana" w:hAnsi="Verdana"/>
                <w:sz w:val="22"/>
                <w:szCs w:val="22"/>
              </w:rPr>
              <w:t xml:space="preserve">. </w:t>
            </w:r>
          </w:p>
          <w:p w:rsidR="006D2A11" w:rsidRPr="00CE5EFD" w:rsidRDefault="00CE5EFD" w:rsidP="006D2A11">
            <w:pPr>
              <w:tabs>
                <w:tab w:val="left" w:pos="680"/>
                <w:tab w:val="left" w:pos="1359"/>
                <w:tab w:val="left" w:pos="1983"/>
                <w:tab w:val="left" w:pos="6349"/>
                <w:tab w:val="left" w:pos="6915"/>
                <w:tab w:val="left" w:pos="8370"/>
              </w:tabs>
              <w:spacing w:before="60"/>
              <w:rPr>
                <w:rFonts w:ascii="Verdana" w:hAnsi="Verdana" w:cs="Arial"/>
                <w:color w:val="000000"/>
                <w:sz w:val="22"/>
                <w:szCs w:val="22"/>
              </w:rPr>
            </w:pPr>
            <w:r>
              <w:rPr>
                <w:rFonts w:ascii="Verdana" w:hAnsi="Verdana" w:cs="Arial"/>
                <w:color w:val="000000"/>
                <w:sz w:val="22"/>
                <w:szCs w:val="22"/>
              </w:rPr>
              <w:t>Disability Support Services</w:t>
            </w:r>
            <w:r w:rsidR="00B360E5">
              <w:rPr>
                <w:rFonts w:ascii="Verdana" w:hAnsi="Verdana" w:cs="Arial"/>
                <w:color w:val="000000"/>
                <w:sz w:val="22"/>
                <w:szCs w:val="22"/>
              </w:rPr>
              <w:t xml:space="preserve"> (DSS)</w:t>
            </w:r>
          </w:p>
          <w:p w:rsidR="00CE5EFD" w:rsidRPr="00CE5EFD" w:rsidRDefault="00B360E5" w:rsidP="00CE5EFD">
            <w:pPr>
              <w:pStyle w:val="Heading4"/>
              <w:numPr>
                <w:ilvl w:val="0"/>
                <w:numId w:val="9"/>
              </w:numPr>
              <w:spacing w:before="240" w:after="240"/>
              <w:rPr>
                <w:rFonts w:ascii="Verdana" w:hAnsi="Verdana"/>
                <w:kern w:val="2"/>
                <w:sz w:val="22"/>
                <w:szCs w:val="22"/>
                <w:lang w:val="en-US"/>
              </w:rPr>
            </w:pPr>
            <w:r>
              <w:rPr>
                <w:rFonts w:ascii="Verdana" w:hAnsi="Verdana"/>
                <w:sz w:val="22"/>
                <w:szCs w:val="22"/>
              </w:rPr>
              <w:t>DSS a</w:t>
            </w:r>
            <w:r w:rsidR="006D2A11" w:rsidRPr="00CE5EFD">
              <w:rPr>
                <w:rFonts w:ascii="Verdana" w:hAnsi="Verdana"/>
                <w:sz w:val="22"/>
                <w:szCs w:val="22"/>
              </w:rPr>
              <w:t>dministers ‘Socrates’ national disability information collection and database, covering all clients assessed as eligible to access disability support services.</w:t>
            </w:r>
          </w:p>
          <w:p w:rsidR="00CE5EFD" w:rsidRPr="00CE5EFD" w:rsidRDefault="00B360E5" w:rsidP="00CE5EFD">
            <w:pPr>
              <w:pStyle w:val="Heading4"/>
              <w:numPr>
                <w:ilvl w:val="0"/>
                <w:numId w:val="9"/>
              </w:numPr>
              <w:spacing w:before="240" w:after="240"/>
              <w:rPr>
                <w:rFonts w:ascii="Verdana" w:hAnsi="Verdana"/>
                <w:kern w:val="2"/>
                <w:sz w:val="22"/>
                <w:szCs w:val="22"/>
                <w:lang w:val="en-US"/>
              </w:rPr>
            </w:pPr>
            <w:r>
              <w:rPr>
                <w:rFonts w:ascii="Verdana" w:hAnsi="Verdana"/>
                <w:sz w:val="22"/>
                <w:szCs w:val="22"/>
              </w:rPr>
              <w:t>DSS p</w:t>
            </w:r>
            <w:r w:rsidR="006D2A11" w:rsidRPr="00CE5EFD">
              <w:rPr>
                <w:rFonts w:ascii="Verdana" w:hAnsi="Verdana"/>
                <w:sz w:val="22"/>
                <w:szCs w:val="22"/>
              </w:rPr>
              <w:t xml:space="preserve">roduces client demographic reports on people who have been allocated </w:t>
            </w:r>
            <w:r w:rsidR="00CE5EFD">
              <w:rPr>
                <w:rFonts w:ascii="Verdana" w:hAnsi="Verdana"/>
                <w:sz w:val="22"/>
                <w:szCs w:val="22"/>
              </w:rPr>
              <w:t>disability support services. For more information, please visit</w:t>
            </w:r>
            <w:r w:rsidR="006D2A11" w:rsidRPr="00CE5EFD">
              <w:rPr>
                <w:rFonts w:ascii="Verdana" w:hAnsi="Verdana"/>
                <w:sz w:val="22"/>
                <w:szCs w:val="22"/>
              </w:rPr>
              <w:t xml:space="preserve"> </w:t>
            </w:r>
            <w:hyperlink r:id="rId52" w:history="1">
              <w:r w:rsidR="00CE5EFD" w:rsidRPr="00CE5EFD">
                <w:rPr>
                  <w:rStyle w:val="Hyperlink"/>
                  <w:rFonts w:ascii="Verdana" w:hAnsi="Verdana"/>
                  <w:sz w:val="22"/>
                  <w:szCs w:val="22"/>
                </w:rPr>
                <w:t>http://www.health.govt.nz/publication/demographic-report-clients-allocated-ministry-healths-disability-support-services-september-2014</w:t>
              </w:r>
            </w:hyperlink>
            <w:r w:rsidR="00CE5EFD" w:rsidRPr="00CE5EFD">
              <w:rPr>
                <w:rFonts w:ascii="Verdana" w:hAnsi="Verdana"/>
                <w:sz w:val="22"/>
                <w:szCs w:val="22"/>
              </w:rPr>
              <w:t>.</w:t>
            </w:r>
          </w:p>
          <w:p w:rsidR="006D2A11" w:rsidRPr="00CE5EFD" w:rsidRDefault="00B360E5" w:rsidP="00B360E5">
            <w:pPr>
              <w:pStyle w:val="Heading4"/>
              <w:numPr>
                <w:ilvl w:val="0"/>
                <w:numId w:val="9"/>
              </w:numPr>
              <w:spacing w:before="240" w:after="240"/>
              <w:rPr>
                <w:rFonts w:ascii="Verdana" w:hAnsi="Verdana"/>
                <w:kern w:val="2"/>
                <w:sz w:val="22"/>
                <w:szCs w:val="22"/>
                <w:lang w:val="en-US"/>
              </w:rPr>
            </w:pPr>
            <w:r>
              <w:rPr>
                <w:rFonts w:ascii="Verdana" w:hAnsi="Verdana"/>
                <w:sz w:val="22"/>
                <w:szCs w:val="22"/>
              </w:rPr>
              <w:t>DSS p</w:t>
            </w:r>
            <w:r w:rsidR="006D2A11" w:rsidRPr="00CE5EFD">
              <w:rPr>
                <w:rFonts w:ascii="Verdana" w:hAnsi="Verdana"/>
                <w:sz w:val="22"/>
                <w:szCs w:val="22"/>
              </w:rPr>
              <w:t xml:space="preserve">rovides guidance to safeguard disabled people who receive support funded by </w:t>
            </w:r>
            <w:r>
              <w:rPr>
                <w:rFonts w:ascii="Verdana" w:hAnsi="Verdana"/>
                <w:sz w:val="22"/>
                <w:szCs w:val="22"/>
              </w:rPr>
              <w:t>DSS</w:t>
            </w:r>
            <w:r w:rsidR="00CE5EFD">
              <w:rPr>
                <w:rFonts w:ascii="Verdana" w:hAnsi="Verdana"/>
                <w:sz w:val="22"/>
                <w:szCs w:val="22"/>
              </w:rPr>
              <w:t>. For more information, please visit</w:t>
            </w:r>
            <w:r w:rsidR="006D2A11" w:rsidRPr="00CE5EFD">
              <w:rPr>
                <w:rFonts w:ascii="Verdana" w:hAnsi="Verdana"/>
                <w:sz w:val="22"/>
                <w:szCs w:val="22"/>
              </w:rPr>
              <w:t xml:space="preserve"> </w:t>
            </w:r>
            <w:hyperlink r:id="rId53" w:history="1">
              <w:r w:rsidR="00CE5EFD" w:rsidRPr="00CE5EFD">
                <w:rPr>
                  <w:rStyle w:val="Hyperlink"/>
                  <w:rFonts w:ascii="Verdana" w:hAnsi="Verdana"/>
                  <w:sz w:val="22"/>
                  <w:szCs w:val="22"/>
                </w:rPr>
                <w:t>http://www.health.govt.nz/publication/prevention-and-management-abuse-guide-services-funded-disability-support-services</w:t>
              </w:r>
            </w:hyperlink>
            <w:r w:rsidR="00CE5EFD" w:rsidRPr="00CE5EFD">
              <w:rPr>
                <w:rFonts w:ascii="Verdana" w:hAnsi="Verdana"/>
                <w:sz w:val="22"/>
                <w:szCs w:val="22"/>
              </w:rPr>
              <w:t>.</w:t>
            </w:r>
            <w:r w:rsidR="00CE5EFD">
              <w:rPr>
                <w:rFonts w:ascii="Georgia" w:hAnsi="Georgia"/>
                <w:sz w:val="22"/>
                <w:szCs w:val="22"/>
              </w:rPr>
              <w:t xml:space="preserve"> </w:t>
            </w:r>
          </w:p>
        </w:tc>
      </w:tr>
    </w:tbl>
    <w:p w:rsidR="000D541E" w:rsidRPr="00B0106B" w:rsidRDefault="000D541E" w:rsidP="00B0106B">
      <w:pPr>
        <w:tabs>
          <w:tab w:val="left" w:pos="5550"/>
        </w:tabs>
        <w:rPr>
          <w:rFonts w:ascii="Verdana" w:hAnsi="Verdana"/>
          <w:sz w:val="22"/>
          <w:szCs w:val="24"/>
          <w:lang w:val="en-US"/>
        </w:rPr>
      </w:pPr>
    </w:p>
    <w:sectPr w:rsidR="000D541E" w:rsidRPr="00B0106B" w:rsidSect="00353E9F">
      <w:headerReference w:type="default" r:id="rId54"/>
      <w:footerReference w:type="default" r:id="rId55"/>
      <w:headerReference w:type="first" r:id="rId56"/>
      <w:pgSz w:w="16838" w:h="11906" w:orient="landscape" w:code="9"/>
      <w:pgMar w:top="720" w:right="720" w:bottom="720" w:left="720" w:header="284"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9E0" w:rsidRDefault="00CA49E0">
      <w:r>
        <w:separator/>
      </w:r>
    </w:p>
  </w:endnote>
  <w:endnote w:type="continuationSeparator" w:id="0">
    <w:p w:rsidR="00CA49E0" w:rsidRDefault="00CA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Mäor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MR10">
    <w:panose1 w:val="00000000000000000000"/>
    <w:charset w:val="00"/>
    <w:family w:val="auto"/>
    <w:notTrueType/>
    <w:pitch w:val="default"/>
    <w:sig w:usb0="00000003" w:usb1="00000000" w:usb2="00000000" w:usb3="00000000" w:csb0="00000001" w:csb1="00000000"/>
  </w:font>
  <w:font w:name="OptimaNZ">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C7B" w:rsidRDefault="00F01C7B"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9E0" w:rsidRDefault="00CA49E0">
      <w:r>
        <w:separator/>
      </w:r>
    </w:p>
  </w:footnote>
  <w:footnote w:type="continuationSeparator" w:id="0">
    <w:p w:rsidR="00CA49E0" w:rsidRDefault="00CA49E0">
      <w:r>
        <w:continuationSeparator/>
      </w:r>
    </w:p>
  </w:footnote>
  <w:footnote w:id="1">
    <w:p w:rsidR="00F01C7B" w:rsidRPr="00E95A49" w:rsidRDefault="00F01C7B" w:rsidP="00232FB8">
      <w:pPr>
        <w:pStyle w:val="FootnoteText"/>
        <w:spacing w:after="60"/>
        <w:rPr>
          <w:rFonts w:ascii="Verdana" w:hAnsi="Verdana"/>
          <w:lang w:val="en-NZ"/>
        </w:rPr>
      </w:pPr>
      <w:r w:rsidRPr="00E95A49">
        <w:rPr>
          <w:rStyle w:val="FootnoteReference"/>
          <w:rFonts w:ascii="Verdana" w:hAnsi="Verdana"/>
        </w:rPr>
        <w:footnoteRef/>
      </w:r>
      <w:r w:rsidRPr="00E95A49">
        <w:rPr>
          <w:rFonts w:ascii="Verdana" w:hAnsi="Verdana"/>
        </w:rPr>
        <w:t xml:space="preserve"> Refer to Special Commission of Inquiry into Child Protection Services in New South Wales (2008</w:t>
      </w:r>
      <w:r w:rsidRPr="00E95A49">
        <w:rPr>
          <w:rFonts w:ascii="Verdana" w:hAnsi="Verdana"/>
          <w:i/>
        </w:rPr>
        <w:t>), Report of the Special Commission of Inquiry into Child Protection Services in NSW: Executive Summary and Recommendations</w:t>
      </w:r>
      <w:r w:rsidRPr="00E95A49">
        <w:rPr>
          <w:rFonts w:ascii="Verdana" w:hAnsi="Verdana"/>
        </w:rPr>
        <w:t xml:space="preserve">; Queensland Child Protection Commission of Inquiry. (2013) </w:t>
      </w:r>
      <w:r w:rsidRPr="000732EE">
        <w:rPr>
          <w:rFonts w:ascii="Verdana" w:hAnsi="Verdana"/>
          <w:i/>
        </w:rPr>
        <w:t>Taking responsibility: A Roadmap for Queensland Child Protection</w:t>
      </w:r>
      <w:r w:rsidRPr="00E95A49">
        <w:rPr>
          <w:rFonts w:ascii="Verdana" w:hAnsi="Verdana"/>
        </w:rPr>
        <w:t>; Families</w:t>
      </w:r>
      <w:r>
        <w:rPr>
          <w:rFonts w:ascii="Verdana" w:hAnsi="Verdana"/>
        </w:rPr>
        <w:t xml:space="preserve"> </w:t>
      </w:r>
      <w:r w:rsidRPr="00E95A49">
        <w:rPr>
          <w:rFonts w:ascii="Verdana" w:hAnsi="Verdana"/>
        </w:rPr>
        <w:t xml:space="preserve">Commission. (2012). </w:t>
      </w:r>
      <w:r w:rsidRPr="000732EE">
        <w:rPr>
          <w:rFonts w:ascii="Verdana" w:hAnsi="Verdana"/>
          <w:i/>
        </w:rPr>
        <w:t>Disabled Parenting</w:t>
      </w:r>
      <w:r w:rsidRPr="00E95A49">
        <w:rPr>
          <w:rFonts w:ascii="Verdana" w:hAnsi="Verdana"/>
        </w:rPr>
        <w:t xml:space="preserve"> (references cited in Modernising Child, Youth and Family Expert Panel</w:t>
      </w:r>
      <w:r>
        <w:rPr>
          <w:rFonts w:ascii="Verdana" w:hAnsi="Verdana"/>
        </w:rPr>
        <w:t>.</w:t>
      </w:r>
      <w:r w:rsidRPr="00E95A49">
        <w:rPr>
          <w:rFonts w:ascii="Verdana" w:hAnsi="Verdana"/>
        </w:rPr>
        <w:t xml:space="preserve"> (2015)</w:t>
      </w:r>
      <w:r>
        <w:rPr>
          <w:rFonts w:ascii="Verdana" w:hAnsi="Verdana"/>
        </w:rPr>
        <w:t>.</w:t>
      </w:r>
      <w:r w:rsidRPr="00E95A49">
        <w:rPr>
          <w:rFonts w:ascii="Verdana" w:hAnsi="Verdana"/>
          <w:i/>
        </w:rPr>
        <w:t xml:space="preserve"> Expert Panel Final Report: Investing in New Zealand’s Children and their Families</w:t>
      </w:r>
      <w:r>
        <w:rPr>
          <w:rFonts w:ascii="Verdana" w:hAnsi="Verdana"/>
        </w:rPr>
        <w:t>).</w:t>
      </w:r>
      <w:r w:rsidRPr="00E95A49">
        <w:rPr>
          <w:rFonts w:ascii="Verdana" w:hAnsi="Verdana"/>
        </w:rPr>
        <w:t xml:space="preserve"> </w:t>
      </w:r>
    </w:p>
  </w:footnote>
  <w:footnote w:id="2">
    <w:p w:rsidR="00F01C7B" w:rsidRPr="00E95A49" w:rsidRDefault="00F01C7B" w:rsidP="00232FB8">
      <w:pPr>
        <w:pStyle w:val="FootnoteText"/>
        <w:spacing w:after="60"/>
        <w:rPr>
          <w:rFonts w:ascii="Verdana" w:hAnsi="Verdana"/>
        </w:rPr>
      </w:pPr>
      <w:r w:rsidRPr="00E95A49">
        <w:rPr>
          <w:rStyle w:val="FootnoteReference"/>
          <w:rFonts w:ascii="Verdana" w:hAnsi="Verdana"/>
        </w:rPr>
        <w:footnoteRef/>
      </w:r>
      <w:r w:rsidRPr="00E95A49">
        <w:rPr>
          <w:rFonts w:ascii="Verdana" w:hAnsi="Verdana"/>
        </w:rPr>
        <w:t xml:space="preserve"> Hughes, N., Williams, H., </w:t>
      </w:r>
      <w:proofErr w:type="spellStart"/>
      <w:r w:rsidRPr="00E95A49">
        <w:rPr>
          <w:rFonts w:ascii="Verdana" w:hAnsi="Verdana"/>
        </w:rPr>
        <w:t>Chitsabesan</w:t>
      </w:r>
      <w:proofErr w:type="spellEnd"/>
      <w:r w:rsidRPr="00E95A49">
        <w:rPr>
          <w:rFonts w:ascii="Verdana" w:hAnsi="Verdana"/>
        </w:rPr>
        <w:t xml:space="preserve">, P., Davies, R., </w:t>
      </w:r>
      <w:proofErr w:type="spellStart"/>
      <w:r w:rsidRPr="00E95A49">
        <w:rPr>
          <w:rFonts w:ascii="Verdana" w:hAnsi="Verdana"/>
        </w:rPr>
        <w:t>Mounce</w:t>
      </w:r>
      <w:proofErr w:type="spellEnd"/>
      <w:r w:rsidRPr="00E95A49">
        <w:rPr>
          <w:rFonts w:ascii="Verdana" w:hAnsi="Verdana"/>
        </w:rPr>
        <w:t xml:space="preserve">, L. (2012). </w:t>
      </w:r>
      <w:r w:rsidRPr="00E95A49">
        <w:rPr>
          <w:rFonts w:ascii="Verdana" w:hAnsi="Verdana"/>
          <w:i/>
        </w:rPr>
        <w:t>Nobody made the connection: The prevalence of neurodisability in young people who offend</w:t>
      </w:r>
      <w:r w:rsidRPr="00E95A49">
        <w:rPr>
          <w:rFonts w:ascii="Verdana" w:hAnsi="Verdana"/>
        </w:rPr>
        <w:t>. Retrieved from:</w:t>
      </w:r>
    </w:p>
    <w:p w:rsidR="00F01C7B" w:rsidRPr="00E95A49" w:rsidRDefault="00CA49E0" w:rsidP="00232FB8">
      <w:pPr>
        <w:pStyle w:val="FootnoteText"/>
        <w:spacing w:after="60"/>
        <w:rPr>
          <w:rFonts w:ascii="Verdana" w:hAnsi="Verdana"/>
          <w:lang w:val="en-NZ"/>
        </w:rPr>
      </w:pPr>
      <w:hyperlink r:id="rId1" w:history="1">
        <w:proofErr w:type="gramStart"/>
        <w:r w:rsidR="00F01C7B" w:rsidRPr="00E95A49">
          <w:rPr>
            <w:rStyle w:val="Hyperlink"/>
            <w:rFonts w:ascii="Verdana" w:hAnsi="Verdana"/>
          </w:rPr>
          <w:t>http://dera.ioe.ac.uk/16045/1/Neurodisability_Report_FINAL_UPDATED__01_11_12.pdf</w:t>
        </w:r>
      </w:hyperlink>
      <w:r w:rsidR="00F01C7B" w:rsidRPr="00E95A49">
        <w:rPr>
          <w:rFonts w:ascii="Verdana" w:hAnsi="Verdana"/>
        </w:rPr>
        <w:t xml:space="preserve"> (cited in Modernising Child, Youth and Family Expert Panel</w:t>
      </w:r>
      <w:r w:rsidR="00F01C7B">
        <w:rPr>
          <w:rFonts w:ascii="Verdana" w:hAnsi="Verdana"/>
        </w:rPr>
        <w:t>.</w:t>
      </w:r>
      <w:proofErr w:type="gramEnd"/>
      <w:r w:rsidR="00F01C7B" w:rsidRPr="00E95A49">
        <w:rPr>
          <w:rFonts w:ascii="Verdana" w:hAnsi="Verdana"/>
        </w:rPr>
        <w:t xml:space="preserve"> (2015)</w:t>
      </w:r>
      <w:r w:rsidR="00F01C7B">
        <w:rPr>
          <w:rFonts w:ascii="Verdana" w:hAnsi="Verdana"/>
        </w:rPr>
        <w:t>.</w:t>
      </w:r>
      <w:r w:rsidR="00F01C7B" w:rsidRPr="00E95A49">
        <w:rPr>
          <w:rFonts w:ascii="Verdana" w:hAnsi="Verdana"/>
          <w:i/>
        </w:rPr>
        <w:t xml:space="preserve"> Expert Panel Final Report: Investing in New Zealand’s Children and their Families</w:t>
      </w:r>
      <w:r w:rsidR="00F01C7B" w:rsidRPr="00E95A49">
        <w:rPr>
          <w:rFonts w:ascii="Verdana" w:hAnsi="Verdana"/>
        </w:rPr>
        <w:t>)</w:t>
      </w:r>
      <w:r w:rsidR="00F01C7B">
        <w:rPr>
          <w:rFonts w:ascii="Verdana" w:hAnsi="Verdana"/>
        </w:rPr>
        <w:t>.</w:t>
      </w:r>
    </w:p>
  </w:footnote>
  <w:footnote w:id="3">
    <w:p w:rsidR="00F01C7B" w:rsidRPr="00FE6A66" w:rsidRDefault="00F01C7B" w:rsidP="00232FB8">
      <w:pPr>
        <w:pStyle w:val="FootnoteText"/>
      </w:pPr>
      <w:r>
        <w:rPr>
          <w:rStyle w:val="FootnoteReference"/>
        </w:rPr>
        <w:footnoteRef/>
      </w:r>
      <w:r>
        <w:t xml:space="preserve"> </w:t>
      </w:r>
      <w:r>
        <w:rPr>
          <w:rFonts w:ascii="Verdana" w:hAnsi="Verdana"/>
        </w:rPr>
        <w:t>Note: A</w:t>
      </w:r>
      <w:r w:rsidRPr="00FE6A66">
        <w:rPr>
          <w:rFonts w:ascii="Verdana" w:hAnsi="Verdana"/>
        </w:rPr>
        <w:t xml:space="preserve"> child or young person may have more than one admission to these residences during the same time period (</w:t>
      </w:r>
      <w:proofErr w:type="spellStart"/>
      <w:r w:rsidRPr="00FE6A66">
        <w:rPr>
          <w:rFonts w:ascii="Verdana" w:hAnsi="Verdana"/>
        </w:rPr>
        <w:t>eg</w:t>
      </w:r>
      <w:proofErr w:type="spellEnd"/>
      <w:r w:rsidRPr="00FE6A66">
        <w:rPr>
          <w:rFonts w:ascii="Verdana" w:hAnsi="Verdana"/>
        </w:rPr>
        <w:t xml:space="preserve"> if they transferred between residences).</w:t>
      </w:r>
    </w:p>
    <w:p w:rsidR="00F01C7B" w:rsidRPr="00FE6A66" w:rsidRDefault="00F01C7B" w:rsidP="00232FB8">
      <w:pPr>
        <w:pStyle w:val="FootnoteText"/>
        <w:rPr>
          <w:lang w:val="en-N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C7B" w:rsidRPr="00AD4CA9" w:rsidRDefault="00F01C7B" w:rsidP="00B0106B">
    <w:pPr>
      <w:pStyle w:val="Header"/>
      <w:tabs>
        <w:tab w:val="clear" w:pos="4153"/>
        <w:tab w:val="clear" w:pos="8306"/>
        <w:tab w:val="center" w:pos="4252"/>
      </w:tabs>
      <w:spacing w:before="360" w:after="840"/>
      <w:jc w:val="right"/>
      <w:rPr>
        <w:sz w:val="14"/>
        <w:szCs w:val="1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C7B" w:rsidRPr="000D1C06" w:rsidRDefault="00F01C7B" w:rsidP="004E4940">
    <w:pPr>
      <w:pStyle w:val="Header"/>
      <w:tabs>
        <w:tab w:val="clear" w:pos="4153"/>
        <w:tab w:val="clear" w:pos="8306"/>
        <w:tab w:val="right" w:pos="3686"/>
        <w:tab w:val="left" w:pos="5812"/>
      </w:tabs>
      <w:spacing w:before="80" w:after="360"/>
      <w:jc w:val="right"/>
      <w:rPr>
        <w:sz w:val="14"/>
        <w:szCs w:val="14"/>
        <w:lang w:val="fr-CH"/>
      </w:rPr>
    </w:pPr>
    <w:r>
      <w:rPr>
        <w:noProof/>
        <w:snapToGrid/>
        <w:sz w:val="14"/>
        <w:szCs w:val="14"/>
        <w:lang w:val="en-NZ" w:eastAsia="en-NZ"/>
      </w:rPr>
      <w:drawing>
        <wp:inline distT="0" distB="0" distL="0" distR="0" wp14:anchorId="11F7AE06" wp14:editId="65DBDA38">
          <wp:extent cx="1790700" cy="656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I logo Vector RGB_black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3135" cy="6570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5DEB"/>
    <w:multiLevelType w:val="hybridMultilevel"/>
    <w:tmpl w:val="7A128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28D5FB1"/>
    <w:multiLevelType w:val="hybridMultilevel"/>
    <w:tmpl w:val="91A4BD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2ED3E07"/>
    <w:multiLevelType w:val="hybridMultilevel"/>
    <w:tmpl w:val="53F07F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nsid w:val="13026EE8"/>
    <w:multiLevelType w:val="hybridMultilevel"/>
    <w:tmpl w:val="225A31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nsid w:val="227A56C2"/>
    <w:multiLevelType w:val="hybridMultilevel"/>
    <w:tmpl w:val="5406CB16"/>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360C3412"/>
    <w:multiLevelType w:val="hybridMultilevel"/>
    <w:tmpl w:val="C21073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808406F"/>
    <w:multiLevelType w:val="hybridMultilevel"/>
    <w:tmpl w:val="FAB44E06"/>
    <w:lvl w:ilvl="0" w:tplc="1409000F">
      <w:start w:val="1"/>
      <w:numFmt w:val="decimal"/>
      <w:lvlText w:val="%1."/>
      <w:lvlJc w:val="left"/>
      <w:pPr>
        <w:ind w:left="360" w:hanging="360"/>
      </w:pPr>
      <w:rPr>
        <w:rFonts w:hint="default"/>
      </w:rPr>
    </w:lvl>
    <w:lvl w:ilvl="1" w:tplc="1409000F">
      <w:start w:val="1"/>
      <w:numFmt w:val="decimal"/>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38637237"/>
    <w:multiLevelType w:val="hybridMultilevel"/>
    <w:tmpl w:val="B67895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nsid w:val="3DFA543F"/>
    <w:multiLevelType w:val="hybridMultilevel"/>
    <w:tmpl w:val="7316AC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F6249F4"/>
    <w:multiLevelType w:val="hybridMultilevel"/>
    <w:tmpl w:val="37A886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EA27071"/>
    <w:multiLevelType w:val="hybridMultilevel"/>
    <w:tmpl w:val="2A729F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nsid w:val="4EDD47A0"/>
    <w:multiLevelType w:val="hybridMultilevel"/>
    <w:tmpl w:val="1940ED82"/>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nsid w:val="50330933"/>
    <w:multiLevelType w:val="hybridMultilevel"/>
    <w:tmpl w:val="5810D1BC"/>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E110A8F"/>
    <w:multiLevelType w:val="hybridMultilevel"/>
    <w:tmpl w:val="9A08896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nsid w:val="673938E1"/>
    <w:multiLevelType w:val="hybridMultilevel"/>
    <w:tmpl w:val="0CD6F38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nsid w:val="6D854BC0"/>
    <w:multiLevelType w:val="hybridMultilevel"/>
    <w:tmpl w:val="8BCED38C"/>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nsid w:val="74C7453A"/>
    <w:multiLevelType w:val="hybridMultilevel"/>
    <w:tmpl w:val="1DEC3F6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nsid w:val="79823D98"/>
    <w:multiLevelType w:val="hybridMultilevel"/>
    <w:tmpl w:val="50380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7AA157AC"/>
    <w:multiLevelType w:val="multilevel"/>
    <w:tmpl w:val="13749CB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21">
    <w:nsid w:val="7E5C6D17"/>
    <w:multiLevelType w:val="multilevel"/>
    <w:tmpl w:val="13749CB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9"/>
  </w:num>
  <w:num w:numId="3">
    <w:abstractNumId w:val="21"/>
  </w:num>
  <w:num w:numId="4">
    <w:abstractNumId w:val="18"/>
  </w:num>
  <w:num w:numId="5">
    <w:abstractNumId w:val="19"/>
  </w:num>
  <w:num w:numId="6">
    <w:abstractNumId w:val="9"/>
  </w:num>
  <w:num w:numId="7">
    <w:abstractNumId w:val="9"/>
  </w:num>
  <w:num w:numId="8">
    <w:abstractNumId w:val="1"/>
  </w:num>
  <w:num w:numId="9">
    <w:abstractNumId w:val="15"/>
  </w:num>
  <w:num w:numId="10">
    <w:abstractNumId w:val="16"/>
  </w:num>
  <w:num w:numId="11">
    <w:abstractNumId w:val="14"/>
  </w:num>
  <w:num w:numId="12">
    <w:abstractNumId w:val="12"/>
  </w:num>
  <w:num w:numId="13">
    <w:abstractNumId w:val="17"/>
  </w:num>
  <w:num w:numId="14">
    <w:abstractNumId w:val="10"/>
  </w:num>
  <w:num w:numId="15">
    <w:abstractNumId w:val="3"/>
  </w:num>
  <w:num w:numId="16">
    <w:abstractNumId w:val="9"/>
  </w:num>
  <w:num w:numId="17">
    <w:abstractNumId w:val="20"/>
  </w:num>
  <w:num w:numId="18">
    <w:abstractNumId w:val="2"/>
  </w:num>
  <w:num w:numId="19">
    <w:abstractNumId w:val="7"/>
  </w:num>
  <w:num w:numId="20">
    <w:abstractNumId w:val="8"/>
  </w:num>
  <w:num w:numId="21">
    <w:abstractNumId w:val="0"/>
  </w:num>
  <w:num w:numId="22">
    <w:abstractNumId w:val="5"/>
  </w:num>
  <w:num w:numId="23">
    <w:abstractNumId w:val="11"/>
  </w:num>
  <w:num w:numId="2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138F6"/>
    <w:rsid w:val="00026D1F"/>
    <w:rsid w:val="0007407B"/>
    <w:rsid w:val="00077294"/>
    <w:rsid w:val="000811EA"/>
    <w:rsid w:val="000875C6"/>
    <w:rsid w:val="000A02AE"/>
    <w:rsid w:val="000A2B89"/>
    <w:rsid w:val="000A2CC1"/>
    <w:rsid w:val="000A3D25"/>
    <w:rsid w:val="000A6F03"/>
    <w:rsid w:val="000D1C06"/>
    <w:rsid w:val="000D34F2"/>
    <w:rsid w:val="000D3C40"/>
    <w:rsid w:val="000D541E"/>
    <w:rsid w:val="000E42EE"/>
    <w:rsid w:val="000E7DF5"/>
    <w:rsid w:val="00106F64"/>
    <w:rsid w:val="00115798"/>
    <w:rsid w:val="001205D6"/>
    <w:rsid w:val="001302FC"/>
    <w:rsid w:val="0013452E"/>
    <w:rsid w:val="00174FAE"/>
    <w:rsid w:val="001934AC"/>
    <w:rsid w:val="00194332"/>
    <w:rsid w:val="001A7BD9"/>
    <w:rsid w:val="001C7499"/>
    <w:rsid w:val="001D49A5"/>
    <w:rsid w:val="001D6EAC"/>
    <w:rsid w:val="001E3384"/>
    <w:rsid w:val="001E4FD5"/>
    <w:rsid w:val="001F0E02"/>
    <w:rsid w:val="001F4D7F"/>
    <w:rsid w:val="00201B77"/>
    <w:rsid w:val="002020F4"/>
    <w:rsid w:val="002028A9"/>
    <w:rsid w:val="0021296A"/>
    <w:rsid w:val="00216808"/>
    <w:rsid w:val="00221893"/>
    <w:rsid w:val="00227E2F"/>
    <w:rsid w:val="00232FB8"/>
    <w:rsid w:val="00235A1A"/>
    <w:rsid w:val="002431DB"/>
    <w:rsid w:val="00247046"/>
    <w:rsid w:val="00250D9C"/>
    <w:rsid w:val="0025174E"/>
    <w:rsid w:val="0025379A"/>
    <w:rsid w:val="00257D3A"/>
    <w:rsid w:val="002628BF"/>
    <w:rsid w:val="00280EF6"/>
    <w:rsid w:val="0028624E"/>
    <w:rsid w:val="002863A2"/>
    <w:rsid w:val="00287BE5"/>
    <w:rsid w:val="00292FE9"/>
    <w:rsid w:val="00294394"/>
    <w:rsid w:val="002C3C18"/>
    <w:rsid w:val="002C5B10"/>
    <w:rsid w:val="002C6C68"/>
    <w:rsid w:val="002D040E"/>
    <w:rsid w:val="002E65F4"/>
    <w:rsid w:val="002F2D07"/>
    <w:rsid w:val="00335FB9"/>
    <w:rsid w:val="00353E9F"/>
    <w:rsid w:val="00354CA0"/>
    <w:rsid w:val="00356299"/>
    <w:rsid w:val="00370318"/>
    <w:rsid w:val="0037607A"/>
    <w:rsid w:val="00394B9A"/>
    <w:rsid w:val="00396E4C"/>
    <w:rsid w:val="003A3957"/>
    <w:rsid w:val="003A7576"/>
    <w:rsid w:val="003A7CDF"/>
    <w:rsid w:val="003C37C3"/>
    <w:rsid w:val="003D025B"/>
    <w:rsid w:val="003D3D66"/>
    <w:rsid w:val="00411485"/>
    <w:rsid w:val="00415EFC"/>
    <w:rsid w:val="0043199F"/>
    <w:rsid w:val="00440E30"/>
    <w:rsid w:val="00443DF5"/>
    <w:rsid w:val="00447412"/>
    <w:rsid w:val="004520EC"/>
    <w:rsid w:val="00455C6D"/>
    <w:rsid w:val="00456419"/>
    <w:rsid w:val="0045744A"/>
    <w:rsid w:val="00460258"/>
    <w:rsid w:val="004B3BD0"/>
    <w:rsid w:val="004C044F"/>
    <w:rsid w:val="004C4CBE"/>
    <w:rsid w:val="004E0036"/>
    <w:rsid w:val="004E0314"/>
    <w:rsid w:val="004E0AB6"/>
    <w:rsid w:val="004E3CC8"/>
    <w:rsid w:val="004E4940"/>
    <w:rsid w:val="004E49EC"/>
    <w:rsid w:val="004E4D86"/>
    <w:rsid w:val="004F0CE7"/>
    <w:rsid w:val="004F74F8"/>
    <w:rsid w:val="005132DA"/>
    <w:rsid w:val="005238E6"/>
    <w:rsid w:val="00530EF5"/>
    <w:rsid w:val="00547CC9"/>
    <w:rsid w:val="0055573E"/>
    <w:rsid w:val="00562D63"/>
    <w:rsid w:val="00570A1B"/>
    <w:rsid w:val="00576638"/>
    <w:rsid w:val="005849E6"/>
    <w:rsid w:val="005854F7"/>
    <w:rsid w:val="00585F8E"/>
    <w:rsid w:val="005871D9"/>
    <w:rsid w:val="005957ED"/>
    <w:rsid w:val="005D6E9B"/>
    <w:rsid w:val="005E7C37"/>
    <w:rsid w:val="0060068B"/>
    <w:rsid w:val="0060768F"/>
    <w:rsid w:val="00627A52"/>
    <w:rsid w:val="00632EBD"/>
    <w:rsid w:val="00636BD7"/>
    <w:rsid w:val="006412EA"/>
    <w:rsid w:val="00645695"/>
    <w:rsid w:val="006605E5"/>
    <w:rsid w:val="006617A4"/>
    <w:rsid w:val="00667227"/>
    <w:rsid w:val="006749F6"/>
    <w:rsid w:val="00682D26"/>
    <w:rsid w:val="00682DDB"/>
    <w:rsid w:val="006834E4"/>
    <w:rsid w:val="00690426"/>
    <w:rsid w:val="006950D4"/>
    <w:rsid w:val="00695449"/>
    <w:rsid w:val="006B1201"/>
    <w:rsid w:val="006B4FD1"/>
    <w:rsid w:val="006B5A71"/>
    <w:rsid w:val="006C12B6"/>
    <w:rsid w:val="006D2A11"/>
    <w:rsid w:val="006D306F"/>
    <w:rsid w:val="006E2D8F"/>
    <w:rsid w:val="006F4288"/>
    <w:rsid w:val="006F790C"/>
    <w:rsid w:val="00711F21"/>
    <w:rsid w:val="00712363"/>
    <w:rsid w:val="00713D10"/>
    <w:rsid w:val="007210F6"/>
    <w:rsid w:val="00723438"/>
    <w:rsid w:val="007240D0"/>
    <w:rsid w:val="00724563"/>
    <w:rsid w:val="00725ECB"/>
    <w:rsid w:val="00733522"/>
    <w:rsid w:val="00733660"/>
    <w:rsid w:val="00741EBC"/>
    <w:rsid w:val="007432E5"/>
    <w:rsid w:val="007450E8"/>
    <w:rsid w:val="00767B39"/>
    <w:rsid w:val="00776BDB"/>
    <w:rsid w:val="00786FD9"/>
    <w:rsid w:val="00790CBE"/>
    <w:rsid w:val="007A3D80"/>
    <w:rsid w:val="007C1118"/>
    <w:rsid w:val="007C47D5"/>
    <w:rsid w:val="007C4A8E"/>
    <w:rsid w:val="007D1657"/>
    <w:rsid w:val="007D16E7"/>
    <w:rsid w:val="007F1E3E"/>
    <w:rsid w:val="00800889"/>
    <w:rsid w:val="008041FA"/>
    <w:rsid w:val="008161F7"/>
    <w:rsid w:val="00823CBA"/>
    <w:rsid w:val="00842220"/>
    <w:rsid w:val="008427AA"/>
    <w:rsid w:val="008553DE"/>
    <w:rsid w:val="008568EA"/>
    <w:rsid w:val="008656FA"/>
    <w:rsid w:val="0087191F"/>
    <w:rsid w:val="00874280"/>
    <w:rsid w:val="008774E3"/>
    <w:rsid w:val="008B4DD7"/>
    <w:rsid w:val="008C13C3"/>
    <w:rsid w:val="008C2924"/>
    <w:rsid w:val="008C60C0"/>
    <w:rsid w:val="008D0F29"/>
    <w:rsid w:val="008E46C1"/>
    <w:rsid w:val="00900B41"/>
    <w:rsid w:val="009016D9"/>
    <w:rsid w:val="00914C91"/>
    <w:rsid w:val="009240B2"/>
    <w:rsid w:val="00925A9D"/>
    <w:rsid w:val="0092788E"/>
    <w:rsid w:val="00943966"/>
    <w:rsid w:val="00944040"/>
    <w:rsid w:val="00944E25"/>
    <w:rsid w:val="00953364"/>
    <w:rsid w:val="0097746E"/>
    <w:rsid w:val="00977976"/>
    <w:rsid w:val="009A3D9E"/>
    <w:rsid w:val="009B0D0E"/>
    <w:rsid w:val="009B459A"/>
    <w:rsid w:val="009C00E7"/>
    <w:rsid w:val="009D76A9"/>
    <w:rsid w:val="009E6361"/>
    <w:rsid w:val="009F18EC"/>
    <w:rsid w:val="009F2043"/>
    <w:rsid w:val="009F4CB2"/>
    <w:rsid w:val="00A01741"/>
    <w:rsid w:val="00A21EF1"/>
    <w:rsid w:val="00A31EB3"/>
    <w:rsid w:val="00A34DA7"/>
    <w:rsid w:val="00A3761B"/>
    <w:rsid w:val="00A439B9"/>
    <w:rsid w:val="00A51D58"/>
    <w:rsid w:val="00A52281"/>
    <w:rsid w:val="00A54482"/>
    <w:rsid w:val="00A61E26"/>
    <w:rsid w:val="00A63977"/>
    <w:rsid w:val="00A86B19"/>
    <w:rsid w:val="00A87913"/>
    <w:rsid w:val="00A935D2"/>
    <w:rsid w:val="00AA5786"/>
    <w:rsid w:val="00AA6108"/>
    <w:rsid w:val="00AA7393"/>
    <w:rsid w:val="00AC50E4"/>
    <w:rsid w:val="00AD4CA9"/>
    <w:rsid w:val="00AF291B"/>
    <w:rsid w:val="00B0106B"/>
    <w:rsid w:val="00B04529"/>
    <w:rsid w:val="00B14752"/>
    <w:rsid w:val="00B360E5"/>
    <w:rsid w:val="00B42B30"/>
    <w:rsid w:val="00B458F6"/>
    <w:rsid w:val="00B54DD5"/>
    <w:rsid w:val="00B551E7"/>
    <w:rsid w:val="00B7425B"/>
    <w:rsid w:val="00B84F46"/>
    <w:rsid w:val="00BB686F"/>
    <w:rsid w:val="00BD6119"/>
    <w:rsid w:val="00C12BED"/>
    <w:rsid w:val="00C23DDD"/>
    <w:rsid w:val="00C35851"/>
    <w:rsid w:val="00C561C0"/>
    <w:rsid w:val="00C6053F"/>
    <w:rsid w:val="00C60DED"/>
    <w:rsid w:val="00C64254"/>
    <w:rsid w:val="00C722D1"/>
    <w:rsid w:val="00C74811"/>
    <w:rsid w:val="00C772EF"/>
    <w:rsid w:val="00C82CCE"/>
    <w:rsid w:val="00C84A18"/>
    <w:rsid w:val="00C86B8F"/>
    <w:rsid w:val="00CA0618"/>
    <w:rsid w:val="00CA3384"/>
    <w:rsid w:val="00CA4300"/>
    <w:rsid w:val="00CA49E0"/>
    <w:rsid w:val="00CA6168"/>
    <w:rsid w:val="00CB1C6E"/>
    <w:rsid w:val="00CC394B"/>
    <w:rsid w:val="00CC5BEF"/>
    <w:rsid w:val="00CD353F"/>
    <w:rsid w:val="00CE5EFD"/>
    <w:rsid w:val="00CF67A4"/>
    <w:rsid w:val="00D00DDC"/>
    <w:rsid w:val="00D02F61"/>
    <w:rsid w:val="00D32E5B"/>
    <w:rsid w:val="00D356C4"/>
    <w:rsid w:val="00D3608E"/>
    <w:rsid w:val="00D36635"/>
    <w:rsid w:val="00D5082F"/>
    <w:rsid w:val="00D6595F"/>
    <w:rsid w:val="00D67524"/>
    <w:rsid w:val="00D70178"/>
    <w:rsid w:val="00D76BD9"/>
    <w:rsid w:val="00D84C7E"/>
    <w:rsid w:val="00D968C8"/>
    <w:rsid w:val="00DA3392"/>
    <w:rsid w:val="00DA4657"/>
    <w:rsid w:val="00DA7514"/>
    <w:rsid w:val="00DB5616"/>
    <w:rsid w:val="00DD4322"/>
    <w:rsid w:val="00DD4909"/>
    <w:rsid w:val="00DD5DF1"/>
    <w:rsid w:val="00DF208A"/>
    <w:rsid w:val="00DF260C"/>
    <w:rsid w:val="00DF50E6"/>
    <w:rsid w:val="00E07792"/>
    <w:rsid w:val="00E15347"/>
    <w:rsid w:val="00E60057"/>
    <w:rsid w:val="00E679E8"/>
    <w:rsid w:val="00EA2A46"/>
    <w:rsid w:val="00EA6B3E"/>
    <w:rsid w:val="00EB3E38"/>
    <w:rsid w:val="00EB519B"/>
    <w:rsid w:val="00EC7FF1"/>
    <w:rsid w:val="00ED3A9D"/>
    <w:rsid w:val="00EE46E5"/>
    <w:rsid w:val="00EE5BA8"/>
    <w:rsid w:val="00F006B5"/>
    <w:rsid w:val="00F01748"/>
    <w:rsid w:val="00F01C7B"/>
    <w:rsid w:val="00F04603"/>
    <w:rsid w:val="00F166CC"/>
    <w:rsid w:val="00F26526"/>
    <w:rsid w:val="00F4073E"/>
    <w:rsid w:val="00F47B64"/>
    <w:rsid w:val="00F611C6"/>
    <w:rsid w:val="00F67B13"/>
    <w:rsid w:val="00F80A14"/>
    <w:rsid w:val="00F80D28"/>
    <w:rsid w:val="00F9497E"/>
    <w:rsid w:val="00F97495"/>
    <w:rsid w:val="00FB4009"/>
    <w:rsid w:val="00FB41B6"/>
    <w:rsid w:val="00FC1DDB"/>
    <w:rsid w:val="00FD4E07"/>
    <w:rsid w:val="00FE6E4C"/>
    <w:rsid w:val="00FF3CEE"/>
    <w:rsid w:val="00FF7B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D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link w:val="Heading4Char"/>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character" w:styleId="CommentReference">
    <w:name w:val="annotation reference"/>
    <w:rsid w:val="004520EC"/>
    <w:rPr>
      <w:sz w:val="16"/>
      <w:szCs w:val="16"/>
    </w:rPr>
  </w:style>
  <w:style w:type="paragraph" w:styleId="CommentText">
    <w:name w:val="annotation text"/>
    <w:basedOn w:val="Normal"/>
    <w:link w:val="CommentTextChar"/>
    <w:rsid w:val="004520EC"/>
  </w:style>
  <w:style w:type="character" w:customStyle="1" w:styleId="CommentTextChar">
    <w:name w:val="Comment Text Char"/>
    <w:link w:val="CommentText"/>
    <w:rsid w:val="004520EC"/>
    <w:rPr>
      <w:lang w:eastAsia="en-US"/>
    </w:rPr>
  </w:style>
  <w:style w:type="paragraph" w:styleId="CommentSubject">
    <w:name w:val="annotation subject"/>
    <w:basedOn w:val="CommentText"/>
    <w:next w:val="CommentText"/>
    <w:link w:val="CommentSubjectChar"/>
    <w:rsid w:val="004520EC"/>
    <w:rPr>
      <w:b/>
      <w:bCs/>
    </w:rPr>
  </w:style>
  <w:style w:type="character" w:customStyle="1" w:styleId="CommentSubjectChar">
    <w:name w:val="Comment Subject Char"/>
    <w:link w:val="CommentSubject"/>
    <w:rsid w:val="004520EC"/>
    <w:rPr>
      <w:b/>
      <w:bCs/>
      <w:lang w:eastAsia="en-US"/>
    </w:rPr>
  </w:style>
  <w:style w:type="paragraph" w:customStyle="1" w:styleId="Default">
    <w:name w:val="Default"/>
    <w:rsid w:val="007D16E7"/>
    <w:pPr>
      <w:autoSpaceDE w:val="0"/>
      <w:autoSpaceDN w:val="0"/>
      <w:adjustRightInd w:val="0"/>
    </w:pPr>
    <w:rPr>
      <w:rFonts w:eastAsia="SimSun"/>
      <w:color w:val="000000"/>
      <w:sz w:val="24"/>
      <w:szCs w:val="24"/>
      <w:lang w:val="en-US"/>
    </w:rPr>
  </w:style>
  <w:style w:type="paragraph" w:styleId="ListParagraph">
    <w:name w:val="List Paragraph"/>
    <w:basedOn w:val="Normal"/>
    <w:uiPriority w:val="34"/>
    <w:qFormat/>
    <w:rsid w:val="00DF260C"/>
    <w:pPr>
      <w:ind w:left="720"/>
      <w:contextualSpacing/>
    </w:pPr>
  </w:style>
  <w:style w:type="character" w:customStyle="1" w:styleId="Heading4Char">
    <w:name w:val="Heading 4 Char"/>
    <w:basedOn w:val="DefaultParagraphFont"/>
    <w:link w:val="Heading4"/>
    <w:rsid w:val="00C84A18"/>
    <w:rPr>
      <w:sz w:val="24"/>
      <w:lang w:eastAsia="en-US"/>
    </w:rPr>
  </w:style>
  <w:style w:type="paragraph" w:styleId="FootnoteText">
    <w:name w:val="footnote text"/>
    <w:basedOn w:val="Normal"/>
    <w:link w:val="FootnoteTextChar"/>
    <w:semiHidden/>
    <w:unhideWhenUsed/>
    <w:rsid w:val="00232FB8"/>
  </w:style>
  <w:style w:type="character" w:customStyle="1" w:styleId="FootnoteTextChar">
    <w:name w:val="Footnote Text Char"/>
    <w:basedOn w:val="DefaultParagraphFont"/>
    <w:link w:val="FootnoteText"/>
    <w:semiHidden/>
    <w:rsid w:val="00232FB8"/>
    <w:rPr>
      <w:lang w:eastAsia="en-US"/>
    </w:rPr>
  </w:style>
  <w:style w:type="paragraph" w:customStyle="1" w:styleId="Bullet">
    <w:name w:val="Bullet"/>
    <w:basedOn w:val="Normal"/>
    <w:qFormat/>
    <w:rsid w:val="006D2A11"/>
    <w:pPr>
      <w:numPr>
        <w:numId w:val="17"/>
      </w:numPr>
      <w:spacing w:before="90" w:line="264" w:lineRule="auto"/>
    </w:pPr>
    <w:rPr>
      <w:rFonts w:ascii="Georgia" w:hAnsi="Georgia"/>
      <w:sz w:val="22"/>
      <w:lang w:val="en-NZ" w:eastAsia="en-GB"/>
    </w:rPr>
  </w:style>
  <w:style w:type="character" w:styleId="FollowedHyperlink">
    <w:name w:val="FollowedHyperlink"/>
    <w:basedOn w:val="DefaultParagraphFont"/>
    <w:rsid w:val="00F01C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link w:val="Heading4Char"/>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character" w:styleId="CommentReference">
    <w:name w:val="annotation reference"/>
    <w:rsid w:val="004520EC"/>
    <w:rPr>
      <w:sz w:val="16"/>
      <w:szCs w:val="16"/>
    </w:rPr>
  </w:style>
  <w:style w:type="paragraph" w:styleId="CommentText">
    <w:name w:val="annotation text"/>
    <w:basedOn w:val="Normal"/>
    <w:link w:val="CommentTextChar"/>
    <w:rsid w:val="004520EC"/>
  </w:style>
  <w:style w:type="character" w:customStyle="1" w:styleId="CommentTextChar">
    <w:name w:val="Comment Text Char"/>
    <w:link w:val="CommentText"/>
    <w:rsid w:val="004520EC"/>
    <w:rPr>
      <w:lang w:eastAsia="en-US"/>
    </w:rPr>
  </w:style>
  <w:style w:type="paragraph" w:styleId="CommentSubject">
    <w:name w:val="annotation subject"/>
    <w:basedOn w:val="CommentText"/>
    <w:next w:val="CommentText"/>
    <w:link w:val="CommentSubjectChar"/>
    <w:rsid w:val="004520EC"/>
    <w:rPr>
      <w:b/>
      <w:bCs/>
    </w:rPr>
  </w:style>
  <w:style w:type="character" w:customStyle="1" w:styleId="CommentSubjectChar">
    <w:name w:val="Comment Subject Char"/>
    <w:link w:val="CommentSubject"/>
    <w:rsid w:val="004520EC"/>
    <w:rPr>
      <w:b/>
      <w:bCs/>
      <w:lang w:eastAsia="en-US"/>
    </w:rPr>
  </w:style>
  <w:style w:type="paragraph" w:customStyle="1" w:styleId="Default">
    <w:name w:val="Default"/>
    <w:rsid w:val="007D16E7"/>
    <w:pPr>
      <w:autoSpaceDE w:val="0"/>
      <w:autoSpaceDN w:val="0"/>
      <w:adjustRightInd w:val="0"/>
    </w:pPr>
    <w:rPr>
      <w:rFonts w:eastAsia="SimSun"/>
      <w:color w:val="000000"/>
      <w:sz w:val="24"/>
      <w:szCs w:val="24"/>
      <w:lang w:val="en-US"/>
    </w:rPr>
  </w:style>
  <w:style w:type="paragraph" w:styleId="ListParagraph">
    <w:name w:val="List Paragraph"/>
    <w:basedOn w:val="Normal"/>
    <w:uiPriority w:val="34"/>
    <w:qFormat/>
    <w:rsid w:val="00DF260C"/>
    <w:pPr>
      <w:ind w:left="720"/>
      <w:contextualSpacing/>
    </w:pPr>
  </w:style>
  <w:style w:type="character" w:customStyle="1" w:styleId="Heading4Char">
    <w:name w:val="Heading 4 Char"/>
    <w:basedOn w:val="DefaultParagraphFont"/>
    <w:link w:val="Heading4"/>
    <w:rsid w:val="00C84A18"/>
    <w:rPr>
      <w:sz w:val="24"/>
      <w:lang w:eastAsia="en-US"/>
    </w:rPr>
  </w:style>
  <w:style w:type="paragraph" w:styleId="FootnoteText">
    <w:name w:val="footnote text"/>
    <w:basedOn w:val="Normal"/>
    <w:link w:val="FootnoteTextChar"/>
    <w:semiHidden/>
    <w:unhideWhenUsed/>
    <w:rsid w:val="00232FB8"/>
  </w:style>
  <w:style w:type="character" w:customStyle="1" w:styleId="FootnoteTextChar">
    <w:name w:val="Footnote Text Char"/>
    <w:basedOn w:val="DefaultParagraphFont"/>
    <w:link w:val="FootnoteText"/>
    <w:semiHidden/>
    <w:rsid w:val="00232FB8"/>
    <w:rPr>
      <w:lang w:eastAsia="en-US"/>
    </w:rPr>
  </w:style>
  <w:style w:type="paragraph" w:customStyle="1" w:styleId="Bullet">
    <w:name w:val="Bullet"/>
    <w:basedOn w:val="Normal"/>
    <w:qFormat/>
    <w:rsid w:val="006D2A11"/>
    <w:pPr>
      <w:numPr>
        <w:numId w:val="17"/>
      </w:numPr>
      <w:spacing w:before="90" w:line="264" w:lineRule="auto"/>
    </w:pPr>
    <w:rPr>
      <w:rFonts w:ascii="Georgia" w:hAnsi="Georgia"/>
      <w:sz w:val="22"/>
      <w:lang w:val="en-NZ" w:eastAsia="en-GB"/>
    </w:rPr>
  </w:style>
  <w:style w:type="character" w:styleId="FollowedHyperlink">
    <w:name w:val="FollowedHyperlink"/>
    <w:basedOn w:val="DefaultParagraphFont"/>
    <w:rsid w:val="00F01C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7264">
      <w:bodyDiv w:val="1"/>
      <w:marLeft w:val="0"/>
      <w:marRight w:val="0"/>
      <w:marTop w:val="0"/>
      <w:marBottom w:val="0"/>
      <w:divBdr>
        <w:top w:val="none" w:sz="0" w:space="0" w:color="auto"/>
        <w:left w:val="none" w:sz="0" w:space="0" w:color="auto"/>
        <w:bottom w:val="none" w:sz="0" w:space="0" w:color="auto"/>
        <w:right w:val="none" w:sz="0" w:space="0" w:color="auto"/>
      </w:divBdr>
    </w:div>
    <w:div w:id="154927779">
      <w:bodyDiv w:val="1"/>
      <w:marLeft w:val="0"/>
      <w:marRight w:val="0"/>
      <w:marTop w:val="0"/>
      <w:marBottom w:val="0"/>
      <w:divBdr>
        <w:top w:val="none" w:sz="0" w:space="0" w:color="auto"/>
        <w:left w:val="none" w:sz="0" w:space="0" w:color="auto"/>
        <w:bottom w:val="none" w:sz="0" w:space="0" w:color="auto"/>
        <w:right w:val="none" w:sz="0" w:space="0" w:color="auto"/>
      </w:divBdr>
    </w:div>
    <w:div w:id="167454107">
      <w:bodyDiv w:val="1"/>
      <w:marLeft w:val="0"/>
      <w:marRight w:val="0"/>
      <w:marTop w:val="0"/>
      <w:marBottom w:val="0"/>
      <w:divBdr>
        <w:top w:val="none" w:sz="0" w:space="0" w:color="auto"/>
        <w:left w:val="none" w:sz="0" w:space="0" w:color="auto"/>
        <w:bottom w:val="none" w:sz="0" w:space="0" w:color="auto"/>
        <w:right w:val="none" w:sz="0" w:space="0" w:color="auto"/>
      </w:divBdr>
    </w:div>
    <w:div w:id="169223806">
      <w:bodyDiv w:val="1"/>
      <w:marLeft w:val="0"/>
      <w:marRight w:val="0"/>
      <w:marTop w:val="0"/>
      <w:marBottom w:val="0"/>
      <w:divBdr>
        <w:top w:val="none" w:sz="0" w:space="0" w:color="auto"/>
        <w:left w:val="none" w:sz="0" w:space="0" w:color="auto"/>
        <w:bottom w:val="none" w:sz="0" w:space="0" w:color="auto"/>
        <w:right w:val="none" w:sz="0" w:space="0" w:color="auto"/>
      </w:divBdr>
    </w:div>
    <w:div w:id="179438224">
      <w:bodyDiv w:val="1"/>
      <w:marLeft w:val="0"/>
      <w:marRight w:val="0"/>
      <w:marTop w:val="0"/>
      <w:marBottom w:val="0"/>
      <w:divBdr>
        <w:top w:val="none" w:sz="0" w:space="0" w:color="auto"/>
        <w:left w:val="none" w:sz="0" w:space="0" w:color="auto"/>
        <w:bottom w:val="none" w:sz="0" w:space="0" w:color="auto"/>
        <w:right w:val="none" w:sz="0" w:space="0" w:color="auto"/>
      </w:divBdr>
    </w:div>
    <w:div w:id="214510299">
      <w:bodyDiv w:val="1"/>
      <w:marLeft w:val="0"/>
      <w:marRight w:val="0"/>
      <w:marTop w:val="0"/>
      <w:marBottom w:val="0"/>
      <w:divBdr>
        <w:top w:val="none" w:sz="0" w:space="0" w:color="auto"/>
        <w:left w:val="none" w:sz="0" w:space="0" w:color="auto"/>
        <w:bottom w:val="none" w:sz="0" w:space="0" w:color="auto"/>
        <w:right w:val="none" w:sz="0" w:space="0" w:color="auto"/>
      </w:divBdr>
    </w:div>
    <w:div w:id="340595750">
      <w:bodyDiv w:val="1"/>
      <w:marLeft w:val="0"/>
      <w:marRight w:val="0"/>
      <w:marTop w:val="0"/>
      <w:marBottom w:val="0"/>
      <w:divBdr>
        <w:top w:val="none" w:sz="0" w:space="0" w:color="auto"/>
        <w:left w:val="none" w:sz="0" w:space="0" w:color="auto"/>
        <w:bottom w:val="none" w:sz="0" w:space="0" w:color="auto"/>
        <w:right w:val="none" w:sz="0" w:space="0" w:color="auto"/>
      </w:divBdr>
    </w:div>
    <w:div w:id="452016639">
      <w:bodyDiv w:val="1"/>
      <w:marLeft w:val="0"/>
      <w:marRight w:val="0"/>
      <w:marTop w:val="0"/>
      <w:marBottom w:val="0"/>
      <w:divBdr>
        <w:top w:val="none" w:sz="0" w:space="0" w:color="auto"/>
        <w:left w:val="none" w:sz="0" w:space="0" w:color="auto"/>
        <w:bottom w:val="none" w:sz="0" w:space="0" w:color="auto"/>
        <w:right w:val="none" w:sz="0" w:space="0" w:color="auto"/>
      </w:divBdr>
    </w:div>
    <w:div w:id="458690413">
      <w:bodyDiv w:val="1"/>
      <w:marLeft w:val="0"/>
      <w:marRight w:val="0"/>
      <w:marTop w:val="0"/>
      <w:marBottom w:val="0"/>
      <w:divBdr>
        <w:top w:val="none" w:sz="0" w:space="0" w:color="auto"/>
        <w:left w:val="none" w:sz="0" w:space="0" w:color="auto"/>
        <w:bottom w:val="none" w:sz="0" w:space="0" w:color="auto"/>
        <w:right w:val="none" w:sz="0" w:space="0" w:color="auto"/>
      </w:divBdr>
    </w:div>
    <w:div w:id="470949502">
      <w:bodyDiv w:val="1"/>
      <w:marLeft w:val="0"/>
      <w:marRight w:val="0"/>
      <w:marTop w:val="0"/>
      <w:marBottom w:val="0"/>
      <w:divBdr>
        <w:top w:val="none" w:sz="0" w:space="0" w:color="auto"/>
        <w:left w:val="none" w:sz="0" w:space="0" w:color="auto"/>
        <w:bottom w:val="none" w:sz="0" w:space="0" w:color="auto"/>
        <w:right w:val="none" w:sz="0" w:space="0" w:color="auto"/>
      </w:divBdr>
    </w:div>
    <w:div w:id="472599415">
      <w:bodyDiv w:val="1"/>
      <w:marLeft w:val="0"/>
      <w:marRight w:val="0"/>
      <w:marTop w:val="0"/>
      <w:marBottom w:val="0"/>
      <w:divBdr>
        <w:top w:val="none" w:sz="0" w:space="0" w:color="auto"/>
        <w:left w:val="none" w:sz="0" w:space="0" w:color="auto"/>
        <w:bottom w:val="none" w:sz="0" w:space="0" w:color="auto"/>
        <w:right w:val="none" w:sz="0" w:space="0" w:color="auto"/>
      </w:divBdr>
    </w:div>
    <w:div w:id="500589021">
      <w:bodyDiv w:val="1"/>
      <w:marLeft w:val="0"/>
      <w:marRight w:val="0"/>
      <w:marTop w:val="0"/>
      <w:marBottom w:val="0"/>
      <w:divBdr>
        <w:top w:val="none" w:sz="0" w:space="0" w:color="auto"/>
        <w:left w:val="none" w:sz="0" w:space="0" w:color="auto"/>
        <w:bottom w:val="none" w:sz="0" w:space="0" w:color="auto"/>
        <w:right w:val="none" w:sz="0" w:space="0" w:color="auto"/>
      </w:divBdr>
    </w:div>
    <w:div w:id="504246391">
      <w:bodyDiv w:val="1"/>
      <w:marLeft w:val="0"/>
      <w:marRight w:val="0"/>
      <w:marTop w:val="0"/>
      <w:marBottom w:val="0"/>
      <w:divBdr>
        <w:top w:val="none" w:sz="0" w:space="0" w:color="auto"/>
        <w:left w:val="none" w:sz="0" w:space="0" w:color="auto"/>
        <w:bottom w:val="none" w:sz="0" w:space="0" w:color="auto"/>
        <w:right w:val="none" w:sz="0" w:space="0" w:color="auto"/>
      </w:divBdr>
    </w:div>
    <w:div w:id="639309833">
      <w:bodyDiv w:val="1"/>
      <w:marLeft w:val="0"/>
      <w:marRight w:val="0"/>
      <w:marTop w:val="0"/>
      <w:marBottom w:val="0"/>
      <w:divBdr>
        <w:top w:val="none" w:sz="0" w:space="0" w:color="auto"/>
        <w:left w:val="none" w:sz="0" w:space="0" w:color="auto"/>
        <w:bottom w:val="none" w:sz="0" w:space="0" w:color="auto"/>
        <w:right w:val="none" w:sz="0" w:space="0" w:color="auto"/>
      </w:divBdr>
    </w:div>
    <w:div w:id="662900902">
      <w:bodyDiv w:val="1"/>
      <w:marLeft w:val="0"/>
      <w:marRight w:val="0"/>
      <w:marTop w:val="0"/>
      <w:marBottom w:val="0"/>
      <w:divBdr>
        <w:top w:val="none" w:sz="0" w:space="0" w:color="auto"/>
        <w:left w:val="none" w:sz="0" w:space="0" w:color="auto"/>
        <w:bottom w:val="none" w:sz="0" w:space="0" w:color="auto"/>
        <w:right w:val="none" w:sz="0" w:space="0" w:color="auto"/>
      </w:divBdr>
    </w:div>
    <w:div w:id="913705531">
      <w:bodyDiv w:val="1"/>
      <w:marLeft w:val="0"/>
      <w:marRight w:val="0"/>
      <w:marTop w:val="0"/>
      <w:marBottom w:val="0"/>
      <w:divBdr>
        <w:top w:val="none" w:sz="0" w:space="0" w:color="auto"/>
        <w:left w:val="none" w:sz="0" w:space="0" w:color="auto"/>
        <w:bottom w:val="none" w:sz="0" w:space="0" w:color="auto"/>
        <w:right w:val="none" w:sz="0" w:space="0" w:color="auto"/>
      </w:divBdr>
    </w:div>
    <w:div w:id="1037899732">
      <w:bodyDiv w:val="1"/>
      <w:marLeft w:val="0"/>
      <w:marRight w:val="0"/>
      <w:marTop w:val="0"/>
      <w:marBottom w:val="0"/>
      <w:divBdr>
        <w:top w:val="none" w:sz="0" w:space="0" w:color="auto"/>
        <w:left w:val="none" w:sz="0" w:space="0" w:color="auto"/>
        <w:bottom w:val="none" w:sz="0" w:space="0" w:color="auto"/>
        <w:right w:val="none" w:sz="0" w:space="0" w:color="auto"/>
      </w:divBdr>
      <w:divsChild>
        <w:div w:id="640186415">
          <w:marLeft w:val="0"/>
          <w:marRight w:val="0"/>
          <w:marTop w:val="0"/>
          <w:marBottom w:val="0"/>
          <w:divBdr>
            <w:top w:val="none" w:sz="0" w:space="0" w:color="auto"/>
            <w:left w:val="none" w:sz="0" w:space="0" w:color="auto"/>
            <w:bottom w:val="none" w:sz="0" w:space="0" w:color="auto"/>
            <w:right w:val="none" w:sz="0" w:space="0" w:color="auto"/>
          </w:divBdr>
          <w:divsChild>
            <w:div w:id="680620318">
              <w:marLeft w:val="0"/>
              <w:marRight w:val="0"/>
              <w:marTop w:val="0"/>
              <w:marBottom w:val="0"/>
              <w:divBdr>
                <w:top w:val="none" w:sz="0" w:space="0" w:color="auto"/>
                <w:left w:val="none" w:sz="0" w:space="0" w:color="auto"/>
                <w:bottom w:val="none" w:sz="0" w:space="0" w:color="auto"/>
                <w:right w:val="none" w:sz="0" w:space="0" w:color="auto"/>
              </w:divBdr>
              <w:divsChild>
                <w:div w:id="2110199000">
                  <w:marLeft w:val="0"/>
                  <w:marRight w:val="0"/>
                  <w:marTop w:val="0"/>
                  <w:marBottom w:val="0"/>
                  <w:divBdr>
                    <w:top w:val="none" w:sz="0" w:space="0" w:color="auto"/>
                    <w:left w:val="none" w:sz="0" w:space="0" w:color="auto"/>
                    <w:bottom w:val="none" w:sz="0" w:space="0" w:color="auto"/>
                    <w:right w:val="none" w:sz="0" w:space="0" w:color="auto"/>
                  </w:divBdr>
                  <w:divsChild>
                    <w:div w:id="1712607801">
                      <w:marLeft w:val="0"/>
                      <w:marRight w:val="0"/>
                      <w:marTop w:val="0"/>
                      <w:marBottom w:val="0"/>
                      <w:divBdr>
                        <w:top w:val="none" w:sz="0" w:space="0" w:color="auto"/>
                        <w:left w:val="none" w:sz="0" w:space="0" w:color="auto"/>
                        <w:bottom w:val="none" w:sz="0" w:space="0" w:color="auto"/>
                        <w:right w:val="none" w:sz="0" w:space="0" w:color="auto"/>
                      </w:divBdr>
                      <w:divsChild>
                        <w:div w:id="3500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310732">
      <w:bodyDiv w:val="1"/>
      <w:marLeft w:val="0"/>
      <w:marRight w:val="0"/>
      <w:marTop w:val="0"/>
      <w:marBottom w:val="0"/>
      <w:divBdr>
        <w:top w:val="none" w:sz="0" w:space="0" w:color="auto"/>
        <w:left w:val="none" w:sz="0" w:space="0" w:color="auto"/>
        <w:bottom w:val="none" w:sz="0" w:space="0" w:color="auto"/>
        <w:right w:val="none" w:sz="0" w:space="0" w:color="auto"/>
      </w:divBdr>
    </w:div>
    <w:div w:id="1252737303">
      <w:bodyDiv w:val="1"/>
      <w:marLeft w:val="0"/>
      <w:marRight w:val="0"/>
      <w:marTop w:val="0"/>
      <w:marBottom w:val="0"/>
      <w:divBdr>
        <w:top w:val="none" w:sz="0" w:space="0" w:color="auto"/>
        <w:left w:val="none" w:sz="0" w:space="0" w:color="auto"/>
        <w:bottom w:val="none" w:sz="0" w:space="0" w:color="auto"/>
        <w:right w:val="none" w:sz="0" w:space="0" w:color="auto"/>
      </w:divBdr>
    </w:div>
    <w:div w:id="1396706012">
      <w:bodyDiv w:val="1"/>
      <w:marLeft w:val="0"/>
      <w:marRight w:val="0"/>
      <w:marTop w:val="0"/>
      <w:marBottom w:val="0"/>
      <w:divBdr>
        <w:top w:val="none" w:sz="0" w:space="0" w:color="auto"/>
        <w:left w:val="none" w:sz="0" w:space="0" w:color="auto"/>
        <w:bottom w:val="none" w:sz="0" w:space="0" w:color="auto"/>
        <w:right w:val="none" w:sz="0" w:space="0" w:color="auto"/>
      </w:divBdr>
      <w:divsChild>
        <w:div w:id="470636188">
          <w:marLeft w:val="0"/>
          <w:marRight w:val="0"/>
          <w:marTop w:val="0"/>
          <w:marBottom w:val="0"/>
          <w:divBdr>
            <w:top w:val="none" w:sz="0" w:space="0" w:color="auto"/>
            <w:left w:val="none" w:sz="0" w:space="0" w:color="auto"/>
            <w:bottom w:val="none" w:sz="0" w:space="0" w:color="auto"/>
            <w:right w:val="none" w:sz="0" w:space="0" w:color="auto"/>
          </w:divBdr>
          <w:divsChild>
            <w:div w:id="979842913">
              <w:marLeft w:val="0"/>
              <w:marRight w:val="0"/>
              <w:marTop w:val="0"/>
              <w:marBottom w:val="0"/>
              <w:divBdr>
                <w:top w:val="none" w:sz="0" w:space="0" w:color="auto"/>
                <w:left w:val="none" w:sz="0" w:space="0" w:color="auto"/>
                <w:bottom w:val="none" w:sz="0" w:space="0" w:color="auto"/>
                <w:right w:val="none" w:sz="0" w:space="0" w:color="auto"/>
              </w:divBdr>
              <w:divsChild>
                <w:div w:id="1274361538">
                  <w:marLeft w:val="0"/>
                  <w:marRight w:val="0"/>
                  <w:marTop w:val="0"/>
                  <w:marBottom w:val="0"/>
                  <w:divBdr>
                    <w:top w:val="none" w:sz="0" w:space="0" w:color="auto"/>
                    <w:left w:val="none" w:sz="0" w:space="0" w:color="auto"/>
                    <w:bottom w:val="none" w:sz="0" w:space="0" w:color="auto"/>
                    <w:right w:val="none" w:sz="0" w:space="0" w:color="auto"/>
                  </w:divBdr>
                  <w:divsChild>
                    <w:div w:id="1655453632">
                      <w:marLeft w:val="0"/>
                      <w:marRight w:val="0"/>
                      <w:marTop w:val="0"/>
                      <w:marBottom w:val="0"/>
                      <w:divBdr>
                        <w:top w:val="none" w:sz="0" w:space="0" w:color="auto"/>
                        <w:left w:val="none" w:sz="0" w:space="0" w:color="auto"/>
                        <w:bottom w:val="none" w:sz="0" w:space="0" w:color="auto"/>
                        <w:right w:val="none" w:sz="0" w:space="0" w:color="auto"/>
                      </w:divBdr>
                      <w:divsChild>
                        <w:div w:id="10392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8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gislation.govt.nz/act/public/1988/0004/latest/whole.html" TargetMode="External"/><Relationship Id="rId18" Type="http://schemas.openxmlformats.org/officeDocument/2006/relationships/hyperlink" Target="http://www.legislation.govt.nz/act/public/1992/0046/latest/DLM262176.html" TargetMode="External"/><Relationship Id="rId26" Type="http://schemas.openxmlformats.org/officeDocument/2006/relationships/hyperlink" Target="http://www.wpro.who.int/asia_pacific_observatory/hits/series/Nez_Health_Systems_Review.pdf" TargetMode="External"/><Relationship Id="rId39" Type="http://schemas.openxmlformats.org/officeDocument/2006/relationships/hyperlink" Target="https://www.parliament.nz/resource/en-nz/48DBSCH_SCR4194_1/cb220d2e3ba25dc33dec0b28b29b30578d110dd5" TargetMode="External"/><Relationship Id="rId21" Type="http://schemas.openxmlformats.org/officeDocument/2006/relationships/hyperlink" Target="http://legislation.govt.nz/act/public/2003/0115/latest/DLM223818.html" TargetMode="External"/><Relationship Id="rId34" Type="http://schemas.openxmlformats.org/officeDocument/2006/relationships/hyperlink" Target="http://www.health.govt.nz/publication/office-director-mental-health-annual-report-2015" TargetMode="External"/><Relationship Id="rId42" Type="http://schemas.openxmlformats.org/officeDocument/2006/relationships/hyperlink" Target="http://www.health.govt.nz/news-media/media-releases/all-recommendations-accepted-mental-health-inquiry" TargetMode="External"/><Relationship Id="rId47" Type="http://schemas.openxmlformats.org/officeDocument/2006/relationships/hyperlink" Target="http://www.health.govt.nz/publication/seclusion-under-mental-health-compulsory-assessment-and-treatment-act-1992" TargetMode="External"/><Relationship Id="rId50" Type="http://schemas.openxmlformats.org/officeDocument/2006/relationships/hyperlink" Target="http://www.health.govt.nz/our-work/mental-health-and-addictions/mental-health/mental-health-and-human-rights-assessment" TargetMode="External"/><Relationship Id="rId55" Type="http://schemas.openxmlformats.org/officeDocument/2006/relationships/footer" Target="footer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wpro.who.int/asia_pacific_observatory/hits/series/Nez_Health_Systems_Review.pdf" TargetMode="External"/><Relationship Id="rId29" Type="http://schemas.openxmlformats.org/officeDocument/2006/relationships/hyperlink" Target="http://www.health.govt.nz/publication/seclusion-under-mental-health-compulsory-assessment-and-treatment-act-1992" TargetMode="External"/><Relationship Id="rId11" Type="http://schemas.openxmlformats.org/officeDocument/2006/relationships/endnotes" Target="endnotes.xml"/><Relationship Id="rId24" Type="http://schemas.openxmlformats.org/officeDocument/2006/relationships/hyperlink" Target="https://www.justice.govt.nz/" TargetMode="External"/><Relationship Id="rId32" Type="http://schemas.openxmlformats.org/officeDocument/2006/relationships/hyperlink" Target="http://www.health.govt.nz/publication/office-director-mental-health-annual-report-2015" TargetMode="External"/><Relationship Id="rId37" Type="http://schemas.openxmlformats.org/officeDocument/2006/relationships/hyperlink" Target="http://www.health.govt.nz/your-health/services-and-support/disability-services/more-information-disability-support/contact-disability-support-services" TargetMode="External"/><Relationship Id="rId40" Type="http://schemas.openxmlformats.org/officeDocument/2006/relationships/hyperlink" Target="http://www.health.govt.nz/our-work/disability-services/disability-projects/putting-people-first-quality-review" TargetMode="External"/><Relationship Id="rId45" Type="http://schemas.openxmlformats.org/officeDocument/2006/relationships/hyperlink" Target="http://www.legislation.govt.nz/act/public/1993/0082/latest/DLM304212.html" TargetMode="External"/><Relationship Id="rId53" Type="http://schemas.openxmlformats.org/officeDocument/2006/relationships/hyperlink" Target="http://www.health.govt.nz/publication/prevention-and-management-abuse-guide-services-funded-disability-support-service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legislation.govt.nz/act/public/2003/0115/latest/DLM223818.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publication/guidelines-mental-health-compulsory-assessment-and-treatment-act-1992" TargetMode="External"/><Relationship Id="rId22" Type="http://schemas.openxmlformats.org/officeDocument/2006/relationships/hyperlink" Target="http://www.health.govt.nz/our-work/disability-services/about-disability-support-services/intellectual-disability-compulsory-care-and-rehabilitation-act-2003" TargetMode="External"/><Relationship Id="rId27" Type="http://schemas.openxmlformats.org/officeDocument/2006/relationships/hyperlink" Target="http://www.health.govt.nz/our-work/regulation-health-and-disability-system/certification-health-care-services/health-and-disability-services-safety-act" TargetMode="External"/><Relationship Id="rId30" Type="http://schemas.openxmlformats.org/officeDocument/2006/relationships/hyperlink" Target="http://www.health.govt.nz/publication/office-director-mental-health-annual-report-2015" TargetMode="External"/><Relationship Id="rId35" Type="http://schemas.openxmlformats.org/officeDocument/2006/relationships/hyperlink" Target="https://www.justice.govt.nz/" TargetMode="External"/><Relationship Id="rId43" Type="http://schemas.openxmlformats.org/officeDocument/2006/relationships/hyperlink" Target="http://www.odi.govt.nz/nz-disability-strategy/outcome-4-rights-protection-and-justice/" TargetMode="External"/><Relationship Id="rId48" Type="http://schemas.openxmlformats.org/officeDocument/2006/relationships/hyperlink" Target="http://www.health.govt.nz/publication/office-director-mental-health-annual-report-2015"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www.health.govt.nz/nz-health-statistics/national-collections-and-surveys/collections/primhd-mental-health-data" TargetMode="External"/><Relationship Id="rId3" Type="http://schemas.openxmlformats.org/officeDocument/2006/relationships/customXml" Target="../customXml/item3.xml"/><Relationship Id="rId12" Type="http://schemas.openxmlformats.org/officeDocument/2006/relationships/hyperlink" Target="http://www.odi.govt.nz/nz-disability-strategy/" TargetMode="External"/><Relationship Id="rId17" Type="http://schemas.openxmlformats.org/officeDocument/2006/relationships/hyperlink" Target="http://www.health.govt.nz/system/files/documents/publications/resettlement-of-kimberley-residents.pdf" TargetMode="External"/><Relationship Id="rId25" Type="http://schemas.openxmlformats.org/officeDocument/2006/relationships/hyperlink" Target="http://www.wpro.who.int/asia_pacific_observatory/hits/series/Nez_Health_Systems_Review.pdf" TargetMode="External"/><Relationship Id="rId33" Type="http://schemas.openxmlformats.org/officeDocument/2006/relationships/hyperlink" Target="http://www.health.govt.nz/publication/office-director-mental-health-annual-report-2015" TargetMode="External"/><Relationship Id="rId38" Type="http://schemas.openxmlformats.org/officeDocument/2006/relationships/hyperlink" Target="http://advocacy.hdc.org.nz/" TargetMode="External"/><Relationship Id="rId46" Type="http://schemas.openxmlformats.org/officeDocument/2006/relationships/hyperlink" Target="http://www.health.govt.nz/publication/guidelines-mental-health-compulsory-assessment-and-treatment-act-1992" TargetMode="External"/><Relationship Id="rId20" Type="http://schemas.openxmlformats.org/officeDocument/2006/relationships/hyperlink" Target="http://legislation.govt.nz/act/public/1961/0043/latest/DLM327382.html" TargetMode="External"/><Relationship Id="rId41" Type="http://schemas.openxmlformats.org/officeDocument/2006/relationships/hyperlink" Target="http://www.health.govt.nz/publication/section-99-inspection-waikato-district-health-board-mental-health-and-addiction-service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tion.govt.nz/act/public/2017/0004/23.0/DLM6609057.html" TargetMode="External"/><Relationship Id="rId23" Type="http://schemas.openxmlformats.org/officeDocument/2006/relationships/hyperlink" Target="https://www.justice.govt.nz/" TargetMode="External"/><Relationship Id="rId28" Type="http://schemas.openxmlformats.org/officeDocument/2006/relationships/hyperlink" Target="http://www.health.govt.nz/our-work/disability-services/about-disability-support-services/intellectual-disability-compulsory-care-and-rehabilitation-act-2003" TargetMode="External"/><Relationship Id="rId36" Type="http://schemas.openxmlformats.org/officeDocument/2006/relationships/hyperlink" Target="https://www.justice.govt.nz/" TargetMode="External"/><Relationship Id="rId49" Type="http://schemas.openxmlformats.org/officeDocument/2006/relationships/hyperlink" Target="https://www.odi.govt.nz/assets/Disability-action-plan-files/disability-action-plan-2014-2018-update-2015.pdf"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health.govt.nz/system/files/documents/pages/81342-2008-nzs-health-and-disability-services-restraint-minimisation.pdf" TargetMode="External"/><Relationship Id="rId44" Type="http://schemas.openxmlformats.org/officeDocument/2006/relationships/hyperlink" Target="http://www.legislation.govt.nz/act/public/1990/0109/latest/DLM224792.html" TargetMode="External"/><Relationship Id="rId52" Type="http://schemas.openxmlformats.org/officeDocument/2006/relationships/hyperlink" Target="http://www.health.govt.nz/publication/demographic-report-clients-allocated-ministry-healths-disability-support-services-september-201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era.ioe.ac.uk/16045/1/Neurodisability_Report_FINAL_UPDATED__01_11_1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32FE9-E117-43D8-BAE1-16D82D3775D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3F6FF1-6583-458D-9791-77B4FC499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82032-73DB-4CA0-969C-2F70E2E50607}">
  <ds:schemaRefs>
    <ds:schemaRef ds:uri="http://schemas.microsoft.com/sharepoint/v3/contenttype/forms"/>
  </ds:schemaRefs>
</ds:datastoreItem>
</file>

<file path=customXml/itemProps4.xml><?xml version="1.0" encoding="utf-8"?>
<ds:datastoreItem xmlns:ds="http://schemas.openxmlformats.org/officeDocument/2006/customXml" ds:itemID="{F09D8275-EC16-457A-A185-AC2459F2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5878</Words>
  <Characters>33505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39305</CharactersWithSpaces>
  <SharedDoc>false</SharedDoc>
  <HLinks>
    <vt:vector size="6" baseType="variant">
      <vt:variant>
        <vt:i4>7340068</vt:i4>
      </vt:variant>
      <vt:variant>
        <vt:i4>0</vt:i4>
      </vt:variant>
      <vt:variant>
        <vt:i4>0</vt:i4>
      </vt:variant>
      <vt:variant>
        <vt:i4>5</vt:i4>
      </vt:variant>
      <vt:variant>
        <vt:lpwstr>mailto:cmichels@ohchr.org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2017-05-09T00:49:00Z</dcterms:created>
  <dcterms:modified xsi:type="dcterms:W3CDTF">2017-05-29T20:50:00Z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bjective-Id">
    <vt:lpwstr>A9627863</vt:lpwstr>
  </property>
  <property fmtid="{D5CDD505-2E9C-101B-9397-08002B2CF9AE}" pid="4" name="Objective-Title">
    <vt:lpwstr>Q2: Special Rapporteur Questionnaire on the right to liberty and security of persons with disabilities</vt:lpwstr>
  </property>
  <property fmtid="{D5CDD505-2E9C-101B-9397-08002B2CF9AE}" pid="5" name="Objective-Comment">
    <vt:lpwstr/>
  </property>
  <property fmtid="{D5CDD505-2E9C-101B-9397-08002B2CF9AE}" pid="6" name="Objective-CreationStamp">
    <vt:filetime>2017-05-09T00:41:27Z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2017-05-29T20:51:04Z</vt:filetime>
  </property>
  <property fmtid="{D5CDD505-2E9C-101B-9397-08002B2CF9AE}" pid="10" name="Objective-ModificationStamp">
    <vt:filetime>2017-05-29T20:44:44Z</vt:filetime>
  </property>
  <property fmtid="{D5CDD505-2E9C-101B-9397-08002B2CF9AE}" pid="11" name="Objective-Owner">
    <vt:lpwstr>Amy Evanson</vt:lpwstr>
  </property>
  <property fmtid="{D5CDD505-2E9C-101B-9397-08002B2CF9AE}" pid="12" name="Objective-Path">
    <vt:lpwstr>Global Folder:MSD INFORMATION REPOSITORY:Office &amp; Ministries:Office for Disability Issues:Advice - second opinion, provided to other agencies:International:United Nations:June 2016 to July 2017:2017 05 09 Special Rapporteur questionnaires:2017 05 09 Speci</vt:lpwstr>
  </property>
  <property fmtid="{D5CDD505-2E9C-101B-9397-08002B2CF9AE}" pid="13" name="Objective-Parent">
    <vt:lpwstr>2017 05 09 Special Rapporteur Questionnaire on the right to liberty/security</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13</vt:r8>
  </property>
  <property fmtid="{D5CDD505-2E9C-101B-9397-08002B2CF9AE}" pid="17" name="Objective-VersionComment">
    <vt:lpwstr>Adding education's feedback</vt:lpwstr>
  </property>
  <property fmtid="{D5CDD505-2E9C-101B-9397-08002B2CF9AE}" pid="18" name="Objective-FileNumber">
    <vt:lpwstr>OM/DI/07/17/11-20395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