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DE" w:rsidRPr="005D10DE" w:rsidRDefault="005C20DE" w:rsidP="005D10DE">
      <w:pPr>
        <w:jc w:val="right"/>
        <w:rPr>
          <w:rFonts w:cs="Times New Roman"/>
          <w:i/>
          <w:iCs/>
        </w:rPr>
      </w:pPr>
      <w:r>
        <w:rPr>
          <w:rFonts w:asciiTheme="majorBidi" w:hAnsiTheme="majorBidi" w:cstheme="majorBidi"/>
          <w:noProof/>
        </w:rPr>
        <w:drawing>
          <wp:anchor distT="0" distB="0" distL="114300" distR="114300" simplePos="0" relativeHeight="251658240" behindDoc="0" locked="0" layoutInCell="1" allowOverlap="1" wp14:anchorId="0FD96992" wp14:editId="22B3BACA">
            <wp:simplePos x="0" y="0"/>
            <wp:positionH relativeFrom="column">
              <wp:posOffset>-332740</wp:posOffset>
            </wp:positionH>
            <wp:positionV relativeFrom="paragraph">
              <wp:posOffset>-406400</wp:posOffset>
            </wp:positionV>
            <wp:extent cx="2324100" cy="540158"/>
            <wp:effectExtent l="0" t="0" r="0" b="0"/>
            <wp:wrapNone/>
            <wp:docPr id="1" name="Picture 1" descr="C:\Users\kbyenkya\AppData\Local\Microsoft\Windows\Temporary Internet Files\Content.Outlook\DHQZJA3E\OSF_logo_RGB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yenkya\AppData\Local\Microsoft\Windows\Temporary Internet Files\Content.Outlook\DHQZJA3E\OSF_logo_RGB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540158"/>
                    </a:xfrm>
                    <a:prstGeom prst="rect">
                      <a:avLst/>
                    </a:prstGeom>
                    <a:noFill/>
                    <a:ln>
                      <a:noFill/>
                    </a:ln>
                  </pic:spPr>
                </pic:pic>
              </a:graphicData>
            </a:graphic>
            <wp14:sizeRelH relativeFrom="page">
              <wp14:pctWidth>0</wp14:pctWidth>
            </wp14:sizeRelH>
            <wp14:sizeRelV relativeFrom="page">
              <wp14:pctHeight>0</wp14:pctHeight>
            </wp14:sizeRelV>
          </wp:anchor>
        </w:drawing>
      </w:r>
      <w:r w:rsidR="005D10DE" w:rsidRPr="005D10DE">
        <w:rPr>
          <w:rFonts w:asciiTheme="majorBidi" w:hAnsiTheme="majorBidi" w:cstheme="majorBidi"/>
        </w:rPr>
        <w:t>October 2011</w:t>
      </w:r>
    </w:p>
    <w:p w:rsidR="005D10DE" w:rsidRDefault="005D10DE" w:rsidP="005D10DE">
      <w:pPr>
        <w:jc w:val="right"/>
        <w:outlineLvl w:val="1"/>
        <w:rPr>
          <w:rFonts w:asciiTheme="majorBidi" w:hAnsiTheme="majorBidi" w:cstheme="majorBidi"/>
          <w:b/>
          <w:bCs/>
          <w:color w:val="303030"/>
          <w:sz w:val="22"/>
          <w:szCs w:val="22"/>
        </w:rPr>
      </w:pPr>
    </w:p>
    <w:p w:rsidR="005D10DE" w:rsidRPr="005D10DE" w:rsidRDefault="005D10DE" w:rsidP="005D10DE">
      <w:pPr>
        <w:jc w:val="right"/>
        <w:outlineLvl w:val="1"/>
        <w:rPr>
          <w:rFonts w:asciiTheme="majorBidi" w:hAnsiTheme="majorBidi" w:cstheme="majorBidi"/>
          <w:b/>
          <w:bCs/>
          <w:color w:val="303030"/>
          <w:sz w:val="22"/>
          <w:szCs w:val="22"/>
        </w:rPr>
      </w:pPr>
    </w:p>
    <w:p w:rsidR="005D10DE" w:rsidRDefault="005D10DE" w:rsidP="005D10DE">
      <w:pPr>
        <w:jc w:val="center"/>
        <w:outlineLvl w:val="1"/>
        <w:rPr>
          <w:rFonts w:asciiTheme="majorBidi" w:hAnsiTheme="majorBidi" w:cstheme="majorBidi"/>
          <w:b/>
          <w:bCs/>
          <w:color w:val="303030"/>
          <w:sz w:val="28"/>
          <w:szCs w:val="28"/>
        </w:rPr>
      </w:pPr>
      <w:r>
        <w:rPr>
          <w:rFonts w:asciiTheme="majorBidi" w:hAnsiTheme="majorBidi" w:cstheme="majorBidi"/>
          <w:b/>
          <w:bCs/>
          <w:color w:val="303030"/>
          <w:sz w:val="28"/>
          <w:szCs w:val="28"/>
        </w:rPr>
        <w:t>Submission to the Office of the High Commissioner for Human Rights</w:t>
      </w:r>
    </w:p>
    <w:p w:rsidR="005D10DE" w:rsidRDefault="005D10DE" w:rsidP="005D10DE">
      <w:pPr>
        <w:spacing w:before="120"/>
        <w:jc w:val="center"/>
        <w:outlineLvl w:val="1"/>
        <w:rPr>
          <w:rFonts w:asciiTheme="majorBidi" w:hAnsiTheme="majorBidi" w:cstheme="majorBidi"/>
          <w:b/>
          <w:bCs/>
          <w:color w:val="303030"/>
          <w:sz w:val="28"/>
          <w:szCs w:val="28"/>
        </w:rPr>
      </w:pPr>
      <w:r>
        <w:rPr>
          <w:rFonts w:asciiTheme="majorBidi" w:hAnsiTheme="majorBidi" w:cstheme="majorBidi"/>
          <w:b/>
          <w:bCs/>
          <w:color w:val="303030"/>
          <w:sz w:val="28"/>
          <w:szCs w:val="28"/>
        </w:rPr>
        <w:t xml:space="preserve">For the </w:t>
      </w:r>
      <w:r w:rsidRPr="005D10DE">
        <w:rPr>
          <w:rFonts w:asciiTheme="majorBidi" w:hAnsiTheme="majorBidi" w:cstheme="majorBidi"/>
          <w:b/>
          <w:bCs/>
          <w:color w:val="303030"/>
          <w:sz w:val="28"/>
          <w:szCs w:val="28"/>
        </w:rPr>
        <w:t>Thematic Study</w:t>
      </w:r>
      <w:r>
        <w:rPr>
          <w:rFonts w:asciiTheme="majorBidi" w:hAnsiTheme="majorBidi" w:cstheme="majorBidi"/>
          <w:b/>
          <w:bCs/>
          <w:color w:val="303030"/>
          <w:sz w:val="28"/>
          <w:szCs w:val="28"/>
        </w:rPr>
        <w:t xml:space="preserve"> </w:t>
      </w:r>
      <w:r w:rsidRPr="005D10DE">
        <w:rPr>
          <w:rFonts w:asciiTheme="majorBidi" w:hAnsiTheme="majorBidi" w:cstheme="majorBidi"/>
          <w:b/>
          <w:bCs/>
          <w:color w:val="303030"/>
          <w:sz w:val="28"/>
          <w:szCs w:val="28"/>
        </w:rPr>
        <w:t xml:space="preserve">on Participation of Persons with Disabilities </w:t>
      </w:r>
    </w:p>
    <w:p w:rsidR="005D10DE" w:rsidRPr="005D10DE" w:rsidRDefault="005D10DE" w:rsidP="005D10DE">
      <w:pPr>
        <w:jc w:val="center"/>
        <w:outlineLvl w:val="1"/>
        <w:rPr>
          <w:rFonts w:asciiTheme="majorBidi" w:hAnsiTheme="majorBidi" w:cstheme="majorBidi"/>
          <w:b/>
          <w:bCs/>
          <w:color w:val="303030"/>
          <w:sz w:val="28"/>
          <w:szCs w:val="28"/>
        </w:rPr>
      </w:pPr>
      <w:proofErr w:type="gramStart"/>
      <w:r w:rsidRPr="005D10DE">
        <w:rPr>
          <w:rFonts w:asciiTheme="majorBidi" w:hAnsiTheme="majorBidi" w:cstheme="majorBidi"/>
          <w:b/>
          <w:bCs/>
          <w:color w:val="303030"/>
          <w:sz w:val="28"/>
          <w:szCs w:val="28"/>
        </w:rPr>
        <w:t>in</w:t>
      </w:r>
      <w:proofErr w:type="gramEnd"/>
      <w:r w:rsidRPr="005D10DE">
        <w:rPr>
          <w:rFonts w:asciiTheme="majorBidi" w:hAnsiTheme="majorBidi" w:cstheme="majorBidi"/>
          <w:b/>
          <w:bCs/>
          <w:color w:val="303030"/>
          <w:sz w:val="28"/>
          <w:szCs w:val="28"/>
        </w:rPr>
        <w:t xml:space="preserve"> Political and Public Life</w:t>
      </w:r>
    </w:p>
    <w:p w:rsidR="005447D4" w:rsidRDefault="005447D4" w:rsidP="001C0EDC">
      <w:pPr>
        <w:rPr>
          <w:rFonts w:asciiTheme="majorBidi" w:hAnsiTheme="majorBidi" w:cstheme="majorBidi"/>
          <w:b/>
          <w:bCs/>
          <w:sz w:val="28"/>
          <w:szCs w:val="28"/>
        </w:rPr>
      </w:pPr>
    </w:p>
    <w:p w:rsidR="005D10DE" w:rsidRPr="005D10DE" w:rsidRDefault="005D10DE" w:rsidP="002D2F5C">
      <w:pPr>
        <w:rPr>
          <w:rFonts w:cs="Times New Roman"/>
          <w:sz w:val="22"/>
          <w:szCs w:val="22"/>
        </w:rPr>
      </w:pPr>
      <w:r w:rsidRPr="005D10DE">
        <w:rPr>
          <w:rFonts w:asciiTheme="majorBidi" w:hAnsiTheme="majorBidi" w:cstheme="majorBidi"/>
        </w:rPr>
        <w:t xml:space="preserve">The </w:t>
      </w:r>
      <w:r>
        <w:rPr>
          <w:rFonts w:asciiTheme="majorBidi" w:hAnsiTheme="majorBidi" w:cstheme="majorBidi"/>
        </w:rPr>
        <w:t>Rights Initiative</w:t>
      </w:r>
      <w:r w:rsidR="002D2F5C">
        <w:rPr>
          <w:rFonts w:asciiTheme="majorBidi" w:hAnsiTheme="majorBidi" w:cstheme="majorBidi"/>
        </w:rPr>
        <w:t>s</w:t>
      </w:r>
      <w:r>
        <w:rPr>
          <w:rFonts w:asciiTheme="majorBidi" w:hAnsiTheme="majorBidi" w:cstheme="majorBidi"/>
        </w:rPr>
        <w:t xml:space="preserve"> of the Open Society Foundations</w:t>
      </w:r>
      <w:r w:rsidR="00633460">
        <w:rPr>
          <w:rStyle w:val="FootnoteReference"/>
          <w:rFonts w:asciiTheme="majorBidi" w:hAnsiTheme="majorBidi" w:cstheme="majorBidi"/>
        </w:rPr>
        <w:footnoteReference w:id="1"/>
      </w:r>
      <w:r>
        <w:rPr>
          <w:rFonts w:asciiTheme="majorBidi" w:hAnsiTheme="majorBidi" w:cstheme="majorBidi"/>
        </w:rPr>
        <w:t xml:space="preserve"> is pleased to submit the following </w:t>
      </w:r>
      <w:r w:rsidR="007601AD">
        <w:rPr>
          <w:rFonts w:asciiTheme="majorBidi" w:hAnsiTheme="majorBidi" w:cstheme="majorBidi"/>
        </w:rPr>
        <w:t>analysis in response to the Office of the High Commissioner for Human Rights’ request for contributions towards a thematic study on participation of persons with disabilities in political and public life.</w:t>
      </w:r>
    </w:p>
    <w:p w:rsidR="005447D4" w:rsidRDefault="005447D4" w:rsidP="001C0EDC">
      <w:pPr>
        <w:rPr>
          <w:rFonts w:cs="Times New Roman"/>
        </w:rPr>
      </w:pPr>
    </w:p>
    <w:p w:rsidR="00AD78FF" w:rsidRPr="008C0C25" w:rsidRDefault="00AD78FF" w:rsidP="00AD78FF">
      <w:pPr>
        <w:jc w:val="both"/>
        <w:rPr>
          <w:rFonts w:cs="Times New Roman"/>
          <w:b/>
          <w:bCs/>
        </w:rPr>
      </w:pPr>
      <w:r w:rsidRPr="008C0C25">
        <w:rPr>
          <w:rFonts w:cs="Times New Roman"/>
          <w:b/>
          <w:bCs/>
        </w:rPr>
        <w:t xml:space="preserve">A. Question for analysis: Can the right of persons with disabilities to vote be limited on the basis of a finding of incapacity? </w:t>
      </w:r>
    </w:p>
    <w:p w:rsidR="00AD78FF" w:rsidRDefault="00AD78FF" w:rsidP="00AD78FF">
      <w:pPr>
        <w:rPr>
          <w:rFonts w:cs="Times New Roman"/>
        </w:rPr>
      </w:pPr>
    </w:p>
    <w:p w:rsidR="005447D4" w:rsidRPr="000B43A3" w:rsidRDefault="007601AD" w:rsidP="00AD78FF">
      <w:pPr>
        <w:rPr>
          <w:rFonts w:cs="Times New Roman"/>
        </w:rPr>
      </w:pPr>
      <w:r>
        <w:rPr>
          <w:rFonts w:cs="Times New Roman"/>
        </w:rPr>
        <w:t xml:space="preserve">The analysis addresses the proposal by the </w:t>
      </w:r>
      <w:r w:rsidR="005D10DE">
        <w:rPr>
          <w:rFonts w:cs="Times New Roman"/>
        </w:rPr>
        <w:t xml:space="preserve">European Commission for Democracy </w:t>
      </w:r>
      <w:proofErr w:type="gramStart"/>
      <w:r w:rsidR="005D10DE">
        <w:rPr>
          <w:rFonts w:cs="Times New Roman"/>
        </w:rPr>
        <w:t>Through</w:t>
      </w:r>
      <w:proofErr w:type="gramEnd"/>
      <w:r w:rsidR="005D10DE">
        <w:rPr>
          <w:rFonts w:cs="Times New Roman"/>
        </w:rPr>
        <w:t xml:space="preserve"> Law (</w:t>
      </w:r>
      <w:r>
        <w:rPr>
          <w:rFonts w:cs="Times New Roman"/>
        </w:rPr>
        <w:t xml:space="preserve">the </w:t>
      </w:r>
      <w:r w:rsidR="005D10DE">
        <w:rPr>
          <w:rFonts w:cs="Times New Roman"/>
        </w:rPr>
        <w:t xml:space="preserve">Venice Commission), advising the Council of Europe, </w:t>
      </w:r>
      <w:r w:rsidR="00AD78FF" w:rsidRPr="000B43A3">
        <w:rPr>
          <w:rFonts w:cs="Times New Roman"/>
        </w:rPr>
        <w:t xml:space="preserve">that the principle of universal suffrage can be overridden by </w:t>
      </w:r>
      <w:r w:rsidR="00AD78FF">
        <w:rPr>
          <w:rFonts w:cs="Times New Roman"/>
        </w:rPr>
        <w:t>“</w:t>
      </w:r>
      <w:r w:rsidR="00AD78FF" w:rsidRPr="000B43A3">
        <w:rPr>
          <w:rFonts w:cs="Times New Roman"/>
        </w:rPr>
        <w:t>an individual decision of a court of law</w:t>
      </w:r>
      <w:r w:rsidR="00AD78FF">
        <w:rPr>
          <w:rFonts w:cs="Times New Roman"/>
        </w:rPr>
        <w:t>”</w:t>
      </w:r>
      <w:r w:rsidR="00AD78FF" w:rsidRPr="000B43A3">
        <w:rPr>
          <w:rFonts w:cs="Times New Roman"/>
        </w:rPr>
        <w:t xml:space="preserve"> to deprive a person of the right to vote and be elected </w:t>
      </w:r>
      <w:r w:rsidR="00AD78FF">
        <w:rPr>
          <w:rFonts w:cs="Times New Roman"/>
        </w:rPr>
        <w:t>“</w:t>
      </w:r>
      <w:r w:rsidR="00AD78FF" w:rsidRPr="000B43A3">
        <w:rPr>
          <w:rFonts w:cs="Times New Roman"/>
        </w:rPr>
        <w:t xml:space="preserve">because of a </w:t>
      </w:r>
      <w:r w:rsidR="00AD78FF">
        <w:rPr>
          <w:rFonts w:cs="Times New Roman"/>
        </w:rPr>
        <w:t xml:space="preserve">proven </w:t>
      </w:r>
      <w:r w:rsidR="00AD78FF" w:rsidRPr="000B43A3">
        <w:rPr>
          <w:rFonts w:cs="Times New Roman"/>
        </w:rPr>
        <w:t>mental disability</w:t>
      </w:r>
      <w:r w:rsidR="00AD78FF">
        <w:rPr>
          <w:rFonts w:cs="Times New Roman"/>
        </w:rPr>
        <w:t>.</w:t>
      </w:r>
      <w:r w:rsidR="00AD78FF" w:rsidRPr="000B43A3">
        <w:rPr>
          <w:rFonts w:cs="Times New Roman"/>
        </w:rPr>
        <w:t>”</w:t>
      </w:r>
      <w:r w:rsidR="00AD78FF" w:rsidRPr="000B43A3">
        <w:rPr>
          <w:rStyle w:val="FootnoteReference"/>
          <w:rFonts w:cs="Times New Roman"/>
        </w:rPr>
        <w:footnoteReference w:id="2"/>
      </w:r>
      <w:r w:rsidR="00AD78FF" w:rsidRPr="000B43A3">
        <w:rPr>
          <w:rFonts w:cs="Times New Roman"/>
        </w:rPr>
        <w:t xml:space="preserve"> </w:t>
      </w:r>
      <w:r>
        <w:rPr>
          <w:rFonts w:cs="Times New Roman"/>
        </w:rPr>
        <w:t>This recommendation reflects existing law and policy in some Council of Europe countries, as well as a trend in others – of replacing a blanket denial of the right to vote for certain groups of persons with disabilities with criteria that would deny the right to vote of individuals by way of a</w:t>
      </w:r>
      <w:r w:rsidR="00AD78FF">
        <w:rPr>
          <w:rFonts w:cs="Times New Roman"/>
        </w:rPr>
        <w:t>n individually-</w:t>
      </w:r>
      <w:proofErr w:type="gramStart"/>
      <w:r w:rsidR="00AD78FF">
        <w:rPr>
          <w:rFonts w:cs="Times New Roman"/>
        </w:rPr>
        <w:t xml:space="preserve">applied </w:t>
      </w:r>
      <w:r>
        <w:rPr>
          <w:rFonts w:cs="Times New Roman"/>
        </w:rPr>
        <w:t xml:space="preserve"> capacity</w:t>
      </w:r>
      <w:proofErr w:type="gramEnd"/>
      <w:r>
        <w:rPr>
          <w:rFonts w:cs="Times New Roman"/>
        </w:rPr>
        <w:t xml:space="preserve"> test. </w:t>
      </w:r>
    </w:p>
    <w:p w:rsidR="00AD78FF" w:rsidRDefault="00AD78FF" w:rsidP="00617B8D">
      <w:pPr>
        <w:jc w:val="both"/>
        <w:rPr>
          <w:rFonts w:cs="Times New Roman"/>
        </w:rPr>
      </w:pPr>
    </w:p>
    <w:p w:rsidR="005447D4" w:rsidRPr="000B43A3" w:rsidRDefault="005447D4" w:rsidP="00617B8D">
      <w:pPr>
        <w:jc w:val="both"/>
        <w:rPr>
          <w:rFonts w:cs="Times New Roman"/>
        </w:rPr>
      </w:pPr>
      <w:r w:rsidRPr="000B43A3">
        <w:rPr>
          <w:rFonts w:cs="Times New Roman"/>
        </w:rPr>
        <w:t xml:space="preserve">This question is analyzed in light of the standard established by the UN Convention on the Rights of Persons with Disabilities </w:t>
      </w:r>
      <w:r>
        <w:rPr>
          <w:rFonts w:cs="Times New Roman"/>
        </w:rPr>
        <w:t xml:space="preserve">(CRPD), as well as other branches of international law, including </w:t>
      </w:r>
      <w:r w:rsidRPr="000B43A3">
        <w:rPr>
          <w:rFonts w:cs="Times New Roman"/>
        </w:rPr>
        <w:t>the 2010 ruling of the European Court of Human Rights</w:t>
      </w:r>
      <w:r>
        <w:rPr>
          <w:rFonts w:cs="Times New Roman"/>
        </w:rPr>
        <w:t xml:space="preserve"> in</w:t>
      </w:r>
      <w:r w:rsidRPr="000B43A3">
        <w:rPr>
          <w:rFonts w:cs="Times New Roman"/>
        </w:rPr>
        <w:t xml:space="preserve"> </w:t>
      </w:r>
      <w:r w:rsidRPr="005F61AE">
        <w:rPr>
          <w:rFonts w:cs="Times New Roman"/>
          <w:i/>
          <w:iCs/>
        </w:rPr>
        <w:t>Kiss v. Hungary</w:t>
      </w:r>
      <w:r w:rsidRPr="000B43A3">
        <w:rPr>
          <w:rFonts w:cs="Times New Roman"/>
        </w:rPr>
        <w:t>.</w:t>
      </w:r>
      <w:r w:rsidRPr="000B43A3">
        <w:rPr>
          <w:rStyle w:val="FootnoteReference"/>
          <w:rFonts w:cs="Times New Roman"/>
        </w:rPr>
        <w:footnoteReference w:id="3"/>
      </w:r>
    </w:p>
    <w:p w:rsidR="005447D4" w:rsidRDefault="005447D4" w:rsidP="0057265D">
      <w:pPr>
        <w:rPr>
          <w:rFonts w:cs="Times New Roman"/>
        </w:rPr>
      </w:pPr>
    </w:p>
    <w:p w:rsidR="005447D4" w:rsidRPr="00917D16" w:rsidRDefault="005447D4" w:rsidP="00D34E15">
      <w:pPr>
        <w:rPr>
          <w:rFonts w:cs="Times New Roman"/>
          <w:b/>
          <w:bCs/>
        </w:rPr>
      </w:pPr>
      <w:r w:rsidRPr="00917D16">
        <w:rPr>
          <w:rFonts w:cs="Times New Roman"/>
          <w:b/>
          <w:bCs/>
        </w:rPr>
        <w:t>B. The right to vote of persons with disabilities</w:t>
      </w:r>
    </w:p>
    <w:p w:rsidR="005447D4" w:rsidRPr="001C0EDC" w:rsidRDefault="005447D4" w:rsidP="009126AD">
      <w:pPr>
        <w:rPr>
          <w:rFonts w:cs="Times New Roman"/>
          <w:b/>
          <w:bCs/>
        </w:rPr>
      </w:pPr>
    </w:p>
    <w:p w:rsidR="005447D4" w:rsidRPr="001C0EDC" w:rsidRDefault="005447D4" w:rsidP="004A2FBF">
      <w:pPr>
        <w:rPr>
          <w:rFonts w:cs="Times New Roman"/>
        </w:rPr>
      </w:pPr>
      <w:r w:rsidRPr="001C0EDC">
        <w:rPr>
          <w:rFonts w:cs="Times New Roman"/>
          <w:b/>
          <w:bCs/>
        </w:rPr>
        <w:t xml:space="preserve">B.1 </w:t>
      </w:r>
      <w:proofErr w:type="gramStart"/>
      <w:r w:rsidRPr="001C0EDC">
        <w:rPr>
          <w:rFonts w:cs="Times New Roman"/>
          <w:b/>
          <w:bCs/>
        </w:rPr>
        <w:t>Under</w:t>
      </w:r>
      <w:proofErr w:type="gramEnd"/>
      <w:r w:rsidRPr="001C0EDC">
        <w:rPr>
          <w:rFonts w:cs="Times New Roman"/>
          <w:b/>
          <w:bCs/>
        </w:rPr>
        <w:t xml:space="preserve"> the CRPD </w:t>
      </w:r>
    </w:p>
    <w:p w:rsidR="005447D4" w:rsidRDefault="005447D4" w:rsidP="0057265D">
      <w:pPr>
        <w:rPr>
          <w:rFonts w:cs="Times New Roman"/>
        </w:rPr>
      </w:pPr>
    </w:p>
    <w:p w:rsidR="005447D4" w:rsidRDefault="005447D4" w:rsidP="00020FAA">
      <w:pPr>
        <w:rPr>
          <w:rFonts w:cs="Times New Roman"/>
        </w:rPr>
      </w:pPr>
      <w:r>
        <w:rPr>
          <w:rFonts w:cs="Times New Roman"/>
        </w:rPr>
        <w:t xml:space="preserve">The right to vote is a foundational tenet of democracy that recognizes the equal voice of a State’s citizens in electing representatives. It is emblematic of full participation of the individual in political and public life, and of the power to partake in influencing events of personal and national consequence. </w:t>
      </w:r>
    </w:p>
    <w:p w:rsidR="005447D4" w:rsidRDefault="005447D4" w:rsidP="00C652ED">
      <w:pPr>
        <w:rPr>
          <w:rFonts w:cs="Times New Roman"/>
        </w:rPr>
      </w:pPr>
    </w:p>
    <w:p w:rsidR="005447D4" w:rsidRPr="005F61AE" w:rsidRDefault="005447D4" w:rsidP="005F61AE">
      <w:pPr>
        <w:rPr>
          <w:rFonts w:cs="Times New Roman"/>
        </w:rPr>
      </w:pPr>
      <w:r>
        <w:rPr>
          <w:rFonts w:cs="Times New Roman"/>
        </w:rPr>
        <w:t xml:space="preserve">Bearing in mind the tendency throughout history to exclude persons with disabilities from public life and from making decisions affecting their own lives, the CRPD </w:t>
      </w:r>
      <w:r w:rsidR="004B5C40">
        <w:rPr>
          <w:rFonts w:cs="Times New Roman"/>
        </w:rPr>
        <w:t xml:space="preserve">includes an </w:t>
      </w:r>
      <w:r>
        <w:rPr>
          <w:rFonts w:cs="Times New Roman"/>
        </w:rPr>
        <w:t>article</w:t>
      </w:r>
      <w:r w:rsidR="004B5C40">
        <w:rPr>
          <w:rFonts w:cs="Times New Roman"/>
        </w:rPr>
        <w:t xml:space="preserve"> specifically drafted</w:t>
      </w:r>
      <w:r>
        <w:rPr>
          <w:rFonts w:cs="Times New Roman"/>
        </w:rPr>
        <w:t xml:space="preserve"> to ensure participation in political and public life. Article 29 echoes the right </w:t>
      </w:r>
      <w:r>
        <w:rPr>
          <w:rFonts w:cs="Times New Roman"/>
        </w:rPr>
        <w:lastRenderedPageBreak/>
        <w:t>to participate in public affairs as enshrined by the International Covenant on Civil and Political Rights (ICCPR),</w:t>
      </w:r>
      <w:r>
        <w:rPr>
          <w:rStyle w:val="FootnoteReference"/>
          <w:rFonts w:cs="Times New Roman"/>
        </w:rPr>
        <w:footnoteReference w:id="4"/>
      </w:r>
      <w:r>
        <w:rPr>
          <w:rFonts w:cs="Times New Roman"/>
        </w:rPr>
        <w:t xml:space="preserve"> while spelling out how universal suffrage is to be achieved for persons with disabilities. A</w:t>
      </w:r>
      <w:r w:rsidRPr="005F61AE">
        <w:rPr>
          <w:rFonts w:cs="Times New Roman"/>
        </w:rPr>
        <w:t xml:space="preserve">rticle </w:t>
      </w:r>
      <w:r>
        <w:rPr>
          <w:rFonts w:cs="Times New Roman"/>
        </w:rPr>
        <w:t xml:space="preserve">29 </w:t>
      </w:r>
      <w:r w:rsidRPr="005F61AE">
        <w:rPr>
          <w:rFonts w:cs="Times New Roman"/>
        </w:rPr>
        <w:t>recognizes the categorical right and specifies the measures for realizing it:  accessibility, accommodations</w:t>
      </w:r>
      <w:r w:rsidR="00DC6E17">
        <w:rPr>
          <w:rFonts w:cs="Times New Roman"/>
        </w:rPr>
        <w:t>,</w:t>
      </w:r>
      <w:r w:rsidRPr="005F61AE">
        <w:rPr>
          <w:rFonts w:cs="Times New Roman"/>
        </w:rPr>
        <w:t xml:space="preserve"> and</w:t>
      </w:r>
      <w:r>
        <w:rPr>
          <w:rFonts w:cs="Times New Roman"/>
        </w:rPr>
        <w:t>,</w:t>
      </w:r>
      <w:r w:rsidRPr="005F61AE">
        <w:rPr>
          <w:rFonts w:cs="Times New Roman"/>
        </w:rPr>
        <w:t xml:space="preserve"> where necessary and requested</w:t>
      </w:r>
      <w:r>
        <w:rPr>
          <w:rFonts w:cs="Times New Roman"/>
        </w:rPr>
        <w:t xml:space="preserve">, </w:t>
      </w:r>
      <w:r w:rsidRPr="005F61AE">
        <w:rPr>
          <w:rFonts w:cs="Times New Roman"/>
        </w:rPr>
        <w:t>support.</w:t>
      </w:r>
    </w:p>
    <w:p w:rsidR="005447D4" w:rsidRPr="00CE1F25" w:rsidRDefault="005447D4" w:rsidP="004F2D1F">
      <w:pPr>
        <w:rPr>
          <w:rFonts w:cs="Times New Roman"/>
          <w:sz w:val="22"/>
          <w:szCs w:val="22"/>
        </w:rPr>
      </w:pPr>
    </w:p>
    <w:p w:rsidR="005447D4" w:rsidRDefault="005447D4" w:rsidP="001C0EDC">
      <w:pPr>
        <w:keepNext/>
        <w:keepLines/>
        <w:ind w:left="720" w:right="720"/>
        <w:rPr>
          <w:rFonts w:cs="Times New Roman"/>
        </w:rPr>
      </w:pPr>
      <w:r w:rsidRPr="004F2D1F">
        <w:rPr>
          <w:rFonts w:cs="Times New Roman"/>
          <w:b/>
          <w:bCs/>
        </w:rPr>
        <w:t>CRPD Article 29</w:t>
      </w:r>
    </w:p>
    <w:p w:rsidR="005447D4" w:rsidRPr="003572B4" w:rsidRDefault="005447D4" w:rsidP="001C0EDC">
      <w:pPr>
        <w:keepNext/>
        <w:keepLines/>
        <w:autoSpaceDE w:val="0"/>
        <w:autoSpaceDN w:val="0"/>
        <w:adjustRightInd w:val="0"/>
        <w:spacing w:before="120"/>
        <w:ind w:left="720" w:right="720"/>
        <w:rPr>
          <w:rFonts w:cs="Times New Roman"/>
          <w:sz w:val="22"/>
          <w:szCs w:val="22"/>
        </w:rPr>
      </w:pPr>
      <w:r w:rsidRPr="003572B4">
        <w:rPr>
          <w:rFonts w:cs="Times New Roman"/>
          <w:sz w:val="22"/>
          <w:szCs w:val="22"/>
        </w:rPr>
        <w:t xml:space="preserve">States Parties shall </w:t>
      </w:r>
      <w:r w:rsidRPr="00020FAA">
        <w:rPr>
          <w:rFonts w:cs="Times New Roman"/>
          <w:b/>
          <w:bCs/>
          <w:sz w:val="22"/>
          <w:szCs w:val="22"/>
        </w:rPr>
        <w:t>guarantee to persons with disabilities political rights and the opportunity to enjoy them on an equal basis with others</w:t>
      </w:r>
      <w:r w:rsidRPr="003572B4">
        <w:rPr>
          <w:rFonts w:cs="Times New Roman"/>
          <w:sz w:val="22"/>
          <w:szCs w:val="22"/>
        </w:rPr>
        <w:t>, and shall undertake:</w:t>
      </w:r>
    </w:p>
    <w:p w:rsidR="005447D4" w:rsidRDefault="005447D4" w:rsidP="004F2D1F">
      <w:pPr>
        <w:autoSpaceDE w:val="0"/>
        <w:autoSpaceDN w:val="0"/>
        <w:adjustRightInd w:val="0"/>
        <w:spacing w:before="120"/>
        <w:ind w:left="720" w:right="720"/>
        <w:rPr>
          <w:rFonts w:cs="Times New Roman"/>
          <w:sz w:val="22"/>
          <w:szCs w:val="22"/>
        </w:rPr>
      </w:pPr>
      <w:r w:rsidRPr="003572B4">
        <w:rPr>
          <w:rFonts w:cs="Times New Roman"/>
          <w:sz w:val="22"/>
          <w:szCs w:val="22"/>
        </w:rPr>
        <w:t>(</w:t>
      </w:r>
      <w:r w:rsidRPr="003572B4">
        <w:rPr>
          <w:rFonts w:cs="Times New Roman"/>
          <w:i/>
          <w:iCs/>
          <w:sz w:val="22"/>
          <w:szCs w:val="22"/>
        </w:rPr>
        <w:t>a</w:t>
      </w:r>
      <w:r w:rsidRPr="003572B4">
        <w:rPr>
          <w:rFonts w:cs="Times New Roman"/>
          <w:sz w:val="22"/>
          <w:szCs w:val="22"/>
        </w:rPr>
        <w:t xml:space="preserve">) To </w:t>
      </w:r>
      <w:r w:rsidRPr="004F2D1F">
        <w:rPr>
          <w:rFonts w:cs="Times New Roman"/>
          <w:b/>
          <w:bCs/>
          <w:sz w:val="22"/>
          <w:szCs w:val="22"/>
        </w:rPr>
        <w:t>ensure that persons with disabilities can effectively and fully participate in political and public life on an equal basis with others</w:t>
      </w:r>
      <w:r w:rsidRPr="003572B4">
        <w:rPr>
          <w:rFonts w:cs="Times New Roman"/>
          <w:sz w:val="22"/>
          <w:szCs w:val="22"/>
        </w:rPr>
        <w:t>, directly or through freely chosen representatives, including the right and opportunity for persons with disabilities to vote and be elected, inter alia, by:</w:t>
      </w:r>
    </w:p>
    <w:p w:rsidR="005447D4" w:rsidRPr="003572B4" w:rsidRDefault="005447D4" w:rsidP="004F2D1F">
      <w:pPr>
        <w:autoSpaceDE w:val="0"/>
        <w:autoSpaceDN w:val="0"/>
        <w:adjustRightInd w:val="0"/>
        <w:spacing w:before="120"/>
        <w:ind w:left="1440" w:right="720" w:hanging="360"/>
        <w:rPr>
          <w:rFonts w:cs="Times New Roman"/>
          <w:sz w:val="22"/>
          <w:szCs w:val="22"/>
        </w:rPr>
      </w:pPr>
      <w:r w:rsidRPr="003572B4">
        <w:rPr>
          <w:rFonts w:cs="Times New Roman"/>
          <w:sz w:val="22"/>
          <w:szCs w:val="22"/>
        </w:rPr>
        <w:t xml:space="preserve">(i) </w:t>
      </w:r>
      <w:r>
        <w:rPr>
          <w:rFonts w:cs="Times New Roman"/>
          <w:sz w:val="22"/>
          <w:szCs w:val="22"/>
        </w:rPr>
        <w:tab/>
      </w:r>
      <w:r w:rsidRPr="003572B4">
        <w:rPr>
          <w:rFonts w:cs="Times New Roman"/>
          <w:sz w:val="22"/>
          <w:szCs w:val="22"/>
        </w:rPr>
        <w:t xml:space="preserve">Ensuring that </w:t>
      </w:r>
      <w:r w:rsidRPr="004F2D1F">
        <w:rPr>
          <w:rFonts w:cs="Times New Roman"/>
          <w:b/>
          <w:bCs/>
          <w:sz w:val="22"/>
          <w:szCs w:val="22"/>
        </w:rPr>
        <w:t>voting procedures, facilities and materials are appropriate, accessible and</w:t>
      </w:r>
      <w:r w:rsidRPr="003572B4">
        <w:rPr>
          <w:rFonts w:cs="Times New Roman"/>
          <w:sz w:val="22"/>
          <w:szCs w:val="22"/>
        </w:rPr>
        <w:t xml:space="preserve"> </w:t>
      </w:r>
      <w:r w:rsidRPr="004F2D1F">
        <w:rPr>
          <w:rFonts w:cs="Times New Roman"/>
          <w:b/>
          <w:bCs/>
          <w:sz w:val="22"/>
          <w:szCs w:val="22"/>
        </w:rPr>
        <w:t>easy to understand and use</w:t>
      </w:r>
      <w:r w:rsidRPr="003572B4">
        <w:rPr>
          <w:rFonts w:cs="Times New Roman"/>
          <w:sz w:val="22"/>
          <w:szCs w:val="22"/>
        </w:rPr>
        <w:t>;</w:t>
      </w:r>
    </w:p>
    <w:p w:rsidR="005447D4" w:rsidRDefault="005447D4" w:rsidP="004F2D1F">
      <w:pPr>
        <w:autoSpaceDE w:val="0"/>
        <w:autoSpaceDN w:val="0"/>
        <w:adjustRightInd w:val="0"/>
        <w:spacing w:before="120"/>
        <w:ind w:left="1440" w:right="720" w:hanging="360"/>
        <w:rPr>
          <w:rFonts w:cs="Times New Roman"/>
          <w:sz w:val="22"/>
          <w:szCs w:val="22"/>
        </w:rPr>
      </w:pPr>
      <w:r w:rsidRPr="003572B4">
        <w:rPr>
          <w:rFonts w:cs="Times New Roman"/>
          <w:sz w:val="22"/>
          <w:szCs w:val="22"/>
        </w:rPr>
        <w:t xml:space="preserve">(ii) </w:t>
      </w:r>
      <w:r w:rsidRPr="00020FAA">
        <w:rPr>
          <w:rFonts w:cs="Times New Roman"/>
          <w:b/>
          <w:bCs/>
          <w:sz w:val="22"/>
          <w:szCs w:val="22"/>
        </w:rPr>
        <w:t>Protecting the right of persons with disabilities to vote</w:t>
      </w:r>
      <w:r w:rsidRPr="003572B4">
        <w:rPr>
          <w:rFonts w:cs="Times New Roman"/>
          <w:sz w:val="22"/>
          <w:szCs w:val="22"/>
        </w:rPr>
        <w:t xml:space="preserve"> by secret ballot in elections and public referendums without intimidation, and to stand for elections, to effectively hold office and perform all public functions at all levels of government, facilitating the use of assistive and new technologies where appropriate;</w:t>
      </w:r>
    </w:p>
    <w:p w:rsidR="005447D4" w:rsidRPr="003572B4" w:rsidRDefault="005447D4" w:rsidP="004F2D1F">
      <w:pPr>
        <w:autoSpaceDE w:val="0"/>
        <w:autoSpaceDN w:val="0"/>
        <w:adjustRightInd w:val="0"/>
        <w:spacing w:before="120"/>
        <w:ind w:left="1440" w:right="720" w:hanging="360"/>
        <w:rPr>
          <w:rFonts w:cs="Times New Roman"/>
          <w:sz w:val="22"/>
          <w:szCs w:val="22"/>
        </w:rPr>
      </w:pPr>
      <w:r>
        <w:rPr>
          <w:rFonts w:cs="Times New Roman"/>
          <w:sz w:val="22"/>
          <w:szCs w:val="22"/>
        </w:rPr>
        <w:t xml:space="preserve">(iii) Guaranteeing the free expression of the will of persons with disabilities as electors and to this end, </w:t>
      </w:r>
      <w:r w:rsidRPr="00EF35BD">
        <w:rPr>
          <w:rFonts w:cs="Times New Roman"/>
          <w:b/>
          <w:bCs/>
          <w:sz w:val="22"/>
          <w:szCs w:val="22"/>
        </w:rPr>
        <w:t>where necessary, at their request, allowing assistance in voting by a person of their own choice</w:t>
      </w:r>
      <w:r>
        <w:rPr>
          <w:rFonts w:cs="Times New Roman"/>
          <w:sz w:val="22"/>
          <w:szCs w:val="22"/>
        </w:rPr>
        <w:t>.</w:t>
      </w:r>
    </w:p>
    <w:p w:rsidR="005447D4" w:rsidRPr="00EF35BD" w:rsidRDefault="005447D4" w:rsidP="00D90D81">
      <w:pPr>
        <w:ind w:left="360" w:right="720"/>
        <w:jc w:val="right"/>
        <w:rPr>
          <w:rFonts w:cs="Times New Roman"/>
        </w:rPr>
      </w:pPr>
      <w:r>
        <w:rPr>
          <w:rFonts w:cs="Times New Roman"/>
          <w:b/>
          <w:bCs/>
        </w:rPr>
        <w:tab/>
      </w:r>
      <w:r>
        <w:rPr>
          <w:rFonts w:cs="Times New Roman"/>
          <w:b/>
          <w:bCs/>
        </w:rPr>
        <w:tab/>
      </w:r>
    </w:p>
    <w:p w:rsidR="005447D4" w:rsidRDefault="005447D4" w:rsidP="0057265D">
      <w:pPr>
        <w:rPr>
          <w:rFonts w:cs="Times New Roman"/>
        </w:rPr>
      </w:pPr>
    </w:p>
    <w:p w:rsidR="005447D4" w:rsidRDefault="005447D4" w:rsidP="00D90D81">
      <w:pPr>
        <w:rPr>
          <w:rFonts w:cs="Times New Roman"/>
        </w:rPr>
      </w:pPr>
      <w:r>
        <w:rPr>
          <w:rFonts w:cs="Times New Roman"/>
        </w:rPr>
        <w:t>No qualifications are attached to the right. The types of accomm</w:t>
      </w:r>
      <w:r w:rsidR="00D90D81">
        <w:rPr>
          <w:rFonts w:cs="Times New Roman"/>
        </w:rPr>
        <w:t>odations and support enumerated include</w:t>
      </w:r>
      <w:r>
        <w:rPr>
          <w:rFonts w:cs="Times New Roman"/>
        </w:rPr>
        <w:t xml:space="preserve"> easy-to-understand and use procedures and materials and assistance in voting</w:t>
      </w:r>
      <w:r w:rsidR="00D90D81">
        <w:rPr>
          <w:rFonts w:cs="Times New Roman"/>
        </w:rPr>
        <w:t>. These</w:t>
      </w:r>
      <w:r>
        <w:rPr>
          <w:rFonts w:cs="Times New Roman"/>
        </w:rPr>
        <w:t xml:space="preserve"> </w:t>
      </w:r>
      <w:r w:rsidR="00CE0441">
        <w:rPr>
          <w:rFonts w:cs="Times New Roman"/>
        </w:rPr>
        <w:t>suggest that th</w:t>
      </w:r>
      <w:r w:rsidR="00E700FB">
        <w:rPr>
          <w:rFonts w:cs="Times New Roman"/>
        </w:rPr>
        <w:t>e right to vote is protected—indeed, should be promoted—f</w:t>
      </w:r>
      <w:r w:rsidR="00CE0441">
        <w:rPr>
          <w:rFonts w:cs="Times New Roman"/>
        </w:rPr>
        <w:t xml:space="preserve">or </w:t>
      </w:r>
      <w:r>
        <w:rPr>
          <w:rFonts w:cs="Times New Roman"/>
        </w:rPr>
        <w:t>the full range of persons with disabilities.</w:t>
      </w:r>
    </w:p>
    <w:p w:rsidR="005447D4" w:rsidRDefault="005447D4" w:rsidP="000A24EE">
      <w:pPr>
        <w:rPr>
          <w:rFonts w:cs="Times New Roman"/>
        </w:rPr>
      </w:pPr>
    </w:p>
    <w:p w:rsidR="005447D4" w:rsidRDefault="00CE0441" w:rsidP="00274687">
      <w:pPr>
        <w:rPr>
          <w:rFonts w:cs="Times New Roman"/>
        </w:rPr>
      </w:pPr>
      <w:r>
        <w:rPr>
          <w:rFonts w:cs="Times New Roman"/>
        </w:rPr>
        <w:t xml:space="preserve">It is clear that </w:t>
      </w:r>
      <w:r w:rsidR="005447D4">
        <w:rPr>
          <w:rFonts w:cs="Times New Roman"/>
        </w:rPr>
        <w:t>Article 29</w:t>
      </w:r>
      <w:r>
        <w:rPr>
          <w:rFonts w:cs="Times New Roman"/>
        </w:rPr>
        <w:t>, when read in conjunction with</w:t>
      </w:r>
      <w:r w:rsidR="005447D4">
        <w:rPr>
          <w:rFonts w:cs="Times New Roman"/>
        </w:rPr>
        <w:t xml:space="preserve"> three other core CRPD principles</w:t>
      </w:r>
      <w:r>
        <w:rPr>
          <w:rFonts w:cs="Times New Roman"/>
        </w:rPr>
        <w:t>,</w:t>
      </w:r>
      <w:r w:rsidR="005447D4">
        <w:rPr>
          <w:rFonts w:cs="Times New Roman"/>
        </w:rPr>
        <w:t xml:space="preserve"> </w:t>
      </w:r>
      <w:r>
        <w:rPr>
          <w:rFonts w:cs="Times New Roman"/>
        </w:rPr>
        <w:t xml:space="preserve">not only prohibits restricting the right to vote of </w:t>
      </w:r>
      <w:r w:rsidR="005447D4">
        <w:rPr>
          <w:rFonts w:cs="Times New Roman"/>
        </w:rPr>
        <w:t xml:space="preserve">persons with disabilities, but imposes an active duty on States Parties to take measures that will expand the population of persons exercising this right. </w:t>
      </w:r>
    </w:p>
    <w:p w:rsidR="005447D4" w:rsidRDefault="005447D4" w:rsidP="002E30DF">
      <w:pPr>
        <w:rPr>
          <w:rFonts w:cs="Times New Roman"/>
        </w:rPr>
      </w:pPr>
    </w:p>
    <w:p w:rsidR="005447D4" w:rsidRDefault="005447D4" w:rsidP="00020FAA">
      <w:pPr>
        <w:rPr>
          <w:rFonts w:cs="Times New Roman"/>
        </w:rPr>
      </w:pPr>
      <w:r>
        <w:rPr>
          <w:rFonts w:cs="Times New Roman"/>
        </w:rPr>
        <w:t xml:space="preserve">Article 3 highlights </w:t>
      </w:r>
      <w:r w:rsidRPr="007A4B78">
        <w:rPr>
          <w:rFonts w:cs="Times New Roman"/>
          <w:i/>
          <w:iCs/>
        </w:rPr>
        <w:t>full and effective participation</w:t>
      </w:r>
      <w:r>
        <w:rPr>
          <w:rFonts w:cs="Times New Roman"/>
        </w:rPr>
        <w:t xml:space="preserve"> and inclusion in society as one of the CRPD’s foundational principles. Articles 2 and 5 include within the meaning of disability-based discrimination both the exclusionary act itself and the denial of </w:t>
      </w:r>
      <w:r w:rsidRPr="007A4B78">
        <w:rPr>
          <w:rFonts w:cs="Times New Roman"/>
          <w:i/>
          <w:iCs/>
        </w:rPr>
        <w:t>reasonable accommodations</w:t>
      </w:r>
      <w:r>
        <w:rPr>
          <w:rFonts w:cs="Times New Roman"/>
        </w:rPr>
        <w:t xml:space="preserve"> to promote equality and eliminate discrimination. Article 12 reaffirms the </w:t>
      </w:r>
      <w:r w:rsidRPr="006154EA">
        <w:rPr>
          <w:rFonts w:cs="Times New Roman"/>
          <w:i/>
          <w:iCs/>
        </w:rPr>
        <w:t xml:space="preserve">recognition of legal </w:t>
      </w:r>
      <w:r w:rsidRPr="006154EA">
        <w:rPr>
          <w:rFonts w:cs="Times New Roman"/>
          <w:i/>
          <w:iCs/>
        </w:rPr>
        <w:lastRenderedPageBreak/>
        <w:t>capacity</w:t>
      </w:r>
      <w:r>
        <w:rPr>
          <w:rFonts w:cs="Times New Roman"/>
        </w:rPr>
        <w:t xml:space="preserve"> of persons with disabilities on an equal basis with others in all aspects of life. What appears in Article 29 as a particular measure, to provide </w:t>
      </w:r>
      <w:r w:rsidRPr="00FD4ADB">
        <w:rPr>
          <w:rFonts w:cs="Times New Roman"/>
          <w:i/>
          <w:iCs/>
        </w:rPr>
        <w:t xml:space="preserve">support </w:t>
      </w:r>
      <w:r>
        <w:rPr>
          <w:rFonts w:cs="Times New Roman"/>
        </w:rPr>
        <w:t xml:space="preserve">in exercising the right to vote, is a foundational principle of the exercise of legal capacity:  the duty to provide </w:t>
      </w:r>
      <w:r w:rsidRPr="00A93660">
        <w:rPr>
          <w:rFonts w:cs="Times New Roman"/>
          <w:i/>
          <w:iCs/>
        </w:rPr>
        <w:t xml:space="preserve">access </w:t>
      </w:r>
      <w:r>
        <w:rPr>
          <w:rFonts w:cs="Times New Roman"/>
          <w:i/>
          <w:iCs/>
        </w:rPr>
        <w:t>for</w:t>
      </w:r>
      <w:r w:rsidRPr="00A93660">
        <w:rPr>
          <w:rFonts w:cs="Times New Roman"/>
          <w:i/>
          <w:iCs/>
        </w:rPr>
        <w:t xml:space="preserve"> persons with disabilities to the support they may require in exercising legal capacity</w:t>
      </w:r>
      <w:r>
        <w:rPr>
          <w:rFonts w:cs="Times New Roman"/>
        </w:rPr>
        <w:t xml:space="preserve"> (Article 12(3)). The traditional form of denying legal capacity—for example, by appointing a guardian—is thereby replaced by a model of supported decision-making, free of the effects of a determination of legal “incapacity.” Finally, under the “Purpose” of the Convention, Article 1 clarifies whose rights are promoted and protected throughout the Convention—those of </w:t>
      </w:r>
      <w:r w:rsidRPr="00A93660">
        <w:rPr>
          <w:rFonts w:cs="Times New Roman"/>
        </w:rPr>
        <w:t>persons with</w:t>
      </w:r>
      <w:r w:rsidRPr="00A93660">
        <w:rPr>
          <w:rFonts w:cs="Times New Roman"/>
          <w:i/>
          <w:iCs/>
        </w:rPr>
        <w:t xml:space="preserve"> physical, mental, intellectual or sensory disabilities</w:t>
      </w:r>
      <w:r>
        <w:rPr>
          <w:rFonts w:cs="Times New Roman"/>
        </w:rPr>
        <w:t>.</w:t>
      </w:r>
    </w:p>
    <w:p w:rsidR="005447D4" w:rsidRDefault="005447D4" w:rsidP="0057265D">
      <w:pPr>
        <w:rPr>
          <w:rFonts w:cs="Times New Roman"/>
        </w:rPr>
      </w:pPr>
    </w:p>
    <w:p w:rsidR="005447D4" w:rsidRDefault="005447D4" w:rsidP="001C0EDC">
      <w:pPr>
        <w:keepNext/>
        <w:keepLines/>
        <w:rPr>
          <w:rFonts w:cs="Times New Roman"/>
        </w:rPr>
      </w:pPr>
      <w:r>
        <w:rPr>
          <w:rFonts w:cs="Times New Roman"/>
          <w:b/>
          <w:bCs/>
        </w:rPr>
        <w:t xml:space="preserve">B.2 </w:t>
      </w:r>
      <w:proofErr w:type="gramStart"/>
      <w:r>
        <w:rPr>
          <w:rFonts w:cs="Times New Roman"/>
          <w:b/>
          <w:bCs/>
        </w:rPr>
        <w:t>Under</w:t>
      </w:r>
      <w:proofErr w:type="gramEnd"/>
      <w:r>
        <w:rPr>
          <w:rFonts w:cs="Times New Roman"/>
          <w:b/>
          <w:bCs/>
        </w:rPr>
        <w:t xml:space="preserve"> </w:t>
      </w:r>
      <w:r w:rsidRPr="00DE749E">
        <w:rPr>
          <w:rFonts w:cs="Times New Roman"/>
          <w:b/>
          <w:bCs/>
        </w:rPr>
        <w:t>the ICCPR</w:t>
      </w:r>
    </w:p>
    <w:p w:rsidR="005447D4" w:rsidRDefault="005447D4" w:rsidP="001C0EDC">
      <w:pPr>
        <w:keepNext/>
        <w:keepLines/>
        <w:rPr>
          <w:rFonts w:cs="Times New Roman"/>
        </w:rPr>
      </w:pPr>
    </w:p>
    <w:p w:rsidR="005447D4" w:rsidRDefault="007A62A0" w:rsidP="001C0EDC">
      <w:pPr>
        <w:keepNext/>
        <w:keepLines/>
        <w:rPr>
          <w:rFonts w:cs="Times New Roman"/>
        </w:rPr>
      </w:pPr>
      <w:r>
        <w:rPr>
          <w:rFonts w:cs="Times New Roman"/>
        </w:rPr>
        <w:t>The state obligation to take</w:t>
      </w:r>
      <w:r w:rsidR="005447D4">
        <w:rPr>
          <w:rFonts w:cs="Times New Roman"/>
        </w:rPr>
        <w:t xml:space="preserve"> positive measures to overcome difficulties in </w:t>
      </w:r>
      <w:r w:rsidR="00CE0441">
        <w:rPr>
          <w:rFonts w:cs="Times New Roman"/>
        </w:rPr>
        <w:t xml:space="preserve">exercising </w:t>
      </w:r>
      <w:r w:rsidR="005447D4">
        <w:rPr>
          <w:rFonts w:cs="Times New Roman"/>
        </w:rPr>
        <w:t xml:space="preserve">the right to vote </w:t>
      </w:r>
      <w:r>
        <w:rPr>
          <w:rFonts w:cs="Times New Roman"/>
        </w:rPr>
        <w:t>existed</w:t>
      </w:r>
      <w:r w:rsidR="005447D4">
        <w:rPr>
          <w:rFonts w:cs="Times New Roman"/>
        </w:rPr>
        <w:t xml:space="preserve"> even prior to the CRPD. General Comment 25 on the ICCPR highlights that, </w:t>
      </w:r>
    </w:p>
    <w:p w:rsidR="005447D4" w:rsidRDefault="005447D4" w:rsidP="00DE749E">
      <w:pPr>
        <w:rPr>
          <w:rFonts w:cs="Times New Roman"/>
        </w:rPr>
      </w:pPr>
    </w:p>
    <w:p w:rsidR="005447D4" w:rsidRPr="00DE749E" w:rsidRDefault="005447D4" w:rsidP="007C5976">
      <w:pPr>
        <w:ind w:left="720" w:right="720"/>
        <w:rPr>
          <w:rFonts w:cs="Times New Roman"/>
          <w:sz w:val="22"/>
          <w:szCs w:val="22"/>
        </w:rPr>
      </w:pPr>
      <w:r w:rsidRPr="00DE749E">
        <w:rPr>
          <w:rFonts w:cs="Times New Roman"/>
          <w:sz w:val="22"/>
          <w:szCs w:val="22"/>
        </w:rPr>
        <w:t>“</w:t>
      </w:r>
      <w:r w:rsidR="007C5976">
        <w:rPr>
          <w:rFonts w:cs="Times New Roman"/>
          <w:sz w:val="22"/>
          <w:szCs w:val="22"/>
        </w:rPr>
        <w:t>(p</w:t>
      </w:r>
      <w:proofErr w:type="gramStart"/>
      <w:r w:rsidR="007C5976">
        <w:rPr>
          <w:rFonts w:cs="Times New Roman"/>
          <w:sz w:val="22"/>
          <w:szCs w:val="22"/>
        </w:rPr>
        <w:t>)</w:t>
      </w:r>
      <w:proofErr w:type="spellStart"/>
      <w:r>
        <w:rPr>
          <w:rFonts w:cs="Times New Roman"/>
          <w:sz w:val="22"/>
          <w:szCs w:val="22"/>
        </w:rPr>
        <w:t>ositive</w:t>
      </w:r>
      <w:proofErr w:type="spellEnd"/>
      <w:proofErr w:type="gramEnd"/>
      <w:r>
        <w:rPr>
          <w:rFonts w:cs="Times New Roman"/>
          <w:sz w:val="22"/>
          <w:szCs w:val="22"/>
        </w:rPr>
        <w:t xml:space="preserve"> measures should be taken </w:t>
      </w:r>
      <w:r w:rsidRPr="00DE749E">
        <w:rPr>
          <w:rFonts w:cs="Times New Roman"/>
          <w:sz w:val="22"/>
          <w:szCs w:val="22"/>
        </w:rPr>
        <w:t>to overcome specific difficulties, such as illiteracy, language barriers, poverty, or impediments to freedom of movemen</w:t>
      </w:r>
      <w:r>
        <w:rPr>
          <w:rFonts w:cs="Times New Roman"/>
          <w:sz w:val="22"/>
          <w:szCs w:val="22"/>
        </w:rPr>
        <w:t>t. . . .</w:t>
      </w:r>
      <w:r w:rsidRPr="00DE749E">
        <w:rPr>
          <w:rFonts w:cs="Times New Roman"/>
          <w:sz w:val="22"/>
          <w:szCs w:val="22"/>
        </w:rPr>
        <w:t xml:space="preserve"> Information and materials about voting should be available in minority languages. Specific methods, such as photographs and symbols, should be adopted to ensure that illiterate voters have adequate information on which to base their choice.”</w:t>
      </w:r>
      <w:r w:rsidRPr="00DE749E">
        <w:rPr>
          <w:rStyle w:val="FootnoteReference"/>
          <w:rFonts w:cs="Times New Roman"/>
          <w:sz w:val="22"/>
          <w:szCs w:val="22"/>
        </w:rPr>
        <w:footnoteReference w:id="5"/>
      </w:r>
    </w:p>
    <w:p w:rsidR="005447D4" w:rsidRPr="00DE749E" w:rsidRDefault="005447D4" w:rsidP="00DE749E">
      <w:pPr>
        <w:rPr>
          <w:rFonts w:cs="Times New Roman"/>
        </w:rPr>
      </w:pPr>
    </w:p>
    <w:p w:rsidR="005447D4" w:rsidRPr="00EF2A47" w:rsidRDefault="005447D4" w:rsidP="00E0588B">
      <w:pPr>
        <w:rPr>
          <w:rFonts w:cs="Times New Roman"/>
          <w:b/>
          <w:bCs/>
        </w:rPr>
      </w:pPr>
      <w:r>
        <w:rPr>
          <w:rFonts w:cs="Times New Roman"/>
          <w:b/>
          <w:bCs/>
        </w:rPr>
        <w:t>B.3 The right to vote for all persons with disabilities:  In practice</w:t>
      </w:r>
    </w:p>
    <w:p w:rsidR="005447D4" w:rsidRDefault="005447D4" w:rsidP="0057265D">
      <w:pPr>
        <w:rPr>
          <w:rFonts w:cs="Times New Roman"/>
        </w:rPr>
      </w:pPr>
    </w:p>
    <w:p w:rsidR="005447D4" w:rsidRDefault="005447D4" w:rsidP="0012658C">
      <w:pPr>
        <w:rPr>
          <w:rFonts w:cs="Times New Roman"/>
        </w:rPr>
      </w:pPr>
      <w:r>
        <w:rPr>
          <w:rFonts w:cs="Times New Roman"/>
        </w:rPr>
        <w:t>The right to vote for all persons with disabilities is a reality in some countries. The United Kingdom, Ireland, Sweden, the Netherlands, Austria, Spain, Canada, Italy, and Israel are some of the countries in which no capacity-based limit exists on the right to vote.</w:t>
      </w:r>
      <w:bookmarkStart w:id="0" w:name="_Ref302118329"/>
      <w:r>
        <w:rPr>
          <w:rStyle w:val="FootnoteReference"/>
          <w:rFonts w:cs="Times New Roman"/>
        </w:rPr>
        <w:footnoteReference w:id="6"/>
      </w:r>
      <w:bookmarkEnd w:id="0"/>
      <w:r>
        <w:rPr>
          <w:rFonts w:cs="Times New Roman"/>
        </w:rPr>
        <w:t xml:space="preserve"> </w:t>
      </w:r>
      <w:r w:rsidR="00F80115">
        <w:rPr>
          <w:rFonts w:cs="Times New Roman"/>
        </w:rPr>
        <w:t>E</w:t>
      </w:r>
      <w:r>
        <w:rPr>
          <w:rFonts w:cs="Times New Roman"/>
        </w:rPr>
        <w:t>xisting qualifications on the right to vote on the basis of mental capacity were removed from the constitutions of the Netherlands and Italy, and in the United Kingdom an elections law abolished the common law rule that a person lacks legal capacity to vote by reason of mental health problems.</w:t>
      </w:r>
      <w:r>
        <w:rPr>
          <w:rStyle w:val="FootnoteReference"/>
          <w:rFonts w:cs="Times New Roman"/>
        </w:rPr>
        <w:footnoteReference w:id="7"/>
      </w:r>
    </w:p>
    <w:p w:rsidR="005447D4" w:rsidRDefault="005447D4" w:rsidP="00E0588B">
      <w:pPr>
        <w:rPr>
          <w:rFonts w:cs="Times New Roman"/>
        </w:rPr>
      </w:pPr>
    </w:p>
    <w:p w:rsidR="005447D4" w:rsidRDefault="005447D4" w:rsidP="004A2FBF">
      <w:pPr>
        <w:rPr>
          <w:rFonts w:cs="Times New Roman"/>
        </w:rPr>
      </w:pPr>
      <w:r>
        <w:rPr>
          <w:rFonts w:cs="Times New Roman"/>
        </w:rPr>
        <w:t>In these countries, various policies are implemented in order to enable persons with intellectu</w:t>
      </w:r>
      <w:r w:rsidRPr="00A20520">
        <w:rPr>
          <w:rFonts w:cs="Times New Roman"/>
        </w:rPr>
        <w:t>al or psychosocial disabilities to vote. These include increasing access to the process through accessible information</w:t>
      </w:r>
      <w:r>
        <w:rPr>
          <w:rFonts w:cs="Times New Roman"/>
        </w:rPr>
        <w:t xml:space="preserve"> and assistance in voting</w:t>
      </w:r>
      <w:r w:rsidRPr="00A20520">
        <w:rPr>
          <w:rFonts w:cs="Times New Roman"/>
        </w:rPr>
        <w:t xml:space="preserve">, </w:t>
      </w:r>
      <w:r>
        <w:rPr>
          <w:rFonts w:cs="Times New Roman"/>
        </w:rPr>
        <w:t xml:space="preserve">putting in place </w:t>
      </w:r>
      <w:r w:rsidRPr="00A20520">
        <w:rPr>
          <w:rFonts w:cs="Times New Roman"/>
        </w:rPr>
        <w:t xml:space="preserve">anti-fraud measures to prevent exploitation and manipulation, </w:t>
      </w:r>
      <w:r>
        <w:rPr>
          <w:rFonts w:cs="Times New Roman"/>
        </w:rPr>
        <w:t xml:space="preserve">and </w:t>
      </w:r>
      <w:r w:rsidRPr="00A20520">
        <w:rPr>
          <w:rFonts w:cs="Times New Roman"/>
        </w:rPr>
        <w:t>empowering persons with disab</w:t>
      </w:r>
      <w:r>
        <w:rPr>
          <w:rFonts w:cs="Times New Roman"/>
        </w:rPr>
        <w:t xml:space="preserve">ilities to exercise this right. </w:t>
      </w:r>
    </w:p>
    <w:p w:rsidR="005447D4" w:rsidRDefault="005447D4" w:rsidP="004A2FBF">
      <w:pPr>
        <w:rPr>
          <w:rFonts w:cs="Times New Roman"/>
        </w:rPr>
      </w:pPr>
    </w:p>
    <w:p w:rsidR="005447D4" w:rsidRDefault="005447D4" w:rsidP="00117BBC">
      <w:pPr>
        <w:rPr>
          <w:rFonts w:cs="Times New Roman"/>
        </w:rPr>
      </w:pPr>
      <w:r>
        <w:rPr>
          <w:rFonts w:cs="Times New Roman"/>
        </w:rPr>
        <w:t>In some cases (United Kingdom, Denmark), the stated purpose of assisted voting is to support those with intellectual or psychosocial disabilities and those who are illiterate.</w:t>
      </w:r>
      <w:r>
        <w:rPr>
          <w:rStyle w:val="FootnoteReference"/>
          <w:rFonts w:cs="Times New Roman"/>
        </w:rPr>
        <w:footnoteReference w:id="8"/>
      </w:r>
      <w:r>
        <w:rPr>
          <w:rFonts w:cs="Times New Roman"/>
        </w:rPr>
        <w:t xml:space="preserve"> A debate is ongoing over the best way to regulate assisted voting, whether by way of the electoral </w:t>
      </w:r>
      <w:r>
        <w:rPr>
          <w:rFonts w:cs="Times New Roman"/>
        </w:rPr>
        <w:lastRenderedPageBreak/>
        <w:t>committees situated at the polling stations or by a designated person of the individual’s choice. Placing the obligation on the electoral committee to provide this assistance necessitates training for all its electoral officials in providing this support, and is therefore costly compared with enabling the individual to vote with the assistance of a person on her behalf, but more easily enables monitoring for fraud and manipulation.</w:t>
      </w:r>
      <w:r>
        <w:rPr>
          <w:rStyle w:val="FootnoteReference"/>
          <w:rFonts w:cs="Times New Roman"/>
        </w:rPr>
        <w:footnoteReference w:id="9"/>
      </w:r>
      <w:r>
        <w:rPr>
          <w:rFonts w:cs="Times New Roman"/>
        </w:rPr>
        <w:t xml:space="preserve"> If assistance remains in the hands of a person designated by the individual, anti-fraud measures would include clarifying who may or may not serve as an assistant in voting. Laws addressing this issue commonly preclude staff at an institution where the person resides from being such assistants. </w:t>
      </w:r>
    </w:p>
    <w:p w:rsidR="005447D4" w:rsidRDefault="005447D4" w:rsidP="005F61AE">
      <w:pPr>
        <w:rPr>
          <w:rFonts w:cs="Times New Roman"/>
        </w:rPr>
      </w:pPr>
    </w:p>
    <w:p w:rsidR="005447D4" w:rsidRPr="00B418CE" w:rsidRDefault="005447D4" w:rsidP="00D90D81">
      <w:pPr>
        <w:rPr>
          <w:rFonts w:cs="Times New Roman"/>
        </w:rPr>
      </w:pPr>
      <w:r>
        <w:rPr>
          <w:rFonts w:cs="Times New Roman"/>
        </w:rPr>
        <w:t>In some cases, proactive steps are taken to increase the population of persons with disabilities exercising their right to vote. The law in Israel regulates</w:t>
      </w:r>
      <w:r w:rsidR="00F80115">
        <w:rPr>
          <w:rFonts w:cs="Times New Roman"/>
        </w:rPr>
        <w:t xml:space="preserve"> </w:t>
      </w:r>
      <w:r>
        <w:rPr>
          <w:rFonts w:cs="Times New Roman"/>
        </w:rPr>
        <w:t>the placement of mobile polling stations in psychiatric and other institutions to facilitate voting by those who cannot reach regular polling stations.</w:t>
      </w:r>
      <w:r>
        <w:rPr>
          <w:rStyle w:val="FootnoteReference"/>
          <w:rFonts w:cs="Times New Roman"/>
        </w:rPr>
        <w:footnoteReference w:id="10"/>
      </w:r>
      <w:r>
        <w:rPr>
          <w:rFonts w:cs="Times New Roman"/>
        </w:rPr>
        <w:t xml:space="preserve"> </w:t>
      </w:r>
      <w:r w:rsidR="00F80115">
        <w:rPr>
          <w:rFonts w:cs="Times New Roman"/>
        </w:rPr>
        <w:t>Increasing access to</w:t>
      </w:r>
      <w:r>
        <w:rPr>
          <w:rFonts w:cs="Times New Roman"/>
        </w:rPr>
        <w:t xml:space="preserve"> the process has </w:t>
      </w:r>
      <w:r w:rsidR="00F80115">
        <w:rPr>
          <w:rFonts w:cs="Times New Roman"/>
        </w:rPr>
        <w:t>resulted in</w:t>
      </w:r>
      <w:r>
        <w:rPr>
          <w:rFonts w:cs="Times New Roman"/>
        </w:rPr>
        <w:t xml:space="preserve"> providing information on how to vote in easy-to-understand form. In the United Kingdom, political parties provide their party manifestos in easy-to-understand language.</w:t>
      </w:r>
      <w:r>
        <w:rPr>
          <w:rStyle w:val="FootnoteReference"/>
          <w:rFonts w:cs="Times New Roman"/>
        </w:rPr>
        <w:footnoteReference w:id="11"/>
      </w:r>
      <w:r>
        <w:rPr>
          <w:rFonts w:cs="Times New Roman"/>
        </w:rPr>
        <w:t xml:space="preserve"> </w:t>
      </w:r>
      <w:r w:rsidRPr="00B418CE">
        <w:rPr>
          <w:rFonts w:cs="Times New Roman"/>
        </w:rPr>
        <w:t xml:space="preserve">The International Foundation for Electoral Systems (IFES), a key international leader in </w:t>
      </w:r>
      <w:r w:rsidRPr="00AB3D11">
        <w:rPr>
          <w:rFonts w:cs="Times New Roman"/>
        </w:rPr>
        <w:t>el</w:t>
      </w:r>
      <w:r>
        <w:rPr>
          <w:rFonts w:cs="Times New Roman"/>
        </w:rPr>
        <w:t>ection assistance and democracy, has highlighted the right to vote of all persons with disabilities without exception and incorporates work to this effect in its assistance to various countries.</w:t>
      </w:r>
      <w:r>
        <w:rPr>
          <w:rStyle w:val="FootnoteReference"/>
          <w:rFonts w:cs="Times New Roman"/>
        </w:rPr>
        <w:footnoteReference w:id="12"/>
      </w:r>
    </w:p>
    <w:p w:rsidR="005447D4" w:rsidRDefault="005447D4" w:rsidP="00C92C90">
      <w:pPr>
        <w:rPr>
          <w:rFonts w:cs="Times New Roman"/>
        </w:rPr>
      </w:pPr>
    </w:p>
    <w:p w:rsidR="005447D4" w:rsidRDefault="005447D4" w:rsidP="00B418CE">
      <w:pPr>
        <w:rPr>
          <w:rFonts w:cs="Times New Roman"/>
        </w:rPr>
      </w:pPr>
      <w:r>
        <w:rPr>
          <w:rFonts w:cs="Times New Roman"/>
        </w:rPr>
        <w:t xml:space="preserve">In many countries, self-advocates work to raise awareness of persons with disabilities, families, professionals, electoral committees and government representatives of the importance of political participation by persons with disabilities, as well as the types of accommodations and supports that can help facilitate political participation. Down </w:t>
      </w:r>
      <w:proofErr w:type="gramStart"/>
      <w:r>
        <w:rPr>
          <w:rFonts w:cs="Times New Roman"/>
        </w:rPr>
        <w:t>Syndrome</w:t>
      </w:r>
      <w:proofErr w:type="gramEnd"/>
      <w:r>
        <w:rPr>
          <w:rFonts w:cs="Times New Roman"/>
        </w:rPr>
        <w:t xml:space="preserve"> Ireland and Inclusion International have issued materials demonstrating how voting processes and party platforms can be made accessible to persons with intellectual disabilities.</w:t>
      </w:r>
      <w:r>
        <w:rPr>
          <w:rStyle w:val="FootnoteReference"/>
          <w:rFonts w:cs="Times New Roman"/>
        </w:rPr>
        <w:footnoteReference w:id="13"/>
      </w:r>
      <w:r>
        <w:rPr>
          <w:rFonts w:cs="Times New Roman"/>
        </w:rPr>
        <w:t xml:space="preserve"> Advocates speak on this before forums across Europe. Similar activity is taking place even in countries where the right of some persons with disabilities is qualified:  Self-advocates from Ne Per Ne (“We For Ourselves”), supported by Mental Disability Rights International-Kosovo actively advocated on this issue, as well as self-advocates from the Peruvian Down Syndrome Society.</w:t>
      </w:r>
      <w:r>
        <w:rPr>
          <w:rStyle w:val="FootnoteReference"/>
          <w:rFonts w:cs="Times New Roman"/>
        </w:rPr>
        <w:footnoteReference w:id="14"/>
      </w:r>
      <w:r>
        <w:rPr>
          <w:rFonts w:cs="Times New Roman"/>
        </w:rPr>
        <w:t xml:space="preserve"> </w:t>
      </w:r>
    </w:p>
    <w:p w:rsidR="005447D4" w:rsidRDefault="005447D4" w:rsidP="00B418CE">
      <w:pPr>
        <w:rPr>
          <w:rFonts w:cs="Times New Roman"/>
        </w:rPr>
      </w:pPr>
    </w:p>
    <w:p w:rsidR="005447D4" w:rsidRDefault="005447D4" w:rsidP="00A83170">
      <w:pPr>
        <w:rPr>
          <w:rFonts w:cs="Times New Roman"/>
          <w:b/>
          <w:bCs/>
        </w:rPr>
      </w:pPr>
      <w:r>
        <w:rPr>
          <w:rFonts w:cs="Times New Roman"/>
          <w:b/>
          <w:bCs/>
        </w:rPr>
        <w:t>B. 4</w:t>
      </w:r>
      <w:r w:rsidRPr="00337AD1">
        <w:rPr>
          <w:rFonts w:cs="Times New Roman"/>
          <w:b/>
          <w:bCs/>
        </w:rPr>
        <w:t xml:space="preserve"> “Assistance – while retaining rights”</w:t>
      </w:r>
      <w:r>
        <w:rPr>
          <w:rStyle w:val="FootnoteReference"/>
          <w:rFonts w:cs="Times New Roman"/>
          <w:b/>
          <w:bCs/>
        </w:rPr>
        <w:footnoteReference w:id="15"/>
      </w:r>
    </w:p>
    <w:p w:rsidR="005447D4" w:rsidRDefault="005447D4" w:rsidP="00A83170">
      <w:pPr>
        <w:rPr>
          <w:rFonts w:cs="Times New Roman"/>
          <w:b/>
          <w:bCs/>
        </w:rPr>
      </w:pPr>
    </w:p>
    <w:p w:rsidR="005447D4" w:rsidRDefault="005447D4" w:rsidP="00A83170">
      <w:pPr>
        <w:rPr>
          <w:rFonts w:cs="Times New Roman"/>
        </w:rPr>
      </w:pPr>
      <w:r>
        <w:rPr>
          <w:rFonts w:cs="Times New Roman"/>
        </w:rPr>
        <w:t>The position of the Commissioner for Human Rights of the Council of Europe summarizes t</w:t>
      </w:r>
      <w:r w:rsidR="00B43433">
        <w:rPr>
          <w:rFonts w:cs="Times New Roman"/>
        </w:rPr>
        <w:t xml:space="preserve">he elements introduced above: </w:t>
      </w:r>
      <w:r w:rsidR="00950D46">
        <w:rPr>
          <w:rFonts w:cs="Times New Roman"/>
        </w:rPr>
        <w:t xml:space="preserve"> </w:t>
      </w:r>
      <w:r>
        <w:rPr>
          <w:rFonts w:cs="Times New Roman"/>
        </w:rPr>
        <w:t xml:space="preserve">the universality of the right to political participation and how the </w:t>
      </w:r>
      <w:r>
        <w:rPr>
          <w:rFonts w:cs="Times New Roman"/>
        </w:rPr>
        <w:lastRenderedPageBreak/>
        <w:t xml:space="preserve">process is strengthened when supports are offered to exercise this right. Referring to the case of </w:t>
      </w:r>
      <w:r w:rsidRPr="00597FB5">
        <w:rPr>
          <w:rFonts w:cs="Times New Roman"/>
          <w:i/>
          <w:iCs/>
        </w:rPr>
        <w:t>Kiss v. Hungary</w:t>
      </w:r>
      <w:r>
        <w:rPr>
          <w:rFonts w:cs="Times New Roman"/>
        </w:rPr>
        <w:t>, which proposed a test for voting competence</w:t>
      </w:r>
      <w:r w:rsidR="00F80115">
        <w:rPr>
          <w:rFonts w:cs="Times New Roman"/>
        </w:rPr>
        <w:t xml:space="preserve"> even while striking down a blanket ban on the right to vote for those appointed a guardian</w:t>
      </w:r>
      <w:r>
        <w:rPr>
          <w:rFonts w:cs="Times New Roman"/>
        </w:rPr>
        <w:t>, the Commissioner concludes that the right to vote is unequivocal, regardless of disability:</w:t>
      </w:r>
    </w:p>
    <w:p w:rsidR="005447D4" w:rsidRDefault="005447D4" w:rsidP="00E558D8">
      <w:pPr>
        <w:ind w:left="720" w:right="720"/>
        <w:rPr>
          <w:rFonts w:cs="Times New Roman"/>
          <w:sz w:val="22"/>
          <w:szCs w:val="22"/>
        </w:rPr>
      </w:pPr>
      <w:r w:rsidRPr="00E558D8">
        <w:rPr>
          <w:rFonts w:cs="Times New Roman"/>
          <w:sz w:val="22"/>
          <w:szCs w:val="22"/>
        </w:rPr>
        <w:br/>
      </w:r>
      <w:r>
        <w:rPr>
          <w:rFonts w:cs="Times New Roman"/>
          <w:sz w:val="22"/>
          <w:szCs w:val="22"/>
        </w:rPr>
        <w:t>[The CRPD]</w:t>
      </w:r>
      <w:r w:rsidRPr="00E558D8">
        <w:rPr>
          <w:rFonts w:cs="Times New Roman"/>
          <w:sz w:val="22"/>
          <w:szCs w:val="22"/>
        </w:rPr>
        <w:t xml:space="preserve"> does not specify any exceptions to the rights therein. On the contrary, it stipulates that state authorities “shall recognize that persons with disabilities enjoy legal capacity on an equal basis with others in all aspects of life</w:t>
      </w:r>
      <w:r>
        <w:rPr>
          <w:rFonts w:cs="Times New Roman"/>
          <w:sz w:val="22"/>
          <w:szCs w:val="22"/>
        </w:rPr>
        <w:t>.”</w:t>
      </w:r>
      <w:r w:rsidRPr="00E558D8">
        <w:rPr>
          <w:rFonts w:cs="Times New Roman"/>
          <w:sz w:val="22"/>
          <w:szCs w:val="22"/>
        </w:rPr>
        <w:br/>
      </w:r>
      <w:r w:rsidRPr="00E558D8">
        <w:rPr>
          <w:rFonts w:cs="Times New Roman"/>
          <w:sz w:val="22"/>
          <w:szCs w:val="22"/>
        </w:rPr>
        <w:br/>
        <w:t>The very purpose of the Convention is to promote, protect and ensure the full and equal enjoyment of all human rights by all persons with disabilities. This leaves no room for procedures in which judges or medical practitioners would assess the voting competence of a person and then give a green light - or not. As we do not test that capability for someone without disabilities, this would am</w:t>
      </w:r>
      <w:r>
        <w:rPr>
          <w:rFonts w:cs="Times New Roman"/>
          <w:sz w:val="22"/>
          <w:szCs w:val="22"/>
        </w:rPr>
        <w:t>ount to blatant discrimination.</w:t>
      </w:r>
    </w:p>
    <w:p w:rsidR="005447D4" w:rsidRDefault="005447D4" w:rsidP="00E558D8">
      <w:pPr>
        <w:tabs>
          <w:tab w:val="left" w:pos="0"/>
        </w:tabs>
        <w:rPr>
          <w:rFonts w:cs="Times New Roman"/>
        </w:rPr>
      </w:pPr>
    </w:p>
    <w:p w:rsidR="005447D4" w:rsidRDefault="005447D4" w:rsidP="00597FB5">
      <w:pPr>
        <w:tabs>
          <w:tab w:val="left" w:pos="0"/>
        </w:tabs>
        <w:rPr>
          <w:rFonts w:cs="Times New Roman"/>
        </w:rPr>
      </w:pPr>
      <w:r>
        <w:rPr>
          <w:rFonts w:cs="Times New Roman"/>
        </w:rPr>
        <w:t xml:space="preserve">According to the Commissioner, recognizing difficulties individuals may have in exercising their right to vote does not necessitate a removal of the right, but instead calls for assisting in its exercise: </w:t>
      </w:r>
    </w:p>
    <w:p w:rsidR="005447D4" w:rsidRDefault="005447D4" w:rsidP="00F91B9E">
      <w:pPr>
        <w:tabs>
          <w:tab w:val="left" w:pos="720"/>
        </w:tabs>
        <w:ind w:left="720" w:right="720"/>
        <w:rPr>
          <w:rFonts w:cs="Times New Roman"/>
        </w:rPr>
      </w:pPr>
      <w:r w:rsidRPr="00E558D8">
        <w:rPr>
          <w:rFonts w:cs="Times New Roman"/>
          <w:sz w:val="22"/>
          <w:szCs w:val="22"/>
        </w:rPr>
        <w:br/>
        <w:t>There are of course those who – because of their disability – have difficulties in fully exercising their human rights. In these situations society should offer assistance to make it possible for the individual to exercise them, including to take part in political life. The Convention places an obligation on governments to ensure that such assistance is provided if needed, including in exercising the right to vote. There is a huge difference between this approach and just depriving someone of their rights.</w:t>
      </w:r>
      <w:r w:rsidRPr="00E558D8">
        <w:rPr>
          <w:rFonts w:cs="Times New Roman"/>
          <w:sz w:val="22"/>
          <w:szCs w:val="22"/>
        </w:rPr>
        <w:br/>
      </w:r>
      <w:r w:rsidRPr="00E558D8">
        <w:rPr>
          <w:rFonts w:cs="Times New Roman"/>
          <w:sz w:val="22"/>
          <w:szCs w:val="22"/>
        </w:rPr>
        <w:br/>
        <w:t>This is the paradigm shift that the UN Convention represents:</w:t>
      </w:r>
      <w:r>
        <w:rPr>
          <w:rFonts w:cs="Times New Roman"/>
          <w:sz w:val="22"/>
          <w:szCs w:val="22"/>
        </w:rPr>
        <w:t xml:space="preserve"> </w:t>
      </w:r>
      <w:r w:rsidRPr="00E558D8">
        <w:rPr>
          <w:rFonts w:cs="Times New Roman"/>
          <w:sz w:val="22"/>
          <w:szCs w:val="22"/>
        </w:rPr>
        <w:t xml:space="preserve"> it builds on the idea that we should go further than to just help persons with disabilities to adjust to existing conditions – our societies should seek to adapt to and accommodate everyone, including those with special needs.</w:t>
      </w:r>
      <w:r>
        <w:rPr>
          <w:rFonts w:cs="Times New Roman"/>
          <w:sz w:val="22"/>
          <w:szCs w:val="22"/>
        </w:rPr>
        <w:t xml:space="preserve"> </w:t>
      </w:r>
    </w:p>
    <w:p w:rsidR="005447D4" w:rsidRDefault="005447D4" w:rsidP="00F91B9E">
      <w:pPr>
        <w:tabs>
          <w:tab w:val="left" w:pos="720"/>
        </w:tabs>
        <w:ind w:right="720"/>
        <w:rPr>
          <w:rFonts w:cs="Times New Roman"/>
        </w:rPr>
      </w:pPr>
    </w:p>
    <w:p w:rsidR="005447D4" w:rsidRPr="00917D16" w:rsidRDefault="005447D4" w:rsidP="00F91B9E">
      <w:pPr>
        <w:tabs>
          <w:tab w:val="left" w:pos="720"/>
        </w:tabs>
        <w:ind w:right="720"/>
        <w:rPr>
          <w:rFonts w:cs="Times New Roman"/>
          <w:b/>
          <w:bCs/>
        </w:rPr>
      </w:pPr>
      <w:r w:rsidRPr="00917D16">
        <w:rPr>
          <w:rFonts w:cs="Times New Roman"/>
          <w:b/>
          <w:bCs/>
        </w:rPr>
        <w:t>C. Limitations on the right of persons with disabilities to vote in light of international law</w:t>
      </w:r>
    </w:p>
    <w:p w:rsidR="005447D4" w:rsidRPr="00917D16" w:rsidRDefault="005447D4" w:rsidP="00F91B9E">
      <w:pPr>
        <w:tabs>
          <w:tab w:val="left" w:pos="720"/>
        </w:tabs>
        <w:ind w:right="720"/>
        <w:rPr>
          <w:rFonts w:cs="Times New Roman"/>
          <w:b/>
          <w:bCs/>
        </w:rPr>
      </w:pPr>
    </w:p>
    <w:p w:rsidR="005447D4" w:rsidRDefault="005447D4" w:rsidP="00F91B9E">
      <w:pPr>
        <w:tabs>
          <w:tab w:val="left" w:pos="720"/>
        </w:tabs>
        <w:ind w:right="720"/>
        <w:rPr>
          <w:rFonts w:cs="Times New Roman"/>
          <w:b/>
          <w:bCs/>
        </w:rPr>
      </w:pPr>
      <w:r w:rsidRPr="00C10ADF">
        <w:rPr>
          <w:rFonts w:cs="Times New Roman"/>
          <w:b/>
          <w:bCs/>
        </w:rPr>
        <w:t xml:space="preserve">C.1 </w:t>
      </w:r>
      <w:r>
        <w:rPr>
          <w:rFonts w:cs="Times New Roman"/>
          <w:b/>
          <w:bCs/>
        </w:rPr>
        <w:t>The link between guardianship and denial of the right to vote</w:t>
      </w:r>
    </w:p>
    <w:p w:rsidR="005447D4" w:rsidRDefault="005447D4" w:rsidP="00F91B9E">
      <w:pPr>
        <w:tabs>
          <w:tab w:val="left" w:pos="720"/>
        </w:tabs>
        <w:ind w:right="720"/>
        <w:rPr>
          <w:rFonts w:cs="Times New Roman"/>
          <w:b/>
          <w:bCs/>
        </w:rPr>
      </w:pPr>
    </w:p>
    <w:p w:rsidR="005447D4" w:rsidRPr="00F91B9E" w:rsidRDefault="005447D4" w:rsidP="00F91B9E">
      <w:pPr>
        <w:tabs>
          <w:tab w:val="left" w:pos="720"/>
        </w:tabs>
        <w:ind w:right="720"/>
        <w:rPr>
          <w:rFonts w:cs="Times New Roman"/>
          <w:b/>
          <w:bCs/>
        </w:rPr>
      </w:pPr>
      <w:r>
        <w:rPr>
          <w:rFonts w:cs="Times New Roman"/>
        </w:rPr>
        <w:t xml:space="preserve">Traditionally, guardianship in its various forms has served as the main tool </w:t>
      </w:r>
      <w:r w:rsidR="000121FA">
        <w:rPr>
          <w:rFonts w:cs="Times New Roman"/>
        </w:rPr>
        <w:t>for</w:t>
      </w:r>
      <w:r>
        <w:rPr>
          <w:rFonts w:cs="Times New Roman"/>
        </w:rPr>
        <w:t xml:space="preserve"> deny</w:t>
      </w:r>
      <w:r w:rsidR="000121FA">
        <w:rPr>
          <w:rFonts w:cs="Times New Roman"/>
        </w:rPr>
        <w:t>ing</w:t>
      </w:r>
      <w:r>
        <w:rPr>
          <w:rFonts w:cs="Times New Roman"/>
        </w:rPr>
        <w:t xml:space="preserve"> the right to vote. Where plenary guardianship is the prevalent form of limiting a person’s legal capacity,</w:t>
      </w:r>
      <w:r>
        <w:rPr>
          <w:rStyle w:val="FootnoteReference"/>
          <w:rFonts w:cs="Times New Roman"/>
        </w:rPr>
        <w:footnoteReference w:id="16"/>
      </w:r>
      <w:r>
        <w:rPr>
          <w:rFonts w:cs="Times New Roman"/>
        </w:rPr>
        <w:t xml:space="preserve"> the tool has been especially convenient and cost-effectiveness:  with the determination that an individual is a non-person before the law, the individual’s actions become devoid of legal consequence and he is denied the ability to carry out any action that would </w:t>
      </w:r>
      <w:r w:rsidR="000121FA">
        <w:rPr>
          <w:rFonts w:cs="Times New Roman"/>
        </w:rPr>
        <w:t xml:space="preserve">have </w:t>
      </w:r>
      <w:r>
        <w:rPr>
          <w:rFonts w:cs="Times New Roman"/>
        </w:rPr>
        <w:t xml:space="preserve">legal implications, such as making a contract, getting married, or voting, without further need to examine actual capabilities. </w:t>
      </w:r>
    </w:p>
    <w:p w:rsidR="005447D4" w:rsidRDefault="005447D4" w:rsidP="00A14EB5">
      <w:pPr>
        <w:rPr>
          <w:rFonts w:cs="Times New Roman"/>
        </w:rPr>
      </w:pPr>
    </w:p>
    <w:p w:rsidR="005447D4" w:rsidRDefault="005447D4" w:rsidP="00AA1984">
      <w:pPr>
        <w:rPr>
          <w:rFonts w:cs="Times New Roman"/>
        </w:rPr>
      </w:pPr>
      <w:r>
        <w:rPr>
          <w:rFonts w:cs="Times New Roman"/>
        </w:rPr>
        <w:t xml:space="preserve">Even in countries that allow for partial guardianship (through which some ability is retained to take actions with legal ramifications), the vast majority of persons are in fact  under plenary </w:t>
      </w:r>
      <w:r>
        <w:rPr>
          <w:rFonts w:cs="Times New Roman"/>
        </w:rPr>
        <w:lastRenderedPageBreak/>
        <w:t>guardianship, and the bundle of legal actions denied to them is an automatic result of the guardianship determination.</w:t>
      </w:r>
      <w:r>
        <w:rPr>
          <w:rStyle w:val="FootnoteReference"/>
          <w:rFonts w:cs="Times New Roman"/>
        </w:rPr>
        <w:footnoteReference w:id="17"/>
      </w:r>
      <w:r>
        <w:rPr>
          <w:rFonts w:cs="Times New Roman"/>
        </w:rPr>
        <w:t xml:space="preserve"> </w:t>
      </w:r>
    </w:p>
    <w:p w:rsidR="005447D4" w:rsidRDefault="005447D4" w:rsidP="00A14EB5">
      <w:pPr>
        <w:rPr>
          <w:rFonts w:cs="Times New Roman"/>
        </w:rPr>
      </w:pPr>
    </w:p>
    <w:p w:rsidR="005447D4" w:rsidRPr="00D93EAF" w:rsidRDefault="005447D4" w:rsidP="004D4BEF">
      <w:pPr>
        <w:rPr>
          <w:rFonts w:cs="Times New Roman"/>
          <w:b/>
          <w:bCs/>
        </w:rPr>
      </w:pPr>
      <w:r>
        <w:rPr>
          <w:rFonts w:cs="Times New Roman"/>
          <w:b/>
          <w:bCs/>
        </w:rPr>
        <w:t xml:space="preserve">C.2 </w:t>
      </w:r>
      <w:r w:rsidRPr="00D93EAF">
        <w:rPr>
          <w:rFonts w:cs="Times New Roman"/>
          <w:b/>
          <w:bCs/>
        </w:rPr>
        <w:t>Breaking the link between guardianship and voting – a step forward</w:t>
      </w:r>
    </w:p>
    <w:p w:rsidR="005447D4" w:rsidRDefault="005447D4" w:rsidP="009E0FC4">
      <w:pPr>
        <w:rPr>
          <w:rFonts w:cs="Times New Roman"/>
        </w:rPr>
      </w:pPr>
    </w:p>
    <w:p w:rsidR="005447D4" w:rsidRDefault="005447D4" w:rsidP="00F6619B">
      <w:pPr>
        <w:rPr>
          <w:rFonts w:cs="Times New Roman"/>
        </w:rPr>
      </w:pPr>
      <w:r>
        <w:rPr>
          <w:rFonts w:cs="Times New Roman"/>
        </w:rPr>
        <w:t xml:space="preserve">Maintaining a regime through which persons can be determined “legally incapable” contravenes CRPD Article 12(2), which states that all persons with disabilities enjoy legal capacity on an equal basis with others. </w:t>
      </w:r>
    </w:p>
    <w:p w:rsidR="005447D4" w:rsidRDefault="005447D4" w:rsidP="00F6619B">
      <w:pPr>
        <w:rPr>
          <w:rFonts w:cs="Times New Roman"/>
        </w:rPr>
      </w:pPr>
    </w:p>
    <w:p w:rsidR="005447D4" w:rsidRDefault="005447D4" w:rsidP="000267D3">
      <w:pPr>
        <w:rPr>
          <w:rFonts w:cs="Times New Roman"/>
        </w:rPr>
      </w:pPr>
      <w:r>
        <w:rPr>
          <w:rFonts w:cs="Times New Roman"/>
        </w:rPr>
        <w:t xml:space="preserve">The European Court of Human Rights (European Court) recently </w:t>
      </w:r>
      <w:r w:rsidR="000121FA">
        <w:rPr>
          <w:rFonts w:cs="Times New Roman"/>
        </w:rPr>
        <w:t xml:space="preserve">held </w:t>
      </w:r>
      <w:r>
        <w:rPr>
          <w:rFonts w:cs="Times New Roman"/>
        </w:rPr>
        <w:t>that plenary guardianship constitutes a breach of Article 8 of the European Convention on Human Rights (ECHR) on the right to respect of private and family life.</w:t>
      </w:r>
      <w:r>
        <w:rPr>
          <w:rStyle w:val="FootnoteReference"/>
          <w:rFonts w:cs="Times New Roman"/>
        </w:rPr>
        <w:footnoteReference w:id="18"/>
      </w:r>
      <w:r>
        <w:rPr>
          <w:rFonts w:cs="Times New Roman"/>
        </w:rPr>
        <w:t xml:space="preserve"> Chipping away at the institution of plenary guardianship helps thwart the </w:t>
      </w:r>
      <w:r w:rsidR="000121FA">
        <w:rPr>
          <w:rFonts w:cs="Times New Roman"/>
        </w:rPr>
        <w:t xml:space="preserve">denial </w:t>
      </w:r>
      <w:r>
        <w:rPr>
          <w:rFonts w:cs="Times New Roman"/>
        </w:rPr>
        <w:t>of the right to vote. In some countries, however, even partial guardianship is sufficient to render a person incapacitated to vote,</w:t>
      </w:r>
      <w:r>
        <w:rPr>
          <w:rStyle w:val="FootnoteReference"/>
          <w:rFonts w:cs="Times New Roman"/>
        </w:rPr>
        <w:footnoteReference w:id="19"/>
      </w:r>
      <w:r>
        <w:rPr>
          <w:rFonts w:cs="Times New Roman"/>
        </w:rPr>
        <w:t xml:space="preserve"> though cracks are appearing in this practice, as well. In fact, in </w:t>
      </w:r>
      <w:r w:rsidRPr="00CA1B85">
        <w:rPr>
          <w:rFonts w:cs="Times New Roman"/>
          <w:i/>
          <w:iCs/>
        </w:rPr>
        <w:t>Kiss v Hungary</w:t>
      </w:r>
      <w:r>
        <w:rPr>
          <w:rFonts w:cs="Times New Roman"/>
        </w:rPr>
        <w:t>, the European Court ruled that a blanket ban on the right to vote for all those appointed any form of guardianship was a violation of Article 3 of Protocol No. 1 of the ECHR.</w:t>
      </w:r>
      <w:r>
        <w:rPr>
          <w:rStyle w:val="FootnoteReference"/>
          <w:rFonts w:cs="Times New Roman"/>
        </w:rPr>
        <w:footnoteReference w:id="20"/>
      </w:r>
    </w:p>
    <w:p w:rsidR="005447D4" w:rsidRDefault="005447D4" w:rsidP="00B23B7F">
      <w:pPr>
        <w:rPr>
          <w:rFonts w:cs="Times New Roman"/>
        </w:rPr>
      </w:pPr>
    </w:p>
    <w:p w:rsidR="005447D4" w:rsidRPr="002A1763" w:rsidRDefault="005447D4" w:rsidP="007C5976">
      <w:pPr>
        <w:rPr>
          <w:rFonts w:cs="Times New Roman"/>
        </w:rPr>
      </w:pPr>
      <w:r>
        <w:rPr>
          <w:rFonts w:cs="Times New Roman"/>
        </w:rPr>
        <w:t xml:space="preserve">This jurisprudence limits States’ ability to use guardianship as a way </w:t>
      </w:r>
      <w:r w:rsidR="007C5976">
        <w:rPr>
          <w:rFonts w:cs="Times New Roman"/>
        </w:rPr>
        <w:t xml:space="preserve">to </w:t>
      </w:r>
      <w:r w:rsidR="006F7CA4">
        <w:rPr>
          <w:rFonts w:cs="Times New Roman"/>
        </w:rPr>
        <w:t xml:space="preserve">automatically </w:t>
      </w:r>
      <w:r>
        <w:rPr>
          <w:rFonts w:cs="Times New Roman"/>
        </w:rPr>
        <w:t>disenfranchise persons with disabilities and raises the question whether the right to vote could be curtailed through an individualized capacity test.</w:t>
      </w:r>
      <w:r>
        <w:rPr>
          <w:rStyle w:val="FootnoteReference"/>
          <w:rFonts w:cs="Times New Roman"/>
        </w:rPr>
        <w:footnoteReference w:id="21"/>
      </w:r>
    </w:p>
    <w:p w:rsidR="005447D4" w:rsidRDefault="005447D4" w:rsidP="00D93EAF">
      <w:pPr>
        <w:rPr>
          <w:rFonts w:cs="Times New Roman"/>
        </w:rPr>
      </w:pPr>
    </w:p>
    <w:p w:rsidR="005447D4" w:rsidRPr="00007938" w:rsidRDefault="005447D4" w:rsidP="00007938">
      <w:pPr>
        <w:rPr>
          <w:rFonts w:cs="Times New Roman"/>
          <w:b/>
          <w:bCs/>
        </w:rPr>
      </w:pPr>
      <w:r>
        <w:rPr>
          <w:rFonts w:cs="Times New Roman"/>
          <w:b/>
          <w:bCs/>
        </w:rPr>
        <w:t xml:space="preserve">C. 3 Capacity test:  </w:t>
      </w:r>
      <w:r w:rsidRPr="00007938">
        <w:rPr>
          <w:rFonts w:cs="Times New Roman"/>
          <w:b/>
          <w:bCs/>
        </w:rPr>
        <w:t>From the perspective of the CRPD</w:t>
      </w:r>
    </w:p>
    <w:p w:rsidR="005447D4" w:rsidRDefault="005447D4" w:rsidP="00482079">
      <w:pPr>
        <w:rPr>
          <w:rFonts w:cs="Times New Roman"/>
        </w:rPr>
      </w:pPr>
    </w:p>
    <w:p w:rsidR="005447D4" w:rsidRDefault="005377BB" w:rsidP="00B23B7F">
      <w:pPr>
        <w:rPr>
          <w:rFonts w:cs="Times New Roman"/>
        </w:rPr>
      </w:pPr>
      <w:r>
        <w:rPr>
          <w:rFonts w:cs="Times New Roman"/>
        </w:rPr>
        <w:t xml:space="preserve">Taken together, </w:t>
      </w:r>
      <w:r w:rsidR="005447D4">
        <w:rPr>
          <w:rFonts w:cs="Times New Roman"/>
        </w:rPr>
        <w:t>CRPD Article 29 on the right to vote</w:t>
      </w:r>
      <w:r>
        <w:rPr>
          <w:rFonts w:cs="Times New Roman"/>
        </w:rPr>
        <w:t xml:space="preserve"> and</w:t>
      </w:r>
      <w:r w:rsidR="005447D4">
        <w:rPr>
          <w:rFonts w:cs="Times New Roman"/>
        </w:rPr>
        <w:t xml:space="preserve"> Article 12 on recognizing the legal capacity of persons with disabilities </w:t>
      </w:r>
      <w:r>
        <w:rPr>
          <w:rFonts w:cs="Times New Roman"/>
        </w:rPr>
        <w:t xml:space="preserve">preclude </w:t>
      </w:r>
      <w:r w:rsidR="006F7CA4">
        <w:rPr>
          <w:rFonts w:cs="Times New Roman"/>
        </w:rPr>
        <w:t xml:space="preserve">such </w:t>
      </w:r>
      <w:r w:rsidR="005447D4">
        <w:rPr>
          <w:rFonts w:cs="Times New Roman"/>
        </w:rPr>
        <w:t>an individualized capacity test.</w:t>
      </w:r>
    </w:p>
    <w:p w:rsidR="005447D4" w:rsidRDefault="005447D4" w:rsidP="006D3A61">
      <w:pPr>
        <w:rPr>
          <w:rFonts w:cs="Times New Roman"/>
        </w:rPr>
      </w:pPr>
    </w:p>
    <w:p w:rsidR="005447D4" w:rsidRDefault="005447D4" w:rsidP="003E7766">
      <w:pPr>
        <w:rPr>
          <w:rFonts w:cs="Times New Roman"/>
        </w:rPr>
      </w:pPr>
      <w:r>
        <w:rPr>
          <w:rFonts w:cs="Times New Roman"/>
        </w:rPr>
        <w:t>According to the interpretation of a growing community of rights advocates, practitioners, and jurists, any disability-based denial of the legal effect of a person’s actions contravenes the right to full legal capacity.</w:t>
      </w:r>
      <w:r>
        <w:rPr>
          <w:rStyle w:val="FootnoteReference"/>
          <w:rFonts w:cs="Times New Roman"/>
        </w:rPr>
        <w:footnoteReference w:id="22"/>
      </w:r>
      <w:r>
        <w:rPr>
          <w:rFonts w:cs="Times New Roman"/>
        </w:rPr>
        <w:t xml:space="preserve"> Disability and any perception of incapacity associated with it no longer </w:t>
      </w:r>
      <w:r>
        <w:rPr>
          <w:rFonts w:cs="Times New Roman"/>
        </w:rPr>
        <w:lastRenderedPageBreak/>
        <w:t>justify derogating from the rule of full legal capacity. The only implication arising from the disability is the duty to provide individuals with support in the exercise of their legal capacity. Society must continuously strive to implement solutions to maximize individuals’ ability to communicate their will. Solutions may include making accommodations around the particular decision-making process, developing support networks for more intensive support needs, or ensuring that supports available to the public can be applied in a situation involving a person with a disability.</w:t>
      </w:r>
    </w:p>
    <w:p w:rsidR="005447D4" w:rsidRDefault="005447D4" w:rsidP="00B23B7F">
      <w:pPr>
        <w:rPr>
          <w:rFonts w:cs="Times New Roman"/>
        </w:rPr>
      </w:pPr>
    </w:p>
    <w:p w:rsidR="005447D4" w:rsidRDefault="005447D4" w:rsidP="00F3034C">
      <w:pPr>
        <w:rPr>
          <w:rFonts w:cs="Times New Roman"/>
        </w:rPr>
      </w:pPr>
      <w:r>
        <w:rPr>
          <w:rFonts w:cs="Times New Roman"/>
        </w:rPr>
        <w:t xml:space="preserve">Even if, following a discrete and individualized test, a person’s ability to make decisions under certain circumstances is compromised, whether because States have not yet aligned their practices with CRPD Article 12 or because they argue that extreme cases may warrant an interpretation of the will of another such </w:t>
      </w:r>
      <w:r w:rsidR="006F7CA4">
        <w:rPr>
          <w:rFonts w:cs="Times New Roman"/>
        </w:rPr>
        <w:t>that</w:t>
      </w:r>
      <w:r>
        <w:rPr>
          <w:rFonts w:cs="Times New Roman"/>
        </w:rPr>
        <w:t xml:space="preserve"> an effective “substitution” of the individual’s decision occurs, there are no grounds for postulating a capacity test for </w:t>
      </w:r>
      <w:r w:rsidRPr="00817C0C">
        <w:rPr>
          <w:rFonts w:cs="Times New Roman"/>
          <w:i/>
          <w:iCs/>
        </w:rPr>
        <w:t>voting</w:t>
      </w:r>
      <w:r>
        <w:rPr>
          <w:rFonts w:cs="Times New Roman"/>
        </w:rPr>
        <w:t>.</w:t>
      </w:r>
    </w:p>
    <w:p w:rsidR="005447D4" w:rsidRDefault="005447D4" w:rsidP="006D3A61">
      <w:pPr>
        <w:rPr>
          <w:rFonts w:cs="Times New Roman"/>
        </w:rPr>
      </w:pPr>
    </w:p>
    <w:p w:rsidR="005447D4" w:rsidRDefault="005447D4" w:rsidP="00935A29">
      <w:pPr>
        <w:rPr>
          <w:rFonts w:cs="Times New Roman"/>
        </w:rPr>
      </w:pPr>
      <w:r>
        <w:rPr>
          <w:rFonts w:cs="Times New Roman"/>
        </w:rPr>
        <w:t xml:space="preserve">Individuals </w:t>
      </w:r>
      <w:r w:rsidRPr="00817C0C">
        <w:rPr>
          <w:rFonts w:cs="Times New Roman"/>
        </w:rPr>
        <w:t>not</w:t>
      </w:r>
      <w:r>
        <w:rPr>
          <w:rFonts w:cs="Times New Roman"/>
        </w:rPr>
        <w:t xml:space="preserve"> categorized as having a disability are </w:t>
      </w:r>
      <w:r w:rsidRPr="00917D16">
        <w:rPr>
          <w:rFonts w:cs="Times New Roman"/>
        </w:rPr>
        <w:t>not</w:t>
      </w:r>
      <w:r w:rsidRPr="006E08F0">
        <w:rPr>
          <w:rFonts w:cs="Times New Roman"/>
        </w:rPr>
        <w:t xml:space="preserve"> </w:t>
      </w:r>
      <w:r>
        <w:rPr>
          <w:rFonts w:cs="Times New Roman"/>
        </w:rPr>
        <w:t>required to demonstrate capacity in decision-making as a condition for recognizing their legal capacity. They are not held accountable to the reasonableness, rationality, or the extent to which their decision furthers or damages their interest, or the interest of others, as long as they are acting within the boundaries of the law.</w:t>
      </w:r>
      <w:r>
        <w:rPr>
          <w:rStyle w:val="FootnoteReference"/>
          <w:rFonts w:cs="Times New Roman"/>
        </w:rPr>
        <w:footnoteReference w:id="23"/>
      </w:r>
      <w:r>
        <w:rPr>
          <w:rFonts w:cs="Times New Roman"/>
        </w:rPr>
        <w:t xml:space="preserve"> Even where particularly compelling interests are perceived as justifying the application of disability-based tests for capacity, the reasoning for a disparate approach with regard to persons with disabilities with the sole distinction being the disability (an approach challenged by the CRPD Article 12), would have to be weighty and grounded in strong competing interests. Across jurisdictions, these traditionally have</w:t>
      </w:r>
      <w:r w:rsidRPr="00760DA0">
        <w:rPr>
          <w:rFonts w:cs="Times New Roman"/>
        </w:rPr>
        <w:t xml:space="preserve"> </w:t>
      </w:r>
      <w:r>
        <w:rPr>
          <w:rFonts w:cs="Times New Roman"/>
        </w:rPr>
        <w:t xml:space="preserve">had </w:t>
      </w:r>
      <w:r w:rsidRPr="00760DA0">
        <w:rPr>
          <w:rFonts w:cs="Times New Roman"/>
        </w:rPr>
        <w:t xml:space="preserve">to do with </w:t>
      </w:r>
      <w:r>
        <w:rPr>
          <w:rFonts w:cs="Times New Roman"/>
        </w:rPr>
        <w:t xml:space="preserve">serious </w:t>
      </w:r>
      <w:r w:rsidRPr="00760DA0">
        <w:rPr>
          <w:rFonts w:cs="Times New Roman"/>
        </w:rPr>
        <w:t>concern</w:t>
      </w:r>
      <w:r>
        <w:rPr>
          <w:rFonts w:cs="Times New Roman"/>
        </w:rPr>
        <w:t xml:space="preserve">s over adverse </w:t>
      </w:r>
      <w:r w:rsidR="005377BB">
        <w:rPr>
          <w:rFonts w:cs="Times New Roman"/>
        </w:rPr>
        <w:t>e</w:t>
      </w:r>
      <w:r>
        <w:rPr>
          <w:rFonts w:cs="Times New Roman"/>
        </w:rPr>
        <w:t>ffects to the life, health, welfare, property or protected interests of the individual with a disability, or situations in which a person with a disability constitutes a danger to himself or others.</w:t>
      </w:r>
      <w:r>
        <w:rPr>
          <w:rStyle w:val="FootnoteReference"/>
          <w:rFonts w:cs="Times New Roman"/>
        </w:rPr>
        <w:footnoteReference w:id="24"/>
      </w:r>
      <w:r>
        <w:rPr>
          <w:rFonts w:cs="Times New Roman"/>
        </w:rPr>
        <w:t xml:space="preserve"> None of these concerns are applicable to the situation of voting. Absent these compelling interests, testing </w:t>
      </w:r>
      <w:r w:rsidR="006F7CA4">
        <w:rPr>
          <w:rFonts w:cs="Times New Roman"/>
        </w:rPr>
        <w:t xml:space="preserve">only of persons with disabilities </w:t>
      </w:r>
      <w:r>
        <w:rPr>
          <w:rFonts w:cs="Times New Roman"/>
        </w:rPr>
        <w:t xml:space="preserve">for capacity around voting constitutes </w:t>
      </w:r>
      <w:r>
        <w:rPr>
          <w:rFonts w:cs="Times New Roman"/>
          <w:i/>
          <w:iCs/>
        </w:rPr>
        <w:t xml:space="preserve">prima facie </w:t>
      </w:r>
      <w:r>
        <w:rPr>
          <w:rFonts w:cs="Times New Roman"/>
        </w:rPr>
        <w:t xml:space="preserve">discrimination. </w:t>
      </w:r>
    </w:p>
    <w:p w:rsidR="005447D4" w:rsidRDefault="005447D4" w:rsidP="007C2E39">
      <w:pPr>
        <w:rPr>
          <w:rFonts w:cs="Times New Roman"/>
        </w:rPr>
      </w:pPr>
    </w:p>
    <w:p w:rsidR="005447D4" w:rsidRPr="003F1072" w:rsidRDefault="005447D4" w:rsidP="007C2E39">
      <w:pPr>
        <w:rPr>
          <w:rFonts w:cs="Times New Roman"/>
          <w:b/>
          <w:bCs/>
        </w:rPr>
      </w:pPr>
      <w:r>
        <w:rPr>
          <w:rFonts w:cs="Times New Roman"/>
          <w:b/>
          <w:bCs/>
        </w:rPr>
        <w:t xml:space="preserve">C.4 Capacity test:  </w:t>
      </w:r>
      <w:r w:rsidRPr="003F1072">
        <w:rPr>
          <w:rFonts w:cs="Times New Roman"/>
          <w:b/>
          <w:bCs/>
        </w:rPr>
        <w:t>From the perspective of the right to vote</w:t>
      </w:r>
    </w:p>
    <w:p w:rsidR="005447D4" w:rsidRPr="003F1072" w:rsidRDefault="005447D4" w:rsidP="007C2E39">
      <w:pPr>
        <w:rPr>
          <w:rFonts w:cs="Times New Roman"/>
        </w:rPr>
      </w:pPr>
    </w:p>
    <w:p w:rsidR="005447D4" w:rsidRDefault="005447D4" w:rsidP="00BB7007">
      <w:pPr>
        <w:pStyle w:val="ListParagraph"/>
        <w:numPr>
          <w:ilvl w:val="0"/>
          <w:numId w:val="12"/>
        </w:numPr>
        <w:ind w:left="720" w:hanging="360"/>
        <w:rPr>
          <w:rFonts w:cs="Times New Roman"/>
        </w:rPr>
      </w:pPr>
      <w:r>
        <w:rPr>
          <w:rFonts w:cs="Times New Roman"/>
        </w:rPr>
        <w:t>General</w:t>
      </w:r>
    </w:p>
    <w:p w:rsidR="005447D4" w:rsidRDefault="005447D4" w:rsidP="00A84E60">
      <w:pPr>
        <w:rPr>
          <w:rFonts w:cs="Times New Roman"/>
        </w:rPr>
      </w:pPr>
    </w:p>
    <w:p w:rsidR="005447D4" w:rsidRDefault="005447D4" w:rsidP="00601F0C">
      <w:pPr>
        <w:rPr>
          <w:rFonts w:cs="Times New Roman"/>
        </w:rPr>
      </w:pPr>
      <w:r>
        <w:rPr>
          <w:rFonts w:cs="Times New Roman"/>
        </w:rPr>
        <w:t>Capacity testing goes against the essence of the right to vote. In each of the major human rights treaties addressing the right to vote, the right implies free elections by secret ballot, under conditions that ensure free expression without intimidation.</w:t>
      </w:r>
      <w:r>
        <w:rPr>
          <w:rStyle w:val="FootnoteReference"/>
          <w:rFonts w:cs="Times New Roman"/>
        </w:rPr>
        <w:footnoteReference w:id="25"/>
      </w:r>
      <w:r>
        <w:rPr>
          <w:rFonts w:cs="Times New Roman"/>
        </w:rPr>
        <w:t xml:space="preserve"> Referring to the seemingly indirect reference to the right to vote as enshrined in the ECHR, courts have stressed the “greater solemnity” States must afford their commitment to implement the right to vote. States must not </w:t>
      </w:r>
      <w:r>
        <w:rPr>
          <w:rFonts w:cs="Times New Roman"/>
        </w:rPr>
        <w:lastRenderedPageBreak/>
        <w:t>only refrain from interfering with this right (as with the majority of civil and political rights), but are obligated to take positive measures to ensure its implementation.</w:t>
      </w:r>
      <w:bookmarkStart w:id="39" w:name="_Ref302118695"/>
      <w:r>
        <w:rPr>
          <w:rStyle w:val="FootnoteReference"/>
          <w:rFonts w:cs="Times New Roman"/>
        </w:rPr>
        <w:footnoteReference w:id="26"/>
      </w:r>
      <w:bookmarkEnd w:id="39"/>
      <w:r>
        <w:rPr>
          <w:rFonts w:cs="Times New Roman"/>
        </w:rPr>
        <w:t xml:space="preserve"> </w:t>
      </w:r>
    </w:p>
    <w:p w:rsidR="005447D4" w:rsidRDefault="005447D4" w:rsidP="00AE5524">
      <w:pPr>
        <w:rPr>
          <w:rFonts w:cs="Times New Roman"/>
        </w:rPr>
      </w:pPr>
    </w:p>
    <w:p w:rsidR="005447D4" w:rsidRPr="00FF3CEA" w:rsidRDefault="005447D4" w:rsidP="00BB7007">
      <w:pPr>
        <w:pStyle w:val="ListParagraph"/>
        <w:numPr>
          <w:ilvl w:val="0"/>
          <w:numId w:val="12"/>
        </w:numPr>
        <w:ind w:left="720" w:hanging="360"/>
        <w:rPr>
          <w:rFonts w:cs="Times New Roman"/>
        </w:rPr>
      </w:pPr>
      <w:r w:rsidRPr="00917D16">
        <w:rPr>
          <w:rFonts w:cs="Times New Roman"/>
        </w:rPr>
        <w:t xml:space="preserve">From a historical perspective </w:t>
      </w:r>
    </w:p>
    <w:p w:rsidR="005447D4" w:rsidRDefault="005447D4" w:rsidP="0098172B">
      <w:pPr>
        <w:pStyle w:val="ListParagraph"/>
        <w:rPr>
          <w:rFonts w:cs="Times New Roman"/>
        </w:rPr>
      </w:pPr>
    </w:p>
    <w:p w:rsidR="005447D4" w:rsidRDefault="005447D4" w:rsidP="00601F0C">
      <w:pPr>
        <w:rPr>
          <w:rFonts w:cs="Times New Roman"/>
        </w:rPr>
      </w:pPr>
      <w:r>
        <w:rPr>
          <w:rFonts w:cs="Times New Roman"/>
        </w:rPr>
        <w:t xml:space="preserve">The last 150 years have seen a steady extension of the right to vote to categories of people previously excluded from suffrage. First, the pre-condition of wealth was eliminated, allowing all male citizens, regardless of property ownership, to vote. Further grounds of exclusion were next removed:  gender, race, status, knowledge and literacy, recognizing the suffrage of women, non-whites, slaves, minorities, indigenous populations, and people of all statuses and walks of life. Maintaining competency tests is at odds with this historical trend of enfranchisement. </w:t>
      </w:r>
    </w:p>
    <w:p w:rsidR="005447D4" w:rsidRDefault="005447D4" w:rsidP="00007938">
      <w:pPr>
        <w:rPr>
          <w:rFonts w:cs="Times New Roman"/>
        </w:rPr>
      </w:pPr>
    </w:p>
    <w:p w:rsidR="005447D4" w:rsidRDefault="005447D4" w:rsidP="000B6726">
      <w:pPr>
        <w:rPr>
          <w:rFonts w:cs="Times New Roman"/>
        </w:rPr>
      </w:pPr>
      <w:r>
        <w:rPr>
          <w:rFonts w:cs="Times New Roman"/>
        </w:rPr>
        <w:t xml:space="preserve">This idea was aptly expressed in an </w:t>
      </w:r>
      <w:r>
        <w:rPr>
          <w:rFonts w:cs="Times New Roman"/>
          <w:i/>
          <w:iCs/>
        </w:rPr>
        <w:t xml:space="preserve">amicus </w:t>
      </w:r>
      <w:r w:rsidRPr="00BB7007">
        <w:rPr>
          <w:rFonts w:cs="Times New Roman"/>
          <w:i/>
          <w:iCs/>
        </w:rPr>
        <w:t>curiae</w:t>
      </w:r>
      <w:r>
        <w:rPr>
          <w:rFonts w:cs="Times New Roman"/>
        </w:rPr>
        <w:t xml:space="preserve"> brief submitted by Mental Disability Advocacy Center (MDAC) and 25 human rights experts to the Constitutional Court of the Czech Republic, challenging a blanket ban on voting for persons with disabilities deprived of legal capacity:</w:t>
      </w:r>
      <w:r w:rsidRPr="00A7228A">
        <w:rPr>
          <w:rStyle w:val="FootnoteReference"/>
          <w:rFonts w:cs="Times New Roman"/>
        </w:rPr>
        <w:footnoteReference w:id="27"/>
      </w:r>
      <w:r>
        <w:rPr>
          <w:rFonts w:cs="Times New Roman"/>
        </w:rPr>
        <w:t xml:space="preserve"> </w:t>
      </w:r>
    </w:p>
    <w:p w:rsidR="005447D4" w:rsidRDefault="005447D4" w:rsidP="00BB7007">
      <w:pPr>
        <w:rPr>
          <w:rFonts w:cs="Times New Roman"/>
        </w:rPr>
      </w:pPr>
    </w:p>
    <w:p w:rsidR="005447D4" w:rsidRPr="00007938" w:rsidRDefault="005447D4" w:rsidP="003F7FB4">
      <w:pPr>
        <w:ind w:left="720" w:right="720"/>
        <w:rPr>
          <w:rFonts w:cs="Times New Roman"/>
          <w:sz w:val="22"/>
          <w:szCs w:val="22"/>
        </w:rPr>
      </w:pPr>
      <w:r w:rsidRPr="00007938">
        <w:rPr>
          <w:rFonts w:cs="Times New Roman"/>
          <w:sz w:val="22"/>
          <w:szCs w:val="22"/>
        </w:rPr>
        <w:t>It follows that the right to vote – and just as important, the equal weighting of votes regardless of the gender, social status</w:t>
      </w:r>
      <w:r>
        <w:rPr>
          <w:rFonts w:cs="Times New Roman"/>
          <w:sz w:val="22"/>
          <w:szCs w:val="22"/>
        </w:rPr>
        <w:t>,</w:t>
      </w:r>
      <w:r w:rsidRPr="00007938">
        <w:rPr>
          <w:rFonts w:cs="Times New Roman"/>
          <w:sz w:val="22"/>
          <w:szCs w:val="22"/>
        </w:rPr>
        <w:t xml:space="preserve"> literacy</w:t>
      </w:r>
      <w:r>
        <w:rPr>
          <w:rFonts w:cs="Times New Roman"/>
          <w:sz w:val="22"/>
          <w:szCs w:val="22"/>
        </w:rPr>
        <w:t xml:space="preserve">, intelligence </w:t>
      </w:r>
      <w:r w:rsidRPr="00007938">
        <w:rPr>
          <w:rFonts w:cs="Times New Roman"/>
          <w:sz w:val="22"/>
          <w:szCs w:val="22"/>
        </w:rPr>
        <w:t xml:space="preserve">and other factors of the voter – reflects a core understanding of the basis of legitimacy in liberal democracies. </w:t>
      </w:r>
      <w:r w:rsidRPr="00007938">
        <w:rPr>
          <w:rFonts w:cs="Times New Roman"/>
          <w:b/>
          <w:bCs/>
          <w:sz w:val="22"/>
          <w:szCs w:val="22"/>
        </w:rPr>
        <w:t>No power has the right to peer behind or questio</w:t>
      </w:r>
      <w:r>
        <w:rPr>
          <w:rFonts w:cs="Times New Roman"/>
          <w:b/>
          <w:bCs/>
          <w:sz w:val="22"/>
          <w:szCs w:val="22"/>
        </w:rPr>
        <w:t>n the validity of a vote if cast</w:t>
      </w:r>
      <w:r w:rsidRPr="00007938">
        <w:rPr>
          <w:rFonts w:cs="Times New Roman"/>
          <w:b/>
          <w:bCs/>
          <w:sz w:val="22"/>
          <w:szCs w:val="22"/>
        </w:rPr>
        <w:t xml:space="preserve"> according to the proper procedures laid down by law. </w:t>
      </w:r>
      <w:proofErr w:type="gramStart"/>
      <w:r w:rsidRPr="00007938">
        <w:rPr>
          <w:rFonts w:cs="Times New Roman"/>
          <w:b/>
          <w:bCs/>
          <w:sz w:val="22"/>
          <w:szCs w:val="22"/>
        </w:rPr>
        <w:t>…[</w:t>
      </w:r>
      <w:proofErr w:type="gramEnd"/>
      <w:r w:rsidRPr="00007938">
        <w:rPr>
          <w:rFonts w:cs="Times New Roman"/>
          <w:b/>
          <w:bCs/>
          <w:sz w:val="22"/>
          <w:szCs w:val="22"/>
        </w:rPr>
        <w:t xml:space="preserve">A] vote may be based on a mix of influences, some personal, some cultural, and some traditional. Most voters are manipulated through campaigns </w:t>
      </w:r>
      <w:r w:rsidRPr="00007938">
        <w:rPr>
          <w:rFonts w:cs="Times New Roman"/>
          <w:sz w:val="22"/>
          <w:szCs w:val="22"/>
        </w:rPr>
        <w:t xml:space="preserve">[Rosenberg, S., </w:t>
      </w:r>
      <w:proofErr w:type="spellStart"/>
      <w:r w:rsidRPr="00007938">
        <w:rPr>
          <w:rFonts w:cs="Times New Roman"/>
          <w:sz w:val="22"/>
          <w:szCs w:val="22"/>
        </w:rPr>
        <w:t>McCafferty</w:t>
      </w:r>
      <w:proofErr w:type="spellEnd"/>
      <w:r w:rsidRPr="00007938">
        <w:rPr>
          <w:rFonts w:cs="Times New Roman"/>
          <w:sz w:val="22"/>
          <w:szCs w:val="22"/>
        </w:rPr>
        <w:t xml:space="preserve">, P., “The image and the vote: Manipulating voters’ preferences,” </w:t>
      </w:r>
      <w:r w:rsidRPr="00007938">
        <w:rPr>
          <w:rFonts w:cs="Times New Roman"/>
          <w:i/>
          <w:iCs/>
          <w:sz w:val="22"/>
          <w:szCs w:val="22"/>
        </w:rPr>
        <w:t xml:space="preserve">Public Opinion Quarterly </w:t>
      </w:r>
      <w:r w:rsidRPr="00007938">
        <w:rPr>
          <w:rFonts w:cs="Times New Roman"/>
          <w:sz w:val="22"/>
          <w:szCs w:val="22"/>
        </w:rPr>
        <w:t xml:space="preserve">51 (1987), pp. 31-47], which form a core part of elections in democracies. </w:t>
      </w:r>
      <w:r w:rsidRPr="00007938">
        <w:rPr>
          <w:rFonts w:cs="Times New Roman"/>
          <w:b/>
          <w:bCs/>
          <w:sz w:val="22"/>
          <w:szCs w:val="22"/>
        </w:rPr>
        <w:t>Ultimately a vote expresses a preference. No system has ever purported to overturn the will of the people on the basis that its decision lacked rationality or was “manipulated” by personal preferences</w:t>
      </w:r>
      <w:r w:rsidRPr="00007938">
        <w:rPr>
          <w:rFonts w:cs="Times New Roman"/>
          <w:sz w:val="22"/>
          <w:szCs w:val="22"/>
        </w:rPr>
        <w:t>.”</w:t>
      </w:r>
      <w:r>
        <w:rPr>
          <w:rFonts w:cs="Times New Roman"/>
          <w:sz w:val="22"/>
          <w:szCs w:val="22"/>
        </w:rPr>
        <w:t xml:space="preserve"> (Emphasis added.)</w:t>
      </w:r>
    </w:p>
    <w:p w:rsidR="005447D4" w:rsidRDefault="005447D4" w:rsidP="00007938">
      <w:pPr>
        <w:rPr>
          <w:rFonts w:cs="Times New Roman"/>
        </w:rPr>
      </w:pPr>
    </w:p>
    <w:p w:rsidR="005447D4" w:rsidRDefault="005447D4" w:rsidP="003A78ED">
      <w:pPr>
        <w:pStyle w:val="ListParagraph"/>
        <w:numPr>
          <w:ilvl w:val="0"/>
          <w:numId w:val="12"/>
        </w:numPr>
        <w:ind w:left="720" w:hanging="360"/>
        <w:rPr>
          <w:rFonts w:cs="Times New Roman"/>
        </w:rPr>
      </w:pPr>
      <w:r>
        <w:rPr>
          <w:rFonts w:cs="Times New Roman"/>
        </w:rPr>
        <w:t>“Rationality” of voting not a legitimate aim</w:t>
      </w:r>
    </w:p>
    <w:p w:rsidR="005447D4" w:rsidRDefault="005447D4" w:rsidP="00007938">
      <w:pPr>
        <w:rPr>
          <w:rFonts w:cs="Times New Roman"/>
        </w:rPr>
      </w:pPr>
    </w:p>
    <w:p w:rsidR="005447D4" w:rsidRPr="0015224C" w:rsidRDefault="005447D4" w:rsidP="00D90D81">
      <w:pPr>
        <w:rPr>
          <w:rFonts w:cs="Times New Roman"/>
          <w:sz w:val="22"/>
          <w:szCs w:val="22"/>
        </w:rPr>
      </w:pPr>
      <w:r>
        <w:rPr>
          <w:rFonts w:cs="Times New Roman"/>
        </w:rPr>
        <w:t xml:space="preserve">International law recognizes the non-absolute character of the right to vote, in turn implying a margin of appreciation for States in this sphere. In placing such limitations, however, it must be guaranteed that these limitations </w:t>
      </w:r>
      <w:r w:rsidR="00D90D81">
        <w:rPr>
          <w:rFonts w:cs="Times New Roman"/>
        </w:rPr>
        <w:t>“</w:t>
      </w:r>
      <w:r>
        <w:rPr>
          <w:rFonts w:cs="Times New Roman"/>
          <w:sz w:val="22"/>
          <w:szCs w:val="22"/>
        </w:rPr>
        <w:t xml:space="preserve">do not curtail the rights in question to such an extent as to impair </w:t>
      </w:r>
      <w:r>
        <w:rPr>
          <w:rFonts w:cs="Times New Roman"/>
          <w:sz w:val="22"/>
          <w:szCs w:val="22"/>
        </w:rPr>
        <w:lastRenderedPageBreak/>
        <w:t>their very essence and deprive them of their effectiveness; that they are imposed in pursuit of a legitimate aim; and that the means employed are not disproportionate.</w:t>
      </w:r>
      <w:r w:rsidR="00D90D81">
        <w:rPr>
          <w:rFonts w:cs="Times New Roman"/>
          <w:sz w:val="22"/>
          <w:szCs w:val="22"/>
        </w:rPr>
        <w:t>”</w:t>
      </w:r>
      <w:r>
        <w:rPr>
          <w:rStyle w:val="FootnoteReference"/>
          <w:rFonts w:cs="Times New Roman"/>
          <w:sz w:val="22"/>
          <w:szCs w:val="22"/>
        </w:rPr>
        <w:footnoteReference w:id="28"/>
      </w:r>
    </w:p>
    <w:p w:rsidR="005447D4" w:rsidRDefault="005447D4" w:rsidP="00007938">
      <w:pPr>
        <w:rPr>
          <w:rFonts w:cs="Times New Roman"/>
        </w:rPr>
      </w:pPr>
    </w:p>
    <w:p w:rsidR="005447D4" w:rsidRDefault="005447D4" w:rsidP="00366051">
      <w:pPr>
        <w:rPr>
          <w:rFonts w:cs="Times New Roman"/>
        </w:rPr>
      </w:pPr>
      <w:r>
        <w:rPr>
          <w:rFonts w:cs="Times New Roman"/>
        </w:rPr>
        <w:t xml:space="preserve">Restrictions to universal suffrage related </w:t>
      </w:r>
      <w:r w:rsidRPr="00FF3CEA">
        <w:rPr>
          <w:rFonts w:cs="Times New Roman"/>
        </w:rPr>
        <w:t xml:space="preserve">to </w:t>
      </w:r>
      <w:r w:rsidRPr="00917D16">
        <w:rPr>
          <w:rFonts w:cs="Times New Roman"/>
        </w:rPr>
        <w:t>age</w:t>
      </w:r>
      <w:r>
        <w:rPr>
          <w:rFonts w:cs="Times New Roman"/>
        </w:rPr>
        <w:t>,</w:t>
      </w:r>
      <w:r w:rsidRPr="00FF3CEA">
        <w:rPr>
          <w:rStyle w:val="FootnoteReference"/>
          <w:rFonts w:cs="Times New Roman"/>
        </w:rPr>
        <w:footnoteReference w:id="29"/>
      </w:r>
      <w:r w:rsidRPr="00FF3CEA">
        <w:rPr>
          <w:rFonts w:cs="Times New Roman"/>
        </w:rPr>
        <w:t xml:space="preserve"> </w:t>
      </w:r>
      <w:r w:rsidRPr="00917D16">
        <w:rPr>
          <w:rFonts w:cs="Times New Roman"/>
        </w:rPr>
        <w:t>residency</w:t>
      </w:r>
      <w:r>
        <w:rPr>
          <w:rFonts w:cs="Times New Roman"/>
        </w:rPr>
        <w:t>, and citizenship</w:t>
      </w:r>
      <w:r>
        <w:rPr>
          <w:rFonts w:cs="Times New Roman"/>
          <w:i/>
          <w:iCs/>
        </w:rPr>
        <w:t xml:space="preserve"> </w:t>
      </w:r>
      <w:r>
        <w:rPr>
          <w:rFonts w:cs="Times New Roman"/>
        </w:rPr>
        <w:t xml:space="preserve">are not construed as contravening the principle of universal suffrage: </w:t>
      </w:r>
    </w:p>
    <w:p w:rsidR="005447D4" w:rsidRPr="00CE1F25" w:rsidRDefault="005447D4" w:rsidP="00007938">
      <w:pPr>
        <w:rPr>
          <w:rFonts w:cs="Times New Roman"/>
          <w:sz w:val="22"/>
          <w:szCs w:val="22"/>
        </w:rPr>
      </w:pPr>
    </w:p>
    <w:p w:rsidR="005447D4" w:rsidRDefault="005447D4" w:rsidP="00007938">
      <w:pPr>
        <w:ind w:left="720" w:right="720"/>
        <w:rPr>
          <w:rFonts w:cs="Times New Roman"/>
          <w:sz w:val="22"/>
          <w:szCs w:val="22"/>
        </w:rPr>
      </w:pPr>
      <w:r>
        <w:rPr>
          <w:rFonts w:cs="Times New Roman"/>
          <w:sz w:val="22"/>
          <w:szCs w:val="22"/>
        </w:rPr>
        <w:t>…[T]he imposition of a minimum age may be envisaged with a view to ensuring the maturity of those participating in the electoral process or, in some circumstances, eligibility may be geared to a criteria, such as residence, to identify those with sufficiently continuous or close links to, or a stake in, the country concerned.</w:t>
      </w:r>
      <w:r>
        <w:rPr>
          <w:rStyle w:val="FootnoteReference"/>
          <w:rFonts w:cs="Times New Roman"/>
          <w:sz w:val="22"/>
          <w:szCs w:val="22"/>
        </w:rPr>
        <w:footnoteReference w:id="30"/>
      </w:r>
    </w:p>
    <w:p w:rsidR="005447D4" w:rsidRDefault="005447D4" w:rsidP="00007938">
      <w:pPr>
        <w:rPr>
          <w:rFonts w:cs="Times New Roman"/>
        </w:rPr>
      </w:pPr>
    </w:p>
    <w:p w:rsidR="005447D4" w:rsidRDefault="005447D4" w:rsidP="00EE3D9F">
      <w:pPr>
        <w:rPr>
          <w:rFonts w:cs="Times New Roman"/>
        </w:rPr>
      </w:pPr>
      <w:r w:rsidRPr="0098172B">
        <w:rPr>
          <w:rFonts w:cs="Times New Roman"/>
        </w:rPr>
        <w:t xml:space="preserve">The only aim that can be associated with maintaining a competency test for voting with regard </w:t>
      </w:r>
      <w:r w:rsidR="00950D46">
        <w:rPr>
          <w:rFonts w:cs="Times New Roman"/>
        </w:rPr>
        <w:t>to persons with disabilities—m</w:t>
      </w:r>
      <w:r w:rsidRPr="0098172B">
        <w:rPr>
          <w:rFonts w:cs="Times New Roman"/>
        </w:rPr>
        <w:t>aintaining a purely</w:t>
      </w:r>
      <w:r w:rsidR="00950D46">
        <w:rPr>
          <w:rFonts w:cs="Times New Roman"/>
        </w:rPr>
        <w:t xml:space="preserve"> rational democratic process—i</w:t>
      </w:r>
      <w:r w:rsidRPr="0098172B">
        <w:rPr>
          <w:rFonts w:cs="Times New Roman"/>
        </w:rPr>
        <w:t>s fallacious on two accounts. First, it assumes</w:t>
      </w:r>
      <w:r>
        <w:rPr>
          <w:rFonts w:cs="Times New Roman"/>
        </w:rPr>
        <w:t xml:space="preserve"> that the democratic process, in this case the voting process, is purely rational, while the reality is “that most votes cast are a mix of the rational and the irrationa</w:t>
      </w:r>
      <w:r w:rsidR="00EC7543">
        <w:rPr>
          <w:rFonts w:cs="Times New Roman"/>
        </w:rPr>
        <w:t>l, and it would be impossible—not to mention impermissible—</w:t>
      </w:r>
      <w:r>
        <w:rPr>
          <w:rFonts w:cs="Times New Roman"/>
        </w:rPr>
        <w:t>to read the mind of the electorate to screen out votes that were in part or wholly founded on an irrational basis</w:t>
      </w:r>
      <w:r w:rsidR="0057044C">
        <w:rPr>
          <w:rFonts w:cs="Times New Roman"/>
        </w:rPr>
        <w:t xml:space="preserve">.” </w:t>
      </w:r>
      <w:r>
        <w:rPr>
          <w:rFonts w:cs="Times New Roman"/>
        </w:rPr>
        <w:t xml:space="preserve">(MDAC </w:t>
      </w:r>
      <w:r>
        <w:rPr>
          <w:rFonts w:cs="Times New Roman"/>
          <w:i/>
          <w:iCs/>
        </w:rPr>
        <w:t xml:space="preserve">amicus curiae </w:t>
      </w:r>
      <w:r>
        <w:rPr>
          <w:rFonts w:cs="Times New Roman"/>
        </w:rPr>
        <w:t xml:space="preserve">brief). Second, it plays on the perception of persons with psychosocial or intellectual disabilities as “mad,” irrational, out of touch with reality, or unable to understand parts of reality and therefore unworthy of partaking in shaping it unless </w:t>
      </w:r>
      <w:r w:rsidR="0057044C">
        <w:rPr>
          <w:rFonts w:cs="Times New Roman"/>
        </w:rPr>
        <w:t xml:space="preserve">they can </w:t>
      </w:r>
      <w:r>
        <w:rPr>
          <w:rFonts w:cs="Times New Roman"/>
        </w:rPr>
        <w:t>prov</w:t>
      </w:r>
      <w:r w:rsidR="0057044C">
        <w:rPr>
          <w:rFonts w:cs="Times New Roman"/>
        </w:rPr>
        <w:t>e</w:t>
      </w:r>
      <w:r>
        <w:rPr>
          <w:rFonts w:cs="Times New Roman"/>
        </w:rPr>
        <w:t xml:space="preserve"> an ability to do so. It is exactly this stereotypical perception that has relegated persons with disabilities to the margins of society and that the CRPD has set out to dismantle. Self-advocates around the world, campaigning for their right to vote (see Section B above), are breaking down the misconception of the impairment itself </w:t>
      </w:r>
      <w:r w:rsidR="0057044C">
        <w:rPr>
          <w:rFonts w:cs="Times New Roman"/>
        </w:rPr>
        <w:t xml:space="preserve">as </w:t>
      </w:r>
      <w:r>
        <w:rPr>
          <w:rFonts w:cs="Times New Roman"/>
        </w:rPr>
        <w:t xml:space="preserve">a determinant of the ability to understand and partake in the political process, </w:t>
      </w:r>
      <w:r w:rsidR="005B2068">
        <w:rPr>
          <w:rFonts w:cs="Times New Roman"/>
        </w:rPr>
        <w:t>and thereby</w:t>
      </w:r>
      <w:r>
        <w:rPr>
          <w:rFonts w:cs="Times New Roman"/>
        </w:rPr>
        <w:t xml:space="preserve"> rendering disability a discriminatory grounds for applying a competency test. </w:t>
      </w:r>
    </w:p>
    <w:p w:rsidR="005447D4" w:rsidRDefault="005447D4" w:rsidP="0098172B">
      <w:pPr>
        <w:rPr>
          <w:rFonts w:cs="Times New Roman"/>
        </w:rPr>
      </w:pPr>
    </w:p>
    <w:p w:rsidR="005447D4" w:rsidRDefault="005447D4" w:rsidP="00EE3D9F">
      <w:pPr>
        <w:rPr>
          <w:rFonts w:cs="Times New Roman"/>
        </w:rPr>
      </w:pPr>
      <w:r>
        <w:rPr>
          <w:rFonts w:cs="Times New Roman"/>
        </w:rPr>
        <w:t xml:space="preserve">The only way to introduce a competency test for voting, which is not discriminatory on the basis of disability, would be to apply it to all potential voters. That, of course, would not pass muster with basic rules of democracy, which reveals the true nature of such a test. </w:t>
      </w:r>
    </w:p>
    <w:p w:rsidR="005447D4" w:rsidRDefault="005447D4" w:rsidP="000E1068">
      <w:pPr>
        <w:pStyle w:val="ListParagraph"/>
        <w:rPr>
          <w:rFonts w:cs="Times New Roman"/>
        </w:rPr>
      </w:pPr>
    </w:p>
    <w:p w:rsidR="005447D4" w:rsidRDefault="005447D4" w:rsidP="0098172B">
      <w:pPr>
        <w:pStyle w:val="ListParagraph"/>
        <w:numPr>
          <w:ilvl w:val="0"/>
          <w:numId w:val="12"/>
        </w:numPr>
        <w:ind w:left="720" w:hanging="360"/>
        <w:rPr>
          <w:rFonts w:cs="Times New Roman"/>
        </w:rPr>
      </w:pPr>
      <w:r>
        <w:rPr>
          <w:rFonts w:cs="Times New Roman"/>
        </w:rPr>
        <w:t xml:space="preserve">A note on criminality </w:t>
      </w:r>
    </w:p>
    <w:p w:rsidR="005447D4" w:rsidRDefault="005447D4" w:rsidP="00BB7007">
      <w:pPr>
        <w:rPr>
          <w:rFonts w:cs="Times New Roman"/>
        </w:rPr>
      </w:pPr>
    </w:p>
    <w:p w:rsidR="005447D4" w:rsidRPr="00E15815" w:rsidRDefault="005447D4" w:rsidP="00AC68F0">
      <w:pPr>
        <w:rPr>
          <w:rFonts w:cs="Times New Roman"/>
        </w:rPr>
      </w:pPr>
      <w:r w:rsidRPr="00E15815">
        <w:rPr>
          <w:rFonts w:cs="Times New Roman"/>
        </w:rPr>
        <w:t>It is worthwhile to reflect on the one other remaining ground for exclusion from universal suffrage</w:t>
      </w:r>
      <w:r>
        <w:rPr>
          <w:rFonts w:cs="Times New Roman"/>
        </w:rPr>
        <w:t xml:space="preserve">:  </w:t>
      </w:r>
      <w:r w:rsidRPr="00E15815">
        <w:rPr>
          <w:rFonts w:cs="Times New Roman"/>
        </w:rPr>
        <w:t>criminality</w:t>
      </w:r>
      <w:r w:rsidRPr="000820AD">
        <w:rPr>
          <w:rFonts w:cs="Times New Roman"/>
        </w:rPr>
        <w:t>.</w:t>
      </w:r>
      <w:r w:rsidRPr="00E15815">
        <w:rPr>
          <w:rFonts w:cs="Times New Roman"/>
        </w:rPr>
        <w:t xml:space="preserve"> Though the door has not closed on this ban, national and international jurisprudence is gradually </w:t>
      </w:r>
      <w:r>
        <w:rPr>
          <w:rFonts w:cs="Times New Roman"/>
        </w:rPr>
        <w:t>restricting</w:t>
      </w:r>
      <w:r w:rsidRPr="00E15815">
        <w:rPr>
          <w:rFonts w:cs="Times New Roman"/>
        </w:rPr>
        <w:t xml:space="preserve"> its application. </w:t>
      </w:r>
      <w:proofErr w:type="gramStart"/>
      <w:r w:rsidRPr="00E15815">
        <w:rPr>
          <w:rFonts w:cs="Times New Roman"/>
        </w:rPr>
        <w:t xml:space="preserve">In the </w:t>
      </w:r>
      <w:r>
        <w:rPr>
          <w:rFonts w:cs="Times New Roman"/>
        </w:rPr>
        <w:t>2005</w:t>
      </w:r>
      <w:r w:rsidRPr="00E15815">
        <w:rPr>
          <w:rFonts w:cs="Times New Roman"/>
        </w:rPr>
        <w:t xml:space="preserve"> case of </w:t>
      </w:r>
      <w:proofErr w:type="spellStart"/>
      <w:r w:rsidRPr="00E15815">
        <w:rPr>
          <w:rFonts w:cs="Times New Roman"/>
          <w:i/>
          <w:iCs/>
        </w:rPr>
        <w:t>Hirst</w:t>
      </w:r>
      <w:proofErr w:type="spellEnd"/>
      <w:r w:rsidRPr="00E15815">
        <w:rPr>
          <w:rFonts w:cs="Times New Roman"/>
          <w:i/>
          <w:iCs/>
        </w:rPr>
        <w:t xml:space="preserve"> v.</w:t>
      </w:r>
      <w:proofErr w:type="gramEnd"/>
      <w:r w:rsidRPr="00E15815">
        <w:rPr>
          <w:rFonts w:cs="Times New Roman"/>
          <w:i/>
          <w:iCs/>
        </w:rPr>
        <w:t xml:space="preserve"> The United Kingdom</w:t>
      </w:r>
      <w:r w:rsidRPr="00E15815">
        <w:rPr>
          <w:rFonts w:cs="Times New Roman"/>
        </w:rPr>
        <w:t>, a blanket ban on voting applied to all convicted prisoners was struck down, since it precluded a process of weighing competing interests and assessing the proportionality of the ban in relation to the severity of the crime and the effect on the prisoner.</w:t>
      </w:r>
      <w:r>
        <w:rPr>
          <w:rStyle w:val="FootnoteReference"/>
          <w:rFonts w:cs="Times New Roman"/>
        </w:rPr>
        <w:footnoteReference w:id="31"/>
      </w:r>
      <w:r w:rsidRPr="00E15815">
        <w:rPr>
          <w:rFonts w:cs="Times New Roman"/>
        </w:rPr>
        <w:t xml:space="preserve"> </w:t>
      </w:r>
    </w:p>
    <w:p w:rsidR="005447D4" w:rsidRDefault="005447D4" w:rsidP="00E15815">
      <w:pPr>
        <w:rPr>
          <w:rFonts w:cs="Times New Roman"/>
          <w:highlight w:val="yellow"/>
        </w:rPr>
      </w:pPr>
    </w:p>
    <w:p w:rsidR="005447D4" w:rsidRDefault="005447D4" w:rsidP="00FD603F">
      <w:pPr>
        <w:rPr>
          <w:rFonts w:cs="Times New Roman"/>
        </w:rPr>
      </w:pPr>
      <w:r w:rsidRPr="000820AD">
        <w:rPr>
          <w:rFonts w:cs="Times New Roman"/>
        </w:rPr>
        <w:t xml:space="preserve">This line of reasoning is echoed in the discourse around striking down blanket bans in the area of disability, as exemplified in the </w:t>
      </w:r>
      <w:r w:rsidRPr="000820AD">
        <w:rPr>
          <w:rFonts w:cs="Times New Roman"/>
          <w:i/>
          <w:iCs/>
        </w:rPr>
        <w:t>Kiss</w:t>
      </w:r>
      <w:r w:rsidRPr="000820AD">
        <w:rPr>
          <w:rFonts w:cs="Times New Roman"/>
        </w:rPr>
        <w:t xml:space="preserve"> case. </w:t>
      </w:r>
      <w:r>
        <w:rPr>
          <w:rFonts w:cs="Times New Roman"/>
        </w:rPr>
        <w:t>Yet</w:t>
      </w:r>
      <w:r w:rsidRPr="000820AD">
        <w:rPr>
          <w:rFonts w:cs="Times New Roman"/>
        </w:rPr>
        <w:t xml:space="preserve"> it would be a mistake to apply the solution of a proportionality test from the area of criminality to that of disability</w:t>
      </w:r>
      <w:r>
        <w:rPr>
          <w:rFonts w:cs="Times New Roman"/>
        </w:rPr>
        <w:t xml:space="preserve"> (</w:t>
      </w:r>
      <w:r w:rsidRPr="000820AD">
        <w:rPr>
          <w:rFonts w:cs="Times New Roman"/>
        </w:rPr>
        <w:t>in fact, this mistaken application may have led to some of the dict</w:t>
      </w:r>
      <w:r>
        <w:rPr>
          <w:rFonts w:cs="Times New Roman"/>
        </w:rPr>
        <w:t>a</w:t>
      </w:r>
      <w:r w:rsidRPr="000820AD">
        <w:rPr>
          <w:rFonts w:cs="Times New Roman"/>
        </w:rPr>
        <w:t xml:space="preserve"> in </w:t>
      </w:r>
      <w:r w:rsidRPr="000820AD">
        <w:rPr>
          <w:rFonts w:cs="Times New Roman"/>
          <w:i/>
          <w:iCs/>
        </w:rPr>
        <w:t xml:space="preserve">Kiss v. </w:t>
      </w:r>
      <w:r w:rsidRPr="00C01E15">
        <w:rPr>
          <w:rFonts w:cs="Times New Roman"/>
          <w:i/>
          <w:iCs/>
        </w:rPr>
        <w:t>Hungary</w:t>
      </w:r>
      <w:r>
        <w:rPr>
          <w:rFonts w:cs="Times New Roman"/>
        </w:rPr>
        <w:t>)</w:t>
      </w:r>
      <w:r w:rsidRPr="000820AD">
        <w:rPr>
          <w:rFonts w:cs="Times New Roman"/>
        </w:rPr>
        <w:t xml:space="preserve">. With prisoners, a proportionality test would assess disenfranchisement against the severity of the individual’s </w:t>
      </w:r>
      <w:r>
        <w:rPr>
          <w:rFonts w:cs="Times New Roman"/>
        </w:rPr>
        <w:t xml:space="preserve">criminal act and </w:t>
      </w:r>
      <w:r w:rsidRPr="00C35AF8">
        <w:rPr>
          <w:rFonts w:cs="Times New Roman"/>
        </w:rPr>
        <w:t>breach of the rule of law</w:t>
      </w:r>
      <w:r w:rsidRPr="000820AD">
        <w:rPr>
          <w:rFonts w:cs="Times New Roman"/>
        </w:rPr>
        <w:t>.</w:t>
      </w:r>
      <w:r>
        <w:rPr>
          <w:rFonts w:cs="Times New Roman"/>
        </w:rPr>
        <w:t xml:space="preserve"> Obviously, criminality of conduct is an inapplicable test in assessing the prospect of disenfranchisement of persons with disabilities, and an alternative one is non-apparent given the problems associated with testing for “rationality.” Finally, it is worth noting that, as with persons with disabilities, some countries protect the right of all prisoners to vote.</w:t>
      </w:r>
      <w:r>
        <w:rPr>
          <w:rStyle w:val="FootnoteReference"/>
          <w:rFonts w:cs="Times New Roman"/>
        </w:rPr>
        <w:footnoteReference w:id="32"/>
      </w:r>
    </w:p>
    <w:p w:rsidR="005447D4" w:rsidRDefault="005447D4" w:rsidP="00C35AF8">
      <w:pPr>
        <w:rPr>
          <w:rFonts w:cs="Times New Roman"/>
        </w:rPr>
      </w:pPr>
    </w:p>
    <w:p w:rsidR="005447D4" w:rsidRDefault="005447D4" w:rsidP="003A78ED">
      <w:pPr>
        <w:pStyle w:val="ListParagraph"/>
        <w:numPr>
          <w:ilvl w:val="0"/>
          <w:numId w:val="12"/>
        </w:numPr>
        <w:ind w:left="720" w:hanging="360"/>
        <w:rPr>
          <w:rFonts w:cs="Times New Roman"/>
        </w:rPr>
      </w:pPr>
      <w:r>
        <w:rPr>
          <w:rFonts w:cs="Times New Roman"/>
        </w:rPr>
        <w:t>Fraud and manipulation</w:t>
      </w:r>
    </w:p>
    <w:p w:rsidR="005447D4" w:rsidRDefault="005447D4" w:rsidP="003D3E37">
      <w:pPr>
        <w:pStyle w:val="ListParagraph"/>
        <w:ind w:left="1080"/>
        <w:rPr>
          <w:rFonts w:cs="Times New Roman"/>
        </w:rPr>
      </w:pPr>
    </w:p>
    <w:p w:rsidR="005447D4" w:rsidRDefault="005447D4" w:rsidP="00C35AF8">
      <w:pPr>
        <w:rPr>
          <w:rFonts w:cs="Times New Roman"/>
        </w:rPr>
      </w:pPr>
      <w:r>
        <w:rPr>
          <w:rFonts w:cs="Times New Roman"/>
        </w:rPr>
        <w:t xml:space="preserve">A possible underlying concern motivating the placement of a limit on the right of persons with disabilities to vote is the concern over fraud and manipulation. Various groups in society may be exposed more than others to this risk:  individuals facing language and social barriers, as well as older persons and persons with disabilities who depend on others in their everyday life or in making decisions and communicating them. The appropriate response, however, is to manage the risk of fraud and manipulation, not to curtail the rights of those perceived to be particularly susceptible to manipulation. Indeed, in countries where universal suffrage is the rule, including for persons with disabilities, the debate has shifted to the most appropriate steps to provide protection against fraud, as has been described in section B above. </w:t>
      </w:r>
    </w:p>
    <w:p w:rsidR="005447D4" w:rsidRDefault="005447D4" w:rsidP="00E40A7E">
      <w:pPr>
        <w:rPr>
          <w:rFonts w:cs="Times New Roman"/>
        </w:rPr>
      </w:pPr>
    </w:p>
    <w:p w:rsidR="005447D4" w:rsidRDefault="005447D4" w:rsidP="00601F0C">
      <w:pPr>
        <w:rPr>
          <w:rFonts w:cs="Times New Roman"/>
        </w:rPr>
      </w:pPr>
      <w:r>
        <w:rPr>
          <w:rFonts w:cs="Times New Roman"/>
        </w:rPr>
        <w:t xml:space="preserve">Where the disability is so pronounced that assistance and support do not yield a decision by the person that could be understood by others, basic rules of fraud and manipulation bar anyone from casting a vote in that person’s name. </w:t>
      </w:r>
    </w:p>
    <w:p w:rsidR="005447D4" w:rsidRDefault="005447D4" w:rsidP="005F61AE">
      <w:pPr>
        <w:rPr>
          <w:rFonts w:cs="Times New Roman"/>
        </w:rPr>
      </w:pPr>
    </w:p>
    <w:p w:rsidR="005447D4" w:rsidRPr="00917D16" w:rsidRDefault="005447D4" w:rsidP="00E40A7E">
      <w:pPr>
        <w:rPr>
          <w:rFonts w:cs="Times New Roman"/>
          <w:b/>
          <w:bCs/>
        </w:rPr>
      </w:pPr>
      <w:r w:rsidRPr="00917D16">
        <w:rPr>
          <w:rFonts w:cs="Times New Roman"/>
          <w:b/>
          <w:bCs/>
        </w:rPr>
        <w:t>D.</w:t>
      </w:r>
      <w:r w:rsidRPr="00917D16">
        <w:rPr>
          <w:rFonts w:cs="Times New Roman"/>
          <w:b/>
          <w:bCs/>
          <w:i/>
          <w:iCs/>
        </w:rPr>
        <w:t xml:space="preserve"> Kiss v. Hungary</w:t>
      </w:r>
      <w:r w:rsidRPr="00917D16">
        <w:rPr>
          <w:rFonts w:cs="Times New Roman"/>
        </w:rPr>
        <w:t xml:space="preserve"> </w:t>
      </w:r>
      <w:r w:rsidRPr="00917D16">
        <w:rPr>
          <w:rFonts w:cs="Times New Roman"/>
          <w:b/>
          <w:bCs/>
        </w:rPr>
        <w:t>revisited</w:t>
      </w:r>
    </w:p>
    <w:p w:rsidR="005447D4" w:rsidRPr="00EE1CCC" w:rsidRDefault="005447D4" w:rsidP="00E40A7E">
      <w:pPr>
        <w:rPr>
          <w:rFonts w:ascii="Microsoft Sans Serif" w:hAnsi="Microsoft Sans Serif"/>
          <w:b/>
          <w:bCs/>
        </w:rPr>
      </w:pPr>
    </w:p>
    <w:p w:rsidR="005447D4" w:rsidRDefault="005447D4" w:rsidP="00250BBA">
      <w:pPr>
        <w:rPr>
          <w:rFonts w:cs="Times New Roman"/>
        </w:rPr>
      </w:pPr>
      <w:r>
        <w:rPr>
          <w:rFonts w:cs="Times New Roman"/>
        </w:rPr>
        <w:t xml:space="preserve">In its 2010 ruling, </w:t>
      </w:r>
      <w:r w:rsidRPr="00EE40DA">
        <w:rPr>
          <w:rFonts w:cs="Times New Roman"/>
          <w:i/>
          <w:iCs/>
        </w:rPr>
        <w:t>Kiss v. Hungary</w:t>
      </w:r>
      <w:r w:rsidRPr="0057265D">
        <w:rPr>
          <w:rFonts w:cs="Times New Roman"/>
        </w:rPr>
        <w:t>,</w:t>
      </w:r>
      <w:r w:rsidRPr="00EE40DA">
        <w:rPr>
          <w:rStyle w:val="FootnoteReference"/>
          <w:rFonts w:cs="Times New Roman"/>
        </w:rPr>
        <w:footnoteReference w:id="33"/>
      </w:r>
      <w:r>
        <w:rPr>
          <w:rFonts w:cs="Times New Roman"/>
        </w:rPr>
        <w:t xml:space="preserve"> the European Court declared that the automatic ban of persons under partial guardianship from voting was incompatible with the principle of universal suffrage recognized by the</w:t>
      </w:r>
      <w:r w:rsidR="00250BBA">
        <w:rPr>
          <w:rFonts w:cs="Times New Roman"/>
        </w:rPr>
        <w:t xml:space="preserve"> European Convention on Human Rights</w:t>
      </w:r>
      <w:r>
        <w:rPr>
          <w:rFonts w:cs="Times New Roman"/>
        </w:rPr>
        <w:t xml:space="preserve">. The Court’s decision, however, cites the possibility of disenfranchisement based on an individual assessment of the capacity to vote. </w:t>
      </w:r>
    </w:p>
    <w:p w:rsidR="005447D4" w:rsidRDefault="005447D4" w:rsidP="00E40A7E">
      <w:pPr>
        <w:rPr>
          <w:rFonts w:cs="Times New Roman"/>
        </w:rPr>
      </w:pPr>
    </w:p>
    <w:p w:rsidR="005447D4" w:rsidRDefault="005447D4" w:rsidP="00A03846">
      <w:pPr>
        <w:rPr>
          <w:rFonts w:cs="Times New Roman"/>
        </w:rPr>
      </w:pPr>
      <w:r w:rsidRPr="00A03846">
        <w:rPr>
          <w:rFonts w:cs="Times New Roman"/>
        </w:rPr>
        <w:t xml:space="preserve">In addition to the preceding arguments that such an assessment </w:t>
      </w:r>
      <w:r>
        <w:rPr>
          <w:rFonts w:cs="Times New Roman"/>
        </w:rPr>
        <w:t>contradicts</w:t>
      </w:r>
      <w:r w:rsidRPr="00A03846">
        <w:rPr>
          <w:rFonts w:cs="Times New Roman"/>
        </w:rPr>
        <w:t xml:space="preserve"> basic tenets of the equal recognition of the right to vote and of legal capacity, a closer look at the Court’s </w:t>
      </w:r>
      <w:hyperlink r:id="rId10" w:tooltip="Ratio decidendi" w:history="1">
        <w:proofErr w:type="spellStart"/>
        <w:r w:rsidRPr="00A03846">
          <w:rPr>
            <w:rStyle w:val="Hyperlink"/>
            <w:rFonts w:cs="Times New Roman"/>
            <w:i/>
            <w:iCs/>
            <w:color w:val="auto"/>
            <w:u w:val="none"/>
          </w:rPr>
          <w:t>rationes</w:t>
        </w:r>
        <w:proofErr w:type="spellEnd"/>
        <w:r w:rsidRPr="00A03846">
          <w:rPr>
            <w:rStyle w:val="Hyperlink"/>
            <w:rFonts w:cs="Times New Roman"/>
            <w:i/>
            <w:iCs/>
            <w:color w:val="auto"/>
            <w:u w:val="none"/>
          </w:rPr>
          <w:t xml:space="preserve"> </w:t>
        </w:r>
        <w:proofErr w:type="spellStart"/>
        <w:r w:rsidRPr="00A03846">
          <w:rPr>
            <w:rStyle w:val="Hyperlink"/>
            <w:rFonts w:cs="Times New Roman"/>
            <w:i/>
            <w:iCs/>
            <w:color w:val="auto"/>
            <w:u w:val="none"/>
          </w:rPr>
          <w:t>decidendi</w:t>
        </w:r>
        <w:proofErr w:type="spellEnd"/>
      </w:hyperlink>
      <w:r w:rsidRPr="00A03846">
        <w:rPr>
          <w:rFonts w:cs="Times New Roman"/>
        </w:rPr>
        <w:t xml:space="preserve"> casts doubt on the strength of such a conclusion. In </w:t>
      </w:r>
      <w:r>
        <w:rPr>
          <w:rFonts w:cs="Times New Roman"/>
          <w:i/>
          <w:iCs/>
        </w:rPr>
        <w:t>Kiss</w:t>
      </w:r>
      <w:r w:rsidRPr="00A03846">
        <w:rPr>
          <w:rFonts w:cs="Times New Roman"/>
        </w:rPr>
        <w:t>, the applicant challenged the assumption that people under guardianship in general could not make responsible choices required for participation in election</w:t>
      </w:r>
      <w:r>
        <w:rPr>
          <w:rFonts w:cs="Times New Roman"/>
        </w:rPr>
        <w:t>s</w:t>
      </w:r>
      <w:r w:rsidRPr="00A03846">
        <w:rPr>
          <w:rFonts w:cs="Times New Roman"/>
        </w:rPr>
        <w:t xml:space="preserve">, but left </w:t>
      </w:r>
      <w:r>
        <w:rPr>
          <w:rFonts w:cs="Times New Roman"/>
        </w:rPr>
        <w:t>uncontested</w:t>
      </w:r>
      <w:r w:rsidRPr="00A03846">
        <w:rPr>
          <w:rFonts w:cs="Times New Roman"/>
        </w:rPr>
        <w:t xml:space="preserve"> the view that only citizens capable of assessing the consequences of their decisions and making conscious and judicious decisions should participate in public affairs and that persons with disabilities may lack the capacity to exercise their right to vote. The Court’s finding that an individual assessment “pursued a </w:t>
      </w:r>
      <w:r w:rsidRPr="00A03846">
        <w:rPr>
          <w:rFonts w:cs="Times New Roman"/>
        </w:rPr>
        <w:lastRenderedPageBreak/>
        <w:t xml:space="preserve">legitimate aim” is thus </w:t>
      </w:r>
      <w:r w:rsidRPr="00A03846">
        <w:rPr>
          <w:rFonts w:cs="Times New Roman"/>
          <w:i/>
          <w:iCs/>
        </w:rPr>
        <w:t>obiter dictum</w:t>
      </w:r>
      <w:r w:rsidRPr="00A03846">
        <w:rPr>
          <w:rFonts w:cs="Times New Roman"/>
        </w:rPr>
        <w:t xml:space="preserve">, based </w:t>
      </w:r>
      <w:r>
        <w:rPr>
          <w:rFonts w:cs="Times New Roman"/>
        </w:rPr>
        <w:t xml:space="preserve">entirely </w:t>
      </w:r>
      <w:r w:rsidRPr="00A03846">
        <w:rPr>
          <w:rFonts w:cs="Times New Roman"/>
        </w:rPr>
        <w:t xml:space="preserve">on the </w:t>
      </w:r>
      <w:r>
        <w:rPr>
          <w:rFonts w:cs="Times New Roman"/>
        </w:rPr>
        <w:t xml:space="preserve">applicant’s </w:t>
      </w:r>
      <w:r w:rsidRPr="00A03846">
        <w:rPr>
          <w:rFonts w:cs="Times New Roman"/>
        </w:rPr>
        <w:t xml:space="preserve">premise, rather than on </w:t>
      </w:r>
      <w:r>
        <w:rPr>
          <w:rFonts w:cs="Times New Roman"/>
        </w:rPr>
        <w:t>an</w:t>
      </w:r>
      <w:r w:rsidRPr="00A03846">
        <w:rPr>
          <w:rFonts w:cs="Times New Roman"/>
        </w:rPr>
        <w:t xml:space="preserve"> examination of this premise</w:t>
      </w:r>
      <w:r>
        <w:rPr>
          <w:rFonts w:cs="Times New Roman"/>
        </w:rPr>
        <w:t>, despite</w:t>
      </w:r>
      <w:r w:rsidRPr="00A03846">
        <w:rPr>
          <w:rFonts w:cs="Times New Roman"/>
        </w:rPr>
        <w:t xml:space="preserve"> its </w:t>
      </w:r>
      <w:r>
        <w:rPr>
          <w:rFonts w:cs="Times New Roman"/>
        </w:rPr>
        <w:t xml:space="preserve">shaky </w:t>
      </w:r>
      <w:r w:rsidRPr="00A03846">
        <w:rPr>
          <w:rFonts w:cs="Times New Roman"/>
        </w:rPr>
        <w:t>legal foundations</w:t>
      </w:r>
      <w:r>
        <w:rPr>
          <w:rFonts w:cs="Times New Roman"/>
        </w:rPr>
        <w:t>,</w:t>
      </w:r>
      <w:r w:rsidRPr="00A03846">
        <w:rPr>
          <w:rFonts w:cs="Times New Roman"/>
        </w:rPr>
        <w:t xml:space="preserve"> particularly in light of the CRPD, or its practical implications.</w:t>
      </w:r>
      <w:r w:rsidRPr="00A03846">
        <w:rPr>
          <w:rStyle w:val="FootnoteReference"/>
          <w:rFonts w:cs="Times New Roman"/>
        </w:rPr>
        <w:footnoteReference w:id="34"/>
      </w:r>
      <w:r>
        <w:rPr>
          <w:rFonts w:cs="Times New Roman"/>
        </w:rPr>
        <w:t xml:space="preserve"> </w:t>
      </w:r>
    </w:p>
    <w:p w:rsidR="005447D4" w:rsidRDefault="005447D4" w:rsidP="00E40A7E">
      <w:pPr>
        <w:rPr>
          <w:rFonts w:cs="Times New Roman"/>
        </w:rPr>
      </w:pPr>
    </w:p>
    <w:p w:rsidR="005447D4" w:rsidRDefault="005447D4" w:rsidP="00EE3D9F">
      <w:pPr>
        <w:rPr>
          <w:rFonts w:cs="Times New Roman"/>
        </w:rPr>
      </w:pPr>
      <w:r>
        <w:rPr>
          <w:rFonts w:cs="Times New Roman"/>
        </w:rPr>
        <w:t>Furthermore, referring to the blanket ban on persons under partial guardianship from voting, the Court observed that “there is no evidence that the Hungarian legislature has ever sought to weigh the competing interests or to assess the proportionality of the restriction as it stands.”</w:t>
      </w:r>
      <w:r>
        <w:rPr>
          <w:rStyle w:val="FootnoteReference"/>
          <w:rFonts w:cs="Times New Roman"/>
        </w:rPr>
        <w:footnoteReference w:id="35"/>
      </w:r>
      <w:r>
        <w:rPr>
          <w:rFonts w:cs="Times New Roman"/>
        </w:rPr>
        <w:t xml:space="preserve"> Indeed, in its determination that an individualized competency test for political participation was warranted, the Court </w:t>
      </w:r>
      <w:r w:rsidRPr="00865F23">
        <w:rPr>
          <w:rFonts w:cs="Times New Roman"/>
        </w:rPr>
        <w:t>itself</w:t>
      </w:r>
      <w:r>
        <w:rPr>
          <w:rFonts w:cs="Times New Roman"/>
        </w:rPr>
        <w:t xml:space="preserve"> failed to weigh the competing interests and assess the proportionality of such a test. </w:t>
      </w:r>
    </w:p>
    <w:p w:rsidR="005447D4" w:rsidRDefault="005447D4" w:rsidP="00E40A7E">
      <w:pPr>
        <w:rPr>
          <w:rFonts w:cs="Times New Roman"/>
        </w:rPr>
      </w:pPr>
    </w:p>
    <w:p w:rsidR="002D4B8A" w:rsidRDefault="005447D4" w:rsidP="00E03C53">
      <w:pPr>
        <w:rPr>
          <w:rFonts w:cs="Times New Roman"/>
        </w:rPr>
      </w:pPr>
      <w:r>
        <w:rPr>
          <w:rFonts w:cs="Times New Roman"/>
        </w:rPr>
        <w:t xml:space="preserve">Finally, having proceeded from the unexplored premise that a voting competency test is warranted, the details of how a voting competency test would be applied remained unexplored by the Court. Probing into the implementation of a competency test would have revealed the anomalies embedded within it:  </w:t>
      </w:r>
    </w:p>
    <w:p w:rsidR="002D4B8A" w:rsidRPr="002D4B8A" w:rsidRDefault="005447D4" w:rsidP="002D4B8A">
      <w:pPr>
        <w:rPr>
          <w:rFonts w:cs="Times New Roman"/>
        </w:rPr>
      </w:pPr>
      <w:r w:rsidRPr="002D4B8A">
        <w:rPr>
          <w:rFonts w:cs="Times New Roman"/>
        </w:rPr>
        <w:t xml:space="preserve">Would the assumption of incapacity to vote be one which can be rebutted? If so, what would the process of rebuttal look like? </w:t>
      </w:r>
    </w:p>
    <w:p w:rsidR="002D4B8A" w:rsidRPr="002D4B8A" w:rsidRDefault="005447D4" w:rsidP="002D4B8A">
      <w:pPr>
        <w:rPr>
          <w:rFonts w:cs="Times New Roman"/>
        </w:rPr>
      </w:pPr>
      <w:r w:rsidRPr="002D4B8A">
        <w:rPr>
          <w:rFonts w:cs="Times New Roman"/>
        </w:rPr>
        <w:t>Who would be vested with authority to bring capacity in</w:t>
      </w:r>
      <w:r w:rsidR="00F07630">
        <w:rPr>
          <w:rFonts w:cs="Times New Roman"/>
        </w:rPr>
        <w:t>to question before the court—w</w:t>
      </w:r>
      <w:r w:rsidRPr="002D4B8A">
        <w:rPr>
          <w:rFonts w:cs="Times New Roman"/>
        </w:rPr>
        <w:t xml:space="preserve">ould it be left to arbitrary criteria such as whether family members or care-givers serve to increase a person’s capacity or not? </w:t>
      </w:r>
    </w:p>
    <w:p w:rsidR="002D4B8A" w:rsidRPr="002D4B8A" w:rsidRDefault="005447D4" w:rsidP="002D4B8A">
      <w:pPr>
        <w:rPr>
          <w:rFonts w:cs="Times New Roman"/>
        </w:rPr>
      </w:pPr>
      <w:r w:rsidRPr="002D4B8A">
        <w:rPr>
          <w:rFonts w:cs="Times New Roman"/>
        </w:rPr>
        <w:t>If the presumption would be that a person has to prove capacity to vote in each case, would every person “suspected” of having a disability that, some would perceive, impacts their understanding, undergo proceedings before courts to determine his voting status?</w:t>
      </w:r>
    </w:p>
    <w:p w:rsidR="002D4B8A" w:rsidRPr="002D4B8A" w:rsidRDefault="005447D4" w:rsidP="002D4B8A">
      <w:pPr>
        <w:rPr>
          <w:rFonts w:cs="Times New Roman"/>
        </w:rPr>
      </w:pPr>
      <w:proofErr w:type="gramStart"/>
      <w:r w:rsidRPr="002D4B8A">
        <w:rPr>
          <w:rFonts w:cs="Times New Roman"/>
        </w:rPr>
        <w:t>Would each individual be required to present credentials proving “capacity to vote” at the voting booth?</w:t>
      </w:r>
      <w:proofErr w:type="gramEnd"/>
      <w:r w:rsidRPr="002D4B8A">
        <w:rPr>
          <w:rFonts w:cs="Times New Roman"/>
        </w:rPr>
        <w:t xml:space="preserve"> If so, what would those be? Would election officials be vested with authority to refuse to allow a person to vote who, according to their judgment, does not exhibit such capacity? </w:t>
      </w:r>
    </w:p>
    <w:p w:rsidR="002D4B8A" w:rsidRPr="002D4B8A" w:rsidRDefault="005447D4" w:rsidP="002D4B8A">
      <w:pPr>
        <w:rPr>
          <w:rFonts w:cs="Times New Roman"/>
        </w:rPr>
      </w:pPr>
      <w:r w:rsidRPr="002D4B8A">
        <w:rPr>
          <w:rFonts w:cs="Times New Roman"/>
        </w:rPr>
        <w:t xml:space="preserve">And considering that the tests for rationality and understanding are far from an exact science, and open to widely differing interpretations, could standard criteria be established for such capacity at all? </w:t>
      </w:r>
    </w:p>
    <w:p w:rsidR="005447D4" w:rsidRPr="002D4B8A" w:rsidRDefault="005447D4" w:rsidP="002D4B8A">
      <w:pPr>
        <w:rPr>
          <w:rFonts w:cs="Times New Roman"/>
        </w:rPr>
      </w:pPr>
      <w:r w:rsidRPr="002D4B8A">
        <w:rPr>
          <w:rFonts w:cs="Times New Roman"/>
        </w:rPr>
        <w:t>It is difficult to imagine a court remaining supportive of the notion of a competency test after drilling down into its “practicalities.”</w:t>
      </w:r>
    </w:p>
    <w:p w:rsidR="005447D4" w:rsidRDefault="005447D4" w:rsidP="00E40A7E">
      <w:pPr>
        <w:rPr>
          <w:rFonts w:cs="Times New Roman"/>
        </w:rPr>
      </w:pPr>
    </w:p>
    <w:p w:rsidR="005447D4" w:rsidRPr="00917D16" w:rsidRDefault="005447D4" w:rsidP="00B53B78">
      <w:pPr>
        <w:rPr>
          <w:rFonts w:cs="Times New Roman"/>
          <w:b/>
          <w:bCs/>
        </w:rPr>
      </w:pPr>
      <w:r w:rsidRPr="00917D16">
        <w:rPr>
          <w:rFonts w:cs="Times New Roman"/>
          <w:b/>
          <w:bCs/>
        </w:rPr>
        <w:t xml:space="preserve">E. In summary </w:t>
      </w:r>
    </w:p>
    <w:p w:rsidR="005447D4" w:rsidRDefault="005447D4" w:rsidP="004C15BF">
      <w:pPr>
        <w:rPr>
          <w:rFonts w:cs="Times New Roman"/>
        </w:rPr>
      </w:pPr>
    </w:p>
    <w:p w:rsidR="005447D4" w:rsidRDefault="005447D4" w:rsidP="005318DC">
      <w:pPr>
        <w:rPr>
          <w:rFonts w:cs="Times New Roman"/>
        </w:rPr>
      </w:pPr>
      <w:r>
        <w:rPr>
          <w:rFonts w:cs="Times New Roman"/>
        </w:rPr>
        <w:t xml:space="preserve">CRPD Article 29 establishes the unequivocal right of all persons with disabilities to fully participate in political and public life on an equal basis with others, including the right and opportunity to vote. Some of the means cited to facilitate the exercise of this right (procedural accessibility, including material in easy-to-understand language, and assistance in voting) are utilized to support persons with intellectual or psychosocial disabilities in voting in countries that adhere to a universal right to vote. Carefully crafted anti-fraud and anti-manipulation measures </w:t>
      </w:r>
      <w:r>
        <w:rPr>
          <w:rFonts w:cs="Times New Roman"/>
        </w:rPr>
        <w:lastRenderedPageBreak/>
        <w:t xml:space="preserve">protect individuals who for diverse reasons (among which disability is only one) are at risk of manipulation and guarantee the integrity of the process. </w:t>
      </w:r>
    </w:p>
    <w:p w:rsidR="005447D4" w:rsidRDefault="005447D4" w:rsidP="008D4FA7">
      <w:pPr>
        <w:rPr>
          <w:rFonts w:cs="Times New Roman"/>
        </w:rPr>
      </w:pPr>
    </w:p>
    <w:p w:rsidR="005447D4" w:rsidRDefault="005447D4" w:rsidP="002D4B8A">
      <w:pPr>
        <w:rPr>
          <w:rFonts w:cs="Times New Roman"/>
        </w:rPr>
      </w:pPr>
      <w:r>
        <w:rPr>
          <w:rFonts w:cs="Times New Roman"/>
        </w:rPr>
        <w:t xml:space="preserve">Support </w:t>
      </w:r>
      <w:r w:rsidR="002D4B8A">
        <w:rPr>
          <w:rFonts w:cs="Times New Roman"/>
        </w:rPr>
        <w:t xml:space="preserve">to enable the exercise of the right to vote </w:t>
      </w:r>
      <w:r>
        <w:rPr>
          <w:rFonts w:cs="Times New Roman"/>
        </w:rPr>
        <w:t>is an example of one of the fundamental principles of the CRPD, highlighted in Article 12. In place of denying the right to be recognized as a person before the law, full legal capacity is retained, complemented by access to the support necessary for its exercise. Guardianship for persons perceived as incapable of making decisions affecting their lives is emblematic of a paradigm of paternalism and protection that has been replaced by a paradigm of rights and self</w:t>
      </w:r>
      <w:r w:rsidR="003C08E5">
        <w:rPr>
          <w:rFonts w:cs="Times New Roman"/>
        </w:rPr>
        <w:t>-</w:t>
      </w:r>
      <w:r>
        <w:rPr>
          <w:rFonts w:cs="Times New Roman"/>
        </w:rPr>
        <w:t xml:space="preserve">determination. Guardianship has also been the main channel by which to restrict the right to vote of persons with disabilities; appointment of a guardian, whether indicating a limited or complete denial of legal capacity, has entailed a denial of the right to vote. There is a trend to curb this process of denial. Inspired by the CRPD, national and international jurisprudence has taken steps to sever the link between guardianship and denial of the right to vote. Guardianship status in itself is no longer recognized as a valid conduit through which to deny the right to vote, giving rise to the question of whether an individually tailored examination of the voting competency of categories of persons with disabilities, as has been suggested by those same courts, can be justified in light of international law. </w:t>
      </w:r>
    </w:p>
    <w:p w:rsidR="005447D4" w:rsidRDefault="005447D4" w:rsidP="00D10429">
      <w:pPr>
        <w:rPr>
          <w:rFonts w:cs="Times New Roman"/>
        </w:rPr>
      </w:pPr>
    </w:p>
    <w:p w:rsidR="005447D4" w:rsidRPr="00D26C5D" w:rsidRDefault="005447D4" w:rsidP="00D26C5D">
      <w:pPr>
        <w:rPr>
          <w:rFonts w:cs="Times New Roman"/>
        </w:rPr>
      </w:pPr>
      <w:r>
        <w:rPr>
          <w:rFonts w:cs="Times New Roman"/>
        </w:rPr>
        <w:t>A narrower test for stripping persons with disabilities of the right to vote based on a perceived, even if individualized, assessment of “mental incapacity,” contravenes the principle of full legal capacity mandated by CRPD Article 12. The only justification that ca</w:t>
      </w:r>
      <w:r w:rsidR="00254B20">
        <w:rPr>
          <w:rFonts w:cs="Times New Roman"/>
        </w:rPr>
        <w:t>n be offered for such a test—t</w:t>
      </w:r>
      <w:r>
        <w:rPr>
          <w:rFonts w:cs="Times New Roman"/>
        </w:rPr>
        <w:t xml:space="preserve">hat persons who cannot vote rationally </w:t>
      </w:r>
      <w:r w:rsidR="00254B20">
        <w:rPr>
          <w:rFonts w:cs="Times New Roman"/>
        </w:rPr>
        <w:t>should not be allowed to vote—</w:t>
      </w:r>
      <w:r>
        <w:rPr>
          <w:rFonts w:cs="Times New Roman"/>
        </w:rPr>
        <w:t xml:space="preserve">is based on false assumptions with regard to the “rationality” of the voting process and the “irrationality” of persons with intellectual or psychosocial disabilities. Its universal application is unfeasible in a democratic society; its application to persons with disabilities only is inherently discriminatory. </w:t>
      </w:r>
    </w:p>
    <w:p w:rsidR="005447D4" w:rsidRDefault="005447D4" w:rsidP="00D10429">
      <w:pPr>
        <w:rPr>
          <w:rFonts w:cs="Times New Roman"/>
        </w:rPr>
      </w:pPr>
    </w:p>
    <w:p w:rsidR="005447D4" w:rsidRDefault="005447D4" w:rsidP="00D10429">
      <w:pPr>
        <w:rPr>
          <w:rFonts w:cs="Times New Roman"/>
        </w:rPr>
      </w:pPr>
      <w:r>
        <w:rPr>
          <w:rFonts w:cs="Times New Roman"/>
        </w:rPr>
        <w:t xml:space="preserve">The strength of the European Court’s decision in </w:t>
      </w:r>
      <w:r>
        <w:rPr>
          <w:rFonts w:cs="Times New Roman"/>
          <w:i/>
          <w:iCs/>
        </w:rPr>
        <w:t>Kiss v. Hungary</w:t>
      </w:r>
      <w:r>
        <w:rPr>
          <w:rFonts w:cs="Times New Roman"/>
        </w:rPr>
        <w:t xml:space="preserve"> is in undermining the utilization of guardianship in restricting the right to vote. The Court’s suggestion that a competency test is an appropriate substitute is </w:t>
      </w:r>
      <w:r w:rsidRPr="00092A94">
        <w:rPr>
          <w:rFonts w:cs="Times New Roman"/>
          <w:i/>
          <w:iCs/>
        </w:rPr>
        <w:t>obiter dicta</w:t>
      </w:r>
      <w:r>
        <w:rPr>
          <w:rFonts w:cs="Times New Roman"/>
        </w:rPr>
        <w:t>. By its own account, the Court proceeded from an assumption that the competency test is uncontested by the applicant and thus did not examine the merits or feasibility of such a test.</w:t>
      </w:r>
    </w:p>
    <w:p w:rsidR="005447D4" w:rsidRDefault="005447D4" w:rsidP="00D10429">
      <w:pPr>
        <w:rPr>
          <w:rFonts w:cs="Times New Roman"/>
        </w:rPr>
      </w:pPr>
    </w:p>
    <w:p w:rsidR="005447D4" w:rsidRDefault="005447D4" w:rsidP="00D26C5D">
      <w:pPr>
        <w:rPr>
          <w:rFonts w:cs="Times New Roman"/>
        </w:rPr>
      </w:pPr>
      <w:proofErr w:type="gramStart"/>
      <w:r>
        <w:rPr>
          <w:rFonts w:cs="Times New Roman"/>
        </w:rPr>
        <w:t xml:space="preserve">As the Court noted in its 2005 decision, </w:t>
      </w:r>
      <w:proofErr w:type="spellStart"/>
      <w:r>
        <w:rPr>
          <w:rFonts w:cs="Times New Roman"/>
          <w:i/>
          <w:iCs/>
        </w:rPr>
        <w:t>Hirst</w:t>
      </w:r>
      <w:proofErr w:type="spellEnd"/>
      <w:r>
        <w:rPr>
          <w:rFonts w:cs="Times New Roman"/>
          <w:i/>
          <w:iCs/>
        </w:rPr>
        <w:t xml:space="preserve"> v.</w:t>
      </w:r>
      <w:proofErr w:type="gramEnd"/>
      <w:r>
        <w:rPr>
          <w:rFonts w:cs="Times New Roman"/>
          <w:i/>
          <w:iCs/>
        </w:rPr>
        <w:t xml:space="preserve"> The United Kingdom</w:t>
      </w:r>
      <w:r w:rsidRPr="00917D16">
        <w:rPr>
          <w:rFonts w:cs="Times New Roman"/>
        </w:rPr>
        <w:t>,</w:t>
      </w:r>
      <w:r w:rsidRPr="000C51CA">
        <w:rPr>
          <w:rFonts w:cs="Times New Roman"/>
        </w:rPr>
        <w:t xml:space="preserve"> </w:t>
      </w:r>
      <w:r>
        <w:rPr>
          <w:rFonts w:cs="Times New Roman"/>
        </w:rPr>
        <w:t xml:space="preserve">“[T]he right to vote is not a privilege. In the twenty-first century, the presumption in a democratic State must be in </w:t>
      </w:r>
      <w:proofErr w:type="spellStart"/>
      <w:r>
        <w:rPr>
          <w:rFonts w:cs="Times New Roman"/>
        </w:rPr>
        <w:t>favour</w:t>
      </w:r>
      <w:proofErr w:type="spellEnd"/>
      <w:r>
        <w:rPr>
          <w:rFonts w:cs="Times New Roman"/>
        </w:rPr>
        <w:t xml:space="preserve"> of inclusion. . . . Universal suffrage has become the basic principle.”</w:t>
      </w:r>
      <w:r>
        <w:rPr>
          <w:rStyle w:val="FootnoteReference"/>
          <w:rFonts w:cs="Times New Roman"/>
        </w:rPr>
        <w:footnoteReference w:id="36"/>
      </w:r>
      <w:r w:rsidRPr="00D100E3">
        <w:rPr>
          <w:rFonts w:cs="Times New Roman"/>
        </w:rPr>
        <w:t xml:space="preserve"> </w:t>
      </w:r>
      <w:r>
        <w:rPr>
          <w:rFonts w:cs="Times New Roman"/>
        </w:rPr>
        <w:t xml:space="preserve">The right to vote does not allow for restrictions based on disability. The notion of “knowledge” as a threshold criterion to voting is anathema to the principle of universal suffrage. International jurisprudence has chipped away at blanket bans restricting the right of all prisoners to vote, and the alternative proportionality test, assessing the denial of the right to vote against the degree of criminality, by its nature does not lend itself to application to persons with disabilities. </w:t>
      </w:r>
    </w:p>
    <w:p w:rsidR="005447D4" w:rsidRDefault="005447D4" w:rsidP="00D26C5D">
      <w:pPr>
        <w:rPr>
          <w:rFonts w:cs="Times New Roman"/>
        </w:rPr>
      </w:pPr>
    </w:p>
    <w:p w:rsidR="005447D4" w:rsidRPr="00F91B9E" w:rsidRDefault="005447D4" w:rsidP="00F91B9E">
      <w:pPr>
        <w:rPr>
          <w:rFonts w:cs="Times New Roman"/>
        </w:rPr>
      </w:pPr>
      <w:r>
        <w:rPr>
          <w:rFonts w:cs="Times New Roman"/>
        </w:rPr>
        <w:t>It follows that t</w:t>
      </w:r>
      <w:r w:rsidRPr="000B43A3">
        <w:rPr>
          <w:rFonts w:cs="Times New Roman"/>
        </w:rPr>
        <w:t>he Venice Commission</w:t>
      </w:r>
      <w:r>
        <w:rPr>
          <w:rFonts w:cs="Times New Roman"/>
        </w:rPr>
        <w:t xml:space="preserve">’s </w:t>
      </w:r>
      <w:r w:rsidRPr="000B43A3">
        <w:rPr>
          <w:rFonts w:cs="Times New Roman"/>
        </w:rPr>
        <w:t>proposal</w:t>
      </w:r>
      <w:r>
        <w:rPr>
          <w:rFonts w:cs="Times New Roman"/>
        </w:rPr>
        <w:t xml:space="preserve">, which suggests </w:t>
      </w:r>
      <w:r w:rsidRPr="000B43A3">
        <w:rPr>
          <w:rFonts w:cs="Times New Roman"/>
        </w:rPr>
        <w:t xml:space="preserve">that the principle of universal suffrage can be overridden by </w:t>
      </w:r>
      <w:r>
        <w:rPr>
          <w:rFonts w:cs="Times New Roman"/>
        </w:rPr>
        <w:t>“</w:t>
      </w:r>
      <w:r w:rsidRPr="000B43A3">
        <w:rPr>
          <w:rFonts w:cs="Times New Roman"/>
        </w:rPr>
        <w:t>an individual decision of a court of law</w:t>
      </w:r>
      <w:r>
        <w:rPr>
          <w:rFonts w:cs="Times New Roman"/>
        </w:rPr>
        <w:t>”</w:t>
      </w:r>
      <w:r w:rsidRPr="000B43A3">
        <w:rPr>
          <w:rFonts w:cs="Times New Roman"/>
        </w:rPr>
        <w:t xml:space="preserve"> to deprive a person of the right to vote </w:t>
      </w:r>
      <w:r>
        <w:rPr>
          <w:rFonts w:cs="Times New Roman"/>
        </w:rPr>
        <w:t>“</w:t>
      </w:r>
      <w:r w:rsidRPr="000B43A3">
        <w:rPr>
          <w:rFonts w:cs="Times New Roman"/>
        </w:rPr>
        <w:t xml:space="preserve">because of a </w:t>
      </w:r>
      <w:r>
        <w:rPr>
          <w:rFonts w:cs="Times New Roman"/>
        </w:rPr>
        <w:t xml:space="preserve">proven </w:t>
      </w:r>
      <w:r w:rsidRPr="000B43A3">
        <w:rPr>
          <w:rFonts w:cs="Times New Roman"/>
        </w:rPr>
        <w:t>mental disability</w:t>
      </w:r>
      <w:r>
        <w:rPr>
          <w:rFonts w:cs="Times New Roman"/>
        </w:rPr>
        <w:t>,</w:t>
      </w:r>
      <w:r w:rsidRPr="000B43A3">
        <w:rPr>
          <w:rFonts w:cs="Times New Roman"/>
        </w:rPr>
        <w:t xml:space="preserve">” </w:t>
      </w:r>
      <w:r>
        <w:rPr>
          <w:rFonts w:cs="Times New Roman"/>
        </w:rPr>
        <w:t xml:space="preserve">does not adhere to international </w:t>
      </w:r>
      <w:r>
        <w:rPr>
          <w:rFonts w:cs="Times New Roman"/>
        </w:rPr>
        <w:lastRenderedPageBreak/>
        <w:t xml:space="preserve">standards on universal suffrage nor to the rights of persons with disabilities. The only conclusion can be in favor of recognizing universal suffrage for persons with disabilities, </w:t>
      </w:r>
      <w:bookmarkStart w:id="40" w:name="_GoBack"/>
      <w:bookmarkEnd w:id="40"/>
      <w:r>
        <w:rPr>
          <w:rFonts w:cs="Times New Roman"/>
        </w:rPr>
        <w:t>without exception.</w:t>
      </w:r>
    </w:p>
    <w:sectPr w:rsidR="005447D4" w:rsidRPr="00F91B9E" w:rsidSect="00EE2E2D">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FD" w:rsidRDefault="008C65FD" w:rsidP="007B42F9">
      <w:pPr>
        <w:rPr>
          <w:rFonts w:cs="Times New Roman"/>
        </w:rPr>
      </w:pPr>
      <w:r>
        <w:rPr>
          <w:rFonts w:cs="Times New Roman"/>
        </w:rPr>
        <w:separator/>
      </w:r>
    </w:p>
  </w:endnote>
  <w:endnote w:type="continuationSeparator" w:id="0">
    <w:p w:rsidR="008C65FD" w:rsidRDefault="008C65FD" w:rsidP="007B42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12" w:rsidRDefault="00281D12" w:rsidP="00404C83">
    <w:pPr>
      <w:pStyle w:val="Footer"/>
      <w:framePr w:wrap="auto"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254B20">
      <w:rPr>
        <w:rStyle w:val="PageNumber"/>
        <w:rFonts w:cs="Times New Roman"/>
        <w:noProof/>
      </w:rPr>
      <w:t>13</w:t>
    </w:r>
    <w:r>
      <w:rPr>
        <w:rStyle w:val="PageNumber"/>
        <w:rFonts w:cs="Times New Roman"/>
      </w:rPr>
      <w:fldChar w:fldCharType="end"/>
    </w:r>
  </w:p>
  <w:p w:rsidR="00281D12" w:rsidRDefault="00281D12">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FD" w:rsidRDefault="008C65FD" w:rsidP="007B42F9">
      <w:pPr>
        <w:rPr>
          <w:rFonts w:cs="Times New Roman"/>
        </w:rPr>
      </w:pPr>
      <w:r>
        <w:rPr>
          <w:rFonts w:cs="Times New Roman"/>
        </w:rPr>
        <w:separator/>
      </w:r>
    </w:p>
  </w:footnote>
  <w:footnote w:type="continuationSeparator" w:id="0">
    <w:p w:rsidR="008C65FD" w:rsidRDefault="008C65FD" w:rsidP="007B42F9">
      <w:pPr>
        <w:rPr>
          <w:rFonts w:cs="Times New Roman"/>
        </w:rPr>
      </w:pPr>
      <w:r>
        <w:rPr>
          <w:rFonts w:cs="Times New Roman"/>
        </w:rPr>
        <w:continuationSeparator/>
      </w:r>
    </w:p>
  </w:footnote>
  <w:footnote w:id="1">
    <w:p w:rsidR="00633460" w:rsidRDefault="00633460" w:rsidP="002F7BB8">
      <w:pPr>
        <w:pStyle w:val="FootnoteText"/>
      </w:pPr>
      <w:r>
        <w:rPr>
          <w:rStyle w:val="FootnoteReference"/>
        </w:rPr>
        <w:footnoteRef/>
      </w:r>
      <w:r>
        <w:t xml:space="preserve"> </w:t>
      </w:r>
      <w:hyperlink r:id="rId1" w:history="1">
        <w:r w:rsidRPr="004753FA">
          <w:rPr>
            <w:rStyle w:val="Hyperlink"/>
          </w:rPr>
          <w:t>http://www.soros.org/initiatives/rights-initiatives</w:t>
        </w:r>
      </w:hyperlink>
    </w:p>
  </w:footnote>
  <w:footnote w:id="2">
    <w:p w:rsidR="00AD78FF" w:rsidRDefault="00AD78FF" w:rsidP="00AD78FF">
      <w:pPr>
        <w:pStyle w:val="FootnoteText"/>
        <w:rPr>
          <w:rFonts w:cs="Times New Roman"/>
        </w:rPr>
      </w:pPr>
      <w:r>
        <w:rPr>
          <w:rStyle w:val="FootnoteReference"/>
          <w:rFonts w:cs="Times New Roman"/>
        </w:rPr>
        <w:footnoteRef/>
      </w:r>
      <w:r>
        <w:rPr>
          <w:rFonts w:cs="Times New Roman"/>
        </w:rPr>
        <w:t xml:space="preserve"> European Commission for Democracy Through Law (Venice Commission) in its Interpretative Declaration to the Code of Good Practice in Electoral Matters on the Participation of People with Disabilities in Elections” [CDL-</w:t>
      </w:r>
      <w:proofErr w:type="gramStart"/>
      <w:r>
        <w:rPr>
          <w:rFonts w:cs="Times New Roman"/>
        </w:rPr>
        <w:t>AD(</w:t>
      </w:r>
      <w:proofErr w:type="gramEnd"/>
      <w:r>
        <w:rPr>
          <w:rFonts w:cs="Times New Roman"/>
        </w:rPr>
        <w:t>2010)036].</w:t>
      </w:r>
    </w:p>
  </w:footnote>
  <w:footnote w:id="3">
    <w:p w:rsidR="00281D12" w:rsidRDefault="00281D12" w:rsidP="006D4EF7">
      <w:pPr>
        <w:pStyle w:val="FootnoteText"/>
        <w:rPr>
          <w:rFonts w:cs="Times New Roman"/>
        </w:rPr>
      </w:pPr>
      <w:r>
        <w:rPr>
          <w:rStyle w:val="FootnoteReference"/>
          <w:rFonts w:cs="Times New Roman"/>
        </w:rPr>
        <w:footnoteRef/>
      </w:r>
      <w:r>
        <w:rPr>
          <w:rFonts w:cs="Times New Roman"/>
        </w:rPr>
        <w:t xml:space="preserve"> </w:t>
      </w:r>
      <w:proofErr w:type="gramStart"/>
      <w:r w:rsidRPr="00C07C0D">
        <w:rPr>
          <w:rFonts w:cs="Times New Roman"/>
          <w:i/>
          <w:iCs/>
          <w:lang w:val="en-GB"/>
        </w:rPr>
        <w:t>Kiss v. Hungary</w:t>
      </w:r>
      <w:r w:rsidRPr="009E0FC4">
        <w:rPr>
          <w:rFonts w:cs="Times New Roman"/>
          <w:lang w:val="en-GB"/>
        </w:rPr>
        <w:t>,</w:t>
      </w:r>
      <w:r w:rsidRPr="007B42F9">
        <w:rPr>
          <w:rFonts w:cs="Times New Roman"/>
          <w:lang w:val="en-GB"/>
        </w:rPr>
        <w:t xml:space="preserve"> no. 38832/06</w:t>
      </w:r>
      <w:r>
        <w:rPr>
          <w:rFonts w:cs="Times New Roman"/>
          <w:lang w:val="en-GB"/>
        </w:rPr>
        <w:t>, ECHR</w:t>
      </w:r>
      <w:r w:rsidRPr="007B42F9">
        <w:rPr>
          <w:rFonts w:cs="Times New Roman"/>
          <w:lang w:val="en-GB"/>
        </w:rPr>
        <w:t>, judgment of 20 May 2010</w:t>
      </w:r>
      <w:r>
        <w:rPr>
          <w:rFonts w:cs="Times New Roman"/>
          <w:lang w:val="en-GB"/>
        </w:rPr>
        <w:t xml:space="preserve"> [hereinafter </w:t>
      </w:r>
      <w:r>
        <w:rPr>
          <w:rFonts w:cs="Times New Roman"/>
          <w:i/>
          <w:iCs/>
          <w:lang w:val="en-GB"/>
        </w:rPr>
        <w:t>Kiss Case</w:t>
      </w:r>
      <w:r>
        <w:rPr>
          <w:rFonts w:cs="Times New Roman"/>
          <w:lang w:val="en-GB"/>
        </w:rPr>
        <w:t>].</w:t>
      </w:r>
      <w:proofErr w:type="gramEnd"/>
    </w:p>
  </w:footnote>
  <w:footnote w:id="4">
    <w:p w:rsidR="00281D12" w:rsidRDefault="00281D12" w:rsidP="004F2D1F">
      <w:pPr>
        <w:autoSpaceDE w:val="0"/>
        <w:autoSpaceDN w:val="0"/>
        <w:adjustRightInd w:val="0"/>
        <w:ind w:left="90"/>
        <w:rPr>
          <w:rFonts w:cs="Times New Roman"/>
          <w:sz w:val="20"/>
          <w:szCs w:val="20"/>
        </w:rPr>
      </w:pPr>
      <w:r w:rsidRPr="004F2D1F">
        <w:rPr>
          <w:rStyle w:val="FootnoteReference"/>
          <w:rFonts w:cs="Times New Roman"/>
          <w:sz w:val="20"/>
          <w:szCs w:val="20"/>
        </w:rPr>
        <w:footnoteRef/>
      </w:r>
      <w:r w:rsidRPr="004F2D1F">
        <w:rPr>
          <w:rFonts w:cs="Times New Roman"/>
          <w:sz w:val="20"/>
          <w:szCs w:val="20"/>
        </w:rPr>
        <w:t xml:space="preserve"> </w:t>
      </w:r>
      <w:r>
        <w:rPr>
          <w:rFonts w:cs="Times New Roman"/>
          <w:sz w:val="20"/>
          <w:szCs w:val="20"/>
        </w:rPr>
        <w:t>ICCPR Article 25:</w:t>
      </w:r>
    </w:p>
    <w:p w:rsidR="00281D12" w:rsidRPr="004F2D1F" w:rsidRDefault="00281D12" w:rsidP="004F2D1F">
      <w:pPr>
        <w:tabs>
          <w:tab w:val="left" w:pos="360"/>
        </w:tabs>
        <w:autoSpaceDE w:val="0"/>
        <w:autoSpaceDN w:val="0"/>
        <w:adjustRightInd w:val="0"/>
        <w:ind w:left="360"/>
        <w:rPr>
          <w:rFonts w:cs="Times New Roman"/>
          <w:color w:val="000000"/>
          <w:sz w:val="20"/>
          <w:szCs w:val="20"/>
        </w:rPr>
      </w:pPr>
      <w:r w:rsidRPr="004F2D1F">
        <w:rPr>
          <w:rFonts w:cs="Times New Roman"/>
          <w:color w:val="000000"/>
          <w:sz w:val="20"/>
          <w:szCs w:val="20"/>
        </w:rPr>
        <w:t>Every citizen shall have the right and the opportunity, without any of the distinctions mentioned in article 2 and without unreasonable restrictions:</w:t>
      </w:r>
    </w:p>
    <w:p w:rsidR="00281D12" w:rsidRPr="004F2D1F" w:rsidRDefault="00281D12" w:rsidP="004F2D1F">
      <w:pPr>
        <w:tabs>
          <w:tab w:val="left" w:pos="360"/>
        </w:tabs>
        <w:autoSpaceDE w:val="0"/>
        <w:autoSpaceDN w:val="0"/>
        <w:adjustRightInd w:val="0"/>
        <w:ind w:left="360"/>
        <w:rPr>
          <w:rFonts w:cs="Times New Roman"/>
          <w:color w:val="000000"/>
          <w:sz w:val="20"/>
          <w:szCs w:val="20"/>
        </w:rPr>
      </w:pPr>
      <w:r w:rsidRPr="004F2D1F">
        <w:rPr>
          <w:rFonts w:cs="Times New Roman"/>
          <w:color w:val="000000"/>
          <w:sz w:val="20"/>
          <w:szCs w:val="20"/>
        </w:rPr>
        <w:t>(a) To take part in the conduct of public affairs, directly or through freely chosen representatives;</w:t>
      </w:r>
    </w:p>
    <w:p w:rsidR="00281D12" w:rsidRPr="004F2D1F" w:rsidRDefault="00281D12" w:rsidP="004F2D1F">
      <w:pPr>
        <w:tabs>
          <w:tab w:val="left" w:pos="360"/>
        </w:tabs>
        <w:autoSpaceDE w:val="0"/>
        <w:autoSpaceDN w:val="0"/>
        <w:adjustRightInd w:val="0"/>
        <w:ind w:left="360"/>
        <w:rPr>
          <w:rFonts w:cs="Times New Roman"/>
          <w:color w:val="000000"/>
          <w:sz w:val="20"/>
          <w:szCs w:val="20"/>
        </w:rPr>
      </w:pPr>
      <w:r w:rsidRPr="004F2D1F">
        <w:rPr>
          <w:rFonts w:cs="Times New Roman"/>
          <w:color w:val="000000"/>
          <w:sz w:val="20"/>
          <w:szCs w:val="20"/>
        </w:rPr>
        <w:t>(b) To vote and to be elected at genuine periodic elections which shall be by universal and equal suffrage and shall be held by secret ballot, guaranteeing the free expression of the will of the electors;</w:t>
      </w:r>
    </w:p>
    <w:p w:rsidR="00281D12" w:rsidRPr="004F2D1F" w:rsidRDefault="00281D12" w:rsidP="004F2D1F">
      <w:pPr>
        <w:tabs>
          <w:tab w:val="left" w:pos="360"/>
        </w:tabs>
        <w:autoSpaceDE w:val="0"/>
        <w:autoSpaceDN w:val="0"/>
        <w:adjustRightInd w:val="0"/>
        <w:ind w:left="360"/>
        <w:rPr>
          <w:rFonts w:cs="Times New Roman"/>
          <w:color w:val="000000"/>
          <w:sz w:val="20"/>
          <w:szCs w:val="20"/>
        </w:rPr>
      </w:pPr>
      <w:r w:rsidRPr="004F2D1F">
        <w:rPr>
          <w:rFonts w:cs="Times New Roman"/>
          <w:color w:val="000000"/>
          <w:sz w:val="20"/>
          <w:szCs w:val="20"/>
        </w:rPr>
        <w:t>(c) To have access, on general terms of equality, to public service in his country.</w:t>
      </w:r>
    </w:p>
    <w:p w:rsidR="00281D12" w:rsidRDefault="00281D12" w:rsidP="004F2D1F">
      <w:pPr>
        <w:tabs>
          <w:tab w:val="left" w:pos="360"/>
        </w:tabs>
        <w:autoSpaceDE w:val="0"/>
        <w:autoSpaceDN w:val="0"/>
        <w:adjustRightInd w:val="0"/>
        <w:ind w:left="360"/>
        <w:rPr>
          <w:rFonts w:cs="Times New Roman"/>
        </w:rPr>
      </w:pPr>
    </w:p>
  </w:footnote>
  <w:footnote w:id="5">
    <w:p w:rsidR="00281D12" w:rsidRPr="000267D3" w:rsidRDefault="00281D12" w:rsidP="00DE749E">
      <w:pPr>
        <w:pStyle w:val="FootnoteText"/>
        <w:rPr>
          <w:rFonts w:cs="Times New Roman"/>
          <w:lang w:val="fr-FR"/>
        </w:rPr>
      </w:pPr>
      <w:r>
        <w:rPr>
          <w:rStyle w:val="FootnoteReference"/>
          <w:rFonts w:cs="Times New Roman"/>
        </w:rPr>
        <w:footnoteRef/>
      </w:r>
      <w:r w:rsidRPr="000267D3">
        <w:rPr>
          <w:rFonts w:cs="Times New Roman"/>
          <w:lang w:val="fr-FR"/>
        </w:rPr>
        <w:t xml:space="preserve"> ICCPR, </w:t>
      </w:r>
      <w:r w:rsidRPr="00917D16">
        <w:rPr>
          <w:rFonts w:cs="Times New Roman"/>
          <w:lang w:val="fr-FR"/>
        </w:rPr>
        <w:t>General</w:t>
      </w:r>
      <w:r w:rsidRPr="000267D3">
        <w:rPr>
          <w:rFonts w:cs="Times New Roman"/>
          <w:lang w:val="fr-FR"/>
        </w:rPr>
        <w:t xml:space="preserve"> Comment 25,  </w:t>
      </w:r>
      <w:proofErr w:type="spellStart"/>
      <w:r w:rsidRPr="00917D16">
        <w:rPr>
          <w:rFonts w:cs="Times New Roman"/>
          <w:lang w:val="fr-FR"/>
        </w:rPr>
        <w:t>paragraph</w:t>
      </w:r>
      <w:proofErr w:type="spellEnd"/>
      <w:r w:rsidRPr="000267D3">
        <w:rPr>
          <w:rFonts w:cs="Times New Roman"/>
          <w:lang w:val="fr-FR"/>
        </w:rPr>
        <w:t xml:space="preserve"> 12. </w:t>
      </w:r>
      <w:hyperlink r:id="rId2" w:history="1">
        <w:r w:rsidRPr="000267D3">
          <w:rPr>
            <w:rStyle w:val="Hyperlink"/>
            <w:rFonts w:cs="Times New Roman"/>
            <w:lang w:val="fr-FR"/>
          </w:rPr>
          <w:t>http://www.unhchr.ch/tbs/doc.nsf/0/d0b7f023e8d6d9898025651e004bc0eb?Opendocument</w:t>
        </w:r>
      </w:hyperlink>
    </w:p>
    <w:p w:rsidR="00281D12" w:rsidRDefault="00281D12" w:rsidP="00DE749E">
      <w:pPr>
        <w:pStyle w:val="FootnoteText"/>
        <w:rPr>
          <w:rFonts w:cs="Times New Roman"/>
        </w:rPr>
      </w:pPr>
      <w:r>
        <w:rPr>
          <w:rFonts w:cs="Times New Roman"/>
        </w:rPr>
        <w:t xml:space="preserve">An analysis of the caveats cited in the general comment will be addressed below. </w:t>
      </w:r>
    </w:p>
  </w:footnote>
  <w:footnote w:id="6">
    <w:p w:rsidR="00281D12" w:rsidRDefault="00281D12" w:rsidP="0012658C">
      <w:pPr>
        <w:pStyle w:val="FootnoteText"/>
        <w:rPr>
          <w:rFonts w:cs="Times New Roman"/>
        </w:rPr>
      </w:pPr>
      <w:r>
        <w:rPr>
          <w:rStyle w:val="FootnoteReference"/>
          <w:rFonts w:cs="Times New Roman"/>
        </w:rPr>
        <w:footnoteRef/>
      </w:r>
      <w:r>
        <w:rPr>
          <w:rFonts w:cs="Times New Roman"/>
        </w:rPr>
        <w:t xml:space="preserve"> For an analysis of the situation in European countries mentioned here, </w:t>
      </w:r>
      <w:r w:rsidRPr="00917D16">
        <w:rPr>
          <w:rFonts w:cs="Times New Roman"/>
          <w:i/>
          <w:iCs/>
        </w:rPr>
        <w:t>see</w:t>
      </w:r>
      <w:r>
        <w:rPr>
          <w:rFonts w:cs="Times New Roman"/>
        </w:rPr>
        <w:t xml:space="preserve"> the European Union Agency for Fundamental Rights, “The right to political participation of persons with mental health Problems and persons with intellectual disabilities” (October 2010), pp. 18-22, </w:t>
      </w:r>
      <w:hyperlink r:id="rId3" w:history="1">
        <w:r w:rsidRPr="008005ED">
          <w:rPr>
            <w:rStyle w:val="Hyperlink"/>
            <w:rFonts w:cs="Times New Roman"/>
          </w:rPr>
          <w:t>http://fra.europa.eu/fraWebsite/attachments/Report-vote-disability_EN.pdf</w:t>
        </w:r>
      </w:hyperlink>
      <w:r>
        <w:rPr>
          <w:rFonts w:cs="Times New Roman"/>
        </w:rPr>
        <w:t xml:space="preserve"> [hereinafter, FRA Report].</w:t>
      </w:r>
    </w:p>
  </w:footnote>
  <w:footnote w:id="7">
    <w:p w:rsidR="00281D12" w:rsidRDefault="00281D12" w:rsidP="007C65AB">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i/>
          <w:iCs/>
        </w:rPr>
        <w:t>Ibid</w:t>
      </w:r>
      <w:r>
        <w:rPr>
          <w:rFonts w:cs="Times New Roman"/>
        </w:rPr>
        <w:t xml:space="preserve"> and at </w:t>
      </w:r>
      <w:hyperlink r:id="rId4" w:history="1">
        <w:r w:rsidRPr="008005ED">
          <w:rPr>
            <w:rStyle w:val="Hyperlink"/>
            <w:rFonts w:cs="Times New Roman"/>
          </w:rPr>
          <w:t>http://www.legislation.gov.uk/ukpga/2006/22/section/73</w:t>
        </w:r>
      </w:hyperlink>
      <w:r>
        <w:rPr>
          <w:rFonts w:cs="Times New Roman"/>
        </w:rPr>
        <w:t>.</w:t>
      </w:r>
      <w:proofErr w:type="gramEnd"/>
      <w:r>
        <w:rPr>
          <w:rFonts w:cs="Times New Roman"/>
        </w:rPr>
        <w:t xml:space="preserve"> </w:t>
      </w:r>
    </w:p>
  </w:footnote>
  <w:footnote w:id="8">
    <w:p w:rsidR="00281D12" w:rsidRDefault="00281D12" w:rsidP="00CE1F25">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i/>
          <w:iCs/>
        </w:rPr>
        <w:t>Ibid.</w:t>
      </w:r>
      <w:proofErr w:type="gramEnd"/>
      <w:r>
        <w:rPr>
          <w:rFonts w:cs="Times New Roman"/>
          <w:i/>
          <w:iCs/>
        </w:rPr>
        <w:t xml:space="preserve"> </w:t>
      </w:r>
      <w:r>
        <w:rPr>
          <w:rFonts w:cs="Times New Roman"/>
        </w:rPr>
        <w:t xml:space="preserve">Though Denmark does limit the right of some persons with intellectual or psychosocial disabilities to vote, it also expressly provides for those considered eligible from among that group to vote with assistance. </w:t>
      </w:r>
    </w:p>
  </w:footnote>
  <w:footnote w:id="9">
    <w:p w:rsidR="00281D12" w:rsidRDefault="00281D12" w:rsidP="00117BBC">
      <w:pPr>
        <w:pStyle w:val="FootnoteText"/>
        <w:rPr>
          <w:rFonts w:cs="Times New Roman"/>
        </w:rPr>
      </w:pPr>
      <w:r>
        <w:rPr>
          <w:rStyle w:val="FootnoteReference"/>
          <w:rFonts w:cs="Times New Roman"/>
        </w:rPr>
        <w:footnoteRef/>
      </w:r>
      <w:r>
        <w:rPr>
          <w:rFonts w:cs="Times New Roman"/>
        </w:rPr>
        <w:t xml:space="preserve"> In Israel, a debate is ensuing on this precise question (memo from Advocate </w:t>
      </w:r>
      <w:proofErr w:type="spellStart"/>
      <w:r>
        <w:rPr>
          <w:rFonts w:cs="Times New Roman"/>
        </w:rPr>
        <w:t>Yotam</w:t>
      </w:r>
      <w:proofErr w:type="spellEnd"/>
      <w:r>
        <w:rPr>
          <w:rFonts w:cs="Times New Roman"/>
        </w:rPr>
        <w:t xml:space="preserve"> </w:t>
      </w:r>
      <w:proofErr w:type="spellStart"/>
      <w:r>
        <w:rPr>
          <w:rFonts w:cs="Times New Roman"/>
        </w:rPr>
        <w:t>Tolub</w:t>
      </w:r>
      <w:proofErr w:type="spellEnd"/>
      <w:r>
        <w:rPr>
          <w:rFonts w:cs="Times New Roman"/>
        </w:rPr>
        <w:t xml:space="preserve">, </w:t>
      </w:r>
      <w:proofErr w:type="spellStart"/>
      <w:r>
        <w:rPr>
          <w:rFonts w:cs="Times New Roman"/>
        </w:rPr>
        <w:t>Bizchut</w:t>
      </w:r>
      <w:proofErr w:type="spellEnd"/>
      <w:r>
        <w:rPr>
          <w:rFonts w:cs="Times New Roman"/>
        </w:rPr>
        <w:t xml:space="preserve"> – the Israel Human Rights Center for Persons with Disabilities (July 26, 2011)).</w:t>
      </w:r>
    </w:p>
  </w:footnote>
  <w:footnote w:id="10">
    <w:p w:rsidR="00281D12" w:rsidRDefault="00281D12" w:rsidP="00322AFD">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rPr>
        <w:t>Regulations on Knesset Elections (Voting Procedures and Guidance on Voting in Hospitals and Recognized Institutions), 1996.</w:t>
      </w:r>
      <w:proofErr w:type="gramEnd"/>
    </w:p>
  </w:footnote>
  <w:footnote w:id="11">
    <w:p w:rsidR="00281D12" w:rsidRDefault="00281D12">
      <w:pPr>
        <w:pStyle w:val="FootnoteText"/>
        <w:rPr>
          <w:rFonts w:cs="Times New Roman"/>
        </w:rPr>
      </w:pPr>
      <w:r>
        <w:rPr>
          <w:rStyle w:val="FootnoteReference"/>
          <w:rFonts w:cs="Times New Roman"/>
        </w:rPr>
        <w:footnoteRef/>
      </w:r>
      <w:r w:rsidRPr="00917D16">
        <w:rPr>
          <w:rFonts w:cs="Times New Roman"/>
          <w:lang w:val="pt-BR"/>
        </w:rPr>
        <w:t xml:space="preserve"> </w:t>
      </w:r>
      <w:r w:rsidRPr="00917D16">
        <w:rPr>
          <w:rFonts w:cs="Times New Roman"/>
          <w:lang w:val="pt-BR"/>
        </w:rPr>
        <w:t xml:space="preserve">FRA </w:t>
      </w:r>
      <w:r w:rsidRPr="00917D16">
        <w:rPr>
          <w:rFonts w:cs="Times New Roman"/>
          <w:lang w:val="pt-BR"/>
        </w:rPr>
        <w:t xml:space="preserve">Report,  </w:t>
      </w:r>
      <w:r w:rsidRPr="00917D16">
        <w:rPr>
          <w:rFonts w:cs="Times New Roman"/>
          <w:i/>
          <w:iCs/>
          <w:lang w:val="pt-BR"/>
        </w:rPr>
        <w:t>supra</w:t>
      </w:r>
      <w:r w:rsidRPr="00917D16">
        <w:rPr>
          <w:rFonts w:cs="Times New Roman"/>
          <w:lang w:val="pt-BR"/>
        </w:rPr>
        <w:t xml:space="preserve"> note </w:t>
      </w:r>
      <w:r w:rsidRPr="00917D16">
        <w:rPr>
          <w:rFonts w:cs="Times New Roman"/>
          <w:lang w:val="pt-BR"/>
        </w:rPr>
        <w:fldChar w:fldCharType="begin"/>
      </w:r>
      <w:r w:rsidRPr="00917D16">
        <w:rPr>
          <w:rFonts w:cs="Times New Roman"/>
          <w:lang w:val="pt-BR"/>
        </w:rPr>
        <w:instrText xml:space="preserve"> NOTEREF _Ref302118329 \h </w:instrText>
      </w:r>
      <w:r w:rsidRPr="00917D16">
        <w:rPr>
          <w:rFonts w:cs="Times New Roman"/>
          <w:lang w:val="pt-BR"/>
        </w:rPr>
      </w:r>
      <w:r w:rsidRPr="00917D16">
        <w:rPr>
          <w:rFonts w:cs="Times New Roman"/>
          <w:lang w:val="pt-BR"/>
        </w:rPr>
        <w:fldChar w:fldCharType="separate"/>
      </w:r>
      <w:r w:rsidRPr="00917D16">
        <w:rPr>
          <w:rFonts w:cs="Times New Roman"/>
          <w:lang w:val="pt-BR"/>
        </w:rPr>
        <w:t>5</w:t>
      </w:r>
      <w:r w:rsidRPr="00917D16">
        <w:rPr>
          <w:rFonts w:cs="Times New Roman"/>
          <w:lang w:val="pt-BR"/>
        </w:rPr>
        <w:fldChar w:fldCharType="end"/>
      </w:r>
      <w:r w:rsidRPr="00917D16">
        <w:rPr>
          <w:rFonts w:cs="Times New Roman"/>
          <w:lang w:val="pt-BR"/>
        </w:rPr>
        <w:t>, p. 22.</w:t>
      </w:r>
    </w:p>
  </w:footnote>
  <w:footnote w:id="12">
    <w:p w:rsidR="00281D12" w:rsidRDefault="00281D12" w:rsidP="00B418CE">
      <w:pPr>
        <w:pStyle w:val="FootnoteText"/>
        <w:rPr>
          <w:rFonts w:cs="Times New Roman"/>
        </w:rPr>
      </w:pPr>
      <w:r>
        <w:rPr>
          <w:rStyle w:val="FootnoteReference"/>
          <w:rFonts w:cs="Times New Roman"/>
        </w:rPr>
        <w:footnoteRef/>
      </w:r>
      <w:r>
        <w:rPr>
          <w:rFonts w:cs="Times New Roman"/>
        </w:rPr>
        <w:t xml:space="preserve"> For IFES’ position </w:t>
      </w:r>
      <w:r w:rsidRPr="00917D16">
        <w:rPr>
          <w:rFonts w:cs="Times New Roman"/>
          <w:i/>
          <w:iCs/>
        </w:rPr>
        <w:t>see</w:t>
      </w:r>
      <w:r>
        <w:rPr>
          <w:rFonts w:cs="Times New Roman"/>
        </w:rPr>
        <w:t xml:space="preserve"> </w:t>
      </w:r>
      <w:hyperlink r:id="rId5" w:history="1">
        <w:r w:rsidRPr="00584948">
          <w:rPr>
            <w:rStyle w:val="Hyperlink"/>
            <w:rFonts w:cs="Times New Roman"/>
          </w:rPr>
          <w:t>http://www.ifes.org/Content/Publications/Press-Release/2011/IFES-Accepts-InterAction-Award-for-Disabilities-Work-Expresses-Concern-over-Threats-to-Voting-Rights.aspx</w:t>
        </w:r>
      </w:hyperlink>
      <w:r>
        <w:rPr>
          <w:rFonts w:cs="Times New Roman"/>
        </w:rPr>
        <w:t>.</w:t>
      </w:r>
    </w:p>
  </w:footnote>
  <w:footnote w:id="13">
    <w:p w:rsidR="00281D12" w:rsidRPr="00F40ACF" w:rsidRDefault="00281D12" w:rsidP="00117BBC">
      <w:pPr>
        <w:autoSpaceDE w:val="0"/>
        <w:autoSpaceDN w:val="0"/>
        <w:adjustRightInd w:val="0"/>
        <w:rPr>
          <w:rFonts w:cs="Times New Roman"/>
          <w:sz w:val="20"/>
          <w:szCs w:val="20"/>
        </w:rPr>
      </w:pPr>
      <w:r w:rsidRPr="00F40ACF">
        <w:rPr>
          <w:rStyle w:val="FootnoteReference"/>
          <w:rFonts w:cs="Times New Roman"/>
          <w:sz w:val="20"/>
          <w:szCs w:val="20"/>
        </w:rPr>
        <w:footnoteRef/>
      </w:r>
      <w:r w:rsidRPr="00F40ACF">
        <w:rPr>
          <w:rFonts w:cs="Times New Roman"/>
          <w:sz w:val="20"/>
          <w:szCs w:val="20"/>
        </w:rPr>
        <w:t xml:space="preserve"> </w:t>
      </w:r>
      <w:r>
        <w:rPr>
          <w:rFonts w:cs="Times New Roman"/>
          <w:sz w:val="20"/>
          <w:szCs w:val="20"/>
        </w:rPr>
        <w:t xml:space="preserve">For example: </w:t>
      </w:r>
      <w:r w:rsidRPr="00F40ACF">
        <w:rPr>
          <w:rFonts w:cs="Times New Roman"/>
          <w:sz w:val="20"/>
          <w:szCs w:val="20"/>
        </w:rPr>
        <w:t xml:space="preserve">“My Opinion My Vote,” </w:t>
      </w:r>
      <w:hyperlink r:id="rId6" w:history="1">
        <w:r w:rsidRPr="00F40ACF">
          <w:rPr>
            <w:rStyle w:val="Hyperlink"/>
            <w:rFonts w:cs="Times New Roman"/>
            <w:sz w:val="20"/>
            <w:szCs w:val="20"/>
          </w:rPr>
          <w:t>www.myopinionmyvote.eu</w:t>
        </w:r>
      </w:hyperlink>
      <w:r w:rsidRPr="00F40ACF">
        <w:rPr>
          <w:rFonts w:cs="Times New Roman"/>
          <w:sz w:val="20"/>
          <w:szCs w:val="20"/>
        </w:rPr>
        <w:t>; “Preparing Easy-to-Read Political</w:t>
      </w:r>
    </w:p>
    <w:p w:rsidR="00281D12" w:rsidRDefault="00281D12" w:rsidP="00117BBC">
      <w:pPr>
        <w:autoSpaceDE w:val="0"/>
        <w:autoSpaceDN w:val="0"/>
        <w:adjustRightInd w:val="0"/>
        <w:rPr>
          <w:rFonts w:cs="Times New Roman"/>
        </w:rPr>
      </w:pPr>
      <w:r w:rsidRPr="00F40ACF">
        <w:rPr>
          <w:rFonts w:cs="Times New Roman"/>
          <w:sz w:val="20"/>
          <w:szCs w:val="20"/>
        </w:rPr>
        <w:t>Manifestos</w:t>
      </w:r>
      <w:r>
        <w:rPr>
          <w:rFonts w:cs="Times New Roman"/>
          <w:sz w:val="20"/>
          <w:szCs w:val="20"/>
        </w:rPr>
        <w:t xml:space="preserve"> – </w:t>
      </w:r>
      <w:r w:rsidRPr="00F40ACF">
        <w:rPr>
          <w:rFonts w:cs="Times New Roman"/>
          <w:sz w:val="20"/>
          <w:szCs w:val="20"/>
        </w:rPr>
        <w:t>The Guidelines</w:t>
      </w:r>
      <w:r>
        <w:rPr>
          <w:rFonts w:cs="Times New Roman"/>
          <w:sz w:val="20"/>
          <w:szCs w:val="20"/>
        </w:rPr>
        <w:t xml:space="preserve">,” </w:t>
      </w:r>
      <w:hyperlink r:id="rId7" w:history="1">
        <w:r w:rsidRPr="008005ED">
          <w:rPr>
            <w:rStyle w:val="Hyperlink"/>
            <w:rFonts w:cs="Times New Roman"/>
            <w:sz w:val="20"/>
            <w:szCs w:val="20"/>
          </w:rPr>
          <w:t>http://www.downsyndrome.ie/index.php?option=com_docman&amp;task=doc_download&amp;gid=62&amp;ItemId=204</w:t>
        </w:r>
      </w:hyperlink>
    </w:p>
  </w:footnote>
  <w:footnote w:id="14">
    <w:p w:rsidR="00281D12" w:rsidRDefault="00281D12" w:rsidP="00C92C90">
      <w:pPr>
        <w:pStyle w:val="FootnoteText"/>
        <w:rPr>
          <w:rFonts w:cs="Times New Roman"/>
        </w:rPr>
      </w:pPr>
      <w:r>
        <w:rPr>
          <w:rStyle w:val="FootnoteReference"/>
          <w:rFonts w:cs="Times New Roman"/>
        </w:rPr>
        <w:footnoteRef/>
      </w:r>
      <w:r>
        <w:rPr>
          <w:rFonts w:cs="Times New Roman"/>
        </w:rPr>
        <w:t xml:space="preserve"> </w:t>
      </w:r>
      <w:hyperlink r:id="rId8" w:history="1">
        <w:r w:rsidRPr="008005ED">
          <w:rPr>
            <w:rStyle w:val="Hyperlink"/>
            <w:rFonts w:cs="Times New Roman"/>
          </w:rPr>
          <w:t>http://www.disabilityrightsintl.org/work/country-projects/kosovo/</w:t>
        </w:r>
      </w:hyperlink>
    </w:p>
  </w:footnote>
  <w:footnote w:id="15">
    <w:p w:rsidR="00281D12" w:rsidRDefault="00281D12">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rPr>
        <w:t xml:space="preserve">Thomas </w:t>
      </w:r>
      <w:proofErr w:type="spellStart"/>
      <w:r>
        <w:rPr>
          <w:rFonts w:cs="Times New Roman"/>
        </w:rPr>
        <w:t>Hammarberg</w:t>
      </w:r>
      <w:proofErr w:type="spellEnd"/>
      <w:r>
        <w:rPr>
          <w:rFonts w:cs="Times New Roman"/>
        </w:rPr>
        <w:t xml:space="preserve">, Human Rights Commissioner, the Council of Europe, “Assistance – while retaining rights” (March 22, 2011), </w:t>
      </w:r>
      <w:hyperlink r:id="rId9" w:history="1">
        <w:r w:rsidRPr="008005ED">
          <w:rPr>
            <w:rStyle w:val="Hyperlink"/>
            <w:rFonts w:cs="Times New Roman"/>
          </w:rPr>
          <w:t>http://commissioner.cws.coe.int/tiki-print_blog_post.php?postId=127</w:t>
        </w:r>
      </w:hyperlink>
      <w:r>
        <w:rPr>
          <w:rFonts w:cs="Times New Roman"/>
        </w:rPr>
        <w:t>.</w:t>
      </w:r>
      <w:proofErr w:type="gramEnd"/>
    </w:p>
    <w:p w:rsidR="00281D12" w:rsidRDefault="00281D12">
      <w:pPr>
        <w:pStyle w:val="FootnoteText"/>
        <w:rPr>
          <w:rFonts w:cs="Times New Roman"/>
        </w:rPr>
      </w:pPr>
      <w:r>
        <w:rPr>
          <w:rFonts w:cs="Times New Roman"/>
        </w:rPr>
        <w:t xml:space="preserve"> </w:t>
      </w:r>
    </w:p>
  </w:footnote>
  <w:footnote w:id="16">
    <w:p w:rsidR="00281D12" w:rsidRDefault="00281D12" w:rsidP="00AA1984">
      <w:pPr>
        <w:pStyle w:val="FootnoteText"/>
        <w:rPr>
          <w:rFonts w:cs="Times New Roman"/>
        </w:rPr>
      </w:pPr>
      <w:r>
        <w:rPr>
          <w:rStyle w:val="FootnoteReference"/>
          <w:rFonts w:cs="Times New Roman"/>
        </w:rPr>
        <w:footnoteRef/>
      </w:r>
      <w:r>
        <w:rPr>
          <w:rFonts w:cs="Times New Roman"/>
        </w:rPr>
        <w:t xml:space="preserve"> Such is the case, for example, in Bulgaria, the Czech Republic, Lithuania, Poland, and other countries. </w:t>
      </w:r>
      <w:r w:rsidRPr="00917D16">
        <w:rPr>
          <w:rFonts w:cs="Times New Roman"/>
          <w:i/>
          <w:iCs/>
        </w:rPr>
        <w:t>See</w:t>
      </w:r>
      <w:r>
        <w:rPr>
          <w:rFonts w:cs="Times New Roman"/>
        </w:rPr>
        <w:t xml:space="preserve"> the </w:t>
      </w:r>
      <w:r w:rsidRPr="00AA1984">
        <w:rPr>
          <w:rFonts w:cs="Times New Roman"/>
        </w:rPr>
        <w:t xml:space="preserve">FRA </w:t>
      </w:r>
      <w:proofErr w:type="gramStart"/>
      <w:r w:rsidRPr="00AA1984">
        <w:rPr>
          <w:rFonts w:cs="Times New Roman"/>
        </w:rPr>
        <w:t>Report</w:t>
      </w:r>
      <w:r>
        <w:rPr>
          <w:rFonts w:cs="Times New Roman"/>
        </w:rPr>
        <w:t>,</w:t>
      </w:r>
      <w:proofErr w:type="gramEnd"/>
      <w:r>
        <w:rPr>
          <w:rFonts w:cs="Times New Roman"/>
        </w:rPr>
        <w:t xml:space="preserve"> </w:t>
      </w:r>
      <w:r>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_Ref302118329 \h </w:instrText>
      </w:r>
      <w:r>
        <w:rPr>
          <w:rFonts w:cs="Times New Roman"/>
        </w:rPr>
      </w:r>
      <w:r>
        <w:rPr>
          <w:rFonts w:cs="Times New Roman"/>
        </w:rPr>
        <w:fldChar w:fldCharType="separate"/>
      </w:r>
      <w:r>
        <w:rPr>
          <w:rFonts w:cs="Times New Roman"/>
        </w:rPr>
        <w:t>5</w:t>
      </w:r>
      <w:r>
        <w:rPr>
          <w:rFonts w:cs="Times New Roman"/>
        </w:rPr>
        <w:fldChar w:fldCharType="end"/>
      </w:r>
      <w:r>
        <w:rPr>
          <w:rFonts w:cs="Times New Roman"/>
        </w:rPr>
        <w:t>, pp. 15-16.</w:t>
      </w:r>
    </w:p>
  </w:footnote>
  <w:footnote w:id="17">
    <w:p w:rsidR="00281D12" w:rsidRDefault="00281D12" w:rsidP="00AA1984">
      <w:pPr>
        <w:pStyle w:val="Title"/>
        <w:spacing w:line="240" w:lineRule="auto"/>
        <w:jc w:val="left"/>
        <w:rPr>
          <w:rFonts w:cs="Times New Roman"/>
        </w:rPr>
      </w:pPr>
      <w:r w:rsidRPr="00D34BCE">
        <w:rPr>
          <w:rStyle w:val="FootnoteReference"/>
          <w:rFonts w:ascii="Times New Roman" w:hAnsi="Times New Roman" w:cs="Times New Roman"/>
          <w:b w:val="0"/>
          <w:bCs w:val="0"/>
          <w:sz w:val="20"/>
          <w:szCs w:val="20"/>
        </w:rPr>
        <w:footnoteRef/>
      </w:r>
      <w:r w:rsidRPr="00D34BCE">
        <w:rPr>
          <w:rFonts w:ascii="Times New Roman" w:hAnsi="Times New Roman" w:cs="Times New Roman"/>
          <w:b w:val="0"/>
          <w:bCs w:val="0"/>
          <w:sz w:val="20"/>
          <w:szCs w:val="20"/>
        </w:rPr>
        <w:t xml:space="preserve"> In Croatia, for example, close to 90% of the 17,810 individuals appointed guardians are fully deprived of their legal capacity in the process. </w:t>
      </w:r>
      <w:r w:rsidRPr="00917D16">
        <w:rPr>
          <w:rFonts w:ascii="Times New Roman" w:hAnsi="Times New Roman" w:cs="Times New Roman"/>
          <w:b w:val="0"/>
          <w:bCs w:val="0"/>
          <w:i/>
          <w:iCs/>
          <w:sz w:val="20"/>
          <w:szCs w:val="20"/>
        </w:rPr>
        <w:t>See</w:t>
      </w:r>
      <w:r w:rsidRPr="00D34BCE">
        <w:rPr>
          <w:rFonts w:ascii="Times New Roman" w:hAnsi="Times New Roman" w:cs="Times New Roman"/>
          <w:b w:val="0"/>
          <w:bCs w:val="0"/>
          <w:sz w:val="20"/>
          <w:szCs w:val="20"/>
        </w:rPr>
        <w:t xml:space="preserve"> </w:t>
      </w:r>
      <w:bookmarkStart w:id="1" w:name="_Toc269463075"/>
      <w:bookmarkStart w:id="2" w:name="_Toc269398142"/>
      <w:bookmarkStart w:id="3" w:name="_Toc269293658"/>
      <w:bookmarkStart w:id="4" w:name="_Toc269292110"/>
      <w:bookmarkStart w:id="5" w:name="_Toc269292021"/>
      <w:bookmarkStart w:id="6" w:name="_Toc269291136"/>
      <w:bookmarkStart w:id="7" w:name="_Toc269290958"/>
      <w:bookmarkStart w:id="8" w:name="_Toc269290708"/>
      <w:bookmarkStart w:id="9" w:name="_Toc268871990"/>
      <w:bookmarkStart w:id="10" w:name="_Toc268864562"/>
      <w:bookmarkStart w:id="11" w:name="_Toc268854079"/>
      <w:bookmarkStart w:id="12" w:name="_Toc268074670"/>
      <w:bookmarkStart w:id="13" w:name="_Toc267598756"/>
      <w:bookmarkStart w:id="14" w:name="_Toc267598135"/>
      <w:bookmarkStart w:id="15" w:name="_Toc267580892"/>
      <w:bookmarkStart w:id="16" w:name="_Toc267564573"/>
      <w:bookmarkStart w:id="17" w:name="_Toc267480091"/>
      <w:bookmarkStart w:id="18" w:name="_Toc267479902"/>
      <w:bookmarkStart w:id="19" w:name="_Toc263418454"/>
      <w:bookmarkStart w:id="20" w:name="_Toc261336361"/>
      <w:r w:rsidRPr="00D34BCE">
        <w:rPr>
          <w:rFonts w:ascii="Times New Roman" w:hAnsi="Times New Roman" w:cs="Times New Roman"/>
          <w:b w:val="0"/>
          <w:bCs w:val="0"/>
          <w:sz w:val="20"/>
          <w:szCs w:val="20"/>
        </w:rPr>
        <w:t xml:space="preserve">Human Rights Watch, </w:t>
      </w:r>
      <w:r w:rsidRPr="00D34BCE">
        <w:rPr>
          <w:rFonts w:ascii="Times New Roman" w:hAnsi="Times New Roman" w:cs="Times New Roman"/>
          <w:b w:val="0"/>
          <w:bCs w:val="0"/>
          <w:i/>
          <w:iCs/>
          <w:sz w:val="20"/>
          <w:szCs w:val="20"/>
        </w:rPr>
        <w:t>“Once You Enter, You Never Leave”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D34BCE">
        <w:rPr>
          <w:rFonts w:ascii="Times New Roman" w:hAnsi="Times New Roman" w:cs="Times New Roman"/>
          <w:b w:val="0"/>
          <w:bCs w:val="0"/>
          <w:i/>
          <w:iCs/>
          <w:sz w:val="20"/>
          <w:szCs w:val="20"/>
        </w:rPr>
        <w:t xml:space="preserve"> – </w:t>
      </w:r>
      <w:bookmarkStart w:id="21" w:name="_Toc268864563"/>
      <w:bookmarkStart w:id="22" w:name="_Toc269463076"/>
      <w:bookmarkStart w:id="23" w:name="_Toc269398143"/>
      <w:bookmarkStart w:id="24" w:name="_Toc269293659"/>
      <w:bookmarkStart w:id="25" w:name="_Toc269292111"/>
      <w:bookmarkStart w:id="26" w:name="_Toc269292022"/>
      <w:bookmarkStart w:id="27" w:name="_Toc269291137"/>
      <w:bookmarkStart w:id="28" w:name="_Toc269290959"/>
      <w:bookmarkStart w:id="29" w:name="_Toc269290709"/>
      <w:bookmarkStart w:id="30" w:name="_Toc268074671"/>
      <w:bookmarkStart w:id="31" w:name="_Toc267598757"/>
      <w:bookmarkStart w:id="32" w:name="_Toc267598136"/>
      <w:bookmarkStart w:id="33" w:name="_Toc267580893"/>
      <w:bookmarkStart w:id="34" w:name="_Toc267564574"/>
      <w:bookmarkStart w:id="35" w:name="_Toc267480092"/>
      <w:bookmarkStart w:id="36" w:name="_Toc267479903"/>
      <w:bookmarkStart w:id="37" w:name="_Toc263418455"/>
      <w:bookmarkStart w:id="38" w:name="_Toc261336362"/>
      <w:r w:rsidRPr="00D34BCE">
        <w:rPr>
          <w:rFonts w:ascii="Times New Roman" w:hAnsi="Times New Roman" w:cs="Times New Roman"/>
          <w:b w:val="0"/>
          <w:bCs w:val="0"/>
          <w:i/>
          <w:iCs/>
          <w:sz w:val="20"/>
          <w:szCs w:val="20"/>
        </w:rPr>
        <w:t>Deinstitutionalization of Persons with Intellectual or Mental Disabilities</w:t>
      </w:r>
      <w:bookmarkEnd w:id="21"/>
      <w:r w:rsidRPr="00D34BCE">
        <w:rPr>
          <w:rFonts w:ascii="Times New Roman" w:hAnsi="Times New Roman" w:cs="Times New Roman"/>
          <w:b w:val="0"/>
          <w:bCs w:val="0"/>
          <w:i/>
          <w:iCs/>
          <w:sz w:val="20"/>
          <w:szCs w:val="20"/>
        </w:rPr>
        <w:t xml:space="preserve"> in Croatia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D34BCE">
        <w:rPr>
          <w:rFonts w:ascii="Times New Roman" w:hAnsi="Times New Roman" w:cs="Times New Roman"/>
          <w:b w:val="0"/>
          <w:bCs w:val="0"/>
          <w:sz w:val="20"/>
          <w:szCs w:val="20"/>
        </w:rPr>
        <w:t>, Report (September 2010), near footnote 100.</w:t>
      </w:r>
      <w:r>
        <w:rPr>
          <w:rFonts w:ascii="Times New Roman" w:hAnsi="Times New Roman" w:cs="Times New Roman"/>
          <w:b w:val="0"/>
          <w:bCs w:val="0"/>
          <w:sz w:val="20"/>
          <w:szCs w:val="20"/>
        </w:rPr>
        <w:t xml:space="preserve"> </w:t>
      </w:r>
    </w:p>
  </w:footnote>
  <w:footnote w:id="18">
    <w:p w:rsidR="00281D12" w:rsidRDefault="00281D12" w:rsidP="009E0FC4">
      <w:pPr>
        <w:pStyle w:val="FootnoteText"/>
        <w:rPr>
          <w:rFonts w:cs="Times New Roman"/>
        </w:rPr>
      </w:pPr>
      <w:r>
        <w:rPr>
          <w:rStyle w:val="FootnoteReference"/>
          <w:rFonts w:cs="Times New Roman"/>
        </w:rPr>
        <w:footnoteRef/>
      </w:r>
      <w:r>
        <w:rPr>
          <w:rFonts w:cs="Times New Roman"/>
        </w:rPr>
        <w:t xml:space="preserve"> </w:t>
      </w:r>
      <w:proofErr w:type="spellStart"/>
      <w:proofErr w:type="gramStart"/>
      <w:r>
        <w:rPr>
          <w:rFonts w:cs="Times New Roman"/>
          <w:i/>
          <w:iCs/>
        </w:rPr>
        <w:t>Shtukaturov</w:t>
      </w:r>
      <w:proofErr w:type="spellEnd"/>
      <w:r>
        <w:rPr>
          <w:rFonts w:cs="Times New Roman"/>
          <w:i/>
          <w:iCs/>
        </w:rPr>
        <w:t xml:space="preserve"> v. Russia</w:t>
      </w:r>
      <w:r w:rsidRPr="009E0FC4">
        <w:rPr>
          <w:rFonts w:cs="Times New Roman"/>
        </w:rPr>
        <w:t xml:space="preserve">, </w:t>
      </w:r>
      <w:r w:rsidRPr="009E0FC4">
        <w:rPr>
          <w:rStyle w:val="apple-style-span"/>
          <w:rFonts w:cs="Times New Roman"/>
        </w:rPr>
        <w:t>(no. 44009/05)</w:t>
      </w:r>
      <w:r>
        <w:rPr>
          <w:rStyle w:val="apple-style-span"/>
          <w:rFonts w:cs="Times New Roman"/>
        </w:rPr>
        <w:t>, ECHR, judgment of</w:t>
      </w:r>
      <w:r w:rsidRPr="009E0FC4">
        <w:rPr>
          <w:rStyle w:val="apple-style-span"/>
          <w:rFonts w:cs="Times New Roman"/>
        </w:rPr>
        <w:t xml:space="preserve"> 27 March 2008</w:t>
      </w:r>
      <w:r>
        <w:rPr>
          <w:rStyle w:val="apple-style-span"/>
          <w:rFonts w:cs="Times New Roman"/>
        </w:rPr>
        <w:t xml:space="preserve">, </w:t>
      </w:r>
      <w:proofErr w:type="spellStart"/>
      <w:r>
        <w:rPr>
          <w:rStyle w:val="apple-style-span"/>
          <w:rFonts w:cs="Times New Roman"/>
        </w:rPr>
        <w:t>paras</w:t>
      </w:r>
      <w:proofErr w:type="spellEnd"/>
      <w:r>
        <w:rPr>
          <w:rStyle w:val="apple-style-span"/>
          <w:rFonts w:cs="Times New Roman"/>
        </w:rPr>
        <w:t>.</w:t>
      </w:r>
      <w:proofErr w:type="gramEnd"/>
      <w:r>
        <w:rPr>
          <w:rStyle w:val="apple-style-span"/>
          <w:rFonts w:cs="Times New Roman"/>
        </w:rPr>
        <w:t xml:space="preserve"> 77-96.</w:t>
      </w:r>
    </w:p>
  </w:footnote>
  <w:footnote w:id="19">
    <w:p w:rsidR="00281D12" w:rsidRDefault="00281D12" w:rsidP="00B62680">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rPr>
        <w:t>For example in Bulgaria, Greece, Lithuania, Luxembourg, Malta.</w:t>
      </w:r>
      <w:proofErr w:type="gramEnd"/>
      <w:r>
        <w:rPr>
          <w:rFonts w:cs="Times New Roman"/>
        </w:rPr>
        <w:t xml:space="preserve"> </w:t>
      </w:r>
      <w:r w:rsidRPr="00917D16">
        <w:rPr>
          <w:rFonts w:cs="Times New Roman"/>
          <w:i/>
          <w:iCs/>
        </w:rPr>
        <w:t>See</w:t>
      </w:r>
      <w:r>
        <w:rPr>
          <w:rFonts w:cs="Times New Roman"/>
        </w:rPr>
        <w:t xml:space="preserve"> FRA </w:t>
      </w:r>
      <w:proofErr w:type="gramStart"/>
      <w:r>
        <w:rPr>
          <w:rFonts w:cs="Times New Roman"/>
        </w:rPr>
        <w:t>Report,</w:t>
      </w:r>
      <w:proofErr w:type="gramEnd"/>
      <w:r>
        <w:rPr>
          <w:rFonts w:cs="Times New Roman"/>
        </w:rPr>
        <w:t xml:space="preserve"> </w:t>
      </w:r>
      <w:r>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_Ref302118329 \h </w:instrText>
      </w:r>
      <w:r>
        <w:rPr>
          <w:rFonts w:cs="Times New Roman"/>
        </w:rPr>
      </w:r>
      <w:r>
        <w:rPr>
          <w:rFonts w:cs="Times New Roman"/>
        </w:rPr>
        <w:fldChar w:fldCharType="separate"/>
      </w:r>
      <w:r>
        <w:rPr>
          <w:rFonts w:cs="Times New Roman"/>
        </w:rPr>
        <w:t>5</w:t>
      </w:r>
      <w:r>
        <w:rPr>
          <w:rFonts w:cs="Times New Roman"/>
        </w:rPr>
        <w:fldChar w:fldCharType="end"/>
      </w:r>
      <w:r>
        <w:rPr>
          <w:rFonts w:cs="Times New Roman"/>
        </w:rPr>
        <w:t>, p. 15.</w:t>
      </w:r>
    </w:p>
  </w:footnote>
  <w:footnote w:id="20">
    <w:p w:rsidR="00281D12" w:rsidRDefault="00281D12" w:rsidP="00C15F2C">
      <w:pPr>
        <w:autoSpaceDE w:val="0"/>
        <w:autoSpaceDN w:val="0"/>
        <w:adjustRightInd w:val="0"/>
        <w:rPr>
          <w:rFonts w:cs="Times New Roman"/>
        </w:rPr>
      </w:pPr>
      <w:r w:rsidRPr="00A94ACD">
        <w:rPr>
          <w:rStyle w:val="FootnoteReference"/>
          <w:rFonts w:cs="Times New Roman"/>
          <w:sz w:val="20"/>
          <w:szCs w:val="20"/>
        </w:rPr>
        <w:footnoteRef/>
      </w:r>
      <w:r w:rsidRPr="00A94ACD">
        <w:rPr>
          <w:rFonts w:cs="Times New Roman"/>
          <w:sz w:val="20"/>
          <w:szCs w:val="20"/>
        </w:rPr>
        <w:t xml:space="preserve"> Similar to </w:t>
      </w:r>
      <w:r w:rsidRPr="00A94ACD">
        <w:rPr>
          <w:rFonts w:cs="Times New Roman"/>
          <w:i/>
          <w:iCs/>
          <w:sz w:val="20"/>
          <w:szCs w:val="20"/>
        </w:rPr>
        <w:t xml:space="preserve">Kiss </w:t>
      </w:r>
      <w:r>
        <w:rPr>
          <w:rFonts w:cs="Times New Roman"/>
          <w:i/>
          <w:iCs/>
          <w:sz w:val="20"/>
          <w:szCs w:val="20"/>
        </w:rPr>
        <w:t>Case</w:t>
      </w:r>
      <w:r w:rsidRPr="00A94ACD">
        <w:rPr>
          <w:rFonts w:cs="Times New Roman"/>
          <w:i/>
          <w:iCs/>
          <w:sz w:val="20"/>
          <w:szCs w:val="20"/>
        </w:rPr>
        <w:t>,</w:t>
      </w:r>
      <w:r>
        <w:rPr>
          <w:rFonts w:cs="Times New Roman"/>
          <w:i/>
          <w:iCs/>
          <w:sz w:val="20"/>
          <w:szCs w:val="20"/>
        </w:rPr>
        <w:t xml:space="preserve"> supra </w:t>
      </w:r>
      <w:r>
        <w:rPr>
          <w:rFonts w:cs="Times New Roman"/>
          <w:sz w:val="20"/>
          <w:szCs w:val="20"/>
        </w:rPr>
        <w:t xml:space="preserve">note </w:t>
      </w:r>
      <w:r>
        <w:rPr>
          <w:rFonts w:cs="Times New Roman"/>
          <w:sz w:val="20"/>
          <w:szCs w:val="20"/>
        </w:rPr>
        <w:fldChar w:fldCharType="begin"/>
      </w:r>
      <w:r>
        <w:rPr>
          <w:rFonts w:cs="Times New Roman"/>
          <w:sz w:val="20"/>
          <w:szCs w:val="20"/>
        </w:rPr>
        <w:instrText xml:space="preserve"> NOTEREF _Ref302118695 \h </w:instrText>
      </w:r>
      <w:r>
        <w:rPr>
          <w:rFonts w:cs="Times New Roman"/>
          <w:sz w:val="20"/>
          <w:szCs w:val="20"/>
        </w:rPr>
      </w:r>
      <w:r>
        <w:rPr>
          <w:rFonts w:cs="Times New Roman"/>
          <w:sz w:val="20"/>
          <w:szCs w:val="20"/>
        </w:rPr>
        <w:fldChar w:fldCharType="separate"/>
      </w:r>
      <w:r>
        <w:rPr>
          <w:rFonts w:cs="Times New Roman"/>
          <w:sz w:val="20"/>
          <w:szCs w:val="20"/>
        </w:rPr>
        <w:t>25</w:t>
      </w:r>
      <w:r>
        <w:rPr>
          <w:rFonts w:cs="Times New Roman"/>
          <w:sz w:val="20"/>
          <w:szCs w:val="20"/>
        </w:rPr>
        <w:fldChar w:fldCharType="end"/>
      </w:r>
      <w:r>
        <w:rPr>
          <w:rFonts w:cs="Times New Roman"/>
          <w:sz w:val="20"/>
          <w:szCs w:val="20"/>
        </w:rPr>
        <w:t>;</w:t>
      </w:r>
      <w:r w:rsidRPr="00A94ACD">
        <w:rPr>
          <w:rFonts w:cs="Times New Roman"/>
          <w:i/>
          <w:iCs/>
          <w:sz w:val="20"/>
          <w:szCs w:val="20"/>
        </w:rPr>
        <w:t xml:space="preserve"> </w:t>
      </w:r>
      <w:proofErr w:type="spellStart"/>
      <w:r w:rsidRPr="00A94ACD">
        <w:rPr>
          <w:rFonts w:cs="Times New Roman"/>
          <w:i/>
          <w:iCs/>
          <w:sz w:val="20"/>
          <w:szCs w:val="20"/>
        </w:rPr>
        <w:t>Hlavac</w:t>
      </w:r>
      <w:proofErr w:type="spellEnd"/>
      <w:r w:rsidRPr="00A94ACD">
        <w:rPr>
          <w:rFonts w:cs="Times New Roman"/>
          <w:i/>
          <w:iCs/>
          <w:sz w:val="20"/>
          <w:szCs w:val="20"/>
        </w:rPr>
        <w:t xml:space="preserve"> Tomas and </w:t>
      </w:r>
      <w:proofErr w:type="spellStart"/>
      <w:r w:rsidRPr="00A94ACD">
        <w:rPr>
          <w:rFonts w:cs="Times New Roman"/>
          <w:i/>
          <w:iCs/>
          <w:sz w:val="20"/>
          <w:szCs w:val="20"/>
        </w:rPr>
        <w:t>Soldan</w:t>
      </w:r>
      <w:proofErr w:type="spellEnd"/>
      <w:r w:rsidRPr="00A94ACD">
        <w:rPr>
          <w:rFonts w:cs="Times New Roman"/>
          <w:sz w:val="20"/>
          <w:szCs w:val="20"/>
        </w:rPr>
        <w:t xml:space="preserve"> </w:t>
      </w:r>
      <w:r w:rsidRPr="00A94ACD">
        <w:rPr>
          <w:rFonts w:cs="Times New Roman"/>
          <w:i/>
          <w:iCs/>
          <w:sz w:val="20"/>
          <w:szCs w:val="20"/>
        </w:rPr>
        <w:t>Jiri</w:t>
      </w:r>
      <w:r w:rsidRPr="00A94ACD">
        <w:rPr>
          <w:rFonts w:cs="Times New Roman"/>
          <w:sz w:val="20"/>
          <w:szCs w:val="20"/>
        </w:rPr>
        <w:t xml:space="preserve">, </w:t>
      </w:r>
      <w:proofErr w:type="gramStart"/>
      <w:r w:rsidRPr="00A94ACD">
        <w:rPr>
          <w:rFonts w:cs="Times New Roman"/>
          <w:sz w:val="20"/>
          <w:szCs w:val="20"/>
        </w:rPr>
        <w:t>Cases  No</w:t>
      </w:r>
      <w:proofErr w:type="gramEnd"/>
      <w:r w:rsidRPr="00A94ACD">
        <w:rPr>
          <w:rFonts w:cs="Times New Roman"/>
          <w:sz w:val="20"/>
          <w:szCs w:val="20"/>
        </w:rPr>
        <w:t>. IV US 3073/08 and 3102/08</w:t>
      </w:r>
      <w:r>
        <w:rPr>
          <w:rFonts w:cs="Times New Roman"/>
          <w:sz w:val="20"/>
          <w:szCs w:val="20"/>
        </w:rPr>
        <w:t>,</w:t>
      </w:r>
      <w:r w:rsidRPr="00A94ACD">
        <w:rPr>
          <w:rFonts w:cs="Times New Roman"/>
          <w:sz w:val="20"/>
          <w:szCs w:val="20"/>
        </w:rPr>
        <w:t xml:space="preserve"> </w:t>
      </w:r>
      <w:r>
        <w:rPr>
          <w:rFonts w:cs="Times New Roman"/>
          <w:sz w:val="20"/>
          <w:szCs w:val="20"/>
        </w:rPr>
        <w:t xml:space="preserve">submitted to </w:t>
      </w:r>
      <w:r w:rsidRPr="00A94ACD">
        <w:rPr>
          <w:rFonts w:cs="Times New Roman"/>
          <w:sz w:val="20"/>
          <w:szCs w:val="20"/>
        </w:rPr>
        <w:t>the Constitutional Court of the Czech Republic</w:t>
      </w:r>
      <w:r>
        <w:rPr>
          <w:rFonts w:cs="Times New Roman"/>
          <w:sz w:val="20"/>
          <w:szCs w:val="20"/>
        </w:rPr>
        <w:t>,</w:t>
      </w:r>
      <w:r w:rsidRPr="00A94ACD">
        <w:rPr>
          <w:rFonts w:cs="Times New Roman"/>
          <w:sz w:val="20"/>
          <w:szCs w:val="20"/>
        </w:rPr>
        <w:t xml:space="preserve"> challenged the blanket ban on the right to vote that follows automatically from the deprivation of legal capacity.  </w:t>
      </w:r>
      <w:r>
        <w:rPr>
          <w:rFonts w:cs="Times New Roman"/>
          <w:sz w:val="20"/>
          <w:szCs w:val="20"/>
        </w:rPr>
        <w:t>Case No. 3102/08 has been decided (2010) similarly as well</w:t>
      </w:r>
      <w:r w:rsidRPr="00A94ACD">
        <w:rPr>
          <w:rFonts w:cs="Times New Roman"/>
          <w:sz w:val="20"/>
          <w:szCs w:val="20"/>
        </w:rPr>
        <w:t xml:space="preserve">: though the process of depriving one of legal capacity is maintained, the automatic link between a finding of limited legal capacity and an incapacity to vote was found unsustainable. </w:t>
      </w:r>
      <w:r>
        <w:rPr>
          <w:rFonts w:cs="Times New Roman"/>
          <w:sz w:val="20"/>
          <w:szCs w:val="20"/>
        </w:rPr>
        <w:t>Case No. 3073/08 is still pending.</w:t>
      </w:r>
      <w:r w:rsidRPr="00A94ACD">
        <w:rPr>
          <w:rFonts w:cs="Times New Roman"/>
          <w:sz w:val="20"/>
          <w:szCs w:val="20"/>
        </w:rPr>
        <w:t xml:space="preserve">  </w:t>
      </w:r>
      <w:r w:rsidRPr="00917D16">
        <w:rPr>
          <w:rFonts w:cs="Times New Roman"/>
          <w:i/>
          <w:iCs/>
          <w:sz w:val="20"/>
          <w:szCs w:val="20"/>
        </w:rPr>
        <w:t>See</w:t>
      </w:r>
      <w:r w:rsidRPr="00A94ACD">
        <w:rPr>
          <w:rFonts w:cs="Times New Roman"/>
          <w:sz w:val="20"/>
          <w:szCs w:val="20"/>
        </w:rPr>
        <w:t xml:space="preserve"> FRA Report,</w:t>
      </w:r>
      <w:r>
        <w:rPr>
          <w:rFonts w:cs="Times New Roman"/>
          <w:sz w:val="20"/>
          <w:szCs w:val="20"/>
        </w:rPr>
        <w:t xml:space="preserve"> </w:t>
      </w:r>
      <w:r>
        <w:rPr>
          <w:rFonts w:cs="Times New Roman"/>
          <w:i/>
          <w:iCs/>
          <w:sz w:val="20"/>
          <w:szCs w:val="20"/>
        </w:rPr>
        <w:t>Ibid.</w:t>
      </w:r>
      <w:r w:rsidRPr="00A94ACD">
        <w:rPr>
          <w:rFonts w:cs="Times New Roman"/>
          <w:sz w:val="20"/>
          <w:szCs w:val="20"/>
        </w:rPr>
        <w:t xml:space="preserve"> p. 18.</w:t>
      </w:r>
    </w:p>
  </w:footnote>
  <w:footnote w:id="21">
    <w:p w:rsidR="00281D12" w:rsidRDefault="00281D12">
      <w:pPr>
        <w:pStyle w:val="FootnoteText"/>
        <w:rPr>
          <w:rFonts w:cs="Times New Roman"/>
        </w:rPr>
      </w:pPr>
      <w:r>
        <w:rPr>
          <w:rStyle w:val="FootnoteReference"/>
          <w:rFonts w:cs="Times New Roman"/>
        </w:rPr>
        <w:footnoteRef/>
      </w:r>
      <w:r>
        <w:rPr>
          <w:rFonts w:cs="Times New Roman"/>
        </w:rPr>
        <w:t xml:space="preserve"> As suggested, for example, by General Comment No. 25 (paragraph 4) on the ICCPR and in </w:t>
      </w:r>
      <w:r>
        <w:rPr>
          <w:rFonts w:cs="Times New Roman"/>
          <w:i/>
          <w:iCs/>
        </w:rPr>
        <w:t>Kiss v. Hungary</w:t>
      </w:r>
      <w:r>
        <w:rPr>
          <w:rFonts w:cs="Times New Roman"/>
        </w:rPr>
        <w:t>.</w:t>
      </w:r>
    </w:p>
  </w:footnote>
  <w:footnote w:id="22">
    <w:p w:rsidR="00281D12" w:rsidRDefault="00281D12" w:rsidP="00E03C53">
      <w:pPr>
        <w:pStyle w:val="FootnoteText"/>
        <w:rPr>
          <w:rFonts w:cs="Times New Roman"/>
        </w:rPr>
      </w:pPr>
      <w:r>
        <w:rPr>
          <w:rStyle w:val="FootnoteReference"/>
          <w:rFonts w:cs="Times New Roman"/>
        </w:rPr>
        <w:footnoteRef/>
      </w:r>
      <w:r>
        <w:rPr>
          <w:rFonts w:cs="Times New Roman"/>
        </w:rPr>
        <w:t xml:space="preserve"> </w:t>
      </w:r>
      <w:r w:rsidRPr="00917D16">
        <w:rPr>
          <w:rFonts w:cs="Times New Roman"/>
          <w:i/>
          <w:iCs/>
        </w:rPr>
        <w:t>See</w:t>
      </w:r>
      <w:r>
        <w:rPr>
          <w:rFonts w:cs="Times New Roman"/>
        </w:rPr>
        <w:t xml:space="preserve"> “</w:t>
      </w:r>
      <w:r w:rsidRPr="007B6406">
        <w:rPr>
          <w:rFonts w:cs="Times New Roman"/>
        </w:rPr>
        <w:t>Thematic Study by the Office of the United Nations High Commissioner</w:t>
      </w:r>
      <w:r>
        <w:rPr>
          <w:rFonts w:cs="Times New Roman"/>
        </w:rPr>
        <w:t xml:space="preserve">  </w:t>
      </w:r>
      <w:r w:rsidRPr="007B6406">
        <w:rPr>
          <w:rFonts w:cs="Times New Roman"/>
        </w:rPr>
        <w:t>for Human Rights on enhancing awareness and understanding of the</w:t>
      </w:r>
      <w:r>
        <w:rPr>
          <w:rFonts w:cs="Times New Roman"/>
        </w:rPr>
        <w:t xml:space="preserve"> C</w:t>
      </w:r>
      <w:r w:rsidRPr="007B6406">
        <w:rPr>
          <w:rFonts w:cs="Times New Roman"/>
        </w:rPr>
        <w:t>onvention on the Rights of Persons with Disabilities</w:t>
      </w:r>
      <w:r>
        <w:rPr>
          <w:rFonts w:cs="Times New Roman"/>
        </w:rPr>
        <w:t>” presented to the Human Rights C</w:t>
      </w:r>
      <w:r w:rsidR="002D4B8A">
        <w:rPr>
          <w:rFonts w:cs="Times New Roman"/>
        </w:rPr>
        <w:t>ouncil (January 2009), paragraphs</w:t>
      </w:r>
      <w:r>
        <w:rPr>
          <w:rFonts w:cs="Times New Roman"/>
        </w:rPr>
        <w:t xml:space="preserve"> 43-46, </w:t>
      </w:r>
      <w:hyperlink r:id="rId10" w:history="1">
        <w:r w:rsidRPr="004B3F58">
          <w:rPr>
            <w:rStyle w:val="Hyperlink"/>
            <w:rFonts w:cs="Times New Roman"/>
          </w:rPr>
          <w:t>http://www.un.org/disabilities/documents/reports/ohchr/A.HRC.10.48AEV.pdf</w:t>
        </w:r>
      </w:hyperlink>
      <w:r>
        <w:rPr>
          <w:rFonts w:cs="Times New Roman"/>
        </w:rPr>
        <w:t xml:space="preserve">; </w:t>
      </w:r>
      <w:r>
        <w:rPr>
          <w:rFonts w:cs="Times New Roman"/>
          <w:i/>
          <w:iCs/>
        </w:rPr>
        <w:t xml:space="preserve"> </w:t>
      </w:r>
      <w:r>
        <w:rPr>
          <w:rFonts w:cs="Times New Roman"/>
        </w:rPr>
        <w:t xml:space="preserve">and “Legal Opinion on Article 12 of the CRPD” by academics and civil society experts and advocates, at </w:t>
      </w:r>
      <w:hyperlink r:id="rId11" w:history="1">
        <w:r w:rsidRPr="008E1821">
          <w:rPr>
            <w:rStyle w:val="Hyperlink"/>
            <w:rFonts w:cs="Times New Roman"/>
          </w:rPr>
          <w:t>http://www.internationaldisabilityalliance.org/representation/legal-capacity-working-group/</w:t>
        </w:r>
      </w:hyperlink>
      <w:r>
        <w:rPr>
          <w:rFonts w:cs="Times New Roman"/>
        </w:rPr>
        <w:t>.</w:t>
      </w:r>
    </w:p>
  </w:footnote>
  <w:footnote w:id="23">
    <w:p w:rsidR="00281D12" w:rsidRDefault="00281D12" w:rsidP="00356500">
      <w:pPr>
        <w:pStyle w:val="FootnoteText"/>
        <w:rPr>
          <w:rFonts w:cs="Times New Roman"/>
        </w:rPr>
      </w:pPr>
      <w:r>
        <w:rPr>
          <w:rStyle w:val="FootnoteReference"/>
          <w:rFonts w:cs="Times New Roman"/>
        </w:rPr>
        <w:footnoteRef/>
      </w:r>
      <w:r>
        <w:rPr>
          <w:rFonts w:cs="Times New Roman"/>
        </w:rPr>
        <w:t xml:space="preserve"> The one exception has to do with life-threatening situations which may warrant urgent medical intervention against a person’s express wish. As long as the test is disability-neutral and universally applied, such intervention is different in nature than a disability-based intervention.</w:t>
      </w:r>
    </w:p>
  </w:footnote>
  <w:footnote w:id="24">
    <w:p w:rsidR="00281D12" w:rsidRDefault="00281D12" w:rsidP="00356500">
      <w:pPr>
        <w:pStyle w:val="FootnoteText"/>
        <w:rPr>
          <w:rFonts w:cs="Times New Roman"/>
        </w:rPr>
      </w:pPr>
      <w:r>
        <w:rPr>
          <w:rStyle w:val="FootnoteReference"/>
          <w:rFonts w:cs="Times New Roman"/>
        </w:rPr>
        <w:footnoteRef/>
      </w:r>
      <w:r>
        <w:rPr>
          <w:rFonts w:cs="Times New Roman"/>
        </w:rPr>
        <w:t xml:space="preserve"> Such are the grounds for appointing guardians, limiting legal capacity or intervening in matters of institutionalization or treatment in Australia, Germany, the UK, Israel, and other countries.</w:t>
      </w:r>
    </w:p>
  </w:footnote>
  <w:footnote w:id="25">
    <w:p w:rsidR="00281D12" w:rsidRDefault="00281D12" w:rsidP="00A84E60">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rPr>
        <w:t>ICCPR Article 25; ECHR Article 3 of Protocol 1; CRPD Article 29.</w:t>
      </w:r>
      <w:proofErr w:type="gramEnd"/>
    </w:p>
  </w:footnote>
  <w:footnote w:id="26">
    <w:p w:rsidR="00281D12" w:rsidRDefault="00281D12" w:rsidP="00A84E60">
      <w:pPr>
        <w:pStyle w:val="FootnoteText"/>
        <w:rPr>
          <w:rFonts w:cs="Times New Roman"/>
        </w:rPr>
      </w:pPr>
      <w:r>
        <w:rPr>
          <w:rStyle w:val="FootnoteReference"/>
          <w:rFonts w:cs="Times New Roman"/>
        </w:rPr>
        <w:footnoteRef/>
      </w:r>
      <w:r>
        <w:rPr>
          <w:rFonts w:cs="Times New Roman"/>
        </w:rPr>
        <w:t xml:space="preserve"> “Article 3 of Protocol No. 1 appears at first sight to differ from the other rights guaranteed in the Convention…as it is phrased in terms of the obligation of the High Contracting Party to hold elections which ensure the free expression of the opinion of the people rather than in terms of a particular right or freedom… Indeed, it was considered that the unique phrasing was intended to give greater solemnity to…States’ commitment and to </w:t>
      </w:r>
      <w:proofErr w:type="spellStart"/>
      <w:r>
        <w:rPr>
          <w:rFonts w:cs="Times New Roman"/>
        </w:rPr>
        <w:t>emphasise</w:t>
      </w:r>
      <w:proofErr w:type="spellEnd"/>
      <w:r>
        <w:rPr>
          <w:rFonts w:cs="Times New Roman"/>
        </w:rPr>
        <w:t xml:space="preserve"> that this was an area where they were required to take positive measures as opposed to merely refraining from interference.” </w:t>
      </w:r>
      <w:proofErr w:type="spellStart"/>
      <w:proofErr w:type="gramStart"/>
      <w:r>
        <w:rPr>
          <w:rFonts w:cs="Times New Roman"/>
          <w:i/>
          <w:iCs/>
        </w:rPr>
        <w:t>Hirst</w:t>
      </w:r>
      <w:proofErr w:type="spellEnd"/>
      <w:r>
        <w:rPr>
          <w:rFonts w:cs="Times New Roman"/>
          <w:i/>
          <w:iCs/>
        </w:rPr>
        <w:t xml:space="preserve"> v. the United Kingdom</w:t>
      </w:r>
      <w:r>
        <w:rPr>
          <w:rFonts w:cs="Times New Roman"/>
        </w:rPr>
        <w:t xml:space="preserve"> </w:t>
      </w:r>
      <w:r>
        <w:rPr>
          <w:rFonts w:cs="Times New Roman"/>
          <w:i/>
          <w:iCs/>
        </w:rPr>
        <w:t>(no. 2) [GC]</w:t>
      </w:r>
      <w:r>
        <w:rPr>
          <w:rFonts w:cs="Times New Roman"/>
        </w:rPr>
        <w:t xml:space="preserve">, no. 74025/01, ECHR 2005-IX [hereinafter </w:t>
      </w:r>
      <w:proofErr w:type="spellStart"/>
      <w:r>
        <w:rPr>
          <w:rFonts w:cs="Times New Roman"/>
          <w:i/>
          <w:iCs/>
        </w:rPr>
        <w:t>Hirst</w:t>
      </w:r>
      <w:proofErr w:type="spellEnd"/>
      <w:r>
        <w:rPr>
          <w:rFonts w:cs="Times New Roman"/>
          <w:i/>
          <w:iCs/>
        </w:rPr>
        <w:t xml:space="preserve"> </w:t>
      </w:r>
      <w:r w:rsidRPr="00FC6932">
        <w:rPr>
          <w:rFonts w:cs="Times New Roman"/>
          <w:i/>
          <w:iCs/>
        </w:rPr>
        <w:t>Case</w:t>
      </w:r>
      <w:r>
        <w:rPr>
          <w:rFonts w:cs="Times New Roman"/>
        </w:rPr>
        <w:t xml:space="preserve">] </w:t>
      </w:r>
      <w:proofErr w:type="spellStart"/>
      <w:r w:rsidRPr="00917D16">
        <w:rPr>
          <w:rFonts w:cs="Times New Roman"/>
          <w:i/>
          <w:iCs/>
        </w:rPr>
        <w:t>para</w:t>
      </w:r>
      <w:proofErr w:type="spellEnd"/>
      <w:r>
        <w:rPr>
          <w:rFonts w:cs="Times New Roman"/>
        </w:rPr>
        <w:t>.</w:t>
      </w:r>
      <w:proofErr w:type="gramEnd"/>
      <w:r>
        <w:rPr>
          <w:rFonts w:cs="Times New Roman"/>
        </w:rPr>
        <w:t xml:space="preserve"> 56. </w:t>
      </w:r>
      <w:r w:rsidRPr="00917D16">
        <w:rPr>
          <w:rFonts w:cs="Times New Roman"/>
          <w:i/>
          <w:iCs/>
        </w:rPr>
        <w:t>See also</w:t>
      </w:r>
      <w:r>
        <w:rPr>
          <w:rFonts w:cs="Times New Roman"/>
        </w:rPr>
        <w:t xml:space="preserve"> </w:t>
      </w:r>
      <w:r>
        <w:rPr>
          <w:rFonts w:cs="Times New Roman"/>
          <w:i/>
          <w:iCs/>
        </w:rPr>
        <w:t>Mathieu-</w:t>
      </w:r>
      <w:proofErr w:type="spellStart"/>
      <w:r>
        <w:rPr>
          <w:rFonts w:cs="Times New Roman"/>
          <w:i/>
          <w:iCs/>
        </w:rPr>
        <w:t>Mohin</w:t>
      </w:r>
      <w:proofErr w:type="spellEnd"/>
      <w:r>
        <w:rPr>
          <w:rFonts w:cs="Times New Roman"/>
          <w:i/>
          <w:iCs/>
        </w:rPr>
        <w:t xml:space="preserve"> v. Belgium</w:t>
      </w:r>
      <w:r>
        <w:rPr>
          <w:rFonts w:cs="Times New Roman"/>
        </w:rPr>
        <w:t xml:space="preserve">, </w:t>
      </w:r>
      <w:proofErr w:type="spellStart"/>
      <w:r>
        <w:rPr>
          <w:rFonts w:cs="Times New Roman"/>
        </w:rPr>
        <w:t>judgement</w:t>
      </w:r>
      <w:proofErr w:type="spellEnd"/>
      <w:r>
        <w:rPr>
          <w:rFonts w:cs="Times New Roman"/>
        </w:rPr>
        <w:t xml:space="preserve"> of 2 March 1987, Series </w:t>
      </w:r>
      <w:proofErr w:type="gramStart"/>
      <w:r>
        <w:rPr>
          <w:rFonts w:cs="Times New Roman"/>
        </w:rPr>
        <w:t>A</w:t>
      </w:r>
      <w:proofErr w:type="gramEnd"/>
      <w:r>
        <w:rPr>
          <w:rFonts w:cs="Times New Roman"/>
        </w:rPr>
        <w:t xml:space="preserve"> no. 113, paragraphs 48-50.</w:t>
      </w:r>
    </w:p>
  </w:footnote>
  <w:footnote w:id="27">
    <w:p w:rsidR="00281D12" w:rsidRDefault="00281D12" w:rsidP="00AC68F0">
      <w:pPr>
        <w:autoSpaceDE w:val="0"/>
        <w:autoSpaceDN w:val="0"/>
        <w:adjustRightInd w:val="0"/>
        <w:rPr>
          <w:rFonts w:cs="Times New Roman"/>
        </w:rPr>
      </w:pPr>
      <w:r w:rsidRPr="00C97AFC">
        <w:rPr>
          <w:rStyle w:val="FootnoteReference"/>
          <w:rFonts w:cs="Times New Roman"/>
          <w:sz w:val="20"/>
          <w:szCs w:val="20"/>
        </w:rPr>
        <w:footnoteRef/>
      </w:r>
      <w:r w:rsidRPr="00C97AFC">
        <w:rPr>
          <w:rFonts w:cs="Times New Roman"/>
          <w:sz w:val="20"/>
          <w:szCs w:val="20"/>
        </w:rPr>
        <w:t xml:space="preserve"> </w:t>
      </w:r>
      <w:r>
        <w:rPr>
          <w:rFonts w:cs="Times New Roman"/>
          <w:sz w:val="20"/>
          <w:szCs w:val="20"/>
        </w:rPr>
        <w:t>“</w:t>
      </w:r>
      <w:r w:rsidRPr="00A94ACD">
        <w:rPr>
          <w:rFonts w:cs="Times New Roman"/>
          <w:sz w:val="20"/>
          <w:szCs w:val="20"/>
        </w:rPr>
        <w:t>Amicus Curiae Brief</w:t>
      </w:r>
      <w:r>
        <w:rPr>
          <w:rFonts w:cs="Times New Roman"/>
          <w:i/>
          <w:iCs/>
          <w:sz w:val="20"/>
          <w:szCs w:val="20"/>
        </w:rPr>
        <w:t xml:space="preserve"> </w:t>
      </w:r>
      <w:r>
        <w:rPr>
          <w:rFonts w:cs="Times New Roman"/>
          <w:sz w:val="20"/>
          <w:szCs w:val="20"/>
        </w:rPr>
        <w:t xml:space="preserve">by 25 </w:t>
      </w:r>
      <w:r w:rsidRPr="00A94ACD">
        <w:rPr>
          <w:rFonts w:cs="Times New Roman"/>
          <w:sz w:val="20"/>
          <w:szCs w:val="20"/>
        </w:rPr>
        <w:t>Non-Governmental Organizations and Academic Institutions” (</w:t>
      </w:r>
      <w:hyperlink r:id="rId12" w:history="1">
        <w:r w:rsidRPr="00A94ACD">
          <w:rPr>
            <w:rStyle w:val="Hyperlink"/>
            <w:rFonts w:cs="Times New Roman"/>
            <w:sz w:val="20"/>
            <w:szCs w:val="20"/>
          </w:rPr>
          <w:t>http://mdac.info/amicus-curiae-brief-czech-constitutional-court</w:t>
        </w:r>
      </w:hyperlink>
      <w:proofErr w:type="gramStart"/>
      <w:r w:rsidRPr="00A94ACD">
        <w:rPr>
          <w:rStyle w:val="Hyperlink"/>
          <w:rFonts w:cs="Times New Roman"/>
          <w:sz w:val="20"/>
          <w:szCs w:val="20"/>
        </w:rPr>
        <w:t xml:space="preserve">) </w:t>
      </w:r>
      <w:r>
        <w:rPr>
          <w:rStyle w:val="Hyperlink"/>
          <w:rFonts w:cs="Times New Roman"/>
          <w:sz w:val="20"/>
          <w:szCs w:val="20"/>
        </w:rPr>
        <w:t xml:space="preserve"> </w:t>
      </w:r>
      <w:r>
        <w:rPr>
          <w:rFonts w:cs="Times New Roman"/>
          <w:sz w:val="20"/>
          <w:szCs w:val="20"/>
        </w:rPr>
        <w:t>in</w:t>
      </w:r>
      <w:proofErr w:type="gramEnd"/>
      <w:r>
        <w:rPr>
          <w:rFonts w:cs="Times New Roman"/>
          <w:sz w:val="20"/>
          <w:szCs w:val="20"/>
        </w:rPr>
        <w:t xml:space="preserve"> </w:t>
      </w:r>
      <w:proofErr w:type="spellStart"/>
      <w:r w:rsidRPr="00C97AFC">
        <w:rPr>
          <w:rFonts w:cs="Times New Roman"/>
          <w:i/>
          <w:iCs/>
          <w:sz w:val="20"/>
          <w:szCs w:val="20"/>
        </w:rPr>
        <w:t>Hlavac</w:t>
      </w:r>
      <w:proofErr w:type="spellEnd"/>
      <w:r w:rsidRPr="00C97AFC">
        <w:rPr>
          <w:rFonts w:cs="Times New Roman"/>
          <w:i/>
          <w:iCs/>
          <w:sz w:val="20"/>
          <w:szCs w:val="20"/>
        </w:rPr>
        <w:t xml:space="preserve"> Tomas and </w:t>
      </w:r>
      <w:proofErr w:type="spellStart"/>
      <w:r w:rsidRPr="00C97AFC">
        <w:rPr>
          <w:rFonts w:cs="Times New Roman"/>
          <w:i/>
          <w:iCs/>
          <w:sz w:val="20"/>
          <w:szCs w:val="20"/>
        </w:rPr>
        <w:t>Soldan</w:t>
      </w:r>
      <w:proofErr w:type="spellEnd"/>
      <w:r w:rsidRPr="00C97AFC">
        <w:rPr>
          <w:rFonts w:cs="Times New Roman"/>
          <w:sz w:val="20"/>
          <w:szCs w:val="20"/>
        </w:rPr>
        <w:t xml:space="preserve"> </w:t>
      </w:r>
      <w:r w:rsidRPr="00C97AFC">
        <w:rPr>
          <w:rFonts w:cs="Times New Roman"/>
          <w:i/>
          <w:iCs/>
          <w:sz w:val="20"/>
          <w:szCs w:val="20"/>
        </w:rPr>
        <w:t>Jiri</w:t>
      </w:r>
      <w:r w:rsidRPr="00C97AFC">
        <w:rPr>
          <w:rFonts w:cs="Times New Roman"/>
          <w:sz w:val="20"/>
          <w:szCs w:val="20"/>
        </w:rPr>
        <w:t xml:space="preserve"> Case No. IV US </w:t>
      </w:r>
      <w:proofErr w:type="gramStart"/>
      <w:r w:rsidRPr="00C97AFC">
        <w:rPr>
          <w:rFonts w:cs="Times New Roman"/>
          <w:sz w:val="20"/>
          <w:szCs w:val="20"/>
        </w:rPr>
        <w:t>3073/08,</w:t>
      </w:r>
      <w:proofErr w:type="gramEnd"/>
      <w:r w:rsidRPr="00C97AFC">
        <w:rPr>
          <w:rFonts w:cs="Times New Roman"/>
          <w:sz w:val="20"/>
          <w:szCs w:val="20"/>
        </w:rPr>
        <w:t xml:space="preserve"> and Case No. IV. US 3102/08. </w:t>
      </w:r>
      <w:r w:rsidRPr="00917D16">
        <w:rPr>
          <w:rFonts w:cs="Times New Roman"/>
          <w:i/>
          <w:iCs/>
          <w:sz w:val="20"/>
          <w:szCs w:val="20"/>
        </w:rPr>
        <w:t>See</w:t>
      </w:r>
      <w:r>
        <w:rPr>
          <w:rFonts w:cs="Times New Roman"/>
          <w:sz w:val="20"/>
          <w:szCs w:val="20"/>
        </w:rPr>
        <w:t xml:space="preserve"> footnote 18. </w:t>
      </w:r>
    </w:p>
  </w:footnote>
  <w:footnote w:id="28">
    <w:p w:rsidR="00281D12" w:rsidRDefault="00281D12" w:rsidP="00007938">
      <w:pPr>
        <w:pStyle w:val="FootnoteText"/>
        <w:rPr>
          <w:rFonts w:cs="Times New Roman"/>
        </w:rPr>
      </w:pPr>
      <w:r>
        <w:rPr>
          <w:rStyle w:val="FootnoteReference"/>
          <w:rFonts w:cs="Times New Roman"/>
        </w:rPr>
        <w:footnoteRef/>
      </w:r>
      <w:r>
        <w:rPr>
          <w:rFonts w:cs="Times New Roman"/>
        </w:rPr>
        <w:t xml:space="preserve"> </w:t>
      </w:r>
      <w:proofErr w:type="spellStart"/>
      <w:r>
        <w:rPr>
          <w:rFonts w:cs="Times New Roman"/>
          <w:i/>
          <w:iCs/>
        </w:rPr>
        <w:t>Hirst</w:t>
      </w:r>
      <w:proofErr w:type="spellEnd"/>
      <w:r>
        <w:rPr>
          <w:rFonts w:cs="Times New Roman"/>
          <w:i/>
          <w:iCs/>
        </w:rPr>
        <w:t xml:space="preserve"> Case</w:t>
      </w:r>
      <w:r>
        <w:rPr>
          <w:rFonts w:cs="Times New Roman"/>
        </w:rPr>
        <w:t xml:space="preserve">, </w:t>
      </w:r>
      <w:r>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_Ref302118695 \h </w:instrText>
      </w:r>
      <w:r>
        <w:rPr>
          <w:rFonts w:cs="Times New Roman"/>
        </w:rPr>
      </w:r>
      <w:r>
        <w:rPr>
          <w:rFonts w:cs="Times New Roman"/>
        </w:rPr>
        <w:fldChar w:fldCharType="separate"/>
      </w:r>
      <w:r>
        <w:rPr>
          <w:rFonts w:cs="Times New Roman"/>
        </w:rPr>
        <w:t>25</w:t>
      </w:r>
      <w:r>
        <w:rPr>
          <w:rFonts w:cs="Times New Roman"/>
        </w:rPr>
        <w:fldChar w:fldCharType="end"/>
      </w:r>
      <w:r>
        <w:rPr>
          <w:rFonts w:cs="Times New Roman"/>
        </w:rPr>
        <w:t xml:space="preserve">, </w:t>
      </w:r>
      <w:proofErr w:type="spellStart"/>
      <w:r w:rsidRPr="00C07C0D">
        <w:rPr>
          <w:rFonts w:cs="Times New Roman"/>
        </w:rPr>
        <w:t>para</w:t>
      </w:r>
      <w:proofErr w:type="spellEnd"/>
      <w:r>
        <w:rPr>
          <w:rFonts w:cs="Times New Roman"/>
        </w:rPr>
        <w:t>.</w:t>
      </w:r>
      <w:r w:rsidRPr="00C07C0D">
        <w:rPr>
          <w:rFonts w:cs="Times New Roman"/>
        </w:rPr>
        <w:t xml:space="preserve"> 62</w:t>
      </w:r>
      <w:r>
        <w:rPr>
          <w:rFonts w:cs="Times New Roman"/>
        </w:rPr>
        <w:t xml:space="preserve">, with reference to </w:t>
      </w:r>
      <w:r>
        <w:rPr>
          <w:rFonts w:cs="Times New Roman"/>
          <w:i/>
          <w:iCs/>
        </w:rPr>
        <w:t>Mathieu-</w:t>
      </w:r>
      <w:proofErr w:type="spellStart"/>
      <w:r>
        <w:rPr>
          <w:rFonts w:cs="Times New Roman"/>
          <w:i/>
          <w:iCs/>
        </w:rPr>
        <w:t>Mohin</w:t>
      </w:r>
      <w:proofErr w:type="spellEnd"/>
      <w:r>
        <w:rPr>
          <w:rFonts w:cs="Times New Roman"/>
          <w:i/>
          <w:iCs/>
        </w:rPr>
        <w:t xml:space="preserve"> v. Belgium</w:t>
      </w:r>
      <w:r>
        <w:rPr>
          <w:rFonts w:cs="Times New Roman"/>
        </w:rPr>
        <w:t xml:space="preserve">, judgment of 2 March 1987, Series </w:t>
      </w:r>
      <w:proofErr w:type="gramStart"/>
      <w:r>
        <w:rPr>
          <w:rFonts w:cs="Times New Roman"/>
        </w:rPr>
        <w:t>A</w:t>
      </w:r>
      <w:proofErr w:type="gramEnd"/>
      <w:r>
        <w:rPr>
          <w:rFonts w:cs="Times New Roman"/>
        </w:rPr>
        <w:t xml:space="preserve"> no. 113.</w:t>
      </w:r>
    </w:p>
  </w:footnote>
  <w:footnote w:id="29">
    <w:p w:rsidR="00281D12" w:rsidRDefault="00281D12" w:rsidP="003A54D3">
      <w:pPr>
        <w:pStyle w:val="FootnoteText"/>
        <w:rPr>
          <w:rFonts w:cs="Times New Roman"/>
        </w:rPr>
      </w:pPr>
      <w:r>
        <w:rPr>
          <w:rStyle w:val="FootnoteReference"/>
          <w:rFonts w:cs="Times New Roman"/>
        </w:rPr>
        <w:footnoteRef/>
      </w:r>
      <w:r>
        <w:rPr>
          <w:rFonts w:cs="Times New Roman"/>
        </w:rPr>
        <w:t xml:space="preserve"> Even if the age-limit on voting is construed as a capacity issue – a blanket assumption that under-age citizens lack the capacity to assess the consequences of their decisions and make conscious and judicious decision – its automatic and universal revocation upon entering the age of maturity, </w:t>
      </w:r>
      <w:r w:rsidRPr="002220A9">
        <w:rPr>
          <w:rFonts w:cs="Times New Roman"/>
        </w:rPr>
        <w:t>with no subsequent calling into question of capacity</w:t>
      </w:r>
      <w:r>
        <w:rPr>
          <w:rFonts w:cs="Times New Roman"/>
        </w:rPr>
        <w:t xml:space="preserve">, fundamentally differentiates it from the questioning of capacity applied to adult persons with disabilities. </w:t>
      </w:r>
    </w:p>
  </w:footnote>
  <w:footnote w:id="30">
    <w:p w:rsidR="00281D12" w:rsidRDefault="00281D12" w:rsidP="00007938">
      <w:pPr>
        <w:pStyle w:val="FootnoteText"/>
        <w:rPr>
          <w:rFonts w:cs="Times New Roman"/>
        </w:rPr>
      </w:pPr>
      <w:r>
        <w:rPr>
          <w:rStyle w:val="FootnoteReference"/>
          <w:rFonts w:cs="Times New Roman"/>
        </w:rPr>
        <w:footnoteRef/>
      </w:r>
      <w:r>
        <w:rPr>
          <w:rFonts w:cs="Times New Roman"/>
        </w:rPr>
        <w:t xml:space="preserve"> </w:t>
      </w:r>
      <w:r>
        <w:rPr>
          <w:rFonts w:cs="Times New Roman"/>
          <w:i/>
          <w:iCs/>
        </w:rPr>
        <w:t xml:space="preserve">Ibid, </w:t>
      </w:r>
      <w:r w:rsidRPr="006D4EF7">
        <w:rPr>
          <w:rFonts w:cs="Times New Roman"/>
        </w:rPr>
        <w:t>with reference to</w:t>
      </w:r>
      <w:r>
        <w:rPr>
          <w:rFonts w:cs="Times New Roman"/>
          <w:i/>
          <w:iCs/>
        </w:rPr>
        <w:t xml:space="preserve"> </w:t>
      </w:r>
      <w:proofErr w:type="spellStart"/>
      <w:r>
        <w:rPr>
          <w:rFonts w:cs="Times New Roman"/>
          <w:i/>
          <w:iCs/>
        </w:rPr>
        <w:t>Hilbe</w:t>
      </w:r>
      <w:proofErr w:type="spellEnd"/>
      <w:r>
        <w:rPr>
          <w:rFonts w:cs="Times New Roman"/>
          <w:i/>
          <w:iCs/>
        </w:rPr>
        <w:t xml:space="preserve"> v. Liechtenstein </w:t>
      </w:r>
      <w:r>
        <w:rPr>
          <w:rFonts w:cs="Times New Roman"/>
        </w:rPr>
        <w:t>(</w:t>
      </w:r>
      <w:proofErr w:type="spellStart"/>
      <w:r>
        <w:rPr>
          <w:rFonts w:cs="Times New Roman"/>
        </w:rPr>
        <w:t>dec.</w:t>
      </w:r>
      <w:proofErr w:type="spellEnd"/>
      <w:r>
        <w:rPr>
          <w:rFonts w:cs="Times New Roman"/>
        </w:rPr>
        <w:t>), no. 31981/96</w:t>
      </w:r>
      <w:proofErr w:type="gramStart"/>
      <w:r>
        <w:rPr>
          <w:rFonts w:cs="Times New Roman"/>
        </w:rPr>
        <w:t>,  ECHR</w:t>
      </w:r>
      <w:proofErr w:type="gramEnd"/>
      <w:r>
        <w:rPr>
          <w:rFonts w:cs="Times New Roman"/>
        </w:rPr>
        <w:t xml:space="preserve"> 1999-VI and others.</w:t>
      </w:r>
    </w:p>
  </w:footnote>
  <w:footnote w:id="31">
    <w:p w:rsidR="00281D12" w:rsidRDefault="00281D12">
      <w:pPr>
        <w:pStyle w:val="FootnoteText"/>
        <w:rPr>
          <w:rFonts w:cs="Times New Roman"/>
        </w:rPr>
      </w:pPr>
      <w:r>
        <w:rPr>
          <w:rStyle w:val="FootnoteReference"/>
          <w:rFonts w:cs="Times New Roman"/>
        </w:rPr>
        <w:footnoteRef/>
      </w:r>
      <w:r>
        <w:rPr>
          <w:rFonts w:cs="Times New Roman"/>
        </w:rPr>
        <w:t xml:space="preserve"> </w:t>
      </w:r>
      <w:proofErr w:type="spellStart"/>
      <w:r>
        <w:rPr>
          <w:rFonts w:cs="Times New Roman"/>
          <w:i/>
          <w:iCs/>
        </w:rPr>
        <w:t>Hirst</w:t>
      </w:r>
      <w:proofErr w:type="spellEnd"/>
      <w:r>
        <w:rPr>
          <w:rFonts w:cs="Times New Roman"/>
          <w:i/>
          <w:iCs/>
        </w:rPr>
        <w:t xml:space="preserve"> Case</w:t>
      </w:r>
      <w:r>
        <w:rPr>
          <w:rFonts w:cs="Times New Roman"/>
        </w:rPr>
        <w:t xml:space="preserve">, </w:t>
      </w:r>
      <w:r>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_Ref302118695 \h </w:instrText>
      </w:r>
      <w:r>
        <w:rPr>
          <w:rFonts w:cs="Times New Roman"/>
        </w:rPr>
      </w:r>
      <w:r>
        <w:rPr>
          <w:rFonts w:cs="Times New Roman"/>
        </w:rPr>
        <w:fldChar w:fldCharType="separate"/>
      </w:r>
      <w:r>
        <w:rPr>
          <w:rFonts w:cs="Times New Roman"/>
        </w:rPr>
        <w:t>25</w:t>
      </w:r>
      <w:r>
        <w:rPr>
          <w:rFonts w:cs="Times New Roman"/>
        </w:rPr>
        <w:fldChar w:fldCharType="end"/>
      </w:r>
      <w:r>
        <w:rPr>
          <w:rFonts w:cs="Times New Roman"/>
        </w:rPr>
        <w:t>.</w:t>
      </w:r>
    </w:p>
  </w:footnote>
  <w:footnote w:id="32">
    <w:p w:rsidR="00281D12" w:rsidRDefault="00281D12" w:rsidP="00B33774">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rPr>
        <w:t>For example Ireland, Sweden, Germany and Denmark.</w:t>
      </w:r>
      <w:proofErr w:type="gramEnd"/>
    </w:p>
  </w:footnote>
  <w:footnote w:id="33">
    <w:p w:rsidR="00281D12" w:rsidRDefault="00281D12" w:rsidP="004C0FB0">
      <w:pPr>
        <w:pStyle w:val="FootnoteText"/>
        <w:rPr>
          <w:rFonts w:cs="Times New Roman"/>
        </w:rPr>
      </w:pPr>
      <w:r>
        <w:rPr>
          <w:rStyle w:val="FootnoteReference"/>
          <w:rFonts w:cs="Times New Roman"/>
        </w:rPr>
        <w:footnoteRef/>
      </w:r>
      <w:r>
        <w:rPr>
          <w:rFonts w:cs="Times New Roman"/>
        </w:rPr>
        <w:t xml:space="preserve"> </w:t>
      </w:r>
      <w:r w:rsidRPr="004C0FB0">
        <w:rPr>
          <w:rFonts w:cs="Times New Roman"/>
          <w:i/>
          <w:iCs/>
          <w:lang w:val="en-GB"/>
        </w:rPr>
        <w:t xml:space="preserve">Kiss </w:t>
      </w:r>
      <w:r>
        <w:rPr>
          <w:rFonts w:cs="Times New Roman"/>
          <w:i/>
          <w:iCs/>
          <w:lang w:val="en-GB"/>
        </w:rPr>
        <w:t>Case</w:t>
      </w:r>
      <w:r>
        <w:rPr>
          <w:rFonts w:cs="Times New Roman"/>
          <w:lang w:val="en-GB"/>
        </w:rPr>
        <w:t xml:space="preserve">, </w:t>
      </w:r>
      <w:r>
        <w:rPr>
          <w:rFonts w:cs="Times New Roman"/>
          <w:i/>
          <w:iCs/>
          <w:lang w:val="en-GB"/>
        </w:rPr>
        <w:t xml:space="preserve">supra </w:t>
      </w:r>
      <w:r>
        <w:rPr>
          <w:rFonts w:cs="Times New Roman"/>
          <w:lang w:val="en-GB"/>
        </w:rPr>
        <w:t xml:space="preserve">note </w:t>
      </w:r>
      <w:r>
        <w:rPr>
          <w:rFonts w:cs="Times New Roman"/>
          <w:lang w:val="en-GB"/>
        </w:rPr>
        <w:fldChar w:fldCharType="begin"/>
      </w:r>
      <w:r>
        <w:rPr>
          <w:rFonts w:cs="Times New Roman"/>
          <w:lang w:val="en-GB"/>
        </w:rPr>
        <w:instrText xml:space="preserve"> NOTEREF _Ref302118695 \h </w:instrText>
      </w:r>
      <w:r>
        <w:rPr>
          <w:rFonts w:cs="Times New Roman"/>
          <w:lang w:val="en-GB"/>
        </w:rPr>
      </w:r>
      <w:r>
        <w:rPr>
          <w:rFonts w:cs="Times New Roman"/>
          <w:lang w:val="en-GB"/>
        </w:rPr>
        <w:fldChar w:fldCharType="separate"/>
      </w:r>
      <w:r>
        <w:rPr>
          <w:rFonts w:cs="Times New Roman"/>
          <w:lang w:val="en-GB"/>
        </w:rPr>
        <w:t>25</w:t>
      </w:r>
      <w:r>
        <w:rPr>
          <w:rFonts w:cs="Times New Roman"/>
          <w:lang w:val="en-GB"/>
        </w:rPr>
        <w:fldChar w:fldCharType="end"/>
      </w:r>
      <w:r>
        <w:rPr>
          <w:rFonts w:cs="Times New Roman"/>
          <w:lang w:val="en-GB"/>
        </w:rPr>
        <w:t>.</w:t>
      </w:r>
    </w:p>
  </w:footnote>
  <w:footnote w:id="34">
    <w:p w:rsidR="00281D12" w:rsidRDefault="00281D12" w:rsidP="00E40A7E">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i/>
          <w:iCs/>
        </w:rPr>
        <w:t>Ibid</w:t>
      </w:r>
      <w:r>
        <w:rPr>
          <w:rFonts w:cs="Times New Roman"/>
        </w:rPr>
        <w:t xml:space="preserve">, </w:t>
      </w:r>
      <w:proofErr w:type="spellStart"/>
      <w:r>
        <w:rPr>
          <w:rFonts w:cs="Times New Roman"/>
        </w:rPr>
        <w:t>para</w:t>
      </w:r>
      <w:proofErr w:type="spellEnd"/>
      <w:r>
        <w:rPr>
          <w:rFonts w:cs="Times New Roman"/>
        </w:rPr>
        <w:t>.</w:t>
      </w:r>
      <w:proofErr w:type="gramEnd"/>
      <w:r>
        <w:rPr>
          <w:rFonts w:cs="Times New Roman"/>
        </w:rPr>
        <w:t xml:space="preserve"> 38: “The applicant accepted this view [that ensuring that only citizens capable of assessing the consequences of their decisions and making conscious and judicious decisions should participate in public affairs] and the Court sees no reason to hold otherwise. It is therefore satisfied that the measure pursued a legitimate aim.” </w:t>
      </w:r>
      <w:r w:rsidRPr="00917D16">
        <w:rPr>
          <w:rFonts w:cs="Times New Roman"/>
          <w:i/>
          <w:iCs/>
        </w:rPr>
        <w:t>See also</w:t>
      </w:r>
      <w:r>
        <w:rPr>
          <w:rFonts w:cs="Times New Roman"/>
        </w:rPr>
        <w:t xml:space="preserve"> </w:t>
      </w:r>
      <w:proofErr w:type="spellStart"/>
      <w:r>
        <w:rPr>
          <w:rFonts w:cs="Times New Roman"/>
        </w:rPr>
        <w:t>para</w:t>
      </w:r>
      <w:proofErr w:type="spellEnd"/>
      <w:r>
        <w:rPr>
          <w:rFonts w:cs="Times New Roman"/>
        </w:rPr>
        <w:t xml:space="preserve">. 28. </w:t>
      </w:r>
    </w:p>
  </w:footnote>
  <w:footnote w:id="35">
    <w:p w:rsidR="00281D12" w:rsidRDefault="00281D12" w:rsidP="00E40A7E">
      <w:pPr>
        <w:pStyle w:val="FootnoteText"/>
        <w:rPr>
          <w:rFonts w:cs="Times New Roman"/>
        </w:rPr>
      </w:pPr>
      <w:r>
        <w:rPr>
          <w:rStyle w:val="FootnoteReference"/>
          <w:rFonts w:cs="Times New Roman"/>
        </w:rPr>
        <w:footnoteRef/>
      </w:r>
      <w:r>
        <w:rPr>
          <w:rFonts w:cs="Times New Roman"/>
        </w:rPr>
        <w:t xml:space="preserve"> </w:t>
      </w:r>
      <w:proofErr w:type="gramStart"/>
      <w:r>
        <w:rPr>
          <w:rFonts w:cs="Times New Roman"/>
          <w:i/>
          <w:iCs/>
        </w:rPr>
        <w:t>Ibid</w:t>
      </w:r>
      <w:r>
        <w:rPr>
          <w:rFonts w:cs="Times New Roman"/>
        </w:rPr>
        <w:t xml:space="preserve">, </w:t>
      </w:r>
      <w:proofErr w:type="spellStart"/>
      <w:r>
        <w:rPr>
          <w:rFonts w:cs="Times New Roman"/>
        </w:rPr>
        <w:t>para</w:t>
      </w:r>
      <w:proofErr w:type="spellEnd"/>
      <w:r>
        <w:rPr>
          <w:rFonts w:cs="Times New Roman"/>
        </w:rPr>
        <w:t>.</w:t>
      </w:r>
      <w:proofErr w:type="gramEnd"/>
      <w:r>
        <w:rPr>
          <w:rFonts w:cs="Times New Roman"/>
        </w:rPr>
        <w:t xml:space="preserve"> 41.</w:t>
      </w:r>
    </w:p>
  </w:footnote>
  <w:footnote w:id="36">
    <w:p w:rsidR="00281D12" w:rsidRDefault="00281D12" w:rsidP="00D26C5D">
      <w:pPr>
        <w:pStyle w:val="FootnoteText"/>
        <w:rPr>
          <w:rFonts w:cs="Times New Roman"/>
        </w:rPr>
      </w:pPr>
      <w:r>
        <w:rPr>
          <w:rStyle w:val="FootnoteReference"/>
          <w:rFonts w:cs="Times New Roman"/>
        </w:rPr>
        <w:footnoteRef/>
      </w:r>
      <w:r>
        <w:rPr>
          <w:rFonts w:cs="Times New Roman"/>
        </w:rPr>
        <w:t xml:space="preserve"> </w:t>
      </w:r>
      <w:proofErr w:type="spellStart"/>
      <w:r>
        <w:rPr>
          <w:rFonts w:cs="Times New Roman"/>
          <w:i/>
          <w:iCs/>
        </w:rPr>
        <w:t>Hirst</w:t>
      </w:r>
      <w:proofErr w:type="spellEnd"/>
      <w:r>
        <w:rPr>
          <w:rFonts w:cs="Times New Roman"/>
          <w:i/>
          <w:iCs/>
        </w:rPr>
        <w:t xml:space="preserve"> Case</w:t>
      </w:r>
      <w:r>
        <w:rPr>
          <w:rFonts w:cs="Times New Roman"/>
        </w:rPr>
        <w:t xml:space="preserve">, </w:t>
      </w:r>
      <w:r>
        <w:rPr>
          <w:rFonts w:cs="Times New Roman"/>
          <w:i/>
          <w:iCs/>
        </w:rPr>
        <w:t xml:space="preserve">supra </w:t>
      </w:r>
      <w:r>
        <w:rPr>
          <w:rFonts w:cs="Times New Roman"/>
        </w:rPr>
        <w:t xml:space="preserve">note </w:t>
      </w:r>
      <w:r>
        <w:rPr>
          <w:rFonts w:cs="Times New Roman"/>
        </w:rPr>
        <w:fldChar w:fldCharType="begin"/>
      </w:r>
      <w:r>
        <w:rPr>
          <w:rFonts w:cs="Times New Roman"/>
        </w:rPr>
        <w:instrText xml:space="preserve"> NOTEREF _Ref302118695 \h </w:instrText>
      </w:r>
      <w:r>
        <w:rPr>
          <w:rFonts w:cs="Times New Roman"/>
        </w:rPr>
      </w:r>
      <w:r>
        <w:rPr>
          <w:rFonts w:cs="Times New Roman"/>
        </w:rPr>
        <w:fldChar w:fldCharType="separate"/>
      </w:r>
      <w:r>
        <w:rPr>
          <w:rFonts w:cs="Times New Roman"/>
        </w:rPr>
        <w:t>25</w:t>
      </w:r>
      <w:r>
        <w:rPr>
          <w:rFonts w:cs="Times New Roman"/>
        </w:rPr>
        <w:fldChar w:fldCharType="end"/>
      </w:r>
      <w:r>
        <w:rPr>
          <w:rFonts w:cs="Times New Roman"/>
        </w:rPr>
        <w:t xml:space="preserve">, </w:t>
      </w:r>
      <w:proofErr w:type="spellStart"/>
      <w:r>
        <w:rPr>
          <w:rFonts w:cs="Times New Roman"/>
        </w:rPr>
        <w:t>para</w:t>
      </w:r>
      <w:proofErr w:type="spellEnd"/>
      <w:r>
        <w:rPr>
          <w:rFonts w:cs="Times New Roman"/>
        </w:rPr>
        <w:t>.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A86"/>
    <w:multiLevelType w:val="hybridMultilevel"/>
    <w:tmpl w:val="7F98702A"/>
    <w:lvl w:ilvl="0" w:tplc="7C56858C">
      <w:start w:val="1"/>
      <w:numFmt w:val="bullet"/>
      <w:lvlText w:val="•"/>
      <w:lvlJc w:val="left"/>
      <w:pPr>
        <w:tabs>
          <w:tab w:val="num" w:pos="720"/>
        </w:tabs>
        <w:ind w:left="720" w:hanging="360"/>
      </w:pPr>
      <w:rPr>
        <w:rFonts w:ascii="Times New Roman" w:hAnsi="Times New Roman" w:hint="default"/>
      </w:rPr>
    </w:lvl>
    <w:lvl w:ilvl="1" w:tplc="B7665A62">
      <w:start w:val="2820"/>
      <w:numFmt w:val="bullet"/>
      <w:lvlText w:val="–"/>
      <w:lvlJc w:val="left"/>
      <w:pPr>
        <w:tabs>
          <w:tab w:val="num" w:pos="1440"/>
        </w:tabs>
        <w:ind w:left="1440" w:hanging="360"/>
      </w:pPr>
      <w:rPr>
        <w:rFonts w:ascii="Tahoma" w:hAnsi="Tahoma" w:hint="default"/>
      </w:rPr>
    </w:lvl>
    <w:lvl w:ilvl="2" w:tplc="E594F6CC">
      <w:start w:val="1"/>
      <w:numFmt w:val="bullet"/>
      <w:lvlText w:val="•"/>
      <w:lvlJc w:val="left"/>
      <w:pPr>
        <w:tabs>
          <w:tab w:val="num" w:pos="2160"/>
        </w:tabs>
        <w:ind w:left="2160" w:hanging="360"/>
      </w:pPr>
      <w:rPr>
        <w:rFonts w:ascii="Times New Roman" w:hAnsi="Times New Roman" w:hint="default"/>
      </w:rPr>
    </w:lvl>
    <w:lvl w:ilvl="3" w:tplc="B15483A8">
      <w:start w:val="1"/>
      <w:numFmt w:val="bullet"/>
      <w:lvlText w:val="•"/>
      <w:lvlJc w:val="left"/>
      <w:pPr>
        <w:tabs>
          <w:tab w:val="num" w:pos="2880"/>
        </w:tabs>
        <w:ind w:left="2880" w:hanging="360"/>
      </w:pPr>
      <w:rPr>
        <w:rFonts w:ascii="Times New Roman" w:hAnsi="Times New Roman" w:hint="default"/>
      </w:rPr>
    </w:lvl>
    <w:lvl w:ilvl="4" w:tplc="54967924">
      <w:start w:val="1"/>
      <w:numFmt w:val="bullet"/>
      <w:lvlText w:val="•"/>
      <w:lvlJc w:val="left"/>
      <w:pPr>
        <w:tabs>
          <w:tab w:val="num" w:pos="3600"/>
        </w:tabs>
        <w:ind w:left="3600" w:hanging="360"/>
      </w:pPr>
      <w:rPr>
        <w:rFonts w:ascii="Times New Roman" w:hAnsi="Times New Roman" w:hint="default"/>
      </w:rPr>
    </w:lvl>
    <w:lvl w:ilvl="5" w:tplc="F96E8F90">
      <w:start w:val="1"/>
      <w:numFmt w:val="bullet"/>
      <w:lvlText w:val="•"/>
      <w:lvlJc w:val="left"/>
      <w:pPr>
        <w:tabs>
          <w:tab w:val="num" w:pos="4320"/>
        </w:tabs>
        <w:ind w:left="4320" w:hanging="360"/>
      </w:pPr>
      <w:rPr>
        <w:rFonts w:ascii="Times New Roman" w:hAnsi="Times New Roman" w:hint="default"/>
      </w:rPr>
    </w:lvl>
    <w:lvl w:ilvl="6" w:tplc="1F788768">
      <w:start w:val="1"/>
      <w:numFmt w:val="bullet"/>
      <w:lvlText w:val="•"/>
      <w:lvlJc w:val="left"/>
      <w:pPr>
        <w:tabs>
          <w:tab w:val="num" w:pos="5040"/>
        </w:tabs>
        <w:ind w:left="5040" w:hanging="360"/>
      </w:pPr>
      <w:rPr>
        <w:rFonts w:ascii="Times New Roman" w:hAnsi="Times New Roman" w:hint="default"/>
      </w:rPr>
    </w:lvl>
    <w:lvl w:ilvl="7" w:tplc="480205AE">
      <w:start w:val="1"/>
      <w:numFmt w:val="bullet"/>
      <w:lvlText w:val="•"/>
      <w:lvlJc w:val="left"/>
      <w:pPr>
        <w:tabs>
          <w:tab w:val="num" w:pos="5760"/>
        </w:tabs>
        <w:ind w:left="5760" w:hanging="360"/>
      </w:pPr>
      <w:rPr>
        <w:rFonts w:ascii="Times New Roman" w:hAnsi="Times New Roman" w:hint="default"/>
      </w:rPr>
    </w:lvl>
    <w:lvl w:ilvl="8" w:tplc="265A9CFC">
      <w:start w:val="1"/>
      <w:numFmt w:val="bullet"/>
      <w:lvlText w:val="•"/>
      <w:lvlJc w:val="left"/>
      <w:pPr>
        <w:tabs>
          <w:tab w:val="num" w:pos="6480"/>
        </w:tabs>
        <w:ind w:left="6480" w:hanging="360"/>
      </w:pPr>
      <w:rPr>
        <w:rFonts w:ascii="Times New Roman" w:hAnsi="Times New Roman" w:hint="default"/>
      </w:rPr>
    </w:lvl>
  </w:abstractNum>
  <w:abstractNum w:abstractNumId="1">
    <w:nsid w:val="065E767F"/>
    <w:multiLevelType w:val="hybridMultilevel"/>
    <w:tmpl w:val="38101BD0"/>
    <w:lvl w:ilvl="0" w:tplc="5DDE67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A323D8"/>
    <w:multiLevelType w:val="hybridMultilevel"/>
    <w:tmpl w:val="0136D26E"/>
    <w:lvl w:ilvl="0" w:tplc="13261B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AC331D"/>
    <w:multiLevelType w:val="hybridMultilevel"/>
    <w:tmpl w:val="5BCAA88C"/>
    <w:lvl w:ilvl="0" w:tplc="A836CCE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3E4E47"/>
    <w:multiLevelType w:val="hybridMultilevel"/>
    <w:tmpl w:val="0E1C8AC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2560E"/>
    <w:multiLevelType w:val="hybridMultilevel"/>
    <w:tmpl w:val="2786A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7FA10A8"/>
    <w:multiLevelType w:val="hybridMultilevel"/>
    <w:tmpl w:val="4B60FCDA"/>
    <w:lvl w:ilvl="0" w:tplc="F4D081AA">
      <w:start w:val="1"/>
      <w:numFmt w:val="bullet"/>
      <w:lvlText w:val="•"/>
      <w:lvlJc w:val="left"/>
      <w:pPr>
        <w:tabs>
          <w:tab w:val="num" w:pos="720"/>
        </w:tabs>
        <w:ind w:left="720" w:hanging="360"/>
      </w:pPr>
      <w:rPr>
        <w:rFonts w:ascii="Times New Roman" w:hAnsi="Times New Roman" w:hint="default"/>
      </w:rPr>
    </w:lvl>
    <w:lvl w:ilvl="1" w:tplc="DFFC5C32">
      <w:start w:val="1"/>
      <w:numFmt w:val="bullet"/>
      <w:lvlText w:val="•"/>
      <w:lvlJc w:val="left"/>
      <w:pPr>
        <w:tabs>
          <w:tab w:val="num" w:pos="1440"/>
        </w:tabs>
        <w:ind w:left="1440" w:hanging="360"/>
      </w:pPr>
      <w:rPr>
        <w:rFonts w:ascii="Times New Roman" w:hAnsi="Times New Roman" w:hint="default"/>
      </w:rPr>
    </w:lvl>
    <w:lvl w:ilvl="2" w:tplc="63424F12">
      <w:start w:val="1"/>
      <w:numFmt w:val="bullet"/>
      <w:lvlText w:val="•"/>
      <w:lvlJc w:val="left"/>
      <w:pPr>
        <w:tabs>
          <w:tab w:val="num" w:pos="2160"/>
        </w:tabs>
        <w:ind w:left="2160" w:hanging="360"/>
      </w:pPr>
      <w:rPr>
        <w:rFonts w:ascii="Times New Roman" w:hAnsi="Times New Roman" w:hint="default"/>
      </w:rPr>
    </w:lvl>
    <w:lvl w:ilvl="3" w:tplc="C67ACC6A">
      <w:start w:val="1"/>
      <w:numFmt w:val="bullet"/>
      <w:lvlText w:val="•"/>
      <w:lvlJc w:val="left"/>
      <w:pPr>
        <w:tabs>
          <w:tab w:val="num" w:pos="2880"/>
        </w:tabs>
        <w:ind w:left="2880" w:hanging="360"/>
      </w:pPr>
      <w:rPr>
        <w:rFonts w:ascii="Times New Roman" w:hAnsi="Times New Roman" w:hint="default"/>
      </w:rPr>
    </w:lvl>
    <w:lvl w:ilvl="4" w:tplc="99F4B43C">
      <w:start w:val="1"/>
      <w:numFmt w:val="bullet"/>
      <w:lvlText w:val="•"/>
      <w:lvlJc w:val="left"/>
      <w:pPr>
        <w:tabs>
          <w:tab w:val="num" w:pos="3600"/>
        </w:tabs>
        <w:ind w:left="3600" w:hanging="360"/>
      </w:pPr>
      <w:rPr>
        <w:rFonts w:ascii="Times New Roman" w:hAnsi="Times New Roman" w:hint="default"/>
      </w:rPr>
    </w:lvl>
    <w:lvl w:ilvl="5" w:tplc="F89E9218">
      <w:start w:val="1"/>
      <w:numFmt w:val="bullet"/>
      <w:lvlText w:val="•"/>
      <w:lvlJc w:val="left"/>
      <w:pPr>
        <w:tabs>
          <w:tab w:val="num" w:pos="4320"/>
        </w:tabs>
        <w:ind w:left="4320" w:hanging="360"/>
      </w:pPr>
      <w:rPr>
        <w:rFonts w:ascii="Times New Roman" w:hAnsi="Times New Roman" w:hint="default"/>
      </w:rPr>
    </w:lvl>
    <w:lvl w:ilvl="6" w:tplc="4476C1AC">
      <w:start w:val="1"/>
      <w:numFmt w:val="bullet"/>
      <w:lvlText w:val="•"/>
      <w:lvlJc w:val="left"/>
      <w:pPr>
        <w:tabs>
          <w:tab w:val="num" w:pos="5040"/>
        </w:tabs>
        <w:ind w:left="5040" w:hanging="360"/>
      </w:pPr>
      <w:rPr>
        <w:rFonts w:ascii="Times New Roman" w:hAnsi="Times New Roman" w:hint="default"/>
      </w:rPr>
    </w:lvl>
    <w:lvl w:ilvl="7" w:tplc="9AC01F74">
      <w:start w:val="1"/>
      <w:numFmt w:val="bullet"/>
      <w:lvlText w:val="•"/>
      <w:lvlJc w:val="left"/>
      <w:pPr>
        <w:tabs>
          <w:tab w:val="num" w:pos="5760"/>
        </w:tabs>
        <w:ind w:left="5760" w:hanging="360"/>
      </w:pPr>
      <w:rPr>
        <w:rFonts w:ascii="Times New Roman" w:hAnsi="Times New Roman" w:hint="default"/>
      </w:rPr>
    </w:lvl>
    <w:lvl w:ilvl="8" w:tplc="30E4F4BE">
      <w:start w:val="1"/>
      <w:numFmt w:val="bullet"/>
      <w:lvlText w:val="•"/>
      <w:lvlJc w:val="left"/>
      <w:pPr>
        <w:tabs>
          <w:tab w:val="num" w:pos="6480"/>
        </w:tabs>
        <w:ind w:left="6480" w:hanging="360"/>
      </w:pPr>
      <w:rPr>
        <w:rFonts w:ascii="Times New Roman" w:hAnsi="Times New Roman" w:hint="default"/>
      </w:rPr>
    </w:lvl>
  </w:abstractNum>
  <w:abstractNum w:abstractNumId="7">
    <w:nsid w:val="559B6B1B"/>
    <w:multiLevelType w:val="hybridMultilevel"/>
    <w:tmpl w:val="5AC47E86"/>
    <w:lvl w:ilvl="0" w:tplc="7A44EB0C">
      <w:start w:val="1"/>
      <w:numFmt w:val="bullet"/>
      <w:lvlText w:val="•"/>
      <w:lvlJc w:val="left"/>
      <w:pPr>
        <w:tabs>
          <w:tab w:val="num" w:pos="720"/>
        </w:tabs>
        <w:ind w:left="720" w:hanging="360"/>
      </w:pPr>
      <w:rPr>
        <w:rFonts w:ascii="Times New Roman" w:hAnsi="Times New Roman" w:hint="default"/>
      </w:rPr>
    </w:lvl>
    <w:lvl w:ilvl="1" w:tplc="D2221B0C">
      <w:start w:val="1"/>
      <w:numFmt w:val="bullet"/>
      <w:lvlText w:val="•"/>
      <w:lvlJc w:val="left"/>
      <w:pPr>
        <w:tabs>
          <w:tab w:val="num" w:pos="1440"/>
        </w:tabs>
        <w:ind w:left="1440" w:hanging="360"/>
      </w:pPr>
      <w:rPr>
        <w:rFonts w:ascii="Times New Roman" w:hAnsi="Times New Roman" w:hint="default"/>
      </w:rPr>
    </w:lvl>
    <w:lvl w:ilvl="2" w:tplc="F77A9AD6">
      <w:start w:val="1"/>
      <w:numFmt w:val="bullet"/>
      <w:lvlText w:val="•"/>
      <w:lvlJc w:val="left"/>
      <w:pPr>
        <w:tabs>
          <w:tab w:val="num" w:pos="2160"/>
        </w:tabs>
        <w:ind w:left="2160" w:hanging="360"/>
      </w:pPr>
      <w:rPr>
        <w:rFonts w:ascii="Times New Roman" w:hAnsi="Times New Roman" w:hint="default"/>
      </w:rPr>
    </w:lvl>
    <w:lvl w:ilvl="3" w:tplc="B4D4CB5A">
      <w:start w:val="1"/>
      <w:numFmt w:val="bullet"/>
      <w:lvlText w:val="•"/>
      <w:lvlJc w:val="left"/>
      <w:pPr>
        <w:tabs>
          <w:tab w:val="num" w:pos="2880"/>
        </w:tabs>
        <w:ind w:left="2880" w:hanging="360"/>
      </w:pPr>
      <w:rPr>
        <w:rFonts w:ascii="Times New Roman" w:hAnsi="Times New Roman" w:hint="default"/>
      </w:rPr>
    </w:lvl>
    <w:lvl w:ilvl="4" w:tplc="C318F038">
      <w:start w:val="1"/>
      <w:numFmt w:val="bullet"/>
      <w:lvlText w:val="•"/>
      <w:lvlJc w:val="left"/>
      <w:pPr>
        <w:tabs>
          <w:tab w:val="num" w:pos="3600"/>
        </w:tabs>
        <w:ind w:left="3600" w:hanging="360"/>
      </w:pPr>
      <w:rPr>
        <w:rFonts w:ascii="Times New Roman" w:hAnsi="Times New Roman" w:hint="default"/>
      </w:rPr>
    </w:lvl>
    <w:lvl w:ilvl="5" w:tplc="3C222FB4">
      <w:start w:val="1"/>
      <w:numFmt w:val="bullet"/>
      <w:lvlText w:val="•"/>
      <w:lvlJc w:val="left"/>
      <w:pPr>
        <w:tabs>
          <w:tab w:val="num" w:pos="4320"/>
        </w:tabs>
        <w:ind w:left="4320" w:hanging="360"/>
      </w:pPr>
      <w:rPr>
        <w:rFonts w:ascii="Times New Roman" w:hAnsi="Times New Roman" w:hint="default"/>
      </w:rPr>
    </w:lvl>
    <w:lvl w:ilvl="6" w:tplc="651C495C">
      <w:start w:val="1"/>
      <w:numFmt w:val="bullet"/>
      <w:lvlText w:val="•"/>
      <w:lvlJc w:val="left"/>
      <w:pPr>
        <w:tabs>
          <w:tab w:val="num" w:pos="5040"/>
        </w:tabs>
        <w:ind w:left="5040" w:hanging="360"/>
      </w:pPr>
      <w:rPr>
        <w:rFonts w:ascii="Times New Roman" w:hAnsi="Times New Roman" w:hint="default"/>
      </w:rPr>
    </w:lvl>
    <w:lvl w:ilvl="7" w:tplc="BFA81542">
      <w:start w:val="1"/>
      <w:numFmt w:val="bullet"/>
      <w:lvlText w:val="•"/>
      <w:lvlJc w:val="left"/>
      <w:pPr>
        <w:tabs>
          <w:tab w:val="num" w:pos="5760"/>
        </w:tabs>
        <w:ind w:left="5760" w:hanging="360"/>
      </w:pPr>
      <w:rPr>
        <w:rFonts w:ascii="Times New Roman" w:hAnsi="Times New Roman" w:hint="default"/>
      </w:rPr>
    </w:lvl>
    <w:lvl w:ilvl="8" w:tplc="ECE24BDA">
      <w:start w:val="1"/>
      <w:numFmt w:val="bullet"/>
      <w:lvlText w:val="•"/>
      <w:lvlJc w:val="left"/>
      <w:pPr>
        <w:tabs>
          <w:tab w:val="num" w:pos="6480"/>
        </w:tabs>
        <w:ind w:left="6480" w:hanging="360"/>
      </w:pPr>
      <w:rPr>
        <w:rFonts w:ascii="Times New Roman" w:hAnsi="Times New Roman" w:hint="default"/>
      </w:rPr>
    </w:lvl>
  </w:abstractNum>
  <w:abstractNum w:abstractNumId="8">
    <w:nsid w:val="5ABD4DCF"/>
    <w:multiLevelType w:val="hybridMultilevel"/>
    <w:tmpl w:val="54965262"/>
    <w:lvl w:ilvl="0" w:tplc="65E8F56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AFA6841"/>
    <w:multiLevelType w:val="hybridMultilevel"/>
    <w:tmpl w:val="C55E316A"/>
    <w:lvl w:ilvl="0" w:tplc="3F92259A">
      <w:start w:val="1"/>
      <w:numFmt w:val="bullet"/>
      <w:lvlText w:val="•"/>
      <w:lvlJc w:val="left"/>
      <w:pPr>
        <w:tabs>
          <w:tab w:val="num" w:pos="720"/>
        </w:tabs>
        <w:ind w:left="720" w:hanging="360"/>
      </w:pPr>
      <w:rPr>
        <w:rFonts w:ascii="Times New Roman" w:hAnsi="Times New Roman" w:cs="Times New Roman" w:hint="default"/>
      </w:rPr>
    </w:lvl>
    <w:lvl w:ilvl="1" w:tplc="0B8693D8">
      <w:start w:val="1"/>
      <w:numFmt w:val="bullet"/>
      <w:lvlText w:val="•"/>
      <w:lvlJc w:val="left"/>
      <w:pPr>
        <w:tabs>
          <w:tab w:val="num" w:pos="1440"/>
        </w:tabs>
        <w:ind w:left="1440" w:hanging="360"/>
      </w:pPr>
      <w:rPr>
        <w:rFonts w:ascii="Times New Roman" w:hAnsi="Times New Roman" w:cs="Times New Roman" w:hint="default"/>
      </w:rPr>
    </w:lvl>
    <w:lvl w:ilvl="2" w:tplc="6C42B74A">
      <w:start w:val="1"/>
      <w:numFmt w:val="bullet"/>
      <w:lvlText w:val="•"/>
      <w:lvlJc w:val="left"/>
      <w:pPr>
        <w:tabs>
          <w:tab w:val="num" w:pos="2160"/>
        </w:tabs>
        <w:ind w:left="2160" w:hanging="360"/>
      </w:pPr>
      <w:rPr>
        <w:rFonts w:ascii="Times New Roman" w:hAnsi="Times New Roman" w:cs="Times New Roman" w:hint="default"/>
      </w:rPr>
    </w:lvl>
    <w:lvl w:ilvl="3" w:tplc="34E24342">
      <w:start w:val="1"/>
      <w:numFmt w:val="bullet"/>
      <w:lvlText w:val="•"/>
      <w:lvlJc w:val="left"/>
      <w:pPr>
        <w:tabs>
          <w:tab w:val="num" w:pos="2880"/>
        </w:tabs>
        <w:ind w:left="2880" w:hanging="360"/>
      </w:pPr>
      <w:rPr>
        <w:rFonts w:ascii="Times New Roman" w:hAnsi="Times New Roman" w:cs="Times New Roman" w:hint="default"/>
      </w:rPr>
    </w:lvl>
    <w:lvl w:ilvl="4" w:tplc="AC966710">
      <w:start w:val="1"/>
      <w:numFmt w:val="bullet"/>
      <w:lvlText w:val="•"/>
      <w:lvlJc w:val="left"/>
      <w:pPr>
        <w:tabs>
          <w:tab w:val="num" w:pos="3600"/>
        </w:tabs>
        <w:ind w:left="3600" w:hanging="360"/>
      </w:pPr>
      <w:rPr>
        <w:rFonts w:ascii="Times New Roman" w:hAnsi="Times New Roman" w:cs="Times New Roman" w:hint="default"/>
      </w:rPr>
    </w:lvl>
    <w:lvl w:ilvl="5" w:tplc="381AC2BE">
      <w:start w:val="1"/>
      <w:numFmt w:val="bullet"/>
      <w:lvlText w:val="•"/>
      <w:lvlJc w:val="left"/>
      <w:pPr>
        <w:tabs>
          <w:tab w:val="num" w:pos="4320"/>
        </w:tabs>
        <w:ind w:left="4320" w:hanging="360"/>
      </w:pPr>
      <w:rPr>
        <w:rFonts w:ascii="Times New Roman" w:hAnsi="Times New Roman" w:cs="Times New Roman" w:hint="default"/>
      </w:rPr>
    </w:lvl>
    <w:lvl w:ilvl="6" w:tplc="73226E52">
      <w:start w:val="1"/>
      <w:numFmt w:val="bullet"/>
      <w:lvlText w:val="•"/>
      <w:lvlJc w:val="left"/>
      <w:pPr>
        <w:tabs>
          <w:tab w:val="num" w:pos="5040"/>
        </w:tabs>
        <w:ind w:left="5040" w:hanging="360"/>
      </w:pPr>
      <w:rPr>
        <w:rFonts w:ascii="Times New Roman" w:hAnsi="Times New Roman" w:cs="Times New Roman" w:hint="default"/>
      </w:rPr>
    </w:lvl>
    <w:lvl w:ilvl="7" w:tplc="C360C060">
      <w:start w:val="1"/>
      <w:numFmt w:val="bullet"/>
      <w:lvlText w:val="•"/>
      <w:lvlJc w:val="left"/>
      <w:pPr>
        <w:tabs>
          <w:tab w:val="num" w:pos="5760"/>
        </w:tabs>
        <w:ind w:left="5760" w:hanging="360"/>
      </w:pPr>
      <w:rPr>
        <w:rFonts w:ascii="Times New Roman" w:hAnsi="Times New Roman" w:cs="Times New Roman" w:hint="default"/>
      </w:rPr>
    </w:lvl>
    <w:lvl w:ilvl="8" w:tplc="9CB08E82">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03638A8"/>
    <w:multiLevelType w:val="hybridMultilevel"/>
    <w:tmpl w:val="287A32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C896047"/>
    <w:multiLevelType w:val="hybridMultilevel"/>
    <w:tmpl w:val="8CB80580"/>
    <w:lvl w:ilvl="0" w:tplc="374EFE14">
      <w:start w:val="1"/>
      <w:numFmt w:val="bullet"/>
      <w:lvlText w:val="–"/>
      <w:lvlJc w:val="left"/>
      <w:pPr>
        <w:tabs>
          <w:tab w:val="num" w:pos="720"/>
        </w:tabs>
        <w:ind w:left="720" w:hanging="360"/>
      </w:pPr>
      <w:rPr>
        <w:rFonts w:ascii="Tahoma" w:hAnsi="Tahoma" w:cs="Tahoma" w:hint="default"/>
      </w:rPr>
    </w:lvl>
    <w:lvl w:ilvl="1" w:tplc="D78A5F8A">
      <w:start w:val="1"/>
      <w:numFmt w:val="bullet"/>
      <w:lvlText w:val="–"/>
      <w:lvlJc w:val="left"/>
      <w:pPr>
        <w:tabs>
          <w:tab w:val="num" w:pos="1440"/>
        </w:tabs>
        <w:ind w:left="1440" w:hanging="360"/>
      </w:pPr>
      <w:rPr>
        <w:rFonts w:ascii="Tahoma" w:hAnsi="Tahoma" w:cs="Tahoma" w:hint="default"/>
      </w:rPr>
    </w:lvl>
    <w:lvl w:ilvl="2" w:tplc="B6242BC6">
      <w:start w:val="1"/>
      <w:numFmt w:val="bullet"/>
      <w:lvlText w:val="–"/>
      <w:lvlJc w:val="left"/>
      <w:pPr>
        <w:tabs>
          <w:tab w:val="num" w:pos="2160"/>
        </w:tabs>
        <w:ind w:left="2160" w:hanging="360"/>
      </w:pPr>
      <w:rPr>
        <w:rFonts w:ascii="Tahoma" w:hAnsi="Tahoma" w:cs="Tahoma" w:hint="default"/>
      </w:rPr>
    </w:lvl>
    <w:lvl w:ilvl="3" w:tplc="CC62596C">
      <w:start w:val="1"/>
      <w:numFmt w:val="bullet"/>
      <w:lvlText w:val="–"/>
      <w:lvlJc w:val="left"/>
      <w:pPr>
        <w:tabs>
          <w:tab w:val="num" w:pos="2880"/>
        </w:tabs>
        <w:ind w:left="2880" w:hanging="360"/>
      </w:pPr>
      <w:rPr>
        <w:rFonts w:ascii="Tahoma" w:hAnsi="Tahoma" w:cs="Tahoma" w:hint="default"/>
      </w:rPr>
    </w:lvl>
    <w:lvl w:ilvl="4" w:tplc="ED522800">
      <w:start w:val="1"/>
      <w:numFmt w:val="bullet"/>
      <w:lvlText w:val="–"/>
      <w:lvlJc w:val="left"/>
      <w:pPr>
        <w:tabs>
          <w:tab w:val="num" w:pos="3600"/>
        </w:tabs>
        <w:ind w:left="3600" w:hanging="360"/>
      </w:pPr>
      <w:rPr>
        <w:rFonts w:ascii="Tahoma" w:hAnsi="Tahoma" w:cs="Tahoma" w:hint="default"/>
      </w:rPr>
    </w:lvl>
    <w:lvl w:ilvl="5" w:tplc="E8245702">
      <w:start w:val="1"/>
      <w:numFmt w:val="bullet"/>
      <w:lvlText w:val="–"/>
      <w:lvlJc w:val="left"/>
      <w:pPr>
        <w:tabs>
          <w:tab w:val="num" w:pos="4320"/>
        </w:tabs>
        <w:ind w:left="4320" w:hanging="360"/>
      </w:pPr>
      <w:rPr>
        <w:rFonts w:ascii="Tahoma" w:hAnsi="Tahoma" w:cs="Tahoma" w:hint="default"/>
      </w:rPr>
    </w:lvl>
    <w:lvl w:ilvl="6" w:tplc="7812E84A">
      <w:start w:val="1"/>
      <w:numFmt w:val="bullet"/>
      <w:lvlText w:val="–"/>
      <w:lvlJc w:val="left"/>
      <w:pPr>
        <w:tabs>
          <w:tab w:val="num" w:pos="5040"/>
        </w:tabs>
        <w:ind w:left="5040" w:hanging="360"/>
      </w:pPr>
      <w:rPr>
        <w:rFonts w:ascii="Tahoma" w:hAnsi="Tahoma" w:cs="Tahoma" w:hint="default"/>
      </w:rPr>
    </w:lvl>
    <w:lvl w:ilvl="7" w:tplc="1FC8B1DC">
      <w:start w:val="1"/>
      <w:numFmt w:val="bullet"/>
      <w:lvlText w:val="–"/>
      <w:lvlJc w:val="left"/>
      <w:pPr>
        <w:tabs>
          <w:tab w:val="num" w:pos="5760"/>
        </w:tabs>
        <w:ind w:left="5760" w:hanging="360"/>
      </w:pPr>
      <w:rPr>
        <w:rFonts w:ascii="Tahoma" w:hAnsi="Tahoma" w:cs="Tahoma" w:hint="default"/>
      </w:rPr>
    </w:lvl>
    <w:lvl w:ilvl="8" w:tplc="E586D5F4">
      <w:start w:val="1"/>
      <w:numFmt w:val="bullet"/>
      <w:lvlText w:val="–"/>
      <w:lvlJc w:val="left"/>
      <w:pPr>
        <w:tabs>
          <w:tab w:val="num" w:pos="6480"/>
        </w:tabs>
        <w:ind w:left="6480" w:hanging="360"/>
      </w:pPr>
      <w:rPr>
        <w:rFonts w:ascii="Tahoma" w:hAnsi="Tahoma" w:cs="Tahoma" w:hint="default"/>
      </w:rPr>
    </w:lvl>
  </w:abstractNum>
  <w:abstractNum w:abstractNumId="12">
    <w:nsid w:val="7CED64D4"/>
    <w:multiLevelType w:val="hybridMultilevel"/>
    <w:tmpl w:val="C32AA67C"/>
    <w:lvl w:ilvl="0" w:tplc="90AA2D96">
      <w:start w:val="1"/>
      <w:numFmt w:val="bullet"/>
      <w:lvlText w:val="•"/>
      <w:lvlJc w:val="left"/>
      <w:pPr>
        <w:tabs>
          <w:tab w:val="num" w:pos="720"/>
        </w:tabs>
        <w:ind w:left="720" w:hanging="360"/>
      </w:pPr>
      <w:rPr>
        <w:rFonts w:ascii="Times New Roman" w:hAnsi="Times New Roman" w:cs="Times New Roman" w:hint="default"/>
      </w:rPr>
    </w:lvl>
    <w:lvl w:ilvl="1" w:tplc="5ABEA710">
      <w:start w:val="1"/>
      <w:numFmt w:val="bullet"/>
      <w:lvlText w:val="•"/>
      <w:lvlJc w:val="left"/>
      <w:pPr>
        <w:tabs>
          <w:tab w:val="num" w:pos="1440"/>
        </w:tabs>
        <w:ind w:left="1440" w:hanging="360"/>
      </w:pPr>
      <w:rPr>
        <w:rFonts w:ascii="Times New Roman" w:hAnsi="Times New Roman" w:cs="Times New Roman" w:hint="default"/>
      </w:rPr>
    </w:lvl>
    <w:lvl w:ilvl="2" w:tplc="C3AAC5DE">
      <w:start w:val="1"/>
      <w:numFmt w:val="bullet"/>
      <w:lvlText w:val="•"/>
      <w:lvlJc w:val="left"/>
      <w:pPr>
        <w:tabs>
          <w:tab w:val="num" w:pos="2160"/>
        </w:tabs>
        <w:ind w:left="2160" w:hanging="360"/>
      </w:pPr>
      <w:rPr>
        <w:rFonts w:ascii="Times New Roman" w:hAnsi="Times New Roman" w:cs="Times New Roman" w:hint="default"/>
      </w:rPr>
    </w:lvl>
    <w:lvl w:ilvl="3" w:tplc="922AEFFE">
      <w:start w:val="1"/>
      <w:numFmt w:val="bullet"/>
      <w:lvlText w:val="•"/>
      <w:lvlJc w:val="left"/>
      <w:pPr>
        <w:tabs>
          <w:tab w:val="num" w:pos="2880"/>
        </w:tabs>
        <w:ind w:left="2880" w:hanging="360"/>
      </w:pPr>
      <w:rPr>
        <w:rFonts w:ascii="Times New Roman" w:hAnsi="Times New Roman" w:cs="Times New Roman" w:hint="default"/>
      </w:rPr>
    </w:lvl>
    <w:lvl w:ilvl="4" w:tplc="94168D90">
      <w:start w:val="1"/>
      <w:numFmt w:val="bullet"/>
      <w:lvlText w:val="•"/>
      <w:lvlJc w:val="left"/>
      <w:pPr>
        <w:tabs>
          <w:tab w:val="num" w:pos="3600"/>
        </w:tabs>
        <w:ind w:left="3600" w:hanging="360"/>
      </w:pPr>
      <w:rPr>
        <w:rFonts w:ascii="Times New Roman" w:hAnsi="Times New Roman" w:cs="Times New Roman" w:hint="default"/>
      </w:rPr>
    </w:lvl>
    <w:lvl w:ilvl="5" w:tplc="7A16108E">
      <w:start w:val="1"/>
      <w:numFmt w:val="bullet"/>
      <w:lvlText w:val="•"/>
      <w:lvlJc w:val="left"/>
      <w:pPr>
        <w:tabs>
          <w:tab w:val="num" w:pos="4320"/>
        </w:tabs>
        <w:ind w:left="4320" w:hanging="360"/>
      </w:pPr>
      <w:rPr>
        <w:rFonts w:ascii="Times New Roman" w:hAnsi="Times New Roman" w:cs="Times New Roman" w:hint="default"/>
      </w:rPr>
    </w:lvl>
    <w:lvl w:ilvl="6" w:tplc="618CA2C2">
      <w:start w:val="1"/>
      <w:numFmt w:val="bullet"/>
      <w:lvlText w:val="•"/>
      <w:lvlJc w:val="left"/>
      <w:pPr>
        <w:tabs>
          <w:tab w:val="num" w:pos="5040"/>
        </w:tabs>
        <w:ind w:left="5040" w:hanging="360"/>
      </w:pPr>
      <w:rPr>
        <w:rFonts w:ascii="Times New Roman" w:hAnsi="Times New Roman" w:cs="Times New Roman" w:hint="default"/>
      </w:rPr>
    </w:lvl>
    <w:lvl w:ilvl="7" w:tplc="9B048834">
      <w:start w:val="1"/>
      <w:numFmt w:val="bullet"/>
      <w:lvlText w:val="•"/>
      <w:lvlJc w:val="left"/>
      <w:pPr>
        <w:tabs>
          <w:tab w:val="num" w:pos="5760"/>
        </w:tabs>
        <w:ind w:left="5760" w:hanging="360"/>
      </w:pPr>
      <w:rPr>
        <w:rFonts w:ascii="Times New Roman" w:hAnsi="Times New Roman" w:cs="Times New Roman" w:hint="default"/>
      </w:rPr>
    </w:lvl>
    <w:lvl w:ilvl="8" w:tplc="9C30794C">
      <w:start w:val="1"/>
      <w:numFmt w:val="bullet"/>
      <w:lvlText w:val="•"/>
      <w:lvlJc w:val="left"/>
      <w:pPr>
        <w:tabs>
          <w:tab w:val="num" w:pos="6480"/>
        </w:tabs>
        <w:ind w:left="6480" w:hanging="360"/>
      </w:pPr>
      <w:rPr>
        <w:rFonts w:ascii="Times New Roman" w:hAnsi="Times New Roman" w:cs="Times New Roman" w:hint="default"/>
      </w:rPr>
    </w:lvl>
  </w:abstractNum>
  <w:num w:numId="1">
    <w:abstractNumId w:val="6"/>
  </w:num>
  <w:num w:numId="2">
    <w:abstractNumId w:val="12"/>
  </w:num>
  <w:num w:numId="3">
    <w:abstractNumId w:val="0"/>
  </w:num>
  <w:num w:numId="4">
    <w:abstractNumId w:val="1"/>
  </w:num>
  <w:num w:numId="5">
    <w:abstractNumId w:val="9"/>
  </w:num>
  <w:num w:numId="6">
    <w:abstractNumId w:val="7"/>
  </w:num>
  <w:num w:numId="7">
    <w:abstractNumId w:val="11"/>
  </w:num>
  <w:num w:numId="8">
    <w:abstractNumId w:val="10"/>
  </w:num>
  <w:num w:numId="9">
    <w:abstractNumId w:val="5"/>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B7"/>
    <w:rsid w:val="000027F6"/>
    <w:rsid w:val="00003517"/>
    <w:rsid w:val="00006868"/>
    <w:rsid w:val="00007938"/>
    <w:rsid w:val="000121FA"/>
    <w:rsid w:val="0001456F"/>
    <w:rsid w:val="00020FAA"/>
    <w:rsid w:val="000267D3"/>
    <w:rsid w:val="00033743"/>
    <w:rsid w:val="00037283"/>
    <w:rsid w:val="000465DA"/>
    <w:rsid w:val="00063041"/>
    <w:rsid w:val="000743F8"/>
    <w:rsid w:val="000756D2"/>
    <w:rsid w:val="000820AD"/>
    <w:rsid w:val="00092A94"/>
    <w:rsid w:val="0009444F"/>
    <w:rsid w:val="00097518"/>
    <w:rsid w:val="000A24EE"/>
    <w:rsid w:val="000A34B6"/>
    <w:rsid w:val="000B43A3"/>
    <w:rsid w:val="000B5DEF"/>
    <w:rsid w:val="000B6726"/>
    <w:rsid w:val="000C51CA"/>
    <w:rsid w:val="000E1068"/>
    <w:rsid w:val="000E6B55"/>
    <w:rsid w:val="001028AE"/>
    <w:rsid w:val="00104C3E"/>
    <w:rsid w:val="00106DD6"/>
    <w:rsid w:val="00107E99"/>
    <w:rsid w:val="001141D1"/>
    <w:rsid w:val="00117BBC"/>
    <w:rsid w:val="001205EE"/>
    <w:rsid w:val="001262E0"/>
    <w:rsid w:val="0012658C"/>
    <w:rsid w:val="00127EA0"/>
    <w:rsid w:val="00132C89"/>
    <w:rsid w:val="001432A8"/>
    <w:rsid w:val="001432B0"/>
    <w:rsid w:val="00150AF2"/>
    <w:rsid w:val="0015224C"/>
    <w:rsid w:val="0015365E"/>
    <w:rsid w:val="001575B1"/>
    <w:rsid w:val="001908F7"/>
    <w:rsid w:val="00192B71"/>
    <w:rsid w:val="001947C0"/>
    <w:rsid w:val="0019650F"/>
    <w:rsid w:val="001B1910"/>
    <w:rsid w:val="001C0EDC"/>
    <w:rsid w:val="001D3AA8"/>
    <w:rsid w:val="001D7BA3"/>
    <w:rsid w:val="001E369A"/>
    <w:rsid w:val="001F1958"/>
    <w:rsid w:val="001F294A"/>
    <w:rsid w:val="00201067"/>
    <w:rsid w:val="002220A9"/>
    <w:rsid w:val="0022644C"/>
    <w:rsid w:val="00233D53"/>
    <w:rsid w:val="002415F5"/>
    <w:rsid w:val="00246221"/>
    <w:rsid w:val="00250BBA"/>
    <w:rsid w:val="0025144B"/>
    <w:rsid w:val="00254B20"/>
    <w:rsid w:val="00255D3D"/>
    <w:rsid w:val="00257B74"/>
    <w:rsid w:val="00273B8D"/>
    <w:rsid w:val="00274687"/>
    <w:rsid w:val="00281D12"/>
    <w:rsid w:val="00293CA9"/>
    <w:rsid w:val="002A1763"/>
    <w:rsid w:val="002A3BD1"/>
    <w:rsid w:val="002B268A"/>
    <w:rsid w:val="002C2A17"/>
    <w:rsid w:val="002C63A0"/>
    <w:rsid w:val="002D0F23"/>
    <w:rsid w:val="002D2F5C"/>
    <w:rsid w:val="002D4B8A"/>
    <w:rsid w:val="002D4FA4"/>
    <w:rsid w:val="002E30DF"/>
    <w:rsid w:val="002E3532"/>
    <w:rsid w:val="002E4CF6"/>
    <w:rsid w:val="002E5E1A"/>
    <w:rsid w:val="002E7721"/>
    <w:rsid w:val="002F7BB8"/>
    <w:rsid w:val="003022D0"/>
    <w:rsid w:val="00322AFD"/>
    <w:rsid w:val="00323CB7"/>
    <w:rsid w:val="00333BA5"/>
    <w:rsid w:val="00337AD1"/>
    <w:rsid w:val="00353875"/>
    <w:rsid w:val="00356500"/>
    <w:rsid w:val="003572B4"/>
    <w:rsid w:val="003607E7"/>
    <w:rsid w:val="00364E0B"/>
    <w:rsid w:val="00366051"/>
    <w:rsid w:val="00370EE9"/>
    <w:rsid w:val="00371560"/>
    <w:rsid w:val="00371637"/>
    <w:rsid w:val="0037684A"/>
    <w:rsid w:val="00381D29"/>
    <w:rsid w:val="003A0B1A"/>
    <w:rsid w:val="003A3A3E"/>
    <w:rsid w:val="003A54D3"/>
    <w:rsid w:val="003A68F4"/>
    <w:rsid w:val="003A74C4"/>
    <w:rsid w:val="003A78ED"/>
    <w:rsid w:val="003B0998"/>
    <w:rsid w:val="003B151D"/>
    <w:rsid w:val="003B1E84"/>
    <w:rsid w:val="003B2CC5"/>
    <w:rsid w:val="003C08E5"/>
    <w:rsid w:val="003D2063"/>
    <w:rsid w:val="003D236E"/>
    <w:rsid w:val="003D3E37"/>
    <w:rsid w:val="003D4A7D"/>
    <w:rsid w:val="003E7400"/>
    <w:rsid w:val="003E7766"/>
    <w:rsid w:val="003F1072"/>
    <w:rsid w:val="003F7FB4"/>
    <w:rsid w:val="004017E3"/>
    <w:rsid w:val="00404C83"/>
    <w:rsid w:val="00404D7D"/>
    <w:rsid w:val="00407414"/>
    <w:rsid w:val="004076DE"/>
    <w:rsid w:val="00413E77"/>
    <w:rsid w:val="004158FE"/>
    <w:rsid w:val="00425CC5"/>
    <w:rsid w:val="004352D5"/>
    <w:rsid w:val="00436EE5"/>
    <w:rsid w:val="00447F2F"/>
    <w:rsid w:val="00453EAE"/>
    <w:rsid w:val="0046019A"/>
    <w:rsid w:val="0046216F"/>
    <w:rsid w:val="00464233"/>
    <w:rsid w:val="00482079"/>
    <w:rsid w:val="00487527"/>
    <w:rsid w:val="004A2FBF"/>
    <w:rsid w:val="004A533E"/>
    <w:rsid w:val="004A5830"/>
    <w:rsid w:val="004A6531"/>
    <w:rsid w:val="004B0744"/>
    <w:rsid w:val="004B2DE0"/>
    <w:rsid w:val="004B3F58"/>
    <w:rsid w:val="004B5C40"/>
    <w:rsid w:val="004C0FB0"/>
    <w:rsid w:val="004C15BF"/>
    <w:rsid w:val="004C2481"/>
    <w:rsid w:val="004D4BEF"/>
    <w:rsid w:val="004E1D3A"/>
    <w:rsid w:val="004E2D7F"/>
    <w:rsid w:val="004F2D1F"/>
    <w:rsid w:val="00503959"/>
    <w:rsid w:val="00511F83"/>
    <w:rsid w:val="005171E9"/>
    <w:rsid w:val="00522F5E"/>
    <w:rsid w:val="005241DE"/>
    <w:rsid w:val="0052666D"/>
    <w:rsid w:val="005318DC"/>
    <w:rsid w:val="005377BB"/>
    <w:rsid w:val="005447D4"/>
    <w:rsid w:val="00552288"/>
    <w:rsid w:val="005571CA"/>
    <w:rsid w:val="0057044C"/>
    <w:rsid w:val="0057265D"/>
    <w:rsid w:val="00573738"/>
    <w:rsid w:val="00584948"/>
    <w:rsid w:val="0059080D"/>
    <w:rsid w:val="00592A2A"/>
    <w:rsid w:val="00597FB5"/>
    <w:rsid w:val="005B2068"/>
    <w:rsid w:val="005B302C"/>
    <w:rsid w:val="005C20DE"/>
    <w:rsid w:val="005D10DE"/>
    <w:rsid w:val="005D2C4A"/>
    <w:rsid w:val="005D2E66"/>
    <w:rsid w:val="005F107E"/>
    <w:rsid w:val="005F61AE"/>
    <w:rsid w:val="00601C48"/>
    <w:rsid w:val="00601F0C"/>
    <w:rsid w:val="0060345E"/>
    <w:rsid w:val="00605DE9"/>
    <w:rsid w:val="006154EA"/>
    <w:rsid w:val="00617B8D"/>
    <w:rsid w:val="00623B15"/>
    <w:rsid w:val="00633460"/>
    <w:rsid w:val="00633BB9"/>
    <w:rsid w:val="00663B32"/>
    <w:rsid w:val="00666908"/>
    <w:rsid w:val="00680F7C"/>
    <w:rsid w:val="0069227F"/>
    <w:rsid w:val="006A701A"/>
    <w:rsid w:val="006D3A61"/>
    <w:rsid w:val="006D4EF7"/>
    <w:rsid w:val="006E08F0"/>
    <w:rsid w:val="006E143C"/>
    <w:rsid w:val="006E3C83"/>
    <w:rsid w:val="006F483F"/>
    <w:rsid w:val="006F782E"/>
    <w:rsid w:val="006F7CA4"/>
    <w:rsid w:val="006F7E48"/>
    <w:rsid w:val="007053D3"/>
    <w:rsid w:val="0071354B"/>
    <w:rsid w:val="00714A03"/>
    <w:rsid w:val="00716CD1"/>
    <w:rsid w:val="00730B61"/>
    <w:rsid w:val="00731077"/>
    <w:rsid w:val="00731A4D"/>
    <w:rsid w:val="0073781A"/>
    <w:rsid w:val="007601AD"/>
    <w:rsid w:val="00760DA0"/>
    <w:rsid w:val="0076156F"/>
    <w:rsid w:val="0076480C"/>
    <w:rsid w:val="00774EE0"/>
    <w:rsid w:val="00775ECF"/>
    <w:rsid w:val="007A4B78"/>
    <w:rsid w:val="007A62A0"/>
    <w:rsid w:val="007B3825"/>
    <w:rsid w:val="007B42F9"/>
    <w:rsid w:val="007B6406"/>
    <w:rsid w:val="007C18C0"/>
    <w:rsid w:val="007C2E39"/>
    <w:rsid w:val="007C5976"/>
    <w:rsid w:val="007C65AB"/>
    <w:rsid w:val="007D4193"/>
    <w:rsid w:val="007D5408"/>
    <w:rsid w:val="007D690C"/>
    <w:rsid w:val="007D739C"/>
    <w:rsid w:val="007E35B3"/>
    <w:rsid w:val="008005ED"/>
    <w:rsid w:val="00817C0C"/>
    <w:rsid w:val="00827983"/>
    <w:rsid w:val="00833725"/>
    <w:rsid w:val="008340A1"/>
    <w:rsid w:val="00852CDC"/>
    <w:rsid w:val="00865F23"/>
    <w:rsid w:val="00871573"/>
    <w:rsid w:val="00875375"/>
    <w:rsid w:val="00875E89"/>
    <w:rsid w:val="00875FE3"/>
    <w:rsid w:val="008C0C25"/>
    <w:rsid w:val="008C3624"/>
    <w:rsid w:val="008C65FD"/>
    <w:rsid w:val="008C6E0D"/>
    <w:rsid w:val="008D1766"/>
    <w:rsid w:val="008D4FA7"/>
    <w:rsid w:val="008D6761"/>
    <w:rsid w:val="008E1821"/>
    <w:rsid w:val="008E1B69"/>
    <w:rsid w:val="008E556E"/>
    <w:rsid w:val="008E75F1"/>
    <w:rsid w:val="008F48E8"/>
    <w:rsid w:val="00904767"/>
    <w:rsid w:val="009126AD"/>
    <w:rsid w:val="00915B76"/>
    <w:rsid w:val="00917D16"/>
    <w:rsid w:val="00924979"/>
    <w:rsid w:val="00930428"/>
    <w:rsid w:val="00930B5C"/>
    <w:rsid w:val="00935A29"/>
    <w:rsid w:val="009418C3"/>
    <w:rsid w:val="00942D4D"/>
    <w:rsid w:val="009434D9"/>
    <w:rsid w:val="00945D00"/>
    <w:rsid w:val="00950D46"/>
    <w:rsid w:val="00961C27"/>
    <w:rsid w:val="0098172B"/>
    <w:rsid w:val="009903FD"/>
    <w:rsid w:val="00990601"/>
    <w:rsid w:val="00990951"/>
    <w:rsid w:val="00991F25"/>
    <w:rsid w:val="009A33F2"/>
    <w:rsid w:val="009A5EFC"/>
    <w:rsid w:val="009B6755"/>
    <w:rsid w:val="009D2F3F"/>
    <w:rsid w:val="009D4A00"/>
    <w:rsid w:val="009E0FC4"/>
    <w:rsid w:val="009E1DBF"/>
    <w:rsid w:val="009E328B"/>
    <w:rsid w:val="009F47A7"/>
    <w:rsid w:val="00A00E71"/>
    <w:rsid w:val="00A03846"/>
    <w:rsid w:val="00A07059"/>
    <w:rsid w:val="00A10E69"/>
    <w:rsid w:val="00A12080"/>
    <w:rsid w:val="00A12587"/>
    <w:rsid w:val="00A13A15"/>
    <w:rsid w:val="00A14EB5"/>
    <w:rsid w:val="00A20520"/>
    <w:rsid w:val="00A24657"/>
    <w:rsid w:val="00A25A95"/>
    <w:rsid w:val="00A3026D"/>
    <w:rsid w:val="00A33B1E"/>
    <w:rsid w:val="00A37CDB"/>
    <w:rsid w:val="00A54BDA"/>
    <w:rsid w:val="00A571F4"/>
    <w:rsid w:val="00A61B2E"/>
    <w:rsid w:val="00A7228A"/>
    <w:rsid w:val="00A83170"/>
    <w:rsid w:val="00A84E60"/>
    <w:rsid w:val="00A905B9"/>
    <w:rsid w:val="00A91647"/>
    <w:rsid w:val="00A93660"/>
    <w:rsid w:val="00A94ACD"/>
    <w:rsid w:val="00AA1984"/>
    <w:rsid w:val="00AB3D11"/>
    <w:rsid w:val="00AB5A68"/>
    <w:rsid w:val="00AC68F0"/>
    <w:rsid w:val="00AD0988"/>
    <w:rsid w:val="00AD0A04"/>
    <w:rsid w:val="00AD78FF"/>
    <w:rsid w:val="00AE5524"/>
    <w:rsid w:val="00AE6190"/>
    <w:rsid w:val="00AE7EC7"/>
    <w:rsid w:val="00AF13B1"/>
    <w:rsid w:val="00AF31DF"/>
    <w:rsid w:val="00AF5EFE"/>
    <w:rsid w:val="00AF7805"/>
    <w:rsid w:val="00B12B43"/>
    <w:rsid w:val="00B20FFF"/>
    <w:rsid w:val="00B2374E"/>
    <w:rsid w:val="00B23B7F"/>
    <w:rsid w:val="00B33631"/>
    <w:rsid w:val="00B33774"/>
    <w:rsid w:val="00B33E19"/>
    <w:rsid w:val="00B418CE"/>
    <w:rsid w:val="00B42B8F"/>
    <w:rsid w:val="00B43433"/>
    <w:rsid w:val="00B53B78"/>
    <w:rsid w:val="00B62680"/>
    <w:rsid w:val="00B70701"/>
    <w:rsid w:val="00B754E8"/>
    <w:rsid w:val="00B767AD"/>
    <w:rsid w:val="00B773F1"/>
    <w:rsid w:val="00B96DAB"/>
    <w:rsid w:val="00BB7007"/>
    <w:rsid w:val="00BB756B"/>
    <w:rsid w:val="00BC142D"/>
    <w:rsid w:val="00BD00F9"/>
    <w:rsid w:val="00BD1D47"/>
    <w:rsid w:val="00BD74BD"/>
    <w:rsid w:val="00BE1956"/>
    <w:rsid w:val="00BE3498"/>
    <w:rsid w:val="00BE69CF"/>
    <w:rsid w:val="00BF34BB"/>
    <w:rsid w:val="00BF47C6"/>
    <w:rsid w:val="00C01E15"/>
    <w:rsid w:val="00C01F80"/>
    <w:rsid w:val="00C031A8"/>
    <w:rsid w:val="00C07C0D"/>
    <w:rsid w:val="00C10ADF"/>
    <w:rsid w:val="00C10CB7"/>
    <w:rsid w:val="00C15F2C"/>
    <w:rsid w:val="00C35AF8"/>
    <w:rsid w:val="00C42129"/>
    <w:rsid w:val="00C45963"/>
    <w:rsid w:val="00C50343"/>
    <w:rsid w:val="00C50C6C"/>
    <w:rsid w:val="00C54489"/>
    <w:rsid w:val="00C57F22"/>
    <w:rsid w:val="00C64727"/>
    <w:rsid w:val="00C652ED"/>
    <w:rsid w:val="00C67321"/>
    <w:rsid w:val="00C6742E"/>
    <w:rsid w:val="00C70FCA"/>
    <w:rsid w:val="00C72E34"/>
    <w:rsid w:val="00C731D8"/>
    <w:rsid w:val="00C805BA"/>
    <w:rsid w:val="00C87B35"/>
    <w:rsid w:val="00C92C90"/>
    <w:rsid w:val="00C97AFC"/>
    <w:rsid w:val="00CA1B85"/>
    <w:rsid w:val="00CA1F5F"/>
    <w:rsid w:val="00CA2A68"/>
    <w:rsid w:val="00CB43F5"/>
    <w:rsid w:val="00CD774D"/>
    <w:rsid w:val="00CE0050"/>
    <w:rsid w:val="00CE0441"/>
    <w:rsid w:val="00CE0595"/>
    <w:rsid w:val="00CE1F25"/>
    <w:rsid w:val="00CE5052"/>
    <w:rsid w:val="00D029AE"/>
    <w:rsid w:val="00D06AC4"/>
    <w:rsid w:val="00D100E3"/>
    <w:rsid w:val="00D10429"/>
    <w:rsid w:val="00D12878"/>
    <w:rsid w:val="00D234D4"/>
    <w:rsid w:val="00D26C5D"/>
    <w:rsid w:val="00D3074B"/>
    <w:rsid w:val="00D31068"/>
    <w:rsid w:val="00D34BCE"/>
    <w:rsid w:val="00D34E15"/>
    <w:rsid w:val="00D365C4"/>
    <w:rsid w:val="00D423FE"/>
    <w:rsid w:val="00D4401B"/>
    <w:rsid w:val="00D4504A"/>
    <w:rsid w:val="00D52BD1"/>
    <w:rsid w:val="00D64884"/>
    <w:rsid w:val="00D70058"/>
    <w:rsid w:val="00D701C8"/>
    <w:rsid w:val="00D72280"/>
    <w:rsid w:val="00D90D81"/>
    <w:rsid w:val="00D9336F"/>
    <w:rsid w:val="00D93D6D"/>
    <w:rsid w:val="00D93EAF"/>
    <w:rsid w:val="00D96356"/>
    <w:rsid w:val="00DC2641"/>
    <w:rsid w:val="00DC2F07"/>
    <w:rsid w:val="00DC6E17"/>
    <w:rsid w:val="00DD7FBC"/>
    <w:rsid w:val="00DE749E"/>
    <w:rsid w:val="00E03C53"/>
    <w:rsid w:val="00E054BC"/>
    <w:rsid w:val="00E0588B"/>
    <w:rsid w:val="00E15815"/>
    <w:rsid w:val="00E2058F"/>
    <w:rsid w:val="00E40A7E"/>
    <w:rsid w:val="00E558D8"/>
    <w:rsid w:val="00E700FB"/>
    <w:rsid w:val="00E717FB"/>
    <w:rsid w:val="00E73F55"/>
    <w:rsid w:val="00E75287"/>
    <w:rsid w:val="00E865CB"/>
    <w:rsid w:val="00E9533C"/>
    <w:rsid w:val="00EB0698"/>
    <w:rsid w:val="00EB6579"/>
    <w:rsid w:val="00EB69AC"/>
    <w:rsid w:val="00EC7543"/>
    <w:rsid w:val="00EC7992"/>
    <w:rsid w:val="00ED5C08"/>
    <w:rsid w:val="00ED6693"/>
    <w:rsid w:val="00EE1CCC"/>
    <w:rsid w:val="00EE2E2D"/>
    <w:rsid w:val="00EE3D9F"/>
    <w:rsid w:val="00EE40DA"/>
    <w:rsid w:val="00EE654A"/>
    <w:rsid w:val="00EE6FA9"/>
    <w:rsid w:val="00EF2A47"/>
    <w:rsid w:val="00EF35BD"/>
    <w:rsid w:val="00F05F71"/>
    <w:rsid w:val="00F07630"/>
    <w:rsid w:val="00F11F0D"/>
    <w:rsid w:val="00F136EF"/>
    <w:rsid w:val="00F16FF3"/>
    <w:rsid w:val="00F3034C"/>
    <w:rsid w:val="00F33F13"/>
    <w:rsid w:val="00F406DD"/>
    <w:rsid w:val="00F40ACF"/>
    <w:rsid w:val="00F414EE"/>
    <w:rsid w:val="00F43CD3"/>
    <w:rsid w:val="00F447B5"/>
    <w:rsid w:val="00F450CF"/>
    <w:rsid w:val="00F451DE"/>
    <w:rsid w:val="00F459F3"/>
    <w:rsid w:val="00F470C4"/>
    <w:rsid w:val="00F50766"/>
    <w:rsid w:val="00F53723"/>
    <w:rsid w:val="00F56498"/>
    <w:rsid w:val="00F60377"/>
    <w:rsid w:val="00F6619B"/>
    <w:rsid w:val="00F735F7"/>
    <w:rsid w:val="00F775B8"/>
    <w:rsid w:val="00F80115"/>
    <w:rsid w:val="00F90570"/>
    <w:rsid w:val="00F917D9"/>
    <w:rsid w:val="00F91B9E"/>
    <w:rsid w:val="00FA0002"/>
    <w:rsid w:val="00FB1D9A"/>
    <w:rsid w:val="00FC36C8"/>
    <w:rsid w:val="00FC6932"/>
    <w:rsid w:val="00FD4ADB"/>
    <w:rsid w:val="00FD603F"/>
    <w:rsid w:val="00FD66EC"/>
    <w:rsid w:val="00FD6E10"/>
    <w:rsid w:val="00FF3CEA"/>
    <w:rsid w:val="00FF5B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crosoft Sans Serif"/>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C4"/>
    <w:rPr>
      <w:sz w:val="24"/>
      <w:szCs w:val="24"/>
    </w:rPr>
  </w:style>
  <w:style w:type="paragraph" w:styleId="Heading2">
    <w:name w:val="heading 2"/>
    <w:basedOn w:val="Normal"/>
    <w:link w:val="Heading2Char"/>
    <w:uiPriority w:val="99"/>
    <w:qFormat/>
    <w:rsid w:val="006E143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143C"/>
    <w:rPr>
      <w:b/>
      <w:bCs/>
      <w:sz w:val="36"/>
      <w:szCs w:val="36"/>
    </w:rPr>
  </w:style>
  <w:style w:type="paragraph" w:styleId="BalloonText">
    <w:name w:val="Balloon Text"/>
    <w:basedOn w:val="Normal"/>
    <w:link w:val="BalloonTextChar"/>
    <w:uiPriority w:val="99"/>
    <w:semiHidden/>
    <w:rsid w:val="00F05F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5F5"/>
    <w:rPr>
      <w:sz w:val="2"/>
      <w:szCs w:val="2"/>
    </w:rPr>
  </w:style>
  <w:style w:type="character" w:styleId="Hyperlink">
    <w:name w:val="Hyperlink"/>
    <w:basedOn w:val="DefaultParagraphFont"/>
    <w:uiPriority w:val="99"/>
    <w:rsid w:val="006E143C"/>
    <w:rPr>
      <w:color w:val="0000FF"/>
      <w:u w:val="single"/>
    </w:rPr>
  </w:style>
  <w:style w:type="character" w:styleId="FollowedHyperlink">
    <w:name w:val="FollowedHyperlink"/>
    <w:basedOn w:val="DefaultParagraphFont"/>
    <w:uiPriority w:val="99"/>
    <w:semiHidden/>
    <w:rsid w:val="00592A2A"/>
    <w:rPr>
      <w:color w:val="800080"/>
      <w:u w:val="single"/>
    </w:rPr>
  </w:style>
  <w:style w:type="paragraph" w:styleId="FootnoteText">
    <w:name w:val="footnote text"/>
    <w:basedOn w:val="Normal"/>
    <w:link w:val="FootnoteTextChar"/>
    <w:uiPriority w:val="99"/>
    <w:semiHidden/>
    <w:rsid w:val="007B42F9"/>
    <w:rPr>
      <w:sz w:val="20"/>
      <w:szCs w:val="20"/>
    </w:rPr>
  </w:style>
  <w:style w:type="character" w:customStyle="1" w:styleId="FootnoteTextChar">
    <w:name w:val="Footnote Text Char"/>
    <w:basedOn w:val="DefaultParagraphFont"/>
    <w:link w:val="FootnoteText"/>
    <w:uiPriority w:val="99"/>
    <w:semiHidden/>
    <w:locked/>
    <w:rsid w:val="007B42F9"/>
    <w:rPr>
      <w:sz w:val="20"/>
      <w:szCs w:val="20"/>
    </w:rPr>
  </w:style>
  <w:style w:type="character" w:styleId="FootnoteReference">
    <w:name w:val="footnote reference"/>
    <w:basedOn w:val="DefaultParagraphFont"/>
    <w:uiPriority w:val="99"/>
    <w:semiHidden/>
    <w:rsid w:val="007B42F9"/>
    <w:rPr>
      <w:vertAlign w:val="superscript"/>
    </w:rPr>
  </w:style>
  <w:style w:type="paragraph" w:styleId="ListParagraph">
    <w:name w:val="List Paragraph"/>
    <w:basedOn w:val="Normal"/>
    <w:uiPriority w:val="99"/>
    <w:qFormat/>
    <w:rsid w:val="007B42F9"/>
    <w:pPr>
      <w:ind w:left="720"/>
    </w:pPr>
  </w:style>
  <w:style w:type="paragraph" w:styleId="Header">
    <w:name w:val="header"/>
    <w:basedOn w:val="Normal"/>
    <w:link w:val="HeaderChar"/>
    <w:uiPriority w:val="99"/>
    <w:rsid w:val="00D93D6D"/>
    <w:pPr>
      <w:tabs>
        <w:tab w:val="center" w:pos="4320"/>
        <w:tab w:val="right" w:pos="8640"/>
      </w:tabs>
    </w:pPr>
  </w:style>
  <w:style w:type="character" w:customStyle="1" w:styleId="HeaderChar">
    <w:name w:val="Header Char"/>
    <w:basedOn w:val="DefaultParagraphFont"/>
    <w:link w:val="Header"/>
    <w:uiPriority w:val="99"/>
    <w:locked/>
    <w:rsid w:val="00D93D6D"/>
  </w:style>
  <w:style w:type="paragraph" w:styleId="Footer">
    <w:name w:val="footer"/>
    <w:basedOn w:val="Normal"/>
    <w:link w:val="FooterChar"/>
    <w:uiPriority w:val="99"/>
    <w:rsid w:val="00D93D6D"/>
    <w:pPr>
      <w:tabs>
        <w:tab w:val="center" w:pos="4320"/>
        <w:tab w:val="right" w:pos="8640"/>
      </w:tabs>
    </w:pPr>
  </w:style>
  <w:style w:type="character" w:customStyle="1" w:styleId="FooterChar">
    <w:name w:val="Footer Char"/>
    <w:basedOn w:val="DefaultParagraphFont"/>
    <w:link w:val="Footer"/>
    <w:uiPriority w:val="99"/>
    <w:locked/>
    <w:rsid w:val="00D93D6D"/>
  </w:style>
  <w:style w:type="character" w:customStyle="1" w:styleId="apple-style-span">
    <w:name w:val="apple-style-span"/>
    <w:basedOn w:val="DefaultParagraphFont"/>
    <w:uiPriority w:val="99"/>
    <w:rsid w:val="009E0FC4"/>
  </w:style>
  <w:style w:type="character" w:styleId="CommentReference">
    <w:name w:val="annotation reference"/>
    <w:basedOn w:val="DefaultParagraphFont"/>
    <w:uiPriority w:val="99"/>
    <w:semiHidden/>
    <w:rsid w:val="00D4401B"/>
    <w:rPr>
      <w:sz w:val="16"/>
      <w:szCs w:val="16"/>
    </w:rPr>
  </w:style>
  <w:style w:type="paragraph" w:styleId="CommentText">
    <w:name w:val="annotation text"/>
    <w:basedOn w:val="Normal"/>
    <w:link w:val="CommentTextChar"/>
    <w:uiPriority w:val="99"/>
    <w:semiHidden/>
    <w:rsid w:val="00D4401B"/>
    <w:rPr>
      <w:sz w:val="20"/>
      <w:szCs w:val="20"/>
    </w:rPr>
  </w:style>
  <w:style w:type="character" w:customStyle="1" w:styleId="CommentTextChar">
    <w:name w:val="Comment Text Char"/>
    <w:basedOn w:val="DefaultParagraphFont"/>
    <w:link w:val="CommentText"/>
    <w:uiPriority w:val="99"/>
    <w:semiHidden/>
    <w:locked/>
    <w:rsid w:val="002415F5"/>
    <w:rPr>
      <w:sz w:val="20"/>
      <w:szCs w:val="20"/>
    </w:rPr>
  </w:style>
  <w:style w:type="paragraph" w:styleId="CommentSubject">
    <w:name w:val="annotation subject"/>
    <w:basedOn w:val="CommentText"/>
    <w:next w:val="CommentText"/>
    <w:link w:val="CommentSubjectChar"/>
    <w:uiPriority w:val="99"/>
    <w:semiHidden/>
    <w:rsid w:val="00D4401B"/>
    <w:rPr>
      <w:b/>
      <w:bCs/>
    </w:rPr>
  </w:style>
  <w:style w:type="character" w:customStyle="1" w:styleId="CommentSubjectChar">
    <w:name w:val="Comment Subject Char"/>
    <w:basedOn w:val="CommentTextChar"/>
    <w:link w:val="CommentSubject"/>
    <w:uiPriority w:val="99"/>
    <w:semiHidden/>
    <w:locked/>
    <w:rsid w:val="002415F5"/>
    <w:rPr>
      <w:b/>
      <w:bCs/>
      <w:sz w:val="20"/>
      <w:szCs w:val="20"/>
    </w:rPr>
  </w:style>
  <w:style w:type="paragraph" w:styleId="Title">
    <w:name w:val="Title"/>
    <w:basedOn w:val="Normal"/>
    <w:link w:val="TitleChar"/>
    <w:uiPriority w:val="99"/>
    <w:qFormat/>
    <w:locked/>
    <w:rsid w:val="00D34BCE"/>
    <w:pPr>
      <w:spacing w:line="360" w:lineRule="auto"/>
      <w:jc w:val="center"/>
    </w:pPr>
    <w:rPr>
      <w:rFonts w:ascii="Arial" w:eastAsia="SimSun" w:hAnsi="Arial" w:cs="Arial"/>
      <w:b/>
      <w:bCs/>
      <w:sz w:val="40"/>
      <w:szCs w:val="40"/>
      <w:lang w:eastAsia="zh-CN"/>
    </w:rPr>
  </w:style>
  <w:style w:type="character" w:customStyle="1" w:styleId="TitleChar">
    <w:name w:val="Title Char"/>
    <w:basedOn w:val="DefaultParagraphFont"/>
    <w:link w:val="Title"/>
    <w:uiPriority w:val="99"/>
    <w:locked/>
    <w:rsid w:val="00D34BCE"/>
    <w:rPr>
      <w:rFonts w:ascii="Arial" w:eastAsia="SimSun" w:hAnsi="Arial" w:cs="Arial"/>
      <w:b/>
      <w:bCs/>
      <w:sz w:val="32"/>
      <w:szCs w:val="32"/>
      <w:lang w:eastAsia="zh-CN"/>
    </w:rPr>
  </w:style>
  <w:style w:type="character" w:styleId="PageNumber">
    <w:name w:val="page number"/>
    <w:basedOn w:val="DefaultParagraphFont"/>
    <w:uiPriority w:val="99"/>
    <w:rsid w:val="00AF5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crosoft Sans Serif"/>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C4"/>
    <w:rPr>
      <w:sz w:val="24"/>
      <w:szCs w:val="24"/>
    </w:rPr>
  </w:style>
  <w:style w:type="paragraph" w:styleId="Heading2">
    <w:name w:val="heading 2"/>
    <w:basedOn w:val="Normal"/>
    <w:link w:val="Heading2Char"/>
    <w:uiPriority w:val="99"/>
    <w:qFormat/>
    <w:rsid w:val="006E143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143C"/>
    <w:rPr>
      <w:b/>
      <w:bCs/>
      <w:sz w:val="36"/>
      <w:szCs w:val="36"/>
    </w:rPr>
  </w:style>
  <w:style w:type="paragraph" w:styleId="BalloonText">
    <w:name w:val="Balloon Text"/>
    <w:basedOn w:val="Normal"/>
    <w:link w:val="BalloonTextChar"/>
    <w:uiPriority w:val="99"/>
    <w:semiHidden/>
    <w:rsid w:val="00F05F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5F5"/>
    <w:rPr>
      <w:sz w:val="2"/>
      <w:szCs w:val="2"/>
    </w:rPr>
  </w:style>
  <w:style w:type="character" w:styleId="Hyperlink">
    <w:name w:val="Hyperlink"/>
    <w:basedOn w:val="DefaultParagraphFont"/>
    <w:uiPriority w:val="99"/>
    <w:rsid w:val="006E143C"/>
    <w:rPr>
      <w:color w:val="0000FF"/>
      <w:u w:val="single"/>
    </w:rPr>
  </w:style>
  <w:style w:type="character" w:styleId="FollowedHyperlink">
    <w:name w:val="FollowedHyperlink"/>
    <w:basedOn w:val="DefaultParagraphFont"/>
    <w:uiPriority w:val="99"/>
    <w:semiHidden/>
    <w:rsid w:val="00592A2A"/>
    <w:rPr>
      <w:color w:val="800080"/>
      <w:u w:val="single"/>
    </w:rPr>
  </w:style>
  <w:style w:type="paragraph" w:styleId="FootnoteText">
    <w:name w:val="footnote text"/>
    <w:basedOn w:val="Normal"/>
    <w:link w:val="FootnoteTextChar"/>
    <w:uiPriority w:val="99"/>
    <w:semiHidden/>
    <w:rsid w:val="007B42F9"/>
    <w:rPr>
      <w:sz w:val="20"/>
      <w:szCs w:val="20"/>
    </w:rPr>
  </w:style>
  <w:style w:type="character" w:customStyle="1" w:styleId="FootnoteTextChar">
    <w:name w:val="Footnote Text Char"/>
    <w:basedOn w:val="DefaultParagraphFont"/>
    <w:link w:val="FootnoteText"/>
    <w:uiPriority w:val="99"/>
    <w:semiHidden/>
    <w:locked/>
    <w:rsid w:val="007B42F9"/>
    <w:rPr>
      <w:sz w:val="20"/>
      <w:szCs w:val="20"/>
    </w:rPr>
  </w:style>
  <w:style w:type="character" w:styleId="FootnoteReference">
    <w:name w:val="footnote reference"/>
    <w:basedOn w:val="DefaultParagraphFont"/>
    <w:uiPriority w:val="99"/>
    <w:semiHidden/>
    <w:rsid w:val="007B42F9"/>
    <w:rPr>
      <w:vertAlign w:val="superscript"/>
    </w:rPr>
  </w:style>
  <w:style w:type="paragraph" w:styleId="ListParagraph">
    <w:name w:val="List Paragraph"/>
    <w:basedOn w:val="Normal"/>
    <w:uiPriority w:val="99"/>
    <w:qFormat/>
    <w:rsid w:val="007B42F9"/>
    <w:pPr>
      <w:ind w:left="720"/>
    </w:pPr>
  </w:style>
  <w:style w:type="paragraph" w:styleId="Header">
    <w:name w:val="header"/>
    <w:basedOn w:val="Normal"/>
    <w:link w:val="HeaderChar"/>
    <w:uiPriority w:val="99"/>
    <w:rsid w:val="00D93D6D"/>
    <w:pPr>
      <w:tabs>
        <w:tab w:val="center" w:pos="4320"/>
        <w:tab w:val="right" w:pos="8640"/>
      </w:tabs>
    </w:pPr>
  </w:style>
  <w:style w:type="character" w:customStyle="1" w:styleId="HeaderChar">
    <w:name w:val="Header Char"/>
    <w:basedOn w:val="DefaultParagraphFont"/>
    <w:link w:val="Header"/>
    <w:uiPriority w:val="99"/>
    <w:locked/>
    <w:rsid w:val="00D93D6D"/>
  </w:style>
  <w:style w:type="paragraph" w:styleId="Footer">
    <w:name w:val="footer"/>
    <w:basedOn w:val="Normal"/>
    <w:link w:val="FooterChar"/>
    <w:uiPriority w:val="99"/>
    <w:rsid w:val="00D93D6D"/>
    <w:pPr>
      <w:tabs>
        <w:tab w:val="center" w:pos="4320"/>
        <w:tab w:val="right" w:pos="8640"/>
      </w:tabs>
    </w:pPr>
  </w:style>
  <w:style w:type="character" w:customStyle="1" w:styleId="FooterChar">
    <w:name w:val="Footer Char"/>
    <w:basedOn w:val="DefaultParagraphFont"/>
    <w:link w:val="Footer"/>
    <w:uiPriority w:val="99"/>
    <w:locked/>
    <w:rsid w:val="00D93D6D"/>
  </w:style>
  <w:style w:type="character" w:customStyle="1" w:styleId="apple-style-span">
    <w:name w:val="apple-style-span"/>
    <w:basedOn w:val="DefaultParagraphFont"/>
    <w:uiPriority w:val="99"/>
    <w:rsid w:val="009E0FC4"/>
  </w:style>
  <w:style w:type="character" w:styleId="CommentReference">
    <w:name w:val="annotation reference"/>
    <w:basedOn w:val="DefaultParagraphFont"/>
    <w:uiPriority w:val="99"/>
    <w:semiHidden/>
    <w:rsid w:val="00D4401B"/>
    <w:rPr>
      <w:sz w:val="16"/>
      <w:szCs w:val="16"/>
    </w:rPr>
  </w:style>
  <w:style w:type="paragraph" w:styleId="CommentText">
    <w:name w:val="annotation text"/>
    <w:basedOn w:val="Normal"/>
    <w:link w:val="CommentTextChar"/>
    <w:uiPriority w:val="99"/>
    <w:semiHidden/>
    <w:rsid w:val="00D4401B"/>
    <w:rPr>
      <w:sz w:val="20"/>
      <w:szCs w:val="20"/>
    </w:rPr>
  </w:style>
  <w:style w:type="character" w:customStyle="1" w:styleId="CommentTextChar">
    <w:name w:val="Comment Text Char"/>
    <w:basedOn w:val="DefaultParagraphFont"/>
    <w:link w:val="CommentText"/>
    <w:uiPriority w:val="99"/>
    <w:semiHidden/>
    <w:locked/>
    <w:rsid w:val="002415F5"/>
    <w:rPr>
      <w:sz w:val="20"/>
      <w:szCs w:val="20"/>
    </w:rPr>
  </w:style>
  <w:style w:type="paragraph" w:styleId="CommentSubject">
    <w:name w:val="annotation subject"/>
    <w:basedOn w:val="CommentText"/>
    <w:next w:val="CommentText"/>
    <w:link w:val="CommentSubjectChar"/>
    <w:uiPriority w:val="99"/>
    <w:semiHidden/>
    <w:rsid w:val="00D4401B"/>
    <w:rPr>
      <w:b/>
      <w:bCs/>
    </w:rPr>
  </w:style>
  <w:style w:type="character" w:customStyle="1" w:styleId="CommentSubjectChar">
    <w:name w:val="Comment Subject Char"/>
    <w:basedOn w:val="CommentTextChar"/>
    <w:link w:val="CommentSubject"/>
    <w:uiPriority w:val="99"/>
    <w:semiHidden/>
    <w:locked/>
    <w:rsid w:val="002415F5"/>
    <w:rPr>
      <w:b/>
      <w:bCs/>
      <w:sz w:val="20"/>
      <w:szCs w:val="20"/>
    </w:rPr>
  </w:style>
  <w:style w:type="paragraph" w:styleId="Title">
    <w:name w:val="Title"/>
    <w:basedOn w:val="Normal"/>
    <w:link w:val="TitleChar"/>
    <w:uiPriority w:val="99"/>
    <w:qFormat/>
    <w:locked/>
    <w:rsid w:val="00D34BCE"/>
    <w:pPr>
      <w:spacing w:line="360" w:lineRule="auto"/>
      <w:jc w:val="center"/>
    </w:pPr>
    <w:rPr>
      <w:rFonts w:ascii="Arial" w:eastAsia="SimSun" w:hAnsi="Arial" w:cs="Arial"/>
      <w:b/>
      <w:bCs/>
      <w:sz w:val="40"/>
      <w:szCs w:val="40"/>
      <w:lang w:eastAsia="zh-CN"/>
    </w:rPr>
  </w:style>
  <w:style w:type="character" w:customStyle="1" w:styleId="TitleChar">
    <w:name w:val="Title Char"/>
    <w:basedOn w:val="DefaultParagraphFont"/>
    <w:link w:val="Title"/>
    <w:uiPriority w:val="99"/>
    <w:locked/>
    <w:rsid w:val="00D34BCE"/>
    <w:rPr>
      <w:rFonts w:ascii="Arial" w:eastAsia="SimSun" w:hAnsi="Arial" w:cs="Arial"/>
      <w:b/>
      <w:bCs/>
      <w:sz w:val="32"/>
      <w:szCs w:val="32"/>
      <w:lang w:eastAsia="zh-CN"/>
    </w:rPr>
  </w:style>
  <w:style w:type="character" w:styleId="PageNumber">
    <w:name w:val="page number"/>
    <w:basedOn w:val="DefaultParagraphFont"/>
    <w:uiPriority w:val="99"/>
    <w:rsid w:val="00AF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58960">
      <w:bodyDiv w:val="1"/>
      <w:marLeft w:val="0"/>
      <w:marRight w:val="0"/>
      <w:marTop w:val="0"/>
      <w:marBottom w:val="0"/>
      <w:divBdr>
        <w:top w:val="none" w:sz="0" w:space="0" w:color="auto"/>
        <w:left w:val="none" w:sz="0" w:space="0" w:color="auto"/>
        <w:bottom w:val="none" w:sz="0" w:space="0" w:color="auto"/>
        <w:right w:val="none" w:sz="0" w:space="0" w:color="auto"/>
      </w:divBdr>
    </w:div>
    <w:div w:id="1601185419">
      <w:marLeft w:val="0"/>
      <w:marRight w:val="0"/>
      <w:marTop w:val="0"/>
      <w:marBottom w:val="0"/>
      <w:divBdr>
        <w:top w:val="none" w:sz="0" w:space="0" w:color="auto"/>
        <w:left w:val="none" w:sz="0" w:space="0" w:color="auto"/>
        <w:bottom w:val="none" w:sz="0" w:space="0" w:color="auto"/>
        <w:right w:val="none" w:sz="0" w:space="0" w:color="auto"/>
      </w:divBdr>
      <w:divsChild>
        <w:div w:id="1601185415">
          <w:marLeft w:val="1166"/>
          <w:marRight w:val="0"/>
          <w:marTop w:val="134"/>
          <w:marBottom w:val="0"/>
          <w:divBdr>
            <w:top w:val="none" w:sz="0" w:space="0" w:color="auto"/>
            <w:left w:val="none" w:sz="0" w:space="0" w:color="auto"/>
            <w:bottom w:val="none" w:sz="0" w:space="0" w:color="auto"/>
            <w:right w:val="none" w:sz="0" w:space="0" w:color="auto"/>
          </w:divBdr>
        </w:div>
      </w:divsChild>
    </w:div>
    <w:div w:id="1601185426">
      <w:marLeft w:val="0"/>
      <w:marRight w:val="0"/>
      <w:marTop w:val="0"/>
      <w:marBottom w:val="0"/>
      <w:divBdr>
        <w:top w:val="none" w:sz="0" w:space="0" w:color="auto"/>
        <w:left w:val="none" w:sz="0" w:space="0" w:color="auto"/>
        <w:bottom w:val="none" w:sz="0" w:space="0" w:color="auto"/>
        <w:right w:val="none" w:sz="0" w:space="0" w:color="auto"/>
      </w:divBdr>
      <w:divsChild>
        <w:div w:id="1601185423">
          <w:marLeft w:val="600"/>
          <w:marRight w:val="600"/>
          <w:marTop w:val="600"/>
          <w:marBottom w:val="600"/>
          <w:divBdr>
            <w:top w:val="none" w:sz="0" w:space="0" w:color="auto"/>
            <w:left w:val="none" w:sz="0" w:space="0" w:color="auto"/>
            <w:bottom w:val="none" w:sz="0" w:space="0" w:color="auto"/>
            <w:right w:val="none" w:sz="0" w:space="0" w:color="auto"/>
          </w:divBdr>
          <w:divsChild>
            <w:div w:id="1601185425">
              <w:marLeft w:val="0"/>
              <w:marRight w:val="0"/>
              <w:marTop w:val="0"/>
              <w:marBottom w:val="0"/>
              <w:divBdr>
                <w:top w:val="none" w:sz="0" w:space="0" w:color="auto"/>
                <w:left w:val="none" w:sz="0" w:space="0" w:color="auto"/>
                <w:bottom w:val="none" w:sz="0" w:space="0" w:color="auto"/>
                <w:right w:val="none" w:sz="0" w:space="0" w:color="auto"/>
              </w:divBdr>
              <w:divsChild>
                <w:div w:id="1601185431">
                  <w:marLeft w:val="0"/>
                  <w:marRight w:val="0"/>
                  <w:marTop w:val="0"/>
                  <w:marBottom w:val="0"/>
                  <w:divBdr>
                    <w:top w:val="none" w:sz="0" w:space="0" w:color="auto"/>
                    <w:left w:val="none" w:sz="0" w:space="0" w:color="auto"/>
                    <w:bottom w:val="none" w:sz="0" w:space="0" w:color="auto"/>
                    <w:right w:val="none" w:sz="0" w:space="0" w:color="auto"/>
                  </w:divBdr>
                  <w:divsChild>
                    <w:div w:id="16011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85432">
      <w:marLeft w:val="0"/>
      <w:marRight w:val="0"/>
      <w:marTop w:val="0"/>
      <w:marBottom w:val="0"/>
      <w:divBdr>
        <w:top w:val="none" w:sz="0" w:space="0" w:color="auto"/>
        <w:left w:val="none" w:sz="0" w:space="0" w:color="auto"/>
        <w:bottom w:val="none" w:sz="0" w:space="0" w:color="auto"/>
        <w:right w:val="none" w:sz="0" w:space="0" w:color="auto"/>
      </w:divBdr>
      <w:divsChild>
        <w:div w:id="1601185418">
          <w:marLeft w:val="547"/>
          <w:marRight w:val="0"/>
          <w:marTop w:val="154"/>
          <w:marBottom w:val="0"/>
          <w:divBdr>
            <w:top w:val="none" w:sz="0" w:space="0" w:color="auto"/>
            <w:left w:val="none" w:sz="0" w:space="0" w:color="auto"/>
            <w:bottom w:val="none" w:sz="0" w:space="0" w:color="auto"/>
            <w:right w:val="none" w:sz="0" w:space="0" w:color="auto"/>
          </w:divBdr>
        </w:div>
        <w:div w:id="1601185420">
          <w:marLeft w:val="547"/>
          <w:marRight w:val="0"/>
          <w:marTop w:val="154"/>
          <w:marBottom w:val="0"/>
          <w:divBdr>
            <w:top w:val="none" w:sz="0" w:space="0" w:color="auto"/>
            <w:left w:val="none" w:sz="0" w:space="0" w:color="auto"/>
            <w:bottom w:val="none" w:sz="0" w:space="0" w:color="auto"/>
            <w:right w:val="none" w:sz="0" w:space="0" w:color="auto"/>
          </w:divBdr>
        </w:div>
        <w:div w:id="1601185422">
          <w:marLeft w:val="547"/>
          <w:marRight w:val="0"/>
          <w:marTop w:val="154"/>
          <w:marBottom w:val="0"/>
          <w:divBdr>
            <w:top w:val="none" w:sz="0" w:space="0" w:color="auto"/>
            <w:left w:val="none" w:sz="0" w:space="0" w:color="auto"/>
            <w:bottom w:val="none" w:sz="0" w:space="0" w:color="auto"/>
            <w:right w:val="none" w:sz="0" w:space="0" w:color="auto"/>
          </w:divBdr>
        </w:div>
        <w:div w:id="1601185429">
          <w:marLeft w:val="547"/>
          <w:marRight w:val="0"/>
          <w:marTop w:val="154"/>
          <w:marBottom w:val="0"/>
          <w:divBdr>
            <w:top w:val="none" w:sz="0" w:space="0" w:color="auto"/>
            <w:left w:val="none" w:sz="0" w:space="0" w:color="auto"/>
            <w:bottom w:val="none" w:sz="0" w:space="0" w:color="auto"/>
            <w:right w:val="none" w:sz="0" w:space="0" w:color="auto"/>
          </w:divBdr>
        </w:div>
      </w:divsChild>
    </w:div>
    <w:div w:id="1601185435">
      <w:marLeft w:val="0"/>
      <w:marRight w:val="0"/>
      <w:marTop w:val="0"/>
      <w:marBottom w:val="0"/>
      <w:divBdr>
        <w:top w:val="none" w:sz="0" w:space="0" w:color="auto"/>
        <w:left w:val="none" w:sz="0" w:space="0" w:color="auto"/>
        <w:bottom w:val="none" w:sz="0" w:space="0" w:color="auto"/>
        <w:right w:val="none" w:sz="0" w:space="0" w:color="auto"/>
      </w:divBdr>
      <w:divsChild>
        <w:div w:id="1601185424">
          <w:marLeft w:val="1166"/>
          <w:marRight w:val="0"/>
          <w:marTop w:val="134"/>
          <w:marBottom w:val="0"/>
          <w:divBdr>
            <w:top w:val="none" w:sz="0" w:space="0" w:color="auto"/>
            <w:left w:val="none" w:sz="0" w:space="0" w:color="auto"/>
            <w:bottom w:val="none" w:sz="0" w:space="0" w:color="auto"/>
            <w:right w:val="none" w:sz="0" w:space="0" w:color="auto"/>
          </w:divBdr>
        </w:div>
        <w:div w:id="1601185427">
          <w:marLeft w:val="1166"/>
          <w:marRight w:val="0"/>
          <w:marTop w:val="134"/>
          <w:marBottom w:val="0"/>
          <w:divBdr>
            <w:top w:val="none" w:sz="0" w:space="0" w:color="auto"/>
            <w:left w:val="none" w:sz="0" w:space="0" w:color="auto"/>
            <w:bottom w:val="none" w:sz="0" w:space="0" w:color="auto"/>
            <w:right w:val="none" w:sz="0" w:space="0" w:color="auto"/>
          </w:divBdr>
        </w:div>
        <w:div w:id="1601185434">
          <w:marLeft w:val="547"/>
          <w:marRight w:val="0"/>
          <w:marTop w:val="154"/>
          <w:marBottom w:val="0"/>
          <w:divBdr>
            <w:top w:val="none" w:sz="0" w:space="0" w:color="auto"/>
            <w:left w:val="none" w:sz="0" w:space="0" w:color="auto"/>
            <w:bottom w:val="none" w:sz="0" w:space="0" w:color="auto"/>
            <w:right w:val="none" w:sz="0" w:space="0" w:color="auto"/>
          </w:divBdr>
        </w:div>
      </w:divsChild>
    </w:div>
    <w:div w:id="1601185437">
      <w:marLeft w:val="0"/>
      <w:marRight w:val="0"/>
      <w:marTop w:val="0"/>
      <w:marBottom w:val="0"/>
      <w:divBdr>
        <w:top w:val="none" w:sz="0" w:space="0" w:color="auto"/>
        <w:left w:val="none" w:sz="0" w:space="0" w:color="auto"/>
        <w:bottom w:val="none" w:sz="0" w:space="0" w:color="auto"/>
        <w:right w:val="none" w:sz="0" w:space="0" w:color="auto"/>
      </w:divBdr>
      <w:divsChild>
        <w:div w:id="1601185421">
          <w:marLeft w:val="547"/>
          <w:marRight w:val="0"/>
          <w:marTop w:val="154"/>
          <w:marBottom w:val="0"/>
          <w:divBdr>
            <w:top w:val="none" w:sz="0" w:space="0" w:color="auto"/>
            <w:left w:val="none" w:sz="0" w:space="0" w:color="auto"/>
            <w:bottom w:val="none" w:sz="0" w:space="0" w:color="auto"/>
            <w:right w:val="none" w:sz="0" w:space="0" w:color="auto"/>
          </w:divBdr>
        </w:div>
      </w:divsChild>
    </w:div>
    <w:div w:id="1601185438">
      <w:marLeft w:val="0"/>
      <w:marRight w:val="0"/>
      <w:marTop w:val="0"/>
      <w:marBottom w:val="0"/>
      <w:divBdr>
        <w:top w:val="none" w:sz="0" w:space="0" w:color="auto"/>
        <w:left w:val="none" w:sz="0" w:space="0" w:color="auto"/>
        <w:bottom w:val="none" w:sz="0" w:space="0" w:color="auto"/>
        <w:right w:val="none" w:sz="0" w:space="0" w:color="auto"/>
      </w:divBdr>
      <w:divsChild>
        <w:div w:id="1601185428">
          <w:marLeft w:val="547"/>
          <w:marRight w:val="0"/>
          <w:marTop w:val="154"/>
          <w:marBottom w:val="0"/>
          <w:divBdr>
            <w:top w:val="none" w:sz="0" w:space="0" w:color="auto"/>
            <w:left w:val="none" w:sz="0" w:space="0" w:color="auto"/>
            <w:bottom w:val="none" w:sz="0" w:space="0" w:color="auto"/>
            <w:right w:val="none" w:sz="0" w:space="0" w:color="auto"/>
          </w:divBdr>
        </w:div>
      </w:divsChild>
    </w:div>
    <w:div w:id="1601185439">
      <w:marLeft w:val="0"/>
      <w:marRight w:val="0"/>
      <w:marTop w:val="0"/>
      <w:marBottom w:val="0"/>
      <w:divBdr>
        <w:top w:val="none" w:sz="0" w:space="0" w:color="auto"/>
        <w:left w:val="none" w:sz="0" w:space="0" w:color="auto"/>
        <w:bottom w:val="none" w:sz="0" w:space="0" w:color="auto"/>
        <w:right w:val="none" w:sz="0" w:space="0" w:color="auto"/>
      </w:divBdr>
      <w:divsChild>
        <w:div w:id="1601185416">
          <w:marLeft w:val="547"/>
          <w:marRight w:val="0"/>
          <w:marTop w:val="154"/>
          <w:marBottom w:val="0"/>
          <w:divBdr>
            <w:top w:val="none" w:sz="0" w:space="0" w:color="auto"/>
            <w:left w:val="none" w:sz="0" w:space="0" w:color="auto"/>
            <w:bottom w:val="none" w:sz="0" w:space="0" w:color="auto"/>
            <w:right w:val="none" w:sz="0" w:space="0" w:color="auto"/>
          </w:divBdr>
        </w:div>
      </w:divsChild>
    </w:div>
    <w:div w:id="1601185440">
      <w:marLeft w:val="0"/>
      <w:marRight w:val="0"/>
      <w:marTop w:val="0"/>
      <w:marBottom w:val="0"/>
      <w:divBdr>
        <w:top w:val="none" w:sz="0" w:space="0" w:color="auto"/>
        <w:left w:val="none" w:sz="0" w:space="0" w:color="auto"/>
        <w:bottom w:val="none" w:sz="0" w:space="0" w:color="auto"/>
        <w:right w:val="none" w:sz="0" w:space="0" w:color="auto"/>
      </w:divBdr>
      <w:divsChild>
        <w:div w:id="1601185417">
          <w:marLeft w:val="600"/>
          <w:marRight w:val="600"/>
          <w:marTop w:val="600"/>
          <w:marBottom w:val="600"/>
          <w:divBdr>
            <w:top w:val="none" w:sz="0" w:space="0" w:color="auto"/>
            <w:left w:val="none" w:sz="0" w:space="0" w:color="auto"/>
            <w:bottom w:val="none" w:sz="0" w:space="0" w:color="auto"/>
            <w:right w:val="none" w:sz="0" w:space="0" w:color="auto"/>
          </w:divBdr>
          <w:divsChild>
            <w:div w:id="1601185436">
              <w:marLeft w:val="0"/>
              <w:marRight w:val="0"/>
              <w:marTop w:val="0"/>
              <w:marBottom w:val="0"/>
              <w:divBdr>
                <w:top w:val="none" w:sz="0" w:space="0" w:color="auto"/>
                <w:left w:val="none" w:sz="0" w:space="0" w:color="auto"/>
                <w:bottom w:val="none" w:sz="0" w:space="0" w:color="auto"/>
                <w:right w:val="none" w:sz="0" w:space="0" w:color="auto"/>
              </w:divBdr>
              <w:divsChild>
                <w:div w:id="1601185414">
                  <w:marLeft w:val="0"/>
                  <w:marRight w:val="0"/>
                  <w:marTop w:val="0"/>
                  <w:marBottom w:val="0"/>
                  <w:divBdr>
                    <w:top w:val="none" w:sz="0" w:space="0" w:color="auto"/>
                    <w:left w:val="none" w:sz="0" w:space="0" w:color="auto"/>
                    <w:bottom w:val="none" w:sz="0" w:space="0" w:color="auto"/>
                    <w:right w:val="none" w:sz="0" w:space="0" w:color="auto"/>
                  </w:divBdr>
                  <w:divsChild>
                    <w:div w:id="1601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en.wikipedia.org/wiki/Ratio_deciden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disabilityrightsintl.org/work/country-projects/kosovo/" TargetMode="External"/><Relationship Id="rId3" Type="http://schemas.openxmlformats.org/officeDocument/2006/relationships/hyperlink" Target="http://fra.europa.eu/fraWebsite/attachments/Report-vote-disability_EN.pdf" TargetMode="External"/><Relationship Id="rId7" Type="http://schemas.openxmlformats.org/officeDocument/2006/relationships/hyperlink" Target="http://www.downsyndrome.ie/index.php?option=com_docman&amp;task=doc_download&amp;gid=62&amp;ItemId=204" TargetMode="External"/><Relationship Id="rId12" Type="http://schemas.openxmlformats.org/officeDocument/2006/relationships/hyperlink" Target="http://mdac.info/amicus-curiae-brief-czech-constitutional-court" TargetMode="External"/><Relationship Id="rId2" Type="http://schemas.openxmlformats.org/officeDocument/2006/relationships/hyperlink" Target="http://www.unhchr.ch/tbs/doc.nsf/0/d0b7f023e8d6d9898025651e004bc0eb?Opendocument" TargetMode="External"/><Relationship Id="rId1" Type="http://schemas.openxmlformats.org/officeDocument/2006/relationships/hyperlink" Target="http://www.soros.org/initiatives/rights-initiatives" TargetMode="External"/><Relationship Id="rId6" Type="http://schemas.openxmlformats.org/officeDocument/2006/relationships/hyperlink" Target="http://www.myopinionmyvote.eu" TargetMode="External"/><Relationship Id="rId11" Type="http://schemas.openxmlformats.org/officeDocument/2006/relationships/hyperlink" Target="http://www.internationaldisabilityalliance.org/representation/legal-capacity-working-group/" TargetMode="External"/><Relationship Id="rId5" Type="http://schemas.openxmlformats.org/officeDocument/2006/relationships/hyperlink" Target="http://www.ifes.org/Content/Publications/Press-Release/2011/IFES-Accepts-InterAction-Award-for-Disabilities-Work-Expresses-Concern-over-Threats-to-Voting-Rights.aspx" TargetMode="External"/><Relationship Id="rId10" Type="http://schemas.openxmlformats.org/officeDocument/2006/relationships/hyperlink" Target="http://www.un.org/disabilities/documents/reports/ohchr/A.HRC.10.48AEV.pdf" TargetMode="External"/><Relationship Id="rId4" Type="http://schemas.openxmlformats.org/officeDocument/2006/relationships/hyperlink" Target="http://www.legislation.gov.uk/ukpga/2006/22/section/73" TargetMode="External"/><Relationship Id="rId9" Type="http://schemas.openxmlformats.org/officeDocument/2006/relationships/hyperlink" Target="http://commissioner.cws.coe.int/tiki-print_blog_post.php?postId=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B6EBE-8E3E-40D4-8DD0-0CE462A20460}"/>
</file>

<file path=customXml/itemProps2.xml><?xml version="1.0" encoding="utf-8"?>
<ds:datastoreItem xmlns:ds="http://schemas.openxmlformats.org/officeDocument/2006/customXml" ds:itemID="{418960CC-407C-4167-86F7-516E4D09CECE}"/>
</file>

<file path=customXml/itemProps3.xml><?xml version="1.0" encoding="utf-8"?>
<ds:datastoreItem xmlns:ds="http://schemas.openxmlformats.org/officeDocument/2006/customXml" ds:itemID="{FFF65784-6407-45CE-9DF0-86D657C586CA}"/>
</file>

<file path=customXml/itemProps4.xml><?xml version="1.0" encoding="utf-8"?>
<ds:datastoreItem xmlns:ds="http://schemas.openxmlformats.org/officeDocument/2006/customXml" ds:itemID="{81272537-79F8-4FD7-814F-DBEB1BCF517E}"/>
</file>

<file path=docProps/app.xml><?xml version="1.0" encoding="utf-8"?>
<Properties xmlns="http://schemas.openxmlformats.org/officeDocument/2006/extended-properties" xmlns:vt="http://schemas.openxmlformats.org/officeDocument/2006/docPropsVTypes">
  <Template>Normal</Template>
  <TotalTime>73</TotalTime>
  <Pages>13</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August XX, 2011</vt:lpstr>
    </vt:vector>
  </TitlesOfParts>
  <Company>OSI</Company>
  <LinksUpToDate>false</LinksUpToDate>
  <CharactersWithSpaces>33025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XX, 2011</dc:title>
  <dc:creator>Lenovo User</dc:creator>
  <cp:lastModifiedBy>Lenovo User</cp:lastModifiedBy>
  <cp:revision>8</cp:revision>
  <dcterms:created xsi:type="dcterms:W3CDTF">2011-10-14T00:05:00Z</dcterms:created>
  <dcterms:modified xsi:type="dcterms:W3CDTF">2011-10-15T07:06:00Z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527000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