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5D282" w14:textId="5732246C" w:rsidR="00B02240" w:rsidRPr="001959AF" w:rsidRDefault="0006110C" w:rsidP="001959AF">
      <w:pPr>
        <w:jc w:val="both"/>
        <w:rPr>
          <w:rFonts w:asciiTheme="majorBidi" w:hAnsiTheme="majorBidi" w:cstheme="majorBidi"/>
          <w:b/>
          <w:lang w:val="en-US"/>
        </w:rPr>
      </w:pPr>
      <w:bookmarkStart w:id="0" w:name="_GoBack"/>
      <w:bookmarkEnd w:id="0"/>
      <w:r>
        <w:rPr>
          <w:rFonts w:asciiTheme="majorBidi" w:hAnsiTheme="majorBidi" w:cstheme="majorBidi"/>
          <w:b/>
          <w:lang w:val="en-US"/>
        </w:rPr>
        <w:t>Center for Reproductive Rights</w:t>
      </w:r>
    </w:p>
    <w:p w14:paraId="3E298032" w14:textId="77777777" w:rsidR="00B02240" w:rsidRPr="001959AF" w:rsidRDefault="00B02240" w:rsidP="001959AF">
      <w:pPr>
        <w:jc w:val="both"/>
        <w:rPr>
          <w:rFonts w:asciiTheme="majorBidi" w:hAnsiTheme="majorBidi" w:cstheme="majorBidi"/>
          <w:b/>
          <w:lang w:val="en-US"/>
        </w:rPr>
      </w:pPr>
      <w:r w:rsidRPr="001959AF">
        <w:rPr>
          <w:rFonts w:asciiTheme="majorBidi" w:hAnsiTheme="majorBidi" w:cstheme="majorBidi"/>
          <w:b/>
          <w:lang w:val="en-US"/>
        </w:rPr>
        <w:t>Submission to the Special Rapporteur on the Rights of Persons with Disabilities</w:t>
      </w:r>
    </w:p>
    <w:p w14:paraId="5927D621" w14:textId="77777777" w:rsidR="00B02240" w:rsidRPr="001959AF" w:rsidRDefault="00B02240" w:rsidP="001959AF">
      <w:pPr>
        <w:jc w:val="both"/>
        <w:rPr>
          <w:rFonts w:asciiTheme="majorBidi" w:hAnsiTheme="majorBidi" w:cstheme="majorBidi"/>
          <w:b/>
          <w:lang w:val="en-US"/>
        </w:rPr>
      </w:pPr>
      <w:r w:rsidRPr="001959AF">
        <w:rPr>
          <w:rFonts w:asciiTheme="majorBidi" w:hAnsiTheme="majorBidi" w:cstheme="majorBidi"/>
          <w:b/>
          <w:lang w:val="en-US"/>
        </w:rPr>
        <w:t>Report to the 72</w:t>
      </w:r>
      <w:r w:rsidRPr="001959AF">
        <w:rPr>
          <w:rFonts w:asciiTheme="majorBidi" w:hAnsiTheme="majorBidi" w:cstheme="majorBidi"/>
          <w:b/>
          <w:vertAlign w:val="superscript"/>
          <w:lang w:val="en-US"/>
        </w:rPr>
        <w:t>nd</w:t>
      </w:r>
      <w:r w:rsidRPr="001959AF">
        <w:rPr>
          <w:rFonts w:asciiTheme="majorBidi" w:hAnsiTheme="majorBidi" w:cstheme="majorBidi"/>
          <w:b/>
          <w:lang w:val="en-US"/>
        </w:rPr>
        <w:t xml:space="preserve"> session of the United Nations General Assembly on the sexual and reproductive health and rights of girls with disabilities </w:t>
      </w:r>
    </w:p>
    <w:p w14:paraId="29748B65" w14:textId="15E287B0" w:rsidR="00B02240" w:rsidRPr="001959AF" w:rsidRDefault="00B02240" w:rsidP="001959AF">
      <w:pPr>
        <w:pStyle w:val="ListParagraph"/>
        <w:numPr>
          <w:ilvl w:val="0"/>
          <w:numId w:val="8"/>
        </w:numPr>
        <w:jc w:val="both"/>
        <w:rPr>
          <w:rFonts w:asciiTheme="majorBidi" w:hAnsiTheme="majorBidi" w:cstheme="majorBidi"/>
          <w:b/>
          <w:sz w:val="22"/>
          <w:szCs w:val="22"/>
          <w:lang w:val="en-US"/>
        </w:rPr>
      </w:pPr>
      <w:r w:rsidRPr="001959AF">
        <w:rPr>
          <w:rFonts w:asciiTheme="majorBidi" w:hAnsiTheme="majorBidi" w:cstheme="majorBidi"/>
          <w:b/>
          <w:sz w:val="22"/>
          <w:szCs w:val="22"/>
          <w:lang w:val="en-US"/>
        </w:rPr>
        <w:t>Introduction and Foundational Principles</w:t>
      </w:r>
    </w:p>
    <w:p w14:paraId="0798B0B0" w14:textId="77777777" w:rsidR="00B414F4" w:rsidRPr="001959AF" w:rsidRDefault="00B414F4" w:rsidP="001959AF">
      <w:pPr>
        <w:pStyle w:val="ListParagraph"/>
        <w:ind w:left="1080"/>
        <w:jc w:val="both"/>
        <w:rPr>
          <w:rFonts w:asciiTheme="majorBidi" w:hAnsiTheme="majorBidi" w:cstheme="majorBidi"/>
          <w:bCs/>
          <w:sz w:val="22"/>
          <w:szCs w:val="22"/>
          <w:lang w:val="en-US"/>
        </w:rPr>
      </w:pPr>
    </w:p>
    <w:p w14:paraId="7714668C" w14:textId="77777777" w:rsidR="00B02240" w:rsidRPr="001959AF" w:rsidRDefault="00B02240" w:rsidP="001959AF">
      <w:pPr>
        <w:jc w:val="both"/>
        <w:rPr>
          <w:rFonts w:asciiTheme="majorBidi" w:hAnsiTheme="majorBidi" w:cstheme="majorBidi"/>
          <w:bCs/>
          <w:lang w:val="en-US"/>
        </w:rPr>
      </w:pPr>
      <w:r w:rsidRPr="001959AF">
        <w:rPr>
          <w:rFonts w:asciiTheme="majorBidi" w:hAnsiTheme="majorBidi" w:cstheme="majorBidi"/>
          <w:bCs/>
          <w:lang w:val="en-US"/>
        </w:rPr>
        <w:t xml:space="preserve">The Center for Reproductive Rights (“the Center”), an international non-governmental legal advocacy organization dedicated to the advancement of reproductive freedom as a fundamental human right, submits this paper to the Special Rapporteur on the Rights of Persons with Disabilities following the mandate’s call for submissions on the sexual and reproductive health and rights of girls with disabilities.  </w:t>
      </w:r>
    </w:p>
    <w:p w14:paraId="64AF064A" w14:textId="6DE5D14A" w:rsidR="00B02240" w:rsidRPr="001959AF" w:rsidRDefault="00B02240" w:rsidP="001959AF">
      <w:pPr>
        <w:jc w:val="both"/>
        <w:rPr>
          <w:rFonts w:asciiTheme="majorBidi" w:hAnsiTheme="majorBidi" w:cstheme="majorBidi"/>
          <w:bCs/>
          <w:lang w:val="en-US"/>
        </w:rPr>
      </w:pPr>
      <w:r w:rsidRPr="001959AF">
        <w:rPr>
          <w:rFonts w:asciiTheme="majorBidi" w:hAnsiTheme="majorBidi" w:cstheme="majorBidi"/>
          <w:bCs/>
          <w:lang w:val="en-US"/>
        </w:rPr>
        <w:t xml:space="preserve">The exercise of reproductive rights, including the right to decide freely on the number and spacing of one’s children, is essential to ensuring that women and girls can achieve equality and overcome discrimination by exercising their autonomy and self-determination. Too often, however, women and girls face restrictions, in law and/or in practice, on the exercise of their reproductive rights, and state failure to take positive measures to ensure access to reproductive health services and to prevent and punish violations contribute to the barriers women and girls face in exercising their reproductive rights. </w:t>
      </w:r>
    </w:p>
    <w:p w14:paraId="2991216C" w14:textId="77777777" w:rsidR="00B02240" w:rsidRPr="001959AF" w:rsidRDefault="00B02240" w:rsidP="001959AF">
      <w:pPr>
        <w:jc w:val="both"/>
        <w:rPr>
          <w:rFonts w:asciiTheme="majorBidi" w:hAnsiTheme="majorBidi" w:cstheme="majorBidi"/>
          <w:bCs/>
          <w:lang w:val="en-US"/>
        </w:rPr>
      </w:pPr>
      <w:r w:rsidRPr="001959AF">
        <w:rPr>
          <w:rFonts w:asciiTheme="majorBidi" w:hAnsiTheme="majorBidi" w:cstheme="majorBidi"/>
          <w:bCs/>
          <w:lang w:val="en-US"/>
        </w:rPr>
        <w:t xml:space="preserve">Autonomy is also one of the foundational principles and core legal obligations outlined in the Convention on the Rights of Persons with Disabilities (CRPD). And although all women and girls face barriers to accessing reproductive health information and services, women and girls with disabilities may have particular difficulty ensuring their reproductive rights, though the ways in which barriers to access affect women with disabilities have not yet been widely studied. </w:t>
      </w:r>
    </w:p>
    <w:p w14:paraId="3FBBEC39" w14:textId="5638B8C7" w:rsidR="00B02240" w:rsidRPr="001959AF" w:rsidRDefault="00B02240" w:rsidP="001959AF">
      <w:pPr>
        <w:jc w:val="both"/>
        <w:rPr>
          <w:rFonts w:asciiTheme="majorBidi" w:hAnsiTheme="majorBidi" w:cstheme="majorBidi"/>
          <w:bCs/>
          <w:lang w:val="en-US"/>
        </w:rPr>
      </w:pPr>
      <w:r w:rsidRPr="001959AF">
        <w:rPr>
          <w:rFonts w:asciiTheme="majorBidi" w:hAnsiTheme="majorBidi" w:cstheme="majorBidi"/>
          <w:bCs/>
          <w:lang w:val="en-US"/>
        </w:rPr>
        <w:t>As the CRPD recognizes, girls with disabilities are subject to multiple discrimination because of their gender</w:t>
      </w:r>
      <w:r w:rsidR="00D41F29">
        <w:rPr>
          <w:rFonts w:asciiTheme="majorBidi" w:hAnsiTheme="majorBidi" w:cstheme="majorBidi"/>
          <w:bCs/>
          <w:lang w:val="en-US"/>
        </w:rPr>
        <w:t>, age</w:t>
      </w:r>
      <w:r w:rsidRPr="001959AF">
        <w:rPr>
          <w:rFonts w:asciiTheme="majorBidi" w:hAnsiTheme="majorBidi" w:cstheme="majorBidi"/>
          <w:bCs/>
          <w:lang w:val="en-US"/>
        </w:rPr>
        <w:t xml:space="preserve"> and disability statuses. </w:t>
      </w:r>
      <w:r w:rsidR="00305BC4" w:rsidRPr="001959AF">
        <w:rPr>
          <w:rFonts w:asciiTheme="majorBidi" w:hAnsiTheme="majorBidi" w:cstheme="majorBidi"/>
          <w:bCs/>
          <w:lang w:val="en-US"/>
        </w:rPr>
        <w:t xml:space="preserve">This discrimination can then be further compounded by racial or ethnic discrimination, </w:t>
      </w:r>
      <w:r w:rsidR="00D41F29">
        <w:rPr>
          <w:rFonts w:asciiTheme="majorBidi" w:hAnsiTheme="majorBidi" w:cstheme="majorBidi"/>
          <w:bCs/>
          <w:lang w:val="en-US"/>
        </w:rPr>
        <w:t xml:space="preserve">sexual orientation/identity, </w:t>
      </w:r>
      <w:r w:rsidR="00305BC4" w:rsidRPr="001959AF">
        <w:rPr>
          <w:rFonts w:asciiTheme="majorBidi" w:hAnsiTheme="majorBidi" w:cstheme="majorBidi"/>
          <w:bCs/>
          <w:lang w:val="en-US"/>
        </w:rPr>
        <w:t>migration status, and living in rural areas.</w:t>
      </w:r>
      <w:r w:rsidRPr="001959AF">
        <w:rPr>
          <w:rFonts w:asciiTheme="majorBidi" w:hAnsiTheme="majorBidi" w:cstheme="majorBidi"/>
          <w:bCs/>
          <w:lang w:val="en-US"/>
        </w:rPr>
        <w:t xml:space="preserve"> The CRPD requires states to take measures to address this multiple discrimination, which also manifests itself in the exercise of reproductive rights and poses additional barriers for </w:t>
      </w:r>
      <w:r w:rsidR="00D41F29">
        <w:rPr>
          <w:rFonts w:asciiTheme="majorBidi" w:hAnsiTheme="majorBidi" w:cstheme="majorBidi"/>
          <w:bCs/>
          <w:lang w:val="en-US"/>
        </w:rPr>
        <w:t>girls</w:t>
      </w:r>
      <w:r w:rsidR="00D41F29" w:rsidRPr="001959AF">
        <w:rPr>
          <w:rFonts w:asciiTheme="majorBidi" w:hAnsiTheme="majorBidi" w:cstheme="majorBidi"/>
          <w:bCs/>
          <w:lang w:val="en-US"/>
        </w:rPr>
        <w:t xml:space="preserve"> </w:t>
      </w:r>
      <w:r w:rsidRPr="001959AF">
        <w:rPr>
          <w:rFonts w:asciiTheme="majorBidi" w:hAnsiTheme="majorBidi" w:cstheme="majorBidi"/>
          <w:bCs/>
          <w:lang w:val="en-US"/>
        </w:rPr>
        <w:t xml:space="preserve">with disabilities in exercising their autonomy, including through the provision of information and services that support that autonomy. The CRPD recognizes the importance of fulfilling reproductive rights for persons with disabilities, particularly women and girls, and includes the most expansive language on reproductive rights of any UN human rights convention. The reproductive rights specifically enumerated in the CRPD include the rights “to decide freely and responsibly on the number and spacing of their children and to have access to age-appropriate information, reproductive and family planning education,”  to retain fertility on an equal basis with others, including for children with disabilities,  and to health on an equal basis with others, “including in the area of sexual and reproductive health and population-based public health programs.”  </w:t>
      </w:r>
    </w:p>
    <w:p w14:paraId="27622532" w14:textId="59158A93" w:rsidR="00B02240" w:rsidRPr="001959AF" w:rsidRDefault="00B02240" w:rsidP="001959AF">
      <w:pPr>
        <w:jc w:val="both"/>
        <w:rPr>
          <w:rFonts w:asciiTheme="majorBidi" w:hAnsiTheme="majorBidi" w:cstheme="majorBidi"/>
          <w:bCs/>
          <w:lang w:val="en-US"/>
        </w:rPr>
      </w:pPr>
      <w:r w:rsidRPr="001959AF">
        <w:rPr>
          <w:rFonts w:asciiTheme="majorBidi" w:hAnsiTheme="majorBidi" w:cstheme="majorBidi"/>
          <w:bCs/>
          <w:lang w:val="en-US"/>
        </w:rPr>
        <w:t xml:space="preserve">This submission explores some of the sexual and reproductive rights issues affecting girls with disabilities, including access to information in healthcare settings </w:t>
      </w:r>
      <w:r w:rsidR="00D41F29">
        <w:rPr>
          <w:rFonts w:asciiTheme="majorBidi" w:hAnsiTheme="majorBidi" w:cstheme="majorBidi"/>
          <w:bCs/>
          <w:lang w:val="en-US"/>
        </w:rPr>
        <w:t xml:space="preserve">comprehensive </w:t>
      </w:r>
      <w:r w:rsidRPr="001959AF">
        <w:rPr>
          <w:rFonts w:asciiTheme="majorBidi" w:hAnsiTheme="majorBidi" w:cstheme="majorBidi"/>
          <w:bCs/>
          <w:lang w:val="en-US"/>
        </w:rPr>
        <w:t xml:space="preserve">sexuality education, </w:t>
      </w:r>
      <w:r w:rsidR="004B5DB3" w:rsidRPr="001959AF">
        <w:rPr>
          <w:rFonts w:asciiTheme="majorBidi" w:hAnsiTheme="majorBidi" w:cstheme="majorBidi"/>
          <w:bCs/>
          <w:lang w:val="en-US"/>
        </w:rPr>
        <w:t xml:space="preserve">and access to sexual and reproductive health services. </w:t>
      </w:r>
      <w:r w:rsidR="00E04DEA" w:rsidRPr="001959AF">
        <w:rPr>
          <w:rFonts w:asciiTheme="majorBidi" w:hAnsiTheme="majorBidi" w:cstheme="majorBidi"/>
          <w:bCs/>
          <w:lang w:val="en-US"/>
        </w:rPr>
        <w:t>Harmful</w:t>
      </w:r>
      <w:r w:rsidRPr="001959AF">
        <w:rPr>
          <w:rFonts w:asciiTheme="majorBidi" w:hAnsiTheme="majorBidi" w:cstheme="majorBidi"/>
          <w:bCs/>
          <w:lang w:val="en-US"/>
        </w:rPr>
        <w:t xml:space="preserve"> stereotypes, norms, values, taboos, attitudes and behaviors related to the sexual and reproductive health and rights of girls with disabilities</w:t>
      </w:r>
      <w:r w:rsidR="00E04DEA" w:rsidRPr="001959AF">
        <w:rPr>
          <w:rFonts w:asciiTheme="majorBidi" w:hAnsiTheme="majorBidi" w:cstheme="majorBidi"/>
          <w:bCs/>
          <w:lang w:val="en-US"/>
        </w:rPr>
        <w:t xml:space="preserve"> are also addressed throughout this submission</w:t>
      </w:r>
      <w:r w:rsidRPr="001959AF">
        <w:rPr>
          <w:rFonts w:asciiTheme="majorBidi" w:hAnsiTheme="majorBidi" w:cstheme="majorBidi"/>
          <w:bCs/>
          <w:lang w:val="en-US"/>
        </w:rPr>
        <w:t xml:space="preserve">. </w:t>
      </w:r>
      <w:r w:rsidR="00E04DEA" w:rsidRPr="001959AF">
        <w:rPr>
          <w:rFonts w:asciiTheme="majorBidi" w:hAnsiTheme="majorBidi" w:cstheme="majorBidi"/>
          <w:bCs/>
          <w:lang w:val="en-US"/>
        </w:rPr>
        <w:t>We</w:t>
      </w:r>
      <w:r w:rsidRPr="001959AF">
        <w:rPr>
          <w:rFonts w:asciiTheme="majorBidi" w:hAnsiTheme="majorBidi" w:cstheme="majorBidi"/>
          <w:bCs/>
          <w:lang w:val="en-US"/>
        </w:rPr>
        <w:t xml:space="preserve"> will also address SRHR violations such as harmful practices, including forced sterilization and child, early and forced marriage. </w:t>
      </w:r>
    </w:p>
    <w:p w14:paraId="07BF0032" w14:textId="77777777" w:rsidR="00B414F4" w:rsidRPr="001959AF" w:rsidRDefault="00B414F4" w:rsidP="001959AF">
      <w:pPr>
        <w:jc w:val="both"/>
        <w:rPr>
          <w:rFonts w:asciiTheme="majorBidi" w:hAnsiTheme="majorBidi" w:cstheme="majorBidi"/>
          <w:bCs/>
          <w:lang w:val="en-US"/>
        </w:rPr>
      </w:pPr>
    </w:p>
    <w:p w14:paraId="7B39A482" w14:textId="5C1EDE0C" w:rsidR="00305BC4" w:rsidRPr="001959AF" w:rsidRDefault="00305BC4" w:rsidP="001959AF">
      <w:pPr>
        <w:pStyle w:val="ListParagraph"/>
        <w:numPr>
          <w:ilvl w:val="0"/>
          <w:numId w:val="7"/>
        </w:numPr>
        <w:jc w:val="both"/>
        <w:rPr>
          <w:rFonts w:asciiTheme="majorBidi" w:eastAsiaTheme="minorHAnsi" w:hAnsiTheme="majorBidi" w:cstheme="majorBidi"/>
          <w:b/>
          <w:sz w:val="22"/>
          <w:szCs w:val="22"/>
          <w:lang w:val="en-US"/>
        </w:rPr>
      </w:pPr>
      <w:r w:rsidRPr="001959AF">
        <w:rPr>
          <w:rFonts w:asciiTheme="majorBidi" w:eastAsiaTheme="minorHAnsi" w:hAnsiTheme="majorBidi" w:cstheme="majorBidi"/>
          <w:b/>
          <w:sz w:val="22"/>
          <w:szCs w:val="22"/>
          <w:lang w:val="en-US"/>
        </w:rPr>
        <w:t xml:space="preserve">Accessibility and the Right to Sexual and Reproductive Health for Girls with Disabilities </w:t>
      </w:r>
    </w:p>
    <w:p w14:paraId="6D691C04" w14:textId="77777777" w:rsidR="00305BC4" w:rsidRPr="001959AF" w:rsidRDefault="00305BC4" w:rsidP="001959AF">
      <w:pPr>
        <w:pStyle w:val="ListParagraph"/>
        <w:ind w:left="1080"/>
        <w:jc w:val="both"/>
        <w:rPr>
          <w:rFonts w:asciiTheme="majorBidi" w:eastAsiaTheme="minorHAnsi" w:hAnsiTheme="majorBidi" w:cstheme="majorBidi"/>
          <w:bCs/>
          <w:sz w:val="22"/>
          <w:szCs w:val="22"/>
          <w:lang w:val="en-US"/>
        </w:rPr>
      </w:pPr>
    </w:p>
    <w:p w14:paraId="7464AAFA" w14:textId="29F89C70" w:rsidR="00305BC4" w:rsidRPr="001959AF" w:rsidRDefault="00305BC4" w:rsidP="001959AF">
      <w:pPr>
        <w:jc w:val="both"/>
        <w:rPr>
          <w:rFonts w:asciiTheme="majorBidi" w:hAnsiTheme="majorBidi" w:cstheme="majorBidi"/>
          <w:bCs/>
          <w:lang w:val="en-US"/>
        </w:rPr>
      </w:pPr>
      <w:r w:rsidRPr="001959AF">
        <w:rPr>
          <w:rFonts w:asciiTheme="majorBidi" w:hAnsiTheme="majorBidi" w:cstheme="majorBidi"/>
          <w:bCs/>
          <w:lang w:val="en-US"/>
        </w:rPr>
        <w:t>Though data on women</w:t>
      </w:r>
      <w:r w:rsidR="00D41F29">
        <w:rPr>
          <w:rFonts w:asciiTheme="majorBidi" w:hAnsiTheme="majorBidi" w:cstheme="majorBidi"/>
          <w:bCs/>
          <w:lang w:val="en-US"/>
        </w:rPr>
        <w:t xml:space="preserve"> and girls</w:t>
      </w:r>
      <w:r w:rsidRPr="001959AF">
        <w:rPr>
          <w:rFonts w:asciiTheme="majorBidi" w:hAnsiTheme="majorBidi" w:cstheme="majorBidi"/>
          <w:bCs/>
          <w:lang w:val="en-US"/>
        </w:rPr>
        <w:t xml:space="preserve"> with disabilities is limited, women appear to be more likely to have a disability than are men—19.2% vs. 12%--meaning that disability affects a significant portion of women.</w:t>
      </w:r>
      <w:r w:rsidRPr="001959AF">
        <w:rPr>
          <w:rFonts w:asciiTheme="majorBidi" w:hAnsiTheme="majorBidi" w:cstheme="majorBidi"/>
          <w:vertAlign w:val="superscript"/>
          <w:lang w:val="en-AU"/>
        </w:rPr>
        <w:endnoteReference w:id="1"/>
      </w:r>
      <w:r w:rsidRPr="001959AF">
        <w:rPr>
          <w:rFonts w:asciiTheme="majorBidi" w:hAnsiTheme="majorBidi" w:cstheme="majorBidi"/>
          <w:bCs/>
          <w:lang w:val="en-AU"/>
        </w:rPr>
        <w:t xml:space="preserve"> </w:t>
      </w:r>
      <w:r w:rsidRPr="001959AF">
        <w:rPr>
          <w:rFonts w:asciiTheme="majorBidi" w:hAnsiTheme="majorBidi" w:cstheme="majorBidi"/>
          <w:bCs/>
          <w:lang w:val="en-US"/>
        </w:rPr>
        <w:t>The CRPD in Article 6 recognizes that women and girls with disabilities may face multiple forms of discrimination, due to both their gender and their disability.</w:t>
      </w:r>
      <w:r w:rsidRPr="001959AF">
        <w:rPr>
          <w:rFonts w:asciiTheme="majorBidi" w:hAnsiTheme="majorBidi" w:cstheme="majorBidi"/>
          <w:vertAlign w:val="superscript"/>
          <w:lang w:val="en-US"/>
        </w:rPr>
        <w:endnoteReference w:id="2"/>
      </w:r>
      <w:r w:rsidRPr="001959AF">
        <w:rPr>
          <w:rFonts w:asciiTheme="majorBidi" w:hAnsiTheme="majorBidi" w:cstheme="majorBidi"/>
          <w:bCs/>
          <w:lang w:val="en-US"/>
        </w:rPr>
        <w:t xml:space="preserve"> Indeed, intersectionality is an important component of gender equality, requiring states to ensure that they tackle the root causes of discrimination based on women’s multiple identities. Human rights treaties, treaty monitoring bodies, and the UN Special Rapporteur on Violence against Women have found that these women’s multiple identities can lead to discrimination that only affects them or affects them in different ways from men,</w:t>
      </w:r>
      <w:r w:rsidRPr="001959AF">
        <w:rPr>
          <w:rFonts w:asciiTheme="majorBidi" w:hAnsiTheme="majorBidi" w:cstheme="majorBidi"/>
          <w:vertAlign w:val="superscript"/>
          <w:lang w:val="en-US"/>
        </w:rPr>
        <w:endnoteReference w:id="3"/>
      </w:r>
      <w:r w:rsidRPr="001959AF">
        <w:rPr>
          <w:rFonts w:asciiTheme="majorBidi" w:hAnsiTheme="majorBidi" w:cstheme="majorBidi"/>
          <w:bCs/>
          <w:lang w:val="en-US"/>
        </w:rPr>
        <w:t xml:space="preserve"> including increased levels of violence.</w:t>
      </w:r>
      <w:r w:rsidRPr="001959AF">
        <w:rPr>
          <w:rFonts w:asciiTheme="majorBidi" w:hAnsiTheme="majorBidi" w:cstheme="majorBidi"/>
          <w:vertAlign w:val="superscript"/>
          <w:lang w:val="en-US"/>
        </w:rPr>
        <w:endnoteReference w:id="4"/>
      </w:r>
      <w:r w:rsidRPr="001959AF">
        <w:rPr>
          <w:rFonts w:asciiTheme="majorBidi" w:hAnsiTheme="majorBidi" w:cstheme="majorBidi"/>
          <w:bCs/>
          <w:lang w:val="en-US"/>
        </w:rPr>
        <w:t xml:space="preserve"> </w:t>
      </w:r>
    </w:p>
    <w:p w14:paraId="55003DD1" w14:textId="77777777" w:rsidR="004B5DB3" w:rsidRPr="001959AF" w:rsidRDefault="00305BC4" w:rsidP="001959AF">
      <w:pPr>
        <w:jc w:val="both"/>
        <w:rPr>
          <w:rFonts w:asciiTheme="majorBidi" w:hAnsiTheme="majorBidi" w:cstheme="majorBidi"/>
          <w:bCs/>
          <w:lang w:val="en-US"/>
        </w:rPr>
      </w:pPr>
      <w:r w:rsidRPr="001959AF">
        <w:rPr>
          <w:rFonts w:asciiTheme="majorBidi" w:hAnsiTheme="majorBidi" w:cstheme="majorBidi"/>
          <w:bCs/>
          <w:lang w:val="en-US"/>
        </w:rPr>
        <w:t>The Committee on the Rights of the Child, in its General Comment 20 on the implementation of the rights of the child durin</w:t>
      </w:r>
      <w:r w:rsidR="00366C71" w:rsidRPr="001959AF">
        <w:rPr>
          <w:rFonts w:asciiTheme="majorBidi" w:hAnsiTheme="majorBidi" w:cstheme="majorBidi"/>
          <w:bCs/>
          <w:lang w:val="en-US"/>
        </w:rPr>
        <w:t xml:space="preserve">g adolescence, has highlighted </w:t>
      </w:r>
      <w:r w:rsidR="004B5DB3" w:rsidRPr="001959AF">
        <w:rPr>
          <w:rFonts w:asciiTheme="majorBidi" w:hAnsiTheme="majorBidi" w:cstheme="majorBidi"/>
          <w:bCs/>
          <w:lang w:val="en-US"/>
        </w:rPr>
        <w:t>that certain groups of adolescents, including girls and adolescents with disabilities, may be particularly subject to multiple vulnerabilities and violations of their rights, including discrimination and social exclusion</w:t>
      </w:r>
      <w:r w:rsidR="004B5DB3" w:rsidRPr="001959AF">
        <w:rPr>
          <w:rStyle w:val="EndnoteReference"/>
          <w:rFonts w:asciiTheme="majorBidi" w:hAnsiTheme="majorBidi" w:cstheme="majorBidi"/>
          <w:bCs/>
          <w:lang w:val="en-US"/>
        </w:rPr>
        <w:endnoteReference w:id="5"/>
      </w:r>
      <w:r w:rsidR="004B5DB3" w:rsidRPr="001959AF">
        <w:rPr>
          <w:rFonts w:asciiTheme="majorBidi" w:hAnsiTheme="majorBidi" w:cstheme="majorBidi"/>
          <w:bCs/>
          <w:lang w:val="en-US"/>
        </w:rPr>
        <w:t xml:space="preserve">. </w:t>
      </w:r>
    </w:p>
    <w:p w14:paraId="055064A7" w14:textId="10CC80F1" w:rsidR="00305BC4" w:rsidRPr="001959AF" w:rsidRDefault="00305BC4" w:rsidP="001959AF">
      <w:pPr>
        <w:jc w:val="both"/>
        <w:rPr>
          <w:rFonts w:asciiTheme="majorBidi" w:hAnsiTheme="majorBidi" w:cstheme="majorBidi"/>
          <w:bCs/>
          <w:lang w:val="en-US"/>
        </w:rPr>
      </w:pPr>
      <w:r w:rsidRPr="001959AF">
        <w:rPr>
          <w:rFonts w:asciiTheme="majorBidi" w:hAnsiTheme="majorBidi" w:cstheme="majorBidi"/>
          <w:bCs/>
          <w:lang w:val="en-US"/>
        </w:rPr>
        <w:t xml:space="preserve">The duty to protect individuals from intersectional discrimination may also require states to take further actions to meet </w:t>
      </w:r>
      <w:r w:rsidR="00D41F29">
        <w:rPr>
          <w:rFonts w:asciiTheme="majorBidi" w:hAnsiTheme="majorBidi" w:cstheme="majorBidi"/>
          <w:bCs/>
          <w:lang w:val="en-US"/>
        </w:rPr>
        <w:t>girl</w:t>
      </w:r>
      <w:r w:rsidR="00D41F29" w:rsidRPr="001959AF">
        <w:rPr>
          <w:rFonts w:asciiTheme="majorBidi" w:hAnsiTheme="majorBidi" w:cstheme="majorBidi"/>
          <w:bCs/>
          <w:lang w:val="en-US"/>
        </w:rPr>
        <w:t xml:space="preserve">’s </w:t>
      </w:r>
      <w:r w:rsidRPr="001959AF">
        <w:rPr>
          <w:rFonts w:asciiTheme="majorBidi" w:hAnsiTheme="majorBidi" w:cstheme="majorBidi"/>
          <w:bCs/>
          <w:lang w:val="en-US"/>
        </w:rPr>
        <w:t>distinctive health needs, overcome barriers to their access to reproductive health services that stem from their multiple identities, and provide reasonable accommodation to individuals as appropriate.</w:t>
      </w:r>
      <w:r w:rsidRPr="001959AF">
        <w:rPr>
          <w:rFonts w:asciiTheme="majorBidi" w:hAnsiTheme="majorBidi" w:cstheme="majorBidi"/>
          <w:vertAlign w:val="superscript"/>
          <w:lang w:val="en-US"/>
        </w:rPr>
        <w:endnoteReference w:id="6"/>
      </w:r>
    </w:p>
    <w:p w14:paraId="78321974" w14:textId="11F4A1FA"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 xml:space="preserve">In order for women </w:t>
      </w:r>
      <w:r w:rsidR="00D41F29">
        <w:rPr>
          <w:rFonts w:asciiTheme="majorBidi" w:hAnsiTheme="majorBidi" w:cstheme="majorBidi"/>
          <w:sz w:val="22"/>
          <w:szCs w:val="22"/>
        </w:rPr>
        <w:t xml:space="preserve">and girls </w:t>
      </w:r>
      <w:r w:rsidRPr="001959AF">
        <w:rPr>
          <w:rFonts w:asciiTheme="majorBidi" w:hAnsiTheme="majorBidi" w:cstheme="majorBidi"/>
          <w:sz w:val="22"/>
          <w:szCs w:val="22"/>
        </w:rPr>
        <w:t xml:space="preserve">with disabilities to fully exercise their reproductive autonomy, they must have access to the accurate and timely information they need to make important life decisions. This information, however, is often not provided to women </w:t>
      </w:r>
      <w:r w:rsidR="00D41F29">
        <w:rPr>
          <w:rFonts w:asciiTheme="majorBidi" w:hAnsiTheme="majorBidi" w:cstheme="majorBidi"/>
          <w:sz w:val="22"/>
          <w:szCs w:val="22"/>
        </w:rPr>
        <w:t xml:space="preserve">and girls </w:t>
      </w:r>
      <w:r w:rsidRPr="001959AF">
        <w:rPr>
          <w:rFonts w:asciiTheme="majorBidi" w:hAnsiTheme="majorBidi" w:cstheme="majorBidi"/>
          <w:sz w:val="22"/>
          <w:szCs w:val="22"/>
        </w:rPr>
        <w:t>with disabilities because they are unable to physically access healthcare facilities, the information provided to them is biased by a perception that they are unable to take care of children,</w:t>
      </w:r>
      <w:r w:rsidRPr="001959AF">
        <w:rPr>
          <w:rStyle w:val="EndnoteReference"/>
          <w:rFonts w:asciiTheme="majorBidi" w:hAnsiTheme="majorBidi" w:cstheme="majorBidi"/>
          <w:sz w:val="22"/>
          <w:szCs w:val="22"/>
        </w:rPr>
        <w:endnoteReference w:id="7"/>
      </w:r>
      <w:r w:rsidRPr="001959AF">
        <w:rPr>
          <w:rFonts w:asciiTheme="majorBidi" w:hAnsiTheme="majorBidi" w:cstheme="majorBidi"/>
          <w:sz w:val="22"/>
          <w:szCs w:val="22"/>
        </w:rPr>
        <w:t xml:space="preserve"> or the information they receive is not in accessible formats.</w:t>
      </w:r>
      <w:r w:rsidRPr="001959AF">
        <w:rPr>
          <w:rStyle w:val="EndnoteReference"/>
          <w:rFonts w:asciiTheme="majorBidi" w:hAnsiTheme="majorBidi" w:cstheme="majorBidi"/>
          <w:sz w:val="22"/>
          <w:szCs w:val="22"/>
        </w:rPr>
        <w:endnoteReference w:id="8"/>
      </w:r>
      <w:r w:rsidRPr="001959AF">
        <w:rPr>
          <w:rFonts w:asciiTheme="majorBidi" w:hAnsiTheme="majorBidi" w:cstheme="majorBidi"/>
          <w:sz w:val="22"/>
          <w:szCs w:val="22"/>
        </w:rPr>
        <w:t xml:space="preserve"> And although sexuality education, both in and out of schools, is an important part of ensuring that women and girls are empowered to protect their reproductive rights, sexuality education is often effectively denied to women and girls with disabilities because of stereotypes about their sexuality, lack of accessibility of information, and exclusion from mainstream schools.</w:t>
      </w:r>
      <w:r w:rsidRPr="001959AF">
        <w:rPr>
          <w:rStyle w:val="EndnoteReference"/>
          <w:rFonts w:asciiTheme="majorBidi" w:hAnsiTheme="majorBidi" w:cstheme="majorBidi"/>
          <w:sz w:val="22"/>
          <w:szCs w:val="22"/>
        </w:rPr>
        <w:endnoteReference w:id="9"/>
      </w:r>
      <w:r w:rsidRPr="001959AF">
        <w:rPr>
          <w:rFonts w:asciiTheme="majorBidi" w:hAnsiTheme="majorBidi" w:cstheme="majorBidi"/>
          <w:sz w:val="22"/>
          <w:szCs w:val="22"/>
        </w:rPr>
        <w:t xml:space="preserve"> </w:t>
      </w:r>
    </w:p>
    <w:p w14:paraId="35077F96" w14:textId="77777777" w:rsidR="004B5DB3" w:rsidRPr="001959AF" w:rsidRDefault="004B5DB3" w:rsidP="001959AF">
      <w:pPr>
        <w:pStyle w:val="Body1"/>
        <w:tabs>
          <w:tab w:val="left" w:pos="2054"/>
        </w:tabs>
        <w:jc w:val="both"/>
        <w:rPr>
          <w:rFonts w:asciiTheme="majorBidi" w:hAnsiTheme="majorBidi" w:cstheme="majorBidi"/>
          <w:sz w:val="22"/>
          <w:szCs w:val="22"/>
        </w:rPr>
      </w:pPr>
      <w:r w:rsidRPr="001959AF">
        <w:rPr>
          <w:rFonts w:asciiTheme="majorBidi" w:hAnsiTheme="majorBidi" w:cstheme="majorBidi"/>
          <w:sz w:val="22"/>
          <w:szCs w:val="22"/>
        </w:rPr>
        <w:tab/>
      </w:r>
    </w:p>
    <w:p w14:paraId="7BB66E7D" w14:textId="77777777" w:rsidR="004B5DB3" w:rsidRPr="001959AF" w:rsidRDefault="004B5DB3" w:rsidP="001959AF">
      <w:pPr>
        <w:pStyle w:val="Body1"/>
        <w:numPr>
          <w:ilvl w:val="0"/>
          <w:numId w:val="3"/>
        </w:numPr>
        <w:ind w:left="1080"/>
        <w:jc w:val="both"/>
        <w:rPr>
          <w:rFonts w:asciiTheme="majorBidi" w:hAnsiTheme="majorBidi" w:cstheme="majorBidi"/>
          <w:b/>
          <w:bCs/>
          <w:sz w:val="22"/>
          <w:szCs w:val="22"/>
        </w:rPr>
      </w:pPr>
      <w:r w:rsidRPr="001959AF">
        <w:rPr>
          <w:rFonts w:asciiTheme="majorBidi" w:hAnsiTheme="majorBidi" w:cstheme="majorBidi"/>
          <w:b/>
          <w:bCs/>
          <w:sz w:val="22"/>
          <w:szCs w:val="22"/>
        </w:rPr>
        <w:t>Access to reproductive health information in healthcare settings</w:t>
      </w:r>
    </w:p>
    <w:p w14:paraId="20B998D0" w14:textId="77777777" w:rsidR="004B5DB3" w:rsidRPr="001959AF" w:rsidRDefault="004B5DB3" w:rsidP="001959AF">
      <w:pPr>
        <w:pStyle w:val="Body1"/>
        <w:jc w:val="both"/>
        <w:rPr>
          <w:rFonts w:asciiTheme="majorBidi" w:hAnsiTheme="majorBidi" w:cstheme="majorBidi"/>
          <w:b/>
          <w:bCs/>
          <w:sz w:val="22"/>
          <w:szCs w:val="22"/>
        </w:rPr>
      </w:pPr>
    </w:p>
    <w:p w14:paraId="0B283084" w14:textId="1010A5B1"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Access to information in healthcare settings is an issue that affects all women</w:t>
      </w:r>
      <w:r w:rsidR="00D41F29">
        <w:rPr>
          <w:rFonts w:asciiTheme="majorBidi" w:hAnsiTheme="majorBidi" w:cstheme="majorBidi"/>
          <w:sz w:val="22"/>
          <w:szCs w:val="22"/>
        </w:rPr>
        <w:t xml:space="preserve"> and girls</w:t>
      </w:r>
      <w:r w:rsidRPr="001959AF">
        <w:rPr>
          <w:rFonts w:asciiTheme="majorBidi" w:hAnsiTheme="majorBidi" w:cstheme="majorBidi"/>
          <w:sz w:val="22"/>
          <w:szCs w:val="22"/>
        </w:rPr>
        <w:t>, as laws often restrict what information is available or require healthcare professionals to provide unnecessary or misleading information to women about their health. In some circumstances, the information that is provided reflects biases and prejudices about the role of women and the health services that should be available to them.</w:t>
      </w:r>
      <w:r w:rsidRPr="001959AF">
        <w:rPr>
          <w:rStyle w:val="EndnoteReference"/>
          <w:rFonts w:asciiTheme="majorBidi" w:hAnsiTheme="majorBidi" w:cstheme="majorBidi"/>
          <w:sz w:val="22"/>
          <w:szCs w:val="22"/>
        </w:rPr>
        <w:endnoteReference w:id="10"/>
      </w:r>
      <w:r w:rsidRPr="001959AF">
        <w:rPr>
          <w:rFonts w:asciiTheme="majorBidi" w:hAnsiTheme="majorBidi" w:cstheme="majorBidi"/>
          <w:sz w:val="22"/>
          <w:szCs w:val="22"/>
        </w:rPr>
        <w:t xml:space="preserve"> Accurate and timely information is essential to exercising autonomy and making an informed choice to undergo medical procedures. When accurate and evidence-based information, free from biases and prejudices, is denied to individuals in healthcare settings, including reproductive healthcare, it is a human rights violation.  </w:t>
      </w:r>
    </w:p>
    <w:p w14:paraId="1FDA0056" w14:textId="77777777" w:rsidR="004B5DB3" w:rsidRPr="001959AF" w:rsidRDefault="004B5DB3" w:rsidP="001959AF">
      <w:pPr>
        <w:pStyle w:val="Body1"/>
        <w:jc w:val="both"/>
        <w:rPr>
          <w:rFonts w:asciiTheme="majorBidi" w:hAnsiTheme="majorBidi" w:cstheme="majorBidi"/>
          <w:sz w:val="22"/>
          <w:szCs w:val="22"/>
        </w:rPr>
      </w:pPr>
    </w:p>
    <w:p w14:paraId="094BA88E"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Women with disabilities may face barriers to accessing information about their reproductive health distinct from other women, because of physical barriers to entry into healthcare facilities or to the use of transportation,</w:t>
      </w:r>
      <w:r w:rsidRPr="001959AF">
        <w:rPr>
          <w:rStyle w:val="EndnoteReference"/>
          <w:rFonts w:asciiTheme="majorBidi" w:hAnsiTheme="majorBidi" w:cstheme="majorBidi"/>
          <w:sz w:val="22"/>
          <w:szCs w:val="22"/>
        </w:rPr>
        <w:endnoteReference w:id="11"/>
      </w:r>
      <w:r w:rsidRPr="001959AF">
        <w:rPr>
          <w:rFonts w:asciiTheme="majorBidi" w:hAnsiTheme="majorBidi" w:cstheme="majorBidi"/>
          <w:sz w:val="22"/>
          <w:szCs w:val="22"/>
        </w:rPr>
        <w:t xml:space="preserve"> and communication barriers or lack of reproductive health information in accessible formats.</w:t>
      </w:r>
      <w:r w:rsidRPr="001959AF">
        <w:rPr>
          <w:rStyle w:val="EndnoteReference"/>
          <w:rFonts w:asciiTheme="majorBidi" w:hAnsiTheme="majorBidi" w:cstheme="majorBidi"/>
          <w:sz w:val="22"/>
          <w:szCs w:val="22"/>
        </w:rPr>
        <w:endnoteReference w:id="12"/>
      </w:r>
      <w:r w:rsidRPr="001959AF">
        <w:rPr>
          <w:rFonts w:asciiTheme="majorBidi" w:hAnsiTheme="majorBidi" w:cstheme="majorBidi"/>
          <w:sz w:val="22"/>
          <w:szCs w:val="22"/>
        </w:rPr>
        <w:t xml:space="preserve"> For example, two women with physical disabilities in Northern Uganda reported that they </w:t>
      </w:r>
      <w:r w:rsidRPr="001959AF">
        <w:rPr>
          <w:rFonts w:asciiTheme="majorBidi" w:hAnsiTheme="majorBidi" w:cstheme="majorBidi"/>
          <w:sz w:val="22"/>
          <w:szCs w:val="22"/>
        </w:rPr>
        <w:lastRenderedPageBreak/>
        <w:t>were not able to seek reproductive health information and services following rape because the facilities were too far away, and they had no accessible means to get to them.</w:t>
      </w:r>
      <w:r w:rsidRPr="001959AF">
        <w:rPr>
          <w:rStyle w:val="EndnoteReference"/>
          <w:rFonts w:asciiTheme="majorBidi" w:hAnsiTheme="majorBidi" w:cstheme="majorBidi"/>
          <w:sz w:val="22"/>
          <w:szCs w:val="22"/>
        </w:rPr>
        <w:endnoteReference w:id="13"/>
      </w:r>
    </w:p>
    <w:p w14:paraId="368E03BD" w14:textId="77777777" w:rsidR="004B5DB3" w:rsidRPr="001959AF" w:rsidRDefault="004B5DB3" w:rsidP="001959AF">
      <w:pPr>
        <w:pStyle w:val="Body1"/>
        <w:ind w:left="720"/>
        <w:jc w:val="both"/>
        <w:rPr>
          <w:rFonts w:asciiTheme="majorBidi" w:hAnsiTheme="majorBidi" w:cstheme="majorBidi"/>
          <w:sz w:val="22"/>
          <w:szCs w:val="22"/>
        </w:rPr>
      </w:pPr>
    </w:p>
    <w:p w14:paraId="01322D53"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The information that is provided to women with disabilities about reproductive healthcare and parenting may undermine their rights, exposing a bias in the community that persons with disabilities are not able to care for their children.</w:t>
      </w:r>
      <w:r w:rsidRPr="001959AF">
        <w:rPr>
          <w:rStyle w:val="EndnoteReference"/>
          <w:rFonts w:asciiTheme="majorBidi" w:hAnsiTheme="majorBidi" w:cstheme="majorBidi"/>
          <w:sz w:val="22"/>
          <w:szCs w:val="22"/>
        </w:rPr>
        <w:endnoteReference w:id="14"/>
      </w:r>
      <w:r w:rsidRPr="001959AF">
        <w:rPr>
          <w:rFonts w:asciiTheme="majorBidi" w:hAnsiTheme="majorBidi" w:cstheme="majorBidi"/>
          <w:sz w:val="22"/>
          <w:szCs w:val="22"/>
        </w:rPr>
        <w:t xml:space="preserve"> Social science research has documented that women with disabilities face skepticism about their ability to care for children from family members and healthcare professionals.</w:t>
      </w:r>
      <w:r w:rsidRPr="001959AF">
        <w:rPr>
          <w:rStyle w:val="EndnoteReference"/>
          <w:rFonts w:asciiTheme="majorBidi" w:hAnsiTheme="majorBidi" w:cstheme="majorBidi"/>
          <w:sz w:val="22"/>
          <w:szCs w:val="22"/>
        </w:rPr>
        <w:endnoteReference w:id="15"/>
      </w:r>
      <w:r w:rsidRPr="001959AF">
        <w:rPr>
          <w:rFonts w:asciiTheme="majorBidi" w:hAnsiTheme="majorBidi" w:cstheme="majorBidi"/>
          <w:sz w:val="22"/>
          <w:szCs w:val="22"/>
        </w:rPr>
        <w:t xml:space="preserve"> Parents of children with intellectual disabilities in particular may be biased against the ability of their children to become parents, sometimes resulting in abusive practices such as forced sterilization.</w:t>
      </w:r>
      <w:r w:rsidRPr="001959AF">
        <w:rPr>
          <w:rStyle w:val="EndnoteReference"/>
          <w:rFonts w:asciiTheme="majorBidi" w:hAnsiTheme="majorBidi" w:cstheme="majorBidi"/>
          <w:sz w:val="22"/>
          <w:szCs w:val="22"/>
        </w:rPr>
        <w:endnoteReference w:id="16"/>
      </w:r>
      <w:r w:rsidRPr="001959AF">
        <w:rPr>
          <w:rFonts w:asciiTheme="majorBidi" w:hAnsiTheme="majorBidi" w:cstheme="majorBidi"/>
          <w:sz w:val="22"/>
          <w:szCs w:val="22"/>
        </w:rPr>
        <w:t xml:space="preserve"> </w:t>
      </w:r>
    </w:p>
    <w:p w14:paraId="7D017D73" w14:textId="77777777" w:rsidR="004B5DB3" w:rsidRPr="001959AF" w:rsidRDefault="004B5DB3" w:rsidP="001959AF">
      <w:pPr>
        <w:pStyle w:val="Body1"/>
        <w:jc w:val="both"/>
        <w:rPr>
          <w:rFonts w:asciiTheme="majorBidi" w:hAnsiTheme="majorBidi" w:cstheme="majorBidi"/>
          <w:sz w:val="22"/>
          <w:szCs w:val="22"/>
        </w:rPr>
      </w:pPr>
    </w:p>
    <w:p w14:paraId="3D369CBD" w14:textId="77777777" w:rsidR="004B5DB3" w:rsidRPr="001959AF" w:rsidRDefault="004B5DB3" w:rsidP="001959AF">
      <w:pPr>
        <w:pStyle w:val="Body1"/>
        <w:numPr>
          <w:ilvl w:val="0"/>
          <w:numId w:val="3"/>
        </w:numPr>
        <w:ind w:left="1080"/>
        <w:jc w:val="both"/>
        <w:rPr>
          <w:rFonts w:asciiTheme="majorBidi" w:hAnsiTheme="majorBidi" w:cstheme="majorBidi"/>
          <w:b/>
          <w:bCs/>
          <w:sz w:val="22"/>
          <w:szCs w:val="22"/>
        </w:rPr>
      </w:pPr>
      <w:r w:rsidRPr="001959AF">
        <w:rPr>
          <w:rFonts w:asciiTheme="majorBidi" w:hAnsiTheme="majorBidi" w:cstheme="majorBidi"/>
          <w:b/>
          <w:bCs/>
          <w:sz w:val="22"/>
          <w:szCs w:val="22"/>
        </w:rPr>
        <w:t>Access to Sexuality Education</w:t>
      </w:r>
    </w:p>
    <w:p w14:paraId="7327DCB1" w14:textId="77777777" w:rsidR="004B5DB3" w:rsidRPr="001959AF" w:rsidRDefault="004B5DB3" w:rsidP="001959AF">
      <w:pPr>
        <w:pStyle w:val="Body1"/>
        <w:jc w:val="both"/>
        <w:rPr>
          <w:rFonts w:asciiTheme="majorBidi" w:eastAsia="Times New Roman" w:hAnsiTheme="majorBidi" w:cstheme="majorBidi"/>
          <w:b/>
          <w:bCs/>
          <w:sz w:val="22"/>
          <w:szCs w:val="22"/>
        </w:rPr>
      </w:pPr>
    </w:p>
    <w:p w14:paraId="5B4A70EE"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eastAsia="Times New Roman" w:hAnsiTheme="majorBidi" w:cstheme="majorBidi"/>
          <w:sz w:val="22"/>
          <w:szCs w:val="22"/>
        </w:rPr>
        <w:t xml:space="preserve">Comprehensive and accurate sexuality education is a key component of ensuring that reproductive rights are fulfilled, by providing needed information at an early age so that people can make decisions about their reproductive health. </w:t>
      </w:r>
      <w:r w:rsidRPr="001959AF">
        <w:rPr>
          <w:rFonts w:asciiTheme="majorBidi" w:hAnsiTheme="majorBidi" w:cstheme="majorBidi"/>
          <w:sz w:val="22"/>
          <w:szCs w:val="22"/>
        </w:rPr>
        <w:t>Sexuality education is also important as a means to empower women and girls to protect themselves from unwanted pregnancies and STIs, such as HIV/AIDS, as well as to access reproductive health services.</w:t>
      </w:r>
      <w:r w:rsidRPr="001959AF">
        <w:rPr>
          <w:rStyle w:val="EndnoteReference"/>
          <w:rFonts w:asciiTheme="majorBidi" w:hAnsiTheme="majorBidi" w:cstheme="majorBidi"/>
          <w:sz w:val="22"/>
          <w:szCs w:val="22"/>
        </w:rPr>
        <w:endnoteReference w:id="17"/>
      </w:r>
      <w:r w:rsidRPr="001959AF">
        <w:rPr>
          <w:rFonts w:asciiTheme="majorBidi" w:hAnsiTheme="majorBidi" w:cstheme="majorBidi"/>
          <w:sz w:val="22"/>
          <w:szCs w:val="22"/>
        </w:rPr>
        <w:t xml:space="preserve"> However, according to the World Health Organization, adolescents with disabilities are more likely to be excluded from sexuality education programs than other children.</w:t>
      </w:r>
      <w:r w:rsidRPr="001959AF">
        <w:rPr>
          <w:rStyle w:val="EndnoteReference"/>
          <w:rFonts w:asciiTheme="majorBidi" w:hAnsiTheme="majorBidi" w:cstheme="majorBidi"/>
          <w:sz w:val="22"/>
          <w:szCs w:val="22"/>
        </w:rPr>
        <w:endnoteReference w:id="18"/>
      </w:r>
    </w:p>
    <w:p w14:paraId="51DB3366" w14:textId="77777777" w:rsidR="004B5DB3" w:rsidRPr="001959AF" w:rsidRDefault="004B5DB3" w:rsidP="001959AF">
      <w:pPr>
        <w:pStyle w:val="Body1"/>
        <w:jc w:val="both"/>
        <w:rPr>
          <w:rFonts w:asciiTheme="majorBidi" w:eastAsia="Times New Roman" w:hAnsiTheme="majorBidi" w:cstheme="majorBidi"/>
          <w:sz w:val="22"/>
          <w:szCs w:val="22"/>
        </w:rPr>
      </w:pPr>
    </w:p>
    <w:p w14:paraId="614FC132" w14:textId="77777777" w:rsidR="004B5DB3" w:rsidRPr="001959AF" w:rsidRDefault="004B5DB3" w:rsidP="001959AF">
      <w:pPr>
        <w:pStyle w:val="Body1"/>
        <w:jc w:val="both"/>
        <w:rPr>
          <w:rFonts w:asciiTheme="majorBidi" w:eastAsia="Times New Roman" w:hAnsiTheme="majorBidi" w:cstheme="majorBidi"/>
          <w:sz w:val="22"/>
          <w:szCs w:val="22"/>
        </w:rPr>
      </w:pPr>
      <w:r w:rsidRPr="001959AF">
        <w:rPr>
          <w:rFonts w:asciiTheme="majorBidi" w:eastAsia="Times New Roman" w:hAnsiTheme="majorBidi" w:cstheme="majorBidi"/>
          <w:sz w:val="22"/>
          <w:szCs w:val="22"/>
        </w:rPr>
        <w:t>According to the UNESCO technical guidelines on sexuality education, sexuality education should be comprehensive and at minimum include information about anatomy and physiology, puberty, pregnancy, and STIs, including HIV/AIDS.</w:t>
      </w:r>
      <w:r w:rsidRPr="001959AF">
        <w:rPr>
          <w:rStyle w:val="EndnoteReference"/>
          <w:rFonts w:asciiTheme="majorBidi" w:eastAsia="Times New Roman" w:hAnsiTheme="majorBidi" w:cstheme="majorBidi"/>
          <w:sz w:val="22"/>
          <w:szCs w:val="22"/>
        </w:rPr>
        <w:endnoteReference w:id="19"/>
      </w:r>
      <w:r w:rsidRPr="001959AF">
        <w:rPr>
          <w:rFonts w:asciiTheme="majorBidi" w:eastAsia="Times New Roman" w:hAnsiTheme="majorBidi" w:cstheme="majorBidi"/>
          <w:sz w:val="22"/>
          <w:szCs w:val="22"/>
        </w:rPr>
        <w:t xml:space="preserve"> </w:t>
      </w:r>
      <w:r w:rsidRPr="001959AF">
        <w:rPr>
          <w:rFonts w:asciiTheme="majorBidi" w:hAnsiTheme="majorBidi" w:cstheme="majorBidi"/>
          <w:sz w:val="22"/>
          <w:szCs w:val="22"/>
        </w:rPr>
        <w:t>Additionally, these programs should address the relationships and emotions involved in sexual experiences, promote self-esteem, respect for the rights of others, gender equality,</w:t>
      </w:r>
      <w:r w:rsidRPr="001959AF">
        <w:rPr>
          <w:rStyle w:val="EndnoteReference"/>
          <w:rFonts w:asciiTheme="majorBidi" w:hAnsiTheme="majorBidi" w:cstheme="majorBidi"/>
          <w:sz w:val="22"/>
          <w:szCs w:val="22"/>
        </w:rPr>
        <w:endnoteReference w:id="20"/>
      </w:r>
      <w:r w:rsidRPr="001959AF">
        <w:rPr>
          <w:rFonts w:asciiTheme="majorBidi" w:hAnsiTheme="majorBidi" w:cstheme="majorBidi"/>
          <w:sz w:val="22"/>
          <w:szCs w:val="22"/>
        </w:rPr>
        <w:t xml:space="preserve"> and avoid “reinforcing demeaning stereotypes and perpetuating forms of prejudice.”</w:t>
      </w:r>
      <w:r w:rsidRPr="001959AF">
        <w:rPr>
          <w:rStyle w:val="EndnoteReference"/>
          <w:rFonts w:asciiTheme="majorBidi" w:hAnsiTheme="majorBidi" w:cstheme="majorBidi"/>
          <w:sz w:val="22"/>
          <w:szCs w:val="22"/>
        </w:rPr>
        <w:endnoteReference w:id="21"/>
      </w:r>
      <w:r w:rsidRPr="001959AF">
        <w:rPr>
          <w:rFonts w:asciiTheme="majorBidi" w:hAnsiTheme="majorBidi" w:cstheme="majorBidi"/>
          <w:sz w:val="22"/>
          <w:szCs w:val="22"/>
        </w:rPr>
        <w:t xml:space="preserve"> </w:t>
      </w:r>
      <w:r w:rsidRPr="001959AF" w:rsidDel="005329B6">
        <w:rPr>
          <w:rStyle w:val="CommentReference"/>
          <w:rFonts w:asciiTheme="majorBidi" w:eastAsia="MS Mincho" w:hAnsiTheme="majorBidi" w:cstheme="majorBidi"/>
          <w:color w:val="auto"/>
          <w:sz w:val="22"/>
          <w:szCs w:val="22"/>
        </w:rPr>
        <w:t xml:space="preserve"> </w:t>
      </w:r>
      <w:r w:rsidRPr="001959AF">
        <w:rPr>
          <w:rFonts w:asciiTheme="majorBidi" w:eastAsia="Times New Roman" w:hAnsiTheme="majorBidi" w:cstheme="majorBidi"/>
          <w:sz w:val="22"/>
          <w:szCs w:val="22"/>
        </w:rPr>
        <w:t>Inadequate sexuality education, including abstinence-only programs, creates barriers to youth exercising their reproductive rights because these programs provide adolescents with neither accurate nor sufficient information to make decisions about preventing STIs and to determine the timing and spacing of their children.</w:t>
      </w:r>
      <w:r w:rsidRPr="001959AF">
        <w:rPr>
          <w:rStyle w:val="EndnoteReference"/>
          <w:rFonts w:asciiTheme="majorBidi" w:eastAsia="Times New Roman" w:hAnsiTheme="majorBidi" w:cstheme="majorBidi"/>
          <w:sz w:val="22"/>
          <w:szCs w:val="22"/>
        </w:rPr>
        <w:endnoteReference w:id="22"/>
      </w:r>
      <w:r w:rsidRPr="001959AF">
        <w:rPr>
          <w:rFonts w:asciiTheme="majorBidi" w:eastAsia="Times New Roman" w:hAnsiTheme="majorBidi" w:cstheme="majorBidi"/>
          <w:sz w:val="22"/>
          <w:szCs w:val="22"/>
        </w:rPr>
        <w:t xml:space="preserve"> Sexuality education should also be available to women and girls both in school and outside of formal school settings in order to reach the widest possible audience.</w:t>
      </w:r>
      <w:r w:rsidRPr="001959AF">
        <w:rPr>
          <w:rStyle w:val="EndnoteReference"/>
          <w:rFonts w:asciiTheme="majorBidi" w:eastAsia="Times New Roman" w:hAnsiTheme="majorBidi" w:cstheme="majorBidi"/>
          <w:sz w:val="22"/>
          <w:szCs w:val="22"/>
        </w:rPr>
        <w:endnoteReference w:id="23"/>
      </w:r>
    </w:p>
    <w:p w14:paraId="4BB37FA4" w14:textId="77777777" w:rsidR="004B5DB3" w:rsidRPr="001959AF" w:rsidRDefault="004B5DB3" w:rsidP="001959AF">
      <w:pPr>
        <w:pStyle w:val="Body1"/>
        <w:jc w:val="both"/>
        <w:rPr>
          <w:rFonts w:asciiTheme="majorBidi" w:eastAsia="Times New Roman" w:hAnsiTheme="majorBidi" w:cstheme="majorBidi"/>
          <w:sz w:val="22"/>
          <w:szCs w:val="22"/>
        </w:rPr>
      </w:pPr>
    </w:p>
    <w:p w14:paraId="4034A6AC"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Sexuality education for all is not only a means to empower women and girls with disabilities to understand their reproductive health but also to educate the public about the sexuality of persons with disabilities. For instance, accurate sexuality education can help dispel myths that pervade communities about women and girls with disabilities, such as that they are asexual, or in some instances over-sexual.</w:t>
      </w:r>
      <w:r w:rsidRPr="001959AF">
        <w:rPr>
          <w:rStyle w:val="EndnoteReference"/>
          <w:rFonts w:asciiTheme="majorBidi" w:hAnsiTheme="majorBidi" w:cstheme="majorBidi"/>
          <w:sz w:val="22"/>
          <w:szCs w:val="22"/>
        </w:rPr>
        <w:endnoteReference w:id="24"/>
      </w:r>
      <w:r w:rsidRPr="001959AF">
        <w:rPr>
          <w:rFonts w:asciiTheme="majorBidi" w:hAnsiTheme="majorBidi" w:cstheme="majorBidi"/>
          <w:sz w:val="22"/>
          <w:szCs w:val="22"/>
        </w:rPr>
        <w:t xml:space="preserve"> On the other hand, lack of information on sexuality may in turn make persons with disabilities more susceptible to sexual abuse.</w:t>
      </w:r>
      <w:r w:rsidRPr="001959AF">
        <w:rPr>
          <w:rStyle w:val="EndnoteReference"/>
          <w:rFonts w:asciiTheme="majorBidi" w:hAnsiTheme="majorBidi" w:cstheme="majorBidi"/>
          <w:sz w:val="22"/>
          <w:szCs w:val="22"/>
        </w:rPr>
        <w:endnoteReference w:id="25"/>
      </w:r>
    </w:p>
    <w:p w14:paraId="3EEAE422" w14:textId="77777777" w:rsidR="004B5DB3" w:rsidRPr="001959AF" w:rsidRDefault="004B5DB3" w:rsidP="001959AF">
      <w:pPr>
        <w:pStyle w:val="Body1"/>
        <w:ind w:left="720"/>
        <w:jc w:val="both"/>
        <w:rPr>
          <w:rFonts w:asciiTheme="majorBidi" w:eastAsia="Times New Roman" w:hAnsiTheme="majorBidi" w:cstheme="majorBidi"/>
          <w:sz w:val="22"/>
          <w:szCs w:val="22"/>
        </w:rPr>
      </w:pPr>
    </w:p>
    <w:p w14:paraId="543EC969" w14:textId="69B12E98" w:rsidR="004B5DB3" w:rsidRDefault="004B5DB3" w:rsidP="001959AF">
      <w:pPr>
        <w:pStyle w:val="Body1"/>
        <w:jc w:val="both"/>
        <w:rPr>
          <w:rFonts w:asciiTheme="majorBidi" w:hAnsiTheme="majorBidi" w:cstheme="majorBidi"/>
          <w:sz w:val="22"/>
          <w:szCs w:val="22"/>
        </w:rPr>
      </w:pPr>
      <w:r w:rsidRPr="001959AF">
        <w:rPr>
          <w:rFonts w:asciiTheme="majorBidi" w:eastAsia="Times New Roman" w:hAnsiTheme="majorBidi" w:cstheme="majorBidi"/>
          <w:sz w:val="22"/>
          <w:szCs w:val="22"/>
        </w:rPr>
        <w:t>Children with disabilities, particularly girls, are often shut out of education, including sexuality education. The World Bank estimates that as many as 97 percent of all individuals with disabilities – and 99 percent of women with disabilities – are illiterate.</w:t>
      </w:r>
      <w:r w:rsidRPr="001959AF">
        <w:rPr>
          <w:rStyle w:val="EndnoteReference"/>
          <w:rFonts w:asciiTheme="majorBidi" w:hAnsiTheme="majorBidi" w:cstheme="majorBidi"/>
          <w:sz w:val="22"/>
          <w:szCs w:val="22"/>
        </w:rPr>
        <w:endnoteReference w:id="26"/>
      </w:r>
      <w:r w:rsidRPr="001959AF">
        <w:rPr>
          <w:rStyle w:val="EndnoteReference"/>
          <w:rFonts w:asciiTheme="majorBidi" w:hAnsiTheme="majorBidi" w:cstheme="majorBidi"/>
          <w:sz w:val="22"/>
          <w:szCs w:val="22"/>
        </w:rPr>
        <w:t xml:space="preserve"> </w:t>
      </w:r>
      <w:r w:rsidRPr="001959AF">
        <w:rPr>
          <w:rFonts w:asciiTheme="majorBidi" w:eastAsia="Times New Roman" w:hAnsiTheme="majorBidi" w:cstheme="majorBidi"/>
          <w:sz w:val="22"/>
          <w:szCs w:val="22"/>
        </w:rPr>
        <w:t>Thus, it is imperative that sexuality education not only begin at the earliest stages in school, but that governments initiate programs to reach the large number of young people outside the school system</w:t>
      </w:r>
      <w:r w:rsidRPr="001959AF">
        <w:rPr>
          <w:rStyle w:val="EndnoteReference"/>
          <w:rFonts w:asciiTheme="majorBidi" w:hAnsiTheme="majorBidi" w:cstheme="majorBidi"/>
          <w:sz w:val="22"/>
          <w:szCs w:val="22"/>
        </w:rPr>
        <w:t>.</w:t>
      </w:r>
      <w:r w:rsidRPr="001959AF">
        <w:rPr>
          <w:rStyle w:val="EndnoteReference"/>
          <w:rFonts w:asciiTheme="majorBidi" w:hAnsiTheme="majorBidi" w:cstheme="majorBidi"/>
          <w:sz w:val="22"/>
          <w:szCs w:val="22"/>
        </w:rPr>
        <w:endnoteReference w:id="27"/>
      </w:r>
    </w:p>
    <w:p w14:paraId="4D557F5E" w14:textId="77777777" w:rsidR="00D41F29" w:rsidRPr="001959AF" w:rsidRDefault="00D41F29" w:rsidP="001959AF">
      <w:pPr>
        <w:pStyle w:val="Body1"/>
        <w:jc w:val="both"/>
        <w:rPr>
          <w:rStyle w:val="EndnoteReference"/>
          <w:rFonts w:asciiTheme="majorBidi" w:hAnsiTheme="majorBidi" w:cstheme="majorBidi"/>
          <w:sz w:val="22"/>
          <w:szCs w:val="22"/>
        </w:rPr>
      </w:pPr>
    </w:p>
    <w:p w14:paraId="7BC08A35" w14:textId="7CF48302" w:rsidR="005C2974" w:rsidRPr="001959AF" w:rsidRDefault="005C2974" w:rsidP="001959AF">
      <w:pPr>
        <w:pBdr>
          <w:top w:val="nil"/>
          <w:left w:val="nil"/>
          <w:bottom w:val="nil"/>
          <w:right w:val="nil"/>
          <w:between w:val="nil"/>
          <w:bar w:val="nil"/>
        </w:pBdr>
        <w:spacing w:after="0" w:line="240" w:lineRule="auto"/>
        <w:jc w:val="both"/>
        <w:rPr>
          <w:rFonts w:asciiTheme="majorBidi" w:eastAsia="Times New Roman" w:hAnsiTheme="majorBidi" w:cstheme="majorBidi"/>
          <w:color w:val="000000"/>
          <w:lang w:val="en-US"/>
        </w:rPr>
      </w:pPr>
      <w:r w:rsidRPr="001959AF">
        <w:rPr>
          <w:rFonts w:asciiTheme="majorBidi" w:eastAsia="Times New Roman" w:hAnsiTheme="majorBidi" w:cstheme="majorBidi"/>
          <w:color w:val="000000"/>
          <w:lang w:val="en-US"/>
        </w:rPr>
        <w:t>Physical obstacles and the lack of disability-related clinical services present barriers to persons with disabilities accessing information about sexual and reproductive health, including comprehensive sexuality education.</w:t>
      </w:r>
      <w:r w:rsidRPr="001959AF">
        <w:rPr>
          <w:rStyle w:val="EndnoteReference"/>
          <w:rFonts w:asciiTheme="majorBidi" w:eastAsia="Arial Unicode MS" w:hAnsiTheme="majorBidi" w:cstheme="majorBidi"/>
          <w:lang w:val="en-US"/>
        </w:rPr>
        <w:endnoteReference w:id="28"/>
      </w:r>
      <w:r w:rsidRPr="001959AF">
        <w:rPr>
          <w:rStyle w:val="EndnoteReference"/>
          <w:rFonts w:asciiTheme="majorBidi" w:eastAsia="Arial Unicode MS" w:hAnsiTheme="majorBidi" w:cstheme="majorBidi"/>
          <w:lang w:val="en-US"/>
        </w:rPr>
        <w:t xml:space="preserve"> </w:t>
      </w:r>
      <w:r w:rsidRPr="001959AF">
        <w:rPr>
          <w:rFonts w:asciiTheme="majorBidi" w:eastAsia="Times New Roman" w:hAnsiTheme="majorBidi" w:cstheme="majorBidi"/>
          <w:color w:val="000000"/>
          <w:lang w:val="en-US"/>
        </w:rPr>
        <w:t>Furthermore, educational materials are seldom made available in formats such as Braille, large print, simple language, pictures, sign language</w:t>
      </w:r>
      <w:r w:rsidRPr="001959AF">
        <w:rPr>
          <w:rStyle w:val="EndnoteReference"/>
          <w:rFonts w:asciiTheme="majorBidi" w:eastAsia="Arial Unicode MS" w:hAnsiTheme="majorBidi" w:cstheme="majorBidi"/>
          <w:lang w:val="en-US"/>
        </w:rPr>
        <w:t>,</w:t>
      </w:r>
      <w:r w:rsidRPr="001959AF">
        <w:rPr>
          <w:rStyle w:val="EndnoteReference"/>
          <w:rFonts w:asciiTheme="majorBidi" w:eastAsia="Arial Unicode MS" w:hAnsiTheme="majorBidi" w:cstheme="majorBidi"/>
          <w:lang w:val="en-US"/>
        </w:rPr>
        <w:endnoteReference w:id="29"/>
      </w:r>
      <w:r w:rsidRPr="001959AF">
        <w:rPr>
          <w:rStyle w:val="EndnoteReference"/>
          <w:rFonts w:asciiTheme="majorBidi" w:eastAsia="Arial Unicode MS" w:hAnsiTheme="majorBidi" w:cstheme="majorBidi"/>
          <w:lang w:val="en-US"/>
        </w:rPr>
        <w:t xml:space="preserve">  </w:t>
      </w:r>
      <w:r w:rsidRPr="001959AF">
        <w:rPr>
          <w:rFonts w:asciiTheme="majorBidi" w:eastAsia="Times New Roman" w:hAnsiTheme="majorBidi" w:cstheme="majorBidi"/>
          <w:color w:val="000000"/>
          <w:lang w:val="en-US"/>
        </w:rPr>
        <w:t xml:space="preserve">or digital fully accessible formats, among others appropriate, making it difficult for persons with disabilities to access health-related </w:t>
      </w:r>
      <w:r w:rsidRPr="001959AF">
        <w:rPr>
          <w:rFonts w:asciiTheme="majorBidi" w:eastAsia="Times New Roman" w:hAnsiTheme="majorBidi" w:cstheme="majorBidi"/>
          <w:color w:val="000000"/>
          <w:lang w:val="en-US"/>
        </w:rPr>
        <w:lastRenderedPageBreak/>
        <w:t>information, including sexuality education.</w:t>
      </w:r>
      <w:r w:rsidRPr="001959AF">
        <w:rPr>
          <w:rStyle w:val="EndnoteReference"/>
          <w:rFonts w:asciiTheme="majorBidi" w:eastAsia="Arial Unicode MS" w:hAnsiTheme="majorBidi" w:cstheme="majorBidi"/>
          <w:lang w:val="en-US"/>
        </w:rPr>
        <w:endnoteReference w:id="30"/>
      </w:r>
      <w:r w:rsidRPr="001959AF">
        <w:rPr>
          <w:rFonts w:asciiTheme="majorBidi" w:eastAsia="Times New Roman" w:hAnsiTheme="majorBidi" w:cstheme="majorBidi"/>
          <w:color w:val="000000"/>
          <w:lang w:val="en-US"/>
        </w:rPr>
        <w:t xml:space="preserve"> Additionally, sexuality education rarely addresses distinct sexual and reproductive health needs and issues faced by women and girls with disabilities or the historical discrimination they face in accessing these services, including as a result of being subjected to forced or coerced sterilization, contraception, or abortion.</w:t>
      </w:r>
      <w:r w:rsidRPr="001959AF">
        <w:rPr>
          <w:rStyle w:val="EndnoteReference"/>
          <w:rFonts w:asciiTheme="majorBidi" w:eastAsia="Arial Unicode MS" w:hAnsiTheme="majorBidi" w:cstheme="majorBidi"/>
          <w:lang w:val="en-US"/>
        </w:rPr>
        <w:endnoteReference w:id="31"/>
      </w:r>
      <w:r w:rsidRPr="001959AF">
        <w:rPr>
          <w:rStyle w:val="EndnoteReference"/>
          <w:rFonts w:asciiTheme="majorBidi" w:eastAsia="Arial Unicode MS" w:hAnsiTheme="majorBidi" w:cstheme="majorBidi"/>
          <w:lang w:val="en-US"/>
        </w:rPr>
        <w:t xml:space="preserve">  </w:t>
      </w:r>
    </w:p>
    <w:p w14:paraId="24831CF9" w14:textId="77777777" w:rsidR="005C2974" w:rsidRPr="001959AF" w:rsidRDefault="005C2974" w:rsidP="001959AF">
      <w:pPr>
        <w:pBdr>
          <w:top w:val="nil"/>
          <w:left w:val="nil"/>
          <w:bottom w:val="nil"/>
          <w:right w:val="nil"/>
          <w:between w:val="nil"/>
          <w:bar w:val="nil"/>
        </w:pBdr>
        <w:spacing w:after="0" w:line="240" w:lineRule="auto"/>
        <w:jc w:val="both"/>
        <w:rPr>
          <w:rFonts w:asciiTheme="majorBidi" w:eastAsia="Times New Roman" w:hAnsiTheme="majorBidi" w:cstheme="majorBidi"/>
          <w:color w:val="000000"/>
          <w:lang w:val="en-US"/>
        </w:rPr>
      </w:pPr>
    </w:p>
    <w:p w14:paraId="54FB50E6" w14:textId="77777777" w:rsidR="005C2974" w:rsidRPr="001959AF" w:rsidRDefault="005C2974" w:rsidP="001959AF">
      <w:pPr>
        <w:pBdr>
          <w:top w:val="nil"/>
          <w:left w:val="nil"/>
          <w:bottom w:val="nil"/>
          <w:right w:val="nil"/>
          <w:between w:val="nil"/>
          <w:bar w:val="nil"/>
        </w:pBdr>
        <w:spacing w:after="0" w:line="240" w:lineRule="auto"/>
        <w:jc w:val="both"/>
        <w:rPr>
          <w:rFonts w:asciiTheme="majorBidi" w:eastAsia="Times New Roman" w:hAnsiTheme="majorBidi" w:cstheme="majorBidi"/>
          <w:color w:val="000000"/>
          <w:lang w:val="en-US"/>
        </w:rPr>
      </w:pPr>
      <w:r w:rsidRPr="001959AF">
        <w:rPr>
          <w:rFonts w:asciiTheme="majorBidi" w:eastAsia="Times New Roman" w:hAnsiTheme="majorBidi" w:cstheme="majorBidi"/>
          <w:color w:val="000000"/>
          <w:lang w:val="en-US"/>
        </w:rPr>
        <w:t xml:space="preserve">By calling on states parties to provide comprehensive, inclusive, accurate, unbiased and non-discriminatory sexuality education, women and girls with disabilities’ right to information about their sexual and reproductive health and rights would be greatly strengthened.  Sexuality education should further include the active involvement of persons with disabilities, in both curriculum development and teaching, and educational materials and information must be provided in a manner that is accessible to all persons with disabilities. </w:t>
      </w:r>
    </w:p>
    <w:p w14:paraId="30B2DC8D" w14:textId="77777777" w:rsidR="005C2974" w:rsidRPr="001959AF" w:rsidRDefault="005C2974" w:rsidP="001959AF">
      <w:pPr>
        <w:pStyle w:val="Body1"/>
        <w:jc w:val="both"/>
        <w:rPr>
          <w:rFonts w:asciiTheme="majorBidi" w:hAnsiTheme="majorBidi" w:cstheme="majorBidi"/>
          <w:sz w:val="22"/>
          <w:szCs w:val="22"/>
        </w:rPr>
      </w:pPr>
    </w:p>
    <w:p w14:paraId="07C1B1EA" w14:textId="77777777" w:rsidR="004B5DB3" w:rsidRPr="001959AF" w:rsidRDefault="004B5DB3" w:rsidP="001959AF">
      <w:pPr>
        <w:pStyle w:val="Body1"/>
        <w:jc w:val="both"/>
        <w:rPr>
          <w:rFonts w:asciiTheme="majorBidi" w:hAnsiTheme="majorBidi" w:cstheme="majorBidi"/>
          <w:sz w:val="22"/>
          <w:szCs w:val="22"/>
        </w:rPr>
      </w:pPr>
    </w:p>
    <w:p w14:paraId="2CD31FA6" w14:textId="77777777" w:rsidR="004B5DB3" w:rsidRPr="001959AF" w:rsidRDefault="004B5DB3" w:rsidP="001959AF">
      <w:pPr>
        <w:pStyle w:val="Body1"/>
        <w:numPr>
          <w:ilvl w:val="0"/>
          <w:numId w:val="3"/>
        </w:numPr>
        <w:ind w:left="1080"/>
        <w:jc w:val="both"/>
        <w:rPr>
          <w:rFonts w:asciiTheme="majorBidi" w:hAnsiTheme="majorBidi" w:cstheme="majorBidi"/>
          <w:b/>
          <w:bCs/>
          <w:sz w:val="22"/>
          <w:szCs w:val="22"/>
        </w:rPr>
      </w:pPr>
      <w:r w:rsidRPr="001959AF">
        <w:rPr>
          <w:rFonts w:asciiTheme="majorBidi" w:hAnsiTheme="majorBidi" w:cstheme="majorBidi"/>
          <w:b/>
          <w:bCs/>
          <w:sz w:val="22"/>
          <w:szCs w:val="22"/>
        </w:rPr>
        <w:t>International Human Rights Standards for Access to Sexual and Reproductive Health Education and Information</w:t>
      </w:r>
    </w:p>
    <w:p w14:paraId="3A71DB47" w14:textId="77777777" w:rsidR="004B5DB3" w:rsidRPr="001959AF" w:rsidRDefault="004B5DB3" w:rsidP="001959AF">
      <w:pPr>
        <w:pStyle w:val="Body1"/>
        <w:jc w:val="both"/>
        <w:rPr>
          <w:rFonts w:asciiTheme="majorBidi" w:hAnsiTheme="majorBidi" w:cstheme="majorBidi"/>
          <w:sz w:val="22"/>
          <w:szCs w:val="22"/>
        </w:rPr>
      </w:pPr>
    </w:p>
    <w:p w14:paraId="3CF60092"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UN human rights bodies have recognized that states have a legal obligation to provide sexual and reproductive health information to women and girls in an accessible manner.</w:t>
      </w:r>
      <w:r w:rsidRPr="001959AF">
        <w:rPr>
          <w:rStyle w:val="EndnoteReference"/>
          <w:rFonts w:asciiTheme="majorBidi" w:hAnsiTheme="majorBidi" w:cstheme="majorBidi"/>
          <w:sz w:val="22"/>
          <w:szCs w:val="22"/>
        </w:rPr>
        <w:endnoteReference w:id="32"/>
      </w:r>
      <w:r w:rsidRPr="001959AF">
        <w:rPr>
          <w:rFonts w:asciiTheme="majorBidi" w:hAnsiTheme="majorBidi" w:cstheme="majorBidi"/>
          <w:sz w:val="22"/>
          <w:szCs w:val="22"/>
        </w:rPr>
        <w:t xml:space="preserve"> Indeed, the Committee on Economic, Social, and Cultural Rights (ESCR Committee) has considered that the right to health includes “access to health-related education and information, including on sexual and reproductive health.”</w:t>
      </w:r>
      <w:r w:rsidRPr="001959AF">
        <w:rPr>
          <w:rStyle w:val="EndnoteReference"/>
          <w:rFonts w:asciiTheme="majorBidi" w:hAnsiTheme="majorBidi" w:cstheme="majorBidi"/>
          <w:sz w:val="22"/>
          <w:szCs w:val="22"/>
        </w:rPr>
        <w:endnoteReference w:id="33"/>
      </w:r>
      <w:r w:rsidRPr="001959AF">
        <w:rPr>
          <w:rFonts w:asciiTheme="majorBidi" w:hAnsiTheme="majorBidi" w:cstheme="majorBidi"/>
          <w:sz w:val="22"/>
          <w:szCs w:val="22"/>
        </w:rPr>
        <w:t xml:space="preserve"> According to this Committee, accessibility of health information includes “the right to seek, receive and impart information and ideas concerning health issues” and the provision of this information without discrimination.</w:t>
      </w:r>
      <w:r w:rsidRPr="001959AF">
        <w:rPr>
          <w:rStyle w:val="EndnoteReference"/>
          <w:rFonts w:asciiTheme="majorBidi" w:hAnsiTheme="majorBidi" w:cstheme="majorBidi"/>
          <w:sz w:val="22"/>
          <w:szCs w:val="22"/>
        </w:rPr>
        <w:endnoteReference w:id="34"/>
      </w:r>
      <w:r w:rsidRPr="001959AF">
        <w:rPr>
          <w:rFonts w:asciiTheme="majorBidi" w:hAnsiTheme="majorBidi" w:cstheme="majorBidi"/>
          <w:sz w:val="22"/>
          <w:szCs w:val="22"/>
        </w:rPr>
        <w:t xml:space="preserve"> In order to ensure that women do not face discrimination in accessing health information, the ESCR Committee has required “the removal of all barriers interfering with access to health services, education and information, including in the area of sexual and reproductive health.”</w:t>
      </w:r>
      <w:r w:rsidRPr="001959AF">
        <w:rPr>
          <w:rStyle w:val="EndnoteReference"/>
          <w:rFonts w:asciiTheme="majorBidi" w:hAnsiTheme="majorBidi" w:cstheme="majorBidi"/>
          <w:sz w:val="22"/>
          <w:szCs w:val="22"/>
        </w:rPr>
        <w:endnoteReference w:id="35"/>
      </w:r>
    </w:p>
    <w:p w14:paraId="4480A958" w14:textId="77777777" w:rsidR="004B5DB3" w:rsidRPr="001959AF" w:rsidRDefault="004B5DB3" w:rsidP="001959AF">
      <w:pPr>
        <w:spacing w:after="0" w:line="240" w:lineRule="auto"/>
        <w:jc w:val="both"/>
        <w:rPr>
          <w:rFonts w:asciiTheme="majorBidi" w:hAnsiTheme="majorBidi" w:cstheme="majorBidi"/>
          <w:lang w:val="en-US"/>
        </w:rPr>
      </w:pPr>
    </w:p>
    <w:p w14:paraId="16ED79AD" w14:textId="77777777" w:rsidR="004B5DB3" w:rsidRPr="001959AF" w:rsidRDefault="004B5DB3" w:rsidP="001959AF">
      <w:pPr>
        <w:spacing w:after="0" w:line="240" w:lineRule="auto"/>
        <w:jc w:val="both"/>
        <w:rPr>
          <w:rFonts w:asciiTheme="majorBidi" w:hAnsiTheme="majorBidi" w:cstheme="majorBidi"/>
          <w:lang w:val="en-US"/>
        </w:rPr>
      </w:pPr>
      <w:r w:rsidRPr="001959AF">
        <w:rPr>
          <w:rFonts w:asciiTheme="majorBidi" w:hAnsiTheme="majorBidi" w:cstheme="majorBidi"/>
          <w:lang w:val="en-US"/>
        </w:rPr>
        <w:t>The Committee on the Elimination of all forms of Discrimination against Women (CEDAW Committee) has recognized the importance of reproductive health information in the exercise of decision-making autonomy, noting that “women must have information about contraceptive measures and their use, and guaranteed access to sex education and family planning services” to be able to make informed decisions regarding their reproductive health.</w:t>
      </w:r>
      <w:r w:rsidRPr="001959AF">
        <w:rPr>
          <w:rStyle w:val="EndnoteReference"/>
          <w:rFonts w:asciiTheme="majorBidi" w:hAnsiTheme="majorBidi" w:cstheme="majorBidi"/>
        </w:rPr>
        <w:endnoteReference w:id="36"/>
      </w:r>
      <w:r w:rsidRPr="001959AF">
        <w:rPr>
          <w:rFonts w:asciiTheme="majorBidi" w:hAnsiTheme="majorBidi" w:cstheme="majorBidi"/>
          <w:lang w:val="en-US"/>
        </w:rPr>
        <w:t xml:space="preserve"> </w:t>
      </w:r>
      <w:r w:rsidRPr="001959AF">
        <w:rPr>
          <w:rFonts w:asciiTheme="majorBidi" w:eastAsia="Times New Roman" w:hAnsiTheme="majorBidi" w:cstheme="majorBidi"/>
          <w:lang w:val="en-US"/>
        </w:rPr>
        <w:t>Additionally, the Committee on the Rights of the Child (CRC Committee) has emphasized the importance of such information for adolescents, indicating that “States parties should provide adolescents with access to sexual and reproductive information, including on family planning and contraceptives, the dangers of early pregnancy, the prevention of HIV/AIDS and the prevention and treatment of sexually transmitted diseases (STDs).”</w:t>
      </w:r>
      <w:r w:rsidRPr="001959AF">
        <w:rPr>
          <w:rStyle w:val="EndnoteReference"/>
          <w:rFonts w:asciiTheme="majorBidi" w:eastAsia="Times New Roman" w:hAnsiTheme="majorBidi" w:cstheme="majorBidi"/>
        </w:rPr>
        <w:endnoteReference w:id="37"/>
      </w:r>
      <w:r w:rsidRPr="001959AF">
        <w:rPr>
          <w:rFonts w:asciiTheme="majorBidi" w:eastAsia="Times New Roman" w:hAnsiTheme="majorBidi" w:cstheme="majorBidi"/>
          <w:lang w:val="en-US"/>
        </w:rPr>
        <w:t xml:space="preserve"> </w:t>
      </w:r>
      <w:r w:rsidRPr="001959AF">
        <w:rPr>
          <w:rFonts w:asciiTheme="majorBidi" w:hAnsiTheme="majorBidi" w:cstheme="majorBidi"/>
          <w:lang w:val="en-US"/>
        </w:rPr>
        <w:t>In his most recent report to the Human Rights Council, the UN Special Rapporteur on Torture classified denial of reproductive health information as a potential form of cruel, inhuman or degrading treatment (CIDT), stating that “[a]ccess to information about reproductive health is imperative to a woman’s ability to exercise reproductive autonomy, and the rights to health and to physical integrity.”</w:t>
      </w:r>
      <w:r w:rsidRPr="001959AF">
        <w:rPr>
          <w:rStyle w:val="EndnoteReference"/>
          <w:rFonts w:asciiTheme="majorBidi" w:hAnsiTheme="majorBidi" w:cstheme="majorBidi"/>
        </w:rPr>
        <w:endnoteReference w:id="38"/>
      </w:r>
    </w:p>
    <w:p w14:paraId="2F619A1F" w14:textId="77777777" w:rsidR="004B5DB3" w:rsidRPr="001959AF" w:rsidRDefault="004B5DB3" w:rsidP="001959AF">
      <w:pPr>
        <w:pStyle w:val="Body1"/>
        <w:jc w:val="both"/>
        <w:rPr>
          <w:rFonts w:asciiTheme="majorBidi" w:hAnsiTheme="majorBidi" w:cstheme="majorBidi"/>
          <w:sz w:val="22"/>
          <w:szCs w:val="22"/>
        </w:rPr>
      </w:pPr>
    </w:p>
    <w:p w14:paraId="4E625A8C" w14:textId="77777777" w:rsidR="004B5DB3" w:rsidRPr="001959AF" w:rsidRDefault="004B5DB3" w:rsidP="001959AF">
      <w:pPr>
        <w:spacing w:after="0" w:line="240" w:lineRule="auto"/>
        <w:jc w:val="both"/>
        <w:rPr>
          <w:rFonts w:asciiTheme="majorBidi" w:hAnsiTheme="majorBidi" w:cstheme="majorBidi"/>
          <w:shd w:val="clear" w:color="auto" w:fill="FFFFFF"/>
          <w:lang w:val="en-US"/>
        </w:rPr>
      </w:pPr>
      <w:r w:rsidRPr="001959AF">
        <w:rPr>
          <w:rFonts w:asciiTheme="majorBidi" w:hAnsiTheme="majorBidi" w:cstheme="majorBidi"/>
          <w:lang w:val="en-US"/>
        </w:rPr>
        <w:t>Several UN treaty monitoring bodies have acknowledged the importance of sexuality education to fulfilling basic human rights. These bodies have recognized the importance of accurate and objective sexuality education as a means to reduce maternal mortality, abortion rates, adolescent pregnancies, and HIV/AIDS prevalence and to promote gender equality in education, generally.</w:t>
      </w:r>
      <w:r w:rsidRPr="001959AF">
        <w:rPr>
          <w:rStyle w:val="EndnoteReference"/>
          <w:rFonts w:asciiTheme="majorBidi" w:hAnsiTheme="majorBidi" w:cstheme="majorBidi"/>
        </w:rPr>
        <w:endnoteReference w:id="39"/>
      </w:r>
      <w:r w:rsidRPr="001959AF">
        <w:rPr>
          <w:rFonts w:asciiTheme="majorBidi" w:hAnsiTheme="majorBidi" w:cstheme="majorBidi"/>
          <w:lang w:val="en-US"/>
        </w:rPr>
        <w:t xml:space="preserve"> </w:t>
      </w:r>
      <w:r w:rsidRPr="001959AF">
        <w:rPr>
          <w:rFonts w:asciiTheme="majorBidi" w:eastAsia="Times New Roman" w:hAnsiTheme="majorBidi" w:cstheme="majorBidi"/>
          <w:lang w:val="en-US"/>
        </w:rPr>
        <w:t>In its General Comment No. 4 on adolescent health and development, the CRC Committee states that countries must ensure that “all adolescent girls and boys, both in and out of school, are provided with, and not denied, accurate and appropriate information on how to protect their health and development and practice healthy behaviors.”</w:t>
      </w:r>
      <w:r w:rsidRPr="001959AF">
        <w:rPr>
          <w:rStyle w:val="EndnoteReference"/>
          <w:rFonts w:asciiTheme="majorBidi" w:eastAsia="Times New Roman" w:hAnsiTheme="majorBidi" w:cstheme="majorBidi"/>
        </w:rPr>
        <w:endnoteReference w:id="40"/>
      </w:r>
      <w:r w:rsidRPr="001959AF">
        <w:rPr>
          <w:rFonts w:asciiTheme="majorBidi" w:eastAsia="Times New Roman" w:hAnsiTheme="majorBidi" w:cstheme="majorBidi"/>
          <w:lang w:val="en-US"/>
        </w:rPr>
        <w:t xml:space="preserve"> </w:t>
      </w:r>
      <w:r w:rsidRPr="001959AF">
        <w:rPr>
          <w:rFonts w:asciiTheme="majorBidi" w:hAnsiTheme="majorBidi" w:cstheme="majorBidi"/>
          <w:shd w:val="clear" w:color="auto" w:fill="FFFFFF"/>
          <w:lang w:val="en-US"/>
        </w:rPr>
        <w:t xml:space="preserve">The UN Special Rapporteur on the Right to Education has stated that sexuality education “is especially important in ensuring the enjoyment of women’s right to live free of violence </w:t>
      </w:r>
      <w:r w:rsidRPr="001959AF">
        <w:rPr>
          <w:rFonts w:asciiTheme="majorBidi" w:hAnsiTheme="majorBidi" w:cstheme="majorBidi"/>
          <w:shd w:val="clear" w:color="auto" w:fill="FFFFFF"/>
          <w:lang w:val="en-US"/>
        </w:rPr>
        <w:lastRenderedPageBreak/>
        <w:t>and gender discrimination…”</w:t>
      </w:r>
      <w:r w:rsidRPr="001959AF">
        <w:rPr>
          <w:rStyle w:val="EndnoteReference"/>
          <w:rFonts w:asciiTheme="majorBidi" w:hAnsiTheme="majorBidi" w:cstheme="majorBidi"/>
          <w:shd w:val="clear" w:color="auto" w:fill="FFFFFF"/>
        </w:rPr>
        <w:endnoteReference w:id="41"/>
      </w:r>
      <w:r w:rsidRPr="001959AF">
        <w:rPr>
          <w:rFonts w:asciiTheme="majorBidi" w:hAnsiTheme="majorBidi" w:cstheme="majorBidi"/>
          <w:shd w:val="clear" w:color="auto" w:fill="FFFFFF"/>
          <w:lang w:val="en-US"/>
        </w:rPr>
        <w:t xml:space="preserve"> and has highlighted that sexual education should be accurate and comprehensive and provided on a non-discriminatory basis.</w:t>
      </w:r>
      <w:r w:rsidRPr="001959AF">
        <w:rPr>
          <w:rStyle w:val="EndnoteReference"/>
          <w:rFonts w:asciiTheme="majorBidi" w:hAnsiTheme="majorBidi" w:cstheme="majorBidi"/>
          <w:shd w:val="clear" w:color="auto" w:fill="FFFFFF"/>
        </w:rPr>
        <w:endnoteReference w:id="42"/>
      </w:r>
    </w:p>
    <w:p w14:paraId="2E388B0C" w14:textId="77777777" w:rsidR="004B5DB3" w:rsidRPr="001959AF" w:rsidRDefault="004B5DB3" w:rsidP="001959AF">
      <w:pPr>
        <w:spacing w:after="0" w:line="240" w:lineRule="auto"/>
        <w:jc w:val="both"/>
        <w:rPr>
          <w:rFonts w:asciiTheme="majorBidi" w:eastAsia="Times New Roman" w:hAnsiTheme="majorBidi" w:cstheme="majorBidi"/>
          <w:lang w:val="en-US"/>
        </w:rPr>
      </w:pPr>
    </w:p>
    <w:p w14:paraId="4A3B0B33" w14:textId="77777777" w:rsidR="004B5DB3" w:rsidRPr="001959AF" w:rsidRDefault="004B5DB3" w:rsidP="001959AF">
      <w:pPr>
        <w:spacing w:after="0" w:line="240" w:lineRule="auto"/>
        <w:jc w:val="both"/>
        <w:rPr>
          <w:rFonts w:asciiTheme="majorBidi" w:hAnsiTheme="majorBidi" w:cstheme="majorBidi"/>
          <w:shd w:val="clear" w:color="auto" w:fill="FFFFFF"/>
          <w:lang w:val="en-US"/>
        </w:rPr>
      </w:pPr>
      <w:r w:rsidRPr="001959AF">
        <w:rPr>
          <w:rFonts w:asciiTheme="majorBidi" w:eastAsia="Times New Roman" w:hAnsiTheme="majorBidi" w:cstheme="majorBidi"/>
          <w:lang w:val="en-US"/>
        </w:rPr>
        <w:t>According to the CRC Committee, part of the obligation to ensure access to sexuality education is training of teachers to provide accurate information.</w:t>
      </w:r>
      <w:r w:rsidRPr="001959AF">
        <w:rPr>
          <w:rStyle w:val="EndnoteReference"/>
          <w:rFonts w:asciiTheme="majorBidi" w:eastAsia="Times New Roman" w:hAnsiTheme="majorBidi" w:cstheme="majorBidi"/>
        </w:rPr>
        <w:endnoteReference w:id="43"/>
      </w:r>
      <w:r w:rsidRPr="001959AF">
        <w:rPr>
          <w:rFonts w:asciiTheme="majorBidi" w:eastAsia="Times New Roman" w:hAnsiTheme="majorBidi" w:cstheme="majorBidi"/>
          <w:lang w:val="en-US"/>
        </w:rPr>
        <w:t xml:space="preserve"> As part of ensuring women’s health, the CEDAW Committee has also recommended that “</w:t>
      </w:r>
      <w:r w:rsidRPr="001959AF">
        <w:rPr>
          <w:rFonts w:asciiTheme="majorBidi" w:hAnsiTheme="majorBidi" w:cstheme="majorBidi"/>
          <w:shd w:val="clear" w:color="auto" w:fill="FFFFFF"/>
          <w:lang w:val="en-US"/>
        </w:rPr>
        <w:t>States parties should ensure the rights of female and male adolescents to sexual and reproductive health education by properly trained personnel in specially designed programmes that respect their right to privacy and confidentiality.”</w:t>
      </w:r>
      <w:r w:rsidRPr="001959AF">
        <w:rPr>
          <w:rStyle w:val="EndnoteReference"/>
          <w:rFonts w:asciiTheme="majorBidi" w:hAnsiTheme="majorBidi" w:cstheme="majorBidi"/>
          <w:shd w:val="clear" w:color="auto" w:fill="FFFFFF"/>
        </w:rPr>
        <w:endnoteReference w:id="44"/>
      </w:r>
      <w:r w:rsidRPr="001959AF">
        <w:rPr>
          <w:rFonts w:asciiTheme="majorBidi" w:hAnsiTheme="majorBidi" w:cstheme="majorBidi"/>
          <w:shd w:val="clear" w:color="auto" w:fill="FFFFFF"/>
          <w:lang w:val="en-US"/>
        </w:rPr>
        <w:t xml:space="preserve"> </w:t>
      </w:r>
    </w:p>
    <w:p w14:paraId="56297413" w14:textId="77777777" w:rsidR="004B5DB3" w:rsidRPr="001959AF" w:rsidRDefault="004B5DB3" w:rsidP="001959AF">
      <w:pPr>
        <w:spacing w:after="0" w:line="240" w:lineRule="auto"/>
        <w:jc w:val="both"/>
        <w:rPr>
          <w:rFonts w:asciiTheme="majorBidi" w:hAnsiTheme="majorBidi" w:cstheme="majorBidi"/>
          <w:shd w:val="clear" w:color="auto" w:fill="FFFFFF"/>
          <w:lang w:val="en-US"/>
        </w:rPr>
      </w:pPr>
    </w:p>
    <w:p w14:paraId="0F56E0DC"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In addition to the rights in the CRPD to access reproductive and sexual health information described above, the CRPD also provides a right for persons with disabilities “to seek, receive, and impart information and ideas on an equal basis with others” through the provision of information in accessible formats.</w:t>
      </w:r>
      <w:r w:rsidRPr="001959AF">
        <w:rPr>
          <w:rStyle w:val="EndnoteReference"/>
          <w:rFonts w:asciiTheme="majorBidi" w:hAnsiTheme="majorBidi" w:cstheme="majorBidi"/>
          <w:sz w:val="22"/>
          <w:szCs w:val="22"/>
        </w:rPr>
        <w:endnoteReference w:id="45"/>
      </w:r>
      <w:r w:rsidRPr="001959AF">
        <w:rPr>
          <w:rFonts w:asciiTheme="majorBidi" w:hAnsiTheme="majorBidi" w:cstheme="majorBidi"/>
          <w:sz w:val="22"/>
          <w:szCs w:val="22"/>
        </w:rPr>
        <w:t xml:space="preserve"> States are obligated under the CRPD to ensure that facilities and transportation, including medical facilities and emergency services, are accessible to persons with disabilities,</w:t>
      </w:r>
      <w:r w:rsidRPr="001959AF">
        <w:rPr>
          <w:rStyle w:val="EndnoteReference"/>
          <w:rFonts w:asciiTheme="majorBidi" w:hAnsiTheme="majorBidi" w:cstheme="majorBidi"/>
          <w:sz w:val="22"/>
          <w:szCs w:val="22"/>
        </w:rPr>
        <w:endnoteReference w:id="46"/>
      </w:r>
      <w:r w:rsidRPr="001959AF">
        <w:rPr>
          <w:rFonts w:asciiTheme="majorBidi" w:hAnsiTheme="majorBidi" w:cstheme="majorBidi"/>
          <w:sz w:val="22"/>
          <w:szCs w:val="22"/>
        </w:rPr>
        <w:t xml:space="preserve"> an important part of ensuring access to needed health information. </w:t>
      </w:r>
    </w:p>
    <w:p w14:paraId="12FD173D" w14:textId="77777777" w:rsidR="004B5DB3" w:rsidRPr="001959AF" w:rsidRDefault="004B5DB3" w:rsidP="001959AF">
      <w:pPr>
        <w:pStyle w:val="Body1"/>
        <w:jc w:val="both"/>
        <w:rPr>
          <w:rFonts w:asciiTheme="majorBidi" w:hAnsiTheme="majorBidi" w:cstheme="majorBidi"/>
          <w:sz w:val="22"/>
          <w:szCs w:val="22"/>
        </w:rPr>
      </w:pPr>
    </w:p>
    <w:p w14:paraId="1271454C"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Although the CRPD Committee has yet to comment on the need for sexuality education or reproductive health information for persons with disabilities, the Committee has taken some steps to ensure that the rights to health and information in the CRPD are fulfilled. The Committee has commented on “systemic barriers that make it impossible for persons with disabilities to access health services…,” including “physical barriers, a dearth of accessible materials, a lack of health-care professionals trained in the human rights model of disability …”</w:t>
      </w:r>
      <w:r w:rsidRPr="001959AF">
        <w:rPr>
          <w:rStyle w:val="EndnoteReference"/>
          <w:rFonts w:asciiTheme="majorBidi" w:hAnsiTheme="majorBidi" w:cstheme="majorBidi"/>
          <w:sz w:val="22"/>
          <w:szCs w:val="22"/>
        </w:rPr>
        <w:endnoteReference w:id="47"/>
      </w:r>
      <w:r w:rsidRPr="001959AF">
        <w:rPr>
          <w:rFonts w:asciiTheme="majorBidi" w:hAnsiTheme="majorBidi" w:cstheme="majorBidi"/>
          <w:sz w:val="22"/>
          <w:szCs w:val="22"/>
        </w:rPr>
        <w:t xml:space="preserve"> The CRPD Committee has also expressed concern about lack of available health services, particularly in rural areas, and its effect on access for persons with disabilities.</w:t>
      </w:r>
      <w:r w:rsidRPr="001959AF">
        <w:rPr>
          <w:rStyle w:val="EndnoteReference"/>
          <w:rFonts w:asciiTheme="majorBidi" w:hAnsiTheme="majorBidi" w:cstheme="majorBidi"/>
          <w:sz w:val="22"/>
          <w:szCs w:val="22"/>
        </w:rPr>
        <w:endnoteReference w:id="48"/>
      </w:r>
      <w:r w:rsidRPr="001959AF">
        <w:rPr>
          <w:rFonts w:asciiTheme="majorBidi" w:hAnsiTheme="majorBidi" w:cstheme="majorBidi"/>
          <w:sz w:val="22"/>
          <w:szCs w:val="22"/>
        </w:rPr>
        <w:t xml:space="preserve"> </w:t>
      </w:r>
    </w:p>
    <w:p w14:paraId="1E7C28B0" w14:textId="77777777" w:rsidR="004B5DB3" w:rsidRPr="001959AF" w:rsidRDefault="004B5DB3" w:rsidP="001959AF">
      <w:pPr>
        <w:pStyle w:val="Body1"/>
        <w:jc w:val="both"/>
        <w:rPr>
          <w:rFonts w:asciiTheme="majorBidi" w:hAnsiTheme="majorBidi" w:cstheme="majorBidi"/>
          <w:b/>
          <w:sz w:val="22"/>
          <w:szCs w:val="22"/>
        </w:rPr>
      </w:pPr>
    </w:p>
    <w:p w14:paraId="1C31A4A2" w14:textId="77777777" w:rsidR="004B5DB3" w:rsidRPr="001959AF" w:rsidRDefault="004B5DB3" w:rsidP="001959AF">
      <w:pPr>
        <w:pStyle w:val="Body1"/>
        <w:numPr>
          <w:ilvl w:val="0"/>
          <w:numId w:val="3"/>
        </w:numPr>
        <w:jc w:val="both"/>
        <w:rPr>
          <w:rFonts w:asciiTheme="majorBidi" w:hAnsiTheme="majorBidi" w:cstheme="majorBidi"/>
          <w:b/>
          <w:sz w:val="22"/>
          <w:szCs w:val="22"/>
        </w:rPr>
      </w:pPr>
      <w:r w:rsidRPr="001959AF">
        <w:rPr>
          <w:rFonts w:asciiTheme="majorBidi" w:hAnsiTheme="majorBidi" w:cstheme="majorBidi"/>
          <w:b/>
          <w:sz w:val="22"/>
          <w:szCs w:val="22"/>
        </w:rPr>
        <w:t>Access to Reproductive Health Services</w:t>
      </w:r>
    </w:p>
    <w:p w14:paraId="37859346" w14:textId="77777777" w:rsidR="00E04DEA" w:rsidRPr="001959AF" w:rsidRDefault="00E04DEA" w:rsidP="001959AF">
      <w:pPr>
        <w:pStyle w:val="Body1"/>
        <w:ind w:left="720"/>
        <w:jc w:val="both"/>
        <w:rPr>
          <w:rFonts w:asciiTheme="majorBidi" w:hAnsiTheme="majorBidi" w:cstheme="majorBidi"/>
          <w:b/>
          <w:sz w:val="22"/>
          <w:szCs w:val="22"/>
        </w:rPr>
      </w:pPr>
    </w:p>
    <w:p w14:paraId="1A6FB5A8" w14:textId="107B500E" w:rsidR="004B5DB3" w:rsidRPr="001959AF" w:rsidRDefault="00E04DEA"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One</w:t>
      </w:r>
      <w:r w:rsidR="004B5DB3" w:rsidRPr="001959AF">
        <w:rPr>
          <w:rFonts w:asciiTheme="majorBidi" w:hAnsiTheme="majorBidi" w:cstheme="majorBidi"/>
          <w:sz w:val="22"/>
          <w:szCs w:val="22"/>
        </w:rPr>
        <w:t xml:space="preserve"> of the foundational principles of both reproductive rights and disability rights is the idea that individuals should be able to exercise their autonomy and make important decisions about their lives for themselves. But in reproductive healthcare settings, restrictions on reproductive health services in law and in practice often undermine </w:t>
      </w:r>
      <w:r w:rsidR="00D41F29">
        <w:rPr>
          <w:rFonts w:asciiTheme="majorBidi" w:hAnsiTheme="majorBidi" w:cstheme="majorBidi"/>
          <w:sz w:val="22"/>
          <w:szCs w:val="22"/>
        </w:rPr>
        <w:t>girl</w:t>
      </w:r>
      <w:r w:rsidR="00D41F29" w:rsidRPr="001959AF">
        <w:rPr>
          <w:rFonts w:asciiTheme="majorBidi" w:hAnsiTheme="majorBidi" w:cstheme="majorBidi"/>
          <w:sz w:val="22"/>
          <w:szCs w:val="22"/>
        </w:rPr>
        <w:t xml:space="preserve">’s </w:t>
      </w:r>
      <w:r w:rsidR="004B5DB3" w:rsidRPr="001959AF">
        <w:rPr>
          <w:rFonts w:asciiTheme="majorBidi" w:hAnsiTheme="majorBidi" w:cstheme="majorBidi"/>
          <w:sz w:val="22"/>
          <w:szCs w:val="22"/>
        </w:rPr>
        <w:t>autonomy. Women and girls with disabilities face particular barriers to accessing services because they are too often denied the opportunity to decide for themselves whether to have children or face stereotypes about their capabilities that undermine the exercise of their reproductive rights. This section explores the discrimination women and girls, including those with disabilities, face when trying to access contraception and abortion, as well as the violence perpetrated against them in the forms of forced sterilization or forced abortion, and the international human rights and medical standards surrounding access to these services.</w:t>
      </w:r>
    </w:p>
    <w:p w14:paraId="4A989D9C" w14:textId="77777777" w:rsidR="004B5DB3" w:rsidRPr="001959AF" w:rsidRDefault="004B5DB3" w:rsidP="001959AF">
      <w:pPr>
        <w:pStyle w:val="Body1"/>
        <w:jc w:val="both"/>
        <w:rPr>
          <w:rFonts w:asciiTheme="majorBidi" w:hAnsiTheme="majorBidi" w:cstheme="majorBidi"/>
          <w:b/>
          <w:bCs/>
          <w:sz w:val="22"/>
          <w:szCs w:val="22"/>
        </w:rPr>
      </w:pPr>
    </w:p>
    <w:p w14:paraId="5BE3509F" w14:textId="77777777" w:rsidR="004B5DB3" w:rsidRPr="001959AF" w:rsidRDefault="00E04DEA" w:rsidP="001959AF">
      <w:pPr>
        <w:pStyle w:val="Body1"/>
        <w:jc w:val="both"/>
        <w:rPr>
          <w:rFonts w:asciiTheme="majorBidi" w:hAnsiTheme="majorBidi" w:cstheme="majorBidi"/>
          <w:b/>
          <w:bCs/>
          <w:sz w:val="22"/>
          <w:szCs w:val="22"/>
        </w:rPr>
      </w:pPr>
      <w:r w:rsidRPr="001959AF">
        <w:rPr>
          <w:rFonts w:asciiTheme="majorBidi" w:hAnsiTheme="majorBidi" w:cstheme="majorBidi"/>
          <w:b/>
          <w:bCs/>
          <w:sz w:val="22"/>
          <w:szCs w:val="22"/>
        </w:rPr>
        <w:t xml:space="preserve">- </w:t>
      </w:r>
      <w:r w:rsidR="004B5DB3" w:rsidRPr="001959AF">
        <w:rPr>
          <w:rFonts w:asciiTheme="majorBidi" w:hAnsiTheme="majorBidi" w:cstheme="majorBidi"/>
          <w:b/>
          <w:bCs/>
          <w:sz w:val="22"/>
          <w:szCs w:val="22"/>
        </w:rPr>
        <w:t>Access to Contraception</w:t>
      </w:r>
    </w:p>
    <w:p w14:paraId="3A98D3A1" w14:textId="77777777" w:rsidR="004B5DB3" w:rsidRPr="001959AF" w:rsidRDefault="004B5DB3" w:rsidP="001959AF">
      <w:pPr>
        <w:pStyle w:val="Body1"/>
        <w:jc w:val="both"/>
        <w:rPr>
          <w:rFonts w:asciiTheme="majorBidi" w:hAnsiTheme="majorBidi" w:cstheme="majorBidi"/>
          <w:sz w:val="22"/>
          <w:szCs w:val="22"/>
        </w:rPr>
      </w:pPr>
    </w:p>
    <w:p w14:paraId="13FBA899"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Lack of access to modern contraceptive information and services means that women and adolescents are often unable to protect themselves from HIV and other sexually transmitted infections (STIs) or to control their fertility and reproduction, with attendant negative consequences for their health and lives.</w:t>
      </w:r>
      <w:r w:rsidRPr="001959AF">
        <w:rPr>
          <w:rStyle w:val="EndnoteReference"/>
          <w:rFonts w:asciiTheme="majorBidi" w:hAnsiTheme="majorBidi" w:cstheme="majorBidi"/>
          <w:sz w:val="22"/>
          <w:szCs w:val="22"/>
        </w:rPr>
        <w:endnoteReference w:id="49"/>
      </w:r>
      <w:r w:rsidRPr="001959AF">
        <w:rPr>
          <w:rFonts w:asciiTheme="majorBidi" w:hAnsiTheme="majorBidi" w:cstheme="majorBidi"/>
          <w:sz w:val="22"/>
          <w:szCs w:val="22"/>
        </w:rPr>
        <w:t xml:space="preserve"> Of the approximately 80 million women who annually experience unintended pregnancies, 45 million have abortions.</w:t>
      </w:r>
      <w:r w:rsidRPr="001959AF">
        <w:rPr>
          <w:rStyle w:val="EndnoteReference"/>
          <w:rFonts w:asciiTheme="majorBidi" w:hAnsiTheme="majorBidi" w:cstheme="majorBidi"/>
          <w:sz w:val="22"/>
          <w:szCs w:val="22"/>
        </w:rPr>
        <w:endnoteReference w:id="50"/>
      </w:r>
      <w:r w:rsidRPr="001959AF">
        <w:rPr>
          <w:rFonts w:asciiTheme="majorBidi" w:hAnsiTheme="majorBidi" w:cstheme="majorBidi"/>
          <w:sz w:val="22"/>
          <w:szCs w:val="22"/>
        </w:rPr>
        <w:t xml:space="preserve"> Many of those are clandestine and unsafe due to laws that restrict or ban abortions, making unsafe abortion a leading cause of maternal mortality and morbidity.</w:t>
      </w:r>
      <w:r w:rsidRPr="001959AF">
        <w:rPr>
          <w:rStyle w:val="EndnoteReference"/>
          <w:rFonts w:asciiTheme="majorBidi" w:hAnsiTheme="majorBidi" w:cstheme="majorBidi"/>
          <w:sz w:val="22"/>
          <w:szCs w:val="22"/>
        </w:rPr>
        <w:endnoteReference w:id="51"/>
      </w:r>
      <w:r w:rsidRPr="001959AF">
        <w:rPr>
          <w:rFonts w:asciiTheme="majorBidi" w:hAnsiTheme="majorBidi" w:cstheme="majorBidi"/>
          <w:sz w:val="22"/>
          <w:szCs w:val="22"/>
        </w:rPr>
        <w:t xml:space="preserve"> Satisfying the current unmet need for contraceptives—for women who are sexually active and do not want children but do not use modern contraceptives</w:t>
      </w:r>
      <w:r w:rsidRPr="001959AF">
        <w:rPr>
          <w:rStyle w:val="EndnoteReference"/>
          <w:rFonts w:asciiTheme="majorBidi" w:hAnsiTheme="majorBidi" w:cstheme="majorBidi"/>
          <w:sz w:val="22"/>
          <w:szCs w:val="22"/>
        </w:rPr>
        <w:endnoteReference w:id="52"/>
      </w:r>
      <w:r w:rsidRPr="001959AF">
        <w:rPr>
          <w:rFonts w:asciiTheme="majorBidi" w:hAnsiTheme="majorBidi" w:cstheme="majorBidi"/>
          <w:sz w:val="22"/>
          <w:szCs w:val="22"/>
        </w:rPr>
        <w:t>—could prevent roughly 150,000 maternal deaths and 25 million induced abortions worldwide annually.</w:t>
      </w:r>
      <w:r w:rsidRPr="001959AF">
        <w:rPr>
          <w:rStyle w:val="EndnoteReference"/>
          <w:rFonts w:asciiTheme="majorBidi" w:hAnsiTheme="majorBidi" w:cstheme="majorBidi"/>
          <w:sz w:val="22"/>
          <w:szCs w:val="22"/>
        </w:rPr>
        <w:endnoteReference w:id="53"/>
      </w:r>
      <w:r w:rsidRPr="001959AF">
        <w:rPr>
          <w:rFonts w:asciiTheme="majorBidi" w:hAnsiTheme="majorBidi" w:cstheme="majorBidi"/>
          <w:sz w:val="22"/>
          <w:szCs w:val="22"/>
        </w:rPr>
        <w:t xml:space="preserve"> </w:t>
      </w:r>
    </w:p>
    <w:p w14:paraId="387FB8A5" w14:textId="77777777" w:rsidR="004B5DB3" w:rsidRPr="001959AF" w:rsidRDefault="004B5DB3" w:rsidP="001959AF">
      <w:pPr>
        <w:pStyle w:val="Body1"/>
        <w:jc w:val="both"/>
        <w:rPr>
          <w:rFonts w:asciiTheme="majorBidi" w:hAnsiTheme="majorBidi" w:cstheme="majorBidi"/>
          <w:sz w:val="22"/>
          <w:szCs w:val="22"/>
        </w:rPr>
      </w:pPr>
    </w:p>
    <w:p w14:paraId="16DB5B39" w14:textId="1EAA46C5"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lastRenderedPageBreak/>
        <w:t>Because of limited data, it is unclear how women</w:t>
      </w:r>
      <w:r w:rsidR="00D41F29">
        <w:rPr>
          <w:rFonts w:asciiTheme="majorBidi" w:hAnsiTheme="majorBidi" w:cstheme="majorBidi"/>
          <w:sz w:val="22"/>
          <w:szCs w:val="22"/>
        </w:rPr>
        <w:t xml:space="preserve"> and girls</w:t>
      </w:r>
      <w:r w:rsidRPr="001959AF">
        <w:rPr>
          <w:rFonts w:asciiTheme="majorBidi" w:hAnsiTheme="majorBidi" w:cstheme="majorBidi"/>
          <w:sz w:val="22"/>
          <w:szCs w:val="22"/>
        </w:rPr>
        <w:t xml:space="preserve"> with disabilities are affected by lack of access to contraception; however, given the barriers to healthcare that they experience, it is likely that women</w:t>
      </w:r>
      <w:r w:rsidR="00D41F29">
        <w:rPr>
          <w:rFonts w:asciiTheme="majorBidi" w:hAnsiTheme="majorBidi" w:cstheme="majorBidi"/>
          <w:sz w:val="22"/>
          <w:szCs w:val="22"/>
        </w:rPr>
        <w:t xml:space="preserve"> and girls</w:t>
      </w:r>
      <w:r w:rsidRPr="001959AF">
        <w:rPr>
          <w:rFonts w:asciiTheme="majorBidi" w:hAnsiTheme="majorBidi" w:cstheme="majorBidi"/>
          <w:sz w:val="22"/>
          <w:szCs w:val="22"/>
        </w:rPr>
        <w:t xml:space="preserve"> with disabilities have serious challenges in accessing contraceptive information and services. Contraceptive information and services may be unavailable to individuals with disabilities due to physical barriers, lack of accessible information, stigma and discrimination.</w:t>
      </w:r>
      <w:r w:rsidRPr="001959AF">
        <w:rPr>
          <w:rStyle w:val="EndnoteReference"/>
          <w:rFonts w:asciiTheme="majorBidi" w:hAnsiTheme="majorBidi" w:cstheme="majorBidi"/>
          <w:sz w:val="22"/>
          <w:szCs w:val="22"/>
        </w:rPr>
        <w:endnoteReference w:id="54"/>
      </w:r>
      <w:r w:rsidRPr="001959AF">
        <w:rPr>
          <w:rFonts w:asciiTheme="majorBidi" w:hAnsiTheme="majorBidi" w:cstheme="majorBidi"/>
          <w:sz w:val="22"/>
          <w:szCs w:val="22"/>
        </w:rPr>
        <w:t xml:space="preserve"> </w:t>
      </w:r>
      <w:r w:rsidRPr="001959AF">
        <w:rPr>
          <w:rFonts w:asciiTheme="majorBidi" w:eastAsia="Times New Roman" w:hAnsiTheme="majorBidi" w:cstheme="majorBidi"/>
          <w:sz w:val="22"/>
          <w:szCs w:val="22"/>
        </w:rPr>
        <w:t>It is commonly assumed that individuals with disabilities are not sexually active, and so not in need of contraception, but research shows that they are as likely to be sexually active as their non-disabled peers.</w:t>
      </w:r>
      <w:r w:rsidRPr="001959AF">
        <w:rPr>
          <w:rStyle w:val="EndnoteReference"/>
          <w:rFonts w:asciiTheme="majorBidi" w:hAnsiTheme="majorBidi" w:cstheme="majorBidi"/>
          <w:sz w:val="22"/>
          <w:szCs w:val="22"/>
        </w:rPr>
        <w:endnoteReference w:id="55"/>
      </w:r>
      <w:r w:rsidRPr="001959AF">
        <w:rPr>
          <w:rFonts w:asciiTheme="majorBidi" w:hAnsiTheme="majorBidi" w:cstheme="majorBidi"/>
          <w:sz w:val="22"/>
          <w:szCs w:val="22"/>
        </w:rPr>
        <w:t xml:space="preserve"> However, they are less likely to receive information about HIV prevention and safe sex, and are less likely to have access to prevention methods such as condoms.</w:t>
      </w:r>
      <w:r w:rsidRPr="001959AF">
        <w:rPr>
          <w:rStyle w:val="EndnoteReference"/>
          <w:rFonts w:asciiTheme="majorBidi" w:hAnsiTheme="majorBidi" w:cstheme="majorBidi"/>
          <w:sz w:val="22"/>
          <w:szCs w:val="22"/>
        </w:rPr>
        <w:endnoteReference w:id="56"/>
      </w:r>
      <w:r w:rsidRPr="001959AF">
        <w:rPr>
          <w:rFonts w:asciiTheme="majorBidi" w:hAnsiTheme="majorBidi" w:cstheme="majorBidi"/>
          <w:sz w:val="22"/>
          <w:szCs w:val="22"/>
        </w:rPr>
        <w:t xml:space="preserve"> </w:t>
      </w:r>
    </w:p>
    <w:p w14:paraId="784765E8" w14:textId="77777777" w:rsidR="004B5DB3" w:rsidRPr="001959AF" w:rsidRDefault="004B5DB3" w:rsidP="001959AF">
      <w:pPr>
        <w:pStyle w:val="Body1"/>
        <w:jc w:val="both"/>
        <w:rPr>
          <w:rFonts w:asciiTheme="majorBidi" w:hAnsiTheme="majorBidi" w:cstheme="majorBidi"/>
          <w:sz w:val="22"/>
          <w:szCs w:val="22"/>
        </w:rPr>
      </w:pPr>
    </w:p>
    <w:p w14:paraId="661D6B11" w14:textId="37D45108"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 xml:space="preserve">Lack of access to and information about contraception, including emergency contraception, can have particularly severe physical and mental consequences for women </w:t>
      </w:r>
      <w:r w:rsidR="00D41F29">
        <w:rPr>
          <w:rFonts w:asciiTheme="majorBidi" w:hAnsiTheme="majorBidi" w:cstheme="majorBidi"/>
          <w:sz w:val="22"/>
          <w:szCs w:val="22"/>
        </w:rPr>
        <w:t xml:space="preserve">and girls </w:t>
      </w:r>
      <w:r w:rsidRPr="001959AF">
        <w:rPr>
          <w:rFonts w:asciiTheme="majorBidi" w:hAnsiTheme="majorBidi" w:cstheme="majorBidi"/>
          <w:sz w:val="22"/>
          <w:szCs w:val="22"/>
        </w:rPr>
        <w:t>who are victims of sexual violence.</w:t>
      </w:r>
      <w:r w:rsidRPr="001959AF">
        <w:rPr>
          <w:rStyle w:val="EndnoteReference"/>
          <w:rFonts w:asciiTheme="majorBidi" w:hAnsiTheme="majorBidi" w:cstheme="majorBidi"/>
          <w:sz w:val="22"/>
          <w:szCs w:val="22"/>
        </w:rPr>
        <w:endnoteReference w:id="57"/>
      </w:r>
      <w:r w:rsidRPr="001959AF">
        <w:rPr>
          <w:rFonts w:asciiTheme="majorBidi" w:hAnsiTheme="majorBidi" w:cstheme="majorBidi"/>
          <w:sz w:val="22"/>
          <w:szCs w:val="22"/>
        </w:rPr>
        <w:t xml:space="preserve"> Women </w:t>
      </w:r>
      <w:r w:rsidR="00D41F29">
        <w:rPr>
          <w:rFonts w:asciiTheme="majorBidi" w:hAnsiTheme="majorBidi" w:cstheme="majorBidi"/>
          <w:sz w:val="22"/>
          <w:szCs w:val="22"/>
        </w:rPr>
        <w:t xml:space="preserve">and girls </w:t>
      </w:r>
      <w:r w:rsidRPr="001959AF">
        <w:rPr>
          <w:rFonts w:asciiTheme="majorBidi" w:hAnsiTheme="majorBidi" w:cstheme="majorBidi"/>
          <w:sz w:val="22"/>
          <w:szCs w:val="22"/>
        </w:rPr>
        <w:t>with disabilities experience violence, including sexual violence, at higher rates than other women,</w:t>
      </w:r>
      <w:r w:rsidRPr="001959AF">
        <w:rPr>
          <w:rStyle w:val="EndnoteReference"/>
          <w:rFonts w:asciiTheme="majorBidi" w:hAnsiTheme="majorBidi" w:cstheme="majorBidi"/>
          <w:sz w:val="22"/>
          <w:szCs w:val="22"/>
        </w:rPr>
        <w:endnoteReference w:id="58"/>
      </w:r>
      <w:r w:rsidRPr="001959AF">
        <w:rPr>
          <w:rFonts w:asciiTheme="majorBidi" w:hAnsiTheme="majorBidi" w:cstheme="majorBidi"/>
          <w:sz w:val="22"/>
          <w:szCs w:val="22"/>
        </w:rPr>
        <w:t xml:space="preserve"> making access to contraception essential for the exercise of their reproductive rights. But as the Center for Reproductive Rights has documented, women are often unable to access these services, because of legal restrictions on access to emergency contraception in some countries</w:t>
      </w:r>
      <w:r w:rsidRPr="001959AF">
        <w:rPr>
          <w:rStyle w:val="EndnoteReference"/>
          <w:rFonts w:asciiTheme="majorBidi" w:hAnsiTheme="majorBidi" w:cstheme="majorBidi"/>
          <w:sz w:val="22"/>
          <w:szCs w:val="22"/>
        </w:rPr>
        <w:endnoteReference w:id="59"/>
      </w:r>
      <w:r w:rsidRPr="001959AF">
        <w:rPr>
          <w:rFonts w:asciiTheme="majorBidi" w:hAnsiTheme="majorBidi" w:cstheme="majorBidi"/>
          <w:sz w:val="22"/>
          <w:szCs w:val="22"/>
        </w:rPr>
        <w:t xml:space="preserve"> or, for women with disabilities, lack of accessible services.</w:t>
      </w:r>
      <w:r w:rsidRPr="001959AF">
        <w:rPr>
          <w:rStyle w:val="EndnoteReference"/>
          <w:rFonts w:asciiTheme="majorBidi" w:hAnsiTheme="majorBidi" w:cstheme="majorBidi"/>
          <w:sz w:val="22"/>
          <w:szCs w:val="22"/>
        </w:rPr>
        <w:endnoteReference w:id="60"/>
      </w:r>
      <w:r w:rsidRPr="001959AF">
        <w:rPr>
          <w:rFonts w:asciiTheme="majorBidi" w:hAnsiTheme="majorBidi" w:cstheme="majorBidi"/>
          <w:sz w:val="22"/>
          <w:szCs w:val="22"/>
        </w:rPr>
        <w:t xml:space="preserve"> Emergency contraceptive services must be reached as quickly as possible, and generally no later than 120 hours after unprotected intercourse, in order for them to be effective at preventing pregnancy,</w:t>
      </w:r>
      <w:r w:rsidRPr="001959AF">
        <w:rPr>
          <w:rStyle w:val="EndnoteReference"/>
          <w:rFonts w:asciiTheme="majorBidi" w:hAnsiTheme="majorBidi" w:cstheme="majorBidi"/>
          <w:sz w:val="22"/>
          <w:szCs w:val="22"/>
        </w:rPr>
        <w:endnoteReference w:id="61"/>
      </w:r>
      <w:r w:rsidRPr="001959AF">
        <w:rPr>
          <w:rFonts w:asciiTheme="majorBidi" w:hAnsiTheme="majorBidi" w:cstheme="majorBidi"/>
          <w:sz w:val="22"/>
          <w:szCs w:val="22"/>
        </w:rPr>
        <w:t xml:space="preserve"> which may be particularly difficult for women with disabilities that impact their mobility.</w:t>
      </w:r>
      <w:r w:rsidRPr="001959AF">
        <w:rPr>
          <w:rStyle w:val="EndnoteReference"/>
          <w:rFonts w:asciiTheme="majorBidi" w:hAnsiTheme="majorBidi" w:cstheme="majorBidi"/>
          <w:sz w:val="22"/>
          <w:szCs w:val="22"/>
        </w:rPr>
        <w:endnoteReference w:id="62"/>
      </w:r>
      <w:r w:rsidRPr="001959AF">
        <w:rPr>
          <w:rFonts w:asciiTheme="majorBidi" w:hAnsiTheme="majorBidi" w:cstheme="majorBidi"/>
          <w:sz w:val="22"/>
          <w:szCs w:val="22"/>
        </w:rPr>
        <w:t xml:space="preserve">  </w:t>
      </w:r>
    </w:p>
    <w:p w14:paraId="11A159B3" w14:textId="77777777" w:rsidR="004B5DB3" w:rsidRPr="001959AF" w:rsidRDefault="004B5DB3" w:rsidP="001959AF">
      <w:pPr>
        <w:spacing w:after="0" w:line="240" w:lineRule="auto"/>
        <w:jc w:val="both"/>
        <w:rPr>
          <w:rFonts w:asciiTheme="majorBidi" w:hAnsiTheme="majorBidi" w:cstheme="majorBidi"/>
          <w:lang w:val="en-US"/>
        </w:rPr>
      </w:pPr>
    </w:p>
    <w:p w14:paraId="75FAD86E" w14:textId="77777777" w:rsidR="004B5DB3" w:rsidRPr="001959AF" w:rsidRDefault="00E04DEA" w:rsidP="001959AF">
      <w:pPr>
        <w:pStyle w:val="Body1"/>
        <w:jc w:val="both"/>
        <w:rPr>
          <w:rFonts w:asciiTheme="majorBidi" w:hAnsiTheme="majorBidi" w:cstheme="majorBidi"/>
          <w:b/>
          <w:bCs/>
          <w:sz w:val="22"/>
          <w:szCs w:val="22"/>
        </w:rPr>
      </w:pPr>
      <w:r w:rsidRPr="001959AF">
        <w:rPr>
          <w:rFonts w:asciiTheme="majorBidi" w:hAnsiTheme="majorBidi" w:cstheme="majorBidi"/>
          <w:sz w:val="22"/>
          <w:szCs w:val="22"/>
        </w:rPr>
        <w:t xml:space="preserve">- </w:t>
      </w:r>
      <w:r w:rsidR="004B5DB3" w:rsidRPr="001959AF">
        <w:rPr>
          <w:rFonts w:asciiTheme="majorBidi" w:hAnsiTheme="majorBidi" w:cstheme="majorBidi"/>
          <w:b/>
          <w:bCs/>
          <w:sz w:val="22"/>
          <w:szCs w:val="22"/>
        </w:rPr>
        <w:t>International Human Rights Standards for Access to Contraception</w:t>
      </w:r>
    </w:p>
    <w:p w14:paraId="334DDAD7" w14:textId="77777777" w:rsidR="004B5DB3" w:rsidRPr="001959AF" w:rsidRDefault="004B5DB3" w:rsidP="001959AF">
      <w:pPr>
        <w:pStyle w:val="Body1"/>
        <w:jc w:val="both"/>
        <w:rPr>
          <w:rFonts w:asciiTheme="majorBidi" w:hAnsiTheme="majorBidi" w:cstheme="majorBidi"/>
          <w:sz w:val="22"/>
          <w:szCs w:val="22"/>
        </w:rPr>
      </w:pPr>
    </w:p>
    <w:p w14:paraId="4CD12CB7" w14:textId="77777777" w:rsidR="004B5DB3" w:rsidRPr="001959AF" w:rsidRDefault="004B5DB3" w:rsidP="001959AF">
      <w:pPr>
        <w:spacing w:after="0" w:line="240" w:lineRule="auto"/>
        <w:jc w:val="both"/>
        <w:rPr>
          <w:rFonts w:asciiTheme="majorBidi" w:hAnsiTheme="majorBidi" w:cstheme="majorBidi"/>
          <w:lang w:val="en-US"/>
        </w:rPr>
      </w:pPr>
      <w:r w:rsidRPr="001959AF">
        <w:rPr>
          <w:rFonts w:asciiTheme="majorBidi" w:hAnsiTheme="majorBidi" w:cstheme="majorBidi"/>
          <w:lang w:val="en-US"/>
        </w:rPr>
        <w:t>Women’s and adolescents’ right to modern contraceptives and information about contraceptives is grounded in basic human rights protections. These human rights include the rights to equality and non-discrimination, to privacy, to determine the number, timing, and spacing of children, to life and health, to education and information, to be free from torture or CIDT, and to benefit from scientific progress.</w:t>
      </w:r>
      <w:r w:rsidRPr="001959AF">
        <w:rPr>
          <w:rStyle w:val="EndnoteReference"/>
          <w:rFonts w:asciiTheme="majorBidi" w:hAnsiTheme="majorBidi" w:cstheme="majorBidi"/>
        </w:rPr>
        <w:endnoteReference w:id="63"/>
      </w:r>
      <w:r w:rsidRPr="001959AF">
        <w:rPr>
          <w:rFonts w:asciiTheme="majorBidi" w:hAnsiTheme="majorBidi" w:cstheme="majorBidi"/>
          <w:lang w:val="en-US"/>
        </w:rPr>
        <w:t xml:space="preserve"> Contraceptives are also included on the World Health Organization’s (WHO) Model List of Essential Medicines, medicines the WHO considers necessary for a basic healthcare system.</w:t>
      </w:r>
      <w:r w:rsidRPr="001959AF">
        <w:rPr>
          <w:rStyle w:val="EndnoteReference"/>
          <w:rFonts w:asciiTheme="majorBidi" w:hAnsiTheme="majorBidi" w:cstheme="majorBidi"/>
        </w:rPr>
        <w:endnoteReference w:id="64"/>
      </w:r>
    </w:p>
    <w:p w14:paraId="0FAD54AE" w14:textId="77777777" w:rsidR="004B5DB3" w:rsidRPr="001959AF" w:rsidRDefault="004B5DB3" w:rsidP="001959AF">
      <w:pPr>
        <w:autoSpaceDE w:val="0"/>
        <w:autoSpaceDN w:val="0"/>
        <w:adjustRightInd w:val="0"/>
        <w:spacing w:after="0" w:line="240" w:lineRule="auto"/>
        <w:jc w:val="both"/>
        <w:rPr>
          <w:rFonts w:asciiTheme="majorBidi" w:hAnsiTheme="majorBidi" w:cstheme="majorBidi"/>
          <w:lang w:val="en-US"/>
        </w:rPr>
      </w:pPr>
    </w:p>
    <w:p w14:paraId="079655C8" w14:textId="77777777" w:rsidR="004B5DB3" w:rsidRPr="001959AF" w:rsidRDefault="004B5DB3" w:rsidP="001959AF">
      <w:pPr>
        <w:autoSpaceDE w:val="0"/>
        <w:autoSpaceDN w:val="0"/>
        <w:adjustRightInd w:val="0"/>
        <w:spacing w:after="0" w:line="240" w:lineRule="auto"/>
        <w:jc w:val="both"/>
        <w:rPr>
          <w:rFonts w:asciiTheme="majorBidi" w:hAnsiTheme="majorBidi" w:cstheme="majorBidi"/>
          <w:lang w:val="en-US"/>
        </w:rPr>
      </w:pPr>
      <w:r w:rsidRPr="001959AF">
        <w:rPr>
          <w:rFonts w:asciiTheme="majorBidi" w:hAnsiTheme="majorBidi" w:cstheme="majorBidi"/>
          <w:lang w:val="en-US"/>
        </w:rPr>
        <w:t>The ESCR Committee has stated that lack of access to contraception is a violation of the right to health.</w:t>
      </w:r>
      <w:r w:rsidRPr="001959AF">
        <w:rPr>
          <w:rStyle w:val="EndnoteReference"/>
          <w:rFonts w:asciiTheme="majorBidi" w:hAnsiTheme="majorBidi" w:cstheme="majorBidi"/>
        </w:rPr>
        <w:endnoteReference w:id="65"/>
      </w:r>
      <w:r w:rsidRPr="001959AF">
        <w:rPr>
          <w:rFonts w:asciiTheme="majorBidi" w:hAnsiTheme="majorBidi" w:cstheme="majorBidi"/>
          <w:lang w:val="en-US"/>
        </w:rPr>
        <w:t xml:space="preserve"> States thus have an obligation to provide all women with access to affordable, acceptable, accessible, and good quality contraceptives. To this end, the ESCR Committee has called upon states parties to ensure that all drugs on the WHO Model List of Essential Medicines, which include a range of contraceptives, be made accessible</w:t>
      </w:r>
      <w:r w:rsidRPr="001959AF">
        <w:rPr>
          <w:rStyle w:val="EndnoteReference"/>
          <w:rFonts w:asciiTheme="majorBidi" w:hAnsiTheme="majorBidi" w:cstheme="majorBidi"/>
        </w:rPr>
        <w:endnoteReference w:id="66"/>
      </w:r>
      <w:r w:rsidRPr="001959AF">
        <w:rPr>
          <w:rFonts w:asciiTheme="majorBidi" w:hAnsiTheme="majorBidi" w:cstheme="majorBidi"/>
          <w:lang w:val="en-US"/>
        </w:rPr>
        <w:t xml:space="preserve"> and has noted that access to drugs on this list is a core state obligation under the right to health.</w:t>
      </w:r>
      <w:r w:rsidRPr="001959AF">
        <w:rPr>
          <w:rStyle w:val="EndnoteReference"/>
          <w:rFonts w:asciiTheme="majorBidi" w:hAnsiTheme="majorBidi" w:cstheme="majorBidi"/>
        </w:rPr>
        <w:endnoteReference w:id="67"/>
      </w:r>
      <w:r w:rsidRPr="001959AF">
        <w:rPr>
          <w:rFonts w:asciiTheme="majorBidi" w:hAnsiTheme="majorBidi" w:cstheme="majorBidi"/>
          <w:lang w:val="en-US"/>
        </w:rPr>
        <w:t xml:space="preserve"> In addition, states have core obligations to ensure minimum essential levels of the right to health,</w:t>
      </w:r>
      <w:r w:rsidRPr="001959AF">
        <w:rPr>
          <w:rStyle w:val="EndnoteReference"/>
          <w:rFonts w:asciiTheme="majorBidi" w:hAnsiTheme="majorBidi" w:cstheme="majorBidi"/>
        </w:rPr>
        <w:endnoteReference w:id="68"/>
      </w:r>
      <w:r w:rsidRPr="001959AF">
        <w:rPr>
          <w:rFonts w:asciiTheme="majorBidi" w:hAnsiTheme="majorBidi" w:cstheme="majorBidi"/>
          <w:lang w:val="en-US"/>
        </w:rPr>
        <w:t xml:space="preserve"> and this includes the duty to ensure access to contraceptive information and services “on a non-discriminatory basis, especially for vulnerable or marginalized groups” and “[t]o provide essential drugs, as . . . defined under the WHO Action Programme on Essential Drugs,”</w:t>
      </w:r>
      <w:r w:rsidRPr="001959AF">
        <w:rPr>
          <w:rStyle w:val="EndnoteReference"/>
          <w:rFonts w:asciiTheme="majorBidi" w:hAnsiTheme="majorBidi" w:cstheme="majorBidi"/>
        </w:rPr>
        <w:endnoteReference w:id="69"/>
      </w:r>
      <w:r w:rsidRPr="001959AF">
        <w:rPr>
          <w:rFonts w:asciiTheme="majorBidi" w:hAnsiTheme="majorBidi" w:cstheme="majorBidi"/>
          <w:lang w:val="en-US"/>
        </w:rPr>
        <w:t xml:space="preserve"> which includes contraceptives. </w:t>
      </w:r>
    </w:p>
    <w:p w14:paraId="2D658078" w14:textId="77777777" w:rsidR="004B5DB3" w:rsidRPr="001959AF" w:rsidRDefault="004B5DB3" w:rsidP="001959AF">
      <w:pPr>
        <w:autoSpaceDE w:val="0"/>
        <w:autoSpaceDN w:val="0"/>
        <w:adjustRightInd w:val="0"/>
        <w:spacing w:after="0" w:line="240" w:lineRule="auto"/>
        <w:jc w:val="both"/>
        <w:rPr>
          <w:rFonts w:asciiTheme="majorBidi" w:hAnsiTheme="majorBidi" w:cstheme="majorBidi"/>
          <w:lang w:val="en-US"/>
        </w:rPr>
      </w:pPr>
    </w:p>
    <w:p w14:paraId="29FE58E2" w14:textId="77777777" w:rsidR="004B5DB3" w:rsidRPr="001959AF" w:rsidRDefault="004B5DB3" w:rsidP="001959AF">
      <w:pPr>
        <w:autoSpaceDE w:val="0"/>
        <w:autoSpaceDN w:val="0"/>
        <w:adjustRightInd w:val="0"/>
        <w:spacing w:after="0" w:line="240" w:lineRule="auto"/>
        <w:jc w:val="both"/>
        <w:rPr>
          <w:rFonts w:asciiTheme="majorBidi" w:hAnsiTheme="majorBidi" w:cstheme="majorBidi"/>
          <w:lang w:val="en-US"/>
        </w:rPr>
      </w:pPr>
      <w:r w:rsidRPr="001959AF">
        <w:rPr>
          <w:rFonts w:asciiTheme="majorBidi" w:hAnsiTheme="majorBidi" w:cstheme="majorBidi"/>
          <w:lang w:val="en-US"/>
        </w:rPr>
        <w:t>The CEDAW Committee has also affirmed that, to avoid discrimination against women, states need to ensure family planning services, which include contraception.</w:t>
      </w:r>
      <w:r w:rsidRPr="001959AF">
        <w:rPr>
          <w:rStyle w:val="EndnoteReference"/>
          <w:rFonts w:asciiTheme="majorBidi" w:hAnsiTheme="majorBidi" w:cstheme="majorBidi"/>
        </w:rPr>
        <w:endnoteReference w:id="70"/>
      </w:r>
      <w:r w:rsidRPr="001959AF">
        <w:rPr>
          <w:rFonts w:asciiTheme="majorBidi" w:hAnsiTheme="majorBidi" w:cstheme="majorBidi"/>
          <w:lang w:val="en-US"/>
        </w:rPr>
        <w:t xml:space="preserve"> As part of this obligation, states should themselves provide family planning services, not obstruct women in accessing those services, and ensure that those who attempt to obstruct access face legal sanctions.</w:t>
      </w:r>
      <w:r w:rsidRPr="001959AF">
        <w:rPr>
          <w:rStyle w:val="EndnoteReference"/>
          <w:rFonts w:asciiTheme="majorBidi" w:hAnsiTheme="majorBidi" w:cstheme="majorBidi"/>
        </w:rPr>
        <w:endnoteReference w:id="71"/>
      </w:r>
      <w:r w:rsidRPr="001959AF">
        <w:rPr>
          <w:rFonts w:asciiTheme="majorBidi" w:hAnsiTheme="majorBidi" w:cstheme="majorBidi"/>
          <w:lang w:val="en-US"/>
        </w:rPr>
        <w:t xml:space="preserve"> In addition, the CEDAW Committee has recommended that states take special measures to ensure that women with disabilities have equal access to healthcare, including reproductive health services.</w:t>
      </w:r>
      <w:r w:rsidRPr="001959AF">
        <w:rPr>
          <w:rStyle w:val="EndnoteReference"/>
          <w:rFonts w:asciiTheme="majorBidi" w:hAnsiTheme="majorBidi" w:cstheme="majorBidi"/>
        </w:rPr>
        <w:endnoteReference w:id="72"/>
      </w:r>
    </w:p>
    <w:p w14:paraId="1DA48F0D" w14:textId="77777777" w:rsidR="004B5DB3" w:rsidRPr="001959AF" w:rsidRDefault="004B5DB3" w:rsidP="001959AF">
      <w:pPr>
        <w:pStyle w:val="Body1"/>
        <w:jc w:val="both"/>
        <w:rPr>
          <w:rFonts w:asciiTheme="majorBidi" w:hAnsiTheme="majorBidi" w:cstheme="majorBidi"/>
          <w:sz w:val="22"/>
          <w:szCs w:val="22"/>
        </w:rPr>
      </w:pPr>
    </w:p>
    <w:p w14:paraId="4D109AFF" w14:textId="77777777" w:rsidR="004B5DB3" w:rsidRPr="001959AF" w:rsidRDefault="004B5DB3" w:rsidP="001959AF">
      <w:pPr>
        <w:spacing w:line="240" w:lineRule="auto"/>
        <w:jc w:val="both"/>
        <w:rPr>
          <w:rFonts w:asciiTheme="majorBidi" w:hAnsiTheme="majorBidi" w:cstheme="majorBidi"/>
          <w:lang w:val="en-US"/>
        </w:rPr>
      </w:pPr>
      <w:r w:rsidRPr="001959AF">
        <w:rPr>
          <w:rFonts w:asciiTheme="majorBidi" w:hAnsiTheme="majorBidi" w:cstheme="majorBidi"/>
          <w:lang w:val="en-US"/>
        </w:rPr>
        <w:t xml:space="preserve">Treaty bodies have also acknowledged that lack of access to contraception, particularly emergency contraception, may cause severe physical or mental suffering for women and girls and put their lives and health at risk. The CRC Committee raised the issue of access to emergency contraception in </w:t>
      </w:r>
      <w:r w:rsidRPr="001959AF">
        <w:rPr>
          <w:rFonts w:asciiTheme="majorBidi" w:hAnsiTheme="majorBidi" w:cstheme="majorBidi"/>
          <w:lang w:val="en-US"/>
        </w:rPr>
        <w:lastRenderedPageBreak/>
        <w:t>Ecuador, where some forms of emergency contraception are illegal, stating that access to emergency contraception is an important part of preventing unsafe abortions or suicides and recommending that the state make all forms of emergency contraception available to adolescents.</w:t>
      </w:r>
      <w:r w:rsidRPr="001959AF">
        <w:rPr>
          <w:rStyle w:val="EndnoteReference"/>
          <w:rFonts w:asciiTheme="majorBidi" w:hAnsiTheme="majorBidi" w:cstheme="majorBidi"/>
        </w:rPr>
        <w:endnoteReference w:id="73"/>
      </w:r>
      <w:r w:rsidRPr="001959AF">
        <w:rPr>
          <w:rFonts w:asciiTheme="majorBidi" w:hAnsiTheme="majorBidi" w:cstheme="majorBidi"/>
          <w:lang w:val="en-US"/>
        </w:rPr>
        <w:t xml:space="preserve"> Treaty bodies have also recognized the additional traumatization of being forced to carry unwanted pregnancies for victims of sexual violence. In its 2012 concluding observations for Peru, the Committee against Torture expressed concern at the lack of access to oral emergency contraception to victims of rape, classifying the practice as potential torture or CIDT.</w:t>
      </w:r>
      <w:r w:rsidRPr="001959AF">
        <w:rPr>
          <w:rStyle w:val="EndnoteReference"/>
          <w:rFonts w:asciiTheme="majorBidi" w:hAnsiTheme="majorBidi" w:cstheme="majorBidi"/>
        </w:rPr>
        <w:endnoteReference w:id="74"/>
      </w:r>
      <w:r w:rsidRPr="001959AF">
        <w:rPr>
          <w:rFonts w:asciiTheme="majorBidi" w:hAnsiTheme="majorBidi" w:cstheme="majorBidi"/>
          <w:lang w:val="en-US"/>
        </w:rPr>
        <w:t xml:space="preserve"> The Committee against Torture then called on Peru to remove legal restrictions on the distribution of emergency contraception to rape victims in order to protect its citizens from torture or CIDT.</w:t>
      </w:r>
      <w:r w:rsidRPr="001959AF">
        <w:rPr>
          <w:rStyle w:val="EndnoteReference"/>
          <w:rFonts w:asciiTheme="majorBidi" w:hAnsiTheme="majorBidi" w:cstheme="majorBidi"/>
        </w:rPr>
        <w:endnoteReference w:id="75"/>
      </w:r>
      <w:r w:rsidRPr="001959AF">
        <w:rPr>
          <w:rFonts w:asciiTheme="majorBidi" w:hAnsiTheme="majorBidi" w:cstheme="majorBidi"/>
          <w:lang w:val="en-US"/>
        </w:rPr>
        <w:t xml:space="preserve"> </w:t>
      </w:r>
    </w:p>
    <w:p w14:paraId="11170819" w14:textId="77777777" w:rsidR="004B5DB3" w:rsidRPr="001959AF" w:rsidRDefault="004B5DB3" w:rsidP="001959AF">
      <w:pPr>
        <w:pStyle w:val="Body1"/>
        <w:jc w:val="both"/>
        <w:rPr>
          <w:rFonts w:asciiTheme="majorBidi" w:hAnsiTheme="majorBidi" w:cstheme="majorBidi"/>
          <w:sz w:val="22"/>
          <w:szCs w:val="22"/>
        </w:rPr>
      </w:pPr>
      <w:r w:rsidRPr="001959AF">
        <w:rPr>
          <w:rFonts w:asciiTheme="majorBidi" w:hAnsiTheme="majorBidi" w:cstheme="majorBidi"/>
          <w:sz w:val="22"/>
          <w:szCs w:val="22"/>
        </w:rPr>
        <w:t>Under the CRPD, people with disabilities have the right to health, with specifications that health services should be “gender sensitive” and that persons with disabilities should have equal access to services “in the area of sexual and reproductive health and population-based public health programs.”</w:t>
      </w:r>
      <w:r w:rsidRPr="001959AF">
        <w:rPr>
          <w:rStyle w:val="EndnoteReference"/>
          <w:rFonts w:asciiTheme="majorBidi" w:hAnsiTheme="majorBidi" w:cstheme="majorBidi"/>
          <w:sz w:val="22"/>
          <w:szCs w:val="22"/>
        </w:rPr>
        <w:endnoteReference w:id="76"/>
      </w:r>
      <w:r w:rsidRPr="001959AF">
        <w:rPr>
          <w:rFonts w:asciiTheme="majorBidi" w:hAnsiTheme="majorBidi" w:cstheme="majorBidi"/>
          <w:sz w:val="22"/>
          <w:szCs w:val="22"/>
        </w:rPr>
        <w:t xml:space="preserve"> People with disabilities also have the right to found a family and “decide freely and responsibly on the number and spacing of their children,” including through access to “reproductive and family planning education … and the means necessary to enable them to exercise these rights…”</w:t>
      </w:r>
      <w:r w:rsidRPr="001959AF">
        <w:rPr>
          <w:rStyle w:val="EndnoteReference"/>
          <w:rFonts w:asciiTheme="majorBidi" w:hAnsiTheme="majorBidi" w:cstheme="majorBidi"/>
          <w:sz w:val="22"/>
          <w:szCs w:val="22"/>
        </w:rPr>
        <w:endnoteReference w:id="77"/>
      </w:r>
      <w:r w:rsidRPr="001959AF">
        <w:rPr>
          <w:rFonts w:asciiTheme="majorBidi" w:hAnsiTheme="majorBidi" w:cstheme="majorBidi"/>
          <w:sz w:val="22"/>
          <w:szCs w:val="22"/>
        </w:rPr>
        <w:t xml:space="preserve"> These rights strongly indicate that women with disabilities should have access to modern contraceptives, though the CRPD Committee has not yet addressed the issue of access to elective contraceptive services for women with disabilities.</w:t>
      </w:r>
    </w:p>
    <w:p w14:paraId="3B9E6A4B" w14:textId="77777777" w:rsidR="00366C71" w:rsidRPr="001959AF" w:rsidRDefault="00366C71" w:rsidP="001959AF">
      <w:pPr>
        <w:pStyle w:val="Body1"/>
        <w:jc w:val="both"/>
        <w:rPr>
          <w:rFonts w:asciiTheme="majorBidi" w:hAnsiTheme="majorBidi" w:cstheme="majorBidi"/>
          <w:color w:val="auto"/>
          <w:sz w:val="22"/>
          <w:szCs w:val="22"/>
        </w:rPr>
      </w:pPr>
    </w:p>
    <w:p w14:paraId="47609676" w14:textId="77777777" w:rsidR="00366C71" w:rsidRPr="001959AF" w:rsidRDefault="00366C71" w:rsidP="001959AF">
      <w:pPr>
        <w:spacing w:after="0" w:line="240" w:lineRule="auto"/>
        <w:jc w:val="both"/>
        <w:rPr>
          <w:rFonts w:asciiTheme="majorBidi" w:hAnsiTheme="majorBidi" w:cstheme="majorBidi"/>
          <w:b/>
          <w:bCs/>
          <w:lang w:val="en-US"/>
        </w:rPr>
      </w:pPr>
      <w:r w:rsidRPr="001959AF">
        <w:rPr>
          <w:rFonts w:asciiTheme="majorBidi" w:hAnsiTheme="majorBidi" w:cstheme="majorBidi"/>
          <w:b/>
          <w:bCs/>
          <w:lang w:val="en-US"/>
        </w:rPr>
        <w:t xml:space="preserve">- Access to safe and legal abortion </w:t>
      </w:r>
    </w:p>
    <w:p w14:paraId="5F791730" w14:textId="77777777" w:rsidR="00366C71" w:rsidRPr="001959AF" w:rsidRDefault="00366C71" w:rsidP="001959AF">
      <w:pPr>
        <w:spacing w:after="0" w:line="240" w:lineRule="auto"/>
        <w:jc w:val="both"/>
        <w:rPr>
          <w:rFonts w:asciiTheme="majorBidi" w:hAnsiTheme="majorBidi" w:cstheme="majorBidi"/>
          <w:lang w:val="en-US"/>
        </w:rPr>
      </w:pPr>
    </w:p>
    <w:p w14:paraId="049A8861" w14:textId="77777777" w:rsidR="00641E69" w:rsidRPr="001959AF" w:rsidRDefault="00641E69" w:rsidP="001959AF">
      <w:pPr>
        <w:pStyle w:val="Body1"/>
        <w:jc w:val="both"/>
        <w:rPr>
          <w:rFonts w:asciiTheme="majorBidi" w:hAnsiTheme="majorBidi" w:cstheme="majorBidi"/>
          <w:color w:val="auto"/>
          <w:sz w:val="22"/>
          <w:szCs w:val="22"/>
        </w:rPr>
      </w:pPr>
      <w:r w:rsidRPr="001959AF">
        <w:rPr>
          <w:rFonts w:asciiTheme="majorBidi" w:hAnsiTheme="majorBidi" w:cstheme="majorBidi"/>
          <w:color w:val="auto"/>
          <w:sz w:val="22"/>
          <w:szCs w:val="22"/>
        </w:rPr>
        <w:t xml:space="preserve">Lack of access to safe and legal abortion services has a devastating impact on women’s health and lives. </w:t>
      </w:r>
    </w:p>
    <w:p w14:paraId="376E9F65" w14:textId="77777777" w:rsidR="00641E69" w:rsidRPr="001959AF" w:rsidRDefault="00641E69" w:rsidP="001959AF">
      <w:pPr>
        <w:autoSpaceDE w:val="0"/>
        <w:autoSpaceDN w:val="0"/>
        <w:adjustRightInd w:val="0"/>
        <w:spacing w:after="0" w:line="240" w:lineRule="auto"/>
        <w:jc w:val="both"/>
        <w:rPr>
          <w:rFonts w:asciiTheme="majorBidi" w:hAnsiTheme="majorBidi" w:cstheme="majorBidi"/>
          <w:lang w:val="en-US"/>
        </w:rPr>
      </w:pPr>
      <w:r w:rsidRPr="001959AF">
        <w:rPr>
          <w:rFonts w:asciiTheme="majorBidi" w:hAnsiTheme="majorBidi" w:cstheme="majorBidi"/>
          <w:lang w:val="en-US"/>
        </w:rPr>
        <w:t>Historically, women have been denied the right to choose to terminate a pregnancy and as such, the ability to make decisions about their lives and bodies. Moreover, gaps in the implementation of abortion laws or procedural barriers placed in the way of abortion services have undermined women’s access to this reproductive health service.</w:t>
      </w:r>
      <w:r w:rsidRPr="001959AF">
        <w:rPr>
          <w:rStyle w:val="EndnoteReference"/>
          <w:rFonts w:asciiTheme="majorBidi" w:hAnsiTheme="majorBidi" w:cstheme="majorBidi"/>
        </w:rPr>
        <w:endnoteReference w:id="78"/>
      </w:r>
    </w:p>
    <w:p w14:paraId="29E5BB56" w14:textId="77777777" w:rsidR="00641E69" w:rsidRPr="001959AF" w:rsidRDefault="00641E69" w:rsidP="001959AF">
      <w:pPr>
        <w:autoSpaceDE w:val="0"/>
        <w:autoSpaceDN w:val="0"/>
        <w:adjustRightInd w:val="0"/>
        <w:spacing w:after="0" w:line="240" w:lineRule="auto"/>
        <w:jc w:val="both"/>
        <w:rPr>
          <w:rFonts w:asciiTheme="majorBidi" w:hAnsiTheme="majorBidi" w:cstheme="majorBidi"/>
          <w:lang w:val="en-US"/>
        </w:rPr>
      </w:pPr>
    </w:p>
    <w:p w14:paraId="6D509D51" w14:textId="77777777" w:rsidR="00641E69" w:rsidRPr="001959AF" w:rsidRDefault="00641E69" w:rsidP="001959AF">
      <w:pPr>
        <w:autoSpaceDE w:val="0"/>
        <w:autoSpaceDN w:val="0"/>
        <w:adjustRightInd w:val="0"/>
        <w:spacing w:after="0" w:line="240" w:lineRule="auto"/>
        <w:jc w:val="both"/>
        <w:rPr>
          <w:rStyle w:val="texto11"/>
          <w:rFonts w:asciiTheme="majorBidi" w:hAnsiTheme="majorBidi" w:cstheme="majorBidi"/>
          <w:sz w:val="22"/>
          <w:szCs w:val="22"/>
          <w:lang w:val="en-US"/>
        </w:rPr>
      </w:pPr>
      <w:r w:rsidRPr="001959AF">
        <w:rPr>
          <w:rFonts w:asciiTheme="majorBidi" w:hAnsiTheme="majorBidi" w:cstheme="majorBidi"/>
          <w:bCs/>
          <w:lang w:val="en-US"/>
        </w:rPr>
        <w:t>Evidence has shown that women who wish to terminate their pregnancies will do so regardless of the legality of this service.</w:t>
      </w:r>
      <w:r w:rsidRPr="001959AF">
        <w:rPr>
          <w:rStyle w:val="EndnoteReference"/>
          <w:rFonts w:asciiTheme="majorBidi" w:hAnsiTheme="majorBidi" w:cstheme="majorBidi"/>
        </w:rPr>
        <w:endnoteReference w:id="79"/>
      </w:r>
      <w:r w:rsidRPr="001959AF">
        <w:rPr>
          <w:rFonts w:asciiTheme="majorBidi" w:hAnsiTheme="majorBidi" w:cstheme="majorBidi"/>
          <w:bCs/>
          <w:lang w:val="en-US"/>
        </w:rPr>
        <w:t xml:space="preserve"> </w:t>
      </w:r>
      <w:r w:rsidRPr="001959AF">
        <w:rPr>
          <w:rFonts w:asciiTheme="majorBidi" w:hAnsiTheme="majorBidi" w:cstheme="majorBidi"/>
          <w:lang w:val="en-US"/>
        </w:rPr>
        <w:t>However, the legal status of abortion will largely determine whether they can access abortion services in safe or unsafe conditions.</w:t>
      </w:r>
      <w:r w:rsidRPr="001959AF">
        <w:rPr>
          <w:rStyle w:val="EndnoteReference"/>
          <w:rFonts w:asciiTheme="majorBidi" w:hAnsiTheme="majorBidi" w:cstheme="majorBidi"/>
        </w:rPr>
        <w:endnoteReference w:id="80"/>
      </w:r>
      <w:r w:rsidRPr="001959AF">
        <w:rPr>
          <w:rFonts w:asciiTheme="majorBidi" w:hAnsiTheme="majorBidi" w:cstheme="majorBidi"/>
          <w:lang w:val="en-US"/>
        </w:rPr>
        <w:t xml:space="preserve"> In circumstances in which abortion is legally restricted, women are more likely to</w:t>
      </w:r>
      <w:r w:rsidRPr="001959AF">
        <w:rPr>
          <w:rStyle w:val="texto11"/>
          <w:rFonts w:asciiTheme="majorBidi" w:hAnsiTheme="majorBidi" w:cstheme="majorBidi"/>
          <w:sz w:val="22"/>
          <w:szCs w:val="22"/>
          <w:lang w:val="en-US"/>
        </w:rPr>
        <w:t xml:space="preserve"> seek out clandestine and unsafe abortions, which are associated with increased rates of maternal mortality and morbidity.</w:t>
      </w:r>
      <w:r w:rsidRPr="001959AF">
        <w:rPr>
          <w:rStyle w:val="EndnoteReference"/>
          <w:rFonts w:asciiTheme="majorBidi" w:hAnsiTheme="majorBidi" w:cstheme="majorBidi"/>
        </w:rPr>
        <w:endnoteReference w:id="81"/>
      </w:r>
      <w:r w:rsidRPr="001959AF">
        <w:rPr>
          <w:rFonts w:asciiTheme="majorBidi" w:hAnsiTheme="majorBidi" w:cstheme="majorBidi"/>
          <w:lang w:val="en-US"/>
        </w:rPr>
        <w:t xml:space="preserve"> Moreover, in countries in which women are unable to access the abortion services to which they are legally entitled, they may also be forced to seek clandestine and unsafe abortions. </w:t>
      </w:r>
      <w:r w:rsidRPr="001959AF">
        <w:rPr>
          <w:rStyle w:val="texto11"/>
          <w:rFonts w:asciiTheme="majorBidi" w:hAnsiTheme="majorBidi" w:cstheme="majorBidi"/>
          <w:sz w:val="22"/>
          <w:szCs w:val="22"/>
          <w:lang w:val="en-US"/>
        </w:rPr>
        <w:t>An estimated 22 million women undergo unsafe abortions each year and 47,000 women die from unsafe abortions annually,</w:t>
      </w:r>
      <w:r w:rsidRPr="001959AF">
        <w:rPr>
          <w:rStyle w:val="EndnoteReference"/>
          <w:rFonts w:asciiTheme="majorBidi" w:hAnsiTheme="majorBidi" w:cstheme="majorBidi"/>
        </w:rPr>
        <w:endnoteReference w:id="82"/>
      </w:r>
      <w:r w:rsidRPr="001959AF">
        <w:rPr>
          <w:rStyle w:val="texto11"/>
          <w:rFonts w:asciiTheme="majorBidi" w:hAnsiTheme="majorBidi" w:cstheme="majorBidi"/>
          <w:sz w:val="22"/>
          <w:szCs w:val="22"/>
          <w:lang w:val="en-US"/>
        </w:rPr>
        <w:t xml:space="preserve"> accounting for up to 13 percent of maternal deaths worldwide.</w:t>
      </w:r>
      <w:r w:rsidRPr="001959AF">
        <w:rPr>
          <w:rStyle w:val="EndnoteReference"/>
          <w:rFonts w:asciiTheme="majorBidi" w:hAnsiTheme="majorBidi" w:cstheme="majorBidi"/>
        </w:rPr>
        <w:endnoteReference w:id="83"/>
      </w:r>
      <w:r w:rsidRPr="001959AF">
        <w:rPr>
          <w:rStyle w:val="texto11"/>
          <w:rFonts w:asciiTheme="majorBidi" w:hAnsiTheme="majorBidi" w:cstheme="majorBidi"/>
          <w:sz w:val="22"/>
          <w:szCs w:val="22"/>
          <w:lang w:val="en-US"/>
        </w:rPr>
        <w:t xml:space="preserve">   </w:t>
      </w:r>
    </w:p>
    <w:p w14:paraId="237EF730" w14:textId="77777777" w:rsidR="00641E69" w:rsidRPr="001959AF" w:rsidRDefault="00641E69" w:rsidP="001959AF">
      <w:pPr>
        <w:autoSpaceDE w:val="0"/>
        <w:autoSpaceDN w:val="0"/>
        <w:adjustRightInd w:val="0"/>
        <w:spacing w:after="0" w:line="240" w:lineRule="auto"/>
        <w:jc w:val="both"/>
        <w:rPr>
          <w:rFonts w:asciiTheme="majorBidi" w:hAnsiTheme="majorBidi" w:cstheme="majorBidi"/>
          <w:lang w:val="en-US"/>
        </w:rPr>
      </w:pPr>
    </w:p>
    <w:p w14:paraId="437B82F9" w14:textId="77777777" w:rsidR="00366C71" w:rsidRPr="001959AF" w:rsidRDefault="00366C71" w:rsidP="001959AF">
      <w:pPr>
        <w:spacing w:after="0" w:line="240" w:lineRule="auto"/>
        <w:jc w:val="both"/>
        <w:rPr>
          <w:rFonts w:asciiTheme="majorBidi" w:eastAsia="Arial Unicode MS" w:hAnsiTheme="majorBidi" w:cstheme="majorBidi"/>
          <w:color w:val="000000"/>
          <w:lang w:val="en-US"/>
        </w:rPr>
      </w:pPr>
      <w:r w:rsidRPr="001959AF">
        <w:rPr>
          <w:rFonts w:asciiTheme="majorBidi" w:eastAsia="Arial Unicode MS" w:hAnsiTheme="majorBidi" w:cstheme="majorBidi"/>
          <w:color w:val="000000"/>
          <w:lang w:val="en-US"/>
        </w:rPr>
        <w:t>True reproductive autonomy requires ensuring that where women face an unwanted pregnancy, abortion is an available option, if they so choose and they are provided with the sufficient information and support to make this decision for themselves.  This is in line with the standards from treaty monitoring bodies, which have recognized that restrictive abortion laws cause women to seek out unsafe and clandestine abortions, and repeatedly called on states to liberalize restrictive abortion laws and guarantee all women access to safe abortion services</w:t>
      </w:r>
      <w:r w:rsidRPr="0006110C">
        <w:rPr>
          <w:rStyle w:val="EndnoteReference"/>
          <w:rFonts w:asciiTheme="majorBidi" w:hAnsiTheme="majorBidi" w:cstheme="majorBidi"/>
          <w:lang w:val="en-US"/>
        </w:rPr>
        <w:t>.</w:t>
      </w:r>
      <w:r w:rsidRPr="001959AF">
        <w:rPr>
          <w:rStyle w:val="EndnoteReference"/>
          <w:rFonts w:asciiTheme="majorBidi" w:hAnsiTheme="majorBidi" w:cstheme="majorBidi"/>
        </w:rPr>
        <w:endnoteReference w:id="84"/>
      </w:r>
      <w:r w:rsidRPr="0006110C">
        <w:rPr>
          <w:rStyle w:val="EndnoteReference"/>
          <w:rFonts w:asciiTheme="majorBidi" w:hAnsiTheme="majorBidi" w:cstheme="majorBidi"/>
          <w:lang w:val="en-US"/>
        </w:rPr>
        <w:t xml:space="preserve"> </w:t>
      </w:r>
      <w:r w:rsidRPr="001959AF">
        <w:rPr>
          <w:rFonts w:asciiTheme="majorBidi" w:eastAsia="Arial Unicode MS" w:hAnsiTheme="majorBidi" w:cstheme="majorBidi"/>
          <w:color w:val="000000"/>
          <w:lang w:val="en-US"/>
        </w:rPr>
        <w:t>While all women, including women with disabilities, have difficulty navigating restrictive environments to fully exercise their reproductive rights,</w:t>
      </w:r>
      <w:r w:rsidRPr="001959AF">
        <w:rPr>
          <w:rStyle w:val="EndnoteReference"/>
          <w:rFonts w:asciiTheme="majorBidi" w:hAnsiTheme="majorBidi" w:cstheme="majorBidi"/>
        </w:rPr>
        <w:endnoteReference w:id="85"/>
      </w:r>
      <w:r w:rsidRPr="0006110C">
        <w:rPr>
          <w:rStyle w:val="EndnoteReference"/>
          <w:rFonts w:asciiTheme="majorBidi" w:hAnsiTheme="majorBidi" w:cstheme="majorBidi"/>
          <w:lang w:val="en-US"/>
        </w:rPr>
        <w:t xml:space="preserve"> </w:t>
      </w:r>
      <w:r w:rsidRPr="001959AF">
        <w:rPr>
          <w:rFonts w:asciiTheme="majorBidi" w:eastAsia="Arial Unicode MS" w:hAnsiTheme="majorBidi" w:cstheme="majorBidi"/>
          <w:color w:val="000000"/>
          <w:lang w:val="en-US"/>
        </w:rPr>
        <w:t xml:space="preserve">women with disabilities are placed at a particular disadvantage because of the additional barriers they may face in accessing reproductive health services. Procedural barriers to abortion services, such as mandatory waiting periods and third-party authorization requirements, generally increase the financial burden associated with accessing abortion services and exacerbate barriers women and girls with disabilities may face in relation to accessible transportation. </w:t>
      </w:r>
    </w:p>
    <w:p w14:paraId="745C71EE" w14:textId="77777777" w:rsidR="00366C71" w:rsidRPr="001959AF" w:rsidRDefault="00366C71" w:rsidP="001959AF">
      <w:pPr>
        <w:spacing w:after="0" w:line="240" w:lineRule="auto"/>
        <w:jc w:val="both"/>
        <w:rPr>
          <w:rFonts w:asciiTheme="majorBidi" w:eastAsia="Arial Unicode MS" w:hAnsiTheme="majorBidi" w:cstheme="majorBidi"/>
          <w:color w:val="000000"/>
          <w:lang w:val="en-US"/>
        </w:rPr>
      </w:pPr>
    </w:p>
    <w:p w14:paraId="198BB1BF" w14:textId="77777777" w:rsidR="00366C71" w:rsidRPr="001959AF" w:rsidRDefault="00366C71" w:rsidP="001959AF">
      <w:pPr>
        <w:spacing w:after="0" w:line="240" w:lineRule="auto"/>
        <w:jc w:val="both"/>
        <w:rPr>
          <w:rFonts w:asciiTheme="majorBidi" w:eastAsia="Arial Unicode MS" w:hAnsiTheme="majorBidi" w:cstheme="majorBidi"/>
          <w:color w:val="000000"/>
          <w:lang w:val="en-US"/>
        </w:rPr>
      </w:pPr>
      <w:r w:rsidRPr="001959AF">
        <w:rPr>
          <w:rFonts w:asciiTheme="majorBidi" w:eastAsia="Arial Unicode MS" w:hAnsiTheme="majorBidi" w:cstheme="majorBidi"/>
          <w:color w:val="000000"/>
          <w:lang w:val="en-US"/>
        </w:rPr>
        <w:lastRenderedPageBreak/>
        <w:t>In countries with restrictive abortion laws, women are often unable to access abortion services in the limited circumstances they are permitted due to a variety of factors including lack of training for health care workers, lack of information about legal abortion services, and stigma around abortion.</w:t>
      </w:r>
      <w:r w:rsidRPr="001959AF">
        <w:rPr>
          <w:rFonts w:asciiTheme="majorBidi" w:eastAsia="Arial Unicode MS" w:hAnsiTheme="majorBidi" w:cstheme="majorBidi"/>
          <w:color w:val="000000"/>
          <w:lang w:val="en-US"/>
        </w:rPr>
        <w:endnoteReference w:id="86"/>
      </w:r>
      <w:r w:rsidRPr="001959AF">
        <w:rPr>
          <w:rFonts w:asciiTheme="majorBidi" w:eastAsia="Arial Unicode MS" w:hAnsiTheme="majorBidi" w:cstheme="majorBidi"/>
          <w:color w:val="000000"/>
          <w:lang w:val="en-US"/>
        </w:rPr>
        <w:t xml:space="preserve"> Coupled with the barriers already experienced by women with disabilities in accessing reproductive health services, including barriers to physical access, the absence of alternative formats of information and communication, lack of disability-related support services,</w:t>
      </w:r>
      <w:r w:rsidRPr="001959AF">
        <w:rPr>
          <w:rFonts w:asciiTheme="majorBidi" w:eastAsia="Arial Unicode MS" w:hAnsiTheme="majorBidi" w:cstheme="majorBidi"/>
          <w:color w:val="000000"/>
          <w:lang w:val="en-US"/>
        </w:rPr>
        <w:endnoteReference w:id="87"/>
      </w:r>
      <w:r w:rsidRPr="001959AF">
        <w:rPr>
          <w:rFonts w:asciiTheme="majorBidi" w:eastAsia="Arial Unicode MS" w:hAnsiTheme="majorBidi" w:cstheme="majorBidi"/>
          <w:color w:val="000000"/>
          <w:lang w:val="en-US"/>
        </w:rPr>
        <w:t xml:space="preserve"> abortion services may be virtually inaccessible for women with disabilities in practice. As a result, they may be compelled to carry to term pregnancies and enter motherhood against their will, which in turn affects all facets of their lives, including their ability to continue their education, pursue career opportunities, and participate in public life. </w:t>
      </w:r>
    </w:p>
    <w:p w14:paraId="1F2EB0A6" w14:textId="77777777" w:rsidR="00366C71" w:rsidRPr="001959AF" w:rsidRDefault="00366C71" w:rsidP="001959AF">
      <w:pPr>
        <w:pStyle w:val="NormalWeb"/>
        <w:spacing w:before="0" w:beforeAutospacing="0" w:after="0" w:afterAutospacing="0"/>
        <w:jc w:val="both"/>
        <w:rPr>
          <w:rFonts w:asciiTheme="majorBidi" w:eastAsia="Arial Unicode MS" w:hAnsiTheme="majorBidi" w:cstheme="majorBidi"/>
          <w:color w:val="000000"/>
          <w:sz w:val="22"/>
          <w:szCs w:val="22"/>
        </w:rPr>
      </w:pPr>
    </w:p>
    <w:p w14:paraId="51F5E1E7" w14:textId="77777777" w:rsidR="00366C71" w:rsidRPr="001959AF" w:rsidRDefault="00366C71" w:rsidP="001959AF">
      <w:pPr>
        <w:pStyle w:val="NormalWeb"/>
        <w:spacing w:before="0" w:beforeAutospacing="0" w:after="0" w:afterAutospacing="0"/>
        <w:jc w:val="both"/>
        <w:rPr>
          <w:rFonts w:asciiTheme="majorBidi" w:eastAsia="Arial Unicode MS" w:hAnsiTheme="majorBidi" w:cstheme="majorBidi"/>
          <w:color w:val="000000"/>
          <w:sz w:val="22"/>
          <w:szCs w:val="22"/>
        </w:rPr>
      </w:pPr>
    </w:p>
    <w:p w14:paraId="60E83056" w14:textId="77777777" w:rsidR="00366C71" w:rsidRPr="001959AF" w:rsidRDefault="00366C71" w:rsidP="001959AF">
      <w:pPr>
        <w:jc w:val="both"/>
        <w:rPr>
          <w:rFonts w:asciiTheme="majorBidi" w:eastAsia="Arial Unicode MS" w:hAnsiTheme="majorBidi" w:cstheme="majorBidi"/>
          <w:b/>
          <w:bCs/>
          <w:color w:val="000000"/>
          <w:lang w:val="en-US"/>
        </w:rPr>
      </w:pPr>
      <w:r w:rsidRPr="001959AF">
        <w:rPr>
          <w:rFonts w:asciiTheme="majorBidi" w:eastAsia="Arial Unicode MS" w:hAnsiTheme="majorBidi" w:cstheme="majorBidi"/>
          <w:b/>
          <w:bCs/>
          <w:color w:val="000000"/>
          <w:lang w:val="en-US"/>
        </w:rPr>
        <w:t xml:space="preserve">- International Human Rights Standards for Access to Safe and Legal Abortion </w:t>
      </w:r>
    </w:p>
    <w:p w14:paraId="46932FC7" w14:textId="528EEB9E" w:rsidR="00AD6F9D" w:rsidRPr="001959AF" w:rsidRDefault="00AD6F9D" w:rsidP="001959AF">
      <w:pPr>
        <w:pStyle w:val="Body1"/>
        <w:jc w:val="both"/>
        <w:rPr>
          <w:rFonts w:asciiTheme="majorBidi" w:hAnsiTheme="majorBidi" w:cstheme="majorBidi"/>
          <w:color w:val="auto"/>
          <w:sz w:val="22"/>
          <w:szCs w:val="22"/>
        </w:rPr>
      </w:pPr>
      <w:r w:rsidRPr="001959AF">
        <w:rPr>
          <w:rFonts w:asciiTheme="majorBidi" w:hAnsiTheme="majorBidi" w:cstheme="majorBidi"/>
          <w:color w:val="auto"/>
          <w:sz w:val="22"/>
          <w:szCs w:val="22"/>
        </w:rPr>
        <w:t>The CRPD contains the strongest and most explicit language of any UN human rights treaty on reproductive rights. An important aspect of ensuring reproductive rights is providing access to safe and legal abortion services to ensure that women</w:t>
      </w:r>
      <w:r w:rsidR="00ED4E03">
        <w:rPr>
          <w:rFonts w:asciiTheme="majorBidi" w:hAnsiTheme="majorBidi" w:cstheme="majorBidi"/>
          <w:color w:val="auto"/>
          <w:sz w:val="22"/>
          <w:szCs w:val="22"/>
        </w:rPr>
        <w:t xml:space="preserve"> and girls</w:t>
      </w:r>
      <w:r w:rsidRPr="001959AF">
        <w:rPr>
          <w:rFonts w:asciiTheme="majorBidi" w:hAnsiTheme="majorBidi" w:cstheme="majorBidi"/>
          <w:color w:val="auto"/>
          <w:sz w:val="22"/>
          <w:szCs w:val="22"/>
        </w:rPr>
        <w:t xml:space="preserve"> have control over their lives and bodies. </w:t>
      </w:r>
    </w:p>
    <w:p w14:paraId="179CCBA6" w14:textId="77777777" w:rsidR="00AD6F9D" w:rsidRPr="001959AF" w:rsidRDefault="00AD6F9D" w:rsidP="001959AF">
      <w:pPr>
        <w:pStyle w:val="Body1"/>
        <w:jc w:val="both"/>
        <w:rPr>
          <w:rFonts w:asciiTheme="majorBidi" w:hAnsiTheme="majorBidi" w:cstheme="majorBidi"/>
          <w:color w:val="auto"/>
          <w:sz w:val="22"/>
          <w:szCs w:val="22"/>
        </w:rPr>
      </w:pPr>
    </w:p>
    <w:p w14:paraId="753D576C" w14:textId="4F1EF5CA" w:rsidR="00AD6F9D" w:rsidRPr="001959AF" w:rsidRDefault="00AD6F9D" w:rsidP="001959AF">
      <w:pPr>
        <w:pStyle w:val="Body1"/>
        <w:jc w:val="both"/>
        <w:rPr>
          <w:rFonts w:asciiTheme="majorBidi" w:hAnsiTheme="majorBidi" w:cstheme="majorBidi"/>
          <w:color w:val="auto"/>
          <w:sz w:val="22"/>
          <w:szCs w:val="22"/>
        </w:rPr>
      </w:pPr>
      <w:r w:rsidRPr="001959AF">
        <w:rPr>
          <w:rFonts w:asciiTheme="majorBidi" w:hAnsiTheme="majorBidi" w:cstheme="majorBidi"/>
          <w:color w:val="auto"/>
          <w:sz w:val="22"/>
          <w:szCs w:val="22"/>
        </w:rPr>
        <w:t xml:space="preserve">Nearly all of the UN treaty monitoring bodies have framed maternal deaths due to unsafe abortion as a violation of </w:t>
      </w:r>
      <w:r w:rsidR="00ED4E03">
        <w:rPr>
          <w:rFonts w:asciiTheme="majorBidi" w:hAnsiTheme="majorBidi" w:cstheme="majorBidi"/>
          <w:color w:val="auto"/>
          <w:sz w:val="22"/>
          <w:szCs w:val="22"/>
        </w:rPr>
        <w:t>human</w:t>
      </w:r>
      <w:r w:rsidR="00ED4E03" w:rsidRPr="001959AF">
        <w:rPr>
          <w:rFonts w:asciiTheme="majorBidi" w:hAnsiTheme="majorBidi" w:cstheme="majorBidi"/>
          <w:color w:val="auto"/>
          <w:sz w:val="22"/>
          <w:szCs w:val="22"/>
        </w:rPr>
        <w:t xml:space="preserve"> </w:t>
      </w:r>
      <w:r w:rsidRPr="001959AF">
        <w:rPr>
          <w:rFonts w:asciiTheme="majorBidi" w:hAnsiTheme="majorBidi" w:cstheme="majorBidi"/>
          <w:color w:val="auto"/>
          <w:sz w:val="22"/>
          <w:szCs w:val="22"/>
        </w:rPr>
        <w:t xml:space="preserve">rights and recognized the detrimental consequences of criminalizing abortion on women’s </w:t>
      </w:r>
      <w:r w:rsidR="00ED4E03">
        <w:rPr>
          <w:rFonts w:asciiTheme="majorBidi" w:hAnsiTheme="majorBidi" w:cstheme="majorBidi"/>
          <w:color w:val="auto"/>
          <w:sz w:val="22"/>
          <w:szCs w:val="22"/>
        </w:rPr>
        <w:t xml:space="preserve">and girls’ </w:t>
      </w:r>
      <w:r w:rsidRPr="001959AF">
        <w:rPr>
          <w:rFonts w:asciiTheme="majorBidi" w:hAnsiTheme="majorBidi" w:cstheme="majorBidi"/>
          <w:color w:val="auto"/>
          <w:sz w:val="22"/>
          <w:szCs w:val="22"/>
        </w:rPr>
        <w:t>lives, health, and well-being.</w:t>
      </w:r>
      <w:r w:rsidRPr="001959AF">
        <w:rPr>
          <w:rStyle w:val="EndnoteReference"/>
          <w:rFonts w:asciiTheme="majorBidi" w:hAnsiTheme="majorBidi" w:cstheme="majorBidi"/>
          <w:color w:val="auto"/>
          <w:sz w:val="22"/>
          <w:szCs w:val="22"/>
        </w:rPr>
        <w:endnoteReference w:id="88"/>
      </w:r>
      <w:r w:rsidRPr="001959AF">
        <w:rPr>
          <w:rFonts w:asciiTheme="majorBidi" w:hAnsiTheme="majorBidi" w:cstheme="majorBidi"/>
          <w:color w:val="auto"/>
          <w:sz w:val="22"/>
          <w:szCs w:val="22"/>
        </w:rPr>
        <w:t xml:space="preserve"> As such, they have called on states to review and repeal laws that criminalize abortion.</w:t>
      </w:r>
      <w:r w:rsidRPr="001959AF">
        <w:rPr>
          <w:rStyle w:val="EndnoteReference"/>
          <w:rFonts w:asciiTheme="majorBidi" w:hAnsiTheme="majorBidi" w:cstheme="majorBidi"/>
          <w:color w:val="auto"/>
          <w:sz w:val="22"/>
          <w:szCs w:val="22"/>
        </w:rPr>
        <w:endnoteReference w:id="89"/>
      </w:r>
      <w:r w:rsidRPr="001959AF">
        <w:rPr>
          <w:rFonts w:asciiTheme="majorBidi" w:hAnsiTheme="majorBidi" w:cstheme="majorBidi"/>
          <w:color w:val="auto"/>
          <w:sz w:val="22"/>
          <w:szCs w:val="22"/>
        </w:rPr>
        <w:t xml:space="preserve"> Among other rights, they have analyzed this issue in the context of the right to non-discrimination, noting that the problem of maternal mortality due to unsafe abortion is evidence of discrimination against women.</w:t>
      </w:r>
      <w:r w:rsidRPr="001959AF">
        <w:rPr>
          <w:rStyle w:val="EndnoteReference"/>
          <w:rFonts w:asciiTheme="majorBidi" w:hAnsiTheme="majorBidi" w:cstheme="majorBidi"/>
          <w:color w:val="auto"/>
          <w:sz w:val="22"/>
          <w:szCs w:val="22"/>
        </w:rPr>
        <w:endnoteReference w:id="90"/>
      </w:r>
      <w:r w:rsidRPr="001959AF">
        <w:rPr>
          <w:rFonts w:asciiTheme="majorBidi" w:hAnsiTheme="majorBidi" w:cstheme="majorBidi"/>
          <w:color w:val="auto"/>
          <w:sz w:val="22"/>
          <w:szCs w:val="22"/>
        </w:rPr>
        <w:t xml:space="preserve"> Moreover, they have called on states to ensure access to safe abortion services where legal, recognizing that the failure to do so constitutes discrimination.</w:t>
      </w:r>
      <w:r w:rsidRPr="001959AF">
        <w:rPr>
          <w:rStyle w:val="EndnoteReference"/>
          <w:rFonts w:asciiTheme="majorBidi" w:eastAsia="MS Gothic" w:hAnsiTheme="majorBidi" w:cstheme="majorBidi"/>
          <w:color w:val="auto"/>
          <w:sz w:val="22"/>
          <w:szCs w:val="22"/>
        </w:rPr>
        <w:endnoteReference w:id="91"/>
      </w:r>
      <w:r w:rsidRPr="001959AF">
        <w:rPr>
          <w:rFonts w:asciiTheme="majorBidi" w:hAnsiTheme="majorBidi" w:cstheme="majorBidi"/>
          <w:color w:val="auto"/>
          <w:sz w:val="22"/>
          <w:szCs w:val="22"/>
        </w:rPr>
        <w:t xml:space="preserve"> Notably, the CEDAW Committee has also indicated that, in certain circumstances, forcing a woman</w:t>
      </w:r>
      <w:r w:rsidR="00ED4E03">
        <w:rPr>
          <w:rFonts w:asciiTheme="majorBidi" w:hAnsiTheme="majorBidi" w:cstheme="majorBidi"/>
          <w:color w:val="auto"/>
          <w:sz w:val="22"/>
          <w:szCs w:val="22"/>
        </w:rPr>
        <w:t xml:space="preserve"> or girl</w:t>
      </w:r>
      <w:r w:rsidRPr="001959AF">
        <w:rPr>
          <w:rFonts w:asciiTheme="majorBidi" w:hAnsiTheme="majorBidi" w:cstheme="majorBidi"/>
          <w:color w:val="auto"/>
          <w:sz w:val="22"/>
          <w:szCs w:val="22"/>
        </w:rPr>
        <w:t xml:space="preserve"> to continue a pregnancy constitutes discrimination.</w:t>
      </w:r>
      <w:r w:rsidRPr="001959AF">
        <w:rPr>
          <w:rStyle w:val="EndnoteReference"/>
          <w:rFonts w:asciiTheme="majorBidi" w:hAnsiTheme="majorBidi" w:cstheme="majorBidi"/>
          <w:color w:val="auto"/>
          <w:sz w:val="22"/>
          <w:szCs w:val="22"/>
        </w:rPr>
        <w:endnoteReference w:id="92"/>
      </w:r>
    </w:p>
    <w:p w14:paraId="4D4FCC4F" w14:textId="77777777" w:rsidR="00AD6F9D" w:rsidRPr="001959AF" w:rsidRDefault="00AD6F9D" w:rsidP="001959AF">
      <w:pPr>
        <w:pStyle w:val="Body1"/>
        <w:jc w:val="both"/>
        <w:rPr>
          <w:rFonts w:asciiTheme="majorBidi" w:hAnsiTheme="majorBidi" w:cstheme="majorBidi"/>
          <w:color w:val="auto"/>
          <w:sz w:val="22"/>
          <w:szCs w:val="22"/>
        </w:rPr>
      </w:pPr>
      <w:r w:rsidRPr="001959AF">
        <w:rPr>
          <w:rFonts w:asciiTheme="majorBidi" w:hAnsiTheme="majorBidi" w:cstheme="majorBidi"/>
          <w:color w:val="auto"/>
          <w:sz w:val="22"/>
          <w:szCs w:val="22"/>
        </w:rPr>
        <w:t xml:space="preserve"> </w:t>
      </w:r>
    </w:p>
    <w:p w14:paraId="2304073A" w14:textId="60A85847" w:rsidR="00AD6F9D" w:rsidRPr="001959AF" w:rsidRDefault="00AD6F9D" w:rsidP="001959AF">
      <w:pPr>
        <w:pStyle w:val="Body1"/>
        <w:jc w:val="both"/>
        <w:rPr>
          <w:rFonts w:asciiTheme="majorBidi" w:hAnsiTheme="majorBidi" w:cstheme="majorBidi"/>
          <w:color w:val="auto"/>
          <w:sz w:val="22"/>
          <w:szCs w:val="22"/>
        </w:rPr>
      </w:pPr>
      <w:r w:rsidRPr="001959AF">
        <w:rPr>
          <w:rFonts w:asciiTheme="majorBidi" w:hAnsiTheme="majorBidi" w:cstheme="majorBidi"/>
          <w:color w:val="auto"/>
          <w:sz w:val="22"/>
          <w:szCs w:val="22"/>
        </w:rPr>
        <w:t>.</w:t>
      </w:r>
    </w:p>
    <w:p w14:paraId="6C95FAEF" w14:textId="77777777" w:rsidR="00AD6F9D" w:rsidRPr="001959AF" w:rsidRDefault="00AD6F9D" w:rsidP="001959AF">
      <w:pPr>
        <w:pStyle w:val="Body1"/>
        <w:jc w:val="both"/>
        <w:rPr>
          <w:rFonts w:asciiTheme="majorBidi" w:hAnsiTheme="majorBidi" w:cstheme="majorBidi"/>
          <w:color w:val="auto"/>
          <w:sz w:val="22"/>
          <w:szCs w:val="22"/>
        </w:rPr>
      </w:pPr>
    </w:p>
    <w:p w14:paraId="2412DED0" w14:textId="33C749A2" w:rsidR="00B414F4" w:rsidRPr="001959AF" w:rsidRDefault="00B414F4" w:rsidP="001959AF">
      <w:pPr>
        <w:pStyle w:val="NormalWeb"/>
        <w:spacing w:before="0" w:beforeAutospacing="0" w:after="0" w:afterAutospacing="0"/>
        <w:jc w:val="both"/>
        <w:rPr>
          <w:rFonts w:asciiTheme="majorBidi" w:eastAsia="Arial Unicode MS" w:hAnsiTheme="majorBidi" w:cstheme="majorBidi"/>
          <w:color w:val="000000"/>
          <w:sz w:val="22"/>
          <w:szCs w:val="22"/>
        </w:rPr>
      </w:pPr>
      <w:r w:rsidRPr="001959AF">
        <w:rPr>
          <w:rFonts w:asciiTheme="majorBidi" w:eastAsia="Arial Unicode MS" w:hAnsiTheme="majorBidi" w:cstheme="majorBidi"/>
          <w:color w:val="000000"/>
          <w:sz w:val="22"/>
          <w:szCs w:val="22"/>
        </w:rPr>
        <w:t xml:space="preserve">Guaranteeing women and girls with disabilities access to the full range of sexual and reproductive information and services is essential to enabling them to exercise reproductive autonomy and self-determination. </w:t>
      </w:r>
    </w:p>
    <w:p w14:paraId="39AA4A02" w14:textId="1708FE2E" w:rsidR="000D6BBB" w:rsidRPr="001959AF" w:rsidRDefault="000D6BBB" w:rsidP="001959AF">
      <w:pPr>
        <w:pStyle w:val="NormalWeb"/>
        <w:spacing w:before="0" w:beforeAutospacing="0" w:after="0" w:afterAutospacing="0"/>
        <w:jc w:val="both"/>
        <w:rPr>
          <w:rFonts w:asciiTheme="majorBidi" w:eastAsia="Arial Unicode MS" w:hAnsiTheme="majorBidi" w:cstheme="majorBidi"/>
          <w:color w:val="000000"/>
          <w:sz w:val="22"/>
          <w:szCs w:val="22"/>
        </w:rPr>
      </w:pPr>
    </w:p>
    <w:p w14:paraId="4F0BE408" w14:textId="15972393" w:rsidR="000D6BBB" w:rsidRPr="001959AF" w:rsidRDefault="000D6BBB" w:rsidP="001959AF">
      <w:pPr>
        <w:pStyle w:val="NormalWeb"/>
        <w:numPr>
          <w:ilvl w:val="0"/>
          <w:numId w:val="10"/>
        </w:numPr>
        <w:spacing w:before="0" w:beforeAutospacing="0" w:after="0" w:afterAutospacing="0"/>
        <w:jc w:val="both"/>
        <w:rPr>
          <w:rFonts w:asciiTheme="majorBidi" w:eastAsia="Arial Unicode MS" w:hAnsiTheme="majorBidi" w:cstheme="majorBidi"/>
          <w:b/>
          <w:bCs/>
          <w:color w:val="000000"/>
          <w:sz w:val="22"/>
          <w:szCs w:val="22"/>
        </w:rPr>
      </w:pPr>
      <w:r w:rsidRPr="001959AF">
        <w:rPr>
          <w:rFonts w:asciiTheme="majorBidi" w:eastAsia="Arial Unicode MS" w:hAnsiTheme="majorBidi" w:cstheme="majorBidi"/>
          <w:b/>
          <w:bCs/>
          <w:color w:val="000000"/>
          <w:sz w:val="22"/>
          <w:szCs w:val="22"/>
        </w:rPr>
        <w:t xml:space="preserve">Violations of the sexual and reproductive rights of women and girls with disabilities </w:t>
      </w:r>
    </w:p>
    <w:p w14:paraId="50C88BDF" w14:textId="77777777" w:rsidR="00AD6F9D" w:rsidRPr="001959AF" w:rsidRDefault="00AD6F9D" w:rsidP="001959AF">
      <w:pPr>
        <w:pStyle w:val="Body1"/>
        <w:jc w:val="both"/>
        <w:rPr>
          <w:rFonts w:asciiTheme="majorBidi" w:hAnsiTheme="majorBidi" w:cstheme="majorBidi"/>
          <w:color w:val="auto"/>
          <w:sz w:val="22"/>
          <w:szCs w:val="22"/>
        </w:rPr>
      </w:pPr>
    </w:p>
    <w:p w14:paraId="38AADD54" w14:textId="0A39AA1C" w:rsidR="00AD6F9D" w:rsidRPr="001959AF" w:rsidRDefault="000D6BBB" w:rsidP="001959AF">
      <w:pPr>
        <w:pStyle w:val="Body1"/>
        <w:numPr>
          <w:ilvl w:val="0"/>
          <w:numId w:val="11"/>
        </w:numPr>
        <w:jc w:val="both"/>
        <w:rPr>
          <w:rFonts w:asciiTheme="majorBidi" w:hAnsiTheme="majorBidi" w:cstheme="majorBidi"/>
          <w:b/>
          <w:bCs/>
          <w:color w:val="auto"/>
          <w:sz w:val="22"/>
          <w:szCs w:val="22"/>
        </w:rPr>
      </w:pPr>
      <w:r w:rsidRPr="001959AF">
        <w:rPr>
          <w:rFonts w:asciiTheme="majorBidi" w:hAnsiTheme="majorBidi" w:cstheme="majorBidi"/>
          <w:b/>
          <w:bCs/>
          <w:color w:val="auto"/>
          <w:sz w:val="22"/>
          <w:szCs w:val="22"/>
        </w:rPr>
        <w:t>Forced Sterilizations</w:t>
      </w:r>
    </w:p>
    <w:p w14:paraId="63A3402F" w14:textId="77777777" w:rsidR="000D6BBB" w:rsidRPr="001959AF" w:rsidRDefault="000D6BBB" w:rsidP="001959AF">
      <w:pPr>
        <w:shd w:val="clear" w:color="auto" w:fill="FFFFFF"/>
        <w:spacing w:after="0" w:line="240" w:lineRule="auto"/>
        <w:jc w:val="both"/>
        <w:rPr>
          <w:rFonts w:asciiTheme="majorBidi" w:eastAsia="Times New Roman" w:hAnsiTheme="majorBidi" w:cstheme="majorBidi"/>
          <w:lang w:val="en-US"/>
        </w:rPr>
      </w:pPr>
      <w:r w:rsidRPr="001959AF">
        <w:rPr>
          <w:rFonts w:asciiTheme="majorBidi" w:hAnsiTheme="majorBidi" w:cstheme="majorBidi"/>
          <w:lang w:val="en-US"/>
        </w:rPr>
        <w:t xml:space="preserve"> </w:t>
      </w:r>
      <w:r w:rsidRPr="001959AF">
        <w:rPr>
          <w:rFonts w:asciiTheme="majorBidi" w:eastAsia="Times New Roman" w:hAnsiTheme="majorBidi" w:cstheme="majorBidi"/>
          <w:lang w:val="en-US"/>
        </w:rPr>
        <w:t>In many parts of the world, women rely on access to a range of methods to control their fertility, including voluntary sterilization. Sterilization is defined as “a process or act that renders an individual incapable of sexual reproduction.”</w:t>
      </w:r>
      <w:r w:rsidRPr="001959AF">
        <w:rPr>
          <w:rStyle w:val="EndnoteReference"/>
          <w:rFonts w:asciiTheme="majorBidi" w:eastAsia="Times New Roman" w:hAnsiTheme="majorBidi" w:cstheme="majorBidi"/>
        </w:rPr>
        <w:endnoteReference w:id="93"/>
      </w:r>
      <w:r w:rsidRPr="001959AF">
        <w:rPr>
          <w:rFonts w:asciiTheme="majorBidi" w:eastAsia="Times New Roman" w:hAnsiTheme="majorBidi" w:cstheme="majorBidi"/>
          <w:lang w:val="en-US"/>
        </w:rPr>
        <w:t> Voluntary sterilization is an important part of ensuring that a wide range of contraceptive methods are available to women, including women with disabilities, who do not want children or do not want more children and is a widely-used form of voluntary contraception throughout the world.</w:t>
      </w:r>
      <w:r w:rsidRPr="001959AF">
        <w:rPr>
          <w:rStyle w:val="EndnoteReference"/>
          <w:rFonts w:asciiTheme="majorBidi" w:eastAsia="Times New Roman" w:hAnsiTheme="majorBidi" w:cstheme="majorBidi"/>
        </w:rPr>
        <w:endnoteReference w:id="94"/>
      </w:r>
      <w:r w:rsidRPr="001959AF">
        <w:rPr>
          <w:rFonts w:asciiTheme="majorBidi" w:eastAsia="Times New Roman" w:hAnsiTheme="majorBidi" w:cstheme="majorBidi"/>
          <w:lang w:val="en-US"/>
        </w:rPr>
        <w:t xml:space="preserve"> </w:t>
      </w:r>
    </w:p>
    <w:p w14:paraId="08E23E3E" w14:textId="77777777" w:rsidR="000D6BBB" w:rsidRPr="001959AF" w:rsidRDefault="000D6BBB" w:rsidP="001959AF">
      <w:pPr>
        <w:shd w:val="clear" w:color="auto" w:fill="FFFFFF"/>
        <w:spacing w:after="0" w:line="240" w:lineRule="auto"/>
        <w:jc w:val="both"/>
        <w:rPr>
          <w:rFonts w:asciiTheme="majorBidi" w:eastAsia="Times New Roman" w:hAnsiTheme="majorBidi" w:cstheme="majorBidi"/>
          <w:lang w:val="en-US"/>
        </w:rPr>
      </w:pPr>
    </w:p>
    <w:p w14:paraId="7A3219A4" w14:textId="4EDB0884" w:rsidR="000D6BBB" w:rsidRPr="001959AF" w:rsidRDefault="000D6BBB" w:rsidP="001959AF">
      <w:pPr>
        <w:shd w:val="clear" w:color="auto" w:fill="FFFFFF"/>
        <w:spacing w:after="0" w:line="240" w:lineRule="auto"/>
        <w:jc w:val="both"/>
        <w:rPr>
          <w:rFonts w:asciiTheme="majorBidi" w:hAnsiTheme="majorBidi" w:cstheme="majorBidi"/>
          <w:lang w:val="en-US"/>
        </w:rPr>
      </w:pPr>
      <w:r w:rsidRPr="001959AF">
        <w:rPr>
          <w:rFonts w:asciiTheme="majorBidi" w:eastAsia="Times New Roman" w:hAnsiTheme="majorBidi" w:cstheme="majorBidi"/>
          <w:lang w:val="en-US"/>
        </w:rPr>
        <w:t xml:space="preserve">Too often, however, sterilization is not a choice. </w:t>
      </w:r>
      <w:r w:rsidRPr="001959AF">
        <w:rPr>
          <w:rFonts w:asciiTheme="majorBidi" w:hAnsiTheme="majorBidi" w:cstheme="majorBidi"/>
          <w:lang w:val="en-US"/>
        </w:rPr>
        <w:t>Forced and coerced sterilization,</w:t>
      </w:r>
      <w:r w:rsidRPr="001959AF">
        <w:rPr>
          <w:rStyle w:val="EndnoteReference"/>
          <w:rFonts w:asciiTheme="majorBidi" w:hAnsiTheme="majorBidi" w:cstheme="majorBidi"/>
        </w:rPr>
        <w:endnoteReference w:id="95"/>
      </w:r>
      <w:r w:rsidRPr="001959AF">
        <w:rPr>
          <w:rFonts w:asciiTheme="majorBidi" w:hAnsiTheme="majorBidi" w:cstheme="majorBidi"/>
          <w:lang w:val="en-US"/>
        </w:rPr>
        <w:t xml:space="preserve"> which takes away reproductive capacity without free and informed consent, is often targeted at women with disabilities. </w:t>
      </w:r>
    </w:p>
    <w:p w14:paraId="67E65EB9" w14:textId="77777777" w:rsidR="006F1B16" w:rsidRPr="001959AF" w:rsidRDefault="006F1B16" w:rsidP="001959AF">
      <w:pPr>
        <w:shd w:val="clear" w:color="auto" w:fill="FFFFFF"/>
        <w:spacing w:after="0" w:line="240" w:lineRule="auto"/>
        <w:jc w:val="both"/>
        <w:rPr>
          <w:rFonts w:asciiTheme="majorBidi" w:eastAsia="Arial Unicode MS" w:hAnsiTheme="majorBidi" w:cstheme="majorBidi"/>
          <w:lang w:val="en-US"/>
        </w:rPr>
      </w:pPr>
    </w:p>
    <w:p w14:paraId="6F0EA8B4" w14:textId="11E1B4E3" w:rsidR="000D6BBB" w:rsidRPr="001959AF" w:rsidRDefault="000D6BBB" w:rsidP="001959AF">
      <w:pPr>
        <w:pStyle w:val="Body1"/>
        <w:jc w:val="both"/>
        <w:rPr>
          <w:rFonts w:asciiTheme="majorBidi" w:hAnsiTheme="majorBidi" w:cstheme="majorBidi"/>
          <w:color w:val="auto"/>
          <w:sz w:val="22"/>
          <w:szCs w:val="22"/>
        </w:rPr>
      </w:pPr>
      <w:r w:rsidRPr="001959AF">
        <w:rPr>
          <w:rFonts w:asciiTheme="majorBidi" w:hAnsiTheme="majorBidi" w:cstheme="majorBidi"/>
          <w:color w:val="auto"/>
          <w:sz w:val="22"/>
          <w:szCs w:val="22"/>
        </w:rPr>
        <w:t>Forced or coerced sterilization of women and girls with disabilities is often undertaken as a way to control menstrual cycles</w:t>
      </w:r>
      <w:r w:rsidRPr="001959AF">
        <w:rPr>
          <w:rStyle w:val="EndnoteReference"/>
          <w:rFonts w:asciiTheme="majorBidi" w:hAnsiTheme="majorBidi" w:cstheme="majorBidi"/>
          <w:color w:val="auto"/>
          <w:sz w:val="22"/>
          <w:szCs w:val="22"/>
        </w:rPr>
        <w:endnoteReference w:id="96"/>
      </w:r>
      <w:r w:rsidRPr="001959AF">
        <w:rPr>
          <w:rFonts w:asciiTheme="majorBidi" w:hAnsiTheme="majorBidi" w:cstheme="majorBidi"/>
          <w:color w:val="auto"/>
          <w:sz w:val="22"/>
          <w:szCs w:val="22"/>
        </w:rPr>
        <w:t xml:space="preserve"> or because of misconceptions and discriminatory attitudes about the ability of women with disabilities to take care of children.</w:t>
      </w:r>
      <w:r w:rsidRPr="001959AF">
        <w:rPr>
          <w:rStyle w:val="EndnoteReference"/>
          <w:rFonts w:asciiTheme="majorBidi" w:hAnsiTheme="majorBidi" w:cstheme="majorBidi"/>
          <w:color w:val="auto"/>
          <w:sz w:val="22"/>
          <w:szCs w:val="22"/>
        </w:rPr>
        <w:endnoteReference w:id="97"/>
      </w:r>
      <w:r w:rsidRPr="001959AF">
        <w:rPr>
          <w:rFonts w:asciiTheme="majorBidi" w:hAnsiTheme="majorBidi" w:cstheme="majorBidi"/>
          <w:color w:val="auto"/>
          <w:sz w:val="22"/>
          <w:szCs w:val="22"/>
        </w:rPr>
        <w:t xml:space="preserve"> </w:t>
      </w:r>
      <w:r w:rsidRPr="001959AF">
        <w:rPr>
          <w:rFonts w:asciiTheme="majorBidi" w:eastAsia="Times New Roman" w:hAnsiTheme="majorBidi" w:cstheme="majorBidi"/>
          <w:color w:val="auto"/>
          <w:sz w:val="22"/>
          <w:szCs w:val="22"/>
        </w:rPr>
        <w:t xml:space="preserve">Women </w:t>
      </w:r>
      <w:r w:rsidR="00ED4E03">
        <w:rPr>
          <w:rFonts w:asciiTheme="majorBidi" w:eastAsia="Times New Roman" w:hAnsiTheme="majorBidi" w:cstheme="majorBidi"/>
          <w:color w:val="auto"/>
          <w:sz w:val="22"/>
          <w:szCs w:val="22"/>
        </w:rPr>
        <w:t xml:space="preserve">and girls </w:t>
      </w:r>
      <w:r w:rsidRPr="001959AF">
        <w:rPr>
          <w:rFonts w:asciiTheme="majorBidi" w:eastAsia="Times New Roman" w:hAnsiTheme="majorBidi" w:cstheme="majorBidi"/>
          <w:color w:val="auto"/>
          <w:sz w:val="22"/>
          <w:szCs w:val="22"/>
        </w:rPr>
        <w:t xml:space="preserve">with disabilities are particularly vulnerable to forced sterilizations performed under the auspices of legitimate medical care or as the result of decisions made by their parents, guardians, or doctors without the individual </w:t>
      </w:r>
      <w:r w:rsidRPr="001959AF">
        <w:rPr>
          <w:rFonts w:asciiTheme="majorBidi" w:eastAsia="Times New Roman" w:hAnsiTheme="majorBidi" w:cstheme="majorBidi"/>
          <w:color w:val="auto"/>
          <w:sz w:val="22"/>
          <w:szCs w:val="22"/>
        </w:rPr>
        <w:lastRenderedPageBreak/>
        <w:t xml:space="preserve">woman’s consent. </w:t>
      </w:r>
      <w:r w:rsidRPr="001959AF">
        <w:rPr>
          <w:rFonts w:asciiTheme="majorBidi" w:hAnsiTheme="majorBidi" w:cstheme="majorBidi"/>
          <w:color w:val="auto"/>
          <w:sz w:val="22"/>
          <w:szCs w:val="22"/>
        </w:rPr>
        <w:t>The Special Rapporteur on Violence against Women called forced sterilization of women with disabilities a form of violence and classified it as a “global problem.”</w:t>
      </w:r>
      <w:r w:rsidRPr="001959AF">
        <w:rPr>
          <w:rStyle w:val="EndnoteReference"/>
          <w:rFonts w:asciiTheme="majorBidi" w:hAnsiTheme="majorBidi" w:cstheme="majorBidi"/>
          <w:color w:val="auto"/>
          <w:sz w:val="22"/>
          <w:szCs w:val="22"/>
        </w:rPr>
        <w:endnoteReference w:id="98"/>
      </w:r>
      <w:r w:rsidRPr="001959AF">
        <w:rPr>
          <w:rFonts w:asciiTheme="majorBidi" w:hAnsiTheme="majorBidi" w:cstheme="majorBidi"/>
          <w:color w:val="auto"/>
          <w:sz w:val="22"/>
          <w:szCs w:val="22"/>
        </w:rPr>
        <w:t xml:space="preserve"> The UN Special Rapporteur on the Right to Health recognized that “[f]orced sterilizations, rape and other forms of sexual violence, which women with mental disabilities are vulnerable to, are inherently inconsistent with their sexual and reproductive health rights and freedoms.”</w:t>
      </w:r>
      <w:r w:rsidRPr="001959AF">
        <w:rPr>
          <w:rStyle w:val="EndnoteReference"/>
          <w:rFonts w:asciiTheme="majorBidi" w:hAnsiTheme="majorBidi" w:cstheme="majorBidi"/>
          <w:color w:val="auto"/>
          <w:sz w:val="22"/>
          <w:szCs w:val="22"/>
        </w:rPr>
        <w:endnoteReference w:id="99"/>
      </w:r>
    </w:p>
    <w:p w14:paraId="206AF29C" w14:textId="77777777" w:rsidR="000D6BBB" w:rsidRPr="001959AF" w:rsidRDefault="000D6BBB" w:rsidP="001959AF">
      <w:pPr>
        <w:spacing w:after="0" w:line="240" w:lineRule="auto"/>
        <w:jc w:val="both"/>
        <w:rPr>
          <w:rFonts w:asciiTheme="majorBidi" w:hAnsiTheme="majorBidi" w:cstheme="majorBidi"/>
          <w:lang w:val="en-US"/>
        </w:rPr>
      </w:pPr>
    </w:p>
    <w:p w14:paraId="41EA0FD5" w14:textId="7965F426" w:rsidR="000D6BBB" w:rsidRPr="001959AF" w:rsidRDefault="000D6BBB" w:rsidP="001959AF">
      <w:pPr>
        <w:spacing w:after="0" w:line="240" w:lineRule="auto"/>
        <w:jc w:val="both"/>
        <w:rPr>
          <w:rFonts w:asciiTheme="majorBidi" w:hAnsiTheme="majorBidi" w:cstheme="majorBidi"/>
          <w:lang w:val="en-US"/>
        </w:rPr>
      </w:pPr>
      <w:r w:rsidRPr="001959AF">
        <w:rPr>
          <w:rFonts w:asciiTheme="majorBidi" w:hAnsiTheme="majorBidi" w:cstheme="majorBidi"/>
          <w:lang w:val="en-US"/>
        </w:rPr>
        <w:t>Research has indicated that parents of children with intellectual disabilities may consider sterilization for their children because of perceptions that their children would not be good parents themselves, that other means of contraception would not be effective at preventing unwanted pregnancies, or that pregnancy may result from sexual abuse.</w:t>
      </w:r>
      <w:r w:rsidRPr="001959AF">
        <w:rPr>
          <w:rStyle w:val="EndnoteReference"/>
          <w:rFonts w:asciiTheme="majorBidi" w:hAnsiTheme="majorBidi" w:cstheme="majorBidi"/>
        </w:rPr>
        <w:endnoteReference w:id="100"/>
      </w:r>
      <w:r w:rsidRPr="001959AF">
        <w:rPr>
          <w:rFonts w:asciiTheme="majorBidi" w:hAnsiTheme="majorBidi" w:cstheme="majorBidi"/>
          <w:lang w:val="en-US"/>
        </w:rPr>
        <w:t xml:space="preserve"> In reality, however, parents may feel they need to sterilize their children because the parents lack support in caring for children with disabilities undergoing menstruation,</w:t>
      </w:r>
      <w:r w:rsidRPr="001959AF">
        <w:rPr>
          <w:rStyle w:val="EndnoteReference"/>
          <w:rFonts w:asciiTheme="majorBidi" w:hAnsiTheme="majorBidi" w:cstheme="majorBidi"/>
        </w:rPr>
        <w:endnoteReference w:id="101"/>
      </w:r>
      <w:r w:rsidRPr="001959AF">
        <w:rPr>
          <w:rFonts w:asciiTheme="majorBidi" w:hAnsiTheme="majorBidi" w:cstheme="majorBidi"/>
          <w:lang w:val="en-US"/>
        </w:rPr>
        <w:t xml:space="preserve"> or because supports are not available in the community for persons with disabilities who decide to have children. And contrary to parents’ reasoning concerning sexual abuse, forced sterilization is itself a form of abuse.</w:t>
      </w:r>
      <w:r w:rsidRPr="001959AF">
        <w:rPr>
          <w:rStyle w:val="EndnoteReference"/>
          <w:rFonts w:asciiTheme="majorBidi" w:hAnsiTheme="majorBidi" w:cstheme="majorBidi"/>
        </w:rPr>
        <w:endnoteReference w:id="102"/>
      </w:r>
    </w:p>
    <w:p w14:paraId="6B24820C" w14:textId="77777777" w:rsidR="006F1B16" w:rsidRPr="001959AF" w:rsidRDefault="006F1B16" w:rsidP="001959AF">
      <w:pPr>
        <w:spacing w:after="0" w:line="240" w:lineRule="auto"/>
        <w:jc w:val="both"/>
        <w:rPr>
          <w:rFonts w:asciiTheme="majorBidi" w:hAnsiTheme="majorBidi" w:cstheme="majorBidi"/>
          <w:lang w:val="en-US"/>
        </w:rPr>
      </w:pPr>
    </w:p>
    <w:p w14:paraId="2E11295A" w14:textId="729DF972" w:rsidR="006F1B16" w:rsidRPr="001959AF" w:rsidRDefault="006F1B16" w:rsidP="001959AF">
      <w:pPr>
        <w:spacing w:after="0" w:line="240" w:lineRule="auto"/>
        <w:jc w:val="both"/>
        <w:rPr>
          <w:rFonts w:asciiTheme="majorBidi" w:hAnsiTheme="majorBidi" w:cstheme="majorBidi"/>
          <w:lang w:val="en-US"/>
        </w:rPr>
      </w:pPr>
      <w:r w:rsidRPr="001959AF">
        <w:rPr>
          <w:rFonts w:asciiTheme="majorBidi" w:hAnsiTheme="majorBidi" w:cstheme="majorBidi"/>
          <w:lang w:val="en-US"/>
        </w:rPr>
        <w:t>The Committee against Torture has condemned the practice of forced sterilization of persons with intellectual or mental disabilities as potentially amounting to torture or ill-treatment and called for the repeal of administrative decrees that allowed the practice.</w:t>
      </w:r>
      <w:r w:rsidRPr="001959AF">
        <w:rPr>
          <w:rStyle w:val="EndnoteReference"/>
          <w:rFonts w:asciiTheme="majorBidi" w:hAnsiTheme="majorBidi" w:cstheme="majorBidi"/>
        </w:rPr>
        <w:endnoteReference w:id="103"/>
      </w:r>
      <w:r w:rsidRPr="001959AF">
        <w:rPr>
          <w:rFonts w:asciiTheme="majorBidi" w:hAnsiTheme="majorBidi" w:cstheme="majorBidi"/>
          <w:lang w:val="en-US"/>
        </w:rPr>
        <w:t xml:space="preserve"> The Special Rapporteur on Torture, in his report on torture and ill-treatment in healthcare settings, specifically set out that forced sterilization or abortion conducted on marginalized groups, including persons with disabilities, may amount to torture or ill-treatment, and called for the repeal of laws allowing this practice.</w:t>
      </w:r>
      <w:r w:rsidRPr="001959AF">
        <w:rPr>
          <w:rStyle w:val="EndnoteReference"/>
          <w:rFonts w:asciiTheme="majorBidi" w:hAnsiTheme="majorBidi" w:cstheme="majorBidi"/>
        </w:rPr>
        <w:endnoteReference w:id="104"/>
      </w:r>
      <w:r w:rsidRPr="001959AF">
        <w:rPr>
          <w:rFonts w:asciiTheme="majorBidi" w:hAnsiTheme="majorBidi" w:cstheme="majorBidi"/>
          <w:lang w:val="en-US"/>
        </w:rPr>
        <w:t xml:space="preserve"> </w:t>
      </w:r>
    </w:p>
    <w:p w14:paraId="636C24AE" w14:textId="77777777" w:rsidR="006F1B16" w:rsidRPr="001959AF" w:rsidRDefault="006F1B16" w:rsidP="001959AF">
      <w:pPr>
        <w:spacing w:after="0" w:line="240" w:lineRule="auto"/>
        <w:jc w:val="both"/>
        <w:rPr>
          <w:rFonts w:asciiTheme="majorBidi" w:hAnsiTheme="majorBidi" w:cstheme="majorBidi"/>
          <w:lang w:val="en-US"/>
        </w:rPr>
      </w:pPr>
    </w:p>
    <w:p w14:paraId="46C80FE3" w14:textId="33B2E44C" w:rsidR="006F1B16" w:rsidRPr="001959AF" w:rsidRDefault="006F1B16" w:rsidP="001959AF">
      <w:pPr>
        <w:spacing w:after="0" w:line="240" w:lineRule="auto"/>
        <w:jc w:val="both"/>
        <w:rPr>
          <w:rFonts w:asciiTheme="majorBidi" w:hAnsiTheme="majorBidi" w:cstheme="majorBidi"/>
          <w:lang w:val="en-US"/>
        </w:rPr>
      </w:pPr>
      <w:r w:rsidRPr="001959AF">
        <w:rPr>
          <w:rFonts w:asciiTheme="majorBidi" w:hAnsiTheme="majorBidi" w:cstheme="majorBidi"/>
          <w:lang w:val="en-US"/>
        </w:rPr>
        <w:t xml:space="preserve">The International Federation for Gynecology and Obstetrics (FIGO), a global organization of professionals in these fields seeking to promote the wellbeing of women </w:t>
      </w:r>
      <w:r w:rsidR="00ED4E03">
        <w:rPr>
          <w:rFonts w:asciiTheme="majorBidi" w:hAnsiTheme="majorBidi" w:cstheme="majorBidi"/>
          <w:lang w:val="en-US"/>
        </w:rPr>
        <w:t xml:space="preserve">and girls </w:t>
      </w:r>
      <w:r w:rsidRPr="001959AF">
        <w:rPr>
          <w:rFonts w:asciiTheme="majorBidi" w:hAnsiTheme="majorBidi" w:cstheme="majorBidi"/>
          <w:lang w:val="en-US"/>
        </w:rPr>
        <w:t>and improve practice standards,</w:t>
      </w:r>
      <w:r w:rsidRPr="001959AF">
        <w:rPr>
          <w:rStyle w:val="EndnoteReference"/>
          <w:rFonts w:asciiTheme="majorBidi" w:hAnsiTheme="majorBidi" w:cstheme="majorBidi"/>
        </w:rPr>
        <w:endnoteReference w:id="105"/>
      </w:r>
      <w:r w:rsidRPr="001959AF">
        <w:rPr>
          <w:rFonts w:asciiTheme="majorBidi" w:hAnsiTheme="majorBidi" w:cstheme="majorBidi"/>
          <w:lang w:val="en-US"/>
        </w:rPr>
        <w:t xml:space="preserve"> recently released guidelines on female contraceptive sterilization that stress that surgical sterilization must be preceded by “the patient’s informed and freely given consent.”</w:t>
      </w:r>
      <w:r w:rsidRPr="001959AF">
        <w:rPr>
          <w:rStyle w:val="EndnoteReference"/>
          <w:rFonts w:asciiTheme="majorBidi" w:hAnsiTheme="majorBidi" w:cstheme="majorBidi"/>
        </w:rPr>
        <w:endnoteReference w:id="106"/>
      </w:r>
      <w:r w:rsidRPr="001959AF">
        <w:rPr>
          <w:rFonts w:asciiTheme="majorBidi" w:hAnsiTheme="majorBidi" w:cstheme="majorBidi"/>
          <w:lang w:val="en-US"/>
        </w:rPr>
        <w:t xml:space="preserve"> The guidelines note that “[m]edical practitioners must recognize that, under human rights provisions and their own professional codes of conduct, it is unethical and in violation of human rights for them to perform procedures for prevention of future pregnancy on women who have not freely requested such procedures or who have not previously given their free and informed consent.”</w:t>
      </w:r>
      <w:r w:rsidRPr="001959AF">
        <w:rPr>
          <w:rStyle w:val="EndnoteReference"/>
          <w:rFonts w:asciiTheme="majorBidi" w:hAnsiTheme="majorBidi" w:cstheme="majorBidi"/>
        </w:rPr>
        <w:endnoteReference w:id="107"/>
      </w:r>
      <w:r w:rsidRPr="001959AF">
        <w:rPr>
          <w:rFonts w:asciiTheme="majorBidi" w:hAnsiTheme="majorBidi" w:cstheme="majorBidi"/>
          <w:lang w:val="en-US"/>
        </w:rPr>
        <w:t xml:space="preserve"> These guidelines also specifically acknowledge the long history of forced sterilization of women </w:t>
      </w:r>
      <w:r w:rsidR="00ED4E03">
        <w:rPr>
          <w:rFonts w:asciiTheme="majorBidi" w:hAnsiTheme="majorBidi" w:cstheme="majorBidi"/>
          <w:lang w:val="en-US"/>
        </w:rPr>
        <w:t xml:space="preserve">and girls </w:t>
      </w:r>
      <w:r w:rsidRPr="001959AF">
        <w:rPr>
          <w:rFonts w:asciiTheme="majorBidi" w:hAnsiTheme="majorBidi" w:cstheme="majorBidi"/>
          <w:lang w:val="en-US"/>
        </w:rPr>
        <w:t>with disabilities in many countries.</w:t>
      </w:r>
      <w:r w:rsidRPr="001959AF">
        <w:rPr>
          <w:rStyle w:val="EndnoteReference"/>
          <w:rFonts w:asciiTheme="majorBidi" w:hAnsiTheme="majorBidi" w:cstheme="majorBidi"/>
        </w:rPr>
        <w:endnoteReference w:id="108"/>
      </w:r>
      <w:r w:rsidRPr="001959AF">
        <w:rPr>
          <w:rFonts w:asciiTheme="majorBidi" w:hAnsiTheme="majorBidi" w:cstheme="majorBidi"/>
          <w:lang w:val="en-US"/>
        </w:rPr>
        <w:t xml:space="preserve"> </w:t>
      </w:r>
    </w:p>
    <w:p w14:paraId="405CA90A" w14:textId="77777777" w:rsidR="006F1B16" w:rsidRPr="001959AF" w:rsidRDefault="006F1B16" w:rsidP="001959AF">
      <w:pPr>
        <w:spacing w:after="0" w:line="240" w:lineRule="auto"/>
        <w:jc w:val="both"/>
        <w:rPr>
          <w:rFonts w:asciiTheme="majorBidi" w:hAnsiTheme="majorBidi" w:cstheme="majorBidi"/>
          <w:lang w:val="en-US"/>
        </w:rPr>
      </w:pPr>
    </w:p>
    <w:p w14:paraId="622D67F3" w14:textId="77777777" w:rsidR="006F1B16" w:rsidRPr="001959AF" w:rsidRDefault="006F1B16" w:rsidP="001959AF">
      <w:pPr>
        <w:pStyle w:val="ListParagraph"/>
        <w:numPr>
          <w:ilvl w:val="0"/>
          <w:numId w:val="11"/>
        </w:numPr>
        <w:jc w:val="both"/>
        <w:rPr>
          <w:rFonts w:asciiTheme="majorBidi" w:hAnsiTheme="majorBidi" w:cstheme="majorBidi"/>
          <w:sz w:val="22"/>
          <w:szCs w:val="22"/>
          <w:lang w:val="en-US"/>
        </w:rPr>
      </w:pPr>
      <w:r w:rsidRPr="001959AF">
        <w:rPr>
          <w:rFonts w:asciiTheme="majorBidi" w:hAnsiTheme="majorBidi" w:cstheme="majorBidi"/>
          <w:sz w:val="22"/>
          <w:szCs w:val="22"/>
          <w:lang w:val="en-US"/>
        </w:rPr>
        <w:t>Forced Abortions</w:t>
      </w:r>
    </w:p>
    <w:p w14:paraId="3FD1C5C4" w14:textId="30F0E84C" w:rsidR="006F1B16" w:rsidRPr="001959AF" w:rsidRDefault="006F1B16" w:rsidP="001959AF">
      <w:pPr>
        <w:shd w:val="clear" w:color="auto" w:fill="FFFFFF"/>
        <w:jc w:val="both"/>
        <w:rPr>
          <w:rFonts w:asciiTheme="majorBidi" w:hAnsiTheme="majorBidi" w:cstheme="majorBidi"/>
          <w:lang w:val="en-US"/>
        </w:rPr>
      </w:pPr>
      <w:r w:rsidRPr="001959AF">
        <w:rPr>
          <w:rFonts w:asciiTheme="majorBidi" w:hAnsiTheme="majorBidi" w:cstheme="majorBidi"/>
          <w:lang w:val="en-US"/>
        </w:rPr>
        <w:t xml:space="preserve">Women </w:t>
      </w:r>
      <w:r w:rsidR="00ED4E03">
        <w:rPr>
          <w:rFonts w:asciiTheme="majorBidi" w:hAnsiTheme="majorBidi" w:cstheme="majorBidi"/>
          <w:lang w:val="en-US"/>
        </w:rPr>
        <w:t xml:space="preserve">and girls </w:t>
      </w:r>
      <w:r w:rsidRPr="001959AF">
        <w:rPr>
          <w:rFonts w:asciiTheme="majorBidi" w:hAnsiTheme="majorBidi" w:cstheme="majorBidi"/>
          <w:lang w:val="en-US"/>
        </w:rPr>
        <w:t xml:space="preserve">with disabilities are often subject to forced abortion as a result of discriminatory beliefs about who should have children or unjustifiable state policies. </w:t>
      </w:r>
    </w:p>
    <w:p w14:paraId="294C7947" w14:textId="73F928B7" w:rsidR="001959AF" w:rsidRPr="001959AF" w:rsidRDefault="001959AF" w:rsidP="001959AF">
      <w:pPr>
        <w:spacing w:after="0" w:line="240" w:lineRule="auto"/>
        <w:jc w:val="both"/>
        <w:rPr>
          <w:rFonts w:asciiTheme="majorBidi" w:hAnsiTheme="majorBidi" w:cstheme="majorBidi"/>
          <w:lang w:val="en-US"/>
        </w:rPr>
      </w:pPr>
      <w:r w:rsidRPr="001959AF">
        <w:rPr>
          <w:rFonts w:asciiTheme="majorBidi" w:hAnsiTheme="majorBidi" w:cstheme="majorBidi"/>
          <w:lang w:val="en-US"/>
        </w:rPr>
        <w:t xml:space="preserve">Although the issue of forced abortion for women </w:t>
      </w:r>
      <w:r w:rsidR="00ED4E03">
        <w:rPr>
          <w:rFonts w:asciiTheme="majorBidi" w:hAnsiTheme="majorBidi" w:cstheme="majorBidi"/>
          <w:lang w:val="en-US"/>
        </w:rPr>
        <w:t xml:space="preserve">and girls </w:t>
      </w:r>
      <w:r w:rsidRPr="001959AF">
        <w:rPr>
          <w:rFonts w:asciiTheme="majorBidi" w:hAnsiTheme="majorBidi" w:cstheme="majorBidi"/>
          <w:lang w:val="en-US"/>
        </w:rPr>
        <w:t>with disabilities is not yet widely studied, news reports indicate that when women and girls, particularly with intellectual or mental disabilities, become pregnant, they are sometimes forced or coerced into undergoing an abortion.</w:t>
      </w:r>
      <w:r w:rsidRPr="001959AF">
        <w:rPr>
          <w:rStyle w:val="EndnoteReference"/>
          <w:rFonts w:asciiTheme="majorBidi" w:hAnsiTheme="majorBidi" w:cstheme="majorBidi"/>
        </w:rPr>
        <w:endnoteReference w:id="109"/>
      </w:r>
      <w:r w:rsidRPr="001959AF">
        <w:rPr>
          <w:rFonts w:asciiTheme="majorBidi" w:hAnsiTheme="majorBidi" w:cstheme="majorBidi"/>
          <w:lang w:val="en-US"/>
        </w:rPr>
        <w:t xml:space="preserve"> The European Disability Forum (EDF) noted in a submission to OHCHR on sexual and reproductive rights that “[i]n some countries where therapeutic sterilization of women with disabilities has become illegal, the practice of coerced abortion of women with intellectual or psychosocial disabilities or women and girls with intensive support needs has become even more common….”</w:t>
      </w:r>
      <w:r w:rsidRPr="001959AF">
        <w:rPr>
          <w:rStyle w:val="EndnoteReference"/>
          <w:rFonts w:asciiTheme="majorBidi" w:hAnsiTheme="majorBidi" w:cstheme="majorBidi"/>
        </w:rPr>
        <w:endnoteReference w:id="110"/>
      </w:r>
      <w:r w:rsidRPr="001959AF">
        <w:rPr>
          <w:rFonts w:asciiTheme="majorBidi" w:hAnsiTheme="majorBidi" w:cstheme="majorBidi"/>
          <w:lang w:val="en-US"/>
        </w:rPr>
        <w:t xml:space="preserve">  EDF explains that, because of the widespread societal notion that women with disabilities should not become mothers,</w:t>
      </w:r>
      <w:r w:rsidRPr="001959AF">
        <w:rPr>
          <w:rStyle w:val="EndnoteReference"/>
          <w:rFonts w:asciiTheme="majorBidi" w:hAnsiTheme="majorBidi" w:cstheme="majorBidi"/>
        </w:rPr>
        <w:endnoteReference w:id="111"/>
      </w:r>
      <w:r w:rsidRPr="001959AF">
        <w:rPr>
          <w:rFonts w:asciiTheme="majorBidi" w:hAnsiTheme="majorBidi" w:cstheme="majorBidi"/>
          <w:lang w:val="en-US"/>
        </w:rPr>
        <w:t xml:space="preserve">  “women with disabilities sometimes have to argue with the medical personnel that they actually want to keep their baby [and] often feel pushed by their own families, or persons close to them/personnel in the institutional setting where they live to undergo an abortion.”</w:t>
      </w:r>
      <w:r w:rsidRPr="001959AF">
        <w:rPr>
          <w:rStyle w:val="EndnoteReference"/>
          <w:rFonts w:asciiTheme="majorBidi" w:hAnsiTheme="majorBidi" w:cstheme="majorBidi"/>
        </w:rPr>
        <w:endnoteReference w:id="112"/>
      </w:r>
      <w:r w:rsidRPr="001959AF">
        <w:rPr>
          <w:rFonts w:asciiTheme="majorBidi" w:hAnsiTheme="majorBidi" w:cstheme="majorBidi"/>
          <w:lang w:val="en-US"/>
        </w:rPr>
        <w:t xml:space="preserve"> Women </w:t>
      </w:r>
      <w:r w:rsidR="00ED4E03">
        <w:rPr>
          <w:rFonts w:asciiTheme="majorBidi" w:hAnsiTheme="majorBidi" w:cstheme="majorBidi"/>
          <w:lang w:val="en-US"/>
        </w:rPr>
        <w:t xml:space="preserve">and girls </w:t>
      </w:r>
      <w:r w:rsidRPr="001959AF">
        <w:rPr>
          <w:rFonts w:asciiTheme="majorBidi" w:hAnsiTheme="majorBidi" w:cstheme="majorBidi"/>
          <w:lang w:val="en-US"/>
        </w:rPr>
        <w:t>with disabilities who live in institutional settings may be particularly vulnerable to forced abortion.</w:t>
      </w:r>
      <w:r w:rsidRPr="001959AF">
        <w:rPr>
          <w:rStyle w:val="EndnoteReference"/>
          <w:rFonts w:asciiTheme="majorBidi" w:hAnsiTheme="majorBidi" w:cstheme="majorBidi"/>
        </w:rPr>
        <w:endnoteReference w:id="113"/>
      </w:r>
    </w:p>
    <w:p w14:paraId="6A9809F0" w14:textId="77777777" w:rsidR="001959AF" w:rsidRPr="001959AF" w:rsidRDefault="001959AF" w:rsidP="001959AF">
      <w:pPr>
        <w:spacing w:after="0" w:line="240" w:lineRule="auto"/>
        <w:jc w:val="both"/>
        <w:rPr>
          <w:rFonts w:asciiTheme="majorBidi" w:hAnsiTheme="majorBidi" w:cstheme="majorBidi"/>
          <w:lang w:val="en-US"/>
        </w:rPr>
      </w:pPr>
    </w:p>
    <w:p w14:paraId="2C2D593E" w14:textId="7C77B767" w:rsidR="001959AF" w:rsidRPr="001959AF" w:rsidRDefault="001959AF" w:rsidP="001959AF">
      <w:pPr>
        <w:spacing w:after="0" w:line="240" w:lineRule="auto"/>
        <w:jc w:val="both"/>
        <w:rPr>
          <w:rFonts w:asciiTheme="majorBidi" w:hAnsiTheme="majorBidi" w:cstheme="majorBidi"/>
          <w:lang w:val="en-US"/>
        </w:rPr>
      </w:pPr>
      <w:r w:rsidRPr="001959AF">
        <w:rPr>
          <w:rFonts w:asciiTheme="majorBidi" w:eastAsia="MS Mincho" w:hAnsiTheme="majorBidi" w:cstheme="majorBidi"/>
          <w:lang w:val="en-US"/>
        </w:rPr>
        <w:lastRenderedPageBreak/>
        <w:t>W</w:t>
      </w:r>
      <w:r w:rsidRPr="001959AF">
        <w:rPr>
          <w:rFonts w:asciiTheme="majorBidi" w:hAnsiTheme="majorBidi" w:cstheme="majorBidi"/>
          <w:lang w:val="en-US"/>
        </w:rPr>
        <w:t>omen and girls with disabilities also frequently face pressure from doctors, guardians, social service workers, parents and society to terminate their pregnancies.</w:t>
      </w:r>
      <w:r w:rsidRPr="001959AF">
        <w:rPr>
          <w:rStyle w:val="EndnoteReference"/>
          <w:rFonts w:asciiTheme="majorBidi" w:hAnsiTheme="majorBidi" w:cstheme="majorBidi"/>
        </w:rPr>
        <w:endnoteReference w:id="114"/>
      </w:r>
      <w:r w:rsidRPr="001959AF">
        <w:rPr>
          <w:rFonts w:asciiTheme="majorBidi" w:hAnsiTheme="majorBidi" w:cstheme="majorBidi"/>
          <w:lang w:val="en-US"/>
        </w:rPr>
        <w:t xml:space="preserve"> This pressure stems from misconceptions and discriminatory beliefs about their ability to raise a family and the inheritability of certain disabilities. </w:t>
      </w:r>
    </w:p>
    <w:p w14:paraId="401D27AF" w14:textId="77777777" w:rsidR="001959AF" w:rsidRPr="001959AF" w:rsidRDefault="001959AF" w:rsidP="001959AF">
      <w:pPr>
        <w:shd w:val="clear" w:color="auto" w:fill="FFFFFF"/>
        <w:jc w:val="both"/>
        <w:rPr>
          <w:rFonts w:asciiTheme="majorBidi" w:hAnsiTheme="majorBidi" w:cstheme="majorBidi"/>
          <w:lang w:val="en-US"/>
        </w:rPr>
      </w:pPr>
    </w:p>
    <w:p w14:paraId="62954A21" w14:textId="79519212" w:rsidR="006F1B16" w:rsidRPr="001959AF" w:rsidRDefault="006F1B16" w:rsidP="001959AF">
      <w:pPr>
        <w:jc w:val="both"/>
        <w:rPr>
          <w:rFonts w:asciiTheme="majorBidi" w:hAnsiTheme="majorBidi" w:cstheme="majorBidi"/>
          <w:lang w:val="en-US"/>
        </w:rPr>
      </w:pPr>
      <w:r w:rsidRPr="001959AF">
        <w:rPr>
          <w:rFonts w:asciiTheme="majorBidi" w:hAnsiTheme="majorBidi" w:cstheme="majorBidi"/>
          <w:lang w:val="en-US"/>
        </w:rPr>
        <w:t>The CRPD Committee has considered forced sterilization and forced abortion as violations of the rights to bodily integrity, family and fertility, health, and legal capacity.</w:t>
      </w:r>
      <w:r w:rsidRPr="001959AF">
        <w:rPr>
          <w:rStyle w:val="EndnoteReference"/>
          <w:rFonts w:asciiTheme="majorBidi" w:hAnsiTheme="majorBidi" w:cstheme="majorBidi"/>
        </w:rPr>
        <w:endnoteReference w:id="115"/>
      </w:r>
      <w:r w:rsidR="001959AF" w:rsidRPr="001959AF">
        <w:rPr>
          <w:rFonts w:asciiTheme="majorBidi" w:hAnsiTheme="majorBidi" w:cstheme="majorBidi"/>
          <w:lang w:val="en-US"/>
        </w:rPr>
        <w:t xml:space="preserve"> Where states and third parties seek to control the fertility of women and girls with disabilities, they perpetuate misconceptions and discriminatory attitudes about their childrearing and decision-making abilities. </w:t>
      </w:r>
    </w:p>
    <w:p w14:paraId="5ACAB867" w14:textId="77777777" w:rsidR="006F1B16" w:rsidRPr="001959AF" w:rsidRDefault="006F1B16" w:rsidP="001959AF">
      <w:pPr>
        <w:spacing w:after="0" w:line="240" w:lineRule="auto"/>
        <w:jc w:val="both"/>
        <w:rPr>
          <w:rFonts w:asciiTheme="majorBidi" w:hAnsiTheme="majorBidi" w:cstheme="majorBidi"/>
          <w:lang w:val="en-US"/>
        </w:rPr>
      </w:pPr>
    </w:p>
    <w:p w14:paraId="03288293" w14:textId="77777777" w:rsidR="005C2974" w:rsidRPr="001959AF" w:rsidRDefault="005C2974" w:rsidP="001959AF">
      <w:pPr>
        <w:spacing w:after="0" w:line="240" w:lineRule="auto"/>
        <w:jc w:val="both"/>
        <w:rPr>
          <w:rFonts w:asciiTheme="majorBidi" w:hAnsiTheme="majorBidi" w:cstheme="majorBidi"/>
          <w:lang w:val="en-US"/>
        </w:rPr>
      </w:pPr>
    </w:p>
    <w:p w14:paraId="0E2A5CE0" w14:textId="22123467" w:rsidR="000D6BBB" w:rsidRPr="001959AF" w:rsidRDefault="001959AF" w:rsidP="001959AF">
      <w:pPr>
        <w:pStyle w:val="Body1"/>
        <w:ind w:left="720"/>
        <w:jc w:val="both"/>
        <w:rPr>
          <w:rFonts w:asciiTheme="majorBidi" w:hAnsiTheme="majorBidi" w:cstheme="majorBidi"/>
          <w:color w:val="auto"/>
          <w:sz w:val="22"/>
          <w:szCs w:val="22"/>
        </w:rPr>
      </w:pPr>
      <w:r>
        <w:rPr>
          <w:rFonts w:asciiTheme="majorBidi" w:hAnsiTheme="majorBidi" w:cstheme="majorBidi"/>
          <w:color w:val="auto"/>
          <w:sz w:val="22"/>
          <w:szCs w:val="22"/>
        </w:rPr>
        <w:t xml:space="preserve">We are grateful for this opportunity to input in the SR’s GA report. Should the mandate need any additional information, please do not hesitate to reach out to Ms Rebecca Brown, Director for Global Advocacy </w:t>
      </w:r>
      <w:hyperlink r:id="rId9" w:history="1">
        <w:r w:rsidRPr="008E0F85">
          <w:rPr>
            <w:rStyle w:val="Hyperlink"/>
            <w:rFonts w:asciiTheme="majorBidi" w:hAnsiTheme="majorBidi" w:cstheme="majorBidi"/>
            <w:sz w:val="22"/>
            <w:szCs w:val="22"/>
          </w:rPr>
          <w:t>rbrown@reprorights.org</w:t>
        </w:r>
      </w:hyperlink>
      <w:r>
        <w:rPr>
          <w:rFonts w:asciiTheme="majorBidi" w:hAnsiTheme="majorBidi" w:cstheme="majorBidi"/>
          <w:color w:val="auto"/>
          <w:sz w:val="22"/>
          <w:szCs w:val="22"/>
        </w:rPr>
        <w:t xml:space="preserve">. </w:t>
      </w:r>
    </w:p>
    <w:p w14:paraId="0DF9A7E6" w14:textId="77777777" w:rsidR="00D749CD" w:rsidRPr="001959AF" w:rsidRDefault="00D749CD" w:rsidP="001959AF">
      <w:pPr>
        <w:jc w:val="both"/>
        <w:rPr>
          <w:rFonts w:asciiTheme="majorBidi" w:eastAsia="Arial Unicode MS" w:hAnsiTheme="majorBidi" w:cstheme="majorBidi"/>
          <w:color w:val="000000"/>
          <w:lang w:val="en-US"/>
        </w:rPr>
      </w:pPr>
    </w:p>
    <w:sectPr w:rsidR="00D749CD" w:rsidRPr="001959A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C0D8B" w14:textId="77777777" w:rsidR="00B02240" w:rsidRDefault="00B02240" w:rsidP="00B02240">
      <w:pPr>
        <w:spacing w:after="0" w:line="240" w:lineRule="auto"/>
      </w:pPr>
      <w:r>
        <w:separator/>
      </w:r>
    </w:p>
  </w:endnote>
  <w:endnote w:type="continuationSeparator" w:id="0">
    <w:p w14:paraId="16AA9F9B" w14:textId="77777777" w:rsidR="00B02240" w:rsidRDefault="00B02240" w:rsidP="00B02240">
      <w:pPr>
        <w:spacing w:after="0" w:line="240" w:lineRule="auto"/>
      </w:pPr>
      <w:r>
        <w:continuationSeparator/>
      </w:r>
    </w:p>
  </w:endnote>
  <w:endnote w:id="1">
    <w:p w14:paraId="6FE80FE0" w14:textId="77777777" w:rsidR="00305BC4" w:rsidRPr="00896402" w:rsidRDefault="00305BC4" w:rsidP="00305BC4">
      <w:pPr>
        <w:pStyle w:val="EndnoteText"/>
        <w:rPr>
          <w:rFonts w:ascii="Times New Roman" w:hAnsi="Times New Roman" w:cs="Times New Roman"/>
          <w:highlight w:val="yellow"/>
        </w:rPr>
      </w:pPr>
      <w:r w:rsidRPr="00896402">
        <w:rPr>
          <w:rStyle w:val="EndnoteReference"/>
          <w:rFonts w:ascii="Times New Roman" w:hAnsi="Times New Roman" w:cs="Times New Roman"/>
        </w:rPr>
        <w:endnoteRef/>
      </w:r>
      <w:r w:rsidRPr="00896402">
        <w:rPr>
          <w:rFonts w:ascii="Times New Roman" w:hAnsi="Times New Roman" w:cs="Times New Roman"/>
        </w:rPr>
        <w:t xml:space="preserve"> </w:t>
      </w:r>
      <w:r w:rsidRPr="00896402">
        <w:rPr>
          <w:rFonts w:ascii="Times New Roman" w:hAnsi="Times New Roman" w:cs="Times New Roman"/>
          <w:smallCaps/>
        </w:rPr>
        <w:t xml:space="preserve">World Report on Disability, </w:t>
      </w:r>
      <w:r w:rsidRPr="005738E2">
        <w:rPr>
          <w:rFonts w:ascii="Times New Roman" w:hAnsi="Times New Roman" w:cs="Times New Roman"/>
          <w:i/>
        </w:rPr>
        <w:t>supra</w:t>
      </w:r>
      <w:r w:rsidRPr="005738E2">
        <w:rPr>
          <w:rFonts w:ascii="Times New Roman" w:hAnsi="Times New Roman" w:cs="Times New Roman"/>
        </w:rPr>
        <w:t xml:space="preserve"> note 20</w:t>
      </w:r>
      <w:r w:rsidRPr="005738E2">
        <w:rPr>
          <w:rFonts w:ascii="Times New Roman" w:eastAsia="Cambria" w:hAnsi="Times New Roman" w:cs="Times New Roman"/>
        </w:rPr>
        <w:t xml:space="preserve">; </w:t>
      </w:r>
      <w:r w:rsidRPr="005738E2">
        <w:rPr>
          <w:rFonts w:ascii="Times New Roman" w:hAnsi="Times New Roman" w:cs="Times New Roman"/>
          <w:i/>
        </w:rPr>
        <w:t>Some Facts about Persons with Disabilities</w:t>
      </w:r>
      <w:r w:rsidRPr="005738E2">
        <w:rPr>
          <w:rFonts w:ascii="Times New Roman" w:hAnsi="Times New Roman" w:cs="Times New Roman"/>
        </w:rPr>
        <w:t xml:space="preserve">, </w:t>
      </w:r>
      <w:r w:rsidRPr="005738E2">
        <w:rPr>
          <w:rFonts w:ascii="Times New Roman" w:hAnsi="Times New Roman" w:cs="Times New Roman"/>
          <w:smallCaps/>
        </w:rPr>
        <w:t>United nations</w:t>
      </w:r>
      <w:r>
        <w:rPr>
          <w:rFonts w:ascii="Times New Roman" w:hAnsi="Times New Roman" w:cs="Times New Roman"/>
        </w:rPr>
        <w:t xml:space="preserve">, </w:t>
      </w:r>
      <w:r w:rsidRPr="00270AF9">
        <w:rPr>
          <w:rFonts w:ascii="Times New Roman" w:hAnsi="Times New Roman" w:cs="Times New Roman"/>
          <w:i/>
        </w:rPr>
        <w:t>available at</w:t>
      </w:r>
      <w:r>
        <w:rPr>
          <w:rFonts w:ascii="Times New Roman" w:hAnsi="Times New Roman" w:cs="Times New Roman"/>
        </w:rPr>
        <w:t xml:space="preserve"> </w:t>
      </w:r>
      <w:r w:rsidRPr="005738E2">
        <w:rPr>
          <w:rFonts w:ascii="Times New Roman" w:hAnsi="Times New Roman" w:cs="Times New Roman"/>
        </w:rPr>
        <w:t>http://un.org/disabilities/convention/facts.shtml.</w:t>
      </w:r>
      <w:r w:rsidRPr="00B6753D">
        <w:rPr>
          <w:rFonts w:ascii="Times New Roman" w:hAnsi="Times New Roman" w:cs="Times New Roman"/>
        </w:rPr>
        <w:t xml:space="preserve"> </w:t>
      </w:r>
    </w:p>
  </w:endnote>
  <w:endnote w:id="2">
    <w:p w14:paraId="34B5EC3A" w14:textId="77777777" w:rsidR="00305BC4" w:rsidRPr="00B6753D" w:rsidRDefault="00305BC4" w:rsidP="00305BC4">
      <w:pPr>
        <w:pStyle w:val="EndnoteText"/>
        <w:rPr>
          <w:rFonts w:ascii="Times New Roman" w:hAnsi="Times New Roman" w:cs="Times New Roman"/>
        </w:rPr>
      </w:pPr>
      <w:r w:rsidRPr="00B6753D">
        <w:rPr>
          <w:rStyle w:val="EndnoteReference"/>
          <w:rFonts w:ascii="Times New Roman" w:hAnsi="Times New Roman" w:cs="Times New Roman"/>
        </w:rPr>
        <w:endnoteRef/>
      </w:r>
      <w:r w:rsidRPr="00B6753D">
        <w:rPr>
          <w:rFonts w:ascii="Times New Roman" w:hAnsi="Times New Roman" w:cs="Times New Roman"/>
        </w:rPr>
        <w:t xml:space="preserve"> CRPD, </w:t>
      </w:r>
      <w:r w:rsidRPr="00B6753D">
        <w:rPr>
          <w:rFonts w:ascii="Times New Roman" w:hAnsi="Times New Roman" w:cs="Times New Roman"/>
          <w:i/>
        </w:rPr>
        <w:t xml:space="preserve">supra </w:t>
      </w:r>
      <w:r w:rsidRPr="00B6753D">
        <w:rPr>
          <w:rFonts w:ascii="Times New Roman" w:hAnsi="Times New Roman" w:cs="Times New Roman"/>
        </w:rPr>
        <w:t>note 4, art. 6.</w:t>
      </w:r>
    </w:p>
  </w:endnote>
  <w:endnote w:id="3">
    <w:p w14:paraId="42343D9E" w14:textId="77777777" w:rsidR="00305BC4" w:rsidRPr="00E162BB" w:rsidRDefault="00305BC4" w:rsidP="00305BC4">
      <w:pPr>
        <w:pStyle w:val="EndnoteText"/>
        <w:rPr>
          <w:rFonts w:ascii="Times New Roman" w:hAnsi="Times New Roman" w:cs="Times New Roman"/>
        </w:rPr>
      </w:pPr>
      <w:r w:rsidRPr="00E162BB">
        <w:rPr>
          <w:rStyle w:val="EndnoteReference"/>
          <w:rFonts w:ascii="Times New Roman" w:hAnsi="Times New Roman" w:cs="Times New Roman"/>
        </w:rPr>
        <w:endnoteRef/>
      </w:r>
      <w:r w:rsidRPr="00E162BB">
        <w:rPr>
          <w:rFonts w:ascii="Times New Roman" w:hAnsi="Times New Roman" w:cs="Times New Roman"/>
        </w:rPr>
        <w:t xml:space="preserve"> Committee on the Elimination of Racial Discrimination, </w:t>
      </w:r>
      <w:r w:rsidRPr="00E162BB">
        <w:rPr>
          <w:rFonts w:ascii="Times New Roman" w:hAnsi="Times New Roman" w:cs="Times New Roman"/>
          <w:i/>
        </w:rPr>
        <w:t>General Recommendation No. 25: Gender-related dimension of racial discrimination</w:t>
      </w:r>
      <w:r w:rsidRPr="00E162BB">
        <w:rPr>
          <w:rFonts w:ascii="Times New Roman" w:hAnsi="Times New Roman" w:cs="Times New Roman"/>
        </w:rPr>
        <w:t>, (Fifty-sixth session, 2000),</w:t>
      </w:r>
      <w:r w:rsidRPr="00E162BB">
        <w:rPr>
          <w:rFonts w:ascii="Times New Roman" w:hAnsi="Times New Roman" w:cs="Times New Roman"/>
          <w:i/>
        </w:rPr>
        <w:t xml:space="preserve"> in</w:t>
      </w:r>
      <w:r w:rsidRPr="00E162BB">
        <w:rPr>
          <w:rFonts w:ascii="Times New Roman" w:hAnsi="Times New Roman" w:cs="Times New Roman"/>
        </w:rPr>
        <w:t xml:space="preserve"> Compilation of General Comments and General Recommendations Adopted by Human Rights Treaty Bodies, at 214, para. 1, U.N. Doc. HRI/GEN/1/Rev.6 (2003).</w:t>
      </w:r>
    </w:p>
  </w:endnote>
  <w:endnote w:id="4">
    <w:p w14:paraId="692CBA5A" w14:textId="77777777" w:rsidR="00305BC4" w:rsidRPr="00CC6DE5" w:rsidRDefault="00305BC4" w:rsidP="00305BC4">
      <w:pPr>
        <w:pStyle w:val="EndnoteText"/>
        <w:rPr>
          <w:rFonts w:ascii="Times New Roman" w:hAnsi="Times New Roman" w:cs="Times New Roman"/>
        </w:rPr>
      </w:pPr>
      <w:r w:rsidRPr="00E162BB">
        <w:rPr>
          <w:rStyle w:val="EndnoteReference"/>
          <w:rFonts w:ascii="Times New Roman" w:hAnsi="Times New Roman" w:cs="Times New Roman"/>
        </w:rPr>
        <w:endnoteRef/>
      </w:r>
      <w:r w:rsidRPr="00E162BB">
        <w:rPr>
          <w:rFonts w:ascii="Times New Roman" w:hAnsi="Times New Roman" w:cs="Times New Roman"/>
        </w:rPr>
        <w:t xml:space="preserve"> SRVAW, </w:t>
      </w:r>
      <w:r w:rsidRPr="00E162BB">
        <w:rPr>
          <w:rFonts w:ascii="Times New Roman" w:hAnsi="Times New Roman" w:cs="Times New Roman"/>
          <w:i/>
        </w:rPr>
        <w:t xml:space="preserve">Rep. of the Special Rapporteur </w:t>
      </w:r>
      <w:r w:rsidRPr="00E162BB">
        <w:rPr>
          <w:rFonts w:ascii="Times New Roman" w:hAnsi="Times New Roman" w:cs="Times New Roman"/>
        </w:rPr>
        <w:t xml:space="preserve">(2012), </w:t>
      </w:r>
      <w:r w:rsidRPr="00E162BB">
        <w:rPr>
          <w:rFonts w:ascii="Times New Roman" w:hAnsi="Times New Roman" w:cs="Times New Roman"/>
          <w:i/>
        </w:rPr>
        <w:t xml:space="preserve">supra </w:t>
      </w:r>
      <w:r w:rsidRPr="00E162BB">
        <w:rPr>
          <w:rFonts w:ascii="Times New Roman" w:hAnsi="Times New Roman" w:cs="Times New Roman"/>
        </w:rPr>
        <w:t>note 47, para. 28.</w:t>
      </w:r>
    </w:p>
  </w:endnote>
  <w:endnote w:id="5">
    <w:p w14:paraId="73F5F45F" w14:textId="77777777" w:rsidR="004B5DB3" w:rsidRPr="004B5DB3" w:rsidRDefault="004B5DB3" w:rsidP="004B5DB3">
      <w:pPr>
        <w:pStyle w:val="EndnoteText"/>
        <w:rPr>
          <w:rFonts w:asciiTheme="majorBidi" w:hAnsiTheme="majorBidi" w:cstheme="majorBidi"/>
          <w:i/>
          <w:iCs/>
        </w:rPr>
      </w:pPr>
      <w:r>
        <w:rPr>
          <w:rStyle w:val="EndnoteReference"/>
        </w:rPr>
        <w:endnoteRef/>
      </w:r>
      <w:r>
        <w:t xml:space="preserve"> </w:t>
      </w:r>
      <w:r w:rsidRPr="004B5DB3">
        <w:rPr>
          <w:rFonts w:ascii="Times New Roman" w:hAnsi="Times New Roman" w:cs="Times New Roman"/>
        </w:rPr>
        <w:t>Committee on the Rights of the Child</w:t>
      </w:r>
      <w:r w:rsidRPr="004B5DB3">
        <w:t xml:space="preserve">, </w:t>
      </w:r>
      <w:r w:rsidRPr="004B5DB3">
        <w:rPr>
          <w:rFonts w:asciiTheme="majorBidi" w:hAnsiTheme="majorBidi" w:cstheme="majorBidi"/>
          <w:i/>
          <w:iCs/>
        </w:rPr>
        <w:t>General Comment 20 on the implementation of the rights of the child during adolescence</w:t>
      </w:r>
      <w:r>
        <w:rPr>
          <w:rFonts w:asciiTheme="majorBidi" w:hAnsiTheme="majorBidi" w:cstheme="majorBidi"/>
          <w:i/>
          <w:iCs/>
        </w:rPr>
        <w:t xml:space="preserve">, </w:t>
      </w:r>
      <w:r w:rsidRPr="004B5DB3">
        <w:rPr>
          <w:rFonts w:asciiTheme="majorBidi" w:hAnsiTheme="majorBidi" w:cstheme="majorBidi"/>
          <w:i/>
          <w:iCs/>
        </w:rPr>
        <w:t xml:space="preserve">6 December 2016, CRC/C/GC/20, available at: </w:t>
      </w:r>
      <w:hyperlink r:id="rId1" w:history="1">
        <w:r w:rsidRPr="008E0F85">
          <w:rPr>
            <w:rStyle w:val="Hyperlink"/>
            <w:rFonts w:asciiTheme="majorBidi" w:hAnsiTheme="majorBidi" w:cstheme="majorBidi"/>
            <w:i/>
            <w:iCs/>
          </w:rPr>
          <w:t>http://www.refworld.org/docid/589dad3d4.html</w:t>
        </w:r>
      </w:hyperlink>
      <w:r>
        <w:rPr>
          <w:rFonts w:asciiTheme="majorBidi" w:hAnsiTheme="majorBidi" w:cstheme="majorBidi"/>
          <w:i/>
          <w:iCs/>
        </w:rPr>
        <w:t xml:space="preserve"> </w:t>
      </w:r>
    </w:p>
  </w:endnote>
  <w:endnote w:id="6">
    <w:p w14:paraId="3DACCD02" w14:textId="77777777" w:rsidR="00305BC4" w:rsidRPr="00305BC4" w:rsidRDefault="00305BC4" w:rsidP="00305BC4">
      <w:pPr>
        <w:spacing w:after="0" w:line="240" w:lineRule="auto"/>
        <w:rPr>
          <w:rFonts w:ascii="Times New Roman" w:hAnsi="Times New Roman" w:cs="Times New Roman"/>
          <w:sz w:val="20"/>
          <w:szCs w:val="20"/>
          <w:lang w:val="en-US"/>
        </w:rPr>
      </w:pPr>
      <w:r w:rsidRPr="00CC6DE5">
        <w:rPr>
          <w:rStyle w:val="EndnoteReference"/>
          <w:rFonts w:ascii="Times New Roman" w:hAnsi="Times New Roman" w:cs="Times New Roman"/>
        </w:rPr>
        <w:endnoteRef/>
      </w:r>
      <w:r w:rsidRPr="00305BC4">
        <w:rPr>
          <w:rFonts w:ascii="Times New Roman" w:hAnsi="Times New Roman" w:cs="Times New Roman"/>
          <w:sz w:val="20"/>
          <w:szCs w:val="20"/>
          <w:lang w:val="en-US"/>
        </w:rPr>
        <w:t xml:space="preserve"> CEDAW Committee, </w:t>
      </w:r>
      <w:r w:rsidRPr="00305BC4">
        <w:rPr>
          <w:rFonts w:ascii="Times New Roman" w:hAnsi="Times New Roman" w:cs="Times New Roman"/>
          <w:i/>
          <w:sz w:val="20"/>
          <w:szCs w:val="20"/>
          <w:lang w:val="en-US"/>
        </w:rPr>
        <w:t>Concluding Observations: Hungary</w:t>
      </w:r>
      <w:r w:rsidRPr="00305BC4">
        <w:rPr>
          <w:rFonts w:ascii="Times New Roman" w:hAnsi="Times New Roman" w:cs="Times New Roman"/>
          <w:sz w:val="20"/>
          <w:szCs w:val="20"/>
          <w:lang w:val="en-US"/>
        </w:rPr>
        <w:t xml:space="preserve">, para. 31, U.N. Doc. </w:t>
      </w:r>
      <w:r w:rsidRPr="00305BC4">
        <w:rPr>
          <w:rFonts w:ascii="Times New Roman" w:hAnsi="Times New Roman" w:cs="Times New Roman"/>
          <w:sz w:val="20"/>
          <w:szCs w:val="20"/>
          <w:bdr w:val="none" w:sz="0" w:space="0" w:color="auto" w:frame="1"/>
          <w:lang w:val="en-US"/>
        </w:rPr>
        <w:t xml:space="preserve">CEDAW/C/HUN/CO/7-8 </w:t>
      </w:r>
      <w:r w:rsidRPr="00305BC4">
        <w:rPr>
          <w:rFonts w:ascii="Times New Roman" w:hAnsi="Times New Roman" w:cs="Times New Roman"/>
          <w:color w:val="333333"/>
          <w:sz w:val="20"/>
          <w:szCs w:val="20"/>
          <w:lang w:val="en-US"/>
        </w:rPr>
        <w:t>(2013).</w:t>
      </w:r>
    </w:p>
  </w:endnote>
  <w:endnote w:id="7">
    <w:p w14:paraId="2941A02B" w14:textId="77777777" w:rsidR="004B5DB3" w:rsidRPr="006D3412" w:rsidRDefault="004B5DB3" w:rsidP="004B5DB3">
      <w:pPr>
        <w:pStyle w:val="EndnoteText"/>
        <w:rPr>
          <w:rFonts w:ascii="Times New Roman" w:hAnsi="Times New Roman"/>
          <w:smallCaps/>
        </w:rPr>
      </w:pPr>
      <w:r w:rsidRPr="006D3412">
        <w:rPr>
          <w:rStyle w:val="EndnoteReference"/>
          <w:rFonts w:ascii="Times New Roman" w:hAnsi="Times New Roman"/>
        </w:rPr>
        <w:endnoteRef/>
      </w:r>
      <w:r w:rsidRPr="006D3412">
        <w:rPr>
          <w:rFonts w:ascii="Times New Roman" w:hAnsi="Times New Roman"/>
        </w:rPr>
        <w:t xml:space="preserve"> </w:t>
      </w:r>
      <w:r w:rsidRPr="006D3412">
        <w:rPr>
          <w:rFonts w:ascii="Times New Roman" w:hAnsi="Times New Roman"/>
          <w:smallCaps/>
        </w:rPr>
        <w:t>Open Society Foundations, Against Her Will: Forced and Coerced Sterilization of Women Worldwide</w:t>
      </w:r>
      <w:r w:rsidRPr="006D3412">
        <w:rPr>
          <w:rFonts w:ascii="Times New Roman" w:hAnsi="Times New Roman"/>
        </w:rPr>
        <w:t xml:space="preserve">, 6 (2011) [hereinafter </w:t>
      </w:r>
      <w:r w:rsidRPr="006D3412">
        <w:rPr>
          <w:rFonts w:ascii="Times New Roman" w:hAnsi="Times New Roman"/>
          <w:smallCaps/>
        </w:rPr>
        <w:t>Against Her Will</w:t>
      </w:r>
      <w:r w:rsidRPr="006D3412">
        <w:rPr>
          <w:rFonts w:ascii="Times New Roman" w:hAnsi="Times New Roman"/>
        </w:rPr>
        <w:t>].</w:t>
      </w:r>
      <w:r w:rsidRPr="006D3412">
        <w:rPr>
          <w:rFonts w:ascii="Times New Roman" w:hAnsi="Times New Roman"/>
          <w:smallCaps/>
        </w:rPr>
        <w:t xml:space="preserve"> </w:t>
      </w:r>
    </w:p>
  </w:endnote>
  <w:endnote w:id="8">
    <w:p w14:paraId="55AA4E50" w14:textId="77777777" w:rsidR="004B5DB3" w:rsidRPr="006D3412" w:rsidRDefault="004B5DB3" w:rsidP="004B5DB3">
      <w:pPr>
        <w:pStyle w:val="EndnoteText"/>
        <w:rPr>
          <w:rFonts w:ascii="Times New Roman" w:hAnsi="Times New Roman"/>
          <w:smallCaps/>
        </w:rPr>
      </w:pPr>
      <w:r w:rsidRPr="006D3412">
        <w:rPr>
          <w:rStyle w:val="EndnoteReference"/>
          <w:rFonts w:ascii="Times New Roman" w:hAnsi="Times New Roman"/>
        </w:rPr>
        <w:endnoteRef/>
      </w:r>
      <w:r w:rsidRPr="006D3412">
        <w:rPr>
          <w:rFonts w:ascii="Times New Roman" w:hAnsi="Times New Roman"/>
        </w:rPr>
        <w:t xml:space="preserve"> </w:t>
      </w:r>
      <w:r w:rsidRPr="006D3412">
        <w:rPr>
          <w:rFonts w:ascii="Times New Roman" w:hAnsi="Times New Roman"/>
          <w:smallCaps/>
        </w:rPr>
        <w:t>World Health Organization, World Report on Disability</w:t>
      </w:r>
      <w:r w:rsidRPr="006D3412">
        <w:rPr>
          <w:rFonts w:ascii="Times New Roman" w:hAnsi="Times New Roman"/>
        </w:rPr>
        <w:t xml:space="preserve"> 205-206 (2011) [hereinafter </w:t>
      </w:r>
      <w:r w:rsidRPr="006D3412">
        <w:rPr>
          <w:rFonts w:ascii="Times New Roman" w:hAnsi="Times New Roman"/>
          <w:smallCaps/>
        </w:rPr>
        <w:t>World Report on Disability]</w:t>
      </w:r>
      <w:r w:rsidRPr="006D3412">
        <w:rPr>
          <w:rFonts w:ascii="Times New Roman" w:hAnsi="Times New Roman"/>
        </w:rPr>
        <w:t>.</w:t>
      </w:r>
    </w:p>
  </w:endnote>
  <w:endnote w:id="9">
    <w:p w14:paraId="018B31DA" w14:textId="77777777" w:rsidR="004B5DB3" w:rsidRPr="00743C2A" w:rsidRDefault="004B5DB3" w:rsidP="004B5DB3">
      <w:pPr>
        <w:pStyle w:val="EndnoteText"/>
        <w:rPr>
          <w:rFonts w:ascii="Times New Roman" w:hAnsi="Times New Roman"/>
          <w:i/>
        </w:rPr>
      </w:pPr>
      <w:r w:rsidRPr="006D3412">
        <w:rPr>
          <w:rStyle w:val="EndnoteReference"/>
          <w:rFonts w:ascii="Times New Roman" w:hAnsi="Times New Roman"/>
        </w:rPr>
        <w:endnoteRef/>
      </w:r>
      <w:r w:rsidRPr="006D3412">
        <w:rPr>
          <w:rFonts w:ascii="Times New Roman" w:hAnsi="Times New Roman"/>
        </w:rPr>
        <w:t xml:space="preserve"> </w:t>
      </w:r>
      <w:r w:rsidRPr="006D3412">
        <w:rPr>
          <w:rFonts w:ascii="Times New Roman" w:hAnsi="Times New Roman"/>
          <w:i/>
        </w:rPr>
        <w:t>Id.</w:t>
      </w:r>
    </w:p>
  </w:endnote>
  <w:endnote w:id="10">
    <w:p w14:paraId="5404230E" w14:textId="77777777" w:rsidR="004B5DB3" w:rsidRPr="00743C2A" w:rsidRDefault="004B5DB3" w:rsidP="004B5DB3">
      <w:pPr>
        <w:pStyle w:val="EndnoteText"/>
        <w:rPr>
          <w:rFonts w:ascii="Times New Roman" w:hAnsi="Times New Roman"/>
        </w:rPr>
      </w:pPr>
      <w:r w:rsidRPr="00743C2A">
        <w:rPr>
          <w:rStyle w:val="EndnoteReference"/>
          <w:rFonts w:ascii="Times New Roman" w:hAnsi="Times New Roman"/>
        </w:rPr>
        <w:endnoteRef/>
      </w:r>
      <w:r w:rsidRPr="00743C2A">
        <w:rPr>
          <w:rFonts w:ascii="Times New Roman" w:hAnsi="Times New Roman"/>
          <w:i/>
        </w:rPr>
        <w:t xml:space="preserve"> See Mandatory Delays and Biased Counseling for Women Seeking Abortions</w:t>
      </w:r>
      <w:r w:rsidRPr="00743C2A">
        <w:rPr>
          <w:rFonts w:ascii="Times New Roman" w:hAnsi="Times New Roman"/>
        </w:rPr>
        <w:t xml:space="preserve">, </w:t>
      </w:r>
      <w:r w:rsidRPr="00743C2A">
        <w:rPr>
          <w:rFonts w:ascii="Times New Roman" w:hAnsi="Times New Roman"/>
          <w:smallCaps/>
        </w:rPr>
        <w:t>Center for Reproductive Rights</w:t>
      </w:r>
      <w:r w:rsidRPr="00743C2A">
        <w:rPr>
          <w:rFonts w:ascii="Times New Roman" w:hAnsi="Times New Roman"/>
        </w:rPr>
        <w:t xml:space="preserve"> (Sept. 30, 2010), </w:t>
      </w:r>
      <w:hyperlink r:id="rId2" w:history="1">
        <w:r w:rsidRPr="00743C2A">
          <w:rPr>
            <w:rStyle w:val="Hyperlink"/>
            <w:rFonts w:ascii="Times New Roman" w:hAnsi="Times New Roman"/>
          </w:rPr>
          <w:t>http://reproductiverights.org/en/project/mandatory-delays-and-biased-counseling-for-women-seeking-abortions</w:t>
        </w:r>
      </w:hyperlink>
      <w:r w:rsidRPr="00743C2A">
        <w:rPr>
          <w:rFonts w:ascii="Times New Roman" w:hAnsi="Times New Roman"/>
        </w:rPr>
        <w:t>.</w:t>
      </w:r>
    </w:p>
  </w:endnote>
  <w:endnote w:id="11">
    <w:p w14:paraId="3DC1A608" w14:textId="77777777" w:rsidR="004B5DB3" w:rsidRPr="00743C2A" w:rsidRDefault="004B5DB3" w:rsidP="004B5DB3">
      <w:pPr>
        <w:pStyle w:val="EndnoteText"/>
        <w:rPr>
          <w:rFonts w:ascii="Times New Roman" w:hAnsi="Times New Roman"/>
        </w:rPr>
      </w:pPr>
      <w:r w:rsidRPr="00743C2A">
        <w:rPr>
          <w:rStyle w:val="EndnoteReference"/>
          <w:rFonts w:ascii="Times New Roman" w:hAnsi="Times New Roman"/>
        </w:rPr>
        <w:endnoteRef/>
      </w:r>
      <w:r w:rsidRPr="00743C2A">
        <w:rPr>
          <w:rFonts w:ascii="Times New Roman" w:hAnsi="Times New Roman"/>
        </w:rPr>
        <w:t xml:space="preserve"> </w:t>
      </w:r>
      <w:r w:rsidRPr="00743C2A">
        <w:rPr>
          <w:rFonts w:ascii="Times New Roman" w:hAnsi="Times New Roman"/>
          <w:smallCaps/>
        </w:rPr>
        <w:t xml:space="preserve">World Report on Disability, </w:t>
      </w:r>
      <w:r w:rsidRPr="00743C2A">
        <w:rPr>
          <w:rFonts w:ascii="Times New Roman" w:hAnsi="Times New Roman"/>
          <w:i/>
        </w:rPr>
        <w:t xml:space="preserve">supra </w:t>
      </w:r>
      <w:r>
        <w:rPr>
          <w:rFonts w:ascii="Times New Roman" w:hAnsi="Times New Roman"/>
        </w:rPr>
        <w:t xml:space="preserve">note 7, at </w:t>
      </w:r>
      <w:r w:rsidRPr="00743C2A">
        <w:rPr>
          <w:rFonts w:ascii="Times New Roman" w:hAnsi="Times New Roman"/>
        </w:rPr>
        <w:t>70-71.</w:t>
      </w:r>
    </w:p>
  </w:endnote>
  <w:endnote w:id="12">
    <w:p w14:paraId="490B4CF5" w14:textId="77777777" w:rsidR="004B5DB3" w:rsidRPr="00743C2A" w:rsidRDefault="004B5DB3" w:rsidP="004B5DB3">
      <w:pPr>
        <w:pStyle w:val="EndnoteText"/>
        <w:rPr>
          <w:rFonts w:ascii="Times New Roman" w:hAnsi="Times New Roman"/>
        </w:rPr>
      </w:pPr>
      <w:r w:rsidRPr="00743C2A">
        <w:rPr>
          <w:rStyle w:val="EndnoteReference"/>
          <w:rFonts w:ascii="Times New Roman" w:hAnsi="Times New Roman"/>
        </w:rPr>
        <w:endnoteRef/>
      </w:r>
      <w:r w:rsidRPr="00743C2A">
        <w:rPr>
          <w:rFonts w:ascii="Times New Roman" w:hAnsi="Times New Roman"/>
        </w:rPr>
        <w:t xml:space="preserve"> </w:t>
      </w:r>
      <w:r w:rsidRPr="00743C2A">
        <w:rPr>
          <w:rFonts w:ascii="Times New Roman" w:hAnsi="Times New Roman"/>
          <w:i/>
        </w:rPr>
        <w:t>Id. at</w:t>
      </w:r>
      <w:r w:rsidRPr="00743C2A">
        <w:rPr>
          <w:rFonts w:ascii="Times New Roman" w:hAnsi="Times New Roman"/>
        </w:rPr>
        <w:t xml:space="preserve"> 77-79.</w:t>
      </w:r>
    </w:p>
  </w:endnote>
  <w:endnote w:id="13">
    <w:p w14:paraId="51943ADB" w14:textId="77777777" w:rsidR="004B5DB3" w:rsidRPr="00AB46F0" w:rsidRDefault="004B5DB3" w:rsidP="004B5DB3">
      <w:pPr>
        <w:pStyle w:val="EndnoteText"/>
        <w:rPr>
          <w:rFonts w:ascii="Times New Roman" w:hAnsi="Times New Roman"/>
        </w:rPr>
      </w:pPr>
      <w:r w:rsidRPr="008745E4">
        <w:rPr>
          <w:rStyle w:val="EndnoteReference"/>
          <w:rFonts w:ascii="Times New Roman" w:hAnsi="Times New Roman"/>
        </w:rPr>
        <w:endnoteRef/>
      </w:r>
      <w:r w:rsidRPr="008745E4">
        <w:rPr>
          <w:rFonts w:ascii="Times New Roman" w:hAnsi="Times New Roman"/>
        </w:rPr>
        <w:t xml:space="preserve"> </w:t>
      </w:r>
      <w:r w:rsidRPr="00E42EF4">
        <w:rPr>
          <w:rFonts w:ascii="Times New Roman" w:hAnsi="Times New Roman"/>
          <w:smallCaps/>
        </w:rPr>
        <w:t>Human Rights Watch, “As if We Weren’t Human”: Discrimination and Violence against Women with Disabilities in Northern Uganda</w:t>
      </w:r>
      <w:r w:rsidRPr="00E42EF4">
        <w:rPr>
          <w:rFonts w:ascii="Times New Roman" w:hAnsi="Times New Roman"/>
        </w:rPr>
        <w:t xml:space="preserve"> 47 (2010) [hereinafter </w:t>
      </w:r>
      <w:r w:rsidRPr="00E42EF4">
        <w:rPr>
          <w:rFonts w:ascii="Times New Roman" w:hAnsi="Times New Roman"/>
          <w:smallCaps/>
        </w:rPr>
        <w:t>“As if We Weren’t Human”]</w:t>
      </w:r>
      <w:r w:rsidRPr="00E42EF4">
        <w:rPr>
          <w:rFonts w:ascii="Times New Roman" w:hAnsi="Times New Roman"/>
        </w:rPr>
        <w:t>.</w:t>
      </w:r>
    </w:p>
  </w:endnote>
  <w:endnote w:id="14">
    <w:p w14:paraId="3EA2B3F5" w14:textId="77777777" w:rsidR="004B5DB3" w:rsidRPr="00AB46F0" w:rsidRDefault="004B5DB3" w:rsidP="004B5DB3">
      <w:pPr>
        <w:pStyle w:val="EndnoteText"/>
        <w:rPr>
          <w:rFonts w:ascii="Times New Roman" w:hAnsi="Times New Roman"/>
        </w:rPr>
      </w:pPr>
      <w:r w:rsidRPr="00AB46F0">
        <w:rPr>
          <w:rStyle w:val="EndnoteReference"/>
          <w:rFonts w:ascii="Times New Roman" w:hAnsi="Times New Roman"/>
        </w:rPr>
        <w:endnoteRef/>
      </w:r>
      <w:r w:rsidRPr="00AB46F0">
        <w:rPr>
          <w:rFonts w:ascii="Times New Roman" w:hAnsi="Times New Roman"/>
          <w:color w:val="FF0000"/>
        </w:rPr>
        <w:t xml:space="preserve"> </w:t>
      </w:r>
      <w:r w:rsidRPr="00AB46F0">
        <w:rPr>
          <w:rFonts w:ascii="Times New Roman" w:hAnsi="Times New Roman"/>
          <w:smallCaps/>
        </w:rPr>
        <w:t>Against Her Will</w:t>
      </w:r>
      <w:r w:rsidRPr="00AB46F0">
        <w:rPr>
          <w:rFonts w:ascii="Times New Roman" w:hAnsi="Times New Roman"/>
        </w:rPr>
        <w:t xml:space="preserve">, </w:t>
      </w:r>
      <w:r w:rsidRPr="00AB46F0">
        <w:rPr>
          <w:rFonts w:ascii="Times New Roman" w:hAnsi="Times New Roman"/>
          <w:i/>
        </w:rPr>
        <w:t xml:space="preserve">supra </w:t>
      </w:r>
      <w:r w:rsidRPr="00AB46F0">
        <w:rPr>
          <w:rFonts w:ascii="Times New Roman" w:hAnsi="Times New Roman"/>
        </w:rPr>
        <w:t>note 6, at 6.</w:t>
      </w:r>
    </w:p>
  </w:endnote>
  <w:endnote w:id="15">
    <w:p w14:paraId="02DE9407"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Suzanne Smeltzer, </w:t>
      </w:r>
      <w:r w:rsidRPr="00E42EF4">
        <w:rPr>
          <w:rFonts w:ascii="Times New Roman" w:hAnsi="Times New Roman"/>
          <w:i/>
        </w:rPr>
        <w:t>Pregnancy in Women With Physical Disabilities</w:t>
      </w:r>
      <w:r w:rsidRPr="00E0795D">
        <w:rPr>
          <w:rFonts w:ascii="Times New Roman" w:hAnsi="Times New Roman"/>
        </w:rPr>
        <w:t xml:space="preserve">. 36 </w:t>
      </w:r>
      <w:r w:rsidRPr="00E42EF4">
        <w:rPr>
          <w:rFonts w:ascii="Times New Roman" w:hAnsi="Times New Roman"/>
          <w:smallCaps/>
        </w:rPr>
        <w:t>Journal of Obstetric, Gynaecologic, and Neonatal</w:t>
      </w:r>
      <w:r w:rsidRPr="00E0795D">
        <w:rPr>
          <w:rFonts w:ascii="Times New Roman" w:hAnsi="Times New Roman"/>
          <w:smallCaps/>
        </w:rPr>
        <w:t xml:space="preserve"> </w:t>
      </w:r>
      <w:r w:rsidRPr="00E42EF4">
        <w:rPr>
          <w:rFonts w:ascii="Times New Roman" w:hAnsi="Times New Roman"/>
          <w:smallCaps/>
        </w:rPr>
        <w:t>Nursing</w:t>
      </w:r>
      <w:r w:rsidRPr="00E0795D">
        <w:rPr>
          <w:rFonts w:ascii="Times New Roman" w:hAnsi="Times New Roman"/>
        </w:rPr>
        <w:t xml:space="preserve"> 88, 88-96 (2007).</w:t>
      </w:r>
    </w:p>
  </w:endnote>
  <w:endnote w:id="16">
    <w:p w14:paraId="2FE171BD"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M. Aunos &amp; M.A. Feldman, </w:t>
      </w:r>
      <w:r w:rsidRPr="00E42EF4">
        <w:rPr>
          <w:rFonts w:ascii="Times New Roman" w:hAnsi="Times New Roman"/>
          <w:i/>
        </w:rPr>
        <w:t>Attitudes towards Sexuality, Sterilization and Parenting Rights of Persons with Intellectual Disabilities</w:t>
      </w:r>
      <w:r w:rsidRPr="00E0795D">
        <w:rPr>
          <w:rFonts w:ascii="Times New Roman" w:hAnsi="Times New Roman"/>
        </w:rPr>
        <w:t xml:space="preserve">, 15 </w:t>
      </w:r>
      <w:r w:rsidRPr="00E42EF4">
        <w:rPr>
          <w:rFonts w:ascii="Times New Roman" w:hAnsi="Times New Roman"/>
          <w:smallCaps/>
        </w:rPr>
        <w:t>Journal of Applied Research in Intellectual Disabilities</w:t>
      </w:r>
      <w:r w:rsidRPr="00E0795D">
        <w:rPr>
          <w:rFonts w:ascii="Times New Roman" w:hAnsi="Times New Roman"/>
        </w:rPr>
        <w:t xml:space="preserve"> 285, 289 (2002). On the other hand, as Women with Disabilities Australia has noted, women with disabilities who ask for support services to help them parent often see that request used as proof that they are not capable of being parents. </w:t>
      </w:r>
      <w:r w:rsidRPr="00E0795D">
        <w:rPr>
          <w:rFonts w:ascii="Times New Roman" w:hAnsi="Times New Roman"/>
          <w:smallCaps/>
        </w:rPr>
        <w:t>Women with Disabilities Australia</w:t>
      </w:r>
      <w:r w:rsidRPr="00E0795D">
        <w:rPr>
          <w:rFonts w:ascii="Times New Roman" w:hAnsi="Times New Roman"/>
        </w:rPr>
        <w:t xml:space="preserve">, </w:t>
      </w:r>
      <w:r w:rsidRPr="00E0795D">
        <w:rPr>
          <w:rFonts w:ascii="Times New Roman" w:hAnsi="Times New Roman"/>
          <w:smallCaps/>
        </w:rPr>
        <w:t>Parenting Issues for Women with Disabilities in Australia 2009</w:t>
      </w:r>
      <w:r w:rsidRPr="00E0795D">
        <w:rPr>
          <w:rFonts w:ascii="Times New Roman" w:hAnsi="Times New Roman"/>
        </w:rPr>
        <w:t>, 12 (2009).</w:t>
      </w:r>
    </w:p>
  </w:endnote>
  <w:endnote w:id="17">
    <w:p w14:paraId="76D5250B"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United Nations Educational, Scientific, and Cultural Organization, The rationale for sexuality education: International Technical Guidance on Sexuality Education</w:t>
      </w:r>
      <w:r w:rsidRPr="00E0795D">
        <w:rPr>
          <w:rFonts w:ascii="Times New Roman" w:hAnsi="Times New Roman"/>
        </w:rPr>
        <w:t xml:space="preserve"> 20 (2009) [hereinafter </w:t>
      </w:r>
      <w:r w:rsidRPr="00E42EF4">
        <w:rPr>
          <w:rFonts w:ascii="Times New Roman" w:hAnsi="Times New Roman"/>
          <w:smallCaps/>
        </w:rPr>
        <w:t>Rationale for Sexuality Education</w:t>
      </w:r>
      <w:r w:rsidRPr="00E0795D">
        <w:rPr>
          <w:rFonts w:ascii="Times New Roman" w:hAnsi="Times New Roman"/>
        </w:rPr>
        <w:t xml:space="preserve">]. </w:t>
      </w:r>
      <w:r w:rsidRPr="00E0795D">
        <w:rPr>
          <w:rFonts w:ascii="Times New Roman" w:hAnsi="Times New Roman"/>
          <w:i/>
        </w:rPr>
        <w:t xml:space="preserve"> </w:t>
      </w:r>
    </w:p>
  </w:endnote>
  <w:endnote w:id="18">
    <w:p w14:paraId="69FB0F7B"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 xml:space="preserve">World Report on Disability, </w:t>
      </w:r>
      <w:r w:rsidRPr="00E0795D">
        <w:rPr>
          <w:rFonts w:ascii="Times New Roman" w:hAnsi="Times New Roman"/>
          <w:i/>
        </w:rPr>
        <w:t xml:space="preserve">supra </w:t>
      </w:r>
      <w:r w:rsidRPr="00E0795D">
        <w:rPr>
          <w:rFonts w:ascii="Times New Roman" w:hAnsi="Times New Roman"/>
        </w:rPr>
        <w:t>note 7, at 61.</w:t>
      </w:r>
    </w:p>
  </w:endnote>
  <w:endnote w:id="19">
    <w:p w14:paraId="5F8DBE85"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 xml:space="preserve">Rationale for Sexuality Education, </w:t>
      </w:r>
      <w:r w:rsidRPr="00E42EF4">
        <w:rPr>
          <w:rFonts w:ascii="Times New Roman" w:hAnsi="Times New Roman"/>
          <w:i/>
        </w:rPr>
        <w:t xml:space="preserve">supra </w:t>
      </w:r>
      <w:r w:rsidRPr="00E42EF4">
        <w:rPr>
          <w:rFonts w:ascii="Times New Roman" w:hAnsi="Times New Roman"/>
        </w:rPr>
        <w:t>note 16, at 22</w:t>
      </w:r>
      <w:r w:rsidRPr="00E0795D">
        <w:rPr>
          <w:rFonts w:ascii="Times New Roman" w:hAnsi="Times New Roman"/>
          <w:smallCaps/>
        </w:rPr>
        <w:t xml:space="preserve">, </w:t>
      </w:r>
    </w:p>
  </w:endnote>
  <w:endnote w:id="20">
    <w:p w14:paraId="5BD2D02D"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Center for Reproductive Rights, The Reproductive Rights of Adolescents: A Tool for Health and Empowerment</w:t>
      </w:r>
      <w:r w:rsidRPr="00E0795D">
        <w:rPr>
          <w:rFonts w:ascii="Times New Roman" w:hAnsi="Times New Roman"/>
        </w:rPr>
        <w:t xml:space="preserve"> 6 (2008) [hereinafter </w:t>
      </w:r>
      <w:r w:rsidRPr="00E0795D">
        <w:rPr>
          <w:rFonts w:ascii="Times New Roman" w:hAnsi="Times New Roman"/>
          <w:smallCaps/>
        </w:rPr>
        <w:t>Reproductive Rights of Adolescents]</w:t>
      </w:r>
      <w:r w:rsidRPr="00E0795D">
        <w:rPr>
          <w:rFonts w:ascii="Times New Roman" w:hAnsi="Times New Roman"/>
        </w:rPr>
        <w:t xml:space="preserve">.  </w:t>
      </w:r>
    </w:p>
  </w:endnote>
  <w:endnote w:id="21">
    <w:p w14:paraId="418942B6"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European Committee of Social Rights, </w:t>
      </w:r>
      <w:r w:rsidRPr="00E0795D">
        <w:rPr>
          <w:rFonts w:ascii="Times New Roman" w:hAnsi="Times New Roman"/>
          <w:i/>
        </w:rPr>
        <w:t>Interights v. Croatia</w:t>
      </w:r>
      <w:r>
        <w:rPr>
          <w:rFonts w:ascii="Times New Roman" w:hAnsi="Times New Roman"/>
        </w:rPr>
        <w:t xml:space="preserve">, para. 48, </w:t>
      </w:r>
      <w:r w:rsidRPr="00E0795D">
        <w:rPr>
          <w:rFonts w:ascii="Times New Roman" w:hAnsi="Times New Roman"/>
        </w:rPr>
        <w:t>Complaint No. 45/2007 (2009).</w:t>
      </w:r>
    </w:p>
  </w:endnote>
  <w:endnote w:id="22">
    <w:p w14:paraId="49D11D54"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 xml:space="preserve">See </w:t>
      </w:r>
      <w:r w:rsidRPr="00E0795D">
        <w:rPr>
          <w:rFonts w:ascii="Times New Roman" w:hAnsi="Times New Roman"/>
          <w:smallCaps/>
        </w:rPr>
        <w:t xml:space="preserve">Reproductive Rights of Adolescents, </w:t>
      </w:r>
      <w:r w:rsidRPr="00E0795D">
        <w:rPr>
          <w:rFonts w:ascii="Times New Roman" w:hAnsi="Times New Roman"/>
          <w:i/>
        </w:rPr>
        <w:t xml:space="preserve">supra </w:t>
      </w:r>
      <w:r w:rsidRPr="00E0795D">
        <w:rPr>
          <w:rFonts w:ascii="Times New Roman" w:hAnsi="Times New Roman"/>
        </w:rPr>
        <w:t>note 19, at 6-7.</w:t>
      </w:r>
    </w:p>
  </w:endnote>
  <w:endnote w:id="23">
    <w:p w14:paraId="765EF7DA"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w:t>
      </w:r>
      <w:r w:rsidRPr="00E0795D">
        <w:rPr>
          <w:rFonts w:ascii="Times New Roman" w:hAnsi="Times New Roman"/>
        </w:rPr>
        <w:t xml:space="preserve"> at 7.</w:t>
      </w:r>
    </w:p>
  </w:endnote>
  <w:endnote w:id="24">
    <w:p w14:paraId="34576C51" w14:textId="77777777" w:rsidR="004B5DB3" w:rsidRPr="00E0795D" w:rsidRDefault="004B5DB3" w:rsidP="004B5DB3">
      <w:pPr>
        <w:pStyle w:val="EndnoteText"/>
        <w:rPr>
          <w:rFonts w:ascii="Times New Roman" w:hAnsi="Times New Roman"/>
          <w:color w:val="FF0000"/>
        </w:rPr>
      </w:pPr>
      <w:r w:rsidRPr="00E0795D">
        <w:rPr>
          <w:rStyle w:val="EndnoteReference"/>
          <w:rFonts w:ascii="Times New Roman" w:hAnsi="Times New Roman"/>
        </w:rPr>
        <w:endnoteRef/>
      </w:r>
      <w:r w:rsidRPr="00E0795D">
        <w:rPr>
          <w:rFonts w:ascii="Times New Roman" w:hAnsi="Times New Roman"/>
        </w:rPr>
        <w:t xml:space="preserve"> For instance, many northern Ugandans believe that women with disabilities are asexual and thus do not have HIV/AIDS, or even that sex with a woman with disability can cure AIDS. This made women with disabilities especially vulnerable to HIV infection. HRW, </w:t>
      </w:r>
      <w:r w:rsidRPr="00E0795D">
        <w:rPr>
          <w:rFonts w:ascii="Times New Roman" w:hAnsi="Times New Roman"/>
          <w:smallCaps/>
        </w:rPr>
        <w:t>“As if We Weren’t Human”</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 xml:space="preserve">note 12, at 46-47. </w:t>
      </w:r>
      <w:r w:rsidRPr="00E42EF4">
        <w:rPr>
          <w:rFonts w:ascii="Times New Roman" w:hAnsi="Times New Roman"/>
        </w:rPr>
        <w:t xml:space="preserve">Women with disabilities are also sometimes perceived as being over-sexual, leading to many human rights abuses. </w:t>
      </w:r>
      <w:r w:rsidRPr="00E42EF4">
        <w:rPr>
          <w:rFonts w:ascii="Times New Roman" w:hAnsi="Times New Roman"/>
          <w:i/>
        </w:rPr>
        <w:t xml:space="preserve">See </w:t>
      </w:r>
      <w:r w:rsidRPr="00E42EF4">
        <w:rPr>
          <w:rFonts w:ascii="Times New Roman" w:hAnsi="Times New Roman"/>
          <w:color w:val="000000"/>
          <w:lang w:val="en-GB"/>
        </w:rPr>
        <w:t>Desjardin M. The sexualized body of the child, parents and the politics of ‘voluntary’ sterilization of people labelled intellectually disabled in R McRuer and A Mollow (editors)</w:t>
      </w:r>
      <w:r w:rsidRPr="00E42EF4">
        <w:rPr>
          <w:rStyle w:val="apple-converted-space"/>
          <w:rFonts w:ascii="Times New Roman" w:hAnsi="Times New Roman"/>
          <w:color w:val="000000"/>
          <w:lang w:val="en-GB"/>
        </w:rPr>
        <w:t> </w:t>
      </w:r>
      <w:r w:rsidRPr="00E42EF4">
        <w:rPr>
          <w:rFonts w:ascii="Times New Roman" w:hAnsi="Times New Roman"/>
          <w:i/>
          <w:iCs/>
          <w:color w:val="000000"/>
          <w:lang w:val="en-GB"/>
        </w:rPr>
        <w:t>Sex and Disability</w:t>
      </w:r>
      <w:r w:rsidRPr="00E42EF4">
        <w:rPr>
          <w:rFonts w:ascii="Times New Roman" w:hAnsi="Times New Roman"/>
          <w:color w:val="000000"/>
          <w:lang w:val="en-GB"/>
        </w:rPr>
        <w:t>,</w:t>
      </w:r>
      <w:r w:rsidRPr="00E42EF4">
        <w:rPr>
          <w:rStyle w:val="apple-converted-space"/>
          <w:rFonts w:ascii="Times New Roman" w:hAnsi="Times New Roman"/>
          <w:color w:val="000000"/>
          <w:lang w:val="en-GB"/>
        </w:rPr>
        <w:t> </w:t>
      </w:r>
      <w:r w:rsidRPr="00E42EF4">
        <w:rPr>
          <w:rFonts w:ascii="Times New Roman" w:hAnsi="Times New Roman"/>
          <w:color w:val="000000"/>
        </w:rPr>
        <w:t>Durham [N</w:t>
      </w:r>
      <w:r w:rsidRPr="00E0795D">
        <w:rPr>
          <w:rFonts w:ascii="Times New Roman" w:hAnsi="Times New Roman"/>
          <w:color w:val="000000"/>
        </w:rPr>
        <w:t xml:space="preserve">.C.]; Duke University Press (2012). </w:t>
      </w:r>
    </w:p>
  </w:endnote>
  <w:endnote w:id="25">
    <w:p w14:paraId="18E33EAA"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F.A. Owen, et al., </w:t>
      </w:r>
      <w:r w:rsidRPr="00E0795D">
        <w:rPr>
          <w:rFonts w:ascii="Times New Roman" w:hAnsi="Times New Roman"/>
          <w:i/>
        </w:rPr>
        <w:t>Perceptions of acceptable boundaries of persons with developmental disabilities and their care-providers</w:t>
      </w:r>
      <w:r w:rsidRPr="00E0795D">
        <w:rPr>
          <w:rFonts w:ascii="Times New Roman" w:hAnsi="Times New Roman"/>
        </w:rPr>
        <w:t xml:space="preserve">, 7 </w:t>
      </w:r>
      <w:r w:rsidRPr="00E42EF4">
        <w:rPr>
          <w:rFonts w:ascii="Times New Roman" w:hAnsi="Times New Roman"/>
          <w:smallCaps/>
        </w:rPr>
        <w:t>Journal on Developmental Disabilities</w:t>
      </w:r>
      <w:r w:rsidRPr="00E0795D">
        <w:rPr>
          <w:rFonts w:ascii="Times New Roman" w:hAnsi="Times New Roman"/>
        </w:rPr>
        <w:t xml:space="preserve"> 34-49 (2000).</w:t>
      </w:r>
    </w:p>
  </w:endnote>
  <w:endnote w:id="26">
    <w:p w14:paraId="779F3B7E"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World Report on Disability</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 xml:space="preserve">note 7, at 205-206; </w:t>
      </w:r>
      <w:r w:rsidRPr="00E0795D">
        <w:rPr>
          <w:rFonts w:ascii="Times New Roman" w:hAnsi="Times New Roman"/>
          <w:smallCaps/>
        </w:rPr>
        <w:t>Human Rights Watch, HIV and Disability</w:t>
      </w:r>
      <w:r w:rsidRPr="00E0795D">
        <w:rPr>
          <w:rFonts w:ascii="Times New Roman" w:hAnsi="Times New Roman"/>
        </w:rPr>
        <w:t xml:space="preserve"> 8 (2012) [hereinafter </w:t>
      </w:r>
      <w:r w:rsidRPr="00E0795D">
        <w:rPr>
          <w:rFonts w:ascii="Times New Roman" w:hAnsi="Times New Roman"/>
          <w:smallCaps/>
        </w:rPr>
        <w:t>HIV and Disability]</w:t>
      </w:r>
      <w:r w:rsidRPr="00E0795D">
        <w:rPr>
          <w:rFonts w:ascii="Times New Roman" w:hAnsi="Times New Roman"/>
        </w:rPr>
        <w:t xml:space="preserve">; </w:t>
      </w:r>
      <w:r w:rsidRPr="00E0795D">
        <w:rPr>
          <w:rFonts w:ascii="Times New Roman" w:hAnsi="Times New Roman"/>
          <w:i/>
        </w:rPr>
        <w:t xml:space="preserve">see also </w:t>
      </w:r>
      <w:r w:rsidRPr="00E0795D">
        <w:rPr>
          <w:rFonts w:ascii="Times New Roman" w:hAnsi="Times New Roman"/>
          <w:smallCaps/>
        </w:rPr>
        <w:t xml:space="preserve">Reproductive Rights of Adolescents, </w:t>
      </w:r>
      <w:r w:rsidRPr="00E0795D">
        <w:rPr>
          <w:rFonts w:ascii="Times New Roman" w:hAnsi="Times New Roman"/>
          <w:i/>
        </w:rPr>
        <w:t xml:space="preserve">supra </w:t>
      </w:r>
      <w:r w:rsidRPr="00E0795D">
        <w:rPr>
          <w:rFonts w:ascii="Times New Roman" w:hAnsi="Times New Roman"/>
        </w:rPr>
        <w:t>note 19, at</w:t>
      </w:r>
      <w:r w:rsidRPr="00E0795D">
        <w:rPr>
          <w:rFonts w:ascii="Times New Roman" w:hAnsi="Times New Roman"/>
          <w:smallCaps/>
        </w:rPr>
        <w:t xml:space="preserve"> </w:t>
      </w:r>
      <w:r w:rsidRPr="00E0795D">
        <w:rPr>
          <w:rFonts w:ascii="Times New Roman" w:hAnsi="Times New Roman"/>
        </w:rPr>
        <w:t>7.</w:t>
      </w:r>
    </w:p>
  </w:endnote>
  <w:endnote w:id="27">
    <w:p w14:paraId="330D7F65" w14:textId="77777777" w:rsidR="004B5DB3" w:rsidRPr="00E0795D" w:rsidRDefault="004B5DB3" w:rsidP="004B5DB3">
      <w:pPr>
        <w:pStyle w:val="EndnoteText"/>
        <w:rPr>
          <w:rFonts w:ascii="Times New Roman" w:hAnsi="Times New Roman"/>
          <w:i/>
        </w:rPr>
      </w:pPr>
      <w:r w:rsidRPr="00E0795D">
        <w:rPr>
          <w:rStyle w:val="EndnoteReference"/>
          <w:rFonts w:ascii="Times New Roman" w:hAnsi="Times New Roman"/>
        </w:rPr>
        <w:endnoteRef/>
      </w:r>
      <w:r w:rsidRPr="00E0795D">
        <w:rPr>
          <w:rFonts w:ascii="Times New Roman" w:hAnsi="Times New Roman"/>
        </w:rPr>
        <w:t xml:space="preserve"> Susheela Singh et al., </w:t>
      </w:r>
      <w:r w:rsidRPr="00E0795D">
        <w:rPr>
          <w:rFonts w:ascii="Times New Roman" w:hAnsi="Times New Roman"/>
          <w:i/>
        </w:rPr>
        <w:t xml:space="preserve">Evaluating the need for sex education in developing countries: sexual behaviour, </w:t>
      </w:r>
    </w:p>
    <w:p w14:paraId="27DD0887" w14:textId="77777777" w:rsidR="004B5DB3" w:rsidRPr="00E0795D" w:rsidRDefault="004B5DB3" w:rsidP="004B5DB3">
      <w:pPr>
        <w:pStyle w:val="EndnoteText"/>
        <w:rPr>
          <w:rFonts w:ascii="Times New Roman" w:hAnsi="Times New Roman"/>
        </w:rPr>
      </w:pPr>
      <w:r w:rsidRPr="00E0795D">
        <w:rPr>
          <w:rFonts w:ascii="Times New Roman" w:hAnsi="Times New Roman"/>
          <w:i/>
        </w:rPr>
        <w:t>knowledge of preventing sexually transmitted infections/HIV and unplanned pregnancy</w:t>
      </w:r>
      <w:r w:rsidRPr="00E0795D">
        <w:rPr>
          <w:rFonts w:ascii="Times New Roman" w:hAnsi="Times New Roman"/>
        </w:rPr>
        <w:t xml:space="preserve">, 5(4) </w:t>
      </w:r>
      <w:r w:rsidRPr="00E0795D">
        <w:rPr>
          <w:rFonts w:ascii="Times New Roman" w:hAnsi="Times New Roman"/>
          <w:smallCaps/>
        </w:rPr>
        <w:t>Sex Education 307,</w:t>
      </w:r>
      <w:r w:rsidRPr="00E0795D">
        <w:rPr>
          <w:rFonts w:ascii="Times New Roman" w:hAnsi="Times New Roman"/>
        </w:rPr>
        <w:t xml:space="preserve"> 310 (2005).</w:t>
      </w:r>
    </w:p>
  </w:endnote>
  <w:endnote w:id="28">
    <w:p w14:paraId="485B7C98" w14:textId="77777777" w:rsidR="005C2974" w:rsidRPr="004B2211" w:rsidRDefault="005C2974" w:rsidP="005C2974">
      <w:pPr>
        <w:pStyle w:val="EndnoteText"/>
        <w:rPr>
          <w:rFonts w:ascii="Times New Roman" w:hAnsi="Times New Roman" w:cs="Times New Roman"/>
        </w:rPr>
      </w:pPr>
      <w:r w:rsidRPr="00A1352A">
        <w:rPr>
          <w:rFonts w:ascii="Times New Roman" w:hAnsi="Times New Roman" w:cs="Times New Roman"/>
          <w:vertAlign w:val="superscript"/>
        </w:rPr>
        <w:endnoteRef/>
      </w:r>
      <w:r w:rsidRPr="00A1352A">
        <w:rPr>
          <w:rFonts w:ascii="Times New Roman" w:hAnsi="Times New Roman" w:cs="Times New Roman"/>
        </w:rPr>
        <w:t xml:space="preserve"> </w:t>
      </w:r>
      <w:r w:rsidRPr="00A1352A">
        <w:rPr>
          <w:rFonts w:ascii="Times New Roman" w:hAnsi="Times New Roman" w:cs="Times New Roman"/>
          <w:smallCaps/>
        </w:rPr>
        <w:t>World Health Organization</w:t>
      </w:r>
      <w:r w:rsidRPr="00A1352A">
        <w:rPr>
          <w:rFonts w:ascii="Times New Roman" w:hAnsi="Times New Roman" w:cs="Times New Roman"/>
        </w:rPr>
        <w:t xml:space="preserve"> (</w:t>
      </w:r>
      <w:r w:rsidRPr="00A1352A">
        <w:rPr>
          <w:rFonts w:ascii="Times New Roman" w:hAnsi="Times New Roman" w:cs="Times New Roman"/>
          <w:smallCaps/>
        </w:rPr>
        <w:t>WHO)/United Nations Population Fund (UNFPA), Promoting sexual and reproductive health for persons with disabilities</w:t>
      </w:r>
      <w:r w:rsidRPr="00A1352A">
        <w:rPr>
          <w:rFonts w:ascii="Times New Roman" w:hAnsi="Times New Roman" w:cs="Times New Roman"/>
        </w:rPr>
        <w:t xml:space="preserve"> 7 (2009).</w:t>
      </w:r>
    </w:p>
  </w:endnote>
  <w:endnote w:id="29">
    <w:p w14:paraId="78C7A26A" w14:textId="77777777" w:rsidR="005C2974" w:rsidRPr="004B2211" w:rsidRDefault="005C2974" w:rsidP="005C2974">
      <w:pPr>
        <w:pStyle w:val="EndnoteText"/>
        <w:rPr>
          <w:rFonts w:ascii="Times New Roman" w:hAnsi="Times New Roman" w:cs="Times New Roman"/>
        </w:rPr>
      </w:pPr>
      <w:r w:rsidRPr="004B2211">
        <w:rPr>
          <w:rStyle w:val="EndnoteReference"/>
          <w:rFonts w:ascii="Times New Roman" w:hAnsi="Times New Roman" w:cs="Times New Roman"/>
        </w:rPr>
        <w:endnoteRef/>
      </w:r>
      <w:r w:rsidRPr="004B2211">
        <w:rPr>
          <w:rFonts w:ascii="Times New Roman" w:hAnsi="Times New Roman" w:cs="Times New Roman"/>
        </w:rPr>
        <w:t xml:space="preserve"> </w:t>
      </w:r>
      <w:r w:rsidRPr="004B2211">
        <w:rPr>
          <w:rFonts w:ascii="Times New Roman" w:hAnsi="Times New Roman" w:cs="Times New Roman"/>
          <w:i/>
        </w:rPr>
        <w:t>See,</w:t>
      </w:r>
      <w:r w:rsidRPr="004B2211">
        <w:rPr>
          <w:rFonts w:ascii="Times New Roman" w:hAnsi="Times New Roman" w:cs="Times New Roman"/>
        </w:rPr>
        <w:t xml:space="preserve"> as an example of barriers to health services in the USA, including HIV prevention for deaf persons, Center for AIDS Prevention, University of California, San Francisco, </w:t>
      </w:r>
      <w:r w:rsidRPr="004B2211">
        <w:rPr>
          <w:rFonts w:ascii="Times New Roman" w:hAnsi="Times New Roman" w:cs="Times New Roman"/>
          <w:i/>
        </w:rPr>
        <w:t>What Are Deaf Persons’ HIV Prevention Needs?</w:t>
      </w:r>
      <w:r w:rsidRPr="004B2211">
        <w:rPr>
          <w:rFonts w:ascii="Times New Roman" w:hAnsi="Times New Roman" w:cs="Times New Roman"/>
        </w:rPr>
        <w:t xml:space="preserve">, </w:t>
      </w:r>
      <w:r w:rsidRPr="004B2211">
        <w:rPr>
          <w:rFonts w:ascii="Times New Roman" w:hAnsi="Times New Roman" w:cs="Times New Roman"/>
          <w:i/>
        </w:rPr>
        <w:t>available at</w:t>
      </w:r>
      <w:r w:rsidRPr="004B2211">
        <w:rPr>
          <w:rFonts w:ascii="Times New Roman" w:hAnsi="Times New Roman" w:cs="Times New Roman"/>
        </w:rPr>
        <w:t xml:space="preserve"> http://caps.ucsf.edu/archives/factsheets/deaf-persons.</w:t>
      </w:r>
    </w:p>
  </w:endnote>
  <w:endnote w:id="30">
    <w:p w14:paraId="1DAEBC7D" w14:textId="77777777" w:rsidR="005C2974" w:rsidRPr="004B2211" w:rsidRDefault="005C2974" w:rsidP="005C2974">
      <w:pPr>
        <w:pStyle w:val="EndnoteText"/>
        <w:rPr>
          <w:rFonts w:ascii="Times New Roman" w:hAnsi="Times New Roman" w:cs="Times New Roman"/>
        </w:rPr>
      </w:pPr>
      <w:r w:rsidRPr="004B2211">
        <w:rPr>
          <w:rFonts w:ascii="Times New Roman" w:hAnsi="Times New Roman" w:cs="Times New Roman"/>
          <w:vertAlign w:val="superscript"/>
        </w:rPr>
        <w:endnoteRef/>
      </w:r>
      <w:r w:rsidRPr="004B2211">
        <w:rPr>
          <w:rFonts w:ascii="Times New Roman" w:hAnsi="Times New Roman" w:cs="Times New Roman"/>
        </w:rPr>
        <w:t xml:space="preserve"> </w:t>
      </w:r>
      <w:r w:rsidRPr="00A1352A">
        <w:rPr>
          <w:rFonts w:ascii="Times New Roman" w:hAnsi="Times New Roman" w:cs="Times New Roman"/>
          <w:smallCaps/>
        </w:rPr>
        <w:t>World Health Organization</w:t>
      </w:r>
      <w:r w:rsidRPr="00A1352A">
        <w:rPr>
          <w:rFonts w:ascii="Times New Roman" w:hAnsi="Times New Roman" w:cs="Times New Roman"/>
        </w:rPr>
        <w:t xml:space="preserve"> (</w:t>
      </w:r>
      <w:r w:rsidRPr="00A1352A">
        <w:rPr>
          <w:rFonts w:ascii="Times New Roman" w:hAnsi="Times New Roman" w:cs="Times New Roman"/>
          <w:smallCaps/>
        </w:rPr>
        <w:t>WHO)/United Nations Population Fund (UNFPA), Promoting sexual and reproductive health for persons with disabilities</w:t>
      </w:r>
      <w:r w:rsidRPr="00A1352A">
        <w:rPr>
          <w:rFonts w:ascii="Times New Roman" w:hAnsi="Times New Roman" w:cs="Times New Roman"/>
        </w:rPr>
        <w:t xml:space="preserve"> 7 (2009).</w:t>
      </w:r>
    </w:p>
  </w:endnote>
  <w:endnote w:id="31">
    <w:p w14:paraId="5381C42D" w14:textId="77777777" w:rsidR="005C2974" w:rsidRPr="004B2211" w:rsidRDefault="005C2974" w:rsidP="005C2974">
      <w:pPr>
        <w:pStyle w:val="EndnoteText"/>
        <w:rPr>
          <w:rFonts w:ascii="Times New Roman" w:hAnsi="Times New Roman" w:cs="Times New Roman"/>
          <w:i/>
          <w:iCs/>
          <w:highlight w:val="red"/>
        </w:rPr>
      </w:pPr>
      <w:r w:rsidRPr="004B2211">
        <w:rPr>
          <w:rFonts w:ascii="Times New Roman" w:hAnsi="Times New Roman" w:cs="Times New Roman"/>
          <w:vertAlign w:val="superscript"/>
        </w:rPr>
        <w:endnoteRef/>
      </w:r>
      <w:r w:rsidRPr="004B2211">
        <w:rPr>
          <w:rFonts w:ascii="Times New Roman" w:hAnsi="Times New Roman" w:cs="Times New Roman"/>
        </w:rPr>
        <w:t xml:space="preserve"> </w:t>
      </w:r>
      <w:r>
        <w:rPr>
          <w:rFonts w:ascii="Times New Roman" w:hAnsi="Times New Roman" w:cs="Times New Roman"/>
        </w:rPr>
        <w:t xml:space="preserve">Human Rights Watch, </w:t>
      </w:r>
      <w:r w:rsidRPr="004B2211">
        <w:rPr>
          <w:rFonts w:ascii="Times New Roman" w:hAnsi="Times New Roman" w:cs="Times New Roman"/>
          <w:smallCaps/>
        </w:rPr>
        <w:t>“As if We Weren’t Human”: Discrimination and Violence against Women with Disabilities in Northern Uganda</w:t>
      </w:r>
      <w:r w:rsidRPr="004B2211">
        <w:rPr>
          <w:rFonts w:ascii="Times New Roman" w:hAnsi="Times New Roman" w:cs="Times New Roman"/>
        </w:rPr>
        <w:t xml:space="preserve"> 46-47</w:t>
      </w:r>
      <w:r>
        <w:rPr>
          <w:rFonts w:ascii="Times New Roman" w:hAnsi="Times New Roman" w:cs="Times New Roman"/>
        </w:rPr>
        <w:t xml:space="preserve"> (2010)</w:t>
      </w:r>
      <w:r w:rsidRPr="004B2211">
        <w:rPr>
          <w:rFonts w:ascii="Times New Roman" w:hAnsi="Times New Roman" w:cs="Times New Roman"/>
        </w:rPr>
        <w:t xml:space="preserve">. </w:t>
      </w:r>
      <w:r w:rsidRPr="004B2211">
        <w:rPr>
          <w:rFonts w:ascii="Times New Roman" w:hAnsi="Times New Roman" w:cs="Times New Roman"/>
          <w:i/>
          <w:iCs/>
        </w:rPr>
        <w:t xml:space="preserve">See </w:t>
      </w:r>
      <w:r w:rsidRPr="000D69E2">
        <w:rPr>
          <w:rFonts w:ascii="Times New Roman" w:hAnsi="Times New Roman" w:cs="Times New Roman"/>
          <w:shd w:val="clear" w:color="auto" w:fill="FFFFFF"/>
        </w:rPr>
        <w:t>Desjardin M.,</w:t>
      </w:r>
      <w:r w:rsidRPr="000D69E2">
        <w:rPr>
          <w:rFonts w:ascii="Times New Roman" w:hAnsi="Times New Roman" w:cs="Times New Roman"/>
          <w:i/>
        </w:rPr>
        <w:t xml:space="preserve"> </w:t>
      </w:r>
      <w:r w:rsidRPr="004B2211">
        <w:rPr>
          <w:rFonts w:ascii="Times New Roman" w:hAnsi="Times New Roman" w:cs="Times New Roman"/>
          <w:i/>
        </w:rPr>
        <w:t>The sexualized body of the child, parents and the politics of ‘voluntary’ sterilization of people labelled intellectually disabled</w:t>
      </w:r>
      <w:r w:rsidRPr="000D69E2">
        <w:rPr>
          <w:rFonts w:eastAsiaTheme="minorHAnsi"/>
          <w:i/>
          <w:sz w:val="22"/>
          <w:szCs w:val="22"/>
          <w:bdr w:val="none" w:sz="0" w:space="0" w:color="auto" w:frame="1"/>
        </w:rPr>
        <w:t xml:space="preserve"> </w:t>
      </w:r>
      <w:r w:rsidRPr="000D69E2">
        <w:rPr>
          <w:rFonts w:ascii="Times New Roman" w:hAnsi="Times New Roman" w:cs="Times New Roman"/>
          <w:i/>
        </w:rPr>
        <w:t>in</w:t>
      </w:r>
      <w:r w:rsidRPr="000D69E2">
        <w:rPr>
          <w:rFonts w:ascii="Times New Roman" w:hAnsi="Times New Roman" w:cs="Times New Roman"/>
          <w:i/>
          <w:smallCaps/>
        </w:rPr>
        <w:t xml:space="preserve"> </w:t>
      </w:r>
      <w:r w:rsidRPr="000D69E2">
        <w:rPr>
          <w:rFonts w:ascii="Times New Roman" w:hAnsi="Times New Roman" w:cs="Times New Roman"/>
          <w:smallCaps/>
        </w:rPr>
        <w:t>Sex and Disability</w:t>
      </w:r>
      <w:r w:rsidRPr="000D69E2">
        <w:rPr>
          <w:rFonts w:ascii="Times New Roman" w:hAnsi="Times New Roman" w:cs="Times New Roman"/>
        </w:rPr>
        <w:t xml:space="preserve"> (R McRuer and A Mollow) (2012). </w:t>
      </w:r>
    </w:p>
  </w:endnote>
  <w:endnote w:id="32">
    <w:p w14:paraId="659CFDC7"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See</w:t>
      </w:r>
      <w:r w:rsidRPr="00E0795D">
        <w:rPr>
          <w:rFonts w:ascii="Times New Roman" w:hAnsi="Times New Roman"/>
        </w:rPr>
        <w:t xml:space="preserve"> </w:t>
      </w:r>
      <w:r w:rsidRPr="00E0795D">
        <w:rPr>
          <w:rFonts w:ascii="Times New Roman" w:hAnsi="Times New Roman"/>
          <w:smallCaps/>
        </w:rPr>
        <w:t>Center for Reproductive Rights</w:t>
      </w:r>
      <w:r w:rsidRPr="00E0795D">
        <w:rPr>
          <w:rFonts w:ascii="Times New Roman" w:hAnsi="Times New Roman"/>
        </w:rPr>
        <w:t xml:space="preserve">, </w:t>
      </w:r>
      <w:r w:rsidRPr="00E0795D">
        <w:rPr>
          <w:rFonts w:ascii="Times New Roman" w:hAnsi="Times New Roman"/>
          <w:i/>
        </w:rPr>
        <w:t xml:space="preserve">The Human Right to Information on Sexual and Reproductive Health: Government Duties to Ensure Comprehensive Sexuality Education, in </w:t>
      </w:r>
      <w:r w:rsidRPr="00E0795D">
        <w:rPr>
          <w:rFonts w:ascii="Times New Roman" w:hAnsi="Times New Roman"/>
          <w:smallCaps/>
        </w:rPr>
        <w:t>Bringing Rights to Bear</w:t>
      </w:r>
      <w:r w:rsidRPr="00E0795D">
        <w:rPr>
          <w:rFonts w:ascii="Times New Roman" w:hAnsi="Times New Roman"/>
        </w:rPr>
        <w:t xml:space="preserve"> (2008); </w:t>
      </w:r>
      <w:r w:rsidRPr="00E0795D">
        <w:rPr>
          <w:rFonts w:ascii="Times New Roman" w:hAnsi="Times New Roman"/>
          <w:i/>
        </w:rPr>
        <w:t>see also, e.g.</w:t>
      </w:r>
      <w:r w:rsidRPr="00E0795D">
        <w:rPr>
          <w:rFonts w:ascii="Times New Roman" w:hAnsi="Times New Roman"/>
        </w:rPr>
        <w:t xml:space="preserve">, Committee on the Rights of the Child, </w:t>
      </w:r>
      <w:r w:rsidRPr="00E0795D">
        <w:rPr>
          <w:rFonts w:ascii="Times New Roman" w:hAnsi="Times New Roman"/>
          <w:i/>
        </w:rPr>
        <w:t>General Comment No. 4: Adolescent health and development in the context of the Convention on the Rights of the Child</w:t>
      </w:r>
      <w:r w:rsidRPr="00E0795D">
        <w:rPr>
          <w:rFonts w:ascii="Times New Roman" w:hAnsi="Times New Roman"/>
        </w:rPr>
        <w:t>, (33</w:t>
      </w:r>
      <w:r w:rsidRPr="00E0795D">
        <w:rPr>
          <w:rFonts w:ascii="Times New Roman" w:hAnsi="Times New Roman"/>
          <w:vertAlign w:val="superscript"/>
        </w:rPr>
        <w:t>rd</w:t>
      </w:r>
      <w:r w:rsidRPr="00E0795D">
        <w:rPr>
          <w:rFonts w:ascii="Times New Roman" w:hAnsi="Times New Roman"/>
        </w:rPr>
        <w:t xml:space="preserve"> Sess., 2003), </w:t>
      </w:r>
      <w:r w:rsidRPr="00E0795D">
        <w:rPr>
          <w:rFonts w:ascii="Times New Roman" w:hAnsi="Times New Roman"/>
          <w:i/>
        </w:rPr>
        <w:t>in</w:t>
      </w:r>
      <w:r w:rsidRPr="00E0795D">
        <w:rPr>
          <w:rFonts w:ascii="Times New Roman" w:hAnsi="Times New Roman"/>
        </w:rPr>
        <w:t xml:space="preserve"> Compilation of General Comments and General Recommendations Adopted by Human Rights Treaty Bodies, at 418, para. 28, U.N. Doc. HRI/GEN/1/Rev.9 (Vol. II) (2008) [hereinafter Committee on the Rights of the Child</w:t>
      </w:r>
      <w:r w:rsidRPr="00E0795D">
        <w:rPr>
          <w:rFonts w:ascii="Times New Roman" w:hAnsi="Times New Roman"/>
          <w:i/>
        </w:rPr>
        <w:t>, Gen. Comment No. 4</w:t>
      </w:r>
      <w:r w:rsidRPr="00E0795D">
        <w:rPr>
          <w:rFonts w:ascii="Times New Roman" w:hAnsi="Times New Roman"/>
        </w:rPr>
        <w:t xml:space="preserve">]; Special Rapporteur on the right to education, </w:t>
      </w:r>
      <w:r w:rsidRPr="00E0795D">
        <w:rPr>
          <w:rFonts w:ascii="Times New Roman" w:hAnsi="Times New Roman"/>
          <w:i/>
        </w:rPr>
        <w:t>Rep. of the United Nations Special Rapporteur on the right to education</w:t>
      </w:r>
      <w:r w:rsidRPr="00E0795D">
        <w:rPr>
          <w:rFonts w:ascii="Times New Roman" w:hAnsi="Times New Roman"/>
        </w:rPr>
        <w:t xml:space="preserve">, paras. 19, 24-37, U.N. Doc. A/65/162 (July 23, 2010) (by Vernon Muñoz) [hereinafter </w:t>
      </w:r>
      <w:r w:rsidRPr="00E0795D">
        <w:rPr>
          <w:rFonts w:ascii="Times New Roman" w:hAnsi="Times New Roman"/>
          <w:i/>
        </w:rPr>
        <w:t>Rep. of the Special Rapporteur on the right to education</w:t>
      </w:r>
      <w:r w:rsidRPr="00E0795D">
        <w:rPr>
          <w:rFonts w:ascii="Times New Roman" w:hAnsi="Times New Roman"/>
        </w:rPr>
        <w:t xml:space="preserve">];  CEDAW Committee, </w:t>
      </w:r>
      <w:r w:rsidRPr="00E0795D">
        <w:rPr>
          <w:rFonts w:ascii="Times New Roman" w:hAnsi="Times New Roman"/>
          <w:i/>
        </w:rPr>
        <w:t>Concluding Observations: Antigua and Barbuda</w:t>
      </w:r>
      <w:r w:rsidRPr="00E0795D">
        <w:rPr>
          <w:rFonts w:ascii="Times New Roman" w:hAnsi="Times New Roman"/>
        </w:rPr>
        <w:t xml:space="preserve">, para. 267, U.N. Doc. A/52/38/Rev.1, Part II (1997); </w:t>
      </w:r>
      <w:r w:rsidRPr="00E0795D">
        <w:rPr>
          <w:rFonts w:ascii="Times New Roman" w:hAnsi="Times New Roman"/>
          <w:i/>
        </w:rPr>
        <w:t>Belize</w:t>
      </w:r>
      <w:r w:rsidRPr="00E0795D">
        <w:rPr>
          <w:rFonts w:ascii="Times New Roman" w:hAnsi="Times New Roman"/>
        </w:rPr>
        <w:t xml:space="preserve">, paras. 56–57, U.N. Doc. A/54/38 (1999); </w:t>
      </w:r>
      <w:r w:rsidRPr="00E0795D">
        <w:rPr>
          <w:rFonts w:ascii="Times New Roman" w:hAnsi="Times New Roman"/>
          <w:i/>
        </w:rPr>
        <w:t>Bosnia and Herzegovina</w:t>
      </w:r>
      <w:r w:rsidRPr="00E0795D">
        <w:rPr>
          <w:rFonts w:ascii="Times New Roman" w:hAnsi="Times New Roman"/>
        </w:rPr>
        <w:t xml:space="preserve">, para. 36, U.N. Doc. CEDAW/C/BIH/CO/3 (2006); </w:t>
      </w:r>
      <w:r w:rsidRPr="00E0795D">
        <w:rPr>
          <w:rFonts w:ascii="Times New Roman" w:hAnsi="Times New Roman"/>
          <w:i/>
        </w:rPr>
        <w:t>Chile</w:t>
      </w:r>
      <w:r w:rsidRPr="00E0795D">
        <w:rPr>
          <w:rFonts w:ascii="Times New Roman" w:hAnsi="Times New Roman"/>
        </w:rPr>
        <w:t xml:space="preserve">, para. 227, U.N. Doc. A/54/38 (1999); </w:t>
      </w:r>
      <w:r w:rsidRPr="00E0795D">
        <w:rPr>
          <w:rFonts w:ascii="Times New Roman" w:hAnsi="Times New Roman"/>
          <w:i/>
        </w:rPr>
        <w:t>Dominican Republic</w:t>
      </w:r>
      <w:r w:rsidRPr="00E0795D">
        <w:rPr>
          <w:rFonts w:ascii="Times New Roman" w:hAnsi="Times New Roman"/>
        </w:rPr>
        <w:t xml:space="preserve">, para. 349, U.N. Doc. A/53/38 (1998); </w:t>
      </w:r>
      <w:r w:rsidRPr="00E0795D">
        <w:rPr>
          <w:rFonts w:ascii="Times New Roman" w:hAnsi="Times New Roman"/>
          <w:i/>
        </w:rPr>
        <w:t>Greece</w:t>
      </w:r>
      <w:r w:rsidRPr="00E0795D">
        <w:rPr>
          <w:rFonts w:ascii="Times New Roman" w:hAnsi="Times New Roman"/>
        </w:rPr>
        <w:t xml:space="preserve">, para. 208, U.N. Doc. A/54/38 (1999); </w:t>
      </w:r>
      <w:r w:rsidRPr="00E0795D">
        <w:rPr>
          <w:rFonts w:ascii="Times New Roman" w:hAnsi="Times New Roman"/>
          <w:i/>
        </w:rPr>
        <w:t>Peru</w:t>
      </w:r>
      <w:r w:rsidRPr="00E0795D">
        <w:rPr>
          <w:rFonts w:ascii="Times New Roman" w:hAnsi="Times New Roman"/>
        </w:rPr>
        <w:t xml:space="preserve">, para. 342, U.N. Doc. A/53/38 (1998); </w:t>
      </w:r>
      <w:r w:rsidRPr="00E0795D">
        <w:rPr>
          <w:rFonts w:ascii="Times New Roman" w:hAnsi="Times New Roman"/>
          <w:i/>
        </w:rPr>
        <w:t>Slovakia</w:t>
      </w:r>
      <w:r w:rsidRPr="00E0795D">
        <w:rPr>
          <w:rFonts w:ascii="Times New Roman" w:hAnsi="Times New Roman"/>
        </w:rPr>
        <w:t xml:space="preserve">, para. 92, U.N. Doc. A/53/38/Rev.1 (1998); </w:t>
      </w:r>
      <w:r w:rsidRPr="00E0795D">
        <w:rPr>
          <w:rFonts w:ascii="Times New Roman" w:hAnsi="Times New Roman"/>
          <w:i/>
        </w:rPr>
        <w:t>Slovenia</w:t>
      </w:r>
      <w:r w:rsidRPr="00E0795D">
        <w:rPr>
          <w:rFonts w:ascii="Times New Roman" w:hAnsi="Times New Roman"/>
        </w:rPr>
        <w:t xml:space="preserve">, para. 119, U.N. Doc. A/52/38/Rev.1 (1997); </w:t>
      </w:r>
      <w:r w:rsidRPr="00E0795D">
        <w:rPr>
          <w:rFonts w:ascii="Times New Roman" w:hAnsi="Times New Roman"/>
          <w:i/>
        </w:rPr>
        <w:t>Zimbabwe</w:t>
      </w:r>
      <w:r w:rsidRPr="00E0795D">
        <w:rPr>
          <w:rFonts w:ascii="Times New Roman" w:hAnsi="Times New Roman"/>
        </w:rPr>
        <w:t>, para. 161, U.N. Doc. A/53/38 (1998).</w:t>
      </w:r>
    </w:p>
  </w:endnote>
  <w:endnote w:id="33">
    <w:p w14:paraId="52C0BA38" w14:textId="77777777" w:rsidR="004B5DB3" w:rsidRPr="004B5DB3" w:rsidRDefault="004B5DB3" w:rsidP="004B5DB3">
      <w:pPr>
        <w:spacing w:after="0" w:line="240" w:lineRule="auto"/>
        <w:rPr>
          <w:rFonts w:ascii="Times New Roman" w:hAnsi="Times New Roman"/>
          <w:sz w:val="20"/>
          <w:szCs w:val="20"/>
          <w:lang w:val="en-US"/>
        </w:rPr>
      </w:pPr>
      <w:r w:rsidRPr="00E0795D">
        <w:rPr>
          <w:rStyle w:val="EndnoteReference"/>
          <w:rFonts w:ascii="Times New Roman" w:hAnsi="Times New Roman"/>
          <w:sz w:val="20"/>
          <w:szCs w:val="20"/>
        </w:rPr>
        <w:endnoteRef/>
      </w:r>
      <w:r w:rsidRPr="004B5DB3">
        <w:rPr>
          <w:rFonts w:ascii="Times New Roman" w:hAnsi="Times New Roman"/>
          <w:sz w:val="20"/>
          <w:szCs w:val="20"/>
          <w:lang w:val="en-US"/>
        </w:rPr>
        <w:t xml:space="preserve"> Committee on Economic, Social and Cultural Rights, </w:t>
      </w:r>
      <w:r w:rsidRPr="004B5DB3">
        <w:rPr>
          <w:rFonts w:ascii="Times New Roman" w:hAnsi="Times New Roman"/>
          <w:i/>
          <w:sz w:val="20"/>
          <w:szCs w:val="20"/>
          <w:lang w:val="en-US"/>
        </w:rPr>
        <w:t>General Comment No. 14:</w:t>
      </w:r>
      <w:r w:rsidRPr="004B5DB3">
        <w:rPr>
          <w:rFonts w:ascii="Times New Roman" w:hAnsi="Times New Roman"/>
          <w:sz w:val="20"/>
          <w:szCs w:val="20"/>
          <w:lang w:val="en-US"/>
        </w:rPr>
        <w:t xml:space="preserve"> </w:t>
      </w:r>
      <w:r w:rsidRPr="004B5DB3">
        <w:rPr>
          <w:rFonts w:ascii="Times New Roman" w:hAnsi="Times New Roman"/>
          <w:i/>
          <w:sz w:val="20"/>
          <w:szCs w:val="20"/>
          <w:lang w:val="en-US"/>
        </w:rPr>
        <w:t>The right to the highest attainable standard of health (Art. 12)</w:t>
      </w:r>
      <w:r w:rsidRPr="004B5DB3">
        <w:rPr>
          <w:rFonts w:ascii="Times New Roman" w:hAnsi="Times New Roman"/>
          <w:sz w:val="20"/>
          <w:szCs w:val="20"/>
          <w:lang w:val="en-US"/>
        </w:rPr>
        <w:t>, (22</w:t>
      </w:r>
      <w:r w:rsidRPr="004B5DB3">
        <w:rPr>
          <w:rFonts w:ascii="Times New Roman" w:hAnsi="Times New Roman"/>
          <w:sz w:val="20"/>
          <w:szCs w:val="20"/>
          <w:vertAlign w:val="superscript"/>
          <w:lang w:val="en-US"/>
        </w:rPr>
        <w:t>nd</w:t>
      </w:r>
      <w:r w:rsidRPr="004B5DB3">
        <w:rPr>
          <w:rFonts w:ascii="Times New Roman" w:hAnsi="Times New Roman"/>
          <w:sz w:val="20"/>
          <w:szCs w:val="20"/>
          <w:lang w:val="en-US"/>
        </w:rPr>
        <w:t xml:space="preserve"> Sess., 2000), </w:t>
      </w:r>
      <w:r w:rsidRPr="004B5DB3">
        <w:rPr>
          <w:rFonts w:ascii="Times New Roman" w:hAnsi="Times New Roman"/>
          <w:i/>
          <w:sz w:val="20"/>
          <w:szCs w:val="20"/>
          <w:lang w:val="en-US"/>
        </w:rPr>
        <w:t>in</w:t>
      </w:r>
      <w:r w:rsidRPr="004B5DB3">
        <w:rPr>
          <w:rFonts w:ascii="Times New Roman" w:hAnsi="Times New Roman"/>
          <w:sz w:val="20"/>
          <w:szCs w:val="20"/>
          <w:lang w:val="en-US"/>
        </w:rPr>
        <w:t xml:space="preserve"> Compilation of General Comments and General Recommendations Adopted by Human Rights Treaty Bodies, at 80, para. 11, U.N. Doc. HRI/GEN/1/Rev.9 (Vol. I) (2008) [hereinafter ESCR Committee</w:t>
      </w:r>
      <w:r w:rsidRPr="004B5DB3">
        <w:rPr>
          <w:rFonts w:ascii="Times New Roman" w:hAnsi="Times New Roman"/>
          <w:i/>
          <w:sz w:val="20"/>
          <w:szCs w:val="20"/>
          <w:lang w:val="en-US"/>
        </w:rPr>
        <w:t>, Gen. Comment No. 14</w:t>
      </w:r>
      <w:r w:rsidRPr="004B5DB3">
        <w:rPr>
          <w:rFonts w:ascii="Times New Roman" w:hAnsi="Times New Roman"/>
          <w:sz w:val="20"/>
          <w:szCs w:val="20"/>
          <w:lang w:val="en-US"/>
        </w:rPr>
        <w:t>].</w:t>
      </w:r>
    </w:p>
  </w:endnote>
  <w:endnote w:id="34">
    <w:p w14:paraId="46B4EB02"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 xml:space="preserve">Id. </w:t>
      </w:r>
      <w:r w:rsidRPr="00E0795D">
        <w:rPr>
          <w:rFonts w:ascii="Times New Roman" w:hAnsi="Times New Roman"/>
        </w:rPr>
        <w:t>para. 12(b).</w:t>
      </w:r>
    </w:p>
  </w:endnote>
  <w:endnote w:id="35">
    <w:p w14:paraId="25A87E73"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w:t>
      </w:r>
      <w:r w:rsidRPr="00E0795D">
        <w:rPr>
          <w:rFonts w:ascii="Times New Roman" w:hAnsi="Times New Roman"/>
        </w:rPr>
        <w:t xml:space="preserve"> para. 21.</w:t>
      </w:r>
    </w:p>
  </w:endnote>
  <w:endnote w:id="36">
    <w:p w14:paraId="4C07C9A2"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Committee on the Elimination of Discrimination against Women, </w:t>
      </w:r>
      <w:r w:rsidRPr="00E0795D">
        <w:rPr>
          <w:rFonts w:ascii="Times New Roman" w:hAnsi="Times New Roman"/>
          <w:i/>
          <w:iCs/>
        </w:rPr>
        <w:t>General</w:t>
      </w:r>
      <w:r w:rsidRPr="00E0795D">
        <w:rPr>
          <w:rFonts w:ascii="Times New Roman" w:hAnsi="Times New Roman"/>
        </w:rPr>
        <w:t xml:space="preserve"> </w:t>
      </w:r>
      <w:r w:rsidRPr="00E0795D">
        <w:rPr>
          <w:rFonts w:ascii="Times New Roman" w:hAnsi="Times New Roman"/>
          <w:i/>
          <w:iCs/>
        </w:rPr>
        <w:t>Recommendation No. 21: Equality in marriage and family relations</w:t>
      </w:r>
      <w:r w:rsidRPr="00E0795D">
        <w:rPr>
          <w:rFonts w:ascii="Times New Roman" w:hAnsi="Times New Roman"/>
          <w:iCs/>
        </w:rPr>
        <w:t>,</w:t>
      </w:r>
      <w:r w:rsidRPr="00E0795D">
        <w:rPr>
          <w:rFonts w:ascii="Times New Roman" w:hAnsi="Times New Roman"/>
          <w:i/>
          <w:iCs/>
        </w:rPr>
        <w:t xml:space="preserve"> </w:t>
      </w:r>
      <w:r w:rsidRPr="00E0795D">
        <w:rPr>
          <w:rFonts w:ascii="Times New Roman" w:hAnsi="Times New Roman"/>
        </w:rPr>
        <w:t xml:space="preserve">(13th Sess., 1994), </w:t>
      </w:r>
      <w:r w:rsidRPr="00E0795D">
        <w:rPr>
          <w:rFonts w:ascii="Times New Roman" w:hAnsi="Times New Roman"/>
          <w:i/>
          <w:iCs/>
        </w:rPr>
        <w:t>in</w:t>
      </w:r>
      <w:r w:rsidRPr="00E0795D">
        <w:rPr>
          <w:rFonts w:ascii="Times New Roman" w:hAnsi="Times New Roman"/>
        </w:rPr>
        <w:t xml:space="preserve"> Compilation of General Comments and General Recommendations Adopted by Human Rights Treaty Bodies, at 337, para. 22, U.N. Doc. HRI/GEN/1/Rev.9 (Vol. II) (2008).</w:t>
      </w:r>
    </w:p>
  </w:endnote>
  <w:endnote w:id="37">
    <w:p w14:paraId="61CF2D1B"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Committee on the Rights of the Child</w:t>
      </w:r>
      <w:r w:rsidRPr="00E0795D">
        <w:rPr>
          <w:rFonts w:ascii="Times New Roman" w:hAnsi="Times New Roman"/>
          <w:i/>
        </w:rPr>
        <w:t>, Gen. Comment No. 4</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note 27, para. 28.</w:t>
      </w:r>
    </w:p>
  </w:endnote>
  <w:endnote w:id="38">
    <w:p w14:paraId="64025C2B" w14:textId="77777777" w:rsidR="004B5DB3" w:rsidRPr="00E0795D" w:rsidRDefault="004B5DB3" w:rsidP="004B5DB3">
      <w:pPr>
        <w:pStyle w:val="Default"/>
        <w:rPr>
          <w:sz w:val="20"/>
          <w:szCs w:val="20"/>
        </w:rPr>
      </w:pPr>
      <w:r w:rsidRPr="00E0795D">
        <w:rPr>
          <w:rStyle w:val="EndnoteReference"/>
          <w:sz w:val="20"/>
          <w:szCs w:val="20"/>
        </w:rPr>
        <w:endnoteRef/>
      </w:r>
      <w:r w:rsidRPr="00E0795D">
        <w:rPr>
          <w:sz w:val="20"/>
          <w:szCs w:val="20"/>
        </w:rPr>
        <w:t xml:space="preserve"> Special Rapporteur on torture and other cruel, inhuman or degrading treatment or punishment, </w:t>
      </w:r>
      <w:r w:rsidRPr="00E0795D">
        <w:rPr>
          <w:i/>
          <w:sz w:val="20"/>
          <w:szCs w:val="20"/>
        </w:rPr>
        <w:t xml:space="preserve">Rep. of the Special Rapporteur on torture and other cruel, inhuman or degrading treatment or punishment, </w:t>
      </w:r>
      <w:r w:rsidRPr="00E0795D">
        <w:rPr>
          <w:sz w:val="20"/>
          <w:szCs w:val="20"/>
        </w:rPr>
        <w:t xml:space="preserve">para. 47, U.N. Doc. A/HRC/22/53 (Feb. 1, 2013) (by Juan E. Méndez) [hereinafter </w:t>
      </w:r>
      <w:r w:rsidRPr="00E0795D">
        <w:rPr>
          <w:i/>
          <w:sz w:val="20"/>
          <w:szCs w:val="20"/>
        </w:rPr>
        <w:t>Rep. of the Special Rapporteur on torture</w:t>
      </w:r>
      <w:r w:rsidRPr="00E0795D">
        <w:rPr>
          <w:sz w:val="20"/>
          <w:szCs w:val="20"/>
        </w:rPr>
        <w:t>].</w:t>
      </w:r>
    </w:p>
  </w:endnote>
  <w:endnote w:id="39">
    <w:p w14:paraId="4996C506" w14:textId="77777777" w:rsidR="004B5DB3" w:rsidRPr="0006110C" w:rsidRDefault="004B5DB3" w:rsidP="004B5DB3">
      <w:pPr>
        <w:pStyle w:val="EndnoteText"/>
        <w:rPr>
          <w:rFonts w:ascii="Times New Roman" w:hAnsi="Times New Roman"/>
          <w:lang w:val="fr-CH"/>
        </w:rPr>
      </w:pPr>
      <w:r w:rsidRPr="00E0795D">
        <w:rPr>
          <w:rStyle w:val="EndnoteReference"/>
          <w:rFonts w:ascii="Times New Roman" w:hAnsi="Times New Roman"/>
        </w:rPr>
        <w:endnoteRef/>
      </w:r>
      <w:r w:rsidRPr="00E0795D">
        <w:rPr>
          <w:rFonts w:ascii="Times New Roman" w:hAnsi="Times New Roman"/>
        </w:rPr>
        <w:t xml:space="preserve"> See, e.g., CEDAW Committee, </w:t>
      </w:r>
      <w:r w:rsidRPr="00E0795D">
        <w:rPr>
          <w:rFonts w:ascii="Times New Roman" w:hAnsi="Times New Roman"/>
          <w:i/>
        </w:rPr>
        <w:t>Concluding Observations: Belize</w:t>
      </w:r>
      <w:r w:rsidRPr="00E0795D">
        <w:rPr>
          <w:rFonts w:ascii="Times New Roman" w:hAnsi="Times New Roman"/>
        </w:rPr>
        <w:t xml:space="preserve">, paras. 56-57, U.N. Doc. A/54/38 (1999); </w:t>
      </w:r>
      <w:r w:rsidRPr="00E0795D">
        <w:rPr>
          <w:rFonts w:ascii="Times New Roman" w:hAnsi="Times New Roman"/>
          <w:i/>
        </w:rPr>
        <w:t>Burundi</w:t>
      </w:r>
      <w:r w:rsidRPr="00E0795D">
        <w:rPr>
          <w:rFonts w:ascii="Times New Roman" w:hAnsi="Times New Roman"/>
        </w:rPr>
        <w:t xml:space="preserve">, para. 62, U.N. Doc. A/56/38 (2001); </w:t>
      </w:r>
      <w:r w:rsidRPr="00E0795D">
        <w:rPr>
          <w:rFonts w:ascii="Times New Roman" w:hAnsi="Times New Roman"/>
          <w:i/>
        </w:rPr>
        <w:t>Chile</w:t>
      </w:r>
      <w:r w:rsidRPr="00E0795D">
        <w:rPr>
          <w:rFonts w:ascii="Times New Roman" w:hAnsi="Times New Roman"/>
        </w:rPr>
        <w:t xml:space="preserve">, paras. 226–27, U.N. Doc. A/54/38 (1999); </w:t>
      </w:r>
      <w:r w:rsidRPr="00E0795D">
        <w:rPr>
          <w:rFonts w:ascii="Times New Roman" w:hAnsi="Times New Roman"/>
          <w:i/>
        </w:rPr>
        <w:t>Dominican Republic</w:t>
      </w:r>
      <w:r w:rsidRPr="00E0795D">
        <w:rPr>
          <w:rFonts w:ascii="Times New Roman" w:hAnsi="Times New Roman"/>
        </w:rPr>
        <w:t xml:space="preserve">, para. 349, U.N. Doc. A/53/38 (1998); </w:t>
      </w:r>
      <w:r w:rsidRPr="00E0795D">
        <w:rPr>
          <w:rFonts w:ascii="Times New Roman" w:hAnsi="Times New Roman"/>
          <w:i/>
        </w:rPr>
        <w:t>Lithuania</w:t>
      </w:r>
      <w:r w:rsidRPr="00E0795D">
        <w:rPr>
          <w:rFonts w:ascii="Times New Roman" w:hAnsi="Times New Roman"/>
        </w:rPr>
        <w:t xml:space="preserve">, para. 25, U.N. Doc. CEDAW/C/LTU/CO/4 (2008); </w:t>
      </w:r>
      <w:r w:rsidRPr="00E0795D">
        <w:rPr>
          <w:rFonts w:ascii="Times New Roman" w:hAnsi="Times New Roman"/>
          <w:i/>
        </w:rPr>
        <w:t>Nigeria</w:t>
      </w:r>
      <w:r w:rsidRPr="00E0795D">
        <w:rPr>
          <w:rFonts w:ascii="Times New Roman" w:hAnsi="Times New Roman"/>
        </w:rPr>
        <w:t xml:space="preserve">, para. 33, U.N. Doc. CEDAW/C/NGA/CO/6 (2008); </w:t>
      </w:r>
      <w:r w:rsidRPr="00E0795D">
        <w:rPr>
          <w:rFonts w:ascii="Times New Roman" w:hAnsi="Times New Roman"/>
          <w:i/>
        </w:rPr>
        <w:t xml:space="preserve">Slovakia, </w:t>
      </w:r>
      <w:r w:rsidRPr="00E0795D">
        <w:rPr>
          <w:rFonts w:ascii="Times New Roman" w:hAnsi="Times New Roman"/>
        </w:rPr>
        <w:t>para. 32-33, U.N. Doc. CEDAW/C/SVK/CO/4 (2008);</w:t>
      </w:r>
      <w:r w:rsidRPr="00E0795D">
        <w:rPr>
          <w:rFonts w:ascii="Times New Roman" w:hAnsi="Times New Roman"/>
          <w:i/>
        </w:rPr>
        <w:t xml:space="preserve"> </w:t>
      </w:r>
      <w:r w:rsidRPr="00E0795D">
        <w:rPr>
          <w:rFonts w:ascii="Times New Roman" w:hAnsi="Times New Roman"/>
        </w:rPr>
        <w:t xml:space="preserve">CRC Committee, </w:t>
      </w:r>
      <w:r w:rsidRPr="00E0795D">
        <w:rPr>
          <w:rFonts w:ascii="Times New Roman" w:hAnsi="Times New Roman"/>
          <w:i/>
        </w:rPr>
        <w:t>Concluding Observations: Cambodia</w:t>
      </w:r>
      <w:r w:rsidRPr="00E0795D">
        <w:rPr>
          <w:rFonts w:ascii="Times New Roman" w:hAnsi="Times New Roman"/>
        </w:rPr>
        <w:t xml:space="preserve">, para. 52, U.N. Doc. CRC/C/15/Add.128 (2000); </w:t>
      </w:r>
      <w:r w:rsidRPr="00E0795D">
        <w:rPr>
          <w:rFonts w:ascii="Times New Roman" w:hAnsi="Times New Roman"/>
          <w:i/>
        </w:rPr>
        <w:t>Colombia</w:t>
      </w:r>
      <w:r w:rsidRPr="00E0795D">
        <w:rPr>
          <w:rFonts w:ascii="Times New Roman" w:hAnsi="Times New Roman"/>
        </w:rPr>
        <w:t xml:space="preserve">, para. 48, U.N. Doc. CRC/C/15/Add.137 (2000); </w:t>
      </w:r>
      <w:r w:rsidRPr="00E0795D">
        <w:rPr>
          <w:rFonts w:ascii="Times New Roman" w:hAnsi="Times New Roman"/>
          <w:i/>
        </w:rPr>
        <w:t>Dominican Republic</w:t>
      </w:r>
      <w:r w:rsidRPr="00E0795D">
        <w:rPr>
          <w:rFonts w:ascii="Times New Roman" w:hAnsi="Times New Roman"/>
        </w:rPr>
        <w:t xml:space="preserve">, para. 37, U.N. Doc. CRC/C/15/Add.150 (2001); </w:t>
      </w:r>
      <w:r w:rsidRPr="00E0795D">
        <w:rPr>
          <w:rFonts w:ascii="Times New Roman" w:hAnsi="Times New Roman"/>
          <w:i/>
        </w:rPr>
        <w:t>Ethiopia</w:t>
      </w:r>
      <w:r w:rsidRPr="00E0795D">
        <w:rPr>
          <w:rFonts w:ascii="Times New Roman" w:hAnsi="Times New Roman"/>
        </w:rPr>
        <w:t xml:space="preserve">, para. 61, U.N. Doc. CRC/C/15/Add.144 (2001); ESCR Committee, </w:t>
      </w:r>
      <w:r w:rsidRPr="00E0795D">
        <w:rPr>
          <w:rFonts w:ascii="Times New Roman" w:hAnsi="Times New Roman"/>
          <w:i/>
        </w:rPr>
        <w:t>Concluding Observations: Bolivia</w:t>
      </w:r>
      <w:r w:rsidRPr="00E0795D">
        <w:rPr>
          <w:rFonts w:ascii="Times New Roman" w:hAnsi="Times New Roman"/>
        </w:rPr>
        <w:t xml:space="preserve">, para. </w:t>
      </w:r>
      <w:r w:rsidRPr="0006110C">
        <w:rPr>
          <w:rFonts w:ascii="Times New Roman" w:hAnsi="Times New Roman"/>
          <w:lang w:val="fr-CH"/>
        </w:rPr>
        <w:t xml:space="preserve">43, U.N. Doc. E/C.12/1/Add.60 (2001); </w:t>
      </w:r>
      <w:r w:rsidRPr="0006110C">
        <w:rPr>
          <w:rFonts w:ascii="Times New Roman" w:hAnsi="Times New Roman"/>
          <w:i/>
          <w:lang w:val="fr-CH"/>
        </w:rPr>
        <w:t>Honduras</w:t>
      </w:r>
      <w:r w:rsidRPr="0006110C">
        <w:rPr>
          <w:rFonts w:ascii="Times New Roman" w:hAnsi="Times New Roman"/>
          <w:lang w:val="fr-CH"/>
        </w:rPr>
        <w:t xml:space="preserve">, para. 27, U.N. Doc. E/C.12/1/Add.57 (2001); </w:t>
      </w:r>
      <w:r w:rsidRPr="0006110C">
        <w:rPr>
          <w:rFonts w:ascii="Times New Roman" w:hAnsi="Times New Roman"/>
          <w:i/>
          <w:u w:val="single"/>
          <w:lang w:val="fr-CH"/>
        </w:rPr>
        <w:t>Libyan Arab Jamahiriya</w:t>
      </w:r>
      <w:r w:rsidRPr="0006110C">
        <w:rPr>
          <w:rFonts w:ascii="Times New Roman" w:hAnsi="Times New Roman"/>
          <w:lang w:val="fr-CH"/>
        </w:rPr>
        <w:t xml:space="preserve">, para. 36, U.N. Doc. E/C.12/LYB/CO/2 (2006); </w:t>
      </w:r>
      <w:r w:rsidRPr="0006110C">
        <w:rPr>
          <w:rFonts w:ascii="Times New Roman" w:hAnsi="Times New Roman"/>
          <w:i/>
          <w:lang w:val="fr-CH"/>
        </w:rPr>
        <w:t>Senegal</w:t>
      </w:r>
      <w:r w:rsidRPr="0006110C">
        <w:rPr>
          <w:rFonts w:ascii="Times New Roman" w:hAnsi="Times New Roman"/>
          <w:lang w:val="fr-CH"/>
        </w:rPr>
        <w:t xml:space="preserve">, para. 47, U.N. Doc. E/C.12/1/Add.62 (2001); </w:t>
      </w:r>
      <w:r w:rsidRPr="0006110C">
        <w:rPr>
          <w:rFonts w:ascii="Times New Roman" w:hAnsi="Times New Roman"/>
          <w:i/>
          <w:lang w:val="fr-CH"/>
        </w:rPr>
        <w:t>Ukraine</w:t>
      </w:r>
      <w:r w:rsidRPr="0006110C">
        <w:rPr>
          <w:rFonts w:ascii="Times New Roman" w:hAnsi="Times New Roman"/>
          <w:lang w:val="fr-CH"/>
        </w:rPr>
        <w:t>, para. 31, U.N. Doc. E/C.12/1/Add.65 (2001).</w:t>
      </w:r>
    </w:p>
  </w:endnote>
  <w:endnote w:id="40">
    <w:p w14:paraId="38114422"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Committee on the Rights of the Child</w:t>
      </w:r>
      <w:r w:rsidRPr="00E0795D">
        <w:rPr>
          <w:rFonts w:ascii="Times New Roman" w:hAnsi="Times New Roman"/>
          <w:i/>
        </w:rPr>
        <w:t>, Gen. Comment No. 4</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note 27, para. 26.</w:t>
      </w:r>
    </w:p>
  </w:endnote>
  <w:endnote w:id="41">
    <w:p w14:paraId="096F94BC"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Rep. of the Special Rapporteur on the right to education</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note</w:t>
      </w:r>
      <w:r w:rsidRPr="00E0795D">
        <w:rPr>
          <w:rFonts w:ascii="Times New Roman" w:hAnsi="Times New Roman"/>
          <w:i/>
        </w:rPr>
        <w:t xml:space="preserve"> </w:t>
      </w:r>
      <w:r w:rsidRPr="00E0795D">
        <w:rPr>
          <w:rFonts w:ascii="Times New Roman" w:hAnsi="Times New Roman"/>
        </w:rPr>
        <w:t>27, para. 32.</w:t>
      </w:r>
    </w:p>
  </w:endnote>
  <w:endnote w:id="42">
    <w:p w14:paraId="18A9B59C"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 xml:space="preserve">Id. </w:t>
      </w:r>
      <w:r w:rsidRPr="00E0795D">
        <w:rPr>
          <w:rFonts w:ascii="Times New Roman" w:hAnsi="Times New Roman"/>
        </w:rPr>
        <w:t>para. 39.</w:t>
      </w:r>
    </w:p>
  </w:endnote>
  <w:endnote w:id="43">
    <w:p w14:paraId="41A8D5D2"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CRC Committee, </w:t>
      </w:r>
      <w:r w:rsidRPr="00E0795D">
        <w:rPr>
          <w:rFonts w:ascii="Times New Roman" w:hAnsi="Times New Roman"/>
          <w:i/>
        </w:rPr>
        <w:t>Concluding Observations: Benin</w:t>
      </w:r>
      <w:r w:rsidRPr="00E0795D">
        <w:rPr>
          <w:rFonts w:ascii="Times New Roman" w:hAnsi="Times New Roman"/>
        </w:rPr>
        <w:t>, para. 58(h), U.N. Doc,</w:t>
      </w:r>
      <w:r w:rsidRPr="00E0795D">
        <w:rPr>
          <w:rFonts w:ascii="Times New Roman" w:hAnsi="Times New Roman"/>
          <w:i/>
        </w:rPr>
        <w:t xml:space="preserve"> </w:t>
      </w:r>
      <w:r w:rsidRPr="00E0795D">
        <w:rPr>
          <w:rFonts w:ascii="Times New Roman" w:hAnsi="Times New Roman"/>
        </w:rPr>
        <w:t xml:space="preserve">CRC/C/BEN/CO/2 (2006); </w:t>
      </w:r>
      <w:r w:rsidRPr="00E0795D">
        <w:rPr>
          <w:rFonts w:ascii="Times New Roman" w:hAnsi="Times New Roman"/>
          <w:i/>
        </w:rPr>
        <w:t>Thailand</w:t>
      </w:r>
      <w:r w:rsidRPr="00E0795D">
        <w:rPr>
          <w:rFonts w:ascii="Times New Roman" w:hAnsi="Times New Roman"/>
        </w:rPr>
        <w:t>, para. 58(e), U.N. Doc.</w:t>
      </w:r>
      <w:r w:rsidRPr="00E0795D">
        <w:rPr>
          <w:rFonts w:ascii="Times New Roman" w:hAnsi="Times New Roman"/>
          <w:i/>
        </w:rPr>
        <w:t xml:space="preserve"> </w:t>
      </w:r>
      <w:r w:rsidRPr="00E0795D">
        <w:rPr>
          <w:rFonts w:ascii="Times New Roman" w:hAnsi="Times New Roman"/>
        </w:rPr>
        <w:t xml:space="preserve">CRC/C/THA/CO/2 (2006); </w:t>
      </w:r>
      <w:r w:rsidRPr="00E0795D">
        <w:rPr>
          <w:rFonts w:ascii="Times New Roman" w:hAnsi="Times New Roman"/>
          <w:i/>
        </w:rPr>
        <w:t>Tanzania</w:t>
      </w:r>
      <w:r w:rsidRPr="00E0795D">
        <w:rPr>
          <w:rFonts w:ascii="Times New Roman" w:hAnsi="Times New Roman"/>
        </w:rPr>
        <w:t>, para. 49(b), U.N. Doc.</w:t>
      </w:r>
      <w:r w:rsidRPr="00E0795D">
        <w:rPr>
          <w:rFonts w:ascii="Times New Roman" w:hAnsi="Times New Roman"/>
          <w:i/>
        </w:rPr>
        <w:t xml:space="preserve"> </w:t>
      </w:r>
      <w:r w:rsidRPr="00E0795D">
        <w:rPr>
          <w:rFonts w:ascii="Times New Roman" w:hAnsi="Times New Roman"/>
        </w:rPr>
        <w:t>CRC/C/TZA/CO/2 (2006).</w:t>
      </w:r>
    </w:p>
  </w:endnote>
  <w:endnote w:id="44">
    <w:p w14:paraId="051FC351" w14:textId="77777777" w:rsidR="004B5DB3" w:rsidRPr="004B5DB3" w:rsidRDefault="004B5DB3" w:rsidP="004B5DB3">
      <w:pPr>
        <w:spacing w:after="0" w:line="240" w:lineRule="auto"/>
        <w:rPr>
          <w:rFonts w:ascii="Times New Roman" w:hAnsi="Times New Roman"/>
          <w:sz w:val="20"/>
          <w:szCs w:val="20"/>
          <w:lang w:val="en-US"/>
        </w:rPr>
      </w:pPr>
      <w:r w:rsidRPr="00E0795D">
        <w:rPr>
          <w:rStyle w:val="EndnoteReference"/>
          <w:rFonts w:ascii="Times New Roman" w:hAnsi="Times New Roman"/>
          <w:sz w:val="20"/>
          <w:szCs w:val="20"/>
        </w:rPr>
        <w:endnoteRef/>
      </w:r>
      <w:r w:rsidRPr="004B5DB3">
        <w:rPr>
          <w:rFonts w:ascii="Times New Roman" w:hAnsi="Times New Roman"/>
          <w:sz w:val="20"/>
          <w:szCs w:val="20"/>
          <w:lang w:val="en-US"/>
        </w:rPr>
        <w:t xml:space="preserve"> Committee on the Elimination of Discrimination against Women, </w:t>
      </w:r>
      <w:r w:rsidRPr="004B5DB3">
        <w:rPr>
          <w:rFonts w:ascii="Times New Roman" w:hAnsi="Times New Roman"/>
          <w:i/>
          <w:sz w:val="20"/>
          <w:szCs w:val="20"/>
          <w:lang w:val="en-US"/>
        </w:rPr>
        <w:t>General Recommendation No. 24: Article 12 of the Convention (women and health)</w:t>
      </w:r>
      <w:r w:rsidRPr="004B5DB3">
        <w:rPr>
          <w:rFonts w:ascii="Times New Roman" w:hAnsi="Times New Roman"/>
          <w:sz w:val="20"/>
          <w:szCs w:val="20"/>
          <w:lang w:val="en-US"/>
        </w:rPr>
        <w:t>,</w:t>
      </w:r>
      <w:r w:rsidRPr="004B5DB3">
        <w:rPr>
          <w:rFonts w:ascii="Times New Roman" w:hAnsi="Times New Roman"/>
          <w:i/>
          <w:sz w:val="20"/>
          <w:szCs w:val="20"/>
          <w:lang w:val="en-US"/>
        </w:rPr>
        <w:t xml:space="preserve"> </w:t>
      </w:r>
      <w:r w:rsidRPr="004B5DB3">
        <w:rPr>
          <w:rFonts w:ascii="Times New Roman" w:hAnsi="Times New Roman"/>
          <w:sz w:val="20"/>
          <w:szCs w:val="20"/>
          <w:lang w:val="en-US"/>
        </w:rPr>
        <w:t>(20</w:t>
      </w:r>
      <w:r w:rsidRPr="004B5DB3">
        <w:rPr>
          <w:rFonts w:ascii="Times New Roman" w:hAnsi="Times New Roman"/>
          <w:sz w:val="20"/>
          <w:szCs w:val="20"/>
          <w:vertAlign w:val="superscript"/>
          <w:lang w:val="en-US"/>
        </w:rPr>
        <w:t>th</w:t>
      </w:r>
      <w:r w:rsidRPr="004B5DB3">
        <w:rPr>
          <w:rFonts w:ascii="Times New Roman" w:hAnsi="Times New Roman"/>
          <w:sz w:val="20"/>
          <w:szCs w:val="20"/>
          <w:lang w:val="en-US"/>
        </w:rPr>
        <w:t xml:space="preserve"> Sess., 1999), </w:t>
      </w:r>
      <w:r w:rsidRPr="004B5DB3">
        <w:rPr>
          <w:rFonts w:ascii="Times New Roman" w:hAnsi="Times New Roman"/>
          <w:i/>
          <w:iCs/>
          <w:sz w:val="20"/>
          <w:szCs w:val="20"/>
          <w:lang w:val="en-US"/>
        </w:rPr>
        <w:t>in</w:t>
      </w:r>
      <w:r w:rsidRPr="004B5DB3">
        <w:rPr>
          <w:rFonts w:ascii="Times New Roman" w:hAnsi="Times New Roman"/>
          <w:sz w:val="20"/>
          <w:szCs w:val="20"/>
          <w:lang w:val="en-US"/>
        </w:rPr>
        <w:t xml:space="preserve"> Compilation of General Comments and General Recommendations Adopted by Human Rights Treaty Bodies, at 362, para. 18, U.N. Doc. HRI/GEN/1/Rev.9 (Vol. II) (2008) [hereinafter CEDAW Committee, </w:t>
      </w:r>
      <w:r w:rsidRPr="004B5DB3">
        <w:rPr>
          <w:rFonts w:ascii="Times New Roman" w:hAnsi="Times New Roman"/>
          <w:i/>
          <w:sz w:val="20"/>
          <w:szCs w:val="20"/>
          <w:lang w:val="en-US"/>
        </w:rPr>
        <w:t>Gen. Recommendation No. 24</w:t>
      </w:r>
      <w:r w:rsidRPr="004B5DB3">
        <w:rPr>
          <w:rFonts w:ascii="Times New Roman" w:hAnsi="Times New Roman"/>
          <w:sz w:val="20"/>
          <w:szCs w:val="20"/>
          <w:lang w:val="en-US"/>
        </w:rPr>
        <w:t xml:space="preserve">]. </w:t>
      </w:r>
      <w:r w:rsidRPr="004B5DB3">
        <w:rPr>
          <w:rFonts w:ascii="Times New Roman" w:hAnsi="Times New Roman"/>
          <w:sz w:val="20"/>
          <w:szCs w:val="20"/>
          <w:shd w:val="clear" w:color="auto" w:fill="FFFFFF"/>
          <w:lang w:val="en-US"/>
        </w:rPr>
        <w:t xml:space="preserve">UNESCO has also highlighted the need to adequately train teachers as a means of building their comfort and confidence in the material and thus ensuring access to comprehensive and accurate sexuality education. </w:t>
      </w:r>
      <w:r w:rsidRPr="004B5DB3">
        <w:rPr>
          <w:rFonts w:ascii="Times New Roman" w:hAnsi="Times New Roman"/>
          <w:i/>
          <w:sz w:val="20"/>
          <w:szCs w:val="20"/>
          <w:shd w:val="clear" w:color="auto" w:fill="FFFFFF"/>
          <w:lang w:val="en-US"/>
        </w:rPr>
        <w:t>See</w:t>
      </w:r>
      <w:r w:rsidRPr="004B5DB3">
        <w:rPr>
          <w:rFonts w:ascii="Times New Roman" w:hAnsi="Times New Roman"/>
          <w:sz w:val="20"/>
          <w:szCs w:val="20"/>
          <w:shd w:val="clear" w:color="auto" w:fill="FFFFFF"/>
          <w:lang w:val="en-US"/>
        </w:rPr>
        <w:t xml:space="preserve"> </w:t>
      </w:r>
      <w:r w:rsidRPr="004B5DB3">
        <w:rPr>
          <w:rFonts w:ascii="Times New Roman" w:hAnsi="Times New Roman"/>
          <w:smallCaps/>
          <w:lang w:val="en-US"/>
        </w:rPr>
        <w:t xml:space="preserve">Rationale for Sexuality Education, </w:t>
      </w:r>
      <w:r w:rsidRPr="004B5DB3">
        <w:rPr>
          <w:rFonts w:ascii="Times New Roman" w:hAnsi="Times New Roman"/>
          <w:i/>
          <w:lang w:val="en-US"/>
        </w:rPr>
        <w:t xml:space="preserve">supra </w:t>
      </w:r>
      <w:r w:rsidRPr="004B5DB3">
        <w:rPr>
          <w:rFonts w:ascii="Times New Roman" w:hAnsi="Times New Roman"/>
          <w:lang w:val="en-US"/>
        </w:rPr>
        <w:t>note 16, at 11.</w:t>
      </w:r>
    </w:p>
  </w:endnote>
  <w:endnote w:id="45">
    <w:p w14:paraId="2E94AEBA"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CRPD, </w:t>
      </w:r>
      <w:r w:rsidRPr="00E0795D">
        <w:rPr>
          <w:rFonts w:ascii="Times New Roman" w:hAnsi="Times New Roman"/>
          <w:i/>
        </w:rPr>
        <w:t xml:space="preserve">supra </w:t>
      </w:r>
      <w:r w:rsidRPr="00E0795D">
        <w:rPr>
          <w:rFonts w:ascii="Times New Roman" w:hAnsi="Times New Roman"/>
        </w:rPr>
        <w:t>note 1, art. 21.</w:t>
      </w:r>
    </w:p>
  </w:endnote>
  <w:endnote w:id="46">
    <w:p w14:paraId="18FFE72C"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 xml:space="preserve">Id. </w:t>
      </w:r>
      <w:r w:rsidRPr="00E0795D">
        <w:rPr>
          <w:rFonts w:ascii="Times New Roman" w:hAnsi="Times New Roman"/>
        </w:rPr>
        <w:t>at art. 9.</w:t>
      </w:r>
    </w:p>
  </w:endnote>
  <w:endnote w:id="47">
    <w:p w14:paraId="2C542F0B"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CRPD Committee, </w:t>
      </w:r>
      <w:r w:rsidRPr="00E0795D">
        <w:rPr>
          <w:rFonts w:ascii="Times New Roman" w:hAnsi="Times New Roman"/>
          <w:i/>
        </w:rPr>
        <w:t>Concluding Observations: Argentina</w:t>
      </w:r>
      <w:r w:rsidRPr="00E0795D">
        <w:rPr>
          <w:rFonts w:ascii="Times New Roman" w:hAnsi="Times New Roman"/>
        </w:rPr>
        <w:t>, para. 39, U.N. Doc. CRPD/C/ARG/CO/1 (2012).</w:t>
      </w:r>
    </w:p>
  </w:endnote>
  <w:endnote w:id="48">
    <w:p w14:paraId="349D8B58"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CRPD Committee, </w:t>
      </w:r>
      <w:r w:rsidRPr="00E0795D">
        <w:rPr>
          <w:rFonts w:ascii="Times New Roman" w:hAnsi="Times New Roman"/>
          <w:i/>
        </w:rPr>
        <w:t>Concluding Observations: Peru</w:t>
      </w:r>
      <w:r w:rsidRPr="00E0795D">
        <w:rPr>
          <w:rFonts w:ascii="Times New Roman" w:hAnsi="Times New Roman"/>
        </w:rPr>
        <w:t xml:space="preserve">, para. 39, U.N. Doc. </w:t>
      </w:r>
      <w:r w:rsidRPr="00E0795D">
        <w:rPr>
          <w:rFonts w:ascii="Times New Roman" w:hAnsi="Times New Roman"/>
          <w:color w:val="000000"/>
          <w:shd w:val="clear" w:color="auto" w:fill="FFFFFF"/>
        </w:rPr>
        <w:t>CRPD/C/PER/1 (2012).</w:t>
      </w:r>
    </w:p>
  </w:endnote>
  <w:endnote w:id="49">
    <w:p w14:paraId="1AF77A59"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See</w:t>
      </w:r>
      <w:r w:rsidRPr="00E0795D">
        <w:rPr>
          <w:rFonts w:ascii="Times New Roman" w:hAnsi="Times New Roman"/>
        </w:rPr>
        <w:t xml:space="preserve"> </w:t>
      </w:r>
      <w:r w:rsidRPr="00E0795D">
        <w:rPr>
          <w:rFonts w:ascii="Times New Roman" w:hAnsi="Times New Roman"/>
          <w:smallCaps/>
        </w:rPr>
        <w:t>Center for Reproductive Rights, Access to Contraceptives: The Social and Economic Benefits and Role in Achieving Gender Equality</w:t>
      </w:r>
      <w:r w:rsidRPr="00E0795D">
        <w:rPr>
          <w:rFonts w:ascii="Times New Roman" w:hAnsi="Times New Roman"/>
        </w:rPr>
        <w:t xml:space="preserve"> 1 (2009).</w:t>
      </w:r>
    </w:p>
  </w:endnote>
  <w:endnote w:id="50">
    <w:p w14:paraId="231D77D5"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Anna Glasier et al., </w:t>
      </w:r>
      <w:r w:rsidRPr="00E0795D">
        <w:rPr>
          <w:rFonts w:ascii="Times New Roman" w:hAnsi="Times New Roman"/>
          <w:i/>
        </w:rPr>
        <w:t>Sexual and reproductive health: a matter of life and death</w:t>
      </w:r>
      <w:r w:rsidRPr="00E0795D">
        <w:rPr>
          <w:rFonts w:ascii="Times New Roman" w:hAnsi="Times New Roman"/>
        </w:rPr>
        <w:t xml:space="preserve">, 368 </w:t>
      </w:r>
      <w:r w:rsidRPr="00E0795D">
        <w:rPr>
          <w:rFonts w:ascii="Times New Roman" w:hAnsi="Times New Roman"/>
          <w:smallCaps/>
        </w:rPr>
        <w:t>Lancet</w:t>
      </w:r>
      <w:r w:rsidRPr="00E0795D">
        <w:rPr>
          <w:rFonts w:ascii="Times New Roman" w:hAnsi="Times New Roman"/>
        </w:rPr>
        <w:t xml:space="preserve"> 1595, 1597 (2006).</w:t>
      </w:r>
    </w:p>
  </w:endnote>
  <w:endnote w:id="51">
    <w:p w14:paraId="3C8AF581" w14:textId="77777777" w:rsidR="004B5DB3" w:rsidRPr="00E0795D" w:rsidRDefault="004B5DB3" w:rsidP="004B5DB3">
      <w:pPr>
        <w:pStyle w:val="EndnoteText"/>
        <w:rPr>
          <w:rFonts w:ascii="Times New Roman" w:hAnsi="Times New Roman"/>
          <w:i/>
          <w:iCs/>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w:t>
      </w:r>
      <w:r w:rsidRPr="00E0795D">
        <w:rPr>
          <w:rFonts w:ascii="Times New Roman" w:hAnsi="Times New Roman"/>
        </w:rPr>
        <w:t xml:space="preserve"> </w:t>
      </w:r>
      <w:r>
        <w:rPr>
          <w:rFonts w:ascii="Times New Roman" w:hAnsi="Times New Roman"/>
        </w:rPr>
        <w:t xml:space="preserve">at </w:t>
      </w:r>
      <w:r w:rsidRPr="00E0795D">
        <w:rPr>
          <w:rFonts w:ascii="Times New Roman" w:hAnsi="Times New Roman"/>
        </w:rPr>
        <w:t>1598.</w:t>
      </w:r>
    </w:p>
  </w:endnote>
  <w:endnote w:id="52">
    <w:p w14:paraId="39F92883"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Women who use traditional methods of contraception are included in the number with the an unmet need, because traditional methods of contraception are more likely to fail. Susheela Singh &amp; Jacqueline E. Darroch, </w:t>
      </w:r>
      <w:r w:rsidRPr="00E0795D">
        <w:rPr>
          <w:rFonts w:ascii="Times New Roman" w:hAnsi="Times New Roman"/>
          <w:smallCaps/>
        </w:rPr>
        <w:t>Guttmacher Institute &amp; UNFPA, Adding it Up: Costs and Benefits of Contraceptive Services, Estimates for 2012</w:t>
      </w:r>
      <w:r w:rsidRPr="00E0795D">
        <w:rPr>
          <w:rFonts w:ascii="Times New Roman" w:hAnsi="Times New Roman"/>
        </w:rPr>
        <w:t xml:space="preserve"> 4, 14 (2012).</w:t>
      </w:r>
    </w:p>
  </w:endnote>
  <w:endnote w:id="53">
    <w:p w14:paraId="2693EA7B" w14:textId="77777777" w:rsidR="004B5DB3" w:rsidRPr="00E0795D" w:rsidRDefault="004B5DB3" w:rsidP="004B5DB3">
      <w:pPr>
        <w:pStyle w:val="EndnoteText"/>
        <w:rPr>
          <w:rFonts w:ascii="Times New Roman" w:hAnsi="Times New Roman"/>
          <w:color w:val="FF0000"/>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Susheela Singh et al</w:t>
      </w:r>
      <w:r w:rsidRPr="00E0795D">
        <w:rPr>
          <w:rFonts w:ascii="Times New Roman" w:hAnsi="Times New Roman"/>
          <w:i/>
          <w:iCs/>
          <w:smallCaps/>
        </w:rPr>
        <w:t>.</w:t>
      </w:r>
      <w:r w:rsidRPr="00E0795D">
        <w:rPr>
          <w:rFonts w:ascii="Times New Roman" w:hAnsi="Times New Roman"/>
          <w:smallCaps/>
        </w:rPr>
        <w:t>, Guttmacher Institute &amp; United Nations Population Fund (UNFPA), Adding it Up: The Costs and Benefits of Investing in Family Planning and Maternal and Newborn Health</w:t>
      </w:r>
      <w:r w:rsidRPr="00E0795D">
        <w:rPr>
          <w:rFonts w:ascii="Times New Roman" w:hAnsi="Times New Roman"/>
        </w:rPr>
        <w:t xml:space="preserve"> 19-20 (2009)</w:t>
      </w:r>
      <w:r w:rsidRPr="00E0795D">
        <w:rPr>
          <w:rFonts w:ascii="Times New Roman" w:hAnsi="Times New Roman"/>
          <w:color w:val="FF0000"/>
        </w:rPr>
        <w:t xml:space="preserve">. </w:t>
      </w:r>
      <w:hyperlink w:history="1"/>
      <w:r w:rsidRPr="00E0795D">
        <w:rPr>
          <w:rFonts w:ascii="Times New Roman" w:hAnsi="Times New Roman"/>
          <w:color w:val="FF0000"/>
        </w:rPr>
        <w:t xml:space="preserve"> </w:t>
      </w:r>
    </w:p>
  </w:endnote>
  <w:endnote w:id="54">
    <w:p w14:paraId="13972FB4"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See</w:t>
      </w:r>
      <w:r w:rsidRPr="00E0795D">
        <w:rPr>
          <w:rFonts w:ascii="Times New Roman" w:hAnsi="Times New Roman"/>
        </w:rPr>
        <w:t xml:space="preserve"> </w:t>
      </w:r>
      <w:r w:rsidRPr="00E0795D">
        <w:rPr>
          <w:rFonts w:ascii="Times New Roman" w:hAnsi="Times New Roman"/>
          <w:smallCaps/>
        </w:rPr>
        <w:t>World Health Organization &amp; UNFPA, Promoting sexual and reproductive health for persons with disabilities: WHO/UNFPA guidance note</w:t>
      </w:r>
      <w:r w:rsidRPr="00E0795D">
        <w:rPr>
          <w:rFonts w:ascii="Times New Roman" w:hAnsi="Times New Roman"/>
        </w:rPr>
        <w:t xml:space="preserve"> 6–7 (2009) [hereinafter </w:t>
      </w:r>
      <w:r w:rsidRPr="00E0795D">
        <w:rPr>
          <w:rFonts w:ascii="Times New Roman" w:hAnsi="Times New Roman"/>
          <w:smallCaps/>
        </w:rPr>
        <w:t>Promoting sexual and reproductive health: WHO/UNFPA Guidance</w:t>
      </w:r>
      <w:r w:rsidRPr="00E0795D">
        <w:rPr>
          <w:rFonts w:ascii="Times New Roman" w:hAnsi="Times New Roman"/>
        </w:rPr>
        <w:t>].</w:t>
      </w:r>
    </w:p>
  </w:endnote>
  <w:endnote w:id="55">
    <w:p w14:paraId="2A0DB6A7"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 a</w:t>
      </w:r>
      <w:r w:rsidRPr="00E0795D">
        <w:rPr>
          <w:rFonts w:ascii="Times New Roman" w:hAnsi="Times New Roman"/>
        </w:rPr>
        <w:t xml:space="preserve">t 3; </w:t>
      </w:r>
      <w:r w:rsidRPr="00E0795D">
        <w:rPr>
          <w:rFonts w:ascii="Times New Roman" w:hAnsi="Times New Roman"/>
          <w:smallCaps/>
        </w:rPr>
        <w:t>HIV and Disability</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note 25 at 8.</w:t>
      </w:r>
    </w:p>
  </w:endnote>
  <w:endnote w:id="56">
    <w:p w14:paraId="6B24E93A"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HIV and Disability</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note 25 at 8.</w:t>
      </w:r>
    </w:p>
  </w:endnote>
  <w:endnote w:id="57">
    <w:p w14:paraId="021437A2"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See</w:t>
      </w:r>
      <w:r w:rsidRPr="00E0795D">
        <w:rPr>
          <w:rFonts w:ascii="Times New Roman" w:hAnsi="Times New Roman"/>
        </w:rPr>
        <w:t xml:space="preserve"> CAT Committee, </w:t>
      </w:r>
      <w:r w:rsidRPr="00E0795D">
        <w:rPr>
          <w:rFonts w:ascii="Times New Roman" w:hAnsi="Times New Roman"/>
          <w:i/>
        </w:rPr>
        <w:t>Concluding Observations: Peru</w:t>
      </w:r>
      <w:r w:rsidRPr="00E0795D">
        <w:rPr>
          <w:rFonts w:ascii="Times New Roman" w:hAnsi="Times New Roman"/>
        </w:rPr>
        <w:t xml:space="preserve">, para. 15, U.N. Doc. CAT/C/PER/CO/5-6 (2013). </w:t>
      </w:r>
      <w:r w:rsidRPr="00E0795D">
        <w:rPr>
          <w:rFonts w:ascii="Times New Roman" w:hAnsi="Times New Roman"/>
          <w:i/>
        </w:rPr>
        <w:t xml:space="preserve"> </w:t>
      </w:r>
    </w:p>
  </w:endnote>
  <w:endnote w:id="58">
    <w:p w14:paraId="5CA6E225" w14:textId="77777777" w:rsidR="004B5DB3" w:rsidRPr="00E0795D" w:rsidRDefault="004B5DB3" w:rsidP="004B5DB3">
      <w:pPr>
        <w:pStyle w:val="Default"/>
        <w:rPr>
          <w:sz w:val="20"/>
          <w:szCs w:val="20"/>
        </w:rPr>
      </w:pPr>
      <w:r w:rsidRPr="00E0795D">
        <w:rPr>
          <w:rStyle w:val="EndnoteReference"/>
          <w:sz w:val="20"/>
          <w:szCs w:val="20"/>
        </w:rPr>
        <w:endnoteRef/>
      </w:r>
      <w:r w:rsidRPr="00E0795D">
        <w:rPr>
          <w:sz w:val="20"/>
          <w:szCs w:val="20"/>
        </w:rPr>
        <w:t xml:space="preserve"> Special Rapporteur on violence against women, its causes and consequences, </w:t>
      </w:r>
      <w:r w:rsidRPr="00E0795D">
        <w:rPr>
          <w:i/>
          <w:sz w:val="20"/>
          <w:szCs w:val="20"/>
        </w:rPr>
        <w:t>Rep. of the Special Rapporteur on violence against women, its causes and consequences</w:t>
      </w:r>
      <w:r w:rsidRPr="00E0795D">
        <w:rPr>
          <w:sz w:val="20"/>
          <w:szCs w:val="20"/>
        </w:rPr>
        <w:t xml:space="preserve">, para. 60, U.N. Doc. A/67/227 (Aug. 3, 2012) (by Rashida Manjoo) [hereinafter SRVAW, </w:t>
      </w:r>
      <w:r w:rsidRPr="00E0795D">
        <w:rPr>
          <w:i/>
          <w:sz w:val="20"/>
          <w:szCs w:val="20"/>
        </w:rPr>
        <w:t xml:space="preserve">Rep. of the Special Rapporteur </w:t>
      </w:r>
      <w:r w:rsidRPr="00E0795D">
        <w:rPr>
          <w:sz w:val="20"/>
          <w:szCs w:val="20"/>
        </w:rPr>
        <w:t xml:space="preserve">(2012)]; </w:t>
      </w:r>
      <w:r w:rsidRPr="00E0795D">
        <w:rPr>
          <w:i/>
          <w:sz w:val="20"/>
          <w:szCs w:val="20"/>
        </w:rPr>
        <w:t xml:space="preserve">see also </w:t>
      </w:r>
      <w:r w:rsidRPr="00E0795D">
        <w:rPr>
          <w:smallCaps/>
          <w:sz w:val="20"/>
          <w:szCs w:val="20"/>
        </w:rPr>
        <w:t>Stephanie Ortoleva &amp; Hope Lewis, Forgotten Sisters: A Report on Violence against Women with Disabilities: An Overview of its Nature, Scope, Causes and Consequences</w:t>
      </w:r>
      <w:r w:rsidRPr="00E0795D">
        <w:rPr>
          <w:i/>
          <w:sz w:val="20"/>
          <w:szCs w:val="20"/>
        </w:rPr>
        <w:t xml:space="preserve"> </w:t>
      </w:r>
      <w:r w:rsidRPr="00E0795D">
        <w:rPr>
          <w:sz w:val="20"/>
          <w:szCs w:val="20"/>
        </w:rPr>
        <w:t xml:space="preserve">(2012) [hereinafter </w:t>
      </w:r>
      <w:r w:rsidRPr="00E0795D">
        <w:rPr>
          <w:smallCaps/>
          <w:sz w:val="20"/>
          <w:szCs w:val="20"/>
        </w:rPr>
        <w:t>Forgotten Sisters]</w:t>
      </w:r>
      <w:r w:rsidRPr="00E0795D">
        <w:rPr>
          <w:sz w:val="20"/>
          <w:szCs w:val="20"/>
        </w:rPr>
        <w:t>.</w:t>
      </w:r>
    </w:p>
  </w:endnote>
  <w:endnote w:id="59">
    <w:p w14:paraId="093E8A4D"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The Philippines, for example, has the most egregious form of denial: a Manila City Executive Order effectively bans all modern contraception.</w:t>
      </w:r>
      <w:r w:rsidRPr="00E0795D">
        <w:rPr>
          <w:rFonts w:ascii="Times New Roman" w:hAnsi="Times New Roman"/>
          <w:i/>
        </w:rPr>
        <w:t xml:space="preserve"> See </w:t>
      </w:r>
      <w:r w:rsidRPr="00E0795D">
        <w:rPr>
          <w:rFonts w:ascii="Times New Roman" w:hAnsi="Times New Roman"/>
          <w:smallCaps/>
        </w:rPr>
        <w:t xml:space="preserve">Center for Reproductive Rights, Imposing Misery: The Impact of Manila’s Contraception Ban on Women and Families (2007); </w:t>
      </w:r>
      <w:r w:rsidRPr="00E0795D">
        <w:rPr>
          <w:rFonts w:ascii="Times New Roman" w:hAnsi="Times New Roman"/>
          <w:i/>
        </w:rPr>
        <w:t xml:space="preserve">see also </w:t>
      </w:r>
      <w:r w:rsidRPr="00E0795D">
        <w:rPr>
          <w:rFonts w:ascii="Times New Roman" w:hAnsi="Times New Roman"/>
        </w:rPr>
        <w:t xml:space="preserve">ESCR Committee, </w:t>
      </w:r>
      <w:r w:rsidRPr="00E0795D">
        <w:rPr>
          <w:rFonts w:ascii="Times New Roman" w:hAnsi="Times New Roman"/>
          <w:i/>
        </w:rPr>
        <w:t>Concluding Observations: Philippines</w:t>
      </w:r>
      <w:r w:rsidRPr="00E0795D">
        <w:rPr>
          <w:rFonts w:ascii="Times New Roman" w:hAnsi="Times New Roman"/>
        </w:rPr>
        <w:t xml:space="preserve">, para. 31, U.N. Doc. E/C.12/PHL/CO/4 (2008). </w:t>
      </w:r>
    </w:p>
  </w:endnote>
  <w:endnote w:id="60">
    <w:p w14:paraId="3F4C62D2"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Center for Reproductive Rights &amp; UNFPA, Briefing Paper: The Right to Contraceptive Information and Services for Women and Adolescents</w:t>
      </w:r>
      <w:r w:rsidRPr="00E0795D">
        <w:rPr>
          <w:rFonts w:ascii="Times New Roman" w:hAnsi="Times New Roman"/>
        </w:rPr>
        <w:t xml:space="preserve"> 10-11 (2010) [hereinafter </w:t>
      </w:r>
      <w:r w:rsidRPr="00E0795D">
        <w:rPr>
          <w:rFonts w:ascii="Times New Roman" w:hAnsi="Times New Roman"/>
          <w:smallCaps/>
        </w:rPr>
        <w:t>Right to Contraceptive Information</w:t>
      </w:r>
      <w:r w:rsidRPr="00E0795D">
        <w:rPr>
          <w:rFonts w:ascii="Times New Roman" w:hAnsi="Times New Roman"/>
        </w:rPr>
        <w:t>].</w:t>
      </w:r>
    </w:p>
  </w:endnote>
  <w:endnote w:id="61">
    <w:p w14:paraId="7077EAA0"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World Health Organization, Emergency Contraception: Fact Sheet No. 244 (2012).</w:t>
      </w:r>
    </w:p>
  </w:endnote>
  <w:endnote w:id="62">
    <w:p w14:paraId="4371023F"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E336F">
        <w:rPr>
          <w:rFonts w:ascii="Times New Roman" w:hAnsi="Times New Roman"/>
          <w:sz w:val="22"/>
          <w:szCs w:val="22"/>
        </w:rPr>
        <w:t>Two rape survivors with physical disabilities</w:t>
      </w:r>
      <w:r>
        <w:rPr>
          <w:rFonts w:ascii="Times New Roman" w:hAnsi="Times New Roman"/>
          <w:sz w:val="22"/>
          <w:szCs w:val="22"/>
        </w:rPr>
        <w:t xml:space="preserve"> in Northern Uganda reported that they</w:t>
      </w:r>
      <w:r w:rsidRPr="00EE336F">
        <w:rPr>
          <w:rFonts w:ascii="Times New Roman" w:hAnsi="Times New Roman"/>
          <w:sz w:val="22"/>
          <w:szCs w:val="22"/>
        </w:rPr>
        <w:t xml:space="preserve"> could not travel the long distances to health centers</w:t>
      </w:r>
      <w:r>
        <w:rPr>
          <w:rFonts w:ascii="Times New Roman" w:hAnsi="Times New Roman"/>
          <w:sz w:val="22"/>
          <w:szCs w:val="22"/>
        </w:rPr>
        <w:t xml:space="preserve"> to get post-exposure prophylaxis for HIV or emergency contraception. </w:t>
      </w:r>
      <w:r>
        <w:rPr>
          <w:rFonts w:ascii="Times New Roman" w:hAnsi="Times New Roman"/>
        </w:rPr>
        <w:t>“</w:t>
      </w:r>
      <w:r w:rsidRPr="00200464">
        <w:rPr>
          <w:rFonts w:ascii="Times New Roman" w:hAnsi="Times New Roman"/>
          <w:smallCaps/>
        </w:rPr>
        <w:t>As if We Weren’t Human</w:t>
      </w:r>
      <w:r>
        <w:rPr>
          <w:rFonts w:ascii="Times New Roman" w:hAnsi="Times New Roman"/>
        </w:rPr>
        <w:t xml:space="preserve">,” </w:t>
      </w:r>
      <w:r>
        <w:rPr>
          <w:rFonts w:ascii="Times New Roman" w:hAnsi="Times New Roman"/>
          <w:i/>
        </w:rPr>
        <w:t xml:space="preserve">supra </w:t>
      </w:r>
      <w:r>
        <w:rPr>
          <w:rFonts w:ascii="Times New Roman" w:hAnsi="Times New Roman"/>
        </w:rPr>
        <w:t xml:space="preserve">note 12, </w:t>
      </w:r>
      <w:r w:rsidRPr="00E0795D">
        <w:rPr>
          <w:rFonts w:ascii="Times New Roman" w:hAnsi="Times New Roman"/>
        </w:rPr>
        <w:t>at 48.</w:t>
      </w:r>
    </w:p>
  </w:endnote>
  <w:endnote w:id="63">
    <w:p w14:paraId="61700A1E" w14:textId="77777777" w:rsidR="004B5DB3" w:rsidRPr="00E0795D" w:rsidRDefault="004B5DB3" w:rsidP="004B5DB3">
      <w:pPr>
        <w:pStyle w:val="EndnoteText"/>
        <w:rPr>
          <w:rFonts w:ascii="Times New Roman" w:hAnsi="Times New Roman"/>
          <w:smallCaps/>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 xml:space="preserve">Right to Contraceptive Information, </w:t>
      </w:r>
      <w:r w:rsidRPr="00E0795D">
        <w:rPr>
          <w:rFonts w:ascii="Times New Roman" w:hAnsi="Times New Roman"/>
          <w:i/>
        </w:rPr>
        <w:t xml:space="preserve">supra </w:t>
      </w:r>
      <w:r w:rsidRPr="00E0795D">
        <w:rPr>
          <w:rFonts w:ascii="Times New Roman" w:hAnsi="Times New Roman"/>
        </w:rPr>
        <w:t>note 55, at 12-14.</w:t>
      </w:r>
    </w:p>
  </w:endnote>
  <w:endnote w:id="64">
    <w:p w14:paraId="22411BEF"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World Health Organization, Model Lists of Essential Medicines, 17</w:t>
      </w:r>
      <w:r w:rsidRPr="00E0795D">
        <w:rPr>
          <w:rFonts w:ascii="Times New Roman" w:hAnsi="Times New Roman"/>
          <w:vertAlign w:val="superscript"/>
        </w:rPr>
        <w:t>th</w:t>
      </w:r>
      <w:r w:rsidRPr="00E0795D">
        <w:rPr>
          <w:rFonts w:ascii="Times New Roman" w:hAnsi="Times New Roman"/>
        </w:rPr>
        <w:t xml:space="preserve"> ed., Explanatory Notes and Section 18.3 (2011).</w:t>
      </w:r>
    </w:p>
  </w:endnote>
  <w:endnote w:id="65">
    <w:p w14:paraId="36D95D0B" w14:textId="77777777" w:rsidR="004B5DB3" w:rsidRPr="004B5DB3" w:rsidRDefault="004B5DB3" w:rsidP="004B5DB3">
      <w:pPr>
        <w:autoSpaceDE w:val="0"/>
        <w:autoSpaceDN w:val="0"/>
        <w:adjustRightInd w:val="0"/>
        <w:spacing w:after="0" w:line="240" w:lineRule="auto"/>
        <w:rPr>
          <w:rFonts w:ascii="Times New Roman" w:hAnsi="Times New Roman"/>
          <w:sz w:val="20"/>
          <w:szCs w:val="20"/>
          <w:lang w:val="en-US"/>
        </w:rPr>
      </w:pPr>
      <w:r w:rsidRPr="00E0795D">
        <w:rPr>
          <w:rStyle w:val="EndnoteReference"/>
          <w:rFonts w:ascii="Times New Roman" w:hAnsi="Times New Roman"/>
          <w:sz w:val="20"/>
          <w:szCs w:val="20"/>
        </w:rPr>
        <w:endnoteRef/>
      </w:r>
      <w:r w:rsidRPr="004B5DB3">
        <w:rPr>
          <w:rFonts w:ascii="Times New Roman" w:hAnsi="Times New Roman"/>
          <w:sz w:val="20"/>
          <w:szCs w:val="20"/>
          <w:lang w:val="en-US"/>
        </w:rPr>
        <w:t xml:space="preserve"> </w:t>
      </w:r>
      <w:r w:rsidRPr="004B5DB3">
        <w:rPr>
          <w:rFonts w:ascii="Times New Roman" w:hAnsi="Times New Roman"/>
          <w:i/>
          <w:iCs/>
          <w:sz w:val="20"/>
          <w:szCs w:val="20"/>
          <w:lang w:val="en-US"/>
        </w:rPr>
        <w:t xml:space="preserve">See </w:t>
      </w:r>
      <w:r w:rsidRPr="004B5DB3">
        <w:rPr>
          <w:rFonts w:ascii="Times New Roman" w:hAnsi="Times New Roman"/>
          <w:sz w:val="20"/>
          <w:szCs w:val="20"/>
          <w:lang w:val="en-US"/>
        </w:rPr>
        <w:t xml:space="preserve">ESCR Committee, </w:t>
      </w:r>
      <w:r w:rsidRPr="004B5DB3">
        <w:rPr>
          <w:rFonts w:ascii="Times New Roman" w:hAnsi="Times New Roman"/>
          <w:i/>
          <w:iCs/>
          <w:sz w:val="20"/>
          <w:szCs w:val="20"/>
          <w:lang w:val="en-US"/>
        </w:rPr>
        <w:t>Concluding Observations: Poland</w:t>
      </w:r>
      <w:r w:rsidRPr="004B5DB3">
        <w:rPr>
          <w:rFonts w:ascii="Times New Roman" w:hAnsi="Times New Roman"/>
          <w:sz w:val="20"/>
          <w:szCs w:val="20"/>
          <w:lang w:val="en-US"/>
        </w:rPr>
        <w:t xml:space="preserve">, para. 27, U.N. Doc. E/C.12/POL/CO/5 (2009); </w:t>
      </w:r>
      <w:r w:rsidRPr="004B5DB3">
        <w:rPr>
          <w:rFonts w:ascii="Times New Roman" w:hAnsi="Times New Roman"/>
          <w:i/>
          <w:iCs/>
          <w:sz w:val="20"/>
          <w:szCs w:val="20"/>
          <w:lang w:val="en-US"/>
        </w:rPr>
        <w:t>Lithuania</w:t>
      </w:r>
      <w:r w:rsidRPr="004B5DB3">
        <w:rPr>
          <w:rFonts w:ascii="Times New Roman" w:hAnsi="Times New Roman"/>
          <w:sz w:val="20"/>
          <w:szCs w:val="20"/>
          <w:lang w:val="en-US"/>
        </w:rPr>
        <w:t xml:space="preserve">, para. 50, U.N. Doc. E/C.12/1/Add.96 (2004); </w:t>
      </w:r>
      <w:r w:rsidRPr="004B5DB3">
        <w:rPr>
          <w:rFonts w:ascii="Times New Roman" w:hAnsi="Times New Roman"/>
          <w:i/>
          <w:iCs/>
          <w:sz w:val="20"/>
          <w:szCs w:val="20"/>
          <w:lang w:val="en-US"/>
        </w:rPr>
        <w:t>Republic of Moldova</w:t>
      </w:r>
      <w:r w:rsidRPr="004B5DB3">
        <w:rPr>
          <w:rFonts w:ascii="Times New Roman" w:hAnsi="Times New Roman"/>
          <w:sz w:val="20"/>
          <w:szCs w:val="20"/>
          <w:lang w:val="en-US"/>
        </w:rPr>
        <w:t xml:space="preserve">, para.49, U.N. Doc. E/C.12/1/Add.91 (2003); </w:t>
      </w:r>
      <w:r w:rsidRPr="004B5DB3">
        <w:rPr>
          <w:rFonts w:ascii="Times New Roman" w:hAnsi="Times New Roman"/>
          <w:i/>
          <w:iCs/>
          <w:sz w:val="20"/>
          <w:szCs w:val="20"/>
          <w:lang w:val="en-US"/>
        </w:rPr>
        <w:t>Russian Federation</w:t>
      </w:r>
      <w:r w:rsidRPr="004B5DB3">
        <w:rPr>
          <w:rFonts w:ascii="Times New Roman" w:hAnsi="Times New Roman"/>
          <w:sz w:val="20"/>
          <w:szCs w:val="20"/>
          <w:lang w:val="en-US"/>
        </w:rPr>
        <w:t>, paras. 62-63, U.N. Doc. E/C.12/1/Add.94 (2003).</w:t>
      </w:r>
    </w:p>
  </w:endnote>
  <w:endnote w:id="66">
    <w:p w14:paraId="4BD331D5" w14:textId="77777777" w:rsidR="004B5DB3" w:rsidRPr="004B5DB3" w:rsidRDefault="004B5DB3" w:rsidP="004B5DB3">
      <w:pPr>
        <w:autoSpaceDE w:val="0"/>
        <w:autoSpaceDN w:val="0"/>
        <w:adjustRightInd w:val="0"/>
        <w:spacing w:after="0" w:line="240" w:lineRule="auto"/>
        <w:rPr>
          <w:rFonts w:ascii="Times New Roman" w:hAnsi="Times New Roman"/>
          <w:i/>
          <w:iCs/>
          <w:sz w:val="20"/>
          <w:szCs w:val="20"/>
          <w:lang w:val="en-US"/>
        </w:rPr>
      </w:pPr>
      <w:r w:rsidRPr="00E0795D">
        <w:rPr>
          <w:rStyle w:val="EndnoteReference"/>
          <w:rFonts w:ascii="Times New Roman" w:hAnsi="Times New Roman"/>
          <w:sz w:val="20"/>
          <w:szCs w:val="20"/>
        </w:rPr>
        <w:endnoteRef/>
      </w:r>
      <w:r w:rsidRPr="004B5DB3">
        <w:rPr>
          <w:rFonts w:ascii="Times New Roman" w:hAnsi="Times New Roman"/>
          <w:sz w:val="20"/>
          <w:szCs w:val="20"/>
          <w:lang w:val="en-US"/>
        </w:rPr>
        <w:t xml:space="preserve"> ESCR Committee</w:t>
      </w:r>
      <w:r w:rsidRPr="004B5DB3">
        <w:rPr>
          <w:rFonts w:ascii="Times New Roman" w:hAnsi="Times New Roman"/>
          <w:i/>
          <w:sz w:val="20"/>
          <w:szCs w:val="20"/>
          <w:lang w:val="en-US"/>
        </w:rPr>
        <w:t>, Gen. Comment No. 14</w:t>
      </w:r>
      <w:r w:rsidRPr="004B5DB3">
        <w:rPr>
          <w:rFonts w:ascii="Times New Roman" w:hAnsi="Times New Roman"/>
          <w:sz w:val="20"/>
          <w:szCs w:val="20"/>
          <w:lang w:val="en-US"/>
        </w:rPr>
        <w:t>,</w:t>
      </w:r>
      <w:r w:rsidRPr="004B5DB3">
        <w:rPr>
          <w:rFonts w:ascii="Times New Roman" w:hAnsi="Times New Roman"/>
          <w:i/>
          <w:sz w:val="20"/>
          <w:szCs w:val="20"/>
          <w:lang w:val="en-US"/>
        </w:rPr>
        <w:t xml:space="preserve"> supra </w:t>
      </w:r>
      <w:r w:rsidRPr="004B5DB3">
        <w:rPr>
          <w:rFonts w:ascii="Times New Roman" w:hAnsi="Times New Roman"/>
          <w:sz w:val="20"/>
          <w:szCs w:val="20"/>
          <w:lang w:val="en-US"/>
        </w:rPr>
        <w:t>note 28, paras. 12(a), 43 (d), 44 (a).</w:t>
      </w:r>
    </w:p>
  </w:endnote>
  <w:endnote w:id="67">
    <w:p w14:paraId="002B931F" w14:textId="77777777" w:rsidR="004B5DB3" w:rsidRPr="004B5DB3" w:rsidRDefault="004B5DB3" w:rsidP="004B5DB3">
      <w:pPr>
        <w:autoSpaceDE w:val="0"/>
        <w:autoSpaceDN w:val="0"/>
        <w:adjustRightInd w:val="0"/>
        <w:spacing w:after="0" w:line="240" w:lineRule="auto"/>
        <w:rPr>
          <w:rFonts w:ascii="Times New Roman" w:hAnsi="Times New Roman"/>
          <w:i/>
          <w:iCs/>
          <w:sz w:val="20"/>
          <w:szCs w:val="20"/>
          <w:lang w:val="en-US"/>
        </w:rPr>
      </w:pPr>
      <w:r w:rsidRPr="00E0795D">
        <w:rPr>
          <w:rStyle w:val="EndnoteReference"/>
          <w:rFonts w:ascii="Times New Roman" w:hAnsi="Times New Roman"/>
          <w:sz w:val="20"/>
          <w:szCs w:val="20"/>
        </w:rPr>
        <w:endnoteRef/>
      </w:r>
      <w:r w:rsidRPr="004B5DB3">
        <w:rPr>
          <w:rFonts w:ascii="Times New Roman" w:hAnsi="Times New Roman"/>
          <w:sz w:val="20"/>
          <w:szCs w:val="20"/>
          <w:lang w:val="en-US"/>
        </w:rPr>
        <w:t xml:space="preserve"> </w:t>
      </w:r>
      <w:r w:rsidRPr="004B5DB3">
        <w:rPr>
          <w:rFonts w:ascii="Times New Roman" w:hAnsi="Times New Roman"/>
          <w:i/>
          <w:sz w:val="20"/>
          <w:szCs w:val="20"/>
          <w:lang w:val="en-US"/>
        </w:rPr>
        <w:t>Id.</w:t>
      </w:r>
      <w:r w:rsidRPr="004B5DB3">
        <w:rPr>
          <w:rFonts w:ascii="Times New Roman" w:hAnsi="Times New Roman"/>
          <w:sz w:val="20"/>
          <w:szCs w:val="20"/>
          <w:lang w:val="en-US"/>
        </w:rPr>
        <w:t xml:space="preserve"> para. 43(d).</w:t>
      </w:r>
    </w:p>
  </w:endnote>
  <w:endnote w:id="68">
    <w:p w14:paraId="22B7BE77" w14:textId="77777777" w:rsidR="004B5DB3" w:rsidRPr="004B5DB3" w:rsidRDefault="004B5DB3" w:rsidP="004B5DB3">
      <w:pPr>
        <w:autoSpaceDE w:val="0"/>
        <w:autoSpaceDN w:val="0"/>
        <w:adjustRightInd w:val="0"/>
        <w:spacing w:after="0" w:line="240" w:lineRule="auto"/>
        <w:rPr>
          <w:rFonts w:ascii="Times New Roman" w:hAnsi="Times New Roman"/>
          <w:i/>
          <w:iCs/>
          <w:sz w:val="20"/>
          <w:szCs w:val="20"/>
          <w:lang w:val="en-US"/>
        </w:rPr>
      </w:pPr>
      <w:r w:rsidRPr="00E0795D">
        <w:rPr>
          <w:rStyle w:val="EndnoteReference"/>
          <w:rFonts w:ascii="Times New Roman" w:hAnsi="Times New Roman"/>
          <w:sz w:val="20"/>
          <w:szCs w:val="20"/>
        </w:rPr>
        <w:endnoteRef/>
      </w:r>
      <w:r w:rsidRPr="004B5DB3">
        <w:rPr>
          <w:rFonts w:ascii="Times New Roman" w:hAnsi="Times New Roman"/>
          <w:sz w:val="20"/>
          <w:szCs w:val="20"/>
          <w:lang w:val="en-US"/>
        </w:rPr>
        <w:t xml:space="preserve"> </w:t>
      </w:r>
      <w:r w:rsidRPr="004B5DB3">
        <w:rPr>
          <w:rFonts w:ascii="Times New Roman" w:hAnsi="Times New Roman"/>
          <w:i/>
          <w:sz w:val="20"/>
          <w:szCs w:val="20"/>
          <w:lang w:val="en-US"/>
        </w:rPr>
        <w:t>Id.</w:t>
      </w:r>
      <w:r w:rsidRPr="004B5DB3">
        <w:rPr>
          <w:rFonts w:ascii="Times New Roman" w:hAnsi="Times New Roman"/>
          <w:sz w:val="20"/>
          <w:szCs w:val="20"/>
          <w:lang w:val="en-US"/>
        </w:rPr>
        <w:t xml:space="preserve"> para. 43.</w:t>
      </w:r>
    </w:p>
  </w:endnote>
  <w:endnote w:id="69">
    <w:p w14:paraId="7E12A987" w14:textId="77777777" w:rsidR="004B5DB3" w:rsidRPr="004B5DB3" w:rsidRDefault="004B5DB3" w:rsidP="004B5DB3">
      <w:pPr>
        <w:autoSpaceDE w:val="0"/>
        <w:autoSpaceDN w:val="0"/>
        <w:adjustRightInd w:val="0"/>
        <w:spacing w:after="0" w:line="240" w:lineRule="auto"/>
        <w:rPr>
          <w:rFonts w:ascii="Times New Roman" w:hAnsi="Times New Roman"/>
          <w:i/>
          <w:iCs/>
          <w:sz w:val="20"/>
          <w:szCs w:val="20"/>
          <w:lang w:val="en-US"/>
        </w:rPr>
      </w:pPr>
      <w:r w:rsidRPr="00E0795D">
        <w:rPr>
          <w:rStyle w:val="EndnoteReference"/>
          <w:rFonts w:ascii="Times New Roman" w:hAnsi="Times New Roman"/>
          <w:sz w:val="20"/>
          <w:szCs w:val="20"/>
        </w:rPr>
        <w:endnoteRef/>
      </w:r>
      <w:r w:rsidRPr="004B5DB3">
        <w:rPr>
          <w:rFonts w:ascii="Times New Roman" w:hAnsi="Times New Roman"/>
          <w:sz w:val="20"/>
          <w:szCs w:val="20"/>
          <w:lang w:val="en-US"/>
        </w:rPr>
        <w:t xml:space="preserve"> </w:t>
      </w:r>
      <w:r w:rsidRPr="004B5DB3">
        <w:rPr>
          <w:rFonts w:ascii="Times New Roman" w:hAnsi="Times New Roman"/>
          <w:i/>
          <w:sz w:val="20"/>
          <w:szCs w:val="20"/>
          <w:lang w:val="en-US"/>
        </w:rPr>
        <w:t>Id.</w:t>
      </w:r>
      <w:r w:rsidRPr="004B5DB3">
        <w:rPr>
          <w:rFonts w:ascii="Times New Roman" w:hAnsi="Times New Roman"/>
          <w:sz w:val="20"/>
          <w:szCs w:val="20"/>
          <w:lang w:val="en-US"/>
        </w:rPr>
        <w:t xml:space="preserve"> paras. 43(a), (d).</w:t>
      </w:r>
    </w:p>
  </w:endnote>
  <w:endnote w:id="70">
    <w:p w14:paraId="2CFEA784"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CEDAW Committee, </w:t>
      </w:r>
      <w:r w:rsidRPr="00E0795D">
        <w:rPr>
          <w:rFonts w:ascii="Times New Roman" w:hAnsi="Times New Roman"/>
          <w:i/>
        </w:rPr>
        <w:t>Gen. Recommendation No. 24</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note 39, para. 2.</w:t>
      </w:r>
    </w:p>
  </w:endnote>
  <w:endnote w:id="71">
    <w:p w14:paraId="406D3604"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w:t>
      </w:r>
      <w:r w:rsidRPr="00E0795D">
        <w:rPr>
          <w:rFonts w:ascii="Times New Roman" w:hAnsi="Times New Roman"/>
        </w:rPr>
        <w:t xml:space="preserve"> paras. 14-15, 17.</w:t>
      </w:r>
    </w:p>
  </w:endnote>
  <w:endnote w:id="72">
    <w:p w14:paraId="38BE00BC"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color w:val="000000"/>
        </w:rPr>
        <w:t xml:space="preserve">Women with disabilities, of all ages, often have difficulty with physical access to health services. Women with mental disabilities are particularly vulnerable, while there is limited understanding, in general, of the broad range of risks to mental health to which women are disproportionately susceptible as a result of gender discrimination, violence, poverty, armed conflict, dislocation and other forms of social deprivation. States parties should take appropriate measures to ensure that health services are sensitive to the needs of women with disabilities and are respectful of their human rights and dignity.” </w:t>
      </w:r>
      <w:r>
        <w:rPr>
          <w:rFonts w:ascii="Times New Roman" w:hAnsi="Times New Roman"/>
          <w:i/>
        </w:rPr>
        <w:t>Id.</w:t>
      </w:r>
      <w:r>
        <w:rPr>
          <w:rFonts w:ascii="Times New Roman" w:hAnsi="Times New Roman"/>
        </w:rPr>
        <w:t xml:space="preserve"> </w:t>
      </w:r>
      <w:r w:rsidRPr="00E0795D">
        <w:rPr>
          <w:rFonts w:ascii="Times New Roman" w:hAnsi="Times New Roman"/>
        </w:rPr>
        <w:t>para. 25.</w:t>
      </w:r>
    </w:p>
  </w:endnote>
  <w:endnote w:id="73">
    <w:p w14:paraId="6C2EF87F"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CRC Committee, </w:t>
      </w:r>
      <w:r w:rsidRPr="00E0795D">
        <w:rPr>
          <w:rFonts w:ascii="Times New Roman" w:hAnsi="Times New Roman"/>
          <w:i/>
        </w:rPr>
        <w:t>Concluding Observations: Ecuador</w:t>
      </w:r>
      <w:r w:rsidRPr="00E0795D">
        <w:rPr>
          <w:rFonts w:ascii="Times New Roman" w:hAnsi="Times New Roman"/>
        </w:rPr>
        <w:t>, paras. 60-61, U.N. Doc. CRC/C/ECU/CO/4 (2010).</w:t>
      </w:r>
    </w:p>
  </w:endnote>
  <w:endnote w:id="74">
    <w:p w14:paraId="610015EC"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CAT Committee, </w:t>
      </w:r>
      <w:r w:rsidRPr="00E0795D">
        <w:rPr>
          <w:rFonts w:ascii="Times New Roman" w:hAnsi="Times New Roman"/>
          <w:i/>
        </w:rPr>
        <w:t xml:space="preserve">Concluding Observations: Peru, </w:t>
      </w:r>
      <w:r w:rsidRPr="00E0795D">
        <w:rPr>
          <w:rFonts w:ascii="Times New Roman" w:hAnsi="Times New Roman"/>
        </w:rPr>
        <w:t xml:space="preserve">para. 15, U.N. Doc. CAT/C/PER/C/5-6 (2013). </w:t>
      </w:r>
    </w:p>
  </w:endnote>
  <w:endnote w:id="75">
    <w:p w14:paraId="5B55ED41"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w:t>
      </w:r>
      <w:r w:rsidRPr="00E0795D">
        <w:rPr>
          <w:rFonts w:ascii="Times New Roman" w:hAnsi="Times New Roman"/>
        </w:rPr>
        <w:t xml:space="preserve"> para. 15(b).</w:t>
      </w:r>
    </w:p>
  </w:endnote>
  <w:endnote w:id="76">
    <w:p w14:paraId="0A7BAD62"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CRPD, </w:t>
      </w:r>
      <w:r w:rsidRPr="00E0795D">
        <w:rPr>
          <w:rFonts w:ascii="Times New Roman" w:hAnsi="Times New Roman"/>
          <w:i/>
        </w:rPr>
        <w:t xml:space="preserve">supra </w:t>
      </w:r>
      <w:r w:rsidRPr="00E0795D">
        <w:rPr>
          <w:rFonts w:ascii="Times New Roman" w:hAnsi="Times New Roman"/>
        </w:rPr>
        <w:t>note 1, art. 25(1)(a).</w:t>
      </w:r>
    </w:p>
  </w:endnote>
  <w:endnote w:id="77">
    <w:p w14:paraId="45B7491D" w14:textId="77777777" w:rsidR="004B5DB3" w:rsidRPr="00E0795D" w:rsidRDefault="004B5DB3" w:rsidP="004B5DB3">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 xml:space="preserve">Id. </w:t>
      </w:r>
      <w:r w:rsidRPr="00E0795D">
        <w:rPr>
          <w:rFonts w:ascii="Times New Roman" w:hAnsi="Times New Roman"/>
        </w:rPr>
        <w:t>art. 23(1)(b).</w:t>
      </w:r>
    </w:p>
  </w:endnote>
  <w:endnote w:id="78">
    <w:p w14:paraId="48B02CC7" w14:textId="77777777" w:rsidR="00641E69" w:rsidRPr="00641E69" w:rsidRDefault="00641E69" w:rsidP="00641E69">
      <w:pPr>
        <w:autoSpaceDE w:val="0"/>
        <w:autoSpaceDN w:val="0"/>
        <w:adjustRightInd w:val="0"/>
        <w:spacing w:after="0" w:line="240" w:lineRule="auto"/>
        <w:rPr>
          <w:rFonts w:ascii="Times New Roman" w:hAnsi="Times New Roman"/>
          <w:sz w:val="20"/>
          <w:szCs w:val="20"/>
          <w:lang w:val="en-US"/>
        </w:rPr>
      </w:pPr>
      <w:r w:rsidRPr="00E0795D">
        <w:rPr>
          <w:rStyle w:val="EndnoteReference"/>
          <w:rFonts w:ascii="Times New Roman" w:hAnsi="Times New Roman"/>
          <w:sz w:val="20"/>
          <w:szCs w:val="20"/>
        </w:rPr>
        <w:endnoteRef/>
      </w:r>
      <w:r w:rsidRPr="00641E69">
        <w:rPr>
          <w:rFonts w:ascii="Times New Roman" w:hAnsi="Times New Roman"/>
          <w:sz w:val="20"/>
          <w:szCs w:val="20"/>
          <w:lang w:val="en-US"/>
        </w:rPr>
        <w:t xml:space="preserve"> Procedural barriers include mandatory and biased counseling requirements, waiting periods, third-party consent and notification requirements, limitations on the range of abortion options (such as restrictions on medical abortion), conscience clauses, limitations on abortion funding, and abortion advertising restrictions. These burdensome procedural barriers impede access to safe and legal abortions, demean women, and undermine their autonomy in making decisions about their lives. Reed Boland &amp; Laura Katzive, </w:t>
      </w:r>
      <w:r w:rsidRPr="00641E69">
        <w:rPr>
          <w:rFonts w:ascii="Times New Roman" w:hAnsi="Times New Roman"/>
          <w:i/>
          <w:sz w:val="20"/>
          <w:szCs w:val="20"/>
          <w:lang w:val="en-US"/>
        </w:rPr>
        <w:t>Developments in Laws on Induced Abortion: 1998-2007</w:t>
      </w:r>
      <w:r w:rsidRPr="00641E69">
        <w:rPr>
          <w:rFonts w:ascii="Times New Roman" w:hAnsi="Times New Roman"/>
          <w:sz w:val="20"/>
          <w:szCs w:val="20"/>
          <w:lang w:val="en-US"/>
        </w:rPr>
        <w:t xml:space="preserve">, 34 </w:t>
      </w:r>
      <w:r w:rsidRPr="00641E69">
        <w:rPr>
          <w:rFonts w:ascii="Times New Roman" w:hAnsi="Times New Roman"/>
          <w:smallCaps/>
          <w:sz w:val="20"/>
          <w:szCs w:val="20"/>
          <w:lang w:val="en-US"/>
        </w:rPr>
        <w:t>International Family Planning Perspectives (2008) [</w:t>
      </w:r>
      <w:r w:rsidRPr="00641E69">
        <w:rPr>
          <w:rFonts w:ascii="Times New Roman" w:hAnsi="Times New Roman"/>
          <w:sz w:val="20"/>
          <w:szCs w:val="20"/>
          <w:lang w:val="en-US"/>
        </w:rPr>
        <w:t xml:space="preserve">hereinafter </w:t>
      </w:r>
      <w:r w:rsidRPr="00641E69">
        <w:rPr>
          <w:rFonts w:ascii="Times New Roman" w:hAnsi="Times New Roman"/>
          <w:i/>
          <w:sz w:val="20"/>
          <w:szCs w:val="20"/>
          <w:lang w:val="en-US"/>
        </w:rPr>
        <w:t>Developments in Laws on Induced Abortion</w:t>
      </w:r>
      <w:r w:rsidRPr="00641E69">
        <w:rPr>
          <w:rFonts w:ascii="Times New Roman" w:hAnsi="Times New Roman"/>
          <w:sz w:val="20"/>
          <w:szCs w:val="20"/>
          <w:lang w:val="en-US"/>
        </w:rPr>
        <w:t xml:space="preserve">]; </w:t>
      </w:r>
      <w:r w:rsidRPr="00641E69">
        <w:rPr>
          <w:rFonts w:ascii="Times New Roman" w:hAnsi="Times New Roman"/>
          <w:smallCaps/>
          <w:sz w:val="20"/>
          <w:szCs w:val="20"/>
          <w:lang w:val="en-US"/>
        </w:rPr>
        <w:t>World Health Organization, Safe abortion: technical and policy guidance for health systems</w:t>
      </w:r>
      <w:r w:rsidRPr="00641E69">
        <w:rPr>
          <w:rFonts w:ascii="Times New Roman" w:hAnsi="Times New Roman"/>
          <w:sz w:val="20"/>
          <w:szCs w:val="20"/>
          <w:lang w:val="en-US"/>
        </w:rPr>
        <w:t xml:space="preserve"> 96-97 (2</w:t>
      </w:r>
      <w:r w:rsidRPr="00641E69">
        <w:rPr>
          <w:rFonts w:ascii="Times New Roman" w:hAnsi="Times New Roman"/>
          <w:sz w:val="20"/>
          <w:szCs w:val="20"/>
          <w:vertAlign w:val="superscript"/>
          <w:lang w:val="en-US"/>
        </w:rPr>
        <w:t>nd</w:t>
      </w:r>
      <w:r w:rsidRPr="00641E69">
        <w:rPr>
          <w:rFonts w:ascii="Times New Roman" w:hAnsi="Times New Roman"/>
          <w:sz w:val="20"/>
          <w:szCs w:val="20"/>
          <w:lang w:val="en-US"/>
        </w:rPr>
        <w:t xml:space="preserve"> ed., 2012) [hereinafter </w:t>
      </w:r>
      <w:r w:rsidRPr="00641E69">
        <w:rPr>
          <w:rFonts w:ascii="Times New Roman" w:hAnsi="Times New Roman"/>
          <w:smallCaps/>
          <w:sz w:val="20"/>
          <w:szCs w:val="20"/>
          <w:lang w:val="en-US"/>
        </w:rPr>
        <w:t>WHO Safe abortion guidance</w:t>
      </w:r>
      <w:r w:rsidRPr="00641E69">
        <w:rPr>
          <w:rFonts w:ascii="Times New Roman" w:hAnsi="Times New Roman"/>
          <w:sz w:val="20"/>
          <w:szCs w:val="20"/>
          <w:lang w:val="en-US"/>
        </w:rPr>
        <w:t>].</w:t>
      </w:r>
    </w:p>
  </w:endnote>
  <w:endnote w:id="79">
    <w:p w14:paraId="29B2ADFA" w14:textId="77777777" w:rsidR="00641E69" w:rsidRPr="00E0795D" w:rsidRDefault="00641E69" w:rsidP="00641E69">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See</w:t>
      </w:r>
      <w:r w:rsidRPr="00E0795D">
        <w:rPr>
          <w:rFonts w:ascii="Times New Roman" w:hAnsi="Times New Roman"/>
        </w:rPr>
        <w:t xml:space="preserve"> </w:t>
      </w:r>
      <w:r w:rsidRPr="00E0795D">
        <w:rPr>
          <w:rFonts w:ascii="Times New Roman" w:hAnsi="Times New Roman"/>
          <w:smallCaps/>
        </w:rPr>
        <w:t xml:space="preserve">WHO Safe abortion guidance, </w:t>
      </w:r>
      <w:r w:rsidRPr="00E0795D">
        <w:rPr>
          <w:rFonts w:ascii="Times New Roman" w:hAnsi="Times New Roman"/>
          <w:i/>
        </w:rPr>
        <w:t xml:space="preserve">supra </w:t>
      </w:r>
      <w:r w:rsidRPr="00E0795D">
        <w:rPr>
          <w:rFonts w:ascii="Times New Roman" w:hAnsi="Times New Roman"/>
        </w:rPr>
        <w:t>note 99, at 23.</w:t>
      </w:r>
    </w:p>
  </w:endnote>
  <w:endnote w:id="80">
    <w:p w14:paraId="46C927F0" w14:textId="77777777" w:rsidR="00641E69" w:rsidRPr="00E0795D" w:rsidRDefault="00641E69" w:rsidP="00641E69">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Pr>
          <w:rFonts w:ascii="Times New Roman" w:hAnsi="Times New Roman"/>
          <w:i/>
        </w:rPr>
        <w:t>See i</w:t>
      </w:r>
      <w:r w:rsidRPr="00E0795D">
        <w:rPr>
          <w:rFonts w:ascii="Times New Roman" w:hAnsi="Times New Roman"/>
          <w:i/>
        </w:rPr>
        <w:t>d. at 23</w:t>
      </w:r>
      <w:r w:rsidRPr="007B6F3B">
        <w:rPr>
          <w:rFonts w:ascii="Times New Roman" w:hAnsi="Times New Roman"/>
        </w:rPr>
        <w:t>;</w:t>
      </w:r>
      <w:r w:rsidRPr="00E0795D">
        <w:rPr>
          <w:rFonts w:ascii="Times New Roman" w:hAnsi="Times New Roman"/>
          <w:i/>
        </w:rPr>
        <w:t xml:space="preserve"> </w:t>
      </w:r>
      <w:r w:rsidRPr="00E0795D">
        <w:rPr>
          <w:rFonts w:ascii="Times New Roman" w:hAnsi="Times New Roman"/>
        </w:rPr>
        <w:t xml:space="preserve">Gilda Sedgh et al., </w:t>
      </w:r>
      <w:r w:rsidRPr="00E0795D">
        <w:rPr>
          <w:rFonts w:ascii="Times New Roman" w:hAnsi="Times New Roman"/>
          <w:i/>
        </w:rPr>
        <w:t>Induced Abortion: Incidence and Trends Worldwide from 1995 to 2008,</w:t>
      </w:r>
      <w:r w:rsidRPr="00E0795D">
        <w:rPr>
          <w:rFonts w:ascii="Times New Roman" w:hAnsi="Times New Roman"/>
        </w:rPr>
        <w:t xml:space="preserve"> 379 The Lancet 625 (2012).</w:t>
      </w:r>
    </w:p>
  </w:endnote>
  <w:endnote w:id="81">
    <w:p w14:paraId="2E0DED0B" w14:textId="77777777" w:rsidR="00641E69" w:rsidRPr="00E0795D" w:rsidRDefault="00641E69" w:rsidP="00641E69">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See</w:t>
      </w:r>
      <w:r w:rsidRPr="00E0795D">
        <w:rPr>
          <w:rFonts w:ascii="Times New Roman" w:hAnsi="Times New Roman"/>
        </w:rPr>
        <w:t xml:space="preserve"> </w:t>
      </w:r>
      <w:r w:rsidRPr="00E0795D">
        <w:rPr>
          <w:rFonts w:ascii="Times New Roman" w:hAnsi="Times New Roman"/>
          <w:smallCaps/>
        </w:rPr>
        <w:t>WHO Safe abortion guidance</w:t>
      </w:r>
      <w:r w:rsidRPr="00E0795D">
        <w:rPr>
          <w:rFonts w:ascii="Times New Roman" w:hAnsi="Times New Roman"/>
        </w:rPr>
        <w:t xml:space="preserve">, </w:t>
      </w:r>
      <w:r w:rsidRPr="00E0795D">
        <w:rPr>
          <w:rFonts w:ascii="Times New Roman" w:hAnsi="Times New Roman"/>
          <w:i/>
        </w:rPr>
        <w:t xml:space="preserve">supra </w:t>
      </w:r>
      <w:r w:rsidRPr="00E0795D">
        <w:rPr>
          <w:rFonts w:ascii="Times New Roman" w:hAnsi="Times New Roman"/>
        </w:rPr>
        <w:t>note 99, at 23.</w:t>
      </w:r>
    </w:p>
  </w:endnote>
  <w:endnote w:id="82">
    <w:p w14:paraId="674B8414" w14:textId="77777777" w:rsidR="00641E69" w:rsidRPr="00E0795D" w:rsidRDefault="00641E69" w:rsidP="00641E69">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w:t>
      </w:r>
    </w:p>
  </w:endnote>
  <w:endnote w:id="83">
    <w:p w14:paraId="5716DF3C" w14:textId="77777777" w:rsidR="00641E69" w:rsidRPr="00E0795D" w:rsidRDefault="00641E69" w:rsidP="00641E69">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Guttmacher Institute, Facts on Induced Abortion Worldwide – In Brief: Fact Sheet</w:t>
      </w:r>
      <w:r w:rsidRPr="00E0795D">
        <w:rPr>
          <w:rFonts w:ascii="Times New Roman" w:hAnsi="Times New Roman"/>
        </w:rPr>
        <w:t xml:space="preserve"> 2 (2012).</w:t>
      </w:r>
    </w:p>
  </w:endnote>
  <w:endnote w:id="84">
    <w:p w14:paraId="237CC670" w14:textId="77777777" w:rsidR="00366C71" w:rsidRPr="004B2211" w:rsidRDefault="00366C71" w:rsidP="00366C71">
      <w:pPr>
        <w:pStyle w:val="NormalWeb"/>
        <w:spacing w:before="0" w:beforeAutospacing="0" w:after="0" w:afterAutospacing="0"/>
        <w:rPr>
          <w:color w:val="000000"/>
          <w:sz w:val="22"/>
          <w:szCs w:val="22"/>
        </w:rPr>
      </w:pPr>
      <w:r w:rsidRPr="004B2211">
        <w:rPr>
          <w:rStyle w:val="EndnoteReference"/>
          <w:sz w:val="20"/>
          <w:szCs w:val="20"/>
        </w:rPr>
        <w:endnoteRef/>
      </w:r>
      <w:r w:rsidRPr="004B2211">
        <w:rPr>
          <w:sz w:val="20"/>
          <w:szCs w:val="20"/>
        </w:rPr>
        <w:t xml:space="preserve"> </w:t>
      </w:r>
      <w:r w:rsidRPr="004B2211">
        <w:rPr>
          <w:i/>
          <w:iCs/>
          <w:color w:val="000000"/>
          <w:sz w:val="20"/>
          <w:szCs w:val="20"/>
        </w:rPr>
        <w:t>See, e.g.,</w:t>
      </w:r>
      <w:r w:rsidRPr="004B2211">
        <w:rPr>
          <w:color w:val="000000"/>
          <w:sz w:val="20"/>
          <w:szCs w:val="20"/>
        </w:rPr>
        <w:t xml:space="preserve"> L.C. v. Peru, CEDAW Committee, Commc’n No. 22/2009, para. 12(b), U.N. Doc. CEDAW/C/50/D/22/2009 (2011); K.L. v. Peru, Human Rights Committee, Commc’n No. 1153/2003, U.N. Doc. CCPR/C/85/D/1153/2003 (2005); L.M.R. v. Argentina, Human Rights Committee, Commc’n No. 1608/2007, U.N. Doc. CCPR/C/101/D/1608/2007 (2011); Human Rights Committee, </w:t>
      </w:r>
      <w:r w:rsidRPr="004B2211">
        <w:rPr>
          <w:i/>
          <w:color w:val="000000"/>
          <w:sz w:val="20"/>
          <w:szCs w:val="20"/>
        </w:rPr>
        <w:t>Concluding Observations: Ireland</w:t>
      </w:r>
      <w:r w:rsidRPr="004B2211">
        <w:rPr>
          <w:color w:val="000000"/>
          <w:sz w:val="20"/>
          <w:szCs w:val="20"/>
        </w:rPr>
        <w:t xml:space="preserve">, para. 9, U.N. Doc. CCPR/C/ IRL/CO/4 (2014); CEDAW Committee, </w:t>
      </w:r>
      <w:r w:rsidRPr="004B2211">
        <w:rPr>
          <w:i/>
          <w:iCs/>
          <w:color w:val="000000"/>
          <w:sz w:val="20"/>
          <w:szCs w:val="20"/>
        </w:rPr>
        <w:t>Concluding Observations: Paraguay</w:t>
      </w:r>
      <w:r w:rsidRPr="004B2211">
        <w:rPr>
          <w:color w:val="000000"/>
          <w:sz w:val="20"/>
          <w:szCs w:val="20"/>
        </w:rPr>
        <w:t>, para. 31(a), U.N. Doc. CEDAW/C/PRY/CO/6 (2011).</w:t>
      </w:r>
    </w:p>
  </w:endnote>
  <w:endnote w:id="85">
    <w:p w14:paraId="04D5758E" w14:textId="77777777" w:rsidR="00366C71" w:rsidRPr="004B2211" w:rsidRDefault="00366C71" w:rsidP="00366C71">
      <w:pPr>
        <w:pStyle w:val="EndnoteText"/>
        <w:rPr>
          <w:rFonts w:ascii="Times New Roman" w:hAnsi="Times New Roman" w:cs="Times New Roman"/>
        </w:rPr>
      </w:pPr>
      <w:r w:rsidRPr="004B2211">
        <w:rPr>
          <w:rStyle w:val="EndnoteReference"/>
          <w:rFonts w:ascii="Times New Roman" w:hAnsi="Times New Roman" w:cs="Times New Roman"/>
        </w:rPr>
        <w:endnoteRef/>
      </w:r>
      <w:r w:rsidRPr="004B2211">
        <w:rPr>
          <w:rFonts w:ascii="Times New Roman" w:hAnsi="Times New Roman" w:cs="Times New Roman"/>
        </w:rPr>
        <w:t xml:space="preserve"> </w:t>
      </w:r>
      <w:r w:rsidRPr="004B2211">
        <w:rPr>
          <w:rFonts w:ascii="Times New Roman" w:hAnsi="Times New Roman" w:cs="Times New Roman"/>
          <w:smallCaps/>
        </w:rPr>
        <w:t>Human Rights Watch, Illusions of Care: Lack of Accountability for Reproductive Rights in Argentina</w:t>
      </w:r>
      <w:r w:rsidRPr="004B2211">
        <w:rPr>
          <w:rFonts w:ascii="Times New Roman" w:hAnsi="Times New Roman" w:cs="Times New Roman"/>
        </w:rPr>
        <w:t xml:space="preserve"> 35 (2010).</w:t>
      </w:r>
    </w:p>
  </w:endnote>
  <w:endnote w:id="86">
    <w:p w14:paraId="0C0B8B47" w14:textId="77777777" w:rsidR="00366C71" w:rsidRPr="00366C71" w:rsidRDefault="00366C71" w:rsidP="00366C71">
      <w:pPr>
        <w:autoSpaceDE w:val="0"/>
        <w:autoSpaceDN w:val="0"/>
        <w:adjustRightInd w:val="0"/>
        <w:spacing w:after="0" w:line="240" w:lineRule="auto"/>
        <w:rPr>
          <w:rFonts w:ascii="Times New Roman" w:hAnsi="Times New Roman" w:cs="Times New Roman"/>
          <w:sz w:val="20"/>
          <w:szCs w:val="20"/>
          <w:lang w:val="en-US"/>
        </w:rPr>
      </w:pPr>
      <w:r w:rsidRPr="004B2211">
        <w:rPr>
          <w:rStyle w:val="EndnoteReference"/>
          <w:rFonts w:ascii="Times New Roman" w:hAnsi="Times New Roman" w:cs="Times New Roman"/>
          <w:sz w:val="20"/>
          <w:szCs w:val="20"/>
        </w:rPr>
        <w:endnoteRef/>
      </w:r>
      <w:r w:rsidRPr="00366C71">
        <w:rPr>
          <w:rFonts w:ascii="Times New Roman" w:hAnsi="Times New Roman" w:cs="Times New Roman"/>
          <w:sz w:val="20"/>
          <w:szCs w:val="20"/>
          <w:lang w:val="en-US"/>
        </w:rPr>
        <w:t xml:space="preserve"> Special Rapporteur on the right </w:t>
      </w:r>
      <w:r w:rsidRPr="00366C71">
        <w:rPr>
          <w:rFonts w:ascii="Times New Roman" w:hAnsi="Times New Roman" w:cs="Times New Roman"/>
          <w:bCs/>
          <w:sz w:val="20"/>
          <w:szCs w:val="20"/>
          <w:lang w:val="en-US"/>
        </w:rPr>
        <w:t xml:space="preserve">of everyone to the enjoyment of the highest attainable standard of physical and mental health, </w:t>
      </w:r>
      <w:r w:rsidRPr="00366C71">
        <w:rPr>
          <w:rFonts w:ascii="Times New Roman" w:hAnsi="Times New Roman" w:cs="Times New Roman"/>
          <w:bCs/>
          <w:i/>
          <w:sz w:val="20"/>
          <w:szCs w:val="20"/>
          <w:lang w:val="en-US"/>
        </w:rPr>
        <w:t>Interim rep. of the Special Rapporteur on the right of everyone to the enjoyment of the highest attainable standard of physical and mental health, transmitted by Note of the Secretary-General</w:t>
      </w:r>
      <w:r w:rsidRPr="00366C71">
        <w:rPr>
          <w:rFonts w:ascii="Times New Roman" w:hAnsi="Times New Roman" w:cs="Times New Roman"/>
          <w:bCs/>
          <w:sz w:val="20"/>
          <w:szCs w:val="20"/>
          <w:lang w:val="en-US"/>
        </w:rPr>
        <w:t>,</w:t>
      </w:r>
      <w:r w:rsidRPr="00366C71">
        <w:rPr>
          <w:rFonts w:ascii="Times New Roman" w:hAnsi="Times New Roman" w:cs="Times New Roman"/>
          <w:bCs/>
          <w:i/>
          <w:sz w:val="20"/>
          <w:szCs w:val="20"/>
          <w:lang w:val="en-US"/>
        </w:rPr>
        <w:t xml:space="preserve"> </w:t>
      </w:r>
      <w:r w:rsidRPr="00366C71">
        <w:rPr>
          <w:rFonts w:ascii="Times New Roman" w:hAnsi="Times New Roman" w:cs="Times New Roman"/>
          <w:bCs/>
          <w:sz w:val="20"/>
          <w:szCs w:val="20"/>
          <w:lang w:val="en-US"/>
        </w:rPr>
        <w:t>U.N. Doc. A/66/254 (Aug. 3, 2011) (by Anand Grover)</w:t>
      </w:r>
      <w:r w:rsidRPr="00366C71">
        <w:rPr>
          <w:rFonts w:ascii="Times New Roman" w:hAnsi="Times New Roman" w:cs="Times New Roman"/>
          <w:sz w:val="20"/>
          <w:szCs w:val="20"/>
          <w:lang w:val="en-US"/>
        </w:rPr>
        <w:t xml:space="preserve">; </w:t>
      </w:r>
      <w:r w:rsidRPr="00366C71">
        <w:rPr>
          <w:rFonts w:ascii="Times New Roman" w:hAnsi="Times New Roman" w:cs="Times New Roman"/>
          <w:smallCaps/>
          <w:sz w:val="20"/>
          <w:szCs w:val="20"/>
          <w:lang w:val="en-US"/>
        </w:rPr>
        <w:t xml:space="preserve">Center for Reproductive Rights, In Harm’s Way: The Impact of Kenya’s Restrictive Abortion Law </w:t>
      </w:r>
      <w:r w:rsidRPr="00366C71">
        <w:rPr>
          <w:rFonts w:ascii="Times New Roman" w:hAnsi="Times New Roman" w:cs="Times New Roman"/>
          <w:sz w:val="20"/>
          <w:szCs w:val="20"/>
          <w:lang w:val="en-US"/>
        </w:rPr>
        <w:t xml:space="preserve">(2010); </w:t>
      </w:r>
      <w:r w:rsidRPr="00366C71">
        <w:rPr>
          <w:rFonts w:ascii="Times New Roman" w:hAnsi="Times New Roman" w:cs="Times New Roman"/>
          <w:smallCaps/>
          <w:sz w:val="20"/>
          <w:szCs w:val="20"/>
          <w:lang w:val="en-US"/>
        </w:rPr>
        <w:t>Center for Reproductive Rights, Forsaken Lives: The Harmful Impact of the Philippine Criminal Abortion Ban (2010).</w:t>
      </w:r>
    </w:p>
  </w:endnote>
  <w:endnote w:id="87">
    <w:p w14:paraId="31EAC93B" w14:textId="77777777" w:rsidR="00366C71" w:rsidRPr="004B2211" w:rsidRDefault="00366C71" w:rsidP="00366C71">
      <w:pPr>
        <w:pStyle w:val="EndnoteText"/>
        <w:rPr>
          <w:rFonts w:ascii="Times New Roman" w:hAnsi="Times New Roman" w:cs="Times New Roman"/>
        </w:rPr>
      </w:pPr>
      <w:r w:rsidRPr="004B2211">
        <w:rPr>
          <w:rStyle w:val="EndnoteReference"/>
          <w:rFonts w:ascii="Times New Roman" w:hAnsi="Times New Roman" w:cs="Times New Roman"/>
        </w:rPr>
        <w:endnoteRef/>
      </w:r>
      <w:r w:rsidRPr="004B2211">
        <w:rPr>
          <w:rFonts w:ascii="Times New Roman" w:hAnsi="Times New Roman" w:cs="Times New Roman"/>
        </w:rPr>
        <w:t xml:space="preserve"> </w:t>
      </w:r>
      <w:r>
        <w:rPr>
          <w:rFonts w:ascii="Times New Roman" w:hAnsi="Times New Roman" w:cs="Times New Roman"/>
        </w:rPr>
        <w:t xml:space="preserve">World Health Organization (WHO) and UNFPA, </w:t>
      </w:r>
      <w:r w:rsidRPr="004B2211">
        <w:rPr>
          <w:rFonts w:ascii="Times New Roman" w:hAnsi="Times New Roman" w:cs="Times New Roman"/>
          <w:smallCaps/>
        </w:rPr>
        <w:t>Promoting sexual and reproductive health</w:t>
      </w:r>
      <w:r>
        <w:rPr>
          <w:rFonts w:ascii="Times New Roman" w:hAnsi="Times New Roman" w:cs="Times New Roman"/>
          <w:smallCaps/>
        </w:rPr>
        <w:t xml:space="preserve"> for persons with disabilities</w:t>
      </w:r>
      <w:r w:rsidRPr="004B2211">
        <w:rPr>
          <w:rFonts w:ascii="Times New Roman" w:hAnsi="Times New Roman" w:cs="Times New Roman"/>
          <w:color w:val="1A1A1A"/>
        </w:rPr>
        <w:t xml:space="preserve"> 6-7</w:t>
      </w:r>
      <w:r>
        <w:rPr>
          <w:rFonts w:ascii="Times New Roman" w:hAnsi="Times New Roman" w:cs="Times New Roman"/>
          <w:color w:val="1A1A1A"/>
        </w:rPr>
        <w:t xml:space="preserve"> (2009)</w:t>
      </w:r>
      <w:r w:rsidRPr="004B2211">
        <w:rPr>
          <w:rFonts w:ascii="Times New Roman" w:hAnsi="Times New Roman" w:cs="Times New Roman"/>
          <w:color w:val="1A1A1A"/>
        </w:rPr>
        <w:t>.</w:t>
      </w:r>
    </w:p>
  </w:endnote>
  <w:endnote w:id="88">
    <w:p w14:paraId="1736BD3E" w14:textId="77777777" w:rsidR="00AD6F9D" w:rsidRPr="00AD6F9D" w:rsidRDefault="00AD6F9D" w:rsidP="00AD6F9D">
      <w:pPr>
        <w:autoSpaceDE w:val="0"/>
        <w:autoSpaceDN w:val="0"/>
        <w:adjustRightInd w:val="0"/>
        <w:spacing w:after="0" w:line="240" w:lineRule="auto"/>
        <w:rPr>
          <w:rFonts w:ascii="Times New Roman" w:hAnsi="Times New Roman"/>
          <w:sz w:val="20"/>
          <w:szCs w:val="20"/>
          <w:lang w:val="en-US"/>
        </w:rPr>
      </w:pPr>
      <w:r w:rsidRPr="00E0795D">
        <w:rPr>
          <w:rStyle w:val="EndnoteReference"/>
          <w:rFonts w:ascii="Times New Roman" w:hAnsi="Times New Roman"/>
          <w:sz w:val="20"/>
          <w:szCs w:val="20"/>
        </w:rPr>
        <w:endnoteRef/>
      </w:r>
      <w:r w:rsidRPr="00AD6F9D">
        <w:rPr>
          <w:rFonts w:ascii="Times New Roman" w:hAnsi="Times New Roman"/>
          <w:sz w:val="20"/>
          <w:szCs w:val="20"/>
          <w:lang w:val="en-US"/>
        </w:rPr>
        <w:t xml:space="preserve"> </w:t>
      </w:r>
      <w:r w:rsidRPr="00AD6F9D">
        <w:rPr>
          <w:rFonts w:ascii="Times New Roman" w:hAnsi="Times New Roman"/>
          <w:i/>
          <w:sz w:val="20"/>
          <w:szCs w:val="20"/>
          <w:lang w:val="en-US"/>
        </w:rPr>
        <w:t>See, e.g.,</w:t>
      </w:r>
      <w:r w:rsidRPr="00AD6F9D">
        <w:rPr>
          <w:rFonts w:ascii="Times New Roman" w:hAnsi="Times New Roman"/>
          <w:sz w:val="20"/>
          <w:szCs w:val="20"/>
          <w:lang w:val="en-US"/>
        </w:rPr>
        <w:t xml:space="preserve"> CEDAW Committee, </w:t>
      </w:r>
      <w:r w:rsidRPr="00AD6F9D">
        <w:rPr>
          <w:rFonts w:ascii="Times New Roman" w:hAnsi="Times New Roman"/>
          <w:i/>
          <w:sz w:val="20"/>
          <w:szCs w:val="20"/>
          <w:lang w:val="en-US"/>
        </w:rPr>
        <w:t>Concluding Observations:</w:t>
      </w:r>
      <w:r w:rsidRPr="00AD6F9D">
        <w:rPr>
          <w:rFonts w:ascii="Times New Roman" w:hAnsi="Times New Roman"/>
          <w:sz w:val="20"/>
          <w:szCs w:val="20"/>
          <w:lang w:val="en-US"/>
        </w:rPr>
        <w:t xml:space="preserve"> </w:t>
      </w:r>
      <w:r w:rsidRPr="00AD6F9D">
        <w:rPr>
          <w:rFonts w:ascii="Times New Roman" w:hAnsi="Times New Roman"/>
          <w:bCs/>
          <w:i/>
          <w:sz w:val="20"/>
          <w:szCs w:val="20"/>
          <w:lang w:val="en-US"/>
        </w:rPr>
        <w:t>Belize</w:t>
      </w:r>
      <w:r w:rsidRPr="00AD6F9D">
        <w:rPr>
          <w:rFonts w:ascii="Times New Roman" w:hAnsi="Times New Roman"/>
          <w:sz w:val="20"/>
          <w:szCs w:val="20"/>
          <w:lang w:val="en-US"/>
        </w:rPr>
        <w:t xml:space="preserve">, para. 56, U.N. Doc. A/54/38/Rev. 1 (1999); </w:t>
      </w:r>
      <w:r w:rsidRPr="00AD6F9D">
        <w:rPr>
          <w:rFonts w:ascii="Times New Roman" w:hAnsi="Times New Roman"/>
          <w:bCs/>
          <w:i/>
          <w:sz w:val="20"/>
          <w:szCs w:val="20"/>
          <w:lang w:val="en-US"/>
        </w:rPr>
        <w:t>Colombia</w:t>
      </w:r>
      <w:r w:rsidRPr="00AD6F9D">
        <w:rPr>
          <w:rFonts w:ascii="Times New Roman" w:hAnsi="Times New Roman"/>
          <w:sz w:val="20"/>
          <w:szCs w:val="20"/>
          <w:lang w:val="en-US"/>
        </w:rPr>
        <w:t xml:space="preserve">, para. 393, U.N. Doc. A/54/38/Rev. 1; </w:t>
      </w:r>
      <w:r w:rsidRPr="00AD6F9D">
        <w:rPr>
          <w:rFonts w:ascii="Times New Roman" w:hAnsi="Times New Roman"/>
          <w:bCs/>
          <w:i/>
          <w:sz w:val="20"/>
          <w:szCs w:val="20"/>
          <w:lang w:val="en-US"/>
        </w:rPr>
        <w:t>Dominican</w:t>
      </w:r>
      <w:r w:rsidRPr="00AD6F9D">
        <w:rPr>
          <w:rFonts w:ascii="Times New Roman" w:hAnsi="Times New Roman"/>
          <w:i/>
          <w:sz w:val="20"/>
          <w:szCs w:val="20"/>
          <w:lang w:val="en-US"/>
        </w:rPr>
        <w:t xml:space="preserve"> </w:t>
      </w:r>
      <w:r w:rsidRPr="00AD6F9D">
        <w:rPr>
          <w:rFonts w:ascii="Times New Roman" w:hAnsi="Times New Roman"/>
          <w:bCs/>
          <w:i/>
          <w:sz w:val="20"/>
          <w:szCs w:val="20"/>
          <w:lang w:val="en-US"/>
        </w:rPr>
        <w:t>Republic</w:t>
      </w:r>
      <w:r w:rsidRPr="00AD6F9D">
        <w:rPr>
          <w:rFonts w:ascii="Times New Roman" w:hAnsi="Times New Roman"/>
          <w:sz w:val="20"/>
          <w:szCs w:val="20"/>
          <w:lang w:val="en-US"/>
        </w:rPr>
        <w:t xml:space="preserve">, para. 337, U.N. Doc. A/53/38/Rev. 1, (1998); Human Rights Committee, </w:t>
      </w:r>
      <w:r w:rsidRPr="00AD6F9D">
        <w:rPr>
          <w:rFonts w:ascii="Times New Roman" w:hAnsi="Times New Roman"/>
          <w:i/>
          <w:sz w:val="20"/>
          <w:szCs w:val="20"/>
          <w:lang w:val="en-US"/>
        </w:rPr>
        <w:t>Concluding Observations: Mali</w:t>
      </w:r>
      <w:r w:rsidRPr="00AD6F9D">
        <w:rPr>
          <w:rFonts w:ascii="Times New Roman" w:hAnsi="Times New Roman"/>
          <w:sz w:val="20"/>
          <w:szCs w:val="20"/>
          <w:lang w:val="en-US"/>
        </w:rPr>
        <w:t xml:space="preserve">, para. 81(14), U.N. Doc. A/58/40 (Vol. I) (2003); </w:t>
      </w:r>
      <w:r w:rsidRPr="00AD6F9D">
        <w:rPr>
          <w:rFonts w:ascii="Times New Roman" w:hAnsi="Times New Roman"/>
          <w:i/>
          <w:sz w:val="20"/>
          <w:szCs w:val="20"/>
          <w:lang w:val="en-US"/>
        </w:rPr>
        <w:t>El Salvador</w:t>
      </w:r>
      <w:r w:rsidRPr="00AD6F9D">
        <w:rPr>
          <w:rFonts w:ascii="Times New Roman" w:hAnsi="Times New Roman"/>
          <w:sz w:val="20"/>
          <w:szCs w:val="20"/>
          <w:lang w:val="en-US"/>
        </w:rPr>
        <w:t xml:space="preserve">, para. 10, U.N. Doc. CCPR/C/SLV/CO/6 (2010) (“The Committee expresses its concern that the current Criminal Code criminalizes all forms of abortion, given that illegal abortions have serious detrimental consequences for women’s lives, health and well-being”); </w:t>
      </w:r>
      <w:r w:rsidRPr="00AD6F9D">
        <w:rPr>
          <w:rFonts w:ascii="Times New Roman" w:hAnsi="Times New Roman"/>
          <w:i/>
          <w:sz w:val="20"/>
          <w:szCs w:val="20"/>
          <w:lang w:val="en-US"/>
        </w:rPr>
        <w:t>Peru</w:t>
      </w:r>
      <w:r w:rsidRPr="00AD6F9D">
        <w:rPr>
          <w:rFonts w:ascii="Times New Roman" w:hAnsi="Times New Roman"/>
          <w:sz w:val="20"/>
          <w:szCs w:val="20"/>
          <w:lang w:val="en-US"/>
        </w:rPr>
        <w:t>, para. 20, U.N. Doc. CCPR/CO/70/PE (2000).</w:t>
      </w:r>
    </w:p>
  </w:endnote>
  <w:endnote w:id="89">
    <w:p w14:paraId="2A06C113" w14:textId="77777777" w:rsidR="00AD6F9D" w:rsidRPr="00AD6F9D" w:rsidRDefault="00AD6F9D" w:rsidP="00AD6F9D">
      <w:pPr>
        <w:autoSpaceDE w:val="0"/>
        <w:autoSpaceDN w:val="0"/>
        <w:adjustRightInd w:val="0"/>
        <w:spacing w:after="0" w:line="240" w:lineRule="auto"/>
        <w:rPr>
          <w:rFonts w:ascii="Times New Roman" w:hAnsi="Times New Roman"/>
          <w:bCs/>
          <w:sz w:val="20"/>
          <w:szCs w:val="20"/>
          <w:lang w:val="en-US"/>
        </w:rPr>
      </w:pPr>
      <w:r w:rsidRPr="00E0795D">
        <w:rPr>
          <w:rStyle w:val="EndnoteReference"/>
          <w:rFonts w:ascii="Times New Roman" w:hAnsi="Times New Roman"/>
          <w:sz w:val="20"/>
          <w:szCs w:val="20"/>
        </w:rPr>
        <w:endnoteRef/>
      </w:r>
      <w:r w:rsidRPr="00AD6F9D">
        <w:rPr>
          <w:rFonts w:ascii="Times New Roman" w:hAnsi="Times New Roman"/>
          <w:sz w:val="20"/>
          <w:szCs w:val="20"/>
          <w:lang w:val="en-US"/>
        </w:rPr>
        <w:t xml:space="preserve"> </w:t>
      </w:r>
      <w:r w:rsidRPr="00AD6F9D">
        <w:rPr>
          <w:rFonts w:ascii="Times New Roman" w:hAnsi="Times New Roman"/>
          <w:i/>
          <w:sz w:val="20"/>
          <w:szCs w:val="20"/>
          <w:lang w:val="en-US"/>
        </w:rPr>
        <w:t>See, e.g.,</w:t>
      </w:r>
      <w:r w:rsidRPr="00AD6F9D">
        <w:rPr>
          <w:rFonts w:ascii="Times New Roman" w:hAnsi="Times New Roman"/>
          <w:sz w:val="20"/>
          <w:szCs w:val="20"/>
          <w:lang w:val="en-US"/>
        </w:rPr>
        <w:t xml:space="preserve"> CEDAW Committee, </w:t>
      </w:r>
      <w:r w:rsidRPr="00AD6F9D">
        <w:rPr>
          <w:rFonts w:ascii="Times New Roman" w:hAnsi="Times New Roman"/>
          <w:i/>
          <w:sz w:val="20"/>
          <w:szCs w:val="20"/>
          <w:lang w:val="en-US"/>
        </w:rPr>
        <w:t xml:space="preserve">Concluding Observations: </w:t>
      </w:r>
      <w:r w:rsidRPr="00AD6F9D">
        <w:rPr>
          <w:rFonts w:ascii="Times New Roman" w:hAnsi="Times New Roman"/>
          <w:bCs/>
          <w:i/>
          <w:iCs/>
          <w:sz w:val="20"/>
          <w:szCs w:val="20"/>
          <w:lang w:val="en-US"/>
        </w:rPr>
        <w:t>Philippines</w:t>
      </w:r>
      <w:r w:rsidRPr="00AD6F9D">
        <w:rPr>
          <w:rFonts w:ascii="Times New Roman" w:hAnsi="Times New Roman"/>
          <w:sz w:val="20"/>
          <w:szCs w:val="20"/>
          <w:lang w:val="en-US"/>
        </w:rPr>
        <w:t>, para. 28, U.N. Doc. CEDAW/C/PHI/CO/6 (2006) (“</w:t>
      </w:r>
      <w:r w:rsidRPr="00AD6F9D">
        <w:rPr>
          <w:rFonts w:ascii="Times New Roman" w:hAnsi="Times New Roman"/>
          <w:bCs/>
          <w:sz w:val="20"/>
          <w:szCs w:val="20"/>
          <w:lang w:val="en-US"/>
        </w:rPr>
        <w:t>The Committee recommends that the State party consider reviewing the laws relating to abortion with a view to removing punitive provisions imposed on women who have abortions and provide them with access to quality services for the management of complications arising from unsafe abortions and to reduce women’s maternal mortality rates in accordance with the Committee’s general recommendation 24 on women and health and the Beijing Declaration and Platform for Action.”)</w:t>
      </w:r>
      <w:r w:rsidRPr="00AD6F9D">
        <w:rPr>
          <w:rFonts w:ascii="Times New Roman" w:hAnsi="Times New Roman"/>
          <w:sz w:val="20"/>
          <w:szCs w:val="20"/>
          <w:lang w:val="en-US"/>
        </w:rPr>
        <w:t xml:space="preserve">; Human Rights Committee, </w:t>
      </w:r>
      <w:r w:rsidRPr="00AD6F9D">
        <w:rPr>
          <w:rFonts w:ascii="Times New Roman" w:hAnsi="Times New Roman"/>
          <w:i/>
          <w:sz w:val="20"/>
          <w:szCs w:val="20"/>
          <w:lang w:val="en-US"/>
        </w:rPr>
        <w:t>Concluding Observations: Morocco</w:t>
      </w:r>
      <w:r w:rsidRPr="00AD6F9D">
        <w:rPr>
          <w:rFonts w:ascii="Times New Roman" w:hAnsi="Times New Roman"/>
          <w:sz w:val="20"/>
          <w:szCs w:val="20"/>
          <w:lang w:val="en-US"/>
        </w:rPr>
        <w:t xml:space="preserve">, para. 29, U.N. Doc. CCPR/CO/82/MAR (2004) (“The State party should ensure that women are not forced to carry a pregnancy to full term where that would be incompatible with its obligations under the Covenant (arts. 6 and 7) and should relax the legislation relating to abortion.”); CEDAW Committee, </w:t>
      </w:r>
      <w:r w:rsidRPr="00AD6F9D">
        <w:rPr>
          <w:rFonts w:ascii="Times New Roman" w:hAnsi="Times New Roman"/>
          <w:i/>
          <w:sz w:val="20"/>
          <w:szCs w:val="20"/>
          <w:lang w:val="en-US"/>
        </w:rPr>
        <w:t>Concluding Observations: Nigeria</w:t>
      </w:r>
      <w:r w:rsidRPr="00AD6F9D">
        <w:rPr>
          <w:rFonts w:ascii="Times New Roman" w:hAnsi="Times New Roman"/>
          <w:sz w:val="20"/>
          <w:szCs w:val="20"/>
          <w:lang w:val="en-US"/>
        </w:rPr>
        <w:t xml:space="preserve">, para. 34, </w:t>
      </w:r>
      <w:r w:rsidRPr="00E0795D">
        <w:rPr>
          <w:rFonts w:ascii="Times New Roman" w:hAnsi="Times New Roman"/>
          <w:sz w:val="20"/>
          <w:szCs w:val="20"/>
          <w:u w:val="single"/>
        </w:rPr>
        <w:fldChar w:fldCharType="begin"/>
      </w:r>
      <w:r w:rsidRPr="00AD6F9D">
        <w:rPr>
          <w:rFonts w:ascii="Times New Roman" w:hAnsi="Times New Roman"/>
          <w:sz w:val="20"/>
          <w:szCs w:val="20"/>
          <w:lang w:val="en-US"/>
        </w:rPr>
        <w:instrText xml:space="preserve"> TC "Nigeria" \f C \l "4" </w:instrText>
      </w:r>
      <w:r w:rsidRPr="00E0795D">
        <w:rPr>
          <w:rFonts w:ascii="Times New Roman" w:hAnsi="Times New Roman"/>
          <w:sz w:val="20"/>
          <w:szCs w:val="20"/>
          <w:u w:val="single"/>
        </w:rPr>
        <w:fldChar w:fldCharType="end"/>
      </w:r>
      <w:r w:rsidRPr="00AD6F9D">
        <w:rPr>
          <w:rFonts w:ascii="Times New Roman" w:hAnsi="Times New Roman"/>
          <w:sz w:val="20"/>
          <w:szCs w:val="20"/>
          <w:lang w:val="en-US"/>
        </w:rPr>
        <w:t xml:space="preserve"> U.N. Doc CEDAW/C/NGA/CO/6 (2008) (The Committee “</w:t>
      </w:r>
      <w:r w:rsidRPr="00AD6F9D">
        <w:rPr>
          <w:rFonts w:ascii="Times New Roman" w:hAnsi="Times New Roman"/>
          <w:bCs/>
          <w:sz w:val="20"/>
          <w:szCs w:val="20"/>
          <w:lang w:val="en-US"/>
        </w:rPr>
        <w:t xml:space="preserve">also calls upon the State party to assess the impact of its abortion law on the maternal mortality rate and to give consideration to its reform or modification.”); CRC Committee, </w:t>
      </w:r>
      <w:r w:rsidRPr="00AD6F9D">
        <w:rPr>
          <w:rFonts w:ascii="Times New Roman" w:hAnsi="Times New Roman"/>
          <w:bCs/>
          <w:i/>
          <w:sz w:val="20"/>
          <w:szCs w:val="20"/>
          <w:lang w:val="en-US"/>
        </w:rPr>
        <w:t xml:space="preserve">Concluding Observations: </w:t>
      </w:r>
      <w:r w:rsidRPr="00AD6F9D">
        <w:rPr>
          <w:rFonts w:ascii="Times New Roman" w:hAnsi="Times New Roman"/>
          <w:i/>
          <w:color w:val="000000"/>
          <w:sz w:val="20"/>
          <w:szCs w:val="20"/>
          <w:lang w:val="en-US"/>
        </w:rPr>
        <w:t>Nicaragua</w:t>
      </w:r>
      <w:r w:rsidRPr="00AD6F9D">
        <w:rPr>
          <w:rFonts w:ascii="Times New Roman" w:hAnsi="Times New Roman"/>
          <w:color w:val="000000"/>
          <w:sz w:val="20"/>
          <w:szCs w:val="20"/>
          <w:lang w:val="en-US"/>
        </w:rPr>
        <w:t xml:space="preserve">, para. 59(b), U.N. Doc. CRC/C/NIC/CO/4 (2010) (“Repeal the articles of the Penal Code that criminalize abortion and ensure that girls are not subject to criminal sanctions for seeking or obtaining an abortion under any circumstances”); Human Rights Committee, </w:t>
      </w:r>
      <w:r w:rsidRPr="00AD6F9D">
        <w:rPr>
          <w:rFonts w:ascii="Times New Roman" w:hAnsi="Times New Roman"/>
          <w:i/>
          <w:color w:val="000000"/>
          <w:sz w:val="20"/>
          <w:szCs w:val="20"/>
          <w:lang w:val="en-US"/>
        </w:rPr>
        <w:t>Concluding Observations: Sri Lanka</w:t>
      </w:r>
      <w:r w:rsidRPr="00AD6F9D">
        <w:rPr>
          <w:rFonts w:ascii="Times New Roman" w:hAnsi="Times New Roman"/>
          <w:color w:val="000000"/>
          <w:sz w:val="20"/>
          <w:szCs w:val="20"/>
          <w:lang w:val="en-US"/>
        </w:rPr>
        <w:t>, para. 12, CCPR/CO/79/LKA (2003) (“The State party should ensure that women are not compelled to continue with pregnancies, where this would be incompatible with obligations arising under the Covenant (art. 7 and General Comment 28), and repeal the provisions criminalizing abortion.”).</w:t>
      </w:r>
    </w:p>
  </w:endnote>
  <w:endnote w:id="90">
    <w:p w14:paraId="6029CFAA" w14:textId="77777777" w:rsidR="00AD6F9D" w:rsidRPr="00AD6F9D" w:rsidRDefault="00AD6F9D" w:rsidP="00AD6F9D">
      <w:pPr>
        <w:autoSpaceDE w:val="0"/>
        <w:autoSpaceDN w:val="0"/>
        <w:adjustRightInd w:val="0"/>
        <w:spacing w:after="0" w:line="240" w:lineRule="auto"/>
        <w:rPr>
          <w:rFonts w:ascii="Times New Roman" w:hAnsi="Times New Roman"/>
          <w:i/>
          <w:iCs/>
          <w:sz w:val="20"/>
          <w:szCs w:val="20"/>
          <w:lang w:val="en-US"/>
        </w:rPr>
      </w:pPr>
      <w:r w:rsidRPr="00E0795D">
        <w:rPr>
          <w:rStyle w:val="EndnoteReference"/>
          <w:rFonts w:ascii="Times New Roman" w:hAnsi="Times New Roman"/>
          <w:sz w:val="20"/>
          <w:szCs w:val="20"/>
        </w:rPr>
        <w:endnoteRef/>
      </w:r>
      <w:r w:rsidRPr="00AD6F9D">
        <w:rPr>
          <w:rFonts w:ascii="Times New Roman" w:hAnsi="Times New Roman"/>
          <w:sz w:val="20"/>
          <w:szCs w:val="20"/>
          <w:lang w:val="en-US"/>
        </w:rPr>
        <w:t xml:space="preserve"> Human Rights Committee, </w:t>
      </w:r>
      <w:r w:rsidRPr="00AD6F9D">
        <w:rPr>
          <w:rFonts w:ascii="Times New Roman" w:hAnsi="Times New Roman"/>
          <w:i/>
          <w:iCs/>
          <w:sz w:val="20"/>
          <w:szCs w:val="20"/>
          <w:lang w:val="en-US"/>
        </w:rPr>
        <w:t xml:space="preserve">Concluding Observations: </w:t>
      </w:r>
      <w:r w:rsidRPr="00AD6F9D">
        <w:rPr>
          <w:rFonts w:ascii="Times New Roman" w:hAnsi="Times New Roman"/>
          <w:bCs/>
          <w:i/>
          <w:iCs/>
          <w:sz w:val="20"/>
          <w:szCs w:val="20"/>
          <w:lang w:val="en-US"/>
        </w:rPr>
        <w:t>Mongolia</w:t>
      </w:r>
      <w:r w:rsidRPr="00AD6F9D">
        <w:rPr>
          <w:rFonts w:ascii="Times New Roman" w:hAnsi="Times New Roman"/>
          <w:sz w:val="20"/>
          <w:szCs w:val="20"/>
          <w:lang w:val="en-US"/>
        </w:rPr>
        <w:t>, para. 8(b), U.N. Doc. CCPR/C/79/Add.120 (2000).</w:t>
      </w:r>
    </w:p>
  </w:endnote>
  <w:endnote w:id="91">
    <w:p w14:paraId="3F109DD3" w14:textId="77777777" w:rsidR="00AD6F9D" w:rsidRPr="00AD6F9D" w:rsidRDefault="00AD6F9D" w:rsidP="00AD6F9D">
      <w:pPr>
        <w:autoSpaceDE w:val="0"/>
        <w:autoSpaceDN w:val="0"/>
        <w:adjustRightInd w:val="0"/>
        <w:spacing w:after="0" w:line="240" w:lineRule="auto"/>
        <w:rPr>
          <w:rFonts w:ascii="Times New Roman" w:hAnsi="Times New Roman"/>
          <w:sz w:val="20"/>
          <w:szCs w:val="20"/>
          <w:lang w:val="en-US"/>
        </w:rPr>
      </w:pPr>
      <w:r w:rsidRPr="00E0795D">
        <w:rPr>
          <w:rStyle w:val="EndnoteReference"/>
          <w:rFonts w:ascii="Times New Roman" w:eastAsia="MS Gothic" w:hAnsi="Times New Roman"/>
          <w:sz w:val="20"/>
          <w:szCs w:val="20"/>
        </w:rPr>
        <w:endnoteRef/>
      </w:r>
      <w:r w:rsidRPr="00AD6F9D">
        <w:rPr>
          <w:rFonts w:ascii="Times New Roman" w:hAnsi="Times New Roman"/>
          <w:sz w:val="20"/>
          <w:szCs w:val="20"/>
          <w:lang w:val="en-US"/>
        </w:rPr>
        <w:t xml:space="preserve"> Human Rights Committee, </w:t>
      </w:r>
      <w:r w:rsidRPr="00AD6F9D">
        <w:rPr>
          <w:rFonts w:ascii="Times New Roman" w:hAnsi="Times New Roman"/>
          <w:i/>
          <w:sz w:val="20"/>
          <w:szCs w:val="20"/>
          <w:lang w:val="en-US"/>
        </w:rPr>
        <w:t>Concluding Observations: Cameroon, para.</w:t>
      </w:r>
      <w:r w:rsidRPr="00E0795D">
        <w:rPr>
          <w:rFonts w:ascii="Times New Roman" w:hAnsi="Times New Roman"/>
          <w:i/>
          <w:sz w:val="20"/>
          <w:szCs w:val="20"/>
        </w:rPr>
        <w:fldChar w:fldCharType="begin"/>
      </w:r>
      <w:r w:rsidRPr="00AD6F9D">
        <w:rPr>
          <w:rFonts w:ascii="Times New Roman" w:hAnsi="Times New Roman"/>
          <w:i/>
          <w:sz w:val="20"/>
          <w:szCs w:val="20"/>
          <w:lang w:val="en-US"/>
        </w:rPr>
        <w:instrText xml:space="preserve"> TC "Cameroon" \f C \l "4" </w:instrText>
      </w:r>
      <w:r w:rsidRPr="00E0795D">
        <w:rPr>
          <w:rFonts w:ascii="Times New Roman" w:hAnsi="Times New Roman"/>
          <w:i/>
          <w:sz w:val="20"/>
          <w:szCs w:val="20"/>
        </w:rPr>
        <w:fldChar w:fldCharType="end"/>
      </w:r>
      <w:r w:rsidRPr="00AD6F9D">
        <w:rPr>
          <w:rFonts w:ascii="Times New Roman" w:hAnsi="Times New Roman"/>
          <w:sz w:val="20"/>
          <w:szCs w:val="20"/>
          <w:lang w:val="en-US"/>
        </w:rPr>
        <w:t xml:space="preserve"> 13 U.N. Doc CCPR/C/CMR/CO/4 (2010) (“The Committee remains concerned about high maternal mortality … It is also concerned about the unavailability of abortion in practice even when the law permits it, for example in cases of pregnancy resulting from rape. “); L.M.R. v. Argentina, Human Rights Committee, Commc’n No. 1608/2007, U.N. Doc. CCPR/C/101/D/1608/2007 (2011).</w:t>
      </w:r>
    </w:p>
  </w:endnote>
  <w:endnote w:id="92">
    <w:p w14:paraId="7B838529" w14:textId="77777777" w:rsidR="00AD6F9D" w:rsidRPr="00E0795D" w:rsidRDefault="00AD6F9D" w:rsidP="00AD6F9D">
      <w:pPr>
        <w:autoSpaceDE w:val="0"/>
        <w:autoSpaceDN w:val="0"/>
        <w:adjustRightInd w:val="0"/>
        <w:spacing w:after="0" w:line="240" w:lineRule="auto"/>
        <w:rPr>
          <w:rFonts w:ascii="Times New Roman" w:hAnsi="Times New Roman"/>
          <w:sz w:val="20"/>
          <w:szCs w:val="20"/>
          <w:lang w:val="pt-BR"/>
        </w:rPr>
      </w:pPr>
      <w:r w:rsidRPr="00E0795D">
        <w:rPr>
          <w:rStyle w:val="EndnoteReference"/>
          <w:rFonts w:ascii="Times New Roman" w:hAnsi="Times New Roman"/>
          <w:sz w:val="20"/>
          <w:szCs w:val="20"/>
        </w:rPr>
        <w:endnoteRef/>
      </w:r>
      <w:r w:rsidRPr="00AD6F9D">
        <w:rPr>
          <w:rFonts w:ascii="Times New Roman" w:hAnsi="Times New Roman"/>
          <w:sz w:val="20"/>
          <w:szCs w:val="20"/>
          <w:lang w:val="en-US"/>
        </w:rPr>
        <w:t xml:space="preserve"> </w:t>
      </w:r>
      <w:r w:rsidRPr="00E0795D">
        <w:rPr>
          <w:rFonts w:ascii="Times New Roman" w:hAnsi="Times New Roman"/>
          <w:sz w:val="20"/>
          <w:szCs w:val="20"/>
          <w:lang w:val="pt-BR"/>
        </w:rPr>
        <w:t xml:space="preserve">L.C. v. Peru, CEDAW Committee, Commc’n No. 22/2009, </w:t>
      </w:r>
      <w:r w:rsidRPr="00AD6F9D">
        <w:rPr>
          <w:rFonts w:ascii="Times New Roman" w:hAnsi="Times New Roman"/>
          <w:sz w:val="20"/>
          <w:szCs w:val="20"/>
          <w:lang w:val="en-US"/>
        </w:rPr>
        <w:t>U.N. Doc. CEDAW/C/50/D/22/2009 (2011).</w:t>
      </w:r>
    </w:p>
  </w:endnote>
  <w:endnote w:id="93">
    <w:p w14:paraId="4B6E2AF5"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Mosby’s Medical Dictionary</w:t>
      </w:r>
      <w:r w:rsidRPr="00E0795D">
        <w:rPr>
          <w:rFonts w:ascii="Times New Roman" w:hAnsi="Times New Roman"/>
        </w:rPr>
        <w:t>, (8th ed., 2009). Voluntary sterilization refers to the process or act being undertaken with the individual’s free and informed consent. Conversely, involuntary sterilization refers to the process or act being undertaken without the free and informed consent of the individual, such as when a person is forced or coerced into submitting to a sterilization procedure.</w:t>
      </w:r>
    </w:p>
  </w:endnote>
  <w:endnote w:id="94">
    <w:p w14:paraId="5C72C4E8" w14:textId="77777777" w:rsidR="000D6BBB" w:rsidRPr="00E0795D" w:rsidRDefault="000D6BBB" w:rsidP="000D6BBB">
      <w:pPr>
        <w:pStyle w:val="EndnoteText"/>
        <w:rPr>
          <w:rFonts w:ascii="Times New Roman" w:hAnsi="Times New Roman"/>
        </w:rPr>
      </w:pPr>
      <w:r w:rsidRPr="002A04A9">
        <w:rPr>
          <w:rStyle w:val="EndnoteReference"/>
          <w:rFonts w:ascii="Times New Roman" w:hAnsi="Times New Roman"/>
        </w:rPr>
        <w:endnoteRef/>
      </w:r>
      <w:r w:rsidRPr="002A04A9">
        <w:rPr>
          <w:rFonts w:ascii="Times New Roman" w:hAnsi="Times New Roman"/>
        </w:rPr>
        <w:t xml:space="preserve"> International Federation of Obstetrics and Gynecology, Guidelines on Female Contraceptive Sterilization, para. 2 (2011) [hereinafter FIGO, Female Contraceptive Sterilization].</w:t>
      </w:r>
    </w:p>
  </w:endnote>
  <w:endnote w:id="95">
    <w:p w14:paraId="39F8D232"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For purposes of this paper, forced sterilization refers to the situation in which a person is sterilized after expressly refusing the procedure, without her knowledge or is not given an opportunity to provide consent. Coerced sterilization occurs when financial or other incentives, misinformation, or intimidation tactics are used to compel an individual to undergo the procedure.</w:t>
      </w:r>
    </w:p>
  </w:endnote>
  <w:endnote w:id="96">
    <w:p w14:paraId="19A4A0CF"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7B6F3B">
        <w:rPr>
          <w:rFonts w:ascii="Times New Roman" w:hAnsi="Times New Roman"/>
          <w:i/>
        </w:rPr>
        <w:t>See, e.g.,</w:t>
      </w:r>
      <w:r w:rsidRPr="00E0795D">
        <w:rPr>
          <w:rFonts w:ascii="Times New Roman" w:hAnsi="Times New Roman"/>
        </w:rPr>
        <w:t xml:space="preserve"> </w:t>
      </w:r>
      <w:r w:rsidRPr="00E42EF4">
        <w:rPr>
          <w:rFonts w:ascii="Times New Roman" w:hAnsi="Times New Roman"/>
          <w:smallCaps/>
        </w:rPr>
        <w:t>Susan Brady et al.,</w:t>
      </w:r>
      <w:r w:rsidRPr="00E0795D">
        <w:rPr>
          <w:rFonts w:ascii="Times New Roman" w:hAnsi="Times New Roman"/>
        </w:rPr>
        <w:t xml:space="preserve"> </w:t>
      </w:r>
      <w:r w:rsidRPr="00E42EF4">
        <w:rPr>
          <w:rFonts w:ascii="Times New Roman" w:hAnsi="Times New Roman"/>
          <w:smallCaps/>
        </w:rPr>
        <w:t>Human Rights and Equal Opportunity Commission</w:t>
      </w:r>
      <w:r w:rsidRPr="00E0795D">
        <w:rPr>
          <w:rFonts w:ascii="Times New Roman" w:hAnsi="Times New Roman"/>
        </w:rPr>
        <w:t xml:space="preserve">, </w:t>
      </w:r>
      <w:r w:rsidRPr="00E42EF4">
        <w:rPr>
          <w:rFonts w:ascii="Times New Roman" w:hAnsi="Times New Roman"/>
          <w:iCs/>
          <w:smallCaps/>
        </w:rPr>
        <w:t>The Sterilisation of Girls and Young Women in Australia: Issues and Progress</w:t>
      </w:r>
      <w:r w:rsidRPr="00E0795D">
        <w:rPr>
          <w:rFonts w:ascii="Times New Roman" w:hAnsi="Times New Roman"/>
          <w:i/>
          <w:iCs/>
        </w:rPr>
        <w:t xml:space="preserve">, </w:t>
      </w:r>
      <w:r w:rsidRPr="00E0795D">
        <w:rPr>
          <w:rFonts w:ascii="Times New Roman" w:hAnsi="Times New Roman"/>
        </w:rPr>
        <w:t>A report commissioned by</w:t>
      </w:r>
      <w:r w:rsidRPr="00E0795D">
        <w:rPr>
          <w:rFonts w:ascii="Times New Roman" w:hAnsi="Times New Roman"/>
          <w:i/>
          <w:iCs/>
        </w:rPr>
        <w:t xml:space="preserve"> </w:t>
      </w:r>
      <w:r w:rsidRPr="00E0795D">
        <w:rPr>
          <w:rFonts w:ascii="Times New Roman" w:hAnsi="Times New Roman"/>
        </w:rPr>
        <w:t>the Federal Sex Discrimination Commissioner and the Disability Discrimination</w:t>
      </w:r>
      <w:r>
        <w:rPr>
          <w:rFonts w:ascii="Times New Roman" w:hAnsi="Times New Roman"/>
        </w:rPr>
        <w:t xml:space="preserve"> </w:t>
      </w:r>
      <w:r w:rsidRPr="00E0795D">
        <w:rPr>
          <w:rFonts w:ascii="Times New Roman" w:hAnsi="Times New Roman"/>
        </w:rPr>
        <w:t xml:space="preserve">Commissioner (2001) [hereinafter </w:t>
      </w:r>
      <w:r w:rsidRPr="00E42EF4">
        <w:rPr>
          <w:rFonts w:ascii="Times New Roman" w:hAnsi="Times New Roman"/>
          <w:smallCaps/>
        </w:rPr>
        <w:t>Sterilisation of Girls and Young Women in Australia</w:t>
      </w:r>
      <w:r w:rsidRPr="00E0795D">
        <w:rPr>
          <w:rFonts w:ascii="Times New Roman" w:hAnsi="Times New Roman"/>
        </w:rPr>
        <w:t>].</w:t>
      </w:r>
    </w:p>
  </w:endnote>
  <w:endnote w:id="97">
    <w:p w14:paraId="5BB9D41A"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 xml:space="preserve">Against her Will, </w:t>
      </w:r>
      <w:r w:rsidRPr="00E0795D">
        <w:rPr>
          <w:rFonts w:ascii="Times New Roman" w:hAnsi="Times New Roman"/>
          <w:i/>
        </w:rPr>
        <w:t xml:space="preserve">supra </w:t>
      </w:r>
      <w:r w:rsidRPr="00E0795D">
        <w:rPr>
          <w:rFonts w:ascii="Times New Roman" w:hAnsi="Times New Roman"/>
        </w:rPr>
        <w:t>note 6, at 6.</w:t>
      </w:r>
    </w:p>
  </w:endnote>
  <w:endnote w:id="98">
    <w:p w14:paraId="030ADE6A"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SRVAW, </w:t>
      </w:r>
      <w:r w:rsidRPr="00E0795D">
        <w:rPr>
          <w:rFonts w:ascii="Times New Roman" w:hAnsi="Times New Roman"/>
          <w:i/>
        </w:rPr>
        <w:t xml:space="preserve">Rep. of the Special Rapporteur </w:t>
      </w:r>
      <w:r w:rsidRPr="00E0795D">
        <w:rPr>
          <w:rFonts w:ascii="Times New Roman" w:hAnsi="Times New Roman"/>
        </w:rPr>
        <w:t xml:space="preserve">(2012), </w:t>
      </w:r>
      <w:r w:rsidRPr="00E0795D">
        <w:rPr>
          <w:rFonts w:ascii="Times New Roman" w:hAnsi="Times New Roman"/>
          <w:i/>
        </w:rPr>
        <w:t xml:space="preserve">supra </w:t>
      </w:r>
      <w:r w:rsidRPr="00E0795D">
        <w:rPr>
          <w:rFonts w:ascii="Times New Roman" w:hAnsi="Times New Roman"/>
        </w:rPr>
        <w:t>note 53, para. 28.</w:t>
      </w:r>
    </w:p>
  </w:endnote>
  <w:endnote w:id="99">
    <w:p w14:paraId="53032A60"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Special Rapporteur on the right of everyone to the enjoyment of the highest attainable standard of physical and mental health, Right of Everyone to the Enjoyment of the Highest  Attainable Standard of Physical and Mental Health, </w:t>
      </w:r>
      <w:r w:rsidRPr="00E0795D">
        <w:rPr>
          <w:rFonts w:ascii="Times New Roman" w:hAnsi="Times New Roman"/>
          <w:i/>
        </w:rPr>
        <w:t>Advancement of Women</w:t>
      </w:r>
      <w:r w:rsidRPr="00E0795D">
        <w:rPr>
          <w:rFonts w:ascii="Times New Roman" w:hAnsi="Times New Roman"/>
        </w:rPr>
        <w:t>, para. 38, U.N. Doc. E/CN.4/2005/51 (Feb. 11, 2005) (by Paul Hunt).</w:t>
      </w:r>
    </w:p>
  </w:endnote>
  <w:endnote w:id="100">
    <w:p w14:paraId="3B7D829D"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Houngmai H. Pham, </w:t>
      </w:r>
      <w:r w:rsidRPr="00E0795D">
        <w:rPr>
          <w:rFonts w:ascii="Times New Roman" w:hAnsi="Times New Roman"/>
          <w:i/>
        </w:rPr>
        <w:t>In the patient’s best interest? Revisiting sexual autonomy and sterilization of the developmentally disabled</w:t>
      </w:r>
      <w:r w:rsidRPr="00E0795D">
        <w:rPr>
          <w:rFonts w:ascii="Times New Roman" w:hAnsi="Times New Roman"/>
        </w:rPr>
        <w:t xml:space="preserve">, 175 </w:t>
      </w:r>
      <w:r w:rsidRPr="00E42EF4">
        <w:rPr>
          <w:rFonts w:ascii="Times New Roman" w:hAnsi="Times New Roman"/>
          <w:smallCaps/>
        </w:rPr>
        <w:t xml:space="preserve">World Journal of </w:t>
      </w:r>
      <w:r w:rsidRPr="00AA2D54">
        <w:rPr>
          <w:rFonts w:ascii="Times New Roman" w:hAnsi="Times New Roman"/>
          <w:smallCaps/>
        </w:rPr>
        <w:t>Medicine</w:t>
      </w:r>
      <w:r w:rsidRPr="00AA2D54">
        <w:rPr>
          <w:rFonts w:ascii="Times New Roman" w:hAnsi="Times New Roman"/>
        </w:rPr>
        <w:t xml:space="preserve"> 283 (2001).</w:t>
      </w:r>
    </w:p>
  </w:endnote>
  <w:endnote w:id="101">
    <w:p w14:paraId="5908946E" w14:textId="77777777" w:rsidR="000D6BBB" w:rsidRPr="00E42EF4" w:rsidRDefault="000D6BBB" w:rsidP="000D6BBB">
      <w:pPr>
        <w:pStyle w:val="EndnoteText"/>
        <w:rPr>
          <w:rFonts w:ascii="Times New Roman" w:hAnsi="Times New Roman"/>
          <w:i/>
          <w:iCs/>
        </w:rPr>
      </w:pPr>
      <w:r w:rsidRPr="00E0795D">
        <w:rPr>
          <w:rStyle w:val="EndnoteReference"/>
          <w:rFonts w:ascii="Times New Roman" w:hAnsi="Times New Roman"/>
        </w:rPr>
        <w:endnoteRef/>
      </w:r>
      <w:r w:rsidRPr="00E0795D">
        <w:rPr>
          <w:rFonts w:ascii="Times New Roman" w:hAnsi="Times New Roman"/>
        </w:rPr>
        <w:t xml:space="preserve"> Although parents may have concerns handling girls with disabilities who are undergoing menstruation, many requests for sterilization of girls with disabilities actually occur before menstruation even begins. See, e.g., </w:t>
      </w:r>
      <w:r w:rsidRPr="00E0795D">
        <w:rPr>
          <w:rFonts w:ascii="Times New Roman" w:hAnsi="Times New Roman"/>
          <w:smallCaps/>
        </w:rPr>
        <w:t xml:space="preserve">Sterilisation of Girls and Young Women in Australia, </w:t>
      </w:r>
      <w:r w:rsidRPr="00E0795D">
        <w:rPr>
          <w:rFonts w:ascii="Times New Roman" w:hAnsi="Times New Roman"/>
          <w:i/>
        </w:rPr>
        <w:t xml:space="preserve">supra </w:t>
      </w:r>
      <w:r w:rsidRPr="00E0795D">
        <w:rPr>
          <w:rFonts w:ascii="Times New Roman" w:hAnsi="Times New Roman"/>
        </w:rPr>
        <w:t xml:space="preserve">note 76. </w:t>
      </w:r>
    </w:p>
  </w:endnote>
  <w:endnote w:id="102">
    <w:p w14:paraId="3933202B" w14:textId="77777777" w:rsidR="000D6BBB" w:rsidRPr="00E0795D" w:rsidRDefault="000D6BBB" w:rsidP="000D6BBB">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7B6F3B">
        <w:rPr>
          <w:rFonts w:ascii="Times New Roman" w:hAnsi="Times New Roman"/>
          <w:i/>
        </w:rPr>
        <w:t>See, e.g.,</w:t>
      </w:r>
      <w:r w:rsidRPr="00E0795D">
        <w:rPr>
          <w:rFonts w:ascii="Times New Roman" w:hAnsi="Times New Roman"/>
        </w:rPr>
        <w:t xml:space="preserve"> </w:t>
      </w:r>
      <w:r w:rsidRPr="00E0795D">
        <w:rPr>
          <w:rFonts w:ascii="Times New Roman" w:hAnsi="Times New Roman"/>
          <w:i/>
        </w:rPr>
        <w:t xml:space="preserve">id. </w:t>
      </w:r>
      <w:r w:rsidRPr="00E0795D">
        <w:rPr>
          <w:rFonts w:ascii="Times New Roman" w:hAnsi="Times New Roman"/>
        </w:rPr>
        <w:t xml:space="preserve"> Additionally, interviews with parents of children with disabilities in Nepal found that parents chose to have their children undergo forced sterilization as a means of addressing menstruation or fears of unwanted pregnancy, but others reported that they decided against sterilization since the surgery could also cause trauma and because their daughters may be at even greater risk of rape and sexual violence once family members know that they cannot have children. </w:t>
      </w:r>
      <w:r w:rsidRPr="00E0795D">
        <w:rPr>
          <w:rFonts w:ascii="Times New Roman" w:hAnsi="Times New Roman"/>
          <w:smallCaps/>
        </w:rPr>
        <w:t>Human Rights Watch, Futures Stolen: Barriers to Education for Children with Disabilities in Nepal</w:t>
      </w:r>
      <w:r w:rsidRPr="00E0795D">
        <w:rPr>
          <w:rFonts w:ascii="Times New Roman" w:hAnsi="Times New Roman"/>
        </w:rPr>
        <w:t xml:space="preserve"> 37 n. 147 (2011).</w:t>
      </w:r>
    </w:p>
  </w:endnote>
  <w:endnote w:id="103">
    <w:p w14:paraId="65CCDF6E" w14:textId="77777777" w:rsidR="006F1B16" w:rsidRPr="00F3364E" w:rsidRDefault="006F1B16" w:rsidP="006F1B16">
      <w:pPr>
        <w:pStyle w:val="EndnoteText"/>
        <w:rPr>
          <w:rFonts w:ascii="Times New Roman" w:hAnsi="Times New Roman" w:cs="Times New Roman"/>
        </w:rPr>
      </w:pPr>
      <w:r w:rsidRPr="005B05DF">
        <w:rPr>
          <w:rStyle w:val="EndnoteReference"/>
          <w:rFonts w:ascii="Times New Roman" w:hAnsi="Times New Roman" w:cs="Times New Roman"/>
        </w:rPr>
        <w:endnoteRef/>
      </w:r>
      <w:r>
        <w:rPr>
          <w:rFonts w:ascii="Times New Roman" w:hAnsi="Times New Roman" w:cs="Times New Roman"/>
        </w:rPr>
        <w:t xml:space="preserve"> The Committee Against Torture</w:t>
      </w:r>
      <w:r w:rsidRPr="005B05DF">
        <w:rPr>
          <w:rFonts w:ascii="Times New Roman" w:hAnsi="Times New Roman" w:cs="Times New Roman"/>
        </w:rPr>
        <w:t xml:space="preserve"> </w:t>
      </w:r>
      <w:r>
        <w:rPr>
          <w:rFonts w:ascii="Times New Roman" w:hAnsi="Times New Roman" w:cs="Times New Roman"/>
        </w:rPr>
        <w:t>(</w:t>
      </w:r>
      <w:r w:rsidRPr="005B05DF">
        <w:rPr>
          <w:rFonts w:ascii="Times New Roman" w:hAnsi="Times New Roman" w:cs="Times New Roman"/>
        </w:rPr>
        <w:t>CAT Committee</w:t>
      </w:r>
      <w:r>
        <w:rPr>
          <w:rFonts w:ascii="Times New Roman" w:hAnsi="Times New Roman" w:cs="Times New Roman"/>
        </w:rPr>
        <w:t>)</w:t>
      </w:r>
      <w:r w:rsidRPr="005B05DF">
        <w:rPr>
          <w:rFonts w:ascii="Times New Roman" w:hAnsi="Times New Roman" w:cs="Times New Roman"/>
        </w:rPr>
        <w:t xml:space="preserve">, </w:t>
      </w:r>
      <w:r w:rsidRPr="005B05DF">
        <w:rPr>
          <w:rFonts w:ascii="Times New Roman" w:hAnsi="Times New Roman" w:cs="Times New Roman"/>
          <w:i/>
        </w:rPr>
        <w:t>Concluding Observations: Peru</w:t>
      </w:r>
      <w:r w:rsidRPr="005B05DF">
        <w:rPr>
          <w:rFonts w:ascii="Times New Roman" w:hAnsi="Times New Roman" w:cs="Times New Roman"/>
        </w:rPr>
        <w:t xml:space="preserve">, para. 19, U.N. Doc. CAT/C/PER/CO/6, (2012). The </w:t>
      </w:r>
      <w:r>
        <w:rPr>
          <w:rFonts w:ascii="Times New Roman" w:hAnsi="Times New Roman" w:cs="Times New Roman"/>
        </w:rPr>
        <w:t>CAT Committee</w:t>
      </w:r>
      <w:r w:rsidRPr="005B05DF">
        <w:rPr>
          <w:rFonts w:ascii="Times New Roman" w:hAnsi="Times New Roman" w:cs="Times New Roman"/>
        </w:rPr>
        <w:t xml:space="preserve"> has also recognized forced sterilization schemes that were targeted at other marginalized groups, such as indigenous </w:t>
      </w:r>
      <w:r w:rsidRPr="00F3364E">
        <w:rPr>
          <w:rFonts w:ascii="Times New Roman" w:hAnsi="Times New Roman" w:cs="Times New Roman"/>
        </w:rPr>
        <w:t xml:space="preserve">women or women from the Roma minority, as a form of torture or CIDT. </w:t>
      </w:r>
      <w:r w:rsidRPr="00F3364E">
        <w:rPr>
          <w:rFonts w:ascii="Times New Roman" w:hAnsi="Times New Roman" w:cs="Times New Roman"/>
          <w:i/>
        </w:rPr>
        <w:t xml:space="preserve">See </w:t>
      </w:r>
      <w:r w:rsidRPr="00F3364E">
        <w:rPr>
          <w:rFonts w:ascii="Times New Roman" w:hAnsi="Times New Roman" w:cs="Times New Roman"/>
        </w:rPr>
        <w:t xml:space="preserve">CAT Committee, </w:t>
      </w:r>
      <w:r w:rsidRPr="00F3364E">
        <w:rPr>
          <w:rFonts w:ascii="Times New Roman" w:hAnsi="Times New Roman" w:cs="Times New Roman"/>
          <w:i/>
        </w:rPr>
        <w:t>Concluding Observations: Czech Republic,</w:t>
      </w:r>
      <w:r w:rsidRPr="00F3364E">
        <w:rPr>
          <w:rFonts w:ascii="Times New Roman" w:hAnsi="Times New Roman" w:cs="Times New Roman"/>
        </w:rPr>
        <w:t xml:space="preserve"> para. 12, U.N. Doc. CAT/C/CZE/CO/4-5 (2012).</w:t>
      </w:r>
    </w:p>
  </w:endnote>
  <w:endnote w:id="104">
    <w:p w14:paraId="7FA47100" w14:textId="77777777" w:rsidR="006F1B16" w:rsidRPr="00B6753D" w:rsidRDefault="006F1B16" w:rsidP="006F1B16">
      <w:pPr>
        <w:pStyle w:val="EndnoteText"/>
        <w:rPr>
          <w:rFonts w:ascii="Times New Roman" w:hAnsi="Times New Roman" w:cs="Times New Roman"/>
        </w:rPr>
      </w:pPr>
      <w:r w:rsidRPr="00F3364E">
        <w:rPr>
          <w:rStyle w:val="EndnoteReference"/>
          <w:rFonts w:ascii="Times New Roman" w:hAnsi="Times New Roman" w:cs="Times New Roman"/>
        </w:rPr>
        <w:endnoteRef/>
      </w:r>
      <w:r w:rsidRPr="00F3364E">
        <w:rPr>
          <w:rFonts w:ascii="Times New Roman" w:hAnsi="Times New Roman" w:cs="Times New Roman"/>
        </w:rPr>
        <w:t xml:space="preserve"> Special Rapporteur on torture and other cruel, inhuman or degrading treatment or punishment, </w:t>
      </w:r>
      <w:r w:rsidRPr="00F3364E">
        <w:rPr>
          <w:rFonts w:ascii="Times New Roman" w:hAnsi="Times New Roman" w:cs="Times New Roman"/>
          <w:i/>
        </w:rPr>
        <w:t xml:space="preserve">Rep. of the Special Rapporteur on torture and other cruel, inhuman or degrading treatment or punishment, </w:t>
      </w:r>
      <w:r>
        <w:rPr>
          <w:rFonts w:ascii="Times New Roman" w:hAnsi="Times New Roman" w:cs="Times New Roman"/>
        </w:rPr>
        <w:t>para. 48 &amp; 88</w:t>
      </w:r>
      <w:r w:rsidRPr="00F3364E">
        <w:rPr>
          <w:rFonts w:ascii="Times New Roman" w:hAnsi="Times New Roman" w:cs="Times New Roman"/>
        </w:rPr>
        <w:t>, U.N. Doc. A/HRC/22/53 (Feb. 1, 2013) (by Juan E. Méndez).</w:t>
      </w:r>
    </w:p>
  </w:endnote>
  <w:endnote w:id="105">
    <w:p w14:paraId="628FF85F" w14:textId="77777777" w:rsidR="006F1B16" w:rsidRPr="000559E5" w:rsidRDefault="006F1B16" w:rsidP="006F1B16">
      <w:pPr>
        <w:pStyle w:val="EndnoteText"/>
        <w:rPr>
          <w:rFonts w:ascii="Times New Roman" w:hAnsi="Times New Roman" w:cs="Times New Roman"/>
        </w:rPr>
      </w:pPr>
      <w:r w:rsidRPr="005D6CB5">
        <w:rPr>
          <w:rStyle w:val="EndnoteReference"/>
          <w:rFonts w:ascii="Times New Roman" w:hAnsi="Times New Roman" w:cs="Times New Roman"/>
        </w:rPr>
        <w:endnoteRef/>
      </w:r>
      <w:r w:rsidRPr="005D6CB5">
        <w:rPr>
          <w:rFonts w:ascii="Times New Roman" w:hAnsi="Times New Roman" w:cs="Times New Roman"/>
        </w:rPr>
        <w:t xml:space="preserve"> </w:t>
      </w:r>
      <w:r w:rsidRPr="000559E5">
        <w:rPr>
          <w:rFonts w:ascii="Times New Roman" w:hAnsi="Times New Roman" w:cs="Times New Roman"/>
          <w:i/>
        </w:rPr>
        <w:t>Mission &amp; Vision Statement</w:t>
      </w:r>
      <w:r w:rsidRPr="000559E5">
        <w:rPr>
          <w:rFonts w:ascii="Times New Roman" w:hAnsi="Times New Roman" w:cs="Times New Roman"/>
        </w:rPr>
        <w:t xml:space="preserve">, </w:t>
      </w:r>
      <w:r w:rsidRPr="000559E5">
        <w:rPr>
          <w:rFonts w:ascii="Times New Roman" w:hAnsi="Times New Roman" w:cs="Times New Roman"/>
          <w:smallCaps/>
        </w:rPr>
        <w:t xml:space="preserve">International Federation of Gynecology and Obstetrics, </w:t>
      </w:r>
      <w:r w:rsidRPr="000559E5">
        <w:rPr>
          <w:rFonts w:ascii="Times New Roman" w:hAnsi="Times New Roman" w:cs="Times New Roman"/>
        </w:rPr>
        <w:t xml:space="preserve">http://www.figo.org/about/mission. </w:t>
      </w:r>
    </w:p>
  </w:endnote>
  <w:endnote w:id="106">
    <w:p w14:paraId="48383997" w14:textId="77777777" w:rsidR="006F1B16" w:rsidRPr="000559E5" w:rsidRDefault="006F1B16" w:rsidP="006F1B16">
      <w:pPr>
        <w:pStyle w:val="EndnoteText"/>
        <w:rPr>
          <w:rFonts w:ascii="Times New Roman" w:hAnsi="Times New Roman" w:cs="Times New Roman"/>
        </w:rPr>
      </w:pPr>
      <w:r w:rsidRPr="000559E5">
        <w:rPr>
          <w:rStyle w:val="EndnoteReference"/>
          <w:rFonts w:ascii="Times New Roman" w:hAnsi="Times New Roman" w:cs="Times New Roman"/>
        </w:rPr>
        <w:endnoteRef/>
      </w:r>
      <w:r w:rsidRPr="000559E5">
        <w:rPr>
          <w:rFonts w:ascii="Times New Roman" w:hAnsi="Times New Roman" w:cs="Times New Roman"/>
        </w:rPr>
        <w:t xml:space="preserve"> </w:t>
      </w:r>
      <w:r w:rsidRPr="000559E5">
        <w:rPr>
          <w:rFonts w:ascii="Times New Roman" w:hAnsi="Times New Roman" w:cs="Times New Roman"/>
          <w:smallCaps/>
        </w:rPr>
        <w:t>International Federation of Obstetrics and Gynecology, Guidelines on Female Contraceptive Sterilization</w:t>
      </w:r>
      <w:r w:rsidRPr="000559E5">
        <w:rPr>
          <w:rFonts w:ascii="Times New Roman" w:hAnsi="Times New Roman" w:cs="Times New Roman"/>
        </w:rPr>
        <w:t>, para. 2 (2011).</w:t>
      </w:r>
    </w:p>
  </w:endnote>
  <w:endnote w:id="107">
    <w:p w14:paraId="300630F8" w14:textId="77777777" w:rsidR="006F1B16" w:rsidRPr="000559E5" w:rsidRDefault="006F1B16" w:rsidP="006F1B16">
      <w:pPr>
        <w:pStyle w:val="EndnoteText"/>
        <w:rPr>
          <w:rFonts w:ascii="Times New Roman" w:hAnsi="Times New Roman" w:cs="Times New Roman"/>
        </w:rPr>
      </w:pPr>
      <w:r w:rsidRPr="000559E5">
        <w:rPr>
          <w:rStyle w:val="EndnoteReference"/>
          <w:rFonts w:ascii="Times New Roman" w:hAnsi="Times New Roman" w:cs="Times New Roman"/>
        </w:rPr>
        <w:endnoteRef/>
      </w:r>
      <w:r w:rsidRPr="000559E5">
        <w:rPr>
          <w:rFonts w:ascii="Times New Roman" w:hAnsi="Times New Roman" w:cs="Times New Roman"/>
        </w:rPr>
        <w:t xml:space="preserve"> </w:t>
      </w:r>
      <w:r w:rsidRPr="000559E5">
        <w:rPr>
          <w:rFonts w:ascii="Times New Roman" w:hAnsi="Times New Roman" w:cs="Times New Roman"/>
          <w:i/>
        </w:rPr>
        <w:t>Id.</w:t>
      </w:r>
      <w:r w:rsidRPr="000559E5">
        <w:rPr>
          <w:rFonts w:ascii="Times New Roman" w:hAnsi="Times New Roman" w:cs="Times New Roman"/>
        </w:rPr>
        <w:t xml:space="preserve"> para. 6.</w:t>
      </w:r>
    </w:p>
  </w:endnote>
  <w:endnote w:id="108">
    <w:p w14:paraId="78916F22" w14:textId="77777777" w:rsidR="006F1B16" w:rsidRPr="000559E5" w:rsidRDefault="006F1B16" w:rsidP="006F1B16">
      <w:pPr>
        <w:pStyle w:val="EndnoteText"/>
        <w:rPr>
          <w:rFonts w:ascii="Times New Roman" w:hAnsi="Times New Roman" w:cs="Times New Roman"/>
        </w:rPr>
      </w:pPr>
      <w:r w:rsidRPr="000559E5">
        <w:rPr>
          <w:rStyle w:val="EndnoteReference"/>
          <w:rFonts w:ascii="Times New Roman" w:hAnsi="Times New Roman" w:cs="Times New Roman"/>
        </w:rPr>
        <w:endnoteRef/>
      </w:r>
      <w:r w:rsidRPr="000559E5">
        <w:rPr>
          <w:rFonts w:ascii="Times New Roman" w:hAnsi="Times New Roman" w:cs="Times New Roman"/>
        </w:rPr>
        <w:t xml:space="preserve"> </w:t>
      </w:r>
      <w:r w:rsidRPr="000559E5">
        <w:rPr>
          <w:rFonts w:ascii="Times New Roman" w:hAnsi="Times New Roman" w:cs="Times New Roman"/>
          <w:i/>
        </w:rPr>
        <w:t>Id.</w:t>
      </w:r>
      <w:r w:rsidRPr="000559E5">
        <w:rPr>
          <w:rFonts w:ascii="Times New Roman" w:hAnsi="Times New Roman" w:cs="Times New Roman"/>
        </w:rPr>
        <w:t xml:space="preserve"> para. 5.</w:t>
      </w:r>
    </w:p>
  </w:endnote>
  <w:endnote w:id="109">
    <w:p w14:paraId="145CF369" w14:textId="77777777" w:rsidR="001959AF" w:rsidRPr="00E0795D" w:rsidRDefault="001959AF" w:rsidP="001959AF">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See</w:t>
      </w:r>
      <w:r w:rsidRPr="00E0795D">
        <w:rPr>
          <w:rFonts w:ascii="Times New Roman" w:hAnsi="Times New Roman"/>
        </w:rPr>
        <w:t xml:space="preserve"> </w:t>
      </w:r>
      <w:r w:rsidRPr="00E0795D">
        <w:rPr>
          <w:rFonts w:ascii="Times New Roman" w:hAnsi="Times New Roman"/>
          <w:i/>
        </w:rPr>
        <w:t>Mentally disabled woman escapes forced abortion</w:t>
      </w:r>
      <w:r w:rsidRPr="00E0795D">
        <w:rPr>
          <w:rFonts w:ascii="Times New Roman" w:hAnsi="Times New Roman"/>
        </w:rPr>
        <w:t xml:space="preserve">, </w:t>
      </w:r>
      <w:r w:rsidRPr="00E0795D">
        <w:rPr>
          <w:rFonts w:ascii="Times New Roman" w:hAnsi="Times New Roman"/>
          <w:smallCaps/>
        </w:rPr>
        <w:t>The Telegraph</w:t>
      </w:r>
      <w:r w:rsidRPr="00E0795D">
        <w:rPr>
          <w:rFonts w:ascii="Times New Roman" w:hAnsi="Times New Roman"/>
        </w:rPr>
        <w:t xml:space="preserve">, Jan. 10, 2013, </w:t>
      </w:r>
      <w:hyperlink r:id="rId3" w:history="1">
        <w:r w:rsidRPr="00E0795D">
          <w:rPr>
            <w:rStyle w:val="Hyperlink"/>
            <w:rFonts w:ascii="Times New Roman" w:hAnsi="Times New Roman"/>
          </w:rPr>
          <w:t>http://www.telegraph.co.uk/health/healthnews/9793790/Mentally-disabled-woman-escapes-forced-abortion.html</w:t>
        </w:r>
      </w:hyperlink>
      <w:r w:rsidRPr="00E0795D">
        <w:rPr>
          <w:rStyle w:val="Hyperlink"/>
          <w:rFonts w:ascii="Times New Roman" w:hAnsi="Times New Roman"/>
        </w:rPr>
        <w:t>;</w:t>
      </w:r>
      <w:r w:rsidRPr="00E0795D">
        <w:rPr>
          <w:rFonts w:ascii="Times New Roman" w:hAnsi="Times New Roman"/>
        </w:rPr>
        <w:t xml:space="preserve"> Robin Marty, </w:t>
      </w:r>
      <w:r w:rsidRPr="00E0795D">
        <w:rPr>
          <w:rFonts w:ascii="Times New Roman" w:hAnsi="Times New Roman"/>
          <w:i/>
        </w:rPr>
        <w:t>Court Battle Ensues Over Pregnant Mentally-Disabled Woman in Nevada</w:t>
      </w:r>
      <w:r w:rsidRPr="00E0795D">
        <w:rPr>
          <w:rFonts w:ascii="Times New Roman" w:hAnsi="Times New Roman"/>
        </w:rPr>
        <w:t xml:space="preserve">, </w:t>
      </w:r>
      <w:r w:rsidRPr="00E0795D">
        <w:rPr>
          <w:rFonts w:ascii="Times New Roman" w:hAnsi="Times New Roman"/>
          <w:smallCaps/>
        </w:rPr>
        <w:t>RH Reality Check,</w:t>
      </w:r>
      <w:r w:rsidRPr="00E0795D">
        <w:rPr>
          <w:rFonts w:ascii="Times New Roman" w:hAnsi="Times New Roman"/>
        </w:rPr>
        <w:t xml:space="preserve"> Nov. 5, 2012, </w:t>
      </w:r>
      <w:hyperlink r:id="rId4" w:history="1">
        <w:r w:rsidRPr="00E0795D">
          <w:rPr>
            <w:rStyle w:val="Hyperlink"/>
            <w:rFonts w:ascii="Times New Roman" w:hAnsi="Times New Roman"/>
          </w:rPr>
          <w:t>http://rhrealitycheck.org/article/2012/11/05/court-battle-ensues-over-disabled-woman-abortion/</w:t>
        </w:r>
      </w:hyperlink>
      <w:r w:rsidRPr="00E0795D">
        <w:rPr>
          <w:rFonts w:ascii="Times New Roman" w:hAnsi="Times New Roman"/>
        </w:rPr>
        <w:t>.</w:t>
      </w:r>
    </w:p>
  </w:endnote>
  <w:endnote w:id="110">
    <w:p w14:paraId="4CF2CD66" w14:textId="77777777" w:rsidR="001959AF" w:rsidRPr="00E0795D" w:rsidRDefault="001959AF" w:rsidP="001959AF">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European Disability Forum,</w:t>
      </w:r>
      <w:r w:rsidRPr="00E0795D">
        <w:rPr>
          <w:rFonts w:ascii="Times New Roman" w:hAnsi="Times New Roman"/>
        </w:rPr>
        <w:t xml:space="preserve"> </w:t>
      </w:r>
      <w:r w:rsidRPr="00E0795D">
        <w:rPr>
          <w:rFonts w:ascii="Times New Roman" w:hAnsi="Times New Roman"/>
          <w:smallCaps/>
        </w:rPr>
        <w:t>EDF input to the general discussion of the CESCR on sexual and reproductive</w:t>
      </w:r>
      <w:r w:rsidRPr="00E0795D">
        <w:rPr>
          <w:rFonts w:ascii="Times New Roman" w:hAnsi="Times New Roman"/>
          <w:i/>
        </w:rPr>
        <w:t xml:space="preserve"> </w:t>
      </w:r>
      <w:r w:rsidRPr="00E0795D">
        <w:rPr>
          <w:rFonts w:ascii="Times New Roman" w:hAnsi="Times New Roman"/>
          <w:smallCaps/>
        </w:rPr>
        <w:t>rights 6</w:t>
      </w:r>
      <w:r w:rsidRPr="00E0795D">
        <w:rPr>
          <w:rFonts w:ascii="Times New Roman" w:hAnsi="Times New Roman"/>
        </w:rPr>
        <w:t xml:space="preserve"> (2010) [hereinafter </w:t>
      </w:r>
      <w:r w:rsidRPr="00E0795D">
        <w:rPr>
          <w:rFonts w:ascii="Times New Roman" w:hAnsi="Times New Roman"/>
          <w:smallCaps/>
        </w:rPr>
        <w:t>EDF Input</w:t>
      </w:r>
      <w:r w:rsidRPr="00E0795D">
        <w:rPr>
          <w:rFonts w:ascii="Times New Roman" w:hAnsi="Times New Roman"/>
        </w:rPr>
        <w:t>].</w:t>
      </w:r>
    </w:p>
  </w:endnote>
  <w:endnote w:id="111">
    <w:p w14:paraId="19BE9C1F" w14:textId="77777777" w:rsidR="001959AF" w:rsidRPr="00E0795D" w:rsidRDefault="001959AF" w:rsidP="001959AF">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Id.</w:t>
      </w:r>
      <w:r w:rsidRPr="00E0795D">
        <w:rPr>
          <w:rFonts w:ascii="Times New Roman" w:hAnsi="Times New Roman"/>
        </w:rPr>
        <w:t xml:space="preserve"> at 6</w:t>
      </w:r>
      <w:r w:rsidRPr="00E0795D">
        <w:rPr>
          <w:rFonts w:ascii="Times New Roman" w:hAnsi="Times New Roman"/>
          <w:smallCaps/>
        </w:rPr>
        <w:t>;</w:t>
      </w:r>
      <w:r w:rsidRPr="00E0795D">
        <w:rPr>
          <w:rFonts w:ascii="Times New Roman" w:hAnsi="Times New Roman"/>
        </w:rPr>
        <w:t xml:space="preserve"> </w:t>
      </w:r>
      <w:r w:rsidRPr="00E0795D">
        <w:rPr>
          <w:rFonts w:ascii="Times New Roman" w:hAnsi="Times New Roman"/>
          <w:i/>
        </w:rPr>
        <w:t>See also</w:t>
      </w:r>
      <w:r w:rsidRPr="00E0795D">
        <w:rPr>
          <w:rFonts w:ascii="Times New Roman" w:hAnsi="Times New Roman"/>
        </w:rPr>
        <w:t xml:space="preserve"> Melissa Masden, </w:t>
      </w:r>
      <w:r w:rsidRPr="00E0795D">
        <w:rPr>
          <w:rFonts w:ascii="Times New Roman" w:hAnsi="Times New Roman"/>
          <w:i/>
        </w:rPr>
        <w:t>Pre-Natal Testing and Selective Abortion: The Development of a Feminist Disability Rights Perspective</w:t>
      </w:r>
      <w:r w:rsidRPr="00E0795D">
        <w:rPr>
          <w:rFonts w:ascii="Times New Roman" w:hAnsi="Times New Roman"/>
        </w:rPr>
        <w:t xml:space="preserve"> (1992), </w:t>
      </w:r>
      <w:r w:rsidRPr="00E0795D">
        <w:rPr>
          <w:rFonts w:ascii="Times New Roman" w:hAnsi="Times New Roman"/>
          <w:i/>
        </w:rPr>
        <w:t>available at</w:t>
      </w:r>
      <w:r w:rsidRPr="00E0795D">
        <w:rPr>
          <w:rFonts w:ascii="Times New Roman" w:hAnsi="Times New Roman"/>
        </w:rPr>
        <w:t xml:space="preserve"> </w:t>
      </w:r>
      <w:hyperlink r:id="rId5" w:history="1">
        <w:r w:rsidRPr="00E0795D">
          <w:rPr>
            <w:rStyle w:val="Hyperlink"/>
            <w:rFonts w:ascii="Times New Roman" w:hAnsi="Times New Roman"/>
          </w:rPr>
          <w:t>http://www.wwda.org.au/masden1.htm</w:t>
        </w:r>
      </w:hyperlink>
      <w:r w:rsidRPr="00E0795D">
        <w:rPr>
          <w:rFonts w:ascii="Times New Roman" w:hAnsi="Times New Roman"/>
        </w:rPr>
        <w:t xml:space="preserve"> (“There are...strong social sanctions against women with a disability as parents”).</w:t>
      </w:r>
    </w:p>
  </w:endnote>
  <w:endnote w:id="112">
    <w:p w14:paraId="4078117A" w14:textId="77777777" w:rsidR="001959AF" w:rsidRPr="00E0795D" w:rsidRDefault="001959AF" w:rsidP="001959AF">
      <w:pPr>
        <w:pStyle w:val="EndnoteText"/>
        <w:rPr>
          <w:rFonts w:ascii="Times New Roman" w:hAnsi="Times New Roman"/>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smallCaps/>
        </w:rPr>
        <w:t>EDF Input</w:t>
      </w:r>
      <w:r w:rsidRPr="00E0795D">
        <w:rPr>
          <w:rFonts w:ascii="Times New Roman" w:hAnsi="Times New Roman"/>
          <w:i/>
        </w:rPr>
        <w:t xml:space="preserve">, supra </w:t>
      </w:r>
      <w:r w:rsidRPr="00E0795D">
        <w:rPr>
          <w:rFonts w:ascii="Times New Roman" w:hAnsi="Times New Roman"/>
        </w:rPr>
        <w:t>note 84, at 6.</w:t>
      </w:r>
    </w:p>
  </w:endnote>
  <w:endnote w:id="113">
    <w:p w14:paraId="59434258" w14:textId="77777777" w:rsidR="001959AF" w:rsidRPr="00E0795D" w:rsidRDefault="001959AF" w:rsidP="001959AF">
      <w:pPr>
        <w:pStyle w:val="EndnoteText"/>
        <w:rPr>
          <w:rFonts w:ascii="Times New Roman" w:hAnsi="Times New Roman"/>
          <w:i/>
        </w:rPr>
      </w:pPr>
      <w:r w:rsidRPr="00E0795D">
        <w:rPr>
          <w:rStyle w:val="EndnoteReference"/>
          <w:rFonts w:ascii="Times New Roman" w:hAnsi="Times New Roman"/>
        </w:rPr>
        <w:endnoteRef/>
      </w:r>
      <w:r w:rsidRPr="00E0795D">
        <w:rPr>
          <w:rFonts w:ascii="Times New Roman" w:hAnsi="Times New Roman"/>
        </w:rPr>
        <w:t xml:space="preserve"> </w:t>
      </w:r>
      <w:r w:rsidRPr="00E0795D">
        <w:rPr>
          <w:rFonts w:ascii="Times New Roman" w:hAnsi="Times New Roman"/>
          <w:i/>
        </w:rPr>
        <w:t xml:space="preserve">See </w:t>
      </w:r>
      <w:r w:rsidRPr="00E0795D">
        <w:rPr>
          <w:rFonts w:ascii="Times New Roman" w:hAnsi="Times New Roman"/>
          <w:smallCaps/>
        </w:rPr>
        <w:t>Jane Maxwell et al., Hesperian Foundation, A Health Handbook for Women with Disabilities</w:t>
      </w:r>
      <w:r w:rsidRPr="00E0795D">
        <w:rPr>
          <w:rFonts w:ascii="Times New Roman" w:hAnsi="Times New Roman"/>
        </w:rPr>
        <w:t xml:space="preserve"> 306 (2007).</w:t>
      </w:r>
    </w:p>
  </w:endnote>
  <w:endnote w:id="114">
    <w:p w14:paraId="0883494B" w14:textId="77777777" w:rsidR="001959AF" w:rsidRPr="004B2211" w:rsidRDefault="001959AF" w:rsidP="001959AF">
      <w:pPr>
        <w:pStyle w:val="EndnoteText"/>
        <w:rPr>
          <w:rFonts w:ascii="Times New Roman" w:hAnsi="Times New Roman" w:cs="Times New Roman"/>
        </w:rPr>
      </w:pPr>
      <w:r w:rsidRPr="004B2211">
        <w:rPr>
          <w:rStyle w:val="EndnoteReference"/>
          <w:rFonts w:ascii="Times New Roman" w:hAnsi="Times New Roman" w:cs="Times New Roman"/>
        </w:rPr>
        <w:endnoteRef/>
      </w:r>
      <w:r w:rsidRPr="004B2211">
        <w:rPr>
          <w:rFonts w:ascii="Times New Roman" w:hAnsi="Times New Roman" w:cs="Times New Roman"/>
        </w:rPr>
        <w:t xml:space="preserve"> Anne Finger, </w:t>
      </w:r>
      <w:r w:rsidRPr="008670E7">
        <w:rPr>
          <w:rFonts w:ascii="Times New Roman" w:hAnsi="Times New Roman" w:cs="Times New Roman"/>
          <w:i/>
        </w:rPr>
        <w:t>Forbidden Fruit</w:t>
      </w:r>
      <w:r w:rsidRPr="004B2211">
        <w:rPr>
          <w:rFonts w:ascii="Times New Roman" w:hAnsi="Times New Roman" w:cs="Times New Roman"/>
        </w:rPr>
        <w:t xml:space="preserve">, 233 </w:t>
      </w:r>
      <w:r w:rsidRPr="004B2211">
        <w:rPr>
          <w:rFonts w:ascii="Times New Roman" w:hAnsi="Times New Roman" w:cs="Times New Roman"/>
          <w:smallCaps/>
        </w:rPr>
        <w:t>The New Internationalist</w:t>
      </w:r>
      <w:r w:rsidRPr="004B2211">
        <w:rPr>
          <w:rFonts w:ascii="Times New Roman" w:hAnsi="Times New Roman" w:cs="Times New Roman"/>
        </w:rPr>
        <w:t xml:space="preserve"> (July 1992), </w:t>
      </w:r>
      <w:r w:rsidRPr="004B2211">
        <w:rPr>
          <w:rFonts w:ascii="Times New Roman" w:hAnsi="Times New Roman" w:cs="Times New Roman"/>
          <w:i/>
        </w:rPr>
        <w:t>available at</w:t>
      </w:r>
      <w:r w:rsidRPr="004B2211">
        <w:rPr>
          <w:rFonts w:ascii="Times New Roman" w:hAnsi="Times New Roman" w:cs="Times New Roman"/>
        </w:rPr>
        <w:t xml:space="preserve"> http://www.newint.org/issue233/fruit.htm; </w:t>
      </w:r>
      <w:r w:rsidRPr="004B2211">
        <w:rPr>
          <w:rFonts w:ascii="Times New Roman" w:hAnsi="Times New Roman" w:cs="Times New Roman"/>
          <w:i/>
        </w:rPr>
        <w:t>see also</w:t>
      </w:r>
      <w:r w:rsidRPr="004B2211">
        <w:rPr>
          <w:rFonts w:ascii="Times New Roman" w:hAnsi="Times New Roman" w:cs="Times New Roman"/>
        </w:rPr>
        <w:t xml:space="preserve"> Carolyn Frohmader, </w:t>
      </w:r>
      <w:r w:rsidRPr="00945B50">
        <w:rPr>
          <w:rFonts w:ascii="Times New Roman" w:hAnsi="Times New Roman" w:cs="Times New Roman"/>
          <w:smallCaps/>
        </w:rPr>
        <w:t xml:space="preserve">Moving Forward and Gaining Ground: The Sterilisation of Women and Girls with Disabilities in Australia </w:t>
      </w:r>
      <w:r w:rsidRPr="004B2211">
        <w:rPr>
          <w:rFonts w:ascii="Times New Roman" w:hAnsi="Times New Roman" w:cs="Times New Roman"/>
        </w:rPr>
        <w:t xml:space="preserve">6-7 (2012), </w:t>
      </w:r>
      <w:r w:rsidRPr="004B2211">
        <w:rPr>
          <w:rFonts w:ascii="Times New Roman" w:hAnsi="Times New Roman" w:cs="Times New Roman"/>
          <w:i/>
        </w:rPr>
        <w:t>available at</w:t>
      </w:r>
      <w:r w:rsidRPr="004B2211">
        <w:rPr>
          <w:rFonts w:ascii="Times New Roman" w:hAnsi="Times New Roman" w:cs="Times New Roman"/>
        </w:rPr>
        <w:t xml:space="preserve"> http://wwda.org.au/wp-content/uploads/2013/12/Moving_Forward_Gaining_Ground.pdf; </w:t>
      </w:r>
      <w:r w:rsidRPr="004B2211">
        <w:rPr>
          <w:rFonts w:ascii="Times New Roman" w:hAnsi="Times New Roman" w:cs="Times New Roman"/>
          <w:i/>
        </w:rPr>
        <w:t>See generally</w:t>
      </w:r>
      <w:r w:rsidRPr="004B2211">
        <w:rPr>
          <w:rFonts w:ascii="Times New Roman" w:hAnsi="Times New Roman" w:cs="Times New Roman"/>
        </w:rPr>
        <w:t xml:space="preserve"> Law Students for Reproductive Justice, Women with Disabilities, at 3 (2008), </w:t>
      </w:r>
      <w:r w:rsidRPr="004B2211">
        <w:rPr>
          <w:rFonts w:ascii="Times New Roman" w:hAnsi="Times New Roman" w:cs="Times New Roman"/>
          <w:i/>
        </w:rPr>
        <w:t>available at</w:t>
      </w:r>
      <w:r w:rsidRPr="004B2211">
        <w:rPr>
          <w:rFonts w:ascii="Times New Roman" w:hAnsi="Times New Roman" w:cs="Times New Roman"/>
        </w:rPr>
        <w:t xml:space="preserve"> http://lsrj.org/documents/factsheets/08-09_Women_with_Disabilities.pdf</w:t>
      </w:r>
    </w:p>
  </w:endnote>
  <w:endnote w:id="115">
    <w:p w14:paraId="6D58D036" w14:textId="77777777" w:rsidR="006F1B16" w:rsidRPr="005B05DF" w:rsidRDefault="006F1B16" w:rsidP="006F1B16">
      <w:pPr>
        <w:pStyle w:val="EndnoteText"/>
        <w:rPr>
          <w:rFonts w:ascii="Times New Roman" w:hAnsi="Times New Roman" w:cs="Times New Roman"/>
        </w:rPr>
      </w:pPr>
      <w:r w:rsidRPr="00A13DD3">
        <w:rPr>
          <w:rStyle w:val="EndnoteReference"/>
          <w:rFonts w:ascii="Times New Roman" w:hAnsi="Times New Roman" w:cs="Times New Roman"/>
        </w:rPr>
        <w:endnoteRef/>
      </w:r>
      <w:r w:rsidRPr="00A13DD3">
        <w:rPr>
          <w:rFonts w:ascii="Times New Roman" w:hAnsi="Times New Roman" w:cs="Times New Roman"/>
        </w:rPr>
        <w:t xml:space="preserve"> CRPD Committee, </w:t>
      </w:r>
      <w:r w:rsidRPr="00A13DD3">
        <w:rPr>
          <w:rFonts w:ascii="Times New Roman" w:hAnsi="Times New Roman" w:cs="Times New Roman"/>
          <w:i/>
        </w:rPr>
        <w:t>Concluding Observations: Spain</w:t>
      </w:r>
      <w:r w:rsidRPr="00A13DD3">
        <w:rPr>
          <w:rFonts w:ascii="Times New Roman" w:hAnsi="Times New Roman" w:cs="Times New Roman"/>
        </w:rPr>
        <w:t xml:space="preserve">, paras. 37-38, U.N. Doc. CRPD/C/ESP/CO/1 (2011); </w:t>
      </w:r>
      <w:r w:rsidRPr="00A13DD3">
        <w:rPr>
          <w:rFonts w:ascii="Times New Roman" w:hAnsi="Times New Roman" w:cs="Times New Roman"/>
          <w:i/>
        </w:rPr>
        <w:t>China</w:t>
      </w:r>
      <w:r w:rsidRPr="00A13DD3">
        <w:rPr>
          <w:rFonts w:ascii="Times New Roman" w:hAnsi="Times New Roman" w:cs="Times New Roman"/>
        </w:rPr>
        <w:t xml:space="preserve">, para. 34, </w:t>
      </w:r>
      <w:r w:rsidRPr="005B05DF">
        <w:rPr>
          <w:rFonts w:ascii="Times New Roman" w:hAnsi="Times New Roman" w:cs="Times New Roman"/>
        </w:rPr>
        <w:t xml:space="preserve">U.N. Doc. CRPD/C/CHN/CO/1 (2012); </w:t>
      </w:r>
      <w:r w:rsidRPr="005B05DF">
        <w:rPr>
          <w:rFonts w:ascii="Times New Roman" w:hAnsi="Times New Roman" w:cs="Times New Roman"/>
          <w:i/>
        </w:rPr>
        <w:t>Argentina</w:t>
      </w:r>
      <w:r w:rsidRPr="005B05DF">
        <w:rPr>
          <w:rFonts w:ascii="Times New Roman" w:hAnsi="Times New Roman" w:cs="Times New Roman"/>
        </w:rPr>
        <w:t xml:space="preserve">, paras. 31-32, U.N. Doc. CRPD/C/ARG/CO/1 (2012); </w:t>
      </w:r>
      <w:r w:rsidRPr="005B05DF">
        <w:rPr>
          <w:rFonts w:ascii="Times New Roman" w:hAnsi="Times New Roman" w:cs="Times New Roman"/>
          <w:i/>
        </w:rPr>
        <w:t>Peru</w:t>
      </w:r>
      <w:r w:rsidRPr="005B05DF">
        <w:rPr>
          <w:rFonts w:ascii="Times New Roman" w:hAnsi="Times New Roman" w:cs="Times New Roman"/>
        </w:rPr>
        <w:t>, para. 35, U.N. Doc. CRPD/C/PER/CO/1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8C18C" w14:textId="77777777" w:rsidR="00B02240" w:rsidRDefault="00B02240" w:rsidP="00B02240">
      <w:pPr>
        <w:spacing w:after="0" w:line="240" w:lineRule="auto"/>
      </w:pPr>
      <w:r>
        <w:separator/>
      </w:r>
    </w:p>
  </w:footnote>
  <w:footnote w:type="continuationSeparator" w:id="0">
    <w:p w14:paraId="14B9CE57" w14:textId="77777777" w:rsidR="00B02240" w:rsidRDefault="00B02240" w:rsidP="00B02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A9220" w14:textId="2897302A" w:rsidR="0006110C" w:rsidRPr="0006110C" w:rsidRDefault="0006110C" w:rsidP="0006110C">
    <w:pPr>
      <w:pStyle w:val="Header"/>
    </w:pPr>
    <w:r>
      <w:rPr>
        <w:noProof/>
        <w:lang w:val="en-GB" w:eastAsia="en-GB"/>
      </w:rPr>
      <w:drawing>
        <wp:inline distT="0" distB="0" distL="0" distR="0" wp14:anchorId="4B1F8E34" wp14:editId="106F6F18">
          <wp:extent cx="1552575" cy="1033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1).png"/>
                  <pic:cNvPicPr/>
                </pic:nvPicPr>
                <pic:blipFill>
                  <a:blip r:embed="rId1">
                    <a:extLst>
                      <a:ext uri="{28A0092B-C50C-407E-A947-70E740481C1C}">
                        <a14:useLocalDpi xmlns:a14="http://schemas.microsoft.com/office/drawing/2010/main" val="0"/>
                      </a:ext>
                    </a:extLst>
                  </a:blip>
                  <a:stretch>
                    <a:fillRect/>
                  </a:stretch>
                </pic:blipFill>
                <pic:spPr>
                  <a:xfrm>
                    <a:off x="0" y="0"/>
                    <a:ext cx="1560810" cy="10386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451"/>
    <w:multiLevelType w:val="hybridMultilevel"/>
    <w:tmpl w:val="1D9C29A0"/>
    <w:lvl w:ilvl="0" w:tplc="6154616E">
      <w:start w:val="3"/>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572920"/>
    <w:multiLevelType w:val="hybridMultilevel"/>
    <w:tmpl w:val="7084E520"/>
    <w:lvl w:ilvl="0" w:tplc="2B3CF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95D74"/>
    <w:multiLevelType w:val="hybridMultilevel"/>
    <w:tmpl w:val="3022E342"/>
    <w:lvl w:ilvl="0" w:tplc="1E867920">
      <w:start w:val="2"/>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2E7B6AC0"/>
    <w:multiLevelType w:val="hybridMultilevel"/>
    <w:tmpl w:val="4EE8941A"/>
    <w:lvl w:ilvl="0" w:tplc="63985C7A">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508A7AA0"/>
    <w:multiLevelType w:val="hybridMultilevel"/>
    <w:tmpl w:val="7C52E454"/>
    <w:lvl w:ilvl="0" w:tplc="E4088630">
      <w:start w:val="1"/>
      <w:numFmt w:val="upperLetter"/>
      <w:lvlText w:val="%1."/>
      <w:lvlJc w:val="left"/>
      <w:pPr>
        <w:ind w:left="720" w:hanging="360"/>
      </w:pPr>
      <w:rPr>
        <w:rFonts w:hAnsi="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E6FDD"/>
    <w:multiLevelType w:val="hybridMultilevel"/>
    <w:tmpl w:val="B3C8AC5C"/>
    <w:lvl w:ilvl="0" w:tplc="46AA46E2">
      <w:start w:val="1"/>
      <w:numFmt w:val="upperRoman"/>
      <w:lvlText w:val="%1)"/>
      <w:lvlJc w:val="left"/>
      <w:pPr>
        <w:ind w:left="1080"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54685547"/>
    <w:multiLevelType w:val="hybridMultilevel"/>
    <w:tmpl w:val="8A20658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9131D5"/>
    <w:multiLevelType w:val="hybridMultilevel"/>
    <w:tmpl w:val="C21C5EBE"/>
    <w:lvl w:ilvl="0" w:tplc="53182312">
      <w:start w:val="3"/>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6D482B54"/>
    <w:multiLevelType w:val="hybridMultilevel"/>
    <w:tmpl w:val="8CF40702"/>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7CEB2643"/>
    <w:multiLevelType w:val="hybridMultilevel"/>
    <w:tmpl w:val="2D5C96E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5"/>
  </w:num>
  <w:num w:numId="4">
    <w:abstractNumId w:val="7"/>
  </w:num>
  <w:num w:numId="5">
    <w:abstractNumId w:val="2"/>
  </w:num>
  <w:num w:numId="6">
    <w:abstractNumId w:val="10"/>
  </w:num>
  <w:num w:numId="7">
    <w:abstractNumId w:val="3"/>
  </w:num>
  <w:num w:numId="8">
    <w:abstractNumId w:val="4"/>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40"/>
    <w:rsid w:val="0006110C"/>
    <w:rsid w:val="000D6BBB"/>
    <w:rsid w:val="001959AF"/>
    <w:rsid w:val="001C764D"/>
    <w:rsid w:val="00305BC4"/>
    <w:rsid w:val="003338A1"/>
    <w:rsid w:val="00366C71"/>
    <w:rsid w:val="004B5DB3"/>
    <w:rsid w:val="00515DC0"/>
    <w:rsid w:val="005C2974"/>
    <w:rsid w:val="00641E69"/>
    <w:rsid w:val="006F1B16"/>
    <w:rsid w:val="0097574C"/>
    <w:rsid w:val="00AD6F9D"/>
    <w:rsid w:val="00B02240"/>
    <w:rsid w:val="00B414F4"/>
    <w:rsid w:val="00D41F29"/>
    <w:rsid w:val="00D749CD"/>
    <w:rsid w:val="00E04DEA"/>
    <w:rsid w:val="00ED4E0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6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40"/>
    <w:pPr>
      <w:spacing w:after="0" w:line="240" w:lineRule="auto"/>
      <w:ind w:left="720"/>
      <w:contextualSpacing/>
    </w:pPr>
    <w:rPr>
      <w:rFonts w:ascii="Times New Roman" w:eastAsia="Times New Roman" w:hAnsi="Times New Roman" w:cs="Times New Roman"/>
      <w:sz w:val="20"/>
      <w:szCs w:val="20"/>
      <w:lang w:val="en-GB"/>
    </w:rPr>
  </w:style>
  <w:style w:type="paragraph" w:styleId="EndnoteText">
    <w:name w:val="endnote text"/>
    <w:aliases w:val="en"/>
    <w:basedOn w:val="Normal"/>
    <w:link w:val="EndnoteTextChar"/>
    <w:unhideWhenUsed/>
    <w:rsid w:val="00305BC4"/>
    <w:pPr>
      <w:spacing w:after="0" w:line="240" w:lineRule="auto"/>
    </w:pPr>
    <w:rPr>
      <w:rFonts w:eastAsiaTheme="minorEastAsia"/>
      <w:sz w:val="20"/>
      <w:szCs w:val="20"/>
      <w:lang w:val="en-US"/>
    </w:rPr>
  </w:style>
  <w:style w:type="character" w:customStyle="1" w:styleId="EndnoteTextChar">
    <w:name w:val="Endnote Text Char"/>
    <w:aliases w:val="en Char"/>
    <w:basedOn w:val="DefaultParagraphFont"/>
    <w:link w:val="EndnoteText"/>
    <w:rsid w:val="00305BC4"/>
    <w:rPr>
      <w:rFonts w:eastAsiaTheme="minorEastAsia"/>
      <w:sz w:val="20"/>
      <w:szCs w:val="20"/>
      <w:lang w:val="en-US"/>
    </w:rPr>
  </w:style>
  <w:style w:type="character" w:styleId="EndnoteReference">
    <w:name w:val="endnote reference"/>
    <w:basedOn w:val="DefaultParagraphFont"/>
    <w:unhideWhenUsed/>
    <w:rsid w:val="00305BC4"/>
    <w:rPr>
      <w:vertAlign w:val="superscript"/>
    </w:rPr>
  </w:style>
  <w:style w:type="paragraph" w:styleId="FootnoteText">
    <w:name w:val="footnote text"/>
    <w:basedOn w:val="Normal"/>
    <w:link w:val="FootnoteTextChar"/>
    <w:uiPriority w:val="99"/>
    <w:semiHidden/>
    <w:unhideWhenUsed/>
    <w:rsid w:val="004B5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DB3"/>
    <w:rPr>
      <w:sz w:val="20"/>
      <w:szCs w:val="20"/>
    </w:rPr>
  </w:style>
  <w:style w:type="character" w:styleId="FootnoteReference">
    <w:name w:val="footnote reference"/>
    <w:basedOn w:val="DefaultParagraphFont"/>
    <w:uiPriority w:val="99"/>
    <w:semiHidden/>
    <w:unhideWhenUsed/>
    <w:rsid w:val="004B5DB3"/>
    <w:rPr>
      <w:vertAlign w:val="superscript"/>
    </w:rPr>
  </w:style>
  <w:style w:type="character" w:styleId="Hyperlink">
    <w:name w:val="Hyperlink"/>
    <w:basedOn w:val="DefaultParagraphFont"/>
    <w:uiPriority w:val="99"/>
    <w:unhideWhenUsed/>
    <w:rsid w:val="004B5DB3"/>
    <w:rPr>
      <w:color w:val="0563C1" w:themeColor="hyperlink"/>
      <w:u w:val="single"/>
    </w:rPr>
  </w:style>
  <w:style w:type="paragraph" w:customStyle="1" w:styleId="Body1">
    <w:name w:val="Body 1"/>
    <w:rsid w:val="004B5DB3"/>
    <w:pPr>
      <w:spacing w:after="0" w:line="240" w:lineRule="auto"/>
    </w:pPr>
    <w:rPr>
      <w:rFonts w:ascii="Helvetica" w:eastAsia="Arial Unicode MS" w:hAnsi="Helvetica" w:cs="Times New Roman"/>
      <w:color w:val="000000"/>
      <w:sz w:val="24"/>
      <w:szCs w:val="20"/>
      <w:lang w:val="en-US"/>
    </w:rPr>
  </w:style>
  <w:style w:type="character" w:customStyle="1" w:styleId="apple-converted-space">
    <w:name w:val="apple-converted-space"/>
    <w:basedOn w:val="DefaultParagraphFont"/>
    <w:rsid w:val="004B5DB3"/>
  </w:style>
  <w:style w:type="character" w:styleId="CommentReference">
    <w:name w:val="annotation reference"/>
    <w:uiPriority w:val="99"/>
    <w:semiHidden/>
    <w:unhideWhenUsed/>
    <w:rsid w:val="004B5DB3"/>
    <w:rPr>
      <w:sz w:val="16"/>
      <w:szCs w:val="16"/>
    </w:rPr>
  </w:style>
  <w:style w:type="paragraph" w:customStyle="1" w:styleId="Default">
    <w:name w:val="Default"/>
    <w:rsid w:val="004B5DB3"/>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NormalWeb">
    <w:name w:val="Normal (Web)"/>
    <w:basedOn w:val="Normal"/>
    <w:uiPriority w:val="99"/>
    <w:unhideWhenUsed/>
    <w:rsid w:val="00366C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AD6F9D"/>
    <w:pPr>
      <w:spacing w:line="240" w:lineRule="auto"/>
    </w:pPr>
    <w:rPr>
      <w:sz w:val="20"/>
      <w:szCs w:val="20"/>
    </w:rPr>
  </w:style>
  <w:style w:type="character" w:customStyle="1" w:styleId="CommentTextChar">
    <w:name w:val="Comment Text Char"/>
    <w:basedOn w:val="DefaultParagraphFont"/>
    <w:link w:val="CommentText"/>
    <w:uiPriority w:val="99"/>
    <w:semiHidden/>
    <w:rsid w:val="00AD6F9D"/>
    <w:rPr>
      <w:sz w:val="20"/>
      <w:szCs w:val="20"/>
    </w:rPr>
  </w:style>
  <w:style w:type="paragraph" w:styleId="CommentSubject">
    <w:name w:val="annotation subject"/>
    <w:basedOn w:val="CommentText"/>
    <w:next w:val="CommentText"/>
    <w:link w:val="CommentSubjectChar"/>
    <w:uiPriority w:val="99"/>
    <w:semiHidden/>
    <w:unhideWhenUsed/>
    <w:rsid w:val="00AD6F9D"/>
    <w:rPr>
      <w:b/>
      <w:bCs/>
    </w:rPr>
  </w:style>
  <w:style w:type="character" w:customStyle="1" w:styleId="CommentSubjectChar">
    <w:name w:val="Comment Subject Char"/>
    <w:basedOn w:val="CommentTextChar"/>
    <w:link w:val="CommentSubject"/>
    <w:uiPriority w:val="99"/>
    <w:semiHidden/>
    <w:rsid w:val="00AD6F9D"/>
    <w:rPr>
      <w:b/>
      <w:bCs/>
      <w:sz w:val="20"/>
      <w:szCs w:val="20"/>
    </w:rPr>
  </w:style>
  <w:style w:type="paragraph" w:styleId="BalloonText">
    <w:name w:val="Balloon Text"/>
    <w:basedOn w:val="Normal"/>
    <w:link w:val="BalloonTextChar"/>
    <w:uiPriority w:val="99"/>
    <w:semiHidden/>
    <w:unhideWhenUsed/>
    <w:rsid w:val="00AD6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9D"/>
    <w:rPr>
      <w:rFonts w:ascii="Segoe UI" w:hAnsi="Segoe UI" w:cs="Segoe UI"/>
      <w:sz w:val="18"/>
      <w:szCs w:val="18"/>
    </w:rPr>
  </w:style>
  <w:style w:type="character" w:customStyle="1" w:styleId="texto11">
    <w:name w:val="texto11"/>
    <w:rsid w:val="00641E69"/>
    <w:rPr>
      <w:rFonts w:ascii="Arial" w:hAnsi="Arial" w:cs="Arial" w:hint="default"/>
      <w:b w:val="0"/>
      <w:bCs w:val="0"/>
      <w:i w:val="0"/>
      <w:iCs w:val="0"/>
      <w:caps w:val="0"/>
      <w:color w:val="000000"/>
      <w:sz w:val="20"/>
      <w:szCs w:val="20"/>
    </w:rPr>
  </w:style>
  <w:style w:type="paragraph" w:styleId="Header">
    <w:name w:val="header"/>
    <w:basedOn w:val="Normal"/>
    <w:link w:val="HeaderChar"/>
    <w:uiPriority w:val="99"/>
    <w:unhideWhenUsed/>
    <w:rsid w:val="000611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110C"/>
  </w:style>
  <w:style w:type="paragraph" w:styleId="Footer">
    <w:name w:val="footer"/>
    <w:basedOn w:val="Normal"/>
    <w:link w:val="FooterChar"/>
    <w:uiPriority w:val="99"/>
    <w:unhideWhenUsed/>
    <w:rsid w:val="000611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1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40"/>
    <w:pPr>
      <w:spacing w:after="0" w:line="240" w:lineRule="auto"/>
      <w:ind w:left="720"/>
      <w:contextualSpacing/>
    </w:pPr>
    <w:rPr>
      <w:rFonts w:ascii="Times New Roman" w:eastAsia="Times New Roman" w:hAnsi="Times New Roman" w:cs="Times New Roman"/>
      <w:sz w:val="20"/>
      <w:szCs w:val="20"/>
      <w:lang w:val="en-GB"/>
    </w:rPr>
  </w:style>
  <w:style w:type="paragraph" w:styleId="EndnoteText">
    <w:name w:val="endnote text"/>
    <w:aliases w:val="en"/>
    <w:basedOn w:val="Normal"/>
    <w:link w:val="EndnoteTextChar"/>
    <w:unhideWhenUsed/>
    <w:rsid w:val="00305BC4"/>
    <w:pPr>
      <w:spacing w:after="0" w:line="240" w:lineRule="auto"/>
    </w:pPr>
    <w:rPr>
      <w:rFonts w:eastAsiaTheme="minorEastAsia"/>
      <w:sz w:val="20"/>
      <w:szCs w:val="20"/>
      <w:lang w:val="en-US"/>
    </w:rPr>
  </w:style>
  <w:style w:type="character" w:customStyle="1" w:styleId="EndnoteTextChar">
    <w:name w:val="Endnote Text Char"/>
    <w:aliases w:val="en Char"/>
    <w:basedOn w:val="DefaultParagraphFont"/>
    <w:link w:val="EndnoteText"/>
    <w:rsid w:val="00305BC4"/>
    <w:rPr>
      <w:rFonts w:eastAsiaTheme="minorEastAsia"/>
      <w:sz w:val="20"/>
      <w:szCs w:val="20"/>
      <w:lang w:val="en-US"/>
    </w:rPr>
  </w:style>
  <w:style w:type="character" w:styleId="EndnoteReference">
    <w:name w:val="endnote reference"/>
    <w:basedOn w:val="DefaultParagraphFont"/>
    <w:unhideWhenUsed/>
    <w:rsid w:val="00305BC4"/>
    <w:rPr>
      <w:vertAlign w:val="superscript"/>
    </w:rPr>
  </w:style>
  <w:style w:type="paragraph" w:styleId="FootnoteText">
    <w:name w:val="footnote text"/>
    <w:basedOn w:val="Normal"/>
    <w:link w:val="FootnoteTextChar"/>
    <w:uiPriority w:val="99"/>
    <w:semiHidden/>
    <w:unhideWhenUsed/>
    <w:rsid w:val="004B5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DB3"/>
    <w:rPr>
      <w:sz w:val="20"/>
      <w:szCs w:val="20"/>
    </w:rPr>
  </w:style>
  <w:style w:type="character" w:styleId="FootnoteReference">
    <w:name w:val="footnote reference"/>
    <w:basedOn w:val="DefaultParagraphFont"/>
    <w:uiPriority w:val="99"/>
    <w:semiHidden/>
    <w:unhideWhenUsed/>
    <w:rsid w:val="004B5DB3"/>
    <w:rPr>
      <w:vertAlign w:val="superscript"/>
    </w:rPr>
  </w:style>
  <w:style w:type="character" w:styleId="Hyperlink">
    <w:name w:val="Hyperlink"/>
    <w:basedOn w:val="DefaultParagraphFont"/>
    <w:uiPriority w:val="99"/>
    <w:unhideWhenUsed/>
    <w:rsid w:val="004B5DB3"/>
    <w:rPr>
      <w:color w:val="0563C1" w:themeColor="hyperlink"/>
      <w:u w:val="single"/>
    </w:rPr>
  </w:style>
  <w:style w:type="paragraph" w:customStyle="1" w:styleId="Body1">
    <w:name w:val="Body 1"/>
    <w:rsid w:val="004B5DB3"/>
    <w:pPr>
      <w:spacing w:after="0" w:line="240" w:lineRule="auto"/>
    </w:pPr>
    <w:rPr>
      <w:rFonts w:ascii="Helvetica" w:eastAsia="Arial Unicode MS" w:hAnsi="Helvetica" w:cs="Times New Roman"/>
      <w:color w:val="000000"/>
      <w:sz w:val="24"/>
      <w:szCs w:val="20"/>
      <w:lang w:val="en-US"/>
    </w:rPr>
  </w:style>
  <w:style w:type="character" w:customStyle="1" w:styleId="apple-converted-space">
    <w:name w:val="apple-converted-space"/>
    <w:basedOn w:val="DefaultParagraphFont"/>
    <w:rsid w:val="004B5DB3"/>
  </w:style>
  <w:style w:type="character" w:styleId="CommentReference">
    <w:name w:val="annotation reference"/>
    <w:uiPriority w:val="99"/>
    <w:semiHidden/>
    <w:unhideWhenUsed/>
    <w:rsid w:val="004B5DB3"/>
    <w:rPr>
      <w:sz w:val="16"/>
      <w:szCs w:val="16"/>
    </w:rPr>
  </w:style>
  <w:style w:type="paragraph" w:customStyle="1" w:styleId="Default">
    <w:name w:val="Default"/>
    <w:rsid w:val="004B5DB3"/>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NormalWeb">
    <w:name w:val="Normal (Web)"/>
    <w:basedOn w:val="Normal"/>
    <w:uiPriority w:val="99"/>
    <w:unhideWhenUsed/>
    <w:rsid w:val="00366C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AD6F9D"/>
    <w:pPr>
      <w:spacing w:line="240" w:lineRule="auto"/>
    </w:pPr>
    <w:rPr>
      <w:sz w:val="20"/>
      <w:szCs w:val="20"/>
    </w:rPr>
  </w:style>
  <w:style w:type="character" w:customStyle="1" w:styleId="CommentTextChar">
    <w:name w:val="Comment Text Char"/>
    <w:basedOn w:val="DefaultParagraphFont"/>
    <w:link w:val="CommentText"/>
    <w:uiPriority w:val="99"/>
    <w:semiHidden/>
    <w:rsid w:val="00AD6F9D"/>
    <w:rPr>
      <w:sz w:val="20"/>
      <w:szCs w:val="20"/>
    </w:rPr>
  </w:style>
  <w:style w:type="paragraph" w:styleId="CommentSubject">
    <w:name w:val="annotation subject"/>
    <w:basedOn w:val="CommentText"/>
    <w:next w:val="CommentText"/>
    <w:link w:val="CommentSubjectChar"/>
    <w:uiPriority w:val="99"/>
    <w:semiHidden/>
    <w:unhideWhenUsed/>
    <w:rsid w:val="00AD6F9D"/>
    <w:rPr>
      <w:b/>
      <w:bCs/>
    </w:rPr>
  </w:style>
  <w:style w:type="character" w:customStyle="1" w:styleId="CommentSubjectChar">
    <w:name w:val="Comment Subject Char"/>
    <w:basedOn w:val="CommentTextChar"/>
    <w:link w:val="CommentSubject"/>
    <w:uiPriority w:val="99"/>
    <w:semiHidden/>
    <w:rsid w:val="00AD6F9D"/>
    <w:rPr>
      <w:b/>
      <w:bCs/>
      <w:sz w:val="20"/>
      <w:szCs w:val="20"/>
    </w:rPr>
  </w:style>
  <w:style w:type="paragraph" w:styleId="BalloonText">
    <w:name w:val="Balloon Text"/>
    <w:basedOn w:val="Normal"/>
    <w:link w:val="BalloonTextChar"/>
    <w:uiPriority w:val="99"/>
    <w:semiHidden/>
    <w:unhideWhenUsed/>
    <w:rsid w:val="00AD6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F9D"/>
    <w:rPr>
      <w:rFonts w:ascii="Segoe UI" w:hAnsi="Segoe UI" w:cs="Segoe UI"/>
      <w:sz w:val="18"/>
      <w:szCs w:val="18"/>
    </w:rPr>
  </w:style>
  <w:style w:type="character" w:customStyle="1" w:styleId="texto11">
    <w:name w:val="texto11"/>
    <w:rsid w:val="00641E69"/>
    <w:rPr>
      <w:rFonts w:ascii="Arial" w:hAnsi="Arial" w:cs="Arial" w:hint="default"/>
      <w:b w:val="0"/>
      <w:bCs w:val="0"/>
      <w:i w:val="0"/>
      <w:iCs w:val="0"/>
      <w:caps w:val="0"/>
      <w:color w:val="000000"/>
      <w:sz w:val="20"/>
      <w:szCs w:val="20"/>
    </w:rPr>
  </w:style>
  <w:style w:type="paragraph" w:styleId="Header">
    <w:name w:val="header"/>
    <w:basedOn w:val="Normal"/>
    <w:link w:val="HeaderChar"/>
    <w:uiPriority w:val="99"/>
    <w:unhideWhenUsed/>
    <w:rsid w:val="000611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110C"/>
  </w:style>
  <w:style w:type="paragraph" w:styleId="Footer">
    <w:name w:val="footer"/>
    <w:basedOn w:val="Normal"/>
    <w:link w:val="FooterChar"/>
    <w:uiPriority w:val="99"/>
    <w:unhideWhenUsed/>
    <w:rsid w:val="000611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brown@reprorights.org"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www.telegraph.co.uk/health/healthnews/9793790/Mentally-disabled-woman-escapes-forced-abortion.html" TargetMode="External"/><Relationship Id="rId2" Type="http://schemas.openxmlformats.org/officeDocument/2006/relationships/hyperlink" Target="http://reproductiverights.org/en/project/mandatory-delays-and-biased-counseling-for-women-seeking-abortions" TargetMode="External"/><Relationship Id="rId1" Type="http://schemas.openxmlformats.org/officeDocument/2006/relationships/hyperlink" Target="http://www.refworld.org/docid/589dad3d4.html" TargetMode="External"/><Relationship Id="rId5" Type="http://schemas.openxmlformats.org/officeDocument/2006/relationships/hyperlink" Target="http://www.wwda.org.au/masden1.htm" TargetMode="External"/><Relationship Id="rId4" Type="http://schemas.openxmlformats.org/officeDocument/2006/relationships/hyperlink" Target="http://rhrealitycheck.org/article/2012/11/05/court-battle-ensues-over-disabled-woman-abor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EF8B67-292B-4AE2-9563-BD5537B9A747}"/>
</file>

<file path=customXml/itemProps2.xml><?xml version="1.0" encoding="utf-8"?>
<ds:datastoreItem xmlns:ds="http://schemas.openxmlformats.org/officeDocument/2006/customXml" ds:itemID="{7FAD9E30-796F-4D84-B0FB-8301A2698A59}"/>
</file>

<file path=customXml/itemProps3.xml><?xml version="1.0" encoding="utf-8"?>
<ds:datastoreItem xmlns:ds="http://schemas.openxmlformats.org/officeDocument/2006/customXml" ds:itemID="{D66DDA10-2447-4BF8-A0EE-CD7DB162AD87}"/>
</file>

<file path=customXml/itemProps4.xml><?xml version="1.0" encoding="utf-8"?>
<ds:datastoreItem xmlns:ds="http://schemas.openxmlformats.org/officeDocument/2006/customXml" ds:itemID="{83974130-535C-4C5A-BD2A-31E681A719F2}"/>
</file>

<file path=docProps/app.xml><?xml version="1.0" encoding="utf-8"?>
<Properties xmlns="http://schemas.openxmlformats.org/officeDocument/2006/extended-properties" xmlns:vt="http://schemas.openxmlformats.org/officeDocument/2006/docPropsVTypes">
  <Template>Normal.dotm</Template>
  <TotalTime>1</TotalTime>
  <Pages>12</Pages>
  <Words>5477</Words>
  <Characters>31222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Center for Reproductive Rights</Company>
  <LinksUpToDate>false</LinksUpToDate>
  <CharactersWithSpaces>36626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Daher</dc:creator>
  <cp:keywords/>
  <dc:description/>
  <cp:lastModifiedBy>Alina Grigoras</cp:lastModifiedBy>
  <cp:revision>2</cp:revision>
  <dcterms:created xsi:type="dcterms:W3CDTF">2017-06-14T16:59:00Z</dcterms:created>
  <dcterms:modified xsi:type="dcterms:W3CDTF">2017-06-14T16:59:00Z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