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5622F181" w:rsidR="005A094A" w:rsidRPr="0016020A" w:rsidRDefault="005458FD" w:rsidP="00A3014C">
      <w:pPr>
        <w:pStyle w:val="Heading1"/>
        <w:rPr>
          <w:rFonts w:eastAsiaTheme="majorEastAsia" w:cstheme="majorBidi"/>
          <w:i/>
          <w:iCs/>
          <w:color w:val="FFFFFF" w:themeColor="background1"/>
        </w:rPr>
      </w:pPr>
      <w:r w:rsidRPr="0016020A">
        <w:rPr>
          <w:rFonts w:eastAsiaTheme="majorEastAsia" w:cstheme="majorBidi"/>
          <w:noProof/>
          <w:color w:val="FFFFFF" w:themeColor="background1"/>
          <w:lang w:eastAsia="en-GB"/>
        </w:rPr>
        <w:drawing>
          <wp:anchor distT="0" distB="0" distL="114300" distR="114300" simplePos="0" relativeHeight="251658240" behindDoc="1" locked="0" layoutInCell="1" allowOverlap="1" wp14:anchorId="45C2F5DD" wp14:editId="53734861">
            <wp:simplePos x="0" y="0"/>
            <wp:positionH relativeFrom="column">
              <wp:posOffset>-970915</wp:posOffset>
            </wp:positionH>
            <wp:positionV relativeFrom="paragraph">
              <wp:posOffset>-960918</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16020A">
        <w:rPr>
          <w:rFonts w:eastAsiaTheme="majorEastAsia" w:cstheme="majorBidi"/>
          <w:color w:val="FFFFFF" w:themeColor="background1"/>
        </w:rPr>
        <w:t xml:space="preserve">Data sources for outcome indicators on Article </w:t>
      </w:r>
      <w:r w:rsidR="005B32D0" w:rsidRPr="0016020A">
        <w:rPr>
          <w:rFonts w:eastAsiaTheme="majorEastAsia" w:cstheme="majorBidi"/>
          <w:color w:val="FFFFFF" w:themeColor="background1"/>
        </w:rPr>
        <w:t>10</w:t>
      </w:r>
      <w:r w:rsidR="000A661C" w:rsidRPr="0016020A">
        <w:rPr>
          <w:rFonts w:eastAsiaTheme="majorEastAsia" w:cstheme="majorBidi"/>
          <w:color w:val="FFFFFF" w:themeColor="background1"/>
        </w:rPr>
        <w:t>:</w:t>
      </w:r>
    </w:p>
    <w:p w14:paraId="5A518BF9" w14:textId="7BBDA12E" w:rsidR="00906D01" w:rsidRPr="0016020A" w:rsidRDefault="005B32D0" w:rsidP="00A3014C">
      <w:pPr>
        <w:pStyle w:val="Heading1"/>
        <w:rPr>
          <w:rFonts w:eastAsiaTheme="majorEastAsia" w:cstheme="majorBidi"/>
          <w:color w:val="FFFFFF" w:themeColor="background1"/>
          <w:sz w:val="72"/>
          <w:szCs w:val="72"/>
        </w:rPr>
      </w:pPr>
      <w:r w:rsidRPr="0016020A">
        <w:rPr>
          <w:rFonts w:eastAsiaTheme="majorEastAsia" w:cstheme="majorBidi"/>
          <w:color w:val="FFFFFF" w:themeColor="background1"/>
          <w:sz w:val="72"/>
          <w:szCs w:val="72"/>
        </w:rPr>
        <w:t>Right to Life</w:t>
      </w:r>
    </w:p>
    <w:p w14:paraId="3CBE4037" w14:textId="1E9A34B3" w:rsidR="00355C6D" w:rsidRPr="0016020A" w:rsidRDefault="004C5B89" w:rsidP="00D850DC">
      <w:pPr>
        <w:spacing w:before="0" w:after="0" w:line="240" w:lineRule="auto"/>
        <w:jc w:val="left"/>
        <w:rPr>
          <w:rFonts w:asciiTheme="minorHAnsi" w:hAnsiTheme="minorHAnsi" w:cstheme="minorHAnsi"/>
        </w:rPr>
      </w:pPr>
      <w:r w:rsidRPr="0016020A">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7668CA13">
            <wp:simplePos x="0" y="0"/>
            <wp:positionH relativeFrom="margin">
              <wp:align>right</wp:align>
            </wp:positionH>
            <wp:positionV relativeFrom="margin">
              <wp:align>bottom</wp:align>
            </wp:positionV>
            <wp:extent cx="2247900" cy="771525"/>
            <wp:effectExtent l="0" t="0" r="0" b="317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16020A">
        <w:rPr>
          <w:rFonts w:asciiTheme="minorHAnsi" w:hAnsiTheme="minorHAnsi" w:cstheme="minorHAnsi"/>
        </w:rPr>
        <w:br w:type="page"/>
      </w:r>
    </w:p>
    <w:p w14:paraId="779E1EF4" w14:textId="5C6FD04F" w:rsidR="00355C6D" w:rsidRPr="0016020A" w:rsidRDefault="00570364" w:rsidP="00D850DC">
      <w:pPr>
        <w:spacing w:before="0" w:after="0" w:line="240" w:lineRule="auto"/>
        <w:jc w:val="left"/>
        <w:rPr>
          <w:rFonts w:asciiTheme="minorHAnsi" w:hAnsiTheme="minorHAnsi" w:cstheme="minorHAnsi"/>
        </w:rPr>
      </w:pPr>
      <w:r w:rsidRPr="0016020A">
        <w:rPr>
          <w:rFonts w:asciiTheme="minorHAnsi" w:hAnsiTheme="minorHAnsi" w:cstheme="minorHAnsi"/>
          <w:noProof/>
          <w:lang w:eastAsia="en-GB"/>
        </w:rPr>
        <w:lastRenderedPageBreak/>
        <w:drawing>
          <wp:inline distT="0" distB="0" distL="0" distR="0" wp14:anchorId="48975751" wp14:editId="72858E0C">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20D3289B" w14:textId="77777777" w:rsidR="00AC091E" w:rsidRPr="0016020A" w:rsidRDefault="00AC091E" w:rsidP="00AC091E">
      <w:pPr>
        <w:autoSpaceDE w:val="0"/>
        <w:autoSpaceDN w:val="0"/>
        <w:spacing w:before="7200" w:line="260" w:lineRule="exact"/>
        <w:jc w:val="left"/>
        <w:rPr>
          <w:rFonts w:cs="Segoe UI"/>
          <w:color w:val="000000"/>
          <w:sz w:val="18"/>
          <w:lang w:eastAsia="en-GB"/>
        </w:rPr>
      </w:pPr>
      <w:r w:rsidRPr="0016020A">
        <w:rPr>
          <w:rFonts w:cs="Segoe UI"/>
          <w:color w:val="000000"/>
          <w:sz w:val="18"/>
          <w:lang w:eastAsia="en-GB"/>
        </w:rPr>
        <w:t>ADVANCE VERSION</w:t>
      </w:r>
    </w:p>
    <w:p w14:paraId="5FC97B7A" w14:textId="77777777" w:rsidR="00AC091E" w:rsidRPr="0016020A" w:rsidRDefault="00AC091E" w:rsidP="00AC091E">
      <w:pPr>
        <w:autoSpaceDE w:val="0"/>
        <w:autoSpaceDN w:val="0"/>
        <w:spacing w:line="260" w:lineRule="exact"/>
        <w:jc w:val="left"/>
        <w:rPr>
          <w:rFonts w:cs="Segoe UI"/>
          <w:color w:val="000000"/>
          <w:sz w:val="20"/>
          <w:szCs w:val="20"/>
          <w:lang w:eastAsia="en-GB"/>
        </w:rPr>
      </w:pPr>
      <w:r w:rsidRPr="0016020A">
        <w:rPr>
          <w:rFonts w:cs="Segoe UI"/>
          <w:color w:val="000000"/>
          <w:sz w:val="20"/>
          <w:szCs w:val="20"/>
          <w:lang w:eastAsia="en-GB"/>
        </w:rPr>
        <w:t xml:space="preserve">© 2020 United Nations  </w:t>
      </w:r>
    </w:p>
    <w:p w14:paraId="4F92E7DD" w14:textId="77777777" w:rsidR="00AC091E" w:rsidRPr="0016020A" w:rsidRDefault="00AC091E" w:rsidP="00AC091E">
      <w:pPr>
        <w:autoSpaceDE w:val="0"/>
        <w:autoSpaceDN w:val="0"/>
        <w:spacing w:line="260" w:lineRule="exact"/>
        <w:jc w:val="left"/>
        <w:rPr>
          <w:rFonts w:cs="Segoe UI"/>
          <w:color w:val="000000"/>
          <w:sz w:val="20"/>
          <w:szCs w:val="20"/>
          <w:lang w:eastAsia="en-GB"/>
        </w:rPr>
      </w:pPr>
      <w:r w:rsidRPr="0016020A">
        <w:rPr>
          <w:rFonts w:cs="Segoe UI"/>
          <w:color w:val="000000"/>
          <w:sz w:val="20"/>
          <w:szCs w:val="20"/>
          <w:lang w:eastAsia="en-GB"/>
        </w:rPr>
        <w:t xml:space="preserve">The </w:t>
      </w:r>
      <w:r w:rsidRPr="0016020A">
        <w:rPr>
          <w:rFonts w:cs="Segoe UI"/>
          <w:i/>
          <w:color w:val="000000"/>
          <w:sz w:val="20"/>
          <w:szCs w:val="20"/>
          <w:lang w:eastAsia="en-GB"/>
        </w:rPr>
        <w:t>Data Sources Guidance</w:t>
      </w:r>
      <w:r w:rsidRPr="0016020A">
        <w:rPr>
          <w:rFonts w:cs="Segoe UI"/>
          <w:color w:val="000000"/>
          <w:sz w:val="20"/>
          <w:szCs w:val="20"/>
          <w:lang w:eastAsia="en-GB"/>
        </w:rPr>
        <w:t xml:space="preserve"> is a component of the </w:t>
      </w:r>
      <w:hyperlink r:id="rId12" w:history="1">
        <w:r w:rsidRPr="0016020A">
          <w:rPr>
            <w:rStyle w:val="Hyperlink"/>
            <w:rFonts w:cs="Segoe UI"/>
            <w:sz w:val="20"/>
            <w:szCs w:val="20"/>
            <w:lang w:eastAsia="en-GB"/>
          </w:rPr>
          <w:t>SDG-CRPD Resource Package</w:t>
        </w:r>
      </w:hyperlink>
      <w:r w:rsidRPr="0016020A">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51D5DC61" w14:textId="33A3E1CB" w:rsidR="00AC091E" w:rsidRPr="0016020A" w:rsidRDefault="00AC091E" w:rsidP="00AC091E">
      <w:pPr>
        <w:autoSpaceDE w:val="0"/>
        <w:autoSpaceDN w:val="0"/>
        <w:spacing w:line="260" w:lineRule="exact"/>
        <w:jc w:val="left"/>
        <w:rPr>
          <w:rFonts w:cs="Segoe UI"/>
          <w:color w:val="000000"/>
          <w:sz w:val="20"/>
          <w:szCs w:val="20"/>
          <w:lang w:eastAsia="en-GB"/>
        </w:rPr>
      </w:pPr>
      <w:r w:rsidRPr="0016020A">
        <w:rPr>
          <w:rFonts w:cs="Segoe UI"/>
          <w:color w:val="000000"/>
          <w:sz w:val="20"/>
          <w:szCs w:val="20"/>
          <w:lang w:eastAsia="en-GB"/>
        </w:rPr>
        <w:t xml:space="preserve">The designations employed and the </w:t>
      </w:r>
      <w:r w:rsidR="004550D6" w:rsidRPr="0016020A">
        <w:rPr>
          <w:rFonts w:cs="Segoe UI"/>
          <w:color w:val="000000"/>
          <w:sz w:val="20"/>
          <w:szCs w:val="20"/>
          <w:lang w:eastAsia="en-GB"/>
        </w:rPr>
        <w:t xml:space="preserve">presentation of the material herein </w:t>
      </w:r>
      <w:r w:rsidRPr="0016020A">
        <w:rPr>
          <w:rFonts w:cs="Segoe UI"/>
          <w:color w:val="000000"/>
          <w:sz w:val="20"/>
          <w:szCs w:val="20"/>
          <w:lang w:eastAsia="en-GB"/>
        </w:rPr>
        <w:t xml:space="preserve">do not imply the expression of any opinion whatsoever on the part of the Secretariat of the United Nations concerning the legal status of any country, territory, city or area, or of its authorities, or concerning the delimitation of its frontiers or boundaries. </w:t>
      </w:r>
    </w:p>
    <w:p w14:paraId="14745FF0" w14:textId="77777777" w:rsidR="00AC091E" w:rsidRPr="0016020A" w:rsidRDefault="00AC091E" w:rsidP="00AC091E">
      <w:pPr>
        <w:autoSpaceDE w:val="0"/>
        <w:autoSpaceDN w:val="0"/>
        <w:spacing w:line="260" w:lineRule="exact"/>
        <w:jc w:val="left"/>
        <w:rPr>
          <w:rFonts w:cs="Segoe UI"/>
          <w:color w:val="000000"/>
          <w:sz w:val="20"/>
          <w:szCs w:val="20"/>
          <w:lang w:eastAsia="en-GB"/>
        </w:rPr>
      </w:pPr>
      <w:r w:rsidRPr="0016020A">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4F9146D7" w14:textId="0A909571" w:rsidR="00AC091E" w:rsidRPr="0016020A" w:rsidRDefault="00AC091E" w:rsidP="00AC091E">
      <w:pPr>
        <w:autoSpaceDE w:val="0"/>
        <w:autoSpaceDN w:val="0"/>
        <w:spacing w:line="260" w:lineRule="exact"/>
        <w:jc w:val="left"/>
        <w:rPr>
          <w:rFonts w:cs="Segoe UI"/>
          <w:color w:val="000000"/>
          <w:sz w:val="20"/>
          <w:szCs w:val="20"/>
          <w:lang w:eastAsia="en-GB"/>
        </w:rPr>
      </w:pPr>
      <w:r w:rsidRPr="0016020A">
        <w:rPr>
          <w:rFonts w:cs="Segoe UI"/>
          <w:color w:val="000000"/>
          <w:sz w:val="20"/>
          <w:szCs w:val="20"/>
          <w:lang w:eastAsia="en-GB"/>
        </w:rPr>
        <w:t xml:space="preserve">The </w:t>
      </w:r>
      <w:r w:rsidRPr="0016020A">
        <w:rPr>
          <w:rFonts w:cs="Segoe UI"/>
          <w:i/>
          <w:color w:val="000000"/>
          <w:sz w:val="20"/>
          <w:szCs w:val="20"/>
          <w:lang w:eastAsia="en-GB"/>
        </w:rPr>
        <w:t>Data Sources Guidance</w:t>
      </w:r>
      <w:r w:rsidRPr="0016020A">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C256DC">
        <w:rPr>
          <w:rFonts w:cs="Segoe UI"/>
          <w:color w:val="000000"/>
          <w:sz w:val="20"/>
          <w:szCs w:val="20"/>
          <w:lang w:eastAsia="en-GB"/>
        </w:rPr>
        <w:br/>
      </w:r>
    </w:p>
    <w:p w14:paraId="135778FB" w14:textId="77777777" w:rsidR="00AC091E" w:rsidRPr="0016020A" w:rsidRDefault="00AC091E" w:rsidP="00AC091E">
      <w:pPr>
        <w:autoSpaceDE w:val="0"/>
        <w:autoSpaceDN w:val="0"/>
        <w:rPr>
          <w:rFonts w:eastAsiaTheme="majorEastAsia" w:cstheme="minorHAnsi"/>
          <w:b/>
          <w:color w:val="0A59AB"/>
          <w:spacing w:val="4"/>
          <w:kern w:val="0"/>
          <w:sz w:val="20"/>
          <w:szCs w:val="30"/>
        </w:rPr>
      </w:pPr>
      <w:r w:rsidRPr="0016020A">
        <w:rPr>
          <w:rFonts w:cstheme="minorHAnsi"/>
          <w:noProof/>
          <w:lang w:eastAsia="en-GB"/>
        </w:rPr>
        <w:drawing>
          <wp:inline distT="0" distB="0" distL="0" distR="0" wp14:anchorId="1DC8E49E" wp14:editId="53A5613F">
            <wp:extent cx="758678" cy="515664"/>
            <wp:effectExtent l="0" t="0" r="3810" b="5080"/>
            <wp:docPr id="7" name="Picture 7"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Pr="0016020A">
        <w:rPr>
          <w:rFonts w:eastAsiaTheme="majorEastAsia" w:cstheme="minorHAnsi"/>
          <w:b/>
          <w:color w:val="0A59AB"/>
          <w:spacing w:val="4"/>
          <w:kern w:val="0"/>
          <w:sz w:val="20"/>
          <w:szCs w:val="30"/>
        </w:rPr>
        <w:br w:type="page"/>
      </w:r>
    </w:p>
    <w:p w14:paraId="4333C1A7" w14:textId="77777777" w:rsidR="00A705F2" w:rsidRPr="0016020A" w:rsidRDefault="00A705F2" w:rsidP="00925FD6">
      <w:pPr>
        <w:pStyle w:val="Heading2"/>
        <w:rPr>
          <w:rFonts w:eastAsiaTheme="majorEastAsia"/>
        </w:rPr>
      </w:pPr>
      <w:r w:rsidRPr="0016020A">
        <w:rPr>
          <w:rFonts w:eastAsiaTheme="majorEastAsia"/>
        </w:rPr>
        <w:lastRenderedPageBreak/>
        <w:t>10.20 Number of victims of intentional homicide per 100.000 population, by sex and age (SDG indicator 16.1.1) and disability.</w:t>
      </w:r>
    </w:p>
    <w:p w14:paraId="1183FBE8" w14:textId="77777777" w:rsidR="00A705F2" w:rsidRPr="0016020A" w:rsidRDefault="00A705F2" w:rsidP="00925FD6">
      <w:pPr>
        <w:pStyle w:val="Heading4"/>
        <w:rPr>
          <w:rFonts w:eastAsiaTheme="majorEastAsia"/>
        </w:rPr>
      </w:pPr>
      <w:r w:rsidRPr="0016020A">
        <w:rPr>
          <w:rFonts w:eastAsiaTheme="majorEastAsia"/>
        </w:rPr>
        <w:t>Level 2: Indicator could be produced with straightforward additions or modifications to existing data collection efforts.</w:t>
      </w:r>
    </w:p>
    <w:p w14:paraId="7F48B7E4" w14:textId="29FCEDF5" w:rsidR="00A705F2" w:rsidRPr="0016020A" w:rsidRDefault="00EF3916" w:rsidP="00350CA4">
      <w:pPr>
        <w:jc w:val="left"/>
        <w:rPr>
          <w:rStyle w:val="Hyperlink"/>
        </w:rPr>
      </w:pPr>
      <w:hyperlink r:id="rId14" w:history="1">
        <w:r w:rsidR="00A705F2" w:rsidRPr="0016020A">
          <w:rPr>
            <w:rStyle w:val="Hyperlink"/>
          </w:rPr>
          <w:t>Link to the metadata related to this SDG indicator</w:t>
        </w:r>
      </w:hyperlink>
    </w:p>
    <w:p w14:paraId="45BCE8F8" w14:textId="3E117B98" w:rsidR="004550D6" w:rsidRPr="0016020A" w:rsidRDefault="004550D6" w:rsidP="004550D6">
      <w:pPr>
        <w:jc w:val="left"/>
        <w:rPr>
          <w:lang w:eastAsia="en-GB"/>
        </w:rPr>
      </w:pPr>
      <w:r w:rsidRPr="0016020A">
        <w:rPr>
          <w:lang w:eastAsia="en-GB"/>
        </w:rPr>
        <w:t>According to the metadata:</w:t>
      </w:r>
    </w:p>
    <w:p w14:paraId="739248FC" w14:textId="7D83A09B" w:rsidR="00A705F2" w:rsidRPr="0016020A" w:rsidRDefault="004550D6" w:rsidP="0069451E">
      <w:pPr>
        <w:ind w:left="360"/>
        <w:jc w:val="left"/>
        <w:rPr>
          <w:color w:val="4A4A4A"/>
          <w:lang w:eastAsia="en-GB"/>
        </w:rPr>
      </w:pPr>
      <w:r w:rsidRPr="0016020A">
        <w:rPr>
          <w:lang w:eastAsia="en-GB"/>
        </w:rPr>
        <w:t>“</w:t>
      </w:r>
      <w:r w:rsidR="00A705F2" w:rsidRPr="0016020A">
        <w:rPr>
          <w:i/>
          <w:lang w:eastAsia="en-GB"/>
        </w:rPr>
        <w:t>Two separate sources exist at country level: a) criminal justice system; b) public health/civil registration. UNODC collects and publishes data from criminal justice systems through its long-lasting annual data collection mandated by the UN General Assembly (UN Crime Trends Survey, UN-CTS); The data collection through the UN-CTS is facilitated by a network of over 130 national Focal Points appointed by responsible authorities</w:t>
      </w:r>
      <w:r w:rsidRPr="0016020A">
        <w:rPr>
          <w:i/>
          <w:lang w:eastAsia="en-GB"/>
        </w:rPr>
        <w:t>.</w:t>
      </w:r>
    </w:p>
    <w:p w14:paraId="4E06DC9D" w14:textId="0B143A86" w:rsidR="00A705F2" w:rsidRPr="0016020A" w:rsidRDefault="004550D6" w:rsidP="00F61DB9">
      <w:pPr>
        <w:ind w:firstLine="360"/>
        <w:jc w:val="left"/>
        <w:rPr>
          <w:i/>
        </w:rPr>
      </w:pPr>
      <w:r w:rsidRPr="0016020A">
        <w:t xml:space="preserve">According to the </w:t>
      </w:r>
      <w:hyperlink r:id="rId15" w:history="1">
        <w:r w:rsidRPr="0016020A">
          <w:rPr>
            <w:rStyle w:val="Hyperlink"/>
            <w:i/>
          </w:rPr>
          <w:t>Methodological Annex to The Global Study on Homicide 2019</w:t>
        </w:r>
      </w:hyperlink>
      <w:r w:rsidRPr="0016020A">
        <w:t xml:space="preserve"> </w:t>
      </w:r>
    </w:p>
    <w:p w14:paraId="784A509E" w14:textId="14BFC978" w:rsidR="00A705F2" w:rsidRPr="0016020A" w:rsidRDefault="004550D6" w:rsidP="0069451E">
      <w:pPr>
        <w:ind w:left="360"/>
        <w:jc w:val="left"/>
      </w:pPr>
      <w:r w:rsidRPr="0016020A">
        <w:rPr>
          <w:i/>
        </w:rPr>
        <w:t>“</w:t>
      </w:r>
      <w:r w:rsidR="00A705F2" w:rsidRPr="0016020A">
        <w:rPr>
          <w:i/>
        </w:rPr>
        <w:t xml:space="preserve">The Global Study of Homicide describes the data sources: The primary source of Criminal Justice data used in the UNODC Homicide Statistics are official administrative data regularly collected by UNODC through the United Nations Survey of Crime Trends and Operations of Criminal Justice Systems (also called UN Crime Trends Survey or UN-CTS). Reference is usually made to police-recorded data on intentional homicides (rather than data provided by prosecution or court authorities). These data include the total number of homicide victims, as well as relevant </w:t>
      </w:r>
      <w:proofErr w:type="spellStart"/>
      <w:r w:rsidR="00A705F2" w:rsidRPr="0016020A">
        <w:rPr>
          <w:i/>
        </w:rPr>
        <w:t>disaggregations</w:t>
      </w:r>
      <w:proofErr w:type="spellEnd"/>
      <w:r w:rsidR="00A705F2" w:rsidRPr="0016020A">
        <w:rPr>
          <w:i/>
        </w:rPr>
        <w:t xml:space="preserve"> of homicide victims by sex and age, by killing mechanism (firearms, sharp objects and others) and by perpetrator/context of the crime (family/intimate partner, organized crime, gang, robbery, other, unknown context).</w:t>
      </w:r>
      <w:r w:rsidRPr="0016020A">
        <w:t>”</w:t>
      </w:r>
    </w:p>
    <w:p w14:paraId="67CCF748" w14:textId="77777777" w:rsidR="00A705F2" w:rsidRPr="0016020A" w:rsidRDefault="00A705F2" w:rsidP="00350CA4">
      <w:pPr>
        <w:jc w:val="left"/>
      </w:pPr>
      <w:r w:rsidRPr="0016020A">
        <w:t>In most cases, it would not be feasible for investigating police to determine, after death, whether the person had a disability. However, in countries with a national disability card or registry, once the victim’s identity is known, that could theoretically be cross-referenced, particularly in countries where individuals carry a unique national identification number.</w:t>
      </w:r>
    </w:p>
    <w:p w14:paraId="11554207" w14:textId="77777777" w:rsidR="00A705F2" w:rsidRPr="0016020A" w:rsidRDefault="00A705F2" w:rsidP="00350CA4">
      <w:pPr>
        <w:jc w:val="left"/>
        <w:rPr>
          <w:color w:val="000000" w:themeColor="text1"/>
          <w:shd w:val="clear" w:color="auto" w:fill="FFFFFF"/>
        </w:rPr>
      </w:pPr>
      <w:r w:rsidRPr="0016020A">
        <w:rPr>
          <w:color w:val="000000" w:themeColor="text1"/>
          <w:shd w:val="clear" w:color="auto" w:fill="FFFFFF"/>
        </w:rPr>
        <w:t>In the United States of America, the Federal Bureau of Investigation’s Uniform Crime Reporting Program collects supplementary homicide data that provide: the age, sex, race, and ethnicity of the murder victim and offender; the type of weapon used; the relationship of the victim to the offender; and the circumstances surrounding the incident. However, it does not record disability status. As only persons who cannot work because of a disability are certified as having a disability in government records in the United States of America, a large majority of persons with disabilities would be missed by this cross-referencing. In a country with a more comprehensive registry system, it may be possible to get more accurate statistics.</w:t>
      </w:r>
    </w:p>
    <w:p w14:paraId="0ED2B1B4" w14:textId="4C506AA4" w:rsidR="00A705F2" w:rsidRPr="0016020A" w:rsidRDefault="00A705F2" w:rsidP="008743F8">
      <w:pPr>
        <w:pStyle w:val="Heading2"/>
        <w:rPr>
          <w:rFonts w:eastAsiaTheme="majorEastAsia"/>
        </w:rPr>
      </w:pPr>
      <w:r w:rsidRPr="0016020A">
        <w:rPr>
          <w:rFonts w:eastAsiaTheme="majorEastAsia"/>
        </w:rPr>
        <w:lastRenderedPageBreak/>
        <w:t>10.21 Reported cases of arbitrary deprivation of life and death threats, disaggregated by sex, age and disability of the victims.</w:t>
      </w:r>
    </w:p>
    <w:p w14:paraId="1ED161F0" w14:textId="77777777" w:rsidR="00A705F2" w:rsidRPr="0016020A" w:rsidRDefault="00A705F2" w:rsidP="008743F8">
      <w:pPr>
        <w:pStyle w:val="Heading4"/>
        <w:rPr>
          <w:rFonts w:eastAsiaTheme="majorEastAsia"/>
        </w:rPr>
      </w:pPr>
      <w:r w:rsidRPr="0016020A">
        <w:rPr>
          <w:rFonts w:eastAsiaTheme="majorEastAsia"/>
        </w:rPr>
        <w:t>Level 2: Indicator can be produced with existing data but has not been reported on</w:t>
      </w:r>
    </w:p>
    <w:p w14:paraId="5E98CDD2" w14:textId="77777777" w:rsidR="00A705F2" w:rsidRPr="0016020A" w:rsidRDefault="00A705F2" w:rsidP="00350CA4">
      <w:pPr>
        <w:jc w:val="left"/>
      </w:pPr>
      <w:r w:rsidRPr="0016020A">
        <w:t>If these cases are reported as such to the police, then the indicator could be produced (provided that disability status were recorded as part of the intake procedure). This is done in South Africa, where the Police Service has a disability focal point that focuses on victims and perpetrators. When victims report to the police, they self-identify as having a disability. Upon self-identification, they are asked to choose which category of disability applies to them. Data are entered into the Crime Administration System. The same thing happens when people are imprisoned. South Africa is currently reviewing the possibility of using the Washington Group Short Set on Disability as part of their intake form, in addition to self-identification as having a disability.</w:t>
      </w:r>
    </w:p>
    <w:p w14:paraId="1824F198" w14:textId="77777777" w:rsidR="00A705F2" w:rsidRPr="0016020A" w:rsidRDefault="00A705F2" w:rsidP="00350CA4">
      <w:pPr>
        <w:jc w:val="left"/>
        <w:rPr>
          <w:color w:val="000000" w:themeColor="text1"/>
        </w:rPr>
      </w:pPr>
      <w:r w:rsidRPr="0016020A">
        <w:rPr>
          <w:color w:val="000000" w:themeColor="text1"/>
        </w:rPr>
        <w:t>This information could be asked about in a national disability survey but, given the frequency of such events, the sample size of a typical survey may not be adequate to generate an accurate estimate.</w:t>
      </w:r>
    </w:p>
    <w:p w14:paraId="43FB5603" w14:textId="7083AB95" w:rsidR="00A705F2" w:rsidRPr="0016020A" w:rsidRDefault="00A705F2" w:rsidP="00350CA4">
      <w:pPr>
        <w:jc w:val="left"/>
        <w:rPr>
          <w:color w:val="000000" w:themeColor="text1"/>
        </w:rPr>
      </w:pPr>
      <w:r w:rsidRPr="0016020A">
        <w:t xml:space="preserve">Human Rights Watch reports annually on key human rights issues in more than 90 countries, based on the investigative work of their staff and usually in close partnership with human rights activists and groups in the country in question. Disability is one of the focus areas. This report includes information about human rights violations affecting persons with disabilities. The 2019 report can be found at </w:t>
      </w:r>
      <w:hyperlink r:id="rId16" w:tooltip="https://www.hrw.org/world-report/2019" w:history="1">
        <w:r w:rsidR="00D03548" w:rsidRPr="0016020A">
          <w:rPr>
            <w:rStyle w:val="Hyperlink"/>
            <w:rFonts w:eastAsiaTheme="majorEastAsia" w:cstheme="minorHAnsi"/>
          </w:rPr>
          <w:t>Human Rights Watch</w:t>
        </w:r>
      </w:hyperlink>
      <w:r w:rsidRPr="0016020A">
        <w:rPr>
          <w:color w:val="000000" w:themeColor="text1"/>
        </w:rPr>
        <w:t>. While this report is not quantitative, and so does not easily lend itself to an indicator, it does provide helpful insight into this area.</w:t>
      </w:r>
    </w:p>
    <w:p w14:paraId="1C1F7859" w14:textId="507891BD" w:rsidR="00A705F2" w:rsidRPr="0016020A" w:rsidRDefault="00A705F2" w:rsidP="008743F8">
      <w:pPr>
        <w:pStyle w:val="Heading2"/>
        <w:rPr>
          <w:rFonts w:eastAsiaTheme="majorEastAsia"/>
        </w:rPr>
      </w:pPr>
      <w:r w:rsidRPr="0016020A">
        <w:rPr>
          <w:rFonts w:eastAsiaTheme="majorEastAsia"/>
        </w:rPr>
        <w:t>10.22 Number of verified cases of killing, kidnapping, enforced disappearance, arbitrary detention, and torture of journalists, associated media personnel, trade unionists and human rights advocates in the previous 12 months (SDG indicator 16.10.1), disaggregated by sex, age and disability.</w:t>
      </w:r>
    </w:p>
    <w:p w14:paraId="2D85C2DC" w14:textId="77777777" w:rsidR="00A705F2" w:rsidRPr="0016020A" w:rsidRDefault="00A705F2" w:rsidP="008743F8">
      <w:pPr>
        <w:pStyle w:val="Heading4"/>
        <w:rPr>
          <w:rFonts w:eastAsiaTheme="majorEastAsia"/>
        </w:rPr>
      </w:pPr>
      <w:r w:rsidRPr="0016020A">
        <w:rPr>
          <w:rFonts w:eastAsiaTheme="majorEastAsia"/>
        </w:rPr>
        <w:t>Level 2: Indicator could be produced with straightforward additions or modifications to existing data collection efforts.</w:t>
      </w:r>
    </w:p>
    <w:p w14:paraId="7FECB95C" w14:textId="0772867A" w:rsidR="00A705F2" w:rsidRPr="0016020A" w:rsidRDefault="00EF3916" w:rsidP="00350CA4">
      <w:pPr>
        <w:jc w:val="left"/>
      </w:pPr>
      <w:hyperlink r:id="rId17" w:history="1">
        <w:r w:rsidR="00A705F2" w:rsidRPr="0016020A">
          <w:rPr>
            <w:rStyle w:val="Hyperlink"/>
          </w:rPr>
          <w:t>Link to the metadata related to this SDG indicator</w:t>
        </w:r>
      </w:hyperlink>
    </w:p>
    <w:p w14:paraId="0550ABFF" w14:textId="77777777" w:rsidR="004550D6" w:rsidRPr="0016020A" w:rsidRDefault="004550D6" w:rsidP="00350CA4">
      <w:pPr>
        <w:jc w:val="left"/>
        <w:rPr>
          <w:rFonts w:cstheme="minorHAnsi"/>
        </w:rPr>
      </w:pPr>
      <w:r w:rsidRPr="0016020A">
        <w:rPr>
          <w:rFonts w:cstheme="minorHAnsi"/>
        </w:rPr>
        <w:t>According to the metadata:</w:t>
      </w:r>
    </w:p>
    <w:p w14:paraId="378FF46F" w14:textId="24EDBB0F" w:rsidR="00A705F2" w:rsidRPr="0016020A" w:rsidRDefault="004550D6" w:rsidP="0069451E">
      <w:pPr>
        <w:ind w:left="360"/>
        <w:jc w:val="left"/>
        <w:rPr>
          <w:rFonts w:cstheme="minorHAnsi"/>
          <w:i/>
        </w:rPr>
      </w:pPr>
      <w:r w:rsidRPr="0016020A">
        <w:rPr>
          <w:rFonts w:cstheme="minorHAnsi"/>
          <w:i/>
        </w:rPr>
        <w:t>“</w:t>
      </w:r>
      <w:r w:rsidR="00A705F2" w:rsidRPr="0016020A">
        <w:rPr>
          <w:rFonts w:cstheme="minorHAnsi"/>
          <w:i/>
        </w:rPr>
        <w:t>Data will be collected from global, regional and national mandated bodies, mechanisms and institutions that generate and maintain administrative data whether in aggregated form or at micro-level:</w:t>
      </w:r>
    </w:p>
    <w:p w14:paraId="2BF201F2" w14:textId="34045CF2" w:rsidR="0069451E" w:rsidRPr="0016020A" w:rsidRDefault="0069451E" w:rsidP="0069451E">
      <w:pPr>
        <w:pStyle w:val="ListParagraph"/>
        <w:widowControl w:val="0"/>
        <w:numPr>
          <w:ilvl w:val="0"/>
          <w:numId w:val="46"/>
        </w:numPr>
        <w:autoSpaceDE w:val="0"/>
        <w:autoSpaceDN w:val="0"/>
        <w:spacing w:before="0" w:after="0"/>
        <w:rPr>
          <w:rFonts w:eastAsiaTheme="minorEastAsia" w:cstheme="minorHAnsi"/>
          <w:b/>
          <w:bCs/>
          <w:i/>
        </w:rPr>
      </w:pPr>
      <w:r w:rsidRPr="0016020A">
        <w:rPr>
          <w:rFonts w:eastAsiaTheme="minorEastAsia" w:cstheme="minorHAnsi"/>
          <w:b/>
          <w:bCs/>
          <w:i/>
        </w:rPr>
        <w:t>Global</w:t>
      </w:r>
      <w:r w:rsidRPr="0016020A">
        <w:rPr>
          <w:rFonts w:eastAsiaTheme="minorEastAsia" w:cstheme="minorHAnsi"/>
          <w:b/>
          <w:bCs/>
          <w:i/>
          <w:spacing w:val="2"/>
        </w:rPr>
        <w:t xml:space="preserve"> </w:t>
      </w:r>
      <w:r w:rsidRPr="0016020A">
        <w:rPr>
          <w:rFonts w:eastAsiaTheme="minorEastAsia" w:cstheme="minorHAnsi"/>
          <w:b/>
          <w:bCs/>
          <w:i/>
        </w:rPr>
        <w:t>mechanisms</w:t>
      </w:r>
    </w:p>
    <w:p w14:paraId="48DA373D" w14:textId="48CAECFA" w:rsidR="00A705F2" w:rsidRPr="0016020A" w:rsidRDefault="00A705F2" w:rsidP="0069451E">
      <w:pPr>
        <w:pStyle w:val="ListParagraph"/>
        <w:widowControl w:val="0"/>
        <w:numPr>
          <w:ilvl w:val="1"/>
          <w:numId w:val="46"/>
        </w:numPr>
        <w:tabs>
          <w:tab w:val="left" w:pos="1760"/>
        </w:tabs>
        <w:autoSpaceDE w:val="0"/>
        <w:autoSpaceDN w:val="0"/>
        <w:spacing w:before="0" w:after="0"/>
        <w:rPr>
          <w:rFonts w:eastAsiaTheme="minorEastAsia" w:cstheme="minorHAnsi"/>
          <w:i/>
        </w:rPr>
      </w:pPr>
      <w:r w:rsidRPr="0016020A">
        <w:rPr>
          <w:rFonts w:eastAsiaTheme="minorEastAsia" w:cstheme="minorHAnsi"/>
          <w:i/>
          <w:spacing w:val="-3"/>
        </w:rPr>
        <w:t>OHCHR</w:t>
      </w:r>
    </w:p>
    <w:p w14:paraId="76860309" w14:textId="77777777" w:rsidR="00A705F2" w:rsidRPr="0016020A" w:rsidRDefault="00A705F2" w:rsidP="0069451E">
      <w:pPr>
        <w:pStyle w:val="ListParagraph"/>
        <w:widowControl w:val="0"/>
        <w:numPr>
          <w:ilvl w:val="2"/>
          <w:numId w:val="46"/>
        </w:numPr>
        <w:tabs>
          <w:tab w:val="left" w:pos="2480"/>
          <w:tab w:val="left" w:pos="2481"/>
        </w:tabs>
        <w:autoSpaceDE w:val="0"/>
        <w:autoSpaceDN w:val="0"/>
        <w:spacing w:before="0" w:after="0"/>
        <w:rPr>
          <w:rFonts w:eastAsiaTheme="minorEastAsia" w:cstheme="minorHAnsi"/>
          <w:i/>
        </w:rPr>
      </w:pPr>
      <w:r w:rsidRPr="0016020A">
        <w:rPr>
          <w:rFonts w:eastAsiaTheme="minorEastAsia" w:cstheme="minorHAnsi"/>
          <w:i/>
        </w:rPr>
        <w:t xml:space="preserve">Data from </w:t>
      </w:r>
      <w:r w:rsidRPr="0016020A">
        <w:rPr>
          <w:rFonts w:eastAsiaTheme="minorEastAsia" w:cstheme="minorHAnsi"/>
          <w:i/>
          <w:spacing w:val="-3"/>
        </w:rPr>
        <w:t xml:space="preserve">OHCHR </w:t>
      </w:r>
      <w:r w:rsidRPr="0016020A">
        <w:rPr>
          <w:rFonts w:eastAsiaTheme="minorEastAsia" w:cstheme="minorHAnsi"/>
          <w:i/>
        </w:rPr>
        <w:t>monitoring</w:t>
      </w:r>
      <w:r w:rsidRPr="0016020A">
        <w:rPr>
          <w:rFonts w:eastAsiaTheme="minorEastAsia" w:cstheme="minorHAnsi"/>
          <w:i/>
          <w:spacing w:val="-14"/>
        </w:rPr>
        <w:t xml:space="preserve"> </w:t>
      </w:r>
      <w:r w:rsidRPr="0016020A">
        <w:rPr>
          <w:rFonts w:eastAsiaTheme="minorEastAsia" w:cstheme="minorHAnsi"/>
          <w:i/>
        </w:rPr>
        <w:t>work</w:t>
      </w:r>
    </w:p>
    <w:p w14:paraId="0E2F7558" w14:textId="77777777" w:rsidR="00A705F2" w:rsidRPr="0016020A" w:rsidRDefault="00A705F2" w:rsidP="0069451E">
      <w:pPr>
        <w:pStyle w:val="ListParagraph"/>
        <w:widowControl w:val="0"/>
        <w:numPr>
          <w:ilvl w:val="2"/>
          <w:numId w:val="46"/>
        </w:numPr>
        <w:tabs>
          <w:tab w:val="left" w:pos="2480"/>
          <w:tab w:val="left" w:pos="2481"/>
        </w:tabs>
        <w:autoSpaceDE w:val="0"/>
        <w:autoSpaceDN w:val="0"/>
        <w:spacing w:before="11" w:after="0"/>
        <w:rPr>
          <w:rFonts w:eastAsiaTheme="minorEastAsia" w:cstheme="minorHAnsi"/>
          <w:i/>
        </w:rPr>
      </w:pPr>
      <w:r w:rsidRPr="0016020A">
        <w:rPr>
          <w:rFonts w:eastAsiaTheme="minorEastAsia" w:cstheme="minorHAnsi"/>
          <w:i/>
        </w:rPr>
        <w:t>Data from the work of the Special Procedures of the Human Rights</w:t>
      </w:r>
      <w:r w:rsidRPr="0016020A">
        <w:rPr>
          <w:rFonts w:eastAsiaTheme="minorEastAsia" w:cstheme="minorHAnsi"/>
          <w:i/>
          <w:spacing w:val="-20"/>
        </w:rPr>
        <w:t xml:space="preserve"> </w:t>
      </w:r>
      <w:r w:rsidRPr="0016020A">
        <w:rPr>
          <w:rFonts w:eastAsiaTheme="minorEastAsia" w:cstheme="minorHAnsi"/>
          <w:i/>
        </w:rPr>
        <w:t>Council</w:t>
      </w:r>
    </w:p>
    <w:p w14:paraId="4DB57B39" w14:textId="77777777" w:rsidR="00A705F2" w:rsidRPr="0016020A" w:rsidRDefault="00A705F2" w:rsidP="0069451E">
      <w:pPr>
        <w:pStyle w:val="ListParagraph"/>
        <w:widowControl w:val="0"/>
        <w:numPr>
          <w:ilvl w:val="2"/>
          <w:numId w:val="46"/>
        </w:numPr>
        <w:tabs>
          <w:tab w:val="left" w:pos="2480"/>
          <w:tab w:val="left" w:pos="2481"/>
        </w:tabs>
        <w:autoSpaceDE w:val="0"/>
        <w:autoSpaceDN w:val="0"/>
        <w:spacing w:before="0" w:after="0"/>
        <w:rPr>
          <w:rFonts w:eastAsiaTheme="minorEastAsia" w:cstheme="minorHAnsi"/>
          <w:i/>
        </w:rPr>
      </w:pPr>
      <w:r w:rsidRPr="0016020A">
        <w:rPr>
          <w:rFonts w:eastAsiaTheme="minorEastAsia" w:cstheme="minorHAnsi"/>
          <w:i/>
        </w:rPr>
        <w:lastRenderedPageBreak/>
        <w:t>Data from the Treaty Bodies reporting</w:t>
      </w:r>
      <w:r w:rsidRPr="0016020A">
        <w:rPr>
          <w:rFonts w:eastAsiaTheme="minorEastAsia" w:cstheme="minorHAnsi"/>
          <w:i/>
          <w:spacing w:val="-23"/>
        </w:rPr>
        <w:t xml:space="preserve"> </w:t>
      </w:r>
      <w:r w:rsidRPr="0016020A">
        <w:rPr>
          <w:rFonts w:eastAsiaTheme="minorEastAsia" w:cstheme="minorHAnsi"/>
          <w:i/>
        </w:rPr>
        <w:t>system</w:t>
      </w:r>
    </w:p>
    <w:p w14:paraId="464513C5" w14:textId="77777777" w:rsidR="00A705F2" w:rsidRPr="0016020A" w:rsidRDefault="00A705F2" w:rsidP="0069451E">
      <w:pPr>
        <w:pStyle w:val="ListParagraph"/>
        <w:widowControl w:val="0"/>
        <w:numPr>
          <w:ilvl w:val="2"/>
          <w:numId w:val="46"/>
        </w:numPr>
        <w:tabs>
          <w:tab w:val="left" w:pos="2480"/>
          <w:tab w:val="left" w:pos="2481"/>
        </w:tabs>
        <w:autoSpaceDE w:val="0"/>
        <w:autoSpaceDN w:val="0"/>
        <w:spacing w:before="0" w:after="0"/>
        <w:ind w:right="702"/>
        <w:rPr>
          <w:rFonts w:eastAsiaTheme="minorEastAsia" w:cstheme="minorHAnsi"/>
          <w:i/>
        </w:rPr>
      </w:pPr>
      <w:r w:rsidRPr="0016020A">
        <w:rPr>
          <w:rFonts w:eastAsiaTheme="minorEastAsia" w:cstheme="minorHAnsi"/>
          <w:i/>
        </w:rPr>
        <w:t xml:space="preserve">Press </w:t>
      </w:r>
      <w:r w:rsidRPr="0016020A">
        <w:rPr>
          <w:rFonts w:eastAsiaTheme="minorEastAsia" w:cstheme="minorHAnsi"/>
          <w:i/>
          <w:spacing w:val="1"/>
        </w:rPr>
        <w:t xml:space="preserve">Releases </w:t>
      </w:r>
      <w:r w:rsidRPr="0016020A">
        <w:rPr>
          <w:rFonts w:eastAsiaTheme="minorEastAsia" w:cstheme="minorHAnsi"/>
          <w:i/>
        </w:rPr>
        <w:t xml:space="preserve">and Statements of the </w:t>
      </w:r>
      <w:r w:rsidRPr="0016020A">
        <w:rPr>
          <w:rFonts w:eastAsiaTheme="minorEastAsia" w:cstheme="minorHAnsi"/>
          <w:i/>
          <w:spacing w:val="-5"/>
        </w:rPr>
        <w:t xml:space="preserve">UN </w:t>
      </w:r>
      <w:r w:rsidRPr="0016020A">
        <w:rPr>
          <w:rFonts w:eastAsiaTheme="minorEastAsia" w:cstheme="minorHAnsi"/>
          <w:i/>
        </w:rPr>
        <w:t>High Commissioner for</w:t>
      </w:r>
      <w:r w:rsidRPr="0016020A">
        <w:rPr>
          <w:rFonts w:eastAsiaTheme="minorEastAsia" w:cstheme="minorHAnsi"/>
          <w:i/>
          <w:spacing w:val="-44"/>
        </w:rPr>
        <w:t xml:space="preserve"> </w:t>
      </w:r>
      <w:r w:rsidRPr="0016020A">
        <w:rPr>
          <w:rFonts w:eastAsiaTheme="minorEastAsia" w:cstheme="minorHAnsi"/>
          <w:i/>
        </w:rPr>
        <w:t>Human Rights</w:t>
      </w:r>
    </w:p>
    <w:p w14:paraId="63145324" w14:textId="77777777" w:rsidR="00A705F2" w:rsidRPr="0016020A" w:rsidRDefault="00A705F2" w:rsidP="0069451E">
      <w:pPr>
        <w:pStyle w:val="ListParagraph"/>
        <w:widowControl w:val="0"/>
        <w:numPr>
          <w:ilvl w:val="2"/>
          <w:numId w:val="46"/>
        </w:numPr>
        <w:tabs>
          <w:tab w:val="left" w:pos="2480"/>
          <w:tab w:val="left" w:pos="2481"/>
        </w:tabs>
        <w:autoSpaceDE w:val="0"/>
        <w:autoSpaceDN w:val="0"/>
        <w:spacing w:before="0" w:after="0"/>
        <w:ind w:right="502"/>
        <w:rPr>
          <w:rFonts w:eastAsiaTheme="minorEastAsia" w:cstheme="minorHAnsi"/>
          <w:i/>
        </w:rPr>
      </w:pPr>
      <w:r w:rsidRPr="0016020A">
        <w:rPr>
          <w:rFonts w:eastAsiaTheme="minorEastAsia" w:cstheme="minorHAnsi"/>
          <w:i/>
        </w:rPr>
        <w:t xml:space="preserve">Other reports and publications, such as the </w:t>
      </w:r>
      <w:r w:rsidRPr="0016020A">
        <w:rPr>
          <w:rFonts w:eastAsiaTheme="minorEastAsia" w:cstheme="minorHAnsi"/>
          <w:i/>
          <w:spacing w:val="-5"/>
        </w:rPr>
        <w:t xml:space="preserve">UN </w:t>
      </w:r>
      <w:r w:rsidRPr="0016020A">
        <w:rPr>
          <w:rFonts w:eastAsiaTheme="minorEastAsia" w:cstheme="minorHAnsi"/>
          <w:i/>
        </w:rPr>
        <w:t>Secretary General’s Report on</w:t>
      </w:r>
      <w:r w:rsidRPr="0016020A">
        <w:rPr>
          <w:rFonts w:eastAsiaTheme="minorEastAsia" w:cstheme="minorHAnsi"/>
          <w:i/>
          <w:spacing w:val="-5"/>
        </w:rPr>
        <w:t xml:space="preserve"> </w:t>
      </w:r>
      <w:r w:rsidRPr="0016020A">
        <w:rPr>
          <w:rFonts w:eastAsiaTheme="minorEastAsia" w:cstheme="minorHAnsi"/>
          <w:i/>
        </w:rPr>
        <w:t>Reprisals</w:t>
      </w:r>
    </w:p>
    <w:p w14:paraId="1DC67F78" w14:textId="77777777" w:rsidR="00A705F2" w:rsidRPr="0016020A" w:rsidRDefault="00A705F2" w:rsidP="0069451E">
      <w:pPr>
        <w:pStyle w:val="ListParagraph"/>
        <w:widowControl w:val="0"/>
        <w:numPr>
          <w:ilvl w:val="2"/>
          <w:numId w:val="46"/>
        </w:numPr>
        <w:tabs>
          <w:tab w:val="left" w:pos="2480"/>
          <w:tab w:val="left" w:pos="2481"/>
        </w:tabs>
        <w:autoSpaceDE w:val="0"/>
        <w:autoSpaceDN w:val="0"/>
        <w:spacing w:before="0" w:after="0"/>
        <w:rPr>
          <w:rFonts w:eastAsiaTheme="minorEastAsia" w:cstheme="minorHAnsi"/>
          <w:i/>
        </w:rPr>
      </w:pPr>
      <w:r w:rsidRPr="0016020A">
        <w:rPr>
          <w:rFonts w:eastAsiaTheme="minorEastAsia" w:cstheme="minorHAnsi"/>
          <w:i/>
        </w:rPr>
        <w:t>Other mandated reports and</w:t>
      </w:r>
      <w:r w:rsidRPr="0016020A">
        <w:rPr>
          <w:rFonts w:eastAsiaTheme="minorEastAsia" w:cstheme="minorHAnsi"/>
          <w:i/>
          <w:spacing w:val="-25"/>
        </w:rPr>
        <w:t xml:space="preserve"> </w:t>
      </w:r>
      <w:r w:rsidRPr="0016020A">
        <w:rPr>
          <w:rFonts w:eastAsiaTheme="minorEastAsia" w:cstheme="minorHAnsi"/>
          <w:i/>
        </w:rPr>
        <w:t>publications</w:t>
      </w:r>
    </w:p>
    <w:p w14:paraId="6314EDF1" w14:textId="77777777" w:rsidR="00A705F2" w:rsidRPr="0016020A" w:rsidRDefault="00A705F2" w:rsidP="0069451E">
      <w:pPr>
        <w:pStyle w:val="ListParagraph"/>
        <w:widowControl w:val="0"/>
        <w:numPr>
          <w:ilvl w:val="1"/>
          <w:numId w:val="46"/>
        </w:numPr>
        <w:tabs>
          <w:tab w:val="left" w:pos="1760"/>
        </w:tabs>
        <w:autoSpaceDE w:val="0"/>
        <w:autoSpaceDN w:val="0"/>
        <w:spacing w:before="0" w:after="0"/>
        <w:rPr>
          <w:rFonts w:eastAsiaTheme="minorEastAsia" w:cstheme="minorHAnsi"/>
          <w:i/>
        </w:rPr>
      </w:pPr>
      <w:r w:rsidRPr="0016020A">
        <w:rPr>
          <w:rFonts w:eastAsiaTheme="minorEastAsia" w:cstheme="minorHAnsi"/>
          <w:i/>
          <w:spacing w:val="-3"/>
        </w:rPr>
        <w:t>UNESCO</w:t>
      </w:r>
    </w:p>
    <w:p w14:paraId="34F91E1A" w14:textId="77777777" w:rsidR="00A705F2" w:rsidRPr="0016020A" w:rsidRDefault="00A705F2" w:rsidP="0069451E">
      <w:pPr>
        <w:pStyle w:val="ListParagraph"/>
        <w:widowControl w:val="0"/>
        <w:numPr>
          <w:ilvl w:val="2"/>
          <w:numId w:val="46"/>
        </w:numPr>
        <w:tabs>
          <w:tab w:val="left" w:pos="2480"/>
          <w:tab w:val="left" w:pos="2481"/>
        </w:tabs>
        <w:autoSpaceDE w:val="0"/>
        <w:autoSpaceDN w:val="0"/>
        <w:spacing w:before="0" w:after="0"/>
        <w:rPr>
          <w:rFonts w:eastAsiaTheme="minorEastAsia" w:cstheme="minorHAnsi"/>
          <w:i/>
        </w:rPr>
      </w:pPr>
      <w:r w:rsidRPr="0016020A">
        <w:rPr>
          <w:rFonts w:eastAsiaTheme="minorEastAsia" w:cstheme="minorHAnsi"/>
          <w:i/>
        </w:rPr>
        <w:t>Journalists</w:t>
      </w:r>
      <w:r w:rsidRPr="0016020A">
        <w:rPr>
          <w:rFonts w:eastAsiaTheme="minorEastAsia" w:cstheme="minorHAnsi"/>
          <w:i/>
          <w:spacing w:val="-20"/>
        </w:rPr>
        <w:t xml:space="preserve"> </w:t>
      </w:r>
      <w:r w:rsidRPr="0016020A">
        <w:rPr>
          <w:rFonts w:eastAsiaTheme="minorEastAsia" w:cstheme="minorHAnsi"/>
          <w:i/>
          <w:spacing w:val="2"/>
        </w:rPr>
        <w:t>Killings</w:t>
      </w:r>
      <w:r w:rsidRPr="0016020A">
        <w:rPr>
          <w:rFonts w:eastAsiaTheme="minorEastAsia" w:cstheme="minorHAnsi"/>
          <w:i/>
          <w:spacing w:val="-20"/>
        </w:rPr>
        <w:t xml:space="preserve"> </w:t>
      </w:r>
      <w:r w:rsidRPr="0016020A">
        <w:rPr>
          <w:rFonts w:eastAsiaTheme="minorEastAsia" w:cstheme="minorHAnsi"/>
          <w:i/>
        </w:rPr>
        <w:t>Condemned</w:t>
      </w:r>
      <w:r w:rsidRPr="0016020A">
        <w:rPr>
          <w:rFonts w:eastAsiaTheme="minorEastAsia" w:cstheme="minorHAnsi"/>
          <w:i/>
          <w:spacing w:val="-20"/>
        </w:rPr>
        <w:t xml:space="preserve"> </w:t>
      </w:r>
      <w:r w:rsidRPr="0016020A">
        <w:rPr>
          <w:rFonts w:eastAsiaTheme="minorEastAsia" w:cstheme="minorHAnsi"/>
          <w:i/>
        </w:rPr>
        <w:t>by</w:t>
      </w:r>
      <w:r w:rsidRPr="0016020A">
        <w:rPr>
          <w:rFonts w:eastAsiaTheme="minorEastAsia" w:cstheme="minorHAnsi"/>
          <w:i/>
          <w:spacing w:val="-19"/>
        </w:rPr>
        <w:t xml:space="preserve"> </w:t>
      </w:r>
      <w:r w:rsidRPr="0016020A">
        <w:rPr>
          <w:rFonts w:eastAsiaTheme="minorEastAsia" w:cstheme="minorHAnsi"/>
          <w:i/>
        </w:rPr>
        <w:t>the</w:t>
      </w:r>
      <w:r w:rsidRPr="0016020A">
        <w:rPr>
          <w:rFonts w:eastAsiaTheme="minorEastAsia" w:cstheme="minorHAnsi"/>
          <w:i/>
          <w:spacing w:val="-14"/>
        </w:rPr>
        <w:t xml:space="preserve"> </w:t>
      </w:r>
      <w:r w:rsidRPr="0016020A">
        <w:rPr>
          <w:rFonts w:eastAsiaTheme="minorEastAsia" w:cstheme="minorHAnsi"/>
          <w:i/>
          <w:spacing w:val="-3"/>
        </w:rPr>
        <w:t>UNESCO</w:t>
      </w:r>
      <w:r w:rsidRPr="0016020A">
        <w:rPr>
          <w:rFonts w:eastAsiaTheme="minorEastAsia" w:cstheme="minorHAnsi"/>
          <w:i/>
          <w:spacing w:val="10"/>
        </w:rPr>
        <w:t xml:space="preserve"> </w:t>
      </w:r>
      <w:r w:rsidRPr="0016020A">
        <w:rPr>
          <w:rFonts w:eastAsiaTheme="minorEastAsia" w:cstheme="minorHAnsi"/>
          <w:i/>
        </w:rPr>
        <w:t>Director</w:t>
      </w:r>
      <w:r w:rsidRPr="0016020A">
        <w:rPr>
          <w:rFonts w:eastAsiaTheme="minorEastAsia" w:cstheme="minorHAnsi"/>
          <w:i/>
          <w:spacing w:val="-10"/>
        </w:rPr>
        <w:t xml:space="preserve"> </w:t>
      </w:r>
      <w:r w:rsidRPr="0016020A">
        <w:rPr>
          <w:rFonts w:eastAsiaTheme="minorEastAsia" w:cstheme="minorHAnsi"/>
          <w:i/>
        </w:rPr>
        <w:t>General</w:t>
      </w:r>
    </w:p>
    <w:p w14:paraId="5404A655" w14:textId="77777777" w:rsidR="00A705F2" w:rsidRPr="0016020A" w:rsidRDefault="00A705F2" w:rsidP="0069451E">
      <w:pPr>
        <w:pStyle w:val="ListParagraph"/>
        <w:widowControl w:val="0"/>
        <w:numPr>
          <w:ilvl w:val="2"/>
          <w:numId w:val="46"/>
        </w:numPr>
        <w:tabs>
          <w:tab w:val="left" w:pos="2480"/>
          <w:tab w:val="left" w:pos="2481"/>
        </w:tabs>
        <w:autoSpaceDE w:val="0"/>
        <w:autoSpaceDN w:val="0"/>
        <w:spacing w:before="0" w:after="0"/>
        <w:rPr>
          <w:rFonts w:eastAsiaTheme="minorEastAsia" w:cstheme="minorHAnsi"/>
          <w:i/>
        </w:rPr>
      </w:pPr>
      <w:r w:rsidRPr="0016020A">
        <w:rPr>
          <w:rFonts w:eastAsiaTheme="minorEastAsia" w:cstheme="minorHAnsi"/>
          <w:i/>
        </w:rPr>
        <w:t>Other mandated reports and</w:t>
      </w:r>
      <w:r w:rsidRPr="0016020A">
        <w:rPr>
          <w:rFonts w:eastAsiaTheme="minorEastAsia" w:cstheme="minorHAnsi"/>
          <w:i/>
          <w:spacing w:val="-19"/>
        </w:rPr>
        <w:t xml:space="preserve"> </w:t>
      </w:r>
      <w:r w:rsidRPr="0016020A">
        <w:rPr>
          <w:rFonts w:eastAsiaTheme="minorEastAsia" w:cstheme="minorHAnsi"/>
          <w:i/>
        </w:rPr>
        <w:t>publications</w:t>
      </w:r>
    </w:p>
    <w:p w14:paraId="516DF161" w14:textId="77777777" w:rsidR="00A705F2" w:rsidRPr="0016020A" w:rsidRDefault="00A705F2" w:rsidP="0069451E">
      <w:pPr>
        <w:pStyle w:val="ListParagraph"/>
        <w:widowControl w:val="0"/>
        <w:numPr>
          <w:ilvl w:val="1"/>
          <w:numId w:val="46"/>
        </w:numPr>
        <w:tabs>
          <w:tab w:val="left" w:pos="1760"/>
        </w:tabs>
        <w:autoSpaceDE w:val="0"/>
        <w:autoSpaceDN w:val="0"/>
        <w:spacing w:before="11" w:after="0"/>
        <w:rPr>
          <w:rFonts w:eastAsiaTheme="minorEastAsia" w:cstheme="minorHAnsi"/>
          <w:i/>
        </w:rPr>
      </w:pPr>
      <w:r w:rsidRPr="0016020A">
        <w:rPr>
          <w:rFonts w:eastAsiaTheme="minorEastAsia" w:cstheme="minorHAnsi"/>
          <w:i/>
          <w:spacing w:val="-1"/>
        </w:rPr>
        <w:t>ILO</w:t>
      </w:r>
    </w:p>
    <w:p w14:paraId="01D202AA" w14:textId="77777777" w:rsidR="00A705F2" w:rsidRPr="0016020A" w:rsidRDefault="00A705F2" w:rsidP="0069451E">
      <w:pPr>
        <w:widowControl w:val="0"/>
        <w:autoSpaceDE w:val="0"/>
        <w:autoSpaceDN w:val="0"/>
        <w:spacing w:before="11" w:after="0"/>
        <w:ind w:left="720" w:hanging="360"/>
        <w:rPr>
          <w:rFonts w:cstheme="minorHAnsi"/>
          <w:i/>
        </w:rPr>
      </w:pPr>
      <w:r w:rsidRPr="0016020A">
        <w:rPr>
          <w:rFonts w:cstheme="minorHAnsi"/>
          <w:i/>
        </w:rPr>
        <w:t>Other UN agencies or entities producing relevant reports</w:t>
      </w:r>
    </w:p>
    <w:p w14:paraId="70BCE0DD" w14:textId="77777777" w:rsidR="00A705F2" w:rsidRPr="0016020A" w:rsidRDefault="00A705F2" w:rsidP="0069451E">
      <w:pPr>
        <w:pStyle w:val="ListParagraph"/>
        <w:widowControl w:val="0"/>
        <w:numPr>
          <w:ilvl w:val="0"/>
          <w:numId w:val="46"/>
        </w:numPr>
        <w:autoSpaceDE w:val="0"/>
        <w:autoSpaceDN w:val="0"/>
        <w:spacing w:before="0" w:after="0"/>
        <w:rPr>
          <w:rFonts w:eastAsiaTheme="minorEastAsia" w:cstheme="minorHAnsi"/>
          <w:b/>
          <w:bCs/>
          <w:i/>
        </w:rPr>
      </w:pPr>
      <w:r w:rsidRPr="0016020A">
        <w:rPr>
          <w:rFonts w:eastAsiaTheme="minorEastAsia" w:cstheme="minorHAnsi"/>
          <w:b/>
          <w:bCs/>
          <w:i/>
        </w:rPr>
        <w:t>Regional</w:t>
      </w:r>
      <w:r w:rsidRPr="0016020A">
        <w:rPr>
          <w:rFonts w:eastAsiaTheme="minorEastAsia" w:cstheme="minorHAnsi"/>
          <w:b/>
          <w:bCs/>
          <w:i/>
          <w:spacing w:val="5"/>
        </w:rPr>
        <w:t xml:space="preserve"> </w:t>
      </w:r>
      <w:r w:rsidRPr="0016020A">
        <w:rPr>
          <w:rFonts w:eastAsiaTheme="minorEastAsia" w:cstheme="minorHAnsi"/>
          <w:b/>
          <w:bCs/>
          <w:i/>
        </w:rPr>
        <w:t>mechanisms</w:t>
      </w:r>
    </w:p>
    <w:p w14:paraId="190B6577" w14:textId="77777777" w:rsidR="00A705F2" w:rsidRPr="0016020A" w:rsidRDefault="00A705F2" w:rsidP="0069451E">
      <w:pPr>
        <w:pStyle w:val="ListParagraph"/>
        <w:widowControl w:val="0"/>
        <w:numPr>
          <w:ilvl w:val="0"/>
          <w:numId w:val="46"/>
        </w:numPr>
        <w:autoSpaceDE w:val="0"/>
        <w:autoSpaceDN w:val="0"/>
        <w:spacing w:before="0" w:after="0"/>
        <w:rPr>
          <w:rFonts w:eastAsiaTheme="minorEastAsia" w:cstheme="minorHAnsi"/>
          <w:b/>
          <w:bCs/>
          <w:i/>
        </w:rPr>
      </w:pPr>
      <w:r w:rsidRPr="0016020A">
        <w:rPr>
          <w:rFonts w:eastAsiaTheme="minorEastAsia" w:cstheme="minorHAnsi"/>
          <w:b/>
          <w:bCs/>
          <w:i/>
        </w:rPr>
        <w:t>National</w:t>
      </w:r>
      <w:r w:rsidRPr="0016020A">
        <w:rPr>
          <w:rFonts w:eastAsiaTheme="minorEastAsia" w:cstheme="minorHAnsi"/>
          <w:b/>
          <w:bCs/>
          <w:i/>
          <w:spacing w:val="5"/>
        </w:rPr>
        <w:t xml:space="preserve"> </w:t>
      </w:r>
      <w:r w:rsidRPr="0016020A">
        <w:rPr>
          <w:rFonts w:eastAsiaTheme="minorEastAsia" w:cstheme="minorHAnsi"/>
          <w:b/>
          <w:bCs/>
          <w:i/>
        </w:rPr>
        <w:t>mechanisms</w:t>
      </w:r>
    </w:p>
    <w:p w14:paraId="65405547" w14:textId="77777777" w:rsidR="00A705F2" w:rsidRPr="0016020A" w:rsidRDefault="00A705F2" w:rsidP="0069451E">
      <w:pPr>
        <w:pStyle w:val="ListParagraph"/>
        <w:widowControl w:val="0"/>
        <w:numPr>
          <w:ilvl w:val="1"/>
          <w:numId w:val="46"/>
        </w:numPr>
        <w:tabs>
          <w:tab w:val="left" w:pos="1760"/>
        </w:tabs>
        <w:autoSpaceDE w:val="0"/>
        <w:autoSpaceDN w:val="0"/>
        <w:spacing w:before="0" w:after="0"/>
        <w:rPr>
          <w:rFonts w:eastAsiaTheme="minorEastAsia" w:cstheme="minorHAnsi"/>
          <w:i/>
        </w:rPr>
      </w:pPr>
      <w:r w:rsidRPr="0016020A">
        <w:rPr>
          <w:rFonts w:eastAsiaTheme="minorEastAsia" w:cstheme="minorHAnsi"/>
          <w:i/>
        </w:rPr>
        <w:t>National Human Rights</w:t>
      </w:r>
      <w:r w:rsidRPr="0016020A">
        <w:rPr>
          <w:rFonts w:eastAsiaTheme="minorEastAsia" w:cstheme="minorHAnsi"/>
          <w:i/>
          <w:spacing w:val="-8"/>
        </w:rPr>
        <w:t xml:space="preserve"> </w:t>
      </w:r>
      <w:r w:rsidRPr="0016020A">
        <w:rPr>
          <w:rFonts w:eastAsiaTheme="minorEastAsia" w:cstheme="minorHAnsi"/>
          <w:i/>
        </w:rPr>
        <w:t>Institutions</w:t>
      </w:r>
    </w:p>
    <w:p w14:paraId="701476D5" w14:textId="77777777" w:rsidR="00A705F2" w:rsidRPr="0016020A" w:rsidRDefault="00A705F2" w:rsidP="0069451E">
      <w:pPr>
        <w:pStyle w:val="ListParagraph"/>
        <w:widowControl w:val="0"/>
        <w:numPr>
          <w:ilvl w:val="1"/>
          <w:numId w:val="46"/>
        </w:numPr>
        <w:tabs>
          <w:tab w:val="left" w:pos="1760"/>
        </w:tabs>
        <w:autoSpaceDE w:val="0"/>
        <w:autoSpaceDN w:val="0"/>
        <w:spacing w:before="12" w:after="0"/>
        <w:ind w:right="719"/>
        <w:rPr>
          <w:rFonts w:eastAsiaTheme="minorEastAsia" w:cstheme="minorHAnsi"/>
          <w:i/>
        </w:rPr>
      </w:pPr>
      <w:r w:rsidRPr="0016020A">
        <w:rPr>
          <w:rFonts w:eastAsiaTheme="minorEastAsia" w:cstheme="minorHAnsi"/>
          <w:i/>
        </w:rPr>
        <w:t>National monitoring and protection mechanisms for journalists, trade unionists and/or human rights</w:t>
      </w:r>
      <w:r w:rsidRPr="0016020A">
        <w:rPr>
          <w:rFonts w:eastAsiaTheme="minorEastAsia" w:cstheme="minorHAnsi"/>
          <w:i/>
          <w:spacing w:val="-21"/>
        </w:rPr>
        <w:t xml:space="preserve"> </w:t>
      </w:r>
      <w:r w:rsidRPr="0016020A">
        <w:rPr>
          <w:rFonts w:eastAsiaTheme="minorEastAsia" w:cstheme="minorHAnsi"/>
          <w:i/>
          <w:spacing w:val="1"/>
        </w:rPr>
        <w:t>defenders</w:t>
      </w:r>
    </w:p>
    <w:p w14:paraId="5C1FB4C0" w14:textId="77777777" w:rsidR="00A705F2" w:rsidRPr="0016020A" w:rsidRDefault="00A705F2" w:rsidP="0069451E">
      <w:pPr>
        <w:pStyle w:val="ListParagraph"/>
        <w:widowControl w:val="0"/>
        <w:numPr>
          <w:ilvl w:val="1"/>
          <w:numId w:val="46"/>
        </w:numPr>
        <w:tabs>
          <w:tab w:val="left" w:pos="1760"/>
        </w:tabs>
        <w:autoSpaceDE w:val="0"/>
        <w:autoSpaceDN w:val="0"/>
        <w:spacing w:before="0" w:after="0"/>
        <w:rPr>
          <w:rFonts w:eastAsiaTheme="minorEastAsia" w:cstheme="minorHAnsi"/>
          <w:i/>
        </w:rPr>
      </w:pPr>
      <w:r w:rsidRPr="0016020A">
        <w:rPr>
          <w:rFonts w:eastAsiaTheme="minorEastAsia" w:cstheme="minorHAnsi"/>
          <w:i/>
        </w:rPr>
        <w:t>Justice</w:t>
      </w:r>
      <w:r w:rsidRPr="0016020A">
        <w:rPr>
          <w:rFonts w:eastAsiaTheme="minorEastAsia" w:cstheme="minorHAnsi"/>
          <w:i/>
          <w:spacing w:val="-14"/>
        </w:rPr>
        <w:t xml:space="preserve"> </w:t>
      </w:r>
      <w:r w:rsidRPr="0016020A">
        <w:rPr>
          <w:rFonts w:eastAsiaTheme="minorEastAsia" w:cstheme="minorHAnsi"/>
          <w:i/>
        </w:rPr>
        <w:t>sector</w:t>
      </w:r>
      <w:r w:rsidRPr="0016020A">
        <w:rPr>
          <w:rFonts w:eastAsiaTheme="minorEastAsia" w:cstheme="minorHAnsi"/>
          <w:i/>
          <w:spacing w:val="-10"/>
        </w:rPr>
        <w:t xml:space="preserve"> </w:t>
      </w:r>
      <w:r w:rsidRPr="0016020A">
        <w:rPr>
          <w:rFonts w:eastAsiaTheme="minorEastAsia" w:cstheme="minorHAnsi"/>
          <w:i/>
        </w:rPr>
        <w:t>institutions</w:t>
      </w:r>
      <w:r w:rsidRPr="0016020A">
        <w:rPr>
          <w:rFonts w:eastAsiaTheme="minorEastAsia" w:cstheme="minorHAnsi"/>
          <w:i/>
          <w:spacing w:val="-20"/>
        </w:rPr>
        <w:t xml:space="preserve"> </w:t>
      </w:r>
      <w:r w:rsidRPr="0016020A">
        <w:rPr>
          <w:rFonts w:eastAsiaTheme="minorEastAsia" w:cstheme="minorHAnsi"/>
          <w:i/>
        </w:rPr>
        <w:t>such</w:t>
      </w:r>
      <w:r w:rsidRPr="0016020A">
        <w:rPr>
          <w:rFonts w:eastAsiaTheme="minorEastAsia" w:cstheme="minorHAnsi"/>
          <w:i/>
          <w:spacing w:val="-4"/>
        </w:rPr>
        <w:t xml:space="preserve"> </w:t>
      </w:r>
      <w:r w:rsidRPr="0016020A">
        <w:rPr>
          <w:rFonts w:eastAsiaTheme="minorEastAsia" w:cstheme="minorHAnsi"/>
          <w:i/>
        </w:rPr>
        <w:t>as</w:t>
      </w:r>
      <w:r w:rsidRPr="0016020A">
        <w:rPr>
          <w:rFonts w:eastAsiaTheme="minorEastAsia" w:cstheme="minorHAnsi"/>
          <w:i/>
          <w:spacing w:val="6"/>
        </w:rPr>
        <w:t xml:space="preserve"> </w:t>
      </w:r>
      <w:r w:rsidRPr="0016020A">
        <w:rPr>
          <w:rFonts w:eastAsiaTheme="minorEastAsia" w:cstheme="minorHAnsi"/>
          <w:i/>
        </w:rPr>
        <w:t>Ministries</w:t>
      </w:r>
      <w:r w:rsidRPr="0016020A">
        <w:rPr>
          <w:rFonts w:eastAsiaTheme="minorEastAsia" w:cstheme="minorHAnsi"/>
          <w:i/>
          <w:spacing w:val="-20"/>
        </w:rPr>
        <w:t xml:space="preserve"> </w:t>
      </w:r>
      <w:r w:rsidRPr="0016020A">
        <w:rPr>
          <w:rFonts w:eastAsiaTheme="minorEastAsia" w:cstheme="minorHAnsi"/>
          <w:i/>
        </w:rPr>
        <w:t>of Justice,</w:t>
      </w:r>
      <w:r w:rsidRPr="0016020A">
        <w:rPr>
          <w:rFonts w:eastAsiaTheme="minorEastAsia" w:cstheme="minorHAnsi"/>
          <w:i/>
          <w:spacing w:val="-18"/>
        </w:rPr>
        <w:t xml:space="preserve"> </w:t>
      </w:r>
      <w:r w:rsidRPr="0016020A">
        <w:rPr>
          <w:rFonts w:eastAsiaTheme="minorEastAsia" w:cstheme="minorHAnsi"/>
          <w:i/>
        </w:rPr>
        <w:t>Interior</w:t>
      </w:r>
      <w:r w:rsidRPr="0016020A">
        <w:rPr>
          <w:rFonts w:eastAsiaTheme="minorEastAsia" w:cstheme="minorHAnsi"/>
          <w:i/>
          <w:spacing w:val="-27"/>
        </w:rPr>
        <w:t xml:space="preserve"> </w:t>
      </w:r>
      <w:r w:rsidRPr="0016020A">
        <w:rPr>
          <w:rFonts w:eastAsiaTheme="minorEastAsia" w:cstheme="minorHAnsi"/>
          <w:i/>
          <w:spacing w:val="1"/>
        </w:rPr>
        <w:t>etc</w:t>
      </w:r>
    </w:p>
    <w:p w14:paraId="47660ED4" w14:textId="77777777" w:rsidR="00A705F2" w:rsidRPr="0016020A" w:rsidRDefault="00A705F2" w:rsidP="0069451E">
      <w:pPr>
        <w:pStyle w:val="ListParagraph"/>
        <w:widowControl w:val="0"/>
        <w:numPr>
          <w:ilvl w:val="1"/>
          <w:numId w:val="46"/>
        </w:numPr>
        <w:tabs>
          <w:tab w:val="left" w:pos="1760"/>
        </w:tabs>
        <w:autoSpaceDE w:val="0"/>
        <w:autoSpaceDN w:val="0"/>
        <w:spacing w:before="0" w:after="0"/>
        <w:ind w:right="703"/>
        <w:rPr>
          <w:rFonts w:eastAsiaTheme="minorEastAsia" w:cstheme="minorHAnsi"/>
          <w:i/>
        </w:rPr>
      </w:pPr>
      <w:r w:rsidRPr="0016020A">
        <w:rPr>
          <w:rFonts w:eastAsiaTheme="minorEastAsia" w:cstheme="minorHAnsi"/>
          <w:i/>
        </w:rPr>
        <w:t>National</w:t>
      </w:r>
      <w:r w:rsidRPr="0016020A">
        <w:rPr>
          <w:rFonts w:eastAsiaTheme="minorEastAsia" w:cstheme="minorHAnsi"/>
          <w:i/>
          <w:spacing w:val="-10"/>
        </w:rPr>
        <w:t xml:space="preserve"> </w:t>
      </w:r>
      <w:r w:rsidRPr="0016020A">
        <w:rPr>
          <w:rFonts w:eastAsiaTheme="minorEastAsia" w:cstheme="minorHAnsi"/>
          <w:i/>
        </w:rPr>
        <w:t>Statistical</w:t>
      </w:r>
      <w:r w:rsidRPr="0016020A">
        <w:rPr>
          <w:rFonts w:eastAsiaTheme="minorEastAsia" w:cstheme="minorHAnsi"/>
          <w:i/>
          <w:spacing w:val="-10"/>
        </w:rPr>
        <w:t xml:space="preserve"> </w:t>
      </w:r>
      <w:r w:rsidRPr="0016020A">
        <w:rPr>
          <w:rFonts w:eastAsiaTheme="minorEastAsia" w:cstheme="minorHAnsi"/>
          <w:i/>
          <w:spacing w:val="1"/>
        </w:rPr>
        <w:t>Offices</w:t>
      </w:r>
      <w:r w:rsidRPr="0016020A">
        <w:rPr>
          <w:rFonts w:eastAsiaTheme="minorEastAsia" w:cstheme="minorHAnsi"/>
          <w:i/>
          <w:spacing w:val="-18"/>
        </w:rPr>
        <w:t xml:space="preserve"> </w:t>
      </w:r>
      <w:r w:rsidRPr="0016020A">
        <w:rPr>
          <w:rFonts w:eastAsiaTheme="minorEastAsia" w:cstheme="minorHAnsi"/>
          <w:i/>
          <w:spacing w:val="2"/>
        </w:rPr>
        <w:t>in</w:t>
      </w:r>
      <w:r w:rsidRPr="0016020A">
        <w:rPr>
          <w:rFonts w:eastAsiaTheme="minorEastAsia" w:cstheme="minorHAnsi"/>
          <w:i/>
        </w:rPr>
        <w:t xml:space="preserve"> </w:t>
      </w:r>
      <w:r w:rsidRPr="0016020A">
        <w:rPr>
          <w:rFonts w:eastAsiaTheme="minorEastAsia" w:cstheme="minorHAnsi"/>
          <w:i/>
          <w:spacing w:val="1"/>
        </w:rPr>
        <w:t>their</w:t>
      </w:r>
      <w:r w:rsidRPr="0016020A">
        <w:rPr>
          <w:rFonts w:eastAsiaTheme="minorEastAsia" w:cstheme="minorHAnsi"/>
          <w:i/>
          <w:spacing w:val="-24"/>
        </w:rPr>
        <w:t xml:space="preserve"> </w:t>
      </w:r>
      <w:r w:rsidRPr="0016020A">
        <w:rPr>
          <w:rFonts w:eastAsiaTheme="minorEastAsia" w:cstheme="minorHAnsi"/>
          <w:i/>
        </w:rPr>
        <w:t>general</w:t>
      </w:r>
      <w:r w:rsidRPr="0016020A">
        <w:rPr>
          <w:rFonts w:eastAsiaTheme="minorEastAsia" w:cstheme="minorHAnsi"/>
          <w:i/>
          <w:spacing w:val="-10"/>
        </w:rPr>
        <w:t xml:space="preserve"> </w:t>
      </w:r>
      <w:r w:rsidRPr="0016020A">
        <w:rPr>
          <w:rFonts w:eastAsiaTheme="minorEastAsia" w:cstheme="minorHAnsi"/>
          <w:i/>
        </w:rPr>
        <w:t>role</w:t>
      </w:r>
      <w:r w:rsidRPr="0016020A">
        <w:rPr>
          <w:rFonts w:eastAsiaTheme="minorEastAsia" w:cstheme="minorHAnsi"/>
          <w:i/>
          <w:spacing w:val="21"/>
        </w:rPr>
        <w:t xml:space="preserve"> </w:t>
      </w:r>
      <w:r w:rsidRPr="0016020A">
        <w:rPr>
          <w:rFonts w:eastAsiaTheme="minorEastAsia" w:cstheme="minorHAnsi"/>
          <w:i/>
        </w:rPr>
        <w:t>to</w:t>
      </w:r>
      <w:r w:rsidRPr="0016020A">
        <w:rPr>
          <w:rFonts w:eastAsiaTheme="minorEastAsia" w:cstheme="minorHAnsi"/>
          <w:i/>
          <w:spacing w:val="-1"/>
        </w:rPr>
        <w:t xml:space="preserve"> </w:t>
      </w:r>
      <w:r w:rsidRPr="0016020A">
        <w:rPr>
          <w:rFonts w:eastAsiaTheme="minorEastAsia" w:cstheme="minorHAnsi"/>
          <w:i/>
        </w:rPr>
        <w:t>coordinate</w:t>
      </w:r>
      <w:r w:rsidRPr="0016020A">
        <w:rPr>
          <w:rFonts w:eastAsiaTheme="minorEastAsia" w:cstheme="minorHAnsi"/>
          <w:i/>
          <w:spacing w:val="7"/>
        </w:rPr>
        <w:t xml:space="preserve"> </w:t>
      </w:r>
      <w:r w:rsidRPr="0016020A">
        <w:rPr>
          <w:rFonts w:eastAsiaTheme="minorEastAsia" w:cstheme="minorHAnsi"/>
          <w:i/>
        </w:rPr>
        <w:t>national</w:t>
      </w:r>
      <w:r w:rsidRPr="0016020A">
        <w:rPr>
          <w:rFonts w:eastAsiaTheme="minorEastAsia" w:cstheme="minorHAnsi"/>
          <w:i/>
          <w:spacing w:val="-7"/>
        </w:rPr>
        <w:t xml:space="preserve"> </w:t>
      </w:r>
      <w:r w:rsidRPr="0016020A">
        <w:rPr>
          <w:rFonts w:eastAsiaTheme="minorEastAsia" w:cstheme="minorHAnsi"/>
          <w:i/>
        </w:rPr>
        <w:t>statistical systems Cases reviewed by the Committee on Freedom of Association</w:t>
      </w:r>
    </w:p>
    <w:p w14:paraId="3153B621" w14:textId="77777777" w:rsidR="00A705F2" w:rsidRPr="0016020A" w:rsidRDefault="00A705F2" w:rsidP="0069451E">
      <w:pPr>
        <w:pStyle w:val="ListParagraph"/>
        <w:widowControl w:val="0"/>
        <w:numPr>
          <w:ilvl w:val="1"/>
          <w:numId w:val="46"/>
        </w:numPr>
        <w:tabs>
          <w:tab w:val="left" w:pos="1760"/>
        </w:tabs>
        <w:autoSpaceDE w:val="0"/>
        <w:autoSpaceDN w:val="0"/>
        <w:spacing w:before="0" w:after="0"/>
        <w:ind w:right="703"/>
        <w:rPr>
          <w:rFonts w:eastAsiaTheme="minorEastAsia" w:cstheme="minorHAnsi"/>
          <w:i/>
        </w:rPr>
      </w:pPr>
      <w:r w:rsidRPr="0016020A">
        <w:rPr>
          <w:rFonts w:eastAsiaTheme="minorEastAsia" w:cstheme="minorHAnsi"/>
          <w:i/>
        </w:rPr>
        <w:t xml:space="preserve">Other mandated reports and publications </w:t>
      </w:r>
    </w:p>
    <w:p w14:paraId="6680A7B0" w14:textId="77777777" w:rsidR="0069451E" w:rsidRPr="0016020A" w:rsidRDefault="0069451E" w:rsidP="0069451E">
      <w:pPr>
        <w:pStyle w:val="BodyText"/>
        <w:spacing w:line="276" w:lineRule="auto"/>
        <w:ind w:right="360"/>
        <w:rPr>
          <w:rFonts w:cstheme="minorHAnsi"/>
          <w:i/>
          <w:szCs w:val="22"/>
        </w:rPr>
      </w:pPr>
    </w:p>
    <w:p w14:paraId="737EE507" w14:textId="4540EAE8" w:rsidR="00A705F2" w:rsidRPr="0016020A" w:rsidRDefault="00A705F2" w:rsidP="0069451E">
      <w:pPr>
        <w:pStyle w:val="BodyText"/>
        <w:spacing w:line="242" w:lineRule="auto"/>
        <w:ind w:left="360" w:right="360"/>
        <w:rPr>
          <w:rFonts w:cstheme="minorHAnsi"/>
          <w:i/>
          <w:szCs w:val="22"/>
        </w:rPr>
      </w:pPr>
      <w:r w:rsidRPr="0016020A">
        <w:rPr>
          <w:rFonts w:cstheme="minorHAnsi"/>
          <w:i/>
          <w:szCs w:val="22"/>
        </w:rPr>
        <w:t>Integration of data from all possible sources for this indicator will be made possible through the use of standard definitions, data collection methods, reference period, counting units and counting rules</w:t>
      </w:r>
      <w:r w:rsidR="004550D6" w:rsidRPr="0016020A">
        <w:rPr>
          <w:rFonts w:cstheme="minorHAnsi"/>
          <w:i/>
          <w:szCs w:val="22"/>
        </w:rPr>
        <w:t>”</w:t>
      </w:r>
    </w:p>
    <w:p w14:paraId="044D2A23" w14:textId="77777777" w:rsidR="004550D6" w:rsidRPr="0016020A" w:rsidRDefault="004550D6" w:rsidP="00350CA4">
      <w:pPr>
        <w:jc w:val="left"/>
      </w:pPr>
    </w:p>
    <w:p w14:paraId="3EAD2F53" w14:textId="27B7DCCA" w:rsidR="00A705F2" w:rsidRPr="0016020A" w:rsidRDefault="00A705F2" w:rsidP="00350CA4">
      <w:pPr>
        <w:jc w:val="left"/>
      </w:pPr>
      <w:r w:rsidRPr="0016020A">
        <w:t>There are about 400 killings per year, but one would need to identify which individuals have a disability. This may be obtainable from the employers – at least for visible or reported disabilities. A chart with the total number of killings can be found at</w:t>
      </w:r>
      <w:r w:rsidR="004550D6" w:rsidRPr="0016020A">
        <w:t xml:space="preserve"> </w:t>
      </w:r>
      <w:hyperlink r:id="rId18" w:tooltip="https://unstats.un.org/sdgs/report/2019/goal-16/" w:history="1">
        <w:r w:rsidR="00A34EB7" w:rsidRPr="0016020A">
          <w:rPr>
            <w:color w:val="0000FF"/>
            <w:u w:val="single"/>
          </w:rPr>
          <w:t>United Nations S</w:t>
        </w:r>
        <w:r w:rsidR="00D03548" w:rsidRPr="0016020A">
          <w:rPr>
            <w:color w:val="0000FF"/>
            <w:u w:val="single"/>
          </w:rPr>
          <w:t>tatistics</w:t>
        </w:r>
      </w:hyperlink>
      <w:r w:rsidRPr="0016020A">
        <w:rPr>
          <w:color w:val="0000FF"/>
          <w:u w:val="single"/>
        </w:rPr>
        <w:t>.</w:t>
      </w:r>
    </w:p>
    <w:p w14:paraId="14FD5FC4" w14:textId="77777777" w:rsidR="00A705F2" w:rsidRPr="0016020A" w:rsidRDefault="00A705F2" w:rsidP="008743F8">
      <w:pPr>
        <w:pStyle w:val="Heading2"/>
        <w:rPr>
          <w:rFonts w:eastAsiaTheme="majorEastAsia"/>
        </w:rPr>
      </w:pPr>
      <w:r w:rsidRPr="0016020A">
        <w:rPr>
          <w:rFonts w:eastAsiaTheme="majorEastAsia"/>
        </w:rPr>
        <w:t>10.23 Number of deaths, missing persons and persons affected by disaster per 100,000 people (SDGs indicator 1.5.1), disaggregated by age, sex and disability (idem 11.23)</w:t>
      </w:r>
    </w:p>
    <w:p w14:paraId="26196443" w14:textId="77777777" w:rsidR="00A705F2" w:rsidRPr="0016020A" w:rsidRDefault="00A705F2" w:rsidP="008743F8">
      <w:pPr>
        <w:pStyle w:val="Heading4"/>
        <w:rPr>
          <w:rFonts w:eastAsiaTheme="majorEastAsia"/>
        </w:rPr>
      </w:pPr>
      <w:r w:rsidRPr="0016020A">
        <w:rPr>
          <w:rFonts w:eastAsiaTheme="majorEastAsia"/>
        </w:rPr>
        <w:t>Level 3: Indicator for which acquiring data is more complex or requires the development of data collection mechanisms which are currently not in place.</w:t>
      </w:r>
    </w:p>
    <w:p w14:paraId="17968CB8" w14:textId="74CA3209" w:rsidR="00A705F2" w:rsidRPr="0016020A" w:rsidRDefault="00EF3916" w:rsidP="00350CA4">
      <w:pPr>
        <w:jc w:val="left"/>
      </w:pPr>
      <w:hyperlink r:id="rId19" w:history="1">
        <w:r w:rsidR="00A705F2" w:rsidRPr="0016020A">
          <w:rPr>
            <w:rStyle w:val="Hyperlink"/>
          </w:rPr>
          <w:t>Link to the metadata related to this SDG indicator</w:t>
        </w:r>
      </w:hyperlink>
    </w:p>
    <w:p w14:paraId="3768DB51" w14:textId="2E6C4A0C" w:rsidR="004550D6" w:rsidRPr="0016020A" w:rsidRDefault="004550D6" w:rsidP="004550D6">
      <w:pPr>
        <w:jc w:val="left"/>
        <w:rPr>
          <w:lang w:eastAsia="en-GB"/>
        </w:rPr>
      </w:pPr>
      <w:r w:rsidRPr="0016020A">
        <w:rPr>
          <w:lang w:eastAsia="en-GB"/>
        </w:rPr>
        <w:t xml:space="preserve">According to </w:t>
      </w:r>
      <w:r w:rsidR="00F61DB9" w:rsidRPr="0016020A">
        <w:rPr>
          <w:lang w:eastAsia="en-GB"/>
        </w:rPr>
        <w:t xml:space="preserve">the </w:t>
      </w:r>
      <w:r w:rsidRPr="0016020A">
        <w:rPr>
          <w:lang w:eastAsia="en-GB"/>
        </w:rPr>
        <w:t>metadata:</w:t>
      </w:r>
    </w:p>
    <w:p w14:paraId="161542C5" w14:textId="1157EF2C" w:rsidR="00A705F2" w:rsidRPr="0016020A" w:rsidRDefault="004550D6" w:rsidP="004550D6">
      <w:pPr>
        <w:ind w:left="720"/>
        <w:jc w:val="left"/>
        <w:rPr>
          <w:bCs/>
          <w:lang w:eastAsia="en-GB"/>
        </w:rPr>
      </w:pPr>
      <w:r w:rsidRPr="0016020A">
        <w:rPr>
          <w:lang w:eastAsia="en-GB"/>
        </w:rPr>
        <w:t>“</w:t>
      </w:r>
      <w:r w:rsidR="00A705F2" w:rsidRPr="0016020A">
        <w:rPr>
          <w:i/>
          <w:lang w:eastAsia="en-GB"/>
        </w:rPr>
        <w:t xml:space="preserve">Data provider at national level is appointed Sendai Framework Focal Points. In most countries disaster data are collected by line ministries and national disaster loss databases </w:t>
      </w:r>
      <w:r w:rsidR="00A705F2" w:rsidRPr="0016020A">
        <w:rPr>
          <w:i/>
          <w:lang w:eastAsia="en-GB"/>
        </w:rPr>
        <w:lastRenderedPageBreak/>
        <w:t xml:space="preserve">are established and managed by special purpose agencies including national disaster management agencies, civil protection agencies, and meteorological agencies. The Sendai Framework Focal Points in each country are responsible of data reporting through the </w:t>
      </w:r>
      <w:r w:rsidR="00A705F2" w:rsidRPr="0016020A">
        <w:rPr>
          <w:bCs/>
          <w:i/>
          <w:lang w:eastAsia="en-GB"/>
        </w:rPr>
        <w:t>Sendai Framework Monitoring System.</w:t>
      </w:r>
      <w:r w:rsidRPr="0016020A">
        <w:rPr>
          <w:bCs/>
          <w:lang w:eastAsia="en-GB"/>
        </w:rPr>
        <w:t>”</w:t>
      </w:r>
    </w:p>
    <w:p w14:paraId="0393C6B1" w14:textId="77777777" w:rsidR="00A705F2" w:rsidRPr="0016020A" w:rsidRDefault="00A705F2" w:rsidP="00350CA4">
      <w:pPr>
        <w:jc w:val="left"/>
        <w:rPr>
          <w:rStyle w:val="Hyperlink"/>
          <w:rFonts w:eastAsiaTheme="majorEastAsia" w:cstheme="minorHAnsi"/>
        </w:rPr>
      </w:pPr>
      <w:r w:rsidRPr="0016020A">
        <w:rPr>
          <w:lang w:eastAsia="en-GB"/>
        </w:rPr>
        <w:t xml:space="preserve">The Sendai Framework does not include a measure of disability. Countries report data on </w:t>
      </w:r>
      <w:hyperlink r:id="rId20" w:history="1">
        <w:proofErr w:type="spellStart"/>
        <w:r w:rsidRPr="0016020A">
          <w:rPr>
            <w:rStyle w:val="Hyperlink"/>
            <w:rFonts w:eastAsiaTheme="majorEastAsia"/>
            <w:lang w:eastAsia="en-GB"/>
          </w:rPr>
          <w:t>DesInventar</w:t>
        </w:r>
        <w:proofErr w:type="spellEnd"/>
        <w:r w:rsidRPr="0016020A">
          <w:rPr>
            <w:rStyle w:val="Hyperlink"/>
            <w:rFonts w:eastAsiaTheme="majorEastAsia"/>
            <w:lang w:eastAsia="en-GB"/>
          </w:rPr>
          <w:t xml:space="preserve"> Sendai</w:t>
        </w:r>
      </w:hyperlink>
      <w:r w:rsidRPr="0016020A">
        <w:rPr>
          <w:lang w:eastAsia="en-GB"/>
        </w:rPr>
        <w:t>, a form that asks about the number of deaths, injuries, evacuations, relocations and missing persons, as well as economic losses. It does not ask the country to report on the characteristics of the affected individuals.</w:t>
      </w:r>
    </w:p>
    <w:p w14:paraId="6B0F663E" w14:textId="77777777" w:rsidR="00A705F2" w:rsidRPr="0016020A" w:rsidRDefault="00A705F2" w:rsidP="00350CA4">
      <w:pPr>
        <w:jc w:val="left"/>
        <w:rPr>
          <w:rFonts w:eastAsiaTheme="majorEastAsia" w:cstheme="minorHAnsi"/>
        </w:rPr>
      </w:pPr>
      <w:r w:rsidRPr="0016020A">
        <w:rPr>
          <w:rStyle w:val="Hyperlink"/>
          <w:rFonts w:eastAsiaTheme="majorEastAsia" w:cstheme="minorHAnsi"/>
          <w:color w:val="auto"/>
          <w:u w:val="none"/>
        </w:rPr>
        <w:t>One way to disaggregate by disability would be if the identities of the deceased individuals were known and could be linked to a national disability registry.</w:t>
      </w:r>
    </w:p>
    <w:p w14:paraId="48D23ECD" w14:textId="4544E52D" w:rsidR="00A705F2" w:rsidRPr="0016020A" w:rsidRDefault="00A705F2" w:rsidP="008743F8">
      <w:pPr>
        <w:pStyle w:val="Heading2"/>
        <w:rPr>
          <w:rFonts w:eastAsiaTheme="majorEastAsia"/>
        </w:rPr>
      </w:pPr>
      <w:r w:rsidRPr="0016020A">
        <w:rPr>
          <w:rFonts w:eastAsiaTheme="majorEastAsia"/>
        </w:rPr>
        <w:t>10.24 Reported cases of death that occurred in conflict, post-conflict and emergency situations disaggregated by sex, age and disability</w:t>
      </w:r>
    </w:p>
    <w:p w14:paraId="181B4A9E" w14:textId="39C2A371" w:rsidR="00A705F2" w:rsidRPr="0016020A" w:rsidRDefault="00925FD6" w:rsidP="008743F8">
      <w:pPr>
        <w:pStyle w:val="Heading4"/>
        <w:rPr>
          <w:rFonts w:eastAsiaTheme="majorEastAsia"/>
          <w:bCs/>
        </w:rPr>
      </w:pPr>
      <w:r w:rsidRPr="0016020A">
        <w:rPr>
          <w:rFonts w:eastAsiaTheme="majorEastAsia"/>
          <w:bCs/>
        </w:rPr>
        <w:t>Level 3: indicator for which acquiring data is more complex or requires the development of data collection mechanisms which are currently not in place.</w:t>
      </w:r>
    </w:p>
    <w:p w14:paraId="27EACF15" w14:textId="77777777" w:rsidR="00A705F2" w:rsidRPr="0016020A" w:rsidRDefault="00A705F2" w:rsidP="00350CA4">
      <w:pPr>
        <w:jc w:val="left"/>
        <w:rPr>
          <w:color w:val="0000FF"/>
          <w:u w:val="single"/>
        </w:rPr>
      </w:pPr>
      <w:r w:rsidRPr="0016020A">
        <w:t xml:space="preserve">The United Nations Office of the Coordination of Humanitarian Affairs, through </w:t>
      </w:r>
      <w:proofErr w:type="spellStart"/>
      <w:r w:rsidRPr="0016020A">
        <w:t>ReliefWeb</w:t>
      </w:r>
      <w:proofErr w:type="spellEnd"/>
      <w:r w:rsidRPr="0016020A">
        <w:t xml:space="preserve">, publishes an annual report </w:t>
      </w:r>
      <w:hyperlink r:id="rId21" w:history="1">
        <w:r w:rsidRPr="0016020A">
          <w:rPr>
            <w:rStyle w:val="Hyperlink"/>
            <w:rFonts w:eastAsiaTheme="majorEastAsia"/>
          </w:rPr>
          <w:t>“Conflicts, human rights and peacebuilding”</w:t>
        </w:r>
      </w:hyperlink>
      <w:r w:rsidRPr="0016020A">
        <w:t>, but it does not include information about disability.</w:t>
      </w:r>
    </w:p>
    <w:p w14:paraId="6F715FDF" w14:textId="77777777" w:rsidR="00A705F2" w:rsidRPr="0016020A" w:rsidRDefault="00A705F2" w:rsidP="00350CA4">
      <w:pPr>
        <w:jc w:val="left"/>
        <w:rPr>
          <w:color w:val="000000" w:themeColor="text1"/>
        </w:rPr>
      </w:pPr>
      <w:r w:rsidRPr="0016020A">
        <w:rPr>
          <w:color w:val="000000" w:themeColor="text1"/>
        </w:rPr>
        <w:t>No examples were found of disaggregation by disability status, which would, in many instances, be impossible to determine after death. As mentioned with previous indicators, only if the identities of the deceased were known and a national registry of persons with disabilities existed, could this information be obtained. Alternatively, it could be collected via a national disability survey.</w:t>
      </w:r>
    </w:p>
    <w:p w14:paraId="6B77E36C" w14:textId="77777777" w:rsidR="00A705F2" w:rsidRPr="0016020A" w:rsidRDefault="00A705F2" w:rsidP="008743F8">
      <w:pPr>
        <w:pStyle w:val="Heading2"/>
        <w:rPr>
          <w:rFonts w:eastAsiaTheme="majorEastAsia"/>
        </w:rPr>
      </w:pPr>
      <w:r w:rsidRPr="0016020A">
        <w:rPr>
          <w:rFonts w:eastAsiaTheme="majorEastAsia"/>
        </w:rPr>
        <w:t>10.25 Suicide rates, disaggregated by sex, age and disability.</w:t>
      </w:r>
    </w:p>
    <w:p w14:paraId="084D80C0" w14:textId="77777777" w:rsidR="00A705F2" w:rsidRPr="0016020A" w:rsidRDefault="00A705F2" w:rsidP="008743F8">
      <w:pPr>
        <w:pStyle w:val="Heading4"/>
        <w:rPr>
          <w:rFonts w:eastAsiaTheme="majorEastAsia"/>
        </w:rPr>
      </w:pPr>
      <w:r w:rsidRPr="0016020A">
        <w:rPr>
          <w:rFonts w:eastAsiaTheme="majorEastAsia"/>
        </w:rPr>
        <w:t>Level 3: Indicator for which acquiring data is more complex or requires the development of data collection mechanisms which are currently not in place.</w:t>
      </w:r>
    </w:p>
    <w:p w14:paraId="5F925F6D" w14:textId="77777777" w:rsidR="00A705F2" w:rsidRPr="0016020A" w:rsidRDefault="00A705F2" w:rsidP="00350CA4">
      <w:pPr>
        <w:jc w:val="left"/>
      </w:pPr>
      <w:r w:rsidRPr="0016020A">
        <w:rPr>
          <w:color w:val="000000" w:themeColor="text1"/>
          <w:shd w:val="clear" w:color="auto" w:fill="FFFFFF"/>
        </w:rPr>
        <w:t xml:space="preserve">The </w:t>
      </w:r>
      <w:hyperlink r:id="rId22" w:history="1">
        <w:r w:rsidRPr="0016020A">
          <w:rPr>
            <w:rStyle w:val="Hyperlink"/>
            <w:rFonts w:eastAsiaTheme="majorEastAsia"/>
            <w:shd w:val="clear" w:color="auto" w:fill="FFFFFF"/>
          </w:rPr>
          <w:t>World Health Organization (WHO) Mortality Database</w:t>
        </w:r>
      </w:hyperlink>
      <w:r w:rsidRPr="0016020A">
        <w:rPr>
          <w:color w:val="000000" w:themeColor="text1"/>
          <w:shd w:val="clear" w:color="auto" w:fill="FFFFFF"/>
        </w:rPr>
        <w:t xml:space="preserve"> is a compilation of mortality data by age, sex and cause of death, as reported annually by the Member States from their civil registration systems. Crude and age-standardized suicide rates by age group and sex are available by country.</w:t>
      </w:r>
    </w:p>
    <w:p w14:paraId="49504FDA" w14:textId="77777777" w:rsidR="00A705F2" w:rsidRPr="0016020A" w:rsidRDefault="00A705F2" w:rsidP="00350CA4">
      <w:pPr>
        <w:jc w:val="left"/>
        <w:rPr>
          <w:color w:val="000000" w:themeColor="text1"/>
        </w:rPr>
      </w:pPr>
      <w:r w:rsidRPr="0016020A">
        <w:t xml:space="preserve">These data do not include a disability indicator. </w:t>
      </w:r>
      <w:r w:rsidRPr="0016020A">
        <w:rPr>
          <w:color w:val="000000" w:themeColor="text1"/>
        </w:rPr>
        <w:t>No examples were found of disaggregation by disability status, which would, in many instances, be impossible to determine after death. As mentioned with previous indicators, only if the identities of the deceased were known and a national registry of persons with disabilities existed, could this information be obtained. Theoretically, this could also be done through a national disability survey. However, given the rate of suicide in the population compared to typical household sample sizes – and the stigma around suicide in many places – it would prove difficult to get an accurate estimate.</w:t>
      </w:r>
    </w:p>
    <w:p w14:paraId="7D579AD2" w14:textId="77777777" w:rsidR="00D03548" w:rsidRPr="0016020A" w:rsidRDefault="00A705F2" w:rsidP="00D03548">
      <w:pPr>
        <w:jc w:val="left"/>
        <w:rPr>
          <w:color w:val="000000" w:themeColor="text1"/>
        </w:rPr>
      </w:pPr>
      <w:r w:rsidRPr="0016020A">
        <w:rPr>
          <w:color w:val="000000" w:themeColor="text1"/>
        </w:rPr>
        <w:lastRenderedPageBreak/>
        <w:t xml:space="preserve">Several surveys look at </w:t>
      </w:r>
      <w:r w:rsidRPr="0016020A">
        <w:rPr>
          <w:b/>
          <w:bCs/>
          <w:color w:val="000000" w:themeColor="text1"/>
        </w:rPr>
        <w:t>attempted</w:t>
      </w:r>
      <w:r w:rsidRPr="0016020A">
        <w:rPr>
          <w:i/>
          <w:iCs/>
          <w:color w:val="000000" w:themeColor="text1"/>
        </w:rPr>
        <w:t xml:space="preserve"> </w:t>
      </w:r>
      <w:r w:rsidRPr="0016020A">
        <w:rPr>
          <w:color w:val="000000" w:themeColor="text1"/>
        </w:rPr>
        <w:t xml:space="preserve">suicide. For example, a study based on </w:t>
      </w:r>
      <w:hyperlink r:id="rId23" w:history="1">
        <w:r w:rsidRPr="0016020A">
          <w:rPr>
            <w:rStyle w:val="Hyperlink"/>
            <w:rFonts w:eastAsiaTheme="majorEastAsia"/>
          </w:rPr>
          <w:t>the 2007 national survey of psychiatric morbidity of adults in England</w:t>
        </w:r>
      </w:hyperlink>
      <w:r w:rsidRPr="0016020A">
        <w:rPr>
          <w:color w:val="000000" w:themeColor="text1"/>
        </w:rPr>
        <w:t xml:space="preserve"> found that one in every 150 adults in England had made a suicide attempt in the past 12 months. Those with some form of disability were four times more likely to have attempted suicide, after adjusting for significant sociodemographic and socioeconomic correlates (female, not married, not employed, being in debt and having a physical health problem). The study used a random probability sample comprising 7461 respondents and disability was measured by difficulties in activities of daily living and instrumental activities of daily living.</w:t>
      </w:r>
    </w:p>
    <w:p w14:paraId="040082B6" w14:textId="748F5D15" w:rsidR="00A705F2" w:rsidRPr="0016020A" w:rsidRDefault="00D03548" w:rsidP="00350CA4">
      <w:pPr>
        <w:jc w:val="left"/>
        <w:rPr>
          <w:color w:val="000000" w:themeColor="text1"/>
        </w:rPr>
      </w:pPr>
      <w:r w:rsidRPr="0016020A">
        <w:rPr>
          <w:color w:val="000000" w:themeColor="text1"/>
        </w:rPr>
        <w:t xml:space="preserve">A study, </w:t>
      </w:r>
      <w:r w:rsidR="00A34EB7" w:rsidRPr="0016020A">
        <w:rPr>
          <w:color w:val="000000" w:themeColor="text1"/>
        </w:rPr>
        <w:t>"</w:t>
      </w:r>
      <w:hyperlink r:id="rId24" w:history="1">
        <w:r w:rsidR="00A34EB7" w:rsidRPr="0016020A">
          <w:rPr>
            <w:rStyle w:val="Hyperlink"/>
          </w:rPr>
          <w:t>O</w:t>
        </w:r>
        <w:r w:rsidRPr="0016020A">
          <w:rPr>
            <w:rStyle w:val="Hyperlink"/>
          </w:rPr>
          <w:t>ne in 6 women with learning disabilities has attempted suicide</w:t>
        </w:r>
      </w:hyperlink>
      <w:r w:rsidR="00A34EB7" w:rsidRPr="0016020A">
        <w:rPr>
          <w:rStyle w:val="Hyperlink"/>
          <w:u w:val="none"/>
        </w:rPr>
        <w:t>"</w:t>
      </w:r>
      <w:r w:rsidRPr="0016020A">
        <w:t>,</w:t>
      </w:r>
      <w:r w:rsidRPr="0016020A">
        <w:rPr>
          <w:color w:val="000000" w:themeColor="text1"/>
        </w:rPr>
        <w:t xml:space="preserve"> </w:t>
      </w:r>
      <w:r w:rsidR="00A705F2" w:rsidRPr="0016020A">
        <w:rPr>
          <w:color w:val="000000" w:themeColor="text1"/>
          <w:shd w:val="clear" w:color="auto" w:fill="FFFFFF"/>
        </w:rPr>
        <w:t>based on the 2012 Canadian Community Health Survey-Mental Health found that the lifetime prevalence of suicide attempts was much higher for women who had been diagnosed with learning disabilities (16.6 per cent) when compared to women who had not (3.3 per cent). Men with learning disabilities were also more likely to have attempted suicide when compared to men without learning disabilities (7.7 per cent versus 2.1 per cent).</w:t>
      </w:r>
    </w:p>
    <w:p w14:paraId="22A333E5" w14:textId="77777777" w:rsidR="00A705F2" w:rsidRPr="0016020A" w:rsidRDefault="00A705F2" w:rsidP="00363A5F">
      <w:pPr>
        <w:pStyle w:val="Heading2"/>
        <w:rPr>
          <w:rFonts w:eastAsiaTheme="majorEastAsia"/>
        </w:rPr>
      </w:pPr>
      <w:r w:rsidRPr="0016020A">
        <w:rPr>
          <w:rFonts w:eastAsiaTheme="majorEastAsia"/>
        </w:rPr>
        <w:t>10.26 Where applicable, number of deaths due to voluntary termination of life procedures (“assisted dying”), disaggregated by sex, age and disability.</w:t>
      </w:r>
    </w:p>
    <w:p w14:paraId="3490EEC8" w14:textId="77777777" w:rsidR="00A705F2" w:rsidRPr="0016020A" w:rsidRDefault="00A705F2" w:rsidP="00363A5F">
      <w:pPr>
        <w:pStyle w:val="Heading4"/>
        <w:rPr>
          <w:rFonts w:eastAsiaTheme="majorEastAsia"/>
        </w:rPr>
      </w:pPr>
      <w:r w:rsidRPr="0016020A">
        <w:rPr>
          <w:rFonts w:eastAsiaTheme="majorEastAsia"/>
        </w:rPr>
        <w:t>Level 2: Indicator could be produced with straightforward additions or modifications to existing data collection efforts.</w:t>
      </w:r>
    </w:p>
    <w:p w14:paraId="2AD6F345" w14:textId="77777777" w:rsidR="00A705F2" w:rsidRPr="0016020A" w:rsidRDefault="00A705F2" w:rsidP="00350CA4">
      <w:pPr>
        <w:jc w:val="left"/>
        <w:rPr>
          <w:rFonts w:eastAsiaTheme="majorEastAsia"/>
        </w:rPr>
      </w:pPr>
      <w:r w:rsidRPr="0016020A">
        <w:rPr>
          <w:color w:val="000000" w:themeColor="text1"/>
          <w:shd w:val="clear" w:color="auto" w:fill="FFFFFF"/>
        </w:rPr>
        <w:t>Canada’s 2016 federal legislation on medical assistance in dying authorizes the Minister of Health to support data collection and reporting. A robust reporting mechanism is expected to begin in 2020.</w:t>
      </w:r>
    </w:p>
    <w:p w14:paraId="01F992B6" w14:textId="1B68E88D" w:rsidR="00A705F2" w:rsidRPr="0016020A" w:rsidRDefault="00EF3916" w:rsidP="00350CA4">
      <w:pPr>
        <w:jc w:val="left"/>
        <w:rPr>
          <w:color w:val="000000" w:themeColor="text1"/>
          <w:shd w:val="clear" w:color="auto" w:fill="FFFFFF"/>
        </w:rPr>
      </w:pPr>
      <w:hyperlink r:id="rId25" w:history="1">
        <w:r w:rsidR="00A705F2" w:rsidRPr="0016020A">
          <w:rPr>
            <w:rStyle w:val="Hyperlink"/>
            <w:rFonts w:eastAsiaTheme="majorEastAsia"/>
            <w:shd w:val="clear" w:color="auto" w:fill="FFFFFF"/>
          </w:rPr>
          <w:t>Interim Report</w:t>
        </w:r>
        <w:r w:rsidR="00D03548" w:rsidRPr="0016020A">
          <w:rPr>
            <w:rStyle w:val="Hyperlink"/>
            <w:rFonts w:eastAsiaTheme="majorEastAsia"/>
            <w:shd w:val="clear" w:color="auto" w:fill="FFFFFF"/>
          </w:rPr>
          <w:t>s</w:t>
        </w:r>
      </w:hyperlink>
      <w:r w:rsidR="00A705F2" w:rsidRPr="0016020A">
        <w:rPr>
          <w:color w:val="000000" w:themeColor="text1"/>
          <w:shd w:val="clear" w:color="auto" w:fill="FFFFFF"/>
        </w:rPr>
        <w:t xml:space="preserve"> provided the data in table 1. The reporting mechanism could be amended to include disability status.</w:t>
      </w:r>
    </w:p>
    <w:p w14:paraId="4F680ECC" w14:textId="20A86E67" w:rsidR="00A705F2" w:rsidRPr="0016020A" w:rsidRDefault="00A705F2" w:rsidP="00925FD6">
      <w:pPr>
        <w:pStyle w:val="TableHeader"/>
        <w:rPr>
          <w:rFonts w:eastAsiaTheme="majorEastAsia" w:cstheme="majorBidi"/>
        </w:rPr>
      </w:pPr>
      <w:r w:rsidRPr="0016020A">
        <w:rPr>
          <w:rFonts w:eastAsiaTheme="majorEastAsia" w:cstheme="majorBidi"/>
          <w:b/>
          <w:bCs w:val="0"/>
        </w:rPr>
        <w:lastRenderedPageBreak/>
        <w:t>Table 1:</w:t>
      </w:r>
      <w:r w:rsidRPr="0016020A">
        <w:rPr>
          <w:rFonts w:eastAsiaTheme="majorEastAsia" w:cstheme="majorBidi"/>
        </w:rPr>
        <w:t xml:space="preserve"> Profile of medically assisted deaths and persons receiving Medical Assistance in Dying (MAID) in Canada, January 2017-October 2018 (22 months</w:t>
      </w:r>
      <w:r w:rsidR="00925FD6" w:rsidRPr="0016020A">
        <w:rPr>
          <w:rFonts w:eastAsiaTheme="majorEastAsia" w:cstheme="majorBidi"/>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Profile of medically assisted deaths and persons receiving Medical Assistance in Dying (MAID) in Canada, January 2017-October 2018 (22 months"/>
      </w:tblPr>
      <w:tblGrid>
        <w:gridCol w:w="5928"/>
        <w:gridCol w:w="3092"/>
      </w:tblGrid>
      <w:tr w:rsidR="00A705F2" w:rsidRPr="0016020A" w14:paraId="0DAE7CC3" w14:textId="77777777" w:rsidTr="004423EB">
        <w:trPr>
          <w:trHeight w:val="307"/>
          <w:tblHeader/>
        </w:trPr>
        <w:tc>
          <w:tcPr>
            <w:tcW w:w="3286" w:type="pct"/>
            <w:tcBorders>
              <w:top w:val="single" w:sz="12" w:space="0" w:color="auto"/>
              <w:bottom w:val="single" w:sz="12" w:space="0" w:color="auto"/>
            </w:tcBorders>
            <w:shd w:val="clear" w:color="auto" w:fill="F5F5F1"/>
            <w:noWrap/>
            <w:vAlign w:val="center"/>
            <w:hideMark/>
          </w:tcPr>
          <w:p w14:paraId="660C9880" w14:textId="77777777" w:rsidR="00A705F2" w:rsidRPr="0016020A" w:rsidRDefault="00A705F2" w:rsidP="004423EB">
            <w:pPr>
              <w:pStyle w:val="TableHeaderRow"/>
              <w:jc w:val="left"/>
            </w:pPr>
            <w:r w:rsidRPr="0016020A">
              <w:t>Total number of medically assisted deaths</w:t>
            </w:r>
          </w:p>
        </w:tc>
        <w:tc>
          <w:tcPr>
            <w:tcW w:w="1714" w:type="pct"/>
            <w:tcBorders>
              <w:top w:val="single" w:sz="12" w:space="0" w:color="auto"/>
              <w:bottom w:val="single" w:sz="12" w:space="0" w:color="auto"/>
            </w:tcBorders>
            <w:shd w:val="clear" w:color="auto" w:fill="F5F5F1"/>
            <w:noWrap/>
            <w:vAlign w:val="center"/>
            <w:hideMark/>
          </w:tcPr>
          <w:p w14:paraId="0C435207" w14:textId="77777777" w:rsidR="00A705F2" w:rsidRPr="0016020A" w:rsidRDefault="00A705F2" w:rsidP="004423EB">
            <w:pPr>
              <w:pStyle w:val="TableHeaderRow"/>
              <w:jc w:val="left"/>
            </w:pPr>
            <w:r w:rsidRPr="0016020A">
              <w:t>4,575</w:t>
            </w:r>
          </w:p>
        </w:tc>
      </w:tr>
      <w:tr w:rsidR="00A705F2" w:rsidRPr="0016020A" w14:paraId="43D06527" w14:textId="77777777" w:rsidTr="0060031C">
        <w:trPr>
          <w:trHeight w:val="307"/>
          <w:tblHeader/>
        </w:trPr>
        <w:tc>
          <w:tcPr>
            <w:tcW w:w="5000" w:type="pct"/>
            <w:gridSpan w:val="2"/>
            <w:tcBorders>
              <w:top w:val="single" w:sz="12" w:space="0" w:color="auto"/>
              <w:bottom w:val="single" w:sz="12" w:space="0" w:color="auto"/>
            </w:tcBorders>
            <w:shd w:val="clear" w:color="auto" w:fill="F5F5F1"/>
            <w:noWrap/>
            <w:hideMark/>
          </w:tcPr>
          <w:p w14:paraId="79F4EA60" w14:textId="77777777" w:rsidR="00A705F2" w:rsidRPr="0016020A" w:rsidRDefault="00A705F2" w:rsidP="0060031C">
            <w:pPr>
              <w:jc w:val="left"/>
              <w:rPr>
                <w:rFonts w:cstheme="minorHAnsi"/>
                <w:b/>
                <w:bCs/>
                <w:i/>
                <w:iCs/>
              </w:rPr>
            </w:pPr>
            <w:r w:rsidRPr="0016020A">
              <w:rPr>
                <w:rFonts w:cstheme="minorHAnsi"/>
                <w:b/>
                <w:bCs/>
                <w:i/>
                <w:iCs/>
              </w:rPr>
              <w:t>Age (percentage)</w:t>
            </w:r>
          </w:p>
        </w:tc>
      </w:tr>
      <w:tr w:rsidR="00A705F2" w:rsidRPr="0016020A" w14:paraId="3AFF2532" w14:textId="77777777" w:rsidTr="0060031C">
        <w:trPr>
          <w:trHeight w:val="307"/>
          <w:tblHeader/>
        </w:trPr>
        <w:tc>
          <w:tcPr>
            <w:tcW w:w="3286" w:type="pct"/>
            <w:tcBorders>
              <w:top w:val="single" w:sz="12" w:space="0" w:color="auto"/>
            </w:tcBorders>
            <w:shd w:val="clear" w:color="auto" w:fill="F5F5F1"/>
            <w:noWrap/>
            <w:hideMark/>
          </w:tcPr>
          <w:p w14:paraId="2CC561CF" w14:textId="77777777" w:rsidR="00A705F2" w:rsidRPr="0016020A" w:rsidRDefault="00A705F2" w:rsidP="0060031C">
            <w:pPr>
              <w:jc w:val="left"/>
              <w:rPr>
                <w:rFonts w:cstheme="minorHAnsi"/>
              </w:rPr>
            </w:pPr>
            <w:r w:rsidRPr="0016020A">
              <w:rPr>
                <w:rFonts w:cstheme="minorHAnsi"/>
              </w:rPr>
              <w:t>18-45</w:t>
            </w:r>
          </w:p>
        </w:tc>
        <w:tc>
          <w:tcPr>
            <w:tcW w:w="1714" w:type="pct"/>
            <w:tcBorders>
              <w:top w:val="single" w:sz="12" w:space="0" w:color="auto"/>
            </w:tcBorders>
            <w:shd w:val="clear" w:color="auto" w:fill="F5F5F1"/>
            <w:noWrap/>
            <w:hideMark/>
          </w:tcPr>
          <w:p w14:paraId="2B461778" w14:textId="77777777" w:rsidR="00A705F2" w:rsidRPr="0016020A" w:rsidRDefault="00A705F2" w:rsidP="0060031C">
            <w:pPr>
              <w:jc w:val="left"/>
              <w:rPr>
                <w:rFonts w:cstheme="minorHAnsi"/>
              </w:rPr>
            </w:pPr>
            <w:r w:rsidRPr="0016020A">
              <w:rPr>
                <w:rFonts w:cstheme="minorHAnsi"/>
              </w:rPr>
              <w:t>1.8%</w:t>
            </w:r>
          </w:p>
        </w:tc>
      </w:tr>
      <w:tr w:rsidR="00A705F2" w:rsidRPr="0016020A" w14:paraId="0BC5E75B" w14:textId="77777777" w:rsidTr="0060031C">
        <w:trPr>
          <w:trHeight w:val="307"/>
          <w:tblHeader/>
        </w:trPr>
        <w:tc>
          <w:tcPr>
            <w:tcW w:w="3286" w:type="pct"/>
            <w:shd w:val="clear" w:color="auto" w:fill="F5F5F1"/>
            <w:noWrap/>
            <w:hideMark/>
          </w:tcPr>
          <w:p w14:paraId="6942B765" w14:textId="77777777" w:rsidR="00A705F2" w:rsidRPr="0016020A" w:rsidRDefault="00A705F2" w:rsidP="0060031C">
            <w:pPr>
              <w:jc w:val="left"/>
              <w:rPr>
                <w:rFonts w:cstheme="minorHAnsi"/>
              </w:rPr>
            </w:pPr>
            <w:r w:rsidRPr="0016020A">
              <w:rPr>
                <w:rFonts w:cstheme="minorHAnsi"/>
              </w:rPr>
              <w:t>46-64</w:t>
            </w:r>
          </w:p>
        </w:tc>
        <w:tc>
          <w:tcPr>
            <w:tcW w:w="1714" w:type="pct"/>
            <w:shd w:val="clear" w:color="auto" w:fill="F5F5F1"/>
            <w:noWrap/>
            <w:hideMark/>
          </w:tcPr>
          <w:p w14:paraId="3F827B6D" w14:textId="77777777" w:rsidR="00A705F2" w:rsidRPr="0016020A" w:rsidRDefault="00A705F2" w:rsidP="0060031C">
            <w:pPr>
              <w:jc w:val="left"/>
              <w:rPr>
                <w:rFonts w:cstheme="minorHAnsi"/>
              </w:rPr>
            </w:pPr>
            <w:r w:rsidRPr="0016020A">
              <w:rPr>
                <w:rFonts w:cstheme="minorHAnsi"/>
              </w:rPr>
              <w:t>19.7%</w:t>
            </w:r>
          </w:p>
        </w:tc>
      </w:tr>
      <w:tr w:rsidR="00A705F2" w:rsidRPr="0016020A" w14:paraId="459B5BEB" w14:textId="77777777" w:rsidTr="0060031C">
        <w:trPr>
          <w:trHeight w:val="307"/>
          <w:tblHeader/>
        </w:trPr>
        <w:tc>
          <w:tcPr>
            <w:tcW w:w="3286" w:type="pct"/>
            <w:shd w:val="clear" w:color="auto" w:fill="F5F5F1"/>
            <w:noWrap/>
            <w:hideMark/>
          </w:tcPr>
          <w:p w14:paraId="424950F8" w14:textId="77777777" w:rsidR="00A705F2" w:rsidRPr="0016020A" w:rsidRDefault="00A705F2" w:rsidP="0060031C">
            <w:pPr>
              <w:jc w:val="left"/>
              <w:rPr>
                <w:rFonts w:cstheme="minorHAnsi"/>
              </w:rPr>
            </w:pPr>
            <w:r w:rsidRPr="0016020A">
              <w:rPr>
                <w:rFonts w:cstheme="minorHAnsi"/>
              </w:rPr>
              <w:t>65-80</w:t>
            </w:r>
          </w:p>
        </w:tc>
        <w:tc>
          <w:tcPr>
            <w:tcW w:w="1714" w:type="pct"/>
            <w:shd w:val="clear" w:color="auto" w:fill="F5F5F1"/>
            <w:noWrap/>
            <w:hideMark/>
          </w:tcPr>
          <w:p w14:paraId="11B41BCE" w14:textId="77777777" w:rsidR="00A705F2" w:rsidRPr="0016020A" w:rsidRDefault="00A705F2" w:rsidP="0060031C">
            <w:pPr>
              <w:jc w:val="left"/>
              <w:rPr>
                <w:rFonts w:cstheme="minorHAnsi"/>
              </w:rPr>
            </w:pPr>
            <w:r w:rsidRPr="0016020A">
              <w:rPr>
                <w:rFonts w:cstheme="minorHAnsi"/>
              </w:rPr>
              <w:t>44.1%</w:t>
            </w:r>
          </w:p>
        </w:tc>
      </w:tr>
      <w:tr w:rsidR="00A705F2" w:rsidRPr="0016020A" w14:paraId="1DB613A4" w14:textId="77777777" w:rsidTr="0060031C">
        <w:trPr>
          <w:trHeight w:val="307"/>
          <w:tblHeader/>
        </w:trPr>
        <w:tc>
          <w:tcPr>
            <w:tcW w:w="3286" w:type="pct"/>
            <w:tcBorders>
              <w:bottom w:val="single" w:sz="12" w:space="0" w:color="auto"/>
            </w:tcBorders>
            <w:shd w:val="clear" w:color="auto" w:fill="F5F5F1"/>
            <w:noWrap/>
            <w:hideMark/>
          </w:tcPr>
          <w:p w14:paraId="7422150B" w14:textId="77777777" w:rsidR="00A705F2" w:rsidRPr="0016020A" w:rsidRDefault="00A705F2" w:rsidP="0060031C">
            <w:pPr>
              <w:jc w:val="left"/>
              <w:rPr>
                <w:rFonts w:cstheme="minorHAnsi"/>
              </w:rPr>
            </w:pPr>
            <w:r w:rsidRPr="0016020A">
              <w:rPr>
                <w:rFonts w:cstheme="minorHAnsi"/>
              </w:rPr>
              <w:t>80+</w:t>
            </w:r>
          </w:p>
        </w:tc>
        <w:tc>
          <w:tcPr>
            <w:tcW w:w="1714" w:type="pct"/>
            <w:tcBorders>
              <w:bottom w:val="single" w:sz="12" w:space="0" w:color="auto"/>
            </w:tcBorders>
            <w:shd w:val="clear" w:color="auto" w:fill="F5F5F1"/>
            <w:noWrap/>
            <w:hideMark/>
          </w:tcPr>
          <w:p w14:paraId="5A8E3C8F" w14:textId="77777777" w:rsidR="00A705F2" w:rsidRPr="0016020A" w:rsidRDefault="00A705F2" w:rsidP="0060031C">
            <w:pPr>
              <w:jc w:val="left"/>
              <w:rPr>
                <w:rFonts w:cstheme="minorHAnsi"/>
              </w:rPr>
            </w:pPr>
            <w:r w:rsidRPr="0016020A">
              <w:rPr>
                <w:rFonts w:cstheme="minorHAnsi"/>
              </w:rPr>
              <w:t>33.0%</w:t>
            </w:r>
          </w:p>
        </w:tc>
      </w:tr>
      <w:tr w:rsidR="00A705F2" w:rsidRPr="0016020A" w14:paraId="6F8F64B1" w14:textId="77777777" w:rsidTr="0060031C">
        <w:trPr>
          <w:trHeight w:val="307"/>
          <w:tblHeader/>
        </w:trPr>
        <w:tc>
          <w:tcPr>
            <w:tcW w:w="5000" w:type="pct"/>
            <w:gridSpan w:val="2"/>
            <w:tcBorders>
              <w:top w:val="single" w:sz="12" w:space="0" w:color="auto"/>
              <w:bottom w:val="single" w:sz="12" w:space="0" w:color="auto"/>
            </w:tcBorders>
            <w:shd w:val="clear" w:color="auto" w:fill="F5F5F1"/>
            <w:hideMark/>
          </w:tcPr>
          <w:p w14:paraId="6D1C3E50" w14:textId="77777777" w:rsidR="00A705F2" w:rsidRPr="0016020A" w:rsidRDefault="00A705F2" w:rsidP="00587352">
            <w:pPr>
              <w:jc w:val="left"/>
              <w:rPr>
                <w:rFonts w:cstheme="minorHAnsi"/>
                <w:b/>
                <w:bCs/>
                <w:i/>
                <w:iCs/>
              </w:rPr>
            </w:pPr>
            <w:r w:rsidRPr="0016020A">
              <w:rPr>
                <w:rFonts w:cstheme="minorHAnsi"/>
                <w:b/>
                <w:bCs/>
                <w:i/>
                <w:iCs/>
              </w:rPr>
              <w:t>Most common underlying medical circumstances of those who received MAID (percentage)</w:t>
            </w:r>
          </w:p>
        </w:tc>
      </w:tr>
      <w:tr w:rsidR="00A705F2" w:rsidRPr="0016020A" w14:paraId="303D630A" w14:textId="77777777" w:rsidTr="0060031C">
        <w:trPr>
          <w:trHeight w:val="307"/>
          <w:tblHeader/>
        </w:trPr>
        <w:tc>
          <w:tcPr>
            <w:tcW w:w="3286" w:type="pct"/>
            <w:tcBorders>
              <w:top w:val="single" w:sz="12" w:space="0" w:color="auto"/>
            </w:tcBorders>
            <w:shd w:val="clear" w:color="auto" w:fill="F5F5F1"/>
            <w:noWrap/>
            <w:hideMark/>
          </w:tcPr>
          <w:p w14:paraId="6B16CE36" w14:textId="77777777" w:rsidR="00A705F2" w:rsidRPr="0016020A" w:rsidRDefault="00A705F2" w:rsidP="0060031C">
            <w:pPr>
              <w:jc w:val="left"/>
              <w:rPr>
                <w:rFonts w:cstheme="minorHAnsi"/>
              </w:rPr>
            </w:pPr>
            <w:r w:rsidRPr="0016020A">
              <w:rPr>
                <w:rFonts w:cstheme="minorHAnsi"/>
              </w:rPr>
              <w:t>Cancer-related</w:t>
            </w:r>
          </w:p>
        </w:tc>
        <w:tc>
          <w:tcPr>
            <w:tcW w:w="1714" w:type="pct"/>
            <w:tcBorders>
              <w:top w:val="single" w:sz="12" w:space="0" w:color="auto"/>
            </w:tcBorders>
            <w:shd w:val="clear" w:color="auto" w:fill="F5F5F1"/>
            <w:noWrap/>
            <w:hideMark/>
          </w:tcPr>
          <w:p w14:paraId="64F1EDD1" w14:textId="77777777" w:rsidR="00A705F2" w:rsidRPr="0016020A" w:rsidRDefault="00A705F2" w:rsidP="0060031C">
            <w:pPr>
              <w:jc w:val="left"/>
              <w:rPr>
                <w:rFonts w:cstheme="minorHAnsi"/>
              </w:rPr>
            </w:pPr>
            <w:r w:rsidRPr="0016020A">
              <w:rPr>
                <w:rFonts w:cstheme="minorHAnsi"/>
              </w:rPr>
              <w:t>64.0%</w:t>
            </w:r>
          </w:p>
        </w:tc>
      </w:tr>
      <w:tr w:rsidR="00A705F2" w:rsidRPr="0016020A" w14:paraId="37134559" w14:textId="77777777" w:rsidTr="0060031C">
        <w:trPr>
          <w:trHeight w:val="307"/>
          <w:tblHeader/>
        </w:trPr>
        <w:tc>
          <w:tcPr>
            <w:tcW w:w="3286" w:type="pct"/>
            <w:shd w:val="clear" w:color="auto" w:fill="F5F5F1"/>
            <w:noWrap/>
            <w:hideMark/>
          </w:tcPr>
          <w:p w14:paraId="3E0D30A1" w14:textId="77777777" w:rsidR="00A705F2" w:rsidRPr="0016020A" w:rsidRDefault="00A705F2" w:rsidP="0060031C">
            <w:pPr>
              <w:jc w:val="left"/>
              <w:rPr>
                <w:rFonts w:cstheme="minorHAnsi"/>
              </w:rPr>
            </w:pPr>
            <w:r w:rsidRPr="0016020A">
              <w:rPr>
                <w:rFonts w:cstheme="minorHAnsi"/>
              </w:rPr>
              <w:t>Neurodegenerative</w:t>
            </w:r>
          </w:p>
        </w:tc>
        <w:tc>
          <w:tcPr>
            <w:tcW w:w="1714" w:type="pct"/>
            <w:shd w:val="clear" w:color="auto" w:fill="F5F5F1"/>
            <w:noWrap/>
            <w:hideMark/>
          </w:tcPr>
          <w:p w14:paraId="1B0F5A98" w14:textId="77777777" w:rsidR="00A705F2" w:rsidRPr="0016020A" w:rsidRDefault="00A705F2" w:rsidP="0060031C">
            <w:pPr>
              <w:jc w:val="left"/>
              <w:rPr>
                <w:rFonts w:cstheme="minorHAnsi"/>
              </w:rPr>
            </w:pPr>
            <w:r w:rsidRPr="0016020A">
              <w:rPr>
                <w:rFonts w:cstheme="minorHAnsi"/>
              </w:rPr>
              <w:t>11.1%</w:t>
            </w:r>
          </w:p>
        </w:tc>
      </w:tr>
      <w:tr w:rsidR="00A705F2" w:rsidRPr="0016020A" w14:paraId="50413DC9" w14:textId="77777777" w:rsidTr="0060031C">
        <w:trPr>
          <w:trHeight w:val="307"/>
          <w:tblHeader/>
        </w:trPr>
        <w:tc>
          <w:tcPr>
            <w:tcW w:w="3286" w:type="pct"/>
            <w:shd w:val="clear" w:color="auto" w:fill="F5F5F1"/>
            <w:noWrap/>
            <w:hideMark/>
          </w:tcPr>
          <w:p w14:paraId="79582FC9" w14:textId="77777777" w:rsidR="00A705F2" w:rsidRPr="0016020A" w:rsidRDefault="00A705F2" w:rsidP="0060031C">
            <w:pPr>
              <w:jc w:val="left"/>
              <w:rPr>
                <w:rFonts w:cstheme="minorHAnsi"/>
              </w:rPr>
            </w:pPr>
            <w:r w:rsidRPr="0016020A">
              <w:rPr>
                <w:rFonts w:cstheme="minorHAnsi"/>
              </w:rPr>
              <w:t>Circulatory/Respiratory system</w:t>
            </w:r>
          </w:p>
        </w:tc>
        <w:tc>
          <w:tcPr>
            <w:tcW w:w="1714" w:type="pct"/>
            <w:shd w:val="clear" w:color="auto" w:fill="F5F5F1"/>
            <w:noWrap/>
            <w:hideMark/>
          </w:tcPr>
          <w:p w14:paraId="472E24A9" w14:textId="77777777" w:rsidR="00A705F2" w:rsidRPr="0016020A" w:rsidRDefault="00A705F2" w:rsidP="0060031C">
            <w:pPr>
              <w:jc w:val="left"/>
              <w:rPr>
                <w:rFonts w:cstheme="minorHAnsi"/>
              </w:rPr>
            </w:pPr>
            <w:r w:rsidRPr="0016020A">
              <w:rPr>
                <w:rFonts w:cstheme="minorHAnsi"/>
              </w:rPr>
              <w:t>16.2%</w:t>
            </w:r>
          </w:p>
        </w:tc>
      </w:tr>
      <w:tr w:rsidR="00A705F2" w:rsidRPr="0016020A" w14:paraId="5F27F885" w14:textId="77777777" w:rsidTr="0060031C">
        <w:trPr>
          <w:trHeight w:val="307"/>
          <w:tblHeader/>
        </w:trPr>
        <w:tc>
          <w:tcPr>
            <w:tcW w:w="3286" w:type="pct"/>
            <w:tcBorders>
              <w:bottom w:val="single" w:sz="12" w:space="0" w:color="auto"/>
            </w:tcBorders>
            <w:shd w:val="clear" w:color="auto" w:fill="F5F5F1"/>
            <w:noWrap/>
            <w:hideMark/>
          </w:tcPr>
          <w:p w14:paraId="71EC326A" w14:textId="77777777" w:rsidR="00A705F2" w:rsidRPr="0016020A" w:rsidRDefault="00A705F2" w:rsidP="0060031C">
            <w:pPr>
              <w:jc w:val="left"/>
              <w:rPr>
                <w:rFonts w:cstheme="minorHAnsi"/>
              </w:rPr>
            </w:pPr>
            <w:r w:rsidRPr="0016020A">
              <w:rPr>
                <w:rFonts w:cstheme="minorHAnsi"/>
              </w:rPr>
              <w:t>Other causes/Unknown</w:t>
            </w:r>
          </w:p>
        </w:tc>
        <w:tc>
          <w:tcPr>
            <w:tcW w:w="1714" w:type="pct"/>
            <w:tcBorders>
              <w:bottom w:val="single" w:sz="12" w:space="0" w:color="auto"/>
            </w:tcBorders>
            <w:shd w:val="clear" w:color="auto" w:fill="F5F5F1"/>
            <w:noWrap/>
            <w:hideMark/>
          </w:tcPr>
          <w:p w14:paraId="0D570A04" w14:textId="77777777" w:rsidR="00A705F2" w:rsidRPr="0016020A" w:rsidRDefault="00A705F2" w:rsidP="0060031C">
            <w:pPr>
              <w:jc w:val="left"/>
              <w:rPr>
                <w:rFonts w:cstheme="minorHAnsi"/>
              </w:rPr>
            </w:pPr>
            <w:r w:rsidRPr="0016020A">
              <w:rPr>
                <w:rFonts w:cstheme="minorHAnsi"/>
              </w:rPr>
              <w:t>8.6%</w:t>
            </w:r>
          </w:p>
        </w:tc>
      </w:tr>
      <w:tr w:rsidR="00A705F2" w:rsidRPr="0016020A" w14:paraId="145BCDC0" w14:textId="77777777" w:rsidTr="00587352">
        <w:trPr>
          <w:trHeight w:val="307"/>
          <w:tblHeader/>
        </w:trPr>
        <w:tc>
          <w:tcPr>
            <w:tcW w:w="5000" w:type="pct"/>
            <w:gridSpan w:val="2"/>
            <w:tcBorders>
              <w:top w:val="single" w:sz="12" w:space="0" w:color="auto"/>
            </w:tcBorders>
            <w:noWrap/>
          </w:tcPr>
          <w:p w14:paraId="1B75E195" w14:textId="08166C20" w:rsidR="00A705F2" w:rsidRPr="0016020A" w:rsidRDefault="00A705F2" w:rsidP="00350CA4">
            <w:pPr>
              <w:jc w:val="left"/>
              <w:rPr>
                <w:rFonts w:cstheme="minorHAnsi"/>
                <w:sz w:val="18"/>
                <w:szCs w:val="18"/>
              </w:rPr>
            </w:pPr>
            <w:r w:rsidRPr="0016020A">
              <w:rPr>
                <w:rFonts w:cstheme="minorHAnsi"/>
                <w:i/>
                <w:iCs/>
                <w:sz w:val="18"/>
                <w:szCs w:val="18"/>
              </w:rPr>
              <w:t>Source</w:t>
            </w:r>
            <w:r w:rsidRPr="0016020A">
              <w:rPr>
                <w:rFonts w:cstheme="minorHAnsi"/>
                <w:sz w:val="18"/>
                <w:szCs w:val="18"/>
              </w:rPr>
              <w:t xml:space="preserve">: Health Canada, </w:t>
            </w:r>
            <w:r w:rsidRPr="0016020A">
              <w:rPr>
                <w:rFonts w:cstheme="minorHAnsi"/>
                <w:i/>
                <w:iCs/>
                <w:sz w:val="18"/>
                <w:szCs w:val="18"/>
              </w:rPr>
              <w:t>Third Interim Report on Medical Assistance in Dying in Canada</w:t>
            </w:r>
            <w:r w:rsidRPr="0016020A">
              <w:rPr>
                <w:rFonts w:cstheme="minorHAnsi"/>
                <w:sz w:val="18"/>
                <w:szCs w:val="18"/>
              </w:rPr>
              <w:t xml:space="preserve"> (Ottawa, Canada, 2018)</w:t>
            </w:r>
          </w:p>
        </w:tc>
      </w:tr>
    </w:tbl>
    <w:p w14:paraId="20F0F034" w14:textId="77777777" w:rsidR="00A705F2" w:rsidRPr="0016020A" w:rsidRDefault="00A705F2" w:rsidP="00363A5F">
      <w:pPr>
        <w:pStyle w:val="Heading2"/>
        <w:rPr>
          <w:rFonts w:eastAsiaTheme="majorEastAsia"/>
        </w:rPr>
      </w:pPr>
      <w:r w:rsidRPr="0016020A">
        <w:rPr>
          <w:rFonts w:eastAsiaTheme="majorEastAsia"/>
        </w:rPr>
        <w:t>10.27 Number of reported deaths of persons with disabilities in places of detention and institutions and/or in the provision of disability-related services and/or health care, and proportion of those deaths which have been subject to investigation disaggregated by age, sex, disability, place and cause of death concluded by investigation.</w:t>
      </w:r>
    </w:p>
    <w:p w14:paraId="4FB0635D" w14:textId="77777777" w:rsidR="00A705F2" w:rsidRPr="0016020A" w:rsidRDefault="00A705F2" w:rsidP="00363A5F">
      <w:pPr>
        <w:pStyle w:val="Heading4"/>
        <w:rPr>
          <w:rFonts w:eastAsiaTheme="majorEastAsia"/>
        </w:rPr>
      </w:pPr>
      <w:r w:rsidRPr="0016020A">
        <w:rPr>
          <w:rFonts w:eastAsiaTheme="majorEastAsia"/>
        </w:rPr>
        <w:t>Level 3: Indicator for which acquiring data is more complex or requires the development of data collection mechanisms which are currently not in place.</w:t>
      </w:r>
    </w:p>
    <w:p w14:paraId="17C8AF17" w14:textId="115DD5E3" w:rsidR="00A705F2" w:rsidRPr="0016020A" w:rsidRDefault="00A705F2" w:rsidP="00350CA4">
      <w:pPr>
        <w:jc w:val="left"/>
        <w:rPr>
          <w:color w:val="000000" w:themeColor="text1"/>
        </w:rPr>
      </w:pPr>
      <w:r w:rsidRPr="0016020A">
        <w:rPr>
          <w:color w:val="000000" w:themeColor="text1"/>
        </w:rPr>
        <w:t xml:space="preserve">The United States of America reports the number of deaths in prison by state, race, sex, age and cause of death, but not by disability status, as can be seen in the article available at </w:t>
      </w:r>
      <w:hyperlink r:id="rId26" w:tooltip="https://www.bjs.gov/content/pub/pdf/msfp0116st.pdf" w:history="1">
        <w:r w:rsidR="00FE3CC4" w:rsidRPr="0016020A">
          <w:rPr>
            <w:rStyle w:val="Hyperlink"/>
            <w:rFonts w:eastAsiaTheme="majorEastAsia"/>
          </w:rPr>
          <w:t>http://www.bjs.gov/</w:t>
        </w:r>
      </w:hyperlink>
      <w:r w:rsidRPr="0016020A">
        <w:rPr>
          <w:color w:val="000000" w:themeColor="text1"/>
        </w:rPr>
        <w:t>. This could be added to administrative data.</w:t>
      </w:r>
    </w:p>
    <w:p w14:paraId="3D1B8BBD" w14:textId="77777777" w:rsidR="00A705F2" w:rsidRPr="0016020A" w:rsidRDefault="00A705F2" w:rsidP="00350CA4">
      <w:pPr>
        <w:jc w:val="left"/>
        <w:rPr>
          <w:color w:val="000000" w:themeColor="text1"/>
        </w:rPr>
      </w:pPr>
      <w:r w:rsidRPr="0016020A">
        <w:rPr>
          <w:color w:val="000000" w:themeColor="text1"/>
        </w:rPr>
        <w:t>South Africa records the disability status of incarcerated individuals, but reports could not be found for these indicators.</w:t>
      </w:r>
    </w:p>
    <w:p w14:paraId="211F9B05" w14:textId="09667A2A" w:rsidR="00355C6D" w:rsidRPr="0016020A" w:rsidRDefault="00A705F2" w:rsidP="00350CA4">
      <w:pPr>
        <w:jc w:val="left"/>
        <w:rPr>
          <w:rFonts w:cstheme="minorHAnsi"/>
          <w:color w:val="0000FF"/>
          <w:u w:val="single"/>
        </w:rPr>
      </w:pPr>
      <w:r w:rsidRPr="0016020A">
        <w:rPr>
          <w:color w:val="000000" w:themeColor="text1"/>
        </w:rPr>
        <w:t xml:space="preserve">Many instances of persons with disabilities dying in other types of residential institutions are in the press and court cases in many countries. A </w:t>
      </w:r>
      <w:hyperlink r:id="rId27" w:history="1">
        <w:r w:rsidRPr="0016020A">
          <w:rPr>
            <w:rStyle w:val="Hyperlink"/>
            <w:rFonts w:eastAsiaTheme="majorEastAsia"/>
          </w:rPr>
          <w:t>national study from Australia</w:t>
        </w:r>
      </w:hyperlink>
      <w:r w:rsidRPr="0016020A">
        <w:rPr>
          <w:color w:val="000000" w:themeColor="text1"/>
        </w:rPr>
        <w:t xml:space="preserve"> examined the grey </w:t>
      </w:r>
      <w:r w:rsidRPr="0016020A">
        <w:rPr>
          <w:color w:val="000000" w:themeColor="text1"/>
        </w:rPr>
        <w:lastRenderedPageBreak/>
        <w:t>literature, “contacting all relevant state and territory departments and coroners’ courts, as well as the National Coronial Inquest System (NCIS) administrators, to confirm that no other reports meeting selection criteria were available.” Overall, 901 deaths were examined and reported on in terms of the person’s health background, underlying causes of death, and place and circumstances of death.</w:t>
      </w:r>
    </w:p>
    <w:sectPr w:rsidR="00355C6D" w:rsidRPr="0016020A" w:rsidSect="0069451E">
      <w:footerReference w:type="even" r:id="rId28"/>
      <w:footerReference w:type="default" r:id="rId29"/>
      <w:pgSz w:w="11900" w:h="1682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C804C" w14:textId="77777777" w:rsidR="005B59AE" w:rsidRPr="0016020A" w:rsidRDefault="005B59AE" w:rsidP="00461540">
      <w:r w:rsidRPr="0016020A">
        <w:separator/>
      </w:r>
    </w:p>
  </w:endnote>
  <w:endnote w:type="continuationSeparator" w:id="0">
    <w:p w14:paraId="661C6DCC" w14:textId="77777777" w:rsidR="005B59AE" w:rsidRPr="0016020A" w:rsidRDefault="005B59AE" w:rsidP="00461540">
      <w:r w:rsidRPr="001602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C22620" w:rsidRPr="0016020A" w:rsidRDefault="00C22620" w:rsidP="005935AC">
        <w:pPr>
          <w:pStyle w:val="Footer"/>
          <w:framePr w:wrap="none" w:vAnchor="text" w:hAnchor="margin" w:xAlign="right" w:y="1"/>
          <w:rPr>
            <w:rStyle w:val="PageNumber"/>
          </w:rPr>
        </w:pPr>
        <w:r w:rsidRPr="0016020A">
          <w:rPr>
            <w:rStyle w:val="PageNumber"/>
          </w:rPr>
          <w:fldChar w:fldCharType="begin"/>
        </w:r>
        <w:r w:rsidRPr="0016020A">
          <w:rPr>
            <w:rStyle w:val="PageNumber"/>
          </w:rPr>
          <w:instrText xml:space="preserve"> PAGE </w:instrText>
        </w:r>
        <w:r w:rsidRPr="0016020A">
          <w:rPr>
            <w:rStyle w:val="PageNumber"/>
          </w:rPr>
          <w:fldChar w:fldCharType="end"/>
        </w:r>
      </w:p>
    </w:sdtContent>
  </w:sdt>
  <w:p w14:paraId="143BCC80" w14:textId="77777777" w:rsidR="00C22620" w:rsidRPr="0016020A" w:rsidRDefault="00C22620"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383959"/>
      <w:docPartObj>
        <w:docPartGallery w:val="Page Numbers (Bottom of Page)"/>
        <w:docPartUnique/>
      </w:docPartObj>
    </w:sdtPr>
    <w:sdtEndPr>
      <w:rPr>
        <w:rStyle w:val="PageNumber"/>
        <w:b/>
        <w:sz w:val="18"/>
        <w:szCs w:val="18"/>
      </w:rPr>
    </w:sdtEndPr>
    <w:sdtContent>
      <w:p w14:paraId="672B0C64" w14:textId="7D94C785" w:rsidR="00C22620" w:rsidRPr="0016020A" w:rsidRDefault="00C22620" w:rsidP="00867838">
        <w:pPr>
          <w:pStyle w:val="Footer"/>
          <w:framePr w:wrap="none" w:vAnchor="text" w:hAnchor="margin" w:xAlign="right" w:y="1"/>
          <w:spacing w:before="0" w:after="0" w:line="240" w:lineRule="auto"/>
          <w:rPr>
            <w:rStyle w:val="PageNumber"/>
            <w:b/>
          </w:rPr>
        </w:pPr>
        <w:r w:rsidRPr="0016020A">
          <w:rPr>
            <w:rStyle w:val="PageNumber"/>
            <w:rFonts w:cstheme="minorHAnsi"/>
            <w:b/>
          </w:rPr>
          <w:fldChar w:fldCharType="begin"/>
        </w:r>
        <w:r w:rsidRPr="0016020A">
          <w:rPr>
            <w:rStyle w:val="PageNumber"/>
            <w:rFonts w:cstheme="minorHAnsi"/>
            <w:b/>
          </w:rPr>
          <w:instrText xml:space="preserve"> PAGE </w:instrText>
        </w:r>
        <w:r w:rsidRPr="0016020A">
          <w:rPr>
            <w:rStyle w:val="PageNumber"/>
            <w:rFonts w:cstheme="minorHAnsi"/>
            <w:b/>
          </w:rPr>
          <w:fldChar w:fldCharType="separate"/>
        </w:r>
        <w:r w:rsidR="00AC5C18" w:rsidRPr="0016020A">
          <w:rPr>
            <w:rStyle w:val="PageNumber"/>
            <w:rFonts w:cstheme="minorHAnsi"/>
            <w:b/>
            <w:noProof/>
          </w:rPr>
          <w:t>9</w:t>
        </w:r>
        <w:r w:rsidRPr="0016020A">
          <w:rPr>
            <w:rStyle w:val="PageNumber"/>
            <w:rFonts w:cstheme="minorHAnsi"/>
            <w:b/>
          </w:rPr>
          <w:fldChar w:fldCharType="end"/>
        </w:r>
      </w:p>
    </w:sdtContent>
  </w:sdt>
  <w:p w14:paraId="3DD7EA18" w14:textId="053B8205" w:rsidR="0060490A" w:rsidRPr="0016020A" w:rsidRDefault="0060490A" w:rsidP="0060490A">
    <w:pPr>
      <w:pStyle w:val="Footer"/>
      <w:tabs>
        <w:tab w:val="clear" w:pos="9360"/>
        <w:tab w:val="right" w:pos="8300"/>
      </w:tabs>
      <w:spacing w:before="0"/>
      <w:ind w:left="432" w:right="360"/>
      <w:rPr>
        <w:spacing w:val="-2"/>
        <w:sz w:val="18"/>
        <w:szCs w:val="18"/>
        <w:lang w:val="en-US"/>
      </w:rPr>
    </w:pPr>
    <w:r w:rsidRPr="0016020A">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1F3C63B4" wp14:editId="3EEF3FBB">
              <wp:simplePos x="0" y="0"/>
              <wp:positionH relativeFrom="column">
                <wp:posOffset>5319324</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8B005" id="Rounded Rectangle 4" o:spid="_x0000_s1026" alt="&quot;&quot;" style="position:absolute;margin-left:418.85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" fillcolor="#ffc000" stroked="f" strokeweight="1pt">
              <v:stroke joinstyle="miter"/>
              <w10:wrap type="through"/>
            </v:roundrect>
          </w:pict>
        </mc:Fallback>
      </mc:AlternateContent>
    </w:r>
    <w:r w:rsidRPr="0016020A">
      <w:rPr>
        <w:rFonts w:asciiTheme="minorHAnsi" w:hAnsiTheme="minorHAnsi"/>
        <w:noProof/>
        <w:sz w:val="18"/>
        <w:szCs w:val="18"/>
        <w:lang w:eastAsia="en-GB"/>
      </w:rPr>
      <w:drawing>
        <wp:anchor distT="0" distB="0" distL="114300" distR="114300" simplePos="0" relativeHeight="251659264" behindDoc="0" locked="0" layoutInCell="1" allowOverlap="1" wp14:anchorId="542792C0" wp14:editId="0D35BCC6">
          <wp:simplePos x="0" y="0"/>
          <wp:positionH relativeFrom="column">
            <wp:posOffset>-3810</wp:posOffset>
          </wp:positionH>
          <wp:positionV relativeFrom="paragraph">
            <wp:posOffset>-6127</wp:posOffset>
          </wp:positionV>
          <wp:extent cx="287020" cy="148590"/>
          <wp:effectExtent l="0" t="0" r="0" b="3810"/>
          <wp:wrapNone/>
          <wp:docPr id="9" name="Picture 9"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20A">
      <w:rPr>
        <w:rFonts w:asciiTheme="minorHAnsi" w:hAnsiTheme="minorHAnsi"/>
        <w:sz w:val="18"/>
        <w:szCs w:val="18"/>
        <w:lang w:val="en-US"/>
      </w:rPr>
      <w:t xml:space="preserve">  </w:t>
    </w:r>
    <w:r w:rsidRPr="0016020A">
      <w:rPr>
        <w:color w:val="7F7F7F" w:themeColor="text1" w:themeTint="80"/>
        <w:sz w:val="18"/>
        <w:szCs w:val="18"/>
        <w:lang w:val="en-US"/>
      </w:rPr>
      <w:t>+</w:t>
    </w:r>
    <w:r w:rsidRPr="0016020A">
      <w:rPr>
        <w:color w:val="7F7F7F" w:themeColor="text1" w:themeTint="80"/>
        <w:spacing w:val="-2"/>
        <w:sz w:val="18"/>
        <w:szCs w:val="18"/>
        <w:lang w:val="en-US"/>
      </w:rPr>
      <w:t xml:space="preserve"> Data Sources on Article 10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25298" w14:textId="77777777" w:rsidR="005B59AE" w:rsidRPr="0016020A" w:rsidRDefault="005B59AE" w:rsidP="00461540">
      <w:r w:rsidRPr="0016020A">
        <w:separator/>
      </w:r>
    </w:p>
  </w:footnote>
  <w:footnote w:type="continuationSeparator" w:id="0">
    <w:p w14:paraId="53E4357F" w14:textId="77777777" w:rsidR="005B59AE" w:rsidRPr="0016020A" w:rsidRDefault="005B59AE" w:rsidP="00461540">
      <w:r w:rsidRPr="0016020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7C23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C6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72B1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E06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A6D6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B84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24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09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0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90BDA"/>
    <w:multiLevelType w:val="hybridMultilevel"/>
    <w:tmpl w:val="CCE863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70AF"/>
    <w:multiLevelType w:val="hybridMultilevel"/>
    <w:tmpl w:val="8BB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E7475E"/>
    <w:multiLevelType w:val="hybridMultilevel"/>
    <w:tmpl w:val="61D6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D026F"/>
    <w:multiLevelType w:val="hybridMultilevel"/>
    <w:tmpl w:val="2BC0F272"/>
    <w:lvl w:ilvl="0" w:tplc="4C7EF54C">
      <w:start w:val="1"/>
      <w:numFmt w:val="bullet"/>
      <w:lvlText w:val="“"/>
      <w:lvlJc w:val="left"/>
      <w:pPr>
        <w:ind w:left="360" w:hanging="360"/>
      </w:pPr>
      <w:rPr>
        <w:rFonts w:ascii="Calibri" w:hAnsi="Calibri" w:cs="Times New Roman" w:hint="default"/>
        <w:b/>
        <w:i/>
        <w:strike w:val="0"/>
        <w:dstrike w:val="0"/>
        <w:vanish w:val="0"/>
        <w:color w:val="0070C0"/>
        <w:spacing w:val="0"/>
        <w:w w:val="100"/>
        <w:kern w:val="0"/>
        <w:position w:val="12"/>
        <w:sz w:val="36"/>
        <w:szCs w:val="48"/>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F1C77"/>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15" w15:restartNumberingAfterBreak="0">
    <w:nsid w:val="119C5107"/>
    <w:multiLevelType w:val="hybridMultilevel"/>
    <w:tmpl w:val="680CF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1332C"/>
    <w:multiLevelType w:val="hybridMultilevel"/>
    <w:tmpl w:val="0A362A8E"/>
    <w:lvl w:ilvl="0" w:tplc="21C03726">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6071F"/>
    <w:multiLevelType w:val="hybridMultilevel"/>
    <w:tmpl w:val="A7C25218"/>
    <w:lvl w:ilvl="0" w:tplc="04090003">
      <w:start w:val="1"/>
      <w:numFmt w:val="bullet"/>
      <w:lvlText w:val="o"/>
      <w:lvlJc w:val="left"/>
      <w:pPr>
        <w:ind w:left="360" w:hanging="360"/>
      </w:pPr>
      <w:rPr>
        <w:rFonts w:ascii="Courier New" w:hAnsi="Courier New" w:cs="Courier New"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AD361B"/>
    <w:multiLevelType w:val="hybridMultilevel"/>
    <w:tmpl w:val="CE7635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14225"/>
    <w:multiLevelType w:val="hybridMultilevel"/>
    <w:tmpl w:val="349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192884"/>
    <w:multiLevelType w:val="hybridMultilevel"/>
    <w:tmpl w:val="346A4E36"/>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607A0F"/>
    <w:multiLevelType w:val="hybridMultilevel"/>
    <w:tmpl w:val="E8B624B8"/>
    <w:lvl w:ilvl="0" w:tplc="03F40372">
      <w:numFmt w:val="bullet"/>
      <w:lvlText w:val=""/>
      <w:lvlJc w:val="left"/>
      <w:pPr>
        <w:ind w:left="361" w:hanging="353"/>
      </w:pPr>
      <w:rPr>
        <w:rFonts w:ascii="Wingdings" w:eastAsia="Wingdings" w:hAnsi="Wingdings" w:cs="Wingdings" w:hint="default"/>
        <w:w w:val="100"/>
        <w:sz w:val="24"/>
        <w:szCs w:val="24"/>
        <w:lang w:val="en-GB" w:eastAsia="en-GB" w:bidi="en-GB"/>
      </w:rPr>
    </w:lvl>
    <w:lvl w:ilvl="1" w:tplc="9214A05E">
      <w:numFmt w:val="bullet"/>
      <w:lvlText w:val=""/>
      <w:lvlJc w:val="left"/>
      <w:pPr>
        <w:ind w:left="1039" w:hanging="353"/>
      </w:pPr>
      <w:rPr>
        <w:rFonts w:ascii="Symbol" w:eastAsia="Symbol" w:hAnsi="Symbol" w:cs="Symbol" w:hint="default"/>
        <w:w w:val="100"/>
        <w:sz w:val="24"/>
        <w:szCs w:val="24"/>
        <w:lang w:val="en-GB" w:eastAsia="en-GB" w:bidi="en-GB"/>
      </w:rPr>
    </w:lvl>
    <w:lvl w:ilvl="2" w:tplc="C5526E9A">
      <w:numFmt w:val="bullet"/>
      <w:lvlText w:val="o"/>
      <w:lvlJc w:val="left"/>
      <w:pPr>
        <w:ind w:left="1760" w:hanging="353"/>
      </w:pPr>
      <w:rPr>
        <w:rFonts w:ascii="Courier New" w:eastAsia="Courier New" w:hAnsi="Courier New" w:cs="Courier New" w:hint="default"/>
        <w:w w:val="100"/>
        <w:sz w:val="24"/>
        <w:szCs w:val="24"/>
        <w:lang w:val="en-GB" w:eastAsia="en-GB" w:bidi="en-GB"/>
      </w:rPr>
    </w:lvl>
    <w:lvl w:ilvl="3" w:tplc="6ACA2A8E">
      <w:numFmt w:val="bullet"/>
      <w:lvlText w:val="•"/>
      <w:lvlJc w:val="left"/>
      <w:pPr>
        <w:ind w:left="2553" w:hanging="353"/>
      </w:pPr>
      <w:rPr>
        <w:rFonts w:hint="default"/>
        <w:lang w:val="en-GB" w:eastAsia="en-GB" w:bidi="en-GB"/>
      </w:rPr>
    </w:lvl>
    <w:lvl w:ilvl="4" w:tplc="EA265496">
      <w:numFmt w:val="bullet"/>
      <w:lvlText w:val="•"/>
      <w:lvlJc w:val="left"/>
      <w:pPr>
        <w:ind w:left="3346" w:hanging="353"/>
      </w:pPr>
      <w:rPr>
        <w:rFonts w:hint="default"/>
        <w:lang w:val="en-GB" w:eastAsia="en-GB" w:bidi="en-GB"/>
      </w:rPr>
    </w:lvl>
    <w:lvl w:ilvl="5" w:tplc="85686FAA">
      <w:numFmt w:val="bullet"/>
      <w:lvlText w:val="•"/>
      <w:lvlJc w:val="left"/>
      <w:pPr>
        <w:ind w:left="4139" w:hanging="353"/>
      </w:pPr>
      <w:rPr>
        <w:rFonts w:hint="default"/>
        <w:lang w:val="en-GB" w:eastAsia="en-GB" w:bidi="en-GB"/>
      </w:rPr>
    </w:lvl>
    <w:lvl w:ilvl="6" w:tplc="66FAE820">
      <w:numFmt w:val="bullet"/>
      <w:lvlText w:val="•"/>
      <w:lvlJc w:val="left"/>
      <w:pPr>
        <w:ind w:left="4932" w:hanging="353"/>
      </w:pPr>
      <w:rPr>
        <w:rFonts w:hint="default"/>
        <w:lang w:val="en-GB" w:eastAsia="en-GB" w:bidi="en-GB"/>
      </w:rPr>
    </w:lvl>
    <w:lvl w:ilvl="7" w:tplc="93D4ABE8">
      <w:numFmt w:val="bullet"/>
      <w:lvlText w:val="•"/>
      <w:lvlJc w:val="left"/>
      <w:pPr>
        <w:ind w:left="5725" w:hanging="353"/>
      </w:pPr>
      <w:rPr>
        <w:rFonts w:hint="default"/>
        <w:lang w:val="en-GB" w:eastAsia="en-GB" w:bidi="en-GB"/>
      </w:rPr>
    </w:lvl>
    <w:lvl w:ilvl="8" w:tplc="9702AB64">
      <w:numFmt w:val="bullet"/>
      <w:lvlText w:val="•"/>
      <w:lvlJc w:val="left"/>
      <w:pPr>
        <w:ind w:left="6518" w:hanging="353"/>
      </w:pPr>
      <w:rPr>
        <w:rFonts w:hint="default"/>
        <w:lang w:val="en-GB" w:eastAsia="en-GB" w:bidi="en-GB"/>
      </w:rPr>
    </w:lvl>
  </w:abstractNum>
  <w:abstractNum w:abstractNumId="22" w15:restartNumberingAfterBreak="0">
    <w:nsid w:val="2B355B84"/>
    <w:multiLevelType w:val="hybridMultilevel"/>
    <w:tmpl w:val="560C8932"/>
    <w:lvl w:ilvl="0" w:tplc="9EF48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9171C6"/>
    <w:multiLevelType w:val="multilevel"/>
    <w:tmpl w:val="06D4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F37AB6"/>
    <w:multiLevelType w:val="hybridMultilevel"/>
    <w:tmpl w:val="C71AEB30"/>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B486A"/>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6" w15:restartNumberingAfterBreak="0">
    <w:nsid w:val="316640E9"/>
    <w:multiLevelType w:val="hybridMultilevel"/>
    <w:tmpl w:val="DD58F3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FC346A"/>
    <w:multiLevelType w:val="hybridMultilevel"/>
    <w:tmpl w:val="228A824C"/>
    <w:lvl w:ilvl="0" w:tplc="9EF482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743790"/>
    <w:multiLevelType w:val="hybridMultilevel"/>
    <w:tmpl w:val="B498BB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82363AD"/>
    <w:multiLevelType w:val="hybridMultilevel"/>
    <w:tmpl w:val="80FC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AC9652E"/>
    <w:multiLevelType w:val="hybridMultilevel"/>
    <w:tmpl w:val="B99AF69A"/>
    <w:lvl w:ilvl="0" w:tplc="E09C8312">
      <w:numFmt w:val="bullet"/>
      <w:lvlText w:val="-"/>
      <w:lvlJc w:val="left"/>
      <w:pPr>
        <w:ind w:left="360" w:hanging="360"/>
      </w:pPr>
      <w:rPr>
        <w:rFonts w:ascii="Calibri" w:eastAsiaTheme="minorHAnsi" w:hAnsi="Calibri" w:cstheme="minorHAnsi"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223CE7"/>
    <w:multiLevelType w:val="hybridMultilevel"/>
    <w:tmpl w:val="363E6A1E"/>
    <w:lvl w:ilvl="0" w:tplc="04090001">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34" w15:restartNumberingAfterBreak="0">
    <w:nsid w:val="4EA01FD7"/>
    <w:multiLevelType w:val="hybridMultilevel"/>
    <w:tmpl w:val="6302AAD0"/>
    <w:lvl w:ilvl="0" w:tplc="8A8C9DA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F0237F"/>
    <w:multiLevelType w:val="hybridMultilevel"/>
    <w:tmpl w:val="CA8C0D02"/>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1008A"/>
    <w:multiLevelType w:val="hybridMultilevel"/>
    <w:tmpl w:val="B45831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A4D5889"/>
    <w:multiLevelType w:val="hybridMultilevel"/>
    <w:tmpl w:val="7A8A6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81142"/>
    <w:multiLevelType w:val="hybridMultilevel"/>
    <w:tmpl w:val="9C864FFA"/>
    <w:lvl w:ilvl="0" w:tplc="9B4C629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6D727561"/>
    <w:multiLevelType w:val="hybridMultilevel"/>
    <w:tmpl w:val="971ED34C"/>
    <w:lvl w:ilvl="0" w:tplc="8F32FD74">
      <w:numFmt w:val="bullet"/>
      <w:lvlText w:val=""/>
      <w:lvlJc w:val="left"/>
      <w:pPr>
        <w:ind w:left="1039" w:hanging="353"/>
      </w:pPr>
      <w:rPr>
        <w:rFonts w:ascii="Symbol" w:eastAsia="Symbol" w:hAnsi="Symbol" w:cs="Symbol" w:hint="default"/>
        <w:w w:val="100"/>
        <w:sz w:val="24"/>
        <w:szCs w:val="24"/>
        <w:lang w:val="en-GB" w:eastAsia="en-GB" w:bidi="en-GB"/>
      </w:rPr>
    </w:lvl>
    <w:lvl w:ilvl="1" w:tplc="16D6848A">
      <w:numFmt w:val="bullet"/>
      <w:lvlText w:val="o"/>
      <w:lvlJc w:val="left"/>
      <w:pPr>
        <w:ind w:left="1760" w:hanging="353"/>
      </w:pPr>
      <w:rPr>
        <w:rFonts w:ascii="Courier New" w:eastAsia="Courier New" w:hAnsi="Courier New" w:cs="Courier New" w:hint="default"/>
        <w:w w:val="100"/>
        <w:sz w:val="24"/>
        <w:szCs w:val="24"/>
        <w:lang w:val="en-GB" w:eastAsia="en-GB" w:bidi="en-GB"/>
      </w:rPr>
    </w:lvl>
    <w:lvl w:ilvl="2" w:tplc="35C2CE5A">
      <w:numFmt w:val="bullet"/>
      <w:lvlText w:val=""/>
      <w:lvlJc w:val="left"/>
      <w:pPr>
        <w:ind w:left="2480" w:hanging="353"/>
      </w:pPr>
      <w:rPr>
        <w:rFonts w:ascii="Wingdings" w:eastAsia="Wingdings" w:hAnsi="Wingdings" w:cs="Wingdings" w:hint="default"/>
        <w:w w:val="100"/>
        <w:sz w:val="24"/>
        <w:szCs w:val="24"/>
        <w:lang w:val="en-GB" w:eastAsia="en-GB" w:bidi="en-GB"/>
      </w:rPr>
    </w:lvl>
    <w:lvl w:ilvl="3" w:tplc="EC94A0DA">
      <w:numFmt w:val="bullet"/>
      <w:lvlText w:val="•"/>
      <w:lvlJc w:val="left"/>
      <w:pPr>
        <w:ind w:left="3448" w:hanging="353"/>
      </w:pPr>
      <w:rPr>
        <w:rFonts w:hint="default"/>
        <w:lang w:val="en-GB" w:eastAsia="en-GB" w:bidi="en-GB"/>
      </w:rPr>
    </w:lvl>
    <w:lvl w:ilvl="4" w:tplc="5B5E7A42">
      <w:numFmt w:val="bullet"/>
      <w:lvlText w:val="•"/>
      <w:lvlJc w:val="left"/>
      <w:pPr>
        <w:ind w:left="4416" w:hanging="353"/>
      </w:pPr>
      <w:rPr>
        <w:rFonts w:hint="default"/>
        <w:lang w:val="en-GB" w:eastAsia="en-GB" w:bidi="en-GB"/>
      </w:rPr>
    </w:lvl>
    <w:lvl w:ilvl="5" w:tplc="D8A4CD50">
      <w:numFmt w:val="bullet"/>
      <w:lvlText w:val="•"/>
      <w:lvlJc w:val="left"/>
      <w:pPr>
        <w:ind w:left="5384" w:hanging="353"/>
      </w:pPr>
      <w:rPr>
        <w:rFonts w:hint="default"/>
        <w:lang w:val="en-GB" w:eastAsia="en-GB" w:bidi="en-GB"/>
      </w:rPr>
    </w:lvl>
    <w:lvl w:ilvl="6" w:tplc="0F30046C">
      <w:numFmt w:val="bullet"/>
      <w:lvlText w:val="•"/>
      <w:lvlJc w:val="left"/>
      <w:pPr>
        <w:ind w:left="6352" w:hanging="353"/>
      </w:pPr>
      <w:rPr>
        <w:rFonts w:hint="default"/>
        <w:lang w:val="en-GB" w:eastAsia="en-GB" w:bidi="en-GB"/>
      </w:rPr>
    </w:lvl>
    <w:lvl w:ilvl="7" w:tplc="0D806A94">
      <w:numFmt w:val="bullet"/>
      <w:lvlText w:val="•"/>
      <w:lvlJc w:val="left"/>
      <w:pPr>
        <w:ind w:left="7320" w:hanging="353"/>
      </w:pPr>
      <w:rPr>
        <w:rFonts w:hint="default"/>
        <w:lang w:val="en-GB" w:eastAsia="en-GB" w:bidi="en-GB"/>
      </w:rPr>
    </w:lvl>
    <w:lvl w:ilvl="8" w:tplc="3EE4279E">
      <w:numFmt w:val="bullet"/>
      <w:lvlText w:val="•"/>
      <w:lvlJc w:val="left"/>
      <w:pPr>
        <w:ind w:left="8288" w:hanging="353"/>
      </w:pPr>
      <w:rPr>
        <w:rFonts w:hint="default"/>
        <w:lang w:val="en-GB" w:eastAsia="en-GB" w:bidi="en-GB"/>
      </w:rPr>
    </w:lvl>
  </w:abstractNum>
  <w:abstractNum w:abstractNumId="40" w15:restartNumberingAfterBreak="0">
    <w:nsid w:val="72EA5118"/>
    <w:multiLevelType w:val="hybridMultilevel"/>
    <w:tmpl w:val="9D485C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DD1A27"/>
    <w:multiLevelType w:val="hybridMultilevel"/>
    <w:tmpl w:val="DF2294B0"/>
    <w:lvl w:ilvl="0" w:tplc="04090017">
      <w:start w:val="1"/>
      <w:numFmt w:val="lowerLetter"/>
      <w:lvlText w:val="%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42" w15:restartNumberingAfterBreak="0">
    <w:nsid w:val="77A41191"/>
    <w:multiLevelType w:val="hybridMultilevel"/>
    <w:tmpl w:val="143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77DC7"/>
    <w:multiLevelType w:val="hybridMultilevel"/>
    <w:tmpl w:val="054A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D170D"/>
    <w:multiLevelType w:val="hybridMultilevel"/>
    <w:tmpl w:val="F7261B36"/>
    <w:lvl w:ilvl="0" w:tplc="9A5A01A2">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309A4"/>
    <w:multiLevelType w:val="hybridMultilevel"/>
    <w:tmpl w:val="38CC68A0"/>
    <w:lvl w:ilvl="0" w:tplc="D3F4B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36"/>
  </w:num>
  <w:num w:numId="4">
    <w:abstractNumId w:val="33"/>
  </w:num>
  <w:num w:numId="5">
    <w:abstractNumId w:val="23"/>
  </w:num>
  <w:num w:numId="6">
    <w:abstractNumId w:val="43"/>
  </w:num>
  <w:num w:numId="7">
    <w:abstractNumId w:val="29"/>
  </w:num>
  <w:num w:numId="8">
    <w:abstractNumId w:val="28"/>
  </w:num>
  <w:num w:numId="9">
    <w:abstractNumId w:val="34"/>
  </w:num>
  <w:num w:numId="10">
    <w:abstractNumId w:val="30"/>
  </w:num>
  <w:num w:numId="11">
    <w:abstractNumId w:val="17"/>
  </w:num>
  <w:num w:numId="12">
    <w:abstractNumId w:val="40"/>
  </w:num>
  <w:num w:numId="13">
    <w:abstractNumId w:val="25"/>
  </w:num>
  <w:num w:numId="14">
    <w:abstractNumId w:val="14"/>
  </w:num>
  <w:num w:numId="15">
    <w:abstractNumId w:val="37"/>
  </w:num>
  <w:num w:numId="16">
    <w:abstractNumId w:val="15"/>
  </w:num>
  <w:num w:numId="17">
    <w:abstractNumId w:val="11"/>
  </w:num>
  <w:num w:numId="18">
    <w:abstractNumId w:val="45"/>
  </w:num>
  <w:num w:numId="19">
    <w:abstractNumId w:val="18"/>
  </w:num>
  <w:num w:numId="20">
    <w:abstractNumId w:val="16"/>
  </w:num>
  <w:num w:numId="21">
    <w:abstractNumId w:val="32"/>
  </w:num>
  <w:num w:numId="22">
    <w:abstractNumId w:val="44"/>
  </w:num>
  <w:num w:numId="23">
    <w:abstractNumId w:val="24"/>
  </w:num>
  <w:num w:numId="24">
    <w:abstractNumId w:val="22"/>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20"/>
  </w:num>
  <w:num w:numId="36">
    <w:abstractNumId w:val="35"/>
  </w:num>
  <w:num w:numId="37">
    <w:abstractNumId w:val="31"/>
  </w:num>
  <w:num w:numId="38">
    <w:abstractNumId w:val="42"/>
  </w:num>
  <w:num w:numId="39">
    <w:abstractNumId w:val="12"/>
  </w:num>
  <w:num w:numId="40">
    <w:abstractNumId w:val="41"/>
  </w:num>
  <w:num w:numId="41">
    <w:abstractNumId w:val="21"/>
  </w:num>
  <w:num w:numId="42">
    <w:abstractNumId w:val="39"/>
  </w:num>
  <w:num w:numId="43">
    <w:abstractNumId w:val="13"/>
  </w:num>
  <w:num w:numId="44">
    <w:abstractNumId w:val="26"/>
  </w:num>
  <w:num w:numId="45">
    <w:abstractNumId w:val="2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132FA"/>
    <w:rsid w:val="00015BA0"/>
    <w:rsid w:val="000175F5"/>
    <w:rsid w:val="0002001C"/>
    <w:rsid w:val="000255F1"/>
    <w:rsid w:val="000263A9"/>
    <w:rsid w:val="00062C31"/>
    <w:rsid w:val="000764AF"/>
    <w:rsid w:val="00085AA9"/>
    <w:rsid w:val="00087BBD"/>
    <w:rsid w:val="0009093A"/>
    <w:rsid w:val="000A41D1"/>
    <w:rsid w:val="000A661C"/>
    <w:rsid w:val="000B1186"/>
    <w:rsid w:val="000B13D8"/>
    <w:rsid w:val="000B1723"/>
    <w:rsid w:val="000D47E4"/>
    <w:rsid w:val="000D4C34"/>
    <w:rsid w:val="000F5328"/>
    <w:rsid w:val="000F56DA"/>
    <w:rsid w:val="00101E46"/>
    <w:rsid w:val="00102434"/>
    <w:rsid w:val="00104C3F"/>
    <w:rsid w:val="0011247F"/>
    <w:rsid w:val="00113282"/>
    <w:rsid w:val="00113670"/>
    <w:rsid w:val="00116DE9"/>
    <w:rsid w:val="001243C1"/>
    <w:rsid w:val="00124491"/>
    <w:rsid w:val="001541E8"/>
    <w:rsid w:val="0016020A"/>
    <w:rsid w:val="00163B0E"/>
    <w:rsid w:val="00166B8E"/>
    <w:rsid w:val="00173D86"/>
    <w:rsid w:val="00181A67"/>
    <w:rsid w:val="00191D5C"/>
    <w:rsid w:val="00191DAC"/>
    <w:rsid w:val="001B2BF1"/>
    <w:rsid w:val="001C2D74"/>
    <w:rsid w:val="001C65CC"/>
    <w:rsid w:val="001C76A8"/>
    <w:rsid w:val="001D54C9"/>
    <w:rsid w:val="001F4B1B"/>
    <w:rsid w:val="002004D2"/>
    <w:rsid w:val="0020421C"/>
    <w:rsid w:val="00213CD1"/>
    <w:rsid w:val="002148FC"/>
    <w:rsid w:val="0021621F"/>
    <w:rsid w:val="002218F7"/>
    <w:rsid w:val="0022275D"/>
    <w:rsid w:val="00222C7E"/>
    <w:rsid w:val="0022595A"/>
    <w:rsid w:val="002268B4"/>
    <w:rsid w:val="00242D93"/>
    <w:rsid w:val="0026208F"/>
    <w:rsid w:val="0026364F"/>
    <w:rsid w:val="00267C45"/>
    <w:rsid w:val="00270A8A"/>
    <w:rsid w:val="00270BD0"/>
    <w:rsid w:val="0027734E"/>
    <w:rsid w:val="00286968"/>
    <w:rsid w:val="002949A8"/>
    <w:rsid w:val="002B7506"/>
    <w:rsid w:val="002C350A"/>
    <w:rsid w:val="002C4B00"/>
    <w:rsid w:val="002E12D5"/>
    <w:rsid w:val="002E25CA"/>
    <w:rsid w:val="002E4EB8"/>
    <w:rsid w:val="002E7C72"/>
    <w:rsid w:val="0031097C"/>
    <w:rsid w:val="00311B6B"/>
    <w:rsid w:val="003126C7"/>
    <w:rsid w:val="00313B63"/>
    <w:rsid w:val="00323FB0"/>
    <w:rsid w:val="00330FE4"/>
    <w:rsid w:val="0033262E"/>
    <w:rsid w:val="0034007F"/>
    <w:rsid w:val="003478B1"/>
    <w:rsid w:val="00350CA4"/>
    <w:rsid w:val="00353776"/>
    <w:rsid w:val="00355C6D"/>
    <w:rsid w:val="003616BB"/>
    <w:rsid w:val="00363A5F"/>
    <w:rsid w:val="00382A3E"/>
    <w:rsid w:val="00390D12"/>
    <w:rsid w:val="00396691"/>
    <w:rsid w:val="00396C8F"/>
    <w:rsid w:val="003A223E"/>
    <w:rsid w:val="003A2ADC"/>
    <w:rsid w:val="003B4512"/>
    <w:rsid w:val="003B7A00"/>
    <w:rsid w:val="003F1867"/>
    <w:rsid w:val="00426628"/>
    <w:rsid w:val="00432D6B"/>
    <w:rsid w:val="00435BA2"/>
    <w:rsid w:val="00435E14"/>
    <w:rsid w:val="00436405"/>
    <w:rsid w:val="004423EB"/>
    <w:rsid w:val="00446E99"/>
    <w:rsid w:val="00450B91"/>
    <w:rsid w:val="004550D6"/>
    <w:rsid w:val="00461540"/>
    <w:rsid w:val="0046655B"/>
    <w:rsid w:val="0046658B"/>
    <w:rsid w:val="00467602"/>
    <w:rsid w:val="00474244"/>
    <w:rsid w:val="004777C6"/>
    <w:rsid w:val="00484B33"/>
    <w:rsid w:val="004913CF"/>
    <w:rsid w:val="00494626"/>
    <w:rsid w:val="00494783"/>
    <w:rsid w:val="004954C4"/>
    <w:rsid w:val="004A3269"/>
    <w:rsid w:val="004B375B"/>
    <w:rsid w:val="004B6FD7"/>
    <w:rsid w:val="004C5B89"/>
    <w:rsid w:val="004D43D0"/>
    <w:rsid w:val="004D74F3"/>
    <w:rsid w:val="004E2537"/>
    <w:rsid w:val="004E28ED"/>
    <w:rsid w:val="004E35BC"/>
    <w:rsid w:val="004E6D50"/>
    <w:rsid w:val="004E73D8"/>
    <w:rsid w:val="004F049C"/>
    <w:rsid w:val="004F2D5E"/>
    <w:rsid w:val="004F337D"/>
    <w:rsid w:val="004F3BD9"/>
    <w:rsid w:val="004F3DE2"/>
    <w:rsid w:val="004F7196"/>
    <w:rsid w:val="00511D23"/>
    <w:rsid w:val="005148BD"/>
    <w:rsid w:val="00525F57"/>
    <w:rsid w:val="00527BE5"/>
    <w:rsid w:val="00527D96"/>
    <w:rsid w:val="00532347"/>
    <w:rsid w:val="005458FD"/>
    <w:rsid w:val="00551B15"/>
    <w:rsid w:val="00555658"/>
    <w:rsid w:val="005600A0"/>
    <w:rsid w:val="00567F31"/>
    <w:rsid w:val="00570364"/>
    <w:rsid w:val="00572828"/>
    <w:rsid w:val="00576EDF"/>
    <w:rsid w:val="00587352"/>
    <w:rsid w:val="005935AC"/>
    <w:rsid w:val="00595CBC"/>
    <w:rsid w:val="005A094A"/>
    <w:rsid w:val="005B23A5"/>
    <w:rsid w:val="005B32D0"/>
    <w:rsid w:val="005B59AE"/>
    <w:rsid w:val="005B5CFA"/>
    <w:rsid w:val="005C1458"/>
    <w:rsid w:val="005C72F3"/>
    <w:rsid w:val="005E0158"/>
    <w:rsid w:val="005E1A55"/>
    <w:rsid w:val="005E63A1"/>
    <w:rsid w:val="005E7B70"/>
    <w:rsid w:val="005F2806"/>
    <w:rsid w:val="005F281A"/>
    <w:rsid w:val="005F7463"/>
    <w:rsid w:val="0060031C"/>
    <w:rsid w:val="0060490A"/>
    <w:rsid w:val="006056F8"/>
    <w:rsid w:val="00605A03"/>
    <w:rsid w:val="0062437F"/>
    <w:rsid w:val="006301F6"/>
    <w:rsid w:val="00632C09"/>
    <w:rsid w:val="00633165"/>
    <w:rsid w:val="006678B5"/>
    <w:rsid w:val="00672636"/>
    <w:rsid w:val="00683398"/>
    <w:rsid w:val="00690066"/>
    <w:rsid w:val="00691370"/>
    <w:rsid w:val="00691D31"/>
    <w:rsid w:val="0069451E"/>
    <w:rsid w:val="00694E7B"/>
    <w:rsid w:val="006A74CF"/>
    <w:rsid w:val="006B12B9"/>
    <w:rsid w:val="006B56A8"/>
    <w:rsid w:val="006D0FAA"/>
    <w:rsid w:val="006D139C"/>
    <w:rsid w:val="006D3CE0"/>
    <w:rsid w:val="006E20BC"/>
    <w:rsid w:val="006F0DD2"/>
    <w:rsid w:val="0070044F"/>
    <w:rsid w:val="00715858"/>
    <w:rsid w:val="00725275"/>
    <w:rsid w:val="00736285"/>
    <w:rsid w:val="00737923"/>
    <w:rsid w:val="0074088C"/>
    <w:rsid w:val="00747288"/>
    <w:rsid w:val="007573A5"/>
    <w:rsid w:val="00762B52"/>
    <w:rsid w:val="0076508E"/>
    <w:rsid w:val="0076693D"/>
    <w:rsid w:val="00770763"/>
    <w:rsid w:val="00770A1F"/>
    <w:rsid w:val="007710EB"/>
    <w:rsid w:val="00777230"/>
    <w:rsid w:val="00784F2D"/>
    <w:rsid w:val="007933FC"/>
    <w:rsid w:val="007A5C39"/>
    <w:rsid w:val="007B79E5"/>
    <w:rsid w:val="007C2B91"/>
    <w:rsid w:val="007C2FCE"/>
    <w:rsid w:val="007C4FC3"/>
    <w:rsid w:val="007D41E0"/>
    <w:rsid w:val="007D47A0"/>
    <w:rsid w:val="007E33D6"/>
    <w:rsid w:val="007E46EB"/>
    <w:rsid w:val="007E6363"/>
    <w:rsid w:val="0080218D"/>
    <w:rsid w:val="00811055"/>
    <w:rsid w:val="008153EF"/>
    <w:rsid w:val="00816E92"/>
    <w:rsid w:val="00825BA7"/>
    <w:rsid w:val="008649E4"/>
    <w:rsid w:val="00867838"/>
    <w:rsid w:val="00867F6C"/>
    <w:rsid w:val="00873BAC"/>
    <w:rsid w:val="008743F8"/>
    <w:rsid w:val="008938EE"/>
    <w:rsid w:val="008A1B56"/>
    <w:rsid w:val="008A44D4"/>
    <w:rsid w:val="008A4B49"/>
    <w:rsid w:val="008B4EDF"/>
    <w:rsid w:val="008B7B78"/>
    <w:rsid w:val="008D4556"/>
    <w:rsid w:val="008D5C3A"/>
    <w:rsid w:val="008D5E40"/>
    <w:rsid w:val="008F099C"/>
    <w:rsid w:val="008F441F"/>
    <w:rsid w:val="00904290"/>
    <w:rsid w:val="00904C4A"/>
    <w:rsid w:val="00906D01"/>
    <w:rsid w:val="0091019C"/>
    <w:rsid w:val="00911D78"/>
    <w:rsid w:val="00916A3E"/>
    <w:rsid w:val="00916A7D"/>
    <w:rsid w:val="00923EF7"/>
    <w:rsid w:val="00925FD6"/>
    <w:rsid w:val="009347C8"/>
    <w:rsid w:val="00936EB2"/>
    <w:rsid w:val="00941EC9"/>
    <w:rsid w:val="0095111A"/>
    <w:rsid w:val="00951389"/>
    <w:rsid w:val="0096264B"/>
    <w:rsid w:val="00967DC8"/>
    <w:rsid w:val="00974C96"/>
    <w:rsid w:val="009842F6"/>
    <w:rsid w:val="009855D7"/>
    <w:rsid w:val="00990B7E"/>
    <w:rsid w:val="0099485B"/>
    <w:rsid w:val="009A65EB"/>
    <w:rsid w:val="009B1276"/>
    <w:rsid w:val="009B25A1"/>
    <w:rsid w:val="009C097E"/>
    <w:rsid w:val="009E1E2A"/>
    <w:rsid w:val="009E3CD9"/>
    <w:rsid w:val="00A00BFC"/>
    <w:rsid w:val="00A0426C"/>
    <w:rsid w:val="00A17830"/>
    <w:rsid w:val="00A222FB"/>
    <w:rsid w:val="00A3014C"/>
    <w:rsid w:val="00A31BB2"/>
    <w:rsid w:val="00A34EB7"/>
    <w:rsid w:val="00A469D3"/>
    <w:rsid w:val="00A501CE"/>
    <w:rsid w:val="00A51989"/>
    <w:rsid w:val="00A528DF"/>
    <w:rsid w:val="00A531F2"/>
    <w:rsid w:val="00A542D3"/>
    <w:rsid w:val="00A62020"/>
    <w:rsid w:val="00A659DF"/>
    <w:rsid w:val="00A700CD"/>
    <w:rsid w:val="00A705F2"/>
    <w:rsid w:val="00A73A9D"/>
    <w:rsid w:val="00A87C7E"/>
    <w:rsid w:val="00AA7A6C"/>
    <w:rsid w:val="00AB34D2"/>
    <w:rsid w:val="00AC0682"/>
    <w:rsid w:val="00AC091E"/>
    <w:rsid w:val="00AC538E"/>
    <w:rsid w:val="00AC5C18"/>
    <w:rsid w:val="00AF1E95"/>
    <w:rsid w:val="00AF48A4"/>
    <w:rsid w:val="00AF7866"/>
    <w:rsid w:val="00B111CA"/>
    <w:rsid w:val="00B153E6"/>
    <w:rsid w:val="00B2460D"/>
    <w:rsid w:val="00B24F18"/>
    <w:rsid w:val="00B33C39"/>
    <w:rsid w:val="00B37E01"/>
    <w:rsid w:val="00B56341"/>
    <w:rsid w:val="00B56BBB"/>
    <w:rsid w:val="00B60FD1"/>
    <w:rsid w:val="00B628C6"/>
    <w:rsid w:val="00B62EC4"/>
    <w:rsid w:val="00B67975"/>
    <w:rsid w:val="00B90D1F"/>
    <w:rsid w:val="00B95136"/>
    <w:rsid w:val="00BA5172"/>
    <w:rsid w:val="00BD3EEF"/>
    <w:rsid w:val="00BE1BF0"/>
    <w:rsid w:val="00BE2C1A"/>
    <w:rsid w:val="00BE5EE4"/>
    <w:rsid w:val="00BF7A4D"/>
    <w:rsid w:val="00C028D2"/>
    <w:rsid w:val="00C0511A"/>
    <w:rsid w:val="00C1724C"/>
    <w:rsid w:val="00C22620"/>
    <w:rsid w:val="00C256DC"/>
    <w:rsid w:val="00C36070"/>
    <w:rsid w:val="00C3673D"/>
    <w:rsid w:val="00C409D7"/>
    <w:rsid w:val="00C40D38"/>
    <w:rsid w:val="00C52338"/>
    <w:rsid w:val="00C7351A"/>
    <w:rsid w:val="00C74662"/>
    <w:rsid w:val="00C76959"/>
    <w:rsid w:val="00C77C48"/>
    <w:rsid w:val="00C81AF6"/>
    <w:rsid w:val="00C83B53"/>
    <w:rsid w:val="00C90A1D"/>
    <w:rsid w:val="00CA12C3"/>
    <w:rsid w:val="00CA247C"/>
    <w:rsid w:val="00CA40B9"/>
    <w:rsid w:val="00CB0525"/>
    <w:rsid w:val="00CB0ADB"/>
    <w:rsid w:val="00CB0E58"/>
    <w:rsid w:val="00CD3E5C"/>
    <w:rsid w:val="00CD60C6"/>
    <w:rsid w:val="00CE4D5E"/>
    <w:rsid w:val="00CE4EBE"/>
    <w:rsid w:val="00CE55C8"/>
    <w:rsid w:val="00CE5E74"/>
    <w:rsid w:val="00CF1DAA"/>
    <w:rsid w:val="00CF5FDD"/>
    <w:rsid w:val="00D03548"/>
    <w:rsid w:val="00D115E7"/>
    <w:rsid w:val="00D177A9"/>
    <w:rsid w:val="00D5098B"/>
    <w:rsid w:val="00D57270"/>
    <w:rsid w:val="00D57DF3"/>
    <w:rsid w:val="00D61786"/>
    <w:rsid w:val="00D63A37"/>
    <w:rsid w:val="00D72ED2"/>
    <w:rsid w:val="00D808B3"/>
    <w:rsid w:val="00D80A5D"/>
    <w:rsid w:val="00D850DC"/>
    <w:rsid w:val="00D935C4"/>
    <w:rsid w:val="00D957E8"/>
    <w:rsid w:val="00DA5396"/>
    <w:rsid w:val="00DA62A0"/>
    <w:rsid w:val="00DB6DC3"/>
    <w:rsid w:val="00DB7C66"/>
    <w:rsid w:val="00DC17B0"/>
    <w:rsid w:val="00DC1AE4"/>
    <w:rsid w:val="00DC3A3E"/>
    <w:rsid w:val="00DC7751"/>
    <w:rsid w:val="00DE5C59"/>
    <w:rsid w:val="00DE79BC"/>
    <w:rsid w:val="00DF3B7D"/>
    <w:rsid w:val="00E04B4C"/>
    <w:rsid w:val="00E10CD2"/>
    <w:rsid w:val="00E21209"/>
    <w:rsid w:val="00E26357"/>
    <w:rsid w:val="00E42ED0"/>
    <w:rsid w:val="00E47893"/>
    <w:rsid w:val="00E47A39"/>
    <w:rsid w:val="00E5235D"/>
    <w:rsid w:val="00E564BE"/>
    <w:rsid w:val="00E57002"/>
    <w:rsid w:val="00E606B1"/>
    <w:rsid w:val="00E6194F"/>
    <w:rsid w:val="00E71AA5"/>
    <w:rsid w:val="00EA0FEF"/>
    <w:rsid w:val="00EB35B7"/>
    <w:rsid w:val="00EB3CDC"/>
    <w:rsid w:val="00EB695E"/>
    <w:rsid w:val="00EC196A"/>
    <w:rsid w:val="00EC3B99"/>
    <w:rsid w:val="00EC6659"/>
    <w:rsid w:val="00ED30FC"/>
    <w:rsid w:val="00ED779D"/>
    <w:rsid w:val="00EE344D"/>
    <w:rsid w:val="00EE3C72"/>
    <w:rsid w:val="00EE51F9"/>
    <w:rsid w:val="00EE55CD"/>
    <w:rsid w:val="00EE5EE5"/>
    <w:rsid w:val="00EE5F74"/>
    <w:rsid w:val="00EF3916"/>
    <w:rsid w:val="00EF586A"/>
    <w:rsid w:val="00EF5C91"/>
    <w:rsid w:val="00F02F9E"/>
    <w:rsid w:val="00F21128"/>
    <w:rsid w:val="00F25165"/>
    <w:rsid w:val="00F25654"/>
    <w:rsid w:val="00F35443"/>
    <w:rsid w:val="00F61DB9"/>
    <w:rsid w:val="00F74F01"/>
    <w:rsid w:val="00F814CF"/>
    <w:rsid w:val="00F91C52"/>
    <w:rsid w:val="00FA3FE7"/>
    <w:rsid w:val="00FA4E53"/>
    <w:rsid w:val="00FA5E66"/>
    <w:rsid w:val="00FA77E9"/>
    <w:rsid w:val="00FB24D3"/>
    <w:rsid w:val="00FB39CF"/>
    <w:rsid w:val="00FD2F83"/>
    <w:rsid w:val="00FE3CC4"/>
    <w:rsid w:val="00FE42BF"/>
    <w:rsid w:val="00FE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37E2"/>
  <w15:docId w15:val="{BBFDB2DC-60DE-4DB5-83FA-07BAE8EB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1E"/>
    <w:pPr>
      <w:spacing w:before="120" w:after="120" w:line="276" w:lineRule="auto"/>
      <w:jc w:val="both"/>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jc w:val="left"/>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925FD6"/>
    <w:pPr>
      <w:keepNext/>
      <w:keepLines/>
      <w:spacing w:before="720"/>
      <w:jc w:val="left"/>
      <w:outlineLvl w:val="1"/>
    </w:pPr>
    <w:rPr>
      <w:b/>
      <w:color w:val="006FB7"/>
      <w:spacing w:val="4"/>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7933FC"/>
    <w:pPr>
      <w:outlineLvl w:val="3"/>
    </w:pPr>
    <w:rPr>
      <w:rFonts w:cs="Calibri"/>
      <w:bCs w:val="0"/>
      <w:color w:val="006FB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basedOn w:val="Normal"/>
    <w:uiPriority w:val="1"/>
    <w:qFormat/>
    <w:rsid w:val="009347C8"/>
    <w:pPr>
      <w:numPr>
        <w:numId w:val="1"/>
      </w:numPr>
      <w:ind w:left="1080"/>
      <w:jc w:val="left"/>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5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customStyle="1" w:styleId="Heading2Char">
    <w:name w:val="Heading 2 Char"/>
    <w:basedOn w:val="DefaultParagraphFont"/>
    <w:link w:val="Heading2"/>
    <w:uiPriority w:val="9"/>
    <w:rsid w:val="00925FD6"/>
    <w:rPr>
      <w:rFonts w:ascii="Calibri" w:eastAsia="Times New Roman" w:hAnsi="Calibri" w:cs="Calibri"/>
      <w:b/>
      <w:color w:val="006FB7"/>
      <w:spacing w:val="4"/>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styleId="SubtleEmphasis">
    <w:name w:val="Subtle Emphasis"/>
    <w:uiPriority w:val="19"/>
    <w:qFormat/>
    <w:rsid w:val="00EC3B99"/>
    <w:rPr>
      <w:rFonts w:ascii="Calibri" w:hAnsi="Calibri"/>
      <w:b/>
      <w:i/>
      <w:iCs/>
      <w:sz w:val="23"/>
      <w:szCs w:val="23"/>
      <w:lang w:eastAsia="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7933FC"/>
    <w:rPr>
      <w:rFonts w:ascii="Calibri" w:eastAsia="Times New Roman" w:hAnsi="Calibri" w:cs="Calibri"/>
      <w:b/>
      <w:i/>
      <w:iCs/>
      <w:color w:val="006FB7"/>
      <w:kern w:val="21"/>
      <w:sz w:val="23"/>
      <w:szCs w:val="23"/>
      <w:lang w:val="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925FD6"/>
    <w:rPr>
      <w:b w:val="0"/>
      <w:bCs/>
      <w:i w:val="0"/>
      <w:iCs/>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925FD6"/>
    <w:rPr>
      <w:b/>
      <w:bCs/>
      <w:sz w:val="21"/>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jc w:val="left"/>
      <w:outlineLvl w:val="2"/>
    </w:pPr>
    <w:rPr>
      <w:rFonts w:ascii="Times New Roman" w:hAnsi="Times New Roman" w:cs="Times New Roman"/>
      <w:color w:val="1C75BC"/>
      <w:kern w:val="0"/>
      <w:sz w:val="36"/>
      <w:szCs w:val="36"/>
      <w:lang w:eastAsia="en-GB"/>
    </w:rPr>
  </w:style>
  <w:style w:type="paragraph" w:customStyle="1" w:styleId="MSubHeader0">
    <w:name w:val="M.SubHeader"/>
    <w:basedOn w:val="Normal"/>
    <w:link w:val="MSubHeaderChar0"/>
    <w:qFormat/>
    <w:rsid w:val="00FA5E66"/>
    <w:pPr>
      <w:shd w:val="clear" w:color="auto" w:fill="FFFFFF"/>
      <w:spacing w:before="0" w:after="0"/>
      <w:jc w:val="left"/>
    </w:pPr>
    <w:rPr>
      <w:rFonts w:ascii="Times New Roman" w:hAnsi="Times New Roman" w:cs="Times New Roman"/>
      <w:b/>
      <w:bCs/>
      <w:color w:val="4A4A4A"/>
      <w:kern w:val="0"/>
      <w:sz w:val="21"/>
      <w:szCs w:val="21"/>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paragraph" w:styleId="BodyText">
    <w:name w:val="Body Text"/>
    <w:basedOn w:val="Normal"/>
    <w:link w:val="BodyTextChar"/>
    <w:uiPriority w:val="1"/>
    <w:qFormat/>
    <w:rsid w:val="00A705F2"/>
    <w:pPr>
      <w:widowControl w:val="0"/>
      <w:autoSpaceDE w:val="0"/>
      <w:autoSpaceDN w:val="0"/>
      <w:spacing w:before="0" w:after="0" w:line="240" w:lineRule="auto"/>
      <w:jc w:val="left"/>
    </w:pPr>
    <w:rPr>
      <w:rFonts w:eastAsia="Calibri"/>
      <w:kern w:val="0"/>
      <w:szCs w:val="24"/>
      <w:lang w:eastAsia="en-GB" w:bidi="en-GB"/>
    </w:rPr>
  </w:style>
  <w:style w:type="character" w:customStyle="1" w:styleId="BodyTextChar">
    <w:name w:val="Body Text Char"/>
    <w:basedOn w:val="DefaultParagraphFont"/>
    <w:link w:val="BodyText"/>
    <w:uiPriority w:val="1"/>
    <w:rsid w:val="00A705F2"/>
    <w:rPr>
      <w:rFonts w:ascii="Calibri" w:eastAsia="Calibri" w:hAnsi="Calibri" w:cs="Calibri"/>
      <w:sz w:val="22"/>
      <w:lang w:val="en-GB" w:eastAsia="en-GB" w:bidi="en-GB"/>
    </w:rPr>
  </w:style>
  <w:style w:type="character" w:customStyle="1" w:styleId="UnresolvedMention4">
    <w:name w:val="Unresolved Mention4"/>
    <w:basedOn w:val="DefaultParagraphFont"/>
    <w:uiPriority w:val="99"/>
    <w:semiHidden/>
    <w:unhideWhenUsed/>
    <w:rsid w:val="00D0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897059806">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unstats.un.org/sdgs/report/2019/goal-16/" TargetMode="External"/><Relationship Id="rId26" Type="http://schemas.openxmlformats.org/officeDocument/2006/relationships/hyperlink" Target="http://www.bjs.gov/" TargetMode="External"/><Relationship Id="rId3" Type="http://schemas.openxmlformats.org/officeDocument/2006/relationships/styles" Target="styles.xml"/><Relationship Id="rId21" Type="http://schemas.openxmlformats.org/officeDocument/2006/relationships/hyperlink" Target="https://reliefweb.int/report/world/alert-2019-report-conflicts-human-rights-and-peacebuilding"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ohchr.org/EN/Issues/Disability/Pages/sdg-crpd-resource.aspx" TargetMode="External"/><Relationship Id="rId17" Type="http://schemas.openxmlformats.org/officeDocument/2006/relationships/hyperlink" Target="https://unstats.un.org/sdgs/metadata/?Text=&amp;Goal=&amp;Target=16.10" TargetMode="External"/><Relationship Id="rId25" Type="http://schemas.openxmlformats.org/officeDocument/2006/relationships/hyperlink" Target="https://www.canada.ca/en/health-canada/services/publications/health-system-services/medical-assistance-dying-interim-report-june-2018.html"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hrw.org/world-report/2019" TargetMode="External"/><Relationship Id="rId20" Type="http://schemas.openxmlformats.org/officeDocument/2006/relationships/hyperlink" Target="https://www.desinventar.ne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sciencedaily.com/releases/2017/06/170621082741.htm"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unodc.org/documents/data-and-analysis/gsh/Meth_Annex_GHS.pdf" TargetMode="External"/><Relationship Id="rId23" Type="http://schemas.openxmlformats.org/officeDocument/2006/relationships/hyperlink" Target="https://www.sciencedirect.com/science/article/pii/S1875067211000988"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unstats.un.org/sdgs/metadata/?Text=&amp;Goal=&amp;Target=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unstats.un.org/sdgs/metadata/?Text=&amp;Goal=&amp;Target=16.1" TargetMode="External"/><Relationship Id="rId22" Type="http://schemas.openxmlformats.org/officeDocument/2006/relationships/hyperlink" Target="https://www.who.int/mental_health/suicide-prevention/country-profiles/en/" TargetMode="External"/><Relationship Id="rId27" Type="http://schemas.openxmlformats.org/officeDocument/2006/relationships/hyperlink" Target="https://www.ndiscommission.gov.au/sites/default/files/documents/2020-02/findingsreview-deaths-people-disability1.pdf" TargetMode="External"/><Relationship Id="rId30"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D18619-F841-4FA0-994D-C4C6DF22C693}">
  <ds:schemaRefs>
    <ds:schemaRef ds:uri="http://schemas.openxmlformats.org/officeDocument/2006/bibliography"/>
  </ds:schemaRefs>
</ds:datastoreItem>
</file>

<file path=customXml/itemProps2.xml><?xml version="1.0" encoding="utf-8"?>
<ds:datastoreItem xmlns:ds="http://schemas.openxmlformats.org/officeDocument/2006/customXml" ds:itemID="{EC91323C-E3B5-48F3-B6D3-6B020D7930EA}"/>
</file>

<file path=customXml/itemProps3.xml><?xml version="1.0" encoding="utf-8"?>
<ds:datastoreItem xmlns:ds="http://schemas.openxmlformats.org/officeDocument/2006/customXml" ds:itemID="{32891F47-83D0-4247-A680-68250D35F2B5}"/>
</file>

<file path=customXml/itemProps4.xml><?xml version="1.0" encoding="utf-8"?>
<ds:datastoreItem xmlns:ds="http://schemas.openxmlformats.org/officeDocument/2006/customXml" ds:itemID="{62FEBE96-ADAA-4B2C-B80E-9CB70B74D956}"/>
</file>

<file path=docProps/app.xml><?xml version="1.0" encoding="utf-8"?>
<Properties xmlns="http://schemas.openxmlformats.org/officeDocument/2006/extended-properties" xmlns:vt="http://schemas.openxmlformats.org/officeDocument/2006/docPropsVTypes">
  <Template>Normal</Template>
  <TotalTime>1</TotalTime>
  <Pages>9</Pages>
  <Words>2451</Words>
  <Characters>13974</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 10 (outcome indicators)</dc:title>
  <dc:subject/>
  <dc:creator>Nanette Goodman</dc:creator>
  <cp:keywords/>
  <dc:description/>
  <cp:lastModifiedBy>Elias Constantopedos</cp:lastModifiedBy>
  <cp:revision>7</cp:revision>
  <cp:lastPrinted>2020-11-19T04:53:00Z</cp:lastPrinted>
  <dcterms:created xsi:type="dcterms:W3CDTF">2020-12-20T12:21:00Z</dcterms:created>
  <dcterms:modified xsi:type="dcterms:W3CDTF">2020-12-20T21:08:00Z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