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F715A" w14:textId="25CBBE09" w:rsidR="005A094A" w:rsidRPr="00903D87" w:rsidRDefault="005458FD" w:rsidP="00E06C0B">
      <w:pPr>
        <w:pStyle w:val="Heading1"/>
        <w:rPr>
          <w:rFonts w:eastAsiaTheme="majorEastAsia" w:cstheme="majorBidi"/>
          <w:color w:val="FFFFFF" w:themeColor="background1"/>
        </w:rPr>
      </w:pPr>
      <w:r w:rsidRPr="00903D87">
        <w:rPr>
          <w:rFonts w:eastAsiaTheme="majorEastAsia" w:cstheme="majorBidi"/>
          <w:noProof/>
          <w:color w:val="FFFFFF" w:themeColor="background1"/>
          <w:lang w:eastAsia="en-GB"/>
        </w:rPr>
        <w:drawing>
          <wp:anchor distT="0" distB="0" distL="114300" distR="114300" simplePos="0" relativeHeight="251658240" behindDoc="1" locked="0" layoutInCell="1" allowOverlap="1" wp14:anchorId="45C2F5DD" wp14:editId="3BFF0D4B">
            <wp:simplePos x="0" y="0"/>
            <wp:positionH relativeFrom="column">
              <wp:posOffset>-970915</wp:posOffset>
            </wp:positionH>
            <wp:positionV relativeFrom="paragraph">
              <wp:posOffset>-960918</wp:posOffset>
            </wp:positionV>
            <wp:extent cx="7663157" cy="1074438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113" t="-116" r="-113" b="-116"/>
                    <a:stretch/>
                  </pic:blipFill>
                  <pic:spPr bwMode="auto">
                    <a:xfrm>
                      <a:off x="0" y="0"/>
                      <a:ext cx="7663157" cy="1074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BE5" w:rsidRPr="00903D87">
        <w:rPr>
          <w:rFonts w:eastAsiaTheme="majorEastAsia" w:cstheme="majorBidi"/>
          <w:color w:val="FFFFFF" w:themeColor="background1"/>
        </w:rPr>
        <w:t xml:space="preserve">Data sources for outcome indicators on Article </w:t>
      </w:r>
      <w:r w:rsidR="00704A46" w:rsidRPr="00903D87">
        <w:rPr>
          <w:rFonts w:eastAsiaTheme="majorEastAsia" w:cstheme="majorBidi"/>
          <w:color w:val="FFFFFF" w:themeColor="background1"/>
        </w:rPr>
        <w:t>13</w:t>
      </w:r>
      <w:r w:rsidR="000A661C" w:rsidRPr="00903D87">
        <w:rPr>
          <w:rFonts w:eastAsiaTheme="majorEastAsia" w:cstheme="majorBidi"/>
          <w:color w:val="FFFFFF" w:themeColor="background1"/>
        </w:rPr>
        <w:t>:</w:t>
      </w:r>
    </w:p>
    <w:p w14:paraId="5A518BF9" w14:textId="5D06370C" w:rsidR="00906D01" w:rsidRPr="00903D87" w:rsidRDefault="00AC3482" w:rsidP="00E06C0B">
      <w:pPr>
        <w:pStyle w:val="Heading1"/>
        <w:rPr>
          <w:rFonts w:eastAsiaTheme="majorEastAsia" w:cstheme="majorBidi"/>
          <w:color w:val="FFFFFF" w:themeColor="background1"/>
          <w:sz w:val="72"/>
          <w:szCs w:val="72"/>
        </w:rPr>
      </w:pPr>
      <w:r w:rsidRPr="00903D87">
        <w:rPr>
          <w:rFonts w:eastAsiaTheme="majorEastAsia" w:cstheme="majorBidi"/>
          <w:color w:val="FFFFFF" w:themeColor="background1"/>
          <w:sz w:val="72"/>
          <w:szCs w:val="72"/>
        </w:rPr>
        <w:t>A</w:t>
      </w:r>
      <w:r w:rsidR="00704A46" w:rsidRPr="00903D87">
        <w:rPr>
          <w:rFonts w:eastAsiaTheme="majorEastAsia" w:cstheme="majorBidi"/>
          <w:color w:val="FFFFFF" w:themeColor="background1"/>
          <w:sz w:val="72"/>
          <w:szCs w:val="72"/>
        </w:rPr>
        <w:t xml:space="preserve">ccess to </w:t>
      </w:r>
      <w:r w:rsidR="00E36A90" w:rsidRPr="00903D87">
        <w:rPr>
          <w:rFonts w:eastAsiaTheme="majorEastAsia" w:cstheme="majorBidi"/>
          <w:color w:val="FFFFFF" w:themeColor="background1"/>
          <w:sz w:val="72"/>
          <w:szCs w:val="72"/>
        </w:rPr>
        <w:t>j</w:t>
      </w:r>
      <w:r w:rsidR="00704A46" w:rsidRPr="00903D87">
        <w:rPr>
          <w:rFonts w:eastAsiaTheme="majorEastAsia" w:cstheme="majorBidi"/>
          <w:color w:val="FFFFFF" w:themeColor="background1"/>
          <w:sz w:val="72"/>
          <w:szCs w:val="72"/>
        </w:rPr>
        <w:t>ustice</w:t>
      </w:r>
    </w:p>
    <w:p w14:paraId="3CBE4037" w14:textId="3B4A448A" w:rsidR="00355C6D" w:rsidRPr="00903D87" w:rsidRDefault="00B6046E" w:rsidP="00EA33DB">
      <w:pPr>
        <w:spacing w:before="0" w:after="0" w:line="240" w:lineRule="auto"/>
        <w:jc w:val="left"/>
        <w:rPr>
          <w:rFonts w:asciiTheme="minorHAnsi" w:hAnsiTheme="minorHAnsi" w:cstheme="minorHAnsi"/>
        </w:rPr>
      </w:pPr>
      <w:r w:rsidRPr="00903D87">
        <w:rPr>
          <w:rFonts w:asciiTheme="minorHAnsi" w:hAnsiTheme="minorHAnsi" w:cstheme="minorHAnsi"/>
          <w:noProof/>
          <w:color w:val="FFFFFF" w:themeColor="background1"/>
          <w:sz w:val="72"/>
          <w:szCs w:val="72"/>
          <w:lang w:eastAsia="en-GB"/>
        </w:rPr>
        <w:drawing>
          <wp:anchor distT="0" distB="0" distL="114300" distR="114300" simplePos="0" relativeHeight="251659264" behindDoc="0" locked="0" layoutInCell="1" allowOverlap="1" wp14:anchorId="65C8B5D4" wp14:editId="549E97ED">
            <wp:simplePos x="4352925" y="8996363"/>
            <wp:positionH relativeFrom="margin">
              <wp:align>right</wp:align>
            </wp:positionH>
            <wp:positionV relativeFrom="margin">
              <wp:align>bottom</wp:align>
            </wp:positionV>
            <wp:extent cx="2247900" cy="771525"/>
            <wp:effectExtent l="0" t="0" r="0" b="9525"/>
            <wp:wrapSquare wrapText="bothSides"/>
            <wp:docPr id="3" name="Picture 3" title="United Nations Human Rights Office of the High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lum bright="100000"/>
                      <a:extLst>
                        <a:ext uri="{28A0092B-C50C-407E-A947-70E740481C1C}">
                          <a14:useLocalDpi xmlns:a14="http://schemas.microsoft.com/office/drawing/2010/main" val="0"/>
                        </a:ext>
                      </a:extLst>
                    </a:blip>
                    <a:stretch>
                      <a:fillRect/>
                    </a:stretch>
                  </pic:blipFill>
                  <pic:spPr>
                    <a:xfrm>
                      <a:off x="0" y="0"/>
                      <a:ext cx="2247900" cy="771525"/>
                    </a:xfrm>
                    <a:prstGeom prst="rect">
                      <a:avLst/>
                    </a:prstGeom>
                  </pic:spPr>
                </pic:pic>
              </a:graphicData>
            </a:graphic>
            <wp14:sizeRelH relativeFrom="page">
              <wp14:pctWidth>0</wp14:pctWidth>
            </wp14:sizeRelH>
            <wp14:sizeRelV relativeFrom="page">
              <wp14:pctHeight>0</wp14:pctHeight>
            </wp14:sizeRelV>
          </wp:anchor>
        </w:drawing>
      </w:r>
      <w:r w:rsidR="005458FD" w:rsidRPr="00903D87">
        <w:rPr>
          <w:rFonts w:asciiTheme="minorHAnsi" w:hAnsiTheme="minorHAnsi" w:cstheme="minorHAnsi"/>
        </w:rPr>
        <w:br w:type="page"/>
      </w:r>
    </w:p>
    <w:p w14:paraId="779E1EF4" w14:textId="5C6FD04F" w:rsidR="00355C6D" w:rsidRPr="00903D87" w:rsidRDefault="00570364" w:rsidP="00D850DC">
      <w:pPr>
        <w:spacing w:before="0" w:after="0" w:line="240" w:lineRule="auto"/>
        <w:jc w:val="left"/>
        <w:rPr>
          <w:rFonts w:asciiTheme="minorHAnsi" w:hAnsiTheme="minorHAnsi" w:cstheme="minorHAnsi"/>
        </w:rPr>
      </w:pPr>
      <w:r w:rsidRPr="00903D87">
        <w:rPr>
          <w:rFonts w:asciiTheme="minorHAnsi" w:hAnsiTheme="minorHAnsi" w:cstheme="minorHAnsi"/>
          <w:noProof/>
          <w:lang w:eastAsia="en-GB"/>
        </w:rPr>
        <w:lastRenderedPageBreak/>
        <w:drawing>
          <wp:inline distT="0" distB="0" distL="0" distR="0" wp14:anchorId="48975751" wp14:editId="11CB1B0E">
            <wp:extent cx="2249424" cy="557379"/>
            <wp:effectExtent l="0" t="0" r="0" b="0"/>
            <wp:docPr id="8" name="Graphic 8" title="Logo of CRPD (Convention on the Rights of Person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49424" cy="557379"/>
                    </a:xfrm>
                    <a:prstGeom prst="rect">
                      <a:avLst/>
                    </a:prstGeom>
                  </pic:spPr>
                </pic:pic>
              </a:graphicData>
            </a:graphic>
          </wp:inline>
        </w:drawing>
      </w:r>
    </w:p>
    <w:p w14:paraId="59FB68C5" w14:textId="77777777" w:rsidR="00183E93" w:rsidRPr="00903D87" w:rsidRDefault="00183E93" w:rsidP="00183E93">
      <w:pPr>
        <w:autoSpaceDE w:val="0"/>
        <w:autoSpaceDN w:val="0"/>
        <w:spacing w:before="7200" w:line="260" w:lineRule="exact"/>
        <w:jc w:val="left"/>
        <w:rPr>
          <w:rFonts w:cs="Segoe UI"/>
          <w:color w:val="000000"/>
          <w:sz w:val="18"/>
          <w:lang w:eastAsia="en-GB"/>
        </w:rPr>
      </w:pPr>
      <w:r w:rsidRPr="00903D87">
        <w:rPr>
          <w:rFonts w:cs="Segoe UI"/>
          <w:color w:val="000000"/>
          <w:sz w:val="18"/>
          <w:lang w:eastAsia="en-GB"/>
        </w:rPr>
        <w:t>ADVANCE VERSION</w:t>
      </w:r>
    </w:p>
    <w:p w14:paraId="1CEF4455" w14:textId="77777777" w:rsidR="00183E93" w:rsidRPr="00903D87" w:rsidRDefault="00183E93" w:rsidP="00183E93">
      <w:pPr>
        <w:autoSpaceDE w:val="0"/>
        <w:autoSpaceDN w:val="0"/>
        <w:spacing w:line="260" w:lineRule="exact"/>
        <w:jc w:val="left"/>
        <w:rPr>
          <w:rFonts w:cs="Segoe UI"/>
          <w:color w:val="000000"/>
          <w:sz w:val="20"/>
          <w:szCs w:val="20"/>
          <w:lang w:eastAsia="en-GB"/>
        </w:rPr>
      </w:pPr>
      <w:r w:rsidRPr="00903D87">
        <w:rPr>
          <w:rFonts w:cs="Segoe UI"/>
          <w:color w:val="000000"/>
          <w:sz w:val="20"/>
          <w:szCs w:val="20"/>
          <w:lang w:eastAsia="en-GB"/>
        </w:rPr>
        <w:t xml:space="preserve">© 2020 United Nations  </w:t>
      </w:r>
    </w:p>
    <w:p w14:paraId="221D2089" w14:textId="77777777" w:rsidR="00183E93" w:rsidRPr="00903D87" w:rsidRDefault="00183E93" w:rsidP="00183E93">
      <w:pPr>
        <w:autoSpaceDE w:val="0"/>
        <w:autoSpaceDN w:val="0"/>
        <w:spacing w:line="260" w:lineRule="exact"/>
        <w:jc w:val="left"/>
        <w:rPr>
          <w:rFonts w:cs="Segoe UI"/>
          <w:color w:val="000000"/>
          <w:sz w:val="20"/>
          <w:szCs w:val="20"/>
          <w:lang w:eastAsia="en-GB"/>
        </w:rPr>
      </w:pPr>
      <w:r w:rsidRPr="00903D87">
        <w:rPr>
          <w:rFonts w:cs="Segoe UI"/>
          <w:color w:val="000000"/>
          <w:sz w:val="20"/>
          <w:szCs w:val="20"/>
          <w:lang w:eastAsia="en-GB"/>
        </w:rPr>
        <w:t xml:space="preserve">The </w:t>
      </w:r>
      <w:r w:rsidRPr="00903D87">
        <w:rPr>
          <w:rFonts w:cs="Segoe UI"/>
          <w:i/>
          <w:color w:val="000000"/>
          <w:sz w:val="20"/>
          <w:szCs w:val="20"/>
          <w:lang w:eastAsia="en-GB"/>
        </w:rPr>
        <w:t>Data Sources Guidance</w:t>
      </w:r>
      <w:r w:rsidRPr="00903D87">
        <w:rPr>
          <w:rFonts w:cs="Segoe UI"/>
          <w:color w:val="000000"/>
          <w:sz w:val="20"/>
          <w:szCs w:val="20"/>
          <w:lang w:eastAsia="en-GB"/>
        </w:rPr>
        <w:t xml:space="preserve"> is a component of the </w:t>
      </w:r>
      <w:hyperlink r:id="rId12" w:history="1">
        <w:r w:rsidRPr="00903D87">
          <w:rPr>
            <w:rStyle w:val="Hyperlink"/>
            <w:rFonts w:cs="Segoe UI"/>
            <w:sz w:val="20"/>
            <w:szCs w:val="20"/>
            <w:lang w:eastAsia="en-GB"/>
          </w:rPr>
          <w:t>SDG-CRPD Resource Package</w:t>
        </w:r>
      </w:hyperlink>
      <w:r w:rsidRPr="00903D87">
        <w:rPr>
          <w:rFonts w:cs="Segoe UI"/>
          <w:color w:val="000000"/>
          <w:sz w:val="20"/>
          <w:szCs w:val="20"/>
          <w:lang w:eastAsia="en-GB"/>
        </w:rPr>
        <w:t xml:space="preserve"> developed by the Office of the United Nations High Commissioner for Human Rights (OHCHR). This is an advance version of the SDG-CRPD Resource Package. A final version will be issued upon completion of OHCHR review processes. </w:t>
      </w:r>
    </w:p>
    <w:p w14:paraId="5275EF53" w14:textId="47B916B5" w:rsidR="00183E93" w:rsidRPr="00903D87" w:rsidRDefault="00183E93" w:rsidP="00183E93">
      <w:pPr>
        <w:autoSpaceDE w:val="0"/>
        <w:autoSpaceDN w:val="0"/>
        <w:spacing w:line="260" w:lineRule="exact"/>
        <w:jc w:val="left"/>
        <w:rPr>
          <w:rFonts w:cs="Segoe UI"/>
          <w:color w:val="000000"/>
          <w:sz w:val="20"/>
          <w:szCs w:val="20"/>
          <w:lang w:eastAsia="en-GB"/>
        </w:rPr>
      </w:pPr>
      <w:r w:rsidRPr="00903D87">
        <w:rPr>
          <w:rFonts w:cs="Segoe UI"/>
          <w:color w:val="000000"/>
          <w:sz w:val="20"/>
          <w:szCs w:val="20"/>
          <w:lang w:eastAsia="en-GB"/>
        </w:rPr>
        <w:t xml:space="preserve">The designations employed and the presentation of the material </w:t>
      </w:r>
      <w:r w:rsidR="00B00C1D" w:rsidRPr="00903D87">
        <w:rPr>
          <w:rFonts w:cs="Segoe UI"/>
          <w:color w:val="000000"/>
          <w:sz w:val="20"/>
          <w:szCs w:val="20"/>
          <w:lang w:eastAsia="en-GB"/>
        </w:rPr>
        <w:t>herein</w:t>
      </w:r>
      <w:r w:rsidRPr="00903D87">
        <w:rPr>
          <w:rFonts w:cs="Segoe UI"/>
          <w:color w:val="000000"/>
          <w:sz w:val="20"/>
          <w:szCs w:val="20"/>
          <w:lang w:eastAsia="en-GB"/>
        </w:rPr>
        <w:t xml:space="preserve"> do not imply the expression of any opinion whatsoever on the part of the Secretariat of the United Nations concerning the legal status of any country, territory, city or area, or of its authorities, or concerning the delimitation of its frontiers or boundaries. </w:t>
      </w:r>
    </w:p>
    <w:p w14:paraId="116B2EE7" w14:textId="77777777" w:rsidR="00183E93" w:rsidRPr="00903D87" w:rsidRDefault="00183E93" w:rsidP="00183E93">
      <w:pPr>
        <w:autoSpaceDE w:val="0"/>
        <w:autoSpaceDN w:val="0"/>
        <w:spacing w:line="260" w:lineRule="exact"/>
        <w:jc w:val="left"/>
        <w:rPr>
          <w:rFonts w:cs="Segoe UI"/>
          <w:color w:val="000000"/>
          <w:sz w:val="20"/>
          <w:szCs w:val="20"/>
          <w:lang w:eastAsia="en-GB"/>
        </w:rPr>
      </w:pPr>
      <w:r w:rsidRPr="00903D87">
        <w:rPr>
          <w:rFonts w:cs="Segoe UI"/>
          <w:color w:val="000000"/>
          <w:sz w:val="20"/>
          <w:szCs w:val="20"/>
          <w:lang w:eastAsia="en-GB"/>
        </w:rPr>
        <w:t xml:space="preserve">Symbols of United Nations documents are composed of capital letters combined with figures. Mention of such a figure indicates a reference to a United Nations document. </w:t>
      </w:r>
    </w:p>
    <w:p w14:paraId="57F30F09" w14:textId="7DA40D5C" w:rsidR="00183E93" w:rsidRPr="00903D87" w:rsidRDefault="00183E93" w:rsidP="00183E93">
      <w:pPr>
        <w:autoSpaceDE w:val="0"/>
        <w:autoSpaceDN w:val="0"/>
        <w:spacing w:line="260" w:lineRule="exact"/>
        <w:jc w:val="left"/>
        <w:rPr>
          <w:rFonts w:cs="Segoe UI"/>
          <w:color w:val="000000"/>
          <w:sz w:val="20"/>
          <w:szCs w:val="20"/>
          <w:lang w:eastAsia="en-GB"/>
        </w:rPr>
      </w:pPr>
      <w:r w:rsidRPr="00903D87">
        <w:rPr>
          <w:rFonts w:cs="Segoe UI"/>
          <w:color w:val="000000"/>
          <w:sz w:val="20"/>
          <w:szCs w:val="20"/>
          <w:lang w:eastAsia="en-GB"/>
        </w:rPr>
        <w:t xml:space="preserve">The </w:t>
      </w:r>
      <w:r w:rsidRPr="00903D87">
        <w:rPr>
          <w:rFonts w:cs="Segoe UI"/>
          <w:i/>
          <w:color w:val="000000"/>
          <w:sz w:val="20"/>
          <w:szCs w:val="20"/>
          <w:lang w:eastAsia="en-GB"/>
        </w:rPr>
        <w:t>Data Sources Guidance</w:t>
      </w:r>
      <w:r w:rsidRPr="00903D87">
        <w:rPr>
          <w:rFonts w:cs="Segoe UI"/>
          <w:color w:val="000000"/>
          <w:sz w:val="20"/>
          <w:szCs w:val="20"/>
          <w:lang w:eastAsia="en-GB"/>
        </w:rPr>
        <w:t xml:space="preserve"> was produced with the financial support of the European Union. Its contents are the sole responsibility of OHCHR and do not necessarily reflect the views of the European Union.</w:t>
      </w:r>
      <w:r w:rsidR="00277F18">
        <w:rPr>
          <w:rFonts w:cs="Segoe UI"/>
          <w:color w:val="000000"/>
          <w:sz w:val="20"/>
          <w:szCs w:val="20"/>
          <w:lang w:eastAsia="en-GB"/>
        </w:rPr>
        <w:br/>
      </w:r>
    </w:p>
    <w:p w14:paraId="2294B22D" w14:textId="77777777" w:rsidR="00183E93" w:rsidRPr="00903D87" w:rsidRDefault="00183E93" w:rsidP="00183E93">
      <w:pPr>
        <w:autoSpaceDE w:val="0"/>
        <w:autoSpaceDN w:val="0"/>
        <w:rPr>
          <w:rFonts w:eastAsiaTheme="majorEastAsia" w:cstheme="minorHAnsi"/>
          <w:b/>
          <w:color w:val="0A59AB"/>
          <w:spacing w:val="4"/>
          <w:kern w:val="0"/>
          <w:sz w:val="20"/>
          <w:szCs w:val="30"/>
        </w:rPr>
      </w:pPr>
      <w:r w:rsidRPr="00903D87">
        <w:rPr>
          <w:rFonts w:cstheme="minorHAnsi"/>
          <w:noProof/>
          <w:lang w:eastAsia="en-GB"/>
        </w:rPr>
        <w:drawing>
          <wp:inline distT="0" distB="0" distL="0" distR="0" wp14:anchorId="3D841D06" wp14:editId="607B84D7">
            <wp:extent cx="758678" cy="515664"/>
            <wp:effectExtent l="0" t="0" r="3810" b="0"/>
            <wp:docPr id="7" name="Picture 7" descr="European Unio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 Union fla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850" cy="524617"/>
                    </a:xfrm>
                    <a:prstGeom prst="rect">
                      <a:avLst/>
                    </a:prstGeom>
                    <a:noFill/>
                    <a:ln>
                      <a:noFill/>
                    </a:ln>
                  </pic:spPr>
                </pic:pic>
              </a:graphicData>
            </a:graphic>
          </wp:inline>
        </w:drawing>
      </w:r>
      <w:r w:rsidRPr="00903D87">
        <w:rPr>
          <w:rFonts w:eastAsiaTheme="majorEastAsia" w:cstheme="minorHAnsi"/>
          <w:b/>
          <w:color w:val="0A59AB"/>
          <w:spacing w:val="4"/>
          <w:kern w:val="0"/>
          <w:sz w:val="20"/>
          <w:szCs w:val="30"/>
        </w:rPr>
        <w:br w:type="page"/>
      </w:r>
    </w:p>
    <w:p w14:paraId="094694C2" w14:textId="77777777" w:rsidR="00704A46" w:rsidRPr="00903D87" w:rsidRDefault="00704A46" w:rsidP="003A126E">
      <w:pPr>
        <w:pStyle w:val="Heading2"/>
        <w:rPr>
          <w:rFonts w:eastAsiaTheme="majorEastAsia"/>
        </w:rPr>
      </w:pPr>
      <w:r w:rsidRPr="00903D87">
        <w:rPr>
          <w:rFonts w:eastAsiaTheme="majorEastAsia"/>
        </w:rPr>
        <w:lastRenderedPageBreak/>
        <w:t>13.17 Proportion of public attendees at court who rate services and court as highly accessible in their own language, including sign language (court survey)</w:t>
      </w:r>
    </w:p>
    <w:p w14:paraId="7EEAC90C" w14:textId="77777777" w:rsidR="00704A46" w:rsidRPr="00903D87" w:rsidRDefault="00704A46" w:rsidP="003A126E">
      <w:pPr>
        <w:pStyle w:val="Heading4"/>
        <w:rPr>
          <w:rFonts w:eastAsiaTheme="majorEastAsia"/>
        </w:rPr>
      </w:pPr>
      <w:r w:rsidRPr="00903D87">
        <w:rPr>
          <w:rFonts w:eastAsiaTheme="majorEastAsia"/>
        </w:rPr>
        <w:t>Level 2: Indicator could be produced with straightforward additions or modifications to existing data collection efforts</w:t>
      </w:r>
    </w:p>
    <w:p w14:paraId="14ACDCE4" w14:textId="77777777" w:rsidR="00704A46" w:rsidRPr="00903D87" w:rsidRDefault="00704A46" w:rsidP="005E1AEE">
      <w:pPr>
        <w:jc w:val="left"/>
        <w:rPr>
          <w:rFonts w:cstheme="minorHAnsi"/>
        </w:rPr>
      </w:pPr>
      <w:r w:rsidRPr="00903D87">
        <w:rPr>
          <w:rFonts w:cstheme="minorHAnsi"/>
        </w:rPr>
        <w:t>Several countries include questions about general access to justice in surveys. Theoretically, they could include questions on accessibility, but at present, they do not. In any case, these surveys tend to be very small and they would be unlikely to randomly capture a large enough sample of court attendees who require accessibility measures and accommodations, such as the provision of sign language. Similarly, a national disability survey may not pick-up a sufficient number of people participating in court proceedings to reach good estimates. Therefore, the sample design of the court surveys may have to be tailored to oversample persons with disabilities.</w:t>
      </w:r>
    </w:p>
    <w:p w14:paraId="70236DE4" w14:textId="5F70C491" w:rsidR="00704A46" w:rsidRPr="00903D87" w:rsidRDefault="00704A46" w:rsidP="005E1AEE">
      <w:pPr>
        <w:jc w:val="left"/>
        <w:rPr>
          <w:rFonts w:cstheme="minorHAnsi"/>
        </w:rPr>
      </w:pPr>
      <w:r w:rsidRPr="00903D87">
        <w:rPr>
          <w:rFonts w:cstheme="minorHAnsi"/>
        </w:rPr>
        <w:t>Examples of surveys that could be expanded to address this issue include one</w:t>
      </w:r>
      <w:r w:rsidR="00B00C1D" w:rsidRPr="00903D87">
        <w:rPr>
          <w:rFonts w:cstheme="minorHAnsi"/>
        </w:rPr>
        <w:t xml:space="preserve"> on </w:t>
      </w:r>
      <w:hyperlink r:id="rId14" w:history="1">
        <w:r w:rsidR="00B00C1D" w:rsidRPr="00903D87">
          <w:rPr>
            <w:rStyle w:val="Hyperlink"/>
            <w:rFonts w:cstheme="minorHAnsi"/>
          </w:rPr>
          <w:t>rule of law from Pakistan</w:t>
        </w:r>
      </w:hyperlink>
      <w:r w:rsidR="00B00C1D" w:rsidRPr="00903D87">
        <w:rPr>
          <w:rFonts w:cstheme="minorHAnsi"/>
        </w:rPr>
        <w:t xml:space="preserve">, </w:t>
      </w:r>
      <w:r w:rsidRPr="00903D87">
        <w:rPr>
          <w:rFonts w:cstheme="minorHAnsi"/>
        </w:rPr>
        <w:t xml:space="preserve">one from the </w:t>
      </w:r>
      <w:hyperlink r:id="rId15" w:history="1">
        <w:r w:rsidRPr="00903D87">
          <w:rPr>
            <w:rStyle w:val="Hyperlink"/>
            <w:rFonts w:cstheme="minorHAnsi"/>
          </w:rPr>
          <w:t>European Commission for the Efficiency of Justice</w:t>
        </w:r>
      </w:hyperlink>
      <w:r w:rsidR="00B00C1D" w:rsidRPr="00903D87">
        <w:rPr>
          <w:rFonts w:cstheme="minorHAnsi"/>
        </w:rPr>
        <w:t xml:space="preserve">, </w:t>
      </w:r>
      <w:r w:rsidRPr="00903D87">
        <w:rPr>
          <w:rFonts w:cstheme="minorHAnsi"/>
        </w:rPr>
        <w:t xml:space="preserve">and a </w:t>
      </w:r>
      <w:hyperlink r:id="rId16" w:history="1">
        <w:r w:rsidRPr="00903D87">
          <w:rPr>
            <w:rStyle w:val="Hyperlink"/>
            <w:rFonts w:cstheme="minorHAnsi"/>
          </w:rPr>
          <w:t>population-based survey in Afghanistan</w:t>
        </w:r>
      </w:hyperlink>
      <w:r w:rsidRPr="00903D87">
        <w:rPr>
          <w:rFonts w:cstheme="minorHAnsi"/>
        </w:rPr>
        <w:t xml:space="preserve"> that asks about the use of courts to resolve disputes</w:t>
      </w:r>
      <w:r w:rsidR="00B00C1D" w:rsidRPr="00903D87">
        <w:rPr>
          <w:rFonts w:cstheme="minorHAnsi"/>
        </w:rPr>
        <w:t>.</w:t>
      </w:r>
    </w:p>
    <w:p w14:paraId="7FABB1CB" w14:textId="0F36363C" w:rsidR="00704A46" w:rsidRPr="00903D87" w:rsidRDefault="00704A46" w:rsidP="005E1AEE">
      <w:pPr>
        <w:jc w:val="left"/>
        <w:rPr>
          <w:rFonts w:cstheme="minorHAnsi"/>
        </w:rPr>
      </w:pPr>
      <w:r w:rsidRPr="00903D87">
        <w:rPr>
          <w:rFonts w:cstheme="minorHAnsi"/>
        </w:rPr>
        <w:t xml:space="preserve">Every year, the World Justice Project administers the General Population Poll to collect data from representative samples of the general public, which are used to calculate the scores and rankings for the </w:t>
      </w:r>
      <w:hyperlink r:id="rId17" w:history="1">
        <w:r w:rsidRPr="00903D87">
          <w:rPr>
            <w:rStyle w:val="Hyperlink"/>
            <w:rFonts w:cstheme="minorHAnsi"/>
          </w:rPr>
          <w:t>World Justice Project’s annual Rule of Law Index</w:t>
        </w:r>
      </w:hyperlink>
      <w:r w:rsidRPr="00903D87">
        <w:rPr>
          <w:rFonts w:cstheme="minorHAnsi"/>
        </w:rPr>
        <w:t>. The data presented in the report</w:t>
      </w:r>
      <w:r w:rsidR="00B00C1D" w:rsidRPr="00903D87">
        <w:rPr>
          <w:rFonts w:cstheme="minorHAnsi"/>
        </w:rPr>
        <w:t xml:space="preserve"> </w:t>
      </w:r>
      <w:r w:rsidRPr="00903D87">
        <w:rPr>
          <w:rFonts w:cstheme="minorHAnsi"/>
        </w:rPr>
        <w:t xml:space="preserve">are derived from the access to justice module of the General Population Poll, administered in 101 countries and jurisdictions, in 2017 and 2018, using a probability sample of 1,000 respondents in each </w:t>
      </w:r>
      <w:proofErr w:type="gramStart"/>
      <w:r w:rsidRPr="00903D87">
        <w:rPr>
          <w:rFonts w:cstheme="minorHAnsi"/>
        </w:rPr>
        <w:t>country;</w:t>
      </w:r>
      <w:proofErr w:type="gramEnd"/>
      <w:r w:rsidRPr="00903D87">
        <w:rPr>
          <w:rFonts w:cstheme="minorHAnsi"/>
        </w:rPr>
        <w:t xml:space="preserve"> 100,000 people in 101 countries. This survey does not include accessibility questions, nor does it identify respondents with disabilities, but it could.</w:t>
      </w:r>
    </w:p>
    <w:p w14:paraId="79F53837" w14:textId="25E0C03A" w:rsidR="00704A46" w:rsidRPr="00903D87" w:rsidRDefault="00704A46" w:rsidP="005E1AEE">
      <w:pPr>
        <w:jc w:val="left"/>
        <w:rPr>
          <w:rFonts w:cstheme="minorHAnsi"/>
        </w:rPr>
      </w:pPr>
      <w:r w:rsidRPr="00903D87">
        <w:rPr>
          <w:rFonts w:cstheme="minorHAnsi"/>
        </w:rPr>
        <w:t xml:space="preserve">In Serbia, the World Bank surveyed members of the general population, representatives of the business sector, private practice lawyers and employees in the judiciary, before and after implementation of the judicial reform of 2010. The </w:t>
      </w:r>
      <w:hyperlink r:id="rId18" w:history="1">
        <w:r w:rsidRPr="00903D87">
          <w:rPr>
            <w:rStyle w:val="Hyperlink"/>
            <w:rFonts w:cstheme="minorHAnsi"/>
          </w:rPr>
          <w:t>survey</w:t>
        </w:r>
      </w:hyperlink>
      <w:r w:rsidRPr="00903D87">
        <w:rPr>
          <w:rFonts w:cstheme="minorHAnsi"/>
        </w:rPr>
        <w:t xml:space="preserve"> asked about accessibility, but it did not refer to accessibility for persons with disabilities. However, it did ask the following questions:</w:t>
      </w:r>
    </w:p>
    <w:p w14:paraId="4F7A8459" w14:textId="7050FF50" w:rsidR="00704A46" w:rsidRPr="00903D87" w:rsidRDefault="00B00C1D" w:rsidP="007F4D63">
      <w:pPr>
        <w:ind w:left="360"/>
        <w:jc w:val="left"/>
        <w:rPr>
          <w:rFonts w:cstheme="minorHAnsi"/>
          <w:i/>
        </w:rPr>
      </w:pPr>
      <w:r w:rsidRPr="00903D87">
        <w:rPr>
          <w:rFonts w:cstheme="minorHAnsi"/>
        </w:rPr>
        <w:t>“</w:t>
      </w:r>
      <w:r w:rsidR="00704A46" w:rsidRPr="00903D87">
        <w:rPr>
          <w:rFonts w:cstheme="minorHAnsi"/>
          <w:i/>
        </w:rPr>
        <w:t>To general public and business sector: When you think about the last few years, to what extent was the judicial system in Serbia equally accessible to all citizens notwithstanding their age, education level, financial status, ethnicity, handicap, the language they use…?</w:t>
      </w:r>
    </w:p>
    <w:p w14:paraId="2A34399A" w14:textId="3BA5084D" w:rsidR="00704A46" w:rsidRPr="00903D87" w:rsidRDefault="00704A46" w:rsidP="007F4D63">
      <w:pPr>
        <w:ind w:left="360"/>
        <w:jc w:val="left"/>
        <w:rPr>
          <w:rFonts w:cstheme="minorHAnsi"/>
        </w:rPr>
      </w:pPr>
      <w:r w:rsidRPr="00903D87">
        <w:rPr>
          <w:rFonts w:cstheme="minorHAnsi"/>
          <w:i/>
        </w:rPr>
        <w:t>To judges, prosecutors and lawyers: To what extent were the courts accessible to all citizens, notwithstanding their age, education level, financial status, ethnicity, disability… in the last 12 months?</w:t>
      </w:r>
      <w:r w:rsidR="00B00C1D" w:rsidRPr="00903D87">
        <w:rPr>
          <w:rFonts w:cstheme="minorHAnsi"/>
        </w:rPr>
        <w:t>”</w:t>
      </w:r>
    </w:p>
    <w:p w14:paraId="309298AC" w14:textId="77777777" w:rsidR="00704A46" w:rsidRPr="00903D87" w:rsidRDefault="00704A46" w:rsidP="003A126E">
      <w:pPr>
        <w:pStyle w:val="Heading2"/>
        <w:rPr>
          <w:rFonts w:eastAsiaTheme="majorEastAsia"/>
        </w:rPr>
      </w:pPr>
      <w:r w:rsidRPr="00903D87">
        <w:rPr>
          <w:rFonts w:eastAsiaTheme="majorEastAsia"/>
        </w:rPr>
        <w:lastRenderedPageBreak/>
        <w:t xml:space="preserve">13.18 Number of complaints submitted to the justice system by persons with disabilities, that have been investigated and adjudicated; proportion of those found in favour of the complainant; and proportion of the latter that have been complied with by the government and/or duty bearer; each disaggregated by kind of mechanism, area of law/type of procedure (civil, criminal, etc.), substantive rights </w:t>
      </w:r>
      <w:proofErr w:type="gramStart"/>
      <w:r w:rsidRPr="00903D87">
        <w:rPr>
          <w:rFonts w:eastAsiaTheme="majorEastAsia"/>
        </w:rPr>
        <w:t>involved</w:t>
      </w:r>
      <w:proofErr w:type="gramEnd"/>
      <w:r w:rsidRPr="00903D87">
        <w:rPr>
          <w:rFonts w:eastAsiaTheme="majorEastAsia"/>
        </w:rPr>
        <w:t xml:space="preserve"> and remedies granted.</w:t>
      </w:r>
    </w:p>
    <w:p w14:paraId="74F9EA73" w14:textId="77777777" w:rsidR="00704A46" w:rsidRPr="00903D87" w:rsidRDefault="00704A46" w:rsidP="003A126E">
      <w:pPr>
        <w:pStyle w:val="Heading4"/>
        <w:rPr>
          <w:rFonts w:eastAsiaTheme="majorEastAsia"/>
        </w:rPr>
      </w:pPr>
      <w:r w:rsidRPr="00903D87">
        <w:rPr>
          <w:rFonts w:eastAsiaTheme="majorEastAsia"/>
        </w:rPr>
        <w:t>Level 2: Indicator can be produced with existing data but has not been reported on</w:t>
      </w:r>
    </w:p>
    <w:p w14:paraId="5E5897FC" w14:textId="77777777" w:rsidR="00704A46" w:rsidRPr="00903D87" w:rsidRDefault="00704A46" w:rsidP="005E1AEE">
      <w:pPr>
        <w:pStyle w:val="CommentText"/>
        <w:jc w:val="left"/>
        <w:rPr>
          <w:rFonts w:cstheme="minorHAnsi"/>
          <w:sz w:val="22"/>
          <w:szCs w:val="22"/>
        </w:rPr>
      </w:pPr>
      <w:r w:rsidRPr="00903D87">
        <w:rPr>
          <w:rFonts w:cstheme="minorHAnsi"/>
          <w:sz w:val="22"/>
          <w:szCs w:val="22"/>
        </w:rPr>
        <w:t>A disability focal point in the Ministry of Justice could be responsible for reporting on this indicator, based on administrative records. M</w:t>
      </w:r>
      <w:r w:rsidRPr="00903D87">
        <w:rPr>
          <w:rStyle w:val="CommentReference"/>
          <w:rFonts w:cstheme="minorHAnsi"/>
          <w:sz w:val="22"/>
          <w:szCs w:val="22"/>
        </w:rPr>
        <w:t>any</w:t>
      </w:r>
      <w:r w:rsidRPr="00903D87">
        <w:rPr>
          <w:rFonts w:cstheme="minorHAnsi"/>
          <w:sz w:val="22"/>
          <w:szCs w:val="22"/>
        </w:rPr>
        <w:t xml:space="preserve"> courts’ e-justice systems include search engines to track content. Some tag “disability” in their databases and permit tracking of the number of cases considering the issue, their tendencies and decisions.</w:t>
      </w:r>
    </w:p>
    <w:p w14:paraId="2354E575" w14:textId="77777777" w:rsidR="00704A46" w:rsidRPr="00903D87" w:rsidRDefault="00704A46" w:rsidP="005E1AEE">
      <w:pPr>
        <w:jc w:val="left"/>
        <w:rPr>
          <w:rFonts w:cstheme="minorHAnsi"/>
        </w:rPr>
      </w:pPr>
      <w:r w:rsidRPr="00903D87">
        <w:rPr>
          <w:rFonts w:cstheme="minorHAnsi"/>
        </w:rPr>
        <w:t>In addition, in countries whose citizens have an identity number, a registered claim can be cross-referenced with citizens who have been assessed as having a disability – although it should be noted that not all persons with disabilities have undergone such assessments, for a variety of reasons pertaining to eligibility requirements and the accessibility of the social protection system.</w:t>
      </w:r>
    </w:p>
    <w:p w14:paraId="3C62D469" w14:textId="76413E4E" w:rsidR="00704A46" w:rsidRPr="00903D87" w:rsidRDefault="00704A46" w:rsidP="005E1AEE">
      <w:pPr>
        <w:pStyle w:val="CommentText"/>
        <w:jc w:val="left"/>
        <w:rPr>
          <w:rFonts w:cstheme="minorHAnsi"/>
          <w:color w:val="000000" w:themeColor="text1"/>
          <w:sz w:val="22"/>
          <w:szCs w:val="22"/>
        </w:rPr>
      </w:pPr>
      <w:r w:rsidRPr="00903D87">
        <w:rPr>
          <w:rFonts w:cstheme="minorHAnsi"/>
          <w:sz w:val="22"/>
          <w:szCs w:val="22"/>
        </w:rPr>
        <w:t xml:space="preserve">The Belgian Equality body, </w:t>
      </w:r>
      <w:hyperlink r:id="rId19" w:anchor=":~:text=Overview%3A,and%20to%20fight%20against%20discrimination" w:history="1">
        <w:proofErr w:type="spellStart"/>
        <w:r w:rsidR="00AC3482" w:rsidRPr="00903D87">
          <w:rPr>
            <w:rStyle w:val="Hyperlink"/>
            <w:rFonts w:cstheme="minorHAnsi"/>
            <w:sz w:val="22"/>
            <w:szCs w:val="22"/>
          </w:rPr>
          <w:t>Unia</w:t>
        </w:r>
        <w:proofErr w:type="spellEnd"/>
      </w:hyperlink>
      <w:r w:rsidRPr="00903D87">
        <w:rPr>
          <w:rFonts w:cstheme="minorHAnsi"/>
          <w:color w:val="000000" w:themeColor="text1"/>
          <w:sz w:val="22"/>
          <w:szCs w:val="22"/>
        </w:rPr>
        <w:t xml:space="preserve"> </w:t>
      </w:r>
      <w:r w:rsidR="00AC3482" w:rsidRPr="00903D87">
        <w:rPr>
          <w:rFonts w:cstheme="minorHAnsi"/>
          <w:color w:val="000000" w:themeColor="text1"/>
          <w:sz w:val="22"/>
          <w:szCs w:val="22"/>
        </w:rPr>
        <w:t xml:space="preserve">(the </w:t>
      </w:r>
      <w:proofErr w:type="spellStart"/>
      <w:r w:rsidR="00AC3482" w:rsidRPr="00903D87">
        <w:rPr>
          <w:rFonts w:cstheme="minorHAnsi"/>
          <w:color w:val="000000" w:themeColor="text1"/>
          <w:sz w:val="22"/>
          <w:szCs w:val="22"/>
        </w:rPr>
        <w:t>Interfederal</w:t>
      </w:r>
      <w:proofErr w:type="spellEnd"/>
      <w:r w:rsidR="00AC3482" w:rsidRPr="00903D87">
        <w:rPr>
          <w:rFonts w:cstheme="minorHAnsi"/>
          <w:color w:val="000000" w:themeColor="text1"/>
          <w:sz w:val="22"/>
          <w:szCs w:val="22"/>
        </w:rPr>
        <w:t xml:space="preserve"> Centre for Equal Opportunities) </w:t>
      </w:r>
      <w:r w:rsidRPr="00903D87">
        <w:rPr>
          <w:rFonts w:cstheme="minorHAnsi"/>
          <w:color w:val="000000" w:themeColor="text1"/>
          <w:sz w:val="22"/>
          <w:szCs w:val="22"/>
        </w:rPr>
        <w:t xml:space="preserve">has developed an online database of cases relating to the rights of persons with disabilities. </w:t>
      </w:r>
      <w:proofErr w:type="spellStart"/>
      <w:r w:rsidRPr="00903D87">
        <w:rPr>
          <w:rFonts w:cstheme="minorHAnsi"/>
          <w:color w:val="000000" w:themeColor="text1"/>
          <w:sz w:val="22"/>
          <w:szCs w:val="22"/>
        </w:rPr>
        <w:t>Unia</w:t>
      </w:r>
      <w:proofErr w:type="spellEnd"/>
      <w:r w:rsidRPr="00903D87">
        <w:rPr>
          <w:rFonts w:cstheme="minorHAnsi"/>
          <w:color w:val="000000" w:themeColor="text1"/>
          <w:sz w:val="22"/>
          <w:szCs w:val="22"/>
        </w:rPr>
        <w:t xml:space="preserve"> publishes the number of complaints received related to the rights of persons with disabilities in its </w:t>
      </w:r>
      <w:hyperlink r:id="rId20" w:history="1">
        <w:r w:rsidRPr="00903D87">
          <w:rPr>
            <w:rStyle w:val="Hyperlink"/>
            <w:sz w:val="22"/>
            <w:szCs w:val="22"/>
          </w:rPr>
          <w:t>annual report</w:t>
        </w:r>
      </w:hyperlink>
      <w:r w:rsidRPr="00903D87">
        <w:rPr>
          <w:rFonts w:cstheme="minorHAnsi"/>
          <w:color w:val="000000" w:themeColor="text1"/>
          <w:sz w:val="22"/>
          <w:szCs w:val="22"/>
        </w:rPr>
        <w:t xml:space="preserve">, as well as in a </w:t>
      </w:r>
      <w:hyperlink r:id="rId21" w:history="1">
        <w:r w:rsidRPr="00903D87">
          <w:rPr>
            <w:rStyle w:val="Hyperlink"/>
            <w:sz w:val="22"/>
            <w:szCs w:val="22"/>
          </w:rPr>
          <w:t>separate statistics report</w:t>
        </w:r>
      </w:hyperlink>
      <w:r w:rsidRPr="00903D87">
        <w:rPr>
          <w:rFonts w:cstheme="minorHAnsi"/>
          <w:color w:val="000000" w:themeColor="text1"/>
          <w:sz w:val="22"/>
          <w:szCs w:val="22"/>
        </w:rPr>
        <w:t xml:space="preserve">. The latter includes an analysis of cases opened by </w:t>
      </w:r>
      <w:proofErr w:type="spellStart"/>
      <w:r w:rsidRPr="00903D87">
        <w:rPr>
          <w:rFonts w:cstheme="minorHAnsi"/>
          <w:color w:val="000000" w:themeColor="text1"/>
          <w:sz w:val="22"/>
          <w:szCs w:val="22"/>
        </w:rPr>
        <w:t>Unia</w:t>
      </w:r>
      <w:proofErr w:type="spellEnd"/>
      <w:r w:rsidRPr="00903D87">
        <w:rPr>
          <w:rFonts w:cstheme="minorHAnsi"/>
          <w:color w:val="000000" w:themeColor="text1"/>
          <w:sz w:val="22"/>
          <w:szCs w:val="22"/>
        </w:rPr>
        <w:t xml:space="preserve"> based on the complaints received, per discrimination ground (including disability). It provides data on the number of new cases, evolution over time and areas to which the cases relate (employment, education, etc).</w:t>
      </w:r>
    </w:p>
    <w:p w14:paraId="367B90EB" w14:textId="77777777" w:rsidR="00704A46" w:rsidRPr="00903D87" w:rsidRDefault="00704A46" w:rsidP="003A126E">
      <w:pPr>
        <w:pStyle w:val="Heading2"/>
        <w:rPr>
          <w:rFonts w:eastAsiaTheme="majorEastAsia"/>
        </w:rPr>
      </w:pPr>
      <w:r w:rsidRPr="00903D87">
        <w:rPr>
          <w:rFonts w:eastAsiaTheme="majorEastAsia"/>
        </w:rPr>
        <w:t>13.19 Proportion of crimes against persons with disabilities brought before judicial authorities out of total number of crimes, disaggregated by sex, age and disability of the victim.</w:t>
      </w:r>
    </w:p>
    <w:p w14:paraId="0D4B72F7" w14:textId="77777777" w:rsidR="00704A46" w:rsidRPr="00903D87" w:rsidRDefault="00704A46" w:rsidP="003A126E">
      <w:pPr>
        <w:pStyle w:val="Heading4"/>
        <w:rPr>
          <w:rFonts w:eastAsiaTheme="majorEastAsia"/>
        </w:rPr>
      </w:pPr>
      <w:r w:rsidRPr="00903D87">
        <w:rPr>
          <w:rFonts w:eastAsiaTheme="majorEastAsia"/>
        </w:rPr>
        <w:t>Level 1: Indicator for which data are already being produced and reported on in at least some countries</w:t>
      </w:r>
    </w:p>
    <w:p w14:paraId="11AB9DC9" w14:textId="5F937370" w:rsidR="00704A46" w:rsidRPr="00903D87" w:rsidRDefault="00704A46" w:rsidP="005E1AEE">
      <w:pPr>
        <w:jc w:val="left"/>
        <w:rPr>
          <w:rStyle w:val="Hyperlink"/>
          <w:rFonts w:eastAsiaTheme="majorEastAsia"/>
        </w:rPr>
      </w:pPr>
      <w:r w:rsidRPr="00903D87">
        <w:rPr>
          <w:rFonts w:cstheme="minorHAnsi"/>
          <w:color w:val="000000"/>
        </w:rPr>
        <w:t>In the United States of America, the National Crime Victimization Survey calculates estimates of nonfatal violent crime (rape or sexual assault, robbery, aggravated assault and simple assault) committed against persons with disabilities aged 12 or older, which can be found at</w:t>
      </w:r>
      <w:r w:rsidRPr="00903D87">
        <w:t xml:space="preserve"> </w:t>
      </w:r>
      <w:hyperlink r:id="rId22" w:tooltip="https://www.bjs.gov/index.cfm?ty=pbdetail&amp;iid=5986" w:history="1">
        <w:r w:rsidR="00474AAC" w:rsidRPr="00903D87">
          <w:rPr>
            <w:rStyle w:val="Hyperlink"/>
            <w:rFonts w:eastAsiaTheme="majorEastAsia"/>
          </w:rPr>
          <w:t>Bureau of Justice Statistics</w:t>
        </w:r>
      </w:hyperlink>
      <w:r w:rsidRPr="00903D87">
        <w:rPr>
          <w:rFonts w:eastAsiaTheme="majorEastAsia" w:cstheme="minorHAnsi"/>
        </w:rPr>
        <w:t>.</w:t>
      </w:r>
    </w:p>
    <w:p w14:paraId="0E1EFF2B" w14:textId="77777777" w:rsidR="00704A46" w:rsidRPr="00903D87" w:rsidRDefault="00704A46" w:rsidP="005E1AEE">
      <w:pPr>
        <w:jc w:val="left"/>
        <w:rPr>
          <w:rFonts w:cstheme="minorHAnsi"/>
        </w:rPr>
      </w:pPr>
      <w:r w:rsidRPr="00903D87">
        <w:rPr>
          <w:rFonts w:cstheme="minorHAnsi"/>
        </w:rPr>
        <w:t xml:space="preserve">The National Crime Victimization Survey is a nationally representative survey of about 95,760 households and 163,880 individuals (in 2015). It includes six questions to classify the person with disability by their impairment, as detailed in table 1. Respondents are asked about the number and </w:t>
      </w:r>
      <w:r w:rsidRPr="00903D87">
        <w:rPr>
          <w:rFonts w:cstheme="minorHAnsi"/>
        </w:rPr>
        <w:lastRenderedPageBreak/>
        <w:t>characteristics of victimizations they experienced during the prior 6 months. Tables 1 and 2 show estimates for the total population, based on these self-reports from the survey sample.</w:t>
      </w:r>
    </w:p>
    <w:p w14:paraId="6FD67F32" w14:textId="46C7D69A" w:rsidR="00704A46" w:rsidRPr="00903D87" w:rsidRDefault="00704A46" w:rsidP="007F4D63">
      <w:pPr>
        <w:pStyle w:val="TableHeader"/>
        <w:rPr>
          <w:rFonts w:eastAsiaTheme="majorEastAsia" w:cstheme="majorBidi"/>
        </w:rPr>
      </w:pPr>
      <w:r w:rsidRPr="00903D87">
        <w:rPr>
          <w:rFonts w:eastAsiaTheme="majorEastAsia" w:cstheme="majorBidi"/>
          <w:b/>
          <w:bCs w:val="0"/>
        </w:rPr>
        <w:t>Table 1</w:t>
      </w:r>
      <w:r w:rsidR="00D871A2" w:rsidRPr="00903D87">
        <w:rPr>
          <w:rFonts w:eastAsiaTheme="majorEastAsia" w:cstheme="majorBidi"/>
          <w:b/>
          <w:bCs w:val="0"/>
        </w:rPr>
        <w:t>:</w:t>
      </w:r>
      <w:r w:rsidR="00D871A2" w:rsidRPr="00903D87">
        <w:rPr>
          <w:rFonts w:eastAsiaTheme="majorEastAsia" w:cstheme="majorBidi"/>
        </w:rPr>
        <w:t xml:space="preserve"> </w:t>
      </w:r>
      <w:r w:rsidRPr="00903D87">
        <w:rPr>
          <w:rFonts w:eastAsiaTheme="majorEastAsia" w:cstheme="majorBidi"/>
        </w:rPr>
        <w:t>Violent crime reported to police, by victim's disability status and disability type</w:t>
      </w:r>
    </w:p>
    <w:tbl>
      <w:tblPr>
        <w:tblStyle w:val="TableGrid"/>
        <w:tblpPr w:leftFromText="180" w:rightFromText="180" w:vertAnchor="text" w:horzAnchor="margin" w:tblpY="5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Violent crime reported to police, by victim's disability status and disability type"/>
      </w:tblPr>
      <w:tblGrid>
        <w:gridCol w:w="4345"/>
        <w:gridCol w:w="4655"/>
      </w:tblGrid>
      <w:tr w:rsidR="00704A46" w:rsidRPr="00903D87" w14:paraId="4A05E110" w14:textId="77777777" w:rsidTr="00F537A2">
        <w:trPr>
          <w:trHeight w:val="320"/>
          <w:tblHeader/>
        </w:trPr>
        <w:tc>
          <w:tcPr>
            <w:tcW w:w="2414" w:type="pct"/>
            <w:tcBorders>
              <w:top w:val="single" w:sz="12" w:space="0" w:color="auto"/>
              <w:bottom w:val="single" w:sz="12" w:space="0" w:color="auto"/>
            </w:tcBorders>
            <w:shd w:val="clear" w:color="auto" w:fill="F5F5F1"/>
            <w:noWrap/>
            <w:vAlign w:val="center"/>
          </w:tcPr>
          <w:p w14:paraId="12DA9575" w14:textId="77777777" w:rsidR="00704A46" w:rsidRPr="00903D87" w:rsidRDefault="00704A46" w:rsidP="00F537A2">
            <w:pPr>
              <w:pStyle w:val="TableHeaderRow"/>
              <w:jc w:val="left"/>
            </w:pPr>
            <w:r w:rsidRPr="00903D87">
              <w:t>Disability Status</w:t>
            </w:r>
          </w:p>
        </w:tc>
        <w:tc>
          <w:tcPr>
            <w:tcW w:w="2586" w:type="pct"/>
            <w:tcBorders>
              <w:top w:val="single" w:sz="12" w:space="0" w:color="auto"/>
              <w:bottom w:val="single" w:sz="12" w:space="0" w:color="auto"/>
            </w:tcBorders>
            <w:shd w:val="clear" w:color="auto" w:fill="F5F5F1"/>
            <w:vAlign w:val="center"/>
          </w:tcPr>
          <w:p w14:paraId="66A45962" w14:textId="77777777" w:rsidR="00704A46" w:rsidRPr="00903D87" w:rsidRDefault="00704A46" w:rsidP="00F537A2">
            <w:pPr>
              <w:pStyle w:val="TableHeaderRow"/>
              <w:jc w:val="left"/>
            </w:pPr>
            <w:r w:rsidRPr="00903D87">
              <w:t>Reported violent crime (percentage)</w:t>
            </w:r>
          </w:p>
        </w:tc>
      </w:tr>
      <w:tr w:rsidR="00704A46" w:rsidRPr="00903D87" w14:paraId="74A4D2E7" w14:textId="77777777" w:rsidTr="00D871A2">
        <w:trPr>
          <w:trHeight w:val="320"/>
          <w:tblHeader/>
        </w:trPr>
        <w:tc>
          <w:tcPr>
            <w:tcW w:w="2414" w:type="pct"/>
            <w:tcBorders>
              <w:top w:val="single" w:sz="12" w:space="0" w:color="auto"/>
            </w:tcBorders>
            <w:shd w:val="clear" w:color="auto" w:fill="F5F5F1"/>
            <w:noWrap/>
            <w:hideMark/>
          </w:tcPr>
          <w:p w14:paraId="5E980232" w14:textId="77777777" w:rsidR="00704A46" w:rsidRPr="00903D87" w:rsidRDefault="00704A46" w:rsidP="00D871A2">
            <w:pPr>
              <w:jc w:val="left"/>
              <w:rPr>
                <w:rFonts w:cstheme="minorHAnsi"/>
                <w:color w:val="000000"/>
              </w:rPr>
            </w:pPr>
            <w:r w:rsidRPr="00903D87">
              <w:rPr>
                <w:rFonts w:cstheme="minorHAnsi"/>
                <w:color w:val="000000"/>
              </w:rPr>
              <w:t>Persons without disabilities</w:t>
            </w:r>
          </w:p>
        </w:tc>
        <w:tc>
          <w:tcPr>
            <w:tcW w:w="2586" w:type="pct"/>
            <w:tcBorders>
              <w:top w:val="single" w:sz="12" w:space="0" w:color="auto"/>
            </w:tcBorders>
            <w:shd w:val="clear" w:color="auto" w:fill="F5F5F1"/>
            <w:noWrap/>
            <w:hideMark/>
          </w:tcPr>
          <w:p w14:paraId="08991AC6" w14:textId="77777777" w:rsidR="00704A46" w:rsidRPr="00903D87" w:rsidRDefault="00704A46" w:rsidP="00D871A2">
            <w:pPr>
              <w:jc w:val="left"/>
              <w:rPr>
                <w:rFonts w:cstheme="minorHAnsi"/>
                <w:color w:val="000000"/>
              </w:rPr>
            </w:pPr>
            <w:r w:rsidRPr="00903D87">
              <w:rPr>
                <w:rFonts w:cstheme="minorHAnsi"/>
                <w:color w:val="000000"/>
              </w:rPr>
              <w:t>46%</w:t>
            </w:r>
          </w:p>
        </w:tc>
      </w:tr>
      <w:tr w:rsidR="00704A46" w:rsidRPr="00903D87" w14:paraId="1BACD6C4" w14:textId="77777777" w:rsidTr="00D871A2">
        <w:trPr>
          <w:trHeight w:val="320"/>
          <w:tblHeader/>
        </w:trPr>
        <w:tc>
          <w:tcPr>
            <w:tcW w:w="2414" w:type="pct"/>
            <w:tcBorders>
              <w:bottom w:val="single" w:sz="12" w:space="0" w:color="auto"/>
            </w:tcBorders>
            <w:shd w:val="clear" w:color="auto" w:fill="F5F5F1"/>
            <w:noWrap/>
            <w:hideMark/>
          </w:tcPr>
          <w:p w14:paraId="723BD1DD" w14:textId="77777777" w:rsidR="00704A46" w:rsidRPr="00903D87" w:rsidRDefault="00704A46" w:rsidP="00D871A2">
            <w:pPr>
              <w:jc w:val="left"/>
              <w:rPr>
                <w:rFonts w:cstheme="minorHAnsi"/>
                <w:color w:val="000000"/>
              </w:rPr>
            </w:pPr>
            <w:r w:rsidRPr="00903D87">
              <w:rPr>
                <w:rFonts w:cstheme="minorHAnsi"/>
                <w:color w:val="000000"/>
              </w:rPr>
              <w:t>Persons with disabilities</w:t>
            </w:r>
          </w:p>
        </w:tc>
        <w:tc>
          <w:tcPr>
            <w:tcW w:w="2586" w:type="pct"/>
            <w:tcBorders>
              <w:bottom w:val="single" w:sz="12" w:space="0" w:color="auto"/>
            </w:tcBorders>
            <w:shd w:val="clear" w:color="auto" w:fill="F5F5F1"/>
            <w:noWrap/>
            <w:hideMark/>
          </w:tcPr>
          <w:p w14:paraId="7BEF0557" w14:textId="77777777" w:rsidR="00704A46" w:rsidRPr="00903D87" w:rsidRDefault="00704A46" w:rsidP="00D871A2">
            <w:pPr>
              <w:jc w:val="left"/>
              <w:rPr>
                <w:rFonts w:cstheme="minorHAnsi"/>
                <w:color w:val="000000"/>
              </w:rPr>
            </w:pPr>
            <w:r w:rsidRPr="00903D87">
              <w:rPr>
                <w:rFonts w:cstheme="minorHAnsi"/>
                <w:color w:val="000000"/>
              </w:rPr>
              <w:t>49%</w:t>
            </w:r>
          </w:p>
        </w:tc>
      </w:tr>
      <w:tr w:rsidR="007F4D63" w:rsidRPr="00903D87" w14:paraId="3449B896" w14:textId="77777777" w:rsidTr="007F4D63">
        <w:trPr>
          <w:trHeight w:val="320"/>
          <w:tblHeader/>
        </w:trPr>
        <w:tc>
          <w:tcPr>
            <w:tcW w:w="5000" w:type="pct"/>
            <w:gridSpan w:val="2"/>
            <w:tcBorders>
              <w:top w:val="single" w:sz="12" w:space="0" w:color="auto"/>
              <w:bottom w:val="single" w:sz="12" w:space="0" w:color="auto"/>
            </w:tcBorders>
            <w:shd w:val="clear" w:color="auto" w:fill="F5F5F1"/>
            <w:noWrap/>
            <w:hideMark/>
          </w:tcPr>
          <w:p w14:paraId="36B0B62D" w14:textId="558D3858" w:rsidR="007F4D63" w:rsidRPr="00903D87" w:rsidRDefault="007F4D63" w:rsidP="00D871A2">
            <w:pPr>
              <w:jc w:val="left"/>
              <w:rPr>
                <w:rFonts w:cstheme="minorHAnsi"/>
                <w:b/>
                <w:bCs/>
                <w:i/>
                <w:iCs/>
                <w:color w:val="000000"/>
              </w:rPr>
            </w:pPr>
            <w:r w:rsidRPr="00903D87">
              <w:rPr>
                <w:rFonts w:cstheme="minorHAnsi"/>
                <w:b/>
                <w:bCs/>
                <w:i/>
                <w:iCs/>
                <w:color w:val="000000"/>
              </w:rPr>
              <w:t>Disability type</w:t>
            </w:r>
          </w:p>
        </w:tc>
      </w:tr>
      <w:tr w:rsidR="00704A46" w:rsidRPr="00903D87" w14:paraId="450D5107" w14:textId="77777777" w:rsidTr="00D871A2">
        <w:trPr>
          <w:trHeight w:val="320"/>
          <w:tblHeader/>
        </w:trPr>
        <w:tc>
          <w:tcPr>
            <w:tcW w:w="2414" w:type="pct"/>
            <w:tcBorders>
              <w:top w:val="single" w:sz="12" w:space="0" w:color="auto"/>
            </w:tcBorders>
            <w:shd w:val="clear" w:color="auto" w:fill="F5F5F1"/>
            <w:noWrap/>
            <w:hideMark/>
          </w:tcPr>
          <w:p w14:paraId="0B3B1CF9" w14:textId="77777777" w:rsidR="00704A46" w:rsidRPr="00903D87" w:rsidRDefault="00704A46" w:rsidP="00D871A2">
            <w:pPr>
              <w:jc w:val="left"/>
              <w:rPr>
                <w:rFonts w:cstheme="minorHAnsi"/>
                <w:color w:val="000000"/>
              </w:rPr>
            </w:pPr>
            <w:r w:rsidRPr="00903D87">
              <w:rPr>
                <w:rFonts w:cstheme="minorHAnsi"/>
                <w:color w:val="000000"/>
              </w:rPr>
              <w:t>Ambulatory</w:t>
            </w:r>
          </w:p>
        </w:tc>
        <w:tc>
          <w:tcPr>
            <w:tcW w:w="2586" w:type="pct"/>
            <w:tcBorders>
              <w:top w:val="single" w:sz="12" w:space="0" w:color="auto"/>
            </w:tcBorders>
            <w:shd w:val="clear" w:color="auto" w:fill="F5F5F1"/>
            <w:noWrap/>
            <w:hideMark/>
          </w:tcPr>
          <w:p w14:paraId="75D3450F" w14:textId="77777777" w:rsidR="00704A46" w:rsidRPr="00903D87" w:rsidRDefault="00704A46" w:rsidP="00D871A2">
            <w:pPr>
              <w:jc w:val="left"/>
              <w:rPr>
                <w:rFonts w:cstheme="minorHAnsi"/>
                <w:color w:val="000000"/>
              </w:rPr>
            </w:pPr>
            <w:r w:rsidRPr="00903D87">
              <w:rPr>
                <w:rFonts w:cstheme="minorHAnsi"/>
                <w:color w:val="000000"/>
              </w:rPr>
              <w:t>55%</w:t>
            </w:r>
          </w:p>
        </w:tc>
      </w:tr>
      <w:tr w:rsidR="00704A46" w:rsidRPr="00903D87" w14:paraId="7494D7DF" w14:textId="77777777" w:rsidTr="00D871A2">
        <w:trPr>
          <w:trHeight w:val="320"/>
          <w:tblHeader/>
        </w:trPr>
        <w:tc>
          <w:tcPr>
            <w:tcW w:w="2414" w:type="pct"/>
            <w:shd w:val="clear" w:color="auto" w:fill="F5F5F1"/>
            <w:noWrap/>
            <w:hideMark/>
          </w:tcPr>
          <w:p w14:paraId="2AEA47B2" w14:textId="77777777" w:rsidR="00704A46" w:rsidRPr="00903D87" w:rsidRDefault="00704A46" w:rsidP="00D871A2">
            <w:pPr>
              <w:jc w:val="left"/>
              <w:rPr>
                <w:rFonts w:cstheme="minorHAnsi"/>
                <w:color w:val="000000"/>
              </w:rPr>
            </w:pPr>
            <w:r w:rsidRPr="00903D87">
              <w:rPr>
                <w:rFonts w:cstheme="minorHAnsi"/>
                <w:color w:val="000000"/>
              </w:rPr>
              <w:t>Independent living</w:t>
            </w:r>
          </w:p>
        </w:tc>
        <w:tc>
          <w:tcPr>
            <w:tcW w:w="2586" w:type="pct"/>
            <w:shd w:val="clear" w:color="auto" w:fill="F5F5F1"/>
            <w:noWrap/>
            <w:hideMark/>
          </w:tcPr>
          <w:p w14:paraId="78CD3C72" w14:textId="77777777" w:rsidR="00704A46" w:rsidRPr="00903D87" w:rsidRDefault="00704A46" w:rsidP="00D871A2">
            <w:pPr>
              <w:jc w:val="left"/>
              <w:rPr>
                <w:rFonts w:cstheme="minorHAnsi"/>
                <w:color w:val="000000"/>
              </w:rPr>
            </w:pPr>
            <w:r w:rsidRPr="00903D87">
              <w:rPr>
                <w:rFonts w:cstheme="minorHAnsi"/>
                <w:color w:val="000000"/>
              </w:rPr>
              <w:t>54%</w:t>
            </w:r>
          </w:p>
        </w:tc>
      </w:tr>
      <w:tr w:rsidR="00704A46" w:rsidRPr="00903D87" w14:paraId="0C1BA317" w14:textId="77777777" w:rsidTr="00D871A2">
        <w:trPr>
          <w:trHeight w:val="320"/>
          <w:tblHeader/>
        </w:trPr>
        <w:tc>
          <w:tcPr>
            <w:tcW w:w="2414" w:type="pct"/>
            <w:shd w:val="clear" w:color="auto" w:fill="F5F5F1"/>
            <w:noWrap/>
            <w:hideMark/>
          </w:tcPr>
          <w:p w14:paraId="0D2A8CF6" w14:textId="77777777" w:rsidR="00704A46" w:rsidRPr="00903D87" w:rsidRDefault="00704A46" w:rsidP="00D871A2">
            <w:pPr>
              <w:jc w:val="left"/>
              <w:rPr>
                <w:rFonts w:cstheme="minorHAnsi"/>
                <w:color w:val="000000"/>
              </w:rPr>
            </w:pPr>
            <w:r w:rsidRPr="00903D87">
              <w:rPr>
                <w:rFonts w:cstheme="minorHAnsi"/>
                <w:color w:val="000000"/>
              </w:rPr>
              <w:t>Self-care</w:t>
            </w:r>
          </w:p>
        </w:tc>
        <w:tc>
          <w:tcPr>
            <w:tcW w:w="2586" w:type="pct"/>
            <w:shd w:val="clear" w:color="auto" w:fill="F5F5F1"/>
            <w:noWrap/>
            <w:hideMark/>
          </w:tcPr>
          <w:p w14:paraId="346E7217" w14:textId="77777777" w:rsidR="00704A46" w:rsidRPr="00903D87" w:rsidRDefault="00704A46" w:rsidP="00D871A2">
            <w:pPr>
              <w:jc w:val="left"/>
              <w:rPr>
                <w:rFonts w:cstheme="minorHAnsi"/>
                <w:color w:val="000000"/>
              </w:rPr>
            </w:pPr>
            <w:r w:rsidRPr="00903D87">
              <w:rPr>
                <w:rFonts w:cstheme="minorHAnsi"/>
                <w:color w:val="000000"/>
              </w:rPr>
              <w:t>54%</w:t>
            </w:r>
          </w:p>
        </w:tc>
      </w:tr>
      <w:tr w:rsidR="00704A46" w:rsidRPr="00903D87" w14:paraId="7340F6DE" w14:textId="77777777" w:rsidTr="00D871A2">
        <w:trPr>
          <w:trHeight w:val="320"/>
          <w:tblHeader/>
        </w:trPr>
        <w:tc>
          <w:tcPr>
            <w:tcW w:w="2414" w:type="pct"/>
            <w:shd w:val="clear" w:color="auto" w:fill="F5F5F1"/>
            <w:noWrap/>
            <w:hideMark/>
          </w:tcPr>
          <w:p w14:paraId="1B4C6ED1" w14:textId="77777777" w:rsidR="00704A46" w:rsidRPr="00903D87" w:rsidRDefault="00704A46" w:rsidP="00D871A2">
            <w:pPr>
              <w:jc w:val="left"/>
              <w:rPr>
                <w:rFonts w:cstheme="minorHAnsi"/>
                <w:color w:val="000000"/>
              </w:rPr>
            </w:pPr>
            <w:r w:rsidRPr="00903D87">
              <w:rPr>
                <w:rFonts w:cstheme="minorHAnsi"/>
                <w:color w:val="000000"/>
              </w:rPr>
              <w:t xml:space="preserve">Hearing </w:t>
            </w:r>
          </w:p>
        </w:tc>
        <w:tc>
          <w:tcPr>
            <w:tcW w:w="2586" w:type="pct"/>
            <w:shd w:val="clear" w:color="auto" w:fill="F5F5F1"/>
            <w:noWrap/>
            <w:hideMark/>
          </w:tcPr>
          <w:p w14:paraId="5E440A03" w14:textId="77777777" w:rsidR="00704A46" w:rsidRPr="00903D87" w:rsidRDefault="00704A46" w:rsidP="00D871A2">
            <w:pPr>
              <w:jc w:val="left"/>
              <w:rPr>
                <w:rFonts w:cstheme="minorHAnsi"/>
                <w:color w:val="000000"/>
              </w:rPr>
            </w:pPr>
            <w:r w:rsidRPr="00903D87">
              <w:rPr>
                <w:rFonts w:cstheme="minorHAnsi"/>
                <w:color w:val="000000"/>
              </w:rPr>
              <w:t>51%</w:t>
            </w:r>
          </w:p>
        </w:tc>
      </w:tr>
      <w:tr w:rsidR="00704A46" w:rsidRPr="00903D87" w14:paraId="44DF0BBE" w14:textId="77777777" w:rsidTr="00D871A2">
        <w:trPr>
          <w:trHeight w:val="320"/>
          <w:tblHeader/>
        </w:trPr>
        <w:tc>
          <w:tcPr>
            <w:tcW w:w="2414" w:type="pct"/>
            <w:shd w:val="clear" w:color="auto" w:fill="F5F5F1"/>
            <w:noWrap/>
            <w:hideMark/>
          </w:tcPr>
          <w:p w14:paraId="1E4BA46D" w14:textId="77777777" w:rsidR="00704A46" w:rsidRPr="00903D87" w:rsidRDefault="00704A46" w:rsidP="00D871A2">
            <w:pPr>
              <w:jc w:val="left"/>
              <w:rPr>
                <w:rFonts w:cstheme="minorHAnsi"/>
                <w:color w:val="000000"/>
              </w:rPr>
            </w:pPr>
            <w:r w:rsidRPr="00903D87">
              <w:rPr>
                <w:rFonts w:cstheme="minorHAnsi"/>
                <w:color w:val="000000"/>
              </w:rPr>
              <w:t>Cognitive</w:t>
            </w:r>
          </w:p>
        </w:tc>
        <w:tc>
          <w:tcPr>
            <w:tcW w:w="2586" w:type="pct"/>
            <w:shd w:val="clear" w:color="auto" w:fill="F5F5F1"/>
            <w:noWrap/>
            <w:hideMark/>
          </w:tcPr>
          <w:p w14:paraId="56EFB426" w14:textId="77777777" w:rsidR="00704A46" w:rsidRPr="00903D87" w:rsidRDefault="00704A46" w:rsidP="00D871A2">
            <w:pPr>
              <w:jc w:val="left"/>
              <w:rPr>
                <w:rFonts w:cstheme="minorHAnsi"/>
                <w:color w:val="000000"/>
              </w:rPr>
            </w:pPr>
            <w:r w:rsidRPr="00903D87">
              <w:rPr>
                <w:rFonts w:cstheme="minorHAnsi"/>
                <w:color w:val="000000"/>
              </w:rPr>
              <w:t>47%</w:t>
            </w:r>
          </w:p>
        </w:tc>
      </w:tr>
      <w:tr w:rsidR="00704A46" w:rsidRPr="00903D87" w14:paraId="6F894DDC" w14:textId="77777777" w:rsidTr="00D871A2">
        <w:trPr>
          <w:trHeight w:val="320"/>
          <w:tblHeader/>
        </w:trPr>
        <w:tc>
          <w:tcPr>
            <w:tcW w:w="2414" w:type="pct"/>
            <w:tcBorders>
              <w:bottom w:val="single" w:sz="12" w:space="0" w:color="auto"/>
            </w:tcBorders>
            <w:shd w:val="clear" w:color="auto" w:fill="F5F5F1"/>
            <w:noWrap/>
            <w:hideMark/>
          </w:tcPr>
          <w:p w14:paraId="3BD24E1E" w14:textId="77777777" w:rsidR="00704A46" w:rsidRPr="00903D87" w:rsidRDefault="00704A46" w:rsidP="00D871A2">
            <w:pPr>
              <w:jc w:val="left"/>
              <w:rPr>
                <w:rFonts w:cstheme="minorHAnsi"/>
                <w:color w:val="000000"/>
              </w:rPr>
            </w:pPr>
            <w:r w:rsidRPr="00903D87">
              <w:rPr>
                <w:rFonts w:cstheme="minorHAnsi"/>
                <w:color w:val="000000"/>
              </w:rPr>
              <w:t>Vision</w:t>
            </w:r>
          </w:p>
        </w:tc>
        <w:tc>
          <w:tcPr>
            <w:tcW w:w="2586" w:type="pct"/>
            <w:tcBorders>
              <w:bottom w:val="single" w:sz="12" w:space="0" w:color="auto"/>
            </w:tcBorders>
            <w:shd w:val="clear" w:color="auto" w:fill="F5F5F1"/>
            <w:noWrap/>
            <w:hideMark/>
          </w:tcPr>
          <w:p w14:paraId="0E0BA36D" w14:textId="77777777" w:rsidR="00704A46" w:rsidRPr="00903D87" w:rsidRDefault="00704A46" w:rsidP="00D871A2">
            <w:pPr>
              <w:jc w:val="left"/>
              <w:rPr>
                <w:rFonts w:cstheme="minorHAnsi"/>
                <w:color w:val="000000"/>
              </w:rPr>
            </w:pPr>
            <w:r w:rsidRPr="00903D87">
              <w:rPr>
                <w:rFonts w:cstheme="minorHAnsi"/>
                <w:color w:val="000000"/>
              </w:rPr>
              <w:t>42%</w:t>
            </w:r>
          </w:p>
        </w:tc>
      </w:tr>
      <w:tr w:rsidR="00704A46" w:rsidRPr="00903D87" w14:paraId="2CAEFEAD" w14:textId="77777777" w:rsidTr="00D871A2">
        <w:trPr>
          <w:trHeight w:val="320"/>
          <w:tblHeader/>
        </w:trPr>
        <w:tc>
          <w:tcPr>
            <w:tcW w:w="5000" w:type="pct"/>
            <w:gridSpan w:val="2"/>
            <w:tcBorders>
              <w:top w:val="single" w:sz="12" w:space="0" w:color="auto"/>
            </w:tcBorders>
            <w:noWrap/>
          </w:tcPr>
          <w:p w14:paraId="017CD2C8" w14:textId="50A80132" w:rsidR="00704A46" w:rsidRPr="00903D87" w:rsidRDefault="00704A46" w:rsidP="005E1AEE">
            <w:pPr>
              <w:jc w:val="left"/>
              <w:rPr>
                <w:rFonts w:cstheme="minorHAnsi"/>
                <w:color w:val="000000"/>
                <w:sz w:val="18"/>
                <w:szCs w:val="18"/>
              </w:rPr>
            </w:pPr>
            <w:r w:rsidRPr="00903D87">
              <w:rPr>
                <w:rFonts w:cstheme="minorHAnsi"/>
                <w:i/>
                <w:iCs/>
                <w:color w:val="000000"/>
                <w:sz w:val="18"/>
                <w:szCs w:val="18"/>
              </w:rPr>
              <w:t>Source:</w:t>
            </w:r>
            <w:r w:rsidRPr="00903D87">
              <w:rPr>
                <w:rFonts w:cstheme="minorHAnsi"/>
                <w:color w:val="000000"/>
                <w:sz w:val="18"/>
                <w:szCs w:val="18"/>
              </w:rPr>
              <w:t xml:space="preserve"> Erica Harrel, </w:t>
            </w:r>
            <w:r w:rsidRPr="00903D87">
              <w:rPr>
                <w:rFonts w:cstheme="minorHAnsi"/>
                <w:i/>
                <w:iCs/>
                <w:color w:val="000000"/>
                <w:sz w:val="18"/>
                <w:szCs w:val="18"/>
              </w:rPr>
              <w:t xml:space="preserve">Crime Against Persons </w:t>
            </w:r>
            <w:proofErr w:type="gramStart"/>
            <w:r w:rsidRPr="00903D87">
              <w:rPr>
                <w:rFonts w:cstheme="minorHAnsi"/>
                <w:i/>
                <w:iCs/>
                <w:color w:val="000000"/>
                <w:sz w:val="18"/>
                <w:szCs w:val="18"/>
              </w:rPr>
              <w:t>With</w:t>
            </w:r>
            <w:proofErr w:type="gramEnd"/>
            <w:r w:rsidRPr="00903D87">
              <w:rPr>
                <w:rFonts w:cstheme="minorHAnsi"/>
                <w:i/>
                <w:iCs/>
                <w:color w:val="000000"/>
                <w:sz w:val="18"/>
                <w:szCs w:val="18"/>
              </w:rPr>
              <w:t xml:space="preserve"> Disabilities, 2009-2015 – Statistical Tables</w:t>
            </w:r>
            <w:r w:rsidRPr="00903D87">
              <w:rPr>
                <w:rFonts w:cstheme="minorHAnsi"/>
                <w:color w:val="000000"/>
                <w:sz w:val="18"/>
                <w:szCs w:val="18"/>
              </w:rPr>
              <w:t xml:space="preserve"> (2017)</w:t>
            </w:r>
          </w:p>
        </w:tc>
      </w:tr>
    </w:tbl>
    <w:p w14:paraId="559D8D91" w14:textId="3D2A6B1E" w:rsidR="00704A46" w:rsidRPr="00903D87" w:rsidRDefault="00704A46" w:rsidP="007F4D63">
      <w:pPr>
        <w:pStyle w:val="TableHeader"/>
        <w:rPr>
          <w:rFonts w:eastAsiaTheme="majorEastAsia" w:cstheme="majorBidi"/>
        </w:rPr>
      </w:pPr>
      <w:r w:rsidRPr="00903D87">
        <w:rPr>
          <w:rFonts w:eastAsiaTheme="majorEastAsia" w:cstheme="majorBidi"/>
          <w:b/>
          <w:bCs w:val="0"/>
        </w:rPr>
        <w:t>Table 2</w:t>
      </w:r>
      <w:r w:rsidR="00D871A2" w:rsidRPr="00903D87">
        <w:rPr>
          <w:rFonts w:eastAsiaTheme="majorEastAsia" w:cstheme="majorBidi"/>
          <w:b/>
          <w:bCs w:val="0"/>
        </w:rPr>
        <w:t>:</w:t>
      </w:r>
      <w:r w:rsidR="00D871A2" w:rsidRPr="00903D87">
        <w:rPr>
          <w:rFonts w:eastAsiaTheme="majorEastAsia" w:cstheme="majorBidi"/>
        </w:rPr>
        <w:t xml:space="preserve"> </w:t>
      </w:r>
      <w:r w:rsidRPr="00903D87">
        <w:rPr>
          <w:rFonts w:eastAsiaTheme="majorEastAsia" w:cstheme="majorBidi"/>
        </w:rPr>
        <w:t>Rate of violent victimization (per 1,000 population) against persons with and without disabilities, by type of crime, 2011-2015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Rate of violent victimization (per 1,000 population) against persons with and without disabilities, by type of crime, 2011-2015"/>
      </w:tblPr>
      <w:tblGrid>
        <w:gridCol w:w="3463"/>
        <w:gridCol w:w="2576"/>
        <w:gridCol w:w="2961"/>
      </w:tblGrid>
      <w:tr w:rsidR="00704A46" w:rsidRPr="00903D87" w14:paraId="5EDB6740" w14:textId="77777777" w:rsidTr="00F537A2">
        <w:trPr>
          <w:trHeight w:val="320"/>
          <w:tblHeader/>
        </w:trPr>
        <w:tc>
          <w:tcPr>
            <w:tcW w:w="1924" w:type="pct"/>
            <w:tcBorders>
              <w:top w:val="single" w:sz="12" w:space="0" w:color="auto"/>
              <w:bottom w:val="single" w:sz="12" w:space="0" w:color="auto"/>
            </w:tcBorders>
            <w:shd w:val="clear" w:color="auto" w:fill="F5F5F1"/>
            <w:noWrap/>
            <w:vAlign w:val="center"/>
            <w:hideMark/>
          </w:tcPr>
          <w:p w14:paraId="184CC4AD" w14:textId="77777777" w:rsidR="00704A46" w:rsidRPr="00903D87" w:rsidRDefault="00704A46" w:rsidP="00F537A2">
            <w:pPr>
              <w:pStyle w:val="TableHeaderRow"/>
              <w:jc w:val="left"/>
            </w:pPr>
            <w:r w:rsidRPr="00903D87">
              <w:t>Type of Crime</w:t>
            </w:r>
          </w:p>
        </w:tc>
        <w:tc>
          <w:tcPr>
            <w:tcW w:w="1431" w:type="pct"/>
            <w:tcBorders>
              <w:top w:val="single" w:sz="12" w:space="0" w:color="auto"/>
              <w:bottom w:val="single" w:sz="12" w:space="0" w:color="auto"/>
            </w:tcBorders>
            <w:shd w:val="clear" w:color="auto" w:fill="F5F5F1"/>
            <w:vAlign w:val="center"/>
            <w:hideMark/>
          </w:tcPr>
          <w:p w14:paraId="5421E1E2" w14:textId="77777777" w:rsidR="00704A46" w:rsidRPr="00903D87" w:rsidRDefault="00704A46" w:rsidP="00F537A2">
            <w:pPr>
              <w:pStyle w:val="TableHeaderRow"/>
              <w:jc w:val="left"/>
            </w:pPr>
            <w:r w:rsidRPr="00903D87">
              <w:t>Persons with disabilities</w:t>
            </w:r>
          </w:p>
        </w:tc>
        <w:tc>
          <w:tcPr>
            <w:tcW w:w="1645" w:type="pct"/>
            <w:tcBorders>
              <w:top w:val="single" w:sz="12" w:space="0" w:color="auto"/>
              <w:bottom w:val="single" w:sz="12" w:space="0" w:color="auto"/>
            </w:tcBorders>
            <w:shd w:val="clear" w:color="auto" w:fill="F5F5F1"/>
            <w:vAlign w:val="center"/>
            <w:hideMark/>
          </w:tcPr>
          <w:p w14:paraId="32E38E6B" w14:textId="77777777" w:rsidR="00704A46" w:rsidRPr="00903D87" w:rsidRDefault="00704A46" w:rsidP="00F537A2">
            <w:pPr>
              <w:pStyle w:val="TableHeaderRow"/>
              <w:jc w:val="left"/>
            </w:pPr>
            <w:r w:rsidRPr="00903D87">
              <w:t>Persons without disabilities</w:t>
            </w:r>
          </w:p>
        </w:tc>
      </w:tr>
      <w:tr w:rsidR="00704A46" w:rsidRPr="00903D87" w14:paraId="586F104E" w14:textId="77777777" w:rsidTr="00D871A2">
        <w:trPr>
          <w:trHeight w:val="320"/>
          <w:tblHeader/>
        </w:trPr>
        <w:tc>
          <w:tcPr>
            <w:tcW w:w="1924" w:type="pct"/>
            <w:tcBorders>
              <w:top w:val="single" w:sz="12" w:space="0" w:color="auto"/>
              <w:bottom w:val="single" w:sz="12" w:space="0" w:color="auto"/>
            </w:tcBorders>
            <w:shd w:val="clear" w:color="auto" w:fill="F5F5F1"/>
            <w:noWrap/>
            <w:hideMark/>
          </w:tcPr>
          <w:p w14:paraId="2214EDED" w14:textId="77777777" w:rsidR="00704A46" w:rsidRPr="00903D87" w:rsidRDefault="00704A46" w:rsidP="00D871A2">
            <w:pPr>
              <w:jc w:val="left"/>
              <w:rPr>
                <w:rFonts w:cstheme="minorHAnsi"/>
                <w:color w:val="000000"/>
              </w:rPr>
            </w:pPr>
            <w:r w:rsidRPr="00903D87">
              <w:rPr>
                <w:rFonts w:cstheme="minorHAnsi"/>
                <w:color w:val="000000"/>
              </w:rPr>
              <w:t>Total (%)</w:t>
            </w:r>
          </w:p>
        </w:tc>
        <w:tc>
          <w:tcPr>
            <w:tcW w:w="1431" w:type="pct"/>
            <w:tcBorders>
              <w:top w:val="single" w:sz="12" w:space="0" w:color="auto"/>
              <w:bottom w:val="single" w:sz="12" w:space="0" w:color="auto"/>
            </w:tcBorders>
            <w:shd w:val="clear" w:color="auto" w:fill="F5F5F1"/>
            <w:noWrap/>
            <w:hideMark/>
          </w:tcPr>
          <w:p w14:paraId="17F85140" w14:textId="77777777" w:rsidR="00704A46" w:rsidRPr="00903D87" w:rsidRDefault="00704A46" w:rsidP="00D871A2">
            <w:pPr>
              <w:jc w:val="left"/>
              <w:rPr>
                <w:rFonts w:cstheme="minorHAnsi"/>
                <w:color w:val="000000"/>
              </w:rPr>
            </w:pPr>
            <w:r w:rsidRPr="00903D87">
              <w:rPr>
                <w:rFonts w:cstheme="minorHAnsi"/>
                <w:color w:val="000000"/>
              </w:rPr>
              <w:t>32.3</w:t>
            </w:r>
          </w:p>
        </w:tc>
        <w:tc>
          <w:tcPr>
            <w:tcW w:w="1645" w:type="pct"/>
            <w:tcBorders>
              <w:top w:val="single" w:sz="12" w:space="0" w:color="auto"/>
              <w:bottom w:val="single" w:sz="12" w:space="0" w:color="auto"/>
            </w:tcBorders>
            <w:shd w:val="clear" w:color="auto" w:fill="F5F5F1"/>
            <w:noWrap/>
            <w:hideMark/>
          </w:tcPr>
          <w:p w14:paraId="2C51C7E9" w14:textId="77777777" w:rsidR="00704A46" w:rsidRPr="00903D87" w:rsidRDefault="00704A46" w:rsidP="00D871A2">
            <w:pPr>
              <w:jc w:val="left"/>
              <w:rPr>
                <w:rFonts w:cstheme="minorHAnsi"/>
                <w:color w:val="000000"/>
              </w:rPr>
            </w:pPr>
            <w:r w:rsidRPr="00903D87">
              <w:rPr>
                <w:rFonts w:cstheme="minorHAnsi"/>
                <w:color w:val="000000"/>
              </w:rPr>
              <w:t>12.7</w:t>
            </w:r>
          </w:p>
        </w:tc>
      </w:tr>
      <w:tr w:rsidR="00704A46" w:rsidRPr="00903D87" w14:paraId="18A41812" w14:textId="77777777" w:rsidTr="00D871A2">
        <w:trPr>
          <w:trHeight w:val="320"/>
          <w:tblHeader/>
        </w:trPr>
        <w:tc>
          <w:tcPr>
            <w:tcW w:w="1924" w:type="pct"/>
            <w:tcBorders>
              <w:top w:val="single" w:sz="12" w:space="0" w:color="auto"/>
            </w:tcBorders>
            <w:shd w:val="clear" w:color="auto" w:fill="F5F5F1"/>
            <w:noWrap/>
            <w:hideMark/>
          </w:tcPr>
          <w:p w14:paraId="37D1784C" w14:textId="77777777" w:rsidR="00704A46" w:rsidRPr="00903D87" w:rsidRDefault="00704A46" w:rsidP="00D871A2">
            <w:pPr>
              <w:jc w:val="left"/>
              <w:rPr>
                <w:rFonts w:cstheme="minorHAnsi"/>
                <w:color w:val="000000"/>
              </w:rPr>
            </w:pPr>
            <w:r w:rsidRPr="00903D87">
              <w:rPr>
                <w:rFonts w:cstheme="minorHAnsi"/>
                <w:color w:val="000000"/>
              </w:rPr>
              <w:t>Serious violent crime (%)</w:t>
            </w:r>
          </w:p>
        </w:tc>
        <w:tc>
          <w:tcPr>
            <w:tcW w:w="1431" w:type="pct"/>
            <w:tcBorders>
              <w:top w:val="single" w:sz="12" w:space="0" w:color="auto"/>
            </w:tcBorders>
            <w:shd w:val="clear" w:color="auto" w:fill="F5F5F1"/>
            <w:noWrap/>
            <w:hideMark/>
          </w:tcPr>
          <w:p w14:paraId="7A00CE07" w14:textId="77777777" w:rsidR="00704A46" w:rsidRPr="00903D87" w:rsidRDefault="00704A46" w:rsidP="00D871A2">
            <w:pPr>
              <w:jc w:val="left"/>
              <w:rPr>
                <w:rFonts w:cstheme="minorHAnsi"/>
                <w:color w:val="000000"/>
              </w:rPr>
            </w:pPr>
            <w:r w:rsidRPr="00903D87">
              <w:rPr>
                <w:rFonts w:cstheme="minorHAnsi"/>
                <w:color w:val="000000"/>
              </w:rPr>
              <w:t>12.7</w:t>
            </w:r>
          </w:p>
        </w:tc>
        <w:tc>
          <w:tcPr>
            <w:tcW w:w="1645" w:type="pct"/>
            <w:tcBorders>
              <w:top w:val="single" w:sz="12" w:space="0" w:color="auto"/>
            </w:tcBorders>
            <w:shd w:val="clear" w:color="auto" w:fill="F5F5F1"/>
            <w:noWrap/>
            <w:hideMark/>
          </w:tcPr>
          <w:p w14:paraId="0BECDB42" w14:textId="77777777" w:rsidR="00704A46" w:rsidRPr="00903D87" w:rsidRDefault="00704A46" w:rsidP="00D871A2">
            <w:pPr>
              <w:jc w:val="left"/>
              <w:rPr>
                <w:rFonts w:cstheme="minorHAnsi"/>
                <w:color w:val="000000"/>
              </w:rPr>
            </w:pPr>
            <w:r w:rsidRPr="00903D87">
              <w:rPr>
                <w:rFonts w:cstheme="minorHAnsi"/>
                <w:color w:val="000000"/>
              </w:rPr>
              <w:t>4</w:t>
            </w:r>
          </w:p>
        </w:tc>
      </w:tr>
      <w:tr w:rsidR="00704A46" w:rsidRPr="00903D87" w14:paraId="39AED88E" w14:textId="77777777" w:rsidTr="00D871A2">
        <w:trPr>
          <w:trHeight w:val="320"/>
          <w:tblHeader/>
        </w:trPr>
        <w:tc>
          <w:tcPr>
            <w:tcW w:w="1924" w:type="pct"/>
            <w:shd w:val="clear" w:color="auto" w:fill="F5F5F1"/>
            <w:noWrap/>
            <w:hideMark/>
          </w:tcPr>
          <w:p w14:paraId="6A3C1AA4" w14:textId="77777777" w:rsidR="00704A46" w:rsidRPr="00903D87" w:rsidRDefault="00704A46" w:rsidP="00D871A2">
            <w:pPr>
              <w:ind w:firstLineChars="100" w:firstLine="220"/>
              <w:jc w:val="left"/>
              <w:rPr>
                <w:rFonts w:cstheme="minorHAnsi"/>
                <w:color w:val="000000"/>
              </w:rPr>
            </w:pPr>
            <w:r w:rsidRPr="00903D87">
              <w:rPr>
                <w:rFonts w:cstheme="minorHAnsi"/>
                <w:color w:val="000000"/>
              </w:rPr>
              <w:t xml:space="preserve">Rape/Sexual assault (%) </w:t>
            </w:r>
          </w:p>
        </w:tc>
        <w:tc>
          <w:tcPr>
            <w:tcW w:w="1431" w:type="pct"/>
            <w:shd w:val="clear" w:color="auto" w:fill="F5F5F1"/>
            <w:noWrap/>
            <w:hideMark/>
          </w:tcPr>
          <w:p w14:paraId="1ED6F6F2" w14:textId="77777777" w:rsidR="00704A46" w:rsidRPr="00903D87" w:rsidRDefault="00704A46" w:rsidP="00D871A2">
            <w:pPr>
              <w:jc w:val="left"/>
              <w:rPr>
                <w:rFonts w:cstheme="minorHAnsi"/>
                <w:color w:val="000000"/>
              </w:rPr>
            </w:pPr>
            <w:r w:rsidRPr="00903D87">
              <w:rPr>
                <w:rFonts w:cstheme="minorHAnsi"/>
                <w:color w:val="000000"/>
              </w:rPr>
              <w:t>2.1</w:t>
            </w:r>
          </w:p>
        </w:tc>
        <w:tc>
          <w:tcPr>
            <w:tcW w:w="1645" w:type="pct"/>
            <w:shd w:val="clear" w:color="auto" w:fill="F5F5F1"/>
            <w:noWrap/>
            <w:hideMark/>
          </w:tcPr>
          <w:p w14:paraId="37CC74EF" w14:textId="77777777" w:rsidR="00704A46" w:rsidRPr="00903D87" w:rsidRDefault="00704A46" w:rsidP="00D871A2">
            <w:pPr>
              <w:jc w:val="left"/>
              <w:rPr>
                <w:rFonts w:cstheme="minorHAnsi"/>
                <w:color w:val="000000"/>
              </w:rPr>
            </w:pPr>
            <w:r w:rsidRPr="00903D87">
              <w:rPr>
                <w:rFonts w:cstheme="minorHAnsi"/>
                <w:color w:val="000000"/>
              </w:rPr>
              <w:t>0.6</w:t>
            </w:r>
          </w:p>
        </w:tc>
      </w:tr>
      <w:tr w:rsidR="00704A46" w:rsidRPr="00903D87" w14:paraId="12607A33" w14:textId="77777777" w:rsidTr="00D871A2">
        <w:trPr>
          <w:trHeight w:val="320"/>
          <w:tblHeader/>
        </w:trPr>
        <w:tc>
          <w:tcPr>
            <w:tcW w:w="1924" w:type="pct"/>
            <w:shd w:val="clear" w:color="auto" w:fill="F5F5F1"/>
            <w:noWrap/>
            <w:hideMark/>
          </w:tcPr>
          <w:p w14:paraId="03B6905D" w14:textId="77777777" w:rsidR="00704A46" w:rsidRPr="00903D87" w:rsidRDefault="00704A46" w:rsidP="00D871A2">
            <w:pPr>
              <w:ind w:firstLineChars="100" w:firstLine="220"/>
              <w:jc w:val="left"/>
              <w:rPr>
                <w:rFonts w:cstheme="minorHAnsi"/>
                <w:color w:val="000000"/>
              </w:rPr>
            </w:pPr>
            <w:r w:rsidRPr="00903D87">
              <w:rPr>
                <w:rFonts w:cstheme="minorHAnsi"/>
                <w:color w:val="000000"/>
              </w:rPr>
              <w:t>Robbery (%)</w:t>
            </w:r>
          </w:p>
        </w:tc>
        <w:tc>
          <w:tcPr>
            <w:tcW w:w="1431" w:type="pct"/>
            <w:shd w:val="clear" w:color="auto" w:fill="F5F5F1"/>
            <w:noWrap/>
            <w:hideMark/>
          </w:tcPr>
          <w:p w14:paraId="0DCCEBEC" w14:textId="77777777" w:rsidR="00704A46" w:rsidRPr="00903D87" w:rsidRDefault="00704A46" w:rsidP="00D871A2">
            <w:pPr>
              <w:jc w:val="left"/>
              <w:rPr>
                <w:rFonts w:cstheme="minorHAnsi"/>
                <w:color w:val="000000"/>
              </w:rPr>
            </w:pPr>
            <w:r w:rsidRPr="00903D87">
              <w:rPr>
                <w:rFonts w:cstheme="minorHAnsi"/>
                <w:color w:val="000000"/>
              </w:rPr>
              <w:t>4.7</w:t>
            </w:r>
          </w:p>
        </w:tc>
        <w:tc>
          <w:tcPr>
            <w:tcW w:w="1645" w:type="pct"/>
            <w:shd w:val="clear" w:color="auto" w:fill="F5F5F1"/>
            <w:noWrap/>
            <w:hideMark/>
          </w:tcPr>
          <w:p w14:paraId="09836FB0" w14:textId="77777777" w:rsidR="00704A46" w:rsidRPr="00903D87" w:rsidRDefault="00704A46" w:rsidP="00D871A2">
            <w:pPr>
              <w:jc w:val="left"/>
              <w:rPr>
                <w:rFonts w:cstheme="minorHAnsi"/>
                <w:color w:val="000000"/>
              </w:rPr>
            </w:pPr>
            <w:r w:rsidRPr="00903D87">
              <w:rPr>
                <w:rFonts w:cstheme="minorHAnsi"/>
                <w:color w:val="000000"/>
              </w:rPr>
              <w:t>1.3</w:t>
            </w:r>
          </w:p>
        </w:tc>
      </w:tr>
      <w:tr w:rsidR="00704A46" w:rsidRPr="00903D87" w14:paraId="325AAAA7" w14:textId="77777777" w:rsidTr="00D871A2">
        <w:trPr>
          <w:trHeight w:val="320"/>
          <w:tblHeader/>
        </w:trPr>
        <w:tc>
          <w:tcPr>
            <w:tcW w:w="1924" w:type="pct"/>
            <w:shd w:val="clear" w:color="auto" w:fill="F5F5F1"/>
            <w:noWrap/>
            <w:hideMark/>
          </w:tcPr>
          <w:p w14:paraId="1A3CA00A" w14:textId="77777777" w:rsidR="00704A46" w:rsidRPr="00903D87" w:rsidRDefault="00704A46" w:rsidP="00D871A2">
            <w:pPr>
              <w:ind w:firstLineChars="100" w:firstLine="220"/>
              <w:jc w:val="left"/>
              <w:rPr>
                <w:rFonts w:cstheme="minorHAnsi"/>
                <w:color w:val="000000"/>
              </w:rPr>
            </w:pPr>
            <w:r w:rsidRPr="00903D87">
              <w:rPr>
                <w:rFonts w:cstheme="minorHAnsi"/>
                <w:color w:val="000000"/>
              </w:rPr>
              <w:t>Aggravated assault (%)</w:t>
            </w:r>
          </w:p>
        </w:tc>
        <w:tc>
          <w:tcPr>
            <w:tcW w:w="1431" w:type="pct"/>
            <w:shd w:val="clear" w:color="auto" w:fill="F5F5F1"/>
            <w:noWrap/>
            <w:hideMark/>
          </w:tcPr>
          <w:p w14:paraId="22D46B3D" w14:textId="77777777" w:rsidR="00704A46" w:rsidRPr="00903D87" w:rsidRDefault="00704A46" w:rsidP="00D871A2">
            <w:pPr>
              <w:jc w:val="left"/>
              <w:rPr>
                <w:rFonts w:cstheme="minorHAnsi"/>
                <w:color w:val="000000"/>
              </w:rPr>
            </w:pPr>
            <w:r w:rsidRPr="00903D87">
              <w:rPr>
                <w:rFonts w:cstheme="minorHAnsi"/>
                <w:color w:val="000000"/>
              </w:rPr>
              <w:t>5.9</w:t>
            </w:r>
          </w:p>
        </w:tc>
        <w:tc>
          <w:tcPr>
            <w:tcW w:w="1645" w:type="pct"/>
            <w:shd w:val="clear" w:color="auto" w:fill="F5F5F1"/>
            <w:noWrap/>
            <w:hideMark/>
          </w:tcPr>
          <w:p w14:paraId="4A22C133" w14:textId="77777777" w:rsidR="00704A46" w:rsidRPr="00903D87" w:rsidRDefault="00704A46" w:rsidP="00D871A2">
            <w:pPr>
              <w:jc w:val="left"/>
              <w:rPr>
                <w:rFonts w:cstheme="minorHAnsi"/>
                <w:color w:val="000000"/>
              </w:rPr>
            </w:pPr>
            <w:r w:rsidRPr="00903D87">
              <w:rPr>
                <w:rFonts w:cstheme="minorHAnsi"/>
                <w:color w:val="000000"/>
              </w:rPr>
              <w:t>2.1</w:t>
            </w:r>
          </w:p>
        </w:tc>
      </w:tr>
      <w:tr w:rsidR="00704A46" w:rsidRPr="00903D87" w14:paraId="63BB97B7" w14:textId="77777777" w:rsidTr="00D871A2">
        <w:trPr>
          <w:trHeight w:val="320"/>
          <w:tblHeader/>
        </w:trPr>
        <w:tc>
          <w:tcPr>
            <w:tcW w:w="1924" w:type="pct"/>
            <w:tcBorders>
              <w:bottom w:val="single" w:sz="12" w:space="0" w:color="auto"/>
            </w:tcBorders>
            <w:shd w:val="clear" w:color="auto" w:fill="F5F5F1"/>
            <w:noWrap/>
            <w:hideMark/>
          </w:tcPr>
          <w:p w14:paraId="5B519C70" w14:textId="77777777" w:rsidR="00704A46" w:rsidRPr="00903D87" w:rsidRDefault="00704A46" w:rsidP="00D871A2">
            <w:pPr>
              <w:jc w:val="left"/>
              <w:rPr>
                <w:rFonts w:cstheme="minorHAnsi"/>
                <w:color w:val="000000"/>
              </w:rPr>
            </w:pPr>
            <w:r w:rsidRPr="00903D87">
              <w:rPr>
                <w:rFonts w:cstheme="minorHAnsi"/>
                <w:color w:val="000000"/>
              </w:rPr>
              <w:t>Simple assault (%)</w:t>
            </w:r>
          </w:p>
        </w:tc>
        <w:tc>
          <w:tcPr>
            <w:tcW w:w="1431" w:type="pct"/>
            <w:tcBorders>
              <w:bottom w:val="single" w:sz="12" w:space="0" w:color="auto"/>
            </w:tcBorders>
            <w:shd w:val="clear" w:color="auto" w:fill="F5F5F1"/>
            <w:noWrap/>
            <w:hideMark/>
          </w:tcPr>
          <w:p w14:paraId="64EB515F" w14:textId="77777777" w:rsidR="00704A46" w:rsidRPr="00903D87" w:rsidRDefault="00704A46" w:rsidP="00D871A2">
            <w:pPr>
              <w:jc w:val="left"/>
              <w:rPr>
                <w:rFonts w:cstheme="minorHAnsi"/>
                <w:color w:val="000000"/>
              </w:rPr>
            </w:pPr>
            <w:r w:rsidRPr="00903D87">
              <w:rPr>
                <w:rFonts w:cstheme="minorHAnsi"/>
                <w:color w:val="000000"/>
              </w:rPr>
              <w:t>19.6</w:t>
            </w:r>
          </w:p>
        </w:tc>
        <w:tc>
          <w:tcPr>
            <w:tcW w:w="1645" w:type="pct"/>
            <w:tcBorders>
              <w:bottom w:val="single" w:sz="12" w:space="0" w:color="auto"/>
            </w:tcBorders>
            <w:shd w:val="clear" w:color="auto" w:fill="F5F5F1"/>
            <w:noWrap/>
            <w:hideMark/>
          </w:tcPr>
          <w:p w14:paraId="329D9DCD" w14:textId="77777777" w:rsidR="00704A46" w:rsidRPr="00903D87" w:rsidRDefault="00704A46" w:rsidP="00D871A2">
            <w:pPr>
              <w:jc w:val="left"/>
              <w:rPr>
                <w:rFonts w:cstheme="minorHAnsi"/>
                <w:color w:val="000000"/>
              </w:rPr>
            </w:pPr>
            <w:r w:rsidRPr="00903D87">
              <w:rPr>
                <w:rFonts w:cstheme="minorHAnsi"/>
                <w:color w:val="000000"/>
              </w:rPr>
              <w:t>8.7</w:t>
            </w:r>
          </w:p>
        </w:tc>
      </w:tr>
      <w:tr w:rsidR="00704A46" w:rsidRPr="00903D87" w14:paraId="6947B3EF" w14:textId="77777777" w:rsidTr="00D871A2">
        <w:trPr>
          <w:trHeight w:val="320"/>
          <w:tblHeader/>
        </w:trPr>
        <w:tc>
          <w:tcPr>
            <w:tcW w:w="5000" w:type="pct"/>
            <w:gridSpan w:val="3"/>
            <w:tcBorders>
              <w:top w:val="single" w:sz="12" w:space="0" w:color="auto"/>
            </w:tcBorders>
            <w:noWrap/>
          </w:tcPr>
          <w:p w14:paraId="2EB823F2" w14:textId="74D9057C" w:rsidR="00704A46" w:rsidRPr="00903D87" w:rsidRDefault="00704A46" w:rsidP="005E1AEE">
            <w:pPr>
              <w:jc w:val="left"/>
              <w:rPr>
                <w:rFonts w:cstheme="minorHAnsi"/>
                <w:color w:val="000000"/>
                <w:sz w:val="18"/>
                <w:szCs w:val="18"/>
              </w:rPr>
            </w:pPr>
            <w:r w:rsidRPr="00903D87">
              <w:rPr>
                <w:rFonts w:cstheme="minorHAnsi"/>
                <w:i/>
                <w:iCs/>
                <w:color w:val="000000"/>
                <w:sz w:val="18"/>
                <w:szCs w:val="18"/>
              </w:rPr>
              <w:t>Source:</w:t>
            </w:r>
            <w:r w:rsidRPr="00903D87">
              <w:rPr>
                <w:rFonts w:cstheme="minorHAnsi"/>
                <w:color w:val="000000"/>
                <w:sz w:val="18"/>
                <w:szCs w:val="18"/>
              </w:rPr>
              <w:t xml:space="preserve"> Erica Harrel, </w:t>
            </w:r>
            <w:r w:rsidRPr="00903D87">
              <w:rPr>
                <w:rFonts w:cstheme="minorHAnsi"/>
                <w:i/>
                <w:iCs/>
                <w:color w:val="000000"/>
                <w:sz w:val="18"/>
                <w:szCs w:val="18"/>
              </w:rPr>
              <w:t xml:space="preserve">Crime Against Persons </w:t>
            </w:r>
            <w:proofErr w:type="gramStart"/>
            <w:r w:rsidRPr="00903D87">
              <w:rPr>
                <w:rFonts w:cstheme="minorHAnsi"/>
                <w:i/>
                <w:iCs/>
                <w:color w:val="000000"/>
                <w:sz w:val="18"/>
                <w:szCs w:val="18"/>
              </w:rPr>
              <w:t>With</w:t>
            </w:r>
            <w:proofErr w:type="gramEnd"/>
            <w:r w:rsidRPr="00903D87">
              <w:rPr>
                <w:rFonts w:cstheme="minorHAnsi"/>
                <w:i/>
                <w:iCs/>
                <w:color w:val="000000"/>
                <w:sz w:val="18"/>
                <w:szCs w:val="18"/>
              </w:rPr>
              <w:t xml:space="preserve"> Disabilities, 2009-2015 – Statistical Tables</w:t>
            </w:r>
            <w:r w:rsidRPr="00903D87">
              <w:rPr>
                <w:rFonts w:cstheme="minorHAnsi"/>
                <w:color w:val="000000"/>
                <w:sz w:val="18"/>
                <w:szCs w:val="18"/>
              </w:rPr>
              <w:t xml:space="preserve"> (2017)</w:t>
            </w:r>
          </w:p>
        </w:tc>
      </w:tr>
    </w:tbl>
    <w:p w14:paraId="5BD2E94C" w14:textId="7E23961D" w:rsidR="00704A46" w:rsidRPr="00903D87" w:rsidRDefault="00704A46" w:rsidP="005E1AEE">
      <w:pPr>
        <w:jc w:val="left"/>
        <w:rPr>
          <w:rFonts w:cstheme="minorHAnsi"/>
        </w:rPr>
      </w:pPr>
      <w:r w:rsidRPr="00903D87">
        <w:rPr>
          <w:rFonts w:cstheme="minorHAnsi"/>
        </w:rPr>
        <w:t xml:space="preserve">In a </w:t>
      </w:r>
      <w:hyperlink r:id="rId23" w:history="1">
        <w:r w:rsidRPr="00903D87">
          <w:rPr>
            <w:rStyle w:val="Hyperlink"/>
            <w:rFonts w:cstheme="minorHAnsi"/>
          </w:rPr>
          <w:t>study focusing on Denmark</w:t>
        </w:r>
      </w:hyperlink>
      <w:r w:rsidRPr="00903D87">
        <w:rPr>
          <w:rFonts w:eastAsiaTheme="majorEastAsia" w:cstheme="minorHAnsi"/>
        </w:rPr>
        <w:t xml:space="preserve">, </w:t>
      </w:r>
      <w:r w:rsidRPr="00903D87">
        <w:rPr>
          <w:rFonts w:cstheme="minorHAnsi"/>
        </w:rPr>
        <w:t>researchers extracted violent crime data from Danish police records.</w:t>
      </w:r>
    </w:p>
    <w:p w14:paraId="454CF2A2" w14:textId="77777777" w:rsidR="00704A46" w:rsidRPr="00903D87" w:rsidRDefault="00704A46" w:rsidP="00E42AFC">
      <w:pPr>
        <w:pStyle w:val="Heading2"/>
        <w:rPr>
          <w:rFonts w:eastAsiaTheme="majorEastAsia"/>
        </w:rPr>
      </w:pPr>
      <w:r w:rsidRPr="00903D87">
        <w:rPr>
          <w:rFonts w:eastAsiaTheme="majorEastAsia"/>
        </w:rPr>
        <w:lastRenderedPageBreak/>
        <w:t>13.20 Number and proportion of persons with disabilities who access victim support services, as compared to others, disaggregated by sex, age, disability and kind of service.</w:t>
      </w:r>
    </w:p>
    <w:p w14:paraId="4097988D" w14:textId="77777777" w:rsidR="00704A46" w:rsidRPr="00903D87" w:rsidRDefault="00704A46" w:rsidP="00E42AFC">
      <w:pPr>
        <w:pStyle w:val="Heading4"/>
        <w:rPr>
          <w:rFonts w:eastAsiaTheme="majorEastAsia"/>
        </w:rPr>
      </w:pPr>
      <w:r w:rsidRPr="00903D87">
        <w:rPr>
          <w:rFonts w:eastAsiaTheme="majorEastAsia"/>
        </w:rPr>
        <w:t>Level 2: Indicator can be produced with existing data but has not been reported on</w:t>
      </w:r>
    </w:p>
    <w:p w14:paraId="0ACB2B4B" w14:textId="525A4D3D" w:rsidR="00704A46" w:rsidRPr="00903D87" w:rsidRDefault="00704A46" w:rsidP="005E1AEE">
      <w:pPr>
        <w:jc w:val="left"/>
        <w:rPr>
          <w:rFonts w:cstheme="minorHAnsi"/>
        </w:rPr>
      </w:pPr>
      <w:r w:rsidRPr="00903D87">
        <w:rPr>
          <w:rFonts w:cstheme="minorHAnsi"/>
        </w:rPr>
        <w:t xml:space="preserve">Canada conducts the General Social Survey on Canadians' Safety every five years, a national survey of self-reported victimization. The General Social Survey identifies persons with disabilities using the short Disability Screening Questions module, which classifies a respondent as having a disability if their daily activities are sometimes, often, or always limited by difficulties related to hearing, vision, pain, mobility, flexibility, dexterity, learning, developmental, memory, or mental or psychological health. Respondents are asked a minimum of 5 questions and an average of 8 questions. A </w:t>
      </w:r>
      <w:hyperlink r:id="rId24" w:history="1">
        <w:r w:rsidRPr="00903D87">
          <w:rPr>
            <w:rStyle w:val="Hyperlink"/>
            <w:rFonts w:cstheme="minorHAnsi"/>
          </w:rPr>
          <w:t>study</w:t>
        </w:r>
      </w:hyperlink>
      <w:r w:rsidRPr="00903D87">
        <w:rPr>
          <w:rFonts w:cstheme="minorHAnsi"/>
        </w:rPr>
        <w:t xml:space="preserve"> based on these data found that, when looking at all incidents where victims contacted some form of services, 61 per cent involved a victim who reported a disability. Victims with a disability contacted or used a victim service in about one in five (22 per cent) incidents compared to only one in ten (9 per cent) incidents where the victim did not report a disability. Women with disabilities were twice as likely as their male counterparts to contact or use victim services, following an incident of violent victimization (27 per cent versus 13 per cent).</w:t>
      </w:r>
    </w:p>
    <w:p w14:paraId="2F488143" w14:textId="77777777" w:rsidR="00704A46" w:rsidRPr="00903D87" w:rsidRDefault="00704A46" w:rsidP="00E42AFC">
      <w:pPr>
        <w:pStyle w:val="Heading2"/>
        <w:rPr>
          <w:rFonts w:eastAsiaTheme="majorEastAsia"/>
        </w:rPr>
      </w:pPr>
      <w:r w:rsidRPr="00903D87">
        <w:rPr>
          <w:rFonts w:eastAsiaTheme="majorEastAsia"/>
        </w:rPr>
        <w:t>13.21 Unsentenced detainees as a proportion of overall prison population (SDG indicator 16.3.2), disaggregated by sex, age and disability.</w:t>
      </w:r>
    </w:p>
    <w:p w14:paraId="3CDA253B" w14:textId="77777777" w:rsidR="00704A46" w:rsidRPr="00903D87" w:rsidRDefault="00704A46" w:rsidP="00E42AFC">
      <w:pPr>
        <w:pStyle w:val="Heading4"/>
        <w:rPr>
          <w:rFonts w:eastAsiaTheme="majorEastAsia"/>
        </w:rPr>
      </w:pPr>
      <w:r w:rsidRPr="00903D87">
        <w:rPr>
          <w:rFonts w:eastAsiaTheme="majorEastAsia"/>
        </w:rPr>
        <w:t>Level 2: Indicator could be produced with straightforward additions or modifications to existing data collection efforts</w:t>
      </w:r>
    </w:p>
    <w:p w14:paraId="18C2B585" w14:textId="3302E93F" w:rsidR="00704A46" w:rsidRPr="00903D87" w:rsidRDefault="006903B5" w:rsidP="005E1AEE">
      <w:pPr>
        <w:shd w:val="clear" w:color="auto" w:fill="FFFFFF"/>
        <w:jc w:val="left"/>
        <w:rPr>
          <w:rFonts w:cstheme="minorHAnsi"/>
          <w:iCs/>
          <w:color w:val="000000" w:themeColor="text1"/>
          <w:lang w:eastAsia="en-GB"/>
        </w:rPr>
      </w:pPr>
      <w:hyperlink r:id="rId25" w:history="1">
        <w:r w:rsidR="00E85F2A" w:rsidRPr="00903D87">
          <w:rPr>
            <w:rStyle w:val="Hyperlink"/>
            <w:rFonts w:cstheme="minorHAnsi"/>
            <w:iCs/>
            <w:lang w:eastAsia="en-GB"/>
          </w:rPr>
          <w:t>Link to the metadata related to this SDG indicator</w:t>
        </w:r>
      </w:hyperlink>
    </w:p>
    <w:p w14:paraId="5410C55D" w14:textId="4AFBB5A4" w:rsidR="00B00C1D" w:rsidRPr="00903D87" w:rsidRDefault="00B00C1D" w:rsidP="00B00C1D">
      <w:pPr>
        <w:shd w:val="clear" w:color="auto" w:fill="FFFFFF"/>
        <w:jc w:val="left"/>
        <w:rPr>
          <w:rFonts w:cstheme="minorHAnsi"/>
          <w:color w:val="000000" w:themeColor="text1"/>
          <w:lang w:eastAsia="en-GB"/>
        </w:rPr>
      </w:pPr>
      <w:r w:rsidRPr="00903D87">
        <w:rPr>
          <w:rFonts w:cstheme="minorHAnsi"/>
          <w:color w:val="000000" w:themeColor="text1"/>
          <w:lang w:eastAsia="en-GB"/>
        </w:rPr>
        <w:t>According to the metadata:</w:t>
      </w:r>
    </w:p>
    <w:p w14:paraId="00BA6E56" w14:textId="03A5C34F" w:rsidR="00704A46" w:rsidRPr="00903D87" w:rsidRDefault="00B00C1D" w:rsidP="007F4D63">
      <w:pPr>
        <w:shd w:val="clear" w:color="auto" w:fill="FFFFFF"/>
        <w:ind w:left="360"/>
        <w:jc w:val="left"/>
        <w:rPr>
          <w:rFonts w:cstheme="minorHAnsi"/>
          <w:i/>
          <w:color w:val="000000" w:themeColor="text1"/>
          <w:lang w:eastAsia="en-GB"/>
        </w:rPr>
      </w:pPr>
      <w:r w:rsidRPr="00903D87">
        <w:rPr>
          <w:rFonts w:cstheme="minorHAnsi"/>
          <w:color w:val="000000" w:themeColor="text1"/>
          <w:lang w:eastAsia="en-GB"/>
        </w:rPr>
        <w:t>“</w:t>
      </w:r>
      <w:r w:rsidR="00704A46" w:rsidRPr="00903D87">
        <w:rPr>
          <w:rFonts w:cstheme="minorHAnsi"/>
          <w:i/>
          <w:color w:val="000000" w:themeColor="text1"/>
          <w:lang w:eastAsia="en-GB"/>
        </w:rPr>
        <w:t xml:space="preserve">UNODC collects data on prisons through its annual data collection (UN-CTS). The data collection through the UN-CTS is facilitated by a network of over 130 national Focal Points appointed by responsible authorities. Data on unsentenced and total detainees from the UN-CTS are available for 114 countries. The country coverage can improve if other sources (research institutions and NGOs) are included (data for additional 60 countries are available, bringing the total for the period 2012-2014 to 174 countries). Data for two points in time (2003-2005 and 2012-2014 </w:t>
      </w:r>
      <w:proofErr w:type="gramStart"/>
      <w:r w:rsidR="00704A46" w:rsidRPr="00903D87">
        <w:rPr>
          <w:rFonts w:cstheme="minorHAnsi"/>
          <w:i/>
          <w:color w:val="000000" w:themeColor="text1"/>
          <w:lang w:eastAsia="en-GB"/>
        </w:rPr>
        <w:t>three year</w:t>
      </w:r>
      <w:proofErr w:type="gramEnd"/>
      <w:r w:rsidR="00704A46" w:rsidRPr="00903D87">
        <w:rPr>
          <w:rFonts w:cstheme="minorHAnsi"/>
          <w:i/>
          <w:color w:val="000000" w:themeColor="text1"/>
          <w:lang w:eastAsia="en-GB"/>
        </w:rPr>
        <w:t xml:space="preserve"> averages) are available for 144 countries.</w:t>
      </w:r>
    </w:p>
    <w:p w14:paraId="0B278381" w14:textId="7428CDE7" w:rsidR="00704A46" w:rsidRPr="00903D87" w:rsidRDefault="00704A46" w:rsidP="007F4D63">
      <w:pPr>
        <w:shd w:val="clear" w:color="auto" w:fill="FFFFFF"/>
        <w:ind w:left="360"/>
        <w:jc w:val="left"/>
        <w:rPr>
          <w:rFonts w:cstheme="minorHAnsi"/>
          <w:iCs/>
          <w:color w:val="000000" w:themeColor="text1"/>
          <w:lang w:eastAsia="en-GB"/>
        </w:rPr>
      </w:pPr>
      <w:r w:rsidRPr="00903D87">
        <w:rPr>
          <w:rFonts w:cstheme="minorHAnsi"/>
          <w:i/>
          <w:color w:val="000000" w:themeColor="text1"/>
          <w:lang w:eastAsia="en-GB"/>
        </w:rPr>
        <w:t xml:space="preserve">There is a consolidated system of annual data collection on crime and criminal justice (UN- Crime Trends Survey, UN-CTS) which represents the basis of data on unsentenced detainees. The UN-CTS data collection is largely based on the network of national Focal Points, which are institutions/officials appointed by countries and having the technical capacity and role to produce data on crime and criminal justice (around 130 appointed Focal Points as of 2016). In addition, these data are supplemented for countries with missing values with official data </w:t>
      </w:r>
      <w:r w:rsidRPr="00903D87">
        <w:rPr>
          <w:rFonts w:cstheme="minorHAnsi"/>
          <w:i/>
          <w:color w:val="000000" w:themeColor="text1"/>
          <w:lang w:eastAsia="en-GB"/>
        </w:rPr>
        <w:lastRenderedPageBreak/>
        <w:t>collected by the Institute for Criminal Policy Research (World Prison Brief), which collects data directly from national prison administrations or from the websites of Ministries of Justice or other official agencies. For future SDG reporting data will be sent to countries for consultation prior to publication.</w:t>
      </w:r>
      <w:r w:rsidR="00B00C1D" w:rsidRPr="00903D87">
        <w:rPr>
          <w:rFonts w:cstheme="minorHAnsi"/>
          <w:color w:val="000000" w:themeColor="text1"/>
          <w:lang w:eastAsia="en-GB"/>
        </w:rPr>
        <w:t>”</w:t>
      </w:r>
    </w:p>
    <w:p w14:paraId="64390C4A" w14:textId="20569A31" w:rsidR="00704A46" w:rsidRPr="00903D87" w:rsidRDefault="00704A46" w:rsidP="005E1AEE">
      <w:pPr>
        <w:jc w:val="left"/>
        <w:rPr>
          <w:rFonts w:cstheme="minorHAnsi"/>
        </w:rPr>
      </w:pPr>
      <w:r w:rsidRPr="00903D87">
        <w:rPr>
          <w:rFonts w:cstheme="minorHAnsi"/>
          <w:lang w:eastAsia="en-GB"/>
        </w:rPr>
        <w:t xml:space="preserve">The </w:t>
      </w:r>
      <w:hyperlink r:id="rId26" w:history="1">
        <w:r w:rsidRPr="00903D87">
          <w:rPr>
            <w:rStyle w:val="Hyperlink"/>
            <w:rFonts w:cstheme="minorHAnsi"/>
            <w:lang w:eastAsia="en-GB"/>
          </w:rPr>
          <w:t>United Nations Survey of Crime Trends and Operations of Criminal Justice Systems</w:t>
        </w:r>
      </w:hyperlink>
      <w:r w:rsidR="00B00C1D" w:rsidRPr="00903D87">
        <w:rPr>
          <w:rFonts w:cstheme="minorHAnsi"/>
          <w:lang w:eastAsia="en-GB"/>
        </w:rPr>
        <w:t xml:space="preserve"> </w:t>
      </w:r>
      <w:r w:rsidRPr="00903D87">
        <w:rPr>
          <w:rFonts w:cstheme="minorHAnsi"/>
          <w:lang w:eastAsia="en-GB"/>
        </w:rPr>
        <w:t>collects data on unsentenced detainees by sex, but it does not collect data on disability status.</w:t>
      </w:r>
    </w:p>
    <w:p w14:paraId="7B996E66" w14:textId="6D53D529" w:rsidR="00704A46" w:rsidRPr="00903D87" w:rsidRDefault="00704A46" w:rsidP="00E42AFC">
      <w:pPr>
        <w:pStyle w:val="Heading2"/>
        <w:rPr>
          <w:rFonts w:eastAsiaTheme="majorEastAsia"/>
        </w:rPr>
      </w:pPr>
      <w:r w:rsidRPr="00903D87">
        <w:rPr>
          <w:rFonts w:eastAsiaTheme="majorEastAsia"/>
        </w:rPr>
        <w:t>13.22 Number and proportion of persons with disabilities who hold positions as judges, prosecutors, etc., within the justice system and related institutions, disaggregated by sex, age, disability, position and sector of the judiciary/justice system.</w:t>
      </w:r>
    </w:p>
    <w:p w14:paraId="0A81BCEB" w14:textId="77777777" w:rsidR="00704A46" w:rsidRPr="00903D87" w:rsidRDefault="00704A46" w:rsidP="00E42AFC">
      <w:pPr>
        <w:pStyle w:val="Heading4"/>
        <w:rPr>
          <w:rFonts w:eastAsiaTheme="majorEastAsia"/>
        </w:rPr>
      </w:pPr>
      <w:r w:rsidRPr="00903D87">
        <w:rPr>
          <w:rFonts w:eastAsiaTheme="majorEastAsia"/>
        </w:rPr>
        <w:t>Level 2: Indicator can be produced with existing data but has not been reported on</w:t>
      </w:r>
    </w:p>
    <w:p w14:paraId="670AB132" w14:textId="501403B2" w:rsidR="00704A46" w:rsidRPr="00903D87" w:rsidRDefault="00704A46" w:rsidP="005E1AEE">
      <w:pPr>
        <w:pStyle w:val="CommentText"/>
        <w:jc w:val="left"/>
        <w:rPr>
          <w:rFonts w:cstheme="minorHAnsi"/>
          <w:sz w:val="22"/>
          <w:szCs w:val="22"/>
        </w:rPr>
      </w:pPr>
      <w:r w:rsidRPr="00903D87">
        <w:rPr>
          <w:rFonts w:cstheme="minorHAnsi"/>
          <w:sz w:val="22"/>
          <w:szCs w:val="22"/>
        </w:rPr>
        <w:t>These statistics could be obtained from personnel records or through a survey of employees. For example, there are many instances of data on women judges – as the Organization for Economic Cooperation and Development (OECD), reported</w:t>
      </w:r>
      <w:r w:rsidR="00474AAC" w:rsidRPr="00903D87">
        <w:rPr>
          <w:rFonts w:cstheme="minorHAnsi"/>
          <w:sz w:val="22"/>
          <w:szCs w:val="22"/>
        </w:rPr>
        <w:t xml:space="preserve"> at</w:t>
      </w:r>
      <w:r w:rsidR="007F4D63" w:rsidRPr="00903D87">
        <w:rPr>
          <w:rFonts w:cstheme="minorHAnsi"/>
          <w:sz w:val="22"/>
          <w:szCs w:val="22"/>
        </w:rPr>
        <w:t xml:space="preserve"> </w:t>
      </w:r>
      <w:hyperlink r:id="rId27" w:history="1">
        <w:r w:rsidR="00474AAC" w:rsidRPr="00903D87">
          <w:rPr>
            <w:rStyle w:val="Hyperlink"/>
            <w:rFonts w:cstheme="minorHAnsi"/>
            <w:sz w:val="22"/>
            <w:szCs w:val="22"/>
          </w:rPr>
          <w:t>www.oecd.org</w:t>
        </w:r>
      </w:hyperlink>
      <w:r w:rsidRPr="00903D87">
        <w:rPr>
          <w:rFonts w:cstheme="minorHAnsi"/>
          <w:sz w:val="22"/>
          <w:szCs w:val="22"/>
        </w:rPr>
        <w:t>.</w:t>
      </w:r>
    </w:p>
    <w:p w14:paraId="55615D31" w14:textId="55A0E772" w:rsidR="00704A46" w:rsidRPr="00903D87" w:rsidRDefault="00704A46" w:rsidP="005E1AEE">
      <w:pPr>
        <w:jc w:val="left"/>
        <w:rPr>
          <w:rFonts w:cstheme="minorHAnsi"/>
        </w:rPr>
      </w:pPr>
      <w:r w:rsidRPr="00903D87">
        <w:rPr>
          <w:rFonts w:cstheme="minorHAnsi"/>
        </w:rPr>
        <w:t xml:space="preserve">The United Kingdom of Great Britain and Northern Ireland publishes </w:t>
      </w:r>
      <w:hyperlink r:id="rId28" w:history="1">
        <w:r w:rsidR="00474AAC" w:rsidRPr="00903D87">
          <w:rPr>
            <w:rStyle w:val="Hyperlink"/>
            <w:rFonts w:cstheme="minorHAnsi"/>
          </w:rPr>
          <w:t>“judicial diversity statistics”</w:t>
        </w:r>
      </w:hyperlink>
      <w:r w:rsidR="00474AAC" w:rsidRPr="00903D87">
        <w:rPr>
          <w:rFonts w:cstheme="minorHAnsi"/>
        </w:rPr>
        <w:t xml:space="preserve">, </w:t>
      </w:r>
      <w:r w:rsidRPr="00903D87">
        <w:rPr>
          <w:rFonts w:cstheme="minorHAnsi"/>
        </w:rPr>
        <w:t>every year, looking at gender, age and ethnicity, but not at disability.</w:t>
      </w:r>
    </w:p>
    <w:p w14:paraId="4226715C" w14:textId="77777777" w:rsidR="00704A46" w:rsidRPr="00903D87" w:rsidRDefault="00704A46" w:rsidP="005E1AEE">
      <w:pPr>
        <w:jc w:val="left"/>
        <w:rPr>
          <w:rFonts w:cstheme="minorHAnsi"/>
        </w:rPr>
      </w:pPr>
      <w:r w:rsidRPr="00903D87">
        <w:rPr>
          <w:rFonts w:cstheme="minorHAnsi"/>
        </w:rPr>
        <w:t>As of 2019, disability</w:t>
      </w:r>
      <w:r w:rsidRPr="00903D87">
        <w:rPr>
          <w:rFonts w:cstheme="minorHAnsi"/>
          <w:lang w:eastAsia="en-GB"/>
        </w:rPr>
        <w:t xml:space="preserve"> information was not presented, as it was not possible to differentiate between those without a disability and non-respondents – disability information was collected on a non-mandatory basis, by self-declaration. Moreover, disability status may change over time and information relating to diversity was only taken at point of entry, unless the relevant human resources staff were contacted to update respondents’ information. However, the report mentions, in section 5d, that changes to their collection methods on diversity may yield more accurate data. This could include updates of personnel records and collection of data upon departure.</w:t>
      </w:r>
    </w:p>
    <w:p w14:paraId="05C60C38" w14:textId="60A5DAA1" w:rsidR="00704A46" w:rsidRPr="00903D87" w:rsidRDefault="00704A46" w:rsidP="005E1AEE">
      <w:pPr>
        <w:pStyle w:val="CommentText"/>
        <w:jc w:val="left"/>
        <w:rPr>
          <w:rFonts w:cstheme="minorHAnsi"/>
          <w:sz w:val="22"/>
          <w:szCs w:val="22"/>
        </w:rPr>
      </w:pPr>
      <w:r w:rsidRPr="00903D87">
        <w:rPr>
          <w:rFonts w:cstheme="minorHAnsi"/>
          <w:sz w:val="22"/>
          <w:szCs w:val="22"/>
        </w:rPr>
        <w:t xml:space="preserve">In 2013, the United Kingdom of Great Britain and Northern Ireland published information on </w:t>
      </w:r>
      <w:hyperlink r:id="rId29" w:history="1">
        <w:r w:rsidRPr="00903D87">
          <w:rPr>
            <w:rStyle w:val="Hyperlink"/>
            <w:rFonts w:cstheme="minorHAnsi"/>
            <w:sz w:val="22"/>
            <w:szCs w:val="22"/>
          </w:rPr>
          <w:t>magistrates with disabilities</w:t>
        </w:r>
      </w:hyperlink>
      <w:r w:rsidR="007544E5" w:rsidRPr="00903D87">
        <w:rPr>
          <w:rFonts w:cstheme="minorHAnsi"/>
          <w:sz w:val="22"/>
          <w:szCs w:val="22"/>
        </w:rPr>
        <w:t>,</w:t>
      </w:r>
      <w:r w:rsidRPr="00903D87">
        <w:rPr>
          <w:rFonts w:cstheme="minorHAnsi"/>
          <w:sz w:val="22"/>
          <w:szCs w:val="22"/>
        </w:rPr>
        <w:t xml:space="preserve"> as well as </w:t>
      </w:r>
      <w:hyperlink r:id="rId30" w:history="1">
        <w:r w:rsidRPr="00903D87">
          <w:rPr>
            <w:rStyle w:val="Hyperlink"/>
            <w:rFonts w:cstheme="minorHAnsi"/>
            <w:sz w:val="22"/>
            <w:szCs w:val="22"/>
          </w:rPr>
          <w:t>statistics on judicial appointments</w:t>
        </w:r>
      </w:hyperlink>
      <w:r w:rsidRPr="00903D87">
        <w:rPr>
          <w:rFonts w:cstheme="minorHAnsi"/>
          <w:sz w:val="22"/>
          <w:szCs w:val="22"/>
        </w:rPr>
        <w:t xml:space="preserve"> looking at underrepresentation of t</w:t>
      </w:r>
      <w:r w:rsidR="007544E5" w:rsidRPr="00903D87">
        <w:rPr>
          <w:rFonts w:cstheme="minorHAnsi"/>
          <w:sz w:val="22"/>
          <w:szCs w:val="22"/>
        </w:rPr>
        <w:t>hose eligible to be appointed.</w:t>
      </w:r>
    </w:p>
    <w:p w14:paraId="19CF69B5" w14:textId="77777777" w:rsidR="00704A46" w:rsidRPr="00903D87" w:rsidRDefault="00704A46" w:rsidP="00E42AFC">
      <w:pPr>
        <w:pStyle w:val="Heading2"/>
        <w:rPr>
          <w:rFonts w:eastAsiaTheme="majorEastAsia"/>
        </w:rPr>
      </w:pPr>
      <w:r w:rsidRPr="00903D87">
        <w:rPr>
          <w:rFonts w:eastAsiaTheme="majorEastAsia"/>
        </w:rPr>
        <w:lastRenderedPageBreak/>
        <w:t>13.23 Number and proportion of persons with disabilities who participate in legal proceedings, within the justice system and related institutions as indirect participants (witnesses, expert witnesses, jurors, etc.) disaggregated by sex, age, disability, kind of role and sector of the judiciary/justice system.</w:t>
      </w:r>
    </w:p>
    <w:p w14:paraId="1EC4AF85" w14:textId="77777777" w:rsidR="00704A46" w:rsidRPr="00903D87" w:rsidRDefault="00704A46" w:rsidP="00E42AFC">
      <w:pPr>
        <w:pStyle w:val="Heading4"/>
        <w:rPr>
          <w:rFonts w:eastAsiaTheme="majorEastAsia"/>
        </w:rPr>
      </w:pPr>
      <w:r w:rsidRPr="00903D87">
        <w:rPr>
          <w:rFonts w:eastAsiaTheme="majorEastAsia"/>
        </w:rPr>
        <w:t>Level 3: Indicator for which acquiring data is more complex or requires the development of data collection mechanisms which are currently not in place</w:t>
      </w:r>
    </w:p>
    <w:p w14:paraId="3EB9C854" w14:textId="05FC5C99" w:rsidR="00704A46" w:rsidRPr="00903D87" w:rsidRDefault="00704A46" w:rsidP="005E1AEE">
      <w:pPr>
        <w:jc w:val="left"/>
        <w:rPr>
          <w:rFonts w:cstheme="minorHAnsi"/>
        </w:rPr>
      </w:pPr>
      <w:r w:rsidRPr="00903D87">
        <w:rPr>
          <w:rFonts w:cstheme="minorHAnsi"/>
        </w:rPr>
        <w:t>There have been some population surveys that ask about political participation, but none were found on the participation in legal proceedings. In additio</w:t>
      </w:r>
      <w:r w:rsidR="00AC3482" w:rsidRPr="00903D87">
        <w:rPr>
          <w:rFonts w:cstheme="minorHAnsi"/>
        </w:rPr>
        <w:t>n, no examples of administrative</w:t>
      </w:r>
      <w:r w:rsidRPr="00903D87">
        <w:rPr>
          <w:rFonts w:cstheme="minorHAnsi"/>
        </w:rPr>
        <w:t xml:space="preserve"> data were found. This could be asked about in a national disability survey, but the sample size may limit the usefulness of any estimates, given the rate at which the average citizen participates in legal proceedings in any given year.</w:t>
      </w:r>
    </w:p>
    <w:p w14:paraId="399AC2AB" w14:textId="1A23D2EF" w:rsidR="00355C6D" w:rsidRPr="00903D87" w:rsidRDefault="00704A46" w:rsidP="005E1AEE">
      <w:pPr>
        <w:jc w:val="left"/>
        <w:rPr>
          <w:rFonts w:cstheme="minorHAnsi"/>
        </w:rPr>
      </w:pPr>
      <w:r w:rsidRPr="00903D87">
        <w:rPr>
          <w:rFonts w:cstheme="minorHAnsi"/>
        </w:rPr>
        <w:t>A better option, for countries with national identification numbers, would be to cross-check those with disability assessment records, as most people intervening in the justice system have to register their identification numbers when participating in formal procedures. Of course, not all persons with disabilities have been assessed, for a variety of reasons: eligibility criteria for disability programs, accessibility of the program and whether potential applicants feel it is worth being assessed. This varies significantly across countries. Still, such data would be indicative of the participation in legal proceedings and would be particularly useful for tracking changes over time. Of course, privacy safeguards must be put into place so that while the statistics are reported, people’s individual disability status is not revealed without their knowledge and permission.</w:t>
      </w:r>
    </w:p>
    <w:sectPr w:rsidR="00355C6D" w:rsidRPr="00903D87" w:rsidSect="00F66633">
      <w:footerReference w:type="even" r:id="rId31"/>
      <w:footerReference w:type="default" r:id="rId32"/>
      <w:pgSz w:w="11900" w:h="16820"/>
      <w:pgMar w:top="1440" w:right="1460" w:bottom="143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89FFA" w14:textId="77777777" w:rsidR="00C115A8" w:rsidRPr="00903D87" w:rsidRDefault="00C115A8" w:rsidP="00461540">
      <w:r w:rsidRPr="00903D87">
        <w:separator/>
      </w:r>
    </w:p>
  </w:endnote>
  <w:endnote w:type="continuationSeparator" w:id="0">
    <w:p w14:paraId="42BE4D6B" w14:textId="77777777" w:rsidR="00C115A8" w:rsidRPr="00903D87" w:rsidRDefault="00C115A8" w:rsidP="00461540">
      <w:r w:rsidRPr="00903D8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Medium">
    <w:altName w:val="﷽﷽﷽﷽﷽﷽﷽৸ಯ"/>
    <w:panose1 w:val="020B0602020204020303"/>
    <w:charset w:val="00"/>
    <w:family w:val="swiss"/>
    <w:notTrueType/>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8062727"/>
      <w:docPartObj>
        <w:docPartGallery w:val="Page Numbers (Bottom of Page)"/>
        <w:docPartUnique/>
      </w:docPartObj>
    </w:sdtPr>
    <w:sdtEndPr>
      <w:rPr>
        <w:rStyle w:val="PageNumber"/>
      </w:rPr>
    </w:sdtEndPr>
    <w:sdtContent>
      <w:p w14:paraId="72B7284F" w14:textId="45A8B1BB" w:rsidR="00C22620" w:rsidRPr="00903D87" w:rsidRDefault="00C22620" w:rsidP="005935AC">
        <w:pPr>
          <w:pStyle w:val="Footer"/>
          <w:framePr w:wrap="none" w:vAnchor="text" w:hAnchor="margin" w:xAlign="right" w:y="1"/>
          <w:rPr>
            <w:rStyle w:val="PageNumber"/>
          </w:rPr>
        </w:pPr>
        <w:r w:rsidRPr="00903D87">
          <w:rPr>
            <w:rStyle w:val="PageNumber"/>
          </w:rPr>
          <w:fldChar w:fldCharType="begin"/>
        </w:r>
        <w:r w:rsidRPr="00903D87">
          <w:rPr>
            <w:rStyle w:val="PageNumber"/>
          </w:rPr>
          <w:instrText xml:space="preserve"> PAGE </w:instrText>
        </w:r>
        <w:r w:rsidRPr="00903D87">
          <w:rPr>
            <w:rStyle w:val="PageNumber"/>
          </w:rPr>
          <w:fldChar w:fldCharType="end"/>
        </w:r>
      </w:p>
    </w:sdtContent>
  </w:sdt>
  <w:p w14:paraId="143BCC80" w14:textId="77777777" w:rsidR="00C22620" w:rsidRPr="00903D87" w:rsidRDefault="00C22620" w:rsidP="00C360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3383959"/>
      <w:docPartObj>
        <w:docPartGallery w:val="Page Numbers (Bottom of Page)"/>
        <w:docPartUnique/>
      </w:docPartObj>
    </w:sdtPr>
    <w:sdtEndPr>
      <w:rPr>
        <w:rStyle w:val="PageNumber"/>
        <w:b/>
        <w:sz w:val="18"/>
        <w:szCs w:val="18"/>
      </w:rPr>
    </w:sdtEndPr>
    <w:sdtContent>
      <w:p w14:paraId="672B0C64" w14:textId="1F438E7A" w:rsidR="00C22620" w:rsidRPr="00903D87" w:rsidRDefault="00C22620" w:rsidP="00867838">
        <w:pPr>
          <w:pStyle w:val="Footer"/>
          <w:framePr w:wrap="none" w:vAnchor="text" w:hAnchor="margin" w:xAlign="right" w:y="1"/>
          <w:spacing w:before="0" w:after="0" w:line="240" w:lineRule="auto"/>
          <w:rPr>
            <w:rStyle w:val="PageNumber"/>
            <w:b/>
          </w:rPr>
        </w:pPr>
        <w:r w:rsidRPr="00903D87">
          <w:rPr>
            <w:rStyle w:val="PageNumber"/>
            <w:rFonts w:cstheme="minorHAnsi"/>
            <w:b/>
          </w:rPr>
          <w:fldChar w:fldCharType="begin"/>
        </w:r>
        <w:r w:rsidRPr="00903D87">
          <w:rPr>
            <w:rStyle w:val="PageNumber"/>
            <w:rFonts w:cstheme="minorHAnsi"/>
            <w:b/>
          </w:rPr>
          <w:instrText xml:space="preserve"> PAGE </w:instrText>
        </w:r>
        <w:r w:rsidRPr="00903D87">
          <w:rPr>
            <w:rStyle w:val="PageNumber"/>
            <w:rFonts w:cstheme="minorHAnsi"/>
            <w:b/>
          </w:rPr>
          <w:fldChar w:fldCharType="separate"/>
        </w:r>
        <w:r w:rsidR="00AC3482" w:rsidRPr="00903D87">
          <w:rPr>
            <w:rStyle w:val="PageNumber"/>
            <w:rFonts w:cstheme="minorHAnsi"/>
            <w:b/>
            <w:noProof/>
          </w:rPr>
          <w:t>3</w:t>
        </w:r>
        <w:r w:rsidRPr="00903D87">
          <w:rPr>
            <w:rStyle w:val="PageNumber"/>
            <w:rFonts w:cstheme="minorHAnsi"/>
            <w:b/>
          </w:rPr>
          <w:fldChar w:fldCharType="end"/>
        </w:r>
      </w:p>
    </w:sdtContent>
  </w:sdt>
  <w:p w14:paraId="158F229E" w14:textId="07BAD2BB" w:rsidR="00183E93" w:rsidRPr="00903D87" w:rsidRDefault="00183E93" w:rsidP="00183E93">
    <w:pPr>
      <w:pStyle w:val="Footer"/>
      <w:tabs>
        <w:tab w:val="clear" w:pos="9360"/>
        <w:tab w:val="right" w:pos="8300"/>
      </w:tabs>
      <w:spacing w:before="0"/>
      <w:ind w:left="432" w:right="360"/>
      <w:rPr>
        <w:spacing w:val="-2"/>
        <w:sz w:val="18"/>
        <w:szCs w:val="18"/>
        <w:lang w:val="en-US"/>
      </w:rPr>
    </w:pPr>
    <w:r w:rsidRPr="00903D87">
      <w:rPr>
        <w:rFonts w:asciiTheme="minorHAnsi" w:hAnsiTheme="minorHAnsi"/>
        <w:noProof/>
        <w:color w:val="FFC000"/>
        <w:sz w:val="18"/>
        <w:szCs w:val="18"/>
        <w:lang w:eastAsia="en-GB"/>
      </w:rPr>
      <mc:AlternateContent>
        <mc:Choice Requires="wps">
          <w:drawing>
            <wp:anchor distT="0" distB="0" distL="114300" distR="114300" simplePos="0" relativeHeight="251660288" behindDoc="1" locked="0" layoutInCell="1" allowOverlap="1" wp14:anchorId="2F2FB7CE" wp14:editId="4727BF47">
              <wp:simplePos x="0" y="0"/>
              <wp:positionH relativeFrom="column">
                <wp:posOffset>5319138</wp:posOffset>
              </wp:positionH>
              <wp:positionV relativeFrom="paragraph">
                <wp:posOffset>11430</wp:posOffset>
              </wp:positionV>
              <wp:extent cx="36195" cy="146050"/>
              <wp:effectExtent l="0" t="0" r="1905" b="6350"/>
              <wp:wrapThrough wrapText="bothSides">
                <wp:wrapPolygon edited="0">
                  <wp:start x="0" y="0"/>
                  <wp:lineTo x="0" y="20661"/>
                  <wp:lineTo x="15158" y="20661"/>
                  <wp:lineTo x="15158" y="0"/>
                  <wp:lineTo x="0" y="0"/>
                </wp:wrapPolygon>
              </wp:wrapThrough>
              <wp:docPr id="4" name="Rounded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6195" cy="146050"/>
                      </a:xfrm>
                      <a:prstGeom prst="roundRect">
                        <a:avLst>
                          <a:gd name="adj" fmla="val 5000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7B27C" id="Rounded Rectangle 4" o:spid="_x0000_s1026" alt="&quot;&quot;" style="position:absolute;margin-left:418.85pt;margin-top:.9pt;width:2.85pt;height:11.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rqsgIAAMYFAAAOAAAAZHJzL2Uyb0RvYy54bWysVE1v2zAMvQ/YfxB0X+1kSbcGdYogRbYB&#10;RVu0HXpWZCnWIImapHzt15eSHSdbix2G+WCIIvlIPpG8vNoZTTbCBwW2ooOzkhJhOdTKrir6/Wnx&#10;4TMlITJbMw1WVHQvAr2avn93uXUTMYQGdC08QRAbJltX0SZGNymKwBthWDgDJywqJXjDIop+VdSe&#10;bRHd6GJYlufFFnztPHARAt5et0o6zfhSCh7vpAwiEl1RzC3mv8//ZfoX00s2WXnmGsW7NNg/ZGGY&#10;shi0h7pmkZG1V6+gjOIeAsh4xsEUIKXiIteA1QzKP6p5bJgTuRYkJ7iepvD/YPnt5t4TVVd0RIll&#10;Bp/oAda2FjV5QPKYXWlBRommrQsTtH50976TAh5TzTvpDZFaua/YAZkFrIvsMsn7nmSxi4Tj5cfz&#10;wcWYEo6awei8HOc3KFqUhOZ8iF8EGJIOFfUpm5RKBmabmxAzz3WXLat/UCKNxlfbME3GJX4pXUTs&#10;jPF0wEyeAbSqF0rrLPjVcq49QdeKLhbzo/NvZtomYwvJrcVON0WipCUhn+Jei2Sn7YOQyCkWO8xZ&#10;524WfRzGubCxZSo0rBZt+NPUe49cSAZMyBLj99gdQJqU19htlp19chV5GHrn8m+Jtc69R44MNvbO&#10;RlnwbwForKqL3NofSGqpSSwtod5jx3loRzE4vlD40DcsxHvm8RVxSnGfxDv8SQ3bikJ3oqQB/+ut&#10;+2SPI4FaSrY4yxUNP9fMC0r0N4vDcjEYjdLwZ2E0/jREwZ9qlqcauzZzwHYY4OZyPB+TfdSHo/Rg&#10;nnHtzFJUVDHLMXZFefQHYR7bHYOLi4vZLJvhwDsWb+yj44c5SX35tHtm3nXdHnFKbuEw910Lt4we&#10;bdN7WJitI0gVk/LIayfgssiN0y22tI1O5Wx1XL/TFwAAAP//AwBQSwMEFAAGAAgAAAAhAD1BfALh&#10;AAAADQEAAA8AAABkcnMvZG93bnJldi54bWxMj0FLw0AQhe+C/2EZwZvdmAYb0myKKAVBL6YBr5vs&#10;NBvMzobstk3/veNJLwPDe/PmfeVucaM44xwGTwoeVwkIpM6bgXoFzWH/kIMIUZPRoydUcMUAu+r2&#10;ptSF8Rf6xHMde8EhFAqtwMY4FVKGzqLTYeUnJNaOfnY68jr30sz6wuFulGmSPEmnB+IPVk/4YrH7&#10;rk9OwdGauWk6+vowJt2/p3U2Xds3pe7vltctj+ctiIhL/LuAXwbuDxUXa/2JTBCjgny92bCVBcZg&#10;Pc/WGYhWQZrlIKtS/qeofgAAAP//AwBQSwECLQAUAAYACAAAACEAtoM4kv4AAADhAQAAEwAAAAAA&#10;AAAAAAAAAAAAAAAAW0NvbnRlbnRfVHlwZXNdLnhtbFBLAQItABQABgAIAAAAIQA4/SH/1gAAAJQB&#10;AAALAAAAAAAAAAAAAAAAAC8BAABfcmVscy8ucmVsc1BLAQItABQABgAIAAAAIQCeCXrqsgIAAMYF&#10;AAAOAAAAAAAAAAAAAAAAAC4CAABkcnMvZTJvRG9jLnhtbFBLAQItABQABgAIAAAAIQA9QXwC4QAA&#10;AA0BAAAPAAAAAAAAAAAAAAAAAAwFAABkcnMvZG93bnJldi54bWxQSwUGAAAAAAQABADzAAAAGgYA&#10;AAAA&#10;" fillcolor="#ffc000" stroked="f" strokeweight="1pt">
              <v:stroke joinstyle="miter"/>
              <w10:wrap type="through"/>
            </v:roundrect>
          </w:pict>
        </mc:Fallback>
      </mc:AlternateContent>
    </w:r>
    <w:r w:rsidRPr="00903D87">
      <w:rPr>
        <w:rFonts w:asciiTheme="minorHAnsi" w:hAnsiTheme="minorHAnsi"/>
        <w:noProof/>
        <w:sz w:val="18"/>
        <w:szCs w:val="18"/>
        <w:lang w:eastAsia="en-GB"/>
      </w:rPr>
      <w:drawing>
        <wp:anchor distT="0" distB="0" distL="114300" distR="114300" simplePos="0" relativeHeight="251659264" behindDoc="0" locked="0" layoutInCell="1" allowOverlap="1" wp14:anchorId="431EB13B" wp14:editId="22B60589">
          <wp:simplePos x="0" y="0"/>
          <wp:positionH relativeFrom="column">
            <wp:posOffset>-3810</wp:posOffset>
          </wp:positionH>
          <wp:positionV relativeFrom="paragraph">
            <wp:posOffset>-6127</wp:posOffset>
          </wp:positionV>
          <wp:extent cx="287020" cy="148590"/>
          <wp:effectExtent l="0" t="0" r="0" b="3810"/>
          <wp:wrapNone/>
          <wp:docPr id="9" name="Picture 9" descr="Logo of CRPD (Convention on the Rights of Person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of CRPD (Convention on the Rights of Person with Disabiliti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020"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3D87">
      <w:rPr>
        <w:rFonts w:asciiTheme="minorHAnsi" w:hAnsiTheme="minorHAnsi"/>
        <w:sz w:val="18"/>
        <w:szCs w:val="18"/>
        <w:lang w:val="en-US"/>
      </w:rPr>
      <w:t xml:space="preserve">  </w:t>
    </w:r>
    <w:r w:rsidRPr="00903D87">
      <w:rPr>
        <w:color w:val="7F7F7F" w:themeColor="text1" w:themeTint="80"/>
        <w:sz w:val="18"/>
        <w:szCs w:val="18"/>
        <w:lang w:val="en-US"/>
      </w:rPr>
      <w:t>+</w:t>
    </w:r>
    <w:r w:rsidRPr="00903D87">
      <w:rPr>
        <w:color w:val="7F7F7F" w:themeColor="text1" w:themeTint="80"/>
        <w:spacing w:val="-2"/>
        <w:sz w:val="18"/>
        <w:szCs w:val="18"/>
        <w:lang w:val="en-US"/>
      </w:rPr>
      <w:t xml:space="preserve"> Data Sources on Article 13 (outcome indicators)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1DFA3" w14:textId="77777777" w:rsidR="00C115A8" w:rsidRPr="00903D87" w:rsidRDefault="00C115A8" w:rsidP="00461540">
      <w:r w:rsidRPr="00903D87">
        <w:separator/>
      </w:r>
    </w:p>
  </w:footnote>
  <w:footnote w:type="continuationSeparator" w:id="0">
    <w:p w14:paraId="17ED9C57" w14:textId="77777777" w:rsidR="00C115A8" w:rsidRPr="00903D87" w:rsidRDefault="00C115A8" w:rsidP="00461540">
      <w:r w:rsidRPr="00903D8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17C23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2C65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72B1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527D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AE06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A6D6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B847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24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209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20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170AF"/>
    <w:multiLevelType w:val="hybridMultilevel"/>
    <w:tmpl w:val="8BBC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E7475E"/>
    <w:multiLevelType w:val="hybridMultilevel"/>
    <w:tmpl w:val="61D6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F1C77"/>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13" w15:restartNumberingAfterBreak="0">
    <w:nsid w:val="119C5107"/>
    <w:multiLevelType w:val="hybridMultilevel"/>
    <w:tmpl w:val="680CF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F1332C"/>
    <w:multiLevelType w:val="hybridMultilevel"/>
    <w:tmpl w:val="0A362A8E"/>
    <w:lvl w:ilvl="0" w:tplc="21C03726">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26071F"/>
    <w:multiLevelType w:val="hybridMultilevel"/>
    <w:tmpl w:val="A7C25218"/>
    <w:lvl w:ilvl="0" w:tplc="04090003">
      <w:start w:val="1"/>
      <w:numFmt w:val="bullet"/>
      <w:lvlText w:val="o"/>
      <w:lvlJc w:val="left"/>
      <w:pPr>
        <w:ind w:left="360" w:hanging="360"/>
      </w:pPr>
      <w:rPr>
        <w:rFonts w:ascii="Courier New" w:hAnsi="Courier New" w:cs="Courier New" w:hint="default"/>
        <w:b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AD361B"/>
    <w:multiLevelType w:val="hybridMultilevel"/>
    <w:tmpl w:val="CE76353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814225"/>
    <w:multiLevelType w:val="hybridMultilevel"/>
    <w:tmpl w:val="349E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08283F"/>
    <w:multiLevelType w:val="multilevel"/>
    <w:tmpl w:val="595A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192884"/>
    <w:multiLevelType w:val="hybridMultilevel"/>
    <w:tmpl w:val="346A4E36"/>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55B84"/>
    <w:multiLevelType w:val="hybridMultilevel"/>
    <w:tmpl w:val="560C8932"/>
    <w:lvl w:ilvl="0" w:tplc="9EF482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9171C6"/>
    <w:multiLevelType w:val="multilevel"/>
    <w:tmpl w:val="06D4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F37AB6"/>
    <w:multiLevelType w:val="hybridMultilevel"/>
    <w:tmpl w:val="C71AEB30"/>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6B486A"/>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24" w15:restartNumberingAfterBreak="0">
    <w:nsid w:val="36743790"/>
    <w:multiLevelType w:val="hybridMultilevel"/>
    <w:tmpl w:val="B498BB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2363AD"/>
    <w:multiLevelType w:val="hybridMultilevel"/>
    <w:tmpl w:val="80FCB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C9652E"/>
    <w:multiLevelType w:val="hybridMultilevel"/>
    <w:tmpl w:val="B99AF69A"/>
    <w:lvl w:ilvl="0" w:tplc="E09C8312">
      <w:numFmt w:val="bullet"/>
      <w:lvlText w:val="-"/>
      <w:lvlJc w:val="left"/>
      <w:pPr>
        <w:ind w:left="360" w:hanging="360"/>
      </w:pPr>
      <w:rPr>
        <w:rFonts w:ascii="Calibri" w:eastAsiaTheme="minorHAnsi" w:hAnsi="Calibri" w:cstheme="minorHAnsi" w:hint="default"/>
        <w:b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614D6E"/>
    <w:multiLevelType w:val="hybridMultilevel"/>
    <w:tmpl w:val="CD887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223CE7"/>
    <w:multiLevelType w:val="hybridMultilevel"/>
    <w:tmpl w:val="363E6A1E"/>
    <w:lvl w:ilvl="0" w:tplc="04090001">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E6E01"/>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30" w15:restartNumberingAfterBreak="0">
    <w:nsid w:val="4EA01FD7"/>
    <w:multiLevelType w:val="hybridMultilevel"/>
    <w:tmpl w:val="6302AAD0"/>
    <w:lvl w:ilvl="0" w:tplc="8A8C9DA0">
      <w:start w:val="1"/>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F0237F"/>
    <w:multiLevelType w:val="hybridMultilevel"/>
    <w:tmpl w:val="CA8C0D02"/>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1008A"/>
    <w:multiLevelType w:val="hybridMultilevel"/>
    <w:tmpl w:val="B45831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A4D5889"/>
    <w:multiLevelType w:val="hybridMultilevel"/>
    <w:tmpl w:val="7A8A6B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C81142"/>
    <w:multiLevelType w:val="hybridMultilevel"/>
    <w:tmpl w:val="9C864FFA"/>
    <w:lvl w:ilvl="0" w:tplc="9B4C629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5" w15:restartNumberingAfterBreak="0">
    <w:nsid w:val="72EA5118"/>
    <w:multiLevelType w:val="hybridMultilevel"/>
    <w:tmpl w:val="9D485C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DD1A27"/>
    <w:multiLevelType w:val="hybridMultilevel"/>
    <w:tmpl w:val="DF2294B0"/>
    <w:lvl w:ilvl="0" w:tplc="04090017">
      <w:start w:val="1"/>
      <w:numFmt w:val="lowerLetter"/>
      <w:lvlText w:val="%1)"/>
      <w:lvlJc w:val="left"/>
      <w:pPr>
        <w:ind w:left="-144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7" w15:restartNumberingAfterBreak="0">
    <w:nsid w:val="77A41191"/>
    <w:multiLevelType w:val="hybridMultilevel"/>
    <w:tmpl w:val="1432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77DC7"/>
    <w:multiLevelType w:val="hybridMultilevel"/>
    <w:tmpl w:val="054A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2D170D"/>
    <w:multiLevelType w:val="hybridMultilevel"/>
    <w:tmpl w:val="F7261B36"/>
    <w:lvl w:ilvl="0" w:tplc="9A5A01A2">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6309A4"/>
    <w:multiLevelType w:val="hybridMultilevel"/>
    <w:tmpl w:val="38CC68A0"/>
    <w:lvl w:ilvl="0" w:tplc="D3F4B4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32"/>
  </w:num>
  <w:num w:numId="4">
    <w:abstractNumId w:val="29"/>
  </w:num>
  <w:num w:numId="5">
    <w:abstractNumId w:val="21"/>
  </w:num>
  <w:num w:numId="6">
    <w:abstractNumId w:val="38"/>
  </w:num>
  <w:num w:numId="7">
    <w:abstractNumId w:val="25"/>
  </w:num>
  <w:num w:numId="8">
    <w:abstractNumId w:val="24"/>
  </w:num>
  <w:num w:numId="9">
    <w:abstractNumId w:val="30"/>
  </w:num>
  <w:num w:numId="10">
    <w:abstractNumId w:val="26"/>
  </w:num>
  <w:num w:numId="11">
    <w:abstractNumId w:val="15"/>
  </w:num>
  <w:num w:numId="12">
    <w:abstractNumId w:val="35"/>
  </w:num>
  <w:num w:numId="13">
    <w:abstractNumId w:val="23"/>
  </w:num>
  <w:num w:numId="14">
    <w:abstractNumId w:val="12"/>
  </w:num>
  <w:num w:numId="15">
    <w:abstractNumId w:val="33"/>
  </w:num>
  <w:num w:numId="16">
    <w:abstractNumId w:val="13"/>
  </w:num>
  <w:num w:numId="17">
    <w:abstractNumId w:val="10"/>
  </w:num>
  <w:num w:numId="18">
    <w:abstractNumId w:val="40"/>
  </w:num>
  <w:num w:numId="19">
    <w:abstractNumId w:val="16"/>
  </w:num>
  <w:num w:numId="20">
    <w:abstractNumId w:val="14"/>
  </w:num>
  <w:num w:numId="21">
    <w:abstractNumId w:val="28"/>
  </w:num>
  <w:num w:numId="22">
    <w:abstractNumId w:val="39"/>
  </w:num>
  <w:num w:numId="23">
    <w:abstractNumId w:val="22"/>
  </w:num>
  <w:num w:numId="24">
    <w:abstractNumId w:val="20"/>
  </w:num>
  <w:num w:numId="25">
    <w:abstractNumId w:val="0"/>
  </w:num>
  <w:num w:numId="26">
    <w:abstractNumId w:val="1"/>
  </w:num>
  <w:num w:numId="27">
    <w:abstractNumId w:val="2"/>
  </w:num>
  <w:num w:numId="28">
    <w:abstractNumId w:val="3"/>
  </w:num>
  <w:num w:numId="29">
    <w:abstractNumId w:val="8"/>
  </w:num>
  <w:num w:numId="30">
    <w:abstractNumId w:val="4"/>
  </w:num>
  <w:num w:numId="31">
    <w:abstractNumId w:val="5"/>
  </w:num>
  <w:num w:numId="32">
    <w:abstractNumId w:val="6"/>
  </w:num>
  <w:num w:numId="33">
    <w:abstractNumId w:val="7"/>
  </w:num>
  <w:num w:numId="34">
    <w:abstractNumId w:val="9"/>
  </w:num>
  <w:num w:numId="35">
    <w:abstractNumId w:val="19"/>
  </w:num>
  <w:num w:numId="36">
    <w:abstractNumId w:val="31"/>
  </w:num>
  <w:num w:numId="37">
    <w:abstractNumId w:val="27"/>
  </w:num>
  <w:num w:numId="38">
    <w:abstractNumId w:val="37"/>
  </w:num>
  <w:num w:numId="39">
    <w:abstractNumId w:val="11"/>
  </w:num>
  <w:num w:numId="40">
    <w:abstractNumId w:val="36"/>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4096" w:nlCheck="1" w:checkStyle="0"/>
  <w:activeWritingStyle w:appName="MSWord" w:lang="pt-PT"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70"/>
    <w:rsid w:val="000132FA"/>
    <w:rsid w:val="00015BA0"/>
    <w:rsid w:val="000175F5"/>
    <w:rsid w:val="0002001C"/>
    <w:rsid w:val="000255F1"/>
    <w:rsid w:val="00062C31"/>
    <w:rsid w:val="000764AF"/>
    <w:rsid w:val="00085AA9"/>
    <w:rsid w:val="00087BBD"/>
    <w:rsid w:val="0009093A"/>
    <w:rsid w:val="000A661C"/>
    <w:rsid w:val="000B1186"/>
    <w:rsid w:val="000B13D8"/>
    <w:rsid w:val="000B1723"/>
    <w:rsid w:val="000D47E4"/>
    <w:rsid w:val="000F5328"/>
    <w:rsid w:val="000F56DA"/>
    <w:rsid w:val="00101E46"/>
    <w:rsid w:val="00102434"/>
    <w:rsid w:val="0010380B"/>
    <w:rsid w:val="00104C3F"/>
    <w:rsid w:val="0011247F"/>
    <w:rsid w:val="00113282"/>
    <w:rsid w:val="00113670"/>
    <w:rsid w:val="00116DE9"/>
    <w:rsid w:val="001243C1"/>
    <w:rsid w:val="00124491"/>
    <w:rsid w:val="001541E8"/>
    <w:rsid w:val="00163B0E"/>
    <w:rsid w:val="00166B8E"/>
    <w:rsid w:val="00173D86"/>
    <w:rsid w:val="00174AEC"/>
    <w:rsid w:val="00183E93"/>
    <w:rsid w:val="00191D5C"/>
    <w:rsid w:val="00191DAC"/>
    <w:rsid w:val="001C2D74"/>
    <w:rsid w:val="001C65CC"/>
    <w:rsid w:val="001C76A8"/>
    <w:rsid w:val="001D54C9"/>
    <w:rsid w:val="001F4B1B"/>
    <w:rsid w:val="002004D2"/>
    <w:rsid w:val="0020421C"/>
    <w:rsid w:val="002048FE"/>
    <w:rsid w:val="00213CD1"/>
    <w:rsid w:val="002148FC"/>
    <w:rsid w:val="0021621F"/>
    <w:rsid w:val="002218F7"/>
    <w:rsid w:val="0022275D"/>
    <w:rsid w:val="00222C7E"/>
    <w:rsid w:val="0022595A"/>
    <w:rsid w:val="002268B4"/>
    <w:rsid w:val="00242D93"/>
    <w:rsid w:val="0026208F"/>
    <w:rsid w:val="0026364F"/>
    <w:rsid w:val="00270A8A"/>
    <w:rsid w:val="00270BD0"/>
    <w:rsid w:val="0027734E"/>
    <w:rsid w:val="00277CC7"/>
    <w:rsid w:val="00277F18"/>
    <w:rsid w:val="00286968"/>
    <w:rsid w:val="002949A8"/>
    <w:rsid w:val="002B7E83"/>
    <w:rsid w:val="002C350A"/>
    <w:rsid w:val="002C4B00"/>
    <w:rsid w:val="002E12D5"/>
    <w:rsid w:val="002E25CA"/>
    <w:rsid w:val="002E4EB8"/>
    <w:rsid w:val="002E7C72"/>
    <w:rsid w:val="002F4B27"/>
    <w:rsid w:val="0031097C"/>
    <w:rsid w:val="00311B6B"/>
    <w:rsid w:val="003126C7"/>
    <w:rsid w:val="00313B63"/>
    <w:rsid w:val="00323FB0"/>
    <w:rsid w:val="00330FE4"/>
    <w:rsid w:val="0033262E"/>
    <w:rsid w:val="0034007F"/>
    <w:rsid w:val="003478B1"/>
    <w:rsid w:val="00353776"/>
    <w:rsid w:val="00355C6D"/>
    <w:rsid w:val="003616BB"/>
    <w:rsid w:val="00382A3E"/>
    <w:rsid w:val="0038732B"/>
    <w:rsid w:val="00390D12"/>
    <w:rsid w:val="00396691"/>
    <w:rsid w:val="00396C8F"/>
    <w:rsid w:val="003A126E"/>
    <w:rsid w:val="003A223E"/>
    <w:rsid w:val="003A2ADC"/>
    <w:rsid w:val="003B7A00"/>
    <w:rsid w:val="003F1867"/>
    <w:rsid w:val="00432D6B"/>
    <w:rsid w:val="00435BA2"/>
    <w:rsid w:val="00435E14"/>
    <w:rsid w:val="00436405"/>
    <w:rsid w:val="00446E99"/>
    <w:rsid w:val="00450B91"/>
    <w:rsid w:val="00461540"/>
    <w:rsid w:val="0046655B"/>
    <w:rsid w:val="0046658B"/>
    <w:rsid w:val="00466EE3"/>
    <w:rsid w:val="00467602"/>
    <w:rsid w:val="00474244"/>
    <w:rsid w:val="00474AAC"/>
    <w:rsid w:val="004777C6"/>
    <w:rsid w:val="00484B33"/>
    <w:rsid w:val="004913CF"/>
    <w:rsid w:val="00494626"/>
    <w:rsid w:val="00494783"/>
    <w:rsid w:val="004954C4"/>
    <w:rsid w:val="004A3269"/>
    <w:rsid w:val="004B375B"/>
    <w:rsid w:val="004B6482"/>
    <w:rsid w:val="004B6FD7"/>
    <w:rsid w:val="004D43D0"/>
    <w:rsid w:val="004D74F3"/>
    <w:rsid w:val="004E2537"/>
    <w:rsid w:val="004E35BC"/>
    <w:rsid w:val="004E6D50"/>
    <w:rsid w:val="004E73D8"/>
    <w:rsid w:val="004F049C"/>
    <w:rsid w:val="004F2D5E"/>
    <w:rsid w:val="004F337D"/>
    <w:rsid w:val="004F3BD9"/>
    <w:rsid w:val="004F3DE2"/>
    <w:rsid w:val="004F7196"/>
    <w:rsid w:val="00511D23"/>
    <w:rsid w:val="005148BD"/>
    <w:rsid w:val="00525F57"/>
    <w:rsid w:val="00527BE5"/>
    <w:rsid w:val="00527D96"/>
    <w:rsid w:val="00532347"/>
    <w:rsid w:val="005458FD"/>
    <w:rsid w:val="00551B15"/>
    <w:rsid w:val="00555658"/>
    <w:rsid w:val="005600A0"/>
    <w:rsid w:val="00567F31"/>
    <w:rsid w:val="00570364"/>
    <w:rsid w:val="00572828"/>
    <w:rsid w:val="005935AC"/>
    <w:rsid w:val="00595CBC"/>
    <w:rsid w:val="005A094A"/>
    <w:rsid w:val="005B5CFA"/>
    <w:rsid w:val="005C1458"/>
    <w:rsid w:val="005C72F3"/>
    <w:rsid w:val="005E0158"/>
    <w:rsid w:val="005E1A55"/>
    <w:rsid w:val="005E1AEE"/>
    <w:rsid w:val="005E7B70"/>
    <w:rsid w:val="005F2806"/>
    <w:rsid w:val="005F281A"/>
    <w:rsid w:val="005F7463"/>
    <w:rsid w:val="00605A03"/>
    <w:rsid w:val="0062437F"/>
    <w:rsid w:val="006301F6"/>
    <w:rsid w:val="00632C09"/>
    <w:rsid w:val="00672636"/>
    <w:rsid w:val="00690066"/>
    <w:rsid w:val="006903B5"/>
    <w:rsid w:val="00691370"/>
    <w:rsid w:val="00691D31"/>
    <w:rsid w:val="00694E7B"/>
    <w:rsid w:val="006A74CF"/>
    <w:rsid w:val="006B12B9"/>
    <w:rsid w:val="006B56A8"/>
    <w:rsid w:val="006C3FC7"/>
    <w:rsid w:val="006D0FAA"/>
    <w:rsid w:val="006D3CE0"/>
    <w:rsid w:val="006E20BC"/>
    <w:rsid w:val="006F0DD2"/>
    <w:rsid w:val="006F68BB"/>
    <w:rsid w:val="0070044F"/>
    <w:rsid w:val="00704A46"/>
    <w:rsid w:val="00715858"/>
    <w:rsid w:val="00725275"/>
    <w:rsid w:val="00737923"/>
    <w:rsid w:val="0074088C"/>
    <w:rsid w:val="00747288"/>
    <w:rsid w:val="007544E5"/>
    <w:rsid w:val="007573A5"/>
    <w:rsid w:val="00762B52"/>
    <w:rsid w:val="0076508E"/>
    <w:rsid w:val="00766385"/>
    <w:rsid w:val="0076693D"/>
    <w:rsid w:val="00770763"/>
    <w:rsid w:val="00770A1F"/>
    <w:rsid w:val="007710EB"/>
    <w:rsid w:val="00784F2D"/>
    <w:rsid w:val="007A5C39"/>
    <w:rsid w:val="007B79E5"/>
    <w:rsid w:val="007B7E2A"/>
    <w:rsid w:val="007C2B91"/>
    <w:rsid w:val="007C2FCE"/>
    <w:rsid w:val="007C4FC3"/>
    <w:rsid w:val="007D41E0"/>
    <w:rsid w:val="007D47A0"/>
    <w:rsid w:val="007E33D6"/>
    <w:rsid w:val="007E46EB"/>
    <w:rsid w:val="007E6363"/>
    <w:rsid w:val="007F4D63"/>
    <w:rsid w:val="0080218D"/>
    <w:rsid w:val="00805C30"/>
    <w:rsid w:val="00811055"/>
    <w:rsid w:val="008153EF"/>
    <w:rsid w:val="00816E92"/>
    <w:rsid w:val="008649E4"/>
    <w:rsid w:val="00867838"/>
    <w:rsid w:val="00867F6C"/>
    <w:rsid w:val="008A1B56"/>
    <w:rsid w:val="008A44D4"/>
    <w:rsid w:val="008B4EDF"/>
    <w:rsid w:val="008B7B78"/>
    <w:rsid w:val="008D4556"/>
    <w:rsid w:val="008D5C3A"/>
    <w:rsid w:val="008D5E40"/>
    <w:rsid w:val="008F099C"/>
    <w:rsid w:val="008F441F"/>
    <w:rsid w:val="00903D87"/>
    <w:rsid w:val="00904290"/>
    <w:rsid w:val="00904C4A"/>
    <w:rsid w:val="00906D01"/>
    <w:rsid w:val="0091019C"/>
    <w:rsid w:val="00911D78"/>
    <w:rsid w:val="00916A3E"/>
    <w:rsid w:val="00923EF7"/>
    <w:rsid w:val="009347C8"/>
    <w:rsid w:val="00936EB2"/>
    <w:rsid w:val="00941EC9"/>
    <w:rsid w:val="0095111A"/>
    <w:rsid w:val="00951389"/>
    <w:rsid w:val="0096264B"/>
    <w:rsid w:val="00967C6F"/>
    <w:rsid w:val="00967DC8"/>
    <w:rsid w:val="00974C96"/>
    <w:rsid w:val="009842F6"/>
    <w:rsid w:val="009855D7"/>
    <w:rsid w:val="00990B7E"/>
    <w:rsid w:val="0099485B"/>
    <w:rsid w:val="009A0786"/>
    <w:rsid w:val="009A65EB"/>
    <w:rsid w:val="009B1276"/>
    <w:rsid w:val="009B25A1"/>
    <w:rsid w:val="009C097E"/>
    <w:rsid w:val="009E3CD9"/>
    <w:rsid w:val="009E6C3E"/>
    <w:rsid w:val="00A00BFC"/>
    <w:rsid w:val="00A0426C"/>
    <w:rsid w:val="00A17830"/>
    <w:rsid w:val="00A222FB"/>
    <w:rsid w:val="00A27001"/>
    <w:rsid w:val="00A31BB2"/>
    <w:rsid w:val="00A469D3"/>
    <w:rsid w:val="00A501CE"/>
    <w:rsid w:val="00A51989"/>
    <w:rsid w:val="00A528DF"/>
    <w:rsid w:val="00A531F2"/>
    <w:rsid w:val="00A542D3"/>
    <w:rsid w:val="00A62020"/>
    <w:rsid w:val="00A659DF"/>
    <w:rsid w:val="00A700CD"/>
    <w:rsid w:val="00A73A9D"/>
    <w:rsid w:val="00AA7A6C"/>
    <w:rsid w:val="00AB34D2"/>
    <w:rsid w:val="00AC0682"/>
    <w:rsid w:val="00AC3482"/>
    <w:rsid w:val="00AC538E"/>
    <w:rsid w:val="00AF1E95"/>
    <w:rsid w:val="00AF48A4"/>
    <w:rsid w:val="00AF7866"/>
    <w:rsid w:val="00B00C1D"/>
    <w:rsid w:val="00B02F86"/>
    <w:rsid w:val="00B111CA"/>
    <w:rsid w:val="00B153E6"/>
    <w:rsid w:val="00B2460D"/>
    <w:rsid w:val="00B24F18"/>
    <w:rsid w:val="00B33C39"/>
    <w:rsid w:val="00B37E01"/>
    <w:rsid w:val="00B41DFB"/>
    <w:rsid w:val="00B422EB"/>
    <w:rsid w:val="00B56341"/>
    <w:rsid w:val="00B56BBB"/>
    <w:rsid w:val="00B6046E"/>
    <w:rsid w:val="00B60FD1"/>
    <w:rsid w:val="00B628C6"/>
    <w:rsid w:val="00B62EC4"/>
    <w:rsid w:val="00B67975"/>
    <w:rsid w:val="00B90D1F"/>
    <w:rsid w:val="00B95136"/>
    <w:rsid w:val="00BA5172"/>
    <w:rsid w:val="00BD3EEF"/>
    <w:rsid w:val="00BE1BF0"/>
    <w:rsid w:val="00BE2C1A"/>
    <w:rsid w:val="00BE5EE4"/>
    <w:rsid w:val="00BF21CB"/>
    <w:rsid w:val="00BF7A4D"/>
    <w:rsid w:val="00C028D2"/>
    <w:rsid w:val="00C0511A"/>
    <w:rsid w:val="00C07CC8"/>
    <w:rsid w:val="00C115A8"/>
    <w:rsid w:val="00C1724C"/>
    <w:rsid w:val="00C22620"/>
    <w:rsid w:val="00C36070"/>
    <w:rsid w:val="00C3673D"/>
    <w:rsid w:val="00C36D30"/>
    <w:rsid w:val="00C409D7"/>
    <w:rsid w:val="00C40D38"/>
    <w:rsid w:val="00C52338"/>
    <w:rsid w:val="00C60E99"/>
    <w:rsid w:val="00C7351A"/>
    <w:rsid w:val="00C74662"/>
    <w:rsid w:val="00C76959"/>
    <w:rsid w:val="00C77C48"/>
    <w:rsid w:val="00C81AF6"/>
    <w:rsid w:val="00C83B53"/>
    <w:rsid w:val="00C90A1D"/>
    <w:rsid w:val="00CA12C3"/>
    <w:rsid w:val="00CA247C"/>
    <w:rsid w:val="00CA40B9"/>
    <w:rsid w:val="00CB0525"/>
    <w:rsid w:val="00CB0ADB"/>
    <w:rsid w:val="00CB0E58"/>
    <w:rsid w:val="00CD3E5C"/>
    <w:rsid w:val="00CD60C6"/>
    <w:rsid w:val="00CE4D5E"/>
    <w:rsid w:val="00CE4EBE"/>
    <w:rsid w:val="00CE55C8"/>
    <w:rsid w:val="00CE5E74"/>
    <w:rsid w:val="00CF1DAA"/>
    <w:rsid w:val="00D115E7"/>
    <w:rsid w:val="00D177A9"/>
    <w:rsid w:val="00D5098B"/>
    <w:rsid w:val="00D57270"/>
    <w:rsid w:val="00D57DF3"/>
    <w:rsid w:val="00D61786"/>
    <w:rsid w:val="00D63A37"/>
    <w:rsid w:val="00D72ED2"/>
    <w:rsid w:val="00D808B3"/>
    <w:rsid w:val="00D80A5D"/>
    <w:rsid w:val="00D850DC"/>
    <w:rsid w:val="00D871A2"/>
    <w:rsid w:val="00D935C4"/>
    <w:rsid w:val="00DA5396"/>
    <w:rsid w:val="00DA62A0"/>
    <w:rsid w:val="00DB7C66"/>
    <w:rsid w:val="00DC17B0"/>
    <w:rsid w:val="00DC1AE4"/>
    <w:rsid w:val="00DC3A3E"/>
    <w:rsid w:val="00DC7751"/>
    <w:rsid w:val="00DE5C59"/>
    <w:rsid w:val="00DE79BC"/>
    <w:rsid w:val="00DF3B7D"/>
    <w:rsid w:val="00E04B4C"/>
    <w:rsid w:val="00E06C0B"/>
    <w:rsid w:val="00E10CD2"/>
    <w:rsid w:val="00E10D8E"/>
    <w:rsid w:val="00E21209"/>
    <w:rsid w:val="00E26357"/>
    <w:rsid w:val="00E36A90"/>
    <w:rsid w:val="00E42AFC"/>
    <w:rsid w:val="00E42ED0"/>
    <w:rsid w:val="00E47893"/>
    <w:rsid w:val="00E47A39"/>
    <w:rsid w:val="00E5235D"/>
    <w:rsid w:val="00E54957"/>
    <w:rsid w:val="00E564BE"/>
    <w:rsid w:val="00E606B1"/>
    <w:rsid w:val="00E6194F"/>
    <w:rsid w:val="00E71AA5"/>
    <w:rsid w:val="00E8102B"/>
    <w:rsid w:val="00E85F2A"/>
    <w:rsid w:val="00EA0FEF"/>
    <w:rsid w:val="00EA33DB"/>
    <w:rsid w:val="00EB19ED"/>
    <w:rsid w:val="00EB35B7"/>
    <w:rsid w:val="00EB3CDC"/>
    <w:rsid w:val="00EB695E"/>
    <w:rsid w:val="00EC3B99"/>
    <w:rsid w:val="00EC6659"/>
    <w:rsid w:val="00ED30FC"/>
    <w:rsid w:val="00ED779D"/>
    <w:rsid w:val="00EE344D"/>
    <w:rsid w:val="00EE3C72"/>
    <w:rsid w:val="00EE51F9"/>
    <w:rsid w:val="00EE55CD"/>
    <w:rsid w:val="00EE5EE5"/>
    <w:rsid w:val="00EE5F74"/>
    <w:rsid w:val="00EF586A"/>
    <w:rsid w:val="00EF5C91"/>
    <w:rsid w:val="00F02F9E"/>
    <w:rsid w:val="00F21128"/>
    <w:rsid w:val="00F25165"/>
    <w:rsid w:val="00F25654"/>
    <w:rsid w:val="00F31222"/>
    <w:rsid w:val="00F34DBD"/>
    <w:rsid w:val="00F35443"/>
    <w:rsid w:val="00F537A2"/>
    <w:rsid w:val="00F66633"/>
    <w:rsid w:val="00F74F01"/>
    <w:rsid w:val="00F814CF"/>
    <w:rsid w:val="00F91C52"/>
    <w:rsid w:val="00FA3FE7"/>
    <w:rsid w:val="00FA4E53"/>
    <w:rsid w:val="00FA5E66"/>
    <w:rsid w:val="00FA77E9"/>
    <w:rsid w:val="00FB39CF"/>
    <w:rsid w:val="00FD2F83"/>
    <w:rsid w:val="00FE42BF"/>
    <w:rsid w:val="00FE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D37E2"/>
  <w15:docId w15:val="{90444EF3-0CE0-4660-B8A8-1F4F9E38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D63"/>
    <w:pPr>
      <w:spacing w:before="120" w:after="120" w:line="276" w:lineRule="auto"/>
      <w:jc w:val="both"/>
    </w:pPr>
    <w:rPr>
      <w:rFonts w:ascii="Calibri" w:eastAsia="Times New Roman" w:hAnsi="Calibri" w:cs="Calibri"/>
      <w:kern w:val="21"/>
      <w:sz w:val="22"/>
      <w:szCs w:val="22"/>
      <w:lang w:val="en-GB"/>
    </w:rPr>
  </w:style>
  <w:style w:type="paragraph" w:styleId="Heading1">
    <w:name w:val="heading 1"/>
    <w:basedOn w:val="Normal"/>
    <w:next w:val="Normal"/>
    <w:link w:val="Heading1Char"/>
    <w:uiPriority w:val="9"/>
    <w:qFormat/>
    <w:rsid w:val="005A094A"/>
    <w:pPr>
      <w:keepNext/>
      <w:keepLines/>
      <w:spacing w:before="360"/>
      <w:jc w:val="left"/>
      <w:outlineLvl w:val="0"/>
    </w:pPr>
    <w:rPr>
      <w:rFonts w:cs="Times New Roman"/>
      <w:b/>
      <w:bCs/>
      <w:color w:val="000000" w:themeColor="text1"/>
      <w:sz w:val="48"/>
      <w:szCs w:val="48"/>
    </w:rPr>
  </w:style>
  <w:style w:type="paragraph" w:styleId="Heading2">
    <w:name w:val="heading 2"/>
    <w:basedOn w:val="Normal"/>
    <w:next w:val="Normal"/>
    <w:link w:val="Heading2Char"/>
    <w:uiPriority w:val="9"/>
    <w:unhideWhenUsed/>
    <w:qFormat/>
    <w:rsid w:val="007F4D63"/>
    <w:pPr>
      <w:keepNext/>
      <w:keepLines/>
      <w:spacing w:before="720"/>
      <w:jc w:val="left"/>
      <w:outlineLvl w:val="1"/>
    </w:pPr>
    <w:rPr>
      <w:b/>
      <w:color w:val="0A59AB"/>
      <w:kern w:val="0"/>
      <w:sz w:val="30"/>
      <w:szCs w:val="30"/>
    </w:rPr>
  </w:style>
  <w:style w:type="paragraph" w:styleId="Heading3">
    <w:name w:val="heading 3"/>
    <w:basedOn w:val="Subtitle"/>
    <w:next w:val="Normal"/>
    <w:link w:val="Heading3Char"/>
    <w:uiPriority w:val="9"/>
    <w:unhideWhenUsed/>
    <w:qFormat/>
    <w:rsid w:val="00867838"/>
    <w:pPr>
      <w:spacing w:before="480"/>
      <w:outlineLvl w:val="2"/>
    </w:pPr>
    <w:rPr>
      <w:bCs w:val="0"/>
      <w:iCs w:val="0"/>
    </w:rPr>
  </w:style>
  <w:style w:type="paragraph" w:styleId="Heading4">
    <w:name w:val="heading 4"/>
    <w:basedOn w:val="Subtitle"/>
    <w:next w:val="Normal"/>
    <w:link w:val="Heading4Char"/>
    <w:uiPriority w:val="9"/>
    <w:unhideWhenUsed/>
    <w:qFormat/>
    <w:rsid w:val="007F4D63"/>
    <w:pPr>
      <w:outlineLvl w:val="3"/>
    </w:pPr>
    <w:rPr>
      <w:rFonts w:cs="Calibri"/>
      <w:bCs w:val="0"/>
      <w:color w:val="0A59A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3670"/>
    <w:pPr>
      <w:contextualSpacing/>
    </w:pPr>
    <w:rPr>
      <w:rFonts w:ascii="Times New Roman" w:hAnsi="Times New Roman" w:cs="Times New Roman"/>
      <w:spacing w:val="-10"/>
      <w:kern w:val="28"/>
      <w:sz w:val="56"/>
      <w:szCs w:val="56"/>
    </w:rPr>
  </w:style>
  <w:style w:type="character" w:customStyle="1" w:styleId="TitleChar">
    <w:name w:val="Title Char"/>
    <w:basedOn w:val="DefaultParagraphFont"/>
    <w:link w:val="Title"/>
    <w:uiPriority w:val="10"/>
    <w:rsid w:val="00113670"/>
    <w:rPr>
      <w:rFonts w:ascii="Times New Roman" w:eastAsia="Times New Roman" w:hAnsi="Times New Roman" w:cs="Times New Roman"/>
      <w:spacing w:val="-10"/>
      <w:kern w:val="28"/>
      <w:sz w:val="56"/>
      <w:szCs w:val="56"/>
    </w:rPr>
  </w:style>
  <w:style w:type="character" w:customStyle="1" w:styleId="Heading1Char">
    <w:name w:val="Heading 1 Char"/>
    <w:basedOn w:val="DefaultParagraphFont"/>
    <w:link w:val="Heading1"/>
    <w:uiPriority w:val="9"/>
    <w:rsid w:val="005A094A"/>
    <w:rPr>
      <w:rFonts w:ascii="Calibri" w:eastAsia="Times New Roman" w:hAnsi="Calibri" w:cs="Times New Roman"/>
      <w:b/>
      <w:bCs/>
      <w:color w:val="000000" w:themeColor="text1"/>
      <w:sz w:val="48"/>
      <w:szCs w:val="48"/>
      <w:lang w:val="en-GB"/>
    </w:rPr>
  </w:style>
  <w:style w:type="paragraph" w:customStyle="1" w:styleId="MIndHeader">
    <w:name w:val="M.Ind.Header"/>
    <w:basedOn w:val="Normal"/>
    <w:link w:val="MIndHeaderChar"/>
    <w:rsid w:val="005A094A"/>
    <w:pPr>
      <w:shd w:val="clear" w:color="auto" w:fill="F5F5F5"/>
      <w:outlineLvl w:val="1"/>
    </w:pPr>
    <w:rPr>
      <w:b/>
      <w:color w:val="1C75BC"/>
    </w:rPr>
  </w:style>
  <w:style w:type="character" w:customStyle="1" w:styleId="MIndHeaderChar">
    <w:name w:val="M.Ind.Header Char"/>
    <w:basedOn w:val="DefaultParagraphFont"/>
    <w:link w:val="MIndHeader"/>
    <w:rsid w:val="005A094A"/>
    <w:rPr>
      <w:rFonts w:ascii="Calibri" w:eastAsia="Times New Roman" w:hAnsi="Calibri" w:cs="Times New Roman"/>
      <w:b/>
      <w:color w:val="1C75BC"/>
      <w:sz w:val="22"/>
      <w:szCs w:val="22"/>
      <w:shd w:val="clear" w:color="auto" w:fill="F5F5F5"/>
      <w:lang w:val="en-GB"/>
    </w:rPr>
  </w:style>
  <w:style w:type="paragraph" w:styleId="ListParagraph">
    <w:name w:val="List Paragraph"/>
    <w:basedOn w:val="Normal"/>
    <w:uiPriority w:val="34"/>
    <w:qFormat/>
    <w:rsid w:val="009347C8"/>
    <w:pPr>
      <w:numPr>
        <w:numId w:val="1"/>
      </w:numPr>
      <w:ind w:left="1080"/>
      <w:jc w:val="left"/>
    </w:pPr>
    <w:rPr>
      <w:lang w:eastAsia="zh-CN"/>
    </w:rPr>
  </w:style>
  <w:style w:type="character" w:styleId="Hyperlink">
    <w:name w:val="Hyperlink"/>
    <w:basedOn w:val="DefaultParagraphFont"/>
    <w:uiPriority w:val="99"/>
    <w:unhideWhenUsed/>
    <w:rsid w:val="00EE51F9"/>
    <w:rPr>
      <w:color w:val="0000FF"/>
      <w:u w:val="single"/>
    </w:rPr>
  </w:style>
  <w:style w:type="character" w:customStyle="1" w:styleId="UnresolvedMention1">
    <w:name w:val="Unresolved Mention1"/>
    <w:basedOn w:val="DefaultParagraphFont"/>
    <w:uiPriority w:val="99"/>
    <w:semiHidden/>
    <w:unhideWhenUsed/>
    <w:rsid w:val="00D115E7"/>
    <w:rPr>
      <w:color w:val="605E5C"/>
      <w:shd w:val="clear" w:color="auto" w:fill="E1DFDD"/>
    </w:rPr>
  </w:style>
  <w:style w:type="paragraph" w:styleId="NormalWeb">
    <w:name w:val="Normal (Web)"/>
    <w:basedOn w:val="Normal"/>
    <w:uiPriority w:val="99"/>
    <w:unhideWhenUsed/>
    <w:rsid w:val="00D80A5D"/>
    <w:pPr>
      <w:spacing w:before="100" w:beforeAutospacing="1" w:after="100" w:afterAutospacing="1"/>
    </w:pPr>
  </w:style>
  <w:style w:type="character" w:customStyle="1" w:styleId="apple-converted-space">
    <w:name w:val="apple-converted-space"/>
    <w:basedOn w:val="DefaultParagraphFont"/>
    <w:rsid w:val="00BE1BF0"/>
  </w:style>
  <w:style w:type="paragraph" w:customStyle="1" w:styleId="form-control-static">
    <w:name w:val="form-control-static"/>
    <w:basedOn w:val="Normal"/>
    <w:rsid w:val="00BE1BF0"/>
    <w:pPr>
      <w:spacing w:before="100" w:beforeAutospacing="1" w:after="100" w:afterAutospacing="1"/>
    </w:pPr>
  </w:style>
  <w:style w:type="paragraph" w:customStyle="1" w:styleId="MText">
    <w:name w:val="M.Text"/>
    <w:basedOn w:val="Normal"/>
    <w:link w:val="MTextChar"/>
    <w:qFormat/>
    <w:rsid w:val="00E606B1"/>
    <w:pPr>
      <w:shd w:val="clear" w:color="auto" w:fill="FFFFFF"/>
    </w:pPr>
    <w:rPr>
      <w:color w:val="4A4A4A"/>
      <w:sz w:val="21"/>
      <w:szCs w:val="21"/>
    </w:rPr>
  </w:style>
  <w:style w:type="character" w:customStyle="1" w:styleId="MTextChar">
    <w:name w:val="M.Text Char"/>
    <w:basedOn w:val="DefaultParagraphFont"/>
    <w:link w:val="MText"/>
    <w:rsid w:val="00E606B1"/>
    <w:rPr>
      <w:rFonts w:eastAsia="Times New Roman" w:cs="Times New Roman"/>
      <w:color w:val="4A4A4A"/>
      <w:sz w:val="21"/>
      <w:szCs w:val="21"/>
      <w:shd w:val="clear" w:color="auto" w:fill="FFFFFF"/>
      <w:lang w:val="en-GB" w:eastAsia="en-GB"/>
    </w:rPr>
  </w:style>
  <w:style w:type="table" w:styleId="TableGrid">
    <w:name w:val="Table Grid"/>
    <w:basedOn w:val="TableNormal"/>
    <w:uiPriority w:val="59"/>
    <w:rsid w:val="00E606B1"/>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eader">
    <w:name w:val="M.Header"/>
    <w:basedOn w:val="Normal"/>
    <w:link w:val="MHeaderChar"/>
    <w:rsid w:val="005A094A"/>
    <w:pPr>
      <w:pBdr>
        <w:bottom w:val="single" w:sz="12" w:space="4" w:color="DDDDDD"/>
      </w:pBdr>
      <w:shd w:val="clear" w:color="auto" w:fill="FFFFFF"/>
      <w:outlineLvl w:val="2"/>
    </w:pPr>
    <w:rPr>
      <w:b/>
      <w:color w:val="1C75BC"/>
      <w:sz w:val="36"/>
      <w:szCs w:val="36"/>
    </w:rPr>
  </w:style>
  <w:style w:type="character" w:customStyle="1" w:styleId="MHeaderChar">
    <w:name w:val="M.Header Char"/>
    <w:basedOn w:val="DefaultParagraphFont"/>
    <w:link w:val="MHeader"/>
    <w:rsid w:val="005A094A"/>
    <w:rPr>
      <w:rFonts w:ascii="Calibri" w:eastAsia="Times New Roman" w:hAnsi="Calibri" w:cs="Times New Roman"/>
      <w:b/>
      <w:color w:val="1C75BC"/>
      <w:sz w:val="36"/>
      <w:szCs w:val="36"/>
      <w:shd w:val="clear" w:color="auto" w:fill="FFFFFF"/>
      <w:lang w:val="en-GB"/>
    </w:rPr>
  </w:style>
  <w:style w:type="paragraph" w:customStyle="1" w:styleId="MSubHeader">
    <w:name w:val="M.Sub.Header"/>
    <w:basedOn w:val="Normal"/>
    <w:link w:val="MSubHeaderChar"/>
    <w:rsid w:val="005A094A"/>
    <w:pPr>
      <w:shd w:val="clear" w:color="auto" w:fill="FFFFFF"/>
    </w:pPr>
    <w:rPr>
      <w:b/>
      <w:bCs/>
      <w:color w:val="4A4A4A"/>
      <w:sz w:val="21"/>
      <w:szCs w:val="21"/>
    </w:rPr>
  </w:style>
  <w:style w:type="character" w:customStyle="1" w:styleId="MSubHeaderChar">
    <w:name w:val="M.Sub.Header Char"/>
    <w:basedOn w:val="DefaultParagraphFont"/>
    <w:link w:val="MSubHeader"/>
    <w:rsid w:val="005A094A"/>
    <w:rPr>
      <w:rFonts w:ascii="Calibri" w:eastAsia="Times New Roman" w:hAnsi="Calibri" w:cs="Times New Roman"/>
      <w:b/>
      <w:bCs/>
      <w:color w:val="4A4A4A"/>
      <w:sz w:val="21"/>
      <w:szCs w:val="21"/>
      <w:shd w:val="clear" w:color="auto" w:fill="FFFFFF"/>
      <w:lang w:val="en-GB"/>
    </w:rPr>
  </w:style>
  <w:style w:type="character" w:styleId="FootnoteReference">
    <w:name w:val="footnote reference"/>
    <w:aliases w:val="4_G"/>
    <w:basedOn w:val="DefaultParagraphFont"/>
    <w:uiPriority w:val="99"/>
    <w:unhideWhenUsed/>
    <w:rsid w:val="00A531F2"/>
    <w:rPr>
      <w:vertAlign w:val="superscript"/>
    </w:rPr>
  </w:style>
  <w:style w:type="character" w:styleId="FollowedHyperlink">
    <w:name w:val="FollowedHyperlink"/>
    <w:basedOn w:val="DefaultParagraphFont"/>
    <w:uiPriority w:val="99"/>
    <w:semiHidden/>
    <w:unhideWhenUsed/>
    <w:rsid w:val="000F5328"/>
    <w:rPr>
      <w:color w:val="954F72" w:themeColor="followedHyperlink"/>
      <w:u w:val="single"/>
    </w:rPr>
  </w:style>
  <w:style w:type="paragraph" w:styleId="BalloonText">
    <w:name w:val="Balloon Text"/>
    <w:basedOn w:val="Normal"/>
    <w:link w:val="BalloonTextChar"/>
    <w:uiPriority w:val="99"/>
    <w:semiHidden/>
    <w:unhideWhenUsed/>
    <w:rsid w:val="004D43D0"/>
    <w:rPr>
      <w:sz w:val="18"/>
      <w:szCs w:val="18"/>
    </w:rPr>
  </w:style>
  <w:style w:type="character" w:customStyle="1" w:styleId="BalloonTextChar">
    <w:name w:val="Balloon Text Char"/>
    <w:basedOn w:val="DefaultParagraphFont"/>
    <w:link w:val="BalloonText"/>
    <w:uiPriority w:val="99"/>
    <w:semiHidden/>
    <w:rsid w:val="004D43D0"/>
    <w:rPr>
      <w:rFonts w:ascii="Times New Roman" w:eastAsia="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941EC9"/>
    <w:rPr>
      <w:sz w:val="16"/>
      <w:szCs w:val="16"/>
    </w:rPr>
  </w:style>
  <w:style w:type="paragraph" w:styleId="CommentText">
    <w:name w:val="annotation text"/>
    <w:basedOn w:val="Normal"/>
    <w:link w:val="CommentTextChar"/>
    <w:uiPriority w:val="99"/>
    <w:unhideWhenUsed/>
    <w:rsid w:val="00941EC9"/>
    <w:rPr>
      <w:sz w:val="20"/>
      <w:szCs w:val="20"/>
    </w:rPr>
  </w:style>
  <w:style w:type="character" w:customStyle="1" w:styleId="CommentTextChar">
    <w:name w:val="Comment Text Char"/>
    <w:basedOn w:val="DefaultParagraphFont"/>
    <w:link w:val="CommentText"/>
    <w:uiPriority w:val="99"/>
    <w:rsid w:val="00941EC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EC9"/>
    <w:rPr>
      <w:b/>
      <w:bCs/>
    </w:rPr>
  </w:style>
  <w:style w:type="character" w:customStyle="1" w:styleId="CommentSubjectChar">
    <w:name w:val="Comment Subject Char"/>
    <w:basedOn w:val="CommentTextChar"/>
    <w:link w:val="CommentSubject"/>
    <w:uiPriority w:val="99"/>
    <w:semiHidden/>
    <w:rsid w:val="00941EC9"/>
    <w:rPr>
      <w:rFonts w:eastAsia="Times New Roman" w:cs="Times New Roman"/>
      <w:b/>
      <w:bCs/>
      <w:sz w:val="20"/>
      <w:szCs w:val="20"/>
      <w:lang w:eastAsia="en-GB"/>
    </w:rPr>
  </w:style>
  <w:style w:type="character" w:styleId="Strong">
    <w:name w:val="Strong"/>
    <w:basedOn w:val="DefaultParagraphFont"/>
    <w:uiPriority w:val="22"/>
    <w:qFormat/>
    <w:rsid w:val="007573A5"/>
    <w:rPr>
      <w:b/>
      <w:bCs/>
    </w:rPr>
  </w:style>
  <w:style w:type="character" w:customStyle="1" w:styleId="UnresolvedMention2">
    <w:name w:val="Unresolved Mention2"/>
    <w:basedOn w:val="DefaultParagraphFont"/>
    <w:uiPriority w:val="99"/>
    <w:semiHidden/>
    <w:unhideWhenUsed/>
    <w:rsid w:val="002218F7"/>
    <w:rPr>
      <w:color w:val="605E5C"/>
      <w:shd w:val="clear" w:color="auto" w:fill="E1DFDD"/>
    </w:rPr>
  </w:style>
  <w:style w:type="paragraph" w:styleId="Caption">
    <w:name w:val="caption"/>
    <w:basedOn w:val="Normal"/>
    <w:next w:val="Normal"/>
    <w:uiPriority w:val="35"/>
    <w:unhideWhenUsed/>
    <w:qFormat/>
    <w:rsid w:val="00C028D2"/>
    <w:pPr>
      <w:spacing w:after="200"/>
    </w:pPr>
    <w:rPr>
      <w:i/>
      <w:iCs/>
      <w:color w:val="44546A" w:themeColor="text2"/>
      <w:sz w:val="18"/>
      <w:szCs w:val="18"/>
    </w:rPr>
  </w:style>
  <w:style w:type="paragraph" w:styleId="Revision">
    <w:name w:val="Revision"/>
    <w:hidden/>
    <w:uiPriority w:val="99"/>
    <w:semiHidden/>
    <w:rsid w:val="00A0426C"/>
    <w:rPr>
      <w:rFonts w:eastAsia="Times New Roman" w:cs="Times New Roman"/>
      <w:sz w:val="22"/>
      <w:szCs w:val="22"/>
      <w:lang w:val="en-GB"/>
    </w:rPr>
  </w:style>
  <w:style w:type="paragraph" w:styleId="Header">
    <w:name w:val="header"/>
    <w:basedOn w:val="Normal"/>
    <w:link w:val="HeaderChar"/>
    <w:uiPriority w:val="99"/>
    <w:unhideWhenUsed/>
    <w:rsid w:val="00527BE5"/>
    <w:pPr>
      <w:tabs>
        <w:tab w:val="center" w:pos="4680"/>
        <w:tab w:val="right" w:pos="9360"/>
      </w:tabs>
    </w:pPr>
  </w:style>
  <w:style w:type="character" w:customStyle="1" w:styleId="HeaderChar">
    <w:name w:val="Header Char"/>
    <w:basedOn w:val="DefaultParagraphFont"/>
    <w:link w:val="Header"/>
    <w:uiPriority w:val="99"/>
    <w:rsid w:val="00527BE5"/>
    <w:rPr>
      <w:rFonts w:eastAsia="Times New Roman" w:cs="Times New Roman"/>
      <w:sz w:val="22"/>
      <w:szCs w:val="22"/>
      <w:lang w:val="en-GB"/>
    </w:rPr>
  </w:style>
  <w:style w:type="paragraph" w:styleId="Footer">
    <w:name w:val="footer"/>
    <w:basedOn w:val="Normal"/>
    <w:link w:val="FooterChar"/>
    <w:uiPriority w:val="99"/>
    <w:unhideWhenUsed/>
    <w:rsid w:val="00527BE5"/>
    <w:pPr>
      <w:tabs>
        <w:tab w:val="center" w:pos="4680"/>
        <w:tab w:val="right" w:pos="9360"/>
      </w:tabs>
    </w:pPr>
  </w:style>
  <w:style w:type="character" w:customStyle="1" w:styleId="FooterChar">
    <w:name w:val="Footer Char"/>
    <w:basedOn w:val="DefaultParagraphFont"/>
    <w:link w:val="Footer"/>
    <w:uiPriority w:val="99"/>
    <w:rsid w:val="00527BE5"/>
    <w:rPr>
      <w:rFonts w:eastAsia="Times New Roman" w:cs="Times New Roman"/>
      <w:sz w:val="22"/>
      <w:szCs w:val="22"/>
      <w:lang w:val="en-GB"/>
    </w:rPr>
  </w:style>
  <w:style w:type="character" w:customStyle="1" w:styleId="Heading2Char">
    <w:name w:val="Heading 2 Char"/>
    <w:basedOn w:val="DefaultParagraphFont"/>
    <w:link w:val="Heading2"/>
    <w:uiPriority w:val="9"/>
    <w:rsid w:val="007F4D63"/>
    <w:rPr>
      <w:rFonts w:ascii="Calibri" w:eastAsia="Times New Roman" w:hAnsi="Calibri" w:cs="Calibri"/>
      <w:b/>
      <w:color w:val="0A59AB"/>
      <w:sz w:val="30"/>
      <w:szCs w:val="30"/>
      <w:lang w:val="en-GB"/>
    </w:rPr>
  </w:style>
  <w:style w:type="paragraph" w:styleId="Subtitle">
    <w:name w:val="Subtitle"/>
    <w:basedOn w:val="Heading1"/>
    <w:next w:val="Normal"/>
    <w:link w:val="SubtitleChar"/>
    <w:uiPriority w:val="11"/>
    <w:qFormat/>
    <w:rsid w:val="00EC3B99"/>
    <w:rPr>
      <w:i/>
      <w:iCs/>
      <w:sz w:val="23"/>
      <w:szCs w:val="23"/>
    </w:rPr>
  </w:style>
  <w:style w:type="character" w:customStyle="1" w:styleId="SubtitleChar">
    <w:name w:val="Subtitle Char"/>
    <w:basedOn w:val="DefaultParagraphFont"/>
    <w:link w:val="Subtitle"/>
    <w:uiPriority w:val="11"/>
    <w:rsid w:val="00EC3B99"/>
    <w:rPr>
      <w:rFonts w:ascii="Calibri" w:eastAsia="Times New Roman" w:hAnsi="Calibri" w:cs="Times New Roman"/>
      <w:b/>
      <w:bCs/>
      <w:i/>
      <w:iCs/>
      <w:color w:val="000000" w:themeColor="text1"/>
      <w:sz w:val="23"/>
      <w:szCs w:val="23"/>
      <w:lang w:val="en-GB"/>
    </w:rPr>
  </w:style>
  <w:style w:type="character" w:styleId="SubtleEmphasis">
    <w:name w:val="Subtle Emphasis"/>
    <w:uiPriority w:val="19"/>
    <w:qFormat/>
    <w:rsid w:val="00EC3B99"/>
    <w:rPr>
      <w:rFonts w:ascii="Calibri" w:hAnsi="Calibri"/>
      <w:b/>
      <w:i/>
      <w:iCs/>
      <w:sz w:val="23"/>
      <w:szCs w:val="23"/>
      <w:lang w:eastAsia="en-GB"/>
    </w:rPr>
  </w:style>
  <w:style w:type="character" w:customStyle="1" w:styleId="Heading3Char">
    <w:name w:val="Heading 3 Char"/>
    <w:basedOn w:val="DefaultParagraphFont"/>
    <w:link w:val="Heading3"/>
    <w:uiPriority w:val="9"/>
    <w:rsid w:val="00867838"/>
    <w:rPr>
      <w:rFonts w:ascii="Calibri" w:eastAsia="Times New Roman" w:hAnsi="Calibri" w:cs="Times New Roman"/>
      <w:b/>
      <w:i/>
      <w:color w:val="000000" w:themeColor="text1"/>
      <w:kern w:val="21"/>
      <w:sz w:val="23"/>
      <w:szCs w:val="23"/>
      <w:lang w:val="en-GB"/>
    </w:rPr>
  </w:style>
  <w:style w:type="character" w:customStyle="1" w:styleId="Heading4Char">
    <w:name w:val="Heading 4 Char"/>
    <w:basedOn w:val="DefaultParagraphFont"/>
    <w:link w:val="Heading4"/>
    <w:uiPriority w:val="9"/>
    <w:rsid w:val="007F4D63"/>
    <w:rPr>
      <w:rFonts w:ascii="Calibri" w:eastAsia="Times New Roman" w:hAnsi="Calibri" w:cs="Calibri"/>
      <w:b/>
      <w:i/>
      <w:iCs/>
      <w:color w:val="0A59AB"/>
      <w:kern w:val="21"/>
      <w:sz w:val="23"/>
      <w:szCs w:val="23"/>
      <w:lang w:val="en-GB"/>
    </w:rPr>
  </w:style>
  <w:style w:type="character" w:styleId="PageNumber">
    <w:name w:val="page number"/>
    <w:basedOn w:val="DefaultParagraphFont"/>
    <w:uiPriority w:val="99"/>
    <w:semiHidden/>
    <w:unhideWhenUsed/>
    <w:rsid w:val="008A44D4"/>
    <w:rPr>
      <w:rFonts w:ascii="Calibri" w:hAnsi="Calibri"/>
      <w:b w:val="0"/>
      <w:i w:val="0"/>
      <w:spacing w:val="0"/>
      <w:position w:val="6"/>
      <w:sz w:val="20"/>
    </w:rPr>
  </w:style>
  <w:style w:type="paragraph" w:customStyle="1" w:styleId="TableHeader">
    <w:name w:val="Table Header"/>
    <w:basedOn w:val="Heading3"/>
    <w:qFormat/>
    <w:rsid w:val="007F4D63"/>
    <w:rPr>
      <w:b w:val="0"/>
      <w:bCs/>
      <w:i w:val="0"/>
      <w:iCs/>
    </w:rPr>
  </w:style>
  <w:style w:type="paragraph" w:customStyle="1" w:styleId="TableHeading">
    <w:name w:val="Table Heading"/>
    <w:basedOn w:val="Heading3"/>
    <w:qFormat/>
    <w:rsid w:val="00EE55CD"/>
    <w:rPr>
      <w:rFonts w:ascii="Futura PT Medium" w:hAnsi="Futura PT Medium"/>
      <w:bCs/>
      <w:i w:val="0"/>
      <w:iCs/>
    </w:rPr>
  </w:style>
  <w:style w:type="paragraph" w:customStyle="1" w:styleId="TableHeaderRow">
    <w:name w:val="Table Header Row"/>
    <w:basedOn w:val="Normal"/>
    <w:qFormat/>
    <w:rsid w:val="007F4D63"/>
    <w:rPr>
      <w:b/>
      <w:bCs/>
      <w:sz w:val="21"/>
    </w:rPr>
  </w:style>
  <w:style w:type="paragraph" w:customStyle="1" w:styleId="NoParagraphStyle">
    <w:name w:val="[No Paragraph Style]"/>
    <w:rsid w:val="006D0FAA"/>
    <w:pPr>
      <w:autoSpaceDE w:val="0"/>
      <w:autoSpaceDN w:val="0"/>
      <w:adjustRightInd w:val="0"/>
      <w:spacing w:line="288" w:lineRule="auto"/>
      <w:textAlignment w:val="center"/>
    </w:pPr>
    <w:rPr>
      <w:rFonts w:ascii="Calibri" w:hAnsi="Calibri" w:cs="Calibri"/>
      <w:color w:val="000000"/>
      <w:lang w:val="en-GB"/>
    </w:rPr>
  </w:style>
  <w:style w:type="paragraph" w:customStyle="1" w:styleId="Default">
    <w:name w:val="Default"/>
    <w:rsid w:val="0026364F"/>
    <w:pPr>
      <w:autoSpaceDE w:val="0"/>
      <w:autoSpaceDN w:val="0"/>
      <w:adjustRightInd w:val="0"/>
    </w:pPr>
    <w:rPr>
      <w:rFonts w:ascii="Cambria" w:hAnsi="Cambria" w:cs="Cambria"/>
      <w:color w:val="000000"/>
    </w:rPr>
  </w:style>
  <w:style w:type="paragraph" w:customStyle="1" w:styleId="MHeader0">
    <w:name w:val="M_Header"/>
    <w:basedOn w:val="Normal"/>
    <w:link w:val="MHeaderChar0"/>
    <w:qFormat/>
    <w:rsid w:val="00FA5E66"/>
    <w:pPr>
      <w:pBdr>
        <w:bottom w:val="single" w:sz="12" w:space="4" w:color="DDDDDD"/>
      </w:pBdr>
      <w:shd w:val="clear" w:color="auto" w:fill="FFFFFF"/>
      <w:spacing w:before="0" w:after="0"/>
      <w:jc w:val="left"/>
      <w:outlineLvl w:val="2"/>
    </w:pPr>
    <w:rPr>
      <w:rFonts w:ascii="Times New Roman" w:hAnsi="Times New Roman" w:cs="Times New Roman"/>
      <w:color w:val="1C75BC"/>
      <w:kern w:val="0"/>
      <w:sz w:val="36"/>
      <w:szCs w:val="36"/>
      <w:lang w:eastAsia="en-GB"/>
    </w:rPr>
  </w:style>
  <w:style w:type="paragraph" w:customStyle="1" w:styleId="MSubHeader0">
    <w:name w:val="M.SubHeader"/>
    <w:basedOn w:val="Normal"/>
    <w:link w:val="MSubHeaderChar0"/>
    <w:qFormat/>
    <w:rsid w:val="00FA5E66"/>
    <w:pPr>
      <w:shd w:val="clear" w:color="auto" w:fill="FFFFFF"/>
      <w:spacing w:before="0" w:after="0"/>
      <w:jc w:val="left"/>
    </w:pPr>
    <w:rPr>
      <w:rFonts w:ascii="Times New Roman" w:hAnsi="Times New Roman" w:cs="Times New Roman"/>
      <w:b/>
      <w:bCs/>
      <w:color w:val="4A4A4A"/>
      <w:kern w:val="0"/>
      <w:sz w:val="21"/>
      <w:szCs w:val="21"/>
      <w:lang w:eastAsia="en-GB"/>
    </w:rPr>
  </w:style>
  <w:style w:type="character" w:customStyle="1" w:styleId="MHeaderChar0">
    <w:name w:val="M_Header Char"/>
    <w:basedOn w:val="DefaultParagraphFont"/>
    <w:link w:val="MHeader0"/>
    <w:rsid w:val="00FA5E66"/>
    <w:rPr>
      <w:rFonts w:eastAsia="Times New Roman" w:cs="Times New Roman"/>
      <w:color w:val="1C75BC"/>
      <w:sz w:val="36"/>
      <w:szCs w:val="36"/>
      <w:shd w:val="clear" w:color="auto" w:fill="FFFFFF"/>
      <w:lang w:val="en-GB" w:eastAsia="en-GB"/>
    </w:rPr>
  </w:style>
  <w:style w:type="character" w:customStyle="1" w:styleId="MSubHeaderChar0">
    <w:name w:val="M.SubHeader Char"/>
    <w:basedOn w:val="DefaultParagraphFont"/>
    <w:link w:val="MSubHeader0"/>
    <w:rsid w:val="00FA5E66"/>
    <w:rPr>
      <w:rFonts w:eastAsia="Times New Roman" w:cs="Times New Roman"/>
      <w:b/>
      <w:bCs/>
      <w:color w:val="4A4A4A"/>
      <w:sz w:val="21"/>
      <w:szCs w:val="21"/>
      <w:shd w:val="clear" w:color="auto" w:fill="FFFFFF"/>
      <w:lang w:val="en-GB" w:eastAsia="en-GB"/>
    </w:rPr>
  </w:style>
  <w:style w:type="paragraph" w:customStyle="1" w:styleId="BodyA">
    <w:name w:val="Body A"/>
    <w:rsid w:val="00FA5E66"/>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customStyle="1" w:styleId="UnresolvedMention3">
    <w:name w:val="Unresolved Mention3"/>
    <w:basedOn w:val="DefaultParagraphFont"/>
    <w:uiPriority w:val="99"/>
    <w:semiHidden/>
    <w:unhideWhenUsed/>
    <w:rsid w:val="00FA5E66"/>
    <w:rPr>
      <w:color w:val="605E5C"/>
      <w:shd w:val="clear" w:color="auto" w:fill="E1DFDD"/>
    </w:rPr>
  </w:style>
  <w:style w:type="character" w:customStyle="1" w:styleId="UnresolvedMention4">
    <w:name w:val="Unresolved Mention4"/>
    <w:basedOn w:val="DefaultParagraphFont"/>
    <w:uiPriority w:val="99"/>
    <w:semiHidden/>
    <w:unhideWhenUsed/>
    <w:rsid w:val="007F4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0453">
      <w:bodyDiv w:val="1"/>
      <w:marLeft w:val="0"/>
      <w:marRight w:val="0"/>
      <w:marTop w:val="0"/>
      <w:marBottom w:val="0"/>
      <w:divBdr>
        <w:top w:val="none" w:sz="0" w:space="0" w:color="auto"/>
        <w:left w:val="none" w:sz="0" w:space="0" w:color="auto"/>
        <w:bottom w:val="none" w:sz="0" w:space="0" w:color="auto"/>
        <w:right w:val="none" w:sz="0" w:space="0" w:color="auto"/>
      </w:divBdr>
    </w:div>
    <w:div w:id="21321679">
      <w:bodyDiv w:val="1"/>
      <w:marLeft w:val="0"/>
      <w:marRight w:val="0"/>
      <w:marTop w:val="0"/>
      <w:marBottom w:val="0"/>
      <w:divBdr>
        <w:top w:val="none" w:sz="0" w:space="0" w:color="auto"/>
        <w:left w:val="none" w:sz="0" w:space="0" w:color="auto"/>
        <w:bottom w:val="none" w:sz="0" w:space="0" w:color="auto"/>
        <w:right w:val="none" w:sz="0" w:space="0" w:color="auto"/>
      </w:divBdr>
    </w:div>
    <w:div w:id="28384554">
      <w:bodyDiv w:val="1"/>
      <w:marLeft w:val="0"/>
      <w:marRight w:val="0"/>
      <w:marTop w:val="0"/>
      <w:marBottom w:val="0"/>
      <w:divBdr>
        <w:top w:val="none" w:sz="0" w:space="0" w:color="auto"/>
        <w:left w:val="none" w:sz="0" w:space="0" w:color="auto"/>
        <w:bottom w:val="none" w:sz="0" w:space="0" w:color="auto"/>
        <w:right w:val="none" w:sz="0" w:space="0" w:color="auto"/>
      </w:divBdr>
    </w:div>
    <w:div w:id="63719648">
      <w:bodyDiv w:val="1"/>
      <w:marLeft w:val="0"/>
      <w:marRight w:val="0"/>
      <w:marTop w:val="0"/>
      <w:marBottom w:val="0"/>
      <w:divBdr>
        <w:top w:val="none" w:sz="0" w:space="0" w:color="auto"/>
        <w:left w:val="none" w:sz="0" w:space="0" w:color="auto"/>
        <w:bottom w:val="none" w:sz="0" w:space="0" w:color="auto"/>
        <w:right w:val="none" w:sz="0" w:space="0" w:color="auto"/>
      </w:divBdr>
      <w:divsChild>
        <w:div w:id="379011806">
          <w:marLeft w:val="0"/>
          <w:marRight w:val="0"/>
          <w:marTop w:val="0"/>
          <w:marBottom w:val="0"/>
          <w:divBdr>
            <w:top w:val="none" w:sz="0" w:space="0" w:color="auto"/>
            <w:left w:val="none" w:sz="0" w:space="0" w:color="auto"/>
            <w:bottom w:val="none" w:sz="0" w:space="0" w:color="auto"/>
            <w:right w:val="none" w:sz="0" w:space="0" w:color="auto"/>
          </w:divBdr>
          <w:divsChild>
            <w:div w:id="877860552">
              <w:marLeft w:val="0"/>
              <w:marRight w:val="0"/>
              <w:marTop w:val="0"/>
              <w:marBottom w:val="0"/>
              <w:divBdr>
                <w:top w:val="none" w:sz="0" w:space="0" w:color="auto"/>
                <w:left w:val="none" w:sz="0" w:space="0" w:color="auto"/>
                <w:bottom w:val="none" w:sz="0" w:space="0" w:color="auto"/>
                <w:right w:val="none" w:sz="0" w:space="0" w:color="auto"/>
              </w:divBdr>
            </w:div>
          </w:divsChild>
        </w:div>
        <w:div w:id="778180204">
          <w:marLeft w:val="0"/>
          <w:marRight w:val="0"/>
          <w:marTop w:val="0"/>
          <w:marBottom w:val="0"/>
          <w:divBdr>
            <w:top w:val="none" w:sz="0" w:space="0" w:color="auto"/>
            <w:left w:val="none" w:sz="0" w:space="0" w:color="auto"/>
            <w:bottom w:val="none" w:sz="0" w:space="0" w:color="auto"/>
            <w:right w:val="none" w:sz="0" w:space="0" w:color="auto"/>
          </w:divBdr>
          <w:divsChild>
            <w:div w:id="1804426868">
              <w:marLeft w:val="0"/>
              <w:marRight w:val="0"/>
              <w:marTop w:val="0"/>
              <w:marBottom w:val="0"/>
              <w:divBdr>
                <w:top w:val="none" w:sz="0" w:space="0" w:color="auto"/>
                <w:left w:val="none" w:sz="0" w:space="0" w:color="auto"/>
                <w:bottom w:val="none" w:sz="0" w:space="0" w:color="auto"/>
                <w:right w:val="none" w:sz="0" w:space="0" w:color="auto"/>
              </w:divBdr>
            </w:div>
          </w:divsChild>
        </w:div>
        <w:div w:id="354497842">
          <w:marLeft w:val="0"/>
          <w:marRight w:val="0"/>
          <w:marTop w:val="0"/>
          <w:marBottom w:val="0"/>
          <w:divBdr>
            <w:top w:val="none" w:sz="0" w:space="0" w:color="auto"/>
            <w:left w:val="none" w:sz="0" w:space="0" w:color="auto"/>
            <w:bottom w:val="none" w:sz="0" w:space="0" w:color="auto"/>
            <w:right w:val="none" w:sz="0" w:space="0" w:color="auto"/>
          </w:divBdr>
          <w:divsChild>
            <w:div w:id="991907899">
              <w:marLeft w:val="0"/>
              <w:marRight w:val="0"/>
              <w:marTop w:val="0"/>
              <w:marBottom w:val="0"/>
              <w:divBdr>
                <w:top w:val="none" w:sz="0" w:space="0" w:color="auto"/>
                <w:left w:val="none" w:sz="0" w:space="0" w:color="auto"/>
                <w:bottom w:val="none" w:sz="0" w:space="0" w:color="auto"/>
                <w:right w:val="none" w:sz="0" w:space="0" w:color="auto"/>
              </w:divBdr>
            </w:div>
          </w:divsChild>
        </w:div>
        <w:div w:id="1532693654">
          <w:marLeft w:val="0"/>
          <w:marRight w:val="0"/>
          <w:marTop w:val="0"/>
          <w:marBottom w:val="0"/>
          <w:divBdr>
            <w:top w:val="none" w:sz="0" w:space="0" w:color="auto"/>
            <w:left w:val="none" w:sz="0" w:space="0" w:color="auto"/>
            <w:bottom w:val="none" w:sz="0" w:space="0" w:color="auto"/>
            <w:right w:val="none" w:sz="0" w:space="0" w:color="auto"/>
          </w:divBdr>
          <w:divsChild>
            <w:div w:id="1265922322">
              <w:marLeft w:val="0"/>
              <w:marRight w:val="0"/>
              <w:marTop w:val="0"/>
              <w:marBottom w:val="0"/>
              <w:divBdr>
                <w:top w:val="none" w:sz="0" w:space="0" w:color="auto"/>
                <w:left w:val="none" w:sz="0" w:space="0" w:color="auto"/>
                <w:bottom w:val="none" w:sz="0" w:space="0" w:color="auto"/>
                <w:right w:val="none" w:sz="0" w:space="0" w:color="auto"/>
              </w:divBdr>
            </w:div>
          </w:divsChild>
        </w:div>
        <w:div w:id="649558307">
          <w:marLeft w:val="0"/>
          <w:marRight w:val="0"/>
          <w:marTop w:val="0"/>
          <w:marBottom w:val="0"/>
          <w:divBdr>
            <w:top w:val="none" w:sz="0" w:space="0" w:color="auto"/>
            <w:left w:val="none" w:sz="0" w:space="0" w:color="auto"/>
            <w:bottom w:val="none" w:sz="0" w:space="0" w:color="auto"/>
            <w:right w:val="none" w:sz="0" w:space="0" w:color="auto"/>
          </w:divBdr>
          <w:divsChild>
            <w:div w:id="1558785979">
              <w:marLeft w:val="0"/>
              <w:marRight w:val="0"/>
              <w:marTop w:val="0"/>
              <w:marBottom w:val="0"/>
              <w:divBdr>
                <w:top w:val="none" w:sz="0" w:space="0" w:color="auto"/>
                <w:left w:val="none" w:sz="0" w:space="0" w:color="auto"/>
                <w:bottom w:val="none" w:sz="0" w:space="0" w:color="auto"/>
                <w:right w:val="none" w:sz="0" w:space="0" w:color="auto"/>
              </w:divBdr>
            </w:div>
          </w:divsChild>
        </w:div>
        <w:div w:id="2006932625">
          <w:marLeft w:val="0"/>
          <w:marRight w:val="0"/>
          <w:marTop w:val="0"/>
          <w:marBottom w:val="0"/>
          <w:divBdr>
            <w:top w:val="none" w:sz="0" w:space="0" w:color="auto"/>
            <w:left w:val="none" w:sz="0" w:space="0" w:color="auto"/>
            <w:bottom w:val="none" w:sz="0" w:space="0" w:color="auto"/>
            <w:right w:val="none" w:sz="0" w:space="0" w:color="auto"/>
          </w:divBdr>
          <w:divsChild>
            <w:div w:id="1380665579">
              <w:marLeft w:val="0"/>
              <w:marRight w:val="0"/>
              <w:marTop w:val="0"/>
              <w:marBottom w:val="0"/>
              <w:divBdr>
                <w:top w:val="none" w:sz="0" w:space="0" w:color="auto"/>
                <w:left w:val="none" w:sz="0" w:space="0" w:color="auto"/>
                <w:bottom w:val="none" w:sz="0" w:space="0" w:color="auto"/>
                <w:right w:val="none" w:sz="0" w:space="0" w:color="auto"/>
              </w:divBdr>
            </w:div>
          </w:divsChild>
        </w:div>
        <w:div w:id="1529948268">
          <w:marLeft w:val="0"/>
          <w:marRight w:val="0"/>
          <w:marTop w:val="0"/>
          <w:marBottom w:val="0"/>
          <w:divBdr>
            <w:top w:val="none" w:sz="0" w:space="0" w:color="auto"/>
            <w:left w:val="none" w:sz="0" w:space="0" w:color="auto"/>
            <w:bottom w:val="none" w:sz="0" w:space="0" w:color="auto"/>
            <w:right w:val="none" w:sz="0" w:space="0" w:color="auto"/>
          </w:divBdr>
          <w:divsChild>
            <w:div w:id="1098213275">
              <w:marLeft w:val="0"/>
              <w:marRight w:val="0"/>
              <w:marTop w:val="0"/>
              <w:marBottom w:val="0"/>
              <w:divBdr>
                <w:top w:val="none" w:sz="0" w:space="0" w:color="auto"/>
                <w:left w:val="none" w:sz="0" w:space="0" w:color="auto"/>
                <w:bottom w:val="none" w:sz="0" w:space="0" w:color="auto"/>
                <w:right w:val="none" w:sz="0" w:space="0" w:color="auto"/>
              </w:divBdr>
            </w:div>
          </w:divsChild>
        </w:div>
        <w:div w:id="1024207314">
          <w:marLeft w:val="0"/>
          <w:marRight w:val="0"/>
          <w:marTop w:val="0"/>
          <w:marBottom w:val="0"/>
          <w:divBdr>
            <w:top w:val="none" w:sz="0" w:space="0" w:color="auto"/>
            <w:left w:val="none" w:sz="0" w:space="0" w:color="auto"/>
            <w:bottom w:val="none" w:sz="0" w:space="0" w:color="auto"/>
            <w:right w:val="none" w:sz="0" w:space="0" w:color="auto"/>
          </w:divBdr>
          <w:divsChild>
            <w:div w:id="10688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2316">
      <w:bodyDiv w:val="1"/>
      <w:marLeft w:val="0"/>
      <w:marRight w:val="0"/>
      <w:marTop w:val="0"/>
      <w:marBottom w:val="0"/>
      <w:divBdr>
        <w:top w:val="none" w:sz="0" w:space="0" w:color="auto"/>
        <w:left w:val="none" w:sz="0" w:space="0" w:color="auto"/>
        <w:bottom w:val="none" w:sz="0" w:space="0" w:color="auto"/>
        <w:right w:val="none" w:sz="0" w:space="0" w:color="auto"/>
      </w:divBdr>
    </w:div>
    <w:div w:id="293023628">
      <w:bodyDiv w:val="1"/>
      <w:marLeft w:val="0"/>
      <w:marRight w:val="0"/>
      <w:marTop w:val="0"/>
      <w:marBottom w:val="0"/>
      <w:divBdr>
        <w:top w:val="none" w:sz="0" w:space="0" w:color="auto"/>
        <w:left w:val="none" w:sz="0" w:space="0" w:color="auto"/>
        <w:bottom w:val="none" w:sz="0" w:space="0" w:color="auto"/>
        <w:right w:val="none" w:sz="0" w:space="0" w:color="auto"/>
      </w:divBdr>
    </w:div>
    <w:div w:id="321589883">
      <w:bodyDiv w:val="1"/>
      <w:marLeft w:val="0"/>
      <w:marRight w:val="0"/>
      <w:marTop w:val="0"/>
      <w:marBottom w:val="0"/>
      <w:divBdr>
        <w:top w:val="none" w:sz="0" w:space="0" w:color="auto"/>
        <w:left w:val="none" w:sz="0" w:space="0" w:color="auto"/>
        <w:bottom w:val="none" w:sz="0" w:space="0" w:color="auto"/>
        <w:right w:val="none" w:sz="0" w:space="0" w:color="auto"/>
      </w:divBdr>
    </w:div>
    <w:div w:id="332073023">
      <w:bodyDiv w:val="1"/>
      <w:marLeft w:val="0"/>
      <w:marRight w:val="0"/>
      <w:marTop w:val="0"/>
      <w:marBottom w:val="0"/>
      <w:divBdr>
        <w:top w:val="none" w:sz="0" w:space="0" w:color="auto"/>
        <w:left w:val="none" w:sz="0" w:space="0" w:color="auto"/>
        <w:bottom w:val="none" w:sz="0" w:space="0" w:color="auto"/>
        <w:right w:val="none" w:sz="0" w:space="0" w:color="auto"/>
      </w:divBdr>
    </w:div>
    <w:div w:id="620117006">
      <w:bodyDiv w:val="1"/>
      <w:marLeft w:val="0"/>
      <w:marRight w:val="0"/>
      <w:marTop w:val="0"/>
      <w:marBottom w:val="0"/>
      <w:divBdr>
        <w:top w:val="none" w:sz="0" w:space="0" w:color="auto"/>
        <w:left w:val="none" w:sz="0" w:space="0" w:color="auto"/>
        <w:bottom w:val="none" w:sz="0" w:space="0" w:color="auto"/>
        <w:right w:val="none" w:sz="0" w:space="0" w:color="auto"/>
      </w:divBdr>
      <w:divsChild>
        <w:div w:id="1617179439">
          <w:marLeft w:val="0"/>
          <w:marRight w:val="0"/>
          <w:marTop w:val="0"/>
          <w:marBottom w:val="0"/>
          <w:divBdr>
            <w:top w:val="none" w:sz="0" w:space="0" w:color="auto"/>
            <w:left w:val="none" w:sz="0" w:space="0" w:color="auto"/>
            <w:bottom w:val="none" w:sz="0" w:space="0" w:color="auto"/>
            <w:right w:val="none" w:sz="0" w:space="0" w:color="auto"/>
          </w:divBdr>
          <w:divsChild>
            <w:div w:id="1491554626">
              <w:marLeft w:val="0"/>
              <w:marRight w:val="0"/>
              <w:marTop w:val="0"/>
              <w:marBottom w:val="0"/>
              <w:divBdr>
                <w:top w:val="none" w:sz="0" w:space="0" w:color="auto"/>
                <w:left w:val="none" w:sz="0" w:space="0" w:color="auto"/>
                <w:bottom w:val="none" w:sz="0" w:space="0" w:color="auto"/>
                <w:right w:val="none" w:sz="0" w:space="0" w:color="auto"/>
              </w:divBdr>
              <w:divsChild>
                <w:div w:id="20785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4121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56">
          <w:marLeft w:val="0"/>
          <w:marRight w:val="0"/>
          <w:marTop w:val="0"/>
          <w:marBottom w:val="0"/>
          <w:divBdr>
            <w:top w:val="none" w:sz="0" w:space="0" w:color="auto"/>
            <w:left w:val="none" w:sz="0" w:space="0" w:color="auto"/>
            <w:bottom w:val="none" w:sz="0" w:space="0" w:color="auto"/>
            <w:right w:val="none" w:sz="0" w:space="0" w:color="auto"/>
          </w:divBdr>
          <w:divsChild>
            <w:div w:id="231283954">
              <w:marLeft w:val="0"/>
              <w:marRight w:val="0"/>
              <w:marTop w:val="0"/>
              <w:marBottom w:val="0"/>
              <w:divBdr>
                <w:top w:val="none" w:sz="0" w:space="0" w:color="auto"/>
                <w:left w:val="none" w:sz="0" w:space="0" w:color="auto"/>
                <w:bottom w:val="none" w:sz="0" w:space="0" w:color="auto"/>
                <w:right w:val="none" w:sz="0" w:space="0" w:color="auto"/>
              </w:divBdr>
              <w:divsChild>
                <w:div w:id="3755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3416">
      <w:bodyDiv w:val="1"/>
      <w:marLeft w:val="0"/>
      <w:marRight w:val="0"/>
      <w:marTop w:val="0"/>
      <w:marBottom w:val="0"/>
      <w:divBdr>
        <w:top w:val="none" w:sz="0" w:space="0" w:color="auto"/>
        <w:left w:val="none" w:sz="0" w:space="0" w:color="auto"/>
        <w:bottom w:val="none" w:sz="0" w:space="0" w:color="auto"/>
        <w:right w:val="none" w:sz="0" w:space="0" w:color="auto"/>
      </w:divBdr>
    </w:div>
    <w:div w:id="859781649">
      <w:bodyDiv w:val="1"/>
      <w:marLeft w:val="0"/>
      <w:marRight w:val="0"/>
      <w:marTop w:val="0"/>
      <w:marBottom w:val="0"/>
      <w:divBdr>
        <w:top w:val="none" w:sz="0" w:space="0" w:color="auto"/>
        <w:left w:val="none" w:sz="0" w:space="0" w:color="auto"/>
        <w:bottom w:val="none" w:sz="0" w:space="0" w:color="auto"/>
        <w:right w:val="none" w:sz="0" w:space="0" w:color="auto"/>
      </w:divBdr>
    </w:div>
    <w:div w:id="929193278">
      <w:bodyDiv w:val="1"/>
      <w:marLeft w:val="0"/>
      <w:marRight w:val="0"/>
      <w:marTop w:val="0"/>
      <w:marBottom w:val="0"/>
      <w:divBdr>
        <w:top w:val="none" w:sz="0" w:space="0" w:color="auto"/>
        <w:left w:val="none" w:sz="0" w:space="0" w:color="auto"/>
        <w:bottom w:val="none" w:sz="0" w:space="0" w:color="auto"/>
        <w:right w:val="none" w:sz="0" w:space="0" w:color="auto"/>
      </w:divBdr>
    </w:div>
    <w:div w:id="1002704656">
      <w:bodyDiv w:val="1"/>
      <w:marLeft w:val="0"/>
      <w:marRight w:val="0"/>
      <w:marTop w:val="0"/>
      <w:marBottom w:val="0"/>
      <w:divBdr>
        <w:top w:val="none" w:sz="0" w:space="0" w:color="auto"/>
        <w:left w:val="none" w:sz="0" w:space="0" w:color="auto"/>
        <w:bottom w:val="none" w:sz="0" w:space="0" w:color="auto"/>
        <w:right w:val="none" w:sz="0" w:space="0" w:color="auto"/>
      </w:divBdr>
    </w:div>
    <w:div w:id="1061172220">
      <w:bodyDiv w:val="1"/>
      <w:marLeft w:val="0"/>
      <w:marRight w:val="0"/>
      <w:marTop w:val="0"/>
      <w:marBottom w:val="0"/>
      <w:divBdr>
        <w:top w:val="none" w:sz="0" w:space="0" w:color="auto"/>
        <w:left w:val="none" w:sz="0" w:space="0" w:color="auto"/>
        <w:bottom w:val="none" w:sz="0" w:space="0" w:color="auto"/>
        <w:right w:val="none" w:sz="0" w:space="0" w:color="auto"/>
      </w:divBdr>
    </w:div>
    <w:div w:id="1162355948">
      <w:bodyDiv w:val="1"/>
      <w:marLeft w:val="0"/>
      <w:marRight w:val="0"/>
      <w:marTop w:val="0"/>
      <w:marBottom w:val="0"/>
      <w:divBdr>
        <w:top w:val="none" w:sz="0" w:space="0" w:color="auto"/>
        <w:left w:val="none" w:sz="0" w:space="0" w:color="auto"/>
        <w:bottom w:val="none" w:sz="0" w:space="0" w:color="auto"/>
        <w:right w:val="none" w:sz="0" w:space="0" w:color="auto"/>
      </w:divBdr>
    </w:div>
    <w:div w:id="1163203522">
      <w:bodyDiv w:val="1"/>
      <w:marLeft w:val="0"/>
      <w:marRight w:val="0"/>
      <w:marTop w:val="0"/>
      <w:marBottom w:val="0"/>
      <w:divBdr>
        <w:top w:val="none" w:sz="0" w:space="0" w:color="auto"/>
        <w:left w:val="none" w:sz="0" w:space="0" w:color="auto"/>
        <w:bottom w:val="none" w:sz="0" w:space="0" w:color="auto"/>
        <w:right w:val="none" w:sz="0" w:space="0" w:color="auto"/>
      </w:divBdr>
    </w:div>
    <w:div w:id="1311904940">
      <w:bodyDiv w:val="1"/>
      <w:marLeft w:val="0"/>
      <w:marRight w:val="0"/>
      <w:marTop w:val="0"/>
      <w:marBottom w:val="0"/>
      <w:divBdr>
        <w:top w:val="none" w:sz="0" w:space="0" w:color="auto"/>
        <w:left w:val="none" w:sz="0" w:space="0" w:color="auto"/>
        <w:bottom w:val="none" w:sz="0" w:space="0" w:color="auto"/>
        <w:right w:val="none" w:sz="0" w:space="0" w:color="auto"/>
      </w:divBdr>
    </w:div>
    <w:div w:id="1329136594">
      <w:bodyDiv w:val="1"/>
      <w:marLeft w:val="0"/>
      <w:marRight w:val="0"/>
      <w:marTop w:val="0"/>
      <w:marBottom w:val="0"/>
      <w:divBdr>
        <w:top w:val="none" w:sz="0" w:space="0" w:color="auto"/>
        <w:left w:val="none" w:sz="0" w:space="0" w:color="auto"/>
        <w:bottom w:val="none" w:sz="0" w:space="0" w:color="auto"/>
        <w:right w:val="none" w:sz="0" w:space="0" w:color="auto"/>
      </w:divBdr>
    </w:div>
    <w:div w:id="1335761729">
      <w:bodyDiv w:val="1"/>
      <w:marLeft w:val="0"/>
      <w:marRight w:val="0"/>
      <w:marTop w:val="0"/>
      <w:marBottom w:val="0"/>
      <w:divBdr>
        <w:top w:val="none" w:sz="0" w:space="0" w:color="auto"/>
        <w:left w:val="none" w:sz="0" w:space="0" w:color="auto"/>
        <w:bottom w:val="none" w:sz="0" w:space="0" w:color="auto"/>
        <w:right w:val="none" w:sz="0" w:space="0" w:color="auto"/>
      </w:divBdr>
    </w:div>
    <w:div w:id="1341197983">
      <w:bodyDiv w:val="1"/>
      <w:marLeft w:val="0"/>
      <w:marRight w:val="0"/>
      <w:marTop w:val="0"/>
      <w:marBottom w:val="0"/>
      <w:divBdr>
        <w:top w:val="none" w:sz="0" w:space="0" w:color="auto"/>
        <w:left w:val="none" w:sz="0" w:space="0" w:color="auto"/>
        <w:bottom w:val="none" w:sz="0" w:space="0" w:color="auto"/>
        <w:right w:val="none" w:sz="0" w:space="0" w:color="auto"/>
      </w:divBdr>
    </w:div>
    <w:div w:id="1364136959">
      <w:bodyDiv w:val="1"/>
      <w:marLeft w:val="0"/>
      <w:marRight w:val="0"/>
      <w:marTop w:val="0"/>
      <w:marBottom w:val="0"/>
      <w:divBdr>
        <w:top w:val="none" w:sz="0" w:space="0" w:color="auto"/>
        <w:left w:val="none" w:sz="0" w:space="0" w:color="auto"/>
        <w:bottom w:val="none" w:sz="0" w:space="0" w:color="auto"/>
        <w:right w:val="none" w:sz="0" w:space="0" w:color="auto"/>
      </w:divBdr>
    </w:div>
    <w:div w:id="1428888969">
      <w:bodyDiv w:val="1"/>
      <w:marLeft w:val="0"/>
      <w:marRight w:val="0"/>
      <w:marTop w:val="0"/>
      <w:marBottom w:val="0"/>
      <w:divBdr>
        <w:top w:val="none" w:sz="0" w:space="0" w:color="auto"/>
        <w:left w:val="none" w:sz="0" w:space="0" w:color="auto"/>
        <w:bottom w:val="none" w:sz="0" w:space="0" w:color="auto"/>
        <w:right w:val="none" w:sz="0" w:space="0" w:color="auto"/>
      </w:divBdr>
    </w:div>
    <w:div w:id="1473717837">
      <w:bodyDiv w:val="1"/>
      <w:marLeft w:val="0"/>
      <w:marRight w:val="0"/>
      <w:marTop w:val="0"/>
      <w:marBottom w:val="0"/>
      <w:divBdr>
        <w:top w:val="none" w:sz="0" w:space="0" w:color="auto"/>
        <w:left w:val="none" w:sz="0" w:space="0" w:color="auto"/>
        <w:bottom w:val="none" w:sz="0" w:space="0" w:color="auto"/>
        <w:right w:val="none" w:sz="0" w:space="0" w:color="auto"/>
      </w:divBdr>
    </w:div>
    <w:div w:id="1497109656">
      <w:bodyDiv w:val="1"/>
      <w:marLeft w:val="0"/>
      <w:marRight w:val="0"/>
      <w:marTop w:val="0"/>
      <w:marBottom w:val="0"/>
      <w:divBdr>
        <w:top w:val="none" w:sz="0" w:space="0" w:color="auto"/>
        <w:left w:val="none" w:sz="0" w:space="0" w:color="auto"/>
        <w:bottom w:val="none" w:sz="0" w:space="0" w:color="auto"/>
        <w:right w:val="none" w:sz="0" w:space="0" w:color="auto"/>
      </w:divBdr>
    </w:div>
    <w:div w:id="1547788896">
      <w:bodyDiv w:val="1"/>
      <w:marLeft w:val="0"/>
      <w:marRight w:val="0"/>
      <w:marTop w:val="0"/>
      <w:marBottom w:val="0"/>
      <w:divBdr>
        <w:top w:val="none" w:sz="0" w:space="0" w:color="auto"/>
        <w:left w:val="none" w:sz="0" w:space="0" w:color="auto"/>
        <w:bottom w:val="none" w:sz="0" w:space="0" w:color="auto"/>
        <w:right w:val="none" w:sz="0" w:space="0" w:color="auto"/>
      </w:divBdr>
      <w:divsChild>
        <w:div w:id="1834371883">
          <w:marLeft w:val="0"/>
          <w:marRight w:val="0"/>
          <w:marTop w:val="0"/>
          <w:marBottom w:val="0"/>
          <w:divBdr>
            <w:top w:val="none" w:sz="0" w:space="0" w:color="auto"/>
            <w:left w:val="none" w:sz="0" w:space="0" w:color="auto"/>
            <w:bottom w:val="none" w:sz="0" w:space="0" w:color="auto"/>
            <w:right w:val="none" w:sz="0" w:space="0" w:color="auto"/>
          </w:divBdr>
          <w:divsChild>
            <w:div w:id="1835343186">
              <w:marLeft w:val="0"/>
              <w:marRight w:val="0"/>
              <w:marTop w:val="0"/>
              <w:marBottom w:val="0"/>
              <w:divBdr>
                <w:top w:val="none" w:sz="0" w:space="0" w:color="auto"/>
                <w:left w:val="none" w:sz="0" w:space="0" w:color="auto"/>
                <w:bottom w:val="none" w:sz="0" w:space="0" w:color="auto"/>
                <w:right w:val="none" w:sz="0" w:space="0" w:color="auto"/>
              </w:divBdr>
              <w:divsChild>
                <w:div w:id="6046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0127">
      <w:bodyDiv w:val="1"/>
      <w:marLeft w:val="0"/>
      <w:marRight w:val="0"/>
      <w:marTop w:val="0"/>
      <w:marBottom w:val="0"/>
      <w:divBdr>
        <w:top w:val="none" w:sz="0" w:space="0" w:color="auto"/>
        <w:left w:val="none" w:sz="0" w:space="0" w:color="auto"/>
        <w:bottom w:val="none" w:sz="0" w:space="0" w:color="auto"/>
        <w:right w:val="none" w:sz="0" w:space="0" w:color="auto"/>
      </w:divBdr>
    </w:div>
    <w:div w:id="1656490839">
      <w:bodyDiv w:val="1"/>
      <w:marLeft w:val="0"/>
      <w:marRight w:val="0"/>
      <w:marTop w:val="0"/>
      <w:marBottom w:val="0"/>
      <w:divBdr>
        <w:top w:val="none" w:sz="0" w:space="0" w:color="auto"/>
        <w:left w:val="none" w:sz="0" w:space="0" w:color="auto"/>
        <w:bottom w:val="none" w:sz="0" w:space="0" w:color="auto"/>
        <w:right w:val="none" w:sz="0" w:space="0" w:color="auto"/>
      </w:divBdr>
    </w:div>
    <w:div w:id="1807356796">
      <w:bodyDiv w:val="1"/>
      <w:marLeft w:val="0"/>
      <w:marRight w:val="0"/>
      <w:marTop w:val="0"/>
      <w:marBottom w:val="0"/>
      <w:divBdr>
        <w:top w:val="none" w:sz="0" w:space="0" w:color="auto"/>
        <w:left w:val="none" w:sz="0" w:space="0" w:color="auto"/>
        <w:bottom w:val="none" w:sz="0" w:space="0" w:color="auto"/>
        <w:right w:val="none" w:sz="0" w:space="0" w:color="auto"/>
      </w:divBdr>
      <w:divsChild>
        <w:div w:id="1724668413">
          <w:marLeft w:val="0"/>
          <w:marRight w:val="0"/>
          <w:marTop w:val="0"/>
          <w:marBottom w:val="0"/>
          <w:divBdr>
            <w:top w:val="none" w:sz="0" w:space="0" w:color="auto"/>
            <w:left w:val="none" w:sz="0" w:space="0" w:color="auto"/>
            <w:bottom w:val="none" w:sz="0" w:space="0" w:color="auto"/>
            <w:right w:val="none" w:sz="0" w:space="0" w:color="auto"/>
          </w:divBdr>
          <w:divsChild>
            <w:div w:id="1667899317">
              <w:marLeft w:val="0"/>
              <w:marRight w:val="0"/>
              <w:marTop w:val="0"/>
              <w:marBottom w:val="0"/>
              <w:divBdr>
                <w:top w:val="none" w:sz="0" w:space="0" w:color="auto"/>
                <w:left w:val="none" w:sz="0" w:space="0" w:color="auto"/>
                <w:bottom w:val="none" w:sz="0" w:space="0" w:color="auto"/>
                <w:right w:val="none" w:sz="0" w:space="0" w:color="auto"/>
              </w:divBdr>
              <w:divsChild>
                <w:div w:id="1715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495">
      <w:bodyDiv w:val="1"/>
      <w:marLeft w:val="0"/>
      <w:marRight w:val="0"/>
      <w:marTop w:val="0"/>
      <w:marBottom w:val="0"/>
      <w:divBdr>
        <w:top w:val="none" w:sz="0" w:space="0" w:color="auto"/>
        <w:left w:val="none" w:sz="0" w:space="0" w:color="auto"/>
        <w:bottom w:val="none" w:sz="0" w:space="0" w:color="auto"/>
        <w:right w:val="none" w:sz="0" w:space="0" w:color="auto"/>
      </w:divBdr>
    </w:div>
    <w:div w:id="1969774818">
      <w:bodyDiv w:val="1"/>
      <w:marLeft w:val="0"/>
      <w:marRight w:val="0"/>
      <w:marTop w:val="0"/>
      <w:marBottom w:val="0"/>
      <w:divBdr>
        <w:top w:val="none" w:sz="0" w:space="0" w:color="auto"/>
        <w:left w:val="none" w:sz="0" w:space="0" w:color="auto"/>
        <w:bottom w:val="none" w:sz="0" w:space="0" w:color="auto"/>
        <w:right w:val="none" w:sz="0" w:space="0" w:color="auto"/>
      </w:divBdr>
    </w:div>
    <w:div w:id="1977025591">
      <w:bodyDiv w:val="1"/>
      <w:marLeft w:val="0"/>
      <w:marRight w:val="0"/>
      <w:marTop w:val="0"/>
      <w:marBottom w:val="0"/>
      <w:divBdr>
        <w:top w:val="none" w:sz="0" w:space="0" w:color="auto"/>
        <w:left w:val="none" w:sz="0" w:space="0" w:color="auto"/>
        <w:bottom w:val="none" w:sz="0" w:space="0" w:color="auto"/>
        <w:right w:val="none" w:sz="0" w:space="0" w:color="auto"/>
      </w:divBdr>
    </w:div>
    <w:div w:id="2013750580">
      <w:bodyDiv w:val="1"/>
      <w:marLeft w:val="0"/>
      <w:marRight w:val="0"/>
      <w:marTop w:val="0"/>
      <w:marBottom w:val="0"/>
      <w:divBdr>
        <w:top w:val="none" w:sz="0" w:space="0" w:color="auto"/>
        <w:left w:val="none" w:sz="0" w:space="0" w:color="auto"/>
        <w:bottom w:val="none" w:sz="0" w:space="0" w:color="auto"/>
        <w:right w:val="none" w:sz="0" w:space="0" w:color="auto"/>
      </w:divBdr>
      <w:divsChild>
        <w:div w:id="1720470319">
          <w:marLeft w:val="0"/>
          <w:marRight w:val="0"/>
          <w:marTop w:val="0"/>
          <w:marBottom w:val="0"/>
          <w:divBdr>
            <w:top w:val="none" w:sz="0" w:space="0" w:color="auto"/>
            <w:left w:val="none" w:sz="0" w:space="0" w:color="auto"/>
            <w:bottom w:val="none" w:sz="0" w:space="0" w:color="auto"/>
            <w:right w:val="none" w:sz="0" w:space="0" w:color="auto"/>
          </w:divBdr>
          <w:divsChild>
            <w:div w:id="1483230376">
              <w:marLeft w:val="0"/>
              <w:marRight w:val="0"/>
              <w:marTop w:val="0"/>
              <w:marBottom w:val="0"/>
              <w:divBdr>
                <w:top w:val="none" w:sz="0" w:space="0" w:color="auto"/>
                <w:left w:val="none" w:sz="0" w:space="0" w:color="auto"/>
                <w:bottom w:val="none" w:sz="0" w:space="0" w:color="auto"/>
                <w:right w:val="none" w:sz="0" w:space="0" w:color="auto"/>
              </w:divBdr>
              <w:divsChild>
                <w:div w:id="1283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2985">
      <w:bodyDiv w:val="1"/>
      <w:marLeft w:val="0"/>
      <w:marRight w:val="0"/>
      <w:marTop w:val="0"/>
      <w:marBottom w:val="0"/>
      <w:divBdr>
        <w:top w:val="none" w:sz="0" w:space="0" w:color="auto"/>
        <w:left w:val="none" w:sz="0" w:space="0" w:color="auto"/>
        <w:bottom w:val="none" w:sz="0" w:space="0" w:color="auto"/>
        <w:right w:val="none" w:sz="0" w:space="0" w:color="auto"/>
      </w:divBdr>
    </w:div>
    <w:div w:id="21377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openknowledge.worldbank.org/bitstream/handle/10986/21711/94519.pdf?sequence=2&amp;isAllowed=y" TargetMode="External"/><Relationship Id="rId26" Type="http://schemas.openxmlformats.org/officeDocument/2006/relationships/hyperlink" Target="https://www.unodc.org/unodc/en/data-and-analysis/statistics/crime/cts-data-collection.html" TargetMode="External"/><Relationship Id="rId21" Type="http://schemas.openxmlformats.org/officeDocument/2006/relationships/hyperlink" Target="https://www.unia.be/files/Documenten/Jaarrapport/2020_Rapport_chiffres_2019_DEF.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hchr.org/EN/Issues/Disability/Pages/sdg-crpd-resource.aspx" TargetMode="External"/><Relationship Id="rId17" Type="http://schemas.openxmlformats.org/officeDocument/2006/relationships/hyperlink" Target="https://worldjusticeproject.org/our-work/research-and-data/global-insights-access-justice-2019" TargetMode="External"/><Relationship Id="rId25" Type="http://schemas.openxmlformats.org/officeDocument/2006/relationships/hyperlink" Target="https://unstats.un.org/sdgs/metadat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iafoundation.org/wp-content/uploads/2019/12/2019_Afghan_Survey_Full-Report.pdf." TargetMode="External"/><Relationship Id="rId20" Type="http://schemas.openxmlformats.org/officeDocument/2006/relationships/hyperlink" Target="https://www.unia.be/files/Documenten/Jaarrapport/Rapport_annuel_2019_AS.pdf" TargetMode="External"/><Relationship Id="rId29" Type="http://schemas.openxmlformats.org/officeDocument/2006/relationships/hyperlink" Target="https://www.judiciary.uk/publications/magistrates-in-po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www.dawncanada.net/media/uploads/news_data/news-237/violent_victimization_eng.pdf" TargetMode="External"/><Relationship Id="rId32" Type="http://schemas.openxmlformats.org/officeDocument/2006/relationships/footer" Target="footer2.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coe.int/en/web/cepej/cepej-work/quality-of-justice/satisfaction-surveys-aimed-at-court-users" TargetMode="External"/><Relationship Id="rId23" Type="http://schemas.openxmlformats.org/officeDocument/2006/relationships/hyperlink" Target="https://www.sciencedirect.com/science/article/abs/pii/S0145213419303278" TargetMode="External"/><Relationship Id="rId28" Type="http://schemas.openxmlformats.org/officeDocument/2006/relationships/hyperlink" Target="https://www.judiciary.uk/publications/judicial-diversity-statistics-2019-2" TargetMode="External"/><Relationship Id="rId36"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hyperlink" Target="https://equineteurope.org/author/belgium_ceoo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orldjusticeproject.org/our-work/publications/country-reports/rule-law-pakistan-0" TargetMode="External"/><Relationship Id="rId22" Type="http://schemas.openxmlformats.org/officeDocument/2006/relationships/hyperlink" Target="https://www.bjs.gov/index.cfm?ty=pbdetail&amp;iid=5986" TargetMode="External"/><Relationship Id="rId27" Type="http://schemas.openxmlformats.org/officeDocument/2006/relationships/hyperlink" Target="https://www.oecd.org/gender/data/women-in-the-judiciary-working-towards-a-legal-system-reflective-of-society.htm" TargetMode="External"/><Relationship Id="rId30" Type="http://schemas.openxmlformats.org/officeDocument/2006/relationships/hyperlink" Target="https://www.judicialappointments.gov.uk/sites/default/files/sync/news-documents/jac-diversity-update-april-2019.pdf" TargetMode="External"/><Relationship Id="rId35"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9C4A71-CF66-4BCB-ABB8-C6095163F2A0}">
  <ds:schemaRefs>
    <ds:schemaRef ds:uri="http://schemas.openxmlformats.org/officeDocument/2006/bibliography"/>
  </ds:schemaRefs>
</ds:datastoreItem>
</file>

<file path=customXml/itemProps2.xml><?xml version="1.0" encoding="utf-8"?>
<ds:datastoreItem xmlns:ds="http://schemas.openxmlformats.org/officeDocument/2006/customXml" ds:itemID="{5E265340-4649-42E5-8B9F-AB2BF851C185}"/>
</file>

<file path=customXml/itemProps3.xml><?xml version="1.0" encoding="utf-8"?>
<ds:datastoreItem xmlns:ds="http://schemas.openxmlformats.org/officeDocument/2006/customXml" ds:itemID="{BA2DBF83-824B-4BB3-8D38-B11D8DED156C}"/>
</file>

<file path=customXml/itemProps4.xml><?xml version="1.0" encoding="utf-8"?>
<ds:datastoreItem xmlns:ds="http://schemas.openxmlformats.org/officeDocument/2006/customXml" ds:itemID="{2DE89A19-6339-4866-9891-7A9652430382}"/>
</file>

<file path=docProps/app.xml><?xml version="1.0" encoding="utf-8"?>
<Properties xmlns="http://schemas.openxmlformats.org/officeDocument/2006/extended-properties" xmlns:vt="http://schemas.openxmlformats.org/officeDocument/2006/docPropsVTypes">
  <Template>Normal</Template>
  <TotalTime>3</TotalTime>
  <Pages>8</Pages>
  <Words>2466</Words>
  <Characters>14061</Characters>
  <Application>Microsoft Office Word</Application>
  <DocSecurity>0</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sources on Article 13 (outcome indicators)</dc:title>
  <dc:subject/>
  <dc:creator>Nanette Goodman</dc:creator>
  <cp:keywords/>
  <dc:description/>
  <cp:lastModifiedBy>Elias Constantopedos</cp:lastModifiedBy>
  <cp:revision>8</cp:revision>
  <cp:lastPrinted>2020-11-19T04:53:00Z</cp:lastPrinted>
  <dcterms:created xsi:type="dcterms:W3CDTF">2020-12-20T12:35:00Z</dcterms:created>
  <dcterms:modified xsi:type="dcterms:W3CDTF">2020-12-20T21:10:00Z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