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1FCADFF7" w:rsidR="005A094A" w:rsidRPr="007B5752" w:rsidRDefault="005458FD" w:rsidP="00D850DC">
      <w:pPr>
        <w:pStyle w:val="Heading1"/>
        <w:rPr>
          <w:rFonts w:eastAsiaTheme="majorEastAsia" w:cstheme="minorHAnsi"/>
          <w:color w:val="FFFFFF" w:themeColor="background1"/>
        </w:rPr>
      </w:pPr>
      <w:r w:rsidRPr="007B5752">
        <w:rPr>
          <w:rFonts w:eastAsiaTheme="majorEastAsia" w:cstheme="minorHAnsi"/>
          <w:noProof/>
          <w:color w:val="FFFFFF" w:themeColor="background1"/>
          <w:sz w:val="72"/>
          <w:szCs w:val="72"/>
          <w:lang w:eastAsia="en-GB"/>
        </w:rPr>
        <w:drawing>
          <wp:anchor distT="0" distB="0" distL="114300" distR="114300" simplePos="0" relativeHeight="251658240" behindDoc="1" locked="0" layoutInCell="1" allowOverlap="1" wp14:anchorId="45C2F5DD" wp14:editId="540E6FD4">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7B5752">
        <w:rPr>
          <w:rFonts w:eastAsiaTheme="majorEastAsia" w:cstheme="minorHAnsi"/>
          <w:color w:val="FFFFFF" w:themeColor="background1"/>
        </w:rPr>
        <w:t xml:space="preserve">Data sources for outcome indicators on Article </w:t>
      </w:r>
      <w:r w:rsidR="00260D7A" w:rsidRPr="007B5752">
        <w:rPr>
          <w:rFonts w:eastAsiaTheme="majorEastAsia" w:cstheme="minorHAnsi"/>
          <w:color w:val="FFFFFF" w:themeColor="background1"/>
        </w:rPr>
        <w:t>18</w:t>
      </w:r>
      <w:r w:rsidR="000A661C" w:rsidRPr="007B5752">
        <w:rPr>
          <w:rFonts w:eastAsiaTheme="majorEastAsia" w:cstheme="minorHAnsi"/>
          <w:color w:val="FFFFFF" w:themeColor="background1"/>
        </w:rPr>
        <w:t>:</w:t>
      </w:r>
    </w:p>
    <w:p w14:paraId="5A518BF9" w14:textId="20FA4380" w:rsidR="00906D01" w:rsidRPr="007B5752" w:rsidRDefault="00C73772" w:rsidP="00260D7A">
      <w:pPr>
        <w:pStyle w:val="Heading1"/>
        <w:ind w:right="20"/>
        <w:rPr>
          <w:rFonts w:eastAsiaTheme="majorEastAsia" w:cstheme="minorHAnsi"/>
          <w:color w:val="FFFFFF" w:themeColor="background1"/>
          <w:sz w:val="72"/>
          <w:szCs w:val="72"/>
        </w:rPr>
      </w:pPr>
      <w:r w:rsidRPr="007B5752">
        <w:rPr>
          <w:rFonts w:eastAsiaTheme="majorEastAsia" w:cstheme="minorHAnsi"/>
          <w:color w:val="FFFFFF" w:themeColor="background1"/>
          <w:sz w:val="72"/>
          <w:szCs w:val="72"/>
        </w:rPr>
        <w:t>Liberty of movement and nationality</w:t>
      </w:r>
    </w:p>
    <w:p w14:paraId="3CBE4037" w14:textId="5578E497" w:rsidR="00355C6D" w:rsidRPr="007B5752" w:rsidRDefault="00062F63" w:rsidP="00D850DC">
      <w:pPr>
        <w:spacing w:before="0" w:after="0" w:line="240" w:lineRule="auto"/>
        <w:rPr>
          <w:rFonts w:asciiTheme="minorHAnsi" w:hAnsiTheme="minorHAnsi" w:cstheme="minorHAnsi"/>
        </w:rPr>
      </w:pPr>
      <w:r w:rsidRPr="007B5752">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273BCF83">
            <wp:simplePos x="4343400" y="9034463"/>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7B5752">
        <w:rPr>
          <w:rFonts w:asciiTheme="minorHAnsi" w:hAnsiTheme="minorHAnsi" w:cstheme="minorHAnsi"/>
        </w:rPr>
        <w:br w:type="page"/>
      </w:r>
    </w:p>
    <w:p w14:paraId="779E1EF4" w14:textId="5C6FD04F" w:rsidR="00355C6D" w:rsidRPr="007B5752" w:rsidRDefault="00570364" w:rsidP="00D850DC">
      <w:pPr>
        <w:spacing w:before="0" w:after="0" w:line="240" w:lineRule="auto"/>
        <w:rPr>
          <w:rFonts w:asciiTheme="minorHAnsi" w:hAnsiTheme="minorHAnsi" w:cstheme="minorHAnsi"/>
        </w:rPr>
      </w:pPr>
      <w:r w:rsidRPr="007B5752">
        <w:rPr>
          <w:rFonts w:asciiTheme="minorHAnsi" w:hAnsiTheme="minorHAnsi" w:cstheme="minorHAnsi"/>
          <w:noProof/>
          <w:lang w:eastAsia="en-GB"/>
        </w:rPr>
        <w:lastRenderedPageBreak/>
        <w:drawing>
          <wp:inline distT="0" distB="0" distL="0" distR="0" wp14:anchorId="48975751" wp14:editId="2B22C49D">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7B787A96" w14:textId="77777777" w:rsidR="007776B7" w:rsidRPr="007B5752" w:rsidRDefault="007776B7" w:rsidP="007776B7">
      <w:pPr>
        <w:autoSpaceDE w:val="0"/>
        <w:autoSpaceDN w:val="0"/>
        <w:spacing w:before="7200" w:line="260" w:lineRule="exact"/>
        <w:rPr>
          <w:rFonts w:cs="Segoe UI"/>
          <w:color w:val="000000"/>
          <w:sz w:val="18"/>
          <w:lang w:eastAsia="en-GB"/>
        </w:rPr>
      </w:pPr>
      <w:r w:rsidRPr="007B5752">
        <w:rPr>
          <w:rFonts w:cs="Segoe UI"/>
          <w:color w:val="000000"/>
          <w:sz w:val="18"/>
          <w:lang w:eastAsia="en-GB"/>
        </w:rPr>
        <w:t>ADVANCE VERSION</w:t>
      </w:r>
    </w:p>
    <w:p w14:paraId="5803C4D3" w14:textId="77777777" w:rsidR="007776B7" w:rsidRPr="007B5752" w:rsidRDefault="007776B7" w:rsidP="007776B7">
      <w:pPr>
        <w:autoSpaceDE w:val="0"/>
        <w:autoSpaceDN w:val="0"/>
        <w:spacing w:line="260" w:lineRule="exact"/>
        <w:rPr>
          <w:rFonts w:cs="Segoe UI"/>
          <w:color w:val="000000"/>
          <w:sz w:val="20"/>
          <w:szCs w:val="20"/>
          <w:lang w:eastAsia="en-GB"/>
        </w:rPr>
      </w:pPr>
      <w:r w:rsidRPr="007B5752">
        <w:rPr>
          <w:rFonts w:cs="Segoe UI"/>
          <w:color w:val="000000"/>
          <w:sz w:val="20"/>
          <w:szCs w:val="20"/>
          <w:lang w:eastAsia="en-GB"/>
        </w:rPr>
        <w:t xml:space="preserve">© 2020 United Nations  </w:t>
      </w:r>
    </w:p>
    <w:p w14:paraId="23A2C7EB" w14:textId="77777777" w:rsidR="007776B7" w:rsidRPr="007B5752" w:rsidRDefault="007776B7" w:rsidP="007776B7">
      <w:pPr>
        <w:autoSpaceDE w:val="0"/>
        <w:autoSpaceDN w:val="0"/>
        <w:spacing w:line="260" w:lineRule="exact"/>
        <w:rPr>
          <w:rFonts w:cs="Segoe UI"/>
          <w:color w:val="000000"/>
          <w:sz w:val="20"/>
          <w:szCs w:val="20"/>
          <w:lang w:eastAsia="en-GB"/>
        </w:rPr>
      </w:pPr>
      <w:r w:rsidRPr="007B5752">
        <w:rPr>
          <w:rFonts w:cs="Segoe UI"/>
          <w:color w:val="000000"/>
          <w:sz w:val="20"/>
          <w:szCs w:val="20"/>
          <w:lang w:eastAsia="en-GB"/>
        </w:rPr>
        <w:t xml:space="preserve">The </w:t>
      </w:r>
      <w:r w:rsidRPr="007B5752">
        <w:rPr>
          <w:rFonts w:cs="Segoe UI"/>
          <w:i/>
          <w:color w:val="000000"/>
          <w:sz w:val="20"/>
          <w:szCs w:val="20"/>
          <w:lang w:eastAsia="en-GB"/>
        </w:rPr>
        <w:t>Data Sources Guidance</w:t>
      </w:r>
      <w:r w:rsidRPr="007B5752">
        <w:rPr>
          <w:rFonts w:cs="Segoe UI"/>
          <w:color w:val="000000"/>
          <w:sz w:val="20"/>
          <w:szCs w:val="20"/>
          <w:lang w:eastAsia="en-GB"/>
        </w:rPr>
        <w:t xml:space="preserve"> is a component of the </w:t>
      </w:r>
      <w:hyperlink r:id="rId12" w:history="1">
        <w:r w:rsidRPr="007B5752">
          <w:rPr>
            <w:rStyle w:val="Hyperlink"/>
            <w:rFonts w:cs="Segoe UI"/>
            <w:sz w:val="20"/>
            <w:szCs w:val="20"/>
            <w:lang w:eastAsia="en-GB"/>
          </w:rPr>
          <w:t>SDG-CRPD Resource Package</w:t>
        </w:r>
      </w:hyperlink>
      <w:r w:rsidRPr="007B5752">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36DC401D" w14:textId="4030FFE7" w:rsidR="007776B7" w:rsidRPr="007B5752" w:rsidRDefault="007776B7" w:rsidP="007776B7">
      <w:pPr>
        <w:autoSpaceDE w:val="0"/>
        <w:autoSpaceDN w:val="0"/>
        <w:spacing w:line="260" w:lineRule="exact"/>
        <w:rPr>
          <w:rFonts w:cs="Segoe UI"/>
          <w:color w:val="000000"/>
          <w:sz w:val="20"/>
          <w:szCs w:val="20"/>
          <w:lang w:eastAsia="en-GB"/>
        </w:rPr>
      </w:pPr>
      <w:r w:rsidRPr="007B5752">
        <w:rPr>
          <w:rFonts w:cs="Segoe UI"/>
          <w:color w:val="000000"/>
          <w:sz w:val="20"/>
          <w:szCs w:val="20"/>
          <w:lang w:eastAsia="en-GB"/>
        </w:rPr>
        <w:t xml:space="preserve">The designations employed and the presentation of the material </w:t>
      </w:r>
      <w:r w:rsidR="00C73772" w:rsidRPr="007B5752">
        <w:rPr>
          <w:rFonts w:cs="Segoe UI"/>
          <w:color w:val="000000"/>
          <w:sz w:val="20"/>
          <w:szCs w:val="20"/>
          <w:lang w:eastAsia="en-GB"/>
        </w:rPr>
        <w:t>herein</w:t>
      </w:r>
      <w:r w:rsidRPr="007B5752">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3A9465C9" w14:textId="77777777" w:rsidR="007776B7" w:rsidRPr="007B5752" w:rsidRDefault="007776B7" w:rsidP="007776B7">
      <w:pPr>
        <w:autoSpaceDE w:val="0"/>
        <w:autoSpaceDN w:val="0"/>
        <w:spacing w:line="260" w:lineRule="exact"/>
        <w:rPr>
          <w:rFonts w:cs="Segoe UI"/>
          <w:color w:val="000000"/>
          <w:sz w:val="20"/>
          <w:szCs w:val="20"/>
          <w:lang w:eastAsia="en-GB"/>
        </w:rPr>
      </w:pPr>
      <w:r w:rsidRPr="007B5752">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6A11B445" w14:textId="4555D3DC" w:rsidR="007776B7" w:rsidRPr="007B5752" w:rsidRDefault="007776B7" w:rsidP="007776B7">
      <w:pPr>
        <w:autoSpaceDE w:val="0"/>
        <w:autoSpaceDN w:val="0"/>
        <w:spacing w:line="260" w:lineRule="exact"/>
        <w:rPr>
          <w:rFonts w:cs="Segoe UI"/>
          <w:color w:val="000000"/>
          <w:sz w:val="20"/>
          <w:szCs w:val="20"/>
          <w:lang w:eastAsia="en-GB"/>
        </w:rPr>
      </w:pPr>
      <w:r w:rsidRPr="007B5752">
        <w:rPr>
          <w:rFonts w:cs="Segoe UI"/>
          <w:color w:val="000000"/>
          <w:sz w:val="20"/>
          <w:szCs w:val="20"/>
          <w:lang w:eastAsia="en-GB"/>
        </w:rPr>
        <w:t xml:space="preserve">The </w:t>
      </w:r>
      <w:r w:rsidRPr="007B5752">
        <w:rPr>
          <w:rFonts w:cs="Segoe UI"/>
          <w:i/>
          <w:color w:val="000000"/>
          <w:sz w:val="20"/>
          <w:szCs w:val="20"/>
          <w:lang w:eastAsia="en-GB"/>
        </w:rPr>
        <w:t>Data Sources Guidance</w:t>
      </w:r>
      <w:r w:rsidRPr="007B5752">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052BBB">
        <w:rPr>
          <w:rFonts w:cs="Segoe UI"/>
          <w:color w:val="000000"/>
          <w:sz w:val="20"/>
          <w:szCs w:val="20"/>
          <w:lang w:eastAsia="en-GB"/>
        </w:rPr>
        <w:br/>
      </w:r>
    </w:p>
    <w:p w14:paraId="443DBC9E" w14:textId="77777777" w:rsidR="007776B7" w:rsidRPr="007B5752" w:rsidRDefault="007776B7" w:rsidP="007776B7">
      <w:pPr>
        <w:autoSpaceDE w:val="0"/>
        <w:autoSpaceDN w:val="0"/>
        <w:rPr>
          <w:rFonts w:eastAsiaTheme="majorEastAsia" w:cstheme="minorHAnsi"/>
          <w:b/>
          <w:color w:val="0A59AB"/>
          <w:spacing w:val="4"/>
          <w:kern w:val="0"/>
          <w:sz w:val="20"/>
          <w:szCs w:val="30"/>
        </w:rPr>
      </w:pPr>
      <w:r w:rsidRPr="007B5752">
        <w:rPr>
          <w:rFonts w:cstheme="minorHAnsi"/>
          <w:noProof/>
          <w:lang w:eastAsia="en-GB"/>
        </w:rPr>
        <w:drawing>
          <wp:inline distT="0" distB="0" distL="0" distR="0" wp14:anchorId="0F79D56A" wp14:editId="5EA6F019">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7B5752">
        <w:rPr>
          <w:rFonts w:eastAsiaTheme="majorEastAsia" w:cstheme="minorHAnsi"/>
          <w:b/>
          <w:color w:val="0A59AB"/>
          <w:spacing w:val="4"/>
          <w:kern w:val="0"/>
          <w:sz w:val="20"/>
          <w:szCs w:val="30"/>
        </w:rPr>
        <w:br w:type="page"/>
      </w:r>
    </w:p>
    <w:p w14:paraId="5F7C937B" w14:textId="77777777" w:rsidR="00E57261" w:rsidRPr="007B5752" w:rsidRDefault="00E57261" w:rsidP="00594615">
      <w:pPr>
        <w:pStyle w:val="Heading2"/>
        <w:rPr>
          <w:rFonts w:eastAsiaTheme="majorEastAsia"/>
        </w:rPr>
      </w:pPr>
      <w:r w:rsidRPr="007B5752">
        <w:rPr>
          <w:rFonts w:eastAsiaTheme="majorEastAsia"/>
        </w:rPr>
        <w:lastRenderedPageBreak/>
        <w:t>18.14 Number and proportion of persons with disabilities who requested and were granted residency compared to other persons that requested and were granted residency, per year, disaggregated by sex, age and disability.</w:t>
      </w:r>
    </w:p>
    <w:p w14:paraId="398CED74" w14:textId="77777777" w:rsidR="00E57261" w:rsidRPr="007B5752" w:rsidRDefault="00E57261" w:rsidP="00594615">
      <w:pPr>
        <w:pStyle w:val="Heading4"/>
        <w:rPr>
          <w:rFonts w:eastAsiaTheme="majorEastAsia"/>
        </w:rPr>
      </w:pPr>
      <w:r w:rsidRPr="007B5752">
        <w:rPr>
          <w:rFonts w:eastAsiaTheme="majorEastAsia"/>
        </w:rPr>
        <w:t>Level 2: Indicator that could be produced with straightforward additions or modifications to existing data collection efforts</w:t>
      </w:r>
    </w:p>
    <w:p w14:paraId="002A2BE0" w14:textId="77777777" w:rsidR="00E57261" w:rsidRPr="007B5752" w:rsidRDefault="00E57261" w:rsidP="00257578">
      <w:pPr>
        <w:rPr>
          <w:rFonts w:cstheme="minorHAnsi"/>
        </w:rPr>
      </w:pPr>
      <w:r w:rsidRPr="007B5752">
        <w:rPr>
          <w:rFonts w:cstheme="minorHAnsi"/>
        </w:rPr>
        <w:t>Several countries publish statistics on people requesting and being granted residency, but none were found that disaggregate by disability. Disability questions would need to be added to administrative forms to report on this indicator.</w:t>
      </w:r>
    </w:p>
    <w:p w14:paraId="3202E774" w14:textId="77777777" w:rsidR="00E57261" w:rsidRPr="007B5752" w:rsidRDefault="00E57261" w:rsidP="00257578">
      <w:pPr>
        <w:rPr>
          <w:rFonts w:cstheme="minorHAnsi"/>
        </w:rPr>
      </w:pPr>
      <w:r w:rsidRPr="007B5752">
        <w:rPr>
          <w:rFonts w:cstheme="minorHAnsi"/>
        </w:rPr>
        <w:t>For example, the United States of America’s Department of Homeland Security (Office of Immigration Statistics) publishes an annual “</w:t>
      </w:r>
      <w:hyperlink r:id="rId14" w:anchor="*" w:history="1">
        <w:r w:rsidRPr="007B5752">
          <w:rPr>
            <w:rStyle w:val="Hyperlink"/>
            <w:rFonts w:eastAsiaTheme="majorEastAsia" w:cstheme="minorHAnsi"/>
          </w:rPr>
          <w:t>Yearbook of Immigration Statistics</w:t>
        </w:r>
      </w:hyperlink>
      <w:r w:rsidRPr="007B5752">
        <w:rPr>
          <w:rFonts w:cstheme="minorHAnsi"/>
        </w:rPr>
        <w:t>” with data on selected characteristics (sex, age, marital status, occupation, country of birth, last country of residence, residence in the United States of America’s status and class of admission) for each type of immigrant (lawful permanent residents, refugees and asylees, naturalizations and non-immigrant admissions). It does not report on disability status. The annual data presented are primarily obtained from workload and case tracking systems of the United States of America’s Department of Homeland Security.</w:t>
      </w:r>
    </w:p>
    <w:p w14:paraId="340CF97E" w14:textId="304D39C8" w:rsidR="00E57261" w:rsidRPr="007B5752" w:rsidRDefault="00E57261" w:rsidP="00257578">
      <w:pPr>
        <w:rPr>
          <w:rFonts w:cstheme="minorHAnsi"/>
        </w:rPr>
      </w:pPr>
      <w:r w:rsidRPr="007B5752">
        <w:rPr>
          <w:rFonts w:cstheme="minorHAnsi"/>
        </w:rPr>
        <w:t xml:space="preserve">The European Union reports on the number, but not on characteristics, of people receiving citizenship. This information is available at </w:t>
      </w:r>
      <w:hyperlink r:id="rId15" w:tooltip="https://ec.europa.eu/eurostat/en/web/products-datasets/-/TPS00176" w:history="1">
        <w:r w:rsidR="00F91EA4" w:rsidRPr="007B5752">
          <w:rPr>
            <w:rStyle w:val="Hyperlink"/>
            <w:rFonts w:cstheme="minorHAnsi"/>
          </w:rPr>
          <w:t>ec.europa.eu</w:t>
        </w:r>
      </w:hyperlink>
      <w:r w:rsidR="00F91EA4" w:rsidRPr="007B5752">
        <w:rPr>
          <w:rFonts w:cstheme="minorHAnsi"/>
        </w:rPr>
        <w:t>.</w:t>
      </w:r>
    </w:p>
    <w:p w14:paraId="65913BC6" w14:textId="6F095956" w:rsidR="00E57261" w:rsidRPr="007B5752" w:rsidRDefault="00E57261" w:rsidP="00257578">
      <w:pPr>
        <w:rPr>
          <w:rFonts w:cstheme="minorHAnsi"/>
        </w:rPr>
      </w:pPr>
      <w:r w:rsidRPr="007B5752">
        <w:rPr>
          <w:rFonts w:cstheme="minorHAnsi"/>
        </w:rPr>
        <w:t xml:space="preserve">Italy reports on the number and certain characteristics of people with residency permits, but not on disability. This information is available at </w:t>
      </w:r>
      <w:hyperlink r:id="rId16" w:tooltip="https://www.istat.it/en/archivio/224325" w:history="1">
        <w:r w:rsidR="00F91EA4" w:rsidRPr="007B5752">
          <w:rPr>
            <w:rStyle w:val="Hyperlink"/>
            <w:rFonts w:eastAsiaTheme="majorEastAsia" w:cstheme="minorHAnsi"/>
          </w:rPr>
          <w:t>www.istat.it</w:t>
        </w:r>
      </w:hyperlink>
      <w:r w:rsidRPr="007B5752">
        <w:rPr>
          <w:rFonts w:cstheme="minorHAnsi"/>
        </w:rPr>
        <w:t>.</w:t>
      </w:r>
    </w:p>
    <w:p w14:paraId="0FAEFE37" w14:textId="77777777" w:rsidR="00E57261" w:rsidRPr="007B5752" w:rsidRDefault="00E57261" w:rsidP="00594615">
      <w:pPr>
        <w:pStyle w:val="Heading2"/>
        <w:rPr>
          <w:rFonts w:eastAsiaTheme="majorEastAsia"/>
        </w:rPr>
      </w:pPr>
      <w:r w:rsidRPr="007B5752">
        <w:rPr>
          <w:rFonts w:eastAsiaTheme="majorEastAsia"/>
        </w:rPr>
        <w:t>18.15 Number and proportion of persons with disabilities who requested and were granted nationality of the State compared to other persons that requested and were granted nationality, per year, disaggregated by age, sex and disability.</w:t>
      </w:r>
    </w:p>
    <w:p w14:paraId="0F8B4AC7" w14:textId="77777777" w:rsidR="00E57261" w:rsidRPr="007B5752" w:rsidRDefault="00E57261" w:rsidP="00594615">
      <w:pPr>
        <w:pStyle w:val="Heading4"/>
        <w:rPr>
          <w:rFonts w:eastAsiaTheme="majorEastAsia"/>
        </w:rPr>
      </w:pPr>
      <w:r w:rsidRPr="007B5752">
        <w:rPr>
          <w:rFonts w:eastAsiaTheme="majorEastAsia"/>
        </w:rPr>
        <w:t>Level 2: Indicator that could be produced with straightforward additions or modifications to existing data collection efforts</w:t>
      </w:r>
    </w:p>
    <w:p w14:paraId="08EF6707" w14:textId="566BD1EC" w:rsidR="00E57261" w:rsidRPr="007B5752" w:rsidRDefault="00E57261" w:rsidP="00257578">
      <w:pPr>
        <w:rPr>
          <w:rFonts w:cstheme="minorHAnsi"/>
        </w:rPr>
      </w:pPr>
      <w:r w:rsidRPr="007B5752">
        <w:rPr>
          <w:rFonts w:cstheme="minorHAnsi"/>
        </w:rPr>
        <w:t xml:space="preserve">This indicator is similar to 18.14 in that it is widely available in its non-disaggregated form, as in the </w:t>
      </w:r>
      <w:hyperlink r:id="rId17" w:anchor="*" w:history="1">
        <w:r w:rsidRPr="007B5752">
          <w:rPr>
            <w:rStyle w:val="Hyperlink"/>
            <w:rFonts w:eastAsiaTheme="majorEastAsia" w:cstheme="minorHAnsi"/>
          </w:rPr>
          <w:t>United States of America’ data source</w:t>
        </w:r>
      </w:hyperlink>
      <w:r w:rsidRPr="007B5752">
        <w:rPr>
          <w:rFonts w:cstheme="minorHAnsi"/>
        </w:rPr>
        <w:t xml:space="preserve"> mentioned in 18.14 or the European Union’s </w:t>
      </w:r>
      <w:hyperlink r:id="rId18" w:history="1">
        <w:r w:rsidRPr="007B5752">
          <w:rPr>
            <w:rStyle w:val="Hyperlink"/>
            <w:rFonts w:cstheme="minorHAnsi"/>
          </w:rPr>
          <w:t>citizenship acquisition information</w:t>
        </w:r>
      </w:hyperlink>
      <w:r w:rsidR="00F91EA4" w:rsidRPr="007B5752">
        <w:rPr>
          <w:rFonts w:cstheme="minorHAnsi"/>
        </w:rPr>
        <w:t>.</w:t>
      </w:r>
    </w:p>
    <w:p w14:paraId="155B72D2" w14:textId="4D651F72" w:rsidR="00E57261" w:rsidRPr="007B5752" w:rsidRDefault="00E57261" w:rsidP="00257578">
      <w:pPr>
        <w:rPr>
          <w:rFonts w:cstheme="minorHAnsi"/>
        </w:rPr>
      </w:pPr>
      <w:r w:rsidRPr="007B5752">
        <w:rPr>
          <w:rFonts w:cstheme="minorHAnsi"/>
        </w:rPr>
        <w:t xml:space="preserve">Eurostat reports on </w:t>
      </w:r>
      <w:r w:rsidRPr="007B5752">
        <w:rPr>
          <w:rFonts w:cstheme="minorHAnsi"/>
          <w:color w:val="000000" w:themeColor="text1"/>
          <w:shd w:val="clear" w:color="auto" w:fill="FFFFFF"/>
        </w:rPr>
        <w:t>applications and granting of protection status at first instance, which can be consulted at</w:t>
      </w:r>
      <w:r w:rsidRPr="007B5752">
        <w:rPr>
          <w:rFonts w:cstheme="minorHAnsi"/>
          <w:b/>
          <w:bCs/>
          <w:color w:val="525252"/>
          <w:shd w:val="clear" w:color="auto" w:fill="FFFFFF"/>
        </w:rPr>
        <w:t xml:space="preserve"> </w:t>
      </w:r>
      <w:hyperlink r:id="rId19" w:tooltip="https://www.asylumineurope.org/reports/country/france/statistics" w:history="1">
        <w:r w:rsidR="00F91EA4" w:rsidRPr="007B5752">
          <w:rPr>
            <w:rStyle w:val="Hyperlink"/>
            <w:rFonts w:eastAsiaTheme="majorEastAsia" w:cstheme="minorHAnsi"/>
          </w:rPr>
          <w:t>www.asylumineurope.org</w:t>
        </w:r>
      </w:hyperlink>
      <w:r w:rsidRPr="007B5752">
        <w:rPr>
          <w:rStyle w:val="Hyperlink"/>
          <w:rFonts w:eastAsiaTheme="majorEastAsia" w:cstheme="minorHAnsi"/>
        </w:rPr>
        <w:t>.</w:t>
      </w:r>
    </w:p>
    <w:p w14:paraId="705092C4" w14:textId="77777777" w:rsidR="00E57261" w:rsidRPr="007B5752" w:rsidRDefault="00E57261" w:rsidP="00594615">
      <w:pPr>
        <w:pStyle w:val="Heading2"/>
        <w:rPr>
          <w:rFonts w:eastAsiaTheme="majorEastAsia"/>
        </w:rPr>
      </w:pPr>
      <w:r w:rsidRPr="007B5752">
        <w:rPr>
          <w:rFonts w:eastAsiaTheme="majorEastAsia"/>
        </w:rPr>
        <w:lastRenderedPageBreak/>
        <w:t>18.16 Number and proportion of persons with disabilities who are stateless compared to the total number of stateless persons, disaggregated by sex, age and disability</w:t>
      </w:r>
    </w:p>
    <w:p w14:paraId="59E74C23" w14:textId="77777777" w:rsidR="00E57261" w:rsidRPr="007B5752" w:rsidRDefault="00E57261" w:rsidP="00594615">
      <w:pPr>
        <w:pStyle w:val="Heading4"/>
        <w:rPr>
          <w:rFonts w:eastAsiaTheme="majorEastAsia"/>
        </w:rPr>
      </w:pPr>
      <w:r w:rsidRPr="007B5752">
        <w:rPr>
          <w:rFonts w:eastAsiaTheme="majorEastAsia"/>
        </w:rPr>
        <w:t>Level 2: Indicator that could be produced with straightforward additions or modifications to existing data collection efforts</w:t>
      </w:r>
    </w:p>
    <w:p w14:paraId="2FBEC8F4" w14:textId="77777777" w:rsidR="00E57261" w:rsidRPr="007B5752" w:rsidRDefault="00E57261" w:rsidP="00257578">
      <w:r w:rsidRPr="007B5752">
        <w:t xml:space="preserve">The </w:t>
      </w:r>
      <w:hyperlink r:id="rId20" w:history="1">
        <w:r w:rsidRPr="007B5752">
          <w:rPr>
            <w:rStyle w:val="Hyperlink"/>
            <w:rFonts w:eastAsiaTheme="majorEastAsia"/>
          </w:rPr>
          <w:t>UNHCR’s Refugee Population Statistics Database</w:t>
        </w:r>
      </w:hyperlink>
      <w:r w:rsidRPr="007B5752">
        <w:t xml:space="preserve"> contains information about forcibly displaced populations, including refugees, asylum-seekers, internally displaced persons and stateless persons. The </w:t>
      </w:r>
      <w:r w:rsidRPr="007B5752">
        <w:rPr>
          <w:color w:val="000000"/>
          <w:lang w:eastAsia="fr-FR"/>
        </w:rPr>
        <w:t xml:space="preserve">UNHCR also reports </w:t>
      </w:r>
      <w:hyperlink r:id="rId21" w:history="1">
        <w:r w:rsidRPr="007B5752">
          <w:rPr>
            <w:rStyle w:val="Hyperlink"/>
            <w:lang w:eastAsia="fr-FR"/>
          </w:rPr>
          <w:t xml:space="preserve">data </w:t>
        </w:r>
        <w:r w:rsidRPr="007B5752">
          <w:rPr>
            <w:rStyle w:val="Hyperlink"/>
            <w:rFonts w:eastAsiaTheme="majorEastAsia"/>
          </w:rPr>
          <w:t>on statelessness</w:t>
        </w:r>
      </w:hyperlink>
      <w:r w:rsidRPr="007B5752">
        <w:t xml:space="preserve"> in the </w:t>
      </w:r>
      <w:hyperlink r:id="rId22" w:tgtFrame="_blank" w:history="1">
        <w:r w:rsidRPr="007B5752">
          <w:rPr>
            <w:rStyle w:val="Hyperlink"/>
            <w:rFonts w:eastAsiaTheme="majorEastAsia"/>
          </w:rPr>
          <w:t>Global Trends report</w:t>
        </w:r>
      </w:hyperlink>
      <w:r w:rsidRPr="007B5752">
        <w:t xml:space="preserve"> and Mid-Year Statistical Report. These data cover the over 70 countries where there is information to report, as most countries do not collect/report any data on stateless persons. While UNHCR’s country-level data on stateless populations is disaggregated demographically by sex and age, the availability of disaggregated data varies from country to country. There are no data disaggregated by disability.</w:t>
      </w:r>
    </w:p>
    <w:p w14:paraId="60F6E235" w14:textId="77777777" w:rsidR="00E57261" w:rsidRPr="007B5752" w:rsidRDefault="00E57261" w:rsidP="00257578">
      <w:r w:rsidRPr="007B5752">
        <w:rPr>
          <w:spacing w:val="3"/>
          <w:shd w:val="clear" w:color="auto" w:fill="FFFFFF"/>
        </w:rPr>
        <w:t xml:space="preserve">It is </w:t>
      </w:r>
      <w:hyperlink r:id="rId23" w:anchor=":~:text=Current%20statistics%20cover%203.7%20million,million%20people%20are%20stateless%20worldwide." w:history="1">
        <w:r w:rsidRPr="007B5752">
          <w:rPr>
            <w:rStyle w:val="Hyperlink"/>
            <w:rFonts w:cstheme="minorHAnsi"/>
            <w:spacing w:val="3"/>
            <w:shd w:val="clear" w:color="auto" w:fill="FFFFFF"/>
          </w:rPr>
          <w:t>difficult to collect data on stateless populations</w:t>
        </w:r>
      </w:hyperlink>
      <w:r w:rsidRPr="007B5752">
        <w:rPr>
          <w:rStyle w:val="Hyperlink"/>
          <w:rFonts w:cstheme="minorHAnsi"/>
          <w:color w:val="auto"/>
          <w:spacing w:val="3"/>
          <w:shd w:val="clear" w:color="auto" w:fill="FFFFFF"/>
        </w:rPr>
        <w:t>, as</w:t>
      </w:r>
      <w:r w:rsidRPr="007B5752">
        <w:rPr>
          <w:spacing w:val="3"/>
          <w:shd w:val="clear" w:color="auto" w:fill="FFFFFF"/>
        </w:rPr>
        <w:t xml:space="preserve"> they tend to live on the margins of society. Collecting data on disability status may also be difficult because </w:t>
      </w:r>
      <w:r w:rsidRPr="007B5752">
        <w:t>stateless persons may feel a disincentive to reveal a disability, for fear it would affect an asylum application.</w:t>
      </w:r>
      <w:r w:rsidRPr="007B5752">
        <w:rPr>
          <w:spacing w:val="3"/>
          <w:shd w:val="clear" w:color="auto" w:fill="FFFFFF"/>
        </w:rPr>
        <w:t xml:space="preserve"> A recent brief in the </w:t>
      </w:r>
      <w:hyperlink r:id="rId24" w:history="1">
        <w:r w:rsidRPr="007B5752">
          <w:rPr>
            <w:rStyle w:val="Hyperlink"/>
            <w:rFonts w:cstheme="minorHAnsi"/>
            <w:spacing w:val="3"/>
            <w:shd w:val="clear" w:color="auto" w:fill="FFFFFF"/>
          </w:rPr>
          <w:t>UNHCR Statistics Technical Series</w:t>
        </w:r>
      </w:hyperlink>
      <w:r w:rsidRPr="007B5752">
        <w:rPr>
          <w:color w:val="2E3436"/>
          <w:spacing w:val="3"/>
          <w:shd w:val="clear" w:color="auto" w:fill="FFFFFF"/>
        </w:rPr>
        <w:t xml:space="preserve"> </w:t>
      </w:r>
      <w:r w:rsidRPr="007B5752">
        <w:rPr>
          <w:spacing w:val="3"/>
          <w:shd w:val="clear" w:color="auto" w:fill="FFFFFF"/>
        </w:rPr>
        <w:t>elaborates on current data collection practices, data sources and challenges related to stateless populations</w:t>
      </w:r>
      <w:r w:rsidRPr="007B5752">
        <w:rPr>
          <w:color w:val="2E3436"/>
          <w:spacing w:val="3"/>
          <w:shd w:val="clear" w:color="auto" w:fill="FFFFFF"/>
        </w:rPr>
        <w:t>.</w:t>
      </w:r>
    </w:p>
    <w:p w14:paraId="0DB66CC8" w14:textId="77777777" w:rsidR="00E57261" w:rsidRPr="007B5752" w:rsidRDefault="00E57261" w:rsidP="00257578">
      <w:pPr>
        <w:rPr>
          <w:color w:val="000000"/>
          <w:lang w:eastAsia="fr-FR"/>
        </w:rPr>
      </w:pPr>
      <w:r w:rsidRPr="007B5752">
        <w:t>Insufficient data on persons with disabilities continue to hinder a better understanding of the risks they face in displacement, although population surveys reveal that the prevalence and negative impacts of experiencing a disability are more pervasive in crisis-affected countries, such as Syria, where 27 per cent of the total population above 12 years of age has a disability.</w:t>
      </w:r>
    </w:p>
    <w:p w14:paraId="2A77E270" w14:textId="77777777" w:rsidR="00E57261" w:rsidRPr="007B5752" w:rsidRDefault="00E57261" w:rsidP="00594615">
      <w:pPr>
        <w:pStyle w:val="Heading2"/>
        <w:rPr>
          <w:rFonts w:eastAsiaTheme="majorEastAsia"/>
        </w:rPr>
      </w:pPr>
      <w:r w:rsidRPr="007B5752">
        <w:rPr>
          <w:rFonts w:eastAsiaTheme="majorEastAsia"/>
        </w:rPr>
        <w:t>18.17 Proportion of persons in possession of at least one identity document, disaggregated by sex, age and disability.</w:t>
      </w:r>
    </w:p>
    <w:p w14:paraId="52D179E1" w14:textId="77777777" w:rsidR="00E57261" w:rsidRPr="007B5752" w:rsidRDefault="00E57261" w:rsidP="00594615">
      <w:pPr>
        <w:pStyle w:val="Heading4"/>
        <w:rPr>
          <w:rFonts w:eastAsiaTheme="majorEastAsia"/>
        </w:rPr>
      </w:pPr>
      <w:r w:rsidRPr="007B5752">
        <w:rPr>
          <w:rFonts w:eastAsiaTheme="majorEastAsia"/>
        </w:rPr>
        <w:t>Level 2: Indicator that could be produced with straightforward additions or modifications to existing data collection efforts</w:t>
      </w:r>
    </w:p>
    <w:p w14:paraId="581E9069" w14:textId="77777777" w:rsidR="00E57261" w:rsidRPr="007B5752" w:rsidRDefault="00E57261" w:rsidP="00257578">
      <w:r w:rsidRPr="007B5752">
        <w:t>This indicator is generally collected in one-off surveys, none of which were found to include disability, although disability questions could be added. This information could also be collected through national disability surveys.</w:t>
      </w:r>
    </w:p>
    <w:p w14:paraId="65A547D3" w14:textId="77777777" w:rsidR="00E57261" w:rsidRPr="007B5752" w:rsidRDefault="00E57261" w:rsidP="00257578">
      <w:r w:rsidRPr="007B5752">
        <w:t>The World Bank identifies two sources for identity document data:</w:t>
      </w:r>
    </w:p>
    <w:p w14:paraId="10C1600B" w14:textId="77777777" w:rsidR="00E57261" w:rsidRPr="007B5752" w:rsidRDefault="00E57261" w:rsidP="0028419B">
      <w:pPr>
        <w:pStyle w:val="ListParagraph"/>
        <w:numPr>
          <w:ilvl w:val="0"/>
          <w:numId w:val="43"/>
        </w:numPr>
        <w:rPr>
          <w:rFonts w:eastAsiaTheme="minorEastAsia"/>
        </w:rPr>
      </w:pPr>
      <w:r w:rsidRPr="007B5752">
        <w:rPr>
          <w:rFonts w:eastAsiaTheme="minorEastAsia"/>
        </w:rPr>
        <w:t xml:space="preserve">The </w:t>
      </w:r>
      <w:hyperlink r:id="rId25" w:history="1">
        <w:r w:rsidRPr="007B5752">
          <w:rPr>
            <w:rStyle w:val="Hyperlink"/>
            <w:rFonts w:eastAsiaTheme="minorEastAsia"/>
            <w:color w:val="auto"/>
            <w:u w:val="none"/>
          </w:rPr>
          <w:t>ID4D Global Dataset</w:t>
        </w:r>
      </w:hyperlink>
      <w:r w:rsidRPr="007B5752">
        <w:rPr>
          <w:rFonts w:eastAsiaTheme="minorEastAsia"/>
        </w:rPr>
        <w:t xml:space="preserve"> uses a combination of self-reported data from identity document-issuing authorities, as well as other publicly available data, such as UNICEF birth registration and voter registration rates, to produce a global estimate of the identity document gap. The </w:t>
      </w:r>
      <w:hyperlink r:id="rId26" w:history="1">
        <w:r w:rsidRPr="007B5752">
          <w:rPr>
            <w:rStyle w:val="Hyperlink"/>
            <w:rFonts w:eastAsiaTheme="minorEastAsia"/>
            <w:color w:val="auto"/>
            <w:u w:val="none"/>
          </w:rPr>
          <w:t>report</w:t>
        </w:r>
      </w:hyperlink>
      <w:r w:rsidRPr="007B5752">
        <w:rPr>
          <w:rFonts w:eastAsiaTheme="minorEastAsia"/>
        </w:rPr>
        <w:t xml:space="preserve"> states “The Dataset was created to measure the scale of the overall global identification gap; estimates for individual economies are subject to considerable uncertainty and should NOT be used as precise point estimates.”</w:t>
      </w:r>
    </w:p>
    <w:p w14:paraId="658E392C" w14:textId="3E5F95EB" w:rsidR="00E57261" w:rsidRPr="007B5752" w:rsidRDefault="00E57261" w:rsidP="0028419B">
      <w:pPr>
        <w:pStyle w:val="ListParagraph"/>
        <w:numPr>
          <w:ilvl w:val="0"/>
          <w:numId w:val="43"/>
        </w:numPr>
        <w:rPr>
          <w:rFonts w:eastAsiaTheme="minorEastAsia"/>
        </w:rPr>
      </w:pPr>
      <w:r w:rsidRPr="007B5752">
        <w:rPr>
          <w:rFonts w:eastAsiaTheme="minorEastAsia"/>
        </w:rPr>
        <w:lastRenderedPageBreak/>
        <w:t xml:space="preserve">The Global Findex Study is the world’s most comprehensive dataset on how adults save, borrow, make payments, and manage risk. In 2017, they partnered with ID4D for a </w:t>
      </w:r>
      <w:hyperlink r:id="rId27" w:history="1">
        <w:r w:rsidRPr="007B5752">
          <w:rPr>
            <w:rStyle w:val="Hyperlink"/>
            <w:rFonts w:eastAsiaTheme="minorEastAsia"/>
          </w:rPr>
          <w:t>survey</w:t>
        </w:r>
      </w:hyperlink>
      <w:r w:rsidR="00F91EA4" w:rsidRPr="007B5752">
        <w:rPr>
          <w:rFonts w:eastAsiaTheme="minorEastAsia"/>
        </w:rPr>
        <w:t xml:space="preserve"> </w:t>
      </w:r>
      <w:r w:rsidRPr="007B5752">
        <w:rPr>
          <w:rFonts w:eastAsiaTheme="minorEastAsia"/>
        </w:rPr>
        <w:t>that covered over 100,000 people in 99 economies. They had key insights about income and sex but did not ask about disability.</w:t>
      </w:r>
    </w:p>
    <w:p w14:paraId="181B5A51" w14:textId="77777777" w:rsidR="00E57261" w:rsidRPr="007B5752" w:rsidRDefault="00E57261" w:rsidP="00257578">
      <w:r w:rsidRPr="007B5752">
        <w:t>Other examples of surveys addressing this issue – though not including disability status – are:</w:t>
      </w:r>
    </w:p>
    <w:p w14:paraId="6C64A226" w14:textId="77777777" w:rsidR="00E57261" w:rsidRPr="007B5752" w:rsidRDefault="00E57261" w:rsidP="0028419B">
      <w:pPr>
        <w:pStyle w:val="ListParagraph"/>
        <w:numPr>
          <w:ilvl w:val="0"/>
          <w:numId w:val="44"/>
        </w:numPr>
        <w:rPr>
          <w:rFonts w:eastAsiaTheme="minorEastAsia"/>
        </w:rPr>
      </w:pPr>
      <w:r w:rsidRPr="007B5752">
        <w:rPr>
          <w:rFonts w:eastAsiaTheme="minorEastAsia"/>
        </w:rPr>
        <w:t xml:space="preserve">The survey by the </w:t>
      </w:r>
      <w:hyperlink r:id="rId28" w:history="1">
        <w:r w:rsidRPr="007B5752">
          <w:rPr>
            <w:rStyle w:val="Hyperlink"/>
            <w:rFonts w:eastAsiaTheme="minorEastAsia"/>
            <w:color w:val="auto"/>
            <w:u w:val="none"/>
          </w:rPr>
          <w:t xml:space="preserve">Brennan </w:t>
        </w:r>
        <w:proofErr w:type="spellStart"/>
        <w:r w:rsidRPr="007B5752">
          <w:rPr>
            <w:rStyle w:val="Hyperlink"/>
            <w:rFonts w:eastAsiaTheme="minorEastAsia"/>
            <w:color w:val="auto"/>
            <w:u w:val="none"/>
          </w:rPr>
          <w:t>Center</w:t>
        </w:r>
        <w:proofErr w:type="spellEnd"/>
        <w:r w:rsidRPr="007B5752">
          <w:rPr>
            <w:rStyle w:val="Hyperlink"/>
            <w:rFonts w:eastAsiaTheme="minorEastAsia"/>
            <w:color w:val="auto"/>
            <w:u w:val="none"/>
          </w:rPr>
          <w:t xml:space="preserve"> for Justice at NYU School of Law</w:t>
        </w:r>
      </w:hyperlink>
      <w:r w:rsidRPr="007B5752">
        <w:rPr>
          <w:rFonts w:eastAsiaTheme="minorEastAsia"/>
        </w:rPr>
        <w:t xml:space="preserve"> in the United States of America, which surveyed 987 randomly selected voting-age citizens and included several questions about whether respondents had readily available documentary proof of citizenship or government-issued photo identification. </w:t>
      </w:r>
    </w:p>
    <w:p w14:paraId="6BAD8C01" w14:textId="77777777" w:rsidR="00E57261" w:rsidRPr="007B5752" w:rsidRDefault="00E57261" w:rsidP="0028419B">
      <w:pPr>
        <w:pStyle w:val="ListParagraph"/>
        <w:numPr>
          <w:ilvl w:val="0"/>
          <w:numId w:val="44"/>
        </w:numPr>
        <w:rPr>
          <w:rFonts w:eastAsiaTheme="minorEastAsia" w:cstheme="minorHAnsi"/>
        </w:rPr>
      </w:pPr>
      <w:r w:rsidRPr="007B5752">
        <w:rPr>
          <w:rFonts w:eastAsiaTheme="minorEastAsia"/>
        </w:rPr>
        <w:t xml:space="preserve">The </w:t>
      </w:r>
      <w:hyperlink r:id="rId29" w:history="1">
        <w:r w:rsidRPr="007B5752">
          <w:rPr>
            <w:rStyle w:val="Hyperlink"/>
            <w:rFonts w:eastAsiaTheme="minorEastAsia"/>
            <w:color w:val="auto"/>
            <w:u w:val="none"/>
          </w:rPr>
          <w:t>Australia Indonesia Partnership for Justice one-time survey</w:t>
        </w:r>
      </w:hyperlink>
      <w:r w:rsidRPr="007B5752">
        <w:rPr>
          <w:rFonts w:eastAsiaTheme="minorEastAsia"/>
        </w:rPr>
        <w:t xml:space="preserve"> in Indonesia, that looked at birth certificates, marriage certificates and divorce certificates—but not at disabilit</w:t>
      </w:r>
      <w:r w:rsidRPr="007B5752">
        <w:rPr>
          <w:rFonts w:eastAsiaTheme="minorEastAsia" w:cstheme="minorHAnsi"/>
        </w:rPr>
        <w:t>y.</w:t>
      </w:r>
    </w:p>
    <w:p w14:paraId="00F5D465" w14:textId="77777777" w:rsidR="00E57261" w:rsidRPr="007B5752" w:rsidRDefault="00E57261" w:rsidP="00257578">
      <w:pPr>
        <w:rPr>
          <w:rFonts w:cstheme="minorHAnsi"/>
        </w:rPr>
      </w:pPr>
      <w:r w:rsidRPr="007B5752">
        <w:rPr>
          <w:rFonts w:cstheme="minorHAnsi"/>
        </w:rPr>
        <w:t>Future surveys along these lines could include disability questions to disaggregate this indicator.</w:t>
      </w:r>
    </w:p>
    <w:p w14:paraId="71E1D179" w14:textId="77777777" w:rsidR="00E57261" w:rsidRPr="007B5752" w:rsidRDefault="00E57261" w:rsidP="00594615">
      <w:pPr>
        <w:pStyle w:val="Heading2"/>
        <w:rPr>
          <w:rFonts w:eastAsiaTheme="majorEastAsia"/>
        </w:rPr>
      </w:pPr>
      <w:r w:rsidRPr="007B5752">
        <w:rPr>
          <w:rFonts w:eastAsiaTheme="majorEastAsia"/>
        </w:rPr>
        <w:t>18.18 Proportion of persons whose birth has been registered, disaggregated by sex, age and disability.</w:t>
      </w:r>
    </w:p>
    <w:p w14:paraId="2367A7DC" w14:textId="77777777" w:rsidR="00E57261" w:rsidRPr="007B5752" w:rsidRDefault="00E57261" w:rsidP="00594615">
      <w:pPr>
        <w:pStyle w:val="Heading4"/>
        <w:rPr>
          <w:rFonts w:eastAsiaTheme="majorEastAsia"/>
        </w:rPr>
      </w:pPr>
      <w:r w:rsidRPr="007B5752">
        <w:rPr>
          <w:rFonts w:eastAsiaTheme="majorEastAsia"/>
        </w:rPr>
        <w:t>Level 2: Indicator that could be produced with straightforward additions or modifications to existing data collection efforts</w:t>
      </w:r>
    </w:p>
    <w:p w14:paraId="30DBB509" w14:textId="77777777" w:rsidR="00E57261" w:rsidRPr="007B5752" w:rsidRDefault="00E57261" w:rsidP="00257578">
      <w:r w:rsidRPr="007B5752">
        <w:t xml:space="preserve">In Indonesia, the </w:t>
      </w:r>
      <w:hyperlink r:id="rId30" w:history="1">
        <w:r w:rsidRPr="007B5752">
          <w:rPr>
            <w:rStyle w:val="Hyperlink"/>
            <w:rFonts w:eastAsiaTheme="majorEastAsia" w:cstheme="minorHAnsi"/>
          </w:rPr>
          <w:t>Australia Indonesia Partnership for Justice fielded a one-time survey</w:t>
        </w:r>
      </w:hyperlink>
      <w:r w:rsidRPr="007B5752">
        <w:t xml:space="preserve"> that looked at birth certificates, marriage certificates and divorce certificates—but not at disability. The survey found that 74 per cent of the 206,900 adults 18 years and over included in the survey did not have a birth certificate. A future survey along these lines could include disability questions to disaggregate this indicator.</w:t>
      </w:r>
    </w:p>
    <w:p w14:paraId="2322138F" w14:textId="77777777" w:rsidR="00E57261" w:rsidRPr="007B5752" w:rsidRDefault="00E57261" w:rsidP="00257578">
      <w:r w:rsidRPr="007B5752">
        <w:t xml:space="preserve">Other surveys looking at birth registration focus on children, not the entire population, such as </w:t>
      </w:r>
      <w:hyperlink r:id="rId31" w:history="1">
        <w:r w:rsidRPr="007B5752">
          <w:rPr>
            <w:rStyle w:val="Hyperlink"/>
            <w:rFonts w:eastAsiaTheme="majorEastAsia"/>
          </w:rPr>
          <w:t>WHO’s birth registrations coverage</w:t>
        </w:r>
      </w:hyperlink>
      <w:r w:rsidRPr="007B5752">
        <w:t xml:space="preserve"> and the </w:t>
      </w:r>
      <w:hyperlink r:id="rId32" w:history="1">
        <w:r w:rsidRPr="007B5752">
          <w:rPr>
            <w:rStyle w:val="Hyperlink"/>
            <w:rFonts w:eastAsiaTheme="majorEastAsia" w:cstheme="minorHAnsi"/>
          </w:rPr>
          <w:t>SUSENAS data set, in Indonesia</w:t>
        </w:r>
      </w:hyperlink>
      <w:r w:rsidRPr="007B5752">
        <w:t>, which covers ages 0-17.</w:t>
      </w:r>
    </w:p>
    <w:p w14:paraId="6D5513D0" w14:textId="77777777" w:rsidR="00E57261" w:rsidRPr="007B5752" w:rsidRDefault="00E57261" w:rsidP="00594615">
      <w:pPr>
        <w:pStyle w:val="Heading2"/>
        <w:rPr>
          <w:rFonts w:eastAsiaTheme="majorEastAsia"/>
        </w:rPr>
      </w:pPr>
      <w:r w:rsidRPr="007B5752">
        <w:rPr>
          <w:rFonts w:eastAsiaTheme="majorEastAsia"/>
        </w:rPr>
        <w:t>18.19 Proportion of children under 5 years of age whose births have been registered with a civil authority, by age (SDG indicator 16.9.1), sex, disability, place of residence and household wealth quintile.</w:t>
      </w:r>
    </w:p>
    <w:p w14:paraId="58F282D6" w14:textId="068F58AD" w:rsidR="00E57261" w:rsidRPr="007B5752" w:rsidRDefault="00DB3A6E" w:rsidP="00257578">
      <w:pPr>
        <w:rPr>
          <w:rFonts w:cstheme="minorHAnsi"/>
        </w:rPr>
      </w:pPr>
      <w:hyperlink r:id="rId33" w:history="1">
        <w:r w:rsidR="00E57261" w:rsidRPr="007B5752">
          <w:rPr>
            <w:rStyle w:val="Hyperlink"/>
            <w:lang w:eastAsia="en-GB"/>
          </w:rPr>
          <w:t>Link to the metadata related to this SDG indicator</w:t>
        </w:r>
      </w:hyperlink>
    </w:p>
    <w:p w14:paraId="6A922C9F" w14:textId="43DED5F8" w:rsidR="00E57261" w:rsidRPr="007B5752" w:rsidRDefault="0028419B" w:rsidP="0028419B">
      <w:pPr>
        <w:ind w:left="360"/>
        <w:rPr>
          <w:i/>
          <w:iCs/>
          <w:lang w:eastAsia="en-GB"/>
        </w:rPr>
      </w:pPr>
      <w:r w:rsidRPr="007B5752">
        <w:rPr>
          <w:i/>
          <w:iCs/>
          <w:lang w:eastAsia="en-GB"/>
        </w:rPr>
        <w:t>“</w:t>
      </w:r>
      <w:r w:rsidR="00E57261" w:rsidRPr="007B5752">
        <w:rPr>
          <w:i/>
          <w:iCs/>
          <w:lang w:eastAsia="en-GB"/>
        </w:rPr>
        <w:t>These data can be obtained from Censuses, household surveys such as MICS and DHS and national civil registration systems.</w:t>
      </w:r>
    </w:p>
    <w:p w14:paraId="04C6CAA6" w14:textId="77777777" w:rsidR="00E57261" w:rsidRPr="007B5752" w:rsidRDefault="00E57261" w:rsidP="0028419B">
      <w:pPr>
        <w:ind w:left="360"/>
        <w:rPr>
          <w:i/>
          <w:iCs/>
          <w:lang w:eastAsia="en-GB"/>
        </w:rPr>
      </w:pPr>
      <w:r w:rsidRPr="007B5752">
        <w:rPr>
          <w:i/>
          <w:iCs/>
          <w:lang w:eastAsia="en-GB"/>
        </w:rPr>
        <w:t xml:space="preserve">Civil registration systems: Civil registration systems that are functioning effectively compile vital statistics that are used to compare the estimated total number of births in a country with the absolute number of registered births during a given period. These data normally refer to live </w:t>
      </w:r>
      <w:r w:rsidRPr="007B5752">
        <w:rPr>
          <w:i/>
          <w:iCs/>
          <w:lang w:eastAsia="en-GB"/>
        </w:rPr>
        <w:lastRenderedPageBreak/>
        <w:t>births that were registered within a year or the legal time frame for registration applicable in the country.</w:t>
      </w:r>
    </w:p>
    <w:p w14:paraId="5958F195" w14:textId="77777777" w:rsidR="00E57261" w:rsidRPr="007B5752" w:rsidRDefault="00E57261" w:rsidP="0028419B">
      <w:pPr>
        <w:ind w:left="360"/>
        <w:rPr>
          <w:i/>
          <w:iCs/>
          <w:lang w:eastAsia="en-GB"/>
        </w:rPr>
      </w:pPr>
      <w:r w:rsidRPr="007B5752">
        <w:rPr>
          <w:i/>
          <w:iCs/>
          <w:lang w:eastAsia="en-GB"/>
        </w:rPr>
        <w:t>Household or other population-based surveys: In the absence of reliable administrative data, household surveys have become a key source of data to monitor levels and trends in birth registration. The standard indicator used in DHS and MICS to report on birth registration refers to the percentage of children under age 5 (0-59 months) with a birth certificate, regardless of whether or not it was seen by the interviewer, or whose birth was reported as registered with civil authorities at the time of survey. Depending on the country, surveys collecting these data may be conducted every 3-5 years, or possibly at more frequent intervals.</w:t>
      </w:r>
    </w:p>
    <w:p w14:paraId="4438D292" w14:textId="4AD8FCC2" w:rsidR="00E57261" w:rsidRPr="007B5752" w:rsidRDefault="00E57261" w:rsidP="0028419B">
      <w:pPr>
        <w:ind w:left="360"/>
        <w:rPr>
          <w:i/>
          <w:iCs/>
          <w:lang w:eastAsia="en-GB"/>
        </w:rPr>
      </w:pPr>
      <w:r w:rsidRPr="007B5752">
        <w:rPr>
          <w:i/>
          <w:iCs/>
          <w:lang w:eastAsia="en-GB"/>
        </w:rPr>
        <w:t>Censuses can also provide data on children who have acquired their right to a legal identity. However, censuses are conducted only every ten years (in most countries) and are therefore not well-suited for routine monitoring.</w:t>
      </w:r>
      <w:r w:rsidR="0028419B" w:rsidRPr="007B5752">
        <w:rPr>
          <w:i/>
          <w:iCs/>
          <w:lang w:eastAsia="en-GB"/>
        </w:rPr>
        <w:t>”</w:t>
      </w:r>
    </w:p>
    <w:p w14:paraId="194C425C" w14:textId="77777777" w:rsidR="0028419B" w:rsidRPr="007B5752" w:rsidRDefault="0028419B" w:rsidP="00257578"/>
    <w:p w14:paraId="5014BD27" w14:textId="130A9D96" w:rsidR="00E57261" w:rsidRPr="007B5752" w:rsidRDefault="00E57261" w:rsidP="00257578">
      <w:r w:rsidRPr="007B5752">
        <w:t xml:space="preserve">Table 1 presents an example from </w:t>
      </w:r>
      <w:hyperlink r:id="rId34" w:history="1">
        <w:r w:rsidRPr="007B5752">
          <w:rPr>
            <w:rStyle w:val="Hyperlink"/>
            <w:rFonts w:eastAsiaTheme="majorEastAsia" w:cstheme="minorHAnsi"/>
          </w:rPr>
          <w:t>MICS Ghana</w:t>
        </w:r>
      </w:hyperlink>
      <w:r w:rsidRPr="007B5752">
        <w:t>.</w:t>
      </w:r>
    </w:p>
    <w:p w14:paraId="22A73B1F" w14:textId="02F11C7F" w:rsidR="00E57261" w:rsidRPr="007B5752" w:rsidRDefault="0028419B" w:rsidP="007240CB">
      <w:pPr>
        <w:spacing w:before="0" w:after="0" w:line="240" w:lineRule="auto"/>
        <w:rPr>
          <w:rFonts w:eastAsiaTheme="majorEastAsia" w:cstheme="majorBidi"/>
          <w:b/>
          <w:iCs/>
          <w:color w:val="000000" w:themeColor="text1"/>
          <w:sz w:val="23"/>
          <w:szCs w:val="23"/>
        </w:rPr>
      </w:pPr>
      <w:r w:rsidRPr="007B5752">
        <w:rPr>
          <w:b/>
          <w:bCs/>
        </w:rPr>
        <w:br w:type="page"/>
      </w:r>
      <w:r w:rsidR="00E57261" w:rsidRPr="007B5752">
        <w:rPr>
          <w:b/>
        </w:rPr>
        <w:lastRenderedPageBreak/>
        <w:t>Table 1:</w:t>
      </w:r>
      <w:r w:rsidR="00E57261" w:rsidRPr="007B5752">
        <w:t xml:space="preserve"> Percentage of children under age 5 by whether birth is registered, and percentage of children not registered whose mothers/caretakers know how to register births, Ghana, 2017/18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Percentage of children under age 5 by whether birth is registered, and percentage of children not registered whose mothers/caretakers know how to register births, Ghana, 2017/18"/>
      </w:tblPr>
      <w:tblGrid>
        <w:gridCol w:w="2438"/>
        <w:gridCol w:w="821"/>
        <w:gridCol w:w="687"/>
        <w:gridCol w:w="687"/>
        <w:gridCol w:w="687"/>
        <w:gridCol w:w="957"/>
        <w:gridCol w:w="1632"/>
        <w:gridCol w:w="1091"/>
      </w:tblGrid>
      <w:tr w:rsidR="00E57261" w:rsidRPr="007B5752" w14:paraId="38CFE77E" w14:textId="77777777" w:rsidTr="007240CB">
        <w:tc>
          <w:tcPr>
            <w:tcW w:w="2547" w:type="dxa"/>
            <w:vMerge w:val="restart"/>
            <w:tcBorders>
              <w:top w:val="single" w:sz="12" w:space="0" w:color="auto"/>
            </w:tcBorders>
            <w:shd w:val="clear" w:color="auto" w:fill="F5F5F1"/>
            <w:noWrap/>
            <w:vAlign w:val="bottom"/>
            <w:hideMark/>
          </w:tcPr>
          <w:p w14:paraId="0493D288" w14:textId="77777777" w:rsidR="00E57261" w:rsidRPr="007B5752" w:rsidRDefault="00E57261" w:rsidP="0028419B">
            <w:pPr>
              <w:pStyle w:val="TableHeaderRow"/>
            </w:pPr>
            <w:r w:rsidRPr="007B5752">
              <w:t>Background Characteristics</w:t>
            </w:r>
          </w:p>
        </w:tc>
        <w:tc>
          <w:tcPr>
            <w:tcW w:w="5670" w:type="dxa"/>
            <w:gridSpan w:val="6"/>
            <w:tcBorders>
              <w:top w:val="single" w:sz="12" w:space="0" w:color="auto"/>
              <w:bottom w:val="single" w:sz="12" w:space="0" w:color="auto"/>
            </w:tcBorders>
            <w:shd w:val="clear" w:color="auto" w:fill="F5F5F1"/>
            <w:noWrap/>
            <w:vAlign w:val="bottom"/>
            <w:hideMark/>
          </w:tcPr>
          <w:p w14:paraId="36005CB6" w14:textId="77777777" w:rsidR="00E57261" w:rsidRPr="007B5752" w:rsidRDefault="00E57261" w:rsidP="0028419B">
            <w:pPr>
              <w:pStyle w:val="TableHeaderRow"/>
            </w:pPr>
            <w:r w:rsidRPr="007B5752">
              <w:t>Children under age 5 whose births are registered with civil authorities</w:t>
            </w:r>
          </w:p>
        </w:tc>
        <w:tc>
          <w:tcPr>
            <w:tcW w:w="1133" w:type="dxa"/>
            <w:vMerge w:val="restart"/>
            <w:tcBorders>
              <w:top w:val="single" w:sz="12" w:space="0" w:color="auto"/>
            </w:tcBorders>
            <w:shd w:val="clear" w:color="auto" w:fill="F5F5F1"/>
            <w:noWrap/>
            <w:textDirection w:val="btLr"/>
            <w:hideMark/>
          </w:tcPr>
          <w:p w14:paraId="46F17986" w14:textId="77777777" w:rsidR="00E57261" w:rsidRPr="007B5752" w:rsidRDefault="00E57261" w:rsidP="0028419B">
            <w:pPr>
              <w:pStyle w:val="TableHeaderRow"/>
              <w:spacing w:before="0" w:line="240" w:lineRule="auto"/>
              <w:ind w:left="72" w:right="72"/>
            </w:pPr>
            <w:r w:rsidRPr="007B5752">
              <w:t>Number of children under age 5 without birth registration</w:t>
            </w:r>
          </w:p>
        </w:tc>
      </w:tr>
      <w:tr w:rsidR="00E57261" w:rsidRPr="007B5752" w14:paraId="5039A65A" w14:textId="77777777" w:rsidTr="007240CB">
        <w:trPr>
          <w:trHeight w:val="864"/>
        </w:trPr>
        <w:tc>
          <w:tcPr>
            <w:tcW w:w="2547" w:type="dxa"/>
            <w:vMerge/>
            <w:shd w:val="clear" w:color="auto" w:fill="F5F5F1"/>
            <w:noWrap/>
            <w:vAlign w:val="bottom"/>
            <w:hideMark/>
          </w:tcPr>
          <w:p w14:paraId="1AF09023" w14:textId="77777777" w:rsidR="00E57261" w:rsidRPr="007B5752" w:rsidRDefault="00E57261" w:rsidP="0028419B">
            <w:pPr>
              <w:rPr>
                <w:rFonts w:asciiTheme="minorHAnsi" w:hAnsiTheme="minorHAnsi"/>
              </w:rPr>
            </w:pPr>
          </w:p>
        </w:tc>
        <w:tc>
          <w:tcPr>
            <w:tcW w:w="1559" w:type="dxa"/>
            <w:gridSpan w:val="2"/>
            <w:tcBorders>
              <w:top w:val="single" w:sz="12" w:space="0" w:color="auto"/>
              <w:bottom w:val="single" w:sz="12" w:space="0" w:color="auto"/>
            </w:tcBorders>
            <w:shd w:val="clear" w:color="auto" w:fill="F5F5F1"/>
            <w:vAlign w:val="bottom"/>
            <w:hideMark/>
          </w:tcPr>
          <w:p w14:paraId="19D64D82" w14:textId="77777777" w:rsidR="00E57261" w:rsidRPr="007B5752" w:rsidRDefault="00E57261" w:rsidP="0028419B">
            <w:pPr>
              <w:pStyle w:val="TableHeaderRow"/>
            </w:pPr>
            <w:r w:rsidRPr="007B5752">
              <w:t>Have birth certificate</w:t>
            </w:r>
          </w:p>
        </w:tc>
        <w:tc>
          <w:tcPr>
            <w:tcW w:w="709" w:type="dxa"/>
            <w:vMerge w:val="restart"/>
            <w:tcBorders>
              <w:top w:val="single" w:sz="12" w:space="0" w:color="auto"/>
            </w:tcBorders>
            <w:shd w:val="clear" w:color="auto" w:fill="F5F5F1"/>
            <w:textDirection w:val="btLr"/>
            <w:hideMark/>
          </w:tcPr>
          <w:p w14:paraId="4D682FF2" w14:textId="77777777" w:rsidR="00E57261" w:rsidRPr="007B5752" w:rsidRDefault="00E57261" w:rsidP="0028419B">
            <w:pPr>
              <w:pStyle w:val="TableHeaderRow"/>
              <w:spacing w:before="0"/>
              <w:ind w:left="72" w:right="72"/>
            </w:pPr>
            <w:r w:rsidRPr="007B5752">
              <w:t>No birth certificate (%)</w:t>
            </w:r>
          </w:p>
        </w:tc>
        <w:tc>
          <w:tcPr>
            <w:tcW w:w="709" w:type="dxa"/>
            <w:vMerge w:val="restart"/>
            <w:tcBorders>
              <w:top w:val="single" w:sz="12" w:space="0" w:color="auto"/>
            </w:tcBorders>
            <w:shd w:val="clear" w:color="auto" w:fill="F5F5F1"/>
            <w:textDirection w:val="btLr"/>
            <w:hideMark/>
          </w:tcPr>
          <w:p w14:paraId="310427D6" w14:textId="77777777" w:rsidR="00E57261" w:rsidRPr="007B5752" w:rsidRDefault="00E57261" w:rsidP="0028419B">
            <w:pPr>
              <w:pStyle w:val="TableHeaderRow"/>
              <w:spacing w:before="0" w:line="240" w:lineRule="auto"/>
              <w:ind w:left="72" w:right="72"/>
            </w:pPr>
            <w:r w:rsidRPr="007B5752">
              <w:t>Total registered (%)</w:t>
            </w:r>
          </w:p>
        </w:tc>
        <w:tc>
          <w:tcPr>
            <w:tcW w:w="992" w:type="dxa"/>
            <w:vMerge w:val="restart"/>
            <w:tcBorders>
              <w:top w:val="single" w:sz="12" w:space="0" w:color="auto"/>
            </w:tcBorders>
            <w:shd w:val="clear" w:color="auto" w:fill="F5F5F1"/>
            <w:textDirection w:val="btLr"/>
            <w:hideMark/>
          </w:tcPr>
          <w:p w14:paraId="07791D2E" w14:textId="77777777" w:rsidR="00E57261" w:rsidRPr="007B5752" w:rsidRDefault="00E57261" w:rsidP="0028419B">
            <w:pPr>
              <w:pStyle w:val="TableHeaderRow"/>
              <w:spacing w:before="0" w:line="240" w:lineRule="auto"/>
              <w:ind w:left="72" w:right="72"/>
            </w:pPr>
            <w:r w:rsidRPr="007B5752">
              <w:t xml:space="preserve">Number of children </w:t>
            </w:r>
            <w:proofErr w:type="gramStart"/>
            <w:r w:rsidRPr="007B5752">
              <w:t>under age</w:t>
            </w:r>
            <w:proofErr w:type="gramEnd"/>
            <w:r w:rsidRPr="007B5752">
              <w:t xml:space="preserve"> 5</w:t>
            </w:r>
          </w:p>
        </w:tc>
        <w:tc>
          <w:tcPr>
            <w:tcW w:w="1701" w:type="dxa"/>
            <w:vMerge w:val="restart"/>
            <w:tcBorders>
              <w:top w:val="single" w:sz="12" w:space="0" w:color="auto"/>
            </w:tcBorders>
            <w:shd w:val="clear" w:color="auto" w:fill="F5F5F1"/>
            <w:textDirection w:val="btLr"/>
            <w:hideMark/>
          </w:tcPr>
          <w:p w14:paraId="4C61186B" w14:textId="77777777" w:rsidR="00E57261" w:rsidRPr="007B5752" w:rsidRDefault="00E57261" w:rsidP="0028419B">
            <w:pPr>
              <w:pStyle w:val="TableHeaderRow"/>
              <w:spacing w:before="0" w:line="240" w:lineRule="auto"/>
              <w:ind w:left="72" w:right="72"/>
            </w:pPr>
            <w:r w:rsidRPr="007B5752">
              <w:t>Children whose mothers/ caretakers know how to register births (%)</w:t>
            </w:r>
          </w:p>
        </w:tc>
        <w:tc>
          <w:tcPr>
            <w:tcW w:w="1133" w:type="dxa"/>
            <w:vMerge/>
            <w:shd w:val="clear" w:color="auto" w:fill="F5F5F1"/>
            <w:hideMark/>
          </w:tcPr>
          <w:p w14:paraId="43F2AF3E" w14:textId="77777777" w:rsidR="00E57261" w:rsidRPr="007B5752" w:rsidRDefault="00E57261" w:rsidP="0028419B">
            <w:pPr>
              <w:spacing w:before="0"/>
              <w:rPr>
                <w:rFonts w:asciiTheme="minorHAnsi" w:hAnsiTheme="minorHAnsi"/>
              </w:rPr>
            </w:pPr>
          </w:p>
        </w:tc>
      </w:tr>
      <w:tr w:rsidR="00B83882" w:rsidRPr="007B5752" w14:paraId="6F04C52A" w14:textId="77777777" w:rsidTr="007240CB">
        <w:trPr>
          <w:trHeight w:val="1680"/>
        </w:trPr>
        <w:tc>
          <w:tcPr>
            <w:tcW w:w="2547" w:type="dxa"/>
            <w:vMerge/>
            <w:tcBorders>
              <w:bottom w:val="single" w:sz="12" w:space="0" w:color="auto"/>
            </w:tcBorders>
            <w:shd w:val="clear" w:color="auto" w:fill="F5F5F1"/>
            <w:vAlign w:val="bottom"/>
            <w:hideMark/>
          </w:tcPr>
          <w:p w14:paraId="4EAFB9D0" w14:textId="77777777" w:rsidR="00E57261" w:rsidRPr="007B5752" w:rsidRDefault="00E57261" w:rsidP="0028419B">
            <w:pPr>
              <w:rPr>
                <w:rFonts w:asciiTheme="minorHAnsi" w:hAnsiTheme="minorHAnsi"/>
              </w:rPr>
            </w:pPr>
          </w:p>
        </w:tc>
        <w:tc>
          <w:tcPr>
            <w:tcW w:w="850" w:type="dxa"/>
            <w:tcBorders>
              <w:top w:val="single" w:sz="12" w:space="0" w:color="auto"/>
              <w:bottom w:val="single" w:sz="12" w:space="0" w:color="auto"/>
            </w:tcBorders>
            <w:shd w:val="clear" w:color="auto" w:fill="F5F5F1"/>
            <w:noWrap/>
            <w:textDirection w:val="btLr"/>
            <w:hideMark/>
          </w:tcPr>
          <w:p w14:paraId="467848B6" w14:textId="77777777" w:rsidR="00E57261" w:rsidRPr="007B5752" w:rsidRDefault="00E57261" w:rsidP="0028419B">
            <w:pPr>
              <w:pStyle w:val="TableHeaderRow"/>
              <w:spacing w:before="0"/>
              <w:ind w:left="72" w:right="72"/>
            </w:pPr>
            <w:r w:rsidRPr="007B5752">
              <w:t>Seen (%)</w:t>
            </w:r>
          </w:p>
        </w:tc>
        <w:tc>
          <w:tcPr>
            <w:tcW w:w="709" w:type="dxa"/>
            <w:tcBorders>
              <w:top w:val="single" w:sz="12" w:space="0" w:color="auto"/>
              <w:bottom w:val="single" w:sz="12" w:space="0" w:color="auto"/>
            </w:tcBorders>
            <w:shd w:val="clear" w:color="auto" w:fill="F5F5F1"/>
            <w:noWrap/>
            <w:textDirection w:val="btLr"/>
            <w:hideMark/>
          </w:tcPr>
          <w:p w14:paraId="0F8A5A64" w14:textId="77777777" w:rsidR="00E57261" w:rsidRPr="007B5752" w:rsidRDefault="00E57261" w:rsidP="0028419B">
            <w:pPr>
              <w:pStyle w:val="TableHeaderRow"/>
              <w:spacing w:before="0"/>
              <w:ind w:left="72" w:right="72"/>
            </w:pPr>
            <w:r w:rsidRPr="007B5752">
              <w:t>Not seen (%)</w:t>
            </w:r>
          </w:p>
        </w:tc>
        <w:tc>
          <w:tcPr>
            <w:tcW w:w="709" w:type="dxa"/>
            <w:vMerge/>
            <w:tcBorders>
              <w:bottom w:val="single" w:sz="12" w:space="0" w:color="auto"/>
            </w:tcBorders>
            <w:shd w:val="clear" w:color="auto" w:fill="F5F5F1"/>
            <w:noWrap/>
            <w:vAlign w:val="bottom"/>
            <w:hideMark/>
          </w:tcPr>
          <w:p w14:paraId="49BA73DC" w14:textId="77777777" w:rsidR="00E57261" w:rsidRPr="007B5752" w:rsidRDefault="00E57261" w:rsidP="0028419B">
            <w:pPr>
              <w:rPr>
                <w:rFonts w:asciiTheme="minorHAnsi" w:hAnsiTheme="minorHAnsi"/>
              </w:rPr>
            </w:pPr>
          </w:p>
        </w:tc>
        <w:tc>
          <w:tcPr>
            <w:tcW w:w="709" w:type="dxa"/>
            <w:vMerge/>
            <w:tcBorders>
              <w:bottom w:val="single" w:sz="12" w:space="0" w:color="auto"/>
            </w:tcBorders>
            <w:shd w:val="clear" w:color="auto" w:fill="F5F5F1"/>
            <w:noWrap/>
            <w:vAlign w:val="bottom"/>
            <w:hideMark/>
          </w:tcPr>
          <w:p w14:paraId="10FBAE58" w14:textId="77777777" w:rsidR="00E57261" w:rsidRPr="007B5752" w:rsidRDefault="00E57261" w:rsidP="0028419B">
            <w:pPr>
              <w:rPr>
                <w:rFonts w:asciiTheme="minorHAnsi" w:hAnsiTheme="minorHAnsi"/>
              </w:rPr>
            </w:pPr>
          </w:p>
        </w:tc>
        <w:tc>
          <w:tcPr>
            <w:tcW w:w="992" w:type="dxa"/>
            <w:vMerge/>
            <w:tcBorders>
              <w:bottom w:val="single" w:sz="12" w:space="0" w:color="auto"/>
            </w:tcBorders>
            <w:shd w:val="clear" w:color="auto" w:fill="F5F5F1"/>
            <w:noWrap/>
            <w:vAlign w:val="bottom"/>
            <w:hideMark/>
          </w:tcPr>
          <w:p w14:paraId="225C1D45" w14:textId="77777777" w:rsidR="00E57261" w:rsidRPr="007B5752" w:rsidRDefault="00E57261" w:rsidP="0028419B">
            <w:pPr>
              <w:rPr>
                <w:rFonts w:asciiTheme="minorHAnsi" w:hAnsiTheme="minorHAnsi"/>
              </w:rPr>
            </w:pPr>
          </w:p>
        </w:tc>
        <w:tc>
          <w:tcPr>
            <w:tcW w:w="1701" w:type="dxa"/>
            <w:vMerge/>
            <w:tcBorders>
              <w:bottom w:val="single" w:sz="12" w:space="0" w:color="auto"/>
            </w:tcBorders>
            <w:shd w:val="clear" w:color="auto" w:fill="F5F5F1"/>
            <w:noWrap/>
            <w:vAlign w:val="bottom"/>
            <w:hideMark/>
          </w:tcPr>
          <w:p w14:paraId="42DB957E" w14:textId="77777777" w:rsidR="00E57261" w:rsidRPr="007B5752" w:rsidRDefault="00E57261" w:rsidP="0028419B">
            <w:pPr>
              <w:rPr>
                <w:rFonts w:asciiTheme="minorHAnsi" w:hAnsiTheme="minorHAnsi"/>
              </w:rPr>
            </w:pPr>
          </w:p>
        </w:tc>
        <w:tc>
          <w:tcPr>
            <w:tcW w:w="1133" w:type="dxa"/>
            <w:vMerge/>
            <w:tcBorders>
              <w:bottom w:val="single" w:sz="12" w:space="0" w:color="auto"/>
            </w:tcBorders>
            <w:shd w:val="clear" w:color="auto" w:fill="F5F5F1"/>
            <w:noWrap/>
            <w:hideMark/>
          </w:tcPr>
          <w:p w14:paraId="7D02C9CD" w14:textId="77777777" w:rsidR="00E57261" w:rsidRPr="007B5752" w:rsidRDefault="00E57261" w:rsidP="0028419B">
            <w:pPr>
              <w:spacing w:before="0"/>
              <w:rPr>
                <w:rFonts w:asciiTheme="minorHAnsi" w:hAnsiTheme="minorHAnsi"/>
              </w:rPr>
            </w:pPr>
          </w:p>
        </w:tc>
      </w:tr>
      <w:tr w:rsidR="00B83882" w:rsidRPr="007B5752" w14:paraId="06851C6A" w14:textId="77777777" w:rsidTr="007240CB">
        <w:tc>
          <w:tcPr>
            <w:tcW w:w="2547" w:type="dxa"/>
            <w:tcBorders>
              <w:top w:val="single" w:sz="12" w:space="0" w:color="auto"/>
              <w:bottom w:val="single" w:sz="12" w:space="0" w:color="auto"/>
            </w:tcBorders>
            <w:shd w:val="clear" w:color="auto" w:fill="F5F5F1"/>
            <w:hideMark/>
          </w:tcPr>
          <w:p w14:paraId="250CDAAA" w14:textId="77777777" w:rsidR="00E57261" w:rsidRPr="007B5752" w:rsidRDefault="00E57261" w:rsidP="00B23A69">
            <w:r w:rsidRPr="007B5752">
              <w:t>Total</w:t>
            </w:r>
          </w:p>
        </w:tc>
        <w:tc>
          <w:tcPr>
            <w:tcW w:w="850" w:type="dxa"/>
            <w:tcBorders>
              <w:top w:val="single" w:sz="12" w:space="0" w:color="auto"/>
              <w:bottom w:val="single" w:sz="12" w:space="0" w:color="auto"/>
            </w:tcBorders>
            <w:shd w:val="clear" w:color="auto" w:fill="F5F5F1"/>
            <w:noWrap/>
            <w:hideMark/>
          </w:tcPr>
          <w:p w14:paraId="792D6FB7" w14:textId="77777777" w:rsidR="00E57261" w:rsidRPr="007B5752" w:rsidRDefault="00E57261" w:rsidP="00B23A69">
            <w:r w:rsidRPr="007B5752">
              <w:t>43.0</w:t>
            </w:r>
          </w:p>
        </w:tc>
        <w:tc>
          <w:tcPr>
            <w:tcW w:w="709" w:type="dxa"/>
            <w:tcBorders>
              <w:top w:val="single" w:sz="12" w:space="0" w:color="auto"/>
              <w:bottom w:val="single" w:sz="12" w:space="0" w:color="auto"/>
            </w:tcBorders>
            <w:shd w:val="clear" w:color="auto" w:fill="F5F5F1"/>
            <w:noWrap/>
            <w:hideMark/>
          </w:tcPr>
          <w:p w14:paraId="5F23B604" w14:textId="77777777" w:rsidR="00E57261" w:rsidRPr="007B5752" w:rsidRDefault="00E57261" w:rsidP="00B23A69">
            <w:r w:rsidRPr="007B5752">
              <w:t>18.9</w:t>
            </w:r>
          </w:p>
        </w:tc>
        <w:tc>
          <w:tcPr>
            <w:tcW w:w="709" w:type="dxa"/>
            <w:tcBorders>
              <w:top w:val="single" w:sz="12" w:space="0" w:color="auto"/>
              <w:bottom w:val="single" w:sz="12" w:space="0" w:color="auto"/>
            </w:tcBorders>
            <w:shd w:val="clear" w:color="auto" w:fill="F5F5F1"/>
            <w:noWrap/>
            <w:hideMark/>
          </w:tcPr>
          <w:p w14:paraId="780A9EED" w14:textId="77777777" w:rsidR="00E57261" w:rsidRPr="007B5752" w:rsidRDefault="00E57261" w:rsidP="00B23A69">
            <w:r w:rsidRPr="007B5752">
              <w:t>8.7</w:t>
            </w:r>
          </w:p>
        </w:tc>
        <w:tc>
          <w:tcPr>
            <w:tcW w:w="709" w:type="dxa"/>
            <w:tcBorders>
              <w:top w:val="single" w:sz="12" w:space="0" w:color="auto"/>
              <w:bottom w:val="single" w:sz="12" w:space="0" w:color="auto"/>
            </w:tcBorders>
            <w:shd w:val="clear" w:color="auto" w:fill="F5F5F1"/>
            <w:noWrap/>
            <w:hideMark/>
          </w:tcPr>
          <w:p w14:paraId="4A7FE461" w14:textId="77777777" w:rsidR="00E57261" w:rsidRPr="007B5752" w:rsidRDefault="00E57261" w:rsidP="00B23A69">
            <w:r w:rsidRPr="007B5752">
              <w:t>70.6</w:t>
            </w:r>
          </w:p>
        </w:tc>
        <w:tc>
          <w:tcPr>
            <w:tcW w:w="992" w:type="dxa"/>
            <w:tcBorders>
              <w:top w:val="single" w:sz="12" w:space="0" w:color="auto"/>
              <w:bottom w:val="single" w:sz="12" w:space="0" w:color="auto"/>
            </w:tcBorders>
            <w:shd w:val="clear" w:color="auto" w:fill="F5F5F1"/>
            <w:noWrap/>
            <w:hideMark/>
          </w:tcPr>
          <w:p w14:paraId="276947DD" w14:textId="77777777" w:rsidR="00E57261" w:rsidRPr="007B5752" w:rsidRDefault="00E57261" w:rsidP="00B23A69">
            <w:r w:rsidRPr="007B5752">
              <w:t>8,879</w:t>
            </w:r>
          </w:p>
        </w:tc>
        <w:tc>
          <w:tcPr>
            <w:tcW w:w="1701" w:type="dxa"/>
            <w:tcBorders>
              <w:top w:val="single" w:sz="12" w:space="0" w:color="auto"/>
              <w:bottom w:val="single" w:sz="12" w:space="0" w:color="auto"/>
            </w:tcBorders>
            <w:shd w:val="clear" w:color="auto" w:fill="F5F5F1"/>
            <w:noWrap/>
            <w:hideMark/>
          </w:tcPr>
          <w:p w14:paraId="0CF6AEF9" w14:textId="77777777" w:rsidR="00E57261" w:rsidRPr="007B5752" w:rsidRDefault="00E57261" w:rsidP="00B23A69">
            <w:r w:rsidRPr="007B5752">
              <w:t>55.0</w:t>
            </w:r>
          </w:p>
        </w:tc>
        <w:tc>
          <w:tcPr>
            <w:tcW w:w="1133" w:type="dxa"/>
            <w:tcBorders>
              <w:top w:val="single" w:sz="12" w:space="0" w:color="auto"/>
              <w:bottom w:val="single" w:sz="12" w:space="0" w:color="auto"/>
            </w:tcBorders>
            <w:shd w:val="clear" w:color="auto" w:fill="F5F5F1"/>
            <w:noWrap/>
            <w:hideMark/>
          </w:tcPr>
          <w:p w14:paraId="6EA33715" w14:textId="77777777" w:rsidR="00E57261" w:rsidRPr="007B5752" w:rsidRDefault="00E57261" w:rsidP="00B23A69">
            <w:r w:rsidRPr="007B5752">
              <w:t>2,610</w:t>
            </w:r>
          </w:p>
        </w:tc>
      </w:tr>
      <w:tr w:rsidR="00E57261" w:rsidRPr="007B5752" w14:paraId="7B492D8F" w14:textId="77777777" w:rsidTr="007240CB">
        <w:tc>
          <w:tcPr>
            <w:tcW w:w="9350" w:type="dxa"/>
            <w:gridSpan w:val="8"/>
            <w:tcBorders>
              <w:top w:val="single" w:sz="12" w:space="0" w:color="auto"/>
              <w:bottom w:val="single" w:sz="12" w:space="0" w:color="auto"/>
            </w:tcBorders>
            <w:shd w:val="clear" w:color="auto" w:fill="F5F5F1"/>
            <w:hideMark/>
          </w:tcPr>
          <w:p w14:paraId="3B9FC4AE" w14:textId="77777777" w:rsidR="00E57261" w:rsidRPr="007B5752" w:rsidRDefault="00E57261" w:rsidP="00B23A69">
            <w:pPr>
              <w:rPr>
                <w:b/>
                <w:bCs/>
                <w:i/>
                <w:iCs/>
              </w:rPr>
            </w:pPr>
            <w:r w:rsidRPr="007B5752">
              <w:rPr>
                <w:b/>
                <w:bCs/>
                <w:i/>
                <w:iCs/>
              </w:rPr>
              <w:t>Sex</w:t>
            </w:r>
          </w:p>
        </w:tc>
      </w:tr>
      <w:tr w:rsidR="00E57261" w:rsidRPr="007B5752" w14:paraId="16344058" w14:textId="77777777" w:rsidTr="007240CB">
        <w:tc>
          <w:tcPr>
            <w:tcW w:w="2547" w:type="dxa"/>
            <w:tcBorders>
              <w:top w:val="single" w:sz="12" w:space="0" w:color="auto"/>
            </w:tcBorders>
            <w:shd w:val="clear" w:color="auto" w:fill="F5F5F1"/>
            <w:hideMark/>
          </w:tcPr>
          <w:p w14:paraId="4165CBCC" w14:textId="77777777" w:rsidR="00E57261" w:rsidRPr="007B5752" w:rsidRDefault="00E57261" w:rsidP="00B23A69">
            <w:r w:rsidRPr="007B5752">
              <w:t>Male</w:t>
            </w:r>
          </w:p>
        </w:tc>
        <w:tc>
          <w:tcPr>
            <w:tcW w:w="850" w:type="dxa"/>
            <w:tcBorders>
              <w:top w:val="single" w:sz="12" w:space="0" w:color="auto"/>
            </w:tcBorders>
            <w:shd w:val="clear" w:color="auto" w:fill="F5F5F1"/>
            <w:noWrap/>
            <w:hideMark/>
          </w:tcPr>
          <w:p w14:paraId="79482CE5" w14:textId="77777777" w:rsidR="00E57261" w:rsidRPr="007B5752" w:rsidRDefault="00E57261" w:rsidP="00B23A69">
            <w:r w:rsidRPr="007B5752">
              <w:t>43.5</w:t>
            </w:r>
          </w:p>
        </w:tc>
        <w:tc>
          <w:tcPr>
            <w:tcW w:w="709" w:type="dxa"/>
            <w:tcBorders>
              <w:top w:val="single" w:sz="12" w:space="0" w:color="auto"/>
            </w:tcBorders>
            <w:shd w:val="clear" w:color="auto" w:fill="F5F5F1"/>
            <w:noWrap/>
            <w:hideMark/>
          </w:tcPr>
          <w:p w14:paraId="60EF3A96" w14:textId="77777777" w:rsidR="00E57261" w:rsidRPr="007B5752" w:rsidRDefault="00E57261" w:rsidP="00B23A69">
            <w:r w:rsidRPr="007B5752">
              <w:t>19.6</w:t>
            </w:r>
          </w:p>
        </w:tc>
        <w:tc>
          <w:tcPr>
            <w:tcW w:w="709" w:type="dxa"/>
            <w:tcBorders>
              <w:top w:val="single" w:sz="12" w:space="0" w:color="auto"/>
            </w:tcBorders>
            <w:shd w:val="clear" w:color="auto" w:fill="F5F5F1"/>
            <w:noWrap/>
            <w:hideMark/>
          </w:tcPr>
          <w:p w14:paraId="54A76DD3" w14:textId="77777777" w:rsidR="00E57261" w:rsidRPr="007B5752" w:rsidRDefault="00E57261" w:rsidP="00B23A69">
            <w:r w:rsidRPr="007B5752">
              <w:t>8.9</w:t>
            </w:r>
          </w:p>
        </w:tc>
        <w:tc>
          <w:tcPr>
            <w:tcW w:w="709" w:type="dxa"/>
            <w:tcBorders>
              <w:top w:val="single" w:sz="12" w:space="0" w:color="auto"/>
            </w:tcBorders>
            <w:shd w:val="clear" w:color="auto" w:fill="F5F5F1"/>
            <w:noWrap/>
            <w:hideMark/>
          </w:tcPr>
          <w:p w14:paraId="362D0F9E" w14:textId="77777777" w:rsidR="00E57261" w:rsidRPr="007B5752" w:rsidRDefault="00E57261" w:rsidP="00B23A69">
            <w:r w:rsidRPr="007B5752">
              <w:t>72.0</w:t>
            </w:r>
          </w:p>
        </w:tc>
        <w:tc>
          <w:tcPr>
            <w:tcW w:w="992" w:type="dxa"/>
            <w:tcBorders>
              <w:top w:val="single" w:sz="12" w:space="0" w:color="auto"/>
            </w:tcBorders>
            <w:shd w:val="clear" w:color="auto" w:fill="F5F5F1"/>
            <w:noWrap/>
            <w:hideMark/>
          </w:tcPr>
          <w:p w14:paraId="79BD03AD" w14:textId="77777777" w:rsidR="00E57261" w:rsidRPr="007B5752" w:rsidRDefault="00E57261" w:rsidP="00B23A69">
            <w:r w:rsidRPr="007B5752">
              <w:t>4,370</w:t>
            </w:r>
          </w:p>
        </w:tc>
        <w:tc>
          <w:tcPr>
            <w:tcW w:w="1701" w:type="dxa"/>
            <w:tcBorders>
              <w:top w:val="single" w:sz="12" w:space="0" w:color="auto"/>
            </w:tcBorders>
            <w:shd w:val="clear" w:color="auto" w:fill="F5F5F1"/>
            <w:noWrap/>
            <w:hideMark/>
          </w:tcPr>
          <w:p w14:paraId="6342F789" w14:textId="77777777" w:rsidR="00E57261" w:rsidRPr="007B5752" w:rsidRDefault="00E57261" w:rsidP="00B23A69">
            <w:r w:rsidRPr="007B5752">
              <w:t>55.2</w:t>
            </w:r>
          </w:p>
        </w:tc>
        <w:tc>
          <w:tcPr>
            <w:tcW w:w="1133" w:type="dxa"/>
            <w:tcBorders>
              <w:top w:val="single" w:sz="12" w:space="0" w:color="auto"/>
            </w:tcBorders>
            <w:shd w:val="clear" w:color="auto" w:fill="F5F5F1"/>
            <w:noWrap/>
            <w:hideMark/>
          </w:tcPr>
          <w:p w14:paraId="1B1F2DFF" w14:textId="77777777" w:rsidR="00E57261" w:rsidRPr="007B5752" w:rsidRDefault="00E57261" w:rsidP="00B23A69">
            <w:r w:rsidRPr="007B5752">
              <w:t>1,222</w:t>
            </w:r>
          </w:p>
        </w:tc>
      </w:tr>
      <w:tr w:rsidR="00B83882" w:rsidRPr="007B5752" w14:paraId="0F031474" w14:textId="77777777" w:rsidTr="007240CB">
        <w:tc>
          <w:tcPr>
            <w:tcW w:w="2547" w:type="dxa"/>
            <w:tcBorders>
              <w:bottom w:val="single" w:sz="12" w:space="0" w:color="auto"/>
            </w:tcBorders>
            <w:shd w:val="clear" w:color="auto" w:fill="F5F5F1"/>
            <w:hideMark/>
          </w:tcPr>
          <w:p w14:paraId="6D9525FD" w14:textId="77777777" w:rsidR="00E57261" w:rsidRPr="007B5752" w:rsidRDefault="00E57261" w:rsidP="00B23A69">
            <w:r w:rsidRPr="007B5752">
              <w:t>Female</w:t>
            </w:r>
          </w:p>
        </w:tc>
        <w:tc>
          <w:tcPr>
            <w:tcW w:w="850" w:type="dxa"/>
            <w:tcBorders>
              <w:bottom w:val="single" w:sz="12" w:space="0" w:color="auto"/>
            </w:tcBorders>
            <w:shd w:val="clear" w:color="auto" w:fill="F5F5F1"/>
            <w:noWrap/>
            <w:hideMark/>
          </w:tcPr>
          <w:p w14:paraId="0DDF59B1" w14:textId="77777777" w:rsidR="00E57261" w:rsidRPr="007B5752" w:rsidRDefault="00E57261" w:rsidP="00B23A69">
            <w:r w:rsidRPr="007B5752">
              <w:t>42.5</w:t>
            </w:r>
          </w:p>
        </w:tc>
        <w:tc>
          <w:tcPr>
            <w:tcW w:w="709" w:type="dxa"/>
            <w:tcBorders>
              <w:bottom w:val="single" w:sz="12" w:space="0" w:color="auto"/>
            </w:tcBorders>
            <w:shd w:val="clear" w:color="auto" w:fill="F5F5F1"/>
            <w:noWrap/>
            <w:hideMark/>
          </w:tcPr>
          <w:p w14:paraId="4C809BAA" w14:textId="77777777" w:rsidR="00E57261" w:rsidRPr="007B5752" w:rsidRDefault="00E57261" w:rsidP="00B23A69">
            <w:r w:rsidRPr="007B5752">
              <w:t>18.2</w:t>
            </w:r>
          </w:p>
        </w:tc>
        <w:tc>
          <w:tcPr>
            <w:tcW w:w="709" w:type="dxa"/>
            <w:tcBorders>
              <w:bottom w:val="single" w:sz="12" w:space="0" w:color="auto"/>
            </w:tcBorders>
            <w:shd w:val="clear" w:color="auto" w:fill="F5F5F1"/>
            <w:noWrap/>
            <w:hideMark/>
          </w:tcPr>
          <w:p w14:paraId="7CE0A3B8" w14:textId="77777777" w:rsidR="00E57261" w:rsidRPr="007B5752" w:rsidRDefault="00E57261" w:rsidP="00B23A69">
            <w:r w:rsidRPr="007B5752">
              <w:t>8.6</w:t>
            </w:r>
          </w:p>
        </w:tc>
        <w:tc>
          <w:tcPr>
            <w:tcW w:w="709" w:type="dxa"/>
            <w:tcBorders>
              <w:bottom w:val="single" w:sz="12" w:space="0" w:color="auto"/>
            </w:tcBorders>
            <w:shd w:val="clear" w:color="auto" w:fill="F5F5F1"/>
            <w:noWrap/>
            <w:hideMark/>
          </w:tcPr>
          <w:p w14:paraId="50F5B750" w14:textId="77777777" w:rsidR="00E57261" w:rsidRPr="007B5752" w:rsidRDefault="00E57261" w:rsidP="00B23A69">
            <w:r w:rsidRPr="007B5752">
              <w:t>69.3</w:t>
            </w:r>
          </w:p>
        </w:tc>
        <w:tc>
          <w:tcPr>
            <w:tcW w:w="992" w:type="dxa"/>
            <w:tcBorders>
              <w:bottom w:val="single" w:sz="12" w:space="0" w:color="auto"/>
            </w:tcBorders>
            <w:shd w:val="clear" w:color="auto" w:fill="F5F5F1"/>
            <w:noWrap/>
            <w:hideMark/>
          </w:tcPr>
          <w:p w14:paraId="7D86606F" w14:textId="77777777" w:rsidR="00E57261" w:rsidRPr="007B5752" w:rsidRDefault="00E57261" w:rsidP="00B23A69">
            <w:r w:rsidRPr="007B5752">
              <w:t>4,509</w:t>
            </w:r>
          </w:p>
        </w:tc>
        <w:tc>
          <w:tcPr>
            <w:tcW w:w="1701" w:type="dxa"/>
            <w:tcBorders>
              <w:bottom w:val="single" w:sz="12" w:space="0" w:color="auto"/>
            </w:tcBorders>
            <w:shd w:val="clear" w:color="auto" w:fill="F5F5F1"/>
            <w:noWrap/>
            <w:hideMark/>
          </w:tcPr>
          <w:p w14:paraId="272E8381" w14:textId="77777777" w:rsidR="00E57261" w:rsidRPr="007B5752" w:rsidRDefault="00E57261" w:rsidP="00B23A69">
            <w:r w:rsidRPr="007B5752">
              <w:t>54.9</w:t>
            </w:r>
          </w:p>
        </w:tc>
        <w:tc>
          <w:tcPr>
            <w:tcW w:w="1133" w:type="dxa"/>
            <w:tcBorders>
              <w:bottom w:val="single" w:sz="12" w:space="0" w:color="auto"/>
            </w:tcBorders>
            <w:shd w:val="clear" w:color="auto" w:fill="F5F5F1"/>
            <w:noWrap/>
            <w:hideMark/>
          </w:tcPr>
          <w:p w14:paraId="3E77A509" w14:textId="77777777" w:rsidR="00E57261" w:rsidRPr="007B5752" w:rsidRDefault="00E57261" w:rsidP="00B23A69">
            <w:r w:rsidRPr="007B5752">
              <w:t>1,388</w:t>
            </w:r>
          </w:p>
        </w:tc>
      </w:tr>
      <w:tr w:rsidR="00E57261" w:rsidRPr="007B5752" w14:paraId="665C1FB5" w14:textId="77777777" w:rsidTr="007240CB">
        <w:tc>
          <w:tcPr>
            <w:tcW w:w="9350" w:type="dxa"/>
            <w:gridSpan w:val="8"/>
            <w:tcBorders>
              <w:top w:val="single" w:sz="12" w:space="0" w:color="auto"/>
              <w:bottom w:val="single" w:sz="12" w:space="0" w:color="auto"/>
            </w:tcBorders>
            <w:shd w:val="clear" w:color="auto" w:fill="F5F5F1"/>
            <w:hideMark/>
          </w:tcPr>
          <w:p w14:paraId="043452E0" w14:textId="77777777" w:rsidR="00E57261" w:rsidRPr="007B5752" w:rsidRDefault="00E57261" w:rsidP="00B23A69">
            <w:pPr>
              <w:rPr>
                <w:b/>
                <w:bCs/>
                <w:i/>
                <w:iCs/>
              </w:rPr>
            </w:pPr>
            <w:r w:rsidRPr="007B5752">
              <w:rPr>
                <w:b/>
                <w:bCs/>
                <w:i/>
                <w:iCs/>
              </w:rPr>
              <w:t>Age (in months)</w:t>
            </w:r>
          </w:p>
        </w:tc>
      </w:tr>
      <w:tr w:rsidR="00E57261" w:rsidRPr="007B5752" w14:paraId="6F560A75" w14:textId="77777777" w:rsidTr="007240CB">
        <w:tc>
          <w:tcPr>
            <w:tcW w:w="2547" w:type="dxa"/>
            <w:tcBorders>
              <w:top w:val="single" w:sz="12" w:space="0" w:color="auto"/>
            </w:tcBorders>
            <w:shd w:val="clear" w:color="auto" w:fill="F5F5F1"/>
            <w:hideMark/>
          </w:tcPr>
          <w:p w14:paraId="773955C4" w14:textId="77777777" w:rsidR="00E57261" w:rsidRPr="007B5752" w:rsidRDefault="00E57261" w:rsidP="00B23A69">
            <w:r w:rsidRPr="007B5752">
              <w:t>0-11</w:t>
            </w:r>
          </w:p>
        </w:tc>
        <w:tc>
          <w:tcPr>
            <w:tcW w:w="850" w:type="dxa"/>
            <w:tcBorders>
              <w:top w:val="single" w:sz="12" w:space="0" w:color="auto"/>
            </w:tcBorders>
            <w:shd w:val="clear" w:color="auto" w:fill="F5F5F1"/>
            <w:noWrap/>
            <w:hideMark/>
          </w:tcPr>
          <w:p w14:paraId="6D9C396F" w14:textId="77777777" w:rsidR="00E57261" w:rsidRPr="007B5752" w:rsidRDefault="00E57261" w:rsidP="00B23A69">
            <w:r w:rsidRPr="007B5752">
              <w:t>34.2</w:t>
            </w:r>
          </w:p>
        </w:tc>
        <w:tc>
          <w:tcPr>
            <w:tcW w:w="709" w:type="dxa"/>
            <w:tcBorders>
              <w:top w:val="single" w:sz="12" w:space="0" w:color="auto"/>
            </w:tcBorders>
            <w:shd w:val="clear" w:color="auto" w:fill="F5F5F1"/>
            <w:noWrap/>
            <w:hideMark/>
          </w:tcPr>
          <w:p w14:paraId="1D54537C" w14:textId="77777777" w:rsidR="00E57261" w:rsidRPr="007B5752" w:rsidRDefault="00E57261" w:rsidP="00B23A69">
            <w:r w:rsidRPr="007B5752">
              <w:t>10.3</w:t>
            </w:r>
          </w:p>
        </w:tc>
        <w:tc>
          <w:tcPr>
            <w:tcW w:w="709" w:type="dxa"/>
            <w:tcBorders>
              <w:top w:val="single" w:sz="12" w:space="0" w:color="auto"/>
            </w:tcBorders>
            <w:shd w:val="clear" w:color="auto" w:fill="F5F5F1"/>
            <w:noWrap/>
            <w:hideMark/>
          </w:tcPr>
          <w:p w14:paraId="47136EC6" w14:textId="77777777" w:rsidR="00E57261" w:rsidRPr="007B5752" w:rsidRDefault="00E57261" w:rsidP="00B23A69">
            <w:r w:rsidRPr="007B5752">
              <w:t>13.0</w:t>
            </w:r>
          </w:p>
        </w:tc>
        <w:tc>
          <w:tcPr>
            <w:tcW w:w="709" w:type="dxa"/>
            <w:tcBorders>
              <w:top w:val="single" w:sz="12" w:space="0" w:color="auto"/>
            </w:tcBorders>
            <w:shd w:val="clear" w:color="auto" w:fill="F5F5F1"/>
            <w:noWrap/>
            <w:hideMark/>
          </w:tcPr>
          <w:p w14:paraId="4F8D7AA5" w14:textId="77777777" w:rsidR="00E57261" w:rsidRPr="007B5752" w:rsidRDefault="00E57261" w:rsidP="00B23A69">
            <w:r w:rsidRPr="007B5752">
              <w:t>57.4</w:t>
            </w:r>
          </w:p>
        </w:tc>
        <w:tc>
          <w:tcPr>
            <w:tcW w:w="992" w:type="dxa"/>
            <w:tcBorders>
              <w:top w:val="single" w:sz="12" w:space="0" w:color="auto"/>
            </w:tcBorders>
            <w:shd w:val="clear" w:color="auto" w:fill="F5F5F1"/>
            <w:noWrap/>
            <w:hideMark/>
          </w:tcPr>
          <w:p w14:paraId="01A6E82F" w14:textId="77777777" w:rsidR="00E57261" w:rsidRPr="007B5752" w:rsidRDefault="00E57261" w:rsidP="00B23A69">
            <w:r w:rsidRPr="007B5752">
              <w:t>1,701</w:t>
            </w:r>
          </w:p>
        </w:tc>
        <w:tc>
          <w:tcPr>
            <w:tcW w:w="1701" w:type="dxa"/>
            <w:tcBorders>
              <w:top w:val="single" w:sz="12" w:space="0" w:color="auto"/>
            </w:tcBorders>
            <w:shd w:val="clear" w:color="auto" w:fill="F5F5F1"/>
            <w:noWrap/>
            <w:hideMark/>
          </w:tcPr>
          <w:p w14:paraId="7B25F730" w14:textId="77777777" w:rsidR="00E57261" w:rsidRPr="007B5752" w:rsidRDefault="00E57261" w:rsidP="00B23A69">
            <w:r w:rsidRPr="007B5752">
              <w:t>61.0</w:t>
            </w:r>
          </w:p>
        </w:tc>
        <w:tc>
          <w:tcPr>
            <w:tcW w:w="1133" w:type="dxa"/>
            <w:tcBorders>
              <w:top w:val="single" w:sz="12" w:space="0" w:color="auto"/>
            </w:tcBorders>
            <w:shd w:val="clear" w:color="auto" w:fill="F5F5F1"/>
            <w:noWrap/>
            <w:hideMark/>
          </w:tcPr>
          <w:p w14:paraId="7A88DB67" w14:textId="77777777" w:rsidR="00E57261" w:rsidRPr="007B5752" w:rsidRDefault="00E57261" w:rsidP="00B23A69">
            <w:r w:rsidRPr="007B5752">
              <w:t>725</w:t>
            </w:r>
          </w:p>
        </w:tc>
      </w:tr>
      <w:tr w:rsidR="00E57261" w:rsidRPr="007B5752" w14:paraId="7514AD84" w14:textId="77777777" w:rsidTr="007240CB">
        <w:tc>
          <w:tcPr>
            <w:tcW w:w="2547" w:type="dxa"/>
            <w:shd w:val="clear" w:color="auto" w:fill="F5F5F1"/>
            <w:hideMark/>
          </w:tcPr>
          <w:p w14:paraId="52DC1713" w14:textId="77777777" w:rsidR="00E57261" w:rsidRPr="007B5752" w:rsidRDefault="00E57261" w:rsidP="00B23A69">
            <w:r w:rsidRPr="007B5752">
              <w:t>12-23</w:t>
            </w:r>
          </w:p>
        </w:tc>
        <w:tc>
          <w:tcPr>
            <w:tcW w:w="850" w:type="dxa"/>
            <w:shd w:val="clear" w:color="auto" w:fill="F5F5F1"/>
            <w:noWrap/>
            <w:hideMark/>
          </w:tcPr>
          <w:p w14:paraId="606E1562" w14:textId="77777777" w:rsidR="00E57261" w:rsidRPr="007B5752" w:rsidRDefault="00E57261" w:rsidP="00B23A69">
            <w:r w:rsidRPr="007B5752">
              <w:t>48.9</w:t>
            </w:r>
          </w:p>
        </w:tc>
        <w:tc>
          <w:tcPr>
            <w:tcW w:w="709" w:type="dxa"/>
            <w:shd w:val="clear" w:color="auto" w:fill="F5F5F1"/>
            <w:noWrap/>
            <w:hideMark/>
          </w:tcPr>
          <w:p w14:paraId="7A373680" w14:textId="77777777" w:rsidR="00E57261" w:rsidRPr="007B5752" w:rsidRDefault="00E57261" w:rsidP="00B23A69">
            <w:r w:rsidRPr="007B5752">
              <w:t>17.6</w:t>
            </w:r>
          </w:p>
        </w:tc>
        <w:tc>
          <w:tcPr>
            <w:tcW w:w="709" w:type="dxa"/>
            <w:shd w:val="clear" w:color="auto" w:fill="F5F5F1"/>
            <w:noWrap/>
            <w:hideMark/>
          </w:tcPr>
          <w:p w14:paraId="3332CDE7" w14:textId="77777777" w:rsidR="00E57261" w:rsidRPr="007B5752" w:rsidRDefault="00E57261" w:rsidP="00B23A69">
            <w:r w:rsidRPr="007B5752">
              <w:t>7.9</w:t>
            </w:r>
          </w:p>
        </w:tc>
        <w:tc>
          <w:tcPr>
            <w:tcW w:w="709" w:type="dxa"/>
            <w:shd w:val="clear" w:color="auto" w:fill="F5F5F1"/>
            <w:noWrap/>
            <w:hideMark/>
          </w:tcPr>
          <w:p w14:paraId="3F11E512" w14:textId="77777777" w:rsidR="00E57261" w:rsidRPr="007B5752" w:rsidRDefault="00E57261" w:rsidP="00B23A69">
            <w:r w:rsidRPr="007B5752">
              <w:t>74.4</w:t>
            </w:r>
          </w:p>
        </w:tc>
        <w:tc>
          <w:tcPr>
            <w:tcW w:w="992" w:type="dxa"/>
            <w:shd w:val="clear" w:color="auto" w:fill="F5F5F1"/>
            <w:noWrap/>
            <w:hideMark/>
          </w:tcPr>
          <w:p w14:paraId="2C8DA853" w14:textId="77777777" w:rsidR="00E57261" w:rsidRPr="007B5752" w:rsidRDefault="00E57261" w:rsidP="00B23A69">
            <w:r w:rsidRPr="007B5752">
              <w:t>1,694</w:t>
            </w:r>
          </w:p>
        </w:tc>
        <w:tc>
          <w:tcPr>
            <w:tcW w:w="1701" w:type="dxa"/>
            <w:shd w:val="clear" w:color="auto" w:fill="F5F5F1"/>
            <w:noWrap/>
            <w:hideMark/>
          </w:tcPr>
          <w:p w14:paraId="517F4840" w14:textId="77777777" w:rsidR="00E57261" w:rsidRPr="007B5752" w:rsidRDefault="00E57261" w:rsidP="00B23A69">
            <w:r w:rsidRPr="007B5752">
              <w:t>52.7</w:t>
            </w:r>
          </w:p>
        </w:tc>
        <w:tc>
          <w:tcPr>
            <w:tcW w:w="1133" w:type="dxa"/>
            <w:shd w:val="clear" w:color="auto" w:fill="F5F5F1"/>
            <w:noWrap/>
            <w:hideMark/>
          </w:tcPr>
          <w:p w14:paraId="1B039FC3" w14:textId="77777777" w:rsidR="00E57261" w:rsidRPr="007B5752" w:rsidRDefault="00E57261" w:rsidP="00B23A69">
            <w:r w:rsidRPr="007B5752">
              <w:t>434</w:t>
            </w:r>
          </w:p>
        </w:tc>
      </w:tr>
      <w:tr w:rsidR="00E57261" w:rsidRPr="007B5752" w14:paraId="52EFE748" w14:textId="77777777" w:rsidTr="007240CB">
        <w:tc>
          <w:tcPr>
            <w:tcW w:w="2547" w:type="dxa"/>
            <w:shd w:val="clear" w:color="auto" w:fill="F5F5F1"/>
            <w:hideMark/>
          </w:tcPr>
          <w:p w14:paraId="35518B34" w14:textId="77777777" w:rsidR="00E57261" w:rsidRPr="007B5752" w:rsidRDefault="00E57261" w:rsidP="00B23A69">
            <w:r w:rsidRPr="007B5752">
              <w:t>24-35</w:t>
            </w:r>
          </w:p>
        </w:tc>
        <w:tc>
          <w:tcPr>
            <w:tcW w:w="850" w:type="dxa"/>
            <w:shd w:val="clear" w:color="auto" w:fill="F5F5F1"/>
            <w:noWrap/>
            <w:hideMark/>
          </w:tcPr>
          <w:p w14:paraId="14561319" w14:textId="77777777" w:rsidR="00E57261" w:rsidRPr="007B5752" w:rsidRDefault="00E57261" w:rsidP="00B23A69">
            <w:r w:rsidRPr="007B5752">
              <w:t>46.3</w:t>
            </w:r>
          </w:p>
        </w:tc>
        <w:tc>
          <w:tcPr>
            <w:tcW w:w="709" w:type="dxa"/>
            <w:shd w:val="clear" w:color="auto" w:fill="F5F5F1"/>
            <w:noWrap/>
            <w:hideMark/>
          </w:tcPr>
          <w:p w14:paraId="45276B51" w14:textId="77777777" w:rsidR="00E57261" w:rsidRPr="007B5752" w:rsidRDefault="00E57261" w:rsidP="00B23A69">
            <w:r w:rsidRPr="007B5752">
              <w:t>21.3</w:t>
            </w:r>
          </w:p>
        </w:tc>
        <w:tc>
          <w:tcPr>
            <w:tcW w:w="709" w:type="dxa"/>
            <w:shd w:val="clear" w:color="auto" w:fill="F5F5F1"/>
            <w:noWrap/>
            <w:hideMark/>
          </w:tcPr>
          <w:p w14:paraId="144CD5F9" w14:textId="77777777" w:rsidR="00E57261" w:rsidRPr="007B5752" w:rsidRDefault="00E57261" w:rsidP="00B23A69">
            <w:r w:rsidRPr="007B5752">
              <w:t>6.9</w:t>
            </w:r>
          </w:p>
        </w:tc>
        <w:tc>
          <w:tcPr>
            <w:tcW w:w="709" w:type="dxa"/>
            <w:shd w:val="clear" w:color="auto" w:fill="F5F5F1"/>
            <w:noWrap/>
            <w:hideMark/>
          </w:tcPr>
          <w:p w14:paraId="62B9793D" w14:textId="77777777" w:rsidR="00E57261" w:rsidRPr="007B5752" w:rsidRDefault="00E57261" w:rsidP="00B23A69">
            <w:r w:rsidRPr="007B5752">
              <w:t>74.5</w:t>
            </w:r>
          </w:p>
        </w:tc>
        <w:tc>
          <w:tcPr>
            <w:tcW w:w="992" w:type="dxa"/>
            <w:shd w:val="clear" w:color="auto" w:fill="F5F5F1"/>
            <w:noWrap/>
            <w:hideMark/>
          </w:tcPr>
          <w:p w14:paraId="006CF374" w14:textId="77777777" w:rsidR="00E57261" w:rsidRPr="007B5752" w:rsidRDefault="00E57261" w:rsidP="00B23A69">
            <w:r w:rsidRPr="007B5752">
              <w:t>1,754</w:t>
            </w:r>
          </w:p>
        </w:tc>
        <w:tc>
          <w:tcPr>
            <w:tcW w:w="1701" w:type="dxa"/>
            <w:shd w:val="clear" w:color="auto" w:fill="F5F5F1"/>
            <w:noWrap/>
            <w:hideMark/>
          </w:tcPr>
          <w:p w14:paraId="6EC457E5" w14:textId="77777777" w:rsidR="00E57261" w:rsidRPr="007B5752" w:rsidRDefault="00E57261" w:rsidP="00B23A69">
            <w:r w:rsidRPr="007B5752">
              <w:t>56.5</w:t>
            </w:r>
          </w:p>
        </w:tc>
        <w:tc>
          <w:tcPr>
            <w:tcW w:w="1133" w:type="dxa"/>
            <w:shd w:val="clear" w:color="auto" w:fill="F5F5F1"/>
            <w:noWrap/>
            <w:hideMark/>
          </w:tcPr>
          <w:p w14:paraId="7D6CD337" w14:textId="77777777" w:rsidR="00E57261" w:rsidRPr="007B5752" w:rsidRDefault="00E57261" w:rsidP="00B23A69">
            <w:r w:rsidRPr="007B5752">
              <w:t>448</w:t>
            </w:r>
          </w:p>
        </w:tc>
      </w:tr>
      <w:tr w:rsidR="00E57261" w:rsidRPr="007B5752" w14:paraId="550447AE" w14:textId="77777777" w:rsidTr="007240CB">
        <w:tc>
          <w:tcPr>
            <w:tcW w:w="2547" w:type="dxa"/>
            <w:shd w:val="clear" w:color="auto" w:fill="F5F5F1"/>
            <w:hideMark/>
          </w:tcPr>
          <w:p w14:paraId="58888A33" w14:textId="77777777" w:rsidR="00E57261" w:rsidRPr="007B5752" w:rsidRDefault="00E57261" w:rsidP="00B23A69">
            <w:r w:rsidRPr="007B5752">
              <w:t>36-47</w:t>
            </w:r>
          </w:p>
        </w:tc>
        <w:tc>
          <w:tcPr>
            <w:tcW w:w="850" w:type="dxa"/>
            <w:shd w:val="clear" w:color="auto" w:fill="F5F5F1"/>
            <w:noWrap/>
            <w:hideMark/>
          </w:tcPr>
          <w:p w14:paraId="092AA697" w14:textId="77777777" w:rsidR="00E57261" w:rsidRPr="007B5752" w:rsidRDefault="00E57261" w:rsidP="00B23A69">
            <w:r w:rsidRPr="007B5752">
              <w:t>44.7</w:t>
            </w:r>
          </w:p>
        </w:tc>
        <w:tc>
          <w:tcPr>
            <w:tcW w:w="709" w:type="dxa"/>
            <w:shd w:val="clear" w:color="auto" w:fill="F5F5F1"/>
            <w:noWrap/>
            <w:hideMark/>
          </w:tcPr>
          <w:p w14:paraId="44459D16" w14:textId="77777777" w:rsidR="00E57261" w:rsidRPr="007B5752" w:rsidRDefault="00E57261" w:rsidP="00B23A69">
            <w:r w:rsidRPr="007B5752">
              <w:t>21.8</w:t>
            </w:r>
          </w:p>
        </w:tc>
        <w:tc>
          <w:tcPr>
            <w:tcW w:w="709" w:type="dxa"/>
            <w:shd w:val="clear" w:color="auto" w:fill="F5F5F1"/>
            <w:noWrap/>
            <w:hideMark/>
          </w:tcPr>
          <w:p w14:paraId="3DA8319B" w14:textId="77777777" w:rsidR="00E57261" w:rsidRPr="007B5752" w:rsidRDefault="00E57261" w:rsidP="00B23A69">
            <w:r w:rsidRPr="007B5752">
              <w:t>8.5</w:t>
            </w:r>
          </w:p>
        </w:tc>
        <w:tc>
          <w:tcPr>
            <w:tcW w:w="709" w:type="dxa"/>
            <w:shd w:val="clear" w:color="auto" w:fill="F5F5F1"/>
            <w:noWrap/>
            <w:hideMark/>
          </w:tcPr>
          <w:p w14:paraId="7883CE43" w14:textId="77777777" w:rsidR="00E57261" w:rsidRPr="007B5752" w:rsidRDefault="00E57261" w:rsidP="00B23A69">
            <w:r w:rsidRPr="007B5752">
              <w:t>75.0</w:t>
            </w:r>
          </w:p>
        </w:tc>
        <w:tc>
          <w:tcPr>
            <w:tcW w:w="992" w:type="dxa"/>
            <w:shd w:val="clear" w:color="auto" w:fill="F5F5F1"/>
            <w:noWrap/>
            <w:hideMark/>
          </w:tcPr>
          <w:p w14:paraId="738CE110" w14:textId="77777777" w:rsidR="00E57261" w:rsidRPr="007B5752" w:rsidRDefault="00E57261" w:rsidP="00B23A69">
            <w:r w:rsidRPr="007B5752">
              <w:t>1,928</w:t>
            </w:r>
          </w:p>
        </w:tc>
        <w:tc>
          <w:tcPr>
            <w:tcW w:w="1701" w:type="dxa"/>
            <w:shd w:val="clear" w:color="auto" w:fill="F5F5F1"/>
            <w:noWrap/>
            <w:hideMark/>
          </w:tcPr>
          <w:p w14:paraId="7EA32542" w14:textId="77777777" w:rsidR="00E57261" w:rsidRPr="007B5752" w:rsidRDefault="00E57261" w:rsidP="00B23A69">
            <w:r w:rsidRPr="007B5752">
              <w:t>49.0</w:t>
            </w:r>
          </w:p>
        </w:tc>
        <w:tc>
          <w:tcPr>
            <w:tcW w:w="1133" w:type="dxa"/>
            <w:shd w:val="clear" w:color="auto" w:fill="F5F5F1"/>
            <w:noWrap/>
            <w:hideMark/>
          </w:tcPr>
          <w:p w14:paraId="53D95E52" w14:textId="77777777" w:rsidR="00E57261" w:rsidRPr="007B5752" w:rsidRDefault="00E57261" w:rsidP="00B23A69">
            <w:r w:rsidRPr="007B5752">
              <w:t>481</w:t>
            </w:r>
          </w:p>
        </w:tc>
      </w:tr>
      <w:tr w:rsidR="00B83882" w:rsidRPr="007B5752" w14:paraId="5446276E" w14:textId="77777777" w:rsidTr="007240CB">
        <w:tc>
          <w:tcPr>
            <w:tcW w:w="2547" w:type="dxa"/>
            <w:tcBorders>
              <w:bottom w:val="single" w:sz="12" w:space="0" w:color="auto"/>
            </w:tcBorders>
            <w:shd w:val="clear" w:color="auto" w:fill="F5F5F1"/>
            <w:hideMark/>
          </w:tcPr>
          <w:p w14:paraId="203EBA86" w14:textId="77777777" w:rsidR="00E57261" w:rsidRPr="007B5752" w:rsidRDefault="00E57261" w:rsidP="00B23A69">
            <w:r w:rsidRPr="007B5752">
              <w:t>48-59</w:t>
            </w:r>
          </w:p>
        </w:tc>
        <w:tc>
          <w:tcPr>
            <w:tcW w:w="850" w:type="dxa"/>
            <w:tcBorders>
              <w:bottom w:val="single" w:sz="12" w:space="0" w:color="auto"/>
            </w:tcBorders>
            <w:shd w:val="clear" w:color="auto" w:fill="F5F5F1"/>
            <w:noWrap/>
            <w:hideMark/>
          </w:tcPr>
          <w:p w14:paraId="21867821" w14:textId="77777777" w:rsidR="00E57261" w:rsidRPr="007B5752" w:rsidRDefault="00E57261" w:rsidP="00B23A69">
            <w:r w:rsidRPr="007B5752">
              <w:t>40.8</w:t>
            </w:r>
          </w:p>
        </w:tc>
        <w:tc>
          <w:tcPr>
            <w:tcW w:w="709" w:type="dxa"/>
            <w:tcBorders>
              <w:bottom w:val="single" w:sz="12" w:space="0" w:color="auto"/>
            </w:tcBorders>
            <w:shd w:val="clear" w:color="auto" w:fill="F5F5F1"/>
            <w:noWrap/>
            <w:hideMark/>
          </w:tcPr>
          <w:p w14:paraId="3EBB4E79" w14:textId="77777777" w:rsidR="00E57261" w:rsidRPr="007B5752" w:rsidRDefault="00E57261" w:rsidP="00B23A69">
            <w:r w:rsidRPr="007B5752">
              <w:t>22.7</w:t>
            </w:r>
          </w:p>
        </w:tc>
        <w:tc>
          <w:tcPr>
            <w:tcW w:w="709" w:type="dxa"/>
            <w:tcBorders>
              <w:bottom w:val="single" w:sz="12" w:space="0" w:color="auto"/>
            </w:tcBorders>
            <w:shd w:val="clear" w:color="auto" w:fill="F5F5F1"/>
            <w:noWrap/>
            <w:hideMark/>
          </w:tcPr>
          <w:p w14:paraId="32BE528C" w14:textId="77777777" w:rsidR="00E57261" w:rsidRPr="007B5752" w:rsidRDefault="00E57261" w:rsidP="00B23A69">
            <w:r w:rsidRPr="007B5752">
              <w:t>7.4</w:t>
            </w:r>
          </w:p>
        </w:tc>
        <w:tc>
          <w:tcPr>
            <w:tcW w:w="709" w:type="dxa"/>
            <w:tcBorders>
              <w:bottom w:val="single" w:sz="12" w:space="0" w:color="auto"/>
            </w:tcBorders>
            <w:shd w:val="clear" w:color="auto" w:fill="F5F5F1"/>
            <w:noWrap/>
            <w:hideMark/>
          </w:tcPr>
          <w:p w14:paraId="4A718F7D" w14:textId="77777777" w:rsidR="00E57261" w:rsidRPr="007B5752" w:rsidRDefault="00E57261" w:rsidP="00B23A69">
            <w:r w:rsidRPr="007B5752">
              <w:t>71.0</w:t>
            </w:r>
          </w:p>
        </w:tc>
        <w:tc>
          <w:tcPr>
            <w:tcW w:w="992" w:type="dxa"/>
            <w:tcBorders>
              <w:bottom w:val="single" w:sz="12" w:space="0" w:color="auto"/>
            </w:tcBorders>
            <w:shd w:val="clear" w:color="auto" w:fill="F5F5F1"/>
            <w:noWrap/>
            <w:hideMark/>
          </w:tcPr>
          <w:p w14:paraId="019A84F5" w14:textId="77777777" w:rsidR="00E57261" w:rsidRPr="007B5752" w:rsidRDefault="00E57261" w:rsidP="00B23A69">
            <w:r w:rsidRPr="007B5752">
              <w:t>1,802</w:t>
            </w:r>
          </w:p>
        </w:tc>
        <w:tc>
          <w:tcPr>
            <w:tcW w:w="1701" w:type="dxa"/>
            <w:tcBorders>
              <w:bottom w:val="single" w:sz="12" w:space="0" w:color="auto"/>
            </w:tcBorders>
            <w:shd w:val="clear" w:color="auto" w:fill="F5F5F1"/>
            <w:noWrap/>
            <w:hideMark/>
          </w:tcPr>
          <w:p w14:paraId="1FEB569D" w14:textId="77777777" w:rsidR="00E57261" w:rsidRPr="007B5752" w:rsidRDefault="00E57261" w:rsidP="00B23A69">
            <w:r w:rsidRPr="007B5752">
              <w:t>52.8</w:t>
            </w:r>
          </w:p>
        </w:tc>
        <w:tc>
          <w:tcPr>
            <w:tcW w:w="1133" w:type="dxa"/>
            <w:tcBorders>
              <w:bottom w:val="single" w:sz="12" w:space="0" w:color="auto"/>
            </w:tcBorders>
            <w:shd w:val="clear" w:color="auto" w:fill="F5F5F1"/>
            <w:noWrap/>
            <w:hideMark/>
          </w:tcPr>
          <w:p w14:paraId="226693F0" w14:textId="77777777" w:rsidR="00E57261" w:rsidRPr="007B5752" w:rsidRDefault="00E57261" w:rsidP="00B23A69">
            <w:r w:rsidRPr="007B5752">
              <w:t>523</w:t>
            </w:r>
          </w:p>
        </w:tc>
      </w:tr>
      <w:tr w:rsidR="00E57261" w:rsidRPr="007B5752" w14:paraId="5EA016A0" w14:textId="77777777" w:rsidTr="007240CB">
        <w:tc>
          <w:tcPr>
            <w:tcW w:w="9350" w:type="dxa"/>
            <w:gridSpan w:val="8"/>
            <w:tcBorders>
              <w:top w:val="single" w:sz="12" w:space="0" w:color="auto"/>
              <w:bottom w:val="single" w:sz="12" w:space="0" w:color="auto"/>
            </w:tcBorders>
            <w:shd w:val="clear" w:color="auto" w:fill="F5F5F1"/>
          </w:tcPr>
          <w:p w14:paraId="226382DD" w14:textId="77777777" w:rsidR="00E57261" w:rsidRPr="007B5752" w:rsidRDefault="00E57261" w:rsidP="00B23A69">
            <w:pPr>
              <w:rPr>
                <w:b/>
                <w:bCs/>
                <w:i/>
                <w:iCs/>
              </w:rPr>
            </w:pPr>
            <w:r w:rsidRPr="007B5752">
              <w:rPr>
                <w:b/>
                <w:bCs/>
                <w:i/>
                <w:iCs/>
              </w:rPr>
              <w:t>Residence</w:t>
            </w:r>
          </w:p>
        </w:tc>
      </w:tr>
      <w:tr w:rsidR="00E57261" w:rsidRPr="007B5752" w14:paraId="775FABD2" w14:textId="77777777" w:rsidTr="007240CB">
        <w:tc>
          <w:tcPr>
            <w:tcW w:w="2547" w:type="dxa"/>
            <w:tcBorders>
              <w:top w:val="single" w:sz="12" w:space="0" w:color="auto"/>
            </w:tcBorders>
            <w:shd w:val="clear" w:color="auto" w:fill="F5F5F1"/>
          </w:tcPr>
          <w:p w14:paraId="3E90D6C3" w14:textId="77777777" w:rsidR="00E57261" w:rsidRPr="007B5752" w:rsidRDefault="00E57261" w:rsidP="00B23A69">
            <w:r w:rsidRPr="007B5752">
              <w:t>Urban</w:t>
            </w:r>
          </w:p>
        </w:tc>
        <w:tc>
          <w:tcPr>
            <w:tcW w:w="850" w:type="dxa"/>
            <w:tcBorders>
              <w:top w:val="single" w:sz="12" w:space="0" w:color="auto"/>
            </w:tcBorders>
            <w:shd w:val="clear" w:color="auto" w:fill="F5F5F1"/>
            <w:noWrap/>
          </w:tcPr>
          <w:p w14:paraId="558BBA20" w14:textId="77777777" w:rsidR="00E57261" w:rsidRPr="007B5752" w:rsidRDefault="00E57261" w:rsidP="00B23A69">
            <w:r w:rsidRPr="007B5752">
              <w:t>48.3</w:t>
            </w:r>
          </w:p>
        </w:tc>
        <w:tc>
          <w:tcPr>
            <w:tcW w:w="709" w:type="dxa"/>
            <w:tcBorders>
              <w:top w:val="single" w:sz="12" w:space="0" w:color="auto"/>
            </w:tcBorders>
            <w:shd w:val="clear" w:color="auto" w:fill="F5F5F1"/>
            <w:noWrap/>
          </w:tcPr>
          <w:p w14:paraId="6C703BCF" w14:textId="77777777" w:rsidR="00E57261" w:rsidRPr="007B5752" w:rsidRDefault="00E57261" w:rsidP="00B23A69">
            <w:r w:rsidRPr="007B5752">
              <w:t>23.0</w:t>
            </w:r>
          </w:p>
        </w:tc>
        <w:tc>
          <w:tcPr>
            <w:tcW w:w="709" w:type="dxa"/>
            <w:tcBorders>
              <w:top w:val="single" w:sz="12" w:space="0" w:color="auto"/>
            </w:tcBorders>
            <w:shd w:val="clear" w:color="auto" w:fill="F5F5F1"/>
            <w:noWrap/>
          </w:tcPr>
          <w:p w14:paraId="28B35A67" w14:textId="77777777" w:rsidR="00E57261" w:rsidRPr="007B5752" w:rsidRDefault="00E57261" w:rsidP="00B23A69">
            <w:r w:rsidRPr="007B5752">
              <w:t>8.2</w:t>
            </w:r>
          </w:p>
        </w:tc>
        <w:tc>
          <w:tcPr>
            <w:tcW w:w="709" w:type="dxa"/>
            <w:tcBorders>
              <w:top w:val="single" w:sz="12" w:space="0" w:color="auto"/>
            </w:tcBorders>
            <w:shd w:val="clear" w:color="auto" w:fill="F5F5F1"/>
            <w:noWrap/>
          </w:tcPr>
          <w:p w14:paraId="039FF1F8" w14:textId="77777777" w:rsidR="00E57261" w:rsidRPr="007B5752" w:rsidRDefault="00E57261" w:rsidP="00B23A69">
            <w:r w:rsidRPr="007B5752">
              <w:t>79.5</w:t>
            </w:r>
          </w:p>
        </w:tc>
        <w:tc>
          <w:tcPr>
            <w:tcW w:w="992" w:type="dxa"/>
            <w:tcBorders>
              <w:top w:val="single" w:sz="12" w:space="0" w:color="auto"/>
            </w:tcBorders>
            <w:shd w:val="clear" w:color="auto" w:fill="F5F5F1"/>
            <w:noWrap/>
          </w:tcPr>
          <w:p w14:paraId="2A1274B0" w14:textId="77777777" w:rsidR="00E57261" w:rsidRPr="007B5752" w:rsidRDefault="00E57261" w:rsidP="00B23A69">
            <w:r w:rsidRPr="007B5752">
              <w:t>3,825</w:t>
            </w:r>
          </w:p>
        </w:tc>
        <w:tc>
          <w:tcPr>
            <w:tcW w:w="1701" w:type="dxa"/>
            <w:tcBorders>
              <w:top w:val="single" w:sz="12" w:space="0" w:color="auto"/>
            </w:tcBorders>
            <w:shd w:val="clear" w:color="auto" w:fill="F5F5F1"/>
            <w:noWrap/>
          </w:tcPr>
          <w:p w14:paraId="21134341" w14:textId="77777777" w:rsidR="00E57261" w:rsidRPr="007B5752" w:rsidRDefault="00E57261" w:rsidP="00B23A69">
            <w:r w:rsidRPr="007B5752">
              <w:t>73.7</w:t>
            </w:r>
          </w:p>
        </w:tc>
        <w:tc>
          <w:tcPr>
            <w:tcW w:w="1133" w:type="dxa"/>
            <w:tcBorders>
              <w:top w:val="single" w:sz="12" w:space="0" w:color="auto"/>
            </w:tcBorders>
            <w:shd w:val="clear" w:color="auto" w:fill="F5F5F1"/>
            <w:noWrap/>
          </w:tcPr>
          <w:p w14:paraId="7B07DABE" w14:textId="77777777" w:rsidR="00E57261" w:rsidRPr="007B5752" w:rsidRDefault="00E57261" w:rsidP="00B23A69">
            <w:r w:rsidRPr="007B5752">
              <w:t>786</w:t>
            </w:r>
          </w:p>
        </w:tc>
      </w:tr>
      <w:tr w:rsidR="00B83882" w:rsidRPr="007B5752" w14:paraId="78C85684" w14:textId="77777777" w:rsidTr="007240CB">
        <w:tc>
          <w:tcPr>
            <w:tcW w:w="2547" w:type="dxa"/>
            <w:tcBorders>
              <w:bottom w:val="single" w:sz="12" w:space="0" w:color="auto"/>
            </w:tcBorders>
            <w:shd w:val="clear" w:color="auto" w:fill="F5F5F1"/>
          </w:tcPr>
          <w:p w14:paraId="2C4FA0C9" w14:textId="77777777" w:rsidR="00E57261" w:rsidRPr="007B5752" w:rsidRDefault="00E57261" w:rsidP="00B23A69">
            <w:r w:rsidRPr="007B5752">
              <w:t>Rural</w:t>
            </w:r>
          </w:p>
        </w:tc>
        <w:tc>
          <w:tcPr>
            <w:tcW w:w="850" w:type="dxa"/>
            <w:tcBorders>
              <w:bottom w:val="single" w:sz="12" w:space="0" w:color="auto"/>
            </w:tcBorders>
            <w:shd w:val="clear" w:color="auto" w:fill="F5F5F1"/>
            <w:noWrap/>
          </w:tcPr>
          <w:p w14:paraId="05D7FE7D" w14:textId="77777777" w:rsidR="00E57261" w:rsidRPr="007B5752" w:rsidRDefault="00E57261" w:rsidP="00B23A69">
            <w:r w:rsidRPr="007B5752">
              <w:t>39.0</w:t>
            </w:r>
          </w:p>
        </w:tc>
        <w:tc>
          <w:tcPr>
            <w:tcW w:w="709" w:type="dxa"/>
            <w:tcBorders>
              <w:bottom w:val="single" w:sz="12" w:space="0" w:color="auto"/>
            </w:tcBorders>
            <w:shd w:val="clear" w:color="auto" w:fill="F5F5F1"/>
            <w:noWrap/>
          </w:tcPr>
          <w:p w14:paraId="4A4AAF1E" w14:textId="77777777" w:rsidR="00E57261" w:rsidRPr="007B5752" w:rsidRDefault="00E57261" w:rsidP="00B23A69">
            <w:r w:rsidRPr="007B5752">
              <w:t>15.8</w:t>
            </w:r>
          </w:p>
        </w:tc>
        <w:tc>
          <w:tcPr>
            <w:tcW w:w="709" w:type="dxa"/>
            <w:tcBorders>
              <w:bottom w:val="single" w:sz="12" w:space="0" w:color="auto"/>
            </w:tcBorders>
            <w:shd w:val="clear" w:color="auto" w:fill="F5F5F1"/>
            <w:noWrap/>
          </w:tcPr>
          <w:p w14:paraId="2E2CE419" w14:textId="77777777" w:rsidR="00E57261" w:rsidRPr="007B5752" w:rsidRDefault="00E57261" w:rsidP="00B23A69">
            <w:r w:rsidRPr="007B5752">
              <w:t>9.1</w:t>
            </w:r>
          </w:p>
        </w:tc>
        <w:tc>
          <w:tcPr>
            <w:tcW w:w="709" w:type="dxa"/>
            <w:tcBorders>
              <w:bottom w:val="single" w:sz="12" w:space="0" w:color="auto"/>
            </w:tcBorders>
            <w:shd w:val="clear" w:color="auto" w:fill="F5F5F1"/>
            <w:noWrap/>
          </w:tcPr>
          <w:p w14:paraId="0B375087" w14:textId="77777777" w:rsidR="00E57261" w:rsidRPr="007B5752" w:rsidRDefault="00E57261" w:rsidP="00B23A69">
            <w:r w:rsidRPr="007B5752">
              <w:t>63.9</w:t>
            </w:r>
          </w:p>
        </w:tc>
        <w:tc>
          <w:tcPr>
            <w:tcW w:w="992" w:type="dxa"/>
            <w:tcBorders>
              <w:bottom w:val="single" w:sz="12" w:space="0" w:color="auto"/>
            </w:tcBorders>
            <w:shd w:val="clear" w:color="auto" w:fill="F5F5F1"/>
            <w:noWrap/>
          </w:tcPr>
          <w:p w14:paraId="6418FC6B" w14:textId="77777777" w:rsidR="00E57261" w:rsidRPr="007B5752" w:rsidRDefault="00E57261" w:rsidP="00B23A69">
            <w:r w:rsidRPr="007B5752">
              <w:t>5,054</w:t>
            </w:r>
          </w:p>
        </w:tc>
        <w:tc>
          <w:tcPr>
            <w:tcW w:w="1701" w:type="dxa"/>
            <w:tcBorders>
              <w:bottom w:val="single" w:sz="12" w:space="0" w:color="auto"/>
            </w:tcBorders>
            <w:shd w:val="clear" w:color="auto" w:fill="F5F5F1"/>
            <w:noWrap/>
          </w:tcPr>
          <w:p w14:paraId="2D98899C" w14:textId="77777777" w:rsidR="00E57261" w:rsidRPr="007B5752" w:rsidRDefault="00E57261" w:rsidP="00B23A69">
            <w:r w:rsidRPr="007B5752">
              <w:t>46.9</w:t>
            </w:r>
          </w:p>
        </w:tc>
        <w:tc>
          <w:tcPr>
            <w:tcW w:w="1133" w:type="dxa"/>
            <w:tcBorders>
              <w:bottom w:val="single" w:sz="12" w:space="0" w:color="auto"/>
            </w:tcBorders>
            <w:shd w:val="clear" w:color="auto" w:fill="F5F5F1"/>
            <w:noWrap/>
          </w:tcPr>
          <w:p w14:paraId="4FE3FF5C" w14:textId="77777777" w:rsidR="00E57261" w:rsidRPr="007B5752" w:rsidRDefault="00E57261" w:rsidP="00B23A69">
            <w:r w:rsidRPr="007B5752">
              <w:t>1,825</w:t>
            </w:r>
          </w:p>
        </w:tc>
      </w:tr>
      <w:tr w:rsidR="00E57261" w:rsidRPr="007B5752" w14:paraId="3B9FF0D4" w14:textId="77777777" w:rsidTr="007240CB">
        <w:tc>
          <w:tcPr>
            <w:tcW w:w="9350" w:type="dxa"/>
            <w:gridSpan w:val="8"/>
            <w:tcBorders>
              <w:top w:val="single" w:sz="12" w:space="0" w:color="auto"/>
              <w:bottom w:val="single" w:sz="12" w:space="0" w:color="auto"/>
            </w:tcBorders>
            <w:shd w:val="clear" w:color="auto" w:fill="F5F5F1"/>
          </w:tcPr>
          <w:p w14:paraId="38AC0DF3" w14:textId="77777777" w:rsidR="00E57261" w:rsidRPr="007B5752" w:rsidRDefault="00E57261" w:rsidP="00B23A69">
            <w:pPr>
              <w:rPr>
                <w:b/>
                <w:bCs/>
                <w:i/>
                <w:iCs/>
              </w:rPr>
            </w:pPr>
            <w:r w:rsidRPr="007B5752">
              <w:rPr>
                <w:b/>
                <w:bCs/>
                <w:i/>
                <w:iCs/>
              </w:rPr>
              <w:t xml:space="preserve">Region </w:t>
            </w:r>
          </w:p>
        </w:tc>
      </w:tr>
      <w:tr w:rsidR="00E57261" w:rsidRPr="007B5752" w14:paraId="0B704AD7" w14:textId="77777777" w:rsidTr="007240CB">
        <w:tc>
          <w:tcPr>
            <w:tcW w:w="2547" w:type="dxa"/>
            <w:tcBorders>
              <w:top w:val="single" w:sz="12" w:space="0" w:color="auto"/>
            </w:tcBorders>
            <w:shd w:val="clear" w:color="auto" w:fill="F5F5F1"/>
          </w:tcPr>
          <w:p w14:paraId="01E6CEC9" w14:textId="77777777" w:rsidR="00E57261" w:rsidRPr="007B5752" w:rsidRDefault="00E57261" w:rsidP="00B23A69">
            <w:r w:rsidRPr="007B5752">
              <w:t>Western</w:t>
            </w:r>
          </w:p>
        </w:tc>
        <w:tc>
          <w:tcPr>
            <w:tcW w:w="850" w:type="dxa"/>
            <w:tcBorders>
              <w:top w:val="single" w:sz="12" w:space="0" w:color="auto"/>
            </w:tcBorders>
            <w:shd w:val="clear" w:color="auto" w:fill="F5F5F1"/>
            <w:noWrap/>
          </w:tcPr>
          <w:p w14:paraId="0E97995D" w14:textId="77777777" w:rsidR="00E57261" w:rsidRPr="007B5752" w:rsidRDefault="00E57261" w:rsidP="00B23A69">
            <w:r w:rsidRPr="007B5752">
              <w:t>43.6</w:t>
            </w:r>
          </w:p>
        </w:tc>
        <w:tc>
          <w:tcPr>
            <w:tcW w:w="709" w:type="dxa"/>
            <w:tcBorders>
              <w:top w:val="single" w:sz="12" w:space="0" w:color="auto"/>
            </w:tcBorders>
            <w:shd w:val="clear" w:color="auto" w:fill="F5F5F1"/>
            <w:noWrap/>
          </w:tcPr>
          <w:p w14:paraId="68E33BEF" w14:textId="77777777" w:rsidR="00E57261" w:rsidRPr="007B5752" w:rsidRDefault="00E57261" w:rsidP="00B23A69">
            <w:r w:rsidRPr="007B5752">
              <w:t>17.4</w:t>
            </w:r>
          </w:p>
        </w:tc>
        <w:tc>
          <w:tcPr>
            <w:tcW w:w="709" w:type="dxa"/>
            <w:tcBorders>
              <w:top w:val="single" w:sz="12" w:space="0" w:color="auto"/>
            </w:tcBorders>
            <w:shd w:val="clear" w:color="auto" w:fill="F5F5F1"/>
            <w:noWrap/>
          </w:tcPr>
          <w:p w14:paraId="707F24AD" w14:textId="77777777" w:rsidR="00E57261" w:rsidRPr="007B5752" w:rsidRDefault="00E57261" w:rsidP="00B23A69">
            <w:r w:rsidRPr="007B5752">
              <w:t>8.3</w:t>
            </w:r>
          </w:p>
        </w:tc>
        <w:tc>
          <w:tcPr>
            <w:tcW w:w="709" w:type="dxa"/>
            <w:tcBorders>
              <w:top w:val="single" w:sz="12" w:space="0" w:color="auto"/>
            </w:tcBorders>
            <w:shd w:val="clear" w:color="auto" w:fill="F5F5F1"/>
            <w:noWrap/>
          </w:tcPr>
          <w:p w14:paraId="58AEED6B" w14:textId="77777777" w:rsidR="00E57261" w:rsidRPr="007B5752" w:rsidRDefault="00E57261" w:rsidP="00B23A69">
            <w:r w:rsidRPr="007B5752">
              <w:t>69.3</w:t>
            </w:r>
          </w:p>
        </w:tc>
        <w:tc>
          <w:tcPr>
            <w:tcW w:w="992" w:type="dxa"/>
            <w:tcBorders>
              <w:top w:val="single" w:sz="12" w:space="0" w:color="auto"/>
            </w:tcBorders>
            <w:shd w:val="clear" w:color="auto" w:fill="F5F5F1"/>
            <w:noWrap/>
          </w:tcPr>
          <w:p w14:paraId="49D7035A" w14:textId="77777777" w:rsidR="00E57261" w:rsidRPr="007B5752" w:rsidRDefault="00E57261" w:rsidP="00B23A69">
            <w:r w:rsidRPr="007B5752">
              <w:t>931</w:t>
            </w:r>
          </w:p>
        </w:tc>
        <w:tc>
          <w:tcPr>
            <w:tcW w:w="1701" w:type="dxa"/>
            <w:tcBorders>
              <w:top w:val="single" w:sz="12" w:space="0" w:color="auto"/>
            </w:tcBorders>
            <w:shd w:val="clear" w:color="auto" w:fill="F5F5F1"/>
            <w:noWrap/>
          </w:tcPr>
          <w:p w14:paraId="58A87999" w14:textId="77777777" w:rsidR="00E57261" w:rsidRPr="007B5752" w:rsidRDefault="00E57261" w:rsidP="00B23A69">
            <w:r w:rsidRPr="007B5752">
              <w:t>52.1</w:t>
            </w:r>
          </w:p>
        </w:tc>
        <w:tc>
          <w:tcPr>
            <w:tcW w:w="1133" w:type="dxa"/>
            <w:tcBorders>
              <w:top w:val="single" w:sz="12" w:space="0" w:color="auto"/>
            </w:tcBorders>
            <w:shd w:val="clear" w:color="auto" w:fill="F5F5F1"/>
            <w:noWrap/>
          </w:tcPr>
          <w:p w14:paraId="524DBD9E" w14:textId="77777777" w:rsidR="00E57261" w:rsidRPr="007B5752" w:rsidRDefault="00E57261" w:rsidP="00B23A69">
            <w:r w:rsidRPr="007B5752">
              <w:t>286</w:t>
            </w:r>
          </w:p>
        </w:tc>
      </w:tr>
      <w:tr w:rsidR="00E57261" w:rsidRPr="007B5752" w14:paraId="6FB5A73B" w14:textId="77777777" w:rsidTr="007240CB">
        <w:tc>
          <w:tcPr>
            <w:tcW w:w="2547" w:type="dxa"/>
            <w:shd w:val="clear" w:color="auto" w:fill="F5F5F1"/>
          </w:tcPr>
          <w:p w14:paraId="6DF3D7EB" w14:textId="77777777" w:rsidR="00E57261" w:rsidRPr="007B5752" w:rsidRDefault="00E57261" w:rsidP="00B23A69">
            <w:r w:rsidRPr="007B5752">
              <w:t>Central</w:t>
            </w:r>
          </w:p>
        </w:tc>
        <w:tc>
          <w:tcPr>
            <w:tcW w:w="850" w:type="dxa"/>
            <w:shd w:val="clear" w:color="auto" w:fill="F5F5F1"/>
            <w:noWrap/>
          </w:tcPr>
          <w:p w14:paraId="3EAF4CF4" w14:textId="77777777" w:rsidR="00E57261" w:rsidRPr="007B5752" w:rsidRDefault="00E57261" w:rsidP="00B23A69">
            <w:r w:rsidRPr="007B5752">
              <w:t>44.2</w:t>
            </w:r>
          </w:p>
        </w:tc>
        <w:tc>
          <w:tcPr>
            <w:tcW w:w="709" w:type="dxa"/>
            <w:shd w:val="clear" w:color="auto" w:fill="F5F5F1"/>
            <w:noWrap/>
          </w:tcPr>
          <w:p w14:paraId="66280CC6" w14:textId="77777777" w:rsidR="00E57261" w:rsidRPr="007B5752" w:rsidRDefault="00E57261" w:rsidP="00B23A69">
            <w:r w:rsidRPr="007B5752">
              <w:t>19.6</w:t>
            </w:r>
          </w:p>
        </w:tc>
        <w:tc>
          <w:tcPr>
            <w:tcW w:w="709" w:type="dxa"/>
            <w:shd w:val="clear" w:color="auto" w:fill="F5F5F1"/>
            <w:noWrap/>
          </w:tcPr>
          <w:p w14:paraId="297EE37E" w14:textId="77777777" w:rsidR="00E57261" w:rsidRPr="007B5752" w:rsidRDefault="00E57261" w:rsidP="00B23A69">
            <w:r w:rsidRPr="007B5752">
              <w:t>10.4</w:t>
            </w:r>
          </w:p>
        </w:tc>
        <w:tc>
          <w:tcPr>
            <w:tcW w:w="709" w:type="dxa"/>
            <w:shd w:val="clear" w:color="auto" w:fill="F5F5F1"/>
            <w:noWrap/>
          </w:tcPr>
          <w:p w14:paraId="03EA3145" w14:textId="77777777" w:rsidR="00E57261" w:rsidRPr="007B5752" w:rsidRDefault="00E57261" w:rsidP="00B23A69">
            <w:r w:rsidRPr="007B5752">
              <w:t>74.2</w:t>
            </w:r>
          </w:p>
        </w:tc>
        <w:tc>
          <w:tcPr>
            <w:tcW w:w="992" w:type="dxa"/>
            <w:shd w:val="clear" w:color="auto" w:fill="F5F5F1"/>
            <w:noWrap/>
          </w:tcPr>
          <w:p w14:paraId="4A70C509" w14:textId="77777777" w:rsidR="00E57261" w:rsidRPr="007B5752" w:rsidRDefault="00E57261" w:rsidP="00B23A69">
            <w:r w:rsidRPr="007B5752">
              <w:t>927</w:t>
            </w:r>
          </w:p>
        </w:tc>
        <w:tc>
          <w:tcPr>
            <w:tcW w:w="1701" w:type="dxa"/>
            <w:shd w:val="clear" w:color="auto" w:fill="F5F5F1"/>
            <w:noWrap/>
          </w:tcPr>
          <w:p w14:paraId="6343C11C" w14:textId="77777777" w:rsidR="00E57261" w:rsidRPr="007B5752" w:rsidRDefault="00E57261" w:rsidP="00B23A69">
            <w:r w:rsidRPr="007B5752">
              <w:t>63.8</w:t>
            </w:r>
          </w:p>
        </w:tc>
        <w:tc>
          <w:tcPr>
            <w:tcW w:w="1133" w:type="dxa"/>
            <w:shd w:val="clear" w:color="auto" w:fill="F5F5F1"/>
            <w:noWrap/>
          </w:tcPr>
          <w:p w14:paraId="39543D04" w14:textId="77777777" w:rsidR="00E57261" w:rsidRPr="007B5752" w:rsidRDefault="00E57261" w:rsidP="00B23A69">
            <w:r w:rsidRPr="007B5752">
              <w:t>239</w:t>
            </w:r>
          </w:p>
        </w:tc>
      </w:tr>
      <w:tr w:rsidR="00E57261" w:rsidRPr="007B5752" w14:paraId="246BCAB5" w14:textId="77777777" w:rsidTr="007240CB">
        <w:tc>
          <w:tcPr>
            <w:tcW w:w="2547" w:type="dxa"/>
            <w:shd w:val="clear" w:color="auto" w:fill="F5F5F1"/>
          </w:tcPr>
          <w:p w14:paraId="26DD680A" w14:textId="77777777" w:rsidR="00E57261" w:rsidRPr="007B5752" w:rsidRDefault="00E57261" w:rsidP="00B23A69">
            <w:r w:rsidRPr="007B5752">
              <w:t>Greater Accra</w:t>
            </w:r>
          </w:p>
        </w:tc>
        <w:tc>
          <w:tcPr>
            <w:tcW w:w="850" w:type="dxa"/>
            <w:shd w:val="clear" w:color="auto" w:fill="F5F5F1"/>
            <w:noWrap/>
          </w:tcPr>
          <w:p w14:paraId="16ED06CD" w14:textId="77777777" w:rsidR="00E57261" w:rsidRPr="007B5752" w:rsidRDefault="00E57261" w:rsidP="00B23A69">
            <w:r w:rsidRPr="007B5752">
              <w:t>46.9</w:t>
            </w:r>
          </w:p>
        </w:tc>
        <w:tc>
          <w:tcPr>
            <w:tcW w:w="709" w:type="dxa"/>
            <w:shd w:val="clear" w:color="auto" w:fill="F5F5F1"/>
            <w:noWrap/>
          </w:tcPr>
          <w:p w14:paraId="1E2A9EAC" w14:textId="77777777" w:rsidR="00E57261" w:rsidRPr="007B5752" w:rsidRDefault="00E57261" w:rsidP="00B23A69">
            <w:r w:rsidRPr="007B5752">
              <w:t>26.6</w:t>
            </w:r>
          </w:p>
        </w:tc>
        <w:tc>
          <w:tcPr>
            <w:tcW w:w="709" w:type="dxa"/>
            <w:shd w:val="clear" w:color="auto" w:fill="F5F5F1"/>
            <w:noWrap/>
          </w:tcPr>
          <w:p w14:paraId="6415E8CD" w14:textId="77777777" w:rsidR="00E57261" w:rsidRPr="007B5752" w:rsidRDefault="00E57261" w:rsidP="00B23A69">
            <w:r w:rsidRPr="007B5752">
              <w:t>5.9</w:t>
            </w:r>
          </w:p>
        </w:tc>
        <w:tc>
          <w:tcPr>
            <w:tcW w:w="709" w:type="dxa"/>
            <w:shd w:val="clear" w:color="auto" w:fill="F5F5F1"/>
            <w:noWrap/>
          </w:tcPr>
          <w:p w14:paraId="3790E2C8" w14:textId="77777777" w:rsidR="00E57261" w:rsidRPr="007B5752" w:rsidRDefault="00E57261" w:rsidP="00B23A69">
            <w:r w:rsidRPr="007B5752">
              <w:t>79.3</w:t>
            </w:r>
          </w:p>
        </w:tc>
        <w:tc>
          <w:tcPr>
            <w:tcW w:w="992" w:type="dxa"/>
            <w:shd w:val="clear" w:color="auto" w:fill="F5F5F1"/>
            <w:noWrap/>
          </w:tcPr>
          <w:p w14:paraId="4C58D21F" w14:textId="77777777" w:rsidR="00E57261" w:rsidRPr="007B5752" w:rsidRDefault="00E57261" w:rsidP="00B23A69">
            <w:r w:rsidRPr="007B5752">
              <w:t>865</w:t>
            </w:r>
          </w:p>
        </w:tc>
        <w:tc>
          <w:tcPr>
            <w:tcW w:w="1701" w:type="dxa"/>
            <w:shd w:val="clear" w:color="auto" w:fill="F5F5F1"/>
            <w:noWrap/>
          </w:tcPr>
          <w:p w14:paraId="0681C356" w14:textId="77777777" w:rsidR="00E57261" w:rsidRPr="007B5752" w:rsidRDefault="00E57261" w:rsidP="00B23A69">
            <w:r w:rsidRPr="007B5752">
              <w:t>85.7</w:t>
            </w:r>
          </w:p>
        </w:tc>
        <w:tc>
          <w:tcPr>
            <w:tcW w:w="1133" w:type="dxa"/>
            <w:shd w:val="clear" w:color="auto" w:fill="F5F5F1"/>
            <w:noWrap/>
          </w:tcPr>
          <w:p w14:paraId="3B2F6613" w14:textId="77777777" w:rsidR="00E57261" w:rsidRPr="007B5752" w:rsidRDefault="00E57261" w:rsidP="00B23A69">
            <w:r w:rsidRPr="007B5752">
              <w:t>179</w:t>
            </w:r>
          </w:p>
        </w:tc>
      </w:tr>
      <w:tr w:rsidR="00E57261" w:rsidRPr="007B5752" w14:paraId="3A53CCE2" w14:textId="77777777" w:rsidTr="007240CB">
        <w:tc>
          <w:tcPr>
            <w:tcW w:w="2547" w:type="dxa"/>
            <w:shd w:val="clear" w:color="auto" w:fill="F5F5F1"/>
          </w:tcPr>
          <w:p w14:paraId="564C597E" w14:textId="77777777" w:rsidR="00E57261" w:rsidRPr="007B5752" w:rsidRDefault="00E57261" w:rsidP="00B23A69">
            <w:r w:rsidRPr="007B5752">
              <w:lastRenderedPageBreak/>
              <w:t>Volta</w:t>
            </w:r>
          </w:p>
        </w:tc>
        <w:tc>
          <w:tcPr>
            <w:tcW w:w="850" w:type="dxa"/>
            <w:shd w:val="clear" w:color="auto" w:fill="F5F5F1"/>
            <w:noWrap/>
          </w:tcPr>
          <w:p w14:paraId="4A122B83" w14:textId="77777777" w:rsidR="00E57261" w:rsidRPr="007B5752" w:rsidRDefault="00E57261" w:rsidP="00B23A69">
            <w:r w:rsidRPr="007B5752">
              <w:t>34.4</w:t>
            </w:r>
          </w:p>
        </w:tc>
        <w:tc>
          <w:tcPr>
            <w:tcW w:w="709" w:type="dxa"/>
            <w:shd w:val="clear" w:color="auto" w:fill="F5F5F1"/>
            <w:noWrap/>
          </w:tcPr>
          <w:p w14:paraId="361C1A48" w14:textId="77777777" w:rsidR="00E57261" w:rsidRPr="007B5752" w:rsidRDefault="00E57261" w:rsidP="00B23A69">
            <w:r w:rsidRPr="007B5752">
              <w:t>21.9</w:t>
            </w:r>
          </w:p>
        </w:tc>
        <w:tc>
          <w:tcPr>
            <w:tcW w:w="709" w:type="dxa"/>
            <w:shd w:val="clear" w:color="auto" w:fill="F5F5F1"/>
            <w:noWrap/>
          </w:tcPr>
          <w:p w14:paraId="6F28FFE4" w14:textId="77777777" w:rsidR="00E57261" w:rsidRPr="007B5752" w:rsidRDefault="00E57261" w:rsidP="00B23A69">
            <w:r w:rsidRPr="007B5752">
              <w:t>10.3</w:t>
            </w:r>
          </w:p>
        </w:tc>
        <w:tc>
          <w:tcPr>
            <w:tcW w:w="709" w:type="dxa"/>
            <w:shd w:val="clear" w:color="auto" w:fill="F5F5F1"/>
            <w:noWrap/>
          </w:tcPr>
          <w:p w14:paraId="12EDAF76" w14:textId="77777777" w:rsidR="00E57261" w:rsidRPr="007B5752" w:rsidRDefault="00E57261" w:rsidP="00B23A69">
            <w:r w:rsidRPr="007B5752">
              <w:t>66.7</w:t>
            </w:r>
          </w:p>
        </w:tc>
        <w:tc>
          <w:tcPr>
            <w:tcW w:w="992" w:type="dxa"/>
            <w:shd w:val="clear" w:color="auto" w:fill="F5F5F1"/>
            <w:noWrap/>
          </w:tcPr>
          <w:p w14:paraId="43710F6B" w14:textId="77777777" w:rsidR="00E57261" w:rsidRPr="007B5752" w:rsidRDefault="00E57261" w:rsidP="00B23A69">
            <w:r w:rsidRPr="007B5752">
              <w:t>710</w:t>
            </w:r>
          </w:p>
        </w:tc>
        <w:tc>
          <w:tcPr>
            <w:tcW w:w="1701" w:type="dxa"/>
            <w:shd w:val="clear" w:color="auto" w:fill="F5F5F1"/>
            <w:noWrap/>
          </w:tcPr>
          <w:p w14:paraId="636955A2" w14:textId="77777777" w:rsidR="00E57261" w:rsidRPr="007B5752" w:rsidRDefault="00E57261" w:rsidP="00B23A69">
            <w:r w:rsidRPr="007B5752">
              <w:t>32.1</w:t>
            </w:r>
          </w:p>
        </w:tc>
        <w:tc>
          <w:tcPr>
            <w:tcW w:w="1133" w:type="dxa"/>
            <w:shd w:val="clear" w:color="auto" w:fill="F5F5F1"/>
            <w:noWrap/>
          </w:tcPr>
          <w:p w14:paraId="5B0718EB" w14:textId="77777777" w:rsidR="00E57261" w:rsidRPr="007B5752" w:rsidRDefault="00E57261" w:rsidP="00B23A69">
            <w:r w:rsidRPr="007B5752">
              <w:t>237</w:t>
            </w:r>
          </w:p>
        </w:tc>
      </w:tr>
      <w:tr w:rsidR="00E57261" w:rsidRPr="007B5752" w14:paraId="5963C756" w14:textId="77777777" w:rsidTr="007240CB">
        <w:tc>
          <w:tcPr>
            <w:tcW w:w="2547" w:type="dxa"/>
            <w:shd w:val="clear" w:color="auto" w:fill="F5F5F1"/>
          </w:tcPr>
          <w:p w14:paraId="3BE7C7F4" w14:textId="77777777" w:rsidR="00E57261" w:rsidRPr="007B5752" w:rsidRDefault="00E57261" w:rsidP="00B23A69">
            <w:r w:rsidRPr="007B5752">
              <w:t>Eastern</w:t>
            </w:r>
          </w:p>
        </w:tc>
        <w:tc>
          <w:tcPr>
            <w:tcW w:w="850" w:type="dxa"/>
            <w:shd w:val="clear" w:color="auto" w:fill="F5F5F1"/>
            <w:noWrap/>
          </w:tcPr>
          <w:p w14:paraId="45EEAAEA" w14:textId="77777777" w:rsidR="00E57261" w:rsidRPr="007B5752" w:rsidRDefault="00E57261" w:rsidP="00B23A69">
            <w:r w:rsidRPr="007B5752">
              <w:t>39.2</w:t>
            </w:r>
          </w:p>
        </w:tc>
        <w:tc>
          <w:tcPr>
            <w:tcW w:w="709" w:type="dxa"/>
            <w:shd w:val="clear" w:color="auto" w:fill="F5F5F1"/>
            <w:noWrap/>
          </w:tcPr>
          <w:p w14:paraId="701FB396" w14:textId="77777777" w:rsidR="00E57261" w:rsidRPr="007B5752" w:rsidRDefault="00E57261" w:rsidP="00B23A69">
            <w:r w:rsidRPr="007B5752">
              <w:t>15.3</w:t>
            </w:r>
          </w:p>
        </w:tc>
        <w:tc>
          <w:tcPr>
            <w:tcW w:w="709" w:type="dxa"/>
            <w:shd w:val="clear" w:color="auto" w:fill="F5F5F1"/>
            <w:noWrap/>
          </w:tcPr>
          <w:p w14:paraId="0B3986DE" w14:textId="77777777" w:rsidR="00E57261" w:rsidRPr="007B5752" w:rsidRDefault="00E57261" w:rsidP="00B23A69">
            <w:r w:rsidRPr="007B5752">
              <w:t>5.2</w:t>
            </w:r>
          </w:p>
        </w:tc>
        <w:tc>
          <w:tcPr>
            <w:tcW w:w="709" w:type="dxa"/>
            <w:shd w:val="clear" w:color="auto" w:fill="F5F5F1"/>
            <w:noWrap/>
          </w:tcPr>
          <w:p w14:paraId="38F7B26A" w14:textId="77777777" w:rsidR="00E57261" w:rsidRPr="007B5752" w:rsidRDefault="00E57261" w:rsidP="00B23A69">
            <w:r w:rsidRPr="007B5752">
              <w:t>59.6</w:t>
            </w:r>
          </w:p>
        </w:tc>
        <w:tc>
          <w:tcPr>
            <w:tcW w:w="992" w:type="dxa"/>
            <w:shd w:val="clear" w:color="auto" w:fill="F5F5F1"/>
            <w:noWrap/>
          </w:tcPr>
          <w:p w14:paraId="11845617" w14:textId="77777777" w:rsidR="00E57261" w:rsidRPr="007B5752" w:rsidRDefault="00E57261" w:rsidP="00B23A69">
            <w:r w:rsidRPr="007B5752">
              <w:t>953</w:t>
            </w:r>
          </w:p>
        </w:tc>
        <w:tc>
          <w:tcPr>
            <w:tcW w:w="1701" w:type="dxa"/>
            <w:shd w:val="clear" w:color="auto" w:fill="F5F5F1"/>
            <w:noWrap/>
          </w:tcPr>
          <w:p w14:paraId="1CE77212" w14:textId="77777777" w:rsidR="00E57261" w:rsidRPr="007B5752" w:rsidRDefault="00E57261" w:rsidP="00B23A69">
            <w:r w:rsidRPr="007B5752">
              <w:t>63.7</w:t>
            </w:r>
          </w:p>
        </w:tc>
        <w:tc>
          <w:tcPr>
            <w:tcW w:w="1133" w:type="dxa"/>
            <w:shd w:val="clear" w:color="auto" w:fill="F5F5F1"/>
            <w:noWrap/>
          </w:tcPr>
          <w:p w14:paraId="760FDB7A" w14:textId="77777777" w:rsidR="00E57261" w:rsidRPr="007B5752" w:rsidRDefault="00E57261" w:rsidP="00B23A69">
            <w:r w:rsidRPr="007B5752">
              <w:t>385</w:t>
            </w:r>
          </w:p>
        </w:tc>
      </w:tr>
      <w:tr w:rsidR="00E57261" w:rsidRPr="007B5752" w14:paraId="334CD06B" w14:textId="77777777" w:rsidTr="007240CB">
        <w:tc>
          <w:tcPr>
            <w:tcW w:w="2547" w:type="dxa"/>
            <w:shd w:val="clear" w:color="auto" w:fill="F5F5F1"/>
          </w:tcPr>
          <w:p w14:paraId="63E31D5C" w14:textId="77777777" w:rsidR="00E57261" w:rsidRPr="007B5752" w:rsidRDefault="00E57261" w:rsidP="00B23A69">
            <w:r w:rsidRPr="007B5752">
              <w:t>Ashanti</w:t>
            </w:r>
          </w:p>
        </w:tc>
        <w:tc>
          <w:tcPr>
            <w:tcW w:w="850" w:type="dxa"/>
            <w:shd w:val="clear" w:color="auto" w:fill="F5F5F1"/>
            <w:noWrap/>
          </w:tcPr>
          <w:p w14:paraId="1AEA3A93" w14:textId="77777777" w:rsidR="00E57261" w:rsidRPr="007B5752" w:rsidRDefault="00E57261" w:rsidP="00B23A69">
            <w:r w:rsidRPr="007B5752">
              <w:t>44.4</w:t>
            </w:r>
          </w:p>
        </w:tc>
        <w:tc>
          <w:tcPr>
            <w:tcW w:w="709" w:type="dxa"/>
            <w:shd w:val="clear" w:color="auto" w:fill="F5F5F1"/>
            <w:noWrap/>
          </w:tcPr>
          <w:p w14:paraId="26D5DF50" w14:textId="77777777" w:rsidR="00E57261" w:rsidRPr="007B5752" w:rsidRDefault="00E57261" w:rsidP="00B23A69">
            <w:r w:rsidRPr="007B5752">
              <w:t>18.8</w:t>
            </w:r>
          </w:p>
        </w:tc>
        <w:tc>
          <w:tcPr>
            <w:tcW w:w="709" w:type="dxa"/>
            <w:shd w:val="clear" w:color="auto" w:fill="F5F5F1"/>
            <w:noWrap/>
          </w:tcPr>
          <w:p w14:paraId="75E4C598" w14:textId="77777777" w:rsidR="00E57261" w:rsidRPr="007B5752" w:rsidRDefault="00E57261" w:rsidP="00B23A69">
            <w:r w:rsidRPr="007B5752">
              <w:t>11.9</w:t>
            </w:r>
          </w:p>
        </w:tc>
        <w:tc>
          <w:tcPr>
            <w:tcW w:w="709" w:type="dxa"/>
            <w:shd w:val="clear" w:color="auto" w:fill="F5F5F1"/>
            <w:noWrap/>
          </w:tcPr>
          <w:p w14:paraId="647D47A3" w14:textId="77777777" w:rsidR="00E57261" w:rsidRPr="007B5752" w:rsidRDefault="00E57261" w:rsidP="00B23A69">
            <w:r w:rsidRPr="007B5752">
              <w:t>75.2</w:t>
            </w:r>
          </w:p>
        </w:tc>
        <w:tc>
          <w:tcPr>
            <w:tcW w:w="992" w:type="dxa"/>
            <w:shd w:val="clear" w:color="auto" w:fill="F5F5F1"/>
            <w:noWrap/>
          </w:tcPr>
          <w:p w14:paraId="353215F3" w14:textId="77777777" w:rsidR="00E57261" w:rsidRPr="007B5752" w:rsidRDefault="00E57261" w:rsidP="00B23A69">
            <w:r w:rsidRPr="007B5752">
              <w:t>2,111</w:t>
            </w:r>
          </w:p>
        </w:tc>
        <w:tc>
          <w:tcPr>
            <w:tcW w:w="1701" w:type="dxa"/>
            <w:shd w:val="clear" w:color="auto" w:fill="F5F5F1"/>
            <w:noWrap/>
          </w:tcPr>
          <w:p w14:paraId="5D80EE08" w14:textId="77777777" w:rsidR="00E57261" w:rsidRPr="007B5752" w:rsidRDefault="00E57261" w:rsidP="00B23A69">
            <w:r w:rsidRPr="007B5752">
              <w:t>62.7</w:t>
            </w:r>
          </w:p>
        </w:tc>
        <w:tc>
          <w:tcPr>
            <w:tcW w:w="1133" w:type="dxa"/>
            <w:shd w:val="clear" w:color="auto" w:fill="F5F5F1"/>
            <w:noWrap/>
          </w:tcPr>
          <w:p w14:paraId="3638922E" w14:textId="77777777" w:rsidR="00E57261" w:rsidRPr="007B5752" w:rsidRDefault="00E57261" w:rsidP="00B23A69">
            <w:r w:rsidRPr="007B5752">
              <w:t>523</w:t>
            </w:r>
          </w:p>
        </w:tc>
      </w:tr>
      <w:tr w:rsidR="00E57261" w:rsidRPr="007B5752" w14:paraId="73A5D770" w14:textId="77777777" w:rsidTr="007240CB">
        <w:tc>
          <w:tcPr>
            <w:tcW w:w="2547" w:type="dxa"/>
            <w:shd w:val="clear" w:color="auto" w:fill="F5F5F1"/>
          </w:tcPr>
          <w:p w14:paraId="24E46D51" w14:textId="77777777" w:rsidR="00E57261" w:rsidRPr="007B5752" w:rsidRDefault="00E57261" w:rsidP="00B23A69">
            <w:proofErr w:type="spellStart"/>
            <w:r w:rsidRPr="007B5752">
              <w:t>Brong</w:t>
            </w:r>
            <w:proofErr w:type="spellEnd"/>
            <w:r w:rsidRPr="007B5752">
              <w:t xml:space="preserve"> Ahafo</w:t>
            </w:r>
          </w:p>
        </w:tc>
        <w:tc>
          <w:tcPr>
            <w:tcW w:w="850" w:type="dxa"/>
            <w:shd w:val="clear" w:color="auto" w:fill="F5F5F1"/>
            <w:noWrap/>
          </w:tcPr>
          <w:p w14:paraId="6A428B19" w14:textId="77777777" w:rsidR="00E57261" w:rsidRPr="007B5752" w:rsidRDefault="00E57261" w:rsidP="00B23A69">
            <w:r w:rsidRPr="007B5752">
              <w:t>30.7</w:t>
            </w:r>
          </w:p>
        </w:tc>
        <w:tc>
          <w:tcPr>
            <w:tcW w:w="709" w:type="dxa"/>
            <w:shd w:val="clear" w:color="auto" w:fill="F5F5F1"/>
            <w:noWrap/>
          </w:tcPr>
          <w:p w14:paraId="15DF33A6" w14:textId="77777777" w:rsidR="00E57261" w:rsidRPr="007B5752" w:rsidRDefault="00E57261" w:rsidP="00B23A69">
            <w:r w:rsidRPr="007B5752">
              <w:t>19.6</w:t>
            </w:r>
          </w:p>
        </w:tc>
        <w:tc>
          <w:tcPr>
            <w:tcW w:w="709" w:type="dxa"/>
            <w:shd w:val="clear" w:color="auto" w:fill="F5F5F1"/>
            <w:noWrap/>
          </w:tcPr>
          <w:p w14:paraId="2ECD1A8F" w14:textId="77777777" w:rsidR="00E57261" w:rsidRPr="007B5752" w:rsidRDefault="00E57261" w:rsidP="00B23A69">
            <w:r w:rsidRPr="007B5752">
              <w:t>7.9</w:t>
            </w:r>
          </w:p>
        </w:tc>
        <w:tc>
          <w:tcPr>
            <w:tcW w:w="709" w:type="dxa"/>
            <w:shd w:val="clear" w:color="auto" w:fill="F5F5F1"/>
            <w:noWrap/>
          </w:tcPr>
          <w:p w14:paraId="0D809CB8" w14:textId="77777777" w:rsidR="00E57261" w:rsidRPr="007B5752" w:rsidRDefault="00E57261" w:rsidP="00B23A69">
            <w:r w:rsidRPr="007B5752">
              <w:t>58.3</w:t>
            </w:r>
          </w:p>
        </w:tc>
        <w:tc>
          <w:tcPr>
            <w:tcW w:w="992" w:type="dxa"/>
            <w:shd w:val="clear" w:color="auto" w:fill="F5F5F1"/>
            <w:noWrap/>
          </w:tcPr>
          <w:p w14:paraId="1A08FE3C" w14:textId="77777777" w:rsidR="00E57261" w:rsidRPr="007B5752" w:rsidRDefault="00E57261" w:rsidP="00B23A69">
            <w:r w:rsidRPr="007B5752">
              <w:t>833</w:t>
            </w:r>
          </w:p>
        </w:tc>
        <w:tc>
          <w:tcPr>
            <w:tcW w:w="1701" w:type="dxa"/>
            <w:shd w:val="clear" w:color="auto" w:fill="F5F5F1"/>
            <w:noWrap/>
          </w:tcPr>
          <w:p w14:paraId="660E10E5" w14:textId="77777777" w:rsidR="00E57261" w:rsidRPr="007B5752" w:rsidRDefault="00E57261" w:rsidP="00B23A69">
            <w:r w:rsidRPr="007B5752">
              <w:t>49.8</w:t>
            </w:r>
          </w:p>
        </w:tc>
        <w:tc>
          <w:tcPr>
            <w:tcW w:w="1133" w:type="dxa"/>
            <w:shd w:val="clear" w:color="auto" w:fill="F5F5F1"/>
            <w:noWrap/>
          </w:tcPr>
          <w:p w14:paraId="44AB1DDF" w14:textId="77777777" w:rsidR="00E57261" w:rsidRPr="007B5752" w:rsidRDefault="00E57261" w:rsidP="00B23A69">
            <w:r w:rsidRPr="007B5752">
              <w:t>348</w:t>
            </w:r>
          </w:p>
        </w:tc>
      </w:tr>
      <w:tr w:rsidR="00E57261" w:rsidRPr="007B5752" w14:paraId="4C1184F9" w14:textId="77777777" w:rsidTr="007240CB">
        <w:tc>
          <w:tcPr>
            <w:tcW w:w="2547" w:type="dxa"/>
            <w:shd w:val="clear" w:color="auto" w:fill="F5F5F1"/>
          </w:tcPr>
          <w:p w14:paraId="3C46E550" w14:textId="77777777" w:rsidR="00E57261" w:rsidRPr="007B5752" w:rsidRDefault="00E57261" w:rsidP="00B23A69">
            <w:r w:rsidRPr="007B5752">
              <w:t>Northern</w:t>
            </w:r>
          </w:p>
        </w:tc>
        <w:tc>
          <w:tcPr>
            <w:tcW w:w="850" w:type="dxa"/>
            <w:shd w:val="clear" w:color="auto" w:fill="F5F5F1"/>
            <w:noWrap/>
          </w:tcPr>
          <w:p w14:paraId="06D8110C" w14:textId="77777777" w:rsidR="00E57261" w:rsidRPr="007B5752" w:rsidRDefault="00E57261" w:rsidP="00B23A69">
            <w:r w:rsidRPr="007B5752">
              <w:t>49.2</w:t>
            </w:r>
          </w:p>
        </w:tc>
        <w:tc>
          <w:tcPr>
            <w:tcW w:w="709" w:type="dxa"/>
            <w:shd w:val="clear" w:color="auto" w:fill="F5F5F1"/>
            <w:noWrap/>
          </w:tcPr>
          <w:p w14:paraId="2A12AAD0" w14:textId="77777777" w:rsidR="00E57261" w:rsidRPr="007B5752" w:rsidRDefault="00E57261" w:rsidP="00B23A69">
            <w:r w:rsidRPr="007B5752">
              <w:t>17.2</w:t>
            </w:r>
          </w:p>
        </w:tc>
        <w:tc>
          <w:tcPr>
            <w:tcW w:w="709" w:type="dxa"/>
            <w:shd w:val="clear" w:color="auto" w:fill="F5F5F1"/>
            <w:noWrap/>
          </w:tcPr>
          <w:p w14:paraId="292FC2E8" w14:textId="77777777" w:rsidR="00E57261" w:rsidRPr="007B5752" w:rsidRDefault="00E57261" w:rsidP="00B23A69">
            <w:r w:rsidRPr="007B5752">
              <w:t>4.5</w:t>
            </w:r>
          </w:p>
        </w:tc>
        <w:tc>
          <w:tcPr>
            <w:tcW w:w="709" w:type="dxa"/>
            <w:shd w:val="clear" w:color="auto" w:fill="F5F5F1"/>
            <w:noWrap/>
          </w:tcPr>
          <w:p w14:paraId="285513DA" w14:textId="77777777" w:rsidR="00E57261" w:rsidRPr="007B5752" w:rsidRDefault="00E57261" w:rsidP="00B23A69">
            <w:r w:rsidRPr="007B5752">
              <w:t>70.9</w:t>
            </w:r>
          </w:p>
        </w:tc>
        <w:tc>
          <w:tcPr>
            <w:tcW w:w="992" w:type="dxa"/>
            <w:shd w:val="clear" w:color="auto" w:fill="F5F5F1"/>
            <w:noWrap/>
          </w:tcPr>
          <w:p w14:paraId="62E7564E" w14:textId="77777777" w:rsidR="00E57261" w:rsidRPr="007B5752" w:rsidRDefault="00E57261" w:rsidP="00B23A69">
            <w:r w:rsidRPr="007B5752">
              <w:t>1,055</w:t>
            </w:r>
          </w:p>
        </w:tc>
        <w:tc>
          <w:tcPr>
            <w:tcW w:w="1701" w:type="dxa"/>
            <w:shd w:val="clear" w:color="auto" w:fill="F5F5F1"/>
            <w:noWrap/>
          </w:tcPr>
          <w:p w14:paraId="5FE6CC72" w14:textId="77777777" w:rsidR="00E57261" w:rsidRPr="007B5752" w:rsidRDefault="00E57261" w:rsidP="00B23A69">
            <w:r w:rsidRPr="007B5752">
              <w:t>33.1</w:t>
            </w:r>
          </w:p>
        </w:tc>
        <w:tc>
          <w:tcPr>
            <w:tcW w:w="1133" w:type="dxa"/>
            <w:shd w:val="clear" w:color="auto" w:fill="F5F5F1"/>
            <w:noWrap/>
          </w:tcPr>
          <w:p w14:paraId="343E10A6" w14:textId="77777777" w:rsidR="00E57261" w:rsidRPr="007B5752" w:rsidRDefault="00E57261" w:rsidP="00B23A69">
            <w:r w:rsidRPr="007B5752">
              <w:t>307</w:t>
            </w:r>
          </w:p>
        </w:tc>
      </w:tr>
      <w:tr w:rsidR="00E57261" w:rsidRPr="007B5752" w14:paraId="5AD083CF" w14:textId="77777777" w:rsidTr="007240CB">
        <w:tc>
          <w:tcPr>
            <w:tcW w:w="2547" w:type="dxa"/>
            <w:shd w:val="clear" w:color="auto" w:fill="F5F5F1"/>
          </w:tcPr>
          <w:p w14:paraId="57272809" w14:textId="77777777" w:rsidR="00E57261" w:rsidRPr="007B5752" w:rsidRDefault="00E57261" w:rsidP="00B23A69">
            <w:r w:rsidRPr="007B5752">
              <w:t>Upper East</w:t>
            </w:r>
          </w:p>
        </w:tc>
        <w:tc>
          <w:tcPr>
            <w:tcW w:w="850" w:type="dxa"/>
            <w:shd w:val="clear" w:color="auto" w:fill="F5F5F1"/>
            <w:noWrap/>
          </w:tcPr>
          <w:p w14:paraId="1437CA79" w14:textId="77777777" w:rsidR="00E57261" w:rsidRPr="007B5752" w:rsidRDefault="00E57261" w:rsidP="00B23A69">
            <w:r w:rsidRPr="007B5752">
              <w:t>58.4</w:t>
            </w:r>
          </w:p>
        </w:tc>
        <w:tc>
          <w:tcPr>
            <w:tcW w:w="709" w:type="dxa"/>
            <w:shd w:val="clear" w:color="auto" w:fill="F5F5F1"/>
            <w:noWrap/>
          </w:tcPr>
          <w:p w14:paraId="3B5F3855" w14:textId="77777777" w:rsidR="00E57261" w:rsidRPr="007B5752" w:rsidRDefault="00E57261" w:rsidP="00B23A69">
            <w:r w:rsidRPr="007B5752">
              <w:t>10.6</w:t>
            </w:r>
          </w:p>
        </w:tc>
        <w:tc>
          <w:tcPr>
            <w:tcW w:w="709" w:type="dxa"/>
            <w:shd w:val="clear" w:color="auto" w:fill="F5F5F1"/>
            <w:noWrap/>
          </w:tcPr>
          <w:p w14:paraId="4F00ED72" w14:textId="77777777" w:rsidR="00E57261" w:rsidRPr="007B5752" w:rsidRDefault="00E57261" w:rsidP="00B23A69">
            <w:r w:rsidRPr="007B5752">
              <w:t>11.8</w:t>
            </w:r>
          </w:p>
        </w:tc>
        <w:tc>
          <w:tcPr>
            <w:tcW w:w="709" w:type="dxa"/>
            <w:shd w:val="clear" w:color="auto" w:fill="F5F5F1"/>
            <w:noWrap/>
          </w:tcPr>
          <w:p w14:paraId="71A1FCB6" w14:textId="77777777" w:rsidR="00E57261" w:rsidRPr="007B5752" w:rsidRDefault="00E57261" w:rsidP="00B23A69">
            <w:r w:rsidRPr="007B5752">
              <w:t>80.9</w:t>
            </w:r>
          </w:p>
        </w:tc>
        <w:tc>
          <w:tcPr>
            <w:tcW w:w="992" w:type="dxa"/>
            <w:shd w:val="clear" w:color="auto" w:fill="F5F5F1"/>
            <w:noWrap/>
          </w:tcPr>
          <w:p w14:paraId="6E68CB33" w14:textId="77777777" w:rsidR="00E57261" w:rsidRPr="007B5752" w:rsidRDefault="00E57261" w:rsidP="00B23A69">
            <w:r w:rsidRPr="007B5752">
              <w:t>282</w:t>
            </w:r>
          </w:p>
        </w:tc>
        <w:tc>
          <w:tcPr>
            <w:tcW w:w="1701" w:type="dxa"/>
            <w:shd w:val="clear" w:color="auto" w:fill="F5F5F1"/>
            <w:noWrap/>
          </w:tcPr>
          <w:p w14:paraId="454851BF" w14:textId="77777777" w:rsidR="00E57261" w:rsidRPr="007B5752" w:rsidRDefault="00E57261" w:rsidP="00B23A69">
            <w:r w:rsidRPr="007B5752">
              <w:t>57.2</w:t>
            </w:r>
          </w:p>
        </w:tc>
        <w:tc>
          <w:tcPr>
            <w:tcW w:w="1133" w:type="dxa"/>
            <w:shd w:val="clear" w:color="auto" w:fill="F5F5F1"/>
            <w:noWrap/>
          </w:tcPr>
          <w:p w14:paraId="0274EDB9" w14:textId="77777777" w:rsidR="00E57261" w:rsidRPr="007B5752" w:rsidRDefault="00E57261" w:rsidP="00B23A69">
            <w:r w:rsidRPr="007B5752">
              <w:t>54</w:t>
            </w:r>
          </w:p>
        </w:tc>
      </w:tr>
      <w:tr w:rsidR="00B83882" w:rsidRPr="007B5752" w14:paraId="5169EAA2" w14:textId="77777777" w:rsidTr="007240CB">
        <w:tc>
          <w:tcPr>
            <w:tcW w:w="2547" w:type="dxa"/>
            <w:tcBorders>
              <w:bottom w:val="single" w:sz="12" w:space="0" w:color="auto"/>
            </w:tcBorders>
            <w:shd w:val="clear" w:color="auto" w:fill="F5F5F1"/>
          </w:tcPr>
          <w:p w14:paraId="0C5D7F7C" w14:textId="77777777" w:rsidR="00E57261" w:rsidRPr="007B5752" w:rsidRDefault="00E57261" w:rsidP="00B23A69">
            <w:r w:rsidRPr="007B5752">
              <w:t>Upper West</w:t>
            </w:r>
          </w:p>
        </w:tc>
        <w:tc>
          <w:tcPr>
            <w:tcW w:w="850" w:type="dxa"/>
            <w:tcBorders>
              <w:bottom w:val="single" w:sz="12" w:space="0" w:color="auto"/>
            </w:tcBorders>
            <w:shd w:val="clear" w:color="auto" w:fill="F5F5F1"/>
            <w:noWrap/>
          </w:tcPr>
          <w:p w14:paraId="79F07602" w14:textId="77777777" w:rsidR="00E57261" w:rsidRPr="007B5752" w:rsidRDefault="00E57261" w:rsidP="00B23A69">
            <w:r w:rsidRPr="007B5752">
              <w:t>47.3</w:t>
            </w:r>
          </w:p>
        </w:tc>
        <w:tc>
          <w:tcPr>
            <w:tcW w:w="709" w:type="dxa"/>
            <w:tcBorders>
              <w:bottom w:val="single" w:sz="12" w:space="0" w:color="auto"/>
            </w:tcBorders>
            <w:shd w:val="clear" w:color="auto" w:fill="F5F5F1"/>
            <w:noWrap/>
          </w:tcPr>
          <w:p w14:paraId="18EC3340" w14:textId="77777777" w:rsidR="00E57261" w:rsidRPr="007B5752" w:rsidRDefault="00E57261" w:rsidP="00B23A69">
            <w:r w:rsidRPr="007B5752">
              <w:t>14.3</w:t>
            </w:r>
          </w:p>
        </w:tc>
        <w:tc>
          <w:tcPr>
            <w:tcW w:w="709" w:type="dxa"/>
            <w:tcBorders>
              <w:bottom w:val="single" w:sz="12" w:space="0" w:color="auto"/>
            </w:tcBorders>
            <w:shd w:val="clear" w:color="auto" w:fill="F5F5F1"/>
            <w:noWrap/>
          </w:tcPr>
          <w:p w14:paraId="3876CFC7" w14:textId="77777777" w:rsidR="00E57261" w:rsidRPr="007B5752" w:rsidRDefault="00E57261" w:rsidP="00B23A69">
            <w:r w:rsidRPr="007B5752">
              <w:t>12.6</w:t>
            </w:r>
          </w:p>
        </w:tc>
        <w:tc>
          <w:tcPr>
            <w:tcW w:w="709" w:type="dxa"/>
            <w:tcBorders>
              <w:bottom w:val="single" w:sz="12" w:space="0" w:color="auto"/>
            </w:tcBorders>
            <w:shd w:val="clear" w:color="auto" w:fill="F5F5F1"/>
            <w:noWrap/>
          </w:tcPr>
          <w:p w14:paraId="410DE19B" w14:textId="77777777" w:rsidR="00E57261" w:rsidRPr="007B5752" w:rsidRDefault="00E57261" w:rsidP="00B23A69">
            <w:r w:rsidRPr="007B5752">
              <w:t>74.2</w:t>
            </w:r>
          </w:p>
        </w:tc>
        <w:tc>
          <w:tcPr>
            <w:tcW w:w="992" w:type="dxa"/>
            <w:tcBorders>
              <w:bottom w:val="single" w:sz="12" w:space="0" w:color="auto"/>
            </w:tcBorders>
            <w:shd w:val="clear" w:color="auto" w:fill="F5F5F1"/>
            <w:noWrap/>
          </w:tcPr>
          <w:p w14:paraId="4C94C8C1" w14:textId="77777777" w:rsidR="00E57261" w:rsidRPr="007B5752" w:rsidRDefault="00E57261" w:rsidP="00B23A69">
            <w:r w:rsidRPr="007B5752">
              <w:t>211</w:t>
            </w:r>
          </w:p>
        </w:tc>
        <w:tc>
          <w:tcPr>
            <w:tcW w:w="1701" w:type="dxa"/>
            <w:tcBorders>
              <w:bottom w:val="single" w:sz="12" w:space="0" w:color="auto"/>
            </w:tcBorders>
            <w:shd w:val="clear" w:color="auto" w:fill="F5F5F1"/>
            <w:noWrap/>
          </w:tcPr>
          <w:p w14:paraId="02E67EF7" w14:textId="77777777" w:rsidR="00E57261" w:rsidRPr="007B5752" w:rsidRDefault="00E57261" w:rsidP="00B23A69">
            <w:r w:rsidRPr="007B5752">
              <w:t>50.0</w:t>
            </w:r>
          </w:p>
        </w:tc>
        <w:tc>
          <w:tcPr>
            <w:tcW w:w="1133" w:type="dxa"/>
            <w:tcBorders>
              <w:bottom w:val="single" w:sz="12" w:space="0" w:color="auto"/>
            </w:tcBorders>
            <w:shd w:val="clear" w:color="auto" w:fill="F5F5F1"/>
            <w:noWrap/>
          </w:tcPr>
          <w:p w14:paraId="5FA17DF4" w14:textId="77777777" w:rsidR="00E57261" w:rsidRPr="007B5752" w:rsidRDefault="00E57261" w:rsidP="00B23A69">
            <w:r w:rsidRPr="007B5752">
              <w:t>54</w:t>
            </w:r>
          </w:p>
        </w:tc>
      </w:tr>
      <w:tr w:rsidR="00E57261" w:rsidRPr="007B5752" w14:paraId="3142AFF6" w14:textId="77777777" w:rsidTr="007240CB">
        <w:tc>
          <w:tcPr>
            <w:tcW w:w="9350" w:type="dxa"/>
            <w:gridSpan w:val="8"/>
            <w:tcBorders>
              <w:top w:val="single" w:sz="12" w:space="0" w:color="auto"/>
              <w:bottom w:val="single" w:sz="12" w:space="0" w:color="auto"/>
            </w:tcBorders>
            <w:shd w:val="clear" w:color="auto" w:fill="F5F5F1"/>
            <w:hideMark/>
          </w:tcPr>
          <w:p w14:paraId="675B3665" w14:textId="01658CF6" w:rsidR="00E57261" w:rsidRPr="007B5752" w:rsidRDefault="00E57261" w:rsidP="00B23A69">
            <w:pPr>
              <w:rPr>
                <w:b/>
                <w:bCs/>
                <w:i/>
                <w:iCs/>
              </w:rPr>
            </w:pPr>
            <w:r w:rsidRPr="007B5752">
              <w:rPr>
                <w:b/>
                <w:bCs/>
                <w:i/>
                <w:iCs/>
              </w:rPr>
              <w:t>Child's functional difficulty (age 2-4 years)</w:t>
            </w:r>
          </w:p>
        </w:tc>
      </w:tr>
      <w:tr w:rsidR="00E57261" w:rsidRPr="007B5752" w14:paraId="28CAF90D" w14:textId="77777777" w:rsidTr="007240CB">
        <w:tc>
          <w:tcPr>
            <w:tcW w:w="2547" w:type="dxa"/>
            <w:tcBorders>
              <w:top w:val="single" w:sz="12" w:space="0" w:color="auto"/>
            </w:tcBorders>
            <w:shd w:val="clear" w:color="auto" w:fill="F5F5F1"/>
            <w:hideMark/>
          </w:tcPr>
          <w:p w14:paraId="66654017" w14:textId="77777777" w:rsidR="00E57261" w:rsidRPr="007B5752" w:rsidRDefault="00E57261" w:rsidP="00B23A69">
            <w:r w:rsidRPr="007B5752">
              <w:t>Has functional difficulty</w:t>
            </w:r>
          </w:p>
        </w:tc>
        <w:tc>
          <w:tcPr>
            <w:tcW w:w="850" w:type="dxa"/>
            <w:tcBorders>
              <w:top w:val="single" w:sz="12" w:space="0" w:color="auto"/>
            </w:tcBorders>
            <w:shd w:val="clear" w:color="auto" w:fill="F5F5F1"/>
            <w:noWrap/>
            <w:hideMark/>
          </w:tcPr>
          <w:p w14:paraId="55589662" w14:textId="77777777" w:rsidR="00E57261" w:rsidRPr="007B5752" w:rsidRDefault="00E57261" w:rsidP="00B23A69">
            <w:r w:rsidRPr="007B5752">
              <w:t>45.5</w:t>
            </w:r>
          </w:p>
        </w:tc>
        <w:tc>
          <w:tcPr>
            <w:tcW w:w="709" w:type="dxa"/>
            <w:tcBorders>
              <w:top w:val="single" w:sz="12" w:space="0" w:color="auto"/>
            </w:tcBorders>
            <w:shd w:val="clear" w:color="auto" w:fill="F5F5F1"/>
            <w:noWrap/>
            <w:hideMark/>
          </w:tcPr>
          <w:p w14:paraId="428E1A3F" w14:textId="77777777" w:rsidR="00E57261" w:rsidRPr="007B5752" w:rsidRDefault="00E57261" w:rsidP="00B23A69">
            <w:r w:rsidRPr="007B5752">
              <w:t>19.4</w:t>
            </w:r>
          </w:p>
        </w:tc>
        <w:tc>
          <w:tcPr>
            <w:tcW w:w="709" w:type="dxa"/>
            <w:tcBorders>
              <w:top w:val="single" w:sz="12" w:space="0" w:color="auto"/>
            </w:tcBorders>
            <w:shd w:val="clear" w:color="auto" w:fill="F5F5F1"/>
            <w:noWrap/>
            <w:hideMark/>
          </w:tcPr>
          <w:p w14:paraId="6091CB43" w14:textId="77777777" w:rsidR="00E57261" w:rsidRPr="007B5752" w:rsidRDefault="00E57261" w:rsidP="00B23A69">
            <w:r w:rsidRPr="007B5752">
              <w:t>6.9</w:t>
            </w:r>
          </w:p>
        </w:tc>
        <w:tc>
          <w:tcPr>
            <w:tcW w:w="709" w:type="dxa"/>
            <w:tcBorders>
              <w:top w:val="single" w:sz="12" w:space="0" w:color="auto"/>
            </w:tcBorders>
            <w:shd w:val="clear" w:color="auto" w:fill="F5F5F1"/>
            <w:noWrap/>
            <w:hideMark/>
          </w:tcPr>
          <w:p w14:paraId="542FA427" w14:textId="77777777" w:rsidR="00E57261" w:rsidRPr="007B5752" w:rsidRDefault="00E57261" w:rsidP="00B23A69">
            <w:r w:rsidRPr="007B5752">
              <w:t>71.7</w:t>
            </w:r>
          </w:p>
        </w:tc>
        <w:tc>
          <w:tcPr>
            <w:tcW w:w="992" w:type="dxa"/>
            <w:tcBorders>
              <w:top w:val="single" w:sz="12" w:space="0" w:color="auto"/>
            </w:tcBorders>
            <w:shd w:val="clear" w:color="auto" w:fill="F5F5F1"/>
            <w:noWrap/>
            <w:hideMark/>
          </w:tcPr>
          <w:p w14:paraId="42B94BB4" w14:textId="77777777" w:rsidR="00E57261" w:rsidRPr="007B5752" w:rsidRDefault="00E57261" w:rsidP="00B23A69">
            <w:r w:rsidRPr="007B5752">
              <w:t>593</w:t>
            </w:r>
          </w:p>
        </w:tc>
        <w:tc>
          <w:tcPr>
            <w:tcW w:w="1701" w:type="dxa"/>
            <w:tcBorders>
              <w:top w:val="single" w:sz="12" w:space="0" w:color="auto"/>
            </w:tcBorders>
            <w:shd w:val="clear" w:color="auto" w:fill="F5F5F1"/>
            <w:noWrap/>
            <w:hideMark/>
          </w:tcPr>
          <w:p w14:paraId="599A0292" w14:textId="77777777" w:rsidR="00E57261" w:rsidRPr="007B5752" w:rsidRDefault="00E57261" w:rsidP="00B23A69">
            <w:r w:rsidRPr="007B5752">
              <w:t>52.8</w:t>
            </w:r>
          </w:p>
        </w:tc>
        <w:tc>
          <w:tcPr>
            <w:tcW w:w="1133" w:type="dxa"/>
            <w:tcBorders>
              <w:top w:val="single" w:sz="12" w:space="0" w:color="auto"/>
            </w:tcBorders>
            <w:shd w:val="clear" w:color="auto" w:fill="F5F5F1"/>
            <w:noWrap/>
            <w:hideMark/>
          </w:tcPr>
          <w:p w14:paraId="04616E23" w14:textId="77777777" w:rsidR="00E57261" w:rsidRPr="007B5752" w:rsidRDefault="00E57261" w:rsidP="00B23A69">
            <w:r w:rsidRPr="007B5752">
              <w:t>168</w:t>
            </w:r>
          </w:p>
        </w:tc>
      </w:tr>
      <w:tr w:rsidR="00B83882" w:rsidRPr="007B5752" w14:paraId="1F188392" w14:textId="77777777" w:rsidTr="007240CB">
        <w:tc>
          <w:tcPr>
            <w:tcW w:w="2547" w:type="dxa"/>
            <w:tcBorders>
              <w:bottom w:val="single" w:sz="12" w:space="0" w:color="auto"/>
            </w:tcBorders>
            <w:shd w:val="clear" w:color="auto" w:fill="F5F5F1"/>
            <w:hideMark/>
          </w:tcPr>
          <w:p w14:paraId="0DC13461" w14:textId="77777777" w:rsidR="00E57261" w:rsidRPr="007B5752" w:rsidRDefault="00E57261" w:rsidP="00B23A69">
            <w:r w:rsidRPr="007B5752">
              <w:t>No functional difficulty</w:t>
            </w:r>
          </w:p>
        </w:tc>
        <w:tc>
          <w:tcPr>
            <w:tcW w:w="850" w:type="dxa"/>
            <w:tcBorders>
              <w:bottom w:val="single" w:sz="12" w:space="0" w:color="auto"/>
            </w:tcBorders>
            <w:shd w:val="clear" w:color="auto" w:fill="F5F5F1"/>
            <w:noWrap/>
            <w:hideMark/>
          </w:tcPr>
          <w:p w14:paraId="480319BF" w14:textId="77777777" w:rsidR="00E57261" w:rsidRPr="007B5752" w:rsidRDefault="00E57261" w:rsidP="00B23A69">
            <w:r w:rsidRPr="007B5752">
              <w:t>43.8</w:t>
            </w:r>
          </w:p>
        </w:tc>
        <w:tc>
          <w:tcPr>
            <w:tcW w:w="709" w:type="dxa"/>
            <w:tcBorders>
              <w:bottom w:val="single" w:sz="12" w:space="0" w:color="auto"/>
            </w:tcBorders>
            <w:shd w:val="clear" w:color="auto" w:fill="F5F5F1"/>
            <w:noWrap/>
            <w:hideMark/>
          </w:tcPr>
          <w:p w14:paraId="39FF8A2E" w14:textId="77777777" w:rsidR="00E57261" w:rsidRPr="007B5752" w:rsidRDefault="00E57261" w:rsidP="00B23A69">
            <w:r w:rsidRPr="007B5752">
              <w:t>22.3</w:t>
            </w:r>
          </w:p>
        </w:tc>
        <w:tc>
          <w:tcPr>
            <w:tcW w:w="709" w:type="dxa"/>
            <w:tcBorders>
              <w:bottom w:val="single" w:sz="12" w:space="0" w:color="auto"/>
            </w:tcBorders>
            <w:shd w:val="clear" w:color="auto" w:fill="F5F5F1"/>
            <w:noWrap/>
            <w:hideMark/>
          </w:tcPr>
          <w:p w14:paraId="1B64DFBA" w14:textId="77777777" w:rsidR="00E57261" w:rsidRPr="007B5752" w:rsidRDefault="00E57261" w:rsidP="00B23A69">
            <w:r w:rsidRPr="007B5752">
              <w:t>7.7</w:t>
            </w:r>
          </w:p>
        </w:tc>
        <w:tc>
          <w:tcPr>
            <w:tcW w:w="709" w:type="dxa"/>
            <w:tcBorders>
              <w:bottom w:val="single" w:sz="12" w:space="0" w:color="auto"/>
            </w:tcBorders>
            <w:shd w:val="clear" w:color="auto" w:fill="F5F5F1"/>
            <w:noWrap/>
            <w:hideMark/>
          </w:tcPr>
          <w:p w14:paraId="07E7B452" w14:textId="77777777" w:rsidR="00E57261" w:rsidRPr="007B5752" w:rsidRDefault="00E57261" w:rsidP="00B23A69">
            <w:r w:rsidRPr="007B5752">
              <w:t>73.7</w:t>
            </w:r>
          </w:p>
        </w:tc>
        <w:tc>
          <w:tcPr>
            <w:tcW w:w="992" w:type="dxa"/>
            <w:tcBorders>
              <w:bottom w:val="single" w:sz="12" w:space="0" w:color="auto"/>
            </w:tcBorders>
            <w:shd w:val="clear" w:color="auto" w:fill="F5F5F1"/>
            <w:noWrap/>
            <w:hideMark/>
          </w:tcPr>
          <w:p w14:paraId="5EFD67C8" w14:textId="77777777" w:rsidR="00E57261" w:rsidRPr="007B5752" w:rsidRDefault="00E57261" w:rsidP="00B23A69">
            <w:r w:rsidRPr="007B5752">
              <w:t>4,903</w:t>
            </w:r>
          </w:p>
        </w:tc>
        <w:tc>
          <w:tcPr>
            <w:tcW w:w="1701" w:type="dxa"/>
            <w:tcBorders>
              <w:bottom w:val="single" w:sz="12" w:space="0" w:color="auto"/>
            </w:tcBorders>
            <w:shd w:val="clear" w:color="auto" w:fill="F5F5F1"/>
            <w:noWrap/>
            <w:hideMark/>
          </w:tcPr>
          <w:p w14:paraId="3A835420" w14:textId="77777777" w:rsidR="00E57261" w:rsidRPr="007B5752" w:rsidRDefault="00E57261" w:rsidP="00B23A69">
            <w:r w:rsidRPr="007B5752">
              <w:t>52.6</w:t>
            </w:r>
          </w:p>
        </w:tc>
        <w:tc>
          <w:tcPr>
            <w:tcW w:w="1133" w:type="dxa"/>
            <w:tcBorders>
              <w:bottom w:val="single" w:sz="12" w:space="0" w:color="auto"/>
            </w:tcBorders>
            <w:shd w:val="clear" w:color="auto" w:fill="F5F5F1"/>
            <w:noWrap/>
            <w:hideMark/>
          </w:tcPr>
          <w:p w14:paraId="5B3F1BC0" w14:textId="77777777" w:rsidR="00E57261" w:rsidRPr="007B5752" w:rsidRDefault="00E57261" w:rsidP="00B23A69">
            <w:r w:rsidRPr="007B5752">
              <w:t>1,288</w:t>
            </w:r>
          </w:p>
        </w:tc>
      </w:tr>
      <w:tr w:rsidR="00E57261" w:rsidRPr="007B5752" w14:paraId="5C55ADD1" w14:textId="77777777" w:rsidTr="007240CB">
        <w:tc>
          <w:tcPr>
            <w:tcW w:w="9350" w:type="dxa"/>
            <w:gridSpan w:val="8"/>
            <w:tcBorders>
              <w:top w:val="single" w:sz="12" w:space="0" w:color="auto"/>
              <w:bottom w:val="single" w:sz="12" w:space="0" w:color="auto"/>
            </w:tcBorders>
            <w:shd w:val="clear" w:color="auto" w:fill="F5F5F1"/>
            <w:hideMark/>
          </w:tcPr>
          <w:p w14:paraId="0A7C4452" w14:textId="77777777" w:rsidR="00E57261" w:rsidRPr="007B5752" w:rsidRDefault="00E57261" w:rsidP="00B23A69">
            <w:pPr>
              <w:rPr>
                <w:b/>
                <w:bCs/>
                <w:i/>
                <w:iCs/>
              </w:rPr>
            </w:pPr>
            <w:r w:rsidRPr="007B5752">
              <w:rPr>
                <w:b/>
                <w:bCs/>
                <w:i/>
                <w:iCs/>
              </w:rPr>
              <w:t>Mother's functional difficulties (age 18-49 years)</w:t>
            </w:r>
          </w:p>
        </w:tc>
      </w:tr>
      <w:tr w:rsidR="00E57261" w:rsidRPr="007B5752" w14:paraId="68A38502" w14:textId="77777777" w:rsidTr="007240CB">
        <w:tc>
          <w:tcPr>
            <w:tcW w:w="2547" w:type="dxa"/>
            <w:tcBorders>
              <w:top w:val="single" w:sz="12" w:space="0" w:color="auto"/>
            </w:tcBorders>
            <w:shd w:val="clear" w:color="auto" w:fill="F5F5F1"/>
            <w:hideMark/>
          </w:tcPr>
          <w:p w14:paraId="5DFA1553" w14:textId="77777777" w:rsidR="00E57261" w:rsidRPr="007B5752" w:rsidRDefault="00E57261" w:rsidP="00B23A69">
            <w:r w:rsidRPr="007B5752">
              <w:t>Has functional difficulty</w:t>
            </w:r>
          </w:p>
        </w:tc>
        <w:tc>
          <w:tcPr>
            <w:tcW w:w="850" w:type="dxa"/>
            <w:tcBorders>
              <w:top w:val="single" w:sz="12" w:space="0" w:color="auto"/>
            </w:tcBorders>
            <w:shd w:val="clear" w:color="auto" w:fill="F5F5F1"/>
            <w:noWrap/>
            <w:hideMark/>
          </w:tcPr>
          <w:p w14:paraId="5E10E84B" w14:textId="77777777" w:rsidR="00E57261" w:rsidRPr="007B5752" w:rsidRDefault="00E57261" w:rsidP="00B23A69">
            <w:r w:rsidRPr="007B5752">
              <w:t>46.1</w:t>
            </w:r>
          </w:p>
        </w:tc>
        <w:tc>
          <w:tcPr>
            <w:tcW w:w="709" w:type="dxa"/>
            <w:tcBorders>
              <w:top w:val="single" w:sz="12" w:space="0" w:color="auto"/>
            </w:tcBorders>
            <w:shd w:val="clear" w:color="auto" w:fill="F5F5F1"/>
            <w:noWrap/>
            <w:hideMark/>
          </w:tcPr>
          <w:p w14:paraId="49AC689A" w14:textId="77777777" w:rsidR="00E57261" w:rsidRPr="007B5752" w:rsidRDefault="00E57261" w:rsidP="00B23A69">
            <w:r w:rsidRPr="007B5752">
              <w:t>16.8</w:t>
            </w:r>
          </w:p>
        </w:tc>
        <w:tc>
          <w:tcPr>
            <w:tcW w:w="709" w:type="dxa"/>
            <w:tcBorders>
              <w:top w:val="single" w:sz="12" w:space="0" w:color="auto"/>
            </w:tcBorders>
            <w:shd w:val="clear" w:color="auto" w:fill="F5F5F1"/>
            <w:noWrap/>
            <w:hideMark/>
          </w:tcPr>
          <w:p w14:paraId="7635B03D" w14:textId="77777777" w:rsidR="00E57261" w:rsidRPr="007B5752" w:rsidRDefault="00E57261" w:rsidP="00B23A69">
            <w:r w:rsidRPr="007B5752">
              <w:t>7.7</w:t>
            </w:r>
          </w:p>
        </w:tc>
        <w:tc>
          <w:tcPr>
            <w:tcW w:w="709" w:type="dxa"/>
            <w:tcBorders>
              <w:top w:val="single" w:sz="12" w:space="0" w:color="auto"/>
            </w:tcBorders>
            <w:shd w:val="clear" w:color="auto" w:fill="F5F5F1"/>
            <w:noWrap/>
            <w:hideMark/>
          </w:tcPr>
          <w:p w14:paraId="04B6FB44" w14:textId="77777777" w:rsidR="00E57261" w:rsidRPr="007B5752" w:rsidRDefault="00E57261" w:rsidP="00B23A69">
            <w:r w:rsidRPr="007B5752">
              <w:t>70.6</w:t>
            </w:r>
          </w:p>
        </w:tc>
        <w:tc>
          <w:tcPr>
            <w:tcW w:w="992" w:type="dxa"/>
            <w:tcBorders>
              <w:top w:val="single" w:sz="12" w:space="0" w:color="auto"/>
            </w:tcBorders>
            <w:shd w:val="clear" w:color="auto" w:fill="F5F5F1"/>
            <w:noWrap/>
            <w:hideMark/>
          </w:tcPr>
          <w:p w14:paraId="7AD210C7" w14:textId="77777777" w:rsidR="00E57261" w:rsidRPr="007B5752" w:rsidRDefault="00E57261" w:rsidP="00B23A69">
            <w:r w:rsidRPr="007B5752">
              <w:t>602</w:t>
            </w:r>
          </w:p>
        </w:tc>
        <w:tc>
          <w:tcPr>
            <w:tcW w:w="1701" w:type="dxa"/>
            <w:tcBorders>
              <w:top w:val="single" w:sz="12" w:space="0" w:color="auto"/>
            </w:tcBorders>
            <w:shd w:val="clear" w:color="auto" w:fill="F5F5F1"/>
            <w:noWrap/>
            <w:hideMark/>
          </w:tcPr>
          <w:p w14:paraId="67DAA185" w14:textId="77777777" w:rsidR="00E57261" w:rsidRPr="007B5752" w:rsidRDefault="00E57261" w:rsidP="00B23A69">
            <w:r w:rsidRPr="007B5752">
              <w:t>57.6</w:t>
            </w:r>
          </w:p>
        </w:tc>
        <w:tc>
          <w:tcPr>
            <w:tcW w:w="1133" w:type="dxa"/>
            <w:tcBorders>
              <w:top w:val="single" w:sz="12" w:space="0" w:color="auto"/>
            </w:tcBorders>
            <w:shd w:val="clear" w:color="auto" w:fill="F5F5F1"/>
            <w:noWrap/>
            <w:hideMark/>
          </w:tcPr>
          <w:p w14:paraId="4973557D" w14:textId="77777777" w:rsidR="00E57261" w:rsidRPr="007B5752" w:rsidRDefault="00E57261" w:rsidP="00B23A69">
            <w:r w:rsidRPr="007B5752">
              <w:t>177</w:t>
            </w:r>
          </w:p>
        </w:tc>
      </w:tr>
      <w:tr w:rsidR="00B83882" w:rsidRPr="007B5752" w14:paraId="63EBB1DD" w14:textId="77777777" w:rsidTr="007240CB">
        <w:tc>
          <w:tcPr>
            <w:tcW w:w="2547" w:type="dxa"/>
            <w:tcBorders>
              <w:bottom w:val="single" w:sz="12" w:space="0" w:color="auto"/>
            </w:tcBorders>
            <w:shd w:val="clear" w:color="auto" w:fill="F5F5F1"/>
            <w:hideMark/>
          </w:tcPr>
          <w:p w14:paraId="64328D71" w14:textId="77777777" w:rsidR="00E57261" w:rsidRPr="007B5752" w:rsidRDefault="00E57261" w:rsidP="00B23A69">
            <w:r w:rsidRPr="007B5752">
              <w:t>No functional difficulty</w:t>
            </w:r>
          </w:p>
        </w:tc>
        <w:tc>
          <w:tcPr>
            <w:tcW w:w="850" w:type="dxa"/>
            <w:tcBorders>
              <w:bottom w:val="single" w:sz="12" w:space="0" w:color="auto"/>
            </w:tcBorders>
            <w:shd w:val="clear" w:color="auto" w:fill="F5F5F1"/>
            <w:noWrap/>
            <w:hideMark/>
          </w:tcPr>
          <w:p w14:paraId="02692197" w14:textId="77777777" w:rsidR="00E57261" w:rsidRPr="007B5752" w:rsidRDefault="00E57261" w:rsidP="00B23A69">
            <w:r w:rsidRPr="007B5752">
              <w:t>44.3</w:t>
            </w:r>
          </w:p>
        </w:tc>
        <w:tc>
          <w:tcPr>
            <w:tcW w:w="709" w:type="dxa"/>
            <w:tcBorders>
              <w:bottom w:val="single" w:sz="12" w:space="0" w:color="auto"/>
            </w:tcBorders>
            <w:shd w:val="clear" w:color="auto" w:fill="F5F5F1"/>
            <w:noWrap/>
            <w:hideMark/>
          </w:tcPr>
          <w:p w14:paraId="163A42CC" w14:textId="77777777" w:rsidR="00E57261" w:rsidRPr="007B5752" w:rsidRDefault="00E57261" w:rsidP="00B23A69">
            <w:r w:rsidRPr="007B5752">
              <w:t>17.7</w:t>
            </w:r>
          </w:p>
        </w:tc>
        <w:tc>
          <w:tcPr>
            <w:tcW w:w="709" w:type="dxa"/>
            <w:tcBorders>
              <w:bottom w:val="single" w:sz="12" w:space="0" w:color="auto"/>
            </w:tcBorders>
            <w:shd w:val="clear" w:color="auto" w:fill="F5F5F1"/>
            <w:noWrap/>
            <w:hideMark/>
          </w:tcPr>
          <w:p w14:paraId="542154A4" w14:textId="77777777" w:rsidR="00E57261" w:rsidRPr="007B5752" w:rsidRDefault="00E57261" w:rsidP="00B23A69">
            <w:r w:rsidRPr="007B5752">
              <w:t>9.0</w:t>
            </w:r>
          </w:p>
        </w:tc>
        <w:tc>
          <w:tcPr>
            <w:tcW w:w="709" w:type="dxa"/>
            <w:tcBorders>
              <w:bottom w:val="single" w:sz="12" w:space="0" w:color="auto"/>
            </w:tcBorders>
            <w:shd w:val="clear" w:color="auto" w:fill="F5F5F1"/>
            <w:noWrap/>
            <w:hideMark/>
          </w:tcPr>
          <w:p w14:paraId="1DB901D4" w14:textId="77777777" w:rsidR="00E57261" w:rsidRPr="007B5752" w:rsidRDefault="00E57261" w:rsidP="00B23A69">
            <w:r w:rsidRPr="007B5752">
              <w:t>71.0</w:t>
            </w:r>
          </w:p>
        </w:tc>
        <w:tc>
          <w:tcPr>
            <w:tcW w:w="992" w:type="dxa"/>
            <w:tcBorders>
              <w:bottom w:val="single" w:sz="12" w:space="0" w:color="auto"/>
            </w:tcBorders>
            <w:shd w:val="clear" w:color="auto" w:fill="F5F5F1"/>
            <w:noWrap/>
            <w:hideMark/>
          </w:tcPr>
          <w:p w14:paraId="5D87EB38" w14:textId="77777777" w:rsidR="00E57261" w:rsidRPr="007B5752" w:rsidRDefault="00E57261" w:rsidP="00B23A69">
            <w:r w:rsidRPr="007B5752">
              <w:t>7,554</w:t>
            </w:r>
          </w:p>
        </w:tc>
        <w:tc>
          <w:tcPr>
            <w:tcW w:w="1701" w:type="dxa"/>
            <w:tcBorders>
              <w:bottom w:val="single" w:sz="12" w:space="0" w:color="auto"/>
            </w:tcBorders>
            <w:shd w:val="clear" w:color="auto" w:fill="F5F5F1"/>
            <w:noWrap/>
            <w:hideMark/>
          </w:tcPr>
          <w:p w14:paraId="4257AEF1" w14:textId="77777777" w:rsidR="00E57261" w:rsidRPr="007B5752" w:rsidRDefault="00E57261" w:rsidP="00B23A69">
            <w:r w:rsidRPr="007B5752">
              <w:t>55.8</w:t>
            </w:r>
          </w:p>
        </w:tc>
        <w:tc>
          <w:tcPr>
            <w:tcW w:w="1133" w:type="dxa"/>
            <w:tcBorders>
              <w:bottom w:val="single" w:sz="12" w:space="0" w:color="auto"/>
            </w:tcBorders>
            <w:shd w:val="clear" w:color="auto" w:fill="F5F5F1"/>
            <w:noWrap/>
            <w:hideMark/>
          </w:tcPr>
          <w:p w14:paraId="38DF2719" w14:textId="77777777" w:rsidR="00E57261" w:rsidRPr="007B5752" w:rsidRDefault="00E57261" w:rsidP="00B23A69">
            <w:r w:rsidRPr="007B5752">
              <w:t>2,192</w:t>
            </w:r>
          </w:p>
        </w:tc>
      </w:tr>
      <w:tr w:rsidR="00B83882" w:rsidRPr="007B5752" w14:paraId="1ACC8036" w14:textId="77777777" w:rsidTr="007240CB">
        <w:tc>
          <w:tcPr>
            <w:tcW w:w="2547" w:type="dxa"/>
            <w:tcBorders>
              <w:top w:val="single" w:sz="12" w:space="0" w:color="auto"/>
              <w:bottom w:val="single" w:sz="12" w:space="0" w:color="auto"/>
            </w:tcBorders>
            <w:shd w:val="clear" w:color="auto" w:fill="F5F5F1"/>
            <w:hideMark/>
          </w:tcPr>
          <w:p w14:paraId="64134592" w14:textId="77777777" w:rsidR="00E57261" w:rsidRPr="007B5752" w:rsidRDefault="00E57261" w:rsidP="00B23A69">
            <w:r w:rsidRPr="007B5752">
              <w:t>No information</w:t>
            </w:r>
          </w:p>
        </w:tc>
        <w:tc>
          <w:tcPr>
            <w:tcW w:w="850" w:type="dxa"/>
            <w:tcBorders>
              <w:top w:val="single" w:sz="12" w:space="0" w:color="auto"/>
              <w:bottom w:val="single" w:sz="12" w:space="0" w:color="auto"/>
            </w:tcBorders>
            <w:shd w:val="clear" w:color="auto" w:fill="F5F5F1"/>
            <w:noWrap/>
            <w:hideMark/>
          </w:tcPr>
          <w:p w14:paraId="5260ED85" w14:textId="77777777" w:rsidR="00E57261" w:rsidRPr="007B5752" w:rsidRDefault="00E57261" w:rsidP="00B23A69">
            <w:r w:rsidRPr="007B5752">
              <w:t>27.0</w:t>
            </w:r>
          </w:p>
        </w:tc>
        <w:tc>
          <w:tcPr>
            <w:tcW w:w="709" w:type="dxa"/>
            <w:tcBorders>
              <w:top w:val="single" w:sz="12" w:space="0" w:color="auto"/>
              <w:bottom w:val="single" w:sz="12" w:space="0" w:color="auto"/>
            </w:tcBorders>
            <w:shd w:val="clear" w:color="auto" w:fill="F5F5F1"/>
            <w:noWrap/>
            <w:hideMark/>
          </w:tcPr>
          <w:p w14:paraId="6B84EE57" w14:textId="77777777" w:rsidR="00E57261" w:rsidRPr="007B5752" w:rsidRDefault="00E57261" w:rsidP="00B23A69">
            <w:r w:rsidRPr="007B5752">
              <w:t>33.2</w:t>
            </w:r>
          </w:p>
        </w:tc>
        <w:tc>
          <w:tcPr>
            <w:tcW w:w="709" w:type="dxa"/>
            <w:tcBorders>
              <w:top w:val="single" w:sz="12" w:space="0" w:color="auto"/>
              <w:bottom w:val="single" w:sz="12" w:space="0" w:color="auto"/>
            </w:tcBorders>
            <w:shd w:val="clear" w:color="auto" w:fill="F5F5F1"/>
            <w:noWrap/>
            <w:hideMark/>
          </w:tcPr>
          <w:p w14:paraId="65B87671" w14:textId="77777777" w:rsidR="00E57261" w:rsidRPr="007B5752" w:rsidRDefault="00E57261" w:rsidP="00B23A69">
            <w:r w:rsidRPr="007B5752">
              <w:t>6.4</w:t>
            </w:r>
          </w:p>
        </w:tc>
        <w:tc>
          <w:tcPr>
            <w:tcW w:w="709" w:type="dxa"/>
            <w:tcBorders>
              <w:top w:val="single" w:sz="12" w:space="0" w:color="auto"/>
              <w:bottom w:val="single" w:sz="12" w:space="0" w:color="auto"/>
            </w:tcBorders>
            <w:shd w:val="clear" w:color="auto" w:fill="F5F5F1"/>
            <w:noWrap/>
            <w:hideMark/>
          </w:tcPr>
          <w:p w14:paraId="70A4AA09" w14:textId="77777777" w:rsidR="00E57261" w:rsidRPr="007B5752" w:rsidRDefault="00E57261" w:rsidP="00B23A69">
            <w:r w:rsidRPr="007B5752">
              <w:t>66.6</w:t>
            </w:r>
          </w:p>
        </w:tc>
        <w:tc>
          <w:tcPr>
            <w:tcW w:w="992" w:type="dxa"/>
            <w:tcBorders>
              <w:top w:val="single" w:sz="12" w:space="0" w:color="auto"/>
              <w:bottom w:val="single" w:sz="12" w:space="0" w:color="auto"/>
            </w:tcBorders>
            <w:shd w:val="clear" w:color="auto" w:fill="F5F5F1"/>
            <w:noWrap/>
            <w:hideMark/>
          </w:tcPr>
          <w:p w14:paraId="781C0511" w14:textId="77777777" w:rsidR="00E57261" w:rsidRPr="007B5752" w:rsidRDefault="00E57261" w:rsidP="00B23A69">
            <w:r w:rsidRPr="007B5752">
              <w:t>723</w:t>
            </w:r>
          </w:p>
        </w:tc>
        <w:tc>
          <w:tcPr>
            <w:tcW w:w="1701" w:type="dxa"/>
            <w:tcBorders>
              <w:top w:val="single" w:sz="12" w:space="0" w:color="auto"/>
              <w:bottom w:val="single" w:sz="12" w:space="0" w:color="auto"/>
            </w:tcBorders>
            <w:shd w:val="clear" w:color="auto" w:fill="F5F5F1"/>
            <w:noWrap/>
            <w:hideMark/>
          </w:tcPr>
          <w:p w14:paraId="65FB494C" w14:textId="77777777" w:rsidR="00E57261" w:rsidRPr="007B5752" w:rsidRDefault="00E57261" w:rsidP="00B23A69">
            <w:r w:rsidRPr="007B5752">
              <w:t>45.7</w:t>
            </w:r>
          </w:p>
        </w:tc>
        <w:tc>
          <w:tcPr>
            <w:tcW w:w="1133" w:type="dxa"/>
            <w:tcBorders>
              <w:top w:val="single" w:sz="12" w:space="0" w:color="auto"/>
              <w:bottom w:val="single" w:sz="12" w:space="0" w:color="auto"/>
            </w:tcBorders>
            <w:shd w:val="clear" w:color="auto" w:fill="F5F5F1"/>
            <w:noWrap/>
            <w:hideMark/>
          </w:tcPr>
          <w:p w14:paraId="7437C6A4" w14:textId="77777777" w:rsidR="00E57261" w:rsidRPr="007B5752" w:rsidRDefault="00E57261" w:rsidP="00B23A69">
            <w:r w:rsidRPr="007B5752">
              <w:t>241</w:t>
            </w:r>
          </w:p>
        </w:tc>
      </w:tr>
      <w:tr w:rsidR="00E57261" w:rsidRPr="007B5752" w14:paraId="0CA86B34" w14:textId="77777777" w:rsidTr="007240CB">
        <w:tc>
          <w:tcPr>
            <w:tcW w:w="9350" w:type="dxa"/>
            <w:gridSpan w:val="8"/>
            <w:tcBorders>
              <w:top w:val="single" w:sz="12" w:space="0" w:color="auto"/>
              <w:bottom w:val="single" w:sz="12" w:space="0" w:color="auto"/>
            </w:tcBorders>
            <w:shd w:val="clear" w:color="auto" w:fill="F5F5F1"/>
            <w:hideMark/>
          </w:tcPr>
          <w:p w14:paraId="325F4A0C" w14:textId="77777777" w:rsidR="00E57261" w:rsidRPr="007B5752" w:rsidRDefault="00E57261" w:rsidP="00B23A69">
            <w:pPr>
              <w:rPr>
                <w:b/>
                <w:bCs/>
                <w:i/>
                <w:iCs/>
              </w:rPr>
            </w:pPr>
            <w:r w:rsidRPr="007B5752">
              <w:rPr>
                <w:b/>
                <w:bCs/>
                <w:i/>
                <w:iCs/>
              </w:rPr>
              <w:t>Wealth index quintile</w:t>
            </w:r>
          </w:p>
        </w:tc>
      </w:tr>
      <w:tr w:rsidR="00B83882" w:rsidRPr="007B5752" w14:paraId="13720199" w14:textId="77777777" w:rsidTr="007240CB">
        <w:tc>
          <w:tcPr>
            <w:tcW w:w="2547" w:type="dxa"/>
            <w:tcBorders>
              <w:top w:val="single" w:sz="12" w:space="0" w:color="auto"/>
              <w:bottom w:val="single" w:sz="12" w:space="0" w:color="auto"/>
            </w:tcBorders>
            <w:shd w:val="clear" w:color="auto" w:fill="F5F5F1"/>
            <w:hideMark/>
          </w:tcPr>
          <w:p w14:paraId="34257040" w14:textId="77777777" w:rsidR="00E57261" w:rsidRPr="007B5752" w:rsidRDefault="00E57261" w:rsidP="00B23A69">
            <w:r w:rsidRPr="007B5752">
              <w:t>Poorest</w:t>
            </w:r>
          </w:p>
        </w:tc>
        <w:tc>
          <w:tcPr>
            <w:tcW w:w="850" w:type="dxa"/>
            <w:tcBorders>
              <w:top w:val="single" w:sz="12" w:space="0" w:color="auto"/>
              <w:bottom w:val="single" w:sz="12" w:space="0" w:color="auto"/>
            </w:tcBorders>
            <w:shd w:val="clear" w:color="auto" w:fill="F5F5F1"/>
            <w:noWrap/>
            <w:hideMark/>
          </w:tcPr>
          <w:p w14:paraId="1B50103C" w14:textId="77777777" w:rsidR="00E57261" w:rsidRPr="007B5752" w:rsidRDefault="00E57261" w:rsidP="00B23A69">
            <w:r w:rsidRPr="007B5752">
              <w:t>32.2</w:t>
            </w:r>
          </w:p>
        </w:tc>
        <w:tc>
          <w:tcPr>
            <w:tcW w:w="709" w:type="dxa"/>
            <w:tcBorders>
              <w:top w:val="single" w:sz="12" w:space="0" w:color="auto"/>
              <w:bottom w:val="single" w:sz="12" w:space="0" w:color="auto"/>
            </w:tcBorders>
            <w:shd w:val="clear" w:color="auto" w:fill="F5F5F1"/>
            <w:noWrap/>
            <w:hideMark/>
          </w:tcPr>
          <w:p w14:paraId="698B7E20" w14:textId="77777777" w:rsidR="00E57261" w:rsidRPr="007B5752" w:rsidRDefault="00E57261" w:rsidP="00B23A69">
            <w:r w:rsidRPr="007B5752">
              <w:t>14.6</w:t>
            </w:r>
          </w:p>
        </w:tc>
        <w:tc>
          <w:tcPr>
            <w:tcW w:w="709" w:type="dxa"/>
            <w:tcBorders>
              <w:top w:val="single" w:sz="12" w:space="0" w:color="auto"/>
              <w:bottom w:val="single" w:sz="12" w:space="0" w:color="auto"/>
            </w:tcBorders>
            <w:shd w:val="clear" w:color="auto" w:fill="F5F5F1"/>
            <w:noWrap/>
            <w:hideMark/>
          </w:tcPr>
          <w:p w14:paraId="27727189" w14:textId="77777777" w:rsidR="00E57261" w:rsidRPr="007B5752" w:rsidRDefault="00E57261" w:rsidP="00B23A69">
            <w:r w:rsidRPr="007B5752">
              <w:t>8</w:t>
            </w:r>
          </w:p>
        </w:tc>
        <w:tc>
          <w:tcPr>
            <w:tcW w:w="709" w:type="dxa"/>
            <w:tcBorders>
              <w:top w:val="single" w:sz="12" w:space="0" w:color="auto"/>
              <w:bottom w:val="single" w:sz="12" w:space="0" w:color="auto"/>
            </w:tcBorders>
            <w:shd w:val="clear" w:color="auto" w:fill="F5F5F1"/>
            <w:noWrap/>
            <w:hideMark/>
          </w:tcPr>
          <w:p w14:paraId="6C7A5B6D" w14:textId="77777777" w:rsidR="00E57261" w:rsidRPr="007B5752" w:rsidRDefault="00E57261" w:rsidP="00B23A69">
            <w:r w:rsidRPr="007B5752">
              <w:t>54.8</w:t>
            </w:r>
          </w:p>
        </w:tc>
        <w:tc>
          <w:tcPr>
            <w:tcW w:w="992" w:type="dxa"/>
            <w:tcBorders>
              <w:top w:val="single" w:sz="12" w:space="0" w:color="auto"/>
              <w:bottom w:val="single" w:sz="12" w:space="0" w:color="auto"/>
            </w:tcBorders>
            <w:shd w:val="clear" w:color="auto" w:fill="F5F5F1"/>
            <w:noWrap/>
            <w:hideMark/>
          </w:tcPr>
          <w:p w14:paraId="2D124974" w14:textId="77777777" w:rsidR="00E57261" w:rsidRPr="007B5752" w:rsidRDefault="00E57261" w:rsidP="00B23A69">
            <w:r w:rsidRPr="007B5752">
              <w:t>1,966</w:t>
            </w:r>
          </w:p>
        </w:tc>
        <w:tc>
          <w:tcPr>
            <w:tcW w:w="1701" w:type="dxa"/>
            <w:tcBorders>
              <w:top w:val="single" w:sz="12" w:space="0" w:color="auto"/>
              <w:bottom w:val="single" w:sz="12" w:space="0" w:color="auto"/>
            </w:tcBorders>
            <w:shd w:val="clear" w:color="auto" w:fill="F5F5F1"/>
            <w:noWrap/>
            <w:hideMark/>
          </w:tcPr>
          <w:p w14:paraId="3198AD5A" w14:textId="77777777" w:rsidR="00E57261" w:rsidRPr="007B5752" w:rsidRDefault="00E57261" w:rsidP="00B23A69">
            <w:r w:rsidRPr="007B5752">
              <w:t>39.1</w:t>
            </w:r>
          </w:p>
        </w:tc>
        <w:tc>
          <w:tcPr>
            <w:tcW w:w="1133" w:type="dxa"/>
            <w:tcBorders>
              <w:top w:val="single" w:sz="12" w:space="0" w:color="auto"/>
              <w:bottom w:val="single" w:sz="12" w:space="0" w:color="auto"/>
            </w:tcBorders>
            <w:shd w:val="clear" w:color="auto" w:fill="F5F5F1"/>
            <w:noWrap/>
            <w:hideMark/>
          </w:tcPr>
          <w:p w14:paraId="493F10BD" w14:textId="77777777" w:rsidR="00E57261" w:rsidRPr="007B5752" w:rsidRDefault="00E57261" w:rsidP="00B23A69">
            <w:r w:rsidRPr="007B5752">
              <w:t>888</w:t>
            </w:r>
          </w:p>
        </w:tc>
      </w:tr>
      <w:tr w:rsidR="00E57261" w:rsidRPr="007B5752" w14:paraId="08DB5966" w14:textId="77777777" w:rsidTr="007240CB">
        <w:tc>
          <w:tcPr>
            <w:tcW w:w="2547" w:type="dxa"/>
            <w:tcBorders>
              <w:top w:val="single" w:sz="12" w:space="0" w:color="auto"/>
            </w:tcBorders>
            <w:shd w:val="clear" w:color="auto" w:fill="F5F5F1"/>
            <w:hideMark/>
          </w:tcPr>
          <w:p w14:paraId="17B40361" w14:textId="77777777" w:rsidR="00E57261" w:rsidRPr="007B5752" w:rsidRDefault="00E57261" w:rsidP="00B23A69">
            <w:r w:rsidRPr="007B5752">
              <w:t>Second</w:t>
            </w:r>
          </w:p>
        </w:tc>
        <w:tc>
          <w:tcPr>
            <w:tcW w:w="850" w:type="dxa"/>
            <w:tcBorders>
              <w:top w:val="single" w:sz="12" w:space="0" w:color="auto"/>
            </w:tcBorders>
            <w:shd w:val="clear" w:color="auto" w:fill="F5F5F1"/>
            <w:noWrap/>
            <w:hideMark/>
          </w:tcPr>
          <w:p w14:paraId="6FF26DF0" w14:textId="77777777" w:rsidR="00E57261" w:rsidRPr="007B5752" w:rsidRDefault="00E57261" w:rsidP="00B23A69">
            <w:r w:rsidRPr="007B5752">
              <w:t>41.8</w:t>
            </w:r>
          </w:p>
        </w:tc>
        <w:tc>
          <w:tcPr>
            <w:tcW w:w="709" w:type="dxa"/>
            <w:tcBorders>
              <w:top w:val="single" w:sz="12" w:space="0" w:color="auto"/>
            </w:tcBorders>
            <w:shd w:val="clear" w:color="auto" w:fill="F5F5F1"/>
            <w:noWrap/>
            <w:hideMark/>
          </w:tcPr>
          <w:p w14:paraId="427077E3" w14:textId="77777777" w:rsidR="00E57261" w:rsidRPr="007B5752" w:rsidRDefault="00E57261" w:rsidP="00B23A69">
            <w:r w:rsidRPr="007B5752">
              <w:t>15.6</w:t>
            </w:r>
          </w:p>
        </w:tc>
        <w:tc>
          <w:tcPr>
            <w:tcW w:w="709" w:type="dxa"/>
            <w:tcBorders>
              <w:top w:val="single" w:sz="12" w:space="0" w:color="auto"/>
            </w:tcBorders>
            <w:shd w:val="clear" w:color="auto" w:fill="F5F5F1"/>
            <w:noWrap/>
            <w:hideMark/>
          </w:tcPr>
          <w:p w14:paraId="6FB42849" w14:textId="77777777" w:rsidR="00E57261" w:rsidRPr="007B5752" w:rsidRDefault="00E57261" w:rsidP="00B23A69">
            <w:r w:rsidRPr="007B5752">
              <w:t>9.6</w:t>
            </w:r>
          </w:p>
        </w:tc>
        <w:tc>
          <w:tcPr>
            <w:tcW w:w="709" w:type="dxa"/>
            <w:tcBorders>
              <w:top w:val="single" w:sz="12" w:space="0" w:color="auto"/>
            </w:tcBorders>
            <w:shd w:val="clear" w:color="auto" w:fill="F5F5F1"/>
            <w:noWrap/>
            <w:hideMark/>
          </w:tcPr>
          <w:p w14:paraId="6D7A7D24" w14:textId="77777777" w:rsidR="00E57261" w:rsidRPr="007B5752" w:rsidRDefault="00E57261" w:rsidP="00B23A69">
            <w:r w:rsidRPr="007B5752">
              <w:t>67</w:t>
            </w:r>
          </w:p>
        </w:tc>
        <w:tc>
          <w:tcPr>
            <w:tcW w:w="992" w:type="dxa"/>
            <w:tcBorders>
              <w:top w:val="single" w:sz="12" w:space="0" w:color="auto"/>
            </w:tcBorders>
            <w:shd w:val="clear" w:color="auto" w:fill="F5F5F1"/>
            <w:noWrap/>
            <w:hideMark/>
          </w:tcPr>
          <w:p w14:paraId="0F1FBB41" w14:textId="77777777" w:rsidR="00E57261" w:rsidRPr="007B5752" w:rsidRDefault="00E57261" w:rsidP="00B23A69">
            <w:r w:rsidRPr="007B5752">
              <w:t>1,834</w:t>
            </w:r>
          </w:p>
        </w:tc>
        <w:tc>
          <w:tcPr>
            <w:tcW w:w="1701" w:type="dxa"/>
            <w:tcBorders>
              <w:top w:val="single" w:sz="12" w:space="0" w:color="auto"/>
            </w:tcBorders>
            <w:shd w:val="clear" w:color="auto" w:fill="F5F5F1"/>
            <w:noWrap/>
            <w:hideMark/>
          </w:tcPr>
          <w:p w14:paraId="4F5F52C0" w14:textId="77777777" w:rsidR="00E57261" w:rsidRPr="007B5752" w:rsidRDefault="00E57261" w:rsidP="00B23A69">
            <w:r w:rsidRPr="007B5752">
              <w:t>47.4</w:t>
            </w:r>
          </w:p>
        </w:tc>
        <w:tc>
          <w:tcPr>
            <w:tcW w:w="1133" w:type="dxa"/>
            <w:tcBorders>
              <w:top w:val="single" w:sz="12" w:space="0" w:color="auto"/>
            </w:tcBorders>
            <w:shd w:val="clear" w:color="auto" w:fill="F5F5F1"/>
            <w:noWrap/>
            <w:hideMark/>
          </w:tcPr>
          <w:p w14:paraId="16F67B0D" w14:textId="77777777" w:rsidR="00E57261" w:rsidRPr="007B5752" w:rsidRDefault="00E57261" w:rsidP="00B23A69">
            <w:r w:rsidRPr="007B5752">
              <w:t>605</w:t>
            </w:r>
          </w:p>
        </w:tc>
      </w:tr>
      <w:tr w:rsidR="00E57261" w:rsidRPr="007B5752" w14:paraId="7E52F146" w14:textId="77777777" w:rsidTr="007240CB">
        <w:tc>
          <w:tcPr>
            <w:tcW w:w="2547" w:type="dxa"/>
            <w:shd w:val="clear" w:color="auto" w:fill="F5F5F1"/>
            <w:hideMark/>
          </w:tcPr>
          <w:p w14:paraId="62014FF5" w14:textId="77777777" w:rsidR="00E57261" w:rsidRPr="007B5752" w:rsidRDefault="00E57261" w:rsidP="00B23A69">
            <w:r w:rsidRPr="007B5752">
              <w:t>Middle</w:t>
            </w:r>
          </w:p>
        </w:tc>
        <w:tc>
          <w:tcPr>
            <w:tcW w:w="850" w:type="dxa"/>
            <w:shd w:val="clear" w:color="auto" w:fill="F5F5F1"/>
            <w:noWrap/>
            <w:hideMark/>
          </w:tcPr>
          <w:p w14:paraId="676542CB" w14:textId="77777777" w:rsidR="00E57261" w:rsidRPr="007B5752" w:rsidRDefault="00E57261" w:rsidP="00B23A69">
            <w:r w:rsidRPr="007B5752">
              <w:t>41.6</w:t>
            </w:r>
          </w:p>
        </w:tc>
        <w:tc>
          <w:tcPr>
            <w:tcW w:w="709" w:type="dxa"/>
            <w:shd w:val="clear" w:color="auto" w:fill="F5F5F1"/>
            <w:noWrap/>
            <w:hideMark/>
          </w:tcPr>
          <w:p w14:paraId="32C048F4" w14:textId="77777777" w:rsidR="00E57261" w:rsidRPr="007B5752" w:rsidRDefault="00E57261" w:rsidP="00B23A69">
            <w:r w:rsidRPr="007B5752">
              <w:t>19.9</w:t>
            </w:r>
          </w:p>
        </w:tc>
        <w:tc>
          <w:tcPr>
            <w:tcW w:w="709" w:type="dxa"/>
            <w:shd w:val="clear" w:color="auto" w:fill="F5F5F1"/>
            <w:noWrap/>
            <w:hideMark/>
          </w:tcPr>
          <w:p w14:paraId="15BB7F00" w14:textId="77777777" w:rsidR="00E57261" w:rsidRPr="007B5752" w:rsidRDefault="00E57261" w:rsidP="00B23A69">
            <w:r w:rsidRPr="007B5752">
              <w:t>9.8</w:t>
            </w:r>
          </w:p>
        </w:tc>
        <w:tc>
          <w:tcPr>
            <w:tcW w:w="709" w:type="dxa"/>
            <w:shd w:val="clear" w:color="auto" w:fill="F5F5F1"/>
            <w:noWrap/>
            <w:hideMark/>
          </w:tcPr>
          <w:p w14:paraId="5503EBFB" w14:textId="77777777" w:rsidR="00E57261" w:rsidRPr="007B5752" w:rsidRDefault="00E57261" w:rsidP="00B23A69">
            <w:r w:rsidRPr="007B5752">
              <w:t>71.3</w:t>
            </w:r>
          </w:p>
        </w:tc>
        <w:tc>
          <w:tcPr>
            <w:tcW w:w="992" w:type="dxa"/>
            <w:shd w:val="clear" w:color="auto" w:fill="F5F5F1"/>
            <w:noWrap/>
            <w:hideMark/>
          </w:tcPr>
          <w:p w14:paraId="1280D2E1" w14:textId="77777777" w:rsidR="00E57261" w:rsidRPr="007B5752" w:rsidRDefault="00E57261" w:rsidP="00B23A69">
            <w:r w:rsidRPr="007B5752">
              <w:t>1,771</w:t>
            </w:r>
          </w:p>
        </w:tc>
        <w:tc>
          <w:tcPr>
            <w:tcW w:w="1701" w:type="dxa"/>
            <w:shd w:val="clear" w:color="auto" w:fill="F5F5F1"/>
            <w:noWrap/>
            <w:hideMark/>
          </w:tcPr>
          <w:p w14:paraId="7326BB48" w14:textId="77777777" w:rsidR="00E57261" w:rsidRPr="007B5752" w:rsidRDefault="00E57261" w:rsidP="00B23A69">
            <w:r w:rsidRPr="007B5752">
              <w:t>66.1</w:t>
            </w:r>
          </w:p>
        </w:tc>
        <w:tc>
          <w:tcPr>
            <w:tcW w:w="1133" w:type="dxa"/>
            <w:shd w:val="clear" w:color="auto" w:fill="F5F5F1"/>
            <w:noWrap/>
            <w:hideMark/>
          </w:tcPr>
          <w:p w14:paraId="2FEBA62E" w14:textId="77777777" w:rsidR="00E57261" w:rsidRPr="007B5752" w:rsidRDefault="00E57261" w:rsidP="00B23A69">
            <w:r w:rsidRPr="007B5752">
              <w:t>509</w:t>
            </w:r>
          </w:p>
        </w:tc>
      </w:tr>
      <w:tr w:rsidR="00E57261" w:rsidRPr="007B5752" w14:paraId="0F0847D9" w14:textId="77777777" w:rsidTr="007240CB">
        <w:tc>
          <w:tcPr>
            <w:tcW w:w="2547" w:type="dxa"/>
            <w:shd w:val="clear" w:color="auto" w:fill="F5F5F1"/>
            <w:hideMark/>
          </w:tcPr>
          <w:p w14:paraId="4EFEFDF8" w14:textId="77777777" w:rsidR="00E57261" w:rsidRPr="007B5752" w:rsidRDefault="00E57261" w:rsidP="00B23A69">
            <w:r w:rsidRPr="007B5752">
              <w:t>Fourth</w:t>
            </w:r>
          </w:p>
        </w:tc>
        <w:tc>
          <w:tcPr>
            <w:tcW w:w="850" w:type="dxa"/>
            <w:shd w:val="clear" w:color="auto" w:fill="F5F5F1"/>
            <w:noWrap/>
            <w:hideMark/>
          </w:tcPr>
          <w:p w14:paraId="2761F062" w14:textId="77777777" w:rsidR="00E57261" w:rsidRPr="007B5752" w:rsidRDefault="00E57261" w:rsidP="00B23A69">
            <w:r w:rsidRPr="007B5752">
              <w:t>48.0</w:t>
            </w:r>
          </w:p>
        </w:tc>
        <w:tc>
          <w:tcPr>
            <w:tcW w:w="709" w:type="dxa"/>
            <w:shd w:val="clear" w:color="auto" w:fill="F5F5F1"/>
            <w:noWrap/>
            <w:hideMark/>
          </w:tcPr>
          <w:p w14:paraId="734F988B" w14:textId="77777777" w:rsidR="00E57261" w:rsidRPr="007B5752" w:rsidRDefault="00E57261" w:rsidP="00B23A69">
            <w:r w:rsidRPr="007B5752">
              <w:t>21.0</w:t>
            </w:r>
          </w:p>
        </w:tc>
        <w:tc>
          <w:tcPr>
            <w:tcW w:w="709" w:type="dxa"/>
            <w:shd w:val="clear" w:color="auto" w:fill="F5F5F1"/>
            <w:noWrap/>
            <w:hideMark/>
          </w:tcPr>
          <w:p w14:paraId="4F9C0E7F" w14:textId="77777777" w:rsidR="00E57261" w:rsidRPr="007B5752" w:rsidRDefault="00E57261" w:rsidP="00B23A69">
            <w:r w:rsidRPr="007B5752">
              <w:t>8.7</w:t>
            </w:r>
          </w:p>
        </w:tc>
        <w:tc>
          <w:tcPr>
            <w:tcW w:w="709" w:type="dxa"/>
            <w:shd w:val="clear" w:color="auto" w:fill="F5F5F1"/>
            <w:noWrap/>
            <w:hideMark/>
          </w:tcPr>
          <w:p w14:paraId="30E4FDAC" w14:textId="77777777" w:rsidR="00E57261" w:rsidRPr="007B5752" w:rsidRDefault="00E57261" w:rsidP="00B23A69">
            <w:r w:rsidRPr="007B5752">
              <w:t>77.6</w:t>
            </w:r>
          </w:p>
        </w:tc>
        <w:tc>
          <w:tcPr>
            <w:tcW w:w="992" w:type="dxa"/>
            <w:shd w:val="clear" w:color="auto" w:fill="F5F5F1"/>
            <w:noWrap/>
            <w:hideMark/>
          </w:tcPr>
          <w:p w14:paraId="5BE479A9" w14:textId="77777777" w:rsidR="00E57261" w:rsidRPr="007B5752" w:rsidRDefault="00E57261" w:rsidP="00B23A69">
            <w:r w:rsidRPr="007B5752">
              <w:t>1,678</w:t>
            </w:r>
          </w:p>
        </w:tc>
        <w:tc>
          <w:tcPr>
            <w:tcW w:w="1701" w:type="dxa"/>
            <w:shd w:val="clear" w:color="auto" w:fill="F5F5F1"/>
            <w:noWrap/>
            <w:hideMark/>
          </w:tcPr>
          <w:p w14:paraId="671C41DA" w14:textId="77777777" w:rsidR="00E57261" w:rsidRPr="007B5752" w:rsidRDefault="00E57261" w:rsidP="00B23A69">
            <w:r w:rsidRPr="007B5752">
              <w:t>70.7</w:t>
            </w:r>
          </w:p>
        </w:tc>
        <w:tc>
          <w:tcPr>
            <w:tcW w:w="1133" w:type="dxa"/>
            <w:shd w:val="clear" w:color="auto" w:fill="F5F5F1"/>
            <w:noWrap/>
            <w:hideMark/>
          </w:tcPr>
          <w:p w14:paraId="421732E5" w14:textId="77777777" w:rsidR="00E57261" w:rsidRPr="007B5752" w:rsidRDefault="00E57261" w:rsidP="00B23A69">
            <w:r w:rsidRPr="007B5752">
              <w:t>375</w:t>
            </w:r>
          </w:p>
        </w:tc>
      </w:tr>
      <w:tr w:rsidR="00E57261" w:rsidRPr="007B5752" w14:paraId="742E6FCC" w14:textId="77777777" w:rsidTr="007240CB">
        <w:tc>
          <w:tcPr>
            <w:tcW w:w="2547" w:type="dxa"/>
            <w:tcBorders>
              <w:bottom w:val="single" w:sz="12" w:space="0" w:color="auto"/>
            </w:tcBorders>
            <w:shd w:val="clear" w:color="auto" w:fill="F5F5F1"/>
            <w:hideMark/>
          </w:tcPr>
          <w:p w14:paraId="4BB8FC57" w14:textId="77777777" w:rsidR="00E57261" w:rsidRPr="007B5752" w:rsidRDefault="00E57261" w:rsidP="00B23A69">
            <w:r w:rsidRPr="007B5752">
              <w:t>Richest</w:t>
            </w:r>
          </w:p>
        </w:tc>
        <w:tc>
          <w:tcPr>
            <w:tcW w:w="850" w:type="dxa"/>
            <w:tcBorders>
              <w:bottom w:val="single" w:sz="12" w:space="0" w:color="auto"/>
            </w:tcBorders>
            <w:shd w:val="clear" w:color="auto" w:fill="F5F5F1"/>
            <w:noWrap/>
            <w:hideMark/>
          </w:tcPr>
          <w:p w14:paraId="12B56B67" w14:textId="77777777" w:rsidR="00E57261" w:rsidRPr="007B5752" w:rsidRDefault="00E57261" w:rsidP="00B23A69">
            <w:r w:rsidRPr="007B5752">
              <w:t>53.7</w:t>
            </w:r>
          </w:p>
        </w:tc>
        <w:tc>
          <w:tcPr>
            <w:tcW w:w="709" w:type="dxa"/>
            <w:tcBorders>
              <w:bottom w:val="single" w:sz="12" w:space="0" w:color="auto"/>
            </w:tcBorders>
            <w:shd w:val="clear" w:color="auto" w:fill="F5F5F1"/>
            <w:noWrap/>
            <w:hideMark/>
          </w:tcPr>
          <w:p w14:paraId="54E60112" w14:textId="77777777" w:rsidR="00E57261" w:rsidRPr="007B5752" w:rsidRDefault="00E57261" w:rsidP="00B23A69">
            <w:r w:rsidRPr="007B5752">
              <w:t>24.6</w:t>
            </w:r>
          </w:p>
        </w:tc>
        <w:tc>
          <w:tcPr>
            <w:tcW w:w="709" w:type="dxa"/>
            <w:tcBorders>
              <w:bottom w:val="single" w:sz="12" w:space="0" w:color="auto"/>
            </w:tcBorders>
            <w:shd w:val="clear" w:color="auto" w:fill="F5F5F1"/>
            <w:noWrap/>
            <w:hideMark/>
          </w:tcPr>
          <w:p w14:paraId="16C3E14A" w14:textId="77777777" w:rsidR="00E57261" w:rsidRPr="007B5752" w:rsidRDefault="00E57261" w:rsidP="00B23A69">
            <w:r w:rsidRPr="007B5752">
              <w:t>7.5</w:t>
            </w:r>
          </w:p>
        </w:tc>
        <w:tc>
          <w:tcPr>
            <w:tcW w:w="709" w:type="dxa"/>
            <w:tcBorders>
              <w:bottom w:val="single" w:sz="12" w:space="0" w:color="auto"/>
            </w:tcBorders>
            <w:shd w:val="clear" w:color="auto" w:fill="F5F5F1"/>
            <w:noWrap/>
            <w:hideMark/>
          </w:tcPr>
          <w:p w14:paraId="73A68DE0" w14:textId="77777777" w:rsidR="00E57261" w:rsidRPr="007B5752" w:rsidRDefault="00E57261" w:rsidP="00B23A69">
            <w:r w:rsidRPr="007B5752">
              <w:t>85.7</w:t>
            </w:r>
          </w:p>
        </w:tc>
        <w:tc>
          <w:tcPr>
            <w:tcW w:w="992" w:type="dxa"/>
            <w:tcBorders>
              <w:bottom w:val="single" w:sz="12" w:space="0" w:color="auto"/>
            </w:tcBorders>
            <w:shd w:val="clear" w:color="auto" w:fill="F5F5F1"/>
            <w:noWrap/>
            <w:hideMark/>
          </w:tcPr>
          <w:p w14:paraId="579DBAD7" w14:textId="77777777" w:rsidR="00E57261" w:rsidRPr="007B5752" w:rsidRDefault="00E57261" w:rsidP="00B23A69">
            <w:r w:rsidRPr="007B5752">
              <w:t>1,630</w:t>
            </w:r>
          </w:p>
        </w:tc>
        <w:tc>
          <w:tcPr>
            <w:tcW w:w="1701" w:type="dxa"/>
            <w:tcBorders>
              <w:bottom w:val="single" w:sz="12" w:space="0" w:color="auto"/>
            </w:tcBorders>
            <w:shd w:val="clear" w:color="auto" w:fill="F5F5F1"/>
            <w:noWrap/>
            <w:hideMark/>
          </w:tcPr>
          <w:p w14:paraId="5915BCAB" w14:textId="77777777" w:rsidR="00E57261" w:rsidRPr="007B5752" w:rsidRDefault="00E57261" w:rsidP="00B23A69">
            <w:r w:rsidRPr="007B5752">
              <w:t>86.1</w:t>
            </w:r>
          </w:p>
        </w:tc>
        <w:tc>
          <w:tcPr>
            <w:tcW w:w="1133" w:type="dxa"/>
            <w:tcBorders>
              <w:bottom w:val="single" w:sz="12" w:space="0" w:color="auto"/>
            </w:tcBorders>
            <w:shd w:val="clear" w:color="auto" w:fill="F5F5F1"/>
            <w:noWrap/>
            <w:hideMark/>
          </w:tcPr>
          <w:p w14:paraId="31F3E1E9" w14:textId="77777777" w:rsidR="00E57261" w:rsidRPr="007B5752" w:rsidRDefault="00E57261" w:rsidP="00B23A69">
            <w:r w:rsidRPr="007B5752">
              <w:t>233</w:t>
            </w:r>
          </w:p>
        </w:tc>
      </w:tr>
      <w:tr w:rsidR="00E57261" w:rsidRPr="007B5752" w14:paraId="428B2509" w14:textId="77777777" w:rsidTr="007240CB">
        <w:tc>
          <w:tcPr>
            <w:tcW w:w="9350" w:type="dxa"/>
            <w:gridSpan w:val="8"/>
            <w:tcBorders>
              <w:top w:val="single" w:sz="12" w:space="0" w:color="auto"/>
            </w:tcBorders>
          </w:tcPr>
          <w:p w14:paraId="3483E23E" w14:textId="0A1287D0" w:rsidR="00E57261" w:rsidRPr="007B5752" w:rsidRDefault="00E57261" w:rsidP="00E57261">
            <w:pPr>
              <w:rPr>
                <w:sz w:val="18"/>
                <w:szCs w:val="18"/>
              </w:rPr>
            </w:pPr>
            <w:r w:rsidRPr="007B5752">
              <w:rPr>
                <w:i/>
                <w:iCs/>
                <w:sz w:val="18"/>
                <w:szCs w:val="18"/>
              </w:rPr>
              <w:t>Source</w:t>
            </w:r>
            <w:r w:rsidRPr="007B5752">
              <w:rPr>
                <w:sz w:val="18"/>
                <w:szCs w:val="18"/>
              </w:rPr>
              <w:t xml:space="preserve">: Ghana Statistical Service, </w:t>
            </w:r>
            <w:r w:rsidRPr="007B5752">
              <w:rPr>
                <w:i/>
                <w:iCs/>
                <w:sz w:val="18"/>
                <w:szCs w:val="18"/>
              </w:rPr>
              <w:t>Multiple Indicator Cluster Survey (MICS2017/18), Survey Findings Report</w:t>
            </w:r>
            <w:r w:rsidRPr="007B5752">
              <w:rPr>
                <w:sz w:val="18"/>
                <w:szCs w:val="18"/>
              </w:rPr>
              <w:t xml:space="preserve"> (Accra, Ghana, GSS, 2018), pg. 260</w:t>
            </w:r>
          </w:p>
        </w:tc>
      </w:tr>
    </w:tbl>
    <w:p w14:paraId="121BE61C" w14:textId="03F0DBCE" w:rsidR="00355C6D" w:rsidRPr="007B5752" w:rsidRDefault="00E57261" w:rsidP="00257578">
      <w:r w:rsidRPr="007B5752">
        <w:t xml:space="preserve">The DHS has data on birth registration but does not disaggregate it by disability status. As an example, </w:t>
      </w:r>
      <w:hyperlink r:id="rId35" w:history="1">
        <w:r w:rsidRPr="007B5752">
          <w:rPr>
            <w:rStyle w:val="Hyperlink"/>
            <w:rFonts w:eastAsiaTheme="majorEastAsia" w:cstheme="minorHAnsi"/>
          </w:rPr>
          <w:t>Zambia’s DHS</w:t>
        </w:r>
      </w:hyperlink>
      <w:r w:rsidRPr="007B5752">
        <w:t xml:space="preserve"> table 2.11, on page 28, can be consulted.</w:t>
      </w:r>
    </w:p>
    <w:sectPr w:rsidR="00355C6D" w:rsidRPr="007B5752" w:rsidSect="00C73772">
      <w:headerReference w:type="even" r:id="rId36"/>
      <w:headerReference w:type="default" r:id="rId37"/>
      <w:footerReference w:type="even" r:id="rId38"/>
      <w:footerReference w:type="default" r:id="rId39"/>
      <w:headerReference w:type="first" r:id="rId40"/>
      <w:footerReference w:type="first" r:id="rId41"/>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B67C8" w14:textId="77777777" w:rsidR="005F7462" w:rsidRPr="007B5752" w:rsidRDefault="005F7462" w:rsidP="00461540">
      <w:r w:rsidRPr="007B5752">
        <w:separator/>
      </w:r>
    </w:p>
  </w:endnote>
  <w:endnote w:type="continuationSeparator" w:id="0">
    <w:p w14:paraId="6E7193C4" w14:textId="77777777" w:rsidR="005F7462" w:rsidRPr="007B5752" w:rsidRDefault="005F7462" w:rsidP="00461540">
      <w:r w:rsidRPr="007B57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7B5752" w:rsidRDefault="00C22620" w:rsidP="005935AC">
        <w:pPr>
          <w:pStyle w:val="Footer"/>
          <w:framePr w:wrap="none" w:vAnchor="text" w:hAnchor="margin" w:xAlign="right" w:y="1"/>
          <w:rPr>
            <w:rStyle w:val="PageNumber"/>
          </w:rPr>
        </w:pPr>
        <w:r w:rsidRPr="007B5752">
          <w:rPr>
            <w:rStyle w:val="PageNumber"/>
          </w:rPr>
          <w:fldChar w:fldCharType="begin"/>
        </w:r>
        <w:r w:rsidRPr="007B5752">
          <w:rPr>
            <w:rStyle w:val="PageNumber"/>
          </w:rPr>
          <w:instrText xml:space="preserve"> PAGE </w:instrText>
        </w:r>
        <w:r w:rsidRPr="007B5752">
          <w:rPr>
            <w:rStyle w:val="PageNumber"/>
          </w:rPr>
          <w:fldChar w:fldCharType="end"/>
        </w:r>
      </w:p>
    </w:sdtContent>
  </w:sdt>
  <w:p w14:paraId="143BCC80" w14:textId="77777777" w:rsidR="00C22620" w:rsidRPr="007B5752"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57BDAD6C" w:rsidR="00C22620" w:rsidRPr="007B5752" w:rsidRDefault="00C22620" w:rsidP="00867838">
        <w:pPr>
          <w:pStyle w:val="Footer"/>
          <w:framePr w:wrap="none" w:vAnchor="text" w:hAnchor="margin" w:xAlign="right" w:y="1"/>
          <w:spacing w:before="0" w:after="0" w:line="240" w:lineRule="auto"/>
          <w:rPr>
            <w:rStyle w:val="PageNumber"/>
            <w:b/>
          </w:rPr>
        </w:pPr>
        <w:r w:rsidRPr="007B5752">
          <w:rPr>
            <w:rStyle w:val="PageNumber"/>
            <w:rFonts w:cstheme="minorHAnsi"/>
            <w:b/>
          </w:rPr>
          <w:fldChar w:fldCharType="begin"/>
        </w:r>
        <w:r w:rsidRPr="007B5752">
          <w:rPr>
            <w:rStyle w:val="PageNumber"/>
            <w:rFonts w:cstheme="minorHAnsi"/>
            <w:b/>
          </w:rPr>
          <w:instrText xml:space="preserve"> PAGE </w:instrText>
        </w:r>
        <w:r w:rsidRPr="007B5752">
          <w:rPr>
            <w:rStyle w:val="PageNumber"/>
            <w:rFonts w:cstheme="minorHAnsi"/>
            <w:b/>
          </w:rPr>
          <w:fldChar w:fldCharType="separate"/>
        </w:r>
        <w:r w:rsidR="00F46F2C" w:rsidRPr="007B5752">
          <w:rPr>
            <w:rStyle w:val="PageNumber"/>
            <w:rFonts w:cstheme="minorHAnsi"/>
            <w:b/>
            <w:noProof/>
          </w:rPr>
          <w:t>2</w:t>
        </w:r>
        <w:r w:rsidRPr="007B5752">
          <w:rPr>
            <w:rStyle w:val="PageNumber"/>
            <w:rFonts w:cstheme="minorHAnsi"/>
            <w:b/>
          </w:rPr>
          <w:fldChar w:fldCharType="end"/>
        </w:r>
      </w:p>
    </w:sdtContent>
  </w:sdt>
  <w:p w14:paraId="2A5F5EF4" w14:textId="65E621D0" w:rsidR="007776B7" w:rsidRPr="007B5752" w:rsidRDefault="007776B7" w:rsidP="0028419B">
    <w:pPr>
      <w:pStyle w:val="Footer"/>
      <w:tabs>
        <w:tab w:val="clear" w:pos="9360"/>
        <w:tab w:val="left" w:pos="4680"/>
      </w:tabs>
      <w:spacing w:before="0"/>
      <w:ind w:left="432" w:right="360"/>
      <w:rPr>
        <w:spacing w:val="-2"/>
        <w:sz w:val="18"/>
        <w:szCs w:val="18"/>
        <w:lang w:val="en-US"/>
      </w:rPr>
    </w:pPr>
    <w:r w:rsidRPr="007B5752">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27CA7E59" wp14:editId="464A46CF">
              <wp:simplePos x="0" y="0"/>
              <wp:positionH relativeFrom="column">
                <wp:posOffset>5323389</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5D6AA" id="Rounded Rectangle 4" o:spid="_x0000_s1026" alt="&quot;&quot;" style="position:absolute;margin-left:419.15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" fillcolor="#ffc000" stroked="f" strokeweight="1pt">
              <v:stroke joinstyle="miter"/>
              <w10:wrap type="through"/>
            </v:roundrect>
          </w:pict>
        </mc:Fallback>
      </mc:AlternateContent>
    </w:r>
    <w:r w:rsidRPr="007B5752">
      <w:rPr>
        <w:rFonts w:asciiTheme="minorHAnsi" w:hAnsiTheme="minorHAnsi"/>
        <w:noProof/>
        <w:sz w:val="18"/>
        <w:szCs w:val="18"/>
        <w:lang w:eastAsia="en-GB"/>
      </w:rPr>
      <w:drawing>
        <wp:anchor distT="0" distB="0" distL="114300" distR="114300" simplePos="0" relativeHeight="251659264" behindDoc="0" locked="0" layoutInCell="1" allowOverlap="1" wp14:anchorId="14BFB2E9" wp14:editId="193F54F0">
          <wp:simplePos x="0" y="0"/>
          <wp:positionH relativeFrom="column">
            <wp:posOffset>-3810</wp:posOffset>
          </wp:positionH>
          <wp:positionV relativeFrom="paragraph">
            <wp:posOffset>-6127</wp:posOffset>
          </wp:positionV>
          <wp:extent cx="287020" cy="148590"/>
          <wp:effectExtent l="0" t="0" r="0" b="3810"/>
          <wp:wrapNone/>
          <wp:docPr id="9" name="Picture 9"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752">
      <w:rPr>
        <w:rFonts w:asciiTheme="minorHAnsi" w:hAnsiTheme="minorHAnsi"/>
        <w:sz w:val="18"/>
        <w:szCs w:val="18"/>
        <w:lang w:val="en-US"/>
      </w:rPr>
      <w:t xml:space="preserve">  </w:t>
    </w:r>
    <w:r w:rsidRPr="007B5752">
      <w:rPr>
        <w:color w:val="7F7F7F" w:themeColor="text1" w:themeTint="80"/>
        <w:sz w:val="18"/>
        <w:szCs w:val="18"/>
        <w:lang w:val="en-US"/>
      </w:rPr>
      <w:t>+</w:t>
    </w:r>
    <w:r w:rsidRPr="007B5752">
      <w:rPr>
        <w:color w:val="7F7F7F" w:themeColor="text1" w:themeTint="80"/>
        <w:spacing w:val="-2"/>
        <w:sz w:val="18"/>
        <w:szCs w:val="18"/>
        <w:lang w:val="en-US"/>
      </w:rPr>
      <w:t xml:space="preserve"> Data Sources on Article 18 (outcome indicators)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AD11" w14:textId="77777777" w:rsidR="00DB3A6E" w:rsidRDefault="00DB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B1697" w14:textId="77777777" w:rsidR="005F7462" w:rsidRPr="007B5752" w:rsidRDefault="005F7462" w:rsidP="00461540">
      <w:r w:rsidRPr="007B5752">
        <w:separator/>
      </w:r>
    </w:p>
  </w:footnote>
  <w:footnote w:type="continuationSeparator" w:id="0">
    <w:p w14:paraId="5BC2131E" w14:textId="77777777" w:rsidR="005F7462" w:rsidRPr="007B5752" w:rsidRDefault="005F7462" w:rsidP="00461540">
      <w:r w:rsidRPr="007B57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1B8B" w14:textId="77777777" w:rsidR="00DB3A6E" w:rsidRDefault="00DB3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C2D52" w14:textId="77777777" w:rsidR="00DB3A6E" w:rsidRDefault="00DB3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81C8" w14:textId="77777777" w:rsidR="00DB3A6E" w:rsidRDefault="00DB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3"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3"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9" w15:restartNumberingAfterBreak="0">
    <w:nsid w:val="4DCB3BDF"/>
    <w:multiLevelType w:val="hybridMultilevel"/>
    <w:tmpl w:val="4F8897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8F24DA"/>
    <w:multiLevelType w:val="hybridMultilevel"/>
    <w:tmpl w:val="FE4092FC"/>
    <w:lvl w:ilvl="0" w:tplc="74EE311C">
      <w:start w:val="1"/>
      <w:numFmt w:val="bullet"/>
      <w:pStyle w:val="ListParagraph"/>
      <w:lvlText w:val="-"/>
      <w:lvlJc w:val="left"/>
      <w:pPr>
        <w:ind w:left="-1440" w:hanging="360"/>
      </w:pPr>
      <w:rPr>
        <w:rFonts w:ascii="Calibri" w:hAnsi="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2"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44639"/>
    <w:multiLevelType w:val="hybridMultilevel"/>
    <w:tmpl w:val="744E3876"/>
    <w:lvl w:ilvl="0" w:tplc="1F8EE1C8">
      <w:start w:val="8"/>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81142"/>
    <w:multiLevelType w:val="hybridMultilevel"/>
    <w:tmpl w:val="4FF85164"/>
    <w:lvl w:ilvl="0" w:tplc="9B4C6294">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7"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D2005"/>
    <w:multiLevelType w:val="hybridMultilevel"/>
    <w:tmpl w:val="190E6C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33"/>
  </w:num>
  <w:num w:numId="4">
    <w:abstractNumId w:val="28"/>
  </w:num>
  <w:num w:numId="5">
    <w:abstractNumId w:val="20"/>
  </w:num>
  <w:num w:numId="6">
    <w:abstractNumId w:val="40"/>
  </w:num>
  <w:num w:numId="7">
    <w:abstractNumId w:val="24"/>
  </w:num>
  <w:num w:numId="8">
    <w:abstractNumId w:val="23"/>
  </w:num>
  <w:num w:numId="9">
    <w:abstractNumId w:val="30"/>
  </w:num>
  <w:num w:numId="10">
    <w:abstractNumId w:val="25"/>
  </w:num>
  <w:num w:numId="11">
    <w:abstractNumId w:val="15"/>
  </w:num>
  <w:num w:numId="12">
    <w:abstractNumId w:val="37"/>
  </w:num>
  <w:num w:numId="13">
    <w:abstractNumId w:val="22"/>
  </w:num>
  <w:num w:numId="14">
    <w:abstractNumId w:val="12"/>
  </w:num>
  <w:num w:numId="15">
    <w:abstractNumId w:val="34"/>
  </w:num>
  <w:num w:numId="16">
    <w:abstractNumId w:val="13"/>
  </w:num>
  <w:num w:numId="17">
    <w:abstractNumId w:val="10"/>
  </w:num>
  <w:num w:numId="18">
    <w:abstractNumId w:val="43"/>
  </w:num>
  <w:num w:numId="19">
    <w:abstractNumId w:val="16"/>
  </w:num>
  <w:num w:numId="20">
    <w:abstractNumId w:val="14"/>
  </w:num>
  <w:num w:numId="21">
    <w:abstractNumId w:val="27"/>
  </w:num>
  <w:num w:numId="22">
    <w:abstractNumId w:val="41"/>
  </w:num>
  <w:num w:numId="23">
    <w:abstractNumId w:val="21"/>
  </w:num>
  <w:num w:numId="24">
    <w:abstractNumId w:val="19"/>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8"/>
  </w:num>
  <w:num w:numId="36">
    <w:abstractNumId w:val="32"/>
  </w:num>
  <w:num w:numId="37">
    <w:abstractNumId w:val="26"/>
  </w:num>
  <w:num w:numId="38">
    <w:abstractNumId w:val="39"/>
  </w:num>
  <w:num w:numId="39">
    <w:abstractNumId w:val="11"/>
  </w:num>
  <w:num w:numId="40">
    <w:abstractNumId w:val="38"/>
  </w:num>
  <w:num w:numId="41">
    <w:abstractNumId w:val="35"/>
  </w:num>
  <w:num w:numId="42">
    <w:abstractNumId w:val="31"/>
  </w:num>
  <w:num w:numId="43">
    <w:abstractNumId w:val="4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BA0"/>
    <w:rsid w:val="000175F5"/>
    <w:rsid w:val="0002001C"/>
    <w:rsid w:val="0002266C"/>
    <w:rsid w:val="000255F1"/>
    <w:rsid w:val="00052BBB"/>
    <w:rsid w:val="00062C31"/>
    <w:rsid w:val="00062F63"/>
    <w:rsid w:val="00065EB7"/>
    <w:rsid w:val="000660E7"/>
    <w:rsid w:val="000764AF"/>
    <w:rsid w:val="00085AA9"/>
    <w:rsid w:val="00087BBD"/>
    <w:rsid w:val="0009093A"/>
    <w:rsid w:val="000A4D37"/>
    <w:rsid w:val="000A661C"/>
    <w:rsid w:val="000B1186"/>
    <w:rsid w:val="000B13D8"/>
    <w:rsid w:val="000B1723"/>
    <w:rsid w:val="000D47E4"/>
    <w:rsid w:val="000E073D"/>
    <w:rsid w:val="000F5328"/>
    <w:rsid w:val="000F56DA"/>
    <w:rsid w:val="00101E46"/>
    <w:rsid w:val="00102434"/>
    <w:rsid w:val="00104C3F"/>
    <w:rsid w:val="0011247F"/>
    <w:rsid w:val="00113282"/>
    <w:rsid w:val="00113670"/>
    <w:rsid w:val="00116DE9"/>
    <w:rsid w:val="001243C1"/>
    <w:rsid w:val="00124491"/>
    <w:rsid w:val="001343D9"/>
    <w:rsid w:val="001541E8"/>
    <w:rsid w:val="00163B0E"/>
    <w:rsid w:val="00166B8E"/>
    <w:rsid w:val="00173D86"/>
    <w:rsid w:val="00191D5C"/>
    <w:rsid w:val="00191DAC"/>
    <w:rsid w:val="001C2D74"/>
    <w:rsid w:val="001C65CC"/>
    <w:rsid w:val="001C76A8"/>
    <w:rsid w:val="001D54C9"/>
    <w:rsid w:val="001F4B1B"/>
    <w:rsid w:val="002004D2"/>
    <w:rsid w:val="0020421C"/>
    <w:rsid w:val="00213CD1"/>
    <w:rsid w:val="002148FC"/>
    <w:rsid w:val="0021621F"/>
    <w:rsid w:val="002218F7"/>
    <w:rsid w:val="0022275D"/>
    <w:rsid w:val="00222C7E"/>
    <w:rsid w:val="0022595A"/>
    <w:rsid w:val="002268B4"/>
    <w:rsid w:val="00242D93"/>
    <w:rsid w:val="00257578"/>
    <w:rsid w:val="00260D7A"/>
    <w:rsid w:val="0026208F"/>
    <w:rsid w:val="0026364F"/>
    <w:rsid w:val="00270A8A"/>
    <w:rsid w:val="00270BD0"/>
    <w:rsid w:val="0027734E"/>
    <w:rsid w:val="0028419B"/>
    <w:rsid w:val="00286968"/>
    <w:rsid w:val="002949A8"/>
    <w:rsid w:val="002C350A"/>
    <w:rsid w:val="002C4B00"/>
    <w:rsid w:val="002E12D5"/>
    <w:rsid w:val="002E25CA"/>
    <w:rsid w:val="002E4EB8"/>
    <w:rsid w:val="002E7C72"/>
    <w:rsid w:val="0031097C"/>
    <w:rsid w:val="00311B6B"/>
    <w:rsid w:val="003126C7"/>
    <w:rsid w:val="00313B63"/>
    <w:rsid w:val="00323FB0"/>
    <w:rsid w:val="00330FE4"/>
    <w:rsid w:val="0033262E"/>
    <w:rsid w:val="0034007F"/>
    <w:rsid w:val="003478B1"/>
    <w:rsid w:val="00353776"/>
    <w:rsid w:val="00355C6D"/>
    <w:rsid w:val="003616BB"/>
    <w:rsid w:val="00361A58"/>
    <w:rsid w:val="00382A3E"/>
    <w:rsid w:val="00390D12"/>
    <w:rsid w:val="00396691"/>
    <w:rsid w:val="00396C8F"/>
    <w:rsid w:val="003A223E"/>
    <w:rsid w:val="003A2ADC"/>
    <w:rsid w:val="003B7A00"/>
    <w:rsid w:val="003D6655"/>
    <w:rsid w:val="003E7B2E"/>
    <w:rsid w:val="003F1867"/>
    <w:rsid w:val="00432D6B"/>
    <w:rsid w:val="00435BA2"/>
    <w:rsid w:val="00435E14"/>
    <w:rsid w:val="00436405"/>
    <w:rsid w:val="00444CA0"/>
    <w:rsid w:val="00446E99"/>
    <w:rsid w:val="00450B91"/>
    <w:rsid w:val="00461540"/>
    <w:rsid w:val="0046655B"/>
    <w:rsid w:val="0046658B"/>
    <w:rsid w:val="00467602"/>
    <w:rsid w:val="00470792"/>
    <w:rsid w:val="00474244"/>
    <w:rsid w:val="004777C6"/>
    <w:rsid w:val="00484B33"/>
    <w:rsid w:val="004913CF"/>
    <w:rsid w:val="00494626"/>
    <w:rsid w:val="00494783"/>
    <w:rsid w:val="004954C4"/>
    <w:rsid w:val="004A3269"/>
    <w:rsid w:val="004A33F1"/>
    <w:rsid w:val="004B375B"/>
    <w:rsid w:val="004B6FD7"/>
    <w:rsid w:val="004D43D0"/>
    <w:rsid w:val="004D74F3"/>
    <w:rsid w:val="004E2537"/>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51B15"/>
    <w:rsid w:val="00555658"/>
    <w:rsid w:val="005600A0"/>
    <w:rsid w:val="00567F31"/>
    <w:rsid w:val="00570364"/>
    <w:rsid w:val="00572762"/>
    <w:rsid w:val="00572828"/>
    <w:rsid w:val="00591907"/>
    <w:rsid w:val="005935AC"/>
    <w:rsid w:val="00594615"/>
    <w:rsid w:val="00595CBC"/>
    <w:rsid w:val="005A094A"/>
    <w:rsid w:val="005B5CFA"/>
    <w:rsid w:val="005C1458"/>
    <w:rsid w:val="005C72F3"/>
    <w:rsid w:val="005E0158"/>
    <w:rsid w:val="005E1A55"/>
    <w:rsid w:val="005E7B70"/>
    <w:rsid w:val="005F2806"/>
    <w:rsid w:val="005F281A"/>
    <w:rsid w:val="005F7462"/>
    <w:rsid w:val="005F7463"/>
    <w:rsid w:val="00605A03"/>
    <w:rsid w:val="0062437F"/>
    <w:rsid w:val="006301F6"/>
    <w:rsid w:val="00632C09"/>
    <w:rsid w:val="0064688B"/>
    <w:rsid w:val="00672636"/>
    <w:rsid w:val="00690066"/>
    <w:rsid w:val="00691370"/>
    <w:rsid w:val="00691D31"/>
    <w:rsid w:val="00694E7B"/>
    <w:rsid w:val="006A74CF"/>
    <w:rsid w:val="006B12B9"/>
    <w:rsid w:val="006B56A8"/>
    <w:rsid w:val="006D0FAA"/>
    <w:rsid w:val="006D3CE0"/>
    <w:rsid w:val="006E20BC"/>
    <w:rsid w:val="006F0DD2"/>
    <w:rsid w:val="0070044F"/>
    <w:rsid w:val="00715858"/>
    <w:rsid w:val="007240CB"/>
    <w:rsid w:val="00725275"/>
    <w:rsid w:val="00737923"/>
    <w:rsid w:val="0074088C"/>
    <w:rsid w:val="00747288"/>
    <w:rsid w:val="007573A5"/>
    <w:rsid w:val="00762B52"/>
    <w:rsid w:val="0076508E"/>
    <w:rsid w:val="0076693D"/>
    <w:rsid w:val="00770763"/>
    <w:rsid w:val="00770A1F"/>
    <w:rsid w:val="007710EB"/>
    <w:rsid w:val="007776B7"/>
    <w:rsid w:val="00784F2D"/>
    <w:rsid w:val="007A2CD6"/>
    <w:rsid w:val="007A5C39"/>
    <w:rsid w:val="007B5752"/>
    <w:rsid w:val="007B79E5"/>
    <w:rsid w:val="007C2B91"/>
    <w:rsid w:val="007C2FCE"/>
    <w:rsid w:val="007C4FC3"/>
    <w:rsid w:val="007D41E0"/>
    <w:rsid w:val="007D47A0"/>
    <w:rsid w:val="007E33D6"/>
    <w:rsid w:val="007E46EB"/>
    <w:rsid w:val="007E6363"/>
    <w:rsid w:val="0080218D"/>
    <w:rsid w:val="00811055"/>
    <w:rsid w:val="008153EF"/>
    <w:rsid w:val="00816E92"/>
    <w:rsid w:val="008649E4"/>
    <w:rsid w:val="00867838"/>
    <w:rsid w:val="00867F6C"/>
    <w:rsid w:val="008A1B56"/>
    <w:rsid w:val="008A44D4"/>
    <w:rsid w:val="008B4EDF"/>
    <w:rsid w:val="008B7B78"/>
    <w:rsid w:val="008D4556"/>
    <w:rsid w:val="008D5C3A"/>
    <w:rsid w:val="008D5E40"/>
    <w:rsid w:val="008E54B6"/>
    <w:rsid w:val="008F05EC"/>
    <w:rsid w:val="008F099C"/>
    <w:rsid w:val="008F441F"/>
    <w:rsid w:val="00904290"/>
    <w:rsid w:val="00904C4A"/>
    <w:rsid w:val="00906D01"/>
    <w:rsid w:val="0091019C"/>
    <w:rsid w:val="00911D78"/>
    <w:rsid w:val="00916A3E"/>
    <w:rsid w:val="00923EF7"/>
    <w:rsid w:val="009347C8"/>
    <w:rsid w:val="00936EB2"/>
    <w:rsid w:val="00941EC9"/>
    <w:rsid w:val="0095111A"/>
    <w:rsid w:val="00951389"/>
    <w:rsid w:val="0096264B"/>
    <w:rsid w:val="00967DC8"/>
    <w:rsid w:val="00974C96"/>
    <w:rsid w:val="009778F7"/>
    <w:rsid w:val="009842F6"/>
    <w:rsid w:val="009855D7"/>
    <w:rsid w:val="00990B7E"/>
    <w:rsid w:val="0099485B"/>
    <w:rsid w:val="009A65EB"/>
    <w:rsid w:val="009B1276"/>
    <w:rsid w:val="009B25A1"/>
    <w:rsid w:val="009C097E"/>
    <w:rsid w:val="009E3CD9"/>
    <w:rsid w:val="00A00BFC"/>
    <w:rsid w:val="00A02E6F"/>
    <w:rsid w:val="00A0426C"/>
    <w:rsid w:val="00A17830"/>
    <w:rsid w:val="00A222FB"/>
    <w:rsid w:val="00A30A12"/>
    <w:rsid w:val="00A31BB2"/>
    <w:rsid w:val="00A469D3"/>
    <w:rsid w:val="00A501CE"/>
    <w:rsid w:val="00A51989"/>
    <w:rsid w:val="00A528DF"/>
    <w:rsid w:val="00A531F2"/>
    <w:rsid w:val="00A542D3"/>
    <w:rsid w:val="00A62020"/>
    <w:rsid w:val="00A659DF"/>
    <w:rsid w:val="00A700CD"/>
    <w:rsid w:val="00A73A9D"/>
    <w:rsid w:val="00AA7A6C"/>
    <w:rsid w:val="00AB34D2"/>
    <w:rsid w:val="00AC0682"/>
    <w:rsid w:val="00AC538E"/>
    <w:rsid w:val="00AE7765"/>
    <w:rsid w:val="00AF1E95"/>
    <w:rsid w:val="00AF48A4"/>
    <w:rsid w:val="00AF7866"/>
    <w:rsid w:val="00B111CA"/>
    <w:rsid w:val="00B153E6"/>
    <w:rsid w:val="00B23A69"/>
    <w:rsid w:val="00B2460D"/>
    <w:rsid w:val="00B24F18"/>
    <w:rsid w:val="00B33C39"/>
    <w:rsid w:val="00B37E01"/>
    <w:rsid w:val="00B56341"/>
    <w:rsid w:val="00B56BBB"/>
    <w:rsid w:val="00B60FD1"/>
    <w:rsid w:val="00B628C6"/>
    <w:rsid w:val="00B62EC4"/>
    <w:rsid w:val="00B67975"/>
    <w:rsid w:val="00B74AF3"/>
    <w:rsid w:val="00B83882"/>
    <w:rsid w:val="00B90D1F"/>
    <w:rsid w:val="00B95136"/>
    <w:rsid w:val="00BA22F4"/>
    <w:rsid w:val="00BA5172"/>
    <w:rsid w:val="00BD3EEF"/>
    <w:rsid w:val="00BE1BF0"/>
    <w:rsid w:val="00BE2C1A"/>
    <w:rsid w:val="00BE5EE4"/>
    <w:rsid w:val="00BF7A4D"/>
    <w:rsid w:val="00C028D2"/>
    <w:rsid w:val="00C0511A"/>
    <w:rsid w:val="00C1724C"/>
    <w:rsid w:val="00C22620"/>
    <w:rsid w:val="00C36070"/>
    <w:rsid w:val="00C3673D"/>
    <w:rsid w:val="00C409D7"/>
    <w:rsid w:val="00C40D38"/>
    <w:rsid w:val="00C52338"/>
    <w:rsid w:val="00C7351A"/>
    <w:rsid w:val="00C73772"/>
    <w:rsid w:val="00C74662"/>
    <w:rsid w:val="00C76959"/>
    <w:rsid w:val="00C77C48"/>
    <w:rsid w:val="00C81AF6"/>
    <w:rsid w:val="00C83B53"/>
    <w:rsid w:val="00C90A1D"/>
    <w:rsid w:val="00C96A9C"/>
    <w:rsid w:val="00CA12C3"/>
    <w:rsid w:val="00CA247C"/>
    <w:rsid w:val="00CA40B9"/>
    <w:rsid w:val="00CB0525"/>
    <w:rsid w:val="00CB0ADB"/>
    <w:rsid w:val="00CB0E58"/>
    <w:rsid w:val="00CD3E5C"/>
    <w:rsid w:val="00CD60C6"/>
    <w:rsid w:val="00CE4D5E"/>
    <w:rsid w:val="00CE4EBE"/>
    <w:rsid w:val="00CE55C8"/>
    <w:rsid w:val="00CE5E74"/>
    <w:rsid w:val="00CF1DAA"/>
    <w:rsid w:val="00D115E7"/>
    <w:rsid w:val="00D13371"/>
    <w:rsid w:val="00D177A9"/>
    <w:rsid w:val="00D31D5E"/>
    <w:rsid w:val="00D5098B"/>
    <w:rsid w:val="00D57270"/>
    <w:rsid w:val="00D57DF3"/>
    <w:rsid w:val="00D61786"/>
    <w:rsid w:val="00D63A37"/>
    <w:rsid w:val="00D72ED2"/>
    <w:rsid w:val="00D808B3"/>
    <w:rsid w:val="00D80A5D"/>
    <w:rsid w:val="00D83440"/>
    <w:rsid w:val="00D850DC"/>
    <w:rsid w:val="00D935C4"/>
    <w:rsid w:val="00DA5396"/>
    <w:rsid w:val="00DA62A0"/>
    <w:rsid w:val="00DB3A6E"/>
    <w:rsid w:val="00DB7C66"/>
    <w:rsid w:val="00DC17B0"/>
    <w:rsid w:val="00DC1AE4"/>
    <w:rsid w:val="00DC3A3E"/>
    <w:rsid w:val="00DC7751"/>
    <w:rsid w:val="00DE5C59"/>
    <w:rsid w:val="00DE79BC"/>
    <w:rsid w:val="00DF3B7D"/>
    <w:rsid w:val="00DF5725"/>
    <w:rsid w:val="00E0113A"/>
    <w:rsid w:val="00E04B4C"/>
    <w:rsid w:val="00E10CD2"/>
    <w:rsid w:val="00E21209"/>
    <w:rsid w:val="00E26357"/>
    <w:rsid w:val="00E42ED0"/>
    <w:rsid w:val="00E47893"/>
    <w:rsid w:val="00E47A39"/>
    <w:rsid w:val="00E5235D"/>
    <w:rsid w:val="00E564BE"/>
    <w:rsid w:val="00E57261"/>
    <w:rsid w:val="00E606B1"/>
    <w:rsid w:val="00E6194F"/>
    <w:rsid w:val="00E71AA5"/>
    <w:rsid w:val="00E8323C"/>
    <w:rsid w:val="00EA0FEF"/>
    <w:rsid w:val="00EA1C2E"/>
    <w:rsid w:val="00EB35B7"/>
    <w:rsid w:val="00EB3CDC"/>
    <w:rsid w:val="00EB695E"/>
    <w:rsid w:val="00EC3B99"/>
    <w:rsid w:val="00EC6659"/>
    <w:rsid w:val="00ED30FC"/>
    <w:rsid w:val="00ED779D"/>
    <w:rsid w:val="00EE344D"/>
    <w:rsid w:val="00EE3C72"/>
    <w:rsid w:val="00EE51F9"/>
    <w:rsid w:val="00EE55CD"/>
    <w:rsid w:val="00EE5EE5"/>
    <w:rsid w:val="00EE5F74"/>
    <w:rsid w:val="00EF586A"/>
    <w:rsid w:val="00EF5C91"/>
    <w:rsid w:val="00F02F9E"/>
    <w:rsid w:val="00F21128"/>
    <w:rsid w:val="00F25165"/>
    <w:rsid w:val="00F25654"/>
    <w:rsid w:val="00F35443"/>
    <w:rsid w:val="00F41D51"/>
    <w:rsid w:val="00F46F2C"/>
    <w:rsid w:val="00F612B4"/>
    <w:rsid w:val="00F74F01"/>
    <w:rsid w:val="00F814CF"/>
    <w:rsid w:val="00F91C52"/>
    <w:rsid w:val="00F91EA4"/>
    <w:rsid w:val="00FA3FE7"/>
    <w:rsid w:val="00FA4E53"/>
    <w:rsid w:val="00FA5E66"/>
    <w:rsid w:val="00FA77E9"/>
    <w:rsid w:val="00FB39CF"/>
    <w:rsid w:val="00FD2F83"/>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97A35364-FA15-AC46-8D32-238415A9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9B"/>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28419B"/>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28419B"/>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42"/>
      </w:numPr>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28419B"/>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28419B"/>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28419B"/>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28419B"/>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character" w:customStyle="1" w:styleId="UnresolvedMention4">
    <w:name w:val="Unresolved Mention4"/>
    <w:basedOn w:val="DefaultParagraphFont"/>
    <w:uiPriority w:val="99"/>
    <w:semiHidden/>
    <w:unhideWhenUsed/>
    <w:rsid w:val="00F91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ec.europa.eu/eurostat/statistics-explained/index.php/Acquisition_of_citizenship_statistics" TargetMode="External"/><Relationship Id="rId26" Type="http://schemas.openxmlformats.org/officeDocument/2006/relationships/hyperlink" Target="https://id4d.worldbank.org/sites/id4d.worldbank.org/files/2018-08/ID4D%20Data%20Notes%20revised%20082918.pdf" TargetMode="External"/><Relationship Id="rId39" Type="http://schemas.openxmlformats.org/officeDocument/2006/relationships/footer" Target="footer2.xml"/><Relationship Id="rId21" Type="http://schemas.openxmlformats.org/officeDocument/2006/relationships/hyperlink" Target="https://www.unhcr.org/5d9e182e7.pdf" TargetMode="External"/><Relationship Id="rId34" Type="http://schemas.openxmlformats.org/officeDocument/2006/relationships/hyperlink" Target="https://mics-surveys-prod.s3.amazonaws.com/MICS6/West%20and%20Central%20Africa/Ghana/2017-2018/Survey%20findings/Ghana%202017-18%20MICS%20Survey%20Findings%20Report_English.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tat.it/en/archivio/224325" TargetMode="External"/><Relationship Id="rId29" Type="http://schemas.openxmlformats.org/officeDocument/2006/relationships/hyperlink" Target="http://www.cpcnetwork.org/wp-content/uploads/2015/02/AIPJ-PUSKAPA-BASELINE-STUDY-ON-LEGAL-IDENTITY-Indonesia-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unhcr.org/5d9e182e7.pdf" TargetMode="External"/><Relationship Id="rId32" Type="http://schemas.openxmlformats.org/officeDocument/2006/relationships/hyperlink" Target="http://www.cpcnetwork.org/wp-content/uploads/2015/02/AIPJ-PUSKAPA-BASELINE-STUDY-ON-LEGAL-IDENTITY-Indonesia-2013.pdf"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c.europa.eu/eurostat/en/web/products-datasets/-/TPS00176" TargetMode="External"/><Relationship Id="rId23" Type="http://schemas.openxmlformats.org/officeDocument/2006/relationships/hyperlink" Target="https://reliefweb.int/report/world/confronting-statelessness-statistics" TargetMode="External"/><Relationship Id="rId28" Type="http://schemas.openxmlformats.org/officeDocument/2006/relationships/hyperlink" Target="https://www.brennancenter.org/sites/default/files/legacy/d/download_file_39242.pdf"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asylumineurope.org/reports/country/france/statistics" TargetMode="External"/><Relationship Id="rId31" Type="http://schemas.openxmlformats.org/officeDocument/2006/relationships/hyperlink" Target="https://www.who.int/healthinfo/indicators/2015/chi_2015_115_birth_registration.pdf"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dhs.gov/immigration-statistics/yearbook/2018" TargetMode="External"/><Relationship Id="rId22" Type="http://schemas.openxmlformats.org/officeDocument/2006/relationships/hyperlink" Target="https://www.unhcr.org/globaltrends2019/" TargetMode="External"/><Relationship Id="rId27" Type="http://schemas.openxmlformats.org/officeDocument/2006/relationships/hyperlink" Target="http://documents1.worldbank.org/curated/en/953621531854471275/Global-ID-Coverage-Barriers-and-Use-by-the-Numbers-Insights-from-the-ID4D-Findex-Survey.pdf" TargetMode="External"/><Relationship Id="rId30" Type="http://schemas.openxmlformats.org/officeDocument/2006/relationships/hyperlink" Target="http://www.cpcnetwork.org/wp-content/uploads/2015/02/AIPJ-PUSKAPA-BASELINE-STUDY-ON-LEGAL-IDENTITY-Indonesia-2013.pdf" TargetMode="External"/><Relationship Id="rId35" Type="http://schemas.openxmlformats.org/officeDocument/2006/relationships/hyperlink" Target="https://dhsprogram.com/pubs/pdf/FR361/FR361.pdf"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www.dhs.gov/immigration-statistics/yearbook/2018" TargetMode="External"/><Relationship Id="rId25" Type="http://schemas.openxmlformats.org/officeDocument/2006/relationships/hyperlink" Target="https://id4d.worldbank.org/global-dataset" TargetMode="External"/><Relationship Id="rId33" Type="http://schemas.openxmlformats.org/officeDocument/2006/relationships/hyperlink" Target="https://unstats.un.org/sdgs/metadata?Text=&amp;Goal=&amp;Target=16.9" TargetMode="External"/><Relationship Id="rId38" Type="http://schemas.openxmlformats.org/officeDocument/2006/relationships/footer" Target="footer1.xml"/><Relationship Id="rId46" Type="http://schemas.openxmlformats.org/officeDocument/2006/relationships/customXml" Target="../customXml/item4.xml"/><Relationship Id="rId20" Type="http://schemas.openxmlformats.org/officeDocument/2006/relationships/hyperlink" Target="https://www.unhcr.org/refugee-statistics/"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C38566-F2E3-4721-AE49-23FBD6019E6B}">
  <ds:schemaRefs>
    <ds:schemaRef ds:uri="http://schemas.openxmlformats.org/officeDocument/2006/bibliography"/>
  </ds:schemaRefs>
</ds:datastoreItem>
</file>

<file path=customXml/itemProps2.xml><?xml version="1.0" encoding="utf-8"?>
<ds:datastoreItem xmlns:ds="http://schemas.openxmlformats.org/officeDocument/2006/customXml" ds:itemID="{9B5248DD-E951-4AD8-8FA2-5C56C29AB32B}"/>
</file>

<file path=customXml/itemProps3.xml><?xml version="1.0" encoding="utf-8"?>
<ds:datastoreItem xmlns:ds="http://schemas.openxmlformats.org/officeDocument/2006/customXml" ds:itemID="{204D6D8B-5705-4A4E-B43A-475DE50D1BAC}"/>
</file>

<file path=customXml/itemProps4.xml><?xml version="1.0" encoding="utf-8"?>
<ds:datastoreItem xmlns:ds="http://schemas.openxmlformats.org/officeDocument/2006/customXml" ds:itemID="{9D4BD8EC-0F41-4E68-B660-EA7169D9EF06}"/>
</file>

<file path=docProps/app.xml><?xml version="1.0" encoding="utf-8"?>
<Properties xmlns="http://schemas.openxmlformats.org/officeDocument/2006/extended-properties" xmlns:vt="http://schemas.openxmlformats.org/officeDocument/2006/docPropsVTypes">
  <Template>Normal</Template>
  <TotalTime>4</TotalTime>
  <Pages>8</Pages>
  <Words>2189</Words>
  <Characters>12481</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18 (outcome indicators)</dc:title>
  <dc:subject/>
  <dc:creator>Nanette Goodman</dc:creator>
  <cp:keywords/>
  <dc:description/>
  <cp:lastModifiedBy>Elias Constantopedos</cp:lastModifiedBy>
  <cp:revision>7</cp:revision>
  <cp:lastPrinted>2020-11-19T04:53:00Z</cp:lastPrinted>
  <dcterms:created xsi:type="dcterms:W3CDTF">2020-12-20T12:53:00Z</dcterms:created>
  <dcterms:modified xsi:type="dcterms:W3CDTF">2020-12-20T21:14:00Z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