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15A" w14:textId="4735F0EB" w:rsidR="005A094A" w:rsidRPr="00324351" w:rsidRDefault="005458FD" w:rsidP="00D850DC">
      <w:pPr>
        <w:pStyle w:val="Heading1"/>
        <w:rPr>
          <w:rFonts w:eastAsiaTheme="majorEastAsia" w:cstheme="minorHAnsi"/>
          <w:color w:val="FFFFFF" w:themeColor="background1"/>
        </w:rPr>
      </w:pPr>
      <w:r w:rsidRPr="00324351">
        <w:rPr>
          <w:rFonts w:eastAsiaTheme="majorEastAsia" w:cstheme="minorHAnsi"/>
          <w:noProof/>
          <w:color w:val="FFFFFF" w:themeColor="background1"/>
          <w:sz w:val="72"/>
          <w:szCs w:val="72"/>
          <w:lang w:eastAsia="en-GB"/>
        </w:rPr>
        <w:drawing>
          <wp:anchor distT="0" distB="0" distL="114300" distR="114300" simplePos="0" relativeHeight="251658240" behindDoc="1" locked="0" layoutInCell="1" allowOverlap="1" wp14:anchorId="45C2F5DD" wp14:editId="6C879207">
            <wp:simplePos x="0" y="0"/>
            <wp:positionH relativeFrom="column">
              <wp:posOffset>-970915</wp:posOffset>
            </wp:positionH>
            <wp:positionV relativeFrom="paragraph">
              <wp:posOffset>-960918</wp:posOffset>
            </wp:positionV>
            <wp:extent cx="7663157" cy="1074438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l="-113" t="-116" r="-113" b="-116"/>
                    <a:stretch/>
                  </pic:blipFill>
                  <pic:spPr bwMode="auto">
                    <a:xfrm>
                      <a:off x="0" y="0"/>
                      <a:ext cx="7663157" cy="10744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27BE5" w:rsidRPr="00324351">
        <w:rPr>
          <w:rFonts w:eastAsiaTheme="majorEastAsia" w:cstheme="minorHAnsi"/>
          <w:color w:val="FFFFFF" w:themeColor="background1"/>
        </w:rPr>
        <w:t xml:space="preserve">Data sources for outcome indicators on Article </w:t>
      </w:r>
      <w:r w:rsidR="00FA5E66" w:rsidRPr="00324351">
        <w:rPr>
          <w:rFonts w:eastAsiaTheme="majorEastAsia" w:cstheme="minorHAnsi"/>
          <w:color w:val="FFFFFF" w:themeColor="background1"/>
        </w:rPr>
        <w:t>2</w:t>
      </w:r>
      <w:r w:rsidR="00766FE4" w:rsidRPr="00324351">
        <w:rPr>
          <w:rFonts w:eastAsiaTheme="majorEastAsia" w:cstheme="minorHAnsi"/>
          <w:color w:val="FFFFFF" w:themeColor="background1"/>
        </w:rPr>
        <w:t>1</w:t>
      </w:r>
      <w:r w:rsidR="000A661C" w:rsidRPr="00324351">
        <w:rPr>
          <w:rFonts w:eastAsiaTheme="majorEastAsia" w:cstheme="minorHAnsi"/>
          <w:color w:val="FFFFFF" w:themeColor="background1"/>
        </w:rPr>
        <w:t>:</w:t>
      </w:r>
    </w:p>
    <w:p w14:paraId="5A518BF9" w14:textId="543C7DEB" w:rsidR="00906D01" w:rsidRPr="00324351" w:rsidRDefault="00766FE4" w:rsidP="00D850DC">
      <w:pPr>
        <w:pStyle w:val="Heading1"/>
        <w:ind w:right="720"/>
        <w:rPr>
          <w:rFonts w:eastAsiaTheme="majorEastAsia" w:cstheme="minorHAnsi"/>
          <w:color w:val="FFFFFF" w:themeColor="background1"/>
          <w:sz w:val="72"/>
          <w:szCs w:val="72"/>
        </w:rPr>
      </w:pPr>
      <w:r w:rsidRPr="00324351">
        <w:rPr>
          <w:rFonts w:eastAsiaTheme="majorEastAsia" w:cstheme="minorHAnsi"/>
          <w:color w:val="FFFFFF" w:themeColor="background1"/>
          <w:sz w:val="72"/>
          <w:szCs w:val="72"/>
        </w:rPr>
        <w:t xml:space="preserve">Freedom of expression </w:t>
      </w:r>
      <w:r w:rsidR="00DF7C51" w:rsidRPr="00324351">
        <w:rPr>
          <w:rFonts w:eastAsiaTheme="majorEastAsia" w:cstheme="minorHAnsi"/>
          <w:color w:val="FFFFFF" w:themeColor="background1"/>
          <w:sz w:val="72"/>
          <w:szCs w:val="72"/>
        </w:rPr>
        <w:t>and opinion, and access to information</w:t>
      </w:r>
    </w:p>
    <w:p w14:paraId="3CBE4037" w14:textId="4E51D9A9" w:rsidR="00355C6D" w:rsidRPr="00324351" w:rsidRDefault="000E60E4" w:rsidP="002F02C6">
      <w:pPr>
        <w:spacing w:before="0" w:after="0" w:line="240" w:lineRule="auto"/>
        <w:ind w:right="20"/>
        <w:rPr>
          <w:rFonts w:asciiTheme="minorHAnsi" w:hAnsiTheme="minorHAnsi" w:cstheme="minorHAnsi"/>
        </w:rPr>
      </w:pPr>
      <w:r w:rsidRPr="00324351">
        <w:rPr>
          <w:rFonts w:asciiTheme="minorHAnsi" w:hAnsiTheme="minorHAnsi" w:cstheme="minorHAnsi"/>
          <w:noProof/>
          <w:color w:val="FFFFFF" w:themeColor="background1"/>
          <w:sz w:val="72"/>
          <w:szCs w:val="72"/>
          <w:lang w:eastAsia="en-GB"/>
        </w:rPr>
        <w:drawing>
          <wp:anchor distT="0" distB="0" distL="114300" distR="114300" simplePos="0" relativeHeight="251659264" behindDoc="0" locked="0" layoutInCell="1" allowOverlap="1" wp14:anchorId="65C8B5D4" wp14:editId="58C749AF">
            <wp:simplePos x="4352925" y="8996363"/>
            <wp:positionH relativeFrom="margin">
              <wp:align>right</wp:align>
            </wp:positionH>
            <wp:positionV relativeFrom="margin">
              <wp:align>bottom</wp:align>
            </wp:positionV>
            <wp:extent cx="2247900" cy="771525"/>
            <wp:effectExtent l="0" t="0" r="0" b="9525"/>
            <wp:wrapSquare wrapText="bothSides"/>
            <wp:docPr id="3" name="Picture 3" title="United Nations Human Rights Office of the High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lum bright="100000"/>
                      <a:extLst>
                        <a:ext uri="{28A0092B-C50C-407E-A947-70E740481C1C}">
                          <a14:useLocalDpi xmlns:a14="http://schemas.microsoft.com/office/drawing/2010/main" val="0"/>
                        </a:ext>
                      </a:extLst>
                    </a:blip>
                    <a:stretch>
                      <a:fillRect/>
                    </a:stretch>
                  </pic:blipFill>
                  <pic:spPr>
                    <a:xfrm>
                      <a:off x="0" y="0"/>
                      <a:ext cx="2247900" cy="771525"/>
                    </a:xfrm>
                    <a:prstGeom prst="rect">
                      <a:avLst/>
                    </a:prstGeom>
                  </pic:spPr>
                </pic:pic>
              </a:graphicData>
            </a:graphic>
            <wp14:sizeRelH relativeFrom="page">
              <wp14:pctWidth>0</wp14:pctWidth>
            </wp14:sizeRelH>
            <wp14:sizeRelV relativeFrom="page">
              <wp14:pctHeight>0</wp14:pctHeight>
            </wp14:sizeRelV>
          </wp:anchor>
        </w:drawing>
      </w:r>
      <w:r w:rsidR="005458FD" w:rsidRPr="00324351">
        <w:rPr>
          <w:rFonts w:asciiTheme="minorHAnsi" w:hAnsiTheme="minorHAnsi" w:cstheme="minorHAnsi"/>
        </w:rPr>
        <w:br w:type="page"/>
      </w:r>
    </w:p>
    <w:p w14:paraId="779E1EF4" w14:textId="5C6FD04F" w:rsidR="00355C6D" w:rsidRPr="00324351" w:rsidRDefault="00570364" w:rsidP="00D850DC">
      <w:pPr>
        <w:spacing w:before="0" w:after="0" w:line="240" w:lineRule="auto"/>
        <w:rPr>
          <w:rFonts w:asciiTheme="minorHAnsi" w:hAnsiTheme="minorHAnsi" w:cstheme="minorHAnsi"/>
        </w:rPr>
      </w:pPr>
      <w:r w:rsidRPr="00324351">
        <w:rPr>
          <w:rFonts w:asciiTheme="minorHAnsi" w:hAnsiTheme="minorHAnsi" w:cstheme="minorHAnsi"/>
          <w:noProof/>
          <w:lang w:eastAsia="en-GB"/>
        </w:rPr>
        <w:lastRenderedPageBreak/>
        <w:drawing>
          <wp:inline distT="0" distB="0" distL="0" distR="0" wp14:anchorId="48975751" wp14:editId="1BD80A85">
            <wp:extent cx="2249424" cy="557379"/>
            <wp:effectExtent l="0" t="0" r="0" b="0"/>
            <wp:docPr id="8" name="Graphic 8" title="Logo of CRPD (Convention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49424" cy="557379"/>
                    </a:xfrm>
                    <a:prstGeom prst="rect">
                      <a:avLst/>
                    </a:prstGeom>
                  </pic:spPr>
                </pic:pic>
              </a:graphicData>
            </a:graphic>
          </wp:inline>
        </w:drawing>
      </w:r>
    </w:p>
    <w:p w14:paraId="550BAC59" w14:textId="77777777" w:rsidR="0063373B" w:rsidRPr="00324351" w:rsidRDefault="0063373B" w:rsidP="0063373B">
      <w:pPr>
        <w:autoSpaceDE w:val="0"/>
        <w:autoSpaceDN w:val="0"/>
        <w:spacing w:before="7200" w:line="260" w:lineRule="exact"/>
        <w:rPr>
          <w:rFonts w:cs="Segoe UI"/>
          <w:color w:val="000000"/>
          <w:sz w:val="18"/>
          <w:lang w:eastAsia="en-GB"/>
        </w:rPr>
      </w:pPr>
      <w:r w:rsidRPr="00324351">
        <w:rPr>
          <w:rFonts w:cs="Segoe UI"/>
          <w:color w:val="000000"/>
          <w:sz w:val="18"/>
          <w:lang w:eastAsia="en-GB"/>
        </w:rPr>
        <w:t>ADVANCE VERSION</w:t>
      </w:r>
    </w:p>
    <w:p w14:paraId="3BDFB4F0" w14:textId="77777777" w:rsidR="0063373B" w:rsidRPr="00324351" w:rsidRDefault="0063373B" w:rsidP="0063373B">
      <w:pPr>
        <w:autoSpaceDE w:val="0"/>
        <w:autoSpaceDN w:val="0"/>
        <w:spacing w:line="260" w:lineRule="exact"/>
        <w:rPr>
          <w:rFonts w:cs="Segoe UI"/>
          <w:color w:val="000000"/>
          <w:sz w:val="20"/>
          <w:szCs w:val="20"/>
          <w:lang w:eastAsia="en-GB"/>
        </w:rPr>
      </w:pPr>
      <w:r w:rsidRPr="00324351">
        <w:rPr>
          <w:rFonts w:cs="Segoe UI"/>
          <w:color w:val="000000"/>
          <w:sz w:val="20"/>
          <w:szCs w:val="20"/>
          <w:lang w:eastAsia="en-GB"/>
        </w:rPr>
        <w:t xml:space="preserve">© 2020 United Nations  </w:t>
      </w:r>
    </w:p>
    <w:p w14:paraId="102D3687" w14:textId="77777777" w:rsidR="0063373B" w:rsidRPr="00324351" w:rsidRDefault="0063373B" w:rsidP="0063373B">
      <w:pPr>
        <w:autoSpaceDE w:val="0"/>
        <w:autoSpaceDN w:val="0"/>
        <w:spacing w:line="260" w:lineRule="exact"/>
        <w:rPr>
          <w:rFonts w:cs="Segoe UI"/>
          <w:color w:val="000000"/>
          <w:sz w:val="20"/>
          <w:szCs w:val="20"/>
          <w:lang w:eastAsia="en-GB"/>
        </w:rPr>
      </w:pPr>
      <w:r w:rsidRPr="00324351">
        <w:rPr>
          <w:rFonts w:cs="Segoe UI"/>
          <w:color w:val="000000"/>
          <w:sz w:val="20"/>
          <w:szCs w:val="20"/>
          <w:lang w:eastAsia="en-GB"/>
        </w:rPr>
        <w:t xml:space="preserve">The </w:t>
      </w:r>
      <w:r w:rsidRPr="00324351">
        <w:rPr>
          <w:rFonts w:cs="Segoe UI"/>
          <w:i/>
          <w:color w:val="000000"/>
          <w:sz w:val="20"/>
          <w:szCs w:val="20"/>
          <w:lang w:eastAsia="en-GB"/>
        </w:rPr>
        <w:t>Data Sources Guidance</w:t>
      </w:r>
      <w:r w:rsidRPr="00324351">
        <w:rPr>
          <w:rFonts w:cs="Segoe UI"/>
          <w:color w:val="000000"/>
          <w:sz w:val="20"/>
          <w:szCs w:val="20"/>
          <w:lang w:eastAsia="en-GB"/>
        </w:rPr>
        <w:t xml:space="preserve"> is a component of the </w:t>
      </w:r>
      <w:hyperlink r:id="rId12" w:history="1">
        <w:r w:rsidRPr="00324351">
          <w:rPr>
            <w:rStyle w:val="Hyperlink"/>
            <w:rFonts w:cs="Segoe UI"/>
            <w:sz w:val="20"/>
            <w:szCs w:val="20"/>
            <w:lang w:eastAsia="en-GB"/>
          </w:rPr>
          <w:t>SDG-CRPD Resource Package</w:t>
        </w:r>
      </w:hyperlink>
      <w:r w:rsidRPr="00324351">
        <w:rPr>
          <w:rFonts w:cs="Segoe UI"/>
          <w:color w:val="000000"/>
          <w:sz w:val="20"/>
          <w:szCs w:val="20"/>
          <w:lang w:eastAsia="en-GB"/>
        </w:rPr>
        <w:t xml:space="preserve"> developed by the Office of the United Nations High Commissioner for Human Rights (OHCHR). This is an advance version of the SDG-CRPD Resource Package. A final version will be issued upon completion of OHCHR review processes. </w:t>
      </w:r>
    </w:p>
    <w:p w14:paraId="31919CA1" w14:textId="186B0F96" w:rsidR="0063373B" w:rsidRPr="00324351" w:rsidRDefault="0063373B" w:rsidP="0063373B">
      <w:pPr>
        <w:autoSpaceDE w:val="0"/>
        <w:autoSpaceDN w:val="0"/>
        <w:spacing w:line="260" w:lineRule="exact"/>
        <w:rPr>
          <w:rFonts w:cs="Segoe UI"/>
          <w:color w:val="000000"/>
          <w:sz w:val="20"/>
          <w:szCs w:val="20"/>
          <w:lang w:eastAsia="en-GB"/>
        </w:rPr>
      </w:pPr>
      <w:r w:rsidRPr="00324351">
        <w:rPr>
          <w:rFonts w:cs="Segoe UI"/>
          <w:color w:val="000000"/>
          <w:sz w:val="20"/>
          <w:szCs w:val="20"/>
          <w:lang w:eastAsia="en-GB"/>
        </w:rPr>
        <w:t xml:space="preserve">The designations employed and the presentation of the material </w:t>
      </w:r>
      <w:r w:rsidR="009761E3" w:rsidRPr="00324351">
        <w:rPr>
          <w:rFonts w:cs="Segoe UI"/>
          <w:color w:val="000000"/>
          <w:sz w:val="20"/>
          <w:szCs w:val="20"/>
          <w:lang w:eastAsia="en-GB"/>
        </w:rPr>
        <w:t>herein</w:t>
      </w:r>
      <w:r w:rsidRPr="00324351">
        <w:rPr>
          <w:rFonts w:cs="Segoe UI"/>
          <w:color w:val="000000"/>
          <w:sz w:val="20"/>
          <w:szCs w:val="20"/>
          <w:lang w:eastAsia="en-GB"/>
        </w:rPr>
        <w:t xml:space="preserve"> do not imply the expression of any opinion whatsoever on the part of the Secretariat of the United Nations concerning the legal status of any country, territory, city or area, or of its authorities, or concerning the delimitation of its frontiers or boundaries. </w:t>
      </w:r>
    </w:p>
    <w:p w14:paraId="3A32A02F" w14:textId="77777777" w:rsidR="0063373B" w:rsidRPr="00324351" w:rsidRDefault="0063373B" w:rsidP="0063373B">
      <w:pPr>
        <w:autoSpaceDE w:val="0"/>
        <w:autoSpaceDN w:val="0"/>
        <w:spacing w:line="260" w:lineRule="exact"/>
        <w:rPr>
          <w:rFonts w:cs="Segoe UI"/>
          <w:color w:val="000000"/>
          <w:sz w:val="20"/>
          <w:szCs w:val="20"/>
          <w:lang w:eastAsia="en-GB"/>
        </w:rPr>
      </w:pPr>
      <w:r w:rsidRPr="00324351">
        <w:rPr>
          <w:rFonts w:cs="Segoe UI"/>
          <w:color w:val="000000"/>
          <w:sz w:val="20"/>
          <w:szCs w:val="20"/>
          <w:lang w:eastAsia="en-GB"/>
        </w:rPr>
        <w:t xml:space="preserve">Symbols of United Nations documents are composed of capital letters combined with figures. Mention of such a figure indicates a reference to a United Nations document. </w:t>
      </w:r>
    </w:p>
    <w:p w14:paraId="433800CB" w14:textId="4BA711F9" w:rsidR="0063373B" w:rsidRPr="00324351" w:rsidRDefault="0063373B" w:rsidP="0063373B">
      <w:pPr>
        <w:autoSpaceDE w:val="0"/>
        <w:autoSpaceDN w:val="0"/>
        <w:spacing w:line="260" w:lineRule="exact"/>
        <w:rPr>
          <w:rFonts w:cs="Segoe UI"/>
          <w:color w:val="000000"/>
          <w:sz w:val="20"/>
          <w:szCs w:val="20"/>
          <w:lang w:eastAsia="en-GB"/>
        </w:rPr>
      </w:pPr>
      <w:r w:rsidRPr="00324351">
        <w:rPr>
          <w:rFonts w:cs="Segoe UI"/>
          <w:color w:val="000000"/>
          <w:sz w:val="20"/>
          <w:szCs w:val="20"/>
          <w:lang w:eastAsia="en-GB"/>
        </w:rPr>
        <w:t xml:space="preserve">The </w:t>
      </w:r>
      <w:r w:rsidRPr="00324351">
        <w:rPr>
          <w:rFonts w:cs="Segoe UI"/>
          <w:i/>
          <w:color w:val="000000"/>
          <w:sz w:val="20"/>
          <w:szCs w:val="20"/>
          <w:lang w:eastAsia="en-GB"/>
        </w:rPr>
        <w:t>Data Sources Guidance</w:t>
      </w:r>
      <w:r w:rsidRPr="00324351">
        <w:rPr>
          <w:rFonts w:cs="Segoe UI"/>
          <w:color w:val="000000"/>
          <w:sz w:val="20"/>
          <w:szCs w:val="20"/>
          <w:lang w:eastAsia="en-GB"/>
        </w:rPr>
        <w:t xml:space="preserve"> was produced with the financial support of the European Union. Its contents are the sole responsibility of OHCHR and do not necessarily reflect the views of the European Union.</w:t>
      </w:r>
      <w:r w:rsidR="00774201">
        <w:rPr>
          <w:rFonts w:cs="Segoe UI"/>
          <w:color w:val="000000"/>
          <w:sz w:val="20"/>
          <w:szCs w:val="20"/>
          <w:lang w:eastAsia="en-GB"/>
        </w:rPr>
        <w:br/>
      </w:r>
    </w:p>
    <w:p w14:paraId="56833DCB" w14:textId="77777777" w:rsidR="0063373B" w:rsidRPr="00324351" w:rsidRDefault="0063373B" w:rsidP="0063373B">
      <w:pPr>
        <w:autoSpaceDE w:val="0"/>
        <w:autoSpaceDN w:val="0"/>
        <w:rPr>
          <w:rFonts w:eastAsiaTheme="majorEastAsia" w:cstheme="minorHAnsi"/>
          <w:b/>
          <w:color w:val="0A59AB"/>
          <w:spacing w:val="4"/>
          <w:kern w:val="0"/>
          <w:sz w:val="20"/>
          <w:szCs w:val="30"/>
        </w:rPr>
      </w:pPr>
      <w:r w:rsidRPr="00324351">
        <w:rPr>
          <w:rFonts w:cstheme="minorHAnsi"/>
          <w:noProof/>
          <w:lang w:eastAsia="en-GB"/>
        </w:rPr>
        <w:drawing>
          <wp:inline distT="0" distB="0" distL="0" distR="0" wp14:anchorId="03E66A9E" wp14:editId="2D23A614">
            <wp:extent cx="758678" cy="515664"/>
            <wp:effectExtent l="0" t="0" r="3810" b="0"/>
            <wp:docPr id="7" name="Picture 7" descr="European Unio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 Union 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850" cy="524617"/>
                    </a:xfrm>
                    <a:prstGeom prst="rect">
                      <a:avLst/>
                    </a:prstGeom>
                    <a:noFill/>
                    <a:ln>
                      <a:noFill/>
                    </a:ln>
                  </pic:spPr>
                </pic:pic>
              </a:graphicData>
            </a:graphic>
          </wp:inline>
        </w:drawing>
      </w:r>
      <w:r w:rsidRPr="00324351">
        <w:rPr>
          <w:rFonts w:eastAsiaTheme="majorEastAsia" w:cstheme="minorHAnsi"/>
          <w:b/>
          <w:color w:val="0A59AB"/>
          <w:spacing w:val="4"/>
          <w:kern w:val="0"/>
          <w:sz w:val="20"/>
          <w:szCs w:val="30"/>
        </w:rPr>
        <w:br w:type="page"/>
      </w:r>
    </w:p>
    <w:p w14:paraId="454DE3C3" w14:textId="77777777" w:rsidR="005C4009" w:rsidRPr="00324351" w:rsidRDefault="005C4009" w:rsidP="004869AE">
      <w:pPr>
        <w:pStyle w:val="Heading2"/>
        <w:rPr>
          <w:rFonts w:eastAsiaTheme="majorEastAsia"/>
        </w:rPr>
      </w:pPr>
      <w:r w:rsidRPr="00324351">
        <w:rPr>
          <w:rFonts w:eastAsiaTheme="majorEastAsia"/>
        </w:rPr>
        <w:lastRenderedPageBreak/>
        <w:t>21.21 Number and proportion of persons working as journalists who are persons with disabilities, disaggregated by sex, age, disability, type of media (e.g. TV, radio, etc.), and its ownership (public or private)</w:t>
      </w:r>
    </w:p>
    <w:p w14:paraId="7F77EE47" w14:textId="77777777" w:rsidR="005C4009" w:rsidRPr="00324351" w:rsidRDefault="005C4009" w:rsidP="004869AE">
      <w:pPr>
        <w:pStyle w:val="Heading4"/>
        <w:rPr>
          <w:rFonts w:eastAsiaTheme="majorEastAsia"/>
        </w:rPr>
      </w:pPr>
      <w:r w:rsidRPr="00324351">
        <w:rPr>
          <w:rFonts w:eastAsiaTheme="majorEastAsia"/>
        </w:rPr>
        <w:t>Level 2: Indicator that could be produced with straightforward additions or modifications to existing data collection efforts</w:t>
      </w:r>
    </w:p>
    <w:p w14:paraId="24CA352E" w14:textId="77777777" w:rsidR="005C4009" w:rsidRPr="00324351" w:rsidRDefault="005C4009" w:rsidP="003720CA">
      <w:pPr>
        <w:rPr>
          <w:rFonts w:cstheme="minorHAnsi"/>
        </w:rPr>
      </w:pPr>
      <w:r w:rsidRPr="00324351">
        <w:rPr>
          <w:rFonts w:cstheme="minorHAnsi"/>
        </w:rPr>
        <w:t>These data could be obtained from Labour Force Surveys, as long as they included questions on disability (preferably the Washington Group Short Set as included in the disability module from ILO for Labour Force Surveys) and list journalist as an occupation.</w:t>
      </w:r>
    </w:p>
    <w:p w14:paraId="1607BA2A" w14:textId="3D589C81" w:rsidR="005C4009" w:rsidRPr="00324351" w:rsidRDefault="005C4009" w:rsidP="003720CA">
      <w:pPr>
        <w:rPr>
          <w:rFonts w:cstheme="minorHAnsi"/>
        </w:rPr>
      </w:pPr>
      <w:r w:rsidRPr="00324351">
        <w:rPr>
          <w:rFonts w:cstheme="minorHAnsi"/>
        </w:rPr>
        <w:t xml:space="preserve">There have also been some surveys of journalists, such as the 2012 Journalists at Work Survey in the United Kingdom of Great Britain and Northern Ireland, which showed that only 8 per cent of journalists had a disability, compared to the 14 per cent of employed people in the overall workforce. This survey, mentioned in a </w:t>
      </w:r>
      <w:hyperlink r:id="rId14" w:history="1">
        <w:r w:rsidRPr="00324351">
          <w:rPr>
            <w:rStyle w:val="Hyperlink"/>
            <w:rFonts w:cstheme="minorHAnsi"/>
          </w:rPr>
          <w:t>2017 article</w:t>
        </w:r>
      </w:hyperlink>
      <w:r w:rsidR="009761E3" w:rsidRPr="00324351">
        <w:rPr>
          <w:rFonts w:cstheme="minorHAnsi"/>
        </w:rPr>
        <w:t xml:space="preserve">, </w:t>
      </w:r>
      <w:r w:rsidRPr="00324351">
        <w:rPr>
          <w:rFonts w:cstheme="minorHAnsi"/>
        </w:rPr>
        <w:t>defined persons with disabilities as respondents who described themselves as having a work-limiting health problem.</w:t>
      </w:r>
    </w:p>
    <w:p w14:paraId="0C39EA89" w14:textId="343DE42E" w:rsidR="005C4009" w:rsidRPr="00324351" w:rsidRDefault="005C4009" w:rsidP="003720CA">
      <w:pPr>
        <w:pStyle w:val="CommentText"/>
        <w:rPr>
          <w:rFonts w:cstheme="minorHAnsi"/>
          <w:sz w:val="22"/>
          <w:szCs w:val="22"/>
        </w:rPr>
      </w:pPr>
      <w:r w:rsidRPr="00324351">
        <w:rPr>
          <w:rFonts w:cstheme="minorHAnsi"/>
          <w:sz w:val="22"/>
          <w:szCs w:val="22"/>
        </w:rPr>
        <w:t xml:space="preserve">The National Union of Journalists in the United Kingdom of Great Britain and Northern Ireland also keeps statistics on participation in the trade, as reported in a </w:t>
      </w:r>
      <w:hyperlink r:id="rId15" w:history="1">
        <w:r w:rsidRPr="00324351">
          <w:rPr>
            <w:rStyle w:val="Hyperlink"/>
            <w:rFonts w:cstheme="minorHAnsi"/>
            <w:sz w:val="22"/>
            <w:szCs w:val="22"/>
          </w:rPr>
          <w:t>2016 article</w:t>
        </w:r>
      </w:hyperlink>
      <w:r w:rsidRPr="00324351">
        <w:rPr>
          <w:rFonts w:cstheme="minorHAnsi"/>
          <w:sz w:val="22"/>
          <w:szCs w:val="22"/>
        </w:rPr>
        <w:t xml:space="preserve">. In </w:t>
      </w:r>
      <w:r w:rsidR="009761E3" w:rsidRPr="00324351">
        <w:rPr>
          <w:rFonts w:cstheme="minorHAnsi"/>
          <w:sz w:val="22"/>
          <w:szCs w:val="22"/>
        </w:rPr>
        <w:t>2019, a</w:t>
      </w:r>
      <w:hyperlink r:id="rId16" w:history="1">
        <w:r w:rsidR="009761E3" w:rsidRPr="00324351">
          <w:rPr>
            <w:rStyle w:val="Hyperlink"/>
            <w:rFonts w:cstheme="minorHAnsi"/>
            <w:sz w:val="22"/>
            <w:szCs w:val="22"/>
          </w:rPr>
          <w:t xml:space="preserve"> news report</w:t>
        </w:r>
      </w:hyperlink>
      <w:r w:rsidR="009761E3" w:rsidRPr="00324351">
        <w:rPr>
          <w:rFonts w:cstheme="minorHAnsi"/>
          <w:sz w:val="22"/>
          <w:szCs w:val="22"/>
        </w:rPr>
        <w:t xml:space="preserve">, </w:t>
      </w:r>
      <w:r w:rsidRPr="00324351">
        <w:rPr>
          <w:rFonts w:cstheme="minorHAnsi"/>
          <w:sz w:val="22"/>
          <w:szCs w:val="22"/>
        </w:rPr>
        <w:t>mentioned that the union sent out a request for information from journalists about their disability status</w:t>
      </w:r>
    </w:p>
    <w:p w14:paraId="5955C6D4" w14:textId="77777777" w:rsidR="005C4009" w:rsidRPr="00324351" w:rsidRDefault="005C4009" w:rsidP="003720CA">
      <w:pPr>
        <w:rPr>
          <w:rFonts w:cstheme="minorHAnsi"/>
        </w:rPr>
      </w:pPr>
      <w:r w:rsidRPr="00324351">
        <w:rPr>
          <w:rFonts w:cstheme="minorHAnsi"/>
        </w:rPr>
        <w:t>Data from Labour Force Surveys has the advantage of ensuring a nationally representative sample, drawn from a randomized sampling procedure, but surveys of journalists will collect data from more journalists.</w:t>
      </w:r>
    </w:p>
    <w:p w14:paraId="4AB99F49" w14:textId="77777777" w:rsidR="005C4009" w:rsidRPr="00324351" w:rsidRDefault="005C4009" w:rsidP="004869AE">
      <w:pPr>
        <w:pStyle w:val="Heading2"/>
        <w:rPr>
          <w:rFonts w:eastAsiaTheme="majorEastAsia"/>
        </w:rPr>
      </w:pPr>
      <w:r w:rsidRPr="00324351">
        <w:rPr>
          <w:rFonts w:eastAsiaTheme="majorEastAsia"/>
        </w:rPr>
        <w:t>21.22 Proportion of different linguistic population groups having access to media broadcasts in their own language, disaggregated by language, including sign language.</w:t>
      </w:r>
    </w:p>
    <w:p w14:paraId="549094ED" w14:textId="77777777" w:rsidR="005C4009" w:rsidRPr="00324351" w:rsidRDefault="005C4009" w:rsidP="004869AE">
      <w:pPr>
        <w:pStyle w:val="Heading4"/>
        <w:rPr>
          <w:rFonts w:eastAsiaTheme="majorEastAsia"/>
        </w:rPr>
      </w:pPr>
      <w:r w:rsidRPr="00324351">
        <w:rPr>
          <w:rFonts w:eastAsiaTheme="majorEastAsia"/>
        </w:rPr>
        <w:t>Level 3: Indicator for which acquiring data is more complex or requires the development of data collection mechanisms which are currently not in place</w:t>
      </w:r>
    </w:p>
    <w:p w14:paraId="38EB5F44" w14:textId="77777777" w:rsidR="005C4009" w:rsidRPr="00324351" w:rsidRDefault="005C4009" w:rsidP="003720CA">
      <w:pPr>
        <w:rPr>
          <w:rStyle w:val="Hyperlink"/>
          <w:rFonts w:cstheme="minorHAnsi"/>
        </w:rPr>
      </w:pPr>
      <w:r w:rsidRPr="00324351">
        <w:t>Data for this indicator could be obtained from a national disability survey. None of the surveys we examined asked this question, so it would have to be added. There are examples of surveys designed to assess accessibility, fairness and trust of media outlets based on different personal characteristics, but they do not include sign language. Some examples can be found on page 65 of the report “</w:t>
      </w:r>
      <w:hyperlink r:id="rId17" w:history="1">
        <w:r w:rsidRPr="00324351">
          <w:rPr>
            <w:rStyle w:val="Hyperlink"/>
          </w:rPr>
          <w:t>Media development indicators: a framework for assessing media development</w:t>
        </w:r>
      </w:hyperlink>
      <w:r w:rsidRPr="00324351">
        <w:t>”</w:t>
      </w:r>
      <w:r w:rsidRPr="00324351">
        <w:rPr>
          <w:rFonts w:cstheme="minorHAnsi"/>
        </w:rPr>
        <w:t>, which also provides guidance on developing indicators on media development.</w:t>
      </w:r>
    </w:p>
    <w:p w14:paraId="321B5FA1" w14:textId="77777777" w:rsidR="005C4009" w:rsidRPr="00324351" w:rsidRDefault="005C4009" w:rsidP="003720CA">
      <w:r w:rsidRPr="00324351">
        <w:t xml:space="preserve">Switzerland fields a </w:t>
      </w:r>
      <w:hyperlink r:id="rId18" w:history="1">
        <w:r w:rsidRPr="00324351">
          <w:rPr>
            <w:rStyle w:val="Hyperlink"/>
          </w:rPr>
          <w:t>Language, Religion and Culture Survey</w:t>
        </w:r>
      </w:hyperlink>
      <w:r w:rsidRPr="00324351">
        <w:t xml:space="preserve"> that also collects data on the usage of different languages in multiple contexts, but that does not include sign language.</w:t>
      </w:r>
    </w:p>
    <w:p w14:paraId="5F307B74" w14:textId="77777777" w:rsidR="005C4009" w:rsidRPr="00324351" w:rsidRDefault="005C4009" w:rsidP="004869AE">
      <w:pPr>
        <w:pStyle w:val="Heading2"/>
        <w:rPr>
          <w:rFonts w:eastAsiaTheme="majorEastAsia"/>
        </w:rPr>
      </w:pPr>
      <w:r w:rsidRPr="00324351">
        <w:rPr>
          <w:rFonts w:eastAsiaTheme="majorEastAsia"/>
        </w:rPr>
        <w:lastRenderedPageBreak/>
        <w:t>21.23 Number and proportion of requests of public information being granted to persons with disabilities in accessible formats, out of the total of requests of public information, disaggregated by respondent public body or agency. (idem 31.15)</w:t>
      </w:r>
    </w:p>
    <w:p w14:paraId="4039A090" w14:textId="77777777" w:rsidR="005C4009" w:rsidRPr="00324351" w:rsidRDefault="005C4009" w:rsidP="004869AE">
      <w:pPr>
        <w:pStyle w:val="Heading4"/>
        <w:rPr>
          <w:rFonts w:eastAsiaTheme="majorEastAsia"/>
        </w:rPr>
      </w:pPr>
      <w:r w:rsidRPr="00324351">
        <w:rPr>
          <w:rFonts w:eastAsiaTheme="majorEastAsia"/>
        </w:rPr>
        <w:t>Level 3: Indicator for which acquiring data is more complex or requires the development of data collection mechanisms which are currently not in place</w:t>
      </w:r>
    </w:p>
    <w:p w14:paraId="6822640D" w14:textId="77777777" w:rsidR="005C4009" w:rsidRPr="00324351" w:rsidRDefault="005C4009" w:rsidP="003720CA">
      <w:pPr>
        <w:rPr>
          <w:rFonts w:cstheme="minorHAnsi"/>
        </w:rPr>
      </w:pPr>
      <w:r w:rsidRPr="00324351">
        <w:rPr>
          <w:rFonts w:cstheme="minorHAnsi"/>
        </w:rPr>
        <w:t>The only way to obtain this information from administrative data would be if forms to file for requests asked this information; as systems tracking such requests exist, asking for disability information on requests would suffice. The number of people filing for such requests is almost definitely too small to be picked up by a general household survey.</w:t>
      </w:r>
    </w:p>
    <w:p w14:paraId="6500C196" w14:textId="595A896C" w:rsidR="005C4009" w:rsidRPr="00324351" w:rsidRDefault="005C4009" w:rsidP="003720CA">
      <w:pPr>
        <w:pStyle w:val="CommentText"/>
        <w:rPr>
          <w:rFonts w:cstheme="minorHAnsi"/>
          <w:sz w:val="22"/>
          <w:szCs w:val="22"/>
        </w:rPr>
      </w:pPr>
      <w:r w:rsidRPr="00324351">
        <w:rPr>
          <w:rFonts w:cstheme="minorHAnsi"/>
          <w:sz w:val="22"/>
          <w:szCs w:val="22"/>
        </w:rPr>
        <w:t>The United Kingdom of Great Britain and Northern Ireland tracks requests and requestor details as well as compliance information, including numbers of request and time until delivery</w:t>
      </w:r>
      <w:r w:rsidR="009761E3" w:rsidRPr="00324351">
        <w:rPr>
          <w:rFonts w:cstheme="minorHAnsi"/>
          <w:sz w:val="22"/>
          <w:szCs w:val="22"/>
        </w:rPr>
        <w:t>, see</w:t>
      </w:r>
      <w:r w:rsidR="005A4385" w:rsidRPr="00324351">
        <w:rPr>
          <w:rFonts w:cstheme="minorHAnsi"/>
          <w:sz w:val="22"/>
          <w:szCs w:val="22"/>
        </w:rPr>
        <w:t xml:space="preserve"> </w:t>
      </w:r>
      <w:hyperlink r:id="rId19" w:history="1">
        <w:r w:rsidR="005A4385" w:rsidRPr="00324351">
          <w:rPr>
            <w:rStyle w:val="Hyperlink"/>
            <w:rFonts w:cstheme="minorHAnsi"/>
            <w:sz w:val="22"/>
            <w:szCs w:val="22"/>
          </w:rPr>
          <w:t>data.gov.uk</w:t>
        </w:r>
      </w:hyperlink>
      <w:r w:rsidR="005A4385" w:rsidRPr="00324351">
        <w:rPr>
          <w:rStyle w:val="Hyperlink"/>
          <w:rFonts w:cstheme="minorHAnsi"/>
          <w:sz w:val="22"/>
          <w:szCs w:val="22"/>
        </w:rPr>
        <w:t>.</w:t>
      </w:r>
    </w:p>
    <w:p w14:paraId="690F7E37" w14:textId="77777777" w:rsidR="005C4009" w:rsidRPr="00324351" w:rsidRDefault="005C4009" w:rsidP="004869AE">
      <w:pPr>
        <w:pStyle w:val="Heading2"/>
        <w:rPr>
          <w:rFonts w:eastAsiaTheme="majorEastAsia"/>
        </w:rPr>
      </w:pPr>
      <w:r w:rsidRPr="00324351">
        <w:rPr>
          <w:rFonts w:eastAsiaTheme="majorEastAsia"/>
        </w:rPr>
        <w:t>21.24 Proportion of population covered by a mobile network, by technology (SDG indicator 9.c.1), and sex, age and disability.</w:t>
      </w:r>
    </w:p>
    <w:p w14:paraId="085A6ECF" w14:textId="77777777" w:rsidR="005C4009" w:rsidRPr="00324351" w:rsidRDefault="005C4009" w:rsidP="004869AE">
      <w:pPr>
        <w:pStyle w:val="Heading4"/>
        <w:rPr>
          <w:rFonts w:eastAsiaTheme="majorEastAsia"/>
        </w:rPr>
      </w:pPr>
      <w:r w:rsidRPr="00324351">
        <w:rPr>
          <w:rFonts w:eastAsiaTheme="majorEastAsia"/>
        </w:rPr>
        <w:t>Level 1: Indicator for which data are already being produced and reported on in at least some countries</w:t>
      </w:r>
    </w:p>
    <w:p w14:paraId="5DB9BB8F" w14:textId="675F832D" w:rsidR="005C4009" w:rsidRPr="00324351" w:rsidRDefault="00774201" w:rsidP="003720CA">
      <w:hyperlink r:id="rId20" w:history="1">
        <w:r w:rsidR="005C4009" w:rsidRPr="00324351">
          <w:rPr>
            <w:rStyle w:val="Hyperlink"/>
          </w:rPr>
          <w:t>Link to the metadata related to this SDG indicator</w:t>
        </w:r>
      </w:hyperlink>
    </w:p>
    <w:p w14:paraId="6A8787F6" w14:textId="77777777" w:rsidR="009761E3" w:rsidRPr="00324351" w:rsidRDefault="009761E3" w:rsidP="003720CA">
      <w:pPr>
        <w:rPr>
          <w:lang w:eastAsia="en-GB"/>
        </w:rPr>
      </w:pPr>
      <w:r w:rsidRPr="00324351">
        <w:rPr>
          <w:lang w:eastAsia="en-GB"/>
        </w:rPr>
        <w:t>According to the metadata:</w:t>
      </w:r>
    </w:p>
    <w:p w14:paraId="395D409B" w14:textId="2AB5F3A0" w:rsidR="005C4009" w:rsidRPr="00324351" w:rsidRDefault="009761E3" w:rsidP="002F02C6">
      <w:pPr>
        <w:ind w:left="360"/>
        <w:rPr>
          <w:i/>
          <w:lang w:eastAsia="en-GB"/>
        </w:rPr>
      </w:pPr>
      <w:r w:rsidRPr="00324351">
        <w:rPr>
          <w:lang w:eastAsia="en-GB"/>
        </w:rPr>
        <w:t>“</w:t>
      </w:r>
      <w:r w:rsidR="005C4009" w:rsidRPr="00324351">
        <w:rPr>
          <w:i/>
          <w:lang w:eastAsia="en-GB"/>
        </w:rPr>
        <w:t>This indicator is based on an internationally agreed definition and methodology, which have been developed under the coordination of ITU [international telecommunication union], through its Expert Groups and following an extensive consultation process with countries. It is also a core indicator of the Partnership on Measuring ICT [information and communications technology] for Development's Core List of Indicators, which has been endorsed by the UN Statistical Commission (last time in 2014).</w:t>
      </w:r>
    </w:p>
    <w:p w14:paraId="4984441D" w14:textId="77777777" w:rsidR="005C4009" w:rsidRPr="00324351" w:rsidRDefault="005C4009" w:rsidP="002F02C6">
      <w:pPr>
        <w:ind w:left="360"/>
        <w:rPr>
          <w:i/>
          <w:lang w:eastAsia="en-GB"/>
        </w:rPr>
      </w:pPr>
      <w:r w:rsidRPr="00324351">
        <w:rPr>
          <w:i/>
          <w:lang w:eastAsia="en-GB"/>
        </w:rPr>
        <w:t>ITU collects data for this indicator through an annual questionnaire from national regulatory authorities or Information and Communication Technology Ministries, who collect the data from Internet service providers.</w:t>
      </w:r>
    </w:p>
    <w:p w14:paraId="7235E326" w14:textId="77777777" w:rsidR="005C4009" w:rsidRPr="00324351" w:rsidRDefault="005C4009" w:rsidP="002F02C6">
      <w:pPr>
        <w:ind w:left="360"/>
        <w:rPr>
          <w:i/>
          <w:lang w:eastAsia="en-GB"/>
        </w:rPr>
      </w:pPr>
      <w:r w:rsidRPr="00324351">
        <w:rPr>
          <w:i/>
          <w:lang w:eastAsia="en-GB"/>
        </w:rPr>
        <w:t>ITU collects data for this indicator through an annual questionnaire from national regulatory authorities or Information and Communication Technology Ministries, who collect the data from Internet service providers.</w:t>
      </w:r>
    </w:p>
    <w:p w14:paraId="1858281C" w14:textId="0960FAF2" w:rsidR="005C4009" w:rsidRPr="00324351" w:rsidRDefault="005C4009" w:rsidP="002F02C6">
      <w:pPr>
        <w:ind w:left="360"/>
        <w:rPr>
          <w:lang w:eastAsia="en-GB"/>
        </w:rPr>
      </w:pPr>
      <w:r w:rsidRPr="00324351">
        <w:rPr>
          <w:i/>
          <w:lang w:eastAsia="en-GB"/>
        </w:rPr>
        <w:t>By 2015, data on 2G mobile population coverage were available for about 147 countries, from developed and developing regions, and covering all key global regions. Data on 3G mobile population coverage were available for 152 countries and data on LTE mobile population coverage were available for 124 countries. ITU publishes data on this indicator yearly</w:t>
      </w:r>
      <w:r w:rsidRPr="00324351">
        <w:rPr>
          <w:lang w:eastAsia="en-GB"/>
        </w:rPr>
        <w:t>.</w:t>
      </w:r>
      <w:r w:rsidR="009761E3" w:rsidRPr="00324351">
        <w:rPr>
          <w:lang w:eastAsia="en-GB"/>
        </w:rPr>
        <w:t>”</w:t>
      </w:r>
    </w:p>
    <w:p w14:paraId="008722A2" w14:textId="63FABBB0" w:rsidR="005C4009" w:rsidRPr="00324351" w:rsidRDefault="005C4009" w:rsidP="003720CA">
      <w:r w:rsidRPr="00324351">
        <w:lastRenderedPageBreak/>
        <w:t xml:space="preserve">The </w:t>
      </w:r>
      <w:hyperlink r:id="rId21" w:history="1">
        <w:r w:rsidRPr="00324351">
          <w:rPr>
            <w:rStyle w:val="Hyperlink"/>
          </w:rPr>
          <w:t>ITU has a manual on how to collect household statistics on internet use</w:t>
        </w:r>
      </w:hyperlink>
      <w:r w:rsidRPr="00324351">
        <w:t xml:space="preserve"> which includes the Washington Group Questions on Disability. ITU also provides </w:t>
      </w:r>
      <w:hyperlink w:history="1"/>
      <w:r w:rsidRPr="00324351">
        <w:t>information on digital inclusion</w:t>
      </w:r>
      <w:r w:rsidR="005A4385" w:rsidRPr="00324351">
        <w:t xml:space="preserve"> available at </w:t>
      </w:r>
      <w:hyperlink r:id="rId22" w:history="1">
        <w:r w:rsidR="005A4385" w:rsidRPr="00324351">
          <w:rPr>
            <w:rStyle w:val="Hyperlink"/>
          </w:rPr>
          <w:t>www.itu.int</w:t>
        </w:r>
      </w:hyperlink>
      <w:r w:rsidR="005A4385" w:rsidRPr="00324351">
        <w:t>.</w:t>
      </w:r>
    </w:p>
    <w:p w14:paraId="7DCFCF1A" w14:textId="313232D8" w:rsidR="005C4009" w:rsidRPr="00324351" w:rsidRDefault="005C4009" w:rsidP="003720CA">
      <w:r w:rsidRPr="00324351">
        <w:t xml:space="preserve">However, based on the </w:t>
      </w:r>
      <w:hyperlink r:id="rId23" w:history="1">
        <w:r w:rsidRPr="00324351">
          <w:rPr>
            <w:rStyle w:val="Hyperlink"/>
          </w:rPr>
          <w:t>list of indicator</w:t>
        </w:r>
        <w:r w:rsidR="009761E3" w:rsidRPr="00324351">
          <w:rPr>
            <w:rStyle w:val="Hyperlink"/>
          </w:rPr>
          <w:t>s</w:t>
        </w:r>
      </w:hyperlink>
      <w:r w:rsidR="009761E3" w:rsidRPr="00324351">
        <w:t>,</w:t>
      </w:r>
      <w:r w:rsidRPr="00324351">
        <w:t xml:space="preserve"> the ITU does not include disability in its list of indicators for its </w:t>
      </w:r>
      <w:hyperlink r:id="rId24" w:history="1">
        <w:r w:rsidRPr="00324351">
          <w:rPr>
            <w:rStyle w:val="Hyperlink"/>
          </w:rPr>
          <w:t>yearbook database</w:t>
        </w:r>
      </w:hyperlink>
      <w:r w:rsidRPr="00324351">
        <w:t>.</w:t>
      </w:r>
    </w:p>
    <w:p w14:paraId="18EFB6B6" w14:textId="77777777" w:rsidR="005C4009" w:rsidRPr="00324351" w:rsidRDefault="005C4009" w:rsidP="003720CA">
      <w:pPr>
        <w:rPr>
          <w:rFonts w:cs="Times New Roman"/>
        </w:rPr>
      </w:pPr>
      <w:r w:rsidRPr="00324351">
        <w:t xml:space="preserve">The </w:t>
      </w:r>
      <w:hyperlink r:id="rId25" w:history="1">
        <w:r w:rsidRPr="00324351">
          <w:rPr>
            <w:rStyle w:val="Hyperlink"/>
          </w:rPr>
          <w:t>Viet Nam National Disability Survey</w:t>
        </w:r>
      </w:hyperlink>
      <w:r w:rsidRPr="00324351">
        <w:t xml:space="preserve"> provides an example of a national disability survey collecting information on this indicator, an extract of which is provided in table 1.</w:t>
      </w:r>
    </w:p>
    <w:p w14:paraId="40499234" w14:textId="473D162A" w:rsidR="005C4009" w:rsidRPr="00324351" w:rsidRDefault="005C4009" w:rsidP="002F02C6">
      <w:pPr>
        <w:pStyle w:val="TableHeader"/>
        <w:rPr>
          <w:rFonts w:eastAsiaTheme="majorEastAsia" w:cstheme="majorBidi"/>
        </w:rPr>
      </w:pPr>
      <w:r w:rsidRPr="00324351">
        <w:rPr>
          <w:rFonts w:eastAsiaTheme="majorEastAsia" w:cstheme="majorBidi"/>
          <w:b/>
          <w:bCs w:val="0"/>
        </w:rPr>
        <w:t>Table 1:</w:t>
      </w:r>
      <w:r w:rsidRPr="00324351">
        <w:rPr>
          <w:rFonts w:eastAsiaTheme="majorEastAsia" w:cstheme="majorBidi"/>
        </w:rPr>
        <w:t xml:space="preserve"> Percentage of population living in households with internet, mobile phone, and television ownership, by disability and wealth quintiles</w:t>
      </w:r>
    </w:p>
    <w:tbl>
      <w:tblPr>
        <w:tblStyle w:val="TableGrid"/>
        <w:tblW w:w="5000" w:type="pct"/>
        <w:tblLook w:val="04A0" w:firstRow="1" w:lastRow="0" w:firstColumn="1" w:lastColumn="0" w:noHBand="0" w:noVBand="1"/>
        <w:tblCaption w:val="Table 1: Percentage of population living in households with internet, mobile phone, and television ownership, by disability and wealth quintiles"/>
      </w:tblPr>
      <w:tblGrid>
        <w:gridCol w:w="2604"/>
        <w:gridCol w:w="1168"/>
        <w:gridCol w:w="1346"/>
        <w:gridCol w:w="1346"/>
        <w:gridCol w:w="1377"/>
        <w:gridCol w:w="1159"/>
      </w:tblGrid>
      <w:tr w:rsidR="005C4009" w:rsidRPr="00324351" w14:paraId="4FAA1291" w14:textId="77777777" w:rsidTr="002F02C6">
        <w:trPr>
          <w:trHeight w:val="297"/>
          <w:tblHeader/>
        </w:trPr>
        <w:tc>
          <w:tcPr>
            <w:tcW w:w="1446" w:type="pct"/>
            <w:tcBorders>
              <w:top w:val="single" w:sz="12" w:space="0" w:color="auto"/>
              <w:left w:val="nil"/>
              <w:bottom w:val="nil"/>
              <w:right w:val="nil"/>
            </w:tcBorders>
            <w:shd w:val="clear" w:color="auto" w:fill="F5F5F1"/>
          </w:tcPr>
          <w:p w14:paraId="617A9FBE" w14:textId="77777777" w:rsidR="005C4009" w:rsidRPr="00324351" w:rsidRDefault="005C4009" w:rsidP="003720CA">
            <w:pPr>
              <w:rPr>
                <w:rFonts w:asciiTheme="minorHAnsi" w:hAnsiTheme="minorHAnsi"/>
              </w:rPr>
            </w:pPr>
          </w:p>
        </w:tc>
        <w:tc>
          <w:tcPr>
            <w:tcW w:w="3554" w:type="pct"/>
            <w:gridSpan w:val="5"/>
            <w:tcBorders>
              <w:top w:val="single" w:sz="12" w:space="0" w:color="auto"/>
              <w:left w:val="nil"/>
              <w:bottom w:val="single" w:sz="12" w:space="0" w:color="auto"/>
              <w:right w:val="nil"/>
            </w:tcBorders>
            <w:shd w:val="clear" w:color="auto" w:fill="F5F5F1"/>
            <w:vAlign w:val="center"/>
          </w:tcPr>
          <w:p w14:paraId="384F2779" w14:textId="77777777" w:rsidR="005C4009" w:rsidRPr="00324351" w:rsidRDefault="005C4009" w:rsidP="002F02C6">
            <w:pPr>
              <w:pStyle w:val="TableHeaderRow"/>
              <w:rPr>
                <w:i/>
                <w:iCs/>
              </w:rPr>
            </w:pPr>
            <w:r w:rsidRPr="00324351">
              <w:rPr>
                <w:i/>
                <w:iCs/>
              </w:rPr>
              <w:t>Wealth quintiles</w:t>
            </w:r>
          </w:p>
        </w:tc>
      </w:tr>
      <w:tr w:rsidR="005C4009" w:rsidRPr="00324351" w14:paraId="4C5605E8" w14:textId="77777777" w:rsidTr="002F02C6">
        <w:trPr>
          <w:trHeight w:val="297"/>
          <w:tblHeader/>
        </w:trPr>
        <w:tc>
          <w:tcPr>
            <w:tcW w:w="1446" w:type="pct"/>
            <w:tcBorders>
              <w:top w:val="nil"/>
              <w:left w:val="nil"/>
              <w:bottom w:val="single" w:sz="12" w:space="0" w:color="auto"/>
              <w:right w:val="nil"/>
            </w:tcBorders>
            <w:shd w:val="clear" w:color="auto" w:fill="F5F5F1"/>
          </w:tcPr>
          <w:p w14:paraId="4A9714B3" w14:textId="77777777" w:rsidR="005C4009" w:rsidRPr="00324351" w:rsidRDefault="005C4009" w:rsidP="003720CA">
            <w:pPr>
              <w:rPr>
                <w:rFonts w:asciiTheme="minorHAnsi" w:hAnsiTheme="minorHAnsi"/>
              </w:rPr>
            </w:pPr>
          </w:p>
        </w:tc>
        <w:tc>
          <w:tcPr>
            <w:tcW w:w="649" w:type="pct"/>
            <w:tcBorders>
              <w:top w:val="single" w:sz="12" w:space="0" w:color="auto"/>
              <w:left w:val="nil"/>
              <w:bottom w:val="single" w:sz="12" w:space="0" w:color="auto"/>
              <w:right w:val="nil"/>
            </w:tcBorders>
            <w:shd w:val="clear" w:color="auto" w:fill="F5F5F1"/>
            <w:vAlign w:val="center"/>
          </w:tcPr>
          <w:p w14:paraId="2101F092" w14:textId="77777777" w:rsidR="005C4009" w:rsidRPr="00324351" w:rsidRDefault="005C4009" w:rsidP="00AB6853">
            <w:pPr>
              <w:pStyle w:val="TableHeaderRow"/>
              <w:spacing w:before="160"/>
            </w:pPr>
            <w:r w:rsidRPr="00324351">
              <w:t>Poorest</w:t>
            </w:r>
          </w:p>
        </w:tc>
        <w:tc>
          <w:tcPr>
            <w:tcW w:w="748" w:type="pct"/>
            <w:tcBorders>
              <w:top w:val="single" w:sz="12" w:space="0" w:color="auto"/>
              <w:left w:val="nil"/>
              <w:bottom w:val="single" w:sz="12" w:space="0" w:color="auto"/>
              <w:right w:val="nil"/>
            </w:tcBorders>
            <w:shd w:val="clear" w:color="auto" w:fill="F5F5F1"/>
            <w:vAlign w:val="center"/>
          </w:tcPr>
          <w:p w14:paraId="6276C6D6" w14:textId="77777777" w:rsidR="005C4009" w:rsidRPr="00324351" w:rsidRDefault="005C4009" w:rsidP="00AB6853">
            <w:pPr>
              <w:pStyle w:val="TableHeaderRow"/>
              <w:spacing w:before="160"/>
            </w:pPr>
            <w:r w:rsidRPr="00324351">
              <w:t>Quintile 2</w:t>
            </w:r>
          </w:p>
        </w:tc>
        <w:tc>
          <w:tcPr>
            <w:tcW w:w="748" w:type="pct"/>
            <w:tcBorders>
              <w:top w:val="single" w:sz="12" w:space="0" w:color="auto"/>
              <w:left w:val="nil"/>
              <w:bottom w:val="single" w:sz="12" w:space="0" w:color="auto"/>
              <w:right w:val="nil"/>
            </w:tcBorders>
            <w:shd w:val="clear" w:color="auto" w:fill="F5F5F1"/>
            <w:vAlign w:val="center"/>
          </w:tcPr>
          <w:p w14:paraId="01B6E99F" w14:textId="77777777" w:rsidR="005C4009" w:rsidRPr="00324351" w:rsidRDefault="005C4009" w:rsidP="00AB6853">
            <w:pPr>
              <w:pStyle w:val="TableHeaderRow"/>
              <w:spacing w:before="160"/>
            </w:pPr>
            <w:r w:rsidRPr="00324351">
              <w:t>Quintile 3</w:t>
            </w:r>
          </w:p>
        </w:tc>
        <w:tc>
          <w:tcPr>
            <w:tcW w:w="765" w:type="pct"/>
            <w:tcBorders>
              <w:top w:val="single" w:sz="12" w:space="0" w:color="auto"/>
              <w:left w:val="nil"/>
              <w:bottom w:val="single" w:sz="12" w:space="0" w:color="auto"/>
              <w:right w:val="nil"/>
            </w:tcBorders>
            <w:shd w:val="clear" w:color="auto" w:fill="F5F5F1"/>
            <w:vAlign w:val="center"/>
          </w:tcPr>
          <w:p w14:paraId="612D1F20" w14:textId="77777777" w:rsidR="005C4009" w:rsidRPr="00324351" w:rsidRDefault="005C4009" w:rsidP="002F02C6">
            <w:pPr>
              <w:pStyle w:val="TableHeaderRow"/>
            </w:pPr>
            <w:r w:rsidRPr="00324351">
              <w:t>Quintile 4</w:t>
            </w:r>
          </w:p>
        </w:tc>
        <w:tc>
          <w:tcPr>
            <w:tcW w:w="643" w:type="pct"/>
            <w:tcBorders>
              <w:top w:val="single" w:sz="12" w:space="0" w:color="auto"/>
              <w:left w:val="nil"/>
              <w:bottom w:val="single" w:sz="12" w:space="0" w:color="auto"/>
              <w:right w:val="nil"/>
            </w:tcBorders>
            <w:shd w:val="clear" w:color="auto" w:fill="F5F5F1"/>
            <w:vAlign w:val="center"/>
          </w:tcPr>
          <w:p w14:paraId="1B0FE878" w14:textId="77777777" w:rsidR="005C4009" w:rsidRPr="00324351" w:rsidRDefault="005C4009" w:rsidP="002F02C6">
            <w:pPr>
              <w:pStyle w:val="TableHeaderRow"/>
            </w:pPr>
            <w:r w:rsidRPr="00324351">
              <w:t>Richest</w:t>
            </w:r>
          </w:p>
        </w:tc>
      </w:tr>
      <w:tr w:rsidR="002F02C6" w:rsidRPr="00324351" w14:paraId="1D5BBEA9" w14:textId="77777777" w:rsidTr="002F02C6">
        <w:trPr>
          <w:trHeight w:val="297"/>
          <w:tblHeader/>
        </w:trPr>
        <w:tc>
          <w:tcPr>
            <w:tcW w:w="5000" w:type="pct"/>
            <w:gridSpan w:val="6"/>
            <w:tcBorders>
              <w:top w:val="single" w:sz="12" w:space="0" w:color="auto"/>
              <w:left w:val="nil"/>
              <w:bottom w:val="single" w:sz="12" w:space="0" w:color="auto"/>
              <w:right w:val="nil"/>
            </w:tcBorders>
            <w:shd w:val="clear" w:color="auto" w:fill="F5F5F1"/>
          </w:tcPr>
          <w:p w14:paraId="5F5D6796" w14:textId="38745B79" w:rsidR="002F02C6" w:rsidRPr="00324351" w:rsidRDefault="002F02C6" w:rsidP="003720CA">
            <w:r w:rsidRPr="00324351">
              <w:rPr>
                <w:b/>
                <w:bCs/>
                <w:i/>
                <w:iCs/>
              </w:rPr>
              <w:t>Internet</w:t>
            </w:r>
          </w:p>
        </w:tc>
      </w:tr>
      <w:tr w:rsidR="005C4009" w:rsidRPr="00324351" w14:paraId="36750613" w14:textId="77777777" w:rsidTr="002F02C6">
        <w:trPr>
          <w:trHeight w:val="297"/>
          <w:tblHeader/>
        </w:trPr>
        <w:tc>
          <w:tcPr>
            <w:tcW w:w="1446" w:type="pct"/>
            <w:tcBorders>
              <w:top w:val="single" w:sz="12" w:space="0" w:color="auto"/>
              <w:left w:val="nil"/>
              <w:bottom w:val="nil"/>
              <w:right w:val="nil"/>
            </w:tcBorders>
            <w:shd w:val="clear" w:color="auto" w:fill="F5F5F1"/>
          </w:tcPr>
          <w:p w14:paraId="63AE12B6" w14:textId="77777777" w:rsidR="005C4009" w:rsidRPr="00324351" w:rsidRDefault="005C4009" w:rsidP="003720CA">
            <w:r w:rsidRPr="00324351">
              <w:t>With disability</w:t>
            </w:r>
          </w:p>
        </w:tc>
        <w:tc>
          <w:tcPr>
            <w:tcW w:w="649" w:type="pct"/>
            <w:tcBorders>
              <w:top w:val="single" w:sz="12" w:space="0" w:color="auto"/>
              <w:left w:val="nil"/>
              <w:bottom w:val="nil"/>
              <w:right w:val="nil"/>
            </w:tcBorders>
            <w:shd w:val="clear" w:color="auto" w:fill="F5F5F1"/>
          </w:tcPr>
          <w:p w14:paraId="2810CE99" w14:textId="77777777" w:rsidR="005C4009" w:rsidRPr="00324351" w:rsidRDefault="005C4009" w:rsidP="003720CA">
            <w:r w:rsidRPr="00324351">
              <w:t>0,1</w:t>
            </w:r>
          </w:p>
        </w:tc>
        <w:tc>
          <w:tcPr>
            <w:tcW w:w="748" w:type="pct"/>
            <w:tcBorders>
              <w:top w:val="single" w:sz="12" w:space="0" w:color="auto"/>
              <w:left w:val="nil"/>
              <w:bottom w:val="nil"/>
              <w:right w:val="nil"/>
            </w:tcBorders>
            <w:shd w:val="clear" w:color="auto" w:fill="F5F5F1"/>
          </w:tcPr>
          <w:p w14:paraId="27D28E70" w14:textId="77777777" w:rsidR="005C4009" w:rsidRPr="00324351" w:rsidRDefault="005C4009" w:rsidP="003720CA">
            <w:r w:rsidRPr="00324351">
              <w:t>1,2</w:t>
            </w:r>
          </w:p>
        </w:tc>
        <w:tc>
          <w:tcPr>
            <w:tcW w:w="748" w:type="pct"/>
            <w:tcBorders>
              <w:top w:val="single" w:sz="12" w:space="0" w:color="auto"/>
              <w:left w:val="nil"/>
              <w:bottom w:val="nil"/>
              <w:right w:val="nil"/>
            </w:tcBorders>
            <w:shd w:val="clear" w:color="auto" w:fill="F5F5F1"/>
          </w:tcPr>
          <w:p w14:paraId="53AF23C5" w14:textId="77777777" w:rsidR="005C4009" w:rsidRPr="00324351" w:rsidRDefault="005C4009" w:rsidP="003720CA">
            <w:r w:rsidRPr="00324351">
              <w:t>10,0</w:t>
            </w:r>
          </w:p>
        </w:tc>
        <w:tc>
          <w:tcPr>
            <w:tcW w:w="765" w:type="pct"/>
            <w:tcBorders>
              <w:top w:val="single" w:sz="12" w:space="0" w:color="auto"/>
              <w:left w:val="nil"/>
              <w:bottom w:val="nil"/>
              <w:right w:val="nil"/>
            </w:tcBorders>
            <w:shd w:val="clear" w:color="auto" w:fill="F5F5F1"/>
          </w:tcPr>
          <w:p w14:paraId="00FC288B" w14:textId="77777777" w:rsidR="005C4009" w:rsidRPr="00324351" w:rsidRDefault="005C4009" w:rsidP="003720CA">
            <w:r w:rsidRPr="00324351">
              <w:t>36,3</w:t>
            </w:r>
          </w:p>
        </w:tc>
        <w:tc>
          <w:tcPr>
            <w:tcW w:w="643" w:type="pct"/>
            <w:tcBorders>
              <w:top w:val="single" w:sz="12" w:space="0" w:color="auto"/>
              <w:left w:val="nil"/>
              <w:bottom w:val="nil"/>
              <w:right w:val="nil"/>
            </w:tcBorders>
            <w:shd w:val="clear" w:color="auto" w:fill="F5F5F1"/>
          </w:tcPr>
          <w:p w14:paraId="64AC0628" w14:textId="77777777" w:rsidR="005C4009" w:rsidRPr="00324351" w:rsidRDefault="005C4009" w:rsidP="003720CA">
            <w:r w:rsidRPr="00324351">
              <w:t>85,6</w:t>
            </w:r>
          </w:p>
        </w:tc>
      </w:tr>
      <w:tr w:rsidR="005C4009" w:rsidRPr="00324351" w14:paraId="382C0803" w14:textId="77777777" w:rsidTr="002F02C6">
        <w:trPr>
          <w:trHeight w:val="297"/>
          <w:tblHeader/>
        </w:trPr>
        <w:tc>
          <w:tcPr>
            <w:tcW w:w="1446" w:type="pct"/>
            <w:tcBorders>
              <w:top w:val="nil"/>
              <w:left w:val="nil"/>
              <w:bottom w:val="single" w:sz="12" w:space="0" w:color="auto"/>
              <w:right w:val="nil"/>
            </w:tcBorders>
            <w:shd w:val="clear" w:color="auto" w:fill="F5F5F1"/>
          </w:tcPr>
          <w:p w14:paraId="4276C82A" w14:textId="77777777" w:rsidR="005C4009" w:rsidRPr="00324351" w:rsidRDefault="005C4009" w:rsidP="003720CA">
            <w:r w:rsidRPr="00324351">
              <w:t>Without disability</w:t>
            </w:r>
          </w:p>
        </w:tc>
        <w:tc>
          <w:tcPr>
            <w:tcW w:w="649" w:type="pct"/>
            <w:tcBorders>
              <w:top w:val="nil"/>
              <w:left w:val="nil"/>
              <w:bottom w:val="single" w:sz="12" w:space="0" w:color="auto"/>
              <w:right w:val="nil"/>
            </w:tcBorders>
            <w:shd w:val="clear" w:color="auto" w:fill="F5F5F1"/>
          </w:tcPr>
          <w:p w14:paraId="61E9D51D" w14:textId="77777777" w:rsidR="005C4009" w:rsidRPr="00324351" w:rsidRDefault="005C4009" w:rsidP="003720CA">
            <w:pPr>
              <w:rPr>
                <w:color w:val="000000"/>
              </w:rPr>
            </w:pPr>
            <w:r w:rsidRPr="00324351">
              <w:rPr>
                <w:color w:val="000000"/>
              </w:rPr>
              <w:t>0,5</w:t>
            </w:r>
          </w:p>
        </w:tc>
        <w:tc>
          <w:tcPr>
            <w:tcW w:w="748" w:type="pct"/>
            <w:tcBorders>
              <w:top w:val="nil"/>
              <w:left w:val="nil"/>
              <w:bottom w:val="single" w:sz="12" w:space="0" w:color="auto"/>
              <w:right w:val="nil"/>
            </w:tcBorders>
            <w:shd w:val="clear" w:color="auto" w:fill="F5F5F1"/>
          </w:tcPr>
          <w:p w14:paraId="62A19BEA" w14:textId="77777777" w:rsidR="005C4009" w:rsidRPr="00324351" w:rsidRDefault="005C4009" w:rsidP="003720CA">
            <w:pPr>
              <w:rPr>
                <w:color w:val="000000"/>
              </w:rPr>
            </w:pPr>
            <w:r w:rsidRPr="00324351">
              <w:rPr>
                <w:color w:val="000000"/>
              </w:rPr>
              <w:t>3,8</w:t>
            </w:r>
          </w:p>
        </w:tc>
        <w:tc>
          <w:tcPr>
            <w:tcW w:w="748" w:type="pct"/>
            <w:tcBorders>
              <w:top w:val="nil"/>
              <w:left w:val="nil"/>
              <w:bottom w:val="single" w:sz="12" w:space="0" w:color="auto"/>
              <w:right w:val="nil"/>
            </w:tcBorders>
            <w:shd w:val="clear" w:color="auto" w:fill="F5F5F1"/>
          </w:tcPr>
          <w:p w14:paraId="6CE74CCD" w14:textId="77777777" w:rsidR="005C4009" w:rsidRPr="00324351" w:rsidRDefault="005C4009" w:rsidP="003720CA">
            <w:pPr>
              <w:rPr>
                <w:color w:val="000000"/>
              </w:rPr>
            </w:pPr>
            <w:r w:rsidRPr="00324351">
              <w:rPr>
                <w:color w:val="000000"/>
              </w:rPr>
              <w:t>13,9</w:t>
            </w:r>
          </w:p>
        </w:tc>
        <w:tc>
          <w:tcPr>
            <w:tcW w:w="765" w:type="pct"/>
            <w:tcBorders>
              <w:top w:val="nil"/>
              <w:left w:val="nil"/>
              <w:bottom w:val="single" w:sz="12" w:space="0" w:color="auto"/>
              <w:right w:val="nil"/>
            </w:tcBorders>
            <w:shd w:val="clear" w:color="auto" w:fill="F5F5F1"/>
          </w:tcPr>
          <w:p w14:paraId="007A4ACA" w14:textId="77777777" w:rsidR="005C4009" w:rsidRPr="00324351" w:rsidRDefault="005C4009" w:rsidP="003720CA">
            <w:pPr>
              <w:rPr>
                <w:color w:val="000000"/>
              </w:rPr>
            </w:pPr>
            <w:r w:rsidRPr="00324351">
              <w:rPr>
                <w:color w:val="000000"/>
              </w:rPr>
              <w:t>43,0</w:t>
            </w:r>
          </w:p>
        </w:tc>
        <w:tc>
          <w:tcPr>
            <w:tcW w:w="643" w:type="pct"/>
            <w:tcBorders>
              <w:top w:val="nil"/>
              <w:left w:val="nil"/>
              <w:bottom w:val="single" w:sz="12" w:space="0" w:color="auto"/>
              <w:right w:val="nil"/>
            </w:tcBorders>
            <w:shd w:val="clear" w:color="auto" w:fill="F5F5F1"/>
          </w:tcPr>
          <w:p w14:paraId="6E93D3AA" w14:textId="77777777" w:rsidR="005C4009" w:rsidRPr="00324351" w:rsidRDefault="005C4009" w:rsidP="003720CA">
            <w:pPr>
              <w:rPr>
                <w:color w:val="000000"/>
              </w:rPr>
            </w:pPr>
            <w:r w:rsidRPr="00324351">
              <w:rPr>
                <w:color w:val="000000"/>
              </w:rPr>
              <w:t>87,8</w:t>
            </w:r>
          </w:p>
        </w:tc>
      </w:tr>
      <w:tr w:rsidR="002F02C6" w:rsidRPr="00324351" w14:paraId="5F1EC441" w14:textId="77777777" w:rsidTr="002F02C6">
        <w:trPr>
          <w:trHeight w:val="297"/>
          <w:tblHeader/>
        </w:trPr>
        <w:tc>
          <w:tcPr>
            <w:tcW w:w="5000" w:type="pct"/>
            <w:gridSpan w:val="6"/>
            <w:tcBorders>
              <w:top w:val="single" w:sz="12" w:space="0" w:color="auto"/>
              <w:left w:val="nil"/>
              <w:bottom w:val="single" w:sz="12" w:space="0" w:color="auto"/>
              <w:right w:val="nil"/>
            </w:tcBorders>
            <w:shd w:val="clear" w:color="auto" w:fill="F5F5F1"/>
          </w:tcPr>
          <w:p w14:paraId="0C84D652" w14:textId="20161F0E" w:rsidR="002F02C6" w:rsidRPr="00324351" w:rsidRDefault="002F02C6" w:rsidP="003720CA">
            <w:pPr>
              <w:rPr>
                <w:b/>
                <w:bCs/>
                <w:i/>
                <w:iCs/>
              </w:rPr>
            </w:pPr>
            <w:r w:rsidRPr="00324351">
              <w:rPr>
                <w:b/>
                <w:bCs/>
                <w:i/>
                <w:iCs/>
              </w:rPr>
              <w:t>Mobile phone</w:t>
            </w:r>
          </w:p>
        </w:tc>
      </w:tr>
      <w:tr w:rsidR="005C4009" w:rsidRPr="00324351" w14:paraId="589894D5" w14:textId="77777777" w:rsidTr="002F02C6">
        <w:trPr>
          <w:trHeight w:val="297"/>
          <w:tblHeader/>
        </w:trPr>
        <w:tc>
          <w:tcPr>
            <w:tcW w:w="1446" w:type="pct"/>
            <w:tcBorders>
              <w:top w:val="single" w:sz="12" w:space="0" w:color="auto"/>
              <w:left w:val="nil"/>
              <w:bottom w:val="single" w:sz="12" w:space="0" w:color="auto"/>
              <w:right w:val="nil"/>
            </w:tcBorders>
            <w:shd w:val="clear" w:color="auto" w:fill="F5F5F1"/>
          </w:tcPr>
          <w:p w14:paraId="3A5BE1DB" w14:textId="77777777" w:rsidR="005C4009" w:rsidRPr="00324351" w:rsidRDefault="005C4009" w:rsidP="003720CA">
            <w:r w:rsidRPr="00324351">
              <w:t>With disability</w:t>
            </w:r>
          </w:p>
        </w:tc>
        <w:tc>
          <w:tcPr>
            <w:tcW w:w="649" w:type="pct"/>
            <w:tcBorders>
              <w:top w:val="single" w:sz="12" w:space="0" w:color="auto"/>
              <w:left w:val="nil"/>
              <w:bottom w:val="single" w:sz="12" w:space="0" w:color="auto"/>
              <w:right w:val="nil"/>
            </w:tcBorders>
            <w:shd w:val="clear" w:color="auto" w:fill="F5F5F1"/>
          </w:tcPr>
          <w:p w14:paraId="71F46C24" w14:textId="77777777" w:rsidR="005C4009" w:rsidRPr="00324351" w:rsidRDefault="005C4009" w:rsidP="003720CA">
            <w:r w:rsidRPr="00324351">
              <w:t>69,0</w:t>
            </w:r>
          </w:p>
        </w:tc>
        <w:tc>
          <w:tcPr>
            <w:tcW w:w="748" w:type="pct"/>
            <w:tcBorders>
              <w:top w:val="single" w:sz="12" w:space="0" w:color="auto"/>
              <w:left w:val="nil"/>
              <w:bottom w:val="single" w:sz="12" w:space="0" w:color="auto"/>
              <w:right w:val="nil"/>
            </w:tcBorders>
            <w:shd w:val="clear" w:color="auto" w:fill="F5F5F1"/>
          </w:tcPr>
          <w:p w14:paraId="48E59C43" w14:textId="77777777" w:rsidR="005C4009" w:rsidRPr="00324351" w:rsidRDefault="005C4009" w:rsidP="003720CA">
            <w:r w:rsidRPr="00324351">
              <w:t>84,0</w:t>
            </w:r>
          </w:p>
        </w:tc>
        <w:tc>
          <w:tcPr>
            <w:tcW w:w="748" w:type="pct"/>
            <w:tcBorders>
              <w:top w:val="single" w:sz="12" w:space="0" w:color="auto"/>
              <w:left w:val="nil"/>
              <w:bottom w:val="single" w:sz="12" w:space="0" w:color="auto"/>
              <w:right w:val="nil"/>
            </w:tcBorders>
            <w:shd w:val="clear" w:color="auto" w:fill="F5F5F1"/>
          </w:tcPr>
          <w:p w14:paraId="2BA8817F" w14:textId="77777777" w:rsidR="005C4009" w:rsidRPr="00324351" w:rsidRDefault="005C4009" w:rsidP="003720CA">
            <w:r w:rsidRPr="00324351">
              <w:t>94,5</w:t>
            </w:r>
          </w:p>
        </w:tc>
        <w:tc>
          <w:tcPr>
            <w:tcW w:w="765" w:type="pct"/>
            <w:tcBorders>
              <w:top w:val="single" w:sz="12" w:space="0" w:color="auto"/>
              <w:left w:val="nil"/>
              <w:bottom w:val="single" w:sz="12" w:space="0" w:color="auto"/>
              <w:right w:val="nil"/>
            </w:tcBorders>
            <w:shd w:val="clear" w:color="auto" w:fill="F5F5F1"/>
          </w:tcPr>
          <w:p w14:paraId="7A7C9FBA" w14:textId="77777777" w:rsidR="005C4009" w:rsidRPr="00324351" w:rsidRDefault="005C4009" w:rsidP="003720CA">
            <w:r w:rsidRPr="00324351">
              <w:t>97,0</w:t>
            </w:r>
          </w:p>
        </w:tc>
        <w:tc>
          <w:tcPr>
            <w:tcW w:w="643" w:type="pct"/>
            <w:tcBorders>
              <w:top w:val="single" w:sz="12" w:space="0" w:color="auto"/>
              <w:left w:val="nil"/>
              <w:bottom w:val="single" w:sz="12" w:space="0" w:color="auto"/>
              <w:right w:val="nil"/>
            </w:tcBorders>
            <w:shd w:val="clear" w:color="auto" w:fill="F5F5F1"/>
          </w:tcPr>
          <w:p w14:paraId="1A08A46C" w14:textId="77777777" w:rsidR="005C4009" w:rsidRPr="00324351" w:rsidRDefault="005C4009" w:rsidP="003720CA">
            <w:r w:rsidRPr="00324351">
              <w:t>99,0</w:t>
            </w:r>
          </w:p>
        </w:tc>
      </w:tr>
      <w:tr w:rsidR="005C4009" w:rsidRPr="00324351" w14:paraId="115556AA" w14:textId="77777777" w:rsidTr="002F02C6">
        <w:trPr>
          <w:trHeight w:val="297"/>
          <w:tblHeader/>
        </w:trPr>
        <w:tc>
          <w:tcPr>
            <w:tcW w:w="1446" w:type="pct"/>
            <w:tcBorders>
              <w:top w:val="single" w:sz="12" w:space="0" w:color="auto"/>
              <w:left w:val="nil"/>
              <w:bottom w:val="single" w:sz="12" w:space="0" w:color="auto"/>
              <w:right w:val="nil"/>
            </w:tcBorders>
            <w:shd w:val="clear" w:color="auto" w:fill="F5F5F1"/>
          </w:tcPr>
          <w:p w14:paraId="709281CC" w14:textId="77777777" w:rsidR="005C4009" w:rsidRPr="00324351" w:rsidRDefault="005C4009" w:rsidP="003720CA">
            <w:r w:rsidRPr="00324351">
              <w:t>Without disability</w:t>
            </w:r>
          </w:p>
        </w:tc>
        <w:tc>
          <w:tcPr>
            <w:tcW w:w="649" w:type="pct"/>
            <w:tcBorders>
              <w:top w:val="single" w:sz="12" w:space="0" w:color="auto"/>
              <w:left w:val="nil"/>
              <w:bottom w:val="single" w:sz="12" w:space="0" w:color="auto"/>
              <w:right w:val="nil"/>
            </w:tcBorders>
            <w:shd w:val="clear" w:color="auto" w:fill="F5F5F1"/>
          </w:tcPr>
          <w:p w14:paraId="3F8A67D2" w14:textId="77777777" w:rsidR="005C4009" w:rsidRPr="00324351" w:rsidRDefault="005C4009" w:rsidP="003720CA">
            <w:r w:rsidRPr="00324351">
              <w:t>86,7</w:t>
            </w:r>
          </w:p>
        </w:tc>
        <w:tc>
          <w:tcPr>
            <w:tcW w:w="748" w:type="pct"/>
            <w:tcBorders>
              <w:top w:val="single" w:sz="12" w:space="0" w:color="auto"/>
              <w:left w:val="nil"/>
              <w:bottom w:val="single" w:sz="12" w:space="0" w:color="auto"/>
              <w:right w:val="nil"/>
            </w:tcBorders>
            <w:shd w:val="clear" w:color="auto" w:fill="F5F5F1"/>
          </w:tcPr>
          <w:p w14:paraId="3BBDAEBE" w14:textId="77777777" w:rsidR="005C4009" w:rsidRPr="00324351" w:rsidRDefault="005C4009" w:rsidP="003720CA">
            <w:r w:rsidRPr="00324351">
              <w:t>96,0</w:t>
            </w:r>
          </w:p>
        </w:tc>
        <w:tc>
          <w:tcPr>
            <w:tcW w:w="748" w:type="pct"/>
            <w:tcBorders>
              <w:top w:val="single" w:sz="12" w:space="0" w:color="auto"/>
              <w:left w:val="nil"/>
              <w:bottom w:val="single" w:sz="12" w:space="0" w:color="auto"/>
              <w:right w:val="nil"/>
            </w:tcBorders>
            <w:shd w:val="clear" w:color="auto" w:fill="F5F5F1"/>
          </w:tcPr>
          <w:p w14:paraId="76E5857D" w14:textId="77777777" w:rsidR="005C4009" w:rsidRPr="00324351" w:rsidRDefault="005C4009" w:rsidP="003720CA">
            <w:r w:rsidRPr="00324351">
              <w:t>98,2</w:t>
            </w:r>
          </w:p>
        </w:tc>
        <w:tc>
          <w:tcPr>
            <w:tcW w:w="765" w:type="pct"/>
            <w:tcBorders>
              <w:top w:val="single" w:sz="12" w:space="0" w:color="auto"/>
              <w:left w:val="nil"/>
              <w:bottom w:val="single" w:sz="12" w:space="0" w:color="auto"/>
              <w:right w:val="nil"/>
            </w:tcBorders>
            <w:shd w:val="clear" w:color="auto" w:fill="F5F5F1"/>
          </w:tcPr>
          <w:p w14:paraId="5E3EFDC6" w14:textId="77777777" w:rsidR="005C4009" w:rsidRPr="00324351" w:rsidRDefault="005C4009" w:rsidP="003720CA">
            <w:r w:rsidRPr="00324351">
              <w:t>99,3</w:t>
            </w:r>
          </w:p>
        </w:tc>
        <w:tc>
          <w:tcPr>
            <w:tcW w:w="643" w:type="pct"/>
            <w:tcBorders>
              <w:top w:val="single" w:sz="12" w:space="0" w:color="auto"/>
              <w:left w:val="nil"/>
              <w:bottom w:val="single" w:sz="12" w:space="0" w:color="auto"/>
              <w:right w:val="nil"/>
            </w:tcBorders>
            <w:shd w:val="clear" w:color="auto" w:fill="F5F5F1"/>
          </w:tcPr>
          <w:p w14:paraId="319A8E64" w14:textId="77777777" w:rsidR="005C4009" w:rsidRPr="00324351" w:rsidRDefault="005C4009" w:rsidP="003720CA">
            <w:r w:rsidRPr="00324351">
              <w:t>99,7</w:t>
            </w:r>
          </w:p>
        </w:tc>
      </w:tr>
      <w:tr w:rsidR="002F02C6" w:rsidRPr="00324351" w14:paraId="778CC534" w14:textId="77777777" w:rsidTr="002F02C6">
        <w:trPr>
          <w:trHeight w:val="297"/>
          <w:tblHeader/>
        </w:trPr>
        <w:tc>
          <w:tcPr>
            <w:tcW w:w="5000" w:type="pct"/>
            <w:gridSpan w:val="6"/>
            <w:tcBorders>
              <w:top w:val="single" w:sz="12" w:space="0" w:color="auto"/>
              <w:left w:val="nil"/>
              <w:bottom w:val="single" w:sz="12" w:space="0" w:color="auto"/>
              <w:right w:val="nil"/>
            </w:tcBorders>
            <w:shd w:val="clear" w:color="auto" w:fill="F5F5F1"/>
          </w:tcPr>
          <w:p w14:paraId="2D678602" w14:textId="06184981" w:rsidR="002F02C6" w:rsidRPr="00324351" w:rsidRDefault="002F02C6" w:rsidP="003720CA">
            <w:pPr>
              <w:rPr>
                <w:b/>
                <w:bCs/>
                <w:i/>
                <w:iCs/>
              </w:rPr>
            </w:pPr>
            <w:r w:rsidRPr="00324351">
              <w:rPr>
                <w:b/>
                <w:bCs/>
                <w:i/>
                <w:iCs/>
              </w:rPr>
              <w:t>Television</w:t>
            </w:r>
          </w:p>
        </w:tc>
      </w:tr>
      <w:tr w:rsidR="005C4009" w:rsidRPr="00324351" w14:paraId="5312DD36" w14:textId="77777777" w:rsidTr="002F02C6">
        <w:trPr>
          <w:trHeight w:val="297"/>
          <w:tblHeader/>
        </w:trPr>
        <w:tc>
          <w:tcPr>
            <w:tcW w:w="1446" w:type="pct"/>
            <w:tcBorders>
              <w:top w:val="single" w:sz="12" w:space="0" w:color="auto"/>
              <w:left w:val="nil"/>
              <w:bottom w:val="nil"/>
              <w:right w:val="nil"/>
            </w:tcBorders>
            <w:shd w:val="clear" w:color="auto" w:fill="F5F5F1"/>
          </w:tcPr>
          <w:p w14:paraId="6E764ADB" w14:textId="77777777" w:rsidR="005C4009" w:rsidRPr="00324351" w:rsidRDefault="005C4009" w:rsidP="003720CA">
            <w:r w:rsidRPr="00324351">
              <w:t>With disability</w:t>
            </w:r>
          </w:p>
        </w:tc>
        <w:tc>
          <w:tcPr>
            <w:tcW w:w="649" w:type="pct"/>
            <w:tcBorders>
              <w:top w:val="single" w:sz="12" w:space="0" w:color="auto"/>
              <w:left w:val="nil"/>
              <w:bottom w:val="nil"/>
              <w:right w:val="nil"/>
            </w:tcBorders>
            <w:shd w:val="clear" w:color="auto" w:fill="F5F5F1"/>
          </w:tcPr>
          <w:p w14:paraId="4B22B436" w14:textId="77777777" w:rsidR="005C4009" w:rsidRPr="00324351" w:rsidRDefault="005C4009" w:rsidP="003720CA">
            <w:r w:rsidRPr="00324351">
              <w:t>67,6</w:t>
            </w:r>
          </w:p>
        </w:tc>
        <w:tc>
          <w:tcPr>
            <w:tcW w:w="748" w:type="pct"/>
            <w:tcBorders>
              <w:top w:val="single" w:sz="12" w:space="0" w:color="auto"/>
              <w:left w:val="nil"/>
              <w:bottom w:val="nil"/>
              <w:right w:val="nil"/>
            </w:tcBorders>
            <w:shd w:val="clear" w:color="auto" w:fill="F5F5F1"/>
          </w:tcPr>
          <w:p w14:paraId="0D6850D0" w14:textId="77777777" w:rsidR="005C4009" w:rsidRPr="00324351" w:rsidRDefault="005C4009" w:rsidP="003720CA">
            <w:r w:rsidRPr="00324351">
              <w:t>92,1</w:t>
            </w:r>
          </w:p>
        </w:tc>
        <w:tc>
          <w:tcPr>
            <w:tcW w:w="748" w:type="pct"/>
            <w:tcBorders>
              <w:top w:val="single" w:sz="12" w:space="0" w:color="auto"/>
              <w:left w:val="nil"/>
              <w:bottom w:val="nil"/>
              <w:right w:val="nil"/>
            </w:tcBorders>
            <w:shd w:val="clear" w:color="auto" w:fill="F5F5F1"/>
          </w:tcPr>
          <w:p w14:paraId="75F10331" w14:textId="77777777" w:rsidR="005C4009" w:rsidRPr="00324351" w:rsidRDefault="005C4009" w:rsidP="003720CA">
            <w:r w:rsidRPr="00324351">
              <w:t>97,5</w:t>
            </w:r>
          </w:p>
        </w:tc>
        <w:tc>
          <w:tcPr>
            <w:tcW w:w="765" w:type="pct"/>
            <w:tcBorders>
              <w:top w:val="single" w:sz="12" w:space="0" w:color="auto"/>
              <w:left w:val="nil"/>
              <w:bottom w:val="nil"/>
              <w:right w:val="nil"/>
            </w:tcBorders>
            <w:shd w:val="clear" w:color="auto" w:fill="F5F5F1"/>
          </w:tcPr>
          <w:p w14:paraId="3A146184" w14:textId="77777777" w:rsidR="005C4009" w:rsidRPr="00324351" w:rsidRDefault="005C4009" w:rsidP="003720CA">
            <w:r w:rsidRPr="00324351">
              <w:t>98,9</w:t>
            </w:r>
          </w:p>
        </w:tc>
        <w:tc>
          <w:tcPr>
            <w:tcW w:w="643" w:type="pct"/>
            <w:tcBorders>
              <w:top w:val="single" w:sz="12" w:space="0" w:color="auto"/>
              <w:left w:val="nil"/>
              <w:bottom w:val="nil"/>
              <w:right w:val="nil"/>
            </w:tcBorders>
            <w:shd w:val="clear" w:color="auto" w:fill="F5F5F1"/>
          </w:tcPr>
          <w:p w14:paraId="3AEDE264" w14:textId="77777777" w:rsidR="005C4009" w:rsidRPr="00324351" w:rsidRDefault="005C4009" w:rsidP="003720CA">
            <w:r w:rsidRPr="00324351">
              <w:t>98,9</w:t>
            </w:r>
          </w:p>
        </w:tc>
      </w:tr>
      <w:tr w:rsidR="005C4009" w:rsidRPr="00324351" w14:paraId="4C9D4063" w14:textId="77777777" w:rsidTr="002F02C6">
        <w:trPr>
          <w:trHeight w:val="297"/>
          <w:tblHeader/>
        </w:trPr>
        <w:tc>
          <w:tcPr>
            <w:tcW w:w="1446" w:type="pct"/>
            <w:tcBorders>
              <w:top w:val="nil"/>
              <w:left w:val="nil"/>
              <w:bottom w:val="single" w:sz="12" w:space="0" w:color="auto"/>
              <w:right w:val="nil"/>
            </w:tcBorders>
            <w:shd w:val="clear" w:color="auto" w:fill="F5F5F1"/>
          </w:tcPr>
          <w:p w14:paraId="15BD3404" w14:textId="77777777" w:rsidR="005C4009" w:rsidRPr="00324351" w:rsidRDefault="005C4009" w:rsidP="003720CA">
            <w:r w:rsidRPr="00324351">
              <w:t>Without disability</w:t>
            </w:r>
          </w:p>
        </w:tc>
        <w:tc>
          <w:tcPr>
            <w:tcW w:w="649" w:type="pct"/>
            <w:tcBorders>
              <w:top w:val="nil"/>
              <w:left w:val="nil"/>
              <w:bottom w:val="single" w:sz="12" w:space="0" w:color="auto"/>
              <w:right w:val="nil"/>
            </w:tcBorders>
            <w:shd w:val="clear" w:color="auto" w:fill="F5F5F1"/>
          </w:tcPr>
          <w:p w14:paraId="1681374D" w14:textId="77777777" w:rsidR="005C4009" w:rsidRPr="00324351" w:rsidRDefault="005C4009" w:rsidP="003720CA">
            <w:r w:rsidRPr="00324351">
              <w:t>79,3</w:t>
            </w:r>
          </w:p>
        </w:tc>
        <w:tc>
          <w:tcPr>
            <w:tcW w:w="748" w:type="pct"/>
            <w:tcBorders>
              <w:top w:val="nil"/>
              <w:left w:val="nil"/>
              <w:bottom w:val="single" w:sz="12" w:space="0" w:color="auto"/>
              <w:right w:val="nil"/>
            </w:tcBorders>
            <w:shd w:val="clear" w:color="auto" w:fill="F5F5F1"/>
          </w:tcPr>
          <w:p w14:paraId="76334123" w14:textId="77777777" w:rsidR="005C4009" w:rsidRPr="00324351" w:rsidRDefault="005C4009" w:rsidP="003720CA">
            <w:r w:rsidRPr="00324351">
              <w:t>94,8</w:t>
            </w:r>
          </w:p>
        </w:tc>
        <w:tc>
          <w:tcPr>
            <w:tcW w:w="748" w:type="pct"/>
            <w:tcBorders>
              <w:top w:val="nil"/>
              <w:left w:val="nil"/>
              <w:bottom w:val="single" w:sz="12" w:space="0" w:color="auto"/>
              <w:right w:val="nil"/>
            </w:tcBorders>
            <w:shd w:val="clear" w:color="auto" w:fill="F5F5F1"/>
          </w:tcPr>
          <w:p w14:paraId="2756D673" w14:textId="77777777" w:rsidR="005C4009" w:rsidRPr="00324351" w:rsidRDefault="005C4009" w:rsidP="003720CA">
            <w:r w:rsidRPr="00324351">
              <w:t>97,2</w:t>
            </w:r>
          </w:p>
        </w:tc>
        <w:tc>
          <w:tcPr>
            <w:tcW w:w="765" w:type="pct"/>
            <w:tcBorders>
              <w:top w:val="nil"/>
              <w:left w:val="nil"/>
              <w:bottom w:val="single" w:sz="12" w:space="0" w:color="auto"/>
              <w:right w:val="nil"/>
            </w:tcBorders>
            <w:shd w:val="clear" w:color="auto" w:fill="F5F5F1"/>
          </w:tcPr>
          <w:p w14:paraId="496DC17C" w14:textId="77777777" w:rsidR="005C4009" w:rsidRPr="00324351" w:rsidRDefault="005C4009" w:rsidP="003720CA">
            <w:r w:rsidRPr="00324351">
              <w:t>98,7</w:t>
            </w:r>
          </w:p>
        </w:tc>
        <w:tc>
          <w:tcPr>
            <w:tcW w:w="643" w:type="pct"/>
            <w:tcBorders>
              <w:top w:val="nil"/>
              <w:left w:val="nil"/>
              <w:bottom w:val="single" w:sz="12" w:space="0" w:color="auto"/>
              <w:right w:val="nil"/>
            </w:tcBorders>
            <w:shd w:val="clear" w:color="auto" w:fill="F5F5F1"/>
          </w:tcPr>
          <w:p w14:paraId="12A4855F" w14:textId="77777777" w:rsidR="005C4009" w:rsidRPr="00324351" w:rsidRDefault="005C4009" w:rsidP="003720CA">
            <w:r w:rsidRPr="00324351">
              <w:t>99,6</w:t>
            </w:r>
          </w:p>
        </w:tc>
      </w:tr>
      <w:tr w:rsidR="005C4009" w:rsidRPr="00324351" w14:paraId="0229A6EC" w14:textId="77777777" w:rsidTr="003720CA">
        <w:trPr>
          <w:trHeight w:val="297"/>
          <w:tblHeader/>
        </w:trPr>
        <w:tc>
          <w:tcPr>
            <w:tcW w:w="5000" w:type="pct"/>
            <w:gridSpan w:val="6"/>
            <w:tcBorders>
              <w:top w:val="single" w:sz="12" w:space="0" w:color="auto"/>
              <w:left w:val="nil"/>
              <w:bottom w:val="nil"/>
              <w:right w:val="nil"/>
            </w:tcBorders>
          </w:tcPr>
          <w:p w14:paraId="47BBFC9E" w14:textId="00206DBA" w:rsidR="005C4009" w:rsidRPr="00324351" w:rsidRDefault="005C4009" w:rsidP="003720CA">
            <w:pPr>
              <w:rPr>
                <w:sz w:val="18"/>
                <w:szCs w:val="18"/>
              </w:rPr>
            </w:pPr>
            <w:r w:rsidRPr="00324351">
              <w:rPr>
                <w:i/>
                <w:iCs/>
                <w:sz w:val="18"/>
                <w:szCs w:val="18"/>
              </w:rPr>
              <w:t>Source</w:t>
            </w:r>
            <w:r w:rsidR="00543A4A" w:rsidRPr="00324351">
              <w:rPr>
                <w:sz w:val="18"/>
                <w:szCs w:val="18"/>
              </w:rPr>
              <w:t xml:space="preserve">: </w:t>
            </w:r>
            <w:r w:rsidRPr="00324351">
              <w:rPr>
                <w:sz w:val="18"/>
                <w:szCs w:val="18"/>
              </w:rPr>
              <w:t>Viet Nam General Statistics Office, The National Survey on People with Disabilities 2016 (VDS2016), Final Report.</w:t>
            </w:r>
          </w:p>
          <w:p w14:paraId="11D70D65" w14:textId="77777777" w:rsidR="005C4009" w:rsidRPr="00324351" w:rsidRDefault="005C4009" w:rsidP="00CE2671"/>
        </w:tc>
      </w:tr>
    </w:tbl>
    <w:p w14:paraId="12F56D4D" w14:textId="77777777" w:rsidR="005C4009" w:rsidRPr="00324351" w:rsidRDefault="005C4009" w:rsidP="00103288">
      <w:pPr>
        <w:pStyle w:val="Heading2"/>
        <w:rPr>
          <w:rFonts w:eastAsiaTheme="majorEastAsia"/>
        </w:rPr>
      </w:pPr>
      <w:r w:rsidRPr="00324351">
        <w:rPr>
          <w:rFonts w:eastAsiaTheme="majorEastAsia"/>
        </w:rPr>
        <w:lastRenderedPageBreak/>
        <w:t>21.25 Proportion of individuals using the Internet (SDG indicator 17.8.1) disaggregated by sex, age and disability.</w:t>
      </w:r>
    </w:p>
    <w:p w14:paraId="72C706B8" w14:textId="4E4C23D5" w:rsidR="005C4009" w:rsidRPr="00324351" w:rsidRDefault="005C4009" w:rsidP="00103288">
      <w:pPr>
        <w:pStyle w:val="Heading4"/>
        <w:rPr>
          <w:rFonts w:eastAsiaTheme="majorEastAsia"/>
        </w:rPr>
      </w:pPr>
      <w:r w:rsidRPr="00324351">
        <w:rPr>
          <w:rFonts w:eastAsiaTheme="majorEastAsia"/>
        </w:rPr>
        <w:t>Level 1: Indicator for which data are already being produced and reported on in at least some countries</w:t>
      </w:r>
    </w:p>
    <w:p w14:paraId="0244E9AB" w14:textId="0722A152" w:rsidR="005C4009" w:rsidRPr="00324351" w:rsidRDefault="00774201" w:rsidP="003720CA">
      <w:pPr>
        <w:rPr>
          <w:lang w:eastAsia="en-GB"/>
        </w:rPr>
      </w:pPr>
      <w:hyperlink r:id="rId26" w:history="1">
        <w:r w:rsidR="005C4009" w:rsidRPr="00324351">
          <w:rPr>
            <w:rStyle w:val="Hyperlink"/>
            <w:lang w:eastAsia="en-GB"/>
          </w:rPr>
          <w:t>Link to the metadata related to this SDG indicator</w:t>
        </w:r>
      </w:hyperlink>
    </w:p>
    <w:p w14:paraId="75E755B6" w14:textId="0588607A" w:rsidR="009761E3" w:rsidRPr="00324351" w:rsidRDefault="009761E3" w:rsidP="009761E3">
      <w:pPr>
        <w:rPr>
          <w:lang w:eastAsia="en-GB"/>
        </w:rPr>
      </w:pPr>
      <w:r w:rsidRPr="00324351">
        <w:rPr>
          <w:lang w:eastAsia="en-GB"/>
        </w:rPr>
        <w:t>According to the metadata:</w:t>
      </w:r>
    </w:p>
    <w:p w14:paraId="269901BC" w14:textId="3F6C9DD4" w:rsidR="005C4009" w:rsidRPr="00324351" w:rsidRDefault="009761E3" w:rsidP="002F02C6">
      <w:pPr>
        <w:ind w:left="360"/>
        <w:rPr>
          <w:i/>
          <w:lang w:eastAsia="en-GB"/>
        </w:rPr>
      </w:pPr>
      <w:r w:rsidRPr="00324351">
        <w:rPr>
          <w:lang w:eastAsia="en-GB"/>
        </w:rPr>
        <w:t>“</w:t>
      </w:r>
      <w:r w:rsidR="005C4009" w:rsidRPr="00324351">
        <w:rPr>
          <w:i/>
          <w:lang w:eastAsia="en-GB"/>
        </w:rPr>
        <w:t>The indicator proportion of individuals using the Internet is based on an internationally agreed definition and methodology, which have been developed under the coordination of ITU, through its Expert Groups and following an extensive consultation process with countries. It is also a core indicator of the Partnership on Measuring ICT for Development's Core List of Indicators, which has been endorsed by the UN Statistical Commission (last time in 2014). Data on individuals using the Internet are collected through an annual questionnaire that ITU sends to national statistical offices (NSO). In this questionnaire ITU collects absolute values. The percentages are calculated a-posteriori. The survey methodology is verified to ensure that it meets adequate statistical standards. The data are verified to ensure consistency with previous years’ data and situation of the country for other related indicators (ICT and economic).</w:t>
      </w:r>
    </w:p>
    <w:p w14:paraId="56E447DC" w14:textId="77777777" w:rsidR="005C4009" w:rsidRPr="00324351" w:rsidRDefault="005C4009" w:rsidP="002F02C6">
      <w:pPr>
        <w:ind w:left="360"/>
        <w:rPr>
          <w:i/>
          <w:lang w:eastAsia="en-GB"/>
        </w:rPr>
      </w:pPr>
      <w:r w:rsidRPr="00324351">
        <w:rPr>
          <w:i/>
          <w:lang w:eastAsia="en-GB"/>
        </w:rPr>
        <w:t>For most developed and an increasing number of developing countries, percentage of individuals using the Internet data are based on methodologically sound household surveys conducted by national statistical agencies. If the NSO has not collected Internet user statistics, then ITU estimates the percentage of individuals using the Internet.</w:t>
      </w:r>
    </w:p>
    <w:p w14:paraId="0EA5B677" w14:textId="77777777" w:rsidR="005C4009" w:rsidRPr="00324351" w:rsidRDefault="005C4009" w:rsidP="002F02C6">
      <w:pPr>
        <w:ind w:left="360"/>
        <w:rPr>
          <w:i/>
          <w:lang w:eastAsia="en-GB"/>
        </w:rPr>
      </w:pPr>
      <w:r w:rsidRPr="00324351">
        <w:rPr>
          <w:i/>
          <w:lang w:eastAsia="en-GB"/>
        </w:rPr>
        <w:t>Data are usually not adjusted, but discrepancies in the definition, age scope of individuals, reference period or the break in comparability between years are noted in a data note. For this reason, data are not always strictly comparable.</w:t>
      </w:r>
    </w:p>
    <w:p w14:paraId="0655AA28" w14:textId="77777777" w:rsidR="005C4009" w:rsidRPr="00324351" w:rsidRDefault="005C4009" w:rsidP="002F02C6">
      <w:pPr>
        <w:ind w:left="360"/>
        <w:rPr>
          <w:i/>
          <w:lang w:eastAsia="en-GB"/>
        </w:rPr>
      </w:pPr>
      <w:r w:rsidRPr="00324351">
        <w:rPr>
          <w:i/>
          <w:lang w:eastAsia="en-GB"/>
        </w:rPr>
        <w:t>Some countries conduct a household survey where the question on Internet use is included every year. For others, the frequency is every two or three years. Overall, the indicator is available for 100 countries at least from one survey in the years 2011-2014.</w:t>
      </w:r>
    </w:p>
    <w:p w14:paraId="1F6D797B" w14:textId="77777777" w:rsidR="005C4009" w:rsidRPr="00324351" w:rsidRDefault="005C4009" w:rsidP="002F02C6">
      <w:pPr>
        <w:ind w:left="360"/>
        <w:rPr>
          <w:i/>
          <w:lang w:eastAsia="en-GB"/>
        </w:rPr>
      </w:pPr>
      <w:r w:rsidRPr="00324351">
        <w:rPr>
          <w:i/>
          <w:lang w:eastAsia="en-GB"/>
        </w:rPr>
        <w:t>ITU makes the indicator available for each year for 200 economies by using survey data and estimates for almost all countries of the world.</w:t>
      </w:r>
    </w:p>
    <w:p w14:paraId="45DA18F5" w14:textId="2BE943DD" w:rsidR="005C4009" w:rsidRPr="00324351" w:rsidRDefault="005C4009" w:rsidP="002F02C6">
      <w:pPr>
        <w:ind w:left="360"/>
        <w:rPr>
          <w:lang w:eastAsia="en-GB"/>
        </w:rPr>
      </w:pPr>
      <w:r w:rsidRPr="00324351">
        <w:rPr>
          <w:i/>
          <w:lang w:eastAsia="en-GB"/>
        </w:rPr>
        <w:t>Data on individuals using the Internet are collected through an annual questionnaire that ITU sends to national statistical offices (NSO). In this questionnaire ITU collects absolute values. The percentages are calculated a-posteriori. The survey methodology is verified to ensure that it meets adequate statistical standards. The data are verified to ensure consistency with previous years’ data and situation of the country for other related indicators (ICT and economic).</w:t>
      </w:r>
      <w:r w:rsidR="009761E3" w:rsidRPr="00324351">
        <w:rPr>
          <w:lang w:eastAsia="en-GB"/>
        </w:rPr>
        <w:t>”</w:t>
      </w:r>
    </w:p>
    <w:p w14:paraId="1C5AEE72" w14:textId="77777777" w:rsidR="005C4009" w:rsidRPr="00324351" w:rsidRDefault="005C4009" w:rsidP="003720CA">
      <w:pPr>
        <w:rPr>
          <w:lang w:eastAsia="en-GB"/>
        </w:rPr>
      </w:pPr>
      <w:r w:rsidRPr="00324351">
        <w:rPr>
          <w:lang w:eastAsia="en-GB"/>
        </w:rPr>
        <w:t>Overall, the indicator is available for at least 100 countries (based on one survey in the years 2011-2014). ITU makes the indicator available, each year, for 200 economies by using survey data and estimates for almost all countries of the world.</w:t>
      </w:r>
    </w:p>
    <w:p w14:paraId="5766E706" w14:textId="77777777" w:rsidR="005C4009" w:rsidRPr="00324351" w:rsidRDefault="005C4009" w:rsidP="003720CA">
      <w:r w:rsidRPr="00324351">
        <w:t xml:space="preserve">As with indicator 21.25, the </w:t>
      </w:r>
      <w:hyperlink r:id="rId27" w:history="1">
        <w:r w:rsidRPr="00324351">
          <w:rPr>
            <w:rStyle w:val="Hyperlink"/>
          </w:rPr>
          <w:t>Viet Nam National Disability Survey</w:t>
        </w:r>
      </w:hyperlink>
      <w:r w:rsidRPr="00324351">
        <w:rPr>
          <w:rFonts w:cstheme="minorHAnsi"/>
        </w:rPr>
        <w:t>,</w:t>
      </w:r>
      <w:r w:rsidRPr="00324351">
        <w:t xml:space="preserve"> has information on this indicator, exemplified in table 2.</w:t>
      </w:r>
    </w:p>
    <w:p w14:paraId="2CB4785C" w14:textId="7513C761" w:rsidR="005C4009" w:rsidRPr="00324351" w:rsidRDefault="005C4009" w:rsidP="002F02C6">
      <w:pPr>
        <w:rPr>
          <w:rFonts w:asciiTheme="minorHAnsi" w:hAnsiTheme="minorHAnsi"/>
        </w:rPr>
      </w:pPr>
      <w:r w:rsidRPr="00324351">
        <w:rPr>
          <w:rFonts w:asciiTheme="minorHAnsi" w:hAnsiTheme="minorHAnsi"/>
        </w:rPr>
        <w:br w:type="page"/>
      </w:r>
      <w:r w:rsidRPr="00324351">
        <w:rPr>
          <w:b/>
          <w:bCs/>
        </w:rPr>
        <w:lastRenderedPageBreak/>
        <w:t>Table 2:</w:t>
      </w:r>
      <w:r w:rsidRPr="00324351">
        <w:t xml:space="preserve"> Percentage of population aged 6 years old and over accessing the internet or having mobile phone, by disability status, sex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Percentage of population aged 6 years old and over accessing the internet or having mobile phone, by disability status, sex"/>
      </w:tblPr>
      <w:tblGrid>
        <w:gridCol w:w="4222"/>
        <w:gridCol w:w="1744"/>
        <w:gridCol w:w="1517"/>
        <w:gridCol w:w="1517"/>
      </w:tblGrid>
      <w:tr w:rsidR="005C4009" w:rsidRPr="00324351" w14:paraId="05E5755E" w14:textId="77777777" w:rsidTr="002F02C6">
        <w:trPr>
          <w:trHeight w:val="20"/>
          <w:tblHeader/>
        </w:trPr>
        <w:tc>
          <w:tcPr>
            <w:tcW w:w="2345" w:type="pct"/>
            <w:vMerge w:val="restart"/>
            <w:tcBorders>
              <w:top w:val="single" w:sz="12" w:space="0" w:color="auto"/>
              <w:bottom w:val="single" w:sz="12" w:space="0" w:color="auto"/>
            </w:tcBorders>
            <w:shd w:val="clear" w:color="auto" w:fill="F5F5F1"/>
          </w:tcPr>
          <w:p w14:paraId="227A271B" w14:textId="77777777" w:rsidR="005C4009" w:rsidRPr="00324351" w:rsidRDefault="005C4009" w:rsidP="003720CA">
            <w:pPr>
              <w:rPr>
                <w:rFonts w:asciiTheme="minorHAnsi" w:hAnsiTheme="minorHAnsi"/>
                <w:b/>
              </w:rPr>
            </w:pPr>
          </w:p>
        </w:tc>
        <w:tc>
          <w:tcPr>
            <w:tcW w:w="969" w:type="pct"/>
            <w:vMerge w:val="restart"/>
            <w:tcBorders>
              <w:top w:val="single" w:sz="12" w:space="0" w:color="auto"/>
              <w:bottom w:val="single" w:sz="12" w:space="0" w:color="auto"/>
            </w:tcBorders>
            <w:shd w:val="clear" w:color="auto" w:fill="F5F5F1"/>
            <w:vAlign w:val="center"/>
          </w:tcPr>
          <w:p w14:paraId="433B0DCD" w14:textId="77777777" w:rsidR="005C4009" w:rsidRPr="00324351" w:rsidRDefault="005C4009" w:rsidP="00D94B5D">
            <w:pPr>
              <w:pStyle w:val="TableHeaderRow"/>
              <w:spacing w:before="680"/>
            </w:pPr>
            <w:r w:rsidRPr="00324351">
              <w:t>Total</w:t>
            </w:r>
          </w:p>
        </w:tc>
        <w:tc>
          <w:tcPr>
            <w:tcW w:w="1686" w:type="pct"/>
            <w:gridSpan w:val="2"/>
            <w:tcBorders>
              <w:top w:val="single" w:sz="12" w:space="0" w:color="auto"/>
              <w:bottom w:val="single" w:sz="12" w:space="0" w:color="auto"/>
            </w:tcBorders>
            <w:shd w:val="clear" w:color="auto" w:fill="F5F5F1"/>
            <w:vAlign w:val="center"/>
          </w:tcPr>
          <w:p w14:paraId="4B8D46E4" w14:textId="77777777" w:rsidR="005C4009" w:rsidRPr="00324351" w:rsidRDefault="005C4009" w:rsidP="00D94B5D">
            <w:pPr>
              <w:pStyle w:val="TableHeaderRow"/>
              <w:rPr>
                <w:i/>
                <w:iCs/>
              </w:rPr>
            </w:pPr>
            <w:r w:rsidRPr="00324351">
              <w:rPr>
                <w:i/>
                <w:iCs/>
              </w:rPr>
              <w:t>Sex</w:t>
            </w:r>
          </w:p>
        </w:tc>
      </w:tr>
      <w:tr w:rsidR="005C4009" w:rsidRPr="00324351" w14:paraId="5C9819F2" w14:textId="77777777" w:rsidTr="002F02C6">
        <w:trPr>
          <w:trHeight w:val="20"/>
          <w:tblHeader/>
        </w:trPr>
        <w:tc>
          <w:tcPr>
            <w:tcW w:w="2345" w:type="pct"/>
            <w:vMerge/>
            <w:tcBorders>
              <w:top w:val="single" w:sz="12" w:space="0" w:color="auto"/>
              <w:bottom w:val="single" w:sz="12" w:space="0" w:color="auto"/>
            </w:tcBorders>
            <w:shd w:val="clear" w:color="auto" w:fill="F5F5F1"/>
          </w:tcPr>
          <w:p w14:paraId="4ED45723" w14:textId="77777777" w:rsidR="005C4009" w:rsidRPr="00324351" w:rsidRDefault="005C4009" w:rsidP="003720CA">
            <w:pPr>
              <w:rPr>
                <w:rFonts w:asciiTheme="minorHAnsi" w:hAnsiTheme="minorHAnsi"/>
                <w:b/>
              </w:rPr>
            </w:pPr>
          </w:p>
        </w:tc>
        <w:tc>
          <w:tcPr>
            <w:tcW w:w="969" w:type="pct"/>
            <w:vMerge/>
            <w:tcBorders>
              <w:top w:val="single" w:sz="12" w:space="0" w:color="auto"/>
              <w:bottom w:val="single" w:sz="12" w:space="0" w:color="auto"/>
            </w:tcBorders>
            <w:shd w:val="clear" w:color="auto" w:fill="F5F5F1"/>
          </w:tcPr>
          <w:p w14:paraId="431FB833" w14:textId="77777777" w:rsidR="005C4009" w:rsidRPr="00324351" w:rsidRDefault="005C4009" w:rsidP="00103288">
            <w:pPr>
              <w:pStyle w:val="TableHeaderRow"/>
              <w:rPr>
                <w:rFonts w:asciiTheme="minorHAnsi" w:hAnsiTheme="minorHAnsi"/>
              </w:rPr>
            </w:pPr>
          </w:p>
        </w:tc>
        <w:tc>
          <w:tcPr>
            <w:tcW w:w="843" w:type="pct"/>
            <w:tcBorders>
              <w:top w:val="single" w:sz="12" w:space="0" w:color="auto"/>
              <w:bottom w:val="single" w:sz="12" w:space="0" w:color="auto"/>
            </w:tcBorders>
            <w:shd w:val="clear" w:color="auto" w:fill="F5F5F1"/>
            <w:vAlign w:val="center"/>
          </w:tcPr>
          <w:p w14:paraId="32EA583E" w14:textId="77777777" w:rsidR="005C4009" w:rsidRPr="00324351" w:rsidRDefault="005C4009" w:rsidP="00D94B5D">
            <w:pPr>
              <w:pStyle w:val="TableHeaderRow"/>
            </w:pPr>
            <w:r w:rsidRPr="00324351">
              <w:t>Male</w:t>
            </w:r>
          </w:p>
        </w:tc>
        <w:tc>
          <w:tcPr>
            <w:tcW w:w="843" w:type="pct"/>
            <w:tcBorders>
              <w:top w:val="single" w:sz="12" w:space="0" w:color="auto"/>
              <w:bottom w:val="single" w:sz="12" w:space="0" w:color="auto"/>
            </w:tcBorders>
            <w:shd w:val="clear" w:color="auto" w:fill="F5F5F1"/>
            <w:vAlign w:val="center"/>
          </w:tcPr>
          <w:p w14:paraId="63480296" w14:textId="77777777" w:rsidR="005C4009" w:rsidRPr="00324351" w:rsidRDefault="005C4009" w:rsidP="00D94B5D">
            <w:pPr>
              <w:pStyle w:val="TableHeaderRow"/>
            </w:pPr>
            <w:r w:rsidRPr="00324351">
              <w:t>Female</w:t>
            </w:r>
          </w:p>
        </w:tc>
      </w:tr>
      <w:tr w:rsidR="005C4009" w:rsidRPr="00324351" w14:paraId="695B0810" w14:textId="77777777" w:rsidTr="002F02C6">
        <w:trPr>
          <w:trHeight w:val="20"/>
          <w:tblHeader/>
        </w:trPr>
        <w:tc>
          <w:tcPr>
            <w:tcW w:w="2345" w:type="pct"/>
            <w:tcBorders>
              <w:top w:val="single" w:sz="12" w:space="0" w:color="auto"/>
              <w:bottom w:val="single" w:sz="12" w:space="0" w:color="auto"/>
            </w:tcBorders>
            <w:shd w:val="clear" w:color="auto" w:fill="F5F5F1"/>
          </w:tcPr>
          <w:p w14:paraId="52283081" w14:textId="77777777" w:rsidR="005C4009" w:rsidRPr="00324351" w:rsidRDefault="005C4009" w:rsidP="003720CA">
            <w:pPr>
              <w:rPr>
                <w:b/>
                <w:bCs/>
                <w:i/>
                <w:iCs/>
              </w:rPr>
            </w:pPr>
            <w:r w:rsidRPr="00324351">
              <w:rPr>
                <w:b/>
                <w:bCs/>
                <w:i/>
                <w:iCs/>
              </w:rPr>
              <w:t>Accessing the internet or having mobile phone</w:t>
            </w:r>
          </w:p>
        </w:tc>
        <w:tc>
          <w:tcPr>
            <w:tcW w:w="969" w:type="pct"/>
            <w:tcBorders>
              <w:top w:val="single" w:sz="12" w:space="0" w:color="auto"/>
              <w:bottom w:val="single" w:sz="12" w:space="0" w:color="auto"/>
            </w:tcBorders>
            <w:shd w:val="clear" w:color="auto" w:fill="F5F5F1"/>
          </w:tcPr>
          <w:p w14:paraId="6AD9ABAA" w14:textId="77777777" w:rsidR="005C4009" w:rsidRPr="00324351" w:rsidRDefault="005C4009" w:rsidP="003720CA"/>
        </w:tc>
        <w:tc>
          <w:tcPr>
            <w:tcW w:w="843" w:type="pct"/>
            <w:tcBorders>
              <w:top w:val="single" w:sz="12" w:space="0" w:color="auto"/>
              <w:bottom w:val="single" w:sz="12" w:space="0" w:color="auto"/>
            </w:tcBorders>
            <w:shd w:val="clear" w:color="auto" w:fill="F5F5F1"/>
            <w:noWrap/>
          </w:tcPr>
          <w:p w14:paraId="3B9B7AB1" w14:textId="77777777" w:rsidR="005C4009" w:rsidRPr="00324351" w:rsidRDefault="005C4009" w:rsidP="003720CA"/>
        </w:tc>
        <w:tc>
          <w:tcPr>
            <w:tcW w:w="843" w:type="pct"/>
            <w:tcBorders>
              <w:top w:val="single" w:sz="12" w:space="0" w:color="auto"/>
              <w:bottom w:val="single" w:sz="12" w:space="0" w:color="auto"/>
            </w:tcBorders>
            <w:shd w:val="clear" w:color="auto" w:fill="F5F5F1"/>
          </w:tcPr>
          <w:p w14:paraId="56BE9B5C" w14:textId="77777777" w:rsidR="005C4009" w:rsidRPr="00324351" w:rsidRDefault="005C4009" w:rsidP="003720CA"/>
        </w:tc>
      </w:tr>
      <w:tr w:rsidR="005C4009" w:rsidRPr="00324351" w14:paraId="293F7ECF" w14:textId="77777777" w:rsidTr="002F02C6">
        <w:trPr>
          <w:trHeight w:val="20"/>
          <w:tblHeader/>
        </w:trPr>
        <w:tc>
          <w:tcPr>
            <w:tcW w:w="2345" w:type="pct"/>
            <w:tcBorders>
              <w:top w:val="single" w:sz="12" w:space="0" w:color="auto"/>
            </w:tcBorders>
            <w:shd w:val="clear" w:color="auto" w:fill="F5F5F1"/>
          </w:tcPr>
          <w:p w14:paraId="64514060" w14:textId="77777777" w:rsidR="005C4009" w:rsidRPr="00324351" w:rsidRDefault="005C4009" w:rsidP="003720CA">
            <w:r w:rsidRPr="00324351">
              <w:t>With disability</w:t>
            </w:r>
          </w:p>
        </w:tc>
        <w:tc>
          <w:tcPr>
            <w:tcW w:w="969" w:type="pct"/>
            <w:tcBorders>
              <w:top w:val="single" w:sz="12" w:space="0" w:color="auto"/>
            </w:tcBorders>
            <w:shd w:val="clear" w:color="auto" w:fill="F5F5F1"/>
            <w:noWrap/>
          </w:tcPr>
          <w:p w14:paraId="1C1F98AA" w14:textId="77777777" w:rsidR="005C4009" w:rsidRPr="00324351" w:rsidRDefault="005C4009" w:rsidP="003720CA">
            <w:r w:rsidRPr="00324351">
              <w:t>39,9</w:t>
            </w:r>
          </w:p>
        </w:tc>
        <w:tc>
          <w:tcPr>
            <w:tcW w:w="843" w:type="pct"/>
            <w:tcBorders>
              <w:top w:val="single" w:sz="12" w:space="0" w:color="auto"/>
            </w:tcBorders>
            <w:shd w:val="clear" w:color="auto" w:fill="F5F5F1"/>
            <w:noWrap/>
          </w:tcPr>
          <w:p w14:paraId="033079EB" w14:textId="77777777" w:rsidR="005C4009" w:rsidRPr="00324351" w:rsidRDefault="005C4009" w:rsidP="003720CA">
            <w:r w:rsidRPr="00324351">
              <w:t>46,6</w:t>
            </w:r>
          </w:p>
        </w:tc>
        <w:tc>
          <w:tcPr>
            <w:tcW w:w="843" w:type="pct"/>
            <w:tcBorders>
              <w:top w:val="single" w:sz="12" w:space="0" w:color="auto"/>
            </w:tcBorders>
            <w:shd w:val="clear" w:color="auto" w:fill="F5F5F1"/>
            <w:noWrap/>
          </w:tcPr>
          <w:p w14:paraId="75C1DCC6" w14:textId="77777777" w:rsidR="005C4009" w:rsidRPr="00324351" w:rsidRDefault="005C4009" w:rsidP="003720CA">
            <w:r w:rsidRPr="00324351">
              <w:t>35,4</w:t>
            </w:r>
          </w:p>
        </w:tc>
      </w:tr>
      <w:tr w:rsidR="005C4009" w:rsidRPr="00324351" w14:paraId="25EEB463" w14:textId="77777777" w:rsidTr="002F02C6">
        <w:trPr>
          <w:trHeight w:val="20"/>
          <w:tblHeader/>
        </w:trPr>
        <w:tc>
          <w:tcPr>
            <w:tcW w:w="2345" w:type="pct"/>
            <w:tcBorders>
              <w:bottom w:val="single" w:sz="12" w:space="0" w:color="auto"/>
            </w:tcBorders>
            <w:shd w:val="clear" w:color="auto" w:fill="F5F5F1"/>
          </w:tcPr>
          <w:p w14:paraId="03F0A4BE" w14:textId="77777777" w:rsidR="005C4009" w:rsidRPr="00324351" w:rsidRDefault="005C4009" w:rsidP="003720CA">
            <w:r w:rsidRPr="00324351">
              <w:t>Without disability</w:t>
            </w:r>
          </w:p>
        </w:tc>
        <w:tc>
          <w:tcPr>
            <w:tcW w:w="969" w:type="pct"/>
            <w:tcBorders>
              <w:bottom w:val="single" w:sz="12" w:space="0" w:color="auto"/>
            </w:tcBorders>
            <w:shd w:val="clear" w:color="auto" w:fill="F5F5F1"/>
            <w:noWrap/>
          </w:tcPr>
          <w:p w14:paraId="41ECC2D2" w14:textId="77777777" w:rsidR="005C4009" w:rsidRPr="00324351" w:rsidRDefault="005C4009" w:rsidP="003720CA">
            <w:r w:rsidRPr="00324351">
              <w:t>78,5</w:t>
            </w:r>
          </w:p>
        </w:tc>
        <w:tc>
          <w:tcPr>
            <w:tcW w:w="843" w:type="pct"/>
            <w:tcBorders>
              <w:bottom w:val="single" w:sz="12" w:space="0" w:color="auto"/>
            </w:tcBorders>
            <w:shd w:val="clear" w:color="auto" w:fill="F5F5F1"/>
            <w:noWrap/>
          </w:tcPr>
          <w:p w14:paraId="32FADC2A" w14:textId="77777777" w:rsidR="005C4009" w:rsidRPr="00324351" w:rsidRDefault="005C4009" w:rsidP="003720CA">
            <w:r w:rsidRPr="00324351">
              <w:t>81,9</w:t>
            </w:r>
          </w:p>
        </w:tc>
        <w:tc>
          <w:tcPr>
            <w:tcW w:w="843" w:type="pct"/>
            <w:tcBorders>
              <w:bottom w:val="single" w:sz="12" w:space="0" w:color="auto"/>
            </w:tcBorders>
            <w:shd w:val="clear" w:color="auto" w:fill="F5F5F1"/>
            <w:noWrap/>
          </w:tcPr>
          <w:p w14:paraId="5CDD03FC" w14:textId="77777777" w:rsidR="005C4009" w:rsidRPr="00324351" w:rsidRDefault="005C4009" w:rsidP="003720CA">
            <w:r w:rsidRPr="00324351">
              <w:t>75,3</w:t>
            </w:r>
          </w:p>
        </w:tc>
      </w:tr>
      <w:tr w:rsidR="005C4009" w:rsidRPr="00324351" w14:paraId="061BA8A9" w14:textId="77777777" w:rsidTr="002F02C6">
        <w:trPr>
          <w:trHeight w:val="20"/>
          <w:tblHeader/>
        </w:trPr>
        <w:tc>
          <w:tcPr>
            <w:tcW w:w="2345" w:type="pct"/>
            <w:tcBorders>
              <w:top w:val="single" w:sz="12" w:space="0" w:color="auto"/>
              <w:bottom w:val="single" w:sz="12" w:space="0" w:color="auto"/>
            </w:tcBorders>
            <w:shd w:val="clear" w:color="auto" w:fill="F5F5F1"/>
            <w:noWrap/>
          </w:tcPr>
          <w:p w14:paraId="518B0BA3" w14:textId="77777777" w:rsidR="005C4009" w:rsidRPr="00324351" w:rsidRDefault="005C4009" w:rsidP="003720CA">
            <w:pPr>
              <w:rPr>
                <w:b/>
                <w:bCs/>
                <w:i/>
                <w:iCs/>
              </w:rPr>
            </w:pPr>
            <w:r w:rsidRPr="00324351">
              <w:rPr>
                <w:b/>
                <w:bCs/>
                <w:i/>
                <w:iCs/>
              </w:rPr>
              <w:t>Use mobile phone</w:t>
            </w:r>
          </w:p>
        </w:tc>
        <w:tc>
          <w:tcPr>
            <w:tcW w:w="969" w:type="pct"/>
            <w:tcBorders>
              <w:top w:val="single" w:sz="12" w:space="0" w:color="auto"/>
              <w:bottom w:val="single" w:sz="12" w:space="0" w:color="auto"/>
            </w:tcBorders>
            <w:shd w:val="clear" w:color="auto" w:fill="F5F5F1"/>
            <w:noWrap/>
          </w:tcPr>
          <w:p w14:paraId="5E4A459A" w14:textId="77777777" w:rsidR="005C4009" w:rsidRPr="00324351" w:rsidRDefault="005C4009" w:rsidP="003720CA"/>
        </w:tc>
        <w:tc>
          <w:tcPr>
            <w:tcW w:w="843" w:type="pct"/>
            <w:tcBorders>
              <w:top w:val="single" w:sz="12" w:space="0" w:color="auto"/>
              <w:bottom w:val="single" w:sz="12" w:space="0" w:color="auto"/>
            </w:tcBorders>
            <w:shd w:val="clear" w:color="auto" w:fill="F5F5F1"/>
            <w:noWrap/>
          </w:tcPr>
          <w:p w14:paraId="625D1988" w14:textId="77777777" w:rsidR="005C4009" w:rsidRPr="00324351" w:rsidRDefault="005C4009" w:rsidP="003720CA"/>
        </w:tc>
        <w:tc>
          <w:tcPr>
            <w:tcW w:w="843" w:type="pct"/>
            <w:tcBorders>
              <w:top w:val="single" w:sz="12" w:space="0" w:color="auto"/>
              <w:bottom w:val="single" w:sz="12" w:space="0" w:color="auto"/>
            </w:tcBorders>
            <w:shd w:val="clear" w:color="auto" w:fill="F5F5F1"/>
            <w:noWrap/>
          </w:tcPr>
          <w:p w14:paraId="28A96886" w14:textId="77777777" w:rsidR="005C4009" w:rsidRPr="00324351" w:rsidRDefault="005C4009" w:rsidP="003720CA"/>
        </w:tc>
      </w:tr>
      <w:tr w:rsidR="005C4009" w:rsidRPr="00324351" w14:paraId="608D4071" w14:textId="77777777" w:rsidTr="002F02C6">
        <w:trPr>
          <w:trHeight w:val="20"/>
          <w:tblHeader/>
        </w:trPr>
        <w:tc>
          <w:tcPr>
            <w:tcW w:w="2345" w:type="pct"/>
            <w:tcBorders>
              <w:top w:val="single" w:sz="12" w:space="0" w:color="auto"/>
            </w:tcBorders>
            <w:shd w:val="clear" w:color="auto" w:fill="F5F5F1"/>
          </w:tcPr>
          <w:p w14:paraId="6E2215E9" w14:textId="77777777" w:rsidR="005C4009" w:rsidRPr="00324351" w:rsidRDefault="005C4009" w:rsidP="003720CA">
            <w:r w:rsidRPr="00324351">
              <w:t>With disability</w:t>
            </w:r>
          </w:p>
        </w:tc>
        <w:tc>
          <w:tcPr>
            <w:tcW w:w="969" w:type="pct"/>
            <w:tcBorders>
              <w:top w:val="single" w:sz="12" w:space="0" w:color="auto"/>
            </w:tcBorders>
            <w:shd w:val="clear" w:color="auto" w:fill="F5F5F1"/>
            <w:noWrap/>
          </w:tcPr>
          <w:p w14:paraId="2CAF8687" w14:textId="77777777" w:rsidR="005C4009" w:rsidRPr="00324351" w:rsidRDefault="005C4009" w:rsidP="003720CA">
            <w:r w:rsidRPr="00324351">
              <w:t>38,9</w:t>
            </w:r>
          </w:p>
        </w:tc>
        <w:tc>
          <w:tcPr>
            <w:tcW w:w="843" w:type="pct"/>
            <w:tcBorders>
              <w:top w:val="single" w:sz="12" w:space="0" w:color="auto"/>
            </w:tcBorders>
            <w:shd w:val="clear" w:color="auto" w:fill="F5F5F1"/>
            <w:noWrap/>
          </w:tcPr>
          <w:p w14:paraId="64C8BEAF" w14:textId="77777777" w:rsidR="005C4009" w:rsidRPr="00324351" w:rsidRDefault="005C4009" w:rsidP="003720CA">
            <w:r w:rsidRPr="00324351">
              <w:t>44,9</w:t>
            </w:r>
          </w:p>
        </w:tc>
        <w:tc>
          <w:tcPr>
            <w:tcW w:w="843" w:type="pct"/>
            <w:tcBorders>
              <w:top w:val="single" w:sz="12" w:space="0" w:color="auto"/>
            </w:tcBorders>
            <w:shd w:val="clear" w:color="auto" w:fill="F5F5F1"/>
            <w:noWrap/>
          </w:tcPr>
          <w:p w14:paraId="04483105" w14:textId="77777777" w:rsidR="005C4009" w:rsidRPr="00324351" w:rsidRDefault="005C4009" w:rsidP="003720CA">
            <w:r w:rsidRPr="00324351">
              <w:t>34,8</w:t>
            </w:r>
          </w:p>
        </w:tc>
      </w:tr>
      <w:tr w:rsidR="005C4009" w:rsidRPr="00324351" w14:paraId="4A1E1440" w14:textId="77777777" w:rsidTr="002F02C6">
        <w:trPr>
          <w:trHeight w:val="20"/>
          <w:tblHeader/>
        </w:trPr>
        <w:tc>
          <w:tcPr>
            <w:tcW w:w="2345" w:type="pct"/>
            <w:tcBorders>
              <w:bottom w:val="single" w:sz="12" w:space="0" w:color="auto"/>
            </w:tcBorders>
            <w:shd w:val="clear" w:color="auto" w:fill="F5F5F1"/>
          </w:tcPr>
          <w:p w14:paraId="25EE0EA9" w14:textId="77777777" w:rsidR="005C4009" w:rsidRPr="00324351" w:rsidRDefault="005C4009" w:rsidP="003720CA">
            <w:r w:rsidRPr="00324351">
              <w:t>Without disability</w:t>
            </w:r>
          </w:p>
        </w:tc>
        <w:tc>
          <w:tcPr>
            <w:tcW w:w="969" w:type="pct"/>
            <w:tcBorders>
              <w:bottom w:val="single" w:sz="12" w:space="0" w:color="auto"/>
            </w:tcBorders>
            <w:shd w:val="clear" w:color="auto" w:fill="F5F5F1"/>
            <w:noWrap/>
          </w:tcPr>
          <w:p w14:paraId="38B53A8B" w14:textId="77777777" w:rsidR="005C4009" w:rsidRPr="00324351" w:rsidRDefault="005C4009" w:rsidP="003720CA">
            <w:r w:rsidRPr="00324351">
              <w:t>73,1</w:t>
            </w:r>
          </w:p>
        </w:tc>
        <w:tc>
          <w:tcPr>
            <w:tcW w:w="843" w:type="pct"/>
            <w:tcBorders>
              <w:bottom w:val="single" w:sz="12" w:space="0" w:color="auto"/>
            </w:tcBorders>
            <w:shd w:val="clear" w:color="auto" w:fill="F5F5F1"/>
            <w:noWrap/>
          </w:tcPr>
          <w:p w14:paraId="1B93B579" w14:textId="77777777" w:rsidR="005C4009" w:rsidRPr="00324351" w:rsidRDefault="005C4009" w:rsidP="003720CA">
            <w:r w:rsidRPr="00324351">
              <w:t>76,2</w:t>
            </w:r>
          </w:p>
        </w:tc>
        <w:tc>
          <w:tcPr>
            <w:tcW w:w="843" w:type="pct"/>
            <w:tcBorders>
              <w:bottom w:val="single" w:sz="12" w:space="0" w:color="auto"/>
            </w:tcBorders>
            <w:shd w:val="clear" w:color="auto" w:fill="F5F5F1"/>
            <w:noWrap/>
          </w:tcPr>
          <w:p w14:paraId="0CA5A7AB" w14:textId="77777777" w:rsidR="005C4009" w:rsidRPr="00324351" w:rsidRDefault="005C4009" w:rsidP="003720CA">
            <w:r w:rsidRPr="00324351">
              <w:t>70,1</w:t>
            </w:r>
          </w:p>
        </w:tc>
      </w:tr>
      <w:tr w:rsidR="005C4009" w:rsidRPr="00324351" w14:paraId="74EC472F" w14:textId="77777777" w:rsidTr="003720CA">
        <w:trPr>
          <w:trHeight w:val="20"/>
          <w:tblHeader/>
        </w:trPr>
        <w:tc>
          <w:tcPr>
            <w:tcW w:w="5000" w:type="pct"/>
            <w:gridSpan w:val="4"/>
            <w:tcBorders>
              <w:top w:val="single" w:sz="12" w:space="0" w:color="auto"/>
            </w:tcBorders>
          </w:tcPr>
          <w:p w14:paraId="7EFBBFE0" w14:textId="3F436B06" w:rsidR="005C4009" w:rsidRPr="00324351" w:rsidRDefault="005C4009" w:rsidP="0066451E">
            <w:pPr>
              <w:rPr>
                <w:sz w:val="18"/>
                <w:szCs w:val="18"/>
              </w:rPr>
            </w:pPr>
            <w:r w:rsidRPr="00324351">
              <w:rPr>
                <w:i/>
                <w:iCs/>
                <w:sz w:val="18"/>
                <w:szCs w:val="18"/>
              </w:rPr>
              <w:t>Source</w:t>
            </w:r>
            <w:r w:rsidRPr="00324351">
              <w:rPr>
                <w:sz w:val="18"/>
                <w:szCs w:val="18"/>
              </w:rPr>
              <w:t>:  Viet Nam General Statistics Office, The National Survey on People with Disabilities 2016 (VDS2016), Final Report.</w:t>
            </w:r>
          </w:p>
          <w:p w14:paraId="1AFCF268" w14:textId="77777777" w:rsidR="005C4009" w:rsidRPr="00324351" w:rsidRDefault="005C4009" w:rsidP="00CE2671"/>
        </w:tc>
      </w:tr>
    </w:tbl>
    <w:p w14:paraId="2FA0B424" w14:textId="77777777" w:rsidR="00355C6D" w:rsidRPr="00324351" w:rsidRDefault="00355C6D" w:rsidP="005E1A55">
      <w:pPr>
        <w:spacing w:before="0" w:after="0" w:line="240" w:lineRule="auto"/>
        <w:rPr>
          <w:rFonts w:asciiTheme="minorHAnsi" w:eastAsiaTheme="majorEastAsia" w:hAnsiTheme="minorHAnsi" w:cstheme="minorHAnsi"/>
          <w:b/>
          <w:color w:val="0A59AB"/>
          <w:spacing w:val="4"/>
          <w:kern w:val="0"/>
          <w:sz w:val="30"/>
          <w:szCs w:val="30"/>
        </w:rPr>
      </w:pPr>
    </w:p>
    <w:sectPr w:rsidR="00355C6D" w:rsidRPr="00324351" w:rsidSect="006C42B3">
      <w:footerReference w:type="even" r:id="rId28"/>
      <w:footerReference w:type="default" r:id="rId29"/>
      <w:pgSz w:w="11900" w:h="16820"/>
      <w:pgMar w:top="1440" w:right="1460" w:bottom="143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BBF72" w14:textId="77777777" w:rsidR="002D4249" w:rsidRPr="00324351" w:rsidRDefault="002D4249" w:rsidP="00461540">
      <w:r w:rsidRPr="00324351">
        <w:separator/>
      </w:r>
    </w:p>
  </w:endnote>
  <w:endnote w:type="continuationSeparator" w:id="0">
    <w:p w14:paraId="0A1E10A4" w14:textId="77777777" w:rsidR="002D4249" w:rsidRPr="00324351" w:rsidRDefault="002D4249" w:rsidP="00461540">
      <w:r w:rsidRPr="003243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Medium">
    <w:altName w:val="﷽﷽﷽﷽﷽﷽﷽৸ಯ"/>
    <w:panose1 w:val="020B0602020204020303"/>
    <w:charset w:val="00"/>
    <w:family w:val="swiss"/>
    <w:notTrueType/>
    <w:pitch w:val="variable"/>
    <w:sig w:usb0="A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78062727"/>
      <w:docPartObj>
        <w:docPartGallery w:val="Page Numbers (Bottom of Page)"/>
        <w:docPartUnique/>
      </w:docPartObj>
    </w:sdtPr>
    <w:sdtEndPr>
      <w:rPr>
        <w:rStyle w:val="PageNumber"/>
      </w:rPr>
    </w:sdtEndPr>
    <w:sdtContent>
      <w:p w14:paraId="72B7284F" w14:textId="45A8B1BB" w:rsidR="00C22620" w:rsidRPr="00324351" w:rsidRDefault="00C22620" w:rsidP="005935AC">
        <w:pPr>
          <w:pStyle w:val="Footer"/>
          <w:framePr w:wrap="none" w:vAnchor="text" w:hAnchor="margin" w:xAlign="right" w:y="1"/>
          <w:rPr>
            <w:rStyle w:val="PageNumber"/>
          </w:rPr>
        </w:pPr>
        <w:r w:rsidRPr="00324351">
          <w:rPr>
            <w:rStyle w:val="PageNumber"/>
          </w:rPr>
          <w:fldChar w:fldCharType="begin"/>
        </w:r>
        <w:r w:rsidRPr="00324351">
          <w:rPr>
            <w:rStyle w:val="PageNumber"/>
          </w:rPr>
          <w:instrText xml:space="preserve"> PAGE </w:instrText>
        </w:r>
        <w:r w:rsidRPr="00324351">
          <w:rPr>
            <w:rStyle w:val="PageNumber"/>
          </w:rPr>
          <w:fldChar w:fldCharType="end"/>
        </w:r>
      </w:p>
    </w:sdtContent>
  </w:sdt>
  <w:p w14:paraId="143BCC80" w14:textId="77777777" w:rsidR="00C22620" w:rsidRPr="00324351" w:rsidRDefault="00C22620" w:rsidP="00C36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3383959"/>
      <w:docPartObj>
        <w:docPartGallery w:val="Page Numbers (Bottom of Page)"/>
        <w:docPartUnique/>
      </w:docPartObj>
    </w:sdtPr>
    <w:sdtEndPr>
      <w:rPr>
        <w:rStyle w:val="PageNumber"/>
        <w:b/>
        <w:sz w:val="18"/>
        <w:szCs w:val="18"/>
      </w:rPr>
    </w:sdtEndPr>
    <w:sdtContent>
      <w:p w14:paraId="672B0C64" w14:textId="6DAB13FC" w:rsidR="00C22620" w:rsidRPr="00324351" w:rsidRDefault="00C22620" w:rsidP="00867838">
        <w:pPr>
          <w:pStyle w:val="Footer"/>
          <w:framePr w:wrap="none" w:vAnchor="text" w:hAnchor="margin" w:xAlign="right" w:y="1"/>
          <w:spacing w:before="0" w:after="0" w:line="240" w:lineRule="auto"/>
          <w:rPr>
            <w:rStyle w:val="PageNumber"/>
            <w:b/>
          </w:rPr>
        </w:pPr>
        <w:r w:rsidRPr="00324351">
          <w:rPr>
            <w:rStyle w:val="PageNumber"/>
            <w:rFonts w:cstheme="minorHAnsi"/>
            <w:b/>
            <w:bCs/>
          </w:rPr>
          <w:fldChar w:fldCharType="begin"/>
        </w:r>
        <w:r w:rsidRPr="00324351">
          <w:rPr>
            <w:rStyle w:val="PageNumber"/>
            <w:rFonts w:cstheme="minorHAnsi"/>
            <w:b/>
            <w:bCs/>
          </w:rPr>
          <w:instrText xml:space="preserve"> PAGE </w:instrText>
        </w:r>
        <w:r w:rsidRPr="00324351">
          <w:rPr>
            <w:rStyle w:val="PageNumber"/>
            <w:rFonts w:cstheme="minorHAnsi"/>
            <w:b/>
            <w:bCs/>
          </w:rPr>
          <w:fldChar w:fldCharType="separate"/>
        </w:r>
        <w:r w:rsidR="004F3F73" w:rsidRPr="00324351">
          <w:rPr>
            <w:rStyle w:val="PageNumber"/>
            <w:rFonts w:cstheme="minorHAnsi"/>
            <w:b/>
            <w:bCs/>
            <w:noProof/>
          </w:rPr>
          <w:t>7</w:t>
        </w:r>
        <w:r w:rsidRPr="00324351">
          <w:rPr>
            <w:rStyle w:val="PageNumber"/>
            <w:rFonts w:cstheme="minorHAnsi"/>
            <w:b/>
            <w:bCs/>
          </w:rPr>
          <w:fldChar w:fldCharType="end"/>
        </w:r>
      </w:p>
    </w:sdtContent>
  </w:sdt>
  <w:p w14:paraId="3C10387F" w14:textId="6F9CF242" w:rsidR="0063373B" w:rsidRPr="00324351" w:rsidRDefault="0063373B" w:rsidP="0063373B">
    <w:pPr>
      <w:pStyle w:val="Footer"/>
      <w:tabs>
        <w:tab w:val="clear" w:pos="9360"/>
        <w:tab w:val="right" w:pos="8300"/>
      </w:tabs>
      <w:spacing w:before="0"/>
      <w:ind w:left="432" w:right="360"/>
      <w:rPr>
        <w:spacing w:val="-2"/>
        <w:sz w:val="18"/>
        <w:szCs w:val="18"/>
        <w:lang w:val="en-US"/>
      </w:rPr>
    </w:pPr>
    <w:r w:rsidRPr="00324351">
      <w:rPr>
        <w:rFonts w:asciiTheme="minorHAnsi" w:hAnsiTheme="minorHAnsi"/>
        <w:noProof/>
        <w:color w:val="FFC000"/>
        <w:sz w:val="18"/>
        <w:szCs w:val="18"/>
        <w:lang w:eastAsia="en-GB"/>
      </w:rPr>
      <mc:AlternateContent>
        <mc:Choice Requires="wps">
          <w:drawing>
            <wp:anchor distT="0" distB="0" distL="114300" distR="114300" simplePos="0" relativeHeight="251660288" behindDoc="1" locked="0" layoutInCell="1" allowOverlap="1" wp14:anchorId="555425D2" wp14:editId="1DD0C0F7">
              <wp:simplePos x="0" y="0"/>
              <wp:positionH relativeFrom="column">
                <wp:posOffset>5319138</wp:posOffset>
              </wp:positionH>
              <wp:positionV relativeFrom="paragraph">
                <wp:posOffset>11430</wp:posOffset>
              </wp:positionV>
              <wp:extent cx="36195" cy="146050"/>
              <wp:effectExtent l="0" t="0" r="1905" b="6350"/>
              <wp:wrapThrough wrapText="bothSides">
                <wp:wrapPolygon edited="0">
                  <wp:start x="0" y="0"/>
                  <wp:lineTo x="0" y="20661"/>
                  <wp:lineTo x="15158" y="20661"/>
                  <wp:lineTo x="15158" y="0"/>
                  <wp:lineTo x="0" y="0"/>
                </wp:wrapPolygon>
              </wp:wrapThrough>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6195" cy="146050"/>
                      </a:xfrm>
                      <a:prstGeom prst="roundRect">
                        <a:avLst>
                          <a:gd name="adj" fmla="val 50000"/>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955F3" id="Rounded Rectangle 4" o:spid="_x0000_s1026" alt="&quot;&quot;" style="position:absolute;margin-left:418.85pt;margin-top:.9pt;width:2.85pt;height:11.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" fillcolor="#ffc000" stroked="f" strokeweight="1pt">
              <v:stroke joinstyle="miter"/>
              <w10:wrap type="through"/>
            </v:roundrect>
          </w:pict>
        </mc:Fallback>
      </mc:AlternateContent>
    </w:r>
    <w:r w:rsidRPr="00324351">
      <w:rPr>
        <w:rFonts w:asciiTheme="minorHAnsi" w:hAnsiTheme="minorHAnsi"/>
        <w:noProof/>
        <w:sz w:val="18"/>
        <w:szCs w:val="18"/>
        <w:lang w:eastAsia="en-GB"/>
      </w:rPr>
      <w:drawing>
        <wp:anchor distT="0" distB="0" distL="114300" distR="114300" simplePos="0" relativeHeight="251659264" behindDoc="0" locked="0" layoutInCell="1" allowOverlap="1" wp14:anchorId="474C5F93" wp14:editId="57FB66F0">
          <wp:simplePos x="0" y="0"/>
          <wp:positionH relativeFrom="column">
            <wp:posOffset>-3810</wp:posOffset>
          </wp:positionH>
          <wp:positionV relativeFrom="paragraph">
            <wp:posOffset>-6127</wp:posOffset>
          </wp:positionV>
          <wp:extent cx="287020" cy="148590"/>
          <wp:effectExtent l="0" t="0" r="0" b="3810"/>
          <wp:wrapNone/>
          <wp:docPr id="9" name="Picture 9" title="Logo of CRPD(Convention on the Rights of Person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020"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351">
      <w:rPr>
        <w:rFonts w:asciiTheme="minorHAnsi" w:hAnsiTheme="minorHAnsi"/>
        <w:sz w:val="18"/>
        <w:szCs w:val="18"/>
        <w:lang w:val="en-US"/>
      </w:rPr>
      <w:t xml:space="preserve">  </w:t>
    </w:r>
    <w:r w:rsidRPr="00324351">
      <w:rPr>
        <w:color w:val="7F7F7F" w:themeColor="text1" w:themeTint="80"/>
        <w:sz w:val="18"/>
        <w:szCs w:val="18"/>
        <w:lang w:val="en-US"/>
      </w:rPr>
      <w:t>+</w:t>
    </w:r>
    <w:r w:rsidRPr="00324351">
      <w:rPr>
        <w:color w:val="7F7F7F" w:themeColor="text1" w:themeTint="80"/>
        <w:spacing w:val="-2"/>
        <w:sz w:val="18"/>
        <w:szCs w:val="18"/>
        <w:lang w:val="en-US"/>
      </w:rPr>
      <w:t xml:space="preserve"> Data Sources on Article 21 (outcome indicators)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AF086" w14:textId="77777777" w:rsidR="002D4249" w:rsidRPr="00324351" w:rsidRDefault="002D4249" w:rsidP="00461540">
      <w:r w:rsidRPr="00324351">
        <w:separator/>
      </w:r>
    </w:p>
  </w:footnote>
  <w:footnote w:type="continuationSeparator" w:id="0">
    <w:p w14:paraId="139FA3EC" w14:textId="77777777" w:rsidR="002D4249" w:rsidRPr="00324351" w:rsidRDefault="002D4249" w:rsidP="00461540">
      <w:r w:rsidRPr="003243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17C23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2C65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72B1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527D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E06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A6D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84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4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209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20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170AF"/>
    <w:multiLevelType w:val="hybridMultilevel"/>
    <w:tmpl w:val="8BB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7475E"/>
    <w:multiLevelType w:val="hybridMultilevel"/>
    <w:tmpl w:val="61D6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F1C77"/>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13" w15:restartNumberingAfterBreak="0">
    <w:nsid w:val="119C5107"/>
    <w:multiLevelType w:val="hybridMultilevel"/>
    <w:tmpl w:val="680CF1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1332C"/>
    <w:multiLevelType w:val="hybridMultilevel"/>
    <w:tmpl w:val="0A362A8E"/>
    <w:lvl w:ilvl="0" w:tplc="21C03726">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26071F"/>
    <w:multiLevelType w:val="hybridMultilevel"/>
    <w:tmpl w:val="A7C25218"/>
    <w:lvl w:ilvl="0" w:tplc="04090003">
      <w:start w:val="1"/>
      <w:numFmt w:val="bullet"/>
      <w:lvlText w:val="o"/>
      <w:lvlJc w:val="left"/>
      <w:pPr>
        <w:ind w:left="360" w:hanging="360"/>
      </w:pPr>
      <w:rPr>
        <w:rFonts w:ascii="Courier New" w:hAnsi="Courier New" w:cs="Courier New"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AD361B"/>
    <w:multiLevelType w:val="hybridMultilevel"/>
    <w:tmpl w:val="CE7635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814225"/>
    <w:multiLevelType w:val="hybridMultilevel"/>
    <w:tmpl w:val="349E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92884"/>
    <w:multiLevelType w:val="hybridMultilevel"/>
    <w:tmpl w:val="346A4E36"/>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55B84"/>
    <w:multiLevelType w:val="hybridMultilevel"/>
    <w:tmpl w:val="560C8932"/>
    <w:lvl w:ilvl="0" w:tplc="9EF482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9171C6"/>
    <w:multiLevelType w:val="multilevel"/>
    <w:tmpl w:val="06D42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F37AB6"/>
    <w:multiLevelType w:val="hybridMultilevel"/>
    <w:tmpl w:val="C71AEB30"/>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B486A"/>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3" w15:restartNumberingAfterBreak="0">
    <w:nsid w:val="36743790"/>
    <w:multiLevelType w:val="hybridMultilevel"/>
    <w:tmpl w:val="B498B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82363AD"/>
    <w:multiLevelType w:val="hybridMultilevel"/>
    <w:tmpl w:val="80FC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C9652E"/>
    <w:multiLevelType w:val="hybridMultilevel"/>
    <w:tmpl w:val="B99AF69A"/>
    <w:lvl w:ilvl="0" w:tplc="E09C8312">
      <w:numFmt w:val="bullet"/>
      <w:lvlText w:val="-"/>
      <w:lvlJc w:val="left"/>
      <w:pPr>
        <w:ind w:left="360" w:hanging="360"/>
      </w:pPr>
      <w:rPr>
        <w:rFonts w:ascii="Calibri" w:eastAsiaTheme="minorHAnsi" w:hAnsi="Calibri" w:cstheme="minorHAnsi" w:hint="default"/>
        <w:b w:val="0"/>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614D6E"/>
    <w:multiLevelType w:val="hybridMultilevel"/>
    <w:tmpl w:val="CD887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23CE7"/>
    <w:multiLevelType w:val="hybridMultilevel"/>
    <w:tmpl w:val="363E6A1E"/>
    <w:lvl w:ilvl="0" w:tplc="04090001">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E6E01"/>
    <w:multiLevelType w:val="multilevel"/>
    <w:tmpl w:val="B844A5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Calibri" w:eastAsia="Calibri" w:hAnsi="Calibri" w:cs="Calibri"/>
        <w:sz w:val="20"/>
        <w:szCs w:val="20"/>
      </w:rPr>
    </w:lvl>
    <w:lvl w:ilvl="3">
      <w:start w:val="1"/>
      <w:numFmt w:val="bullet"/>
      <w:lvlText w:val="▪"/>
      <w:lvlJc w:val="left"/>
      <w:pPr>
        <w:ind w:left="2880" w:hanging="360"/>
      </w:pPr>
      <w:rPr>
        <w:rFonts w:ascii="Calibri" w:eastAsia="Calibri" w:hAnsi="Calibri" w:cs="Calibri"/>
        <w:sz w:val="20"/>
        <w:szCs w:val="20"/>
      </w:rPr>
    </w:lvl>
    <w:lvl w:ilvl="4">
      <w:start w:val="1"/>
      <w:numFmt w:val="bullet"/>
      <w:lvlText w:val="▪"/>
      <w:lvlJc w:val="left"/>
      <w:pPr>
        <w:ind w:left="3600" w:hanging="360"/>
      </w:pPr>
      <w:rPr>
        <w:rFonts w:ascii="Calibri" w:eastAsia="Calibri" w:hAnsi="Calibri" w:cs="Calibri"/>
        <w:sz w:val="20"/>
        <w:szCs w:val="20"/>
      </w:rPr>
    </w:lvl>
    <w:lvl w:ilvl="5">
      <w:start w:val="1"/>
      <w:numFmt w:val="bullet"/>
      <w:lvlText w:val="▪"/>
      <w:lvlJc w:val="left"/>
      <w:pPr>
        <w:ind w:left="4320" w:hanging="360"/>
      </w:pPr>
      <w:rPr>
        <w:rFonts w:ascii="Calibri" w:eastAsia="Calibri" w:hAnsi="Calibri" w:cs="Calibri"/>
        <w:sz w:val="20"/>
        <w:szCs w:val="20"/>
      </w:rPr>
    </w:lvl>
    <w:lvl w:ilvl="6">
      <w:start w:val="1"/>
      <w:numFmt w:val="bullet"/>
      <w:lvlText w:val="▪"/>
      <w:lvlJc w:val="left"/>
      <w:pPr>
        <w:ind w:left="5040" w:hanging="360"/>
      </w:pPr>
      <w:rPr>
        <w:rFonts w:ascii="Calibri" w:eastAsia="Calibri" w:hAnsi="Calibri" w:cs="Calibri"/>
        <w:sz w:val="20"/>
        <w:szCs w:val="20"/>
      </w:rPr>
    </w:lvl>
    <w:lvl w:ilvl="7">
      <w:start w:val="1"/>
      <w:numFmt w:val="bullet"/>
      <w:lvlText w:val="▪"/>
      <w:lvlJc w:val="left"/>
      <w:pPr>
        <w:ind w:left="5760" w:hanging="360"/>
      </w:pPr>
      <w:rPr>
        <w:rFonts w:ascii="Calibri" w:eastAsia="Calibri" w:hAnsi="Calibri" w:cs="Calibri"/>
        <w:sz w:val="20"/>
        <w:szCs w:val="20"/>
      </w:rPr>
    </w:lvl>
    <w:lvl w:ilvl="8">
      <w:start w:val="1"/>
      <w:numFmt w:val="bullet"/>
      <w:lvlText w:val="▪"/>
      <w:lvlJc w:val="left"/>
      <w:pPr>
        <w:ind w:left="6480" w:hanging="360"/>
      </w:pPr>
      <w:rPr>
        <w:rFonts w:ascii="Calibri" w:eastAsia="Calibri" w:hAnsi="Calibri" w:cs="Calibri"/>
        <w:sz w:val="20"/>
        <w:szCs w:val="20"/>
      </w:rPr>
    </w:lvl>
  </w:abstractNum>
  <w:abstractNum w:abstractNumId="29" w15:restartNumberingAfterBreak="0">
    <w:nsid w:val="4E66605D"/>
    <w:multiLevelType w:val="hybridMultilevel"/>
    <w:tmpl w:val="5FD87BD8"/>
    <w:lvl w:ilvl="0" w:tplc="F006A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A01FD7"/>
    <w:multiLevelType w:val="hybridMultilevel"/>
    <w:tmpl w:val="6302AAD0"/>
    <w:lvl w:ilvl="0" w:tplc="8A8C9DA0">
      <w:start w:val="1"/>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B840FD"/>
    <w:multiLevelType w:val="hybridMultilevel"/>
    <w:tmpl w:val="5112A88C"/>
    <w:lvl w:ilvl="0" w:tplc="7304F54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0237F"/>
    <w:multiLevelType w:val="hybridMultilevel"/>
    <w:tmpl w:val="CA8C0D02"/>
    <w:lvl w:ilvl="0" w:tplc="2B6075D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1008A"/>
    <w:multiLevelType w:val="hybridMultilevel"/>
    <w:tmpl w:val="B45831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4D5889"/>
    <w:multiLevelType w:val="hybridMultilevel"/>
    <w:tmpl w:val="7A8A6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81142"/>
    <w:multiLevelType w:val="hybridMultilevel"/>
    <w:tmpl w:val="9C864FFA"/>
    <w:lvl w:ilvl="0" w:tplc="9B4C629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6" w15:restartNumberingAfterBreak="0">
    <w:nsid w:val="72EA5118"/>
    <w:multiLevelType w:val="hybridMultilevel"/>
    <w:tmpl w:val="9D485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DD1A27"/>
    <w:multiLevelType w:val="hybridMultilevel"/>
    <w:tmpl w:val="DF2294B0"/>
    <w:lvl w:ilvl="0" w:tplc="04090017">
      <w:start w:val="1"/>
      <w:numFmt w:val="lowerLetter"/>
      <w:lvlText w:val="%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8" w15:restartNumberingAfterBreak="0">
    <w:nsid w:val="77A41191"/>
    <w:multiLevelType w:val="hybridMultilevel"/>
    <w:tmpl w:val="1432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77DC7"/>
    <w:multiLevelType w:val="hybridMultilevel"/>
    <w:tmpl w:val="054A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2D170D"/>
    <w:multiLevelType w:val="hybridMultilevel"/>
    <w:tmpl w:val="F7261B36"/>
    <w:lvl w:ilvl="0" w:tplc="9A5A01A2">
      <w:start w:val="1"/>
      <w:numFmt w:val="bullet"/>
      <w:lvlText w:val=""/>
      <w:lvlJc w:val="left"/>
      <w:pPr>
        <w:ind w:left="720" w:hanging="360"/>
      </w:pPr>
      <w:rPr>
        <w:rFonts w:ascii="Symbol" w:hAnsi="Symbol" w:hint="default"/>
        <w:color w:val="0A59A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6309A4"/>
    <w:multiLevelType w:val="hybridMultilevel"/>
    <w:tmpl w:val="38CC68A0"/>
    <w:lvl w:ilvl="0" w:tplc="D3F4B4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33"/>
  </w:num>
  <w:num w:numId="4">
    <w:abstractNumId w:val="28"/>
  </w:num>
  <w:num w:numId="5">
    <w:abstractNumId w:val="20"/>
  </w:num>
  <w:num w:numId="6">
    <w:abstractNumId w:val="39"/>
  </w:num>
  <w:num w:numId="7">
    <w:abstractNumId w:val="24"/>
  </w:num>
  <w:num w:numId="8">
    <w:abstractNumId w:val="23"/>
  </w:num>
  <w:num w:numId="9">
    <w:abstractNumId w:val="30"/>
  </w:num>
  <w:num w:numId="10">
    <w:abstractNumId w:val="25"/>
  </w:num>
  <w:num w:numId="11">
    <w:abstractNumId w:val="15"/>
  </w:num>
  <w:num w:numId="12">
    <w:abstractNumId w:val="36"/>
  </w:num>
  <w:num w:numId="13">
    <w:abstractNumId w:val="22"/>
  </w:num>
  <w:num w:numId="14">
    <w:abstractNumId w:val="12"/>
  </w:num>
  <w:num w:numId="15">
    <w:abstractNumId w:val="34"/>
  </w:num>
  <w:num w:numId="16">
    <w:abstractNumId w:val="13"/>
  </w:num>
  <w:num w:numId="17">
    <w:abstractNumId w:val="10"/>
  </w:num>
  <w:num w:numId="18">
    <w:abstractNumId w:val="41"/>
  </w:num>
  <w:num w:numId="19">
    <w:abstractNumId w:val="16"/>
  </w:num>
  <w:num w:numId="20">
    <w:abstractNumId w:val="14"/>
  </w:num>
  <w:num w:numId="21">
    <w:abstractNumId w:val="27"/>
  </w:num>
  <w:num w:numId="22">
    <w:abstractNumId w:val="40"/>
  </w:num>
  <w:num w:numId="23">
    <w:abstractNumId w:val="21"/>
  </w:num>
  <w:num w:numId="24">
    <w:abstractNumId w:val="19"/>
  </w:num>
  <w:num w:numId="25">
    <w:abstractNumId w:val="0"/>
  </w:num>
  <w:num w:numId="26">
    <w:abstractNumId w:val="1"/>
  </w:num>
  <w:num w:numId="27">
    <w:abstractNumId w:val="2"/>
  </w:num>
  <w:num w:numId="28">
    <w:abstractNumId w:val="3"/>
  </w:num>
  <w:num w:numId="29">
    <w:abstractNumId w:val="8"/>
  </w:num>
  <w:num w:numId="30">
    <w:abstractNumId w:val="4"/>
  </w:num>
  <w:num w:numId="31">
    <w:abstractNumId w:val="5"/>
  </w:num>
  <w:num w:numId="32">
    <w:abstractNumId w:val="6"/>
  </w:num>
  <w:num w:numId="33">
    <w:abstractNumId w:val="7"/>
  </w:num>
  <w:num w:numId="34">
    <w:abstractNumId w:val="9"/>
  </w:num>
  <w:num w:numId="35">
    <w:abstractNumId w:val="18"/>
  </w:num>
  <w:num w:numId="36">
    <w:abstractNumId w:val="32"/>
  </w:num>
  <w:num w:numId="37">
    <w:abstractNumId w:val="26"/>
  </w:num>
  <w:num w:numId="38">
    <w:abstractNumId w:val="38"/>
  </w:num>
  <w:num w:numId="39">
    <w:abstractNumId w:val="11"/>
  </w:num>
  <w:num w:numId="40">
    <w:abstractNumId w:val="37"/>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70"/>
    <w:rsid w:val="000132FA"/>
    <w:rsid w:val="00015BA0"/>
    <w:rsid w:val="000175F5"/>
    <w:rsid w:val="0002001C"/>
    <w:rsid w:val="000255F1"/>
    <w:rsid w:val="00062C31"/>
    <w:rsid w:val="000764AF"/>
    <w:rsid w:val="00085AA9"/>
    <w:rsid w:val="00087BBD"/>
    <w:rsid w:val="0009093A"/>
    <w:rsid w:val="00092BB3"/>
    <w:rsid w:val="000A661C"/>
    <w:rsid w:val="000B1186"/>
    <w:rsid w:val="000B13D8"/>
    <w:rsid w:val="000B1723"/>
    <w:rsid w:val="000D47E4"/>
    <w:rsid w:val="000E60E4"/>
    <w:rsid w:val="000F5328"/>
    <w:rsid w:val="000F56DA"/>
    <w:rsid w:val="00101E46"/>
    <w:rsid w:val="00102434"/>
    <w:rsid w:val="00103288"/>
    <w:rsid w:val="00104C3F"/>
    <w:rsid w:val="0011247F"/>
    <w:rsid w:val="00113282"/>
    <w:rsid w:val="00113670"/>
    <w:rsid w:val="00116DE9"/>
    <w:rsid w:val="001243C1"/>
    <w:rsid w:val="00124491"/>
    <w:rsid w:val="001541E8"/>
    <w:rsid w:val="00163B0E"/>
    <w:rsid w:val="00166B8E"/>
    <w:rsid w:val="00173D86"/>
    <w:rsid w:val="00191D5C"/>
    <w:rsid w:val="00191DAC"/>
    <w:rsid w:val="001C2D74"/>
    <w:rsid w:val="001C65CC"/>
    <w:rsid w:val="001C76A8"/>
    <w:rsid w:val="001D54C9"/>
    <w:rsid w:val="001F4B1B"/>
    <w:rsid w:val="002004D2"/>
    <w:rsid w:val="0020421C"/>
    <w:rsid w:val="00206755"/>
    <w:rsid w:val="00213CD1"/>
    <w:rsid w:val="002148FC"/>
    <w:rsid w:val="0021621F"/>
    <w:rsid w:val="002218F7"/>
    <w:rsid w:val="0022275D"/>
    <w:rsid w:val="00222C7E"/>
    <w:rsid w:val="0022595A"/>
    <w:rsid w:val="002268B4"/>
    <w:rsid w:val="00242D93"/>
    <w:rsid w:val="0026208F"/>
    <w:rsid w:val="0026364F"/>
    <w:rsid w:val="00270A8A"/>
    <w:rsid w:val="00270BD0"/>
    <w:rsid w:val="0027734E"/>
    <w:rsid w:val="00286968"/>
    <w:rsid w:val="002949A8"/>
    <w:rsid w:val="002C350A"/>
    <w:rsid w:val="002C4B00"/>
    <w:rsid w:val="002D4249"/>
    <w:rsid w:val="002E12D5"/>
    <w:rsid w:val="002E25CA"/>
    <w:rsid w:val="002E4EB8"/>
    <w:rsid w:val="002E7C72"/>
    <w:rsid w:val="002F02C6"/>
    <w:rsid w:val="0031097C"/>
    <w:rsid w:val="00311B6B"/>
    <w:rsid w:val="003126C7"/>
    <w:rsid w:val="00313B63"/>
    <w:rsid w:val="00323FB0"/>
    <w:rsid w:val="00324351"/>
    <w:rsid w:val="00330FE4"/>
    <w:rsid w:val="0033262E"/>
    <w:rsid w:val="0034007F"/>
    <w:rsid w:val="003478B1"/>
    <w:rsid w:val="00353776"/>
    <w:rsid w:val="00355C6D"/>
    <w:rsid w:val="003616BB"/>
    <w:rsid w:val="003720CA"/>
    <w:rsid w:val="00382A3E"/>
    <w:rsid w:val="00387ECA"/>
    <w:rsid w:val="00390D12"/>
    <w:rsid w:val="00396691"/>
    <w:rsid w:val="00396C8F"/>
    <w:rsid w:val="003A223E"/>
    <w:rsid w:val="003A2ADC"/>
    <w:rsid w:val="003B7A00"/>
    <w:rsid w:val="003F1867"/>
    <w:rsid w:val="00430C28"/>
    <w:rsid w:val="00432D6B"/>
    <w:rsid w:val="00435BA2"/>
    <w:rsid w:val="00435E14"/>
    <w:rsid w:val="00436405"/>
    <w:rsid w:val="00440F16"/>
    <w:rsid w:val="00446E99"/>
    <w:rsid w:val="00450B91"/>
    <w:rsid w:val="00461540"/>
    <w:rsid w:val="0046655B"/>
    <w:rsid w:val="0046658B"/>
    <w:rsid w:val="00467602"/>
    <w:rsid w:val="00474244"/>
    <w:rsid w:val="004777C6"/>
    <w:rsid w:val="00484B33"/>
    <w:rsid w:val="004869AE"/>
    <w:rsid w:val="004913CF"/>
    <w:rsid w:val="00494626"/>
    <w:rsid w:val="00494783"/>
    <w:rsid w:val="004954C4"/>
    <w:rsid w:val="004A3269"/>
    <w:rsid w:val="004B375B"/>
    <w:rsid w:val="004B6FD7"/>
    <w:rsid w:val="004D43D0"/>
    <w:rsid w:val="004D74F3"/>
    <w:rsid w:val="004E2537"/>
    <w:rsid w:val="004E35BC"/>
    <w:rsid w:val="004E6D50"/>
    <w:rsid w:val="004E713A"/>
    <w:rsid w:val="004E73D8"/>
    <w:rsid w:val="004F049C"/>
    <w:rsid w:val="004F2D5E"/>
    <w:rsid w:val="004F337D"/>
    <w:rsid w:val="004F3BD9"/>
    <w:rsid w:val="004F3DE2"/>
    <w:rsid w:val="004F3F73"/>
    <w:rsid w:val="004F7196"/>
    <w:rsid w:val="005107FB"/>
    <w:rsid w:val="00511D23"/>
    <w:rsid w:val="005148BD"/>
    <w:rsid w:val="00525F57"/>
    <w:rsid w:val="00527BE5"/>
    <w:rsid w:val="00527D96"/>
    <w:rsid w:val="00532347"/>
    <w:rsid w:val="00543A4A"/>
    <w:rsid w:val="005458FD"/>
    <w:rsid w:val="00551B15"/>
    <w:rsid w:val="00555658"/>
    <w:rsid w:val="005600A0"/>
    <w:rsid w:val="00567F31"/>
    <w:rsid w:val="00570364"/>
    <w:rsid w:val="00571F76"/>
    <w:rsid w:val="00572828"/>
    <w:rsid w:val="005935AC"/>
    <w:rsid w:val="00595CBC"/>
    <w:rsid w:val="00597E06"/>
    <w:rsid w:val="005A094A"/>
    <w:rsid w:val="005A4385"/>
    <w:rsid w:val="005B5CFA"/>
    <w:rsid w:val="005C1458"/>
    <w:rsid w:val="005C4009"/>
    <w:rsid w:val="005C72F3"/>
    <w:rsid w:val="005E0158"/>
    <w:rsid w:val="005E1A55"/>
    <w:rsid w:val="005E7B70"/>
    <w:rsid w:val="005F2806"/>
    <w:rsid w:val="005F281A"/>
    <w:rsid w:val="005F7463"/>
    <w:rsid w:val="00605A03"/>
    <w:rsid w:val="006130A6"/>
    <w:rsid w:val="0062437F"/>
    <w:rsid w:val="006301F6"/>
    <w:rsid w:val="00632C09"/>
    <w:rsid w:val="0063373B"/>
    <w:rsid w:val="0066451E"/>
    <w:rsid w:val="00672636"/>
    <w:rsid w:val="0068169F"/>
    <w:rsid w:val="00690066"/>
    <w:rsid w:val="00691370"/>
    <w:rsid w:val="00691D31"/>
    <w:rsid w:val="00694E7B"/>
    <w:rsid w:val="006A74CF"/>
    <w:rsid w:val="006B12B9"/>
    <w:rsid w:val="006B56A8"/>
    <w:rsid w:val="006C42B3"/>
    <w:rsid w:val="006D0FAA"/>
    <w:rsid w:val="006D3CE0"/>
    <w:rsid w:val="006E20BC"/>
    <w:rsid w:val="006F0DD2"/>
    <w:rsid w:val="006F1C98"/>
    <w:rsid w:val="0070044F"/>
    <w:rsid w:val="00715858"/>
    <w:rsid w:val="00725275"/>
    <w:rsid w:val="00737923"/>
    <w:rsid w:val="0074088C"/>
    <w:rsid w:val="00747288"/>
    <w:rsid w:val="007573A5"/>
    <w:rsid w:val="00762B52"/>
    <w:rsid w:val="0076508E"/>
    <w:rsid w:val="0076693D"/>
    <w:rsid w:val="00766FE4"/>
    <w:rsid w:val="00770763"/>
    <w:rsid w:val="00770A1F"/>
    <w:rsid w:val="007710EB"/>
    <w:rsid w:val="00774201"/>
    <w:rsid w:val="00784F2D"/>
    <w:rsid w:val="007A5C39"/>
    <w:rsid w:val="007B79E5"/>
    <w:rsid w:val="007C2B91"/>
    <w:rsid w:val="007C2FCE"/>
    <w:rsid w:val="007C4FC3"/>
    <w:rsid w:val="007D41E0"/>
    <w:rsid w:val="007D47A0"/>
    <w:rsid w:val="007E33D6"/>
    <w:rsid w:val="007E46EB"/>
    <w:rsid w:val="007E6363"/>
    <w:rsid w:val="0080218D"/>
    <w:rsid w:val="008028DB"/>
    <w:rsid w:val="00811055"/>
    <w:rsid w:val="008153EF"/>
    <w:rsid w:val="00816E92"/>
    <w:rsid w:val="00843C08"/>
    <w:rsid w:val="008649E4"/>
    <w:rsid w:val="00867838"/>
    <w:rsid w:val="00867F6C"/>
    <w:rsid w:val="00895CFD"/>
    <w:rsid w:val="008A1B56"/>
    <w:rsid w:val="008A44D4"/>
    <w:rsid w:val="008B4EDF"/>
    <w:rsid w:val="008B7B78"/>
    <w:rsid w:val="008D4556"/>
    <w:rsid w:val="008D5C3A"/>
    <w:rsid w:val="008D5E40"/>
    <w:rsid w:val="008F099C"/>
    <w:rsid w:val="008F441F"/>
    <w:rsid w:val="00904290"/>
    <w:rsid w:val="00904C4A"/>
    <w:rsid w:val="00906D01"/>
    <w:rsid w:val="0091019C"/>
    <w:rsid w:val="00911D78"/>
    <w:rsid w:val="009158E5"/>
    <w:rsid w:val="00915F37"/>
    <w:rsid w:val="00916A3E"/>
    <w:rsid w:val="00923EF7"/>
    <w:rsid w:val="009347C8"/>
    <w:rsid w:val="00936EB2"/>
    <w:rsid w:val="00941EC9"/>
    <w:rsid w:val="0095111A"/>
    <w:rsid w:val="00951389"/>
    <w:rsid w:val="0096264B"/>
    <w:rsid w:val="00967DC8"/>
    <w:rsid w:val="00974C96"/>
    <w:rsid w:val="009761E3"/>
    <w:rsid w:val="009842F6"/>
    <w:rsid w:val="009855D7"/>
    <w:rsid w:val="00990B7E"/>
    <w:rsid w:val="0099485B"/>
    <w:rsid w:val="009A65EB"/>
    <w:rsid w:val="009B1276"/>
    <w:rsid w:val="009B25A1"/>
    <w:rsid w:val="009C097E"/>
    <w:rsid w:val="009E3CD9"/>
    <w:rsid w:val="00A00BFC"/>
    <w:rsid w:val="00A0426C"/>
    <w:rsid w:val="00A07866"/>
    <w:rsid w:val="00A17830"/>
    <w:rsid w:val="00A222FB"/>
    <w:rsid w:val="00A31BB2"/>
    <w:rsid w:val="00A469D3"/>
    <w:rsid w:val="00A501CE"/>
    <w:rsid w:val="00A51989"/>
    <w:rsid w:val="00A528DF"/>
    <w:rsid w:val="00A531F2"/>
    <w:rsid w:val="00A542D3"/>
    <w:rsid w:val="00A62020"/>
    <w:rsid w:val="00A659DF"/>
    <w:rsid w:val="00A700CD"/>
    <w:rsid w:val="00A73A9D"/>
    <w:rsid w:val="00AA7A6C"/>
    <w:rsid w:val="00AB34D2"/>
    <w:rsid w:val="00AB6853"/>
    <w:rsid w:val="00AC0682"/>
    <w:rsid w:val="00AC538E"/>
    <w:rsid w:val="00AE0F28"/>
    <w:rsid w:val="00AE6FDD"/>
    <w:rsid w:val="00AF1E95"/>
    <w:rsid w:val="00AF48A4"/>
    <w:rsid w:val="00AF7866"/>
    <w:rsid w:val="00B111CA"/>
    <w:rsid w:val="00B153E6"/>
    <w:rsid w:val="00B2460D"/>
    <w:rsid w:val="00B24F18"/>
    <w:rsid w:val="00B33C39"/>
    <w:rsid w:val="00B37E01"/>
    <w:rsid w:val="00B56341"/>
    <w:rsid w:val="00B56BBB"/>
    <w:rsid w:val="00B60FD1"/>
    <w:rsid w:val="00B628C6"/>
    <w:rsid w:val="00B62EC4"/>
    <w:rsid w:val="00B67975"/>
    <w:rsid w:val="00B8602E"/>
    <w:rsid w:val="00B90D1F"/>
    <w:rsid w:val="00B95136"/>
    <w:rsid w:val="00BA5172"/>
    <w:rsid w:val="00BC30B5"/>
    <w:rsid w:val="00BD3EEF"/>
    <w:rsid w:val="00BE1BF0"/>
    <w:rsid w:val="00BE2C1A"/>
    <w:rsid w:val="00BE5EE4"/>
    <w:rsid w:val="00BF7A4D"/>
    <w:rsid w:val="00C028D2"/>
    <w:rsid w:val="00C0511A"/>
    <w:rsid w:val="00C1724C"/>
    <w:rsid w:val="00C22620"/>
    <w:rsid w:val="00C33D8F"/>
    <w:rsid w:val="00C36070"/>
    <w:rsid w:val="00C3673D"/>
    <w:rsid w:val="00C409D7"/>
    <w:rsid w:val="00C40D38"/>
    <w:rsid w:val="00C52338"/>
    <w:rsid w:val="00C7351A"/>
    <w:rsid w:val="00C74662"/>
    <w:rsid w:val="00C76959"/>
    <w:rsid w:val="00C76BD9"/>
    <w:rsid w:val="00C77C48"/>
    <w:rsid w:val="00C81AF6"/>
    <w:rsid w:val="00C83B53"/>
    <w:rsid w:val="00C90A1D"/>
    <w:rsid w:val="00CA12C3"/>
    <w:rsid w:val="00CA247C"/>
    <w:rsid w:val="00CA40B9"/>
    <w:rsid w:val="00CB0525"/>
    <w:rsid w:val="00CB0ADB"/>
    <w:rsid w:val="00CB0E58"/>
    <w:rsid w:val="00CD3E5C"/>
    <w:rsid w:val="00CD60C6"/>
    <w:rsid w:val="00CE4D5E"/>
    <w:rsid w:val="00CE4EBE"/>
    <w:rsid w:val="00CE55C8"/>
    <w:rsid w:val="00CE5E74"/>
    <w:rsid w:val="00CF1DAA"/>
    <w:rsid w:val="00D115E7"/>
    <w:rsid w:val="00D177A9"/>
    <w:rsid w:val="00D5098B"/>
    <w:rsid w:val="00D57270"/>
    <w:rsid w:val="00D57DF3"/>
    <w:rsid w:val="00D61786"/>
    <w:rsid w:val="00D63A37"/>
    <w:rsid w:val="00D72ED2"/>
    <w:rsid w:val="00D808B3"/>
    <w:rsid w:val="00D80A5D"/>
    <w:rsid w:val="00D850DC"/>
    <w:rsid w:val="00D935C4"/>
    <w:rsid w:val="00D94B5D"/>
    <w:rsid w:val="00DA5396"/>
    <w:rsid w:val="00DA62A0"/>
    <w:rsid w:val="00DB7C66"/>
    <w:rsid w:val="00DC17B0"/>
    <w:rsid w:val="00DC1AE4"/>
    <w:rsid w:val="00DC3A3E"/>
    <w:rsid w:val="00DC7751"/>
    <w:rsid w:val="00DE5C59"/>
    <w:rsid w:val="00DE79BC"/>
    <w:rsid w:val="00DF3B7D"/>
    <w:rsid w:val="00DF7C51"/>
    <w:rsid w:val="00E04B4C"/>
    <w:rsid w:val="00E10CD2"/>
    <w:rsid w:val="00E21209"/>
    <w:rsid w:val="00E26357"/>
    <w:rsid w:val="00E42ED0"/>
    <w:rsid w:val="00E47893"/>
    <w:rsid w:val="00E47A39"/>
    <w:rsid w:val="00E5235D"/>
    <w:rsid w:val="00E564BE"/>
    <w:rsid w:val="00E606B1"/>
    <w:rsid w:val="00E6194F"/>
    <w:rsid w:val="00E71AA5"/>
    <w:rsid w:val="00EA0FEF"/>
    <w:rsid w:val="00EB35B7"/>
    <w:rsid w:val="00EB3CDC"/>
    <w:rsid w:val="00EB695E"/>
    <w:rsid w:val="00EC3B99"/>
    <w:rsid w:val="00EC6659"/>
    <w:rsid w:val="00ED30FC"/>
    <w:rsid w:val="00ED779D"/>
    <w:rsid w:val="00EE344D"/>
    <w:rsid w:val="00EE3C72"/>
    <w:rsid w:val="00EE51F9"/>
    <w:rsid w:val="00EE55CD"/>
    <w:rsid w:val="00EE5EE5"/>
    <w:rsid w:val="00EE5F74"/>
    <w:rsid w:val="00EF586A"/>
    <w:rsid w:val="00EF5C91"/>
    <w:rsid w:val="00F02F9E"/>
    <w:rsid w:val="00F21128"/>
    <w:rsid w:val="00F25165"/>
    <w:rsid w:val="00F25654"/>
    <w:rsid w:val="00F35443"/>
    <w:rsid w:val="00F74F01"/>
    <w:rsid w:val="00F814CF"/>
    <w:rsid w:val="00F87859"/>
    <w:rsid w:val="00F91C52"/>
    <w:rsid w:val="00FA3FE7"/>
    <w:rsid w:val="00FA4E53"/>
    <w:rsid w:val="00FA5E66"/>
    <w:rsid w:val="00FA77E9"/>
    <w:rsid w:val="00FB39CF"/>
    <w:rsid w:val="00FB3F6A"/>
    <w:rsid w:val="00FD2F83"/>
    <w:rsid w:val="00FE41E2"/>
    <w:rsid w:val="00FE42BF"/>
    <w:rsid w:val="00FE53AC"/>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D37E2"/>
  <w15:docId w15:val="{2ACE6838-44CE-4F2B-8F91-E2B04E5E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C6"/>
    <w:pPr>
      <w:spacing w:before="120" w:after="120" w:line="276" w:lineRule="auto"/>
    </w:pPr>
    <w:rPr>
      <w:rFonts w:ascii="Calibri" w:eastAsia="Times New Roman" w:hAnsi="Calibri" w:cs="Calibri"/>
      <w:kern w:val="21"/>
      <w:sz w:val="22"/>
      <w:szCs w:val="22"/>
      <w:lang w:val="en-GB"/>
    </w:rPr>
  </w:style>
  <w:style w:type="paragraph" w:styleId="Heading1">
    <w:name w:val="heading 1"/>
    <w:basedOn w:val="Normal"/>
    <w:next w:val="Normal"/>
    <w:link w:val="Heading1Char"/>
    <w:uiPriority w:val="9"/>
    <w:qFormat/>
    <w:rsid w:val="005A094A"/>
    <w:pPr>
      <w:keepNext/>
      <w:keepLines/>
      <w:spacing w:before="360"/>
      <w:outlineLvl w:val="0"/>
    </w:pPr>
    <w:rPr>
      <w:rFonts w:cs="Times New Roman"/>
      <w:b/>
      <w:bCs/>
      <w:color w:val="000000" w:themeColor="text1"/>
      <w:sz w:val="48"/>
      <w:szCs w:val="48"/>
    </w:rPr>
  </w:style>
  <w:style w:type="paragraph" w:styleId="Heading2">
    <w:name w:val="heading 2"/>
    <w:basedOn w:val="Normal"/>
    <w:next w:val="Normal"/>
    <w:link w:val="Heading2Char"/>
    <w:uiPriority w:val="9"/>
    <w:unhideWhenUsed/>
    <w:qFormat/>
    <w:rsid w:val="002F02C6"/>
    <w:pPr>
      <w:keepNext/>
      <w:keepLines/>
      <w:spacing w:before="720"/>
      <w:outlineLvl w:val="1"/>
    </w:pPr>
    <w:rPr>
      <w:b/>
      <w:color w:val="0A59AB"/>
      <w:kern w:val="0"/>
      <w:sz w:val="30"/>
      <w:szCs w:val="30"/>
    </w:rPr>
  </w:style>
  <w:style w:type="paragraph" w:styleId="Heading3">
    <w:name w:val="heading 3"/>
    <w:basedOn w:val="Subtitle"/>
    <w:next w:val="Normal"/>
    <w:link w:val="Heading3Char"/>
    <w:uiPriority w:val="9"/>
    <w:unhideWhenUsed/>
    <w:qFormat/>
    <w:rsid w:val="00867838"/>
    <w:pPr>
      <w:spacing w:before="480"/>
      <w:outlineLvl w:val="2"/>
    </w:pPr>
    <w:rPr>
      <w:bCs w:val="0"/>
      <w:iCs w:val="0"/>
    </w:rPr>
  </w:style>
  <w:style w:type="paragraph" w:styleId="Heading4">
    <w:name w:val="heading 4"/>
    <w:basedOn w:val="Subtitle"/>
    <w:next w:val="Normal"/>
    <w:link w:val="Heading4Char"/>
    <w:uiPriority w:val="9"/>
    <w:unhideWhenUsed/>
    <w:qFormat/>
    <w:rsid w:val="002F02C6"/>
    <w:pPr>
      <w:outlineLvl w:val="3"/>
    </w:pPr>
    <w:rPr>
      <w:rFonts w:cs="Calibri"/>
      <w:bCs w:val="0"/>
      <w:color w:val="0A59A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670"/>
    <w:pPr>
      <w:contextualSpacing/>
    </w:pPr>
    <w:rPr>
      <w:rFonts w:ascii="Times New Roman" w:hAnsi="Times New Roman" w:cs="Times New Roman"/>
      <w:spacing w:val="-10"/>
      <w:kern w:val="28"/>
      <w:sz w:val="56"/>
      <w:szCs w:val="56"/>
    </w:rPr>
  </w:style>
  <w:style w:type="character" w:customStyle="1" w:styleId="TitleChar">
    <w:name w:val="Title Char"/>
    <w:basedOn w:val="DefaultParagraphFont"/>
    <w:link w:val="Title"/>
    <w:uiPriority w:val="10"/>
    <w:rsid w:val="00113670"/>
    <w:rPr>
      <w:rFonts w:ascii="Times New Roman" w:eastAsia="Times New Roman" w:hAnsi="Times New Roman" w:cs="Times New Roman"/>
      <w:spacing w:val="-10"/>
      <w:kern w:val="28"/>
      <w:sz w:val="56"/>
      <w:szCs w:val="56"/>
    </w:rPr>
  </w:style>
  <w:style w:type="character" w:customStyle="1" w:styleId="Heading1Char">
    <w:name w:val="Heading 1 Char"/>
    <w:basedOn w:val="DefaultParagraphFont"/>
    <w:link w:val="Heading1"/>
    <w:uiPriority w:val="9"/>
    <w:rsid w:val="005A094A"/>
    <w:rPr>
      <w:rFonts w:ascii="Calibri" w:eastAsia="Times New Roman" w:hAnsi="Calibri" w:cs="Times New Roman"/>
      <w:b/>
      <w:bCs/>
      <w:color w:val="000000" w:themeColor="text1"/>
      <w:sz w:val="48"/>
      <w:szCs w:val="48"/>
      <w:lang w:val="en-GB"/>
    </w:rPr>
  </w:style>
  <w:style w:type="paragraph" w:customStyle="1" w:styleId="MIndHeader">
    <w:name w:val="M.Ind.Header"/>
    <w:basedOn w:val="Normal"/>
    <w:link w:val="MIndHeaderChar"/>
    <w:rsid w:val="005A094A"/>
    <w:pPr>
      <w:shd w:val="clear" w:color="auto" w:fill="F5F5F5"/>
      <w:outlineLvl w:val="1"/>
    </w:pPr>
    <w:rPr>
      <w:b/>
      <w:color w:val="1C75BC"/>
    </w:rPr>
  </w:style>
  <w:style w:type="character" w:customStyle="1" w:styleId="MIndHeaderChar">
    <w:name w:val="M.Ind.Header Char"/>
    <w:basedOn w:val="DefaultParagraphFont"/>
    <w:link w:val="MIndHeader"/>
    <w:rsid w:val="005A094A"/>
    <w:rPr>
      <w:rFonts w:ascii="Calibri" w:eastAsia="Times New Roman" w:hAnsi="Calibri" w:cs="Times New Roman"/>
      <w:b/>
      <w:color w:val="1C75BC"/>
      <w:sz w:val="22"/>
      <w:szCs w:val="22"/>
      <w:shd w:val="clear" w:color="auto" w:fill="F5F5F5"/>
      <w:lang w:val="en-GB"/>
    </w:rPr>
  </w:style>
  <w:style w:type="paragraph" w:styleId="ListParagraph">
    <w:name w:val="List Paragraph"/>
    <w:basedOn w:val="Normal"/>
    <w:uiPriority w:val="34"/>
    <w:qFormat/>
    <w:rsid w:val="009347C8"/>
    <w:pPr>
      <w:numPr>
        <w:numId w:val="1"/>
      </w:numPr>
      <w:ind w:left="1080"/>
    </w:pPr>
    <w:rPr>
      <w:lang w:eastAsia="zh-CN"/>
    </w:rPr>
  </w:style>
  <w:style w:type="character" w:styleId="Hyperlink">
    <w:name w:val="Hyperlink"/>
    <w:basedOn w:val="DefaultParagraphFont"/>
    <w:uiPriority w:val="99"/>
    <w:unhideWhenUsed/>
    <w:rsid w:val="00EE51F9"/>
    <w:rPr>
      <w:color w:val="0000FF"/>
      <w:u w:val="single"/>
    </w:rPr>
  </w:style>
  <w:style w:type="character" w:customStyle="1" w:styleId="UnresolvedMention1">
    <w:name w:val="Unresolved Mention1"/>
    <w:basedOn w:val="DefaultParagraphFont"/>
    <w:uiPriority w:val="99"/>
    <w:semiHidden/>
    <w:unhideWhenUsed/>
    <w:rsid w:val="00D115E7"/>
    <w:rPr>
      <w:color w:val="605E5C"/>
      <w:shd w:val="clear" w:color="auto" w:fill="E1DFDD"/>
    </w:rPr>
  </w:style>
  <w:style w:type="paragraph" w:styleId="NormalWeb">
    <w:name w:val="Normal (Web)"/>
    <w:basedOn w:val="Normal"/>
    <w:uiPriority w:val="99"/>
    <w:unhideWhenUsed/>
    <w:rsid w:val="00D80A5D"/>
    <w:pPr>
      <w:spacing w:before="100" w:beforeAutospacing="1" w:after="100" w:afterAutospacing="1"/>
    </w:pPr>
  </w:style>
  <w:style w:type="character" w:customStyle="1" w:styleId="apple-converted-space">
    <w:name w:val="apple-converted-space"/>
    <w:basedOn w:val="DefaultParagraphFont"/>
    <w:rsid w:val="00BE1BF0"/>
  </w:style>
  <w:style w:type="paragraph" w:customStyle="1" w:styleId="form-control-static">
    <w:name w:val="form-control-static"/>
    <w:basedOn w:val="Normal"/>
    <w:rsid w:val="00BE1BF0"/>
    <w:pPr>
      <w:spacing w:before="100" w:beforeAutospacing="1" w:after="100" w:afterAutospacing="1"/>
    </w:pPr>
  </w:style>
  <w:style w:type="paragraph" w:customStyle="1" w:styleId="MText">
    <w:name w:val="M.Text"/>
    <w:basedOn w:val="Normal"/>
    <w:link w:val="MTextChar"/>
    <w:qFormat/>
    <w:rsid w:val="00E606B1"/>
    <w:pPr>
      <w:shd w:val="clear" w:color="auto" w:fill="FFFFFF"/>
    </w:pPr>
    <w:rPr>
      <w:color w:val="4A4A4A"/>
      <w:sz w:val="21"/>
      <w:szCs w:val="21"/>
    </w:rPr>
  </w:style>
  <w:style w:type="character" w:customStyle="1" w:styleId="MTextChar">
    <w:name w:val="M.Text Char"/>
    <w:basedOn w:val="DefaultParagraphFont"/>
    <w:link w:val="MText"/>
    <w:rsid w:val="00E606B1"/>
    <w:rPr>
      <w:rFonts w:eastAsia="Times New Roman" w:cs="Times New Roman"/>
      <w:color w:val="4A4A4A"/>
      <w:sz w:val="21"/>
      <w:szCs w:val="21"/>
      <w:shd w:val="clear" w:color="auto" w:fill="FFFFFF"/>
      <w:lang w:val="en-GB" w:eastAsia="en-GB"/>
    </w:rPr>
  </w:style>
  <w:style w:type="table" w:styleId="TableGrid">
    <w:name w:val="Table Grid"/>
    <w:basedOn w:val="TableNormal"/>
    <w:uiPriority w:val="59"/>
    <w:rsid w:val="00E606B1"/>
    <w:rPr>
      <w:rFonts w:eastAsia="Times New Roman"/>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eader">
    <w:name w:val="M.Header"/>
    <w:basedOn w:val="Normal"/>
    <w:link w:val="MHeaderChar"/>
    <w:rsid w:val="005A094A"/>
    <w:pPr>
      <w:pBdr>
        <w:bottom w:val="single" w:sz="12" w:space="4" w:color="DDDDDD"/>
      </w:pBdr>
      <w:shd w:val="clear" w:color="auto" w:fill="FFFFFF"/>
      <w:outlineLvl w:val="2"/>
    </w:pPr>
    <w:rPr>
      <w:b/>
      <w:color w:val="1C75BC"/>
      <w:sz w:val="36"/>
      <w:szCs w:val="36"/>
    </w:rPr>
  </w:style>
  <w:style w:type="character" w:customStyle="1" w:styleId="MHeaderChar">
    <w:name w:val="M.Header Char"/>
    <w:basedOn w:val="DefaultParagraphFont"/>
    <w:link w:val="MHeader"/>
    <w:rsid w:val="005A094A"/>
    <w:rPr>
      <w:rFonts w:ascii="Calibri" w:eastAsia="Times New Roman" w:hAnsi="Calibri" w:cs="Times New Roman"/>
      <w:b/>
      <w:color w:val="1C75BC"/>
      <w:sz w:val="36"/>
      <w:szCs w:val="36"/>
      <w:shd w:val="clear" w:color="auto" w:fill="FFFFFF"/>
      <w:lang w:val="en-GB"/>
    </w:rPr>
  </w:style>
  <w:style w:type="paragraph" w:customStyle="1" w:styleId="MSubHeader">
    <w:name w:val="M.Sub.Header"/>
    <w:basedOn w:val="Normal"/>
    <w:link w:val="MSubHeaderChar"/>
    <w:rsid w:val="005A094A"/>
    <w:pPr>
      <w:shd w:val="clear" w:color="auto" w:fill="FFFFFF"/>
    </w:pPr>
    <w:rPr>
      <w:b/>
      <w:bCs/>
      <w:color w:val="4A4A4A"/>
      <w:sz w:val="21"/>
      <w:szCs w:val="21"/>
    </w:rPr>
  </w:style>
  <w:style w:type="character" w:customStyle="1" w:styleId="MSubHeaderChar">
    <w:name w:val="M.Sub.Header Char"/>
    <w:basedOn w:val="DefaultParagraphFont"/>
    <w:link w:val="MSubHeader"/>
    <w:rsid w:val="005A094A"/>
    <w:rPr>
      <w:rFonts w:ascii="Calibri" w:eastAsia="Times New Roman" w:hAnsi="Calibri" w:cs="Times New Roman"/>
      <w:b/>
      <w:bCs/>
      <w:color w:val="4A4A4A"/>
      <w:sz w:val="21"/>
      <w:szCs w:val="21"/>
      <w:shd w:val="clear" w:color="auto" w:fill="FFFFFF"/>
      <w:lang w:val="en-GB"/>
    </w:rPr>
  </w:style>
  <w:style w:type="character" w:styleId="FootnoteReference">
    <w:name w:val="footnote reference"/>
    <w:aliases w:val="4_G"/>
    <w:basedOn w:val="DefaultParagraphFont"/>
    <w:uiPriority w:val="99"/>
    <w:unhideWhenUsed/>
    <w:rsid w:val="00A531F2"/>
    <w:rPr>
      <w:vertAlign w:val="superscript"/>
    </w:rPr>
  </w:style>
  <w:style w:type="character" w:styleId="FollowedHyperlink">
    <w:name w:val="FollowedHyperlink"/>
    <w:basedOn w:val="DefaultParagraphFont"/>
    <w:uiPriority w:val="99"/>
    <w:semiHidden/>
    <w:unhideWhenUsed/>
    <w:rsid w:val="000F5328"/>
    <w:rPr>
      <w:color w:val="954F72" w:themeColor="followedHyperlink"/>
      <w:u w:val="single"/>
    </w:rPr>
  </w:style>
  <w:style w:type="paragraph" w:styleId="BalloonText">
    <w:name w:val="Balloon Text"/>
    <w:basedOn w:val="Normal"/>
    <w:link w:val="BalloonTextChar"/>
    <w:uiPriority w:val="99"/>
    <w:semiHidden/>
    <w:unhideWhenUsed/>
    <w:rsid w:val="004D43D0"/>
    <w:rPr>
      <w:sz w:val="18"/>
      <w:szCs w:val="18"/>
    </w:rPr>
  </w:style>
  <w:style w:type="character" w:customStyle="1" w:styleId="BalloonTextChar">
    <w:name w:val="Balloon Text Char"/>
    <w:basedOn w:val="DefaultParagraphFont"/>
    <w:link w:val="BalloonText"/>
    <w:uiPriority w:val="99"/>
    <w:semiHidden/>
    <w:rsid w:val="004D43D0"/>
    <w:rPr>
      <w:rFonts w:ascii="Times New Roman" w:eastAsia="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941EC9"/>
    <w:rPr>
      <w:sz w:val="16"/>
      <w:szCs w:val="16"/>
    </w:rPr>
  </w:style>
  <w:style w:type="paragraph" w:styleId="CommentText">
    <w:name w:val="annotation text"/>
    <w:basedOn w:val="Normal"/>
    <w:link w:val="CommentTextChar"/>
    <w:uiPriority w:val="99"/>
    <w:unhideWhenUsed/>
    <w:rsid w:val="00941EC9"/>
    <w:rPr>
      <w:sz w:val="20"/>
      <w:szCs w:val="20"/>
    </w:rPr>
  </w:style>
  <w:style w:type="character" w:customStyle="1" w:styleId="CommentTextChar">
    <w:name w:val="Comment Text Char"/>
    <w:basedOn w:val="DefaultParagraphFont"/>
    <w:link w:val="CommentText"/>
    <w:uiPriority w:val="99"/>
    <w:rsid w:val="00941EC9"/>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EC9"/>
    <w:rPr>
      <w:b/>
      <w:bCs/>
    </w:rPr>
  </w:style>
  <w:style w:type="character" w:customStyle="1" w:styleId="CommentSubjectChar">
    <w:name w:val="Comment Subject Char"/>
    <w:basedOn w:val="CommentTextChar"/>
    <w:link w:val="CommentSubject"/>
    <w:uiPriority w:val="99"/>
    <w:semiHidden/>
    <w:rsid w:val="00941EC9"/>
    <w:rPr>
      <w:rFonts w:eastAsia="Times New Roman" w:cs="Times New Roman"/>
      <w:b/>
      <w:bCs/>
      <w:sz w:val="20"/>
      <w:szCs w:val="20"/>
      <w:lang w:eastAsia="en-GB"/>
    </w:rPr>
  </w:style>
  <w:style w:type="character" w:styleId="Strong">
    <w:name w:val="Strong"/>
    <w:basedOn w:val="DefaultParagraphFont"/>
    <w:uiPriority w:val="22"/>
    <w:qFormat/>
    <w:rsid w:val="007573A5"/>
    <w:rPr>
      <w:b/>
      <w:bCs/>
    </w:rPr>
  </w:style>
  <w:style w:type="character" w:customStyle="1" w:styleId="UnresolvedMention2">
    <w:name w:val="Unresolved Mention2"/>
    <w:basedOn w:val="DefaultParagraphFont"/>
    <w:uiPriority w:val="99"/>
    <w:semiHidden/>
    <w:unhideWhenUsed/>
    <w:rsid w:val="002218F7"/>
    <w:rPr>
      <w:color w:val="605E5C"/>
      <w:shd w:val="clear" w:color="auto" w:fill="E1DFDD"/>
    </w:rPr>
  </w:style>
  <w:style w:type="paragraph" w:styleId="Caption">
    <w:name w:val="caption"/>
    <w:basedOn w:val="Normal"/>
    <w:next w:val="Normal"/>
    <w:uiPriority w:val="35"/>
    <w:unhideWhenUsed/>
    <w:qFormat/>
    <w:rsid w:val="00C028D2"/>
    <w:pPr>
      <w:spacing w:after="200"/>
    </w:pPr>
    <w:rPr>
      <w:i/>
      <w:iCs/>
      <w:color w:val="44546A" w:themeColor="text2"/>
      <w:sz w:val="18"/>
      <w:szCs w:val="18"/>
    </w:rPr>
  </w:style>
  <w:style w:type="paragraph" w:styleId="Revision">
    <w:name w:val="Revision"/>
    <w:hidden/>
    <w:uiPriority w:val="99"/>
    <w:semiHidden/>
    <w:rsid w:val="00A0426C"/>
    <w:rPr>
      <w:rFonts w:eastAsia="Times New Roman" w:cs="Times New Roman"/>
      <w:sz w:val="22"/>
      <w:szCs w:val="22"/>
      <w:lang w:val="en-GB"/>
    </w:rPr>
  </w:style>
  <w:style w:type="paragraph" w:styleId="Header">
    <w:name w:val="header"/>
    <w:basedOn w:val="Normal"/>
    <w:link w:val="HeaderChar"/>
    <w:uiPriority w:val="99"/>
    <w:unhideWhenUsed/>
    <w:rsid w:val="00527BE5"/>
    <w:pPr>
      <w:tabs>
        <w:tab w:val="center" w:pos="4680"/>
        <w:tab w:val="right" w:pos="9360"/>
      </w:tabs>
    </w:pPr>
  </w:style>
  <w:style w:type="character" w:customStyle="1" w:styleId="HeaderChar">
    <w:name w:val="Header Char"/>
    <w:basedOn w:val="DefaultParagraphFont"/>
    <w:link w:val="Header"/>
    <w:uiPriority w:val="99"/>
    <w:rsid w:val="00527BE5"/>
    <w:rPr>
      <w:rFonts w:eastAsia="Times New Roman" w:cs="Times New Roman"/>
      <w:sz w:val="22"/>
      <w:szCs w:val="22"/>
      <w:lang w:val="en-GB"/>
    </w:rPr>
  </w:style>
  <w:style w:type="paragraph" w:styleId="Footer">
    <w:name w:val="footer"/>
    <w:basedOn w:val="Normal"/>
    <w:link w:val="FooterChar"/>
    <w:uiPriority w:val="99"/>
    <w:unhideWhenUsed/>
    <w:rsid w:val="00527BE5"/>
    <w:pPr>
      <w:tabs>
        <w:tab w:val="center" w:pos="4680"/>
        <w:tab w:val="right" w:pos="9360"/>
      </w:tabs>
    </w:pPr>
  </w:style>
  <w:style w:type="character" w:customStyle="1" w:styleId="FooterChar">
    <w:name w:val="Footer Char"/>
    <w:basedOn w:val="DefaultParagraphFont"/>
    <w:link w:val="Footer"/>
    <w:uiPriority w:val="99"/>
    <w:rsid w:val="00527BE5"/>
    <w:rPr>
      <w:rFonts w:eastAsia="Times New Roman" w:cs="Times New Roman"/>
      <w:sz w:val="22"/>
      <w:szCs w:val="22"/>
      <w:lang w:val="en-GB"/>
    </w:rPr>
  </w:style>
  <w:style w:type="character" w:customStyle="1" w:styleId="Heading2Char">
    <w:name w:val="Heading 2 Char"/>
    <w:basedOn w:val="DefaultParagraphFont"/>
    <w:link w:val="Heading2"/>
    <w:uiPriority w:val="9"/>
    <w:rsid w:val="002F02C6"/>
    <w:rPr>
      <w:rFonts w:ascii="Calibri" w:eastAsia="Times New Roman" w:hAnsi="Calibri" w:cs="Calibri"/>
      <w:b/>
      <w:color w:val="0A59AB"/>
      <w:sz w:val="30"/>
      <w:szCs w:val="30"/>
      <w:lang w:val="en-GB"/>
    </w:rPr>
  </w:style>
  <w:style w:type="paragraph" w:styleId="Subtitle">
    <w:name w:val="Subtitle"/>
    <w:basedOn w:val="Heading1"/>
    <w:next w:val="Normal"/>
    <w:link w:val="SubtitleChar"/>
    <w:uiPriority w:val="11"/>
    <w:qFormat/>
    <w:rsid w:val="00EC3B99"/>
    <w:rPr>
      <w:i/>
      <w:iCs/>
      <w:sz w:val="23"/>
      <w:szCs w:val="23"/>
    </w:rPr>
  </w:style>
  <w:style w:type="character" w:customStyle="1" w:styleId="SubtitleChar">
    <w:name w:val="Subtitle Char"/>
    <w:basedOn w:val="DefaultParagraphFont"/>
    <w:link w:val="Subtitle"/>
    <w:uiPriority w:val="11"/>
    <w:rsid w:val="00EC3B99"/>
    <w:rPr>
      <w:rFonts w:ascii="Calibri" w:eastAsia="Times New Roman" w:hAnsi="Calibri" w:cs="Times New Roman"/>
      <w:b/>
      <w:bCs/>
      <w:i/>
      <w:iCs/>
      <w:color w:val="000000" w:themeColor="text1"/>
      <w:sz w:val="23"/>
      <w:szCs w:val="23"/>
      <w:lang w:val="en-GB"/>
    </w:rPr>
  </w:style>
  <w:style w:type="character" w:styleId="SubtleEmphasis">
    <w:name w:val="Subtle Emphasis"/>
    <w:uiPriority w:val="19"/>
    <w:qFormat/>
    <w:rsid w:val="00EC3B99"/>
    <w:rPr>
      <w:rFonts w:ascii="Calibri" w:hAnsi="Calibri"/>
      <w:b/>
      <w:i/>
      <w:iCs/>
      <w:sz w:val="23"/>
      <w:szCs w:val="23"/>
      <w:lang w:eastAsia="en-GB"/>
    </w:rPr>
  </w:style>
  <w:style w:type="character" w:customStyle="1" w:styleId="Heading3Char">
    <w:name w:val="Heading 3 Char"/>
    <w:basedOn w:val="DefaultParagraphFont"/>
    <w:link w:val="Heading3"/>
    <w:uiPriority w:val="9"/>
    <w:rsid w:val="00867838"/>
    <w:rPr>
      <w:rFonts w:ascii="Calibri" w:eastAsia="Times New Roman" w:hAnsi="Calibri" w:cs="Times New Roman"/>
      <w:b/>
      <w:i/>
      <w:color w:val="000000" w:themeColor="text1"/>
      <w:kern w:val="21"/>
      <w:sz w:val="23"/>
      <w:szCs w:val="23"/>
      <w:lang w:val="en-GB"/>
    </w:rPr>
  </w:style>
  <w:style w:type="character" w:customStyle="1" w:styleId="Heading4Char">
    <w:name w:val="Heading 4 Char"/>
    <w:basedOn w:val="DefaultParagraphFont"/>
    <w:link w:val="Heading4"/>
    <w:uiPriority w:val="9"/>
    <w:rsid w:val="002F02C6"/>
    <w:rPr>
      <w:rFonts w:ascii="Calibri" w:eastAsia="Times New Roman" w:hAnsi="Calibri" w:cs="Calibri"/>
      <w:b/>
      <w:i/>
      <w:iCs/>
      <w:color w:val="0A59AB"/>
      <w:kern w:val="21"/>
      <w:sz w:val="23"/>
      <w:szCs w:val="23"/>
      <w:lang w:val="en-GB"/>
    </w:rPr>
  </w:style>
  <w:style w:type="character" w:styleId="PageNumber">
    <w:name w:val="page number"/>
    <w:basedOn w:val="DefaultParagraphFont"/>
    <w:uiPriority w:val="99"/>
    <w:semiHidden/>
    <w:unhideWhenUsed/>
    <w:rsid w:val="008A44D4"/>
    <w:rPr>
      <w:rFonts w:ascii="Calibri" w:hAnsi="Calibri"/>
      <w:b w:val="0"/>
      <w:i w:val="0"/>
      <w:spacing w:val="0"/>
      <w:position w:val="6"/>
      <w:sz w:val="20"/>
    </w:rPr>
  </w:style>
  <w:style w:type="paragraph" w:customStyle="1" w:styleId="TableHeader">
    <w:name w:val="Table Header"/>
    <w:basedOn w:val="Heading3"/>
    <w:qFormat/>
    <w:rsid w:val="002F02C6"/>
    <w:rPr>
      <w:b w:val="0"/>
      <w:bCs/>
      <w:i w:val="0"/>
      <w:iCs/>
    </w:rPr>
  </w:style>
  <w:style w:type="paragraph" w:customStyle="1" w:styleId="TableHeading">
    <w:name w:val="Table Heading"/>
    <w:basedOn w:val="Heading3"/>
    <w:qFormat/>
    <w:rsid w:val="00EE55CD"/>
    <w:rPr>
      <w:rFonts w:ascii="Futura PT Medium" w:hAnsi="Futura PT Medium"/>
      <w:bCs/>
      <w:i w:val="0"/>
      <w:iCs/>
    </w:rPr>
  </w:style>
  <w:style w:type="paragraph" w:customStyle="1" w:styleId="TableHeaderRow">
    <w:name w:val="Table Header Row"/>
    <w:basedOn w:val="Normal"/>
    <w:qFormat/>
    <w:rsid w:val="002F02C6"/>
    <w:rPr>
      <w:b/>
      <w:bCs/>
      <w:sz w:val="21"/>
    </w:rPr>
  </w:style>
  <w:style w:type="paragraph" w:customStyle="1" w:styleId="NoParagraphStyle">
    <w:name w:val="[No Paragraph Style]"/>
    <w:rsid w:val="006D0FAA"/>
    <w:pPr>
      <w:autoSpaceDE w:val="0"/>
      <w:autoSpaceDN w:val="0"/>
      <w:adjustRightInd w:val="0"/>
      <w:spacing w:line="288" w:lineRule="auto"/>
      <w:textAlignment w:val="center"/>
    </w:pPr>
    <w:rPr>
      <w:rFonts w:ascii="Calibri" w:hAnsi="Calibri" w:cs="Calibri"/>
      <w:color w:val="000000"/>
      <w:lang w:val="en-GB"/>
    </w:rPr>
  </w:style>
  <w:style w:type="paragraph" w:customStyle="1" w:styleId="Default">
    <w:name w:val="Default"/>
    <w:rsid w:val="0026364F"/>
    <w:pPr>
      <w:autoSpaceDE w:val="0"/>
      <w:autoSpaceDN w:val="0"/>
      <w:adjustRightInd w:val="0"/>
    </w:pPr>
    <w:rPr>
      <w:rFonts w:ascii="Cambria" w:hAnsi="Cambria" w:cs="Cambria"/>
      <w:color w:val="000000"/>
    </w:rPr>
  </w:style>
  <w:style w:type="paragraph" w:customStyle="1" w:styleId="MHeader0">
    <w:name w:val="M_Header"/>
    <w:basedOn w:val="Normal"/>
    <w:link w:val="MHeaderChar0"/>
    <w:qFormat/>
    <w:rsid w:val="00FA5E66"/>
    <w:pPr>
      <w:pBdr>
        <w:bottom w:val="single" w:sz="12" w:space="4" w:color="DDDDDD"/>
      </w:pBdr>
      <w:shd w:val="clear" w:color="auto" w:fill="FFFFFF"/>
      <w:spacing w:before="0" w:after="0"/>
      <w:outlineLvl w:val="2"/>
    </w:pPr>
    <w:rPr>
      <w:rFonts w:ascii="Times New Roman" w:hAnsi="Times New Roman" w:cs="Times New Roman"/>
      <w:color w:val="1C75BC"/>
      <w:kern w:val="0"/>
      <w:sz w:val="36"/>
      <w:szCs w:val="36"/>
      <w:lang w:eastAsia="en-GB"/>
    </w:rPr>
  </w:style>
  <w:style w:type="paragraph" w:customStyle="1" w:styleId="MSubHeader0">
    <w:name w:val="M.SubHeader"/>
    <w:basedOn w:val="Normal"/>
    <w:link w:val="MSubHeaderChar0"/>
    <w:qFormat/>
    <w:rsid w:val="00FA5E66"/>
    <w:pPr>
      <w:shd w:val="clear" w:color="auto" w:fill="FFFFFF"/>
      <w:spacing w:before="0" w:after="0"/>
    </w:pPr>
    <w:rPr>
      <w:rFonts w:ascii="Times New Roman" w:hAnsi="Times New Roman" w:cs="Times New Roman"/>
      <w:b/>
      <w:bCs/>
      <w:color w:val="4A4A4A"/>
      <w:kern w:val="0"/>
      <w:sz w:val="21"/>
      <w:szCs w:val="21"/>
      <w:lang w:eastAsia="en-GB"/>
    </w:rPr>
  </w:style>
  <w:style w:type="character" w:customStyle="1" w:styleId="MHeaderChar0">
    <w:name w:val="M_Header Char"/>
    <w:basedOn w:val="DefaultParagraphFont"/>
    <w:link w:val="MHeader0"/>
    <w:rsid w:val="00FA5E66"/>
    <w:rPr>
      <w:rFonts w:eastAsia="Times New Roman" w:cs="Times New Roman"/>
      <w:color w:val="1C75BC"/>
      <w:sz w:val="36"/>
      <w:szCs w:val="36"/>
      <w:shd w:val="clear" w:color="auto" w:fill="FFFFFF"/>
      <w:lang w:val="en-GB" w:eastAsia="en-GB"/>
    </w:rPr>
  </w:style>
  <w:style w:type="character" w:customStyle="1" w:styleId="MSubHeaderChar0">
    <w:name w:val="M.SubHeader Char"/>
    <w:basedOn w:val="DefaultParagraphFont"/>
    <w:link w:val="MSubHeader0"/>
    <w:rsid w:val="00FA5E66"/>
    <w:rPr>
      <w:rFonts w:eastAsia="Times New Roman" w:cs="Times New Roman"/>
      <w:b/>
      <w:bCs/>
      <w:color w:val="4A4A4A"/>
      <w:sz w:val="21"/>
      <w:szCs w:val="21"/>
      <w:shd w:val="clear" w:color="auto" w:fill="FFFFFF"/>
      <w:lang w:val="en-GB" w:eastAsia="en-GB"/>
    </w:rPr>
  </w:style>
  <w:style w:type="paragraph" w:customStyle="1" w:styleId="BodyA">
    <w:name w:val="Body A"/>
    <w:rsid w:val="00FA5E66"/>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character" w:customStyle="1" w:styleId="UnresolvedMention3">
    <w:name w:val="Unresolved Mention3"/>
    <w:basedOn w:val="DefaultParagraphFont"/>
    <w:uiPriority w:val="99"/>
    <w:semiHidden/>
    <w:unhideWhenUsed/>
    <w:rsid w:val="00FA5E66"/>
    <w:rPr>
      <w:color w:val="605E5C"/>
      <w:shd w:val="clear" w:color="auto" w:fill="E1DFDD"/>
    </w:rPr>
  </w:style>
  <w:style w:type="character" w:customStyle="1" w:styleId="UnresolvedMention4">
    <w:name w:val="Unresolved Mention4"/>
    <w:basedOn w:val="DefaultParagraphFont"/>
    <w:uiPriority w:val="99"/>
    <w:semiHidden/>
    <w:unhideWhenUsed/>
    <w:rsid w:val="002F0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0453">
      <w:bodyDiv w:val="1"/>
      <w:marLeft w:val="0"/>
      <w:marRight w:val="0"/>
      <w:marTop w:val="0"/>
      <w:marBottom w:val="0"/>
      <w:divBdr>
        <w:top w:val="none" w:sz="0" w:space="0" w:color="auto"/>
        <w:left w:val="none" w:sz="0" w:space="0" w:color="auto"/>
        <w:bottom w:val="none" w:sz="0" w:space="0" w:color="auto"/>
        <w:right w:val="none" w:sz="0" w:space="0" w:color="auto"/>
      </w:divBdr>
    </w:div>
    <w:div w:id="21321679">
      <w:bodyDiv w:val="1"/>
      <w:marLeft w:val="0"/>
      <w:marRight w:val="0"/>
      <w:marTop w:val="0"/>
      <w:marBottom w:val="0"/>
      <w:divBdr>
        <w:top w:val="none" w:sz="0" w:space="0" w:color="auto"/>
        <w:left w:val="none" w:sz="0" w:space="0" w:color="auto"/>
        <w:bottom w:val="none" w:sz="0" w:space="0" w:color="auto"/>
        <w:right w:val="none" w:sz="0" w:space="0" w:color="auto"/>
      </w:divBdr>
    </w:div>
    <w:div w:id="28384554">
      <w:bodyDiv w:val="1"/>
      <w:marLeft w:val="0"/>
      <w:marRight w:val="0"/>
      <w:marTop w:val="0"/>
      <w:marBottom w:val="0"/>
      <w:divBdr>
        <w:top w:val="none" w:sz="0" w:space="0" w:color="auto"/>
        <w:left w:val="none" w:sz="0" w:space="0" w:color="auto"/>
        <w:bottom w:val="none" w:sz="0" w:space="0" w:color="auto"/>
        <w:right w:val="none" w:sz="0" w:space="0" w:color="auto"/>
      </w:divBdr>
    </w:div>
    <w:div w:id="63719648">
      <w:bodyDiv w:val="1"/>
      <w:marLeft w:val="0"/>
      <w:marRight w:val="0"/>
      <w:marTop w:val="0"/>
      <w:marBottom w:val="0"/>
      <w:divBdr>
        <w:top w:val="none" w:sz="0" w:space="0" w:color="auto"/>
        <w:left w:val="none" w:sz="0" w:space="0" w:color="auto"/>
        <w:bottom w:val="none" w:sz="0" w:space="0" w:color="auto"/>
        <w:right w:val="none" w:sz="0" w:space="0" w:color="auto"/>
      </w:divBdr>
      <w:divsChild>
        <w:div w:id="379011806">
          <w:marLeft w:val="0"/>
          <w:marRight w:val="0"/>
          <w:marTop w:val="0"/>
          <w:marBottom w:val="0"/>
          <w:divBdr>
            <w:top w:val="none" w:sz="0" w:space="0" w:color="auto"/>
            <w:left w:val="none" w:sz="0" w:space="0" w:color="auto"/>
            <w:bottom w:val="none" w:sz="0" w:space="0" w:color="auto"/>
            <w:right w:val="none" w:sz="0" w:space="0" w:color="auto"/>
          </w:divBdr>
          <w:divsChild>
            <w:div w:id="877860552">
              <w:marLeft w:val="0"/>
              <w:marRight w:val="0"/>
              <w:marTop w:val="0"/>
              <w:marBottom w:val="0"/>
              <w:divBdr>
                <w:top w:val="none" w:sz="0" w:space="0" w:color="auto"/>
                <w:left w:val="none" w:sz="0" w:space="0" w:color="auto"/>
                <w:bottom w:val="none" w:sz="0" w:space="0" w:color="auto"/>
                <w:right w:val="none" w:sz="0" w:space="0" w:color="auto"/>
              </w:divBdr>
            </w:div>
          </w:divsChild>
        </w:div>
        <w:div w:id="778180204">
          <w:marLeft w:val="0"/>
          <w:marRight w:val="0"/>
          <w:marTop w:val="0"/>
          <w:marBottom w:val="0"/>
          <w:divBdr>
            <w:top w:val="none" w:sz="0" w:space="0" w:color="auto"/>
            <w:left w:val="none" w:sz="0" w:space="0" w:color="auto"/>
            <w:bottom w:val="none" w:sz="0" w:space="0" w:color="auto"/>
            <w:right w:val="none" w:sz="0" w:space="0" w:color="auto"/>
          </w:divBdr>
          <w:divsChild>
            <w:div w:id="1804426868">
              <w:marLeft w:val="0"/>
              <w:marRight w:val="0"/>
              <w:marTop w:val="0"/>
              <w:marBottom w:val="0"/>
              <w:divBdr>
                <w:top w:val="none" w:sz="0" w:space="0" w:color="auto"/>
                <w:left w:val="none" w:sz="0" w:space="0" w:color="auto"/>
                <w:bottom w:val="none" w:sz="0" w:space="0" w:color="auto"/>
                <w:right w:val="none" w:sz="0" w:space="0" w:color="auto"/>
              </w:divBdr>
            </w:div>
          </w:divsChild>
        </w:div>
        <w:div w:id="354497842">
          <w:marLeft w:val="0"/>
          <w:marRight w:val="0"/>
          <w:marTop w:val="0"/>
          <w:marBottom w:val="0"/>
          <w:divBdr>
            <w:top w:val="none" w:sz="0" w:space="0" w:color="auto"/>
            <w:left w:val="none" w:sz="0" w:space="0" w:color="auto"/>
            <w:bottom w:val="none" w:sz="0" w:space="0" w:color="auto"/>
            <w:right w:val="none" w:sz="0" w:space="0" w:color="auto"/>
          </w:divBdr>
          <w:divsChild>
            <w:div w:id="991907899">
              <w:marLeft w:val="0"/>
              <w:marRight w:val="0"/>
              <w:marTop w:val="0"/>
              <w:marBottom w:val="0"/>
              <w:divBdr>
                <w:top w:val="none" w:sz="0" w:space="0" w:color="auto"/>
                <w:left w:val="none" w:sz="0" w:space="0" w:color="auto"/>
                <w:bottom w:val="none" w:sz="0" w:space="0" w:color="auto"/>
                <w:right w:val="none" w:sz="0" w:space="0" w:color="auto"/>
              </w:divBdr>
            </w:div>
          </w:divsChild>
        </w:div>
        <w:div w:id="1532693654">
          <w:marLeft w:val="0"/>
          <w:marRight w:val="0"/>
          <w:marTop w:val="0"/>
          <w:marBottom w:val="0"/>
          <w:divBdr>
            <w:top w:val="none" w:sz="0" w:space="0" w:color="auto"/>
            <w:left w:val="none" w:sz="0" w:space="0" w:color="auto"/>
            <w:bottom w:val="none" w:sz="0" w:space="0" w:color="auto"/>
            <w:right w:val="none" w:sz="0" w:space="0" w:color="auto"/>
          </w:divBdr>
          <w:divsChild>
            <w:div w:id="1265922322">
              <w:marLeft w:val="0"/>
              <w:marRight w:val="0"/>
              <w:marTop w:val="0"/>
              <w:marBottom w:val="0"/>
              <w:divBdr>
                <w:top w:val="none" w:sz="0" w:space="0" w:color="auto"/>
                <w:left w:val="none" w:sz="0" w:space="0" w:color="auto"/>
                <w:bottom w:val="none" w:sz="0" w:space="0" w:color="auto"/>
                <w:right w:val="none" w:sz="0" w:space="0" w:color="auto"/>
              </w:divBdr>
            </w:div>
          </w:divsChild>
        </w:div>
        <w:div w:id="649558307">
          <w:marLeft w:val="0"/>
          <w:marRight w:val="0"/>
          <w:marTop w:val="0"/>
          <w:marBottom w:val="0"/>
          <w:divBdr>
            <w:top w:val="none" w:sz="0" w:space="0" w:color="auto"/>
            <w:left w:val="none" w:sz="0" w:space="0" w:color="auto"/>
            <w:bottom w:val="none" w:sz="0" w:space="0" w:color="auto"/>
            <w:right w:val="none" w:sz="0" w:space="0" w:color="auto"/>
          </w:divBdr>
          <w:divsChild>
            <w:div w:id="1558785979">
              <w:marLeft w:val="0"/>
              <w:marRight w:val="0"/>
              <w:marTop w:val="0"/>
              <w:marBottom w:val="0"/>
              <w:divBdr>
                <w:top w:val="none" w:sz="0" w:space="0" w:color="auto"/>
                <w:left w:val="none" w:sz="0" w:space="0" w:color="auto"/>
                <w:bottom w:val="none" w:sz="0" w:space="0" w:color="auto"/>
                <w:right w:val="none" w:sz="0" w:space="0" w:color="auto"/>
              </w:divBdr>
            </w:div>
          </w:divsChild>
        </w:div>
        <w:div w:id="2006932625">
          <w:marLeft w:val="0"/>
          <w:marRight w:val="0"/>
          <w:marTop w:val="0"/>
          <w:marBottom w:val="0"/>
          <w:divBdr>
            <w:top w:val="none" w:sz="0" w:space="0" w:color="auto"/>
            <w:left w:val="none" w:sz="0" w:space="0" w:color="auto"/>
            <w:bottom w:val="none" w:sz="0" w:space="0" w:color="auto"/>
            <w:right w:val="none" w:sz="0" w:space="0" w:color="auto"/>
          </w:divBdr>
          <w:divsChild>
            <w:div w:id="1380665579">
              <w:marLeft w:val="0"/>
              <w:marRight w:val="0"/>
              <w:marTop w:val="0"/>
              <w:marBottom w:val="0"/>
              <w:divBdr>
                <w:top w:val="none" w:sz="0" w:space="0" w:color="auto"/>
                <w:left w:val="none" w:sz="0" w:space="0" w:color="auto"/>
                <w:bottom w:val="none" w:sz="0" w:space="0" w:color="auto"/>
                <w:right w:val="none" w:sz="0" w:space="0" w:color="auto"/>
              </w:divBdr>
            </w:div>
          </w:divsChild>
        </w:div>
        <w:div w:id="1529948268">
          <w:marLeft w:val="0"/>
          <w:marRight w:val="0"/>
          <w:marTop w:val="0"/>
          <w:marBottom w:val="0"/>
          <w:divBdr>
            <w:top w:val="none" w:sz="0" w:space="0" w:color="auto"/>
            <w:left w:val="none" w:sz="0" w:space="0" w:color="auto"/>
            <w:bottom w:val="none" w:sz="0" w:space="0" w:color="auto"/>
            <w:right w:val="none" w:sz="0" w:space="0" w:color="auto"/>
          </w:divBdr>
          <w:divsChild>
            <w:div w:id="1098213275">
              <w:marLeft w:val="0"/>
              <w:marRight w:val="0"/>
              <w:marTop w:val="0"/>
              <w:marBottom w:val="0"/>
              <w:divBdr>
                <w:top w:val="none" w:sz="0" w:space="0" w:color="auto"/>
                <w:left w:val="none" w:sz="0" w:space="0" w:color="auto"/>
                <w:bottom w:val="none" w:sz="0" w:space="0" w:color="auto"/>
                <w:right w:val="none" w:sz="0" w:space="0" w:color="auto"/>
              </w:divBdr>
            </w:div>
          </w:divsChild>
        </w:div>
        <w:div w:id="1024207314">
          <w:marLeft w:val="0"/>
          <w:marRight w:val="0"/>
          <w:marTop w:val="0"/>
          <w:marBottom w:val="0"/>
          <w:divBdr>
            <w:top w:val="none" w:sz="0" w:space="0" w:color="auto"/>
            <w:left w:val="none" w:sz="0" w:space="0" w:color="auto"/>
            <w:bottom w:val="none" w:sz="0" w:space="0" w:color="auto"/>
            <w:right w:val="none" w:sz="0" w:space="0" w:color="auto"/>
          </w:divBdr>
          <w:divsChild>
            <w:div w:id="10688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2316">
      <w:bodyDiv w:val="1"/>
      <w:marLeft w:val="0"/>
      <w:marRight w:val="0"/>
      <w:marTop w:val="0"/>
      <w:marBottom w:val="0"/>
      <w:divBdr>
        <w:top w:val="none" w:sz="0" w:space="0" w:color="auto"/>
        <w:left w:val="none" w:sz="0" w:space="0" w:color="auto"/>
        <w:bottom w:val="none" w:sz="0" w:space="0" w:color="auto"/>
        <w:right w:val="none" w:sz="0" w:space="0" w:color="auto"/>
      </w:divBdr>
    </w:div>
    <w:div w:id="293023628">
      <w:bodyDiv w:val="1"/>
      <w:marLeft w:val="0"/>
      <w:marRight w:val="0"/>
      <w:marTop w:val="0"/>
      <w:marBottom w:val="0"/>
      <w:divBdr>
        <w:top w:val="none" w:sz="0" w:space="0" w:color="auto"/>
        <w:left w:val="none" w:sz="0" w:space="0" w:color="auto"/>
        <w:bottom w:val="none" w:sz="0" w:space="0" w:color="auto"/>
        <w:right w:val="none" w:sz="0" w:space="0" w:color="auto"/>
      </w:divBdr>
    </w:div>
    <w:div w:id="321589883">
      <w:bodyDiv w:val="1"/>
      <w:marLeft w:val="0"/>
      <w:marRight w:val="0"/>
      <w:marTop w:val="0"/>
      <w:marBottom w:val="0"/>
      <w:divBdr>
        <w:top w:val="none" w:sz="0" w:space="0" w:color="auto"/>
        <w:left w:val="none" w:sz="0" w:space="0" w:color="auto"/>
        <w:bottom w:val="none" w:sz="0" w:space="0" w:color="auto"/>
        <w:right w:val="none" w:sz="0" w:space="0" w:color="auto"/>
      </w:divBdr>
    </w:div>
    <w:div w:id="332073023">
      <w:bodyDiv w:val="1"/>
      <w:marLeft w:val="0"/>
      <w:marRight w:val="0"/>
      <w:marTop w:val="0"/>
      <w:marBottom w:val="0"/>
      <w:divBdr>
        <w:top w:val="none" w:sz="0" w:space="0" w:color="auto"/>
        <w:left w:val="none" w:sz="0" w:space="0" w:color="auto"/>
        <w:bottom w:val="none" w:sz="0" w:space="0" w:color="auto"/>
        <w:right w:val="none" w:sz="0" w:space="0" w:color="auto"/>
      </w:divBdr>
    </w:div>
    <w:div w:id="620117006">
      <w:bodyDiv w:val="1"/>
      <w:marLeft w:val="0"/>
      <w:marRight w:val="0"/>
      <w:marTop w:val="0"/>
      <w:marBottom w:val="0"/>
      <w:divBdr>
        <w:top w:val="none" w:sz="0" w:space="0" w:color="auto"/>
        <w:left w:val="none" w:sz="0" w:space="0" w:color="auto"/>
        <w:bottom w:val="none" w:sz="0" w:space="0" w:color="auto"/>
        <w:right w:val="none" w:sz="0" w:space="0" w:color="auto"/>
      </w:divBdr>
      <w:divsChild>
        <w:div w:id="1617179439">
          <w:marLeft w:val="0"/>
          <w:marRight w:val="0"/>
          <w:marTop w:val="0"/>
          <w:marBottom w:val="0"/>
          <w:divBdr>
            <w:top w:val="none" w:sz="0" w:space="0" w:color="auto"/>
            <w:left w:val="none" w:sz="0" w:space="0" w:color="auto"/>
            <w:bottom w:val="none" w:sz="0" w:space="0" w:color="auto"/>
            <w:right w:val="none" w:sz="0" w:space="0" w:color="auto"/>
          </w:divBdr>
          <w:divsChild>
            <w:div w:id="1491554626">
              <w:marLeft w:val="0"/>
              <w:marRight w:val="0"/>
              <w:marTop w:val="0"/>
              <w:marBottom w:val="0"/>
              <w:divBdr>
                <w:top w:val="none" w:sz="0" w:space="0" w:color="auto"/>
                <w:left w:val="none" w:sz="0" w:space="0" w:color="auto"/>
                <w:bottom w:val="none" w:sz="0" w:space="0" w:color="auto"/>
                <w:right w:val="none" w:sz="0" w:space="0" w:color="auto"/>
              </w:divBdr>
              <w:divsChild>
                <w:div w:id="20785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4121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56">
          <w:marLeft w:val="0"/>
          <w:marRight w:val="0"/>
          <w:marTop w:val="0"/>
          <w:marBottom w:val="0"/>
          <w:divBdr>
            <w:top w:val="none" w:sz="0" w:space="0" w:color="auto"/>
            <w:left w:val="none" w:sz="0" w:space="0" w:color="auto"/>
            <w:bottom w:val="none" w:sz="0" w:space="0" w:color="auto"/>
            <w:right w:val="none" w:sz="0" w:space="0" w:color="auto"/>
          </w:divBdr>
          <w:divsChild>
            <w:div w:id="231283954">
              <w:marLeft w:val="0"/>
              <w:marRight w:val="0"/>
              <w:marTop w:val="0"/>
              <w:marBottom w:val="0"/>
              <w:divBdr>
                <w:top w:val="none" w:sz="0" w:space="0" w:color="auto"/>
                <w:left w:val="none" w:sz="0" w:space="0" w:color="auto"/>
                <w:bottom w:val="none" w:sz="0" w:space="0" w:color="auto"/>
                <w:right w:val="none" w:sz="0" w:space="0" w:color="auto"/>
              </w:divBdr>
              <w:divsChild>
                <w:div w:id="3755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03416">
      <w:bodyDiv w:val="1"/>
      <w:marLeft w:val="0"/>
      <w:marRight w:val="0"/>
      <w:marTop w:val="0"/>
      <w:marBottom w:val="0"/>
      <w:divBdr>
        <w:top w:val="none" w:sz="0" w:space="0" w:color="auto"/>
        <w:left w:val="none" w:sz="0" w:space="0" w:color="auto"/>
        <w:bottom w:val="none" w:sz="0" w:space="0" w:color="auto"/>
        <w:right w:val="none" w:sz="0" w:space="0" w:color="auto"/>
      </w:divBdr>
    </w:div>
    <w:div w:id="859781649">
      <w:bodyDiv w:val="1"/>
      <w:marLeft w:val="0"/>
      <w:marRight w:val="0"/>
      <w:marTop w:val="0"/>
      <w:marBottom w:val="0"/>
      <w:divBdr>
        <w:top w:val="none" w:sz="0" w:space="0" w:color="auto"/>
        <w:left w:val="none" w:sz="0" w:space="0" w:color="auto"/>
        <w:bottom w:val="none" w:sz="0" w:space="0" w:color="auto"/>
        <w:right w:val="none" w:sz="0" w:space="0" w:color="auto"/>
      </w:divBdr>
    </w:div>
    <w:div w:id="929193278">
      <w:bodyDiv w:val="1"/>
      <w:marLeft w:val="0"/>
      <w:marRight w:val="0"/>
      <w:marTop w:val="0"/>
      <w:marBottom w:val="0"/>
      <w:divBdr>
        <w:top w:val="none" w:sz="0" w:space="0" w:color="auto"/>
        <w:left w:val="none" w:sz="0" w:space="0" w:color="auto"/>
        <w:bottom w:val="none" w:sz="0" w:space="0" w:color="auto"/>
        <w:right w:val="none" w:sz="0" w:space="0" w:color="auto"/>
      </w:divBdr>
    </w:div>
    <w:div w:id="1002704656">
      <w:bodyDiv w:val="1"/>
      <w:marLeft w:val="0"/>
      <w:marRight w:val="0"/>
      <w:marTop w:val="0"/>
      <w:marBottom w:val="0"/>
      <w:divBdr>
        <w:top w:val="none" w:sz="0" w:space="0" w:color="auto"/>
        <w:left w:val="none" w:sz="0" w:space="0" w:color="auto"/>
        <w:bottom w:val="none" w:sz="0" w:space="0" w:color="auto"/>
        <w:right w:val="none" w:sz="0" w:space="0" w:color="auto"/>
      </w:divBdr>
    </w:div>
    <w:div w:id="1061172220">
      <w:bodyDiv w:val="1"/>
      <w:marLeft w:val="0"/>
      <w:marRight w:val="0"/>
      <w:marTop w:val="0"/>
      <w:marBottom w:val="0"/>
      <w:divBdr>
        <w:top w:val="none" w:sz="0" w:space="0" w:color="auto"/>
        <w:left w:val="none" w:sz="0" w:space="0" w:color="auto"/>
        <w:bottom w:val="none" w:sz="0" w:space="0" w:color="auto"/>
        <w:right w:val="none" w:sz="0" w:space="0" w:color="auto"/>
      </w:divBdr>
    </w:div>
    <w:div w:id="1162355948">
      <w:bodyDiv w:val="1"/>
      <w:marLeft w:val="0"/>
      <w:marRight w:val="0"/>
      <w:marTop w:val="0"/>
      <w:marBottom w:val="0"/>
      <w:divBdr>
        <w:top w:val="none" w:sz="0" w:space="0" w:color="auto"/>
        <w:left w:val="none" w:sz="0" w:space="0" w:color="auto"/>
        <w:bottom w:val="none" w:sz="0" w:space="0" w:color="auto"/>
        <w:right w:val="none" w:sz="0" w:space="0" w:color="auto"/>
      </w:divBdr>
    </w:div>
    <w:div w:id="1163203522">
      <w:bodyDiv w:val="1"/>
      <w:marLeft w:val="0"/>
      <w:marRight w:val="0"/>
      <w:marTop w:val="0"/>
      <w:marBottom w:val="0"/>
      <w:divBdr>
        <w:top w:val="none" w:sz="0" w:space="0" w:color="auto"/>
        <w:left w:val="none" w:sz="0" w:space="0" w:color="auto"/>
        <w:bottom w:val="none" w:sz="0" w:space="0" w:color="auto"/>
        <w:right w:val="none" w:sz="0" w:space="0" w:color="auto"/>
      </w:divBdr>
    </w:div>
    <w:div w:id="1311904940">
      <w:bodyDiv w:val="1"/>
      <w:marLeft w:val="0"/>
      <w:marRight w:val="0"/>
      <w:marTop w:val="0"/>
      <w:marBottom w:val="0"/>
      <w:divBdr>
        <w:top w:val="none" w:sz="0" w:space="0" w:color="auto"/>
        <w:left w:val="none" w:sz="0" w:space="0" w:color="auto"/>
        <w:bottom w:val="none" w:sz="0" w:space="0" w:color="auto"/>
        <w:right w:val="none" w:sz="0" w:space="0" w:color="auto"/>
      </w:divBdr>
    </w:div>
    <w:div w:id="1329136594">
      <w:bodyDiv w:val="1"/>
      <w:marLeft w:val="0"/>
      <w:marRight w:val="0"/>
      <w:marTop w:val="0"/>
      <w:marBottom w:val="0"/>
      <w:divBdr>
        <w:top w:val="none" w:sz="0" w:space="0" w:color="auto"/>
        <w:left w:val="none" w:sz="0" w:space="0" w:color="auto"/>
        <w:bottom w:val="none" w:sz="0" w:space="0" w:color="auto"/>
        <w:right w:val="none" w:sz="0" w:space="0" w:color="auto"/>
      </w:divBdr>
    </w:div>
    <w:div w:id="1335761729">
      <w:bodyDiv w:val="1"/>
      <w:marLeft w:val="0"/>
      <w:marRight w:val="0"/>
      <w:marTop w:val="0"/>
      <w:marBottom w:val="0"/>
      <w:divBdr>
        <w:top w:val="none" w:sz="0" w:space="0" w:color="auto"/>
        <w:left w:val="none" w:sz="0" w:space="0" w:color="auto"/>
        <w:bottom w:val="none" w:sz="0" w:space="0" w:color="auto"/>
        <w:right w:val="none" w:sz="0" w:space="0" w:color="auto"/>
      </w:divBdr>
    </w:div>
    <w:div w:id="1341197983">
      <w:bodyDiv w:val="1"/>
      <w:marLeft w:val="0"/>
      <w:marRight w:val="0"/>
      <w:marTop w:val="0"/>
      <w:marBottom w:val="0"/>
      <w:divBdr>
        <w:top w:val="none" w:sz="0" w:space="0" w:color="auto"/>
        <w:left w:val="none" w:sz="0" w:space="0" w:color="auto"/>
        <w:bottom w:val="none" w:sz="0" w:space="0" w:color="auto"/>
        <w:right w:val="none" w:sz="0" w:space="0" w:color="auto"/>
      </w:divBdr>
    </w:div>
    <w:div w:id="1364136959">
      <w:bodyDiv w:val="1"/>
      <w:marLeft w:val="0"/>
      <w:marRight w:val="0"/>
      <w:marTop w:val="0"/>
      <w:marBottom w:val="0"/>
      <w:divBdr>
        <w:top w:val="none" w:sz="0" w:space="0" w:color="auto"/>
        <w:left w:val="none" w:sz="0" w:space="0" w:color="auto"/>
        <w:bottom w:val="none" w:sz="0" w:space="0" w:color="auto"/>
        <w:right w:val="none" w:sz="0" w:space="0" w:color="auto"/>
      </w:divBdr>
    </w:div>
    <w:div w:id="1428888969">
      <w:bodyDiv w:val="1"/>
      <w:marLeft w:val="0"/>
      <w:marRight w:val="0"/>
      <w:marTop w:val="0"/>
      <w:marBottom w:val="0"/>
      <w:divBdr>
        <w:top w:val="none" w:sz="0" w:space="0" w:color="auto"/>
        <w:left w:val="none" w:sz="0" w:space="0" w:color="auto"/>
        <w:bottom w:val="none" w:sz="0" w:space="0" w:color="auto"/>
        <w:right w:val="none" w:sz="0" w:space="0" w:color="auto"/>
      </w:divBdr>
    </w:div>
    <w:div w:id="1473717837">
      <w:bodyDiv w:val="1"/>
      <w:marLeft w:val="0"/>
      <w:marRight w:val="0"/>
      <w:marTop w:val="0"/>
      <w:marBottom w:val="0"/>
      <w:divBdr>
        <w:top w:val="none" w:sz="0" w:space="0" w:color="auto"/>
        <w:left w:val="none" w:sz="0" w:space="0" w:color="auto"/>
        <w:bottom w:val="none" w:sz="0" w:space="0" w:color="auto"/>
        <w:right w:val="none" w:sz="0" w:space="0" w:color="auto"/>
      </w:divBdr>
    </w:div>
    <w:div w:id="1497109656">
      <w:bodyDiv w:val="1"/>
      <w:marLeft w:val="0"/>
      <w:marRight w:val="0"/>
      <w:marTop w:val="0"/>
      <w:marBottom w:val="0"/>
      <w:divBdr>
        <w:top w:val="none" w:sz="0" w:space="0" w:color="auto"/>
        <w:left w:val="none" w:sz="0" w:space="0" w:color="auto"/>
        <w:bottom w:val="none" w:sz="0" w:space="0" w:color="auto"/>
        <w:right w:val="none" w:sz="0" w:space="0" w:color="auto"/>
      </w:divBdr>
    </w:div>
    <w:div w:id="1547788896">
      <w:bodyDiv w:val="1"/>
      <w:marLeft w:val="0"/>
      <w:marRight w:val="0"/>
      <w:marTop w:val="0"/>
      <w:marBottom w:val="0"/>
      <w:divBdr>
        <w:top w:val="none" w:sz="0" w:space="0" w:color="auto"/>
        <w:left w:val="none" w:sz="0" w:space="0" w:color="auto"/>
        <w:bottom w:val="none" w:sz="0" w:space="0" w:color="auto"/>
        <w:right w:val="none" w:sz="0" w:space="0" w:color="auto"/>
      </w:divBdr>
      <w:divsChild>
        <w:div w:id="1834371883">
          <w:marLeft w:val="0"/>
          <w:marRight w:val="0"/>
          <w:marTop w:val="0"/>
          <w:marBottom w:val="0"/>
          <w:divBdr>
            <w:top w:val="none" w:sz="0" w:space="0" w:color="auto"/>
            <w:left w:val="none" w:sz="0" w:space="0" w:color="auto"/>
            <w:bottom w:val="none" w:sz="0" w:space="0" w:color="auto"/>
            <w:right w:val="none" w:sz="0" w:space="0" w:color="auto"/>
          </w:divBdr>
          <w:divsChild>
            <w:div w:id="1835343186">
              <w:marLeft w:val="0"/>
              <w:marRight w:val="0"/>
              <w:marTop w:val="0"/>
              <w:marBottom w:val="0"/>
              <w:divBdr>
                <w:top w:val="none" w:sz="0" w:space="0" w:color="auto"/>
                <w:left w:val="none" w:sz="0" w:space="0" w:color="auto"/>
                <w:bottom w:val="none" w:sz="0" w:space="0" w:color="auto"/>
                <w:right w:val="none" w:sz="0" w:space="0" w:color="auto"/>
              </w:divBdr>
              <w:divsChild>
                <w:div w:id="604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0127">
      <w:bodyDiv w:val="1"/>
      <w:marLeft w:val="0"/>
      <w:marRight w:val="0"/>
      <w:marTop w:val="0"/>
      <w:marBottom w:val="0"/>
      <w:divBdr>
        <w:top w:val="none" w:sz="0" w:space="0" w:color="auto"/>
        <w:left w:val="none" w:sz="0" w:space="0" w:color="auto"/>
        <w:bottom w:val="none" w:sz="0" w:space="0" w:color="auto"/>
        <w:right w:val="none" w:sz="0" w:space="0" w:color="auto"/>
      </w:divBdr>
    </w:div>
    <w:div w:id="1656490839">
      <w:bodyDiv w:val="1"/>
      <w:marLeft w:val="0"/>
      <w:marRight w:val="0"/>
      <w:marTop w:val="0"/>
      <w:marBottom w:val="0"/>
      <w:divBdr>
        <w:top w:val="none" w:sz="0" w:space="0" w:color="auto"/>
        <w:left w:val="none" w:sz="0" w:space="0" w:color="auto"/>
        <w:bottom w:val="none" w:sz="0" w:space="0" w:color="auto"/>
        <w:right w:val="none" w:sz="0" w:space="0" w:color="auto"/>
      </w:divBdr>
    </w:div>
    <w:div w:id="1807356796">
      <w:bodyDiv w:val="1"/>
      <w:marLeft w:val="0"/>
      <w:marRight w:val="0"/>
      <w:marTop w:val="0"/>
      <w:marBottom w:val="0"/>
      <w:divBdr>
        <w:top w:val="none" w:sz="0" w:space="0" w:color="auto"/>
        <w:left w:val="none" w:sz="0" w:space="0" w:color="auto"/>
        <w:bottom w:val="none" w:sz="0" w:space="0" w:color="auto"/>
        <w:right w:val="none" w:sz="0" w:space="0" w:color="auto"/>
      </w:divBdr>
      <w:divsChild>
        <w:div w:id="1724668413">
          <w:marLeft w:val="0"/>
          <w:marRight w:val="0"/>
          <w:marTop w:val="0"/>
          <w:marBottom w:val="0"/>
          <w:divBdr>
            <w:top w:val="none" w:sz="0" w:space="0" w:color="auto"/>
            <w:left w:val="none" w:sz="0" w:space="0" w:color="auto"/>
            <w:bottom w:val="none" w:sz="0" w:space="0" w:color="auto"/>
            <w:right w:val="none" w:sz="0" w:space="0" w:color="auto"/>
          </w:divBdr>
          <w:divsChild>
            <w:div w:id="1667899317">
              <w:marLeft w:val="0"/>
              <w:marRight w:val="0"/>
              <w:marTop w:val="0"/>
              <w:marBottom w:val="0"/>
              <w:divBdr>
                <w:top w:val="none" w:sz="0" w:space="0" w:color="auto"/>
                <w:left w:val="none" w:sz="0" w:space="0" w:color="auto"/>
                <w:bottom w:val="none" w:sz="0" w:space="0" w:color="auto"/>
                <w:right w:val="none" w:sz="0" w:space="0" w:color="auto"/>
              </w:divBdr>
              <w:divsChild>
                <w:div w:id="1715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495">
      <w:bodyDiv w:val="1"/>
      <w:marLeft w:val="0"/>
      <w:marRight w:val="0"/>
      <w:marTop w:val="0"/>
      <w:marBottom w:val="0"/>
      <w:divBdr>
        <w:top w:val="none" w:sz="0" w:space="0" w:color="auto"/>
        <w:left w:val="none" w:sz="0" w:space="0" w:color="auto"/>
        <w:bottom w:val="none" w:sz="0" w:space="0" w:color="auto"/>
        <w:right w:val="none" w:sz="0" w:space="0" w:color="auto"/>
      </w:divBdr>
    </w:div>
    <w:div w:id="1969774818">
      <w:bodyDiv w:val="1"/>
      <w:marLeft w:val="0"/>
      <w:marRight w:val="0"/>
      <w:marTop w:val="0"/>
      <w:marBottom w:val="0"/>
      <w:divBdr>
        <w:top w:val="none" w:sz="0" w:space="0" w:color="auto"/>
        <w:left w:val="none" w:sz="0" w:space="0" w:color="auto"/>
        <w:bottom w:val="none" w:sz="0" w:space="0" w:color="auto"/>
        <w:right w:val="none" w:sz="0" w:space="0" w:color="auto"/>
      </w:divBdr>
    </w:div>
    <w:div w:id="1977025591">
      <w:bodyDiv w:val="1"/>
      <w:marLeft w:val="0"/>
      <w:marRight w:val="0"/>
      <w:marTop w:val="0"/>
      <w:marBottom w:val="0"/>
      <w:divBdr>
        <w:top w:val="none" w:sz="0" w:space="0" w:color="auto"/>
        <w:left w:val="none" w:sz="0" w:space="0" w:color="auto"/>
        <w:bottom w:val="none" w:sz="0" w:space="0" w:color="auto"/>
        <w:right w:val="none" w:sz="0" w:space="0" w:color="auto"/>
      </w:divBdr>
    </w:div>
    <w:div w:id="2013750580">
      <w:bodyDiv w:val="1"/>
      <w:marLeft w:val="0"/>
      <w:marRight w:val="0"/>
      <w:marTop w:val="0"/>
      <w:marBottom w:val="0"/>
      <w:divBdr>
        <w:top w:val="none" w:sz="0" w:space="0" w:color="auto"/>
        <w:left w:val="none" w:sz="0" w:space="0" w:color="auto"/>
        <w:bottom w:val="none" w:sz="0" w:space="0" w:color="auto"/>
        <w:right w:val="none" w:sz="0" w:space="0" w:color="auto"/>
      </w:divBdr>
      <w:divsChild>
        <w:div w:id="1720470319">
          <w:marLeft w:val="0"/>
          <w:marRight w:val="0"/>
          <w:marTop w:val="0"/>
          <w:marBottom w:val="0"/>
          <w:divBdr>
            <w:top w:val="none" w:sz="0" w:space="0" w:color="auto"/>
            <w:left w:val="none" w:sz="0" w:space="0" w:color="auto"/>
            <w:bottom w:val="none" w:sz="0" w:space="0" w:color="auto"/>
            <w:right w:val="none" w:sz="0" w:space="0" w:color="auto"/>
          </w:divBdr>
          <w:divsChild>
            <w:div w:id="1483230376">
              <w:marLeft w:val="0"/>
              <w:marRight w:val="0"/>
              <w:marTop w:val="0"/>
              <w:marBottom w:val="0"/>
              <w:divBdr>
                <w:top w:val="none" w:sz="0" w:space="0" w:color="auto"/>
                <w:left w:val="none" w:sz="0" w:space="0" w:color="auto"/>
                <w:bottom w:val="none" w:sz="0" w:space="0" w:color="auto"/>
                <w:right w:val="none" w:sz="0" w:space="0" w:color="auto"/>
              </w:divBdr>
              <w:divsChild>
                <w:div w:id="1283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985">
      <w:bodyDiv w:val="1"/>
      <w:marLeft w:val="0"/>
      <w:marRight w:val="0"/>
      <w:marTop w:val="0"/>
      <w:marBottom w:val="0"/>
      <w:divBdr>
        <w:top w:val="none" w:sz="0" w:space="0" w:color="auto"/>
        <w:left w:val="none" w:sz="0" w:space="0" w:color="auto"/>
        <w:bottom w:val="none" w:sz="0" w:space="0" w:color="auto"/>
        <w:right w:val="none" w:sz="0" w:space="0" w:color="auto"/>
      </w:divBdr>
    </w:div>
    <w:div w:id="21377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bfs.admin.ch/bfs/en/home/statistics/population/migration-integration/integration-indicators/indicators/language-media-use.html" TargetMode="External"/><Relationship Id="rId26" Type="http://schemas.openxmlformats.org/officeDocument/2006/relationships/hyperlink" Target="https://unstats.un.org/sdgs/metadata/?Text=&amp;Goal=&amp;Target=17.8" TargetMode="External"/><Relationship Id="rId3" Type="http://schemas.openxmlformats.org/officeDocument/2006/relationships/styles" Target="styles.xml"/><Relationship Id="rId21" Type="http://schemas.openxmlformats.org/officeDocument/2006/relationships/hyperlink" Target="https://www.itu.int/en/ITU-D/Statistics/Documents/publications/manual2009/ITUManualHouseholds2020_E.pdf"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ohchr.org/EN/Issues/Disability/Pages/sdg-crpd-resource.aspx" TargetMode="External"/><Relationship Id="rId17" Type="http://schemas.openxmlformats.org/officeDocument/2006/relationships/hyperlink" Target="https://unesdoc.unesco.org/ark:/48223/pf0000163102" TargetMode="External"/><Relationship Id="rId25" Type="http://schemas.openxmlformats.org/officeDocument/2006/relationships/hyperlink" Target="https://www.gso.gov.vn/wp-content/uploads/2019/04/Baocao-nguoikhuyet-tat.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nuj.org.uk/news/nuj-launches-survey-of-members-on-international-day-of-disabled/" TargetMode="External"/><Relationship Id="rId20" Type="http://schemas.openxmlformats.org/officeDocument/2006/relationships/hyperlink" Target="https://unstats.un.org/sdgs/metadata/?Text=&amp;Goal=&amp;Target=9.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itu.int/en/ITU-D/Statistics/Pages/publications/wtid.asp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uj.org.uk/news/journalists-in-the-uk/" TargetMode="External"/><Relationship Id="rId23" Type="http://schemas.openxmlformats.org/officeDocument/2006/relationships/hyperlink" Target="https://www.itu.int/en/ITU-D/Statistics/Documents/publications/wtid/WTID2020_HH_ListOfTables_JulyEdition.pdf"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ata.gov.uk/dataset/11816b56-1b00-46a7-9e86-a12e54de6ce9/freedom-of-information-reques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tj.com/downloadlibraryDIVERSITY%20JOURNALISM%204WEB.pdf" TargetMode="External"/><Relationship Id="rId22" Type="http://schemas.openxmlformats.org/officeDocument/2006/relationships/hyperlink" Target="https://www.itu.int/en/ITU-D/Digital-Inclusion/Persons-with-Disabilities/Pages/Persons-with-Disabilities.aspx" TargetMode="External"/><Relationship Id="rId27" Type="http://schemas.openxmlformats.org/officeDocument/2006/relationships/hyperlink" Target="https://www.gso.gov.vn/wp-content/uploads/2019/04/Baocao-nguoikhuyet-tat.pdf" TargetMode="External"/><Relationship Id="rId30"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972426-1D28-43E9-AC2B-BD649679E880}">
  <ds:schemaRefs>
    <ds:schemaRef ds:uri="http://schemas.openxmlformats.org/officeDocument/2006/bibliography"/>
  </ds:schemaRefs>
</ds:datastoreItem>
</file>

<file path=customXml/itemProps2.xml><?xml version="1.0" encoding="utf-8"?>
<ds:datastoreItem xmlns:ds="http://schemas.openxmlformats.org/officeDocument/2006/customXml" ds:itemID="{96E51CE9-F198-41F8-9F53-FAD690220AF2}"/>
</file>

<file path=customXml/itemProps3.xml><?xml version="1.0" encoding="utf-8"?>
<ds:datastoreItem xmlns:ds="http://schemas.openxmlformats.org/officeDocument/2006/customXml" ds:itemID="{23B7C7EA-3EDB-4247-A41C-A719921318FE}"/>
</file>

<file path=customXml/itemProps4.xml><?xml version="1.0" encoding="utf-8"?>
<ds:datastoreItem xmlns:ds="http://schemas.openxmlformats.org/officeDocument/2006/customXml" ds:itemID="{69CFFEF4-0358-4BFF-88B0-AF248728B7BA}"/>
</file>

<file path=docProps/app.xml><?xml version="1.0" encoding="utf-8"?>
<Properties xmlns="http://schemas.openxmlformats.org/officeDocument/2006/extended-properties" xmlns:vt="http://schemas.openxmlformats.org/officeDocument/2006/docPropsVTypes">
  <Template>Normal</Template>
  <TotalTime>1</TotalTime>
  <Pages>7</Pages>
  <Words>1870</Words>
  <Characters>10660</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sources on Article 21 (outcome indicators)</dc:title>
  <dc:subject/>
  <dc:creator>Nanette Goodman</dc:creator>
  <cp:keywords/>
  <dc:description/>
  <cp:lastModifiedBy>Elias Constantopedos</cp:lastModifiedBy>
  <cp:revision>6</cp:revision>
  <cp:lastPrinted>2020-11-19T04:53:00Z</cp:lastPrinted>
  <dcterms:created xsi:type="dcterms:W3CDTF">2020-12-20T13:00:00Z</dcterms:created>
  <dcterms:modified xsi:type="dcterms:W3CDTF">2020-12-20T21:17:00Z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