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15A" w14:textId="61B16BBE" w:rsidR="005A094A" w:rsidRPr="00812309" w:rsidRDefault="00D97B91" w:rsidP="00D850DC">
      <w:pPr>
        <w:pStyle w:val="Heading1"/>
        <w:rPr>
          <w:rFonts w:eastAsiaTheme="majorEastAsia" w:cstheme="minorHAnsi"/>
          <w:color w:val="FFFFFF" w:themeColor="background1"/>
        </w:rPr>
      </w:pPr>
      <w:r w:rsidRPr="00812309">
        <w:rPr>
          <w:rFonts w:eastAsiaTheme="majorEastAsia" w:cstheme="minorHAnsi"/>
          <w:noProof/>
          <w:color w:val="FFFFFF" w:themeColor="background1"/>
          <w:sz w:val="72"/>
          <w:szCs w:val="72"/>
          <w:lang w:eastAsia="en-GB"/>
        </w:rPr>
        <w:drawing>
          <wp:anchor distT="0" distB="0" distL="114300" distR="114300" simplePos="0" relativeHeight="251658240" behindDoc="1" locked="0" layoutInCell="1" allowOverlap="1" wp14:anchorId="45C2F5DD" wp14:editId="117A518A">
            <wp:simplePos x="0" y="0"/>
            <wp:positionH relativeFrom="column">
              <wp:posOffset>-970915</wp:posOffset>
            </wp:positionH>
            <wp:positionV relativeFrom="paragraph">
              <wp:posOffset>-960918</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812309">
        <w:rPr>
          <w:rFonts w:eastAsiaTheme="majorEastAsia" w:cstheme="minorHAnsi"/>
          <w:color w:val="FFFFFF" w:themeColor="background1"/>
        </w:rPr>
        <w:t xml:space="preserve">Data sources for outcome indicators on Article </w:t>
      </w:r>
      <w:r w:rsidR="00FA5E66" w:rsidRPr="00812309">
        <w:rPr>
          <w:rFonts w:eastAsiaTheme="majorEastAsia" w:cstheme="minorHAnsi"/>
          <w:color w:val="FFFFFF" w:themeColor="background1"/>
        </w:rPr>
        <w:t>2</w:t>
      </w:r>
      <w:r w:rsidR="00762687" w:rsidRPr="00812309">
        <w:rPr>
          <w:rFonts w:eastAsiaTheme="majorEastAsia" w:cstheme="minorHAnsi"/>
          <w:color w:val="FFFFFF" w:themeColor="background1"/>
        </w:rPr>
        <w:t>3</w:t>
      </w:r>
      <w:r w:rsidR="000A661C" w:rsidRPr="00812309">
        <w:rPr>
          <w:rFonts w:eastAsiaTheme="majorEastAsia" w:cstheme="minorHAnsi"/>
          <w:color w:val="FFFFFF" w:themeColor="background1"/>
        </w:rPr>
        <w:t>:</w:t>
      </w:r>
    </w:p>
    <w:p w14:paraId="5A518BF9" w14:textId="118CCD6C" w:rsidR="00906D01" w:rsidRPr="00812309" w:rsidRDefault="00762687" w:rsidP="00D850DC">
      <w:pPr>
        <w:pStyle w:val="Heading1"/>
        <w:ind w:right="720"/>
        <w:rPr>
          <w:rFonts w:eastAsiaTheme="majorEastAsia" w:cstheme="minorHAnsi"/>
          <w:color w:val="FFFFFF" w:themeColor="background1"/>
          <w:sz w:val="72"/>
          <w:szCs w:val="72"/>
        </w:rPr>
      </w:pPr>
      <w:r w:rsidRPr="00812309">
        <w:rPr>
          <w:rFonts w:eastAsiaTheme="majorEastAsia" w:cstheme="minorHAnsi"/>
          <w:color w:val="FFFFFF" w:themeColor="background1"/>
          <w:sz w:val="72"/>
          <w:szCs w:val="72"/>
        </w:rPr>
        <w:t>Respect for home and the family</w:t>
      </w:r>
    </w:p>
    <w:p w14:paraId="3CBE4037" w14:textId="4DD880D7" w:rsidR="00355C6D" w:rsidRPr="00812309" w:rsidRDefault="00977276" w:rsidP="00D850DC">
      <w:pPr>
        <w:spacing w:before="0" w:after="0" w:line="240" w:lineRule="auto"/>
        <w:rPr>
          <w:rFonts w:asciiTheme="minorHAnsi" w:hAnsiTheme="minorHAnsi" w:cstheme="minorHAnsi"/>
        </w:rPr>
      </w:pPr>
      <w:r w:rsidRPr="00812309">
        <w:rPr>
          <w:rFonts w:asciiTheme="minorHAnsi" w:hAnsiTheme="minorHAnsi"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36B04D79">
            <wp:simplePos x="4338638" y="9005888"/>
            <wp:positionH relativeFrom="margin">
              <wp:align>right</wp:align>
            </wp:positionH>
            <wp:positionV relativeFrom="margin">
              <wp:align>bottom</wp:align>
            </wp:positionV>
            <wp:extent cx="2247900" cy="771525"/>
            <wp:effectExtent l="0" t="0" r="0" b="952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812309">
        <w:rPr>
          <w:rFonts w:asciiTheme="minorHAnsi" w:hAnsiTheme="minorHAnsi" w:cstheme="minorHAnsi"/>
        </w:rPr>
        <w:br w:type="page"/>
      </w:r>
    </w:p>
    <w:p w14:paraId="779E1EF4" w14:textId="5C6FD04F" w:rsidR="00355C6D" w:rsidRPr="00812309" w:rsidRDefault="00570364" w:rsidP="00D850DC">
      <w:pPr>
        <w:spacing w:before="0" w:after="0" w:line="240" w:lineRule="auto"/>
        <w:rPr>
          <w:rFonts w:asciiTheme="minorHAnsi" w:hAnsiTheme="minorHAnsi" w:cstheme="minorHAnsi"/>
        </w:rPr>
      </w:pPr>
      <w:r w:rsidRPr="00812309">
        <w:rPr>
          <w:rFonts w:asciiTheme="minorHAnsi" w:hAnsiTheme="minorHAnsi" w:cstheme="minorHAnsi"/>
          <w:noProof/>
          <w:lang w:eastAsia="en-GB"/>
        </w:rPr>
        <w:lastRenderedPageBreak/>
        <w:drawing>
          <wp:inline distT="0" distB="0" distL="0" distR="0" wp14:anchorId="48975751" wp14:editId="2A1C3C33">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49424" cy="557379"/>
                    </a:xfrm>
                    <a:prstGeom prst="rect">
                      <a:avLst/>
                    </a:prstGeom>
                  </pic:spPr>
                </pic:pic>
              </a:graphicData>
            </a:graphic>
          </wp:inline>
        </w:drawing>
      </w:r>
    </w:p>
    <w:p w14:paraId="7AF8A25C" w14:textId="77777777" w:rsidR="004C524F" w:rsidRPr="00812309" w:rsidRDefault="004C524F" w:rsidP="004C524F">
      <w:pPr>
        <w:autoSpaceDE w:val="0"/>
        <w:autoSpaceDN w:val="0"/>
        <w:spacing w:before="7200" w:line="260" w:lineRule="exact"/>
        <w:rPr>
          <w:rFonts w:cs="Segoe UI"/>
          <w:color w:val="000000"/>
          <w:sz w:val="18"/>
          <w:lang w:eastAsia="en-GB"/>
        </w:rPr>
      </w:pPr>
      <w:r w:rsidRPr="00812309">
        <w:rPr>
          <w:rFonts w:cs="Segoe UI"/>
          <w:color w:val="000000"/>
          <w:sz w:val="18"/>
          <w:lang w:eastAsia="en-GB"/>
        </w:rPr>
        <w:t>ADVANCE VERSION</w:t>
      </w:r>
    </w:p>
    <w:p w14:paraId="2F799A42" w14:textId="77777777" w:rsidR="004C524F" w:rsidRPr="00812309" w:rsidRDefault="004C524F" w:rsidP="004C524F">
      <w:pPr>
        <w:autoSpaceDE w:val="0"/>
        <w:autoSpaceDN w:val="0"/>
        <w:spacing w:line="260" w:lineRule="exact"/>
        <w:rPr>
          <w:rFonts w:cs="Segoe UI"/>
          <w:color w:val="000000"/>
          <w:sz w:val="20"/>
          <w:szCs w:val="20"/>
          <w:lang w:eastAsia="en-GB"/>
        </w:rPr>
      </w:pPr>
      <w:r w:rsidRPr="00812309">
        <w:rPr>
          <w:rFonts w:cs="Segoe UI"/>
          <w:color w:val="000000"/>
          <w:sz w:val="20"/>
          <w:szCs w:val="20"/>
          <w:lang w:eastAsia="en-GB"/>
        </w:rPr>
        <w:t xml:space="preserve">© 2020 United Nations  </w:t>
      </w:r>
    </w:p>
    <w:p w14:paraId="671FB2F6" w14:textId="77777777" w:rsidR="004C524F" w:rsidRPr="00812309" w:rsidRDefault="004C524F" w:rsidP="004C524F">
      <w:pPr>
        <w:autoSpaceDE w:val="0"/>
        <w:autoSpaceDN w:val="0"/>
        <w:spacing w:line="260" w:lineRule="exact"/>
        <w:rPr>
          <w:rFonts w:cs="Segoe UI"/>
          <w:color w:val="000000"/>
          <w:sz w:val="20"/>
          <w:szCs w:val="20"/>
          <w:lang w:eastAsia="en-GB"/>
        </w:rPr>
      </w:pPr>
      <w:r w:rsidRPr="00812309">
        <w:rPr>
          <w:rFonts w:cs="Segoe UI"/>
          <w:color w:val="000000"/>
          <w:sz w:val="20"/>
          <w:szCs w:val="20"/>
          <w:lang w:eastAsia="en-GB"/>
        </w:rPr>
        <w:t xml:space="preserve">The </w:t>
      </w:r>
      <w:r w:rsidRPr="00812309">
        <w:rPr>
          <w:rFonts w:cs="Segoe UI"/>
          <w:i/>
          <w:color w:val="000000"/>
          <w:sz w:val="20"/>
          <w:szCs w:val="20"/>
          <w:lang w:eastAsia="en-GB"/>
        </w:rPr>
        <w:t>Data Sources Guidance</w:t>
      </w:r>
      <w:r w:rsidRPr="00812309">
        <w:rPr>
          <w:rFonts w:cs="Segoe UI"/>
          <w:color w:val="000000"/>
          <w:sz w:val="20"/>
          <w:szCs w:val="20"/>
          <w:lang w:eastAsia="en-GB"/>
        </w:rPr>
        <w:t xml:space="preserve"> is a component of the </w:t>
      </w:r>
      <w:hyperlink r:id="rId12" w:history="1">
        <w:r w:rsidRPr="00812309">
          <w:rPr>
            <w:rStyle w:val="Hyperlink"/>
            <w:rFonts w:cs="Segoe UI"/>
            <w:sz w:val="20"/>
            <w:szCs w:val="20"/>
            <w:lang w:eastAsia="en-GB"/>
          </w:rPr>
          <w:t>SDG-CRPD Resource Package</w:t>
        </w:r>
      </w:hyperlink>
      <w:r w:rsidRPr="00812309">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4621712A" w14:textId="3C007ADA" w:rsidR="004C524F" w:rsidRPr="00812309" w:rsidRDefault="004C524F" w:rsidP="004C524F">
      <w:pPr>
        <w:autoSpaceDE w:val="0"/>
        <w:autoSpaceDN w:val="0"/>
        <w:spacing w:line="260" w:lineRule="exact"/>
        <w:rPr>
          <w:rFonts w:cs="Segoe UI"/>
          <w:color w:val="000000"/>
          <w:sz w:val="20"/>
          <w:szCs w:val="20"/>
          <w:lang w:eastAsia="en-GB"/>
        </w:rPr>
      </w:pPr>
      <w:r w:rsidRPr="00812309">
        <w:rPr>
          <w:rFonts w:cs="Segoe UI"/>
          <w:color w:val="000000"/>
          <w:sz w:val="20"/>
          <w:szCs w:val="20"/>
          <w:lang w:eastAsia="en-GB"/>
        </w:rPr>
        <w:t xml:space="preserve">The designations employed and the presentation of the material </w:t>
      </w:r>
      <w:r w:rsidR="00994FA4" w:rsidRPr="00812309">
        <w:rPr>
          <w:rFonts w:cs="Segoe UI"/>
          <w:color w:val="000000"/>
          <w:sz w:val="20"/>
          <w:szCs w:val="20"/>
          <w:lang w:eastAsia="en-GB"/>
        </w:rPr>
        <w:t>herein</w:t>
      </w:r>
      <w:r w:rsidRPr="00812309">
        <w:rPr>
          <w:rFonts w:cs="Segoe UI"/>
          <w:color w:val="000000"/>
          <w:sz w:val="20"/>
          <w:szCs w:val="20"/>
          <w:lang w:eastAsia="en-GB"/>
        </w:rPr>
        <w:t xml:space="preserve"> do not imply the expression of any opinion whatsoever on the part of the Secretariat of the United Nations concerning the legal status of any country, territory, city or area, or of its authorities, or concerning the delimitation of its frontiers or boundaries. </w:t>
      </w:r>
    </w:p>
    <w:p w14:paraId="0BFF4462" w14:textId="77777777" w:rsidR="004C524F" w:rsidRPr="00812309" w:rsidRDefault="004C524F" w:rsidP="004C524F">
      <w:pPr>
        <w:autoSpaceDE w:val="0"/>
        <w:autoSpaceDN w:val="0"/>
        <w:spacing w:line="260" w:lineRule="exact"/>
        <w:rPr>
          <w:rFonts w:cs="Segoe UI"/>
          <w:color w:val="000000"/>
          <w:sz w:val="20"/>
          <w:szCs w:val="20"/>
          <w:lang w:eastAsia="en-GB"/>
        </w:rPr>
      </w:pPr>
      <w:r w:rsidRPr="00812309">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5AEF1B32" w14:textId="4310D64F" w:rsidR="004C524F" w:rsidRPr="00812309" w:rsidRDefault="004C524F" w:rsidP="004C524F">
      <w:pPr>
        <w:autoSpaceDE w:val="0"/>
        <w:autoSpaceDN w:val="0"/>
        <w:spacing w:line="260" w:lineRule="exact"/>
        <w:rPr>
          <w:rFonts w:cs="Segoe UI"/>
          <w:color w:val="000000"/>
          <w:sz w:val="20"/>
          <w:szCs w:val="20"/>
          <w:lang w:eastAsia="en-GB"/>
        </w:rPr>
      </w:pPr>
      <w:r w:rsidRPr="00812309">
        <w:rPr>
          <w:rFonts w:cs="Segoe UI"/>
          <w:color w:val="000000"/>
          <w:sz w:val="20"/>
          <w:szCs w:val="20"/>
          <w:lang w:eastAsia="en-GB"/>
        </w:rPr>
        <w:t xml:space="preserve">The </w:t>
      </w:r>
      <w:r w:rsidRPr="00812309">
        <w:rPr>
          <w:rFonts w:cs="Segoe UI"/>
          <w:i/>
          <w:color w:val="000000"/>
          <w:sz w:val="20"/>
          <w:szCs w:val="20"/>
          <w:lang w:eastAsia="en-GB"/>
        </w:rPr>
        <w:t>Data Sources Guidance</w:t>
      </w:r>
      <w:r w:rsidRPr="00812309">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09058C">
        <w:rPr>
          <w:rFonts w:cs="Segoe UI"/>
          <w:color w:val="000000"/>
          <w:sz w:val="20"/>
          <w:szCs w:val="20"/>
          <w:lang w:eastAsia="en-GB"/>
        </w:rPr>
        <w:br/>
      </w:r>
    </w:p>
    <w:p w14:paraId="21F344D4" w14:textId="77777777" w:rsidR="004C524F" w:rsidRPr="00812309" w:rsidRDefault="004C524F" w:rsidP="004C524F">
      <w:pPr>
        <w:autoSpaceDE w:val="0"/>
        <w:autoSpaceDN w:val="0"/>
        <w:rPr>
          <w:rFonts w:eastAsiaTheme="majorEastAsia" w:cstheme="minorHAnsi"/>
          <w:b/>
          <w:color w:val="0A59AB"/>
          <w:spacing w:val="4"/>
          <w:kern w:val="0"/>
          <w:sz w:val="20"/>
          <w:szCs w:val="30"/>
        </w:rPr>
      </w:pPr>
      <w:r w:rsidRPr="00812309">
        <w:rPr>
          <w:rFonts w:cstheme="minorHAnsi"/>
          <w:noProof/>
          <w:lang w:eastAsia="en-GB"/>
        </w:rPr>
        <w:drawing>
          <wp:inline distT="0" distB="0" distL="0" distR="0" wp14:anchorId="0CA42F91" wp14:editId="72019DD5">
            <wp:extent cx="758678" cy="515664"/>
            <wp:effectExtent l="0" t="0" r="3810" b="0"/>
            <wp:docPr id="7" name="Picture 7"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Pr="00812309">
        <w:rPr>
          <w:rFonts w:eastAsiaTheme="majorEastAsia" w:cstheme="minorHAnsi"/>
          <w:b/>
          <w:color w:val="0A59AB"/>
          <w:spacing w:val="4"/>
          <w:kern w:val="0"/>
          <w:sz w:val="20"/>
          <w:szCs w:val="30"/>
        </w:rPr>
        <w:br w:type="page"/>
      </w:r>
    </w:p>
    <w:p w14:paraId="490640D4" w14:textId="77777777" w:rsidR="00B74073" w:rsidRPr="00812309" w:rsidRDefault="00B74073" w:rsidP="00313848">
      <w:pPr>
        <w:pStyle w:val="Heading2"/>
        <w:rPr>
          <w:rFonts w:eastAsiaTheme="majorEastAsia"/>
        </w:rPr>
      </w:pPr>
      <w:r w:rsidRPr="00812309">
        <w:rPr>
          <w:rFonts w:eastAsiaTheme="majorEastAsia"/>
        </w:rPr>
        <w:lastRenderedPageBreak/>
        <w:t>23.19 Proportion of women and girls who make their own informed decisions regarding sexual relations, contraceptive use and reproductive health care (based on SDG indicator 5.6.1) by age and disability, geographical location (idem. 6.19).</w:t>
      </w:r>
    </w:p>
    <w:p w14:paraId="4C1F1351" w14:textId="77777777" w:rsidR="00B74073" w:rsidRPr="00812309" w:rsidRDefault="00B74073" w:rsidP="00313848">
      <w:pPr>
        <w:pStyle w:val="Heading4"/>
        <w:rPr>
          <w:rFonts w:eastAsiaTheme="majorEastAsia"/>
          <w:bCs/>
        </w:rPr>
      </w:pPr>
      <w:r w:rsidRPr="00812309">
        <w:rPr>
          <w:rFonts w:eastAsiaTheme="majorEastAsia"/>
          <w:bCs/>
        </w:rPr>
        <w:t>Level 1: Indicator for which data are already being produced and reported on in at least some countries.</w:t>
      </w:r>
    </w:p>
    <w:p w14:paraId="2D255401" w14:textId="6CDCCCB6" w:rsidR="00B74073" w:rsidRPr="00812309" w:rsidRDefault="005D6C10" w:rsidP="0086726A">
      <w:pPr>
        <w:rPr>
          <w:rFonts w:cstheme="minorHAnsi"/>
          <w:color w:val="000000" w:themeColor="text1"/>
          <w:lang w:eastAsia="en-GB"/>
        </w:rPr>
      </w:pPr>
      <w:hyperlink r:id="rId14" w:history="1">
        <w:r w:rsidR="00B74073" w:rsidRPr="00812309">
          <w:rPr>
            <w:rStyle w:val="Hyperlink"/>
            <w:rFonts w:cstheme="minorHAnsi"/>
            <w:lang w:eastAsia="en-GB"/>
          </w:rPr>
          <w:t>Link to the metadata related to this SDG indicator</w:t>
        </w:r>
      </w:hyperlink>
    </w:p>
    <w:p w14:paraId="6B2A6161" w14:textId="6AA8B77A" w:rsidR="00994FA4" w:rsidRPr="00812309" w:rsidRDefault="00994FA4" w:rsidP="00994FA4">
      <w:pPr>
        <w:rPr>
          <w:lang w:eastAsia="en-GB"/>
        </w:rPr>
      </w:pPr>
      <w:r w:rsidRPr="00812309">
        <w:rPr>
          <w:lang w:eastAsia="en-GB"/>
        </w:rPr>
        <w:t>According to the metadata:</w:t>
      </w:r>
    </w:p>
    <w:p w14:paraId="44A1B70C" w14:textId="51279EFA" w:rsidR="00B74073" w:rsidRPr="00812309" w:rsidRDefault="00994FA4" w:rsidP="00B7034B">
      <w:pPr>
        <w:ind w:left="360"/>
        <w:rPr>
          <w:i/>
          <w:lang w:eastAsia="en-GB"/>
        </w:rPr>
      </w:pPr>
      <w:r w:rsidRPr="00812309">
        <w:rPr>
          <w:lang w:eastAsia="en-GB"/>
        </w:rPr>
        <w:t>“</w:t>
      </w:r>
      <w:r w:rsidR="00B74073" w:rsidRPr="00812309">
        <w:rPr>
          <w:i/>
          <w:lang w:eastAsia="en-GB"/>
        </w:rPr>
        <w:t>Current data on the indicator are mainly derived from nationally representative DHS. Data sources increasingly include MICS and GGS, and other country-specific surveys.</w:t>
      </w:r>
    </w:p>
    <w:p w14:paraId="0AF82F97" w14:textId="77777777" w:rsidR="00B74073" w:rsidRPr="00812309" w:rsidRDefault="00B74073" w:rsidP="00B7034B">
      <w:pPr>
        <w:ind w:left="360"/>
        <w:rPr>
          <w:i/>
          <w:lang w:eastAsia="en-GB"/>
        </w:rPr>
      </w:pPr>
      <w:r w:rsidRPr="00812309">
        <w:rPr>
          <w:i/>
          <w:lang w:eastAsia="en-GB"/>
        </w:rPr>
        <w:t>Data is collected in line with the methodology used for the relevant national survey.</w:t>
      </w:r>
    </w:p>
    <w:p w14:paraId="6E465A5E" w14:textId="77777777" w:rsidR="00B74073" w:rsidRPr="00812309" w:rsidRDefault="00B74073" w:rsidP="00B7034B">
      <w:pPr>
        <w:ind w:left="360"/>
        <w:rPr>
          <w:b/>
          <w:bCs/>
          <w:i/>
          <w:lang w:eastAsia="en-GB"/>
        </w:rPr>
      </w:pPr>
      <w:r w:rsidRPr="00812309">
        <w:rPr>
          <w:b/>
          <w:bCs/>
          <w:i/>
          <w:lang w:eastAsia="en-GB"/>
        </w:rPr>
        <w:t>Relevant country-specific surveys</w:t>
      </w:r>
    </w:p>
    <w:p w14:paraId="1C05AFED" w14:textId="77777777" w:rsidR="00B74073" w:rsidRPr="00812309" w:rsidRDefault="00B74073" w:rsidP="00B7034B">
      <w:pPr>
        <w:ind w:left="360"/>
        <w:rPr>
          <w:i/>
          <w:lang w:eastAsia="en-GB"/>
        </w:rPr>
      </w:pPr>
      <w:r w:rsidRPr="00812309">
        <w:rPr>
          <w:i/>
          <w:lang w:eastAsia="en-GB"/>
        </w:rPr>
        <w:t>Data for SDG indicator 5.6.1 may be collected through existing country-specific surveys. For existing national household surveys, it must be ascertained that the sampling design does not systematically exclude subgroups of the population that are important to SDG 5.6.1, specifically, women of reproductive age (15-49) that are currently married or in union. Surveys that cover only certain population subgroups, such as women who speak the dominant language or women from the main ethnic group, may exclude the experiences of a large number of women. Data on the ethnicity and religion of the survey participants should be collected whenever available. The survey should have a large sample size (usually between 5,000 and 30,000 households), be nationally-representative, and representative, at least, at one administrative level below the national level.</w:t>
      </w:r>
    </w:p>
    <w:p w14:paraId="213AE09B" w14:textId="77777777" w:rsidR="00B74073" w:rsidRPr="00812309" w:rsidRDefault="00B74073" w:rsidP="00B7034B">
      <w:pPr>
        <w:ind w:left="360"/>
        <w:rPr>
          <w:i/>
          <w:lang w:eastAsia="en-GB"/>
        </w:rPr>
      </w:pPr>
      <w:r w:rsidRPr="00812309">
        <w:rPr>
          <w:i/>
          <w:lang w:eastAsia="en-GB"/>
        </w:rPr>
        <w:t>Surveys on unrelated topics may not be good candidates for the incorporation of the SDG 5.6.1 questions. The sensitivity of the topics addressed in health surveys, in particular, those examining women’s health, making them a feasible instrument for incorporating questions on women’s experience of decision making in sex relations, use of contraceptive, and health care for themselves.</w:t>
      </w:r>
    </w:p>
    <w:p w14:paraId="6AC7550D" w14:textId="77777777" w:rsidR="00B74073" w:rsidRPr="00812309" w:rsidRDefault="00B74073" w:rsidP="00B7034B">
      <w:pPr>
        <w:ind w:left="360"/>
        <w:rPr>
          <w:i/>
          <w:lang w:eastAsia="en-GB"/>
        </w:rPr>
      </w:pPr>
      <w:r w:rsidRPr="00812309">
        <w:rPr>
          <w:i/>
          <w:lang w:eastAsia="en-GB"/>
        </w:rPr>
        <w:t>In order to generate data for SDG 5.6.1, all three questions must be included in the survey. The three questions in the Definition section provides generic questions that can be used in country-specific surveys. For the first and the second questions, these should include distinct categories for women making decisions herself, and women making decisions jointly with her husband/partner.</w:t>
      </w:r>
    </w:p>
    <w:p w14:paraId="7C16BD25" w14:textId="77777777" w:rsidR="00B74073" w:rsidRPr="00812309" w:rsidRDefault="00B74073" w:rsidP="00B7034B">
      <w:pPr>
        <w:ind w:left="360"/>
        <w:rPr>
          <w:i/>
        </w:rPr>
      </w:pPr>
      <w:r w:rsidRPr="00812309">
        <w:rPr>
          <w:i/>
        </w:rPr>
        <w:t>Currently, a total of 57 countries have at least one survey with data on all the 3 questions above which are necessary for calculating Indicator 5.6.1. The 57 countries with data are distributed as follows:</w:t>
      </w:r>
    </w:p>
    <w:p w14:paraId="0F63242A" w14:textId="77777777" w:rsidR="00B74073" w:rsidRPr="00812309" w:rsidRDefault="00B74073" w:rsidP="00B7034B">
      <w:pPr>
        <w:pStyle w:val="ListParagraph"/>
        <w:numPr>
          <w:ilvl w:val="0"/>
          <w:numId w:val="42"/>
        </w:numPr>
        <w:rPr>
          <w:rFonts w:eastAsiaTheme="minorEastAsia"/>
          <w:i/>
        </w:rPr>
      </w:pPr>
      <w:r w:rsidRPr="00812309">
        <w:rPr>
          <w:rFonts w:eastAsiaTheme="minorEastAsia"/>
          <w:i/>
        </w:rPr>
        <w:t>Central Asia and Southern Asia (5)</w:t>
      </w:r>
    </w:p>
    <w:p w14:paraId="696F0C23" w14:textId="77777777" w:rsidR="00B74073" w:rsidRPr="00812309" w:rsidRDefault="00B74073" w:rsidP="00B7034B">
      <w:pPr>
        <w:pStyle w:val="ListParagraph"/>
        <w:numPr>
          <w:ilvl w:val="0"/>
          <w:numId w:val="42"/>
        </w:numPr>
        <w:rPr>
          <w:rFonts w:eastAsiaTheme="minorEastAsia"/>
          <w:i/>
        </w:rPr>
      </w:pPr>
      <w:r w:rsidRPr="00812309">
        <w:rPr>
          <w:rFonts w:eastAsiaTheme="minorEastAsia"/>
          <w:i/>
        </w:rPr>
        <w:t>Eastern Asia and South-eastern Asia (5)</w:t>
      </w:r>
    </w:p>
    <w:p w14:paraId="64319359" w14:textId="77777777" w:rsidR="00B74073" w:rsidRPr="00812309" w:rsidRDefault="00B74073" w:rsidP="00B7034B">
      <w:pPr>
        <w:pStyle w:val="ListParagraph"/>
        <w:numPr>
          <w:ilvl w:val="0"/>
          <w:numId w:val="42"/>
        </w:numPr>
        <w:rPr>
          <w:rFonts w:eastAsiaTheme="minorEastAsia"/>
          <w:i/>
        </w:rPr>
      </w:pPr>
      <w:r w:rsidRPr="00812309">
        <w:rPr>
          <w:rFonts w:eastAsiaTheme="minorEastAsia"/>
          <w:i/>
        </w:rPr>
        <w:lastRenderedPageBreak/>
        <w:t>Northern America and Europe (2)</w:t>
      </w:r>
    </w:p>
    <w:p w14:paraId="5CEEA81A" w14:textId="77777777" w:rsidR="00B74073" w:rsidRPr="00812309" w:rsidRDefault="00B74073" w:rsidP="00B7034B">
      <w:pPr>
        <w:pStyle w:val="ListParagraph"/>
        <w:numPr>
          <w:ilvl w:val="0"/>
          <w:numId w:val="42"/>
        </w:numPr>
        <w:rPr>
          <w:rFonts w:eastAsiaTheme="minorEastAsia"/>
          <w:i/>
        </w:rPr>
      </w:pPr>
      <w:r w:rsidRPr="00812309">
        <w:rPr>
          <w:rFonts w:eastAsiaTheme="minorEastAsia"/>
          <w:i/>
        </w:rPr>
        <w:t>Western Asia and Northern Africa (2)</w:t>
      </w:r>
    </w:p>
    <w:p w14:paraId="4AB3E76E" w14:textId="77777777" w:rsidR="00B74073" w:rsidRPr="00812309" w:rsidRDefault="00B74073" w:rsidP="00B7034B">
      <w:pPr>
        <w:pStyle w:val="ListParagraph"/>
        <w:numPr>
          <w:ilvl w:val="0"/>
          <w:numId w:val="42"/>
        </w:numPr>
        <w:rPr>
          <w:rFonts w:eastAsiaTheme="minorEastAsia"/>
          <w:i/>
        </w:rPr>
      </w:pPr>
      <w:r w:rsidRPr="00812309">
        <w:rPr>
          <w:rFonts w:eastAsiaTheme="minorEastAsia"/>
          <w:i/>
        </w:rPr>
        <w:t>Latin America and the Caribbean (7)</w:t>
      </w:r>
    </w:p>
    <w:p w14:paraId="72C235B5" w14:textId="77777777" w:rsidR="00B74073" w:rsidRPr="00812309" w:rsidRDefault="00B74073" w:rsidP="00B7034B">
      <w:pPr>
        <w:pStyle w:val="ListParagraph"/>
        <w:numPr>
          <w:ilvl w:val="0"/>
          <w:numId w:val="42"/>
        </w:numPr>
        <w:rPr>
          <w:rFonts w:eastAsiaTheme="minorEastAsia"/>
          <w:i/>
        </w:rPr>
      </w:pPr>
      <w:r w:rsidRPr="00812309">
        <w:rPr>
          <w:rFonts w:eastAsiaTheme="minorEastAsia"/>
          <w:i/>
        </w:rPr>
        <w:t>Sub-Saharan Africa (36)</w:t>
      </w:r>
    </w:p>
    <w:p w14:paraId="1F935D49" w14:textId="1CCEE03D" w:rsidR="00B74073" w:rsidRPr="00812309" w:rsidRDefault="00B74073" w:rsidP="00B7034B">
      <w:pPr>
        <w:ind w:left="360"/>
      </w:pPr>
      <w:r w:rsidRPr="00812309">
        <w:rPr>
          <w:i/>
        </w:rPr>
        <w:t>Several other countries have only one or two of the three questions needed to calculate Indicator 5.6.1. UNFPA engages with major international and regional survey programmes, as well as national and international organizations and agencies to incorporate the questions in relevant household surveys with a view to covering all countries on a global scale.</w:t>
      </w:r>
      <w:r w:rsidR="00994FA4" w:rsidRPr="00812309">
        <w:t>”</w:t>
      </w:r>
    </w:p>
    <w:p w14:paraId="73714998" w14:textId="77777777" w:rsidR="00B74073" w:rsidRPr="00812309" w:rsidRDefault="00B74073" w:rsidP="0086726A">
      <w:r w:rsidRPr="00812309">
        <w:t>As long as the optional DHS questions on disability are included, producing this indicator is straightforward. If the MICS is used, disability questions are part of the core questionnaire. Other surveys could also produce the indicator, as long as disability questions are included.</w:t>
      </w:r>
    </w:p>
    <w:p w14:paraId="7FFFD0B5" w14:textId="77777777" w:rsidR="00B74073" w:rsidRPr="00812309" w:rsidRDefault="00B74073" w:rsidP="0086726A">
      <w:r w:rsidRPr="00812309">
        <w:t xml:space="preserve">The 2018 </w:t>
      </w:r>
      <w:hyperlink r:id="rId15" w:history="1">
        <w:r w:rsidRPr="00812309">
          <w:rPr>
            <w:rStyle w:val="Hyperlink"/>
            <w:rFonts w:cstheme="minorHAnsi"/>
          </w:rPr>
          <w:t>DHS of Nigeria</w:t>
        </w:r>
      </w:hyperlink>
      <w:r w:rsidRPr="00812309">
        <w:t xml:space="preserve"> collected data on women’s abilities to negotiate sexual relations with their husband, contraceptive use and reproductive healthcare. However, even for countries that include disability modules in their surveys, such as the DHS of Nigeria, no reports were found that disaggregated information on this subject.</w:t>
      </w:r>
    </w:p>
    <w:p w14:paraId="13F6B547" w14:textId="77777777" w:rsidR="00B74073" w:rsidRPr="00812309" w:rsidRDefault="00B74073" w:rsidP="00313848">
      <w:pPr>
        <w:pStyle w:val="Heading2"/>
        <w:rPr>
          <w:rFonts w:eastAsiaTheme="majorEastAsia"/>
        </w:rPr>
      </w:pPr>
      <w:r w:rsidRPr="00812309">
        <w:rPr>
          <w:rFonts w:eastAsiaTheme="majorEastAsia"/>
        </w:rPr>
        <w:t>23.20 Number of persons with disabilities victims of discrimination on the basis of disability regarding family life and relationships whose rights have been restored or their violations remedied.</w:t>
      </w:r>
    </w:p>
    <w:p w14:paraId="48BEF379" w14:textId="77777777" w:rsidR="00B74073" w:rsidRPr="00812309" w:rsidRDefault="00B74073" w:rsidP="00313848">
      <w:pPr>
        <w:pStyle w:val="Heading4"/>
        <w:rPr>
          <w:rFonts w:eastAsiaTheme="majorEastAsia"/>
        </w:rPr>
      </w:pPr>
      <w:r w:rsidRPr="00812309">
        <w:rPr>
          <w:rFonts w:eastAsiaTheme="majorEastAsia"/>
        </w:rPr>
        <w:t>Level 2: Indicator that can be produced with existing data but has not been reported on</w:t>
      </w:r>
    </w:p>
    <w:p w14:paraId="754143EA" w14:textId="77777777" w:rsidR="00B74073" w:rsidRPr="00812309" w:rsidRDefault="00B74073" w:rsidP="0086726A">
      <w:pPr>
        <w:pStyle w:val="EndnoteText"/>
        <w:rPr>
          <w:rFonts w:ascii="Calibri" w:eastAsiaTheme="minorHAnsi" w:hAnsi="Calibri" w:cstheme="minorHAnsi"/>
          <w:sz w:val="22"/>
          <w:szCs w:val="22"/>
        </w:rPr>
      </w:pPr>
      <w:r w:rsidRPr="00812309">
        <w:rPr>
          <w:rFonts w:ascii="Calibri" w:eastAsiaTheme="minorHAnsi" w:hAnsi="Calibri" w:cstheme="minorHAnsi"/>
          <w:sz w:val="22"/>
          <w:szCs w:val="22"/>
        </w:rPr>
        <w:t>This indicator includes, for instance:</w:t>
      </w:r>
    </w:p>
    <w:p w14:paraId="63D7552D" w14:textId="1E8A89D7" w:rsidR="00B74073" w:rsidRPr="00812309" w:rsidRDefault="00B74073" w:rsidP="00B7034B">
      <w:pPr>
        <w:pStyle w:val="ListParagraph"/>
        <w:numPr>
          <w:ilvl w:val="0"/>
          <w:numId w:val="43"/>
        </w:numPr>
        <w:rPr>
          <w:rFonts w:eastAsiaTheme="minorEastAsia"/>
        </w:rPr>
      </w:pPr>
      <w:r w:rsidRPr="00812309">
        <w:rPr>
          <w:rFonts w:eastAsiaTheme="minorEastAsia"/>
        </w:rPr>
        <w:t>Persons formerly deprived of legal capacity on the basis of disability whose legal capacity is restored, restoring in turn family rights, including parental rights (</w:t>
      </w:r>
      <w:proofErr w:type="gramStart"/>
      <w:r w:rsidRPr="00812309">
        <w:rPr>
          <w:rFonts w:eastAsiaTheme="minorEastAsia"/>
        </w:rPr>
        <w:t>e.g.</w:t>
      </w:r>
      <w:proofErr w:type="gramEnd"/>
      <w:r w:rsidRPr="00812309">
        <w:rPr>
          <w:rFonts w:eastAsiaTheme="minorEastAsia"/>
        </w:rPr>
        <w:t xml:space="preserve"> regaining custody of their children).</w:t>
      </w:r>
    </w:p>
    <w:p w14:paraId="56EB9236" w14:textId="211B34F4" w:rsidR="00B74073" w:rsidRPr="00812309" w:rsidRDefault="00B74073" w:rsidP="00B7034B">
      <w:pPr>
        <w:pStyle w:val="ListParagraph"/>
        <w:numPr>
          <w:ilvl w:val="0"/>
          <w:numId w:val="43"/>
        </w:numPr>
        <w:rPr>
          <w:rFonts w:eastAsiaTheme="minorEastAsia"/>
        </w:rPr>
      </w:pPr>
      <w:r w:rsidRPr="00812309">
        <w:rPr>
          <w:rFonts w:eastAsiaTheme="minorEastAsia"/>
        </w:rPr>
        <w:t>Persons with disabilities who have been subjected to forced sterilization, forced abortions, forced contraception, etc., and are entitled to reparation and redress.</w:t>
      </w:r>
    </w:p>
    <w:p w14:paraId="27DD4B0B" w14:textId="77777777" w:rsidR="00B74073" w:rsidRPr="00812309" w:rsidRDefault="00B74073" w:rsidP="0086726A">
      <w:pPr>
        <w:pStyle w:val="CommentText"/>
        <w:rPr>
          <w:sz w:val="22"/>
          <w:szCs w:val="22"/>
        </w:rPr>
      </w:pPr>
      <w:r w:rsidRPr="00812309">
        <w:rPr>
          <w:sz w:val="22"/>
          <w:szCs w:val="22"/>
        </w:rPr>
        <w:t xml:space="preserve">This could be obtained from </w:t>
      </w:r>
      <w:r w:rsidRPr="00812309">
        <w:rPr>
          <w:rStyle w:val="CommentReference"/>
          <w:sz w:val="22"/>
          <w:szCs w:val="22"/>
        </w:rPr>
        <w:t xml:space="preserve">the national high court’s database of cases where a search can be done on “disability” or the “CRPD”. </w:t>
      </w:r>
      <w:r w:rsidRPr="00812309">
        <w:rPr>
          <w:sz w:val="22"/>
          <w:szCs w:val="22"/>
        </w:rPr>
        <w:t>High courts at a national level commonly have a statistics office tracking thematic action, which can produce a report on disability. National Human Rights Institutions and universities also commonly compile yearly jurisprudence tracking the evolution of human rights standards with a qualitative assessment. The key is that the CRPD is used as a source for assessing discrimination.</w:t>
      </w:r>
    </w:p>
    <w:p w14:paraId="382D8C21" w14:textId="1DED4D3A" w:rsidR="00B74073" w:rsidRPr="00812309" w:rsidRDefault="00B74073" w:rsidP="0086726A">
      <w:pPr>
        <w:pStyle w:val="CommentText"/>
        <w:rPr>
          <w:sz w:val="22"/>
          <w:szCs w:val="22"/>
        </w:rPr>
      </w:pPr>
      <w:r w:rsidRPr="00812309">
        <w:rPr>
          <w:sz w:val="22"/>
          <w:szCs w:val="22"/>
        </w:rPr>
        <w:t xml:space="preserve">For example, </w:t>
      </w:r>
      <w:r w:rsidRPr="00812309">
        <w:rPr>
          <w:rStyle w:val="CommentReference"/>
          <w:sz w:val="22"/>
          <w:szCs w:val="22"/>
        </w:rPr>
        <w:t>the Constitutional Court of Colombia allows for a search of cases according to theme, including disability, accessibility, etc, available</w:t>
      </w:r>
      <w:r w:rsidR="00564A23" w:rsidRPr="00812309">
        <w:rPr>
          <w:rStyle w:val="CommentReference"/>
          <w:sz w:val="22"/>
          <w:szCs w:val="22"/>
        </w:rPr>
        <w:t xml:space="preserve"> at</w:t>
      </w:r>
      <w:r w:rsidRPr="00812309">
        <w:rPr>
          <w:rStyle w:val="CommentReference"/>
          <w:sz w:val="22"/>
          <w:szCs w:val="22"/>
        </w:rPr>
        <w:t xml:space="preserve"> </w:t>
      </w:r>
      <w:hyperlink r:id="rId16" w:history="1">
        <w:r w:rsidR="00564A23" w:rsidRPr="00812309">
          <w:rPr>
            <w:rStyle w:val="Hyperlink"/>
            <w:sz w:val="22"/>
            <w:szCs w:val="22"/>
          </w:rPr>
          <w:t>www.corteconstitucional.gov.co</w:t>
        </w:r>
      </w:hyperlink>
      <w:r w:rsidR="00B7034B" w:rsidRPr="00812309">
        <w:rPr>
          <w:rStyle w:val="CommentReference"/>
          <w:sz w:val="22"/>
          <w:szCs w:val="22"/>
        </w:rPr>
        <w:t>.</w:t>
      </w:r>
      <w:r w:rsidRPr="00812309">
        <w:rPr>
          <w:rStyle w:val="CommentReference"/>
          <w:sz w:val="22"/>
          <w:szCs w:val="22"/>
        </w:rPr>
        <w:t xml:space="preserve"> </w:t>
      </w:r>
    </w:p>
    <w:p w14:paraId="464E7164" w14:textId="77777777" w:rsidR="00B74073" w:rsidRPr="00812309" w:rsidRDefault="00B74073" w:rsidP="0086726A">
      <w:pPr>
        <w:rPr>
          <w:rFonts w:cstheme="minorHAnsi"/>
          <w:color w:val="000000" w:themeColor="text1"/>
        </w:rPr>
      </w:pPr>
      <w:r w:rsidRPr="00812309">
        <w:rPr>
          <w:rFonts w:cstheme="minorHAnsi"/>
          <w:color w:val="000000" w:themeColor="text1"/>
        </w:rPr>
        <w:t>Another possible source is the Ombudsperson’s Office. In Colombia, the Ombudsperson’s Office (</w:t>
      </w:r>
      <w:proofErr w:type="spellStart"/>
      <w:r w:rsidR="00D444A7" w:rsidRPr="00812309">
        <w:fldChar w:fldCharType="begin"/>
      </w:r>
      <w:r w:rsidR="00D444A7" w:rsidRPr="00812309">
        <w:instrText xml:space="preserve"> HYPERLINK "https://observatorio.defensoria.gov.co/?_s=ojc&amp;_a=5&amp;_es=0" </w:instrText>
      </w:r>
      <w:r w:rsidR="00D444A7" w:rsidRPr="00812309">
        <w:fldChar w:fldCharType="separate"/>
      </w:r>
      <w:r w:rsidRPr="00812309">
        <w:rPr>
          <w:rStyle w:val="Hyperlink"/>
          <w:rFonts w:cstheme="minorHAnsi"/>
        </w:rPr>
        <w:t>Defensoría</w:t>
      </w:r>
      <w:proofErr w:type="spellEnd"/>
      <w:r w:rsidRPr="00812309">
        <w:rPr>
          <w:rStyle w:val="Hyperlink"/>
          <w:rFonts w:cstheme="minorHAnsi"/>
        </w:rPr>
        <w:t xml:space="preserve"> del Pueblo</w:t>
      </w:r>
      <w:r w:rsidR="00D444A7" w:rsidRPr="00812309">
        <w:rPr>
          <w:rStyle w:val="Hyperlink"/>
          <w:rFonts w:cstheme="minorHAnsi"/>
        </w:rPr>
        <w:fldChar w:fldCharType="end"/>
      </w:r>
      <w:r w:rsidRPr="00812309">
        <w:rPr>
          <w:rFonts w:cstheme="minorHAnsi"/>
          <w:color w:val="000000" w:themeColor="text1"/>
        </w:rPr>
        <w:t xml:space="preserve">) monitors court decisions specifically issued by the Constitutional Court, </w:t>
      </w:r>
      <w:r w:rsidRPr="00812309">
        <w:rPr>
          <w:rFonts w:cstheme="minorHAnsi"/>
          <w:color w:val="000000" w:themeColor="text1"/>
        </w:rPr>
        <w:lastRenderedPageBreak/>
        <w:t xml:space="preserve">concerning constitutional rights and including the rights of persons with disabilities. Information about the rights of persons with disabilities in Colombia can be found under the </w:t>
      </w:r>
      <w:hyperlink r:id="rId17" w:history="1">
        <w:r w:rsidRPr="00812309">
          <w:rPr>
            <w:rStyle w:val="Hyperlink"/>
            <w:rFonts w:cstheme="minorHAnsi"/>
          </w:rPr>
          <w:t>Observatory of Constitutional Justice</w:t>
        </w:r>
      </w:hyperlink>
      <w:r w:rsidRPr="00812309">
        <w:rPr>
          <w:rFonts w:cstheme="minorHAnsi"/>
          <w:color w:val="000000" w:themeColor="text1"/>
        </w:rPr>
        <w:t>.</w:t>
      </w:r>
    </w:p>
    <w:p w14:paraId="4A60F48D" w14:textId="77777777" w:rsidR="00B74073" w:rsidRPr="00812309" w:rsidRDefault="00B74073" w:rsidP="00313848">
      <w:pPr>
        <w:pStyle w:val="Heading2"/>
        <w:rPr>
          <w:rFonts w:eastAsiaTheme="majorEastAsia"/>
        </w:rPr>
      </w:pPr>
      <w:r w:rsidRPr="00812309">
        <w:rPr>
          <w:rFonts w:eastAsiaTheme="majorEastAsia"/>
        </w:rPr>
        <w:t>23.22 Number of persons with disabilities accessing mainstream or disability specific assistance and support services for the exercise of parental responsibilities, disaggregated by sex, age and disability, type of assistance/support, and proportion they represent out of persons accessing those services.</w:t>
      </w:r>
    </w:p>
    <w:p w14:paraId="07829F46" w14:textId="77777777" w:rsidR="00B74073" w:rsidRPr="00812309" w:rsidRDefault="00B74073" w:rsidP="00313848">
      <w:pPr>
        <w:pStyle w:val="Heading4"/>
        <w:rPr>
          <w:rFonts w:eastAsiaTheme="majorEastAsia"/>
        </w:rPr>
      </w:pPr>
      <w:r w:rsidRPr="00812309">
        <w:rPr>
          <w:rFonts w:eastAsiaTheme="majorEastAsia"/>
        </w:rPr>
        <w:t>Level 3: Indicator for which acquiring data is more complex or requires the development of data collection mechanisms which are currently not in place.</w:t>
      </w:r>
    </w:p>
    <w:p w14:paraId="59773F69" w14:textId="77777777" w:rsidR="00B74073" w:rsidRPr="00812309" w:rsidRDefault="00B74073" w:rsidP="0086726A">
      <w:pPr>
        <w:rPr>
          <w:rFonts w:cstheme="minorHAnsi"/>
        </w:rPr>
      </w:pPr>
      <w:r w:rsidRPr="00812309">
        <w:rPr>
          <w:rFonts w:cstheme="minorHAnsi"/>
        </w:rPr>
        <w:t xml:space="preserve">A </w:t>
      </w:r>
      <w:hyperlink r:id="rId18" w:history="1">
        <w:r w:rsidRPr="00812309">
          <w:rPr>
            <w:rStyle w:val="Hyperlink"/>
            <w:rFonts w:cstheme="minorHAnsi"/>
          </w:rPr>
          <w:t>UNICEF report</w:t>
        </w:r>
      </w:hyperlink>
      <w:r w:rsidRPr="00812309">
        <w:rPr>
          <w:rFonts w:cstheme="minorHAnsi"/>
        </w:rPr>
        <w:t xml:space="preserve"> explains the various modalities of general parental support and who provides them. To compute this indicator, administrative data from all of these sources would have to be reported to a focal point, which would then compile the data.</w:t>
      </w:r>
    </w:p>
    <w:p w14:paraId="7C014B47" w14:textId="77777777" w:rsidR="00B74073" w:rsidRPr="00812309" w:rsidRDefault="00B74073" w:rsidP="0086726A">
      <w:pPr>
        <w:rPr>
          <w:rFonts w:cstheme="minorHAnsi"/>
        </w:rPr>
      </w:pPr>
      <w:r w:rsidRPr="00812309">
        <w:rPr>
          <w:rFonts w:cstheme="minorHAnsi"/>
        </w:rPr>
        <w:t>An added difficulty with disability-specific services is apportioning which disability assistance and supports are specific to parental rights. For example, the 2012 report “</w:t>
      </w:r>
      <w:hyperlink r:id="rId19" w:history="1">
        <w:r w:rsidRPr="00812309">
          <w:rPr>
            <w:rStyle w:val="Hyperlink"/>
            <w:rFonts w:cstheme="minorHAnsi"/>
            <w:i/>
            <w:iCs/>
          </w:rPr>
          <w:t>Rocking the Cradle: Ensuring the Rights of Parents with Disabilities and Their Children</w:t>
        </w:r>
      </w:hyperlink>
      <w:r w:rsidRPr="00812309">
        <w:rPr>
          <w:rStyle w:val="Hyperlink"/>
          <w:rFonts w:cstheme="minorHAnsi"/>
        </w:rPr>
        <w:t>”</w:t>
      </w:r>
      <w:r w:rsidRPr="00812309">
        <w:rPr>
          <w:rFonts w:cstheme="minorHAnsi"/>
        </w:rPr>
        <w:t xml:space="preserve"> of the National Council on Disability of the United States of America has an expanded focus on personal assistance services, housing, healthcare, income support and other supports to improve participation in general, not just for the exercise of parental responsibilities.</w:t>
      </w:r>
    </w:p>
    <w:p w14:paraId="37C92B90" w14:textId="77777777" w:rsidR="00B74073" w:rsidRPr="00812309" w:rsidRDefault="00B74073" w:rsidP="0086726A">
      <w:pPr>
        <w:rPr>
          <w:rFonts w:cstheme="minorHAnsi"/>
        </w:rPr>
      </w:pPr>
      <w:r w:rsidRPr="00812309">
        <w:rPr>
          <w:rFonts w:cstheme="minorHAnsi"/>
        </w:rPr>
        <w:t>One approach is to record those supports that are requested in the process of interacting with agencies assisting with the exercise of parental responsibilities.</w:t>
      </w:r>
    </w:p>
    <w:p w14:paraId="3B9916F8" w14:textId="45288529" w:rsidR="00B74073" w:rsidRPr="00812309" w:rsidRDefault="00B74073" w:rsidP="00313848">
      <w:pPr>
        <w:pStyle w:val="Heading2"/>
        <w:rPr>
          <w:rFonts w:eastAsiaTheme="majorEastAsia"/>
        </w:rPr>
      </w:pPr>
      <w:r w:rsidRPr="00812309">
        <w:rPr>
          <w:rFonts w:eastAsiaTheme="majorEastAsia"/>
        </w:rPr>
        <w:t>23.24 Level of satisfaction of persons with disabilities with support services for the exercise of parental rights.</w:t>
      </w:r>
    </w:p>
    <w:p w14:paraId="20D6DB2D" w14:textId="77777777" w:rsidR="00B74073" w:rsidRPr="00812309" w:rsidRDefault="00B74073" w:rsidP="00313848">
      <w:pPr>
        <w:pStyle w:val="Heading4"/>
        <w:rPr>
          <w:rFonts w:eastAsiaTheme="majorEastAsia"/>
        </w:rPr>
      </w:pPr>
      <w:r w:rsidRPr="00812309">
        <w:rPr>
          <w:rFonts w:eastAsiaTheme="majorEastAsia"/>
        </w:rPr>
        <w:t>Level 3: Indicator for which acquiring data is more complex or requires the development of data collection mechanisms which are currently not in place.</w:t>
      </w:r>
    </w:p>
    <w:p w14:paraId="2140F1E1" w14:textId="77777777" w:rsidR="00B74073" w:rsidRPr="00812309" w:rsidRDefault="00B74073" w:rsidP="007B2D50">
      <w:r w:rsidRPr="00812309">
        <w:t xml:space="preserve">Customer satisfaction surveys of users of support services could record the level of satisfaction of persons with disabilities for the exercise of parental rights. Using a general household survey would most likely run into sample size problems. Satisfaction surveys particularly focussed on persons with disabilities could be expanded to include a question on these services. Australia carried out its </w:t>
      </w:r>
      <w:hyperlink r:id="rId20" w:history="1">
        <w:r w:rsidRPr="00812309">
          <w:rPr>
            <w:rStyle w:val="Hyperlink"/>
          </w:rPr>
          <w:t>National Satisfaction Survey of Clients of Disability Services</w:t>
        </w:r>
      </w:hyperlink>
      <w:r w:rsidRPr="00812309">
        <w:t>, and published its results, in 2000.</w:t>
      </w:r>
    </w:p>
    <w:p w14:paraId="538C02DA" w14:textId="18E20790" w:rsidR="00B74073" w:rsidRPr="00812309" w:rsidRDefault="00B74073" w:rsidP="00313848">
      <w:pPr>
        <w:pStyle w:val="Heading2"/>
        <w:rPr>
          <w:rFonts w:eastAsiaTheme="majorEastAsia"/>
        </w:rPr>
      </w:pPr>
      <w:r w:rsidRPr="00812309">
        <w:rPr>
          <w:rFonts w:eastAsiaTheme="majorEastAsia"/>
        </w:rPr>
        <w:lastRenderedPageBreak/>
        <w:t>23.26 Number and proportion of children with disabilities in alternative care as compared to all</w:t>
      </w:r>
      <w:r w:rsidR="00153F1E" w:rsidRPr="00812309">
        <w:rPr>
          <w:rFonts w:eastAsiaTheme="majorEastAsia"/>
        </w:rPr>
        <w:t xml:space="preserve"> children in alternative care (i</w:t>
      </w:r>
      <w:r w:rsidRPr="00812309">
        <w:rPr>
          <w:rFonts w:eastAsiaTheme="majorEastAsia"/>
        </w:rPr>
        <w:t>n a family setting / in small group homes or other residential care facilities), disaggregated by sex, age, disability and kind of setting. (idem 7.26)</w:t>
      </w:r>
    </w:p>
    <w:p w14:paraId="3D56554A" w14:textId="77777777" w:rsidR="00B74073" w:rsidRPr="00812309" w:rsidRDefault="00B74073" w:rsidP="00313848">
      <w:pPr>
        <w:pStyle w:val="Heading4"/>
        <w:rPr>
          <w:rFonts w:eastAsiaTheme="majorEastAsia"/>
        </w:rPr>
      </w:pPr>
      <w:r w:rsidRPr="00812309">
        <w:rPr>
          <w:rFonts w:eastAsiaTheme="majorEastAsia"/>
        </w:rPr>
        <w:t>Level 2: Indicator can be produced with existing data but has not been reported on</w:t>
      </w:r>
    </w:p>
    <w:p w14:paraId="4F7D8977" w14:textId="77777777" w:rsidR="00B74073" w:rsidRPr="00812309" w:rsidRDefault="00B74073" w:rsidP="0086726A">
      <w:r w:rsidRPr="00812309">
        <w:rPr>
          <w:shd w:val="clear" w:color="auto" w:fill="FFFFFF"/>
        </w:rPr>
        <w:t xml:space="preserve">According to </w:t>
      </w:r>
      <w:hyperlink r:id="rId21" w:history="1">
        <w:proofErr w:type="spellStart"/>
        <w:r w:rsidRPr="00812309">
          <w:rPr>
            <w:rStyle w:val="Hyperlink"/>
            <w:shd w:val="clear" w:color="auto" w:fill="FFFFFF"/>
          </w:rPr>
          <w:t>Petrowski</w:t>
        </w:r>
        <w:proofErr w:type="spellEnd"/>
        <w:r w:rsidRPr="00812309">
          <w:rPr>
            <w:rStyle w:val="Hyperlink"/>
            <w:shd w:val="clear" w:color="auto" w:fill="FFFFFF"/>
          </w:rPr>
          <w:t>, Cappa and Gross “</w:t>
        </w:r>
        <w:r w:rsidRPr="00812309">
          <w:rPr>
            <w:rStyle w:val="Hyperlink"/>
          </w:rPr>
          <w:t>Estimating the number of children in formal alternative care: Challenges and results”</w:t>
        </w:r>
      </w:hyperlink>
      <w:r w:rsidRPr="00812309">
        <w:rPr>
          <w:rStyle w:val="title-text"/>
        </w:rPr>
        <w:t xml:space="preserve">, </w:t>
      </w:r>
      <w:r w:rsidRPr="00812309">
        <w:t xml:space="preserve">the main sources of data for this indicator comes from relevant government ministries. </w:t>
      </w:r>
    </w:p>
    <w:p w14:paraId="555440A3" w14:textId="77777777" w:rsidR="00B74073" w:rsidRPr="00812309" w:rsidRDefault="00B74073" w:rsidP="0086726A">
      <w:r w:rsidRPr="00812309">
        <w:t xml:space="preserve">In 2009, </w:t>
      </w:r>
      <w:hyperlink r:id="rId22" w:history="1">
        <w:proofErr w:type="spellStart"/>
        <w:r w:rsidRPr="00812309">
          <w:rPr>
            <w:rStyle w:val="Hyperlink"/>
          </w:rPr>
          <w:t>Eurochild</w:t>
        </w:r>
        <w:proofErr w:type="spellEnd"/>
      </w:hyperlink>
      <w:r w:rsidRPr="00812309">
        <w:t xml:space="preserve"> collected information on the number of children in alternative care, including those in residential and family-based care. A total of 30 European countries participated in the survey, with data mainly provided by administrative records from relevant government ministries and national statistical offices.</w:t>
      </w:r>
    </w:p>
    <w:p w14:paraId="73366DFF" w14:textId="77777777" w:rsidR="00B74073" w:rsidRPr="00812309" w:rsidRDefault="00B74073" w:rsidP="0086726A">
      <w:pPr>
        <w:rPr>
          <w:rStyle w:val="Hyperlink"/>
          <w:color w:val="000000" w:themeColor="text1"/>
        </w:rPr>
      </w:pPr>
      <w:r w:rsidRPr="00812309">
        <w:t xml:space="preserve">The </w:t>
      </w:r>
      <w:hyperlink r:id="rId23" w:history="1">
        <w:r w:rsidRPr="00812309">
          <w:rPr>
            <w:rStyle w:val="Hyperlink"/>
          </w:rPr>
          <w:t>Transformative Monitoring for Enhanced Equity</w:t>
        </w:r>
      </w:hyperlink>
      <w:r w:rsidRPr="00812309">
        <w:t xml:space="preserve"> has created a database with over 400 indicators relevant to the social and economic well-being of children, young people and women in 28 countries of central and eastern Europe and of the European Union, including the number of children in institutions or family care. </w:t>
      </w:r>
      <w:r w:rsidRPr="00812309">
        <w:rPr>
          <w:shd w:val="clear" w:color="auto" w:fill="FFFFFF"/>
        </w:rPr>
        <w:t>Each year, country-specific data collection templates are shared with the national statistical organisations, filled in and submitted, by the countries, by the end of September, with the data from the previous year. The template asks countries to report on children in different types of care situations, by gender, age, cause of care necessity and disability status. Countries generally report on some, but not all variables, as can be seen in the example in Table 6, from the Czech Republic.</w:t>
      </w:r>
    </w:p>
    <w:p w14:paraId="6DCE8D23" w14:textId="73EEECBC" w:rsidR="00B74073" w:rsidRPr="00812309" w:rsidRDefault="00B74073" w:rsidP="00B7034B">
      <w:pPr>
        <w:pStyle w:val="TableHeader"/>
        <w:rPr>
          <w:rFonts w:eastAsiaTheme="majorEastAsia" w:cstheme="majorBidi"/>
        </w:rPr>
      </w:pPr>
      <w:r w:rsidRPr="00812309">
        <w:rPr>
          <w:rFonts w:eastAsiaTheme="majorEastAsia" w:cstheme="majorBidi"/>
          <w:b/>
          <w:bCs w:val="0"/>
        </w:rPr>
        <w:t>Table 6:</w:t>
      </w:r>
      <w:r w:rsidRPr="00812309">
        <w:rPr>
          <w:rFonts w:eastAsiaTheme="majorEastAsia" w:cstheme="majorBidi"/>
        </w:rPr>
        <w:t xml:space="preserve"> Child Protection in the Czech Republic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5F5F1"/>
        <w:tblLook w:val="04A0" w:firstRow="1" w:lastRow="0" w:firstColumn="1" w:lastColumn="0" w:noHBand="0" w:noVBand="1"/>
        <w:tblCaption w:val="Table 6: Child Protection in the Czech Republic"/>
      </w:tblPr>
      <w:tblGrid>
        <w:gridCol w:w="6840"/>
        <w:gridCol w:w="1080"/>
        <w:gridCol w:w="1080"/>
      </w:tblGrid>
      <w:tr w:rsidR="00B74073" w:rsidRPr="00812309" w14:paraId="36E40CE6" w14:textId="77777777" w:rsidTr="00B7034B">
        <w:trPr>
          <w:trHeight w:val="20"/>
        </w:trPr>
        <w:tc>
          <w:tcPr>
            <w:tcW w:w="3800" w:type="pct"/>
            <w:tcBorders>
              <w:top w:val="single" w:sz="12" w:space="0" w:color="auto"/>
              <w:bottom w:val="single" w:sz="12" w:space="0" w:color="auto"/>
            </w:tcBorders>
            <w:shd w:val="clear" w:color="auto" w:fill="F5F5F1"/>
            <w:vAlign w:val="center"/>
            <w:hideMark/>
          </w:tcPr>
          <w:p w14:paraId="28095D3F" w14:textId="77777777" w:rsidR="00B74073" w:rsidRPr="00812309" w:rsidRDefault="00B74073" w:rsidP="008128F0">
            <w:pPr>
              <w:pStyle w:val="TableHeaderRow"/>
            </w:pPr>
            <w:r w:rsidRPr="00812309">
              <w:t>Title and name of the variable</w:t>
            </w:r>
          </w:p>
        </w:tc>
        <w:tc>
          <w:tcPr>
            <w:tcW w:w="600" w:type="pct"/>
            <w:tcBorders>
              <w:top w:val="single" w:sz="12" w:space="0" w:color="auto"/>
              <w:bottom w:val="single" w:sz="12" w:space="0" w:color="auto"/>
            </w:tcBorders>
            <w:shd w:val="clear" w:color="auto" w:fill="F5F5F1"/>
            <w:noWrap/>
            <w:vAlign w:val="center"/>
            <w:hideMark/>
          </w:tcPr>
          <w:p w14:paraId="0A4AF229" w14:textId="77777777" w:rsidR="00B74073" w:rsidRPr="00812309" w:rsidRDefault="00B74073" w:rsidP="008128F0">
            <w:pPr>
              <w:pStyle w:val="TableHeaderRow"/>
            </w:pPr>
            <w:r w:rsidRPr="00812309">
              <w:t>2013</w:t>
            </w:r>
          </w:p>
        </w:tc>
        <w:tc>
          <w:tcPr>
            <w:tcW w:w="600" w:type="pct"/>
            <w:tcBorders>
              <w:top w:val="single" w:sz="12" w:space="0" w:color="auto"/>
              <w:bottom w:val="single" w:sz="12" w:space="0" w:color="auto"/>
            </w:tcBorders>
            <w:shd w:val="clear" w:color="auto" w:fill="F5F5F1"/>
            <w:noWrap/>
            <w:vAlign w:val="center"/>
            <w:hideMark/>
          </w:tcPr>
          <w:p w14:paraId="7838D22D" w14:textId="77777777" w:rsidR="00B74073" w:rsidRPr="00812309" w:rsidRDefault="00B74073" w:rsidP="008128F0">
            <w:pPr>
              <w:pStyle w:val="TableHeaderRow"/>
            </w:pPr>
            <w:r w:rsidRPr="00812309">
              <w:t>2014</w:t>
            </w:r>
          </w:p>
        </w:tc>
      </w:tr>
      <w:tr w:rsidR="00B74073" w:rsidRPr="00812309" w14:paraId="43CD206A" w14:textId="77777777" w:rsidTr="00B7034B">
        <w:trPr>
          <w:trHeight w:val="20"/>
        </w:trPr>
        <w:tc>
          <w:tcPr>
            <w:tcW w:w="3800" w:type="pct"/>
            <w:tcBorders>
              <w:top w:val="single" w:sz="12" w:space="0" w:color="auto"/>
              <w:bottom w:val="single" w:sz="12" w:space="0" w:color="auto"/>
            </w:tcBorders>
            <w:shd w:val="clear" w:color="auto" w:fill="F5F5F1"/>
            <w:hideMark/>
          </w:tcPr>
          <w:p w14:paraId="65CF9377" w14:textId="77777777" w:rsidR="00B74073" w:rsidRPr="00812309" w:rsidRDefault="00B74073" w:rsidP="00A93CCD">
            <w:pPr>
              <w:rPr>
                <w:b/>
                <w:bCs/>
                <w:i/>
                <w:iCs/>
              </w:rPr>
            </w:pPr>
            <w:r w:rsidRPr="00812309">
              <w:rPr>
                <w:b/>
                <w:bCs/>
                <w:i/>
                <w:iCs/>
              </w:rPr>
              <w:t>Children without parental care</w:t>
            </w:r>
          </w:p>
        </w:tc>
        <w:tc>
          <w:tcPr>
            <w:tcW w:w="600" w:type="pct"/>
            <w:tcBorders>
              <w:top w:val="single" w:sz="12" w:space="0" w:color="auto"/>
              <w:bottom w:val="single" w:sz="12" w:space="0" w:color="auto"/>
            </w:tcBorders>
            <w:shd w:val="clear" w:color="auto" w:fill="F5F5F1"/>
            <w:noWrap/>
            <w:hideMark/>
          </w:tcPr>
          <w:p w14:paraId="67593A1C" w14:textId="77777777" w:rsidR="00B74073" w:rsidRPr="00812309" w:rsidRDefault="00B74073" w:rsidP="00A93CCD"/>
        </w:tc>
        <w:tc>
          <w:tcPr>
            <w:tcW w:w="600" w:type="pct"/>
            <w:tcBorders>
              <w:top w:val="single" w:sz="12" w:space="0" w:color="auto"/>
              <w:bottom w:val="single" w:sz="12" w:space="0" w:color="auto"/>
            </w:tcBorders>
            <w:shd w:val="clear" w:color="auto" w:fill="F5F5F1"/>
            <w:noWrap/>
            <w:hideMark/>
          </w:tcPr>
          <w:p w14:paraId="65172401" w14:textId="77777777" w:rsidR="00B74073" w:rsidRPr="00812309" w:rsidRDefault="00B74073" w:rsidP="00A93CCD"/>
        </w:tc>
      </w:tr>
      <w:tr w:rsidR="00B74073" w:rsidRPr="00812309" w14:paraId="36CBDA4C" w14:textId="77777777" w:rsidTr="00B7034B">
        <w:trPr>
          <w:trHeight w:val="20"/>
        </w:trPr>
        <w:tc>
          <w:tcPr>
            <w:tcW w:w="3800" w:type="pct"/>
            <w:tcBorders>
              <w:top w:val="single" w:sz="12" w:space="0" w:color="auto"/>
            </w:tcBorders>
            <w:shd w:val="clear" w:color="auto" w:fill="F5F5F1"/>
            <w:hideMark/>
          </w:tcPr>
          <w:p w14:paraId="2F616B7C" w14:textId="77777777" w:rsidR="00B74073" w:rsidRPr="00812309" w:rsidRDefault="00B74073" w:rsidP="00A93CCD">
            <w:r w:rsidRPr="00812309">
              <w:t>Total number of children left without parental care (during the year)</w:t>
            </w:r>
          </w:p>
        </w:tc>
        <w:tc>
          <w:tcPr>
            <w:tcW w:w="600" w:type="pct"/>
            <w:tcBorders>
              <w:top w:val="single" w:sz="12" w:space="0" w:color="auto"/>
            </w:tcBorders>
            <w:shd w:val="clear" w:color="auto" w:fill="F5F5F1"/>
            <w:noWrap/>
            <w:hideMark/>
          </w:tcPr>
          <w:p w14:paraId="476539E1" w14:textId="77777777" w:rsidR="00B74073" w:rsidRPr="00812309" w:rsidRDefault="00B74073" w:rsidP="00A93CCD">
            <w:r w:rsidRPr="00812309">
              <w:t>5,992</w:t>
            </w:r>
          </w:p>
        </w:tc>
        <w:tc>
          <w:tcPr>
            <w:tcW w:w="600" w:type="pct"/>
            <w:tcBorders>
              <w:top w:val="single" w:sz="12" w:space="0" w:color="auto"/>
            </w:tcBorders>
            <w:shd w:val="clear" w:color="auto" w:fill="F5F5F1"/>
            <w:noWrap/>
            <w:hideMark/>
          </w:tcPr>
          <w:p w14:paraId="116A51AB" w14:textId="77777777" w:rsidR="00B74073" w:rsidRPr="00812309" w:rsidRDefault="00B74073" w:rsidP="00A93CCD">
            <w:r w:rsidRPr="00812309">
              <w:t>5,935</w:t>
            </w:r>
          </w:p>
        </w:tc>
      </w:tr>
      <w:tr w:rsidR="00B74073" w:rsidRPr="00812309" w14:paraId="704AAA2C" w14:textId="77777777" w:rsidTr="00B7034B">
        <w:trPr>
          <w:trHeight w:val="20"/>
        </w:trPr>
        <w:tc>
          <w:tcPr>
            <w:tcW w:w="3800" w:type="pct"/>
            <w:shd w:val="clear" w:color="auto" w:fill="F5F5F1"/>
            <w:hideMark/>
          </w:tcPr>
          <w:p w14:paraId="458272E5" w14:textId="77777777" w:rsidR="00B74073" w:rsidRPr="00812309" w:rsidRDefault="00B74073" w:rsidP="00A93CCD">
            <w:r w:rsidRPr="00812309">
              <w:t>Number of children with disabilities left without parental care (during the year)</w:t>
            </w:r>
          </w:p>
        </w:tc>
        <w:tc>
          <w:tcPr>
            <w:tcW w:w="600" w:type="pct"/>
            <w:shd w:val="clear" w:color="auto" w:fill="F5F5F1"/>
            <w:noWrap/>
            <w:hideMark/>
          </w:tcPr>
          <w:p w14:paraId="387E9A80" w14:textId="77777777" w:rsidR="00B74073" w:rsidRPr="00812309" w:rsidRDefault="00B74073" w:rsidP="00A93CCD">
            <w:r w:rsidRPr="00812309">
              <w:t>3,523</w:t>
            </w:r>
          </w:p>
        </w:tc>
        <w:tc>
          <w:tcPr>
            <w:tcW w:w="600" w:type="pct"/>
            <w:shd w:val="clear" w:color="auto" w:fill="F5F5F1"/>
            <w:noWrap/>
            <w:hideMark/>
          </w:tcPr>
          <w:p w14:paraId="6BF9FC23" w14:textId="77777777" w:rsidR="00B74073" w:rsidRPr="00812309" w:rsidRDefault="00B74073" w:rsidP="00A93CCD">
            <w:r w:rsidRPr="00812309">
              <w:t>3,281</w:t>
            </w:r>
          </w:p>
        </w:tc>
      </w:tr>
      <w:tr w:rsidR="00B74073" w:rsidRPr="00812309" w14:paraId="5DA22B23" w14:textId="77777777" w:rsidTr="00B7034B">
        <w:trPr>
          <w:trHeight w:val="20"/>
        </w:trPr>
        <w:tc>
          <w:tcPr>
            <w:tcW w:w="3800" w:type="pct"/>
            <w:tcBorders>
              <w:bottom w:val="single" w:sz="12" w:space="0" w:color="auto"/>
            </w:tcBorders>
            <w:shd w:val="clear" w:color="auto" w:fill="F5F5F1"/>
            <w:hideMark/>
          </w:tcPr>
          <w:p w14:paraId="7B6F438E" w14:textId="77777777" w:rsidR="00B74073" w:rsidRPr="00812309" w:rsidRDefault="00B74073" w:rsidP="00A93CCD">
            <w:r w:rsidRPr="00812309">
              <w:t>Total number of children without parental care, placed into care during the current year</w:t>
            </w:r>
          </w:p>
        </w:tc>
        <w:tc>
          <w:tcPr>
            <w:tcW w:w="600" w:type="pct"/>
            <w:tcBorders>
              <w:bottom w:val="single" w:sz="12" w:space="0" w:color="auto"/>
            </w:tcBorders>
            <w:shd w:val="clear" w:color="auto" w:fill="F5F5F1"/>
            <w:noWrap/>
            <w:hideMark/>
          </w:tcPr>
          <w:p w14:paraId="767F9C3D" w14:textId="77777777" w:rsidR="00B74073" w:rsidRPr="00812309" w:rsidRDefault="00B74073" w:rsidP="00A93CCD">
            <w:r w:rsidRPr="00812309">
              <w:t>6,683</w:t>
            </w:r>
          </w:p>
        </w:tc>
        <w:tc>
          <w:tcPr>
            <w:tcW w:w="600" w:type="pct"/>
            <w:tcBorders>
              <w:bottom w:val="single" w:sz="12" w:space="0" w:color="auto"/>
            </w:tcBorders>
            <w:shd w:val="clear" w:color="auto" w:fill="F5F5F1"/>
            <w:noWrap/>
            <w:hideMark/>
          </w:tcPr>
          <w:p w14:paraId="1899C188" w14:textId="77777777" w:rsidR="00B74073" w:rsidRPr="00812309" w:rsidRDefault="00B74073" w:rsidP="00A93CCD">
            <w:r w:rsidRPr="00812309">
              <w:t>6,063</w:t>
            </w:r>
          </w:p>
        </w:tc>
      </w:tr>
      <w:tr w:rsidR="00B74073" w:rsidRPr="00812309" w14:paraId="5C853EFF" w14:textId="77777777" w:rsidTr="00B7034B">
        <w:trPr>
          <w:trHeight w:val="20"/>
        </w:trPr>
        <w:tc>
          <w:tcPr>
            <w:tcW w:w="3800" w:type="pct"/>
            <w:tcBorders>
              <w:top w:val="single" w:sz="12" w:space="0" w:color="auto"/>
              <w:bottom w:val="single" w:sz="12" w:space="0" w:color="auto"/>
            </w:tcBorders>
            <w:shd w:val="clear" w:color="auto" w:fill="F5F5F1"/>
            <w:hideMark/>
          </w:tcPr>
          <w:p w14:paraId="315DC86A" w14:textId="77777777" w:rsidR="00B74073" w:rsidRPr="00812309" w:rsidRDefault="00B74073" w:rsidP="00A93CCD">
            <w:pPr>
              <w:rPr>
                <w:b/>
                <w:bCs/>
                <w:i/>
                <w:iCs/>
              </w:rPr>
            </w:pPr>
            <w:r w:rsidRPr="00812309">
              <w:rPr>
                <w:b/>
                <w:bCs/>
                <w:i/>
                <w:iCs/>
              </w:rPr>
              <w:t>Children in residential care</w:t>
            </w:r>
          </w:p>
        </w:tc>
        <w:tc>
          <w:tcPr>
            <w:tcW w:w="600" w:type="pct"/>
            <w:tcBorders>
              <w:top w:val="single" w:sz="12" w:space="0" w:color="auto"/>
              <w:bottom w:val="single" w:sz="12" w:space="0" w:color="auto"/>
            </w:tcBorders>
            <w:shd w:val="clear" w:color="auto" w:fill="F5F5F1"/>
            <w:noWrap/>
            <w:hideMark/>
          </w:tcPr>
          <w:p w14:paraId="75DE5728" w14:textId="77777777" w:rsidR="00B74073" w:rsidRPr="00812309" w:rsidRDefault="00B74073" w:rsidP="00A93CCD"/>
        </w:tc>
        <w:tc>
          <w:tcPr>
            <w:tcW w:w="600" w:type="pct"/>
            <w:tcBorders>
              <w:top w:val="single" w:sz="12" w:space="0" w:color="auto"/>
              <w:bottom w:val="single" w:sz="12" w:space="0" w:color="auto"/>
            </w:tcBorders>
            <w:shd w:val="clear" w:color="auto" w:fill="F5F5F1"/>
            <w:noWrap/>
            <w:hideMark/>
          </w:tcPr>
          <w:p w14:paraId="6DC292C3" w14:textId="77777777" w:rsidR="00B74073" w:rsidRPr="00812309" w:rsidRDefault="00B74073" w:rsidP="00A93CCD"/>
        </w:tc>
      </w:tr>
      <w:tr w:rsidR="00B74073" w:rsidRPr="00812309" w14:paraId="535859F4" w14:textId="77777777" w:rsidTr="00B7034B">
        <w:trPr>
          <w:trHeight w:val="20"/>
        </w:trPr>
        <w:tc>
          <w:tcPr>
            <w:tcW w:w="3800" w:type="pct"/>
            <w:tcBorders>
              <w:top w:val="single" w:sz="12" w:space="0" w:color="auto"/>
            </w:tcBorders>
            <w:shd w:val="clear" w:color="auto" w:fill="F5F5F1"/>
            <w:hideMark/>
          </w:tcPr>
          <w:p w14:paraId="7ECE95B9" w14:textId="77777777" w:rsidR="00B74073" w:rsidRPr="00812309" w:rsidRDefault="00B74073" w:rsidP="00A93CCD">
            <w:r w:rsidRPr="00812309">
              <w:t>Total number of children in residential care (at the end of the year)</w:t>
            </w:r>
          </w:p>
        </w:tc>
        <w:tc>
          <w:tcPr>
            <w:tcW w:w="600" w:type="pct"/>
            <w:tcBorders>
              <w:top w:val="single" w:sz="12" w:space="0" w:color="auto"/>
            </w:tcBorders>
            <w:shd w:val="clear" w:color="auto" w:fill="F5F5F1"/>
            <w:noWrap/>
            <w:hideMark/>
          </w:tcPr>
          <w:p w14:paraId="5652D949" w14:textId="77777777" w:rsidR="00B74073" w:rsidRPr="00812309" w:rsidRDefault="00B74073" w:rsidP="00A93CCD">
            <w:r w:rsidRPr="00812309">
              <w:t>22,602</w:t>
            </w:r>
          </w:p>
        </w:tc>
        <w:tc>
          <w:tcPr>
            <w:tcW w:w="600" w:type="pct"/>
            <w:tcBorders>
              <w:top w:val="single" w:sz="12" w:space="0" w:color="auto"/>
            </w:tcBorders>
            <w:shd w:val="clear" w:color="auto" w:fill="F5F5F1"/>
            <w:noWrap/>
            <w:hideMark/>
          </w:tcPr>
          <w:p w14:paraId="4366A1C2" w14:textId="77777777" w:rsidR="00B74073" w:rsidRPr="00812309" w:rsidRDefault="00B74073" w:rsidP="00A93CCD">
            <w:r w:rsidRPr="00812309">
              <w:t>22,810</w:t>
            </w:r>
          </w:p>
        </w:tc>
      </w:tr>
      <w:tr w:rsidR="00B74073" w:rsidRPr="00812309" w14:paraId="59B56A2E" w14:textId="77777777" w:rsidTr="00B7034B">
        <w:trPr>
          <w:trHeight w:val="20"/>
        </w:trPr>
        <w:tc>
          <w:tcPr>
            <w:tcW w:w="3800" w:type="pct"/>
            <w:tcBorders>
              <w:bottom w:val="single" w:sz="12" w:space="0" w:color="auto"/>
            </w:tcBorders>
            <w:shd w:val="clear" w:color="auto" w:fill="F5F5F1"/>
            <w:hideMark/>
          </w:tcPr>
          <w:p w14:paraId="7F7FD49B" w14:textId="77777777" w:rsidR="00B74073" w:rsidRPr="00812309" w:rsidRDefault="00B74073" w:rsidP="00A93CCD">
            <w:r w:rsidRPr="00812309">
              <w:lastRenderedPageBreak/>
              <w:t>Total number of children with disabilities in residential care (at the end of the year)</w:t>
            </w:r>
          </w:p>
        </w:tc>
        <w:tc>
          <w:tcPr>
            <w:tcW w:w="600" w:type="pct"/>
            <w:tcBorders>
              <w:bottom w:val="single" w:sz="12" w:space="0" w:color="auto"/>
            </w:tcBorders>
            <w:shd w:val="clear" w:color="auto" w:fill="F5F5F1"/>
            <w:noWrap/>
            <w:hideMark/>
          </w:tcPr>
          <w:p w14:paraId="660C3EE2" w14:textId="77777777" w:rsidR="00B74073" w:rsidRPr="00812309" w:rsidRDefault="00B74073" w:rsidP="00A93CCD">
            <w:r w:rsidRPr="00812309">
              <w:t>11,898</w:t>
            </w:r>
          </w:p>
        </w:tc>
        <w:tc>
          <w:tcPr>
            <w:tcW w:w="600" w:type="pct"/>
            <w:tcBorders>
              <w:bottom w:val="single" w:sz="12" w:space="0" w:color="auto"/>
            </w:tcBorders>
            <w:shd w:val="clear" w:color="auto" w:fill="F5F5F1"/>
            <w:noWrap/>
            <w:hideMark/>
          </w:tcPr>
          <w:p w14:paraId="7ED5589D" w14:textId="77777777" w:rsidR="00B74073" w:rsidRPr="00812309" w:rsidRDefault="00B74073" w:rsidP="00A93CCD">
            <w:r w:rsidRPr="00812309">
              <w:t>11,569</w:t>
            </w:r>
          </w:p>
        </w:tc>
      </w:tr>
      <w:tr w:rsidR="00B74073" w:rsidRPr="00812309" w14:paraId="5B4653CF" w14:textId="77777777" w:rsidTr="00B7034B">
        <w:trPr>
          <w:trHeight w:val="20"/>
        </w:trPr>
        <w:tc>
          <w:tcPr>
            <w:tcW w:w="3800" w:type="pct"/>
            <w:tcBorders>
              <w:top w:val="single" w:sz="12" w:space="0" w:color="auto"/>
              <w:bottom w:val="single" w:sz="12" w:space="0" w:color="auto"/>
            </w:tcBorders>
            <w:shd w:val="clear" w:color="auto" w:fill="F5F5F1"/>
            <w:hideMark/>
          </w:tcPr>
          <w:p w14:paraId="1FB75D2D" w14:textId="77777777" w:rsidR="00B74073" w:rsidRPr="00812309" w:rsidRDefault="00B74073" w:rsidP="00A93CCD">
            <w:pPr>
              <w:rPr>
                <w:b/>
                <w:bCs/>
                <w:i/>
                <w:iCs/>
              </w:rPr>
            </w:pPr>
            <w:r w:rsidRPr="00812309">
              <w:rPr>
                <w:b/>
                <w:bCs/>
                <w:i/>
                <w:iCs/>
              </w:rPr>
              <w:t>Public residential care</w:t>
            </w:r>
          </w:p>
        </w:tc>
        <w:tc>
          <w:tcPr>
            <w:tcW w:w="600" w:type="pct"/>
            <w:tcBorders>
              <w:top w:val="single" w:sz="12" w:space="0" w:color="auto"/>
              <w:bottom w:val="single" w:sz="12" w:space="0" w:color="auto"/>
            </w:tcBorders>
            <w:shd w:val="clear" w:color="auto" w:fill="F5F5F1"/>
            <w:noWrap/>
            <w:hideMark/>
          </w:tcPr>
          <w:p w14:paraId="587E417E" w14:textId="77777777" w:rsidR="00B74073" w:rsidRPr="00812309" w:rsidRDefault="00B74073" w:rsidP="00A93CCD"/>
        </w:tc>
        <w:tc>
          <w:tcPr>
            <w:tcW w:w="600" w:type="pct"/>
            <w:tcBorders>
              <w:top w:val="single" w:sz="12" w:space="0" w:color="auto"/>
              <w:bottom w:val="single" w:sz="12" w:space="0" w:color="auto"/>
            </w:tcBorders>
            <w:shd w:val="clear" w:color="auto" w:fill="F5F5F1"/>
            <w:noWrap/>
            <w:hideMark/>
          </w:tcPr>
          <w:p w14:paraId="7EA356D0" w14:textId="77777777" w:rsidR="00B74073" w:rsidRPr="00812309" w:rsidRDefault="00B74073" w:rsidP="00A93CCD"/>
        </w:tc>
      </w:tr>
      <w:tr w:rsidR="00B74073" w:rsidRPr="00812309" w14:paraId="5DC80499" w14:textId="77777777" w:rsidTr="00B7034B">
        <w:trPr>
          <w:trHeight w:val="20"/>
        </w:trPr>
        <w:tc>
          <w:tcPr>
            <w:tcW w:w="3800" w:type="pct"/>
            <w:tcBorders>
              <w:top w:val="single" w:sz="12" w:space="0" w:color="auto"/>
            </w:tcBorders>
            <w:shd w:val="clear" w:color="auto" w:fill="F5F5F1"/>
            <w:hideMark/>
          </w:tcPr>
          <w:p w14:paraId="340A1BC5" w14:textId="77777777" w:rsidR="00B74073" w:rsidRPr="00812309" w:rsidRDefault="00B74073" w:rsidP="00A93CCD">
            <w:r w:rsidRPr="00812309">
              <w:t>Total number of children in public residential care (at the end of the year)</w:t>
            </w:r>
          </w:p>
        </w:tc>
        <w:tc>
          <w:tcPr>
            <w:tcW w:w="600" w:type="pct"/>
            <w:tcBorders>
              <w:top w:val="single" w:sz="12" w:space="0" w:color="auto"/>
            </w:tcBorders>
            <w:shd w:val="clear" w:color="auto" w:fill="F5F5F1"/>
            <w:noWrap/>
            <w:hideMark/>
          </w:tcPr>
          <w:p w14:paraId="02D819CE" w14:textId="77777777" w:rsidR="00B74073" w:rsidRPr="00812309" w:rsidRDefault="00B74073" w:rsidP="00A93CCD">
            <w:r w:rsidRPr="00812309">
              <w:t>20,857</w:t>
            </w:r>
          </w:p>
        </w:tc>
        <w:tc>
          <w:tcPr>
            <w:tcW w:w="600" w:type="pct"/>
            <w:tcBorders>
              <w:top w:val="single" w:sz="12" w:space="0" w:color="auto"/>
            </w:tcBorders>
            <w:shd w:val="clear" w:color="auto" w:fill="F5F5F1"/>
            <w:noWrap/>
            <w:hideMark/>
          </w:tcPr>
          <w:p w14:paraId="3762A105" w14:textId="77777777" w:rsidR="00B74073" w:rsidRPr="00812309" w:rsidRDefault="00B74073" w:rsidP="00A93CCD">
            <w:r w:rsidRPr="00812309">
              <w:t>21,067</w:t>
            </w:r>
          </w:p>
        </w:tc>
      </w:tr>
      <w:tr w:rsidR="00B74073" w:rsidRPr="00812309" w14:paraId="51E5D42D" w14:textId="77777777" w:rsidTr="00B7034B">
        <w:trPr>
          <w:trHeight w:val="20"/>
        </w:trPr>
        <w:tc>
          <w:tcPr>
            <w:tcW w:w="3800" w:type="pct"/>
            <w:shd w:val="clear" w:color="auto" w:fill="F5F5F1"/>
            <w:hideMark/>
          </w:tcPr>
          <w:p w14:paraId="5D6552DF" w14:textId="77777777" w:rsidR="00B74073" w:rsidRPr="00812309" w:rsidRDefault="00B74073" w:rsidP="00A93CCD">
            <w:r w:rsidRPr="00812309">
              <w:t>Total number of children with disabilities in public residential care (at the end of the year)</w:t>
            </w:r>
          </w:p>
        </w:tc>
        <w:tc>
          <w:tcPr>
            <w:tcW w:w="600" w:type="pct"/>
            <w:shd w:val="clear" w:color="auto" w:fill="F5F5F1"/>
            <w:noWrap/>
            <w:hideMark/>
          </w:tcPr>
          <w:p w14:paraId="1329276E" w14:textId="77777777" w:rsidR="00B74073" w:rsidRPr="00812309" w:rsidRDefault="00B74073" w:rsidP="00A93CCD">
            <w:r w:rsidRPr="00812309">
              <w:t>11,898</w:t>
            </w:r>
          </w:p>
        </w:tc>
        <w:tc>
          <w:tcPr>
            <w:tcW w:w="600" w:type="pct"/>
            <w:shd w:val="clear" w:color="auto" w:fill="F5F5F1"/>
            <w:noWrap/>
            <w:hideMark/>
          </w:tcPr>
          <w:p w14:paraId="2CDA6873" w14:textId="77777777" w:rsidR="00B74073" w:rsidRPr="00812309" w:rsidRDefault="00B74073" w:rsidP="00A93CCD">
            <w:r w:rsidRPr="00812309">
              <w:t>11,569</w:t>
            </w:r>
          </w:p>
        </w:tc>
      </w:tr>
      <w:tr w:rsidR="00B74073" w:rsidRPr="00812309" w14:paraId="08C1AE13" w14:textId="77777777" w:rsidTr="00B7034B">
        <w:trPr>
          <w:trHeight w:val="20"/>
        </w:trPr>
        <w:tc>
          <w:tcPr>
            <w:tcW w:w="3800" w:type="pct"/>
            <w:tcBorders>
              <w:bottom w:val="single" w:sz="12" w:space="0" w:color="auto"/>
            </w:tcBorders>
            <w:shd w:val="clear" w:color="auto" w:fill="F5F5F1"/>
            <w:hideMark/>
          </w:tcPr>
          <w:p w14:paraId="7909985D" w14:textId="77777777" w:rsidR="00B74073" w:rsidRPr="00812309" w:rsidRDefault="00B74073" w:rsidP="00A93CCD">
            <w:r w:rsidRPr="00812309">
              <w:t>Total number of children with disabilities in non-public residential care (at the end of the year)</w:t>
            </w:r>
          </w:p>
        </w:tc>
        <w:tc>
          <w:tcPr>
            <w:tcW w:w="600" w:type="pct"/>
            <w:tcBorders>
              <w:bottom w:val="single" w:sz="12" w:space="0" w:color="auto"/>
            </w:tcBorders>
            <w:shd w:val="clear" w:color="auto" w:fill="F5F5F1"/>
            <w:noWrap/>
            <w:hideMark/>
          </w:tcPr>
          <w:p w14:paraId="002715B6" w14:textId="77777777" w:rsidR="00B74073" w:rsidRPr="00812309" w:rsidRDefault="00B74073" w:rsidP="00A93CCD"/>
        </w:tc>
        <w:tc>
          <w:tcPr>
            <w:tcW w:w="600" w:type="pct"/>
            <w:tcBorders>
              <w:bottom w:val="single" w:sz="12" w:space="0" w:color="auto"/>
            </w:tcBorders>
            <w:shd w:val="clear" w:color="auto" w:fill="F5F5F1"/>
            <w:noWrap/>
            <w:hideMark/>
          </w:tcPr>
          <w:p w14:paraId="76788636" w14:textId="77777777" w:rsidR="00B74073" w:rsidRPr="00812309" w:rsidRDefault="00B74073" w:rsidP="00A93CCD"/>
        </w:tc>
      </w:tr>
      <w:tr w:rsidR="00B74073" w:rsidRPr="00812309" w14:paraId="546FC42D" w14:textId="77777777" w:rsidTr="00B7034B">
        <w:trPr>
          <w:trHeight w:val="20"/>
        </w:trPr>
        <w:tc>
          <w:tcPr>
            <w:tcW w:w="3800" w:type="pct"/>
            <w:tcBorders>
              <w:top w:val="single" w:sz="12" w:space="0" w:color="auto"/>
              <w:bottom w:val="single" w:sz="12" w:space="0" w:color="auto"/>
            </w:tcBorders>
            <w:shd w:val="clear" w:color="auto" w:fill="F5F5F1"/>
            <w:hideMark/>
          </w:tcPr>
          <w:p w14:paraId="093FB259" w14:textId="77777777" w:rsidR="00B74073" w:rsidRPr="00812309" w:rsidRDefault="00B74073" w:rsidP="00A93CCD">
            <w:pPr>
              <w:rPr>
                <w:b/>
                <w:bCs/>
                <w:i/>
                <w:iCs/>
              </w:rPr>
            </w:pPr>
            <w:r w:rsidRPr="00812309">
              <w:rPr>
                <w:b/>
                <w:bCs/>
                <w:i/>
                <w:iCs/>
              </w:rPr>
              <w:t>Family-type care</w:t>
            </w:r>
          </w:p>
        </w:tc>
        <w:tc>
          <w:tcPr>
            <w:tcW w:w="600" w:type="pct"/>
            <w:tcBorders>
              <w:top w:val="single" w:sz="12" w:space="0" w:color="auto"/>
              <w:bottom w:val="single" w:sz="12" w:space="0" w:color="auto"/>
            </w:tcBorders>
            <w:shd w:val="clear" w:color="auto" w:fill="F5F5F1"/>
            <w:noWrap/>
            <w:hideMark/>
          </w:tcPr>
          <w:p w14:paraId="6BA9B095" w14:textId="77777777" w:rsidR="00B74073" w:rsidRPr="00812309" w:rsidRDefault="00B74073" w:rsidP="00A93CCD"/>
        </w:tc>
        <w:tc>
          <w:tcPr>
            <w:tcW w:w="600" w:type="pct"/>
            <w:tcBorders>
              <w:top w:val="single" w:sz="12" w:space="0" w:color="auto"/>
              <w:bottom w:val="single" w:sz="12" w:space="0" w:color="auto"/>
            </w:tcBorders>
            <w:shd w:val="clear" w:color="auto" w:fill="F5F5F1"/>
            <w:noWrap/>
            <w:hideMark/>
          </w:tcPr>
          <w:p w14:paraId="67E8436E" w14:textId="77777777" w:rsidR="00B74073" w:rsidRPr="00812309" w:rsidRDefault="00B74073" w:rsidP="00A93CCD"/>
        </w:tc>
      </w:tr>
      <w:tr w:rsidR="00B74073" w:rsidRPr="00812309" w14:paraId="4A2D5830" w14:textId="77777777" w:rsidTr="00B7034B">
        <w:trPr>
          <w:trHeight w:val="20"/>
        </w:trPr>
        <w:tc>
          <w:tcPr>
            <w:tcW w:w="3800" w:type="pct"/>
            <w:tcBorders>
              <w:top w:val="single" w:sz="12" w:space="0" w:color="auto"/>
              <w:bottom w:val="single" w:sz="12" w:space="0" w:color="auto"/>
            </w:tcBorders>
            <w:shd w:val="clear" w:color="auto" w:fill="F5F5F1"/>
            <w:hideMark/>
          </w:tcPr>
          <w:p w14:paraId="5EC5DDCB" w14:textId="77777777" w:rsidR="00B74073" w:rsidRPr="00812309" w:rsidRDefault="00B74073" w:rsidP="00A93CCD">
            <w:pPr>
              <w:rPr>
                <w:b/>
                <w:bCs/>
                <w:i/>
                <w:iCs/>
              </w:rPr>
            </w:pPr>
            <w:r w:rsidRPr="00812309">
              <w:rPr>
                <w:b/>
                <w:bCs/>
                <w:i/>
                <w:iCs/>
              </w:rPr>
              <w:t>Foster care</w:t>
            </w:r>
          </w:p>
        </w:tc>
        <w:tc>
          <w:tcPr>
            <w:tcW w:w="600" w:type="pct"/>
            <w:tcBorders>
              <w:top w:val="single" w:sz="12" w:space="0" w:color="auto"/>
              <w:bottom w:val="single" w:sz="12" w:space="0" w:color="auto"/>
            </w:tcBorders>
            <w:shd w:val="clear" w:color="auto" w:fill="F5F5F1"/>
            <w:noWrap/>
            <w:hideMark/>
          </w:tcPr>
          <w:p w14:paraId="67DAA0B7" w14:textId="77777777" w:rsidR="00B74073" w:rsidRPr="00812309" w:rsidRDefault="00B74073" w:rsidP="00A93CCD"/>
        </w:tc>
        <w:tc>
          <w:tcPr>
            <w:tcW w:w="600" w:type="pct"/>
            <w:tcBorders>
              <w:top w:val="single" w:sz="12" w:space="0" w:color="auto"/>
              <w:bottom w:val="single" w:sz="12" w:space="0" w:color="auto"/>
            </w:tcBorders>
            <w:shd w:val="clear" w:color="auto" w:fill="F5F5F1"/>
            <w:noWrap/>
            <w:hideMark/>
          </w:tcPr>
          <w:p w14:paraId="495482DE" w14:textId="77777777" w:rsidR="00B74073" w:rsidRPr="00812309" w:rsidRDefault="00B74073" w:rsidP="00A93CCD"/>
        </w:tc>
      </w:tr>
      <w:tr w:rsidR="00B74073" w:rsidRPr="00812309" w14:paraId="59907A45" w14:textId="77777777" w:rsidTr="00B7034B">
        <w:trPr>
          <w:trHeight w:val="20"/>
        </w:trPr>
        <w:tc>
          <w:tcPr>
            <w:tcW w:w="3800" w:type="pct"/>
            <w:tcBorders>
              <w:top w:val="single" w:sz="12" w:space="0" w:color="auto"/>
              <w:bottom w:val="single" w:sz="12" w:space="0" w:color="auto"/>
            </w:tcBorders>
            <w:shd w:val="clear" w:color="auto" w:fill="F5F5F1"/>
            <w:hideMark/>
          </w:tcPr>
          <w:p w14:paraId="489D0599" w14:textId="77777777" w:rsidR="00B74073" w:rsidRPr="00812309" w:rsidRDefault="00B74073" w:rsidP="00A93CCD">
            <w:r w:rsidRPr="00812309">
              <w:t>Number of children with disabilities in foster care (at the end of the year)</w:t>
            </w:r>
          </w:p>
        </w:tc>
        <w:tc>
          <w:tcPr>
            <w:tcW w:w="600" w:type="pct"/>
            <w:tcBorders>
              <w:top w:val="single" w:sz="12" w:space="0" w:color="auto"/>
              <w:bottom w:val="single" w:sz="12" w:space="0" w:color="auto"/>
            </w:tcBorders>
            <w:shd w:val="clear" w:color="auto" w:fill="F5F5F1"/>
            <w:noWrap/>
            <w:hideMark/>
          </w:tcPr>
          <w:p w14:paraId="4AECA875" w14:textId="77777777" w:rsidR="00B74073" w:rsidRPr="00812309" w:rsidRDefault="00B74073" w:rsidP="00A93CCD">
            <w:r w:rsidRPr="00812309">
              <w:t>243</w:t>
            </w:r>
          </w:p>
        </w:tc>
        <w:tc>
          <w:tcPr>
            <w:tcW w:w="600" w:type="pct"/>
            <w:tcBorders>
              <w:top w:val="single" w:sz="12" w:space="0" w:color="auto"/>
              <w:bottom w:val="single" w:sz="12" w:space="0" w:color="auto"/>
            </w:tcBorders>
            <w:shd w:val="clear" w:color="auto" w:fill="F5F5F1"/>
            <w:noWrap/>
            <w:hideMark/>
          </w:tcPr>
          <w:p w14:paraId="74075D3A" w14:textId="77777777" w:rsidR="00B74073" w:rsidRPr="00812309" w:rsidRDefault="00B74073" w:rsidP="00A93CCD">
            <w:r w:rsidRPr="00812309">
              <w:t>323</w:t>
            </w:r>
          </w:p>
        </w:tc>
      </w:tr>
      <w:tr w:rsidR="00B74073" w:rsidRPr="00812309" w14:paraId="5F869C1F" w14:textId="77777777" w:rsidTr="00B7034B">
        <w:trPr>
          <w:trHeight w:val="20"/>
        </w:trPr>
        <w:tc>
          <w:tcPr>
            <w:tcW w:w="3800" w:type="pct"/>
            <w:tcBorders>
              <w:top w:val="single" w:sz="12" w:space="0" w:color="auto"/>
              <w:bottom w:val="single" w:sz="12" w:space="0" w:color="auto"/>
            </w:tcBorders>
            <w:shd w:val="clear" w:color="auto" w:fill="F5F5F1"/>
            <w:hideMark/>
          </w:tcPr>
          <w:p w14:paraId="16AFA12E" w14:textId="77777777" w:rsidR="00B74073" w:rsidRPr="00812309" w:rsidRDefault="00B74073" w:rsidP="00A93CCD">
            <w:pPr>
              <w:rPr>
                <w:b/>
                <w:bCs/>
                <w:i/>
                <w:iCs/>
              </w:rPr>
            </w:pPr>
            <w:r w:rsidRPr="00812309">
              <w:rPr>
                <w:b/>
                <w:bCs/>
                <w:i/>
                <w:iCs/>
              </w:rPr>
              <w:t>Guardian care</w:t>
            </w:r>
          </w:p>
        </w:tc>
        <w:tc>
          <w:tcPr>
            <w:tcW w:w="600" w:type="pct"/>
            <w:tcBorders>
              <w:top w:val="single" w:sz="12" w:space="0" w:color="auto"/>
              <w:bottom w:val="single" w:sz="12" w:space="0" w:color="auto"/>
            </w:tcBorders>
            <w:shd w:val="clear" w:color="auto" w:fill="F5F5F1"/>
            <w:noWrap/>
            <w:hideMark/>
          </w:tcPr>
          <w:p w14:paraId="6AC71BB4" w14:textId="77777777" w:rsidR="00B74073" w:rsidRPr="00812309" w:rsidRDefault="00B74073" w:rsidP="00A93CCD">
            <w:r w:rsidRPr="00812309">
              <w:t>-</w:t>
            </w:r>
          </w:p>
        </w:tc>
        <w:tc>
          <w:tcPr>
            <w:tcW w:w="600" w:type="pct"/>
            <w:tcBorders>
              <w:top w:val="single" w:sz="12" w:space="0" w:color="auto"/>
              <w:bottom w:val="single" w:sz="12" w:space="0" w:color="auto"/>
            </w:tcBorders>
            <w:shd w:val="clear" w:color="auto" w:fill="F5F5F1"/>
            <w:noWrap/>
            <w:hideMark/>
          </w:tcPr>
          <w:p w14:paraId="737EB8DB" w14:textId="77777777" w:rsidR="00B74073" w:rsidRPr="00812309" w:rsidRDefault="00B74073" w:rsidP="00A93CCD">
            <w:r w:rsidRPr="00812309">
              <w:t>-</w:t>
            </w:r>
          </w:p>
        </w:tc>
      </w:tr>
      <w:tr w:rsidR="00B74073" w:rsidRPr="00812309" w14:paraId="7A658EF0" w14:textId="77777777" w:rsidTr="00B7034B">
        <w:trPr>
          <w:trHeight w:val="20"/>
        </w:trPr>
        <w:tc>
          <w:tcPr>
            <w:tcW w:w="3800" w:type="pct"/>
            <w:tcBorders>
              <w:top w:val="single" w:sz="12" w:space="0" w:color="auto"/>
              <w:bottom w:val="single" w:sz="4" w:space="0" w:color="auto"/>
            </w:tcBorders>
            <w:shd w:val="clear" w:color="auto" w:fill="F5F5F1"/>
            <w:hideMark/>
          </w:tcPr>
          <w:p w14:paraId="4A204720" w14:textId="77777777" w:rsidR="00B74073" w:rsidRPr="00812309" w:rsidRDefault="00B74073" w:rsidP="00A93CCD">
            <w:pPr>
              <w:rPr>
                <w:b/>
                <w:bCs/>
                <w:i/>
                <w:iCs/>
              </w:rPr>
            </w:pPr>
            <w:r w:rsidRPr="00812309">
              <w:rPr>
                <w:b/>
                <w:bCs/>
                <w:i/>
                <w:iCs/>
              </w:rPr>
              <w:t>Total number of children in guardian care (at the end of the year)</w:t>
            </w:r>
          </w:p>
        </w:tc>
        <w:tc>
          <w:tcPr>
            <w:tcW w:w="600" w:type="pct"/>
            <w:tcBorders>
              <w:top w:val="single" w:sz="12" w:space="0" w:color="auto"/>
              <w:bottom w:val="single" w:sz="4" w:space="0" w:color="auto"/>
            </w:tcBorders>
            <w:shd w:val="clear" w:color="auto" w:fill="F5F5F1"/>
            <w:noWrap/>
            <w:hideMark/>
          </w:tcPr>
          <w:p w14:paraId="535565C0" w14:textId="77777777" w:rsidR="00B74073" w:rsidRPr="00812309" w:rsidRDefault="00B74073" w:rsidP="00A93CCD">
            <w:r w:rsidRPr="00812309">
              <w:t>2,908</w:t>
            </w:r>
          </w:p>
        </w:tc>
        <w:tc>
          <w:tcPr>
            <w:tcW w:w="600" w:type="pct"/>
            <w:tcBorders>
              <w:top w:val="single" w:sz="12" w:space="0" w:color="auto"/>
              <w:bottom w:val="single" w:sz="4" w:space="0" w:color="auto"/>
            </w:tcBorders>
            <w:shd w:val="clear" w:color="auto" w:fill="F5F5F1"/>
            <w:noWrap/>
            <w:hideMark/>
          </w:tcPr>
          <w:p w14:paraId="0E2D4966" w14:textId="77777777" w:rsidR="00B74073" w:rsidRPr="00812309" w:rsidRDefault="00B74073" w:rsidP="00A93CCD">
            <w:r w:rsidRPr="00812309">
              <w:t>3,005</w:t>
            </w:r>
          </w:p>
        </w:tc>
      </w:tr>
      <w:tr w:rsidR="00B74073" w:rsidRPr="00812309" w14:paraId="2A0DC7AC" w14:textId="77777777" w:rsidTr="00B7034B">
        <w:trPr>
          <w:trHeight w:val="20"/>
        </w:trPr>
        <w:tc>
          <w:tcPr>
            <w:tcW w:w="3800" w:type="pct"/>
            <w:tcBorders>
              <w:top w:val="single" w:sz="4" w:space="0" w:color="auto"/>
            </w:tcBorders>
            <w:shd w:val="clear" w:color="auto" w:fill="F5F5F1"/>
            <w:hideMark/>
          </w:tcPr>
          <w:p w14:paraId="252998EE" w14:textId="77777777" w:rsidR="00B74073" w:rsidRPr="00812309" w:rsidRDefault="00B74073" w:rsidP="00A93CCD">
            <w:r w:rsidRPr="00812309">
              <w:t>Number of children with disabilities in guardian care (at the end of the year:)</w:t>
            </w:r>
          </w:p>
        </w:tc>
        <w:tc>
          <w:tcPr>
            <w:tcW w:w="600" w:type="pct"/>
            <w:tcBorders>
              <w:top w:val="single" w:sz="4" w:space="0" w:color="auto"/>
            </w:tcBorders>
            <w:shd w:val="clear" w:color="auto" w:fill="F5F5F1"/>
            <w:noWrap/>
            <w:hideMark/>
          </w:tcPr>
          <w:p w14:paraId="47DCB329" w14:textId="77777777" w:rsidR="00B74073" w:rsidRPr="00812309" w:rsidRDefault="00B74073" w:rsidP="00A93CCD"/>
        </w:tc>
        <w:tc>
          <w:tcPr>
            <w:tcW w:w="600" w:type="pct"/>
            <w:tcBorders>
              <w:top w:val="single" w:sz="4" w:space="0" w:color="auto"/>
            </w:tcBorders>
            <w:shd w:val="clear" w:color="auto" w:fill="F5F5F1"/>
            <w:noWrap/>
            <w:hideMark/>
          </w:tcPr>
          <w:p w14:paraId="78D1F76B" w14:textId="77777777" w:rsidR="00B74073" w:rsidRPr="00812309" w:rsidRDefault="00B74073" w:rsidP="00A93CCD"/>
        </w:tc>
      </w:tr>
      <w:tr w:rsidR="00B74073" w:rsidRPr="00812309" w14:paraId="14C9B921" w14:textId="77777777" w:rsidTr="00B7034B">
        <w:trPr>
          <w:trHeight w:val="20"/>
        </w:trPr>
        <w:tc>
          <w:tcPr>
            <w:tcW w:w="3800" w:type="pct"/>
            <w:shd w:val="clear" w:color="auto" w:fill="F5F5F1"/>
            <w:hideMark/>
          </w:tcPr>
          <w:p w14:paraId="6DB1D870" w14:textId="77777777" w:rsidR="00B74073" w:rsidRPr="00812309" w:rsidRDefault="00B74073" w:rsidP="00A93CCD">
            <w:r w:rsidRPr="00812309">
              <w:t>Total number of adopted children with disabilities (during the year)</w:t>
            </w:r>
          </w:p>
        </w:tc>
        <w:tc>
          <w:tcPr>
            <w:tcW w:w="600" w:type="pct"/>
            <w:shd w:val="clear" w:color="auto" w:fill="F5F5F1"/>
            <w:noWrap/>
            <w:hideMark/>
          </w:tcPr>
          <w:p w14:paraId="5AC9416A" w14:textId="77777777" w:rsidR="00B74073" w:rsidRPr="00812309" w:rsidRDefault="00B74073" w:rsidP="00A93CCD"/>
        </w:tc>
        <w:tc>
          <w:tcPr>
            <w:tcW w:w="600" w:type="pct"/>
            <w:shd w:val="clear" w:color="auto" w:fill="F5F5F1"/>
            <w:noWrap/>
            <w:hideMark/>
          </w:tcPr>
          <w:p w14:paraId="75DF5B97" w14:textId="77777777" w:rsidR="00B74073" w:rsidRPr="00812309" w:rsidRDefault="00B74073" w:rsidP="00A93CCD"/>
        </w:tc>
      </w:tr>
      <w:tr w:rsidR="00B74073" w:rsidRPr="00812309" w14:paraId="5238DF97" w14:textId="77777777" w:rsidTr="00B7034B">
        <w:trPr>
          <w:trHeight w:val="20"/>
        </w:trPr>
        <w:tc>
          <w:tcPr>
            <w:tcW w:w="3800" w:type="pct"/>
            <w:shd w:val="clear" w:color="auto" w:fill="F5F5F1"/>
            <w:hideMark/>
          </w:tcPr>
          <w:p w14:paraId="19CFD17A" w14:textId="77777777" w:rsidR="00B74073" w:rsidRPr="00812309" w:rsidRDefault="00B74073" w:rsidP="00A93CCD">
            <w:r w:rsidRPr="00812309">
              <w:t>Number of children with disabilities adopted internationally (during the year)</w:t>
            </w:r>
          </w:p>
        </w:tc>
        <w:tc>
          <w:tcPr>
            <w:tcW w:w="600" w:type="pct"/>
            <w:shd w:val="clear" w:color="auto" w:fill="F5F5F1"/>
            <w:noWrap/>
            <w:hideMark/>
          </w:tcPr>
          <w:p w14:paraId="54A3E86C" w14:textId="77777777" w:rsidR="00B74073" w:rsidRPr="00812309" w:rsidRDefault="00B74073" w:rsidP="00A93CCD"/>
        </w:tc>
        <w:tc>
          <w:tcPr>
            <w:tcW w:w="600" w:type="pct"/>
            <w:shd w:val="clear" w:color="auto" w:fill="F5F5F1"/>
            <w:noWrap/>
            <w:hideMark/>
          </w:tcPr>
          <w:p w14:paraId="2F184C6E" w14:textId="77777777" w:rsidR="00B74073" w:rsidRPr="00812309" w:rsidRDefault="00B74073" w:rsidP="00A93CCD"/>
        </w:tc>
      </w:tr>
      <w:tr w:rsidR="00B74073" w:rsidRPr="00812309" w14:paraId="378EC365" w14:textId="77777777" w:rsidTr="00B7034B">
        <w:trPr>
          <w:trHeight w:val="20"/>
        </w:trPr>
        <w:tc>
          <w:tcPr>
            <w:tcW w:w="3800" w:type="pct"/>
            <w:tcBorders>
              <w:bottom w:val="single" w:sz="12" w:space="0" w:color="auto"/>
            </w:tcBorders>
            <w:shd w:val="clear" w:color="auto" w:fill="F5F5F1"/>
            <w:hideMark/>
          </w:tcPr>
          <w:p w14:paraId="6AE69692" w14:textId="77777777" w:rsidR="00B74073" w:rsidRPr="00812309" w:rsidRDefault="00B74073" w:rsidP="00A93CCD">
            <w:r w:rsidRPr="00812309">
              <w:t>Number of children with disabilities available for adoption (at the end of the year)</w:t>
            </w:r>
          </w:p>
        </w:tc>
        <w:tc>
          <w:tcPr>
            <w:tcW w:w="600" w:type="pct"/>
            <w:tcBorders>
              <w:bottom w:val="single" w:sz="12" w:space="0" w:color="auto"/>
            </w:tcBorders>
            <w:shd w:val="clear" w:color="auto" w:fill="F5F5F1"/>
            <w:noWrap/>
            <w:hideMark/>
          </w:tcPr>
          <w:p w14:paraId="2B2B3C67" w14:textId="77777777" w:rsidR="00B74073" w:rsidRPr="00812309" w:rsidRDefault="00B74073" w:rsidP="00A93CCD"/>
        </w:tc>
        <w:tc>
          <w:tcPr>
            <w:tcW w:w="600" w:type="pct"/>
            <w:tcBorders>
              <w:bottom w:val="single" w:sz="12" w:space="0" w:color="auto"/>
            </w:tcBorders>
            <w:shd w:val="clear" w:color="auto" w:fill="F5F5F1"/>
            <w:noWrap/>
            <w:hideMark/>
          </w:tcPr>
          <w:p w14:paraId="34B8FB55" w14:textId="77777777" w:rsidR="00B74073" w:rsidRPr="00812309" w:rsidRDefault="00B74073" w:rsidP="00A93CCD"/>
        </w:tc>
      </w:tr>
      <w:tr w:rsidR="00B74073" w:rsidRPr="00812309" w14:paraId="1EA7CFBC" w14:textId="77777777" w:rsidTr="00B7034B">
        <w:trPr>
          <w:trHeight w:val="20"/>
        </w:trPr>
        <w:tc>
          <w:tcPr>
            <w:tcW w:w="5000" w:type="pct"/>
            <w:gridSpan w:val="3"/>
            <w:tcBorders>
              <w:top w:val="single" w:sz="12" w:space="0" w:color="auto"/>
            </w:tcBorders>
            <w:shd w:val="clear" w:color="auto" w:fill="auto"/>
          </w:tcPr>
          <w:p w14:paraId="7AEAD985" w14:textId="351FCBEF" w:rsidR="00B74073" w:rsidRPr="00812309" w:rsidDel="001A0B3F" w:rsidRDefault="00B74073" w:rsidP="00A93CCD">
            <w:pPr>
              <w:rPr>
                <w:sz w:val="18"/>
                <w:szCs w:val="18"/>
              </w:rPr>
            </w:pPr>
            <w:r w:rsidRPr="00812309">
              <w:rPr>
                <w:i/>
                <w:iCs/>
                <w:sz w:val="18"/>
                <w:szCs w:val="18"/>
              </w:rPr>
              <w:t>Source</w:t>
            </w:r>
            <w:r w:rsidRPr="00812309">
              <w:rPr>
                <w:sz w:val="18"/>
                <w:szCs w:val="18"/>
              </w:rPr>
              <w:t xml:space="preserve">: </w:t>
            </w:r>
            <w:proofErr w:type="spellStart"/>
            <w:r w:rsidRPr="00812309">
              <w:rPr>
                <w:sz w:val="18"/>
                <w:szCs w:val="18"/>
              </w:rPr>
              <w:t>TransmonEE</w:t>
            </w:r>
            <w:proofErr w:type="spellEnd"/>
            <w:r w:rsidRPr="00812309">
              <w:rPr>
                <w:sz w:val="18"/>
                <w:szCs w:val="18"/>
              </w:rPr>
              <w:t xml:space="preserve">, </w:t>
            </w:r>
            <w:r w:rsidRPr="00812309">
              <w:rPr>
                <w:i/>
                <w:iCs/>
                <w:sz w:val="18"/>
                <w:szCs w:val="18"/>
              </w:rPr>
              <w:t>Czech Republic Country Data, 1989-2015</w:t>
            </w:r>
            <w:r w:rsidRPr="00812309">
              <w:rPr>
                <w:sz w:val="18"/>
                <w:szCs w:val="18"/>
              </w:rPr>
              <w:t xml:space="preserve"> (January 7, 2016)</w:t>
            </w:r>
          </w:p>
        </w:tc>
      </w:tr>
    </w:tbl>
    <w:p w14:paraId="5E6B9E82" w14:textId="77777777" w:rsidR="00355C6D" w:rsidRPr="00812309" w:rsidRDefault="00355C6D" w:rsidP="005E1A55">
      <w:pPr>
        <w:spacing w:before="0" w:after="0" w:line="240" w:lineRule="auto"/>
        <w:rPr>
          <w:rFonts w:asciiTheme="minorHAnsi" w:eastAsiaTheme="majorEastAsia" w:hAnsiTheme="minorHAnsi" w:cstheme="minorHAnsi"/>
          <w:b/>
          <w:color w:val="0A59AB"/>
          <w:spacing w:val="4"/>
          <w:kern w:val="0"/>
          <w:sz w:val="30"/>
          <w:szCs w:val="30"/>
        </w:rPr>
      </w:pPr>
    </w:p>
    <w:sectPr w:rsidR="00355C6D" w:rsidRPr="00812309" w:rsidSect="00F21371">
      <w:footerReference w:type="even" r:id="rId24"/>
      <w:footerReference w:type="default" r:id="rId25"/>
      <w:pgSz w:w="11900" w:h="16820"/>
      <w:pgMar w:top="1440" w:right="1460" w:bottom="143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F59E0" w14:textId="77777777" w:rsidR="0097321D" w:rsidRPr="00812309" w:rsidRDefault="0097321D" w:rsidP="00461540">
      <w:r w:rsidRPr="00812309">
        <w:separator/>
      </w:r>
    </w:p>
  </w:endnote>
  <w:endnote w:type="continuationSeparator" w:id="0">
    <w:p w14:paraId="534C5424" w14:textId="77777777" w:rsidR="0097321D" w:rsidRPr="00812309" w:rsidRDefault="0097321D" w:rsidP="00461540">
      <w:r w:rsidRPr="008123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Medium">
    <w:altName w:val="﷽﷽﷽﷽﷽﷽﷽৸ಯ"/>
    <w:panose1 w:val="020B0602020204020303"/>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8062727"/>
      <w:docPartObj>
        <w:docPartGallery w:val="Page Numbers (Bottom of Page)"/>
        <w:docPartUnique/>
      </w:docPartObj>
    </w:sdtPr>
    <w:sdtEndPr>
      <w:rPr>
        <w:rStyle w:val="PageNumber"/>
      </w:rPr>
    </w:sdtEndPr>
    <w:sdtContent>
      <w:p w14:paraId="72B7284F" w14:textId="45A8B1BB" w:rsidR="00C22620" w:rsidRPr="00812309" w:rsidRDefault="00C22620" w:rsidP="005935AC">
        <w:pPr>
          <w:pStyle w:val="Footer"/>
          <w:framePr w:wrap="none" w:vAnchor="text" w:hAnchor="margin" w:xAlign="right" w:y="1"/>
          <w:rPr>
            <w:rStyle w:val="PageNumber"/>
          </w:rPr>
        </w:pPr>
        <w:r w:rsidRPr="00812309">
          <w:rPr>
            <w:rStyle w:val="PageNumber"/>
          </w:rPr>
          <w:fldChar w:fldCharType="begin"/>
        </w:r>
        <w:r w:rsidRPr="00812309">
          <w:rPr>
            <w:rStyle w:val="PageNumber"/>
          </w:rPr>
          <w:instrText xml:space="preserve"> PAGE </w:instrText>
        </w:r>
        <w:r w:rsidRPr="00812309">
          <w:rPr>
            <w:rStyle w:val="PageNumber"/>
          </w:rPr>
          <w:fldChar w:fldCharType="end"/>
        </w:r>
      </w:p>
    </w:sdtContent>
  </w:sdt>
  <w:p w14:paraId="143BCC80" w14:textId="77777777" w:rsidR="00C22620" w:rsidRPr="00812309" w:rsidRDefault="00C22620"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383959"/>
      <w:docPartObj>
        <w:docPartGallery w:val="Page Numbers (Bottom of Page)"/>
        <w:docPartUnique/>
      </w:docPartObj>
    </w:sdtPr>
    <w:sdtEndPr>
      <w:rPr>
        <w:rStyle w:val="PageNumber"/>
        <w:b/>
        <w:sz w:val="18"/>
        <w:szCs w:val="18"/>
      </w:rPr>
    </w:sdtEndPr>
    <w:sdtContent>
      <w:p w14:paraId="672B0C64" w14:textId="0AD0EA98" w:rsidR="00C22620" w:rsidRPr="00812309" w:rsidRDefault="00C22620" w:rsidP="00867838">
        <w:pPr>
          <w:pStyle w:val="Footer"/>
          <w:framePr w:wrap="none" w:vAnchor="text" w:hAnchor="margin" w:xAlign="right" w:y="1"/>
          <w:spacing w:before="0" w:after="0" w:line="240" w:lineRule="auto"/>
          <w:rPr>
            <w:rStyle w:val="PageNumber"/>
            <w:b/>
          </w:rPr>
        </w:pPr>
        <w:r w:rsidRPr="00812309">
          <w:rPr>
            <w:rStyle w:val="PageNumber"/>
            <w:rFonts w:cstheme="minorHAnsi"/>
            <w:b/>
            <w:bCs/>
          </w:rPr>
          <w:fldChar w:fldCharType="begin"/>
        </w:r>
        <w:r w:rsidRPr="00812309">
          <w:rPr>
            <w:rStyle w:val="PageNumber"/>
            <w:rFonts w:cstheme="minorHAnsi"/>
            <w:b/>
            <w:bCs/>
          </w:rPr>
          <w:instrText xml:space="preserve"> PAGE </w:instrText>
        </w:r>
        <w:r w:rsidRPr="00812309">
          <w:rPr>
            <w:rStyle w:val="PageNumber"/>
            <w:rFonts w:cstheme="minorHAnsi"/>
            <w:b/>
            <w:bCs/>
          </w:rPr>
          <w:fldChar w:fldCharType="separate"/>
        </w:r>
        <w:r w:rsidR="00153F1E" w:rsidRPr="00812309">
          <w:rPr>
            <w:rStyle w:val="PageNumber"/>
            <w:rFonts w:cstheme="minorHAnsi"/>
            <w:b/>
            <w:bCs/>
            <w:noProof/>
          </w:rPr>
          <w:t>5</w:t>
        </w:r>
        <w:r w:rsidRPr="00812309">
          <w:rPr>
            <w:rStyle w:val="PageNumber"/>
            <w:rFonts w:cstheme="minorHAnsi"/>
            <w:b/>
            <w:bCs/>
          </w:rPr>
          <w:fldChar w:fldCharType="end"/>
        </w:r>
      </w:p>
    </w:sdtContent>
  </w:sdt>
  <w:p w14:paraId="72D46FAB" w14:textId="061E4369" w:rsidR="004C524F" w:rsidRPr="00812309" w:rsidRDefault="004C524F" w:rsidP="004C524F">
    <w:pPr>
      <w:pStyle w:val="Footer"/>
      <w:tabs>
        <w:tab w:val="clear" w:pos="9360"/>
        <w:tab w:val="right" w:pos="8300"/>
      </w:tabs>
      <w:spacing w:before="0"/>
      <w:ind w:left="432" w:right="360"/>
      <w:rPr>
        <w:spacing w:val="-2"/>
        <w:sz w:val="18"/>
        <w:szCs w:val="18"/>
        <w:lang w:val="en-US"/>
      </w:rPr>
    </w:pPr>
    <w:r w:rsidRPr="00812309">
      <w:rPr>
        <w:rFonts w:asciiTheme="minorHAnsi" w:hAnsiTheme="minorHAnsi"/>
        <w:noProof/>
        <w:color w:val="FFC000"/>
        <w:sz w:val="18"/>
        <w:szCs w:val="18"/>
        <w:lang w:eastAsia="en-GB"/>
      </w:rPr>
      <mc:AlternateContent>
        <mc:Choice Requires="wps">
          <w:drawing>
            <wp:anchor distT="0" distB="0" distL="114300" distR="114300" simplePos="0" relativeHeight="251660288" behindDoc="1" locked="0" layoutInCell="1" allowOverlap="1" wp14:anchorId="5ACCE3A9" wp14:editId="67931E28">
              <wp:simplePos x="0" y="0"/>
              <wp:positionH relativeFrom="column">
                <wp:posOffset>5322570</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BF802" id="Rounded Rectangle 4" o:spid="_x0000_s1026" alt="&quot;&quot;" style="position:absolute;margin-left:419.1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" fillcolor="#ffc000" stroked="f" strokeweight="1pt">
              <v:stroke joinstyle="miter"/>
              <w10:wrap type="through"/>
            </v:roundrect>
          </w:pict>
        </mc:Fallback>
      </mc:AlternateContent>
    </w:r>
    <w:r w:rsidRPr="00812309">
      <w:rPr>
        <w:rFonts w:asciiTheme="minorHAnsi" w:hAnsiTheme="minorHAnsi"/>
        <w:noProof/>
        <w:sz w:val="18"/>
        <w:szCs w:val="18"/>
        <w:lang w:eastAsia="en-GB"/>
      </w:rPr>
      <w:drawing>
        <wp:anchor distT="0" distB="0" distL="114300" distR="114300" simplePos="0" relativeHeight="251659264" behindDoc="0" locked="0" layoutInCell="1" allowOverlap="1" wp14:anchorId="12D46CE5" wp14:editId="7A6259D7">
          <wp:simplePos x="0" y="0"/>
          <wp:positionH relativeFrom="column">
            <wp:posOffset>-3810</wp:posOffset>
          </wp:positionH>
          <wp:positionV relativeFrom="paragraph">
            <wp:posOffset>-6127</wp:posOffset>
          </wp:positionV>
          <wp:extent cx="287020" cy="148590"/>
          <wp:effectExtent l="0" t="0" r="0" b="3810"/>
          <wp:wrapNone/>
          <wp:docPr id="9" name="Picture 9" title="Logo of CRPD(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309">
      <w:rPr>
        <w:rFonts w:asciiTheme="minorHAnsi" w:hAnsiTheme="minorHAnsi"/>
        <w:sz w:val="18"/>
        <w:szCs w:val="18"/>
        <w:lang w:val="en-US"/>
      </w:rPr>
      <w:t xml:space="preserve">  </w:t>
    </w:r>
    <w:r w:rsidRPr="00812309">
      <w:rPr>
        <w:color w:val="7F7F7F" w:themeColor="text1" w:themeTint="80"/>
        <w:sz w:val="18"/>
        <w:szCs w:val="18"/>
        <w:lang w:val="en-US"/>
      </w:rPr>
      <w:t>+</w:t>
    </w:r>
    <w:r w:rsidRPr="00812309">
      <w:rPr>
        <w:color w:val="7F7F7F" w:themeColor="text1" w:themeTint="80"/>
        <w:spacing w:val="-2"/>
        <w:sz w:val="18"/>
        <w:szCs w:val="18"/>
        <w:lang w:val="en-US"/>
      </w:rPr>
      <w:t xml:space="preserve"> Data Sources on Article 23 (outcome indicators)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18ABC" w14:textId="77777777" w:rsidR="0097321D" w:rsidRPr="00812309" w:rsidRDefault="0097321D" w:rsidP="00461540">
      <w:r w:rsidRPr="00812309">
        <w:separator/>
      </w:r>
    </w:p>
  </w:footnote>
  <w:footnote w:type="continuationSeparator" w:id="0">
    <w:p w14:paraId="65552FB8" w14:textId="77777777" w:rsidR="0097321D" w:rsidRPr="00812309" w:rsidRDefault="0097321D" w:rsidP="00461540">
      <w:r w:rsidRPr="0081230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7C23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2C65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72B1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527D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E06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A6D6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B847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24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09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20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170AF"/>
    <w:multiLevelType w:val="hybridMultilevel"/>
    <w:tmpl w:val="8BB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E7475E"/>
    <w:multiLevelType w:val="hybridMultilevel"/>
    <w:tmpl w:val="61D6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F1C77"/>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13" w15:restartNumberingAfterBreak="0">
    <w:nsid w:val="119C5107"/>
    <w:multiLevelType w:val="hybridMultilevel"/>
    <w:tmpl w:val="680CF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1332C"/>
    <w:multiLevelType w:val="hybridMultilevel"/>
    <w:tmpl w:val="0A362A8E"/>
    <w:lvl w:ilvl="0" w:tplc="21C03726">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6071F"/>
    <w:multiLevelType w:val="hybridMultilevel"/>
    <w:tmpl w:val="A7C25218"/>
    <w:lvl w:ilvl="0" w:tplc="04090003">
      <w:start w:val="1"/>
      <w:numFmt w:val="bullet"/>
      <w:lvlText w:val="o"/>
      <w:lvlJc w:val="left"/>
      <w:pPr>
        <w:ind w:left="360" w:hanging="360"/>
      </w:pPr>
      <w:rPr>
        <w:rFonts w:ascii="Courier New" w:hAnsi="Courier New" w:cs="Courier New"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AD361B"/>
    <w:multiLevelType w:val="hybridMultilevel"/>
    <w:tmpl w:val="CE76353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14225"/>
    <w:multiLevelType w:val="hybridMultilevel"/>
    <w:tmpl w:val="349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92884"/>
    <w:multiLevelType w:val="hybridMultilevel"/>
    <w:tmpl w:val="346A4E36"/>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55B84"/>
    <w:multiLevelType w:val="hybridMultilevel"/>
    <w:tmpl w:val="560C8932"/>
    <w:lvl w:ilvl="0" w:tplc="9EF482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7B5182"/>
    <w:multiLevelType w:val="hybridMultilevel"/>
    <w:tmpl w:val="4740EC3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9171C6"/>
    <w:multiLevelType w:val="multilevel"/>
    <w:tmpl w:val="06D4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E621B6"/>
    <w:multiLevelType w:val="hybridMultilevel"/>
    <w:tmpl w:val="E6DE6D78"/>
    <w:lvl w:ilvl="0" w:tplc="74EE311C">
      <w:start w:val="1"/>
      <w:numFmt w:val="bullet"/>
      <w:pStyle w:val="ListParagraph"/>
      <w:lvlText w:val="-"/>
      <w:lvlJc w:val="left"/>
      <w:pPr>
        <w:ind w:left="-1440" w:hanging="360"/>
      </w:pPr>
      <w:rPr>
        <w:rFonts w:ascii="Calibri" w:hAnsi="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23" w15:restartNumberingAfterBreak="0">
    <w:nsid w:val="2DF37AB6"/>
    <w:multiLevelType w:val="hybridMultilevel"/>
    <w:tmpl w:val="C71AEB30"/>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B486A"/>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25" w15:restartNumberingAfterBreak="0">
    <w:nsid w:val="36743790"/>
    <w:multiLevelType w:val="hybridMultilevel"/>
    <w:tmpl w:val="B498BB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2363AD"/>
    <w:multiLevelType w:val="hybridMultilevel"/>
    <w:tmpl w:val="80FC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C9652E"/>
    <w:multiLevelType w:val="hybridMultilevel"/>
    <w:tmpl w:val="B99AF69A"/>
    <w:lvl w:ilvl="0" w:tplc="E09C8312">
      <w:numFmt w:val="bullet"/>
      <w:lvlText w:val="-"/>
      <w:lvlJc w:val="left"/>
      <w:pPr>
        <w:ind w:left="360" w:hanging="360"/>
      </w:pPr>
      <w:rPr>
        <w:rFonts w:ascii="Calibri" w:eastAsiaTheme="minorHAnsi" w:hAnsi="Calibri" w:cstheme="minorHAnsi"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614D6E"/>
    <w:multiLevelType w:val="hybridMultilevel"/>
    <w:tmpl w:val="CD88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23CE7"/>
    <w:multiLevelType w:val="hybridMultilevel"/>
    <w:tmpl w:val="363E6A1E"/>
    <w:lvl w:ilvl="0" w:tplc="04090001">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E6E01"/>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31" w15:restartNumberingAfterBreak="0">
    <w:nsid w:val="4EA01FD7"/>
    <w:multiLevelType w:val="hybridMultilevel"/>
    <w:tmpl w:val="6302AAD0"/>
    <w:lvl w:ilvl="0" w:tplc="8A8C9DA0">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F0237F"/>
    <w:multiLevelType w:val="hybridMultilevel"/>
    <w:tmpl w:val="CA8C0D02"/>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1008A"/>
    <w:multiLevelType w:val="hybridMultilevel"/>
    <w:tmpl w:val="B45831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A4D5889"/>
    <w:multiLevelType w:val="hybridMultilevel"/>
    <w:tmpl w:val="7A8A6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81142"/>
    <w:multiLevelType w:val="hybridMultilevel"/>
    <w:tmpl w:val="23328566"/>
    <w:lvl w:ilvl="0" w:tplc="9B4C6294">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6" w15:restartNumberingAfterBreak="0">
    <w:nsid w:val="6FE14FE7"/>
    <w:multiLevelType w:val="hybridMultilevel"/>
    <w:tmpl w:val="33B2BD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A5118"/>
    <w:multiLevelType w:val="hybridMultilevel"/>
    <w:tmpl w:val="9D485C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DD1A27"/>
    <w:multiLevelType w:val="hybridMultilevel"/>
    <w:tmpl w:val="DF2294B0"/>
    <w:lvl w:ilvl="0" w:tplc="04090017">
      <w:start w:val="1"/>
      <w:numFmt w:val="lowerLetter"/>
      <w:lvlText w:val="%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A41191"/>
    <w:multiLevelType w:val="hybridMultilevel"/>
    <w:tmpl w:val="143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77DC7"/>
    <w:multiLevelType w:val="hybridMultilevel"/>
    <w:tmpl w:val="054A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D170D"/>
    <w:multiLevelType w:val="hybridMultilevel"/>
    <w:tmpl w:val="F7261B36"/>
    <w:lvl w:ilvl="0" w:tplc="9A5A01A2">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6309A4"/>
    <w:multiLevelType w:val="hybridMultilevel"/>
    <w:tmpl w:val="38CC68A0"/>
    <w:lvl w:ilvl="0" w:tplc="D3F4B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33"/>
  </w:num>
  <w:num w:numId="4">
    <w:abstractNumId w:val="30"/>
  </w:num>
  <w:num w:numId="5">
    <w:abstractNumId w:val="21"/>
  </w:num>
  <w:num w:numId="6">
    <w:abstractNumId w:val="40"/>
  </w:num>
  <w:num w:numId="7">
    <w:abstractNumId w:val="26"/>
  </w:num>
  <w:num w:numId="8">
    <w:abstractNumId w:val="25"/>
  </w:num>
  <w:num w:numId="9">
    <w:abstractNumId w:val="31"/>
  </w:num>
  <w:num w:numId="10">
    <w:abstractNumId w:val="27"/>
  </w:num>
  <w:num w:numId="11">
    <w:abstractNumId w:val="15"/>
  </w:num>
  <w:num w:numId="12">
    <w:abstractNumId w:val="37"/>
  </w:num>
  <w:num w:numId="13">
    <w:abstractNumId w:val="24"/>
  </w:num>
  <w:num w:numId="14">
    <w:abstractNumId w:val="12"/>
  </w:num>
  <w:num w:numId="15">
    <w:abstractNumId w:val="34"/>
  </w:num>
  <w:num w:numId="16">
    <w:abstractNumId w:val="13"/>
  </w:num>
  <w:num w:numId="17">
    <w:abstractNumId w:val="10"/>
  </w:num>
  <w:num w:numId="18">
    <w:abstractNumId w:val="42"/>
  </w:num>
  <w:num w:numId="19">
    <w:abstractNumId w:val="16"/>
  </w:num>
  <w:num w:numId="20">
    <w:abstractNumId w:val="14"/>
  </w:num>
  <w:num w:numId="21">
    <w:abstractNumId w:val="29"/>
  </w:num>
  <w:num w:numId="22">
    <w:abstractNumId w:val="41"/>
  </w:num>
  <w:num w:numId="23">
    <w:abstractNumId w:val="23"/>
  </w:num>
  <w:num w:numId="24">
    <w:abstractNumId w:val="19"/>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18"/>
  </w:num>
  <w:num w:numId="36">
    <w:abstractNumId w:val="32"/>
  </w:num>
  <w:num w:numId="37">
    <w:abstractNumId w:val="28"/>
  </w:num>
  <w:num w:numId="38">
    <w:abstractNumId w:val="39"/>
  </w:num>
  <w:num w:numId="39">
    <w:abstractNumId w:val="11"/>
  </w:num>
  <w:num w:numId="40">
    <w:abstractNumId w:val="38"/>
  </w:num>
  <w:num w:numId="41">
    <w:abstractNumId w:val="22"/>
  </w:num>
  <w:num w:numId="42">
    <w:abstractNumId w:val="2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0"/>
    <w:rsid w:val="000132FA"/>
    <w:rsid w:val="00015BA0"/>
    <w:rsid w:val="000175F5"/>
    <w:rsid w:val="0002001C"/>
    <w:rsid w:val="000255F1"/>
    <w:rsid w:val="00062C31"/>
    <w:rsid w:val="000764AF"/>
    <w:rsid w:val="00085AA9"/>
    <w:rsid w:val="00087BBD"/>
    <w:rsid w:val="0009058C"/>
    <w:rsid w:val="0009093A"/>
    <w:rsid w:val="000A661C"/>
    <w:rsid w:val="000B1186"/>
    <w:rsid w:val="000B13D8"/>
    <w:rsid w:val="000B1723"/>
    <w:rsid w:val="000D47E4"/>
    <w:rsid w:val="000E746A"/>
    <w:rsid w:val="000F5328"/>
    <w:rsid w:val="000F56DA"/>
    <w:rsid w:val="00101E46"/>
    <w:rsid w:val="00102434"/>
    <w:rsid w:val="00104C3F"/>
    <w:rsid w:val="0011247F"/>
    <w:rsid w:val="00113282"/>
    <w:rsid w:val="00113670"/>
    <w:rsid w:val="00116DE9"/>
    <w:rsid w:val="001243C1"/>
    <w:rsid w:val="00124491"/>
    <w:rsid w:val="00153F1E"/>
    <w:rsid w:val="001541E8"/>
    <w:rsid w:val="00163B0E"/>
    <w:rsid w:val="00166B8E"/>
    <w:rsid w:val="00173D86"/>
    <w:rsid w:val="00191D5C"/>
    <w:rsid w:val="00191DAC"/>
    <w:rsid w:val="001C2D74"/>
    <w:rsid w:val="001C65CC"/>
    <w:rsid w:val="001C76A8"/>
    <w:rsid w:val="001D54C9"/>
    <w:rsid w:val="001F4B1B"/>
    <w:rsid w:val="002004D2"/>
    <w:rsid w:val="0020421C"/>
    <w:rsid w:val="00213CD1"/>
    <w:rsid w:val="002148FC"/>
    <w:rsid w:val="0021621F"/>
    <w:rsid w:val="002202DE"/>
    <w:rsid w:val="002218F7"/>
    <w:rsid w:val="0022275D"/>
    <w:rsid w:val="00222C7E"/>
    <w:rsid w:val="0022595A"/>
    <w:rsid w:val="002268B4"/>
    <w:rsid w:val="00241D93"/>
    <w:rsid w:val="00242D93"/>
    <w:rsid w:val="0026208F"/>
    <w:rsid w:val="0026364F"/>
    <w:rsid w:val="00270A8A"/>
    <w:rsid w:val="00270BD0"/>
    <w:rsid w:val="0027734E"/>
    <w:rsid w:val="00286968"/>
    <w:rsid w:val="002949A8"/>
    <w:rsid w:val="002C350A"/>
    <w:rsid w:val="002C4B00"/>
    <w:rsid w:val="002E12D5"/>
    <w:rsid w:val="002E25CA"/>
    <w:rsid w:val="002E4EB8"/>
    <w:rsid w:val="002E7C72"/>
    <w:rsid w:val="0031097C"/>
    <w:rsid w:val="00311B6B"/>
    <w:rsid w:val="003126C7"/>
    <w:rsid w:val="00313848"/>
    <w:rsid w:val="00313B63"/>
    <w:rsid w:val="00323FB0"/>
    <w:rsid w:val="00330FE4"/>
    <w:rsid w:val="0033262E"/>
    <w:rsid w:val="0034007F"/>
    <w:rsid w:val="003478B1"/>
    <w:rsid w:val="00353776"/>
    <w:rsid w:val="00355C6D"/>
    <w:rsid w:val="003616BB"/>
    <w:rsid w:val="00382A3E"/>
    <w:rsid w:val="00390D12"/>
    <w:rsid w:val="00396691"/>
    <w:rsid w:val="00396C8F"/>
    <w:rsid w:val="003A223E"/>
    <w:rsid w:val="003A2ADC"/>
    <w:rsid w:val="003B7A00"/>
    <w:rsid w:val="003F1867"/>
    <w:rsid w:val="00432D6B"/>
    <w:rsid w:val="00435BA2"/>
    <w:rsid w:val="00435E14"/>
    <w:rsid w:val="00436405"/>
    <w:rsid w:val="00446E99"/>
    <w:rsid w:val="00450B91"/>
    <w:rsid w:val="00461540"/>
    <w:rsid w:val="0046655B"/>
    <w:rsid w:val="0046658B"/>
    <w:rsid w:val="00467602"/>
    <w:rsid w:val="00474244"/>
    <w:rsid w:val="004777C6"/>
    <w:rsid w:val="00484B33"/>
    <w:rsid w:val="004913CF"/>
    <w:rsid w:val="00494626"/>
    <w:rsid w:val="00494783"/>
    <w:rsid w:val="004954C4"/>
    <w:rsid w:val="004A3269"/>
    <w:rsid w:val="004A4E3C"/>
    <w:rsid w:val="004A6019"/>
    <w:rsid w:val="004B375B"/>
    <w:rsid w:val="004B60C4"/>
    <w:rsid w:val="004B6FD7"/>
    <w:rsid w:val="004C524F"/>
    <w:rsid w:val="004D43D0"/>
    <w:rsid w:val="004D74F3"/>
    <w:rsid w:val="004E2537"/>
    <w:rsid w:val="004E35BC"/>
    <w:rsid w:val="004E6D50"/>
    <w:rsid w:val="004E73D8"/>
    <w:rsid w:val="004F049C"/>
    <w:rsid w:val="004F2D5E"/>
    <w:rsid w:val="004F337D"/>
    <w:rsid w:val="004F3BD9"/>
    <w:rsid w:val="004F3DE2"/>
    <w:rsid w:val="004F7196"/>
    <w:rsid w:val="00511D23"/>
    <w:rsid w:val="005148BD"/>
    <w:rsid w:val="00525F57"/>
    <w:rsid w:val="00527BE5"/>
    <w:rsid w:val="00527D96"/>
    <w:rsid w:val="00532347"/>
    <w:rsid w:val="005458FD"/>
    <w:rsid w:val="00551B15"/>
    <w:rsid w:val="00555658"/>
    <w:rsid w:val="005600A0"/>
    <w:rsid w:val="00564A23"/>
    <w:rsid w:val="00567F31"/>
    <w:rsid w:val="00570364"/>
    <w:rsid w:val="00572828"/>
    <w:rsid w:val="005935AC"/>
    <w:rsid w:val="00595CBC"/>
    <w:rsid w:val="005A094A"/>
    <w:rsid w:val="005B5CFA"/>
    <w:rsid w:val="005C1458"/>
    <w:rsid w:val="005C72F3"/>
    <w:rsid w:val="005D6C10"/>
    <w:rsid w:val="005E0158"/>
    <w:rsid w:val="005E1A55"/>
    <w:rsid w:val="005E7B70"/>
    <w:rsid w:val="005F2806"/>
    <w:rsid w:val="005F281A"/>
    <w:rsid w:val="005F7463"/>
    <w:rsid w:val="00605A03"/>
    <w:rsid w:val="0062437F"/>
    <w:rsid w:val="006301F6"/>
    <w:rsid w:val="00631A38"/>
    <w:rsid w:val="00632C09"/>
    <w:rsid w:val="00672636"/>
    <w:rsid w:val="00690066"/>
    <w:rsid w:val="00691184"/>
    <w:rsid w:val="00691370"/>
    <w:rsid w:val="00691D31"/>
    <w:rsid w:val="00694E7B"/>
    <w:rsid w:val="006A5B08"/>
    <w:rsid w:val="006A74CF"/>
    <w:rsid w:val="006B12B9"/>
    <w:rsid w:val="006B56A8"/>
    <w:rsid w:val="006D0FAA"/>
    <w:rsid w:val="006D3CE0"/>
    <w:rsid w:val="006E20BC"/>
    <w:rsid w:val="006F0DD2"/>
    <w:rsid w:val="0070044F"/>
    <w:rsid w:val="00715858"/>
    <w:rsid w:val="00725275"/>
    <w:rsid w:val="00737923"/>
    <w:rsid w:val="0074088C"/>
    <w:rsid w:val="00747288"/>
    <w:rsid w:val="0075341D"/>
    <w:rsid w:val="007573A5"/>
    <w:rsid w:val="00762687"/>
    <w:rsid w:val="00762B52"/>
    <w:rsid w:val="0076508E"/>
    <w:rsid w:val="0076693D"/>
    <w:rsid w:val="00770763"/>
    <w:rsid w:val="00770A1F"/>
    <w:rsid w:val="007710EB"/>
    <w:rsid w:val="00784F2D"/>
    <w:rsid w:val="007A5C39"/>
    <w:rsid w:val="007B2D50"/>
    <w:rsid w:val="007B4AC9"/>
    <w:rsid w:val="007B79E5"/>
    <w:rsid w:val="007C2B91"/>
    <w:rsid w:val="007C2FCE"/>
    <w:rsid w:val="007C4FC3"/>
    <w:rsid w:val="007D41E0"/>
    <w:rsid w:val="007D47A0"/>
    <w:rsid w:val="007E33D6"/>
    <w:rsid w:val="007E46EB"/>
    <w:rsid w:val="007E6363"/>
    <w:rsid w:val="0080218D"/>
    <w:rsid w:val="00811055"/>
    <w:rsid w:val="00812309"/>
    <w:rsid w:val="008128F0"/>
    <w:rsid w:val="00813A07"/>
    <w:rsid w:val="00814465"/>
    <w:rsid w:val="008153EF"/>
    <w:rsid w:val="00816E92"/>
    <w:rsid w:val="008649E4"/>
    <w:rsid w:val="0086726A"/>
    <w:rsid w:val="00867838"/>
    <w:rsid w:val="00867F6C"/>
    <w:rsid w:val="008A1B56"/>
    <w:rsid w:val="008A44D4"/>
    <w:rsid w:val="008A4EA5"/>
    <w:rsid w:val="008B4EDF"/>
    <w:rsid w:val="008B7B78"/>
    <w:rsid w:val="008D4556"/>
    <w:rsid w:val="008D5C3A"/>
    <w:rsid w:val="008D5E40"/>
    <w:rsid w:val="008F099C"/>
    <w:rsid w:val="008F441F"/>
    <w:rsid w:val="00904290"/>
    <w:rsid w:val="00904C4A"/>
    <w:rsid w:val="00906D01"/>
    <w:rsid w:val="0091019C"/>
    <w:rsid w:val="00911D78"/>
    <w:rsid w:val="00916A3E"/>
    <w:rsid w:val="00923EF7"/>
    <w:rsid w:val="009347C8"/>
    <w:rsid w:val="00936EB2"/>
    <w:rsid w:val="00941EC9"/>
    <w:rsid w:val="0095111A"/>
    <w:rsid w:val="00951389"/>
    <w:rsid w:val="0096264B"/>
    <w:rsid w:val="00966153"/>
    <w:rsid w:val="00967DC8"/>
    <w:rsid w:val="0097321D"/>
    <w:rsid w:val="00974C96"/>
    <w:rsid w:val="00977276"/>
    <w:rsid w:val="0098349F"/>
    <w:rsid w:val="009842F6"/>
    <w:rsid w:val="009855D7"/>
    <w:rsid w:val="00990B7E"/>
    <w:rsid w:val="0099485B"/>
    <w:rsid w:val="00994FA4"/>
    <w:rsid w:val="009A65EB"/>
    <w:rsid w:val="009B1276"/>
    <w:rsid w:val="009B25A1"/>
    <w:rsid w:val="009C097E"/>
    <w:rsid w:val="009E3CD9"/>
    <w:rsid w:val="009F784B"/>
    <w:rsid w:val="00A00BFC"/>
    <w:rsid w:val="00A0426C"/>
    <w:rsid w:val="00A17830"/>
    <w:rsid w:val="00A222FB"/>
    <w:rsid w:val="00A31BB2"/>
    <w:rsid w:val="00A40783"/>
    <w:rsid w:val="00A469D3"/>
    <w:rsid w:val="00A501CE"/>
    <w:rsid w:val="00A51989"/>
    <w:rsid w:val="00A528DF"/>
    <w:rsid w:val="00A531F2"/>
    <w:rsid w:val="00A542D3"/>
    <w:rsid w:val="00A62020"/>
    <w:rsid w:val="00A659DF"/>
    <w:rsid w:val="00A700CD"/>
    <w:rsid w:val="00A73A9D"/>
    <w:rsid w:val="00A93CCD"/>
    <w:rsid w:val="00AA7A6C"/>
    <w:rsid w:val="00AB34D2"/>
    <w:rsid w:val="00AC0682"/>
    <w:rsid w:val="00AC538E"/>
    <w:rsid w:val="00AF1E95"/>
    <w:rsid w:val="00AF48A4"/>
    <w:rsid w:val="00AF7866"/>
    <w:rsid w:val="00B111CA"/>
    <w:rsid w:val="00B153E6"/>
    <w:rsid w:val="00B2460D"/>
    <w:rsid w:val="00B24F18"/>
    <w:rsid w:val="00B33C39"/>
    <w:rsid w:val="00B37E01"/>
    <w:rsid w:val="00B56341"/>
    <w:rsid w:val="00B56BBB"/>
    <w:rsid w:val="00B60FD1"/>
    <w:rsid w:val="00B628C6"/>
    <w:rsid w:val="00B62EC4"/>
    <w:rsid w:val="00B67975"/>
    <w:rsid w:val="00B7034B"/>
    <w:rsid w:val="00B74073"/>
    <w:rsid w:val="00B90D1F"/>
    <w:rsid w:val="00B95136"/>
    <w:rsid w:val="00BA5172"/>
    <w:rsid w:val="00BD3EEF"/>
    <w:rsid w:val="00BE1BF0"/>
    <w:rsid w:val="00BE2C1A"/>
    <w:rsid w:val="00BE5EE4"/>
    <w:rsid w:val="00BF7A4D"/>
    <w:rsid w:val="00C028D2"/>
    <w:rsid w:val="00C0511A"/>
    <w:rsid w:val="00C1724C"/>
    <w:rsid w:val="00C22620"/>
    <w:rsid w:val="00C36070"/>
    <w:rsid w:val="00C3673D"/>
    <w:rsid w:val="00C409D7"/>
    <w:rsid w:val="00C40D38"/>
    <w:rsid w:val="00C52338"/>
    <w:rsid w:val="00C7351A"/>
    <w:rsid w:val="00C74662"/>
    <w:rsid w:val="00C76959"/>
    <w:rsid w:val="00C77C48"/>
    <w:rsid w:val="00C81AF6"/>
    <w:rsid w:val="00C83B53"/>
    <w:rsid w:val="00C90A1D"/>
    <w:rsid w:val="00CA12C3"/>
    <w:rsid w:val="00CA247C"/>
    <w:rsid w:val="00CA40B9"/>
    <w:rsid w:val="00CB0525"/>
    <w:rsid w:val="00CB0ADB"/>
    <w:rsid w:val="00CB0E58"/>
    <w:rsid w:val="00CD3E5C"/>
    <w:rsid w:val="00CD60C6"/>
    <w:rsid w:val="00CE4D5E"/>
    <w:rsid w:val="00CE4EBE"/>
    <w:rsid w:val="00CE55C8"/>
    <w:rsid w:val="00CE5DBF"/>
    <w:rsid w:val="00CE5E74"/>
    <w:rsid w:val="00CF129F"/>
    <w:rsid w:val="00CF1DAA"/>
    <w:rsid w:val="00D115E7"/>
    <w:rsid w:val="00D11BFF"/>
    <w:rsid w:val="00D177A9"/>
    <w:rsid w:val="00D444A7"/>
    <w:rsid w:val="00D5098B"/>
    <w:rsid w:val="00D57270"/>
    <w:rsid w:val="00D57DF3"/>
    <w:rsid w:val="00D61786"/>
    <w:rsid w:val="00D63A37"/>
    <w:rsid w:val="00D65285"/>
    <w:rsid w:val="00D72ED2"/>
    <w:rsid w:val="00D808B3"/>
    <w:rsid w:val="00D80A5D"/>
    <w:rsid w:val="00D850DC"/>
    <w:rsid w:val="00D935C4"/>
    <w:rsid w:val="00D97B91"/>
    <w:rsid w:val="00DA5396"/>
    <w:rsid w:val="00DA62A0"/>
    <w:rsid w:val="00DB7C66"/>
    <w:rsid w:val="00DC17B0"/>
    <w:rsid w:val="00DC1AE4"/>
    <w:rsid w:val="00DC3A3E"/>
    <w:rsid w:val="00DC7751"/>
    <w:rsid w:val="00DE5C59"/>
    <w:rsid w:val="00DE79BC"/>
    <w:rsid w:val="00DF3B7D"/>
    <w:rsid w:val="00E04B4C"/>
    <w:rsid w:val="00E10CD2"/>
    <w:rsid w:val="00E142C1"/>
    <w:rsid w:val="00E21209"/>
    <w:rsid w:val="00E26357"/>
    <w:rsid w:val="00E42ED0"/>
    <w:rsid w:val="00E47893"/>
    <w:rsid w:val="00E47A39"/>
    <w:rsid w:val="00E5235D"/>
    <w:rsid w:val="00E564BE"/>
    <w:rsid w:val="00E606B1"/>
    <w:rsid w:val="00E6194F"/>
    <w:rsid w:val="00E71AA5"/>
    <w:rsid w:val="00EA0FEF"/>
    <w:rsid w:val="00EB35B7"/>
    <w:rsid w:val="00EB3CDC"/>
    <w:rsid w:val="00EB695E"/>
    <w:rsid w:val="00EC3B99"/>
    <w:rsid w:val="00EC6659"/>
    <w:rsid w:val="00ED30FC"/>
    <w:rsid w:val="00ED779D"/>
    <w:rsid w:val="00EE344D"/>
    <w:rsid w:val="00EE3C72"/>
    <w:rsid w:val="00EE51F9"/>
    <w:rsid w:val="00EE55CD"/>
    <w:rsid w:val="00EE5EE5"/>
    <w:rsid w:val="00EE5F74"/>
    <w:rsid w:val="00EF586A"/>
    <w:rsid w:val="00EF5C91"/>
    <w:rsid w:val="00F02F9E"/>
    <w:rsid w:val="00F21128"/>
    <w:rsid w:val="00F21371"/>
    <w:rsid w:val="00F25165"/>
    <w:rsid w:val="00F25654"/>
    <w:rsid w:val="00F35443"/>
    <w:rsid w:val="00F56344"/>
    <w:rsid w:val="00F72436"/>
    <w:rsid w:val="00F74F01"/>
    <w:rsid w:val="00F814CF"/>
    <w:rsid w:val="00F91C52"/>
    <w:rsid w:val="00FA3FE7"/>
    <w:rsid w:val="00FA4E53"/>
    <w:rsid w:val="00FA5E66"/>
    <w:rsid w:val="00FA77E9"/>
    <w:rsid w:val="00FB399B"/>
    <w:rsid w:val="00FB39CF"/>
    <w:rsid w:val="00FD2F83"/>
    <w:rsid w:val="00FE42BF"/>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37E2"/>
  <w15:docId w15:val="{D14BB434-0DA7-4CB3-BA7D-B6F75B3C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34B"/>
    <w:pPr>
      <w:spacing w:before="120" w:after="120" w:line="276" w:lineRule="auto"/>
    </w:pPr>
    <w:rPr>
      <w:rFonts w:ascii="Calibri" w:eastAsia="Times New Roman" w:hAnsi="Calibri" w:cs="Calibri"/>
      <w:kern w:val="21"/>
      <w:sz w:val="22"/>
      <w:szCs w:val="22"/>
      <w:lang w:val="en-GB"/>
    </w:rPr>
  </w:style>
  <w:style w:type="paragraph" w:styleId="Heading1">
    <w:name w:val="heading 1"/>
    <w:basedOn w:val="Normal"/>
    <w:next w:val="Normal"/>
    <w:link w:val="Heading1Char"/>
    <w:uiPriority w:val="9"/>
    <w:qFormat/>
    <w:rsid w:val="005A094A"/>
    <w:pPr>
      <w:keepNext/>
      <w:keepLines/>
      <w:spacing w:before="360"/>
      <w:outlineLvl w:val="0"/>
    </w:pPr>
    <w:rPr>
      <w:rFonts w:cs="Times New Roman"/>
      <w:b/>
      <w:bCs/>
      <w:color w:val="000000" w:themeColor="text1"/>
      <w:sz w:val="48"/>
      <w:szCs w:val="48"/>
    </w:rPr>
  </w:style>
  <w:style w:type="paragraph" w:styleId="Heading2">
    <w:name w:val="heading 2"/>
    <w:basedOn w:val="Normal"/>
    <w:next w:val="Normal"/>
    <w:link w:val="Heading2Char"/>
    <w:uiPriority w:val="9"/>
    <w:unhideWhenUsed/>
    <w:qFormat/>
    <w:rsid w:val="00B7034B"/>
    <w:pPr>
      <w:keepNext/>
      <w:keepLines/>
      <w:spacing w:before="720"/>
      <w:outlineLvl w:val="1"/>
    </w:pPr>
    <w:rPr>
      <w:b/>
      <w:color w:val="0A59AB"/>
      <w:kern w:val="0"/>
      <w:sz w:val="30"/>
      <w:szCs w:val="30"/>
    </w:rPr>
  </w:style>
  <w:style w:type="paragraph" w:styleId="Heading3">
    <w:name w:val="heading 3"/>
    <w:basedOn w:val="Subtitle"/>
    <w:next w:val="Normal"/>
    <w:link w:val="Heading3Char"/>
    <w:uiPriority w:val="9"/>
    <w:unhideWhenUsed/>
    <w:qFormat/>
    <w:rsid w:val="00867838"/>
    <w:pPr>
      <w:spacing w:before="480"/>
      <w:outlineLvl w:val="2"/>
    </w:pPr>
    <w:rPr>
      <w:bCs w:val="0"/>
      <w:iCs w:val="0"/>
    </w:rPr>
  </w:style>
  <w:style w:type="paragraph" w:styleId="Heading4">
    <w:name w:val="heading 4"/>
    <w:basedOn w:val="Subtitle"/>
    <w:next w:val="Normal"/>
    <w:link w:val="Heading4Char"/>
    <w:uiPriority w:val="9"/>
    <w:unhideWhenUsed/>
    <w:qFormat/>
    <w:rsid w:val="00B7034B"/>
    <w:pPr>
      <w:outlineLvl w:val="3"/>
    </w:pPr>
    <w:rPr>
      <w:rFonts w:cs="Calibri"/>
      <w:bCs w:val="0"/>
      <w:color w:val="0A59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5A094A"/>
    <w:rPr>
      <w:rFonts w:ascii="Calibri" w:eastAsia="Times New Roman" w:hAnsi="Calibri" w:cs="Times New Roman"/>
      <w:b/>
      <w:bCs/>
      <w:color w:val="000000" w:themeColor="text1"/>
      <w:sz w:val="48"/>
      <w:szCs w:val="48"/>
      <w:lang w:val="en-GB"/>
    </w:rPr>
  </w:style>
  <w:style w:type="paragraph" w:customStyle="1" w:styleId="MIndHeader">
    <w:name w:val="M.Ind.Header"/>
    <w:basedOn w:val="Normal"/>
    <w:link w:val="MIndHeaderChar"/>
    <w:rsid w:val="005A094A"/>
    <w:pPr>
      <w:shd w:val="clear" w:color="auto" w:fill="F5F5F5"/>
      <w:outlineLvl w:val="1"/>
    </w:pPr>
    <w:rPr>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basedOn w:val="Normal"/>
    <w:uiPriority w:val="34"/>
    <w:qFormat/>
    <w:rsid w:val="009347C8"/>
    <w:pPr>
      <w:numPr>
        <w:numId w:val="41"/>
      </w:numPr>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5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rsid w:val="005A094A"/>
    <w:pPr>
      <w:pBdr>
        <w:bottom w:val="single" w:sz="12" w:space="4" w:color="DDDDDD"/>
      </w:pBdr>
      <w:shd w:val="clear" w:color="auto" w:fill="FFFFFF"/>
      <w:outlineLvl w:val="2"/>
    </w:pPr>
    <w:rPr>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rsid w:val="005A094A"/>
    <w:pPr>
      <w:shd w:val="clear" w:color="auto" w:fill="FFFFFF"/>
    </w:pPr>
    <w:rPr>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customStyle="1" w:styleId="Heading2Char">
    <w:name w:val="Heading 2 Char"/>
    <w:basedOn w:val="DefaultParagraphFont"/>
    <w:link w:val="Heading2"/>
    <w:uiPriority w:val="9"/>
    <w:rsid w:val="00B7034B"/>
    <w:rPr>
      <w:rFonts w:ascii="Calibri" w:eastAsia="Times New Roman" w:hAnsi="Calibri" w:cs="Calibri"/>
      <w:b/>
      <w:color w:val="0A59AB"/>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styleId="SubtleEmphasis">
    <w:name w:val="Subtle Emphasis"/>
    <w:uiPriority w:val="19"/>
    <w:qFormat/>
    <w:rsid w:val="00EC3B99"/>
    <w:rPr>
      <w:rFonts w:ascii="Calibri" w:hAnsi="Calibri"/>
      <w:b/>
      <w:i/>
      <w:iCs/>
      <w:sz w:val="23"/>
      <w:szCs w:val="23"/>
      <w:lang w:eastAsia="en-GB"/>
    </w:rPr>
  </w:style>
  <w:style w:type="character" w:customStyle="1" w:styleId="Heading3Char">
    <w:name w:val="Heading 3 Char"/>
    <w:basedOn w:val="DefaultParagraphFont"/>
    <w:link w:val="Heading3"/>
    <w:uiPriority w:val="9"/>
    <w:rsid w:val="0086783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B7034B"/>
    <w:rPr>
      <w:rFonts w:ascii="Calibri" w:eastAsia="Times New Roman" w:hAnsi="Calibri" w:cs="Calibri"/>
      <w:b/>
      <w:i/>
      <w:iCs/>
      <w:color w:val="0A59AB"/>
      <w:kern w:val="21"/>
      <w:sz w:val="23"/>
      <w:szCs w:val="23"/>
      <w:lang w:val="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B7034B"/>
    <w:rPr>
      <w:b w:val="0"/>
      <w:bCs/>
      <w:i w:val="0"/>
      <w:iCs/>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B7034B"/>
    <w:rPr>
      <w:b/>
      <w:bCs/>
      <w:sz w:val="21"/>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outlineLvl w:val="2"/>
    </w:pPr>
    <w:rPr>
      <w:rFonts w:ascii="Times New Roman" w:hAnsi="Times New Roman" w:cs="Times New Roman"/>
      <w:color w:val="1C75BC"/>
      <w:kern w:val="0"/>
      <w:sz w:val="36"/>
      <w:szCs w:val="36"/>
      <w:lang w:eastAsia="en-GB"/>
    </w:rPr>
  </w:style>
  <w:style w:type="paragraph" w:customStyle="1" w:styleId="MSubHeader0">
    <w:name w:val="M.SubHeader"/>
    <w:basedOn w:val="Normal"/>
    <w:link w:val="MSubHeaderChar0"/>
    <w:qFormat/>
    <w:rsid w:val="00FA5E66"/>
    <w:pPr>
      <w:shd w:val="clear" w:color="auto" w:fill="FFFFFF"/>
      <w:spacing w:before="0" w:after="0"/>
    </w:pPr>
    <w:rPr>
      <w:rFonts w:ascii="Times New Roman" w:hAnsi="Times New Roman" w:cs="Times New Roman"/>
      <w:b/>
      <w:bCs/>
      <w:color w:val="4A4A4A"/>
      <w:kern w:val="0"/>
      <w:sz w:val="21"/>
      <w:szCs w:val="21"/>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paragraph" w:styleId="EndnoteText">
    <w:name w:val="endnote text"/>
    <w:basedOn w:val="Normal"/>
    <w:link w:val="EndnoteTextChar"/>
    <w:uiPriority w:val="99"/>
    <w:unhideWhenUsed/>
    <w:rsid w:val="00B74073"/>
    <w:pPr>
      <w:spacing w:before="0" w:after="0" w:line="240" w:lineRule="auto"/>
    </w:pPr>
    <w:rPr>
      <w:rFonts w:ascii="Times New Roman" w:hAnsi="Times New Roman" w:cs="Times New Roman"/>
      <w:kern w:val="0"/>
      <w:sz w:val="20"/>
      <w:szCs w:val="20"/>
    </w:rPr>
  </w:style>
  <w:style w:type="character" w:customStyle="1" w:styleId="EndnoteTextChar">
    <w:name w:val="Endnote Text Char"/>
    <w:basedOn w:val="DefaultParagraphFont"/>
    <w:link w:val="EndnoteText"/>
    <w:uiPriority w:val="99"/>
    <w:rsid w:val="00B74073"/>
    <w:rPr>
      <w:sz w:val="20"/>
      <w:szCs w:val="20"/>
      <w:lang w:val="en-GB"/>
    </w:rPr>
  </w:style>
  <w:style w:type="character" w:customStyle="1" w:styleId="title-text">
    <w:name w:val="title-text"/>
    <w:basedOn w:val="DefaultParagraphFont"/>
    <w:rsid w:val="00B74073"/>
  </w:style>
  <w:style w:type="character" w:customStyle="1" w:styleId="UnresolvedMention4">
    <w:name w:val="Unresolved Mention4"/>
    <w:basedOn w:val="DefaultParagraphFont"/>
    <w:uiPriority w:val="99"/>
    <w:semiHidden/>
    <w:unhideWhenUsed/>
    <w:rsid w:val="00B70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unicef-irc.org/publications/pdf/01%20family_support_layout_web.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ata.unicef.org/topic/child-protection/children-alternative-care/" TargetMode="External"/><Relationship Id="rId7" Type="http://schemas.openxmlformats.org/officeDocument/2006/relationships/endnotes" Target="endnotes.xml"/><Relationship Id="rId12" Type="http://schemas.openxmlformats.org/officeDocument/2006/relationships/hyperlink" Target="https://www.ohchr.org/EN/Issues/Disability/Pages/sdg-crpd-resource.aspx" TargetMode="External"/><Relationship Id="rId17" Type="http://schemas.openxmlformats.org/officeDocument/2006/relationships/hyperlink" Target="https://www.uasb.edu.ec/web/observatorio-de-justicia-constitucional-del-ecuado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orteconstitucional.gov.co/lacorte/estadisticas.php" TargetMode="External"/><Relationship Id="rId20" Type="http://schemas.openxmlformats.org/officeDocument/2006/relationships/hyperlink" Target="https://www.pc.gov.au/research/supporting/disability-services-satisfaction"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hsprogram.com/pubs/pdf/FR359/FR359.pdf" TargetMode="External"/><Relationship Id="rId23" Type="http://schemas.openxmlformats.org/officeDocument/2006/relationships/hyperlink" Target="http://transmonee.org/countries/" TargetMode="External"/><Relationship Id="rId28"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yperlink" Target="https://ncd.gov/publications/2012/Sep272012"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unstats.un.org/sdgs/metadata?Text=&amp;Goal=&amp;Target=5.6" TargetMode="External"/><Relationship Id="rId22" Type="http://schemas.openxmlformats.org/officeDocument/2006/relationships/hyperlink" Target="https://www.eurochild.org/policy/library-details/article/national-surveys-on-children-in-alternative-care-2nd-edition/?tx_news_pi1%5Bcontroller%5D=News&amp;tx_news_pi1%5Baction%5D=detail&amp;no_cache=1"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02B286-F857-4168-90B5-61051417C736}">
  <ds:schemaRefs>
    <ds:schemaRef ds:uri="http://schemas.openxmlformats.org/officeDocument/2006/bibliography"/>
  </ds:schemaRefs>
</ds:datastoreItem>
</file>

<file path=customXml/itemProps2.xml><?xml version="1.0" encoding="utf-8"?>
<ds:datastoreItem xmlns:ds="http://schemas.openxmlformats.org/officeDocument/2006/customXml" ds:itemID="{C304FB42-C419-40C4-9432-F0DA94A75644}"/>
</file>

<file path=customXml/itemProps3.xml><?xml version="1.0" encoding="utf-8"?>
<ds:datastoreItem xmlns:ds="http://schemas.openxmlformats.org/officeDocument/2006/customXml" ds:itemID="{DD75039C-815D-4A46-87FD-AD017DC6CF30}"/>
</file>

<file path=customXml/itemProps4.xml><?xml version="1.0" encoding="utf-8"?>
<ds:datastoreItem xmlns:ds="http://schemas.openxmlformats.org/officeDocument/2006/customXml" ds:itemID="{16DC79CB-873E-4372-B82B-CF67B5A5DD37}"/>
</file>

<file path=docProps/app.xml><?xml version="1.0" encoding="utf-8"?>
<Properties xmlns="http://schemas.openxmlformats.org/officeDocument/2006/extended-properties" xmlns:vt="http://schemas.openxmlformats.org/officeDocument/2006/docPropsVTypes">
  <Template>Normal</Template>
  <TotalTime>2</TotalTime>
  <Pages>7</Pages>
  <Words>1973</Words>
  <Characters>11252</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 23 (outcome indicators)</dc:title>
  <dc:subject/>
  <dc:creator>Nanette Goodman</dc:creator>
  <cp:keywords/>
  <dc:description/>
  <cp:lastModifiedBy>Elias Constantopedos</cp:lastModifiedBy>
  <cp:revision>7</cp:revision>
  <cp:lastPrinted>2020-11-19T04:53:00Z</cp:lastPrinted>
  <dcterms:created xsi:type="dcterms:W3CDTF">2020-12-20T13:02:00Z</dcterms:created>
  <dcterms:modified xsi:type="dcterms:W3CDTF">2020-12-20T21:18:00Z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