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46004B82" w:rsidR="005A094A" w:rsidRPr="00D23A28" w:rsidRDefault="005458FD" w:rsidP="00875EE6">
      <w:pPr>
        <w:pStyle w:val="Heading1"/>
        <w:rPr>
          <w:rFonts w:eastAsiaTheme="majorEastAsia" w:cstheme="majorBidi"/>
          <w:color w:val="FFFFFF" w:themeColor="background1"/>
        </w:rPr>
      </w:pPr>
      <w:r w:rsidRPr="00D23A28">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5E8A6C9D">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D23A28">
        <w:rPr>
          <w:rFonts w:eastAsiaTheme="majorEastAsia" w:cstheme="majorBidi"/>
          <w:color w:val="FFFFFF" w:themeColor="background1"/>
        </w:rPr>
        <w:t xml:space="preserve">Data sources for outcome indicators on Article </w:t>
      </w:r>
      <w:r w:rsidR="00FA5E66" w:rsidRPr="00D23A28">
        <w:rPr>
          <w:rFonts w:eastAsiaTheme="majorEastAsia" w:cstheme="majorBidi"/>
          <w:color w:val="FFFFFF" w:themeColor="background1"/>
        </w:rPr>
        <w:t>5</w:t>
      </w:r>
      <w:r w:rsidR="000A661C" w:rsidRPr="00D23A28">
        <w:rPr>
          <w:rFonts w:eastAsiaTheme="majorEastAsia" w:cstheme="majorBidi"/>
          <w:color w:val="FFFFFF" w:themeColor="background1"/>
        </w:rPr>
        <w:t>:</w:t>
      </w:r>
    </w:p>
    <w:p w14:paraId="5A518BF9" w14:textId="2786A375" w:rsidR="00906D01" w:rsidRPr="00D23A28" w:rsidRDefault="008B1128" w:rsidP="00875EE6">
      <w:pPr>
        <w:pStyle w:val="Heading1"/>
        <w:rPr>
          <w:rFonts w:eastAsiaTheme="majorEastAsia" w:cstheme="majorBidi"/>
          <w:color w:val="FFFFFF" w:themeColor="background1"/>
          <w:sz w:val="72"/>
          <w:szCs w:val="72"/>
        </w:rPr>
      </w:pPr>
      <w:r w:rsidRPr="00D23A28">
        <w:rPr>
          <w:rFonts w:eastAsiaTheme="majorEastAsia" w:cstheme="majorBidi"/>
          <w:color w:val="FFFFFF" w:themeColor="background1"/>
          <w:sz w:val="72"/>
          <w:szCs w:val="72"/>
        </w:rPr>
        <w:t>Right to equality and non-discrimination</w:t>
      </w:r>
    </w:p>
    <w:p w14:paraId="3CBE4037" w14:textId="5E2BE541" w:rsidR="00355C6D" w:rsidRPr="00D23A28" w:rsidRDefault="00E2630B" w:rsidP="00D850DC">
      <w:pPr>
        <w:spacing w:before="0" w:after="0" w:line="240" w:lineRule="auto"/>
        <w:rPr>
          <w:rFonts w:cstheme="minorHAnsi"/>
        </w:rPr>
      </w:pPr>
      <w:r w:rsidRPr="00D23A28">
        <w:rPr>
          <w:rFonts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2F412843">
            <wp:simplePos x="4371975" y="8929688"/>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D23A28">
        <w:rPr>
          <w:rFonts w:cstheme="minorHAnsi"/>
        </w:rPr>
        <w:br w:type="page"/>
      </w:r>
    </w:p>
    <w:p w14:paraId="779E1EF4" w14:textId="5C6FD04F" w:rsidR="00355C6D" w:rsidRPr="00D23A28" w:rsidRDefault="00570364" w:rsidP="00D850DC">
      <w:pPr>
        <w:spacing w:before="0" w:after="0" w:line="240" w:lineRule="auto"/>
        <w:rPr>
          <w:rFonts w:cstheme="minorHAnsi"/>
        </w:rPr>
      </w:pPr>
      <w:r w:rsidRPr="00D23A28">
        <w:rPr>
          <w:rFonts w:cstheme="minorHAnsi"/>
          <w:noProof/>
          <w:lang w:eastAsia="en-GB"/>
        </w:rPr>
        <w:lastRenderedPageBreak/>
        <w:drawing>
          <wp:inline distT="0" distB="0" distL="0" distR="0" wp14:anchorId="48975751" wp14:editId="2BAF2273">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04AA3F29" w14:textId="0ED4D6C3" w:rsidR="009B2FC2" w:rsidRPr="00D23A28" w:rsidRDefault="009B2FC2" w:rsidP="005D6174">
      <w:pPr>
        <w:autoSpaceDE w:val="0"/>
        <w:autoSpaceDN w:val="0"/>
        <w:spacing w:before="7200" w:line="260" w:lineRule="exact"/>
        <w:rPr>
          <w:rFonts w:cs="Segoe UI"/>
          <w:color w:val="000000"/>
          <w:sz w:val="18"/>
          <w:lang w:eastAsia="en-GB"/>
        </w:rPr>
      </w:pPr>
      <w:r w:rsidRPr="00D23A28">
        <w:rPr>
          <w:rFonts w:cs="Segoe UI"/>
          <w:color w:val="000000"/>
          <w:sz w:val="18"/>
          <w:lang w:eastAsia="en-GB"/>
        </w:rPr>
        <w:t>ADVANCE VERSION</w:t>
      </w:r>
    </w:p>
    <w:p w14:paraId="1245C02B" w14:textId="77777777" w:rsidR="009B2FC2" w:rsidRPr="00D23A28" w:rsidRDefault="009B2FC2" w:rsidP="009B2FC2">
      <w:pPr>
        <w:autoSpaceDE w:val="0"/>
        <w:autoSpaceDN w:val="0"/>
        <w:spacing w:line="260" w:lineRule="exact"/>
        <w:rPr>
          <w:rFonts w:cs="Segoe UI"/>
          <w:color w:val="000000"/>
          <w:sz w:val="20"/>
          <w:szCs w:val="20"/>
          <w:lang w:eastAsia="en-GB"/>
        </w:rPr>
      </w:pPr>
      <w:r w:rsidRPr="00D23A28">
        <w:rPr>
          <w:rFonts w:cs="Segoe UI"/>
          <w:color w:val="000000"/>
          <w:sz w:val="20"/>
          <w:szCs w:val="20"/>
          <w:lang w:eastAsia="en-GB"/>
        </w:rPr>
        <w:t xml:space="preserve">© 2020 United Nations  </w:t>
      </w:r>
    </w:p>
    <w:p w14:paraId="18E9F4E9" w14:textId="77777777" w:rsidR="009B2FC2" w:rsidRPr="00D23A28" w:rsidRDefault="009B2FC2" w:rsidP="009B2FC2">
      <w:pPr>
        <w:autoSpaceDE w:val="0"/>
        <w:autoSpaceDN w:val="0"/>
        <w:spacing w:line="260" w:lineRule="exact"/>
        <w:rPr>
          <w:rFonts w:cs="Segoe UI"/>
          <w:color w:val="000000"/>
          <w:sz w:val="20"/>
          <w:szCs w:val="20"/>
          <w:lang w:eastAsia="en-GB"/>
        </w:rPr>
      </w:pPr>
      <w:r w:rsidRPr="00D23A28">
        <w:rPr>
          <w:rFonts w:cs="Segoe UI"/>
          <w:color w:val="000000"/>
          <w:sz w:val="20"/>
          <w:szCs w:val="20"/>
          <w:lang w:eastAsia="en-GB"/>
        </w:rPr>
        <w:t xml:space="preserve">The </w:t>
      </w:r>
      <w:r w:rsidRPr="00D23A28">
        <w:rPr>
          <w:rFonts w:cs="Segoe UI"/>
          <w:i/>
          <w:color w:val="000000"/>
          <w:sz w:val="20"/>
          <w:szCs w:val="20"/>
          <w:lang w:eastAsia="en-GB"/>
        </w:rPr>
        <w:t>Data Sources Guidance</w:t>
      </w:r>
      <w:r w:rsidRPr="00D23A28">
        <w:rPr>
          <w:rFonts w:cs="Segoe UI"/>
          <w:color w:val="000000"/>
          <w:sz w:val="20"/>
          <w:szCs w:val="20"/>
          <w:lang w:eastAsia="en-GB"/>
        </w:rPr>
        <w:t xml:space="preserve"> is a component of the </w:t>
      </w:r>
      <w:hyperlink r:id="rId12" w:history="1">
        <w:r w:rsidRPr="00D23A28">
          <w:rPr>
            <w:rStyle w:val="Hyperlink"/>
            <w:rFonts w:cs="Segoe UI"/>
            <w:sz w:val="20"/>
            <w:szCs w:val="20"/>
            <w:lang w:eastAsia="en-GB"/>
          </w:rPr>
          <w:t>SDG-CRPD Resource Package</w:t>
        </w:r>
      </w:hyperlink>
      <w:r w:rsidRPr="00D23A28">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62654677" w14:textId="77777777" w:rsidR="009B2FC2" w:rsidRPr="00D23A28" w:rsidRDefault="009B2FC2" w:rsidP="009B2FC2">
      <w:pPr>
        <w:autoSpaceDE w:val="0"/>
        <w:autoSpaceDN w:val="0"/>
        <w:spacing w:line="260" w:lineRule="exact"/>
        <w:rPr>
          <w:rFonts w:cs="Segoe UI"/>
          <w:color w:val="000000"/>
          <w:sz w:val="20"/>
          <w:szCs w:val="20"/>
          <w:lang w:eastAsia="en-GB"/>
        </w:rPr>
      </w:pPr>
      <w:r w:rsidRPr="00D23A28">
        <w:rPr>
          <w:rFonts w:cs="Segoe UI"/>
          <w:color w:val="000000"/>
          <w:sz w:val="20"/>
          <w:szCs w:val="20"/>
          <w:lang w:eastAsia="en-GB"/>
        </w:rPr>
        <w:t xml:space="preserve">The designations employed and the presentation of the material in this guidance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624D296E" w14:textId="77777777" w:rsidR="009B2FC2" w:rsidRPr="00D23A28" w:rsidRDefault="009B2FC2" w:rsidP="009B2FC2">
      <w:pPr>
        <w:autoSpaceDE w:val="0"/>
        <w:autoSpaceDN w:val="0"/>
        <w:spacing w:line="260" w:lineRule="exact"/>
        <w:rPr>
          <w:rFonts w:cs="Segoe UI"/>
          <w:color w:val="000000"/>
          <w:sz w:val="20"/>
          <w:szCs w:val="20"/>
          <w:lang w:eastAsia="en-GB"/>
        </w:rPr>
      </w:pPr>
      <w:r w:rsidRPr="00D23A28">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453B57DF" w14:textId="78C431D1" w:rsidR="009B2FC2" w:rsidRPr="00D23A28" w:rsidRDefault="009B2FC2" w:rsidP="009B2FC2">
      <w:pPr>
        <w:autoSpaceDE w:val="0"/>
        <w:autoSpaceDN w:val="0"/>
        <w:spacing w:line="260" w:lineRule="exact"/>
        <w:rPr>
          <w:rFonts w:cs="Segoe UI"/>
          <w:color w:val="000000"/>
          <w:sz w:val="20"/>
          <w:szCs w:val="20"/>
          <w:lang w:eastAsia="en-GB"/>
        </w:rPr>
      </w:pPr>
      <w:r w:rsidRPr="00D23A28">
        <w:rPr>
          <w:rFonts w:cs="Segoe UI"/>
          <w:color w:val="000000"/>
          <w:sz w:val="20"/>
          <w:szCs w:val="20"/>
          <w:lang w:eastAsia="en-GB"/>
        </w:rPr>
        <w:t xml:space="preserve">The </w:t>
      </w:r>
      <w:r w:rsidRPr="00D23A28">
        <w:rPr>
          <w:rFonts w:cs="Segoe UI"/>
          <w:i/>
          <w:color w:val="000000"/>
          <w:sz w:val="20"/>
          <w:szCs w:val="20"/>
          <w:lang w:eastAsia="en-GB"/>
        </w:rPr>
        <w:t>Data Sources Guidance</w:t>
      </w:r>
      <w:r w:rsidRPr="00D23A28">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7C74C9">
        <w:rPr>
          <w:rFonts w:cs="Segoe UI"/>
          <w:color w:val="000000"/>
          <w:sz w:val="20"/>
          <w:szCs w:val="20"/>
          <w:lang w:eastAsia="en-GB"/>
        </w:rPr>
        <w:br/>
      </w:r>
    </w:p>
    <w:p w14:paraId="5B7543FE" w14:textId="7503C5C2" w:rsidR="00D74CB7" w:rsidRPr="00D23A28" w:rsidRDefault="009B2FC2" w:rsidP="006D3971">
      <w:pPr>
        <w:autoSpaceDE w:val="0"/>
        <w:autoSpaceDN w:val="0"/>
        <w:rPr>
          <w:rFonts w:eastAsiaTheme="majorEastAsia" w:cstheme="minorHAnsi"/>
          <w:b/>
          <w:color w:val="0A59AB"/>
          <w:spacing w:val="4"/>
          <w:kern w:val="0"/>
          <w:sz w:val="20"/>
          <w:szCs w:val="30"/>
        </w:rPr>
      </w:pPr>
      <w:r w:rsidRPr="00D23A28">
        <w:rPr>
          <w:rFonts w:cstheme="minorHAnsi"/>
          <w:noProof/>
          <w:lang w:eastAsia="en-GB"/>
        </w:rPr>
        <w:drawing>
          <wp:inline distT="0" distB="0" distL="0" distR="0" wp14:anchorId="08E61848" wp14:editId="3A20009C">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00D74CB7" w:rsidRPr="00D23A28">
        <w:rPr>
          <w:rFonts w:eastAsiaTheme="majorEastAsia" w:cstheme="minorHAnsi"/>
          <w:b/>
          <w:color w:val="0A59AB"/>
          <w:spacing w:val="4"/>
          <w:kern w:val="0"/>
          <w:sz w:val="20"/>
          <w:szCs w:val="30"/>
        </w:rPr>
        <w:br w:type="page"/>
      </w:r>
    </w:p>
    <w:p w14:paraId="3C77EB3B" w14:textId="77777777" w:rsidR="008B1128" w:rsidRPr="00D23A28" w:rsidRDefault="008B1128" w:rsidP="00DC0B5B">
      <w:pPr>
        <w:pStyle w:val="Heading2"/>
        <w:rPr>
          <w:rFonts w:eastAsiaTheme="majorEastAsia"/>
        </w:rPr>
      </w:pPr>
      <w:r w:rsidRPr="00D23A28">
        <w:rPr>
          <w:rFonts w:eastAsiaTheme="majorEastAsia"/>
        </w:rPr>
        <w:lastRenderedPageBreak/>
        <w:t>5.16 Proportion of population reporting having personally felt discriminated against or harassed in the previous 12 months on the basis of a ground of discrimination prohibited under international human rights law (SDG indicators 10.3.1/</w:t>
      </w:r>
      <w:proofErr w:type="gramStart"/>
      <w:r w:rsidRPr="00D23A28">
        <w:rPr>
          <w:rFonts w:eastAsiaTheme="majorEastAsia"/>
        </w:rPr>
        <w:t>16.b.</w:t>
      </w:r>
      <w:proofErr w:type="gramEnd"/>
      <w:r w:rsidRPr="00D23A28">
        <w:rPr>
          <w:rFonts w:eastAsiaTheme="majorEastAsia"/>
        </w:rPr>
        <w:t>1), disaggregated by sex, age and disability.</w:t>
      </w:r>
    </w:p>
    <w:p w14:paraId="024C9A73" w14:textId="77777777" w:rsidR="008B1128" w:rsidRPr="00D23A28" w:rsidRDefault="008B1128" w:rsidP="00DC0B5B">
      <w:pPr>
        <w:pStyle w:val="Heading4"/>
        <w:rPr>
          <w:rFonts w:eastAsiaTheme="majorEastAsia"/>
        </w:rPr>
      </w:pPr>
      <w:r w:rsidRPr="00D23A28">
        <w:rPr>
          <w:rFonts w:eastAsiaTheme="majorEastAsia"/>
        </w:rPr>
        <w:t>Level 1: Indicator for which data are already being produced and reported on in at least some countries.</w:t>
      </w:r>
    </w:p>
    <w:p w14:paraId="28F98445" w14:textId="2723C7CF" w:rsidR="008B1128" w:rsidRPr="00D23A28" w:rsidRDefault="004D2E9B" w:rsidP="00DC0B5B">
      <w:hyperlink r:id="rId14" w:history="1">
        <w:r w:rsidR="00E04BEA" w:rsidRPr="00D23A28">
          <w:rPr>
            <w:rStyle w:val="Hyperlink"/>
          </w:rPr>
          <w:t>Link to the metadata related to this SDG indicator</w:t>
        </w:r>
      </w:hyperlink>
    </w:p>
    <w:p w14:paraId="07542223" w14:textId="77777777" w:rsidR="008B1128" w:rsidRPr="00D23A28" w:rsidRDefault="008B1128" w:rsidP="00DC0B5B">
      <w:r w:rsidRPr="00D23A28">
        <w:t>The source for this indicator is household surveys, such as Multiple Indicator Cluster Surveys (MICS), victimization surveys and other social surveys. The metadata for 16.b.1 recommends that the interviewer provides a brief definition of discrimination or harassment followed by two questions to be included on surveys:</w:t>
      </w:r>
    </w:p>
    <w:p w14:paraId="41AE4EBD" w14:textId="77777777" w:rsidR="008B1128" w:rsidRPr="00D23A28" w:rsidRDefault="008B1128" w:rsidP="000F7583">
      <w:pPr>
        <w:pStyle w:val="ListParagraph"/>
        <w:numPr>
          <w:ilvl w:val="0"/>
          <w:numId w:val="2"/>
        </w:numPr>
        <w:rPr>
          <w:rFonts w:eastAsiaTheme="minorEastAsia"/>
        </w:rPr>
      </w:pPr>
      <w:r w:rsidRPr="00D23A28">
        <w:t>Question</w:t>
      </w:r>
      <w:r w:rsidRPr="00D23A28">
        <w:rPr>
          <w:rFonts w:eastAsiaTheme="minorEastAsia"/>
        </w:rPr>
        <w:t xml:space="preserve"> 1: In [COUNTRY], do you feel that you personally experienced any form of discrimination or harassment during the last 5 years, namely since [YEAR OF INTERVIEW MINUS 5] (or since you have been in the country), on the following grounds?</w:t>
      </w:r>
    </w:p>
    <w:p w14:paraId="570F8113" w14:textId="77777777" w:rsidR="008B1128" w:rsidRPr="00D23A28" w:rsidRDefault="008B1128" w:rsidP="000F7583">
      <w:pPr>
        <w:pStyle w:val="ListParagraph"/>
        <w:numPr>
          <w:ilvl w:val="0"/>
          <w:numId w:val="2"/>
        </w:numPr>
      </w:pPr>
      <w:r w:rsidRPr="00D23A28">
        <w:rPr>
          <w:rFonts w:eastAsiaTheme="minorEastAsia"/>
        </w:rPr>
        <w:t>Question 2: In [COUNTRY], do you feel that you personally experienced any form of discrimination or harassment during the past 12 months, namely since [MONTH OF INTERVIEW] [</w:t>
      </w:r>
      <w:r w:rsidRPr="00D23A28">
        <w:t>YEAR OF INTERVIEW MINUS 1], on any of these grounds?</w:t>
      </w:r>
    </w:p>
    <w:p w14:paraId="08D79CA2" w14:textId="77777777" w:rsidR="008B1128" w:rsidRPr="00D23A28" w:rsidRDefault="008B1128" w:rsidP="00492BA5">
      <w:pPr>
        <w:pStyle w:val="Heading3"/>
      </w:pPr>
      <w:r w:rsidRPr="00D23A28">
        <w:t>Australia</w:t>
      </w:r>
    </w:p>
    <w:p w14:paraId="52A0A773" w14:textId="46FA39F9" w:rsidR="008B1128" w:rsidRPr="00D23A28" w:rsidRDefault="008B1128" w:rsidP="00E0225B">
      <w:pPr>
        <w:rPr>
          <w:color w:val="333333"/>
        </w:rPr>
      </w:pPr>
      <w:r w:rsidRPr="00D23A28">
        <w:t xml:space="preserve">In the </w:t>
      </w:r>
      <w:hyperlink r:id="rId15" w:history="1">
        <w:r w:rsidRPr="00D23A28">
          <w:rPr>
            <w:rStyle w:val="Hyperlink"/>
          </w:rPr>
          <w:t>2015 Survey of Disability, Ageing and Carers</w:t>
        </w:r>
      </w:hyperlink>
      <w:r w:rsidRPr="00D23A28">
        <w:t>, conducted by the Australian Bureau of Statistics,</w:t>
      </w:r>
      <w:r w:rsidR="00DC14BD" w:rsidRPr="00D23A28">
        <w:rPr>
          <w:color w:val="0000FF"/>
          <w:u w:val="single"/>
        </w:rPr>
        <w:t xml:space="preserve"> </w:t>
      </w:r>
      <w:r w:rsidRPr="00D23A28">
        <w:t>respondents were asked the following:</w:t>
      </w:r>
    </w:p>
    <w:p w14:paraId="7844D43F" w14:textId="77777777" w:rsidR="008B1128" w:rsidRPr="00D23A28" w:rsidRDefault="008B1128" w:rsidP="000F7583">
      <w:pPr>
        <w:pStyle w:val="ListParagraph"/>
        <w:numPr>
          <w:ilvl w:val="0"/>
          <w:numId w:val="4"/>
        </w:numPr>
        <w:rPr>
          <w:rFonts w:eastAsiaTheme="minorEastAsia"/>
        </w:rPr>
      </w:pPr>
      <w:r w:rsidRPr="00D23A28">
        <w:rPr>
          <w:rFonts w:eastAsiaTheme="minorEastAsia"/>
        </w:rPr>
        <w:t>“In the last 12 months do you feel that you have experienced discrimination or have been treated unfairly by others because of your condition/s?” For those who responded ‘yes’, a follow up question was asked: “Who treated you unfairly or discriminated against you because of your condition/s?” A list of possible options was provided.</w:t>
      </w:r>
    </w:p>
    <w:p w14:paraId="038F5D31" w14:textId="137B35BB" w:rsidR="008B1128" w:rsidRPr="00D23A28" w:rsidRDefault="00DC14BD" w:rsidP="000F7583">
      <w:pPr>
        <w:pStyle w:val="ListParagraph"/>
        <w:numPr>
          <w:ilvl w:val="0"/>
          <w:numId w:val="4"/>
        </w:numPr>
        <w:rPr>
          <w:rFonts w:eastAsiaTheme="minorEastAsia"/>
        </w:rPr>
      </w:pPr>
      <w:r w:rsidRPr="00D23A28">
        <w:rPr>
          <w:rFonts w:eastAsiaTheme="minorEastAsia"/>
        </w:rPr>
        <w:t>“</w:t>
      </w:r>
      <w:r w:rsidR="008B1128" w:rsidRPr="00D23A28">
        <w:rPr>
          <w:rFonts w:eastAsiaTheme="minorEastAsia"/>
        </w:rPr>
        <w:t>In the last 12 months have you avoided situations because of your condition(s)?” Again, those who responded ‘yes’ were asked the following question: “What situation(s) did you avoid because of your condition(s)?” A list of multiple responses was provided.</w:t>
      </w:r>
    </w:p>
    <w:p w14:paraId="2DF6CE49" w14:textId="77777777" w:rsidR="008B1128" w:rsidRPr="00D23A28" w:rsidRDefault="008B1128" w:rsidP="00CE211D">
      <w:r w:rsidRPr="00D23A28">
        <w:t>The report found that, in 2015, approximately 8.6 per cent of persons with disabilities reported experiencing discrimination in the previous year. A considerably higher proportion, 31 per cent, reported an instance of avoidance due to an underlying disability. Viewing these prevalence rates across the life course, there was a clear age pattern in both perceived discrimination and avoidance. Prevalence rates were high between ages 15 to 44</w:t>
      </w:r>
      <w:r w:rsidRPr="00CE211D">
        <w:rPr>
          <w:rFonts w:ascii="Times New Roman" w:hAnsi="Times New Roman" w:cs="Times New Roman"/>
        </w:rPr>
        <w:t> </w:t>
      </w:r>
      <w:r w:rsidRPr="00D23A28">
        <w:t>years, declining from 45 to 65</w:t>
      </w:r>
      <w:r w:rsidRPr="00CE211D">
        <w:rPr>
          <w:rFonts w:ascii="Times New Roman" w:hAnsi="Times New Roman" w:cs="Times New Roman"/>
        </w:rPr>
        <w:t> </w:t>
      </w:r>
      <w:r w:rsidRPr="00D23A28">
        <w:t>years, and low and stable from 65</w:t>
      </w:r>
      <w:r w:rsidRPr="00CE211D">
        <w:rPr>
          <w:rFonts w:ascii="Times New Roman" w:hAnsi="Times New Roman" w:cs="Times New Roman"/>
        </w:rPr>
        <w:t> </w:t>
      </w:r>
      <w:r w:rsidRPr="00D23A28">
        <w:t>years onwards.</w:t>
      </w:r>
    </w:p>
    <w:p w14:paraId="705483CF" w14:textId="6DE4FC28" w:rsidR="008B1128" w:rsidRPr="00D23A28" w:rsidRDefault="008B1128" w:rsidP="00DC0B5B">
      <w:pPr>
        <w:pStyle w:val="Heading2"/>
        <w:rPr>
          <w:rFonts w:eastAsiaTheme="majorEastAsia"/>
        </w:rPr>
      </w:pPr>
      <w:r w:rsidRPr="00D23A28">
        <w:rPr>
          <w:rFonts w:eastAsiaTheme="majorEastAsia"/>
        </w:rPr>
        <w:lastRenderedPageBreak/>
        <w:t>5.17 Number and proportion of reasonable accommodation requests granted in the public sector, disaggregated by sex, age and disability.</w:t>
      </w:r>
    </w:p>
    <w:p w14:paraId="5482C8D7" w14:textId="77777777" w:rsidR="008B1128" w:rsidRPr="00D23A28" w:rsidRDefault="008B1128" w:rsidP="00DC0B5B">
      <w:pPr>
        <w:pStyle w:val="Heading4"/>
        <w:rPr>
          <w:rFonts w:eastAsiaTheme="majorEastAsia"/>
        </w:rPr>
      </w:pPr>
      <w:r w:rsidRPr="00D23A28">
        <w:rPr>
          <w:rFonts w:eastAsiaTheme="majorEastAsia"/>
        </w:rPr>
        <w:t>Level 3: Indicator for which acquiring data is more complex or requires the development of data collection mechanisms which are currently not in place.</w:t>
      </w:r>
    </w:p>
    <w:p w14:paraId="4C58FFFB" w14:textId="77777777" w:rsidR="008B1128" w:rsidRPr="00D23A28" w:rsidRDefault="008B1128" w:rsidP="00E0225B">
      <w:r w:rsidRPr="00D23A28">
        <w:t>If a country has a centralized accommodation fund, or if there is an accommodation fund at a subnational level, then it would be theoretically possible to use administrative data to report on who received accommodations. However, a report could not be found covering all accommodation made throughout the public sector. One option would be to survey public sector employees.</w:t>
      </w:r>
    </w:p>
    <w:p w14:paraId="62389DF4" w14:textId="77777777" w:rsidR="008B1128" w:rsidRPr="00D23A28" w:rsidRDefault="008B1128" w:rsidP="00E0225B">
      <w:r w:rsidRPr="00D23A28">
        <w:t xml:space="preserve">Additionally, in some countries, certain sectors do keep track of such accommodations. In the United States of America, for example, private employers must retain records of accommodations for one year and educational institutions and local and state governments must retain them for two years. Theoretically, these records can be </w:t>
      </w:r>
      <w:hyperlink r:id="rId16" w:history="1">
        <w:r w:rsidRPr="00D23A28">
          <w:rPr>
            <w:rStyle w:val="Hyperlink"/>
          </w:rPr>
          <w:t>reported to the U. S. Equal Employment Opportunity Commission</w:t>
        </w:r>
      </w:hyperlink>
      <w:r w:rsidRPr="00D23A28">
        <w:t xml:space="preserve"> to be aggregated and tracked.</w:t>
      </w:r>
    </w:p>
    <w:p w14:paraId="31107787" w14:textId="77777777" w:rsidR="008B1128" w:rsidRPr="00D23A28" w:rsidRDefault="008B1128" w:rsidP="00DC0B5B">
      <w:pPr>
        <w:pStyle w:val="Heading2"/>
        <w:rPr>
          <w:rFonts w:eastAsiaTheme="majorEastAsia"/>
        </w:rPr>
      </w:pPr>
      <w:r w:rsidRPr="00D23A28">
        <w:rPr>
          <w:rFonts w:eastAsiaTheme="majorEastAsia"/>
        </w:rPr>
        <w:t>5.18 Proportion of population below the international poverty line, by sex, age, employment status, geographical location (urban/rural), (SDG indicator 1.1.1) and disability.</w:t>
      </w:r>
    </w:p>
    <w:p w14:paraId="53A05D8B" w14:textId="77777777" w:rsidR="008B1128" w:rsidRPr="00D23A28" w:rsidRDefault="008B1128" w:rsidP="00DC0B5B">
      <w:pPr>
        <w:pStyle w:val="Heading4"/>
        <w:rPr>
          <w:rFonts w:eastAsiaTheme="majorEastAsia"/>
        </w:rPr>
      </w:pPr>
      <w:r w:rsidRPr="00D23A28">
        <w:rPr>
          <w:rFonts w:eastAsiaTheme="majorEastAsia"/>
        </w:rPr>
        <w:t>Level 1: Indicator for which data are already being produced and reported on in at least some countries.</w:t>
      </w:r>
    </w:p>
    <w:p w14:paraId="6806810A" w14:textId="6F7BB825" w:rsidR="008B1128" w:rsidRPr="00D23A28" w:rsidRDefault="004D2E9B" w:rsidP="00250C18">
      <w:hyperlink r:id="rId17" w:history="1">
        <w:r w:rsidR="00E04BEA" w:rsidRPr="00D23A28">
          <w:rPr>
            <w:rStyle w:val="Hyperlink"/>
          </w:rPr>
          <w:t>Link to the metadata related to this SDG indicator</w:t>
        </w:r>
      </w:hyperlink>
    </w:p>
    <w:p w14:paraId="4D89C799" w14:textId="0899F80A" w:rsidR="008B1128" w:rsidRPr="00D23A28" w:rsidRDefault="00152FD1" w:rsidP="00152FD1">
      <w:pPr>
        <w:pStyle w:val="ListParagraph"/>
        <w:numPr>
          <w:ilvl w:val="0"/>
          <w:numId w:val="0"/>
        </w:numPr>
        <w:ind w:left="360"/>
        <w:rPr>
          <w:i/>
          <w:iCs/>
        </w:rPr>
      </w:pPr>
      <w:r w:rsidRPr="00D23A28">
        <w:rPr>
          <w:i/>
          <w:iCs/>
        </w:rPr>
        <w:t>“</w:t>
      </w:r>
      <w:r w:rsidR="008B1128" w:rsidRPr="00D23A28">
        <w:rPr>
          <w:i/>
          <w:iCs/>
        </w:rPr>
        <w:t>The World Bank obtains poverty data through country specific programs, including technical assistance programs and joint analytical and capacity building activities. The World Bank has relationships with NSOs on work programs involving statistical systems and data analysis. Poverty economists from the World Bank typically engage with NSOs broadly on poverty measurement and analysis as part of technical assistance activities.</w:t>
      </w:r>
      <w:r w:rsidR="008B1128" w:rsidRPr="00D23A28">
        <w:rPr>
          <w:rStyle w:val="apple-converted-space"/>
          <w:i/>
          <w:iCs/>
          <w:color w:val="4A4A4A"/>
        </w:rPr>
        <w:t xml:space="preserve"> </w:t>
      </w:r>
      <w:r w:rsidR="008B1128" w:rsidRPr="00D23A28">
        <w:rPr>
          <w:i/>
          <w:iCs/>
        </w:rPr>
        <w:t>Within the World Bank, the Global Poverty Working Group (GPWG) is in charge of the collection, validation and estimation of poverty estimates. GPWG archives the datasets obtained from NSOs and then harmonizes them, applying common methodologies.</w:t>
      </w:r>
      <w:r w:rsidRPr="00D23A28">
        <w:rPr>
          <w:i/>
          <w:iCs/>
        </w:rPr>
        <w:t>”</w:t>
      </w:r>
    </w:p>
    <w:p w14:paraId="592EA5DC" w14:textId="77777777" w:rsidR="008B1128" w:rsidRPr="00D23A28" w:rsidRDefault="008B1128" w:rsidP="00E0225B">
      <w:r w:rsidRPr="00D23A28">
        <w:t xml:space="preserve">A variety of Household Income and Expenditure Surveys (HIES) and Living Standard Measurement Studies have data on disability. Currently, the World Bank is compiling how disability is dealt </w:t>
      </w:r>
      <w:proofErr w:type="spellStart"/>
      <w:r w:rsidRPr="00D23A28">
        <w:t>within</w:t>
      </w:r>
      <w:proofErr w:type="spellEnd"/>
      <w:r w:rsidRPr="00D23A28">
        <w:t xml:space="preserve"> all of the data instruments that they support. This list will be available before the end of 2020.</w:t>
      </w:r>
    </w:p>
    <w:p w14:paraId="5CDD2F9E" w14:textId="78544598" w:rsidR="008B1128" w:rsidRPr="00D23A28" w:rsidRDefault="008B1128" w:rsidP="00E0225B">
      <w:r w:rsidRPr="00D23A28">
        <w:t>As an example, using data from the Malawi Integrated Household Survey 2010/11, the United Republic of Tanzania National Panel survey 2010/11, and the Uganda National Panel survey 2009/10, it is possible to calculate the proportion of households below $1.90 per day, presented in Table 1.</w:t>
      </w:r>
    </w:p>
    <w:p w14:paraId="45A7AC78" w14:textId="7276BC57" w:rsidR="008B1128" w:rsidRPr="00D23A28" w:rsidRDefault="008B1128" w:rsidP="00152FD1">
      <w:pPr>
        <w:pStyle w:val="TableHeader"/>
        <w:rPr>
          <w:rFonts w:asciiTheme="minorHAnsi" w:hAnsiTheme="minorHAnsi"/>
        </w:rPr>
      </w:pPr>
      <w:r w:rsidRPr="00D23A28">
        <w:rPr>
          <w:rFonts w:asciiTheme="minorHAnsi" w:hAnsiTheme="minorHAnsi"/>
          <w:b/>
          <w:bCs w:val="0"/>
        </w:rPr>
        <w:lastRenderedPageBreak/>
        <w:t xml:space="preserve">Table </w:t>
      </w:r>
      <w:r w:rsidRPr="00D23A28">
        <w:rPr>
          <w:rFonts w:asciiTheme="minorHAnsi" w:hAnsiTheme="minorHAnsi"/>
          <w:b/>
          <w:bCs w:val="0"/>
        </w:rPr>
        <w:fldChar w:fldCharType="begin"/>
      </w:r>
      <w:r w:rsidRPr="00D23A28">
        <w:rPr>
          <w:rFonts w:asciiTheme="minorHAnsi" w:hAnsiTheme="minorHAnsi"/>
          <w:b/>
          <w:bCs w:val="0"/>
        </w:rPr>
        <w:instrText xml:space="preserve"> SEQ Table \* ARABIC </w:instrText>
      </w:r>
      <w:r w:rsidRPr="00D23A28">
        <w:rPr>
          <w:rFonts w:asciiTheme="minorHAnsi" w:hAnsiTheme="minorHAnsi"/>
          <w:b/>
          <w:bCs w:val="0"/>
        </w:rPr>
        <w:fldChar w:fldCharType="separate"/>
      </w:r>
      <w:r w:rsidRPr="00D23A28">
        <w:rPr>
          <w:rFonts w:asciiTheme="minorHAnsi" w:hAnsiTheme="minorHAnsi"/>
          <w:b/>
          <w:bCs w:val="0"/>
        </w:rPr>
        <w:t>1</w:t>
      </w:r>
      <w:r w:rsidRPr="00D23A28">
        <w:rPr>
          <w:rFonts w:asciiTheme="minorHAnsi" w:hAnsiTheme="minorHAnsi"/>
          <w:b/>
          <w:bCs w:val="0"/>
        </w:rPr>
        <w:fldChar w:fldCharType="end"/>
      </w:r>
      <w:r w:rsidR="00E04BEA" w:rsidRPr="00D23A28">
        <w:rPr>
          <w:rFonts w:asciiTheme="minorHAnsi" w:hAnsiTheme="minorHAnsi"/>
          <w:b/>
          <w:bCs w:val="0"/>
        </w:rPr>
        <w:t>:</w:t>
      </w:r>
      <w:r w:rsidR="00E04BEA" w:rsidRPr="00D23A28">
        <w:rPr>
          <w:rFonts w:asciiTheme="minorHAnsi" w:hAnsiTheme="minorHAnsi"/>
        </w:rPr>
        <w:t xml:space="preserve"> </w:t>
      </w:r>
      <w:r w:rsidRPr="00D23A28">
        <w:rPr>
          <w:rFonts w:asciiTheme="minorHAnsi" w:hAnsiTheme="minorHAnsi"/>
        </w:rPr>
        <w:t>Share of households below $1.90 per day by Disability Status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Share of households below $1.90 per day by Disability Status (%)"/>
      </w:tblPr>
      <w:tblGrid>
        <w:gridCol w:w="3236"/>
        <w:gridCol w:w="1603"/>
        <w:gridCol w:w="2150"/>
        <w:gridCol w:w="2011"/>
      </w:tblGrid>
      <w:tr w:rsidR="008B1128" w:rsidRPr="00D23A28" w14:paraId="54655F20" w14:textId="77777777" w:rsidTr="00210155">
        <w:trPr>
          <w:trHeight w:val="320"/>
          <w:tblHeader/>
        </w:trPr>
        <w:tc>
          <w:tcPr>
            <w:tcW w:w="1823" w:type="pct"/>
            <w:tcBorders>
              <w:top w:val="single" w:sz="12" w:space="0" w:color="auto"/>
              <w:bottom w:val="single" w:sz="12" w:space="0" w:color="auto"/>
            </w:tcBorders>
            <w:shd w:val="clear" w:color="auto" w:fill="F5F5F1"/>
            <w:noWrap/>
            <w:hideMark/>
          </w:tcPr>
          <w:p w14:paraId="4C9053D4" w14:textId="77777777" w:rsidR="008B1128" w:rsidRPr="00D23A28" w:rsidRDefault="008B1128" w:rsidP="00CE211D">
            <w:pPr>
              <w:pStyle w:val="TableHeaderRow"/>
            </w:pPr>
          </w:p>
        </w:tc>
        <w:tc>
          <w:tcPr>
            <w:tcW w:w="874" w:type="pct"/>
            <w:tcBorders>
              <w:top w:val="single" w:sz="12" w:space="0" w:color="auto"/>
              <w:bottom w:val="single" w:sz="12" w:space="0" w:color="auto"/>
            </w:tcBorders>
            <w:shd w:val="clear" w:color="auto" w:fill="F5F5F1"/>
            <w:noWrap/>
            <w:vAlign w:val="bottom"/>
            <w:hideMark/>
          </w:tcPr>
          <w:p w14:paraId="57ECDCDB" w14:textId="77777777" w:rsidR="008B1128" w:rsidRPr="00D23A28" w:rsidRDefault="008B1128" w:rsidP="00210155">
            <w:pPr>
              <w:pStyle w:val="TableHeaderRow"/>
            </w:pPr>
            <w:r w:rsidRPr="00D23A28">
              <w:t>Malawi</w:t>
            </w:r>
          </w:p>
        </w:tc>
        <w:tc>
          <w:tcPr>
            <w:tcW w:w="1192" w:type="pct"/>
            <w:tcBorders>
              <w:top w:val="single" w:sz="12" w:space="0" w:color="auto"/>
              <w:bottom w:val="single" w:sz="12" w:space="0" w:color="auto"/>
            </w:tcBorders>
            <w:shd w:val="clear" w:color="auto" w:fill="F5F5F1"/>
            <w:noWrap/>
            <w:vAlign w:val="bottom"/>
            <w:hideMark/>
          </w:tcPr>
          <w:p w14:paraId="34E1AC87" w14:textId="77777777" w:rsidR="008B1128" w:rsidRPr="00D23A28" w:rsidRDefault="008B1128" w:rsidP="00210155">
            <w:pPr>
              <w:pStyle w:val="TableHeaderRow"/>
            </w:pPr>
            <w:r w:rsidRPr="00D23A28">
              <w:t>United Republic of Tanzania</w:t>
            </w:r>
          </w:p>
        </w:tc>
        <w:tc>
          <w:tcPr>
            <w:tcW w:w="1112" w:type="pct"/>
            <w:tcBorders>
              <w:top w:val="single" w:sz="12" w:space="0" w:color="auto"/>
              <w:bottom w:val="single" w:sz="12" w:space="0" w:color="auto"/>
            </w:tcBorders>
            <w:shd w:val="clear" w:color="auto" w:fill="F5F5F1"/>
            <w:noWrap/>
            <w:vAlign w:val="bottom"/>
            <w:hideMark/>
          </w:tcPr>
          <w:p w14:paraId="50A49142" w14:textId="77777777" w:rsidR="008B1128" w:rsidRPr="00D23A28" w:rsidRDefault="008B1128" w:rsidP="00210155">
            <w:pPr>
              <w:pStyle w:val="TableHeaderRow"/>
            </w:pPr>
            <w:r w:rsidRPr="00D23A28">
              <w:t>Uganda</w:t>
            </w:r>
          </w:p>
        </w:tc>
      </w:tr>
      <w:tr w:rsidR="008B1128" w:rsidRPr="00D23A28" w14:paraId="066E8F18" w14:textId="77777777" w:rsidTr="00D01F87">
        <w:trPr>
          <w:trHeight w:val="320"/>
          <w:tblHeader/>
        </w:trPr>
        <w:tc>
          <w:tcPr>
            <w:tcW w:w="1823" w:type="pct"/>
            <w:tcBorders>
              <w:top w:val="single" w:sz="12" w:space="0" w:color="auto"/>
            </w:tcBorders>
            <w:shd w:val="clear" w:color="auto" w:fill="F5F5F1"/>
            <w:noWrap/>
            <w:hideMark/>
          </w:tcPr>
          <w:p w14:paraId="4FFF39C6" w14:textId="77777777" w:rsidR="008B1128" w:rsidRPr="00D23A28" w:rsidRDefault="008B1128" w:rsidP="00374A52">
            <w:r w:rsidRPr="00D23A28">
              <w:t>Severe Disability</w:t>
            </w:r>
          </w:p>
        </w:tc>
        <w:tc>
          <w:tcPr>
            <w:tcW w:w="874" w:type="pct"/>
            <w:tcBorders>
              <w:top w:val="single" w:sz="12" w:space="0" w:color="auto"/>
            </w:tcBorders>
            <w:shd w:val="clear" w:color="auto" w:fill="F5F5F1"/>
            <w:noWrap/>
            <w:hideMark/>
          </w:tcPr>
          <w:p w14:paraId="0D583108" w14:textId="77777777" w:rsidR="008B1128" w:rsidRPr="00D23A28" w:rsidRDefault="008B1128" w:rsidP="00374A52">
            <w:r w:rsidRPr="00D23A28">
              <w:t>64%</w:t>
            </w:r>
          </w:p>
        </w:tc>
        <w:tc>
          <w:tcPr>
            <w:tcW w:w="1192" w:type="pct"/>
            <w:tcBorders>
              <w:top w:val="single" w:sz="12" w:space="0" w:color="auto"/>
            </w:tcBorders>
            <w:shd w:val="clear" w:color="auto" w:fill="F5F5F1"/>
            <w:noWrap/>
            <w:hideMark/>
          </w:tcPr>
          <w:p w14:paraId="0B5DBA0E" w14:textId="77777777" w:rsidR="008B1128" w:rsidRPr="00D23A28" w:rsidRDefault="008B1128" w:rsidP="00374A52">
            <w:r w:rsidRPr="00D23A28">
              <w:t>20%</w:t>
            </w:r>
          </w:p>
        </w:tc>
        <w:tc>
          <w:tcPr>
            <w:tcW w:w="1112" w:type="pct"/>
            <w:tcBorders>
              <w:top w:val="single" w:sz="12" w:space="0" w:color="auto"/>
            </w:tcBorders>
            <w:shd w:val="clear" w:color="auto" w:fill="F5F5F1"/>
            <w:noWrap/>
            <w:hideMark/>
          </w:tcPr>
          <w:p w14:paraId="25B75CC4" w14:textId="77777777" w:rsidR="008B1128" w:rsidRPr="00D23A28" w:rsidRDefault="008B1128" w:rsidP="00374A52">
            <w:r w:rsidRPr="00D23A28">
              <w:t>57%</w:t>
            </w:r>
          </w:p>
        </w:tc>
      </w:tr>
      <w:tr w:rsidR="008B1128" w:rsidRPr="00D23A28" w14:paraId="2E6E409A" w14:textId="77777777" w:rsidTr="00D01F87">
        <w:trPr>
          <w:trHeight w:val="320"/>
          <w:tblHeader/>
        </w:trPr>
        <w:tc>
          <w:tcPr>
            <w:tcW w:w="1823" w:type="pct"/>
            <w:shd w:val="clear" w:color="auto" w:fill="F5F5F1"/>
            <w:noWrap/>
            <w:hideMark/>
          </w:tcPr>
          <w:p w14:paraId="5A742E8F" w14:textId="77777777" w:rsidR="008B1128" w:rsidRPr="00D23A28" w:rsidRDefault="008B1128" w:rsidP="00374A52">
            <w:r w:rsidRPr="00D23A28">
              <w:t>Moderate Disability</w:t>
            </w:r>
          </w:p>
        </w:tc>
        <w:tc>
          <w:tcPr>
            <w:tcW w:w="874" w:type="pct"/>
            <w:shd w:val="clear" w:color="auto" w:fill="F5F5F1"/>
            <w:noWrap/>
            <w:hideMark/>
          </w:tcPr>
          <w:p w14:paraId="362B0F8C" w14:textId="77777777" w:rsidR="008B1128" w:rsidRPr="00D23A28" w:rsidRDefault="008B1128" w:rsidP="00374A52">
            <w:r w:rsidRPr="00D23A28">
              <w:t>52%</w:t>
            </w:r>
          </w:p>
        </w:tc>
        <w:tc>
          <w:tcPr>
            <w:tcW w:w="1192" w:type="pct"/>
            <w:shd w:val="clear" w:color="auto" w:fill="F5F5F1"/>
            <w:noWrap/>
            <w:hideMark/>
          </w:tcPr>
          <w:p w14:paraId="2D004168" w14:textId="77777777" w:rsidR="008B1128" w:rsidRPr="00D23A28" w:rsidRDefault="008B1128" w:rsidP="00374A52">
            <w:r w:rsidRPr="00D23A28">
              <w:t>12%</w:t>
            </w:r>
          </w:p>
        </w:tc>
        <w:tc>
          <w:tcPr>
            <w:tcW w:w="1112" w:type="pct"/>
            <w:shd w:val="clear" w:color="auto" w:fill="F5F5F1"/>
            <w:noWrap/>
            <w:hideMark/>
          </w:tcPr>
          <w:p w14:paraId="7DD9FA8F" w14:textId="77777777" w:rsidR="008B1128" w:rsidRPr="00D23A28" w:rsidRDefault="008B1128" w:rsidP="00374A52">
            <w:r w:rsidRPr="00D23A28">
              <w:t>46%</w:t>
            </w:r>
          </w:p>
        </w:tc>
      </w:tr>
      <w:tr w:rsidR="008B1128" w:rsidRPr="00D23A28" w14:paraId="0B1265EC" w14:textId="77777777" w:rsidTr="00D01F87">
        <w:trPr>
          <w:trHeight w:val="320"/>
          <w:tblHeader/>
        </w:trPr>
        <w:tc>
          <w:tcPr>
            <w:tcW w:w="1823" w:type="pct"/>
            <w:tcBorders>
              <w:bottom w:val="single" w:sz="12" w:space="0" w:color="auto"/>
            </w:tcBorders>
            <w:shd w:val="clear" w:color="auto" w:fill="F5F5F1"/>
            <w:noWrap/>
            <w:hideMark/>
          </w:tcPr>
          <w:p w14:paraId="56B12923" w14:textId="77777777" w:rsidR="008B1128" w:rsidRPr="00D23A28" w:rsidRDefault="008B1128" w:rsidP="00374A52">
            <w:r w:rsidRPr="00D23A28">
              <w:t>No Disability</w:t>
            </w:r>
          </w:p>
        </w:tc>
        <w:tc>
          <w:tcPr>
            <w:tcW w:w="874" w:type="pct"/>
            <w:tcBorders>
              <w:bottom w:val="single" w:sz="12" w:space="0" w:color="auto"/>
            </w:tcBorders>
            <w:shd w:val="clear" w:color="auto" w:fill="F5F5F1"/>
            <w:noWrap/>
            <w:hideMark/>
          </w:tcPr>
          <w:p w14:paraId="658411B5" w14:textId="77777777" w:rsidR="008B1128" w:rsidRPr="00D23A28" w:rsidRDefault="008B1128" w:rsidP="00374A52">
            <w:r w:rsidRPr="00D23A28">
              <w:t>53%</w:t>
            </w:r>
          </w:p>
        </w:tc>
        <w:tc>
          <w:tcPr>
            <w:tcW w:w="1192" w:type="pct"/>
            <w:tcBorders>
              <w:bottom w:val="single" w:sz="12" w:space="0" w:color="auto"/>
            </w:tcBorders>
            <w:shd w:val="clear" w:color="auto" w:fill="F5F5F1"/>
            <w:noWrap/>
            <w:hideMark/>
          </w:tcPr>
          <w:p w14:paraId="16A83F79" w14:textId="77777777" w:rsidR="008B1128" w:rsidRPr="00D23A28" w:rsidRDefault="008B1128" w:rsidP="00374A52">
            <w:r w:rsidRPr="00D23A28">
              <w:t>12%</w:t>
            </w:r>
          </w:p>
        </w:tc>
        <w:tc>
          <w:tcPr>
            <w:tcW w:w="1112" w:type="pct"/>
            <w:tcBorders>
              <w:bottom w:val="single" w:sz="12" w:space="0" w:color="auto"/>
            </w:tcBorders>
            <w:shd w:val="clear" w:color="auto" w:fill="F5F5F1"/>
            <w:noWrap/>
            <w:hideMark/>
          </w:tcPr>
          <w:p w14:paraId="4F97BBF4" w14:textId="77777777" w:rsidR="008B1128" w:rsidRPr="00D23A28" w:rsidRDefault="008B1128" w:rsidP="00374A52">
            <w:r w:rsidRPr="00D23A28">
              <w:t>45%</w:t>
            </w:r>
          </w:p>
        </w:tc>
      </w:tr>
      <w:tr w:rsidR="008B1128" w:rsidRPr="00D23A28" w14:paraId="0B4E14AA" w14:textId="77777777" w:rsidTr="00D01F87">
        <w:trPr>
          <w:trHeight w:val="320"/>
          <w:tblHeader/>
        </w:trPr>
        <w:tc>
          <w:tcPr>
            <w:tcW w:w="5000" w:type="pct"/>
            <w:gridSpan w:val="4"/>
            <w:tcBorders>
              <w:top w:val="single" w:sz="12" w:space="0" w:color="auto"/>
            </w:tcBorders>
            <w:noWrap/>
          </w:tcPr>
          <w:p w14:paraId="5BDCBFE3" w14:textId="1D93E4FF" w:rsidR="008B1128" w:rsidRPr="00D23A28" w:rsidRDefault="008B1128" w:rsidP="00FE20B4">
            <w:pPr>
              <w:spacing w:after="0"/>
              <w:rPr>
                <w:sz w:val="18"/>
                <w:szCs w:val="18"/>
                <w:lang w:val="en-US"/>
              </w:rPr>
            </w:pPr>
            <w:r w:rsidRPr="00D23A28">
              <w:rPr>
                <w:i/>
                <w:iCs/>
                <w:sz w:val="18"/>
                <w:szCs w:val="18"/>
              </w:rPr>
              <w:t>Source</w:t>
            </w:r>
            <w:r w:rsidRPr="00D23A28">
              <w:rPr>
                <w:i/>
                <w:iCs/>
                <w:sz w:val="18"/>
                <w:szCs w:val="18"/>
                <w:lang w:val="en-US"/>
              </w:rPr>
              <w:t>:</w:t>
            </w:r>
            <w:r w:rsidRPr="00D23A28">
              <w:rPr>
                <w:sz w:val="18"/>
                <w:szCs w:val="18"/>
                <w:lang w:val="en-US"/>
              </w:rPr>
              <w:t xml:space="preserve"> Sophie Mitra “</w:t>
            </w:r>
            <w:r w:rsidRPr="00D23A28">
              <w:rPr>
                <w:sz w:val="18"/>
                <w:szCs w:val="18"/>
              </w:rPr>
              <w:t xml:space="preserve">Prevalence of functional difficulties” in </w:t>
            </w:r>
            <w:r w:rsidRPr="00D23A28">
              <w:rPr>
                <w:i/>
                <w:iCs/>
                <w:sz w:val="18"/>
                <w:szCs w:val="18"/>
              </w:rPr>
              <w:t>Disability, Health and Human Development</w:t>
            </w:r>
            <w:r w:rsidRPr="00D23A28">
              <w:rPr>
                <w:sz w:val="18"/>
                <w:szCs w:val="18"/>
              </w:rPr>
              <w:t xml:space="preserve"> (New York, Palgrave MacMillan, 2018), Table 4.6; see </w:t>
            </w:r>
            <w:hyperlink r:id="rId18" w:tooltip="https://www.palgrave.com/gp/book/9781137536372" w:history="1">
              <w:r w:rsidRPr="00D23A28">
                <w:rPr>
                  <w:rStyle w:val="Hyperlink"/>
                  <w:rFonts w:eastAsiaTheme="majorEastAsia"/>
                  <w:sz w:val="18"/>
                  <w:szCs w:val="18"/>
                </w:rPr>
                <w:t>https://www.palgrave.com/gp/book/9781137536372</w:t>
              </w:r>
            </w:hyperlink>
          </w:p>
          <w:p w14:paraId="3EBA474C" w14:textId="4021525D" w:rsidR="008B1128" w:rsidRPr="00D23A28" w:rsidRDefault="008B1128" w:rsidP="00FE20B4">
            <w:pPr>
              <w:spacing w:before="0"/>
              <w:rPr>
                <w:sz w:val="18"/>
                <w:szCs w:val="18"/>
              </w:rPr>
            </w:pPr>
            <w:r w:rsidRPr="00D23A28">
              <w:rPr>
                <w:i/>
                <w:iCs/>
                <w:sz w:val="18"/>
                <w:szCs w:val="18"/>
              </w:rPr>
              <w:t>Note:</w:t>
            </w:r>
            <w:r w:rsidRPr="00D23A28">
              <w:rPr>
                <w:sz w:val="18"/>
                <w:szCs w:val="18"/>
              </w:rPr>
              <w:t xml:space="preserve"> “severe” and “moderate” correspond to the author’s definition related to the degree of difficulty doing basic activities</w:t>
            </w:r>
          </w:p>
        </w:tc>
      </w:tr>
    </w:tbl>
    <w:p w14:paraId="15F88259" w14:textId="77777777" w:rsidR="008B1128" w:rsidRPr="00D23A28" w:rsidRDefault="008B1128" w:rsidP="00DC0B5B">
      <w:pPr>
        <w:pStyle w:val="Heading2"/>
        <w:rPr>
          <w:rFonts w:eastAsiaTheme="majorEastAsia"/>
        </w:rPr>
      </w:pPr>
      <w:r w:rsidRPr="00D23A28">
        <w:rPr>
          <w:rFonts w:eastAsiaTheme="majorEastAsia"/>
        </w:rPr>
        <w:t>5.19 Proportion of population below the national poverty line, by sex, age (SDG indicator 1.2.1) and disability</w:t>
      </w:r>
    </w:p>
    <w:p w14:paraId="08B89ABC" w14:textId="77777777" w:rsidR="008B1128" w:rsidRPr="00D23A28" w:rsidRDefault="008B1128" w:rsidP="00DC0B5B">
      <w:pPr>
        <w:pStyle w:val="Heading4"/>
        <w:rPr>
          <w:rFonts w:eastAsiaTheme="majorEastAsia"/>
        </w:rPr>
      </w:pPr>
      <w:r w:rsidRPr="00D23A28">
        <w:rPr>
          <w:rFonts w:eastAsiaTheme="majorEastAsia"/>
        </w:rPr>
        <w:t>Level 1: Indicator for which data are already being produced and reported on in at least some countries.</w:t>
      </w:r>
    </w:p>
    <w:p w14:paraId="1344A4A8" w14:textId="3236BED1" w:rsidR="008B1128" w:rsidRPr="00D23A28" w:rsidRDefault="004D2E9B" w:rsidP="008B1128">
      <w:hyperlink r:id="rId19" w:history="1">
        <w:r w:rsidR="00EB2381" w:rsidRPr="00D23A28">
          <w:rPr>
            <w:rStyle w:val="Hyperlink"/>
          </w:rPr>
          <w:t>Link to the metadata related to this SDG indicator</w:t>
        </w:r>
      </w:hyperlink>
    </w:p>
    <w:p w14:paraId="64FF5F12" w14:textId="66CBF224" w:rsidR="00DA6682" w:rsidRPr="00D23A28" w:rsidRDefault="00DA6682" w:rsidP="00DA6682">
      <w:r w:rsidRPr="00D23A28">
        <w:t>According to the metadata:</w:t>
      </w:r>
    </w:p>
    <w:p w14:paraId="41606DCB" w14:textId="292AAB6E" w:rsidR="008B1128" w:rsidRPr="00D23A28" w:rsidRDefault="00716898" w:rsidP="00716898">
      <w:pPr>
        <w:ind w:left="360"/>
      </w:pPr>
      <w:r w:rsidRPr="00D23A28">
        <w:t>"</w:t>
      </w:r>
      <w:r w:rsidR="008B1128" w:rsidRPr="00D23A28">
        <w:rPr>
          <w:i/>
        </w:rPr>
        <w:t>National poverty estimates are typically produced and owned by country governments, sometimes with technical assistance from the World Bank and UNDP. Upon release of the national poverty estimates by the government, the Global Poverty Working Group of the World Bank assesses the methodology used by the government, validates the estimates with raw data whenever possible, and consults the country economists for publishing. Accepted estimates, along with metadata, are published in the WDI database as well as the Poverty and Equity Database of the World Bank.</w:t>
      </w:r>
    </w:p>
    <w:p w14:paraId="2B60EE52" w14:textId="2C2BD7E7" w:rsidR="008B1128" w:rsidRPr="00D23A28" w:rsidRDefault="008B1128" w:rsidP="00152FD1">
      <w:pPr>
        <w:pStyle w:val="ListParagraph"/>
        <w:numPr>
          <w:ilvl w:val="0"/>
          <w:numId w:val="0"/>
        </w:numPr>
        <w:ind w:left="360"/>
        <w:rPr>
          <w:i/>
          <w:iCs/>
        </w:rPr>
      </w:pPr>
      <w:r w:rsidRPr="00D23A28">
        <w:rPr>
          <w:i/>
          <w:iCs/>
        </w:rPr>
        <w:t>Another source is World Bank’s Poverty Assessments. The World Bank periodically prepares poverty assessments of countries in which it has an active program, in close collaboration with national institutions, other development agencies, and civil society groups, including poor people’s organizations. Poverty assessments report the extent and causes of poverty and propose strategies to reduce it. The poverty assessments are the best available source of information on poverty estimates using national poverty lines. They often include separate assessments of urban and rural poverty.</w:t>
      </w:r>
      <w:r w:rsidR="00152FD1" w:rsidRPr="00D23A28">
        <w:rPr>
          <w:i/>
          <w:iCs/>
        </w:rPr>
        <w:t>”</w:t>
      </w:r>
    </w:p>
    <w:p w14:paraId="5EE4EBAF" w14:textId="77777777" w:rsidR="008B1128" w:rsidRPr="00D23A28" w:rsidRDefault="008B1128" w:rsidP="00E0225B">
      <w:r w:rsidRPr="00D23A28">
        <w:t xml:space="preserve">A variety of HIES and Living Standard Measurement Studies have data on disability. Currently, the World Bank is compiling how disability is dealt </w:t>
      </w:r>
      <w:proofErr w:type="spellStart"/>
      <w:r w:rsidRPr="00D23A28">
        <w:t>within</w:t>
      </w:r>
      <w:proofErr w:type="spellEnd"/>
      <w:r w:rsidRPr="00D23A28">
        <w:t xml:space="preserve"> all of the data instruments that they support. This list will be available before the end of 2020.</w:t>
      </w:r>
    </w:p>
    <w:p w14:paraId="21A90CA6" w14:textId="77777777" w:rsidR="008B1128" w:rsidRPr="00D23A28" w:rsidRDefault="008B1128" w:rsidP="00E0225B">
      <w:r w:rsidRPr="00D23A28">
        <w:lastRenderedPageBreak/>
        <w:t>Some examples of countries that have reported on this indicator, taken from the United Nations Economic and Social Commission for Asia and the Pacific (2018) report “Building Disability</w:t>
      </w:r>
      <w:r w:rsidRPr="00DC0B5B">
        <w:rPr>
          <w:rFonts w:ascii="Cambria Math" w:hAnsi="Cambria Math" w:cs="Cambria Math"/>
        </w:rPr>
        <w:t>‐</w:t>
      </w:r>
      <w:r w:rsidRPr="00D23A28">
        <w:t>Inclusive Societies in Asia and the Pacific”, follow in Table 2. The data sources are from Georgia (Integrated Households Survey, 2015); Indonesia (</w:t>
      </w:r>
      <w:proofErr w:type="spellStart"/>
      <w:r w:rsidRPr="00D23A28">
        <w:t>Susenas</w:t>
      </w:r>
      <w:proofErr w:type="spellEnd"/>
      <w:r w:rsidRPr="00D23A28">
        <w:t>, 2012); Macao, China (administrative data from the Social Welfare Bureau, 2016); Mongolia (Socioeconomic Household Survey, 2014); and Republic of Korea (Survey of Household Finances and Living Conditions, 2015).</w:t>
      </w:r>
    </w:p>
    <w:p w14:paraId="316E93A3" w14:textId="795B61C2" w:rsidR="008B1128" w:rsidRPr="00D23A28" w:rsidRDefault="008B1128" w:rsidP="00152FD1">
      <w:pPr>
        <w:pStyle w:val="TableHeader"/>
        <w:rPr>
          <w:rFonts w:asciiTheme="minorHAnsi" w:hAnsiTheme="minorHAnsi"/>
        </w:rPr>
      </w:pPr>
      <w:r w:rsidRPr="00D23A28">
        <w:rPr>
          <w:rFonts w:asciiTheme="minorHAnsi" w:hAnsiTheme="minorHAnsi"/>
          <w:b/>
          <w:bCs w:val="0"/>
        </w:rPr>
        <w:t>Table 2</w:t>
      </w:r>
      <w:r w:rsidR="00EB2381" w:rsidRPr="00D23A28">
        <w:rPr>
          <w:rFonts w:asciiTheme="minorHAnsi" w:hAnsiTheme="minorHAnsi"/>
          <w:b/>
          <w:bCs w:val="0"/>
        </w:rPr>
        <w:t>:</w:t>
      </w:r>
      <w:r w:rsidR="00EB2381" w:rsidRPr="00D23A28">
        <w:rPr>
          <w:rFonts w:asciiTheme="minorHAnsi" w:hAnsiTheme="minorHAnsi"/>
        </w:rPr>
        <w:t xml:space="preserve"> </w:t>
      </w:r>
      <w:r w:rsidRPr="00D23A28">
        <w:rPr>
          <w:rFonts w:asciiTheme="minorHAnsi" w:hAnsiTheme="minorHAnsi"/>
        </w:rPr>
        <w:t>Percentage of persons living under the national poverty line, by disability status and sex</w:t>
      </w:r>
    </w:p>
    <w:tbl>
      <w:tblPr>
        <w:tblStyle w:val="TableGrid"/>
        <w:tblW w:w="5000" w:type="pct"/>
        <w:tblLook w:val="04A0" w:firstRow="1" w:lastRow="0" w:firstColumn="1" w:lastColumn="0" w:noHBand="0" w:noVBand="1"/>
        <w:tblCaption w:val="Table 2: Percentage of persons living under the national poverty line, by disability status and sex"/>
      </w:tblPr>
      <w:tblGrid>
        <w:gridCol w:w="1812"/>
        <w:gridCol w:w="1169"/>
        <w:gridCol w:w="1157"/>
        <w:gridCol w:w="1236"/>
        <w:gridCol w:w="1226"/>
        <w:gridCol w:w="1150"/>
        <w:gridCol w:w="1250"/>
      </w:tblGrid>
      <w:tr w:rsidR="00695E96" w:rsidRPr="00D23A28" w14:paraId="23C7ACE6" w14:textId="77777777" w:rsidTr="005B7F5E">
        <w:trPr>
          <w:trHeight w:val="320"/>
          <w:tblHeader/>
        </w:trPr>
        <w:tc>
          <w:tcPr>
            <w:tcW w:w="1017" w:type="pct"/>
            <w:tcBorders>
              <w:top w:val="single" w:sz="12" w:space="0" w:color="auto"/>
              <w:left w:val="nil"/>
              <w:bottom w:val="single" w:sz="12" w:space="0" w:color="auto"/>
              <w:right w:val="nil"/>
            </w:tcBorders>
            <w:shd w:val="clear" w:color="auto" w:fill="F5F5F1"/>
            <w:noWrap/>
            <w:hideMark/>
          </w:tcPr>
          <w:p w14:paraId="7A22B22C" w14:textId="77777777" w:rsidR="008B1128" w:rsidRPr="00D23A28" w:rsidRDefault="008B1128" w:rsidP="00FE5D23">
            <w:pPr>
              <w:rPr>
                <w:b/>
              </w:rPr>
            </w:pPr>
          </w:p>
        </w:tc>
        <w:tc>
          <w:tcPr>
            <w:tcW w:w="1973" w:type="pct"/>
            <w:gridSpan w:val="3"/>
            <w:tcBorders>
              <w:top w:val="single" w:sz="12" w:space="0" w:color="auto"/>
              <w:left w:val="nil"/>
              <w:bottom w:val="single" w:sz="12" w:space="0" w:color="auto"/>
              <w:right w:val="single" w:sz="4" w:space="0" w:color="auto"/>
            </w:tcBorders>
            <w:shd w:val="clear" w:color="auto" w:fill="F5F5F1"/>
            <w:noWrap/>
            <w:vAlign w:val="center"/>
            <w:hideMark/>
          </w:tcPr>
          <w:p w14:paraId="201A39A6" w14:textId="77777777" w:rsidR="008B1128" w:rsidRPr="00D23A28" w:rsidRDefault="008B1128" w:rsidP="00CE211D">
            <w:pPr>
              <w:pStyle w:val="TableHeaderRow"/>
              <w:rPr>
                <w:i/>
                <w:iCs/>
              </w:rPr>
            </w:pPr>
            <w:r w:rsidRPr="00D23A28">
              <w:rPr>
                <w:i/>
                <w:iCs/>
              </w:rPr>
              <w:t>Persons with Disabilities</w:t>
            </w:r>
          </w:p>
        </w:tc>
        <w:tc>
          <w:tcPr>
            <w:tcW w:w="2010" w:type="pct"/>
            <w:gridSpan w:val="3"/>
            <w:tcBorders>
              <w:top w:val="single" w:sz="12" w:space="0" w:color="auto"/>
              <w:left w:val="single" w:sz="4" w:space="0" w:color="auto"/>
              <w:bottom w:val="single" w:sz="12" w:space="0" w:color="auto"/>
              <w:right w:val="nil"/>
            </w:tcBorders>
            <w:shd w:val="clear" w:color="auto" w:fill="F5F5F1"/>
            <w:noWrap/>
            <w:vAlign w:val="center"/>
            <w:hideMark/>
          </w:tcPr>
          <w:p w14:paraId="29224BEE" w14:textId="77777777" w:rsidR="008B1128" w:rsidRPr="00D23A28" w:rsidRDefault="008B1128" w:rsidP="00CE211D">
            <w:pPr>
              <w:pStyle w:val="TableHeaderRow"/>
              <w:rPr>
                <w:i/>
                <w:iCs/>
              </w:rPr>
            </w:pPr>
            <w:r w:rsidRPr="00D23A28">
              <w:rPr>
                <w:i/>
                <w:iCs/>
              </w:rPr>
              <w:t>Persons without Disabilities</w:t>
            </w:r>
          </w:p>
        </w:tc>
      </w:tr>
      <w:tr w:rsidR="00D64947" w:rsidRPr="00D23A28" w14:paraId="3FBA2A4D" w14:textId="77777777" w:rsidTr="005B7F5E">
        <w:trPr>
          <w:trHeight w:val="320"/>
          <w:tblHeader/>
        </w:trPr>
        <w:tc>
          <w:tcPr>
            <w:tcW w:w="1017" w:type="pct"/>
            <w:tcBorders>
              <w:top w:val="single" w:sz="12" w:space="0" w:color="auto"/>
              <w:left w:val="nil"/>
              <w:bottom w:val="single" w:sz="12" w:space="0" w:color="auto"/>
              <w:right w:val="nil"/>
            </w:tcBorders>
            <w:shd w:val="clear" w:color="auto" w:fill="F5F5F1"/>
            <w:noWrap/>
            <w:hideMark/>
          </w:tcPr>
          <w:p w14:paraId="3E40B950" w14:textId="77777777" w:rsidR="008B1128" w:rsidRPr="00D23A28" w:rsidRDefault="008B1128" w:rsidP="00FE5D23">
            <w:pPr>
              <w:rPr>
                <w:b/>
              </w:rPr>
            </w:pPr>
          </w:p>
        </w:tc>
        <w:tc>
          <w:tcPr>
            <w:tcW w:w="647" w:type="pct"/>
            <w:tcBorders>
              <w:top w:val="single" w:sz="12" w:space="0" w:color="auto"/>
              <w:left w:val="nil"/>
              <w:bottom w:val="single" w:sz="12" w:space="0" w:color="auto"/>
              <w:right w:val="nil"/>
            </w:tcBorders>
            <w:shd w:val="clear" w:color="auto" w:fill="F5F5F1"/>
            <w:noWrap/>
            <w:vAlign w:val="center"/>
            <w:hideMark/>
          </w:tcPr>
          <w:p w14:paraId="54121006" w14:textId="77777777" w:rsidR="008B1128" w:rsidRPr="00D23A28" w:rsidRDefault="008B1128" w:rsidP="00CE211D">
            <w:pPr>
              <w:pStyle w:val="TableHeaderRow"/>
            </w:pPr>
            <w:r w:rsidRPr="00D23A28">
              <w:t>Male</w:t>
            </w:r>
          </w:p>
        </w:tc>
        <w:tc>
          <w:tcPr>
            <w:tcW w:w="640" w:type="pct"/>
            <w:tcBorders>
              <w:top w:val="single" w:sz="12" w:space="0" w:color="auto"/>
              <w:left w:val="nil"/>
              <w:bottom w:val="single" w:sz="12" w:space="0" w:color="auto"/>
              <w:right w:val="nil"/>
            </w:tcBorders>
            <w:shd w:val="clear" w:color="auto" w:fill="F5F5F1"/>
            <w:noWrap/>
            <w:vAlign w:val="center"/>
            <w:hideMark/>
          </w:tcPr>
          <w:p w14:paraId="53FD877A" w14:textId="77777777" w:rsidR="008B1128" w:rsidRPr="00D23A28" w:rsidRDefault="008B1128" w:rsidP="00CE211D">
            <w:pPr>
              <w:pStyle w:val="TableHeaderRow"/>
            </w:pPr>
            <w:r w:rsidRPr="00D23A28">
              <w:t>Female</w:t>
            </w:r>
          </w:p>
        </w:tc>
        <w:tc>
          <w:tcPr>
            <w:tcW w:w="686" w:type="pct"/>
            <w:tcBorders>
              <w:top w:val="single" w:sz="12" w:space="0" w:color="auto"/>
              <w:left w:val="nil"/>
              <w:bottom w:val="single" w:sz="12" w:space="0" w:color="auto"/>
              <w:right w:val="single" w:sz="4" w:space="0" w:color="auto"/>
            </w:tcBorders>
            <w:shd w:val="clear" w:color="auto" w:fill="F5F5F1"/>
            <w:noWrap/>
            <w:vAlign w:val="center"/>
            <w:hideMark/>
          </w:tcPr>
          <w:p w14:paraId="4043303B" w14:textId="77777777" w:rsidR="008B1128" w:rsidRPr="00D23A28" w:rsidRDefault="008B1128" w:rsidP="00CE211D">
            <w:pPr>
              <w:pStyle w:val="TableHeaderRow"/>
            </w:pPr>
            <w:r w:rsidRPr="00D23A28">
              <w:t>Both Sexes</w:t>
            </w:r>
          </w:p>
        </w:tc>
        <w:tc>
          <w:tcPr>
            <w:tcW w:w="680" w:type="pct"/>
            <w:tcBorders>
              <w:top w:val="single" w:sz="12" w:space="0" w:color="auto"/>
              <w:left w:val="single" w:sz="4" w:space="0" w:color="auto"/>
              <w:bottom w:val="single" w:sz="12" w:space="0" w:color="auto"/>
              <w:right w:val="nil"/>
            </w:tcBorders>
            <w:shd w:val="clear" w:color="auto" w:fill="F5F5F1"/>
            <w:noWrap/>
            <w:vAlign w:val="center"/>
            <w:hideMark/>
          </w:tcPr>
          <w:p w14:paraId="6C9E2A43" w14:textId="77777777" w:rsidR="008B1128" w:rsidRPr="00D23A28" w:rsidRDefault="008B1128" w:rsidP="00CE211D">
            <w:pPr>
              <w:pStyle w:val="TableHeaderRow"/>
            </w:pPr>
            <w:r w:rsidRPr="00D23A28">
              <w:t>Male</w:t>
            </w:r>
          </w:p>
        </w:tc>
        <w:tc>
          <w:tcPr>
            <w:tcW w:w="636" w:type="pct"/>
            <w:tcBorders>
              <w:top w:val="single" w:sz="12" w:space="0" w:color="auto"/>
              <w:left w:val="nil"/>
              <w:bottom w:val="single" w:sz="12" w:space="0" w:color="auto"/>
              <w:right w:val="nil"/>
            </w:tcBorders>
            <w:shd w:val="clear" w:color="auto" w:fill="F5F5F1"/>
            <w:noWrap/>
            <w:vAlign w:val="center"/>
            <w:hideMark/>
          </w:tcPr>
          <w:p w14:paraId="0AC83C96" w14:textId="77777777" w:rsidR="008B1128" w:rsidRPr="00D23A28" w:rsidRDefault="008B1128" w:rsidP="00CE211D">
            <w:pPr>
              <w:pStyle w:val="TableHeaderRow"/>
            </w:pPr>
            <w:r w:rsidRPr="00D23A28">
              <w:t>Female</w:t>
            </w:r>
          </w:p>
        </w:tc>
        <w:tc>
          <w:tcPr>
            <w:tcW w:w="694" w:type="pct"/>
            <w:tcBorders>
              <w:top w:val="single" w:sz="12" w:space="0" w:color="auto"/>
              <w:left w:val="nil"/>
              <w:bottom w:val="single" w:sz="12" w:space="0" w:color="auto"/>
              <w:right w:val="nil"/>
            </w:tcBorders>
            <w:shd w:val="clear" w:color="auto" w:fill="F5F5F1"/>
            <w:noWrap/>
            <w:vAlign w:val="center"/>
            <w:hideMark/>
          </w:tcPr>
          <w:p w14:paraId="3EC8FDB7" w14:textId="77777777" w:rsidR="008B1128" w:rsidRPr="00D23A28" w:rsidRDefault="008B1128" w:rsidP="00CE211D">
            <w:pPr>
              <w:pStyle w:val="TableHeaderRow"/>
            </w:pPr>
            <w:r w:rsidRPr="00D23A28">
              <w:t>Both Sexes</w:t>
            </w:r>
          </w:p>
        </w:tc>
      </w:tr>
      <w:tr w:rsidR="00D64947" w:rsidRPr="00D23A28" w14:paraId="1B41928B" w14:textId="77777777" w:rsidTr="005B7F5E">
        <w:trPr>
          <w:trHeight w:val="320"/>
          <w:tblHeader/>
        </w:trPr>
        <w:tc>
          <w:tcPr>
            <w:tcW w:w="1017" w:type="pct"/>
            <w:tcBorders>
              <w:top w:val="single" w:sz="12" w:space="0" w:color="auto"/>
              <w:left w:val="nil"/>
              <w:bottom w:val="nil"/>
              <w:right w:val="nil"/>
            </w:tcBorders>
            <w:shd w:val="clear" w:color="auto" w:fill="F5F5F1"/>
            <w:noWrap/>
            <w:hideMark/>
          </w:tcPr>
          <w:p w14:paraId="63F59720" w14:textId="77777777" w:rsidR="008B1128" w:rsidRPr="00D23A28" w:rsidRDefault="008B1128" w:rsidP="00695E96">
            <w:r w:rsidRPr="00D23A28">
              <w:t xml:space="preserve">Georgia </w:t>
            </w:r>
          </w:p>
        </w:tc>
        <w:tc>
          <w:tcPr>
            <w:tcW w:w="647" w:type="pct"/>
            <w:tcBorders>
              <w:top w:val="single" w:sz="12" w:space="0" w:color="auto"/>
              <w:left w:val="nil"/>
              <w:bottom w:val="nil"/>
              <w:right w:val="nil"/>
            </w:tcBorders>
            <w:shd w:val="clear" w:color="auto" w:fill="F5F5F1"/>
            <w:noWrap/>
            <w:hideMark/>
          </w:tcPr>
          <w:p w14:paraId="5FB38795" w14:textId="77777777" w:rsidR="008B1128" w:rsidRPr="00D23A28" w:rsidRDefault="008B1128" w:rsidP="00695E96">
            <w:r w:rsidRPr="00D23A28">
              <w:t>25.2%</w:t>
            </w:r>
          </w:p>
        </w:tc>
        <w:tc>
          <w:tcPr>
            <w:tcW w:w="640" w:type="pct"/>
            <w:tcBorders>
              <w:top w:val="single" w:sz="12" w:space="0" w:color="auto"/>
              <w:left w:val="nil"/>
              <w:bottom w:val="nil"/>
              <w:right w:val="nil"/>
            </w:tcBorders>
            <w:shd w:val="clear" w:color="auto" w:fill="F5F5F1"/>
            <w:noWrap/>
            <w:hideMark/>
          </w:tcPr>
          <w:p w14:paraId="05653A9F" w14:textId="77777777" w:rsidR="008B1128" w:rsidRPr="00D23A28" w:rsidRDefault="008B1128" w:rsidP="00695E96">
            <w:r w:rsidRPr="00D23A28">
              <w:t>22.6%</w:t>
            </w:r>
          </w:p>
        </w:tc>
        <w:tc>
          <w:tcPr>
            <w:tcW w:w="686" w:type="pct"/>
            <w:tcBorders>
              <w:top w:val="single" w:sz="12" w:space="0" w:color="auto"/>
              <w:left w:val="nil"/>
              <w:bottom w:val="nil"/>
              <w:right w:val="single" w:sz="4" w:space="0" w:color="auto"/>
            </w:tcBorders>
            <w:shd w:val="clear" w:color="auto" w:fill="F5F5F1"/>
            <w:noWrap/>
            <w:hideMark/>
          </w:tcPr>
          <w:p w14:paraId="178690EC" w14:textId="77777777" w:rsidR="008B1128" w:rsidRPr="00D23A28" w:rsidRDefault="008B1128" w:rsidP="00695E96">
            <w:r w:rsidRPr="00D23A28">
              <w:t>24.0%</w:t>
            </w:r>
          </w:p>
        </w:tc>
        <w:tc>
          <w:tcPr>
            <w:tcW w:w="680" w:type="pct"/>
            <w:tcBorders>
              <w:top w:val="single" w:sz="12" w:space="0" w:color="auto"/>
              <w:left w:val="single" w:sz="4" w:space="0" w:color="auto"/>
              <w:bottom w:val="nil"/>
              <w:right w:val="nil"/>
            </w:tcBorders>
            <w:shd w:val="clear" w:color="auto" w:fill="F5F5F1"/>
            <w:noWrap/>
            <w:hideMark/>
          </w:tcPr>
          <w:p w14:paraId="20727930" w14:textId="77777777" w:rsidR="008B1128" w:rsidRPr="00D23A28" w:rsidRDefault="008B1128" w:rsidP="00695E96">
            <w:r w:rsidRPr="00D23A28">
              <w:t>20.3%</w:t>
            </w:r>
          </w:p>
        </w:tc>
        <w:tc>
          <w:tcPr>
            <w:tcW w:w="636" w:type="pct"/>
            <w:tcBorders>
              <w:top w:val="single" w:sz="12" w:space="0" w:color="auto"/>
              <w:left w:val="nil"/>
              <w:bottom w:val="nil"/>
              <w:right w:val="nil"/>
            </w:tcBorders>
            <w:shd w:val="clear" w:color="auto" w:fill="F5F5F1"/>
            <w:noWrap/>
            <w:hideMark/>
          </w:tcPr>
          <w:p w14:paraId="629FFCE7" w14:textId="77777777" w:rsidR="008B1128" w:rsidRPr="00D23A28" w:rsidRDefault="008B1128" w:rsidP="00695E96">
            <w:r w:rsidRPr="00D23A28">
              <w:t>19.6%</w:t>
            </w:r>
          </w:p>
        </w:tc>
        <w:tc>
          <w:tcPr>
            <w:tcW w:w="694" w:type="pct"/>
            <w:tcBorders>
              <w:top w:val="single" w:sz="12" w:space="0" w:color="auto"/>
              <w:left w:val="nil"/>
              <w:bottom w:val="nil"/>
              <w:right w:val="nil"/>
            </w:tcBorders>
            <w:shd w:val="clear" w:color="auto" w:fill="F5F5F1"/>
            <w:noWrap/>
            <w:hideMark/>
          </w:tcPr>
          <w:p w14:paraId="2EB61B49" w14:textId="77777777" w:rsidR="008B1128" w:rsidRPr="00D23A28" w:rsidRDefault="008B1128" w:rsidP="00695E96">
            <w:r w:rsidRPr="00D23A28">
              <w:t>19.9%</w:t>
            </w:r>
          </w:p>
        </w:tc>
      </w:tr>
      <w:tr w:rsidR="00695E96" w:rsidRPr="00D23A28" w14:paraId="37A827AF" w14:textId="77777777" w:rsidTr="005B7F5E">
        <w:trPr>
          <w:trHeight w:val="320"/>
          <w:tblHeader/>
        </w:trPr>
        <w:tc>
          <w:tcPr>
            <w:tcW w:w="1017" w:type="pct"/>
            <w:tcBorders>
              <w:top w:val="nil"/>
              <w:left w:val="nil"/>
              <w:bottom w:val="nil"/>
              <w:right w:val="nil"/>
            </w:tcBorders>
            <w:shd w:val="clear" w:color="auto" w:fill="F5F5F1"/>
            <w:noWrap/>
            <w:hideMark/>
          </w:tcPr>
          <w:p w14:paraId="3D9F9BDD" w14:textId="77777777" w:rsidR="008B1128" w:rsidRPr="00D23A28" w:rsidRDefault="008B1128" w:rsidP="00695E96">
            <w:r w:rsidRPr="00D23A28">
              <w:t xml:space="preserve">Indonesia </w:t>
            </w:r>
          </w:p>
        </w:tc>
        <w:tc>
          <w:tcPr>
            <w:tcW w:w="647" w:type="pct"/>
            <w:tcBorders>
              <w:top w:val="nil"/>
              <w:left w:val="nil"/>
              <w:bottom w:val="nil"/>
              <w:right w:val="nil"/>
            </w:tcBorders>
            <w:shd w:val="clear" w:color="auto" w:fill="F5F5F1"/>
            <w:noWrap/>
            <w:hideMark/>
          </w:tcPr>
          <w:p w14:paraId="2F2B3E0F" w14:textId="77777777" w:rsidR="008B1128" w:rsidRPr="00D23A28" w:rsidRDefault="008B1128" w:rsidP="00695E96">
            <w:r w:rsidRPr="00D23A28">
              <w:t>18.4%</w:t>
            </w:r>
          </w:p>
        </w:tc>
        <w:tc>
          <w:tcPr>
            <w:tcW w:w="640" w:type="pct"/>
            <w:tcBorders>
              <w:top w:val="nil"/>
              <w:left w:val="nil"/>
              <w:bottom w:val="nil"/>
              <w:right w:val="nil"/>
            </w:tcBorders>
            <w:shd w:val="clear" w:color="auto" w:fill="F5F5F1"/>
            <w:noWrap/>
            <w:hideMark/>
          </w:tcPr>
          <w:p w14:paraId="28F897F2" w14:textId="77777777" w:rsidR="008B1128" w:rsidRPr="00D23A28" w:rsidRDefault="008B1128" w:rsidP="00695E96">
            <w:r w:rsidRPr="00D23A28">
              <w:t>19.4%</w:t>
            </w:r>
          </w:p>
        </w:tc>
        <w:tc>
          <w:tcPr>
            <w:tcW w:w="686" w:type="pct"/>
            <w:tcBorders>
              <w:top w:val="nil"/>
              <w:left w:val="nil"/>
              <w:bottom w:val="nil"/>
              <w:right w:val="single" w:sz="4" w:space="0" w:color="auto"/>
            </w:tcBorders>
            <w:shd w:val="clear" w:color="auto" w:fill="F5F5F1"/>
            <w:noWrap/>
            <w:hideMark/>
          </w:tcPr>
          <w:p w14:paraId="63E9F83A" w14:textId="77777777" w:rsidR="008B1128" w:rsidRPr="00D23A28" w:rsidRDefault="008B1128" w:rsidP="00695E96">
            <w:r w:rsidRPr="00D23A28">
              <w:t>18.9%</w:t>
            </w:r>
          </w:p>
        </w:tc>
        <w:tc>
          <w:tcPr>
            <w:tcW w:w="680" w:type="pct"/>
            <w:tcBorders>
              <w:top w:val="nil"/>
              <w:left w:val="single" w:sz="4" w:space="0" w:color="auto"/>
              <w:bottom w:val="nil"/>
              <w:right w:val="nil"/>
            </w:tcBorders>
            <w:shd w:val="clear" w:color="auto" w:fill="F5F5F1"/>
            <w:noWrap/>
            <w:hideMark/>
          </w:tcPr>
          <w:p w14:paraId="21E4B6B1" w14:textId="77777777" w:rsidR="008B1128" w:rsidRPr="00D23A28" w:rsidRDefault="008B1128" w:rsidP="00695E96">
            <w:r w:rsidRPr="00D23A28">
              <w:t>14.3%</w:t>
            </w:r>
          </w:p>
        </w:tc>
        <w:tc>
          <w:tcPr>
            <w:tcW w:w="636" w:type="pct"/>
            <w:tcBorders>
              <w:top w:val="nil"/>
              <w:left w:val="nil"/>
              <w:bottom w:val="nil"/>
              <w:right w:val="nil"/>
            </w:tcBorders>
            <w:shd w:val="clear" w:color="auto" w:fill="F5F5F1"/>
            <w:noWrap/>
            <w:hideMark/>
          </w:tcPr>
          <w:p w14:paraId="5E41742C" w14:textId="77777777" w:rsidR="008B1128" w:rsidRPr="00D23A28" w:rsidRDefault="008B1128" w:rsidP="00695E96">
            <w:r w:rsidRPr="00D23A28">
              <w:t>14.6%</w:t>
            </w:r>
          </w:p>
        </w:tc>
        <w:tc>
          <w:tcPr>
            <w:tcW w:w="694" w:type="pct"/>
            <w:tcBorders>
              <w:top w:val="nil"/>
              <w:left w:val="nil"/>
              <w:bottom w:val="nil"/>
              <w:right w:val="nil"/>
            </w:tcBorders>
            <w:shd w:val="clear" w:color="auto" w:fill="F5F5F1"/>
            <w:noWrap/>
            <w:hideMark/>
          </w:tcPr>
          <w:p w14:paraId="1012ADF4" w14:textId="77777777" w:rsidR="008B1128" w:rsidRPr="00D23A28" w:rsidRDefault="008B1128" w:rsidP="00695E96">
            <w:r w:rsidRPr="00D23A28">
              <w:t>14.5%</w:t>
            </w:r>
          </w:p>
        </w:tc>
      </w:tr>
      <w:tr w:rsidR="00695E96" w:rsidRPr="00D23A28" w14:paraId="73EEF5C8" w14:textId="77777777" w:rsidTr="005B7F5E">
        <w:trPr>
          <w:trHeight w:val="320"/>
          <w:tblHeader/>
        </w:trPr>
        <w:tc>
          <w:tcPr>
            <w:tcW w:w="1017" w:type="pct"/>
            <w:tcBorders>
              <w:top w:val="nil"/>
              <w:left w:val="nil"/>
              <w:bottom w:val="nil"/>
              <w:right w:val="nil"/>
            </w:tcBorders>
            <w:shd w:val="clear" w:color="auto" w:fill="F5F5F1"/>
            <w:noWrap/>
            <w:hideMark/>
          </w:tcPr>
          <w:p w14:paraId="49072756" w14:textId="77777777" w:rsidR="008B1128" w:rsidRPr="00D23A28" w:rsidRDefault="008B1128" w:rsidP="00695E96">
            <w:r w:rsidRPr="00D23A28">
              <w:t xml:space="preserve">Macao, China </w:t>
            </w:r>
          </w:p>
        </w:tc>
        <w:tc>
          <w:tcPr>
            <w:tcW w:w="647" w:type="pct"/>
            <w:tcBorders>
              <w:top w:val="nil"/>
              <w:left w:val="nil"/>
              <w:bottom w:val="nil"/>
              <w:right w:val="nil"/>
            </w:tcBorders>
            <w:shd w:val="clear" w:color="auto" w:fill="F5F5F1"/>
            <w:noWrap/>
            <w:hideMark/>
          </w:tcPr>
          <w:p w14:paraId="327CE203" w14:textId="77777777" w:rsidR="008B1128" w:rsidRPr="00D23A28" w:rsidRDefault="008B1128" w:rsidP="00695E96">
            <w:r w:rsidRPr="00D23A28">
              <w:t>11.5%</w:t>
            </w:r>
          </w:p>
        </w:tc>
        <w:tc>
          <w:tcPr>
            <w:tcW w:w="640" w:type="pct"/>
            <w:tcBorders>
              <w:top w:val="nil"/>
              <w:left w:val="nil"/>
              <w:bottom w:val="nil"/>
              <w:right w:val="nil"/>
            </w:tcBorders>
            <w:shd w:val="clear" w:color="auto" w:fill="F5F5F1"/>
            <w:noWrap/>
            <w:hideMark/>
          </w:tcPr>
          <w:p w14:paraId="7BF769C6" w14:textId="77777777" w:rsidR="008B1128" w:rsidRPr="00D23A28" w:rsidRDefault="008B1128" w:rsidP="00695E96">
            <w:r w:rsidRPr="00D23A28">
              <w:t>10.9%</w:t>
            </w:r>
          </w:p>
        </w:tc>
        <w:tc>
          <w:tcPr>
            <w:tcW w:w="686" w:type="pct"/>
            <w:tcBorders>
              <w:top w:val="nil"/>
              <w:left w:val="nil"/>
              <w:bottom w:val="nil"/>
              <w:right w:val="single" w:sz="4" w:space="0" w:color="auto"/>
            </w:tcBorders>
            <w:shd w:val="clear" w:color="auto" w:fill="F5F5F1"/>
            <w:noWrap/>
            <w:hideMark/>
          </w:tcPr>
          <w:p w14:paraId="5DA1C538" w14:textId="77777777" w:rsidR="008B1128" w:rsidRPr="00D23A28" w:rsidRDefault="008B1128" w:rsidP="00695E96">
            <w:r w:rsidRPr="00D23A28">
              <w:t>11.2%</w:t>
            </w:r>
          </w:p>
        </w:tc>
        <w:tc>
          <w:tcPr>
            <w:tcW w:w="680" w:type="pct"/>
            <w:tcBorders>
              <w:top w:val="nil"/>
              <w:left w:val="single" w:sz="4" w:space="0" w:color="auto"/>
              <w:bottom w:val="nil"/>
              <w:right w:val="nil"/>
            </w:tcBorders>
            <w:shd w:val="clear" w:color="auto" w:fill="F5F5F1"/>
            <w:noWrap/>
            <w:hideMark/>
          </w:tcPr>
          <w:p w14:paraId="2217CB97" w14:textId="77777777" w:rsidR="008B1128" w:rsidRPr="00D23A28" w:rsidRDefault="008B1128" w:rsidP="00695E96">
            <w:r w:rsidRPr="00D23A28">
              <w:t>0.9%</w:t>
            </w:r>
          </w:p>
        </w:tc>
        <w:tc>
          <w:tcPr>
            <w:tcW w:w="636" w:type="pct"/>
            <w:tcBorders>
              <w:top w:val="nil"/>
              <w:left w:val="nil"/>
              <w:bottom w:val="nil"/>
              <w:right w:val="nil"/>
            </w:tcBorders>
            <w:shd w:val="clear" w:color="auto" w:fill="F5F5F1"/>
            <w:noWrap/>
            <w:hideMark/>
          </w:tcPr>
          <w:p w14:paraId="05EA15F5" w14:textId="77777777" w:rsidR="008B1128" w:rsidRPr="00D23A28" w:rsidRDefault="008B1128" w:rsidP="00695E96">
            <w:r w:rsidRPr="00D23A28">
              <w:t>1.1%</w:t>
            </w:r>
          </w:p>
        </w:tc>
        <w:tc>
          <w:tcPr>
            <w:tcW w:w="694" w:type="pct"/>
            <w:tcBorders>
              <w:top w:val="nil"/>
              <w:left w:val="nil"/>
              <w:bottom w:val="nil"/>
              <w:right w:val="nil"/>
            </w:tcBorders>
            <w:shd w:val="clear" w:color="auto" w:fill="F5F5F1"/>
            <w:noWrap/>
            <w:hideMark/>
          </w:tcPr>
          <w:p w14:paraId="00591107" w14:textId="77777777" w:rsidR="008B1128" w:rsidRPr="00D23A28" w:rsidRDefault="008B1128" w:rsidP="00695E96">
            <w:r w:rsidRPr="00D23A28">
              <w:t>1.0%</w:t>
            </w:r>
          </w:p>
        </w:tc>
      </w:tr>
      <w:tr w:rsidR="00695E96" w:rsidRPr="00D23A28" w14:paraId="67F7706A" w14:textId="77777777" w:rsidTr="005B7F5E">
        <w:trPr>
          <w:trHeight w:val="320"/>
          <w:tblHeader/>
        </w:trPr>
        <w:tc>
          <w:tcPr>
            <w:tcW w:w="1017" w:type="pct"/>
            <w:tcBorders>
              <w:top w:val="nil"/>
              <w:left w:val="nil"/>
              <w:bottom w:val="nil"/>
              <w:right w:val="nil"/>
            </w:tcBorders>
            <w:shd w:val="clear" w:color="auto" w:fill="F5F5F1"/>
            <w:noWrap/>
            <w:hideMark/>
          </w:tcPr>
          <w:p w14:paraId="3157FB5C" w14:textId="77777777" w:rsidR="008B1128" w:rsidRPr="00D23A28" w:rsidRDefault="008B1128" w:rsidP="00695E96">
            <w:r w:rsidRPr="00D23A28">
              <w:t>Mongolia</w:t>
            </w:r>
          </w:p>
        </w:tc>
        <w:tc>
          <w:tcPr>
            <w:tcW w:w="647" w:type="pct"/>
            <w:tcBorders>
              <w:top w:val="nil"/>
              <w:left w:val="nil"/>
              <w:bottom w:val="nil"/>
              <w:right w:val="nil"/>
            </w:tcBorders>
            <w:shd w:val="clear" w:color="auto" w:fill="F5F5F1"/>
            <w:noWrap/>
            <w:hideMark/>
          </w:tcPr>
          <w:p w14:paraId="1752CA52" w14:textId="77777777" w:rsidR="008B1128" w:rsidRPr="00D23A28" w:rsidRDefault="008B1128" w:rsidP="00695E96">
            <w:r w:rsidRPr="00D23A28">
              <w:t>26.8%</w:t>
            </w:r>
          </w:p>
        </w:tc>
        <w:tc>
          <w:tcPr>
            <w:tcW w:w="640" w:type="pct"/>
            <w:tcBorders>
              <w:top w:val="nil"/>
              <w:left w:val="nil"/>
              <w:bottom w:val="nil"/>
              <w:right w:val="nil"/>
            </w:tcBorders>
            <w:shd w:val="clear" w:color="auto" w:fill="F5F5F1"/>
            <w:noWrap/>
            <w:hideMark/>
          </w:tcPr>
          <w:p w14:paraId="5E2873B8" w14:textId="77777777" w:rsidR="008B1128" w:rsidRPr="00D23A28" w:rsidRDefault="008B1128" w:rsidP="00695E96">
            <w:r w:rsidRPr="00D23A28">
              <w:t>27.0%</w:t>
            </w:r>
          </w:p>
        </w:tc>
        <w:tc>
          <w:tcPr>
            <w:tcW w:w="686" w:type="pct"/>
            <w:tcBorders>
              <w:top w:val="nil"/>
              <w:left w:val="nil"/>
              <w:bottom w:val="nil"/>
              <w:right w:val="single" w:sz="4" w:space="0" w:color="auto"/>
            </w:tcBorders>
            <w:shd w:val="clear" w:color="auto" w:fill="F5F5F1"/>
            <w:noWrap/>
            <w:hideMark/>
          </w:tcPr>
          <w:p w14:paraId="50EC4211" w14:textId="77777777" w:rsidR="008B1128" w:rsidRPr="00D23A28" w:rsidRDefault="008B1128" w:rsidP="00695E96">
            <w:r w:rsidRPr="00D23A28">
              <w:t>26.9%</w:t>
            </w:r>
          </w:p>
        </w:tc>
        <w:tc>
          <w:tcPr>
            <w:tcW w:w="680" w:type="pct"/>
            <w:tcBorders>
              <w:top w:val="nil"/>
              <w:left w:val="single" w:sz="4" w:space="0" w:color="auto"/>
              <w:bottom w:val="nil"/>
              <w:right w:val="nil"/>
            </w:tcBorders>
            <w:shd w:val="clear" w:color="auto" w:fill="F5F5F1"/>
            <w:noWrap/>
            <w:hideMark/>
          </w:tcPr>
          <w:p w14:paraId="12AF796B" w14:textId="77777777" w:rsidR="008B1128" w:rsidRPr="00D23A28" w:rsidRDefault="008B1128" w:rsidP="00695E96">
            <w:r w:rsidRPr="00D23A28">
              <w:t>21.3%</w:t>
            </w:r>
          </w:p>
        </w:tc>
        <w:tc>
          <w:tcPr>
            <w:tcW w:w="636" w:type="pct"/>
            <w:tcBorders>
              <w:top w:val="nil"/>
              <w:left w:val="nil"/>
              <w:bottom w:val="nil"/>
              <w:right w:val="nil"/>
            </w:tcBorders>
            <w:shd w:val="clear" w:color="auto" w:fill="F5F5F1"/>
            <w:noWrap/>
            <w:hideMark/>
          </w:tcPr>
          <w:p w14:paraId="70D1BF48" w14:textId="77777777" w:rsidR="008B1128" w:rsidRPr="00D23A28" w:rsidRDefault="008B1128" w:rsidP="00695E96">
            <w:r w:rsidRPr="00D23A28">
              <w:t>21.4%</w:t>
            </w:r>
          </w:p>
        </w:tc>
        <w:tc>
          <w:tcPr>
            <w:tcW w:w="694" w:type="pct"/>
            <w:tcBorders>
              <w:top w:val="nil"/>
              <w:left w:val="nil"/>
              <w:bottom w:val="nil"/>
              <w:right w:val="nil"/>
            </w:tcBorders>
            <w:shd w:val="clear" w:color="auto" w:fill="F5F5F1"/>
            <w:noWrap/>
            <w:hideMark/>
          </w:tcPr>
          <w:p w14:paraId="39A41CF3" w14:textId="77777777" w:rsidR="008B1128" w:rsidRPr="00D23A28" w:rsidRDefault="008B1128" w:rsidP="00695E96">
            <w:r w:rsidRPr="00D23A28">
              <w:t>21.4%</w:t>
            </w:r>
          </w:p>
        </w:tc>
      </w:tr>
      <w:tr w:rsidR="00D64947" w:rsidRPr="00D23A28" w14:paraId="15232E7C" w14:textId="77777777" w:rsidTr="005B7F5E">
        <w:trPr>
          <w:trHeight w:val="320"/>
          <w:tblHeader/>
        </w:trPr>
        <w:tc>
          <w:tcPr>
            <w:tcW w:w="1017" w:type="pct"/>
            <w:tcBorders>
              <w:top w:val="nil"/>
              <w:left w:val="nil"/>
              <w:bottom w:val="single" w:sz="12" w:space="0" w:color="auto"/>
              <w:right w:val="nil"/>
            </w:tcBorders>
            <w:shd w:val="clear" w:color="auto" w:fill="F5F5F1"/>
            <w:noWrap/>
            <w:hideMark/>
          </w:tcPr>
          <w:p w14:paraId="1AA0800E" w14:textId="77777777" w:rsidR="008B1128" w:rsidRPr="00D23A28" w:rsidRDefault="008B1128" w:rsidP="00D64947">
            <w:r w:rsidRPr="00D23A28">
              <w:t xml:space="preserve">Republic of Korea </w:t>
            </w:r>
          </w:p>
        </w:tc>
        <w:tc>
          <w:tcPr>
            <w:tcW w:w="647" w:type="pct"/>
            <w:tcBorders>
              <w:top w:val="nil"/>
              <w:left w:val="nil"/>
              <w:bottom w:val="single" w:sz="12" w:space="0" w:color="auto"/>
              <w:right w:val="nil"/>
            </w:tcBorders>
            <w:shd w:val="clear" w:color="auto" w:fill="F5F5F1"/>
            <w:noWrap/>
            <w:hideMark/>
          </w:tcPr>
          <w:p w14:paraId="1A5D61FE" w14:textId="77777777" w:rsidR="008B1128" w:rsidRPr="00D23A28" w:rsidRDefault="008B1128" w:rsidP="00695E96">
            <w:r w:rsidRPr="00D23A28">
              <w:t>33.2%</w:t>
            </w:r>
          </w:p>
        </w:tc>
        <w:tc>
          <w:tcPr>
            <w:tcW w:w="640" w:type="pct"/>
            <w:tcBorders>
              <w:top w:val="nil"/>
              <w:left w:val="nil"/>
              <w:bottom w:val="single" w:sz="12" w:space="0" w:color="auto"/>
              <w:right w:val="nil"/>
            </w:tcBorders>
            <w:shd w:val="clear" w:color="auto" w:fill="F5F5F1"/>
            <w:noWrap/>
            <w:hideMark/>
          </w:tcPr>
          <w:p w14:paraId="0B851D00" w14:textId="77777777" w:rsidR="008B1128" w:rsidRPr="00D23A28" w:rsidRDefault="008B1128" w:rsidP="00695E96">
            <w:r w:rsidRPr="00D23A28">
              <w:t>36.2%</w:t>
            </w:r>
          </w:p>
        </w:tc>
        <w:tc>
          <w:tcPr>
            <w:tcW w:w="686" w:type="pct"/>
            <w:tcBorders>
              <w:top w:val="nil"/>
              <w:left w:val="nil"/>
              <w:bottom w:val="single" w:sz="12" w:space="0" w:color="auto"/>
              <w:right w:val="single" w:sz="4" w:space="0" w:color="auto"/>
            </w:tcBorders>
            <w:shd w:val="clear" w:color="auto" w:fill="F5F5F1"/>
            <w:noWrap/>
            <w:hideMark/>
          </w:tcPr>
          <w:p w14:paraId="0CB646AB" w14:textId="77777777" w:rsidR="008B1128" w:rsidRPr="00D23A28" w:rsidRDefault="008B1128" w:rsidP="00695E96">
            <w:r w:rsidRPr="00D23A28">
              <w:t>34.5%</w:t>
            </w:r>
          </w:p>
        </w:tc>
        <w:tc>
          <w:tcPr>
            <w:tcW w:w="680" w:type="pct"/>
            <w:tcBorders>
              <w:top w:val="nil"/>
              <w:left w:val="single" w:sz="4" w:space="0" w:color="auto"/>
              <w:bottom w:val="single" w:sz="12" w:space="0" w:color="auto"/>
              <w:right w:val="nil"/>
            </w:tcBorders>
            <w:shd w:val="clear" w:color="auto" w:fill="F5F5F1"/>
            <w:noWrap/>
            <w:hideMark/>
          </w:tcPr>
          <w:p w14:paraId="47C1D467" w14:textId="77777777" w:rsidR="008B1128" w:rsidRPr="00D23A28" w:rsidRDefault="008B1128" w:rsidP="00695E96">
            <w:r w:rsidRPr="00D23A28">
              <w:t>11.0%</w:t>
            </w:r>
          </w:p>
        </w:tc>
        <w:tc>
          <w:tcPr>
            <w:tcW w:w="636" w:type="pct"/>
            <w:tcBorders>
              <w:top w:val="nil"/>
              <w:left w:val="nil"/>
              <w:bottom w:val="single" w:sz="12" w:space="0" w:color="auto"/>
              <w:right w:val="nil"/>
            </w:tcBorders>
            <w:shd w:val="clear" w:color="auto" w:fill="F5F5F1"/>
            <w:noWrap/>
            <w:hideMark/>
          </w:tcPr>
          <w:p w14:paraId="71FE5BCA" w14:textId="77777777" w:rsidR="008B1128" w:rsidRPr="00D23A28" w:rsidRDefault="008B1128" w:rsidP="00695E96">
            <w:r w:rsidRPr="00D23A28">
              <w:t>14.8%</w:t>
            </w:r>
          </w:p>
        </w:tc>
        <w:tc>
          <w:tcPr>
            <w:tcW w:w="694" w:type="pct"/>
            <w:tcBorders>
              <w:top w:val="nil"/>
              <w:left w:val="nil"/>
              <w:bottom w:val="single" w:sz="12" w:space="0" w:color="auto"/>
              <w:right w:val="nil"/>
            </w:tcBorders>
            <w:shd w:val="clear" w:color="auto" w:fill="F5F5F1"/>
            <w:noWrap/>
            <w:hideMark/>
          </w:tcPr>
          <w:p w14:paraId="4614558F" w14:textId="77777777" w:rsidR="008B1128" w:rsidRPr="00D23A28" w:rsidRDefault="008B1128" w:rsidP="00695E96">
            <w:r w:rsidRPr="00D23A28">
              <w:t>12.9%</w:t>
            </w:r>
          </w:p>
        </w:tc>
      </w:tr>
      <w:tr w:rsidR="008B1128" w:rsidRPr="00D23A28" w14:paraId="012A252C" w14:textId="77777777" w:rsidTr="00240B94">
        <w:trPr>
          <w:trHeight w:val="320"/>
          <w:tblHeader/>
        </w:trPr>
        <w:tc>
          <w:tcPr>
            <w:tcW w:w="5000" w:type="pct"/>
            <w:gridSpan w:val="7"/>
            <w:tcBorders>
              <w:top w:val="single" w:sz="12" w:space="0" w:color="auto"/>
              <w:left w:val="nil"/>
              <w:bottom w:val="nil"/>
              <w:right w:val="nil"/>
            </w:tcBorders>
            <w:noWrap/>
          </w:tcPr>
          <w:p w14:paraId="01BB153B" w14:textId="41C23A79" w:rsidR="008B1128" w:rsidRPr="00D23A28" w:rsidRDefault="008B1128" w:rsidP="00E0225B">
            <w:pPr>
              <w:rPr>
                <w:sz w:val="18"/>
                <w:szCs w:val="18"/>
              </w:rPr>
            </w:pPr>
            <w:r w:rsidRPr="00D23A28">
              <w:rPr>
                <w:i/>
                <w:iCs/>
                <w:sz w:val="18"/>
                <w:szCs w:val="18"/>
              </w:rPr>
              <w:t>Source:</w:t>
            </w:r>
            <w:r w:rsidRPr="00D23A28">
              <w:rPr>
                <w:sz w:val="18"/>
                <w:szCs w:val="18"/>
              </w:rPr>
              <w:t xml:space="preserve"> United Nations Economic and Social Commission for Asia and the Pacific, </w:t>
            </w:r>
            <w:r w:rsidRPr="00D23A28">
              <w:rPr>
                <w:i/>
                <w:iCs/>
                <w:sz w:val="18"/>
                <w:szCs w:val="18"/>
              </w:rPr>
              <w:t>Building Disability</w:t>
            </w:r>
            <w:r w:rsidRPr="00D8781E">
              <w:rPr>
                <w:rFonts w:ascii="Cambria Math" w:hAnsi="Cambria Math" w:cs="Cambria Math"/>
                <w:i/>
                <w:iCs/>
                <w:sz w:val="18"/>
                <w:szCs w:val="18"/>
              </w:rPr>
              <w:t>‐</w:t>
            </w:r>
            <w:r w:rsidRPr="00D23A28">
              <w:rPr>
                <w:i/>
                <w:iCs/>
                <w:sz w:val="18"/>
                <w:szCs w:val="18"/>
              </w:rPr>
              <w:t>Inclusive Societies in Asia and the Pacific</w:t>
            </w:r>
            <w:r w:rsidRPr="00D23A28">
              <w:rPr>
                <w:sz w:val="18"/>
                <w:szCs w:val="18"/>
              </w:rPr>
              <w:t xml:space="preserve"> (2018)</w:t>
            </w:r>
          </w:p>
        </w:tc>
      </w:tr>
    </w:tbl>
    <w:p w14:paraId="48E0A6F5" w14:textId="77777777" w:rsidR="008B1128" w:rsidRPr="00D23A28" w:rsidRDefault="008B1128" w:rsidP="00DC0B5B">
      <w:pPr>
        <w:pStyle w:val="Heading2"/>
        <w:rPr>
          <w:rFonts w:eastAsiaTheme="majorEastAsia"/>
        </w:rPr>
      </w:pPr>
      <w:r w:rsidRPr="00D23A28">
        <w:rPr>
          <w:rFonts w:eastAsiaTheme="majorEastAsia"/>
        </w:rPr>
        <w:t>5.20 Proportion of population living in households with access to basic services (SDG indicator 1.4.1) disaggregated by sex, age and disability</w:t>
      </w:r>
    </w:p>
    <w:p w14:paraId="45F72BBB" w14:textId="77777777" w:rsidR="008B1128" w:rsidRPr="00D23A28" w:rsidRDefault="008B1128" w:rsidP="00DC0B5B">
      <w:pPr>
        <w:pStyle w:val="Heading4"/>
        <w:rPr>
          <w:rFonts w:eastAsiaTheme="majorEastAsia"/>
        </w:rPr>
      </w:pPr>
      <w:r w:rsidRPr="00D23A28">
        <w:rPr>
          <w:rFonts w:eastAsiaTheme="majorEastAsia"/>
        </w:rPr>
        <w:t>Level 2: Indicator that could be produced with straightforward additions or modifications to existing data collection efforts.</w:t>
      </w:r>
    </w:p>
    <w:p w14:paraId="069D1E3F" w14:textId="36B79D1C" w:rsidR="008B1128" w:rsidRPr="00D23A28" w:rsidRDefault="004D2E9B" w:rsidP="008B1128">
      <w:pPr>
        <w:rPr>
          <w:lang w:eastAsia="en-GB"/>
        </w:rPr>
      </w:pPr>
      <w:hyperlink r:id="rId20" w:history="1">
        <w:r w:rsidR="00EB2381" w:rsidRPr="00D23A28">
          <w:rPr>
            <w:rStyle w:val="Hyperlink"/>
          </w:rPr>
          <w:t>Link to the metadata related to this SDG indicator</w:t>
        </w:r>
      </w:hyperlink>
    </w:p>
    <w:p w14:paraId="4EACDBB2" w14:textId="77777777" w:rsidR="008B1128" w:rsidRPr="00D23A28" w:rsidRDefault="008B1128" w:rsidP="00E0225B">
      <w:pPr>
        <w:rPr>
          <w:i/>
          <w:iCs/>
        </w:rPr>
      </w:pPr>
      <w:r w:rsidRPr="00D23A28">
        <w:t xml:space="preserve">The SDG metadata defines this as having access to the following services: </w:t>
      </w:r>
      <w:r w:rsidRPr="00D23A28">
        <w:rPr>
          <w:i/>
          <w:iCs/>
        </w:rPr>
        <w:t>“drinking water, sanitation, hygiene facilities, electricity, clean fuels, mobility, waste collection, health care, education, and broadband internet”</w:t>
      </w:r>
    </w:p>
    <w:p w14:paraId="21E5E396" w14:textId="77777777" w:rsidR="008B1128" w:rsidRPr="00D23A28" w:rsidRDefault="008B1128" w:rsidP="00E0225B">
      <w:r w:rsidRPr="00D23A28">
        <w:t>The main sources of data for this indicator are censuses, administrative data, and household surveys including Demographic and Health Surveys (DHS), HIES, MICS and others by the World Bank, UNICEF and UNDP. These data sources are also described in the various metadata for the constituent SDG indicators.</w:t>
      </w:r>
    </w:p>
    <w:p w14:paraId="6375877D" w14:textId="77777777" w:rsidR="008B1128" w:rsidRPr="00D23A28" w:rsidRDefault="008B1128" w:rsidP="00E0225B">
      <w:r w:rsidRPr="00D23A28">
        <w:t xml:space="preserve">The latest round of the MICS includes questions on disability. The DHS has an optional module with disability questions. Currently, the World Bank is compiling how disability is dealt </w:t>
      </w:r>
      <w:proofErr w:type="spellStart"/>
      <w:r w:rsidRPr="00D23A28">
        <w:t>within</w:t>
      </w:r>
      <w:proofErr w:type="spellEnd"/>
      <w:r w:rsidRPr="00D23A28">
        <w:t xml:space="preserve"> all of the data instruments that they support. This list will be available before the end of 2020.</w:t>
      </w:r>
    </w:p>
    <w:p w14:paraId="3B46416C" w14:textId="5B9B2703" w:rsidR="008B1128" w:rsidRPr="00D23A28" w:rsidRDefault="008B1128" w:rsidP="00E0225B">
      <w:r w:rsidRPr="00D23A28">
        <w:lastRenderedPageBreak/>
        <w:t>While no examples of countries reporting on this indicator could be found, it would be straightforward to do so for countries using the DHS optional module or other surveys that collect information on disability, as well as on basic services. For example, the Uganda DHS 2016 includes the measures of drinking water, sanitation, wealth, hand washing, household population and composition, educational attainment and school attendance. The survey also includes the Washington Group Short Set on Disability and can be found</w:t>
      </w:r>
      <w:r w:rsidR="002670B0" w:rsidRPr="00D23A28">
        <w:t xml:space="preserve"> at </w:t>
      </w:r>
      <w:hyperlink r:id="rId21" w:history="1">
        <w:r w:rsidR="002670B0" w:rsidRPr="00D23A28">
          <w:rPr>
            <w:rStyle w:val="Hyperlink"/>
          </w:rPr>
          <w:t>The DHS Program</w:t>
        </w:r>
      </w:hyperlink>
      <w:r w:rsidRPr="00D23A28">
        <w:t>. An analyst would need to recode the variables and create a cross-tabulation by age, sex and disability.</w:t>
      </w:r>
    </w:p>
    <w:p w14:paraId="11489CC9" w14:textId="77777777" w:rsidR="008B1128" w:rsidRPr="00D23A28" w:rsidRDefault="008B1128" w:rsidP="00DC0B5B">
      <w:pPr>
        <w:pStyle w:val="Heading2"/>
        <w:rPr>
          <w:rFonts w:eastAsiaTheme="majorEastAsia"/>
        </w:rPr>
      </w:pPr>
      <w:r w:rsidRPr="00D23A28">
        <w:rPr>
          <w:rFonts w:eastAsiaTheme="majorEastAsia"/>
        </w:rPr>
        <w:t>5.21 Proportion of total adult population with secure tenure rights to land, with legally recognized documentation and who perceive their rights to land as secure, by sex and by type of tenure (SDG indicator 1.4.2) and disability</w:t>
      </w:r>
    </w:p>
    <w:p w14:paraId="678CAE59" w14:textId="77777777" w:rsidR="008B1128" w:rsidRPr="00D23A28" w:rsidRDefault="008B1128" w:rsidP="00DC0B5B">
      <w:pPr>
        <w:pStyle w:val="Heading4"/>
        <w:rPr>
          <w:rFonts w:eastAsiaTheme="majorEastAsia"/>
        </w:rPr>
      </w:pPr>
      <w:r w:rsidRPr="00D23A28">
        <w:rPr>
          <w:rFonts w:eastAsiaTheme="majorEastAsia"/>
        </w:rPr>
        <w:t>Level 2: Indicator could be produced with straightforward additions or modifications to existing data collection efforts.</w:t>
      </w:r>
    </w:p>
    <w:p w14:paraId="556D3774" w14:textId="138218C5" w:rsidR="008B1128" w:rsidRPr="00D23A28" w:rsidRDefault="004D2E9B" w:rsidP="00E95E18">
      <w:pPr>
        <w:rPr>
          <w:lang w:eastAsia="en-GB"/>
        </w:rPr>
      </w:pPr>
      <w:hyperlink r:id="rId22" w:history="1">
        <w:r w:rsidR="00EB2381" w:rsidRPr="00D23A28">
          <w:rPr>
            <w:rStyle w:val="Hyperlink"/>
            <w:lang w:eastAsia="en-GB"/>
          </w:rPr>
          <w:t>Link to the metadata related to this SDG indicator</w:t>
        </w:r>
      </w:hyperlink>
    </w:p>
    <w:p w14:paraId="019C56F4" w14:textId="34126E36" w:rsidR="00716898" w:rsidRPr="00D23A28" w:rsidRDefault="00716898" w:rsidP="00716898">
      <w:pPr>
        <w:rPr>
          <w:iCs/>
        </w:rPr>
      </w:pPr>
      <w:r w:rsidRPr="00D23A28">
        <w:rPr>
          <w:iCs/>
        </w:rPr>
        <w:t>According to the metadata:</w:t>
      </w:r>
    </w:p>
    <w:p w14:paraId="59F54032" w14:textId="4F4E1584" w:rsidR="008B1128" w:rsidRPr="00D23A28" w:rsidRDefault="00152FD1" w:rsidP="00152FD1">
      <w:pPr>
        <w:ind w:left="360"/>
        <w:rPr>
          <w:i/>
          <w:iCs/>
        </w:rPr>
      </w:pPr>
      <w:r w:rsidRPr="00D23A28">
        <w:rPr>
          <w:i/>
          <w:iCs/>
        </w:rPr>
        <w:t>“</w:t>
      </w:r>
      <w:r w:rsidR="008B1128" w:rsidRPr="00D23A28">
        <w:rPr>
          <w:i/>
          <w:iCs/>
        </w:rPr>
        <w:t>Indicator 1.4.2 is composed of two parts: (A) measures the incidence of adults with legally recognized documentation over land among the total adult population; while (B) focuses on the incidence of adults who report having perceived secure rights to land among the adult population. Part (A) and part (B) provide two complementary data sets on security of tenure rights, needed for measuring the indicator.</w:t>
      </w:r>
    </w:p>
    <w:p w14:paraId="30AC9CF3" w14:textId="77777777" w:rsidR="008B1128" w:rsidRPr="00D23A28" w:rsidRDefault="008B1128" w:rsidP="00152FD1">
      <w:pPr>
        <w:ind w:left="360"/>
        <w:rPr>
          <w:i/>
          <w:iCs/>
        </w:rPr>
      </w:pPr>
      <w:r w:rsidRPr="00D23A28">
        <w:rPr>
          <w:i/>
          <w:iCs/>
        </w:rPr>
        <w:t>Part A is computed using national census data or household survey data generated by the national statistical system and/or administrative data generated by land agency (depending on data availability).</w:t>
      </w:r>
    </w:p>
    <w:p w14:paraId="690DE77F" w14:textId="77777777" w:rsidR="008B1128" w:rsidRPr="00D23A28" w:rsidRDefault="008B1128" w:rsidP="00152FD1">
      <w:pPr>
        <w:ind w:left="360"/>
        <w:rPr>
          <w:i/>
          <w:iCs/>
        </w:rPr>
      </w:pPr>
      <w:r w:rsidRPr="00D23A28">
        <w:rPr>
          <w:i/>
          <w:iCs/>
        </w:rPr>
        <w:t>Part B is computed using national census data or household survey data that feature the perception questions globally agreed through the EGMs and standardized in a module with essential questions discussed in section 5.1.1).</w:t>
      </w:r>
    </w:p>
    <w:p w14:paraId="5576EF71" w14:textId="77777777" w:rsidR="008B1128" w:rsidRPr="00D23A28" w:rsidRDefault="008B1128" w:rsidP="00152FD1">
      <w:pPr>
        <w:ind w:left="360"/>
        <w:rPr>
          <w:i/>
          <w:iCs/>
        </w:rPr>
      </w:pPr>
      <w:r w:rsidRPr="00D23A28">
        <w:rPr>
          <w:i/>
          <w:iCs/>
        </w:rPr>
        <w:t>Administrative data are routinely produced by land administration institutions. The 116 countries reporting having electronic land information systems, can generate the required data at a low cost on a routine basis, and at high levels of disaggregation, once the queries for the SDG dashboard are put in place.</w:t>
      </w:r>
    </w:p>
    <w:p w14:paraId="4ECCA900" w14:textId="570B3659" w:rsidR="008B1128" w:rsidRPr="00D23A28" w:rsidRDefault="008B1128" w:rsidP="00152FD1">
      <w:pPr>
        <w:ind w:left="360"/>
        <w:rPr>
          <w:i/>
          <w:iCs/>
        </w:rPr>
      </w:pPr>
      <w:r w:rsidRPr="00D23A28">
        <w:rPr>
          <w:i/>
          <w:iCs/>
        </w:rPr>
        <w:t>Nationally representative multi-topic household</w:t>
      </w:r>
      <w:r w:rsidRPr="00D23A28">
        <w:rPr>
          <w:b/>
          <w:i/>
          <w:iCs/>
        </w:rPr>
        <w:t xml:space="preserve"> </w:t>
      </w:r>
      <w:r w:rsidRPr="00D23A28">
        <w:rPr>
          <w:i/>
          <w:iCs/>
        </w:rPr>
        <w:t>surveys have collected land related data in many countries.</w:t>
      </w:r>
      <w:r w:rsidRPr="00D23A28">
        <w:rPr>
          <w:b/>
          <w:i/>
          <w:iCs/>
        </w:rPr>
        <w:t xml:space="preserve"> </w:t>
      </w:r>
      <w:r w:rsidRPr="00D23A28">
        <w:rPr>
          <w:i/>
          <w:iCs/>
        </w:rPr>
        <w:t>These provide information, separately for residential and non-residential land, on (</w:t>
      </w:r>
      <w:proofErr w:type="spellStart"/>
      <w:r w:rsidRPr="00D23A28">
        <w:rPr>
          <w:i/>
          <w:iCs/>
        </w:rPr>
        <w:t>i</w:t>
      </w:r>
      <w:proofErr w:type="spellEnd"/>
      <w:r w:rsidRPr="00D23A28">
        <w:rPr>
          <w:i/>
          <w:iCs/>
        </w:rPr>
        <w:t>) the share of individuals with legally documented rights; and (ii) the share of individuals who perceive their rights to be secure. Nationally representative household surveys will also provide data on two other key elements, namely (</w:t>
      </w:r>
      <w:proofErr w:type="spellStart"/>
      <w:r w:rsidRPr="00D23A28">
        <w:rPr>
          <w:i/>
          <w:iCs/>
        </w:rPr>
        <w:t>i</w:t>
      </w:r>
      <w:proofErr w:type="spellEnd"/>
      <w:r w:rsidRPr="00D23A28">
        <w:rPr>
          <w:i/>
          <w:iCs/>
        </w:rPr>
        <w:t>) reported type of documentation and (ii) perception of tenure security by tenure type and other disaggregation discussed above.</w:t>
      </w:r>
      <w:r w:rsidR="00152FD1" w:rsidRPr="00D23A28">
        <w:rPr>
          <w:i/>
          <w:iCs/>
        </w:rPr>
        <w:t>”</w:t>
      </w:r>
    </w:p>
    <w:p w14:paraId="02C6EB94" w14:textId="2093DA29" w:rsidR="00E36789" w:rsidRPr="00D23A28" w:rsidRDefault="008B1128" w:rsidP="00E36789">
      <w:r w:rsidRPr="00D23A28">
        <w:lastRenderedPageBreak/>
        <w:t xml:space="preserve">For example, DHS asks if the respondent owns a house or land. If yes, the respondent is asked if there is a title or deed and if their name is on the title/deed, as can be seen in the example for women aged 15/49 in Table 3. The DHS reports the data by gender, age, urban/rural, region, wealth quintile and disability, but not by disability status. Questions on disability are included in the </w:t>
      </w:r>
      <w:hyperlink r:id="rId23" w:history="1">
        <w:r w:rsidRPr="00D23A28">
          <w:rPr>
            <w:rStyle w:val="Hyperlink"/>
          </w:rPr>
          <w:t>Malawi DHS</w:t>
        </w:r>
      </w:hyperlink>
      <w:r w:rsidRPr="00D23A28">
        <w:t>, so the relevant data disaggregated by disability could be computed.</w:t>
      </w:r>
    </w:p>
    <w:p w14:paraId="6A2373B5" w14:textId="58926203" w:rsidR="008B1128" w:rsidRPr="00D23A28" w:rsidRDefault="008B1128" w:rsidP="00B71549">
      <w:pPr>
        <w:pStyle w:val="TableHeader"/>
        <w:rPr>
          <w:rFonts w:asciiTheme="minorHAnsi" w:hAnsiTheme="minorHAnsi"/>
        </w:rPr>
      </w:pPr>
      <w:r w:rsidRPr="00D23A28">
        <w:rPr>
          <w:rFonts w:asciiTheme="minorHAnsi" w:hAnsiTheme="minorHAnsi"/>
          <w:b/>
          <w:bCs w:val="0"/>
        </w:rPr>
        <w:t>Table 3</w:t>
      </w:r>
      <w:r w:rsidR="00EB2381" w:rsidRPr="00D23A28">
        <w:rPr>
          <w:rFonts w:asciiTheme="minorHAnsi" w:hAnsiTheme="minorHAnsi"/>
          <w:b/>
          <w:bCs w:val="0"/>
        </w:rPr>
        <w:t>:</w:t>
      </w:r>
      <w:r w:rsidR="00EB2381" w:rsidRPr="00D23A28">
        <w:rPr>
          <w:rFonts w:asciiTheme="minorHAnsi" w:hAnsiTheme="minorHAnsi"/>
        </w:rPr>
        <w:t xml:space="preserve"> </w:t>
      </w:r>
      <w:r w:rsidRPr="00D23A28">
        <w:rPr>
          <w:rFonts w:asciiTheme="minorHAnsi" w:hAnsiTheme="minorHAnsi"/>
        </w:rPr>
        <w:t>Among women age 15-49 who own a house, per cent distribution by whether the house owned has a title or deed and whether or not the woman’s name appears on the title or deed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Among women age 15-49 who own a house, per cent distribution by whether the house owned has a title or deed and whether or not the woman’s name appears on the title or deed"/>
      </w:tblPr>
      <w:tblGrid>
        <w:gridCol w:w="5495"/>
        <w:gridCol w:w="1695"/>
        <w:gridCol w:w="1810"/>
      </w:tblGrid>
      <w:tr w:rsidR="008B1128" w:rsidRPr="00D23A28" w14:paraId="09A57A13" w14:textId="77777777" w:rsidTr="007869FC">
        <w:trPr>
          <w:trHeight w:val="320"/>
          <w:tblHeader/>
        </w:trPr>
        <w:tc>
          <w:tcPr>
            <w:tcW w:w="3092" w:type="pct"/>
            <w:tcBorders>
              <w:top w:val="single" w:sz="12" w:space="0" w:color="auto"/>
              <w:bottom w:val="single" w:sz="12" w:space="0" w:color="auto"/>
            </w:tcBorders>
            <w:shd w:val="clear" w:color="auto" w:fill="F5F5F1"/>
            <w:noWrap/>
            <w:hideMark/>
          </w:tcPr>
          <w:p w14:paraId="6D1ADC8A" w14:textId="77777777" w:rsidR="008B1128" w:rsidRPr="00D23A28" w:rsidRDefault="008B1128" w:rsidP="00164F8F">
            <w:pPr>
              <w:rPr>
                <w:i/>
              </w:rPr>
            </w:pPr>
          </w:p>
        </w:tc>
        <w:tc>
          <w:tcPr>
            <w:tcW w:w="921" w:type="pct"/>
            <w:tcBorders>
              <w:top w:val="single" w:sz="12" w:space="0" w:color="auto"/>
              <w:bottom w:val="single" w:sz="12" w:space="0" w:color="auto"/>
            </w:tcBorders>
            <w:shd w:val="clear" w:color="auto" w:fill="F5F5F1"/>
            <w:noWrap/>
            <w:vAlign w:val="center"/>
            <w:hideMark/>
          </w:tcPr>
          <w:p w14:paraId="3A8B88A7" w14:textId="77777777" w:rsidR="008B1128" w:rsidRPr="00D23A28" w:rsidRDefault="008B1128" w:rsidP="005B7F5E">
            <w:pPr>
              <w:pStyle w:val="TableHeaderRow"/>
            </w:pPr>
            <w:r w:rsidRPr="00D23A28">
              <w:t>House</w:t>
            </w:r>
          </w:p>
        </w:tc>
        <w:tc>
          <w:tcPr>
            <w:tcW w:w="986" w:type="pct"/>
            <w:tcBorders>
              <w:top w:val="single" w:sz="12" w:space="0" w:color="auto"/>
              <w:bottom w:val="single" w:sz="12" w:space="0" w:color="auto"/>
            </w:tcBorders>
            <w:shd w:val="clear" w:color="auto" w:fill="F5F5F1"/>
            <w:noWrap/>
            <w:vAlign w:val="center"/>
            <w:hideMark/>
          </w:tcPr>
          <w:p w14:paraId="16064583" w14:textId="77777777" w:rsidR="008B1128" w:rsidRPr="00D23A28" w:rsidRDefault="008B1128" w:rsidP="005B7F5E">
            <w:pPr>
              <w:pStyle w:val="TableHeaderRow"/>
            </w:pPr>
            <w:r w:rsidRPr="00D23A28">
              <w:t>Land</w:t>
            </w:r>
          </w:p>
        </w:tc>
      </w:tr>
      <w:tr w:rsidR="008B1128" w:rsidRPr="00D23A28" w14:paraId="58CE1919" w14:textId="77777777" w:rsidTr="007869FC">
        <w:trPr>
          <w:trHeight w:val="320"/>
          <w:tblHeader/>
        </w:trPr>
        <w:tc>
          <w:tcPr>
            <w:tcW w:w="3092" w:type="pct"/>
            <w:tcBorders>
              <w:top w:val="single" w:sz="12" w:space="0" w:color="auto"/>
            </w:tcBorders>
            <w:shd w:val="clear" w:color="auto" w:fill="F5F5F1"/>
            <w:noWrap/>
            <w:hideMark/>
          </w:tcPr>
          <w:p w14:paraId="2C48E952" w14:textId="77777777" w:rsidR="008B1128" w:rsidRPr="00D23A28" w:rsidRDefault="008B1128" w:rsidP="00947954">
            <w:r w:rsidRPr="00D23A28">
              <w:t>Number of women who own a house/land</w:t>
            </w:r>
          </w:p>
        </w:tc>
        <w:tc>
          <w:tcPr>
            <w:tcW w:w="921" w:type="pct"/>
            <w:tcBorders>
              <w:top w:val="single" w:sz="12" w:space="0" w:color="auto"/>
            </w:tcBorders>
            <w:shd w:val="clear" w:color="auto" w:fill="F5F5F1"/>
            <w:noWrap/>
            <w:hideMark/>
          </w:tcPr>
          <w:p w14:paraId="042BAE08" w14:textId="77777777" w:rsidR="008B1128" w:rsidRPr="00D23A28" w:rsidRDefault="008B1128" w:rsidP="00947954">
            <w:r w:rsidRPr="00D23A28">
              <w:t>14,509</w:t>
            </w:r>
          </w:p>
        </w:tc>
        <w:tc>
          <w:tcPr>
            <w:tcW w:w="986" w:type="pct"/>
            <w:tcBorders>
              <w:top w:val="single" w:sz="12" w:space="0" w:color="auto"/>
            </w:tcBorders>
            <w:shd w:val="clear" w:color="auto" w:fill="F5F5F1"/>
            <w:noWrap/>
            <w:hideMark/>
          </w:tcPr>
          <w:p w14:paraId="1AC02813" w14:textId="77777777" w:rsidR="008B1128" w:rsidRPr="00D23A28" w:rsidRDefault="008B1128" w:rsidP="00947954">
            <w:r w:rsidRPr="00D23A28">
              <w:t>14,163</w:t>
            </w:r>
          </w:p>
        </w:tc>
      </w:tr>
      <w:tr w:rsidR="008B1128" w:rsidRPr="00D23A28" w14:paraId="00FAF937" w14:textId="77777777" w:rsidTr="007869FC">
        <w:trPr>
          <w:trHeight w:val="320"/>
          <w:tblHeader/>
        </w:trPr>
        <w:tc>
          <w:tcPr>
            <w:tcW w:w="3092" w:type="pct"/>
            <w:shd w:val="clear" w:color="auto" w:fill="F5F5F1"/>
            <w:noWrap/>
            <w:hideMark/>
          </w:tcPr>
          <w:p w14:paraId="75A5B6C2" w14:textId="77777777" w:rsidR="008B1128" w:rsidRPr="00D23A28" w:rsidRDefault="008B1128" w:rsidP="00947954">
            <w:r w:rsidRPr="00D23A28">
              <w:t>Women's name is on the deed</w:t>
            </w:r>
          </w:p>
        </w:tc>
        <w:tc>
          <w:tcPr>
            <w:tcW w:w="921" w:type="pct"/>
            <w:shd w:val="clear" w:color="auto" w:fill="F5F5F1"/>
            <w:noWrap/>
            <w:hideMark/>
          </w:tcPr>
          <w:p w14:paraId="71613925" w14:textId="77777777" w:rsidR="008B1128" w:rsidRPr="00D23A28" w:rsidRDefault="008B1128" w:rsidP="00947954">
            <w:r w:rsidRPr="00D23A28">
              <w:t>3%</w:t>
            </w:r>
          </w:p>
        </w:tc>
        <w:tc>
          <w:tcPr>
            <w:tcW w:w="986" w:type="pct"/>
            <w:shd w:val="clear" w:color="auto" w:fill="F5F5F1"/>
            <w:noWrap/>
            <w:hideMark/>
          </w:tcPr>
          <w:p w14:paraId="39DA2645" w14:textId="77777777" w:rsidR="008B1128" w:rsidRPr="00D23A28" w:rsidRDefault="008B1128" w:rsidP="00947954">
            <w:r w:rsidRPr="00D23A28">
              <w:t>2%</w:t>
            </w:r>
          </w:p>
        </w:tc>
      </w:tr>
      <w:tr w:rsidR="008B1128" w:rsidRPr="00D23A28" w14:paraId="04C59E47" w14:textId="77777777" w:rsidTr="007869FC">
        <w:trPr>
          <w:trHeight w:val="320"/>
          <w:tblHeader/>
        </w:trPr>
        <w:tc>
          <w:tcPr>
            <w:tcW w:w="3092" w:type="pct"/>
            <w:shd w:val="clear" w:color="auto" w:fill="F5F5F1"/>
            <w:noWrap/>
            <w:hideMark/>
          </w:tcPr>
          <w:p w14:paraId="373765C8" w14:textId="77777777" w:rsidR="008B1128" w:rsidRPr="00D23A28" w:rsidRDefault="008B1128" w:rsidP="00947954">
            <w:r w:rsidRPr="00D23A28">
              <w:t>Women's name is not on the deed</w:t>
            </w:r>
          </w:p>
        </w:tc>
        <w:tc>
          <w:tcPr>
            <w:tcW w:w="921" w:type="pct"/>
            <w:shd w:val="clear" w:color="auto" w:fill="F5F5F1"/>
            <w:noWrap/>
            <w:hideMark/>
          </w:tcPr>
          <w:p w14:paraId="63488957" w14:textId="77777777" w:rsidR="008B1128" w:rsidRPr="00D23A28" w:rsidRDefault="008B1128" w:rsidP="00947954">
            <w:r w:rsidRPr="00D23A28">
              <w:t>3%</w:t>
            </w:r>
          </w:p>
        </w:tc>
        <w:tc>
          <w:tcPr>
            <w:tcW w:w="986" w:type="pct"/>
            <w:shd w:val="clear" w:color="auto" w:fill="F5F5F1"/>
            <w:noWrap/>
            <w:hideMark/>
          </w:tcPr>
          <w:p w14:paraId="70C9B22F" w14:textId="77777777" w:rsidR="008B1128" w:rsidRPr="00D23A28" w:rsidRDefault="008B1128" w:rsidP="00947954">
            <w:r w:rsidRPr="00D23A28">
              <w:t>2%</w:t>
            </w:r>
          </w:p>
        </w:tc>
      </w:tr>
      <w:tr w:rsidR="008B1128" w:rsidRPr="00D23A28" w14:paraId="132A9875" w14:textId="77777777" w:rsidTr="007869FC">
        <w:trPr>
          <w:trHeight w:val="320"/>
          <w:tblHeader/>
        </w:trPr>
        <w:tc>
          <w:tcPr>
            <w:tcW w:w="3092" w:type="pct"/>
            <w:tcBorders>
              <w:bottom w:val="single" w:sz="12" w:space="0" w:color="auto"/>
            </w:tcBorders>
            <w:shd w:val="clear" w:color="auto" w:fill="F5F5F1"/>
            <w:noWrap/>
            <w:hideMark/>
          </w:tcPr>
          <w:p w14:paraId="2C55BE2B" w14:textId="77777777" w:rsidR="008B1128" w:rsidRPr="00D23A28" w:rsidRDefault="008B1128" w:rsidP="00947954">
            <w:r w:rsidRPr="00D23A28">
              <w:t>House/land does not have a title or deed</w:t>
            </w:r>
          </w:p>
        </w:tc>
        <w:tc>
          <w:tcPr>
            <w:tcW w:w="921" w:type="pct"/>
            <w:tcBorders>
              <w:bottom w:val="single" w:sz="12" w:space="0" w:color="auto"/>
            </w:tcBorders>
            <w:shd w:val="clear" w:color="auto" w:fill="F5F5F1"/>
            <w:noWrap/>
            <w:hideMark/>
          </w:tcPr>
          <w:p w14:paraId="706D502F" w14:textId="77777777" w:rsidR="008B1128" w:rsidRPr="00D23A28" w:rsidRDefault="008B1128" w:rsidP="00947954">
            <w:r w:rsidRPr="00D23A28">
              <w:t>93%</w:t>
            </w:r>
          </w:p>
        </w:tc>
        <w:tc>
          <w:tcPr>
            <w:tcW w:w="986" w:type="pct"/>
            <w:tcBorders>
              <w:bottom w:val="single" w:sz="12" w:space="0" w:color="auto"/>
            </w:tcBorders>
            <w:shd w:val="clear" w:color="auto" w:fill="F5F5F1"/>
            <w:noWrap/>
            <w:hideMark/>
          </w:tcPr>
          <w:p w14:paraId="2CAA0FBD" w14:textId="77777777" w:rsidR="008B1128" w:rsidRPr="00D23A28" w:rsidRDefault="008B1128" w:rsidP="00947954">
            <w:r w:rsidRPr="00D23A28">
              <w:t>96%</w:t>
            </w:r>
          </w:p>
        </w:tc>
      </w:tr>
      <w:tr w:rsidR="008B1128" w:rsidRPr="00D23A28" w14:paraId="5CB266A6" w14:textId="77777777" w:rsidTr="00EF3A67">
        <w:trPr>
          <w:trHeight w:val="320"/>
          <w:tblHeader/>
        </w:trPr>
        <w:tc>
          <w:tcPr>
            <w:tcW w:w="5000" w:type="pct"/>
            <w:gridSpan w:val="3"/>
            <w:tcBorders>
              <w:top w:val="single" w:sz="12" w:space="0" w:color="auto"/>
            </w:tcBorders>
            <w:noWrap/>
          </w:tcPr>
          <w:p w14:paraId="64278F54" w14:textId="12B68FBD" w:rsidR="008B1128" w:rsidRPr="00D23A28" w:rsidRDefault="008B1128" w:rsidP="005A4346">
            <w:pPr>
              <w:rPr>
                <w:sz w:val="18"/>
                <w:szCs w:val="18"/>
              </w:rPr>
            </w:pPr>
            <w:r w:rsidRPr="00D23A28">
              <w:rPr>
                <w:i/>
                <w:iCs/>
                <w:sz w:val="18"/>
                <w:szCs w:val="18"/>
              </w:rPr>
              <w:t>Source:</w:t>
            </w:r>
            <w:r w:rsidRPr="00D23A28">
              <w:rPr>
                <w:sz w:val="18"/>
                <w:szCs w:val="18"/>
              </w:rPr>
              <w:t xml:space="preserve"> Malawi DHS (2015-16), Tables 16.5.1 and 16.6.1; See </w:t>
            </w:r>
            <w:hyperlink r:id="rId24" w:tooltip="http://www.nsomalawi.mw/images/stories/data_on_line/demography/mdhs2015_16/MDHS%202015-16%20Final%20Report.pdf" w:history="1">
              <w:r w:rsidRPr="00D23A28">
                <w:rPr>
                  <w:rStyle w:val="Hyperlink"/>
                  <w:sz w:val="18"/>
                  <w:szCs w:val="18"/>
                </w:rPr>
                <w:t>http://www.nsomalawi.mw/images/stories/data_on_line/demography/mdhs2015_16/MDHS%202015-16%20Final%20Report.pdf</w:t>
              </w:r>
            </w:hyperlink>
          </w:p>
        </w:tc>
      </w:tr>
    </w:tbl>
    <w:p w14:paraId="2D3DF184" w14:textId="77777777" w:rsidR="008B1128" w:rsidRPr="00D23A28" w:rsidRDefault="008B1128" w:rsidP="00100987">
      <w:pPr>
        <w:pStyle w:val="Heading2"/>
        <w:rPr>
          <w:rFonts w:eastAsiaTheme="majorEastAsia"/>
        </w:rPr>
      </w:pPr>
      <w:r w:rsidRPr="00D23A28">
        <w:rPr>
          <w:rFonts w:eastAsiaTheme="majorEastAsia"/>
        </w:rPr>
        <w:t>5.22 Average hourly earnings of female and male employees, by occupation, age and persons with disabilities (SDG indicator 8.5.1)</w:t>
      </w:r>
    </w:p>
    <w:p w14:paraId="58760D3A" w14:textId="77777777" w:rsidR="008B1128" w:rsidRPr="00D23A28" w:rsidRDefault="008B1128" w:rsidP="00100987">
      <w:pPr>
        <w:pStyle w:val="Heading4"/>
        <w:rPr>
          <w:rFonts w:eastAsiaTheme="majorEastAsia"/>
        </w:rPr>
      </w:pPr>
      <w:r w:rsidRPr="00D23A28">
        <w:rPr>
          <w:rFonts w:eastAsiaTheme="majorEastAsia"/>
        </w:rPr>
        <w:t>Level 2: Indicator could be produced with straightforward additions or modifications to existing data collection efforts.</w:t>
      </w:r>
    </w:p>
    <w:p w14:paraId="73D0B2ED" w14:textId="735B8F79" w:rsidR="008B1128" w:rsidRPr="00D23A28" w:rsidRDefault="004D2E9B" w:rsidP="008B1128">
      <w:hyperlink r:id="rId25" w:history="1">
        <w:r w:rsidR="00EB2381" w:rsidRPr="00D23A28">
          <w:rPr>
            <w:rStyle w:val="Hyperlink"/>
          </w:rPr>
          <w:t>Link to the metadata related to this SDG indicator</w:t>
        </w:r>
      </w:hyperlink>
    </w:p>
    <w:p w14:paraId="4CE92EFA" w14:textId="04B730A2" w:rsidR="00716898" w:rsidRPr="00D23A28" w:rsidRDefault="00716898" w:rsidP="00716898">
      <w:pPr>
        <w:rPr>
          <w:iCs/>
        </w:rPr>
      </w:pPr>
      <w:r w:rsidRPr="00D23A28">
        <w:rPr>
          <w:iCs/>
        </w:rPr>
        <w:t>According to the metadata:</w:t>
      </w:r>
    </w:p>
    <w:p w14:paraId="286D217D" w14:textId="2D77183A" w:rsidR="008B1128" w:rsidRPr="00D23A28" w:rsidRDefault="00152FD1" w:rsidP="00152FD1">
      <w:pPr>
        <w:ind w:left="360"/>
        <w:rPr>
          <w:i/>
          <w:iCs/>
        </w:rPr>
      </w:pPr>
      <w:r w:rsidRPr="00D23A28">
        <w:rPr>
          <w:i/>
          <w:iCs/>
        </w:rPr>
        <w:t>“</w:t>
      </w:r>
      <w:r w:rsidR="008B1128" w:rsidRPr="00D23A28">
        <w:rPr>
          <w:i/>
          <w:iCs/>
        </w:rPr>
        <w:t>There are a variety of possible sources of data on employees’ earnings. Establishment surveys are usually the most reliable source, given the high accuracy of earnings figures derived from them (the information typically comes from the payroll, so is precise). However, the scope of these statistics is limited to the coverage of the establishment survey in question (usually excluding small establishments, agricultural establishments and/or informal sector establishments).</w:t>
      </w:r>
    </w:p>
    <w:p w14:paraId="7DAA87C1" w14:textId="77777777" w:rsidR="008B1128" w:rsidRPr="00D23A28" w:rsidRDefault="008B1128" w:rsidP="00152FD1">
      <w:pPr>
        <w:ind w:left="360"/>
        <w:rPr>
          <w:i/>
          <w:iCs/>
        </w:rPr>
      </w:pPr>
      <w:r w:rsidRPr="00D23A28">
        <w:rPr>
          <w:i/>
          <w:iCs/>
        </w:rPr>
        <w:t>Household surveys (and especially labour force surveys) can provide earnings statistics covering all economic activities, and all establishment types and sizes, but the quality of the data is highly dependent on the accuracy of respondents’ answers.</w:t>
      </w:r>
    </w:p>
    <w:p w14:paraId="12270508" w14:textId="77777777" w:rsidR="008B1128" w:rsidRPr="00D23A28" w:rsidRDefault="008B1128" w:rsidP="00152FD1">
      <w:pPr>
        <w:ind w:left="360"/>
        <w:rPr>
          <w:i/>
          <w:iCs/>
        </w:rPr>
      </w:pPr>
      <w:r w:rsidRPr="00D23A28">
        <w:rPr>
          <w:i/>
          <w:iCs/>
        </w:rPr>
        <w:t>Data on earnings could also be derived from a variety of administrative records.</w:t>
      </w:r>
    </w:p>
    <w:p w14:paraId="7DF8B86D" w14:textId="1B93C381" w:rsidR="008B1128" w:rsidRPr="00D23A28" w:rsidRDefault="008B1128" w:rsidP="00152FD1">
      <w:pPr>
        <w:ind w:left="360"/>
        <w:rPr>
          <w:i/>
          <w:iCs/>
          <w:color w:val="000000"/>
        </w:rPr>
      </w:pPr>
      <w:r w:rsidRPr="00D23A28">
        <w:rPr>
          <w:i/>
          <w:iCs/>
        </w:rPr>
        <w:lastRenderedPageBreak/>
        <w:t xml:space="preserve">ILO hosts data from force surveys and provides relatively easy access to pre-tabulated data on </w:t>
      </w:r>
      <w:r w:rsidR="00716898" w:rsidRPr="00D23A28">
        <w:rPr>
          <w:i/>
          <w:iCs/>
        </w:rPr>
        <w:t>'</w:t>
      </w:r>
      <w:r w:rsidRPr="00D23A28">
        <w:rPr>
          <w:i/>
          <w:iCs/>
          <w:color w:val="000000"/>
        </w:rPr>
        <w:t>Mean nominal monthly earnings of employees by sex and occupation (local currency).</w:t>
      </w:r>
      <w:r w:rsidR="00716898" w:rsidRPr="00D23A28">
        <w:rPr>
          <w:i/>
          <w:iCs/>
          <w:color w:val="000000"/>
        </w:rPr>
        <w:t>'</w:t>
      </w:r>
      <w:r w:rsidRPr="00D23A28">
        <w:rPr>
          <w:i/>
          <w:iCs/>
          <w:color w:val="000000"/>
        </w:rPr>
        <w:t>”</w:t>
      </w:r>
    </w:p>
    <w:p w14:paraId="2177AD4A" w14:textId="77777777" w:rsidR="008B1128" w:rsidRPr="00D23A28" w:rsidRDefault="008B1128" w:rsidP="00E0225B">
      <w:r w:rsidRPr="00D23A28">
        <w:t>Some of the surveys include disability questions, but ILO does not have a pre-tabulated table for this information.</w:t>
      </w:r>
      <w:r w:rsidRPr="00D23A28">
        <w:rPr>
          <w:color w:val="4A4A4A"/>
        </w:rPr>
        <w:t xml:space="preserve"> </w:t>
      </w:r>
      <w:r w:rsidRPr="00D23A28">
        <w:t xml:space="preserve">A table from for Spain (ESP - ES - </w:t>
      </w:r>
      <w:proofErr w:type="spellStart"/>
      <w:r w:rsidRPr="00D23A28">
        <w:rPr>
          <w:lang w:val="en-US"/>
        </w:rPr>
        <w:t>Encuesta</w:t>
      </w:r>
      <w:proofErr w:type="spellEnd"/>
      <w:r w:rsidRPr="00D23A28">
        <w:rPr>
          <w:lang w:val="en-US"/>
        </w:rPr>
        <w:t xml:space="preserve"> </w:t>
      </w:r>
      <w:proofErr w:type="spellStart"/>
      <w:r w:rsidRPr="00D23A28">
        <w:rPr>
          <w:lang w:val="en-US"/>
        </w:rPr>
        <w:t>Anual</w:t>
      </w:r>
      <w:proofErr w:type="spellEnd"/>
      <w:r w:rsidRPr="00D23A28">
        <w:rPr>
          <w:lang w:val="en-US"/>
        </w:rPr>
        <w:t xml:space="preserve"> de </w:t>
      </w:r>
      <w:proofErr w:type="spellStart"/>
      <w:r w:rsidRPr="00D23A28">
        <w:rPr>
          <w:lang w:val="en-US"/>
        </w:rPr>
        <w:t>Estructura</w:t>
      </w:r>
      <w:proofErr w:type="spellEnd"/>
      <w:r w:rsidRPr="00D23A28">
        <w:rPr>
          <w:lang w:val="en-US"/>
        </w:rPr>
        <w:t xml:space="preserve"> </w:t>
      </w:r>
      <w:proofErr w:type="spellStart"/>
      <w:r w:rsidRPr="00D23A28">
        <w:rPr>
          <w:lang w:val="en-US"/>
        </w:rPr>
        <w:t>Salarial</w:t>
      </w:r>
      <w:proofErr w:type="spellEnd"/>
      <w:r w:rsidRPr="00D23A28">
        <w:t xml:space="preserve"> in 2015), is reformatted below, in table 4. ILO could report this table by disability status for countries which include disability within their labour force survey.</w:t>
      </w:r>
    </w:p>
    <w:p w14:paraId="1F7D5B6C" w14:textId="1100C8BB" w:rsidR="008B1128" w:rsidRPr="00D23A28" w:rsidRDefault="008B1128" w:rsidP="00492BA5">
      <w:pPr>
        <w:pStyle w:val="TableHeader"/>
        <w:rPr>
          <w:rFonts w:asciiTheme="minorHAnsi" w:hAnsiTheme="minorHAnsi"/>
        </w:rPr>
      </w:pPr>
      <w:r w:rsidRPr="00D23A28">
        <w:rPr>
          <w:rFonts w:asciiTheme="minorHAnsi" w:hAnsiTheme="minorHAnsi"/>
          <w:b/>
          <w:bCs w:val="0"/>
        </w:rPr>
        <w:t>Table 4</w:t>
      </w:r>
      <w:r w:rsidR="00EB2381" w:rsidRPr="00D23A28">
        <w:rPr>
          <w:rFonts w:asciiTheme="minorHAnsi" w:hAnsiTheme="minorHAnsi"/>
          <w:b/>
          <w:bCs w:val="0"/>
        </w:rPr>
        <w:t>:</w:t>
      </w:r>
      <w:r w:rsidR="00EB2381" w:rsidRPr="00D23A28">
        <w:rPr>
          <w:rFonts w:asciiTheme="minorHAnsi" w:hAnsiTheme="minorHAnsi"/>
        </w:rPr>
        <w:t xml:space="preserve"> </w:t>
      </w:r>
      <w:r w:rsidRPr="00D23A28">
        <w:rPr>
          <w:rFonts w:asciiTheme="minorHAnsi" w:hAnsiTheme="minorHAnsi"/>
        </w:rPr>
        <w:t>Mean nominal monthly earnings of employees by sex and occupation (local currency), Spain, 2015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Mean nominal monthly earnings of employees by sex and occupation (local currency), Spain, 2015"/>
      </w:tblPr>
      <w:tblGrid>
        <w:gridCol w:w="5529"/>
        <w:gridCol w:w="1157"/>
        <w:gridCol w:w="1157"/>
        <w:gridCol w:w="1157"/>
      </w:tblGrid>
      <w:tr w:rsidR="008B1128" w:rsidRPr="00D23A28" w14:paraId="32BA4611" w14:textId="77777777" w:rsidTr="00221E30">
        <w:trPr>
          <w:trHeight w:val="280"/>
          <w:tblHeader/>
        </w:trPr>
        <w:tc>
          <w:tcPr>
            <w:tcW w:w="3071" w:type="pct"/>
            <w:tcBorders>
              <w:top w:val="single" w:sz="12" w:space="0" w:color="auto"/>
              <w:bottom w:val="single" w:sz="12" w:space="0" w:color="auto"/>
            </w:tcBorders>
            <w:shd w:val="clear" w:color="auto" w:fill="F5F5F1"/>
            <w:hideMark/>
          </w:tcPr>
          <w:p w14:paraId="272912FB" w14:textId="77777777" w:rsidR="008B1128" w:rsidRPr="00D23A28" w:rsidRDefault="008B1128" w:rsidP="00164F8F"/>
        </w:tc>
        <w:tc>
          <w:tcPr>
            <w:tcW w:w="643" w:type="pct"/>
            <w:tcBorders>
              <w:top w:val="single" w:sz="12" w:space="0" w:color="auto"/>
              <w:bottom w:val="single" w:sz="12" w:space="0" w:color="auto"/>
            </w:tcBorders>
            <w:shd w:val="clear" w:color="auto" w:fill="F5F5F1"/>
            <w:vAlign w:val="center"/>
            <w:hideMark/>
          </w:tcPr>
          <w:p w14:paraId="6DC9EB5E" w14:textId="77777777" w:rsidR="008B1128" w:rsidRPr="00D23A28" w:rsidRDefault="008B1128" w:rsidP="005B7F5E">
            <w:pPr>
              <w:pStyle w:val="TableHeaderRow"/>
            </w:pPr>
            <w:r w:rsidRPr="00D23A28">
              <w:t>Total</w:t>
            </w:r>
          </w:p>
        </w:tc>
        <w:tc>
          <w:tcPr>
            <w:tcW w:w="643" w:type="pct"/>
            <w:tcBorders>
              <w:top w:val="single" w:sz="12" w:space="0" w:color="auto"/>
              <w:bottom w:val="single" w:sz="12" w:space="0" w:color="auto"/>
            </w:tcBorders>
            <w:shd w:val="clear" w:color="auto" w:fill="F5F5F1"/>
            <w:vAlign w:val="center"/>
            <w:hideMark/>
          </w:tcPr>
          <w:p w14:paraId="76575A39" w14:textId="77777777" w:rsidR="008B1128" w:rsidRPr="00D23A28" w:rsidRDefault="008B1128" w:rsidP="005B7F5E">
            <w:pPr>
              <w:pStyle w:val="TableHeaderRow"/>
            </w:pPr>
            <w:r w:rsidRPr="00D23A28">
              <w:t>Male</w:t>
            </w:r>
          </w:p>
        </w:tc>
        <w:tc>
          <w:tcPr>
            <w:tcW w:w="643" w:type="pct"/>
            <w:tcBorders>
              <w:top w:val="single" w:sz="12" w:space="0" w:color="auto"/>
              <w:bottom w:val="single" w:sz="12" w:space="0" w:color="auto"/>
            </w:tcBorders>
            <w:shd w:val="clear" w:color="auto" w:fill="F5F5F1"/>
            <w:vAlign w:val="center"/>
            <w:hideMark/>
          </w:tcPr>
          <w:p w14:paraId="102D3E43" w14:textId="77777777" w:rsidR="008B1128" w:rsidRPr="00D23A28" w:rsidRDefault="008B1128" w:rsidP="005B7F5E">
            <w:pPr>
              <w:pStyle w:val="TableHeaderRow"/>
            </w:pPr>
            <w:r w:rsidRPr="00D23A28">
              <w:t>Female</w:t>
            </w:r>
          </w:p>
        </w:tc>
      </w:tr>
      <w:tr w:rsidR="008B1128" w:rsidRPr="00D23A28" w14:paraId="42A410C3" w14:textId="77777777" w:rsidTr="00644108">
        <w:trPr>
          <w:trHeight w:val="400"/>
          <w:tblHeader/>
        </w:trPr>
        <w:tc>
          <w:tcPr>
            <w:tcW w:w="3071" w:type="pct"/>
            <w:tcBorders>
              <w:top w:val="single" w:sz="12" w:space="0" w:color="auto"/>
            </w:tcBorders>
            <w:shd w:val="clear" w:color="auto" w:fill="F5F5F1"/>
            <w:noWrap/>
            <w:hideMark/>
          </w:tcPr>
          <w:p w14:paraId="2F1EB6B8" w14:textId="77777777" w:rsidR="008B1128" w:rsidRPr="00D23A28" w:rsidRDefault="008B1128" w:rsidP="00644108">
            <w:r w:rsidRPr="00D23A28">
              <w:t>Total</w:t>
            </w:r>
          </w:p>
        </w:tc>
        <w:tc>
          <w:tcPr>
            <w:tcW w:w="643" w:type="pct"/>
            <w:tcBorders>
              <w:top w:val="single" w:sz="12" w:space="0" w:color="auto"/>
            </w:tcBorders>
            <w:shd w:val="clear" w:color="auto" w:fill="F5F5F1"/>
            <w:noWrap/>
            <w:hideMark/>
          </w:tcPr>
          <w:p w14:paraId="485481B1" w14:textId="77777777" w:rsidR="008B1128" w:rsidRPr="00D23A28" w:rsidRDefault="008B1128" w:rsidP="00644108">
            <w:r w:rsidRPr="00D23A28">
              <w:t>€ 1,894</w:t>
            </w:r>
          </w:p>
        </w:tc>
        <w:tc>
          <w:tcPr>
            <w:tcW w:w="643" w:type="pct"/>
            <w:tcBorders>
              <w:top w:val="single" w:sz="12" w:space="0" w:color="auto"/>
            </w:tcBorders>
            <w:shd w:val="clear" w:color="auto" w:fill="F5F5F1"/>
            <w:noWrap/>
            <w:hideMark/>
          </w:tcPr>
          <w:p w14:paraId="6D003CC3" w14:textId="77777777" w:rsidR="008B1128" w:rsidRPr="00D23A28" w:rsidRDefault="008B1128" w:rsidP="00644108">
            <w:r w:rsidRPr="00D23A28">
              <w:t>€ 2,122</w:t>
            </w:r>
          </w:p>
        </w:tc>
        <w:tc>
          <w:tcPr>
            <w:tcW w:w="643" w:type="pct"/>
            <w:tcBorders>
              <w:top w:val="single" w:sz="12" w:space="0" w:color="auto"/>
            </w:tcBorders>
            <w:shd w:val="clear" w:color="auto" w:fill="F5F5F1"/>
            <w:noWrap/>
            <w:hideMark/>
          </w:tcPr>
          <w:p w14:paraId="3D280066" w14:textId="77777777" w:rsidR="008B1128" w:rsidRPr="00D23A28" w:rsidRDefault="008B1128" w:rsidP="00644108">
            <w:r w:rsidRPr="00D23A28">
              <w:t>€ 1,644</w:t>
            </w:r>
          </w:p>
        </w:tc>
      </w:tr>
      <w:tr w:rsidR="008B1128" w:rsidRPr="00D23A28" w14:paraId="04EB2FA7" w14:textId="77777777" w:rsidTr="00A356AF">
        <w:trPr>
          <w:trHeight w:val="400"/>
          <w:tblHeader/>
        </w:trPr>
        <w:tc>
          <w:tcPr>
            <w:tcW w:w="3071" w:type="pct"/>
            <w:shd w:val="clear" w:color="auto" w:fill="F5F5F1"/>
            <w:noWrap/>
            <w:hideMark/>
          </w:tcPr>
          <w:p w14:paraId="2B23DC29" w14:textId="77777777" w:rsidR="008B1128" w:rsidRPr="00D23A28" w:rsidRDefault="008B1128" w:rsidP="00644108">
            <w:r w:rsidRPr="00D23A28">
              <w:t>1. Managers</w:t>
            </w:r>
          </w:p>
        </w:tc>
        <w:tc>
          <w:tcPr>
            <w:tcW w:w="643" w:type="pct"/>
            <w:shd w:val="clear" w:color="auto" w:fill="F5F5F1"/>
            <w:noWrap/>
            <w:hideMark/>
          </w:tcPr>
          <w:p w14:paraId="19C1EA23" w14:textId="77777777" w:rsidR="008B1128" w:rsidRPr="00D23A28" w:rsidRDefault="008B1128" w:rsidP="00644108">
            <w:r w:rsidRPr="00D23A28">
              <w:t>€ 4,134</w:t>
            </w:r>
          </w:p>
        </w:tc>
        <w:tc>
          <w:tcPr>
            <w:tcW w:w="643" w:type="pct"/>
            <w:shd w:val="clear" w:color="auto" w:fill="F5F5F1"/>
            <w:noWrap/>
            <w:hideMark/>
          </w:tcPr>
          <w:p w14:paraId="3F400101" w14:textId="77777777" w:rsidR="008B1128" w:rsidRPr="00D23A28" w:rsidRDefault="008B1128" w:rsidP="00644108">
            <w:r w:rsidRPr="00D23A28">
              <w:t>€ 4,399</w:t>
            </w:r>
          </w:p>
        </w:tc>
        <w:tc>
          <w:tcPr>
            <w:tcW w:w="643" w:type="pct"/>
            <w:shd w:val="clear" w:color="auto" w:fill="F5F5F1"/>
            <w:noWrap/>
            <w:hideMark/>
          </w:tcPr>
          <w:p w14:paraId="1573575C" w14:textId="77777777" w:rsidR="008B1128" w:rsidRPr="00D23A28" w:rsidRDefault="008B1128" w:rsidP="00644108">
            <w:r w:rsidRPr="00D23A28">
              <w:t>€ 3,604</w:t>
            </w:r>
          </w:p>
        </w:tc>
      </w:tr>
      <w:tr w:rsidR="008B1128" w:rsidRPr="00D23A28" w14:paraId="5B82D646" w14:textId="77777777" w:rsidTr="00A356AF">
        <w:trPr>
          <w:trHeight w:val="400"/>
          <w:tblHeader/>
        </w:trPr>
        <w:tc>
          <w:tcPr>
            <w:tcW w:w="3071" w:type="pct"/>
            <w:tcBorders>
              <w:bottom w:val="single" w:sz="12" w:space="0" w:color="auto"/>
            </w:tcBorders>
            <w:shd w:val="clear" w:color="auto" w:fill="F5F5F1"/>
            <w:noWrap/>
            <w:hideMark/>
          </w:tcPr>
          <w:p w14:paraId="4D8FDB3B" w14:textId="77777777" w:rsidR="008B1128" w:rsidRPr="00D23A28" w:rsidRDefault="008B1128" w:rsidP="00644108">
            <w:r w:rsidRPr="00D23A28">
              <w:t>2. Professionals</w:t>
            </w:r>
          </w:p>
        </w:tc>
        <w:tc>
          <w:tcPr>
            <w:tcW w:w="643" w:type="pct"/>
            <w:tcBorders>
              <w:bottom w:val="single" w:sz="12" w:space="0" w:color="auto"/>
            </w:tcBorders>
            <w:shd w:val="clear" w:color="auto" w:fill="F5F5F1"/>
            <w:noWrap/>
            <w:hideMark/>
          </w:tcPr>
          <w:p w14:paraId="22DA3DCD" w14:textId="77777777" w:rsidR="008B1128" w:rsidRPr="00D23A28" w:rsidRDefault="008B1128" w:rsidP="00644108">
            <w:r w:rsidRPr="00D23A28">
              <w:t>€ 2,889</w:t>
            </w:r>
          </w:p>
        </w:tc>
        <w:tc>
          <w:tcPr>
            <w:tcW w:w="643" w:type="pct"/>
            <w:tcBorders>
              <w:bottom w:val="single" w:sz="12" w:space="0" w:color="auto"/>
            </w:tcBorders>
            <w:shd w:val="clear" w:color="auto" w:fill="F5F5F1"/>
            <w:noWrap/>
            <w:hideMark/>
          </w:tcPr>
          <w:p w14:paraId="2981B35F" w14:textId="77777777" w:rsidR="008B1128" w:rsidRPr="00D23A28" w:rsidRDefault="008B1128" w:rsidP="00644108">
            <w:r w:rsidRPr="00D23A28">
              <w:t>€ 3,213</w:t>
            </w:r>
          </w:p>
        </w:tc>
        <w:tc>
          <w:tcPr>
            <w:tcW w:w="643" w:type="pct"/>
            <w:tcBorders>
              <w:bottom w:val="single" w:sz="12" w:space="0" w:color="auto"/>
            </w:tcBorders>
            <w:shd w:val="clear" w:color="auto" w:fill="F5F5F1"/>
            <w:noWrap/>
            <w:hideMark/>
          </w:tcPr>
          <w:p w14:paraId="6FCB0B71" w14:textId="77777777" w:rsidR="008B1128" w:rsidRPr="00D23A28" w:rsidRDefault="008B1128" w:rsidP="00644108">
            <w:r w:rsidRPr="00D23A28">
              <w:t>€ 2,656</w:t>
            </w:r>
          </w:p>
        </w:tc>
      </w:tr>
      <w:tr w:rsidR="008B1128" w:rsidRPr="00D23A28" w14:paraId="3485787D" w14:textId="77777777" w:rsidTr="00A356AF">
        <w:trPr>
          <w:trHeight w:val="400"/>
          <w:tblHeader/>
        </w:trPr>
        <w:tc>
          <w:tcPr>
            <w:tcW w:w="3071" w:type="pct"/>
            <w:tcBorders>
              <w:top w:val="single" w:sz="12" w:space="0" w:color="auto"/>
            </w:tcBorders>
            <w:shd w:val="clear" w:color="auto" w:fill="F5F5F1"/>
            <w:noWrap/>
            <w:hideMark/>
          </w:tcPr>
          <w:p w14:paraId="45632EBF" w14:textId="77777777" w:rsidR="008B1128" w:rsidRPr="00D23A28" w:rsidRDefault="008B1128" w:rsidP="00644108">
            <w:r w:rsidRPr="00D23A28">
              <w:t>3. Technicians and associate professionals</w:t>
            </w:r>
          </w:p>
        </w:tc>
        <w:tc>
          <w:tcPr>
            <w:tcW w:w="643" w:type="pct"/>
            <w:tcBorders>
              <w:top w:val="single" w:sz="12" w:space="0" w:color="auto"/>
            </w:tcBorders>
            <w:shd w:val="clear" w:color="auto" w:fill="F5F5F1"/>
            <w:noWrap/>
            <w:hideMark/>
          </w:tcPr>
          <w:p w14:paraId="09051DC5" w14:textId="77777777" w:rsidR="008B1128" w:rsidRPr="00D23A28" w:rsidRDefault="008B1128" w:rsidP="00644108">
            <w:r w:rsidRPr="00D23A28">
              <w:t>€ 2,298</w:t>
            </w:r>
          </w:p>
        </w:tc>
        <w:tc>
          <w:tcPr>
            <w:tcW w:w="643" w:type="pct"/>
            <w:tcBorders>
              <w:top w:val="single" w:sz="12" w:space="0" w:color="auto"/>
            </w:tcBorders>
            <w:shd w:val="clear" w:color="auto" w:fill="F5F5F1"/>
            <w:noWrap/>
            <w:hideMark/>
          </w:tcPr>
          <w:p w14:paraId="2453D3E1" w14:textId="77777777" w:rsidR="008B1128" w:rsidRPr="00D23A28" w:rsidRDefault="008B1128" w:rsidP="00644108">
            <w:r w:rsidRPr="00D23A28">
              <w:t>€ 2,485</w:t>
            </w:r>
          </w:p>
        </w:tc>
        <w:tc>
          <w:tcPr>
            <w:tcW w:w="643" w:type="pct"/>
            <w:tcBorders>
              <w:top w:val="single" w:sz="12" w:space="0" w:color="auto"/>
            </w:tcBorders>
            <w:shd w:val="clear" w:color="auto" w:fill="F5F5F1"/>
            <w:noWrap/>
            <w:hideMark/>
          </w:tcPr>
          <w:p w14:paraId="3EF412E4" w14:textId="77777777" w:rsidR="008B1128" w:rsidRPr="00D23A28" w:rsidRDefault="008B1128" w:rsidP="00644108">
            <w:r w:rsidRPr="00D23A28">
              <w:t>€ 1,997</w:t>
            </w:r>
          </w:p>
        </w:tc>
      </w:tr>
      <w:tr w:rsidR="008B1128" w:rsidRPr="00D23A28" w14:paraId="2D0C8AD8" w14:textId="77777777" w:rsidTr="00644108">
        <w:trPr>
          <w:trHeight w:val="400"/>
          <w:tblHeader/>
        </w:trPr>
        <w:tc>
          <w:tcPr>
            <w:tcW w:w="3071" w:type="pct"/>
            <w:shd w:val="clear" w:color="auto" w:fill="F5F5F1"/>
            <w:noWrap/>
            <w:hideMark/>
          </w:tcPr>
          <w:p w14:paraId="7F6C2E12" w14:textId="77777777" w:rsidR="008B1128" w:rsidRPr="00D23A28" w:rsidRDefault="008B1128" w:rsidP="00644108">
            <w:r w:rsidRPr="00D23A28">
              <w:t>4. Clerical support workers</w:t>
            </w:r>
          </w:p>
        </w:tc>
        <w:tc>
          <w:tcPr>
            <w:tcW w:w="643" w:type="pct"/>
            <w:shd w:val="clear" w:color="auto" w:fill="F5F5F1"/>
            <w:noWrap/>
            <w:hideMark/>
          </w:tcPr>
          <w:p w14:paraId="7430607F" w14:textId="77777777" w:rsidR="008B1128" w:rsidRPr="00D23A28" w:rsidRDefault="008B1128" w:rsidP="00644108">
            <w:r w:rsidRPr="00D23A28">
              <w:t>€ 1,787</w:t>
            </w:r>
          </w:p>
        </w:tc>
        <w:tc>
          <w:tcPr>
            <w:tcW w:w="643" w:type="pct"/>
            <w:shd w:val="clear" w:color="auto" w:fill="F5F5F1"/>
            <w:noWrap/>
            <w:hideMark/>
          </w:tcPr>
          <w:p w14:paraId="7EF2E0FE" w14:textId="77777777" w:rsidR="008B1128" w:rsidRPr="00D23A28" w:rsidRDefault="008B1128" w:rsidP="00644108">
            <w:r w:rsidRPr="00D23A28">
              <w:t>€ 2,053</w:t>
            </w:r>
          </w:p>
        </w:tc>
        <w:tc>
          <w:tcPr>
            <w:tcW w:w="643" w:type="pct"/>
            <w:shd w:val="clear" w:color="auto" w:fill="F5F5F1"/>
            <w:noWrap/>
            <w:hideMark/>
          </w:tcPr>
          <w:p w14:paraId="46AE7007" w14:textId="77777777" w:rsidR="008B1128" w:rsidRPr="00D23A28" w:rsidRDefault="008B1128" w:rsidP="00644108">
            <w:r w:rsidRPr="00D23A28">
              <w:t>€ 1,651</w:t>
            </w:r>
          </w:p>
        </w:tc>
      </w:tr>
      <w:tr w:rsidR="008B1128" w:rsidRPr="00D23A28" w14:paraId="5B8AE623" w14:textId="77777777" w:rsidTr="00644108">
        <w:trPr>
          <w:trHeight w:val="400"/>
          <w:tblHeader/>
        </w:trPr>
        <w:tc>
          <w:tcPr>
            <w:tcW w:w="3071" w:type="pct"/>
            <w:shd w:val="clear" w:color="auto" w:fill="F5F5F1"/>
            <w:noWrap/>
            <w:hideMark/>
          </w:tcPr>
          <w:p w14:paraId="55375330" w14:textId="77777777" w:rsidR="008B1128" w:rsidRPr="00D23A28" w:rsidRDefault="008B1128" w:rsidP="00644108">
            <w:r w:rsidRPr="00D23A28">
              <w:t>5. Service and sales workers</w:t>
            </w:r>
          </w:p>
        </w:tc>
        <w:tc>
          <w:tcPr>
            <w:tcW w:w="643" w:type="pct"/>
            <w:shd w:val="clear" w:color="auto" w:fill="F5F5F1"/>
            <w:noWrap/>
            <w:hideMark/>
          </w:tcPr>
          <w:p w14:paraId="467F46A8" w14:textId="77777777" w:rsidR="008B1128" w:rsidRPr="00D23A28" w:rsidRDefault="008B1128" w:rsidP="00644108">
            <w:r w:rsidRPr="00D23A28">
              <w:t>€ 1,330</w:t>
            </w:r>
          </w:p>
        </w:tc>
        <w:tc>
          <w:tcPr>
            <w:tcW w:w="643" w:type="pct"/>
            <w:shd w:val="clear" w:color="auto" w:fill="F5F5F1"/>
            <w:noWrap/>
            <w:hideMark/>
          </w:tcPr>
          <w:p w14:paraId="1BC67C4A" w14:textId="77777777" w:rsidR="008B1128" w:rsidRPr="00D23A28" w:rsidRDefault="008B1128" w:rsidP="00644108">
            <w:r w:rsidRPr="00D23A28">
              <w:t>€ 1,608</w:t>
            </w:r>
          </w:p>
        </w:tc>
        <w:tc>
          <w:tcPr>
            <w:tcW w:w="643" w:type="pct"/>
            <w:shd w:val="clear" w:color="auto" w:fill="F5F5F1"/>
            <w:noWrap/>
            <w:hideMark/>
          </w:tcPr>
          <w:p w14:paraId="289AF3E2" w14:textId="77777777" w:rsidR="008B1128" w:rsidRPr="00D23A28" w:rsidRDefault="008B1128" w:rsidP="00644108">
            <w:r w:rsidRPr="00D23A28">
              <w:t>€ 1,144</w:t>
            </w:r>
          </w:p>
        </w:tc>
      </w:tr>
      <w:tr w:rsidR="008B1128" w:rsidRPr="00D23A28" w14:paraId="0CD87417" w14:textId="77777777" w:rsidTr="00B84E3B">
        <w:trPr>
          <w:trHeight w:val="400"/>
          <w:tblHeader/>
        </w:trPr>
        <w:tc>
          <w:tcPr>
            <w:tcW w:w="3071" w:type="pct"/>
            <w:shd w:val="clear" w:color="auto" w:fill="F5F5F1"/>
            <w:noWrap/>
            <w:hideMark/>
          </w:tcPr>
          <w:p w14:paraId="7AABC007" w14:textId="77777777" w:rsidR="008B1128" w:rsidRPr="00D23A28" w:rsidRDefault="008B1128" w:rsidP="00644108">
            <w:r w:rsidRPr="00D23A28">
              <w:t>6. Skilled agricultural, forestry and fishery workers</w:t>
            </w:r>
          </w:p>
        </w:tc>
        <w:tc>
          <w:tcPr>
            <w:tcW w:w="643" w:type="pct"/>
            <w:shd w:val="clear" w:color="auto" w:fill="F5F5F1"/>
            <w:noWrap/>
            <w:hideMark/>
          </w:tcPr>
          <w:p w14:paraId="29F2BB4A" w14:textId="77777777" w:rsidR="008B1128" w:rsidRPr="00D23A28" w:rsidRDefault="008B1128" w:rsidP="00644108">
            <w:r w:rsidRPr="00D23A28">
              <w:t>€ 1,329</w:t>
            </w:r>
          </w:p>
        </w:tc>
        <w:tc>
          <w:tcPr>
            <w:tcW w:w="643" w:type="pct"/>
            <w:shd w:val="clear" w:color="auto" w:fill="F5F5F1"/>
            <w:noWrap/>
            <w:hideMark/>
          </w:tcPr>
          <w:p w14:paraId="6007CB31" w14:textId="77777777" w:rsidR="008B1128" w:rsidRPr="00D23A28" w:rsidRDefault="008B1128" w:rsidP="00644108">
            <w:r w:rsidRPr="00D23A28">
              <w:t>€ 1,330</w:t>
            </w:r>
          </w:p>
        </w:tc>
        <w:tc>
          <w:tcPr>
            <w:tcW w:w="643" w:type="pct"/>
            <w:shd w:val="clear" w:color="auto" w:fill="F5F5F1"/>
            <w:noWrap/>
            <w:hideMark/>
          </w:tcPr>
          <w:p w14:paraId="260AF151" w14:textId="77777777" w:rsidR="008B1128" w:rsidRPr="00D23A28" w:rsidRDefault="008B1128" w:rsidP="00644108">
            <w:r w:rsidRPr="00D23A28">
              <w:t>€ 1,326</w:t>
            </w:r>
          </w:p>
        </w:tc>
      </w:tr>
      <w:tr w:rsidR="008B1128" w:rsidRPr="00D23A28" w14:paraId="4F5889A7" w14:textId="77777777" w:rsidTr="00B84E3B">
        <w:trPr>
          <w:trHeight w:val="400"/>
          <w:tblHeader/>
        </w:trPr>
        <w:tc>
          <w:tcPr>
            <w:tcW w:w="3071" w:type="pct"/>
            <w:shd w:val="clear" w:color="auto" w:fill="F5F5F1"/>
            <w:noWrap/>
            <w:hideMark/>
          </w:tcPr>
          <w:p w14:paraId="66EA4AA7" w14:textId="77777777" w:rsidR="008B1128" w:rsidRPr="00D23A28" w:rsidRDefault="008B1128" w:rsidP="00644108">
            <w:r w:rsidRPr="00D23A28">
              <w:t>7. Craft and related trades workers</w:t>
            </w:r>
          </w:p>
        </w:tc>
        <w:tc>
          <w:tcPr>
            <w:tcW w:w="643" w:type="pct"/>
            <w:shd w:val="clear" w:color="auto" w:fill="F5F5F1"/>
            <w:noWrap/>
            <w:hideMark/>
          </w:tcPr>
          <w:p w14:paraId="453EE0A1" w14:textId="77777777" w:rsidR="008B1128" w:rsidRPr="00D23A28" w:rsidRDefault="008B1128" w:rsidP="00644108">
            <w:r w:rsidRPr="00D23A28">
              <w:t>€ 1,724</w:t>
            </w:r>
          </w:p>
        </w:tc>
        <w:tc>
          <w:tcPr>
            <w:tcW w:w="643" w:type="pct"/>
            <w:shd w:val="clear" w:color="auto" w:fill="F5F5F1"/>
            <w:noWrap/>
            <w:hideMark/>
          </w:tcPr>
          <w:p w14:paraId="183C52EA" w14:textId="77777777" w:rsidR="008B1128" w:rsidRPr="00D23A28" w:rsidRDefault="008B1128" w:rsidP="00644108">
            <w:r w:rsidRPr="00D23A28">
              <w:t>€ 1,764</w:t>
            </w:r>
          </w:p>
        </w:tc>
        <w:tc>
          <w:tcPr>
            <w:tcW w:w="643" w:type="pct"/>
            <w:shd w:val="clear" w:color="auto" w:fill="F5F5F1"/>
            <w:noWrap/>
            <w:hideMark/>
          </w:tcPr>
          <w:p w14:paraId="5D4586FD" w14:textId="77777777" w:rsidR="008B1128" w:rsidRPr="00D23A28" w:rsidRDefault="008B1128" w:rsidP="00644108">
            <w:r w:rsidRPr="00D23A28">
              <w:t>€ 1,302</w:t>
            </w:r>
          </w:p>
        </w:tc>
      </w:tr>
      <w:tr w:rsidR="008B1128" w:rsidRPr="00D23A28" w14:paraId="0DB682C9" w14:textId="77777777" w:rsidTr="00B84E3B">
        <w:trPr>
          <w:trHeight w:val="400"/>
          <w:tblHeader/>
        </w:trPr>
        <w:tc>
          <w:tcPr>
            <w:tcW w:w="3071" w:type="pct"/>
            <w:shd w:val="clear" w:color="auto" w:fill="F5F5F1"/>
            <w:noWrap/>
            <w:hideMark/>
          </w:tcPr>
          <w:p w14:paraId="12A59B2C" w14:textId="77777777" w:rsidR="008B1128" w:rsidRPr="00D23A28" w:rsidRDefault="008B1128" w:rsidP="00644108">
            <w:r w:rsidRPr="00D23A28">
              <w:t>8. Plant and machine operators, and assemblers</w:t>
            </w:r>
          </w:p>
        </w:tc>
        <w:tc>
          <w:tcPr>
            <w:tcW w:w="643" w:type="pct"/>
            <w:shd w:val="clear" w:color="auto" w:fill="F5F5F1"/>
            <w:noWrap/>
            <w:hideMark/>
          </w:tcPr>
          <w:p w14:paraId="763E8FBE" w14:textId="77777777" w:rsidR="008B1128" w:rsidRPr="00D23A28" w:rsidRDefault="008B1128" w:rsidP="00644108">
            <w:r w:rsidRPr="00D23A28">
              <w:t>€ 1,802</w:t>
            </w:r>
          </w:p>
        </w:tc>
        <w:tc>
          <w:tcPr>
            <w:tcW w:w="643" w:type="pct"/>
            <w:shd w:val="clear" w:color="auto" w:fill="F5F5F1"/>
            <w:noWrap/>
            <w:hideMark/>
          </w:tcPr>
          <w:p w14:paraId="591D6508" w14:textId="77777777" w:rsidR="008B1128" w:rsidRPr="00D23A28" w:rsidRDefault="008B1128" w:rsidP="00644108">
            <w:r w:rsidRPr="00D23A28">
              <w:t>€ 1,845</w:t>
            </w:r>
          </w:p>
        </w:tc>
        <w:tc>
          <w:tcPr>
            <w:tcW w:w="643" w:type="pct"/>
            <w:shd w:val="clear" w:color="auto" w:fill="F5F5F1"/>
            <w:noWrap/>
            <w:hideMark/>
          </w:tcPr>
          <w:p w14:paraId="57B9CB3B" w14:textId="77777777" w:rsidR="008B1128" w:rsidRPr="00D23A28" w:rsidRDefault="008B1128" w:rsidP="00644108">
            <w:r w:rsidRPr="00D23A28">
              <w:t>€ 1,518</w:t>
            </w:r>
          </w:p>
        </w:tc>
      </w:tr>
      <w:tr w:rsidR="008B1128" w:rsidRPr="00D23A28" w14:paraId="79F3DBB2" w14:textId="77777777" w:rsidTr="00644108">
        <w:trPr>
          <w:trHeight w:val="400"/>
          <w:tblHeader/>
        </w:trPr>
        <w:tc>
          <w:tcPr>
            <w:tcW w:w="3071" w:type="pct"/>
            <w:shd w:val="clear" w:color="auto" w:fill="F5F5F1"/>
            <w:noWrap/>
            <w:hideMark/>
          </w:tcPr>
          <w:p w14:paraId="2DC3FF29" w14:textId="77777777" w:rsidR="008B1128" w:rsidRPr="00D23A28" w:rsidRDefault="008B1128" w:rsidP="00644108">
            <w:r w:rsidRPr="00D23A28">
              <w:t>9. Elementary occupations</w:t>
            </w:r>
          </w:p>
        </w:tc>
        <w:tc>
          <w:tcPr>
            <w:tcW w:w="643" w:type="pct"/>
            <w:shd w:val="clear" w:color="auto" w:fill="F5F5F1"/>
            <w:noWrap/>
            <w:hideMark/>
          </w:tcPr>
          <w:p w14:paraId="53208CD4" w14:textId="77777777" w:rsidR="008B1128" w:rsidRPr="00D23A28" w:rsidRDefault="008B1128" w:rsidP="00644108">
            <w:r w:rsidRPr="00D23A28">
              <w:t>€ 1,038</w:t>
            </w:r>
          </w:p>
        </w:tc>
        <w:tc>
          <w:tcPr>
            <w:tcW w:w="643" w:type="pct"/>
            <w:shd w:val="clear" w:color="auto" w:fill="F5F5F1"/>
            <w:noWrap/>
            <w:hideMark/>
          </w:tcPr>
          <w:p w14:paraId="22C77F0E" w14:textId="77777777" w:rsidR="008B1128" w:rsidRPr="00D23A28" w:rsidRDefault="008B1128" w:rsidP="00644108">
            <w:r w:rsidRPr="00D23A28">
              <w:t>€ 1,301</w:t>
            </w:r>
          </w:p>
        </w:tc>
        <w:tc>
          <w:tcPr>
            <w:tcW w:w="643" w:type="pct"/>
            <w:shd w:val="clear" w:color="auto" w:fill="F5F5F1"/>
            <w:noWrap/>
            <w:hideMark/>
          </w:tcPr>
          <w:p w14:paraId="5A61EDFD" w14:textId="77777777" w:rsidR="008B1128" w:rsidRPr="00D23A28" w:rsidRDefault="008B1128" w:rsidP="00644108">
            <w:r w:rsidRPr="00D23A28">
              <w:t>€ 881</w:t>
            </w:r>
          </w:p>
        </w:tc>
      </w:tr>
      <w:tr w:rsidR="008B1128" w:rsidRPr="00D23A28" w14:paraId="2F24AA11" w14:textId="77777777" w:rsidTr="00644108">
        <w:trPr>
          <w:trHeight w:val="400"/>
          <w:tblHeader/>
        </w:trPr>
        <w:tc>
          <w:tcPr>
            <w:tcW w:w="3071" w:type="pct"/>
            <w:tcBorders>
              <w:bottom w:val="single" w:sz="12" w:space="0" w:color="auto"/>
            </w:tcBorders>
            <w:shd w:val="clear" w:color="auto" w:fill="F5F5F1"/>
            <w:noWrap/>
            <w:hideMark/>
          </w:tcPr>
          <w:p w14:paraId="1B40453C" w14:textId="77777777" w:rsidR="008B1128" w:rsidRPr="00D23A28" w:rsidRDefault="008B1128" w:rsidP="00644108">
            <w:r w:rsidRPr="00D23A28">
              <w:t>10. Armed forces occupations</w:t>
            </w:r>
          </w:p>
        </w:tc>
        <w:tc>
          <w:tcPr>
            <w:tcW w:w="643" w:type="pct"/>
            <w:tcBorders>
              <w:bottom w:val="single" w:sz="12" w:space="0" w:color="auto"/>
            </w:tcBorders>
            <w:shd w:val="clear" w:color="auto" w:fill="F5F5F1"/>
            <w:noWrap/>
            <w:hideMark/>
          </w:tcPr>
          <w:p w14:paraId="0BACD528" w14:textId="77777777" w:rsidR="008B1128" w:rsidRPr="00D23A28" w:rsidRDefault="008B1128" w:rsidP="00644108">
            <w:r w:rsidRPr="00D23A28">
              <w:t>€ 2,107</w:t>
            </w:r>
          </w:p>
        </w:tc>
        <w:tc>
          <w:tcPr>
            <w:tcW w:w="643" w:type="pct"/>
            <w:tcBorders>
              <w:bottom w:val="single" w:sz="12" w:space="0" w:color="auto"/>
            </w:tcBorders>
            <w:shd w:val="clear" w:color="auto" w:fill="F5F5F1"/>
            <w:noWrap/>
            <w:hideMark/>
          </w:tcPr>
          <w:p w14:paraId="007A2884" w14:textId="77777777" w:rsidR="008B1128" w:rsidRPr="00D23A28" w:rsidRDefault="008B1128" w:rsidP="00644108">
            <w:r w:rsidRPr="00D23A28">
              <w:t>€ 2,196</w:t>
            </w:r>
          </w:p>
        </w:tc>
        <w:tc>
          <w:tcPr>
            <w:tcW w:w="643" w:type="pct"/>
            <w:tcBorders>
              <w:bottom w:val="single" w:sz="12" w:space="0" w:color="auto"/>
            </w:tcBorders>
            <w:shd w:val="clear" w:color="auto" w:fill="F5F5F1"/>
            <w:noWrap/>
            <w:hideMark/>
          </w:tcPr>
          <w:p w14:paraId="69710048" w14:textId="77777777" w:rsidR="008B1128" w:rsidRPr="00D23A28" w:rsidRDefault="008B1128" w:rsidP="00644108">
            <w:r w:rsidRPr="00D23A28">
              <w:t>€ 1,579</w:t>
            </w:r>
          </w:p>
        </w:tc>
      </w:tr>
      <w:tr w:rsidR="008B1128" w:rsidRPr="00D23A28" w14:paraId="22ECE073" w14:textId="77777777" w:rsidTr="00644108">
        <w:trPr>
          <w:trHeight w:val="400"/>
          <w:tblHeader/>
        </w:trPr>
        <w:tc>
          <w:tcPr>
            <w:tcW w:w="5000" w:type="pct"/>
            <w:gridSpan w:val="4"/>
            <w:tcBorders>
              <w:top w:val="single" w:sz="12" w:space="0" w:color="auto"/>
            </w:tcBorders>
            <w:noWrap/>
          </w:tcPr>
          <w:p w14:paraId="2C9D204C" w14:textId="77777777" w:rsidR="008B1128" w:rsidRPr="00D23A28" w:rsidRDefault="008B1128" w:rsidP="00335BA2">
            <w:pPr>
              <w:rPr>
                <w:sz w:val="18"/>
                <w:szCs w:val="18"/>
                <w:lang w:val="pt-PT"/>
              </w:rPr>
            </w:pPr>
            <w:r w:rsidRPr="00D23A28">
              <w:rPr>
                <w:i/>
                <w:iCs/>
                <w:sz w:val="18"/>
                <w:szCs w:val="18"/>
                <w:lang w:val="pt-PT"/>
              </w:rPr>
              <w:t>Source:</w:t>
            </w:r>
            <w:r w:rsidRPr="00D23A28">
              <w:rPr>
                <w:sz w:val="18"/>
                <w:szCs w:val="18"/>
                <w:lang w:val="pt-PT"/>
              </w:rPr>
              <w:t xml:space="preserve"> ILO, </w:t>
            </w:r>
            <w:r w:rsidRPr="00D23A28">
              <w:rPr>
                <w:i/>
                <w:iCs/>
                <w:sz w:val="18"/>
                <w:szCs w:val="18"/>
                <w:lang w:val="pt-PT"/>
              </w:rPr>
              <w:t>ESP-ES – Encuesta Annual de Estructura Salarial</w:t>
            </w:r>
            <w:r w:rsidRPr="00D23A28">
              <w:rPr>
                <w:sz w:val="18"/>
                <w:szCs w:val="18"/>
                <w:lang w:val="pt-PT"/>
              </w:rPr>
              <w:t xml:space="preserve"> (2015) </w:t>
            </w:r>
          </w:p>
        </w:tc>
      </w:tr>
    </w:tbl>
    <w:p w14:paraId="746B5146" w14:textId="77777777" w:rsidR="008B1128" w:rsidRPr="00D23A28" w:rsidRDefault="008B1128" w:rsidP="003B05FC">
      <w:pPr>
        <w:pStyle w:val="Heading2"/>
        <w:rPr>
          <w:rFonts w:eastAsiaTheme="majorEastAsia"/>
        </w:rPr>
      </w:pPr>
      <w:r w:rsidRPr="00D23A28">
        <w:rPr>
          <w:rFonts w:eastAsiaTheme="majorEastAsia"/>
        </w:rPr>
        <w:t>5.23 Unemployment rate, by sex, age and persons with disabilities (SDG 8.5.2)</w:t>
      </w:r>
    </w:p>
    <w:p w14:paraId="7F84EF07" w14:textId="77777777" w:rsidR="008B1128" w:rsidRPr="00D23A28" w:rsidRDefault="008B1128" w:rsidP="003B05FC">
      <w:pPr>
        <w:pStyle w:val="Heading4"/>
        <w:rPr>
          <w:rFonts w:eastAsiaTheme="majorEastAsia"/>
        </w:rPr>
      </w:pPr>
      <w:r w:rsidRPr="00D23A28">
        <w:rPr>
          <w:rFonts w:eastAsiaTheme="majorEastAsia"/>
        </w:rPr>
        <w:t>Level 1: Indicator for which data are already being produced and reported on in at least some countries.</w:t>
      </w:r>
    </w:p>
    <w:p w14:paraId="1AB04A9F" w14:textId="7B0CFB4F" w:rsidR="008B1128" w:rsidRPr="00D23A28" w:rsidRDefault="004D2E9B" w:rsidP="008B1128">
      <w:hyperlink r:id="rId26" w:history="1">
        <w:r w:rsidR="00126273" w:rsidRPr="00D23A28">
          <w:rPr>
            <w:rStyle w:val="Hyperlink"/>
          </w:rPr>
          <w:t>Link to the metadata related to this SDG indicator</w:t>
        </w:r>
      </w:hyperlink>
    </w:p>
    <w:p w14:paraId="22D9F608" w14:textId="4E29292A" w:rsidR="00716898" w:rsidRPr="00D23A28" w:rsidRDefault="00716898" w:rsidP="00716898">
      <w:r w:rsidRPr="00D23A28">
        <w:t>According to the metadata:</w:t>
      </w:r>
    </w:p>
    <w:p w14:paraId="782B6EDB" w14:textId="15823A68" w:rsidR="008B1128" w:rsidRPr="00D23A28" w:rsidRDefault="00716898" w:rsidP="00716898">
      <w:pPr>
        <w:ind w:left="360"/>
        <w:rPr>
          <w:i/>
        </w:rPr>
      </w:pPr>
      <w:r w:rsidRPr="00D23A28">
        <w:lastRenderedPageBreak/>
        <w:t>"</w:t>
      </w:r>
      <w:r w:rsidR="008B1128" w:rsidRPr="00D23A28">
        <w:rPr>
          <w:i/>
        </w:rPr>
        <w:t>The preferred official national data source for this indicator is a household-based labour force survey. In the absence of a labour force survey, a population census and/or other type of household surveys with an appropriate employment module may also be used to obtain the required data. It is important to note that unemployment data derived from employment office records or unemployment registers would not refer to unemployment (as defined for the purposes of this indicator, using the three-criteria of being without a job, seeking employment and available for employment) but to registered unemployment, and thus, it would not be comparable with indicator 8.5.2.</w:t>
      </w:r>
    </w:p>
    <w:p w14:paraId="3548B122" w14:textId="1204CA6D" w:rsidR="008B1128" w:rsidRPr="00D23A28" w:rsidRDefault="008B1128" w:rsidP="007869FC">
      <w:pPr>
        <w:pStyle w:val="ListParagraph"/>
        <w:numPr>
          <w:ilvl w:val="0"/>
          <w:numId w:val="0"/>
        </w:numPr>
        <w:ind w:left="360"/>
        <w:rPr>
          <w:b/>
          <w:bCs/>
          <w:i/>
          <w:iCs/>
        </w:rPr>
      </w:pPr>
      <w:r w:rsidRPr="00D23A28">
        <w:rPr>
          <w:b/>
          <w:bCs/>
          <w:i/>
          <w:iCs/>
        </w:rPr>
        <w:t>Collection process:</w:t>
      </w:r>
    </w:p>
    <w:p w14:paraId="40C03CA5" w14:textId="309297B2" w:rsidR="008B1128" w:rsidRPr="00D23A28" w:rsidRDefault="008B1128" w:rsidP="007869FC">
      <w:pPr>
        <w:ind w:left="360"/>
        <w:rPr>
          <w:i/>
          <w:iCs/>
        </w:rPr>
      </w:pPr>
      <w:r w:rsidRPr="00D23A28">
        <w:rPr>
          <w:i/>
          <w:iCs/>
        </w:rPr>
        <w:t>The ILO Department of Statistics sends out its annual questionnaire on labour statistics to all relevant agencies within each country (national statistical office, labour ministry, etc.) requesting for the latest annual data available and any revisions on numerous labour market topics and indicators, including many SDG indicators. Indicator 8.5.2 is calculated from statistics submitted to the ILO via this questionnaire as well as through special agreements with regional and national statistical offices or through the processing of microdata sets of national labour force surveys.</w:t>
      </w:r>
      <w:r w:rsidR="00152FD1" w:rsidRPr="00D23A28">
        <w:rPr>
          <w:i/>
          <w:iCs/>
        </w:rPr>
        <w:t>”</w:t>
      </w:r>
    </w:p>
    <w:p w14:paraId="10A24711" w14:textId="77777777" w:rsidR="008B1128" w:rsidRPr="00D23A28" w:rsidRDefault="008B1128" w:rsidP="00E0225B">
      <w:r w:rsidRPr="00D23A28">
        <w:t>The following table presents data from Armenia’s Labour Force Survey which fulfils this indicator.</w:t>
      </w:r>
    </w:p>
    <w:p w14:paraId="44778E8D" w14:textId="1396C40D" w:rsidR="008B1128" w:rsidRPr="00D23A28" w:rsidRDefault="008B1128" w:rsidP="00492BA5">
      <w:pPr>
        <w:pStyle w:val="TableHeader"/>
        <w:rPr>
          <w:rFonts w:asciiTheme="minorHAnsi" w:hAnsiTheme="minorHAnsi"/>
        </w:rPr>
      </w:pPr>
      <w:r w:rsidRPr="00D23A28">
        <w:rPr>
          <w:rFonts w:asciiTheme="minorHAnsi" w:hAnsiTheme="minorHAnsi"/>
          <w:b/>
          <w:bCs w:val="0"/>
        </w:rPr>
        <w:t>Table 5</w:t>
      </w:r>
      <w:r w:rsidR="00126273" w:rsidRPr="00D23A28">
        <w:rPr>
          <w:rFonts w:asciiTheme="minorHAnsi" w:hAnsiTheme="minorHAnsi"/>
          <w:b/>
          <w:bCs w:val="0"/>
        </w:rPr>
        <w:t>:</w:t>
      </w:r>
      <w:r w:rsidR="00126273" w:rsidRPr="00D23A28">
        <w:rPr>
          <w:rFonts w:asciiTheme="minorHAnsi" w:hAnsiTheme="minorHAnsi"/>
        </w:rPr>
        <w:t xml:space="preserve"> </w:t>
      </w:r>
      <w:r w:rsidRPr="00D23A28">
        <w:rPr>
          <w:rFonts w:asciiTheme="minorHAnsi" w:hAnsiTheme="minorHAnsi"/>
        </w:rPr>
        <w:t>Armenia SDG indicator 8.5.2 - Unemployment rate by disability status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Armenia SDG indicator 8.5.2 - Unemployment rate by disability status (%)"/>
      </w:tblPr>
      <w:tblGrid>
        <w:gridCol w:w="3073"/>
        <w:gridCol w:w="1976"/>
        <w:gridCol w:w="1976"/>
        <w:gridCol w:w="1975"/>
      </w:tblGrid>
      <w:tr w:rsidR="008B1128" w:rsidRPr="00D23A28" w14:paraId="3EC1C699" w14:textId="77777777" w:rsidTr="00C653C1">
        <w:trPr>
          <w:trHeight w:val="420"/>
          <w:tblHeader/>
        </w:trPr>
        <w:tc>
          <w:tcPr>
            <w:tcW w:w="1707" w:type="pct"/>
            <w:tcBorders>
              <w:top w:val="single" w:sz="12" w:space="0" w:color="auto"/>
              <w:bottom w:val="single" w:sz="12" w:space="0" w:color="auto"/>
            </w:tcBorders>
            <w:shd w:val="clear" w:color="auto" w:fill="F5F5F1"/>
            <w:hideMark/>
          </w:tcPr>
          <w:p w14:paraId="39A47EC8" w14:textId="77777777" w:rsidR="008B1128" w:rsidRPr="00D23A28" w:rsidRDefault="008B1128" w:rsidP="0056288A"/>
        </w:tc>
        <w:tc>
          <w:tcPr>
            <w:tcW w:w="1098" w:type="pct"/>
            <w:tcBorders>
              <w:top w:val="single" w:sz="12" w:space="0" w:color="auto"/>
              <w:bottom w:val="single" w:sz="12" w:space="0" w:color="auto"/>
            </w:tcBorders>
            <w:shd w:val="clear" w:color="auto" w:fill="F5F5F1"/>
            <w:vAlign w:val="center"/>
            <w:hideMark/>
          </w:tcPr>
          <w:p w14:paraId="76A08409" w14:textId="77777777" w:rsidR="008B1128" w:rsidRPr="00D23A28" w:rsidRDefault="008B1128" w:rsidP="005B7F5E">
            <w:pPr>
              <w:pStyle w:val="TableHeaderRow"/>
            </w:pPr>
            <w:r w:rsidRPr="00D23A28">
              <w:t>All</w:t>
            </w:r>
          </w:p>
        </w:tc>
        <w:tc>
          <w:tcPr>
            <w:tcW w:w="1098" w:type="pct"/>
            <w:tcBorders>
              <w:top w:val="single" w:sz="12" w:space="0" w:color="auto"/>
              <w:bottom w:val="single" w:sz="12" w:space="0" w:color="auto"/>
            </w:tcBorders>
            <w:shd w:val="clear" w:color="auto" w:fill="F5F5F1"/>
            <w:vAlign w:val="center"/>
            <w:hideMark/>
          </w:tcPr>
          <w:p w14:paraId="06F6551E" w14:textId="77777777" w:rsidR="008B1128" w:rsidRPr="00D23A28" w:rsidRDefault="008B1128" w:rsidP="005B7F5E">
            <w:pPr>
              <w:pStyle w:val="TableHeaderRow"/>
            </w:pPr>
            <w:r w:rsidRPr="00D23A28">
              <w:t>Male</w:t>
            </w:r>
          </w:p>
        </w:tc>
        <w:tc>
          <w:tcPr>
            <w:tcW w:w="1098" w:type="pct"/>
            <w:tcBorders>
              <w:top w:val="single" w:sz="12" w:space="0" w:color="auto"/>
              <w:bottom w:val="single" w:sz="12" w:space="0" w:color="auto"/>
            </w:tcBorders>
            <w:shd w:val="clear" w:color="auto" w:fill="F5F5F1"/>
            <w:vAlign w:val="center"/>
            <w:hideMark/>
          </w:tcPr>
          <w:p w14:paraId="332C1F83" w14:textId="77777777" w:rsidR="008B1128" w:rsidRPr="00D23A28" w:rsidRDefault="008B1128" w:rsidP="005B7F5E">
            <w:pPr>
              <w:pStyle w:val="TableHeaderRow"/>
            </w:pPr>
            <w:r w:rsidRPr="00D23A28">
              <w:t>Female</w:t>
            </w:r>
          </w:p>
        </w:tc>
      </w:tr>
      <w:tr w:rsidR="008B1128" w:rsidRPr="00D23A28" w14:paraId="6EE085A4" w14:textId="77777777" w:rsidTr="00644108">
        <w:trPr>
          <w:trHeight w:val="420"/>
          <w:tblHeader/>
        </w:trPr>
        <w:tc>
          <w:tcPr>
            <w:tcW w:w="1707" w:type="pct"/>
            <w:tcBorders>
              <w:top w:val="single" w:sz="12" w:space="0" w:color="auto"/>
            </w:tcBorders>
            <w:shd w:val="clear" w:color="auto" w:fill="F5F5F1"/>
            <w:hideMark/>
          </w:tcPr>
          <w:p w14:paraId="2AECA58A" w14:textId="30294A1B" w:rsidR="008B1128" w:rsidRPr="00D23A28" w:rsidRDefault="008B1128" w:rsidP="0056288A">
            <w:r w:rsidRPr="00D23A28">
              <w:t>Total</w:t>
            </w:r>
          </w:p>
        </w:tc>
        <w:tc>
          <w:tcPr>
            <w:tcW w:w="1098" w:type="pct"/>
            <w:tcBorders>
              <w:top w:val="single" w:sz="12" w:space="0" w:color="auto"/>
            </w:tcBorders>
            <w:shd w:val="clear" w:color="auto" w:fill="F5F5F1"/>
            <w:noWrap/>
            <w:hideMark/>
          </w:tcPr>
          <w:p w14:paraId="53975D53" w14:textId="77777777" w:rsidR="008B1128" w:rsidRPr="00D23A28" w:rsidRDefault="008B1128" w:rsidP="0056288A">
            <w:r w:rsidRPr="00D23A28">
              <w:t>19.0%</w:t>
            </w:r>
          </w:p>
        </w:tc>
        <w:tc>
          <w:tcPr>
            <w:tcW w:w="1098" w:type="pct"/>
            <w:tcBorders>
              <w:top w:val="single" w:sz="12" w:space="0" w:color="auto"/>
            </w:tcBorders>
            <w:shd w:val="clear" w:color="auto" w:fill="F5F5F1"/>
            <w:noWrap/>
            <w:hideMark/>
          </w:tcPr>
          <w:p w14:paraId="70E409D9" w14:textId="77777777" w:rsidR="008B1128" w:rsidRPr="00D23A28" w:rsidRDefault="008B1128" w:rsidP="0056288A">
            <w:r w:rsidRPr="00D23A28">
              <w:t>17.8%</w:t>
            </w:r>
          </w:p>
        </w:tc>
        <w:tc>
          <w:tcPr>
            <w:tcW w:w="1098" w:type="pct"/>
            <w:tcBorders>
              <w:top w:val="single" w:sz="12" w:space="0" w:color="auto"/>
            </w:tcBorders>
            <w:shd w:val="clear" w:color="auto" w:fill="F5F5F1"/>
            <w:noWrap/>
            <w:hideMark/>
          </w:tcPr>
          <w:p w14:paraId="775ABBB8" w14:textId="77777777" w:rsidR="008B1128" w:rsidRPr="00D23A28" w:rsidRDefault="008B1128" w:rsidP="0056288A">
            <w:r w:rsidRPr="00D23A28">
              <w:t>20.4%</w:t>
            </w:r>
          </w:p>
        </w:tc>
      </w:tr>
      <w:tr w:rsidR="008B1128" w:rsidRPr="00D23A28" w14:paraId="6FF6DD31" w14:textId="77777777" w:rsidTr="00644108">
        <w:trPr>
          <w:trHeight w:val="420"/>
          <w:tblHeader/>
        </w:trPr>
        <w:tc>
          <w:tcPr>
            <w:tcW w:w="1707" w:type="pct"/>
            <w:shd w:val="clear" w:color="auto" w:fill="F5F5F1"/>
            <w:hideMark/>
          </w:tcPr>
          <w:p w14:paraId="3673D1E6" w14:textId="77777777" w:rsidR="008B1128" w:rsidRPr="00D23A28" w:rsidRDefault="008B1128" w:rsidP="0056288A">
            <w:r w:rsidRPr="00D23A28">
              <w:t>With disability</w:t>
            </w:r>
          </w:p>
        </w:tc>
        <w:tc>
          <w:tcPr>
            <w:tcW w:w="1098" w:type="pct"/>
            <w:shd w:val="clear" w:color="auto" w:fill="F5F5F1"/>
            <w:noWrap/>
            <w:hideMark/>
          </w:tcPr>
          <w:p w14:paraId="14483EFF" w14:textId="77777777" w:rsidR="008B1128" w:rsidRPr="00D23A28" w:rsidRDefault="008B1128" w:rsidP="0056288A">
            <w:r w:rsidRPr="00D23A28">
              <w:t>19.0%</w:t>
            </w:r>
          </w:p>
        </w:tc>
        <w:tc>
          <w:tcPr>
            <w:tcW w:w="1098" w:type="pct"/>
            <w:shd w:val="clear" w:color="auto" w:fill="F5F5F1"/>
            <w:noWrap/>
            <w:hideMark/>
          </w:tcPr>
          <w:p w14:paraId="32A57954" w14:textId="77777777" w:rsidR="008B1128" w:rsidRPr="00D23A28" w:rsidRDefault="008B1128" w:rsidP="0056288A">
            <w:r w:rsidRPr="00D23A28">
              <w:t>17.7%</w:t>
            </w:r>
          </w:p>
        </w:tc>
        <w:tc>
          <w:tcPr>
            <w:tcW w:w="1098" w:type="pct"/>
            <w:shd w:val="clear" w:color="auto" w:fill="F5F5F1"/>
            <w:noWrap/>
            <w:hideMark/>
          </w:tcPr>
          <w:p w14:paraId="112C6A4E" w14:textId="77777777" w:rsidR="008B1128" w:rsidRPr="00D23A28" w:rsidRDefault="008B1128" w:rsidP="0056288A">
            <w:r w:rsidRPr="00D23A28">
              <w:t>20.7%</w:t>
            </w:r>
          </w:p>
        </w:tc>
      </w:tr>
      <w:tr w:rsidR="008B1128" w:rsidRPr="00D23A28" w14:paraId="44B6396C" w14:textId="77777777" w:rsidTr="00644108">
        <w:trPr>
          <w:trHeight w:val="420"/>
          <w:tblHeader/>
        </w:trPr>
        <w:tc>
          <w:tcPr>
            <w:tcW w:w="1707" w:type="pct"/>
            <w:tcBorders>
              <w:bottom w:val="single" w:sz="12" w:space="0" w:color="auto"/>
            </w:tcBorders>
            <w:shd w:val="clear" w:color="auto" w:fill="F5F5F1"/>
            <w:hideMark/>
          </w:tcPr>
          <w:p w14:paraId="6C909D1B" w14:textId="77777777" w:rsidR="008B1128" w:rsidRPr="00D23A28" w:rsidRDefault="008B1128" w:rsidP="0056288A">
            <w:r w:rsidRPr="00D23A28">
              <w:t>Without Disability</w:t>
            </w:r>
          </w:p>
        </w:tc>
        <w:tc>
          <w:tcPr>
            <w:tcW w:w="1098" w:type="pct"/>
            <w:tcBorders>
              <w:bottom w:val="single" w:sz="12" w:space="0" w:color="auto"/>
            </w:tcBorders>
            <w:shd w:val="clear" w:color="auto" w:fill="F5F5F1"/>
            <w:noWrap/>
            <w:hideMark/>
          </w:tcPr>
          <w:p w14:paraId="02E7FBD7" w14:textId="77777777" w:rsidR="008B1128" w:rsidRPr="00D23A28" w:rsidRDefault="008B1128" w:rsidP="0056288A">
            <w:r w:rsidRPr="00D23A28">
              <w:t>17.8%</w:t>
            </w:r>
          </w:p>
        </w:tc>
        <w:tc>
          <w:tcPr>
            <w:tcW w:w="1098" w:type="pct"/>
            <w:tcBorders>
              <w:bottom w:val="single" w:sz="12" w:space="0" w:color="auto"/>
            </w:tcBorders>
            <w:shd w:val="clear" w:color="auto" w:fill="F5F5F1"/>
            <w:noWrap/>
            <w:hideMark/>
          </w:tcPr>
          <w:p w14:paraId="18B5114B" w14:textId="77777777" w:rsidR="008B1128" w:rsidRPr="00D23A28" w:rsidRDefault="008B1128" w:rsidP="0056288A">
            <w:r w:rsidRPr="00D23A28">
              <w:t>20.7%</w:t>
            </w:r>
          </w:p>
        </w:tc>
        <w:tc>
          <w:tcPr>
            <w:tcW w:w="1098" w:type="pct"/>
            <w:tcBorders>
              <w:bottom w:val="single" w:sz="12" w:space="0" w:color="auto"/>
            </w:tcBorders>
            <w:shd w:val="clear" w:color="auto" w:fill="F5F5F1"/>
            <w:noWrap/>
            <w:hideMark/>
          </w:tcPr>
          <w:p w14:paraId="756527D6" w14:textId="77777777" w:rsidR="008B1128" w:rsidRPr="00D23A28" w:rsidRDefault="008B1128" w:rsidP="0056288A">
            <w:r w:rsidRPr="00D23A28">
              <w:t>13.3%</w:t>
            </w:r>
          </w:p>
        </w:tc>
      </w:tr>
      <w:tr w:rsidR="008B1128" w:rsidRPr="00D23A28" w14:paraId="4789A005" w14:textId="77777777" w:rsidTr="00644108">
        <w:trPr>
          <w:trHeight w:val="420"/>
          <w:tblHeader/>
        </w:trPr>
        <w:tc>
          <w:tcPr>
            <w:tcW w:w="5000" w:type="pct"/>
            <w:gridSpan w:val="4"/>
            <w:tcBorders>
              <w:top w:val="single" w:sz="12" w:space="0" w:color="auto"/>
            </w:tcBorders>
          </w:tcPr>
          <w:p w14:paraId="1DC5C7AB" w14:textId="05810A94" w:rsidR="008B1128" w:rsidRPr="00D23A28" w:rsidRDefault="008B1128" w:rsidP="00644108">
            <w:pPr>
              <w:rPr>
                <w:sz w:val="18"/>
                <w:szCs w:val="18"/>
              </w:rPr>
            </w:pPr>
            <w:r w:rsidRPr="00D23A28">
              <w:rPr>
                <w:i/>
                <w:iCs/>
                <w:sz w:val="18"/>
                <w:szCs w:val="18"/>
              </w:rPr>
              <w:t>Source:</w:t>
            </w:r>
            <w:r w:rsidRPr="00D23A28">
              <w:rPr>
                <w:sz w:val="18"/>
                <w:szCs w:val="18"/>
              </w:rPr>
              <w:t xml:space="preserve"> ILO, </w:t>
            </w:r>
            <w:r w:rsidRPr="00D23A28">
              <w:rPr>
                <w:i/>
                <w:iCs/>
                <w:sz w:val="18"/>
                <w:szCs w:val="18"/>
              </w:rPr>
              <w:t>ARM – LFS – Household Labour Force Survey</w:t>
            </w:r>
            <w:r w:rsidRPr="00D23A28">
              <w:rPr>
                <w:sz w:val="18"/>
                <w:szCs w:val="18"/>
              </w:rPr>
              <w:t xml:space="preserve"> (2018)</w:t>
            </w:r>
          </w:p>
        </w:tc>
      </w:tr>
    </w:tbl>
    <w:p w14:paraId="05CCC2CD" w14:textId="77777777" w:rsidR="008B1128" w:rsidRPr="00D23A28" w:rsidRDefault="008B1128" w:rsidP="003B05FC">
      <w:pPr>
        <w:pStyle w:val="Heading2"/>
        <w:rPr>
          <w:rFonts w:eastAsiaTheme="majorEastAsia"/>
        </w:rPr>
      </w:pPr>
      <w:r w:rsidRPr="00D23A28">
        <w:rPr>
          <w:rFonts w:eastAsiaTheme="majorEastAsia"/>
        </w:rPr>
        <w:t>5.24 Proportion of people living below 50 per cent of median income, by age, sex and persons with disabilities (SDG indicator 10.2.1)</w:t>
      </w:r>
    </w:p>
    <w:p w14:paraId="6289D070" w14:textId="77777777" w:rsidR="008B1128" w:rsidRPr="00D23A28" w:rsidRDefault="008B1128" w:rsidP="003B05FC">
      <w:pPr>
        <w:pStyle w:val="Heading4"/>
        <w:rPr>
          <w:rFonts w:eastAsiaTheme="majorEastAsia"/>
        </w:rPr>
      </w:pPr>
      <w:r w:rsidRPr="00D23A28">
        <w:rPr>
          <w:rFonts w:eastAsiaTheme="majorEastAsia"/>
        </w:rPr>
        <w:t>Level 1: Indicator for which data are already being produced and reported on in at least some countries.</w:t>
      </w:r>
    </w:p>
    <w:p w14:paraId="4919B71F" w14:textId="7895146B" w:rsidR="00716898" w:rsidRPr="00D23A28" w:rsidRDefault="004D2E9B" w:rsidP="00716898">
      <w:hyperlink r:id="rId27" w:history="1">
        <w:r w:rsidR="00126273" w:rsidRPr="00D23A28">
          <w:rPr>
            <w:rStyle w:val="Hyperlink"/>
          </w:rPr>
          <w:t>Link to the metadata related to this SDG indicator</w:t>
        </w:r>
      </w:hyperlink>
    </w:p>
    <w:p w14:paraId="218F96BA" w14:textId="2774B990" w:rsidR="00716898" w:rsidRPr="00D23A28" w:rsidRDefault="00716898" w:rsidP="00716898">
      <w:pPr>
        <w:rPr>
          <w:iCs/>
        </w:rPr>
      </w:pPr>
      <w:r w:rsidRPr="00D23A28">
        <w:rPr>
          <w:iCs/>
        </w:rPr>
        <w:t>According to the metadata:</w:t>
      </w:r>
    </w:p>
    <w:p w14:paraId="6D27181F" w14:textId="7E190988" w:rsidR="008B1128" w:rsidRPr="00D23A28" w:rsidRDefault="00152FD1" w:rsidP="007869FC">
      <w:pPr>
        <w:pStyle w:val="ListParagraph"/>
        <w:numPr>
          <w:ilvl w:val="0"/>
          <w:numId w:val="0"/>
        </w:numPr>
        <w:ind w:left="360"/>
        <w:rPr>
          <w:b/>
          <w:bCs/>
          <w:i/>
          <w:iCs/>
        </w:rPr>
      </w:pPr>
      <w:r w:rsidRPr="00D23A28">
        <w:rPr>
          <w:i/>
          <w:iCs/>
        </w:rPr>
        <w:t>“</w:t>
      </w:r>
      <w:r w:rsidR="008B1128" w:rsidRPr="00D23A28">
        <w:rPr>
          <w:i/>
          <w:iCs/>
        </w:rPr>
        <w:t xml:space="preserve">Data of income or consumption comes from nationally representative household surveys or assessments of income or consumption distributions, typically carried out and overseen by National Statistical Offices (NSOs). After some quality control and </w:t>
      </w:r>
      <w:proofErr w:type="gramStart"/>
      <w:r w:rsidR="008B1128" w:rsidRPr="00D23A28">
        <w:rPr>
          <w:i/>
          <w:iCs/>
        </w:rPr>
        <w:t>harmonization</w:t>
      </w:r>
      <w:proofErr w:type="gramEnd"/>
      <w:r w:rsidR="008B1128" w:rsidRPr="00D23A28">
        <w:rPr>
          <w:i/>
          <w:iCs/>
        </w:rPr>
        <w:t xml:space="preserve"> the data is </w:t>
      </w:r>
      <w:r w:rsidR="008B1128" w:rsidRPr="00D23A28">
        <w:rPr>
          <w:i/>
          <w:iCs/>
        </w:rPr>
        <w:lastRenderedPageBreak/>
        <w:t xml:space="preserve">available through </w:t>
      </w:r>
      <w:proofErr w:type="spellStart"/>
      <w:r w:rsidR="008B1128" w:rsidRPr="00D23A28">
        <w:rPr>
          <w:i/>
          <w:iCs/>
        </w:rPr>
        <w:t>PovcalNet</w:t>
      </w:r>
      <w:proofErr w:type="spellEnd"/>
      <w:r w:rsidR="008B1128" w:rsidRPr="00D23A28">
        <w:rPr>
          <w:i/>
          <w:iCs/>
        </w:rPr>
        <w:t>, the World Bank online tool for global poverty and inequality measurement. However, this source does not provide disaggregation by disability.</w:t>
      </w:r>
      <w:r w:rsidRPr="00D23A28">
        <w:rPr>
          <w:i/>
          <w:iCs/>
        </w:rPr>
        <w:t>”</w:t>
      </w:r>
      <w:r w:rsidR="008B1128" w:rsidRPr="00D23A28">
        <w:rPr>
          <w:i/>
          <w:iCs/>
        </w:rPr>
        <w:t xml:space="preserve"> </w:t>
      </w:r>
    </w:p>
    <w:p w14:paraId="027EA8E2" w14:textId="6A2D52A2" w:rsidR="008B1128" w:rsidRPr="00D23A28" w:rsidRDefault="008B1128" w:rsidP="00E0225B">
      <w:r w:rsidRPr="00D23A28">
        <w:t xml:space="preserve">The Chad Multiple Indicator Cluster Surveys – MICs </w:t>
      </w:r>
      <w:proofErr w:type="spellStart"/>
      <w:r w:rsidRPr="00D23A28">
        <w:t>Enque</w:t>
      </w:r>
      <w:r w:rsidRPr="003B05FC">
        <w:rPr>
          <w:rFonts w:ascii="Times New Roman" w:hAnsi="Times New Roman" w:cs="Times New Roman"/>
        </w:rPr>
        <w:t>̂</w:t>
      </w:r>
      <w:r w:rsidRPr="00D23A28">
        <w:t>te</w:t>
      </w:r>
      <w:proofErr w:type="spellEnd"/>
      <w:r w:rsidRPr="00D23A28">
        <w:t xml:space="preserve"> </w:t>
      </w:r>
      <w:proofErr w:type="spellStart"/>
      <w:r w:rsidRPr="00D23A28">
        <w:t>Démographique</w:t>
      </w:r>
      <w:proofErr w:type="spellEnd"/>
      <w:r w:rsidRPr="00D23A28">
        <w:t xml:space="preserve"> et de </w:t>
      </w:r>
      <w:proofErr w:type="spellStart"/>
      <w:r w:rsidRPr="00D23A28">
        <w:t>Sante</w:t>
      </w:r>
      <w:proofErr w:type="spellEnd"/>
      <w:r w:rsidRPr="00D23A28">
        <w:t xml:space="preserve">́ et à </w:t>
      </w:r>
      <w:proofErr w:type="spellStart"/>
      <w:r w:rsidRPr="00D23A28">
        <w:t>Indicateurs</w:t>
      </w:r>
      <w:proofErr w:type="spellEnd"/>
      <w:r w:rsidRPr="00D23A28">
        <w:t xml:space="preserve"> Multiples au Tchad – includes questions on income and disability. The report based on the survey, available</w:t>
      </w:r>
      <w:r w:rsidR="002670B0" w:rsidRPr="00D23A28">
        <w:t xml:space="preserve"> at</w:t>
      </w:r>
      <w:r w:rsidRPr="00D23A28">
        <w:t xml:space="preserve"> </w:t>
      </w:r>
      <w:hyperlink r:id="rId28" w:history="1">
        <w:r w:rsidR="002670B0" w:rsidRPr="00D23A28">
          <w:rPr>
            <w:rStyle w:val="Hyperlink"/>
          </w:rPr>
          <w:t>The DHS Program</w:t>
        </w:r>
      </w:hyperlink>
      <w:r w:rsidRPr="00D23A28">
        <w:t>, presents disability prevalence by income quint</w:t>
      </w:r>
      <w:r w:rsidR="003B05FC" w:rsidRPr="00D23A28">
        <w:t>ile, as can be seen in Table 6.</w:t>
      </w:r>
    </w:p>
    <w:p w14:paraId="175ABAB3" w14:textId="7DEDC2E8" w:rsidR="008B1128" w:rsidRPr="00D23A28" w:rsidRDefault="008B1128" w:rsidP="00492BA5">
      <w:pPr>
        <w:pStyle w:val="TableHeader"/>
        <w:rPr>
          <w:rFonts w:asciiTheme="minorHAnsi" w:hAnsiTheme="minorHAnsi"/>
        </w:rPr>
      </w:pPr>
      <w:r w:rsidRPr="00D23A28">
        <w:rPr>
          <w:rFonts w:asciiTheme="minorHAnsi" w:hAnsiTheme="minorHAnsi"/>
          <w:b/>
          <w:bCs w:val="0"/>
        </w:rPr>
        <w:t>Table 6</w:t>
      </w:r>
      <w:r w:rsidR="00126273" w:rsidRPr="00D23A28">
        <w:rPr>
          <w:rFonts w:asciiTheme="minorHAnsi" w:hAnsiTheme="minorHAnsi"/>
          <w:b/>
          <w:bCs w:val="0"/>
        </w:rPr>
        <w:t>:</w:t>
      </w:r>
      <w:r w:rsidR="00126273" w:rsidRPr="00D23A28">
        <w:rPr>
          <w:rFonts w:asciiTheme="minorHAnsi" w:hAnsiTheme="minorHAnsi"/>
        </w:rPr>
        <w:t xml:space="preserve"> </w:t>
      </w:r>
      <w:r w:rsidRPr="00D23A28">
        <w:rPr>
          <w:rFonts w:asciiTheme="minorHAnsi" w:hAnsiTheme="minorHAnsi"/>
        </w:rPr>
        <w:t>Proportion of the population of households with a person with disability, by certain sociodemographic characteristics. Chad, 2015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Proportion of the population of households with a person with disability, by certain sociodemographic characteristics. Chad, 2015"/>
      </w:tblPr>
      <w:tblGrid>
        <w:gridCol w:w="7802"/>
        <w:gridCol w:w="1198"/>
      </w:tblGrid>
      <w:tr w:rsidR="008B1128" w:rsidRPr="00D23A28" w14:paraId="7199D43E" w14:textId="77777777" w:rsidTr="0057050A">
        <w:trPr>
          <w:trHeight w:val="320"/>
          <w:tblHeader/>
        </w:trPr>
        <w:tc>
          <w:tcPr>
            <w:tcW w:w="5000" w:type="pct"/>
            <w:gridSpan w:val="2"/>
            <w:tcBorders>
              <w:top w:val="single" w:sz="12" w:space="0" w:color="auto"/>
              <w:bottom w:val="single" w:sz="12" w:space="0" w:color="auto"/>
            </w:tcBorders>
            <w:shd w:val="clear" w:color="auto" w:fill="F5F5F1"/>
            <w:noWrap/>
            <w:vAlign w:val="center"/>
          </w:tcPr>
          <w:p w14:paraId="0EB93102" w14:textId="77777777" w:rsidR="008B1128" w:rsidRPr="00D23A28" w:rsidRDefault="008B1128" w:rsidP="0057050A">
            <w:pPr>
              <w:pStyle w:val="TableHeaderRow"/>
            </w:pPr>
            <w:r w:rsidRPr="00D23A28">
              <w:t>Disability prevalence by income quintile</w:t>
            </w:r>
          </w:p>
        </w:tc>
      </w:tr>
      <w:tr w:rsidR="008B1128" w:rsidRPr="00D23A28" w14:paraId="7E6050AC" w14:textId="77777777" w:rsidTr="00610F97">
        <w:trPr>
          <w:trHeight w:val="320"/>
          <w:tblHeader/>
        </w:trPr>
        <w:tc>
          <w:tcPr>
            <w:tcW w:w="4392" w:type="pct"/>
            <w:tcBorders>
              <w:top w:val="single" w:sz="12" w:space="0" w:color="auto"/>
            </w:tcBorders>
            <w:shd w:val="clear" w:color="auto" w:fill="F5F5F1"/>
            <w:noWrap/>
            <w:hideMark/>
          </w:tcPr>
          <w:p w14:paraId="35704968" w14:textId="77777777" w:rsidR="008B1128" w:rsidRPr="00D23A28" w:rsidRDefault="008B1128" w:rsidP="00610F97">
            <w:r w:rsidRPr="00D23A28">
              <w:t>Lowest quintile</w:t>
            </w:r>
          </w:p>
        </w:tc>
        <w:tc>
          <w:tcPr>
            <w:tcW w:w="608" w:type="pct"/>
            <w:tcBorders>
              <w:top w:val="single" w:sz="12" w:space="0" w:color="auto"/>
            </w:tcBorders>
            <w:shd w:val="clear" w:color="auto" w:fill="F5F5F1"/>
            <w:noWrap/>
            <w:hideMark/>
          </w:tcPr>
          <w:p w14:paraId="2FBCF06D" w14:textId="77777777" w:rsidR="008B1128" w:rsidRPr="00D23A28" w:rsidRDefault="008B1128" w:rsidP="0056288A">
            <w:r w:rsidRPr="00D23A28">
              <w:t>31%</w:t>
            </w:r>
          </w:p>
        </w:tc>
      </w:tr>
      <w:tr w:rsidR="008B1128" w:rsidRPr="00D23A28" w14:paraId="7837C0B6" w14:textId="77777777" w:rsidTr="0056288A">
        <w:trPr>
          <w:trHeight w:val="320"/>
          <w:tblHeader/>
        </w:trPr>
        <w:tc>
          <w:tcPr>
            <w:tcW w:w="4392" w:type="pct"/>
            <w:shd w:val="clear" w:color="auto" w:fill="F5F5F1"/>
            <w:noWrap/>
            <w:hideMark/>
          </w:tcPr>
          <w:p w14:paraId="5003D6D6" w14:textId="77777777" w:rsidR="008B1128" w:rsidRPr="00D23A28" w:rsidRDefault="008B1128" w:rsidP="00610F97">
            <w:r w:rsidRPr="00D23A28">
              <w:t>Second quintile</w:t>
            </w:r>
          </w:p>
        </w:tc>
        <w:tc>
          <w:tcPr>
            <w:tcW w:w="608" w:type="pct"/>
            <w:shd w:val="clear" w:color="auto" w:fill="F5F5F1"/>
            <w:noWrap/>
            <w:hideMark/>
          </w:tcPr>
          <w:p w14:paraId="3E55AF6D" w14:textId="77777777" w:rsidR="008B1128" w:rsidRPr="00D23A28" w:rsidRDefault="008B1128" w:rsidP="0056288A">
            <w:r w:rsidRPr="00D23A28">
              <w:t>20%</w:t>
            </w:r>
          </w:p>
        </w:tc>
      </w:tr>
      <w:tr w:rsidR="008B1128" w:rsidRPr="00D23A28" w14:paraId="75A332FE" w14:textId="77777777" w:rsidTr="0056288A">
        <w:trPr>
          <w:trHeight w:val="320"/>
          <w:tblHeader/>
        </w:trPr>
        <w:tc>
          <w:tcPr>
            <w:tcW w:w="4392" w:type="pct"/>
            <w:shd w:val="clear" w:color="auto" w:fill="F5F5F1"/>
            <w:noWrap/>
            <w:hideMark/>
          </w:tcPr>
          <w:p w14:paraId="0DE8F756" w14:textId="77777777" w:rsidR="008B1128" w:rsidRPr="00D23A28" w:rsidRDefault="008B1128" w:rsidP="00610F97">
            <w:r w:rsidRPr="00D23A28">
              <w:t>Third quintile</w:t>
            </w:r>
          </w:p>
        </w:tc>
        <w:tc>
          <w:tcPr>
            <w:tcW w:w="608" w:type="pct"/>
            <w:shd w:val="clear" w:color="auto" w:fill="F5F5F1"/>
            <w:noWrap/>
            <w:hideMark/>
          </w:tcPr>
          <w:p w14:paraId="3D656367" w14:textId="77777777" w:rsidR="008B1128" w:rsidRPr="00D23A28" w:rsidRDefault="008B1128" w:rsidP="0056288A">
            <w:r w:rsidRPr="00D23A28">
              <w:t>17%</w:t>
            </w:r>
          </w:p>
        </w:tc>
      </w:tr>
      <w:tr w:rsidR="008B1128" w:rsidRPr="00D23A28" w14:paraId="733678DE" w14:textId="77777777" w:rsidTr="0056288A">
        <w:trPr>
          <w:trHeight w:val="320"/>
          <w:tblHeader/>
        </w:trPr>
        <w:tc>
          <w:tcPr>
            <w:tcW w:w="4392" w:type="pct"/>
            <w:shd w:val="clear" w:color="auto" w:fill="F5F5F1"/>
            <w:noWrap/>
            <w:hideMark/>
          </w:tcPr>
          <w:p w14:paraId="10E82C8B" w14:textId="77777777" w:rsidR="008B1128" w:rsidRPr="00D23A28" w:rsidRDefault="008B1128" w:rsidP="00610F97">
            <w:r w:rsidRPr="00D23A28">
              <w:t>Fourth quintile</w:t>
            </w:r>
          </w:p>
        </w:tc>
        <w:tc>
          <w:tcPr>
            <w:tcW w:w="608" w:type="pct"/>
            <w:shd w:val="clear" w:color="auto" w:fill="F5F5F1"/>
            <w:noWrap/>
            <w:hideMark/>
          </w:tcPr>
          <w:p w14:paraId="3601841F" w14:textId="77777777" w:rsidR="008B1128" w:rsidRPr="00D23A28" w:rsidRDefault="008B1128" w:rsidP="0056288A">
            <w:r w:rsidRPr="00D23A28">
              <w:t>16%</w:t>
            </w:r>
          </w:p>
        </w:tc>
      </w:tr>
      <w:tr w:rsidR="008B1128" w:rsidRPr="00D23A28" w14:paraId="348ECA98" w14:textId="77777777" w:rsidTr="00610F97">
        <w:trPr>
          <w:trHeight w:val="320"/>
          <w:tblHeader/>
        </w:trPr>
        <w:tc>
          <w:tcPr>
            <w:tcW w:w="4392" w:type="pct"/>
            <w:tcBorders>
              <w:bottom w:val="single" w:sz="12" w:space="0" w:color="auto"/>
            </w:tcBorders>
            <w:shd w:val="clear" w:color="auto" w:fill="F5F5F1"/>
            <w:noWrap/>
            <w:hideMark/>
          </w:tcPr>
          <w:p w14:paraId="0BC7D42A" w14:textId="77777777" w:rsidR="008B1128" w:rsidRPr="00D23A28" w:rsidRDefault="008B1128" w:rsidP="00610F97">
            <w:r w:rsidRPr="00D23A28">
              <w:t>Highest quintile</w:t>
            </w:r>
          </w:p>
        </w:tc>
        <w:tc>
          <w:tcPr>
            <w:tcW w:w="608" w:type="pct"/>
            <w:tcBorders>
              <w:bottom w:val="single" w:sz="12" w:space="0" w:color="auto"/>
            </w:tcBorders>
            <w:shd w:val="clear" w:color="auto" w:fill="F5F5F1"/>
            <w:noWrap/>
            <w:hideMark/>
          </w:tcPr>
          <w:p w14:paraId="0C22F7F3" w14:textId="77777777" w:rsidR="008B1128" w:rsidRPr="00D23A28" w:rsidRDefault="008B1128" w:rsidP="0056288A">
            <w:r w:rsidRPr="00D23A28">
              <w:t>15%</w:t>
            </w:r>
          </w:p>
        </w:tc>
      </w:tr>
      <w:tr w:rsidR="008B1128" w:rsidRPr="00D23A28" w14:paraId="23060C13" w14:textId="77777777" w:rsidTr="00610F97">
        <w:trPr>
          <w:trHeight w:val="320"/>
          <w:tblHeader/>
        </w:trPr>
        <w:tc>
          <w:tcPr>
            <w:tcW w:w="5000" w:type="pct"/>
            <w:gridSpan w:val="2"/>
            <w:tcBorders>
              <w:top w:val="single" w:sz="12" w:space="0" w:color="auto"/>
            </w:tcBorders>
            <w:noWrap/>
          </w:tcPr>
          <w:p w14:paraId="64FEEE3A" w14:textId="77777777" w:rsidR="008B1128" w:rsidRPr="00D23A28" w:rsidRDefault="008B1128" w:rsidP="00E0225B">
            <w:pPr>
              <w:rPr>
                <w:sz w:val="18"/>
                <w:szCs w:val="18"/>
                <w:lang w:val="fr-FR"/>
              </w:rPr>
            </w:pPr>
            <w:proofErr w:type="gramStart"/>
            <w:r w:rsidRPr="00D23A28">
              <w:rPr>
                <w:i/>
                <w:iCs/>
                <w:sz w:val="18"/>
                <w:szCs w:val="18"/>
                <w:lang w:val="fr-FR"/>
              </w:rPr>
              <w:t>Source:</w:t>
            </w:r>
            <w:proofErr w:type="gramEnd"/>
            <w:r w:rsidRPr="00D23A28">
              <w:rPr>
                <w:sz w:val="18"/>
                <w:szCs w:val="18"/>
                <w:lang w:val="fr-FR"/>
              </w:rPr>
              <w:t xml:space="preserve"> Institut National de la Statistique, des </w:t>
            </w:r>
            <w:proofErr w:type="spellStart"/>
            <w:r w:rsidRPr="00D23A28">
              <w:rPr>
                <w:sz w:val="18"/>
                <w:szCs w:val="18"/>
                <w:lang w:val="fr-FR"/>
              </w:rPr>
              <w:t>Études</w:t>
            </w:r>
            <w:proofErr w:type="spellEnd"/>
            <w:r w:rsidRPr="00D23A28">
              <w:rPr>
                <w:sz w:val="18"/>
                <w:szCs w:val="18"/>
                <w:lang w:val="fr-FR"/>
              </w:rPr>
              <w:t xml:space="preserve"> </w:t>
            </w:r>
            <w:proofErr w:type="spellStart"/>
            <w:r w:rsidRPr="00D23A28">
              <w:rPr>
                <w:sz w:val="18"/>
                <w:szCs w:val="18"/>
                <w:lang w:val="fr-FR"/>
              </w:rPr>
              <w:t>Économiques</w:t>
            </w:r>
            <w:proofErr w:type="spellEnd"/>
            <w:r w:rsidRPr="00D23A28">
              <w:rPr>
                <w:sz w:val="18"/>
                <w:szCs w:val="18"/>
                <w:lang w:val="fr-FR"/>
              </w:rPr>
              <w:t xml:space="preserve"> et </w:t>
            </w:r>
            <w:proofErr w:type="spellStart"/>
            <w:r w:rsidRPr="00D23A28">
              <w:rPr>
                <w:sz w:val="18"/>
                <w:szCs w:val="18"/>
                <w:lang w:val="fr-FR"/>
              </w:rPr>
              <w:t>Démographiques</w:t>
            </w:r>
            <w:proofErr w:type="spellEnd"/>
            <w:r w:rsidRPr="00D23A28">
              <w:rPr>
                <w:sz w:val="18"/>
                <w:szCs w:val="18"/>
                <w:lang w:val="fr-FR"/>
              </w:rPr>
              <w:t xml:space="preserve"> (INSEED), Ministère de la Santé Publique (MSP) et ICF International, </w:t>
            </w:r>
            <w:proofErr w:type="spellStart"/>
            <w:r w:rsidRPr="00D23A28">
              <w:rPr>
                <w:i/>
                <w:iCs/>
                <w:sz w:val="18"/>
                <w:szCs w:val="18"/>
                <w:lang w:val="fr-FR"/>
              </w:rPr>
              <w:t>Enque</w:t>
            </w:r>
            <w:r w:rsidRPr="00300ABD">
              <w:rPr>
                <w:rFonts w:ascii="Times New Roman" w:hAnsi="Times New Roman" w:cs="Times New Roman"/>
                <w:i/>
                <w:iCs/>
                <w:sz w:val="18"/>
                <w:szCs w:val="18"/>
                <w:lang w:val="fr-FR"/>
              </w:rPr>
              <w:t>̂</w:t>
            </w:r>
            <w:r w:rsidRPr="00D23A28">
              <w:rPr>
                <w:i/>
                <w:iCs/>
                <w:sz w:val="18"/>
                <w:szCs w:val="18"/>
                <w:lang w:val="fr-FR"/>
              </w:rPr>
              <w:t>te</w:t>
            </w:r>
            <w:proofErr w:type="spellEnd"/>
            <w:r w:rsidRPr="00D23A28">
              <w:rPr>
                <w:i/>
                <w:iCs/>
                <w:sz w:val="18"/>
                <w:szCs w:val="18"/>
                <w:lang w:val="fr-FR"/>
              </w:rPr>
              <w:t xml:space="preserve"> </w:t>
            </w:r>
            <w:proofErr w:type="spellStart"/>
            <w:r w:rsidRPr="00D23A28">
              <w:rPr>
                <w:i/>
                <w:iCs/>
                <w:sz w:val="18"/>
                <w:szCs w:val="18"/>
                <w:lang w:val="fr-FR"/>
              </w:rPr>
              <w:t>Démographique</w:t>
            </w:r>
            <w:proofErr w:type="spellEnd"/>
            <w:r w:rsidRPr="00D23A28">
              <w:rPr>
                <w:i/>
                <w:iCs/>
                <w:sz w:val="18"/>
                <w:szCs w:val="18"/>
                <w:lang w:val="fr-FR"/>
              </w:rPr>
              <w:t xml:space="preserve"> et de Santé et à Indicateurs Multiples (EDS-MICS 2014-2015)</w:t>
            </w:r>
            <w:r w:rsidRPr="00D23A28">
              <w:rPr>
                <w:sz w:val="18"/>
                <w:szCs w:val="18"/>
                <w:lang w:val="fr-FR"/>
              </w:rPr>
              <w:t xml:space="preserve"> (Rockville, Maryland, USA : INSEED, MSP et ICF International, 2014-2015), table 16.3 </w:t>
            </w:r>
          </w:p>
        </w:tc>
      </w:tr>
    </w:tbl>
    <w:p w14:paraId="3A0A090C" w14:textId="77777777" w:rsidR="008B1128" w:rsidRPr="00D23A28" w:rsidRDefault="008B1128" w:rsidP="0056288A">
      <w:pPr>
        <w:pStyle w:val="Heading2"/>
        <w:rPr>
          <w:rFonts w:eastAsiaTheme="majorEastAsia"/>
        </w:rPr>
      </w:pPr>
      <w:r w:rsidRPr="00D23A28">
        <w:rPr>
          <w:rFonts w:eastAsiaTheme="majorEastAsia"/>
        </w:rPr>
        <w:t xml:space="preserve">5.25 Coverage by essential health services (defined as the average coverage of essential services based on tracer interventions that include reproductive, maternal, </w:t>
      </w:r>
      <w:proofErr w:type="spellStart"/>
      <w:r w:rsidRPr="00D23A28">
        <w:rPr>
          <w:rFonts w:eastAsiaTheme="majorEastAsia"/>
        </w:rPr>
        <w:t>newborn</w:t>
      </w:r>
      <w:proofErr w:type="spellEnd"/>
      <w:r w:rsidRPr="00D23A28">
        <w:rPr>
          <w:rFonts w:eastAsiaTheme="majorEastAsia"/>
        </w:rPr>
        <w:t xml:space="preserve"> and child health, infectious diseases, non-communicable diseases and service capacity and access, among the general and the most disadvantaged population) (SDG indicator 3.8.1), disaggregated by sex, age and disability.</w:t>
      </w:r>
    </w:p>
    <w:p w14:paraId="4D76F65D" w14:textId="77777777" w:rsidR="008B1128" w:rsidRPr="00D23A28" w:rsidRDefault="008B1128" w:rsidP="0056288A">
      <w:pPr>
        <w:pStyle w:val="Heading4"/>
        <w:rPr>
          <w:rFonts w:eastAsiaTheme="majorEastAsia"/>
        </w:rPr>
      </w:pPr>
      <w:r w:rsidRPr="00D23A28">
        <w:rPr>
          <w:rFonts w:eastAsiaTheme="majorEastAsia"/>
        </w:rPr>
        <w:t>Level 2: Indicator could be produced with straightforward additions or modifications to existing data collection efforts.</w:t>
      </w:r>
    </w:p>
    <w:p w14:paraId="1D78D9C6" w14:textId="23896CBF" w:rsidR="008B1128" w:rsidRPr="00D23A28" w:rsidRDefault="004D2E9B" w:rsidP="008B1128">
      <w:pPr>
        <w:rPr>
          <w:iCs/>
        </w:rPr>
      </w:pPr>
      <w:hyperlink r:id="rId29" w:history="1">
        <w:r w:rsidR="00A6109E" w:rsidRPr="00D23A28">
          <w:rPr>
            <w:rStyle w:val="Hyperlink"/>
          </w:rPr>
          <w:t>Link to the metadata related to this SDG indicator</w:t>
        </w:r>
      </w:hyperlink>
    </w:p>
    <w:p w14:paraId="39F907BD" w14:textId="07E06D7C" w:rsidR="00716898" w:rsidRPr="00D23A28" w:rsidRDefault="00716898" w:rsidP="00716898">
      <w:pPr>
        <w:rPr>
          <w:rFonts w:eastAsiaTheme="minorEastAsia"/>
          <w:iCs/>
        </w:rPr>
      </w:pPr>
      <w:r w:rsidRPr="00D23A28">
        <w:rPr>
          <w:rFonts w:eastAsiaTheme="minorEastAsia"/>
          <w:iCs/>
        </w:rPr>
        <w:t>According to the metadata:</w:t>
      </w:r>
    </w:p>
    <w:p w14:paraId="0955CD11" w14:textId="6389D68F" w:rsidR="008B1128" w:rsidRPr="00D23A28" w:rsidRDefault="00152FD1" w:rsidP="00152FD1">
      <w:pPr>
        <w:pStyle w:val="ListParagraph"/>
        <w:numPr>
          <w:ilvl w:val="0"/>
          <w:numId w:val="0"/>
        </w:numPr>
        <w:ind w:left="360"/>
        <w:rPr>
          <w:rFonts w:eastAsiaTheme="minorEastAsia"/>
          <w:i/>
          <w:iCs/>
        </w:rPr>
      </w:pPr>
      <w:r w:rsidRPr="00D23A28">
        <w:rPr>
          <w:rFonts w:eastAsiaTheme="minorEastAsia"/>
          <w:i/>
          <w:iCs/>
        </w:rPr>
        <w:t>“</w:t>
      </w:r>
      <w:r w:rsidR="008B1128" w:rsidRPr="00D23A28">
        <w:rPr>
          <w:rFonts w:eastAsiaTheme="minorEastAsia"/>
          <w:i/>
          <w:iCs/>
        </w:rPr>
        <w:t xml:space="preserve">Many of the tracer indicators of health service coverage are measured by household surveys. However, administrative data, facility data, facility surveys, and sentinel surveillance systems are </w:t>
      </w:r>
      <w:r w:rsidR="008B1128" w:rsidRPr="00D23A28">
        <w:rPr>
          <w:rFonts w:eastAsiaTheme="minorEastAsia"/>
          <w:i/>
          <w:iCs/>
        </w:rPr>
        <w:lastRenderedPageBreak/>
        <w:t>utilized for certain indicators. Underlying data sources for each of the 14 tracer indicators are explained in more detail in Annex 1 of the metadata.</w:t>
      </w:r>
    </w:p>
    <w:p w14:paraId="3BA8AED6" w14:textId="77777777" w:rsidR="008B1128" w:rsidRPr="00D23A28" w:rsidRDefault="008B1128" w:rsidP="00152FD1">
      <w:pPr>
        <w:pStyle w:val="ListParagraph"/>
        <w:numPr>
          <w:ilvl w:val="0"/>
          <w:numId w:val="0"/>
        </w:numPr>
        <w:ind w:left="360"/>
        <w:rPr>
          <w:rFonts w:eastAsiaTheme="minorEastAsia"/>
          <w:i/>
          <w:iCs/>
        </w:rPr>
      </w:pPr>
      <w:r w:rsidRPr="00D23A28">
        <w:rPr>
          <w:rFonts w:eastAsiaTheme="minorEastAsia"/>
          <w:i/>
          <w:iCs/>
        </w:rPr>
        <w:t>In terms of values used to compute the index, values are taken from existing published sources. This includes assembled data sets and estimates from various UN agencies, as explained in more detail in the metadata.</w:t>
      </w:r>
    </w:p>
    <w:p w14:paraId="51482148" w14:textId="77777777" w:rsidR="008B1128" w:rsidRPr="00D23A28" w:rsidRDefault="008B1128" w:rsidP="00152FD1">
      <w:pPr>
        <w:pStyle w:val="ListParagraph"/>
        <w:numPr>
          <w:ilvl w:val="0"/>
          <w:numId w:val="0"/>
        </w:numPr>
        <w:ind w:left="360"/>
        <w:rPr>
          <w:rFonts w:eastAsiaTheme="minorEastAsia"/>
          <w:i/>
          <w:iCs/>
        </w:rPr>
      </w:pPr>
      <w:r w:rsidRPr="00D23A28">
        <w:rPr>
          <w:rFonts w:eastAsiaTheme="minorEastAsia"/>
          <w:i/>
          <w:iCs/>
        </w:rPr>
        <w:t xml:space="preserve">The mechanisms for collecting data from countries vary across the 14 tracer indicators, however in many cases a UN agency or interagency group has assembled and </w:t>
      </w:r>
      <w:proofErr w:type="spellStart"/>
      <w:r w:rsidRPr="00D23A28">
        <w:rPr>
          <w:rFonts w:eastAsiaTheme="minorEastAsia"/>
          <w:i/>
          <w:iCs/>
        </w:rPr>
        <w:t>analyzed</w:t>
      </w:r>
      <w:proofErr w:type="spellEnd"/>
      <w:r w:rsidRPr="00D23A28">
        <w:rPr>
          <w:rFonts w:eastAsiaTheme="minorEastAsia"/>
          <w:i/>
          <w:iCs/>
        </w:rPr>
        <w:t xml:space="preserve"> relevant national data sources and then conducted a formal country consultation with country governments to review or produce comparable country estimates. For the UHC service coverage index, once this existing information on the 14 tracer indicators is collated, WHO </w:t>
      </w:r>
      <w:r w:rsidRPr="00D23A28">
        <w:rPr>
          <w:rFonts w:eastAsiaTheme="minorEastAsia"/>
          <w:i/>
          <w:iCs/>
          <w:lang w:val="en-US"/>
        </w:rPr>
        <w:t>[World Health Organization]</w:t>
      </w:r>
      <w:r w:rsidRPr="00D23A28">
        <w:rPr>
          <w:rFonts w:eastAsiaTheme="minorEastAsia"/>
          <w:i/>
          <w:iCs/>
        </w:rPr>
        <w:t xml:space="preserve"> conducts a country consultation with nominated focal points from national governments to review inputs and the calculation of the index. WHO does not undertake new estimation activities to produce tracer indicator values for the service coverage index; rather, the index is designed to make use of existing and well-established indicator data series to reduce reporting </w:t>
      </w:r>
      <w:proofErr w:type="gramStart"/>
      <w:r w:rsidRPr="00D23A28">
        <w:rPr>
          <w:rFonts w:eastAsiaTheme="minorEastAsia"/>
          <w:i/>
          <w:iCs/>
        </w:rPr>
        <w:t>burden.</w:t>
      </w:r>
      <w:proofErr w:type="gramEnd"/>
    </w:p>
    <w:p w14:paraId="5731A351" w14:textId="13C11778" w:rsidR="008B1128" w:rsidRPr="00D23A28" w:rsidRDefault="008B1128" w:rsidP="00152FD1">
      <w:pPr>
        <w:pStyle w:val="ListParagraph"/>
        <w:numPr>
          <w:ilvl w:val="0"/>
          <w:numId w:val="0"/>
        </w:numPr>
        <w:ind w:left="360"/>
        <w:rPr>
          <w:rFonts w:eastAsiaTheme="minorEastAsia"/>
          <w:i/>
          <w:iCs/>
        </w:rPr>
      </w:pPr>
      <w:r w:rsidRPr="00D23A28">
        <w:rPr>
          <w:rFonts w:eastAsiaTheme="minorEastAsia"/>
          <w:i/>
          <w:iCs/>
        </w:rPr>
        <w:t>Summarizing data availability for the UHC service coverage index is not straightforward, as different data sources are used across the 14 tracer indicators. Additionally, for many indicators comparable estimates have been produced, in many cases drawing on different types of underlying data sources to inform the estimates while also using projections to impute missing values. Based on the underlying data sources for each of the tracer indicators (i.e., ignoring estimates and projections), the average proportion of indicators used to compute the index with underlying data available since 2010 is around 70% across countries globally.</w:t>
      </w:r>
      <w:r w:rsidR="00152FD1" w:rsidRPr="00D23A28">
        <w:rPr>
          <w:rFonts w:eastAsiaTheme="minorEastAsia"/>
          <w:i/>
          <w:iCs/>
        </w:rPr>
        <w:t>”</w:t>
      </w:r>
    </w:p>
    <w:p w14:paraId="63700AB3" w14:textId="77777777" w:rsidR="008B1128" w:rsidRPr="00D23A28" w:rsidRDefault="008B1128" w:rsidP="00E0225B">
      <w:r w:rsidRPr="00D23A28">
        <w:t>For countries that already have disability information in their source data, it is a simple matter of disaggregating the indicator. However, no countries were found to have done it.</w:t>
      </w:r>
    </w:p>
    <w:p w14:paraId="1C796C53" w14:textId="77777777" w:rsidR="008B1128" w:rsidRPr="00D23A28" w:rsidRDefault="008B1128" w:rsidP="00E0225B">
      <w:r w:rsidRPr="00D23A28">
        <w:t>Note that this indicator does not cover support services, which are covered by other indicators.</w:t>
      </w:r>
    </w:p>
    <w:p w14:paraId="793D5F2D" w14:textId="77777777" w:rsidR="008B1128" w:rsidRPr="00D23A28" w:rsidRDefault="008B1128" w:rsidP="0056288A">
      <w:pPr>
        <w:pStyle w:val="Heading2"/>
        <w:rPr>
          <w:rFonts w:eastAsiaTheme="majorEastAsia"/>
        </w:rPr>
      </w:pPr>
      <w:r w:rsidRPr="00D23A28">
        <w:rPr>
          <w:rFonts w:eastAsiaTheme="majorEastAsia"/>
        </w:rPr>
        <w:t>5.26 Proportions of positions (by sex, age, disability and population groups) in public institutions (national and local legislatures, public service, and judiciary) compared to national distributions (SDG 16.7.1)</w:t>
      </w:r>
    </w:p>
    <w:p w14:paraId="3F1703F1" w14:textId="77777777" w:rsidR="008B1128" w:rsidRPr="00D23A28" w:rsidRDefault="008B1128" w:rsidP="0056288A">
      <w:pPr>
        <w:pStyle w:val="Heading4"/>
        <w:rPr>
          <w:rFonts w:eastAsiaTheme="majorEastAsia"/>
        </w:rPr>
      </w:pPr>
      <w:r w:rsidRPr="00D23A28">
        <w:rPr>
          <w:rFonts w:eastAsiaTheme="majorEastAsia"/>
        </w:rPr>
        <w:t>Level 3: Indicator for which acquiring data is more complex or requires the development of data collection mechanisms which are currently not in place.</w:t>
      </w:r>
    </w:p>
    <w:p w14:paraId="01C41BEE" w14:textId="1AD66CAE" w:rsidR="008B1128" w:rsidRPr="00D23A28" w:rsidRDefault="004D2E9B" w:rsidP="008B1128">
      <w:hyperlink r:id="rId30" w:history="1">
        <w:r w:rsidR="00A6109E" w:rsidRPr="00D23A28">
          <w:rPr>
            <w:rStyle w:val="Hyperlink"/>
          </w:rPr>
          <w:t>Link to the metadata related to this SDG indicator</w:t>
        </w:r>
      </w:hyperlink>
    </w:p>
    <w:p w14:paraId="0646AB53" w14:textId="6B2D1683" w:rsidR="00716898" w:rsidRPr="00D23A28" w:rsidRDefault="00716898" w:rsidP="005B7F5E">
      <w:r w:rsidRPr="00D23A28">
        <w:t>According to the metadata:</w:t>
      </w:r>
    </w:p>
    <w:p w14:paraId="5B7027B1" w14:textId="157755F0" w:rsidR="008B1128" w:rsidRPr="00D23A28" w:rsidRDefault="00716898" w:rsidP="00210155">
      <w:pPr>
        <w:ind w:left="360"/>
        <w:rPr>
          <w:i/>
        </w:rPr>
      </w:pPr>
      <w:r w:rsidRPr="00D23A28">
        <w:rPr>
          <w:i/>
        </w:rPr>
        <w:t>"</w:t>
      </w:r>
      <w:r w:rsidR="008B1128" w:rsidRPr="00D23A28">
        <w:rPr>
          <w:i/>
        </w:rPr>
        <w:t>The multiple data points pertaining to the parliamentary sub-component of indicator 16.7.1 will be compiled by the Inter-Parliamentary Union (IPU) based on information gathered in its New PARLINE database on national parliaments:</w:t>
      </w:r>
    </w:p>
    <w:p w14:paraId="78AF8DE9" w14:textId="77777777" w:rsidR="008B1128" w:rsidRPr="00D23A28" w:rsidRDefault="008B1128" w:rsidP="00210155">
      <w:pPr>
        <w:ind w:left="360"/>
        <w:rPr>
          <w:i/>
        </w:rPr>
      </w:pPr>
      <w:r w:rsidRPr="00D23A28">
        <w:rPr>
          <w:i/>
        </w:rPr>
        <w:lastRenderedPageBreak/>
        <w:t>The IPU already collects data from secretariats of national parliaments on an ongoing basis for New PARLINE, which can provide data on members and speakers. The Platform already provides up-to-date and disaggregated data on the following positions:</w:t>
      </w:r>
    </w:p>
    <w:p w14:paraId="01E427F9" w14:textId="77777777" w:rsidR="008B1128" w:rsidRPr="00D23A28" w:rsidRDefault="008B1128" w:rsidP="00210155">
      <w:pPr>
        <w:pStyle w:val="ListParagraph"/>
        <w:numPr>
          <w:ilvl w:val="0"/>
          <w:numId w:val="5"/>
        </w:numPr>
        <w:rPr>
          <w:i/>
        </w:rPr>
      </w:pPr>
      <w:r w:rsidRPr="00D23A28">
        <w:rPr>
          <w:i/>
        </w:rPr>
        <w:t>Members: data disaggregated by sex and age.</w:t>
      </w:r>
    </w:p>
    <w:p w14:paraId="28DE2665" w14:textId="77777777" w:rsidR="008B1128" w:rsidRPr="00D23A28" w:rsidRDefault="008B1128" w:rsidP="00210155">
      <w:pPr>
        <w:pStyle w:val="ListParagraph"/>
        <w:numPr>
          <w:ilvl w:val="0"/>
          <w:numId w:val="5"/>
        </w:numPr>
        <w:rPr>
          <w:i/>
        </w:rPr>
      </w:pPr>
      <w:r w:rsidRPr="00D23A28">
        <w:rPr>
          <w:i/>
        </w:rPr>
        <w:t>Speakers: data disaggregated by sex and age.</w:t>
      </w:r>
    </w:p>
    <w:p w14:paraId="6D73A73D" w14:textId="77777777" w:rsidR="008B1128" w:rsidRPr="00D23A28" w:rsidRDefault="008B1128" w:rsidP="00210155">
      <w:pPr>
        <w:pStyle w:val="ListParagraph"/>
        <w:numPr>
          <w:ilvl w:val="0"/>
          <w:numId w:val="5"/>
        </w:numPr>
        <w:rPr>
          <w:i/>
        </w:rPr>
      </w:pPr>
      <w:r w:rsidRPr="00D23A28">
        <w:rPr>
          <w:i/>
        </w:rPr>
        <w:t>Chairs of permanent committees on Human Rights and Gender Equality: data disaggregated by sex and age.</w:t>
      </w:r>
    </w:p>
    <w:p w14:paraId="08E3C8FF" w14:textId="77777777" w:rsidR="008B1128" w:rsidRPr="00D23A28" w:rsidRDefault="008B1128" w:rsidP="00210155">
      <w:pPr>
        <w:ind w:left="360"/>
        <w:rPr>
          <w:i/>
        </w:rPr>
      </w:pPr>
      <w:r w:rsidRPr="00D23A28">
        <w:rPr>
          <w:i/>
        </w:rPr>
        <w:t xml:space="preserve">Data on age and sex of Chairs of permanent committee on Foreign Affairs, </w:t>
      </w:r>
      <w:proofErr w:type="spellStart"/>
      <w:r w:rsidRPr="00D23A28">
        <w:rPr>
          <w:i/>
        </w:rPr>
        <w:t>Defense</w:t>
      </w:r>
      <w:proofErr w:type="spellEnd"/>
      <w:r w:rsidRPr="00D23A28">
        <w:rPr>
          <w:i/>
        </w:rPr>
        <w:t xml:space="preserve"> and Finance: Data on the sex and age of Chairs of permanent committees on Foreign Affairs, </w:t>
      </w:r>
      <w:proofErr w:type="spellStart"/>
      <w:r w:rsidRPr="00D23A28">
        <w:rPr>
          <w:i/>
        </w:rPr>
        <w:t>Defense</w:t>
      </w:r>
      <w:proofErr w:type="spellEnd"/>
      <w:r w:rsidRPr="00D23A28">
        <w:rPr>
          <w:i/>
        </w:rPr>
        <w:t xml:space="preserve"> and Finance New </w:t>
      </w:r>
      <w:proofErr w:type="spellStart"/>
      <w:r w:rsidRPr="00D23A28">
        <w:rPr>
          <w:i/>
        </w:rPr>
        <w:t>Parline</w:t>
      </w:r>
      <w:proofErr w:type="spellEnd"/>
      <w:r w:rsidRPr="00D23A28">
        <w:rPr>
          <w:i/>
        </w:rPr>
        <w:t xml:space="preserve">, will be added to </w:t>
      </w:r>
      <w:proofErr w:type="spellStart"/>
      <w:r w:rsidRPr="00D23A28">
        <w:rPr>
          <w:i/>
        </w:rPr>
        <w:t>Parline</w:t>
      </w:r>
      <w:proofErr w:type="spellEnd"/>
      <w:r w:rsidRPr="00D23A28">
        <w:rPr>
          <w:i/>
        </w:rPr>
        <w:t xml:space="preserve"> in 2020. This is building on the successful attempt made by the IPU in 2011 to collect sex-disaggregated data on committee Chairs, broken down by area of competence (see IPU, Gender-sensitive parliaments, 2011).</w:t>
      </w:r>
    </w:p>
    <w:p w14:paraId="6ACBDD2F" w14:textId="77777777" w:rsidR="008B1128" w:rsidRPr="00D23A28" w:rsidRDefault="008B1128" w:rsidP="00210155">
      <w:pPr>
        <w:ind w:left="360"/>
        <w:rPr>
          <w:i/>
        </w:rPr>
      </w:pPr>
      <w:r w:rsidRPr="00D23A28">
        <w:rPr>
          <w:i/>
        </w:rPr>
        <w:t>In the immediate future, data on the disability and population group status of individual members will not be collected: (1) such characteristics are very rarely tracked by parliaments in a systematic way; (2) confidentiality and data protection concerns are likely to make such data collection challenging, if not legally impossible; (3) data on the representation of persons with disabilities or various population groups will likely be of limited potential use aside from reporting on this indicator.</w:t>
      </w:r>
    </w:p>
    <w:p w14:paraId="29778256" w14:textId="77777777" w:rsidR="008B1128" w:rsidRPr="00D23A28" w:rsidRDefault="008B1128" w:rsidP="00210155">
      <w:pPr>
        <w:ind w:left="360"/>
        <w:rPr>
          <w:i/>
        </w:rPr>
      </w:pPr>
      <w:r w:rsidRPr="00D23A28">
        <w:rPr>
          <w:i/>
        </w:rPr>
        <w:t>Instead, lists of electoral or constitutional provisions guaranteeing representation of persons with disabilities and various population groups in parliament are already compiled in the New PARLINE database (see ‘Reserved seats and quotas’ section) and will be used to report on this indicator.</w:t>
      </w:r>
    </w:p>
    <w:p w14:paraId="0A417518" w14:textId="77777777" w:rsidR="008B1128" w:rsidRPr="00D23A28" w:rsidRDefault="008B1128" w:rsidP="00210155">
      <w:pPr>
        <w:ind w:left="360"/>
        <w:rPr>
          <w:i/>
        </w:rPr>
      </w:pPr>
      <w:r w:rsidRPr="00D23A28">
        <w:rPr>
          <w:i/>
        </w:rPr>
        <w:t>In the future, it is recommended that the ‘Inclusion Survey’ (see Annex in metadata) be considered by the IPU’s network of national parliaments. In this survey, each member is asked to self-report on (1) levels of difficulty in performing activities in five</w:t>
      </w:r>
      <w:r w:rsidRPr="00D23A28">
        <w:rPr>
          <w:i/>
          <w:vertAlign w:val="superscript"/>
        </w:rPr>
        <w:t xml:space="preserve"> </w:t>
      </w:r>
      <w:r w:rsidRPr="00D23A28">
        <w:rPr>
          <w:i/>
        </w:rPr>
        <w:t>core functional domains – namely seeing, hearing, walking, cognition and communication (the ‘Inclusion Survey’ is an adapted version of the standardized Short Set of Questions on Disability elaborated by the Washington Group), and (2) his/her affiliation to a national, ethnic, religious or linguistic minority group, or to an indigenous or occupational group, in keeping with the UN principle of self-identification with regards to indigenous peoples and minorities.</w:t>
      </w:r>
    </w:p>
    <w:p w14:paraId="305E14F6" w14:textId="47828B10" w:rsidR="005C4C97" w:rsidRPr="00D23A28" w:rsidRDefault="008B1128" w:rsidP="00210155">
      <w:pPr>
        <w:ind w:left="360"/>
      </w:pPr>
      <w:r w:rsidRPr="00D23A28">
        <w:rPr>
          <w:i/>
        </w:rPr>
        <w:t>Given the potential sensitivity of disclosing information on population groups and disability, declaring and being transparent as to which body is the sponsor of the Inclusion Survey can make respondents more comfortable. It is important for the sponsor to be a neutral entity, independent from the employer institution, with the capacity to protect the confidentiality of survey respondents. In this regard, organisations such as the Inter-Parliamentary Union or National Statistical Offices are particularly well-positioned to administer the Inclusion Survey in national parliaments, and to perform subsequent data analysis.</w:t>
      </w:r>
      <w:r w:rsidR="00716898" w:rsidRPr="00D23A28">
        <w:t>"</w:t>
      </w:r>
    </w:p>
    <w:p w14:paraId="3C54A629" w14:textId="77777777" w:rsidR="005B7F5E" w:rsidRPr="00D23A28" w:rsidRDefault="008B1128" w:rsidP="005C4C97">
      <w:r w:rsidRPr="00D23A28">
        <w:t xml:space="preserve">According to </w:t>
      </w:r>
      <w:hyperlink r:id="rId31" w:history="1">
        <w:proofErr w:type="spellStart"/>
        <w:r w:rsidRPr="00D23A28">
          <w:rPr>
            <w:rStyle w:val="Hyperlink"/>
          </w:rPr>
          <w:t>Parline</w:t>
        </w:r>
        <w:proofErr w:type="spellEnd"/>
      </w:hyperlink>
      <w:r w:rsidRPr="00D23A28">
        <w:t>, 41 counties have reserved seats and quotas for at least one of these groups: women, indigenous peoples, minorities, youth, persons with disabilities or others. A review of this data yielded the following countries had seats reserved for persons with disabilities, available in table 7.</w:t>
      </w:r>
    </w:p>
    <w:p w14:paraId="28FE6904" w14:textId="16774924" w:rsidR="008B1128" w:rsidRPr="00D23A28" w:rsidRDefault="008B1128" w:rsidP="00492BA5">
      <w:pPr>
        <w:pStyle w:val="TableHeader"/>
        <w:rPr>
          <w:rFonts w:asciiTheme="minorHAnsi" w:hAnsiTheme="minorHAnsi"/>
        </w:rPr>
      </w:pPr>
      <w:r w:rsidRPr="00D23A28">
        <w:rPr>
          <w:rFonts w:asciiTheme="minorHAnsi" w:hAnsiTheme="minorHAnsi"/>
          <w:b/>
          <w:bCs w:val="0"/>
        </w:rPr>
        <w:lastRenderedPageBreak/>
        <w:t>Table 7</w:t>
      </w:r>
      <w:r w:rsidR="00A6109E" w:rsidRPr="00D23A28">
        <w:rPr>
          <w:rFonts w:asciiTheme="minorHAnsi" w:hAnsiTheme="minorHAnsi"/>
          <w:b/>
          <w:bCs w:val="0"/>
        </w:rPr>
        <w:t>:</w:t>
      </w:r>
      <w:r w:rsidR="00A6109E" w:rsidRPr="00D23A28">
        <w:rPr>
          <w:rFonts w:asciiTheme="minorHAnsi" w:hAnsiTheme="minorHAnsi"/>
        </w:rPr>
        <w:t xml:space="preserve"> </w:t>
      </w:r>
      <w:r w:rsidRPr="00D23A28">
        <w:rPr>
          <w:rFonts w:asciiTheme="minorHAnsi" w:hAnsiTheme="minorHAnsi"/>
        </w:rPr>
        <w:t>Number of seats reserved for persons with disabilities, by legislative bodies and country</w:t>
      </w:r>
    </w:p>
    <w:tbl>
      <w:tblPr>
        <w:tblStyle w:val="TableGrid"/>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Number of seats reserved for persons with disabilities, by legislative bodies and country"/>
      </w:tblPr>
      <w:tblGrid>
        <w:gridCol w:w="1509"/>
        <w:gridCol w:w="2374"/>
        <w:gridCol w:w="5094"/>
      </w:tblGrid>
      <w:tr w:rsidR="008B1128" w:rsidRPr="00D23A28" w14:paraId="7B5566FB" w14:textId="77777777" w:rsidTr="007869FC">
        <w:trPr>
          <w:trHeight w:val="263"/>
          <w:tblHeader/>
        </w:trPr>
        <w:tc>
          <w:tcPr>
            <w:tcW w:w="841" w:type="pct"/>
            <w:tcBorders>
              <w:top w:val="single" w:sz="12" w:space="0" w:color="auto"/>
              <w:bottom w:val="single" w:sz="12" w:space="0" w:color="auto"/>
            </w:tcBorders>
            <w:shd w:val="clear" w:color="auto" w:fill="F5F5F1"/>
            <w:vAlign w:val="bottom"/>
          </w:tcPr>
          <w:p w14:paraId="430F960B" w14:textId="77777777" w:rsidR="008B1128" w:rsidRPr="00D23A28" w:rsidRDefault="008B1128" w:rsidP="007869FC">
            <w:pPr>
              <w:pStyle w:val="TableHeaderRow"/>
            </w:pPr>
            <w:r w:rsidRPr="00D23A28">
              <w:t>Country</w:t>
            </w:r>
          </w:p>
        </w:tc>
        <w:tc>
          <w:tcPr>
            <w:tcW w:w="1322" w:type="pct"/>
            <w:tcBorders>
              <w:top w:val="single" w:sz="12" w:space="0" w:color="auto"/>
              <w:bottom w:val="single" w:sz="12" w:space="0" w:color="auto"/>
            </w:tcBorders>
            <w:shd w:val="clear" w:color="auto" w:fill="F5F5F1"/>
            <w:vAlign w:val="bottom"/>
          </w:tcPr>
          <w:p w14:paraId="47FC0ACC" w14:textId="77777777" w:rsidR="008B1128" w:rsidRPr="00D23A28" w:rsidRDefault="008B1128" w:rsidP="007869FC">
            <w:pPr>
              <w:pStyle w:val="TableHeaderRow"/>
            </w:pPr>
            <w:r w:rsidRPr="00D23A28">
              <w:t>Legislative body</w:t>
            </w:r>
          </w:p>
        </w:tc>
        <w:tc>
          <w:tcPr>
            <w:tcW w:w="2836" w:type="pct"/>
            <w:tcBorders>
              <w:top w:val="single" w:sz="12" w:space="0" w:color="auto"/>
              <w:bottom w:val="single" w:sz="12" w:space="0" w:color="auto"/>
            </w:tcBorders>
            <w:shd w:val="clear" w:color="auto" w:fill="F5F5F1"/>
            <w:vAlign w:val="bottom"/>
          </w:tcPr>
          <w:p w14:paraId="2B37160B" w14:textId="77777777" w:rsidR="008B1128" w:rsidRPr="00D23A28" w:rsidRDefault="008B1128" w:rsidP="007869FC">
            <w:pPr>
              <w:pStyle w:val="TableHeaderRow"/>
            </w:pPr>
            <w:r w:rsidRPr="00D23A28">
              <w:t>Number of seats reserved for persons with disabilities</w:t>
            </w:r>
          </w:p>
        </w:tc>
      </w:tr>
      <w:tr w:rsidR="008B1128" w:rsidRPr="00D23A28" w14:paraId="7526F6C1" w14:textId="77777777" w:rsidTr="007869FC">
        <w:trPr>
          <w:trHeight w:val="263"/>
          <w:tblHeader/>
        </w:trPr>
        <w:tc>
          <w:tcPr>
            <w:tcW w:w="841" w:type="pct"/>
            <w:tcBorders>
              <w:top w:val="single" w:sz="12" w:space="0" w:color="auto"/>
              <w:bottom w:val="single" w:sz="12" w:space="0" w:color="auto"/>
            </w:tcBorders>
            <w:shd w:val="clear" w:color="auto" w:fill="F5F5F1"/>
          </w:tcPr>
          <w:p w14:paraId="165C93DC" w14:textId="77777777" w:rsidR="008B1128" w:rsidRPr="00D23A28" w:rsidRDefault="008B1128" w:rsidP="0056288A">
            <w:r w:rsidRPr="00D23A28">
              <w:t>Afghanistan</w:t>
            </w:r>
          </w:p>
        </w:tc>
        <w:tc>
          <w:tcPr>
            <w:tcW w:w="1322" w:type="pct"/>
            <w:tcBorders>
              <w:top w:val="single" w:sz="12" w:space="0" w:color="auto"/>
              <w:bottom w:val="single" w:sz="12" w:space="0" w:color="auto"/>
            </w:tcBorders>
            <w:shd w:val="clear" w:color="auto" w:fill="F5F5F1"/>
          </w:tcPr>
          <w:p w14:paraId="78A12F51" w14:textId="77777777" w:rsidR="008B1128" w:rsidRPr="00D23A28" w:rsidRDefault="008B1128" w:rsidP="0056288A">
            <w:r w:rsidRPr="00D23A28">
              <w:t>House of Elders</w:t>
            </w:r>
          </w:p>
        </w:tc>
        <w:tc>
          <w:tcPr>
            <w:tcW w:w="2836" w:type="pct"/>
            <w:tcBorders>
              <w:top w:val="single" w:sz="12" w:space="0" w:color="auto"/>
              <w:bottom w:val="single" w:sz="12" w:space="0" w:color="auto"/>
            </w:tcBorders>
            <w:shd w:val="clear" w:color="auto" w:fill="F5F5F1"/>
          </w:tcPr>
          <w:p w14:paraId="5AA132CE" w14:textId="77777777" w:rsidR="008B1128" w:rsidRPr="00D23A28" w:rsidRDefault="008B1128" w:rsidP="0056288A">
            <w:r w:rsidRPr="00D23A28">
              <w:t>2</w:t>
            </w:r>
          </w:p>
        </w:tc>
      </w:tr>
      <w:tr w:rsidR="008B1128" w:rsidRPr="00D23A28" w14:paraId="3ECB4FC6" w14:textId="77777777" w:rsidTr="007869FC">
        <w:trPr>
          <w:trHeight w:val="263"/>
          <w:tblHeader/>
        </w:trPr>
        <w:tc>
          <w:tcPr>
            <w:tcW w:w="841" w:type="pct"/>
            <w:tcBorders>
              <w:top w:val="single" w:sz="12" w:space="0" w:color="auto"/>
            </w:tcBorders>
            <w:shd w:val="clear" w:color="auto" w:fill="F5F5F1"/>
          </w:tcPr>
          <w:p w14:paraId="72D535DB" w14:textId="77777777" w:rsidR="008B1128" w:rsidRPr="00D23A28" w:rsidRDefault="008B1128" w:rsidP="0056288A">
            <w:r w:rsidRPr="00D23A28">
              <w:t xml:space="preserve">Kenya </w:t>
            </w:r>
          </w:p>
        </w:tc>
        <w:tc>
          <w:tcPr>
            <w:tcW w:w="1322" w:type="pct"/>
            <w:tcBorders>
              <w:top w:val="single" w:sz="12" w:space="0" w:color="auto"/>
            </w:tcBorders>
            <w:shd w:val="clear" w:color="auto" w:fill="F5F5F1"/>
          </w:tcPr>
          <w:p w14:paraId="78801A67" w14:textId="77777777" w:rsidR="008B1128" w:rsidRPr="00D23A28" w:rsidRDefault="008B1128" w:rsidP="0056288A">
            <w:r w:rsidRPr="00D23A28">
              <w:t>Senate</w:t>
            </w:r>
          </w:p>
        </w:tc>
        <w:tc>
          <w:tcPr>
            <w:tcW w:w="2836" w:type="pct"/>
            <w:tcBorders>
              <w:top w:val="single" w:sz="12" w:space="0" w:color="auto"/>
            </w:tcBorders>
            <w:shd w:val="clear" w:color="auto" w:fill="F5F5F1"/>
          </w:tcPr>
          <w:p w14:paraId="6581C765" w14:textId="77777777" w:rsidR="008B1128" w:rsidRPr="00D23A28" w:rsidRDefault="008B1128" w:rsidP="0056288A">
            <w:r w:rsidRPr="00D23A28">
              <w:t>2</w:t>
            </w:r>
          </w:p>
        </w:tc>
      </w:tr>
      <w:tr w:rsidR="008B1128" w:rsidRPr="00D23A28" w14:paraId="7C2DF751" w14:textId="77777777" w:rsidTr="007869FC">
        <w:trPr>
          <w:trHeight w:val="263"/>
          <w:tblHeader/>
        </w:trPr>
        <w:tc>
          <w:tcPr>
            <w:tcW w:w="841" w:type="pct"/>
            <w:shd w:val="clear" w:color="auto" w:fill="F5F5F1"/>
          </w:tcPr>
          <w:p w14:paraId="18C02FDB" w14:textId="77777777" w:rsidR="008B1128" w:rsidRPr="00D23A28" w:rsidRDefault="008B1128" w:rsidP="0056288A">
            <w:r w:rsidRPr="00D23A28">
              <w:t xml:space="preserve">Rwanda </w:t>
            </w:r>
          </w:p>
        </w:tc>
        <w:tc>
          <w:tcPr>
            <w:tcW w:w="1322" w:type="pct"/>
            <w:shd w:val="clear" w:color="auto" w:fill="F5F5F1"/>
          </w:tcPr>
          <w:p w14:paraId="1FF89EA1" w14:textId="77777777" w:rsidR="008B1128" w:rsidRPr="00D23A28" w:rsidRDefault="008B1128" w:rsidP="0056288A">
            <w:r w:rsidRPr="00D23A28">
              <w:t>Chamber of Deputies</w:t>
            </w:r>
          </w:p>
        </w:tc>
        <w:tc>
          <w:tcPr>
            <w:tcW w:w="2836" w:type="pct"/>
            <w:shd w:val="clear" w:color="auto" w:fill="F5F5F1"/>
          </w:tcPr>
          <w:p w14:paraId="1FEA5790" w14:textId="77777777" w:rsidR="008B1128" w:rsidRPr="00D23A28" w:rsidRDefault="008B1128" w:rsidP="0056288A">
            <w:r w:rsidRPr="00D23A28">
              <w:t>1</w:t>
            </w:r>
          </w:p>
        </w:tc>
      </w:tr>
      <w:tr w:rsidR="008B1128" w:rsidRPr="00D23A28" w14:paraId="3E703EB8" w14:textId="77777777" w:rsidTr="007869FC">
        <w:trPr>
          <w:trHeight w:val="263"/>
          <w:tblHeader/>
        </w:trPr>
        <w:tc>
          <w:tcPr>
            <w:tcW w:w="841" w:type="pct"/>
            <w:shd w:val="clear" w:color="auto" w:fill="F5F5F1"/>
          </w:tcPr>
          <w:p w14:paraId="0A75CD9F" w14:textId="77777777" w:rsidR="008B1128" w:rsidRPr="00D23A28" w:rsidRDefault="008B1128" w:rsidP="0056288A">
            <w:r w:rsidRPr="00D23A28">
              <w:t>Uganda</w:t>
            </w:r>
          </w:p>
        </w:tc>
        <w:tc>
          <w:tcPr>
            <w:tcW w:w="1322" w:type="pct"/>
            <w:shd w:val="clear" w:color="auto" w:fill="F5F5F1"/>
          </w:tcPr>
          <w:p w14:paraId="645E1584" w14:textId="77777777" w:rsidR="008B1128" w:rsidRPr="00D23A28" w:rsidRDefault="008B1128" w:rsidP="0056288A">
            <w:r w:rsidRPr="00D23A28">
              <w:t>Parliament</w:t>
            </w:r>
          </w:p>
        </w:tc>
        <w:tc>
          <w:tcPr>
            <w:tcW w:w="2836" w:type="pct"/>
            <w:shd w:val="clear" w:color="auto" w:fill="F5F5F1"/>
          </w:tcPr>
          <w:p w14:paraId="086C511B" w14:textId="77777777" w:rsidR="008B1128" w:rsidRPr="00D23A28" w:rsidRDefault="008B1128" w:rsidP="0056288A">
            <w:r w:rsidRPr="00D23A28">
              <w:t>5</w:t>
            </w:r>
          </w:p>
        </w:tc>
      </w:tr>
      <w:tr w:rsidR="008B1128" w:rsidRPr="00D23A28" w14:paraId="1FEBA9F1" w14:textId="77777777" w:rsidTr="007869FC">
        <w:trPr>
          <w:trHeight w:val="263"/>
          <w:tblHeader/>
        </w:trPr>
        <w:tc>
          <w:tcPr>
            <w:tcW w:w="841" w:type="pct"/>
            <w:tcBorders>
              <w:bottom w:val="single" w:sz="12" w:space="0" w:color="auto"/>
            </w:tcBorders>
            <w:shd w:val="clear" w:color="auto" w:fill="F5F5F1"/>
          </w:tcPr>
          <w:p w14:paraId="7322DE60" w14:textId="77777777" w:rsidR="008B1128" w:rsidRPr="00D23A28" w:rsidRDefault="008B1128" w:rsidP="0056288A">
            <w:r w:rsidRPr="00D23A28">
              <w:t xml:space="preserve">Zimbabwe </w:t>
            </w:r>
          </w:p>
        </w:tc>
        <w:tc>
          <w:tcPr>
            <w:tcW w:w="1322" w:type="pct"/>
            <w:tcBorders>
              <w:bottom w:val="single" w:sz="12" w:space="0" w:color="auto"/>
            </w:tcBorders>
            <w:shd w:val="clear" w:color="auto" w:fill="F5F5F1"/>
          </w:tcPr>
          <w:p w14:paraId="1BB9F84C" w14:textId="77777777" w:rsidR="008B1128" w:rsidRPr="00D23A28" w:rsidRDefault="008B1128" w:rsidP="0056288A">
            <w:r w:rsidRPr="00D23A28">
              <w:t>Senate</w:t>
            </w:r>
          </w:p>
        </w:tc>
        <w:tc>
          <w:tcPr>
            <w:tcW w:w="2836" w:type="pct"/>
            <w:tcBorders>
              <w:bottom w:val="single" w:sz="12" w:space="0" w:color="auto"/>
            </w:tcBorders>
            <w:shd w:val="clear" w:color="auto" w:fill="F5F5F1"/>
          </w:tcPr>
          <w:p w14:paraId="487732FB" w14:textId="77777777" w:rsidR="008B1128" w:rsidRPr="00D23A28" w:rsidRDefault="008B1128" w:rsidP="0056288A">
            <w:r w:rsidRPr="00D23A28">
              <w:t>2</w:t>
            </w:r>
          </w:p>
        </w:tc>
      </w:tr>
      <w:tr w:rsidR="008B1128" w:rsidRPr="00D23A28" w14:paraId="5FECA192" w14:textId="77777777" w:rsidTr="005C4C97">
        <w:trPr>
          <w:trHeight w:val="263"/>
          <w:tblHeader/>
        </w:trPr>
        <w:tc>
          <w:tcPr>
            <w:tcW w:w="5000" w:type="pct"/>
            <w:gridSpan w:val="3"/>
            <w:tcBorders>
              <w:top w:val="single" w:sz="12" w:space="0" w:color="auto"/>
            </w:tcBorders>
          </w:tcPr>
          <w:p w14:paraId="2EE34577" w14:textId="6C5450A1" w:rsidR="008B1128" w:rsidRPr="00D23A28" w:rsidRDefault="008B1128" w:rsidP="005C4C97">
            <w:pPr>
              <w:spacing w:after="0"/>
              <w:rPr>
                <w:sz w:val="18"/>
                <w:szCs w:val="18"/>
                <w:lang w:val="en-US"/>
              </w:rPr>
            </w:pPr>
            <w:r w:rsidRPr="00D23A28">
              <w:rPr>
                <w:i/>
                <w:iCs/>
                <w:sz w:val="18"/>
                <w:szCs w:val="18"/>
              </w:rPr>
              <w:t xml:space="preserve">Source: </w:t>
            </w:r>
            <w:r w:rsidRPr="00D23A28">
              <w:rPr>
                <w:sz w:val="18"/>
                <w:szCs w:val="18"/>
              </w:rPr>
              <w:t>Inter-Parliamentary Union, “</w:t>
            </w:r>
            <w:proofErr w:type="spellStart"/>
            <w:r w:rsidRPr="00D23A28">
              <w:rPr>
                <w:sz w:val="18"/>
                <w:szCs w:val="18"/>
              </w:rPr>
              <w:t>Parline</w:t>
            </w:r>
            <w:proofErr w:type="spellEnd"/>
            <w:r w:rsidRPr="00D23A28">
              <w:rPr>
                <w:sz w:val="18"/>
                <w:szCs w:val="18"/>
              </w:rPr>
              <w:t xml:space="preserve"> – global data on national parliaments</w:t>
            </w:r>
            <w:r w:rsidRPr="00D23A28">
              <w:rPr>
                <w:sz w:val="18"/>
                <w:szCs w:val="18"/>
                <w:lang w:val="en-US"/>
              </w:rPr>
              <w:t>”, 2020</w:t>
            </w:r>
          </w:p>
        </w:tc>
      </w:tr>
    </w:tbl>
    <w:p w14:paraId="69D2CA67" w14:textId="7DE68DDB" w:rsidR="00355C6D" w:rsidRPr="00D23A28" w:rsidRDefault="00355C6D" w:rsidP="00330969">
      <w:pPr>
        <w:spacing w:before="0" w:after="0" w:line="240" w:lineRule="auto"/>
        <w:rPr>
          <w:rFonts w:eastAsiaTheme="majorEastAsia" w:cstheme="minorHAnsi"/>
          <w:b/>
          <w:color w:val="0A59AB"/>
          <w:spacing w:val="4"/>
          <w:kern w:val="0"/>
          <w:sz w:val="30"/>
          <w:szCs w:val="30"/>
        </w:rPr>
      </w:pPr>
    </w:p>
    <w:sectPr w:rsidR="00355C6D" w:rsidRPr="00D23A28" w:rsidSect="00D23A28">
      <w:footerReference w:type="even" r:id="rId32"/>
      <w:footerReference w:type="default" r:id="rId33"/>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7C2A0" w14:textId="77777777" w:rsidR="002E0E24" w:rsidRPr="00D23A28" w:rsidRDefault="002E0E24" w:rsidP="00461540">
      <w:r w:rsidRPr="00D23A28">
        <w:separator/>
      </w:r>
    </w:p>
  </w:endnote>
  <w:endnote w:type="continuationSeparator" w:id="0">
    <w:p w14:paraId="6A88380B" w14:textId="77777777" w:rsidR="002E0E24" w:rsidRPr="00D23A28" w:rsidRDefault="002E0E24" w:rsidP="00461540">
      <w:r w:rsidRPr="00D23A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4D"/>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D23A28" w:rsidRDefault="00C22620" w:rsidP="005935AC">
        <w:pPr>
          <w:pStyle w:val="Footer"/>
          <w:framePr w:wrap="none" w:vAnchor="text" w:hAnchor="margin" w:xAlign="right" w:y="1"/>
          <w:rPr>
            <w:rStyle w:val="PageNumber"/>
          </w:rPr>
        </w:pPr>
        <w:r w:rsidRPr="00D23A28">
          <w:rPr>
            <w:rStyle w:val="PageNumber"/>
          </w:rPr>
          <w:fldChar w:fldCharType="begin"/>
        </w:r>
        <w:r w:rsidRPr="00D23A28">
          <w:rPr>
            <w:rStyle w:val="PageNumber"/>
          </w:rPr>
          <w:instrText xml:space="preserve"> PAGE </w:instrText>
        </w:r>
        <w:r w:rsidRPr="00D23A28">
          <w:rPr>
            <w:rStyle w:val="PageNumber"/>
          </w:rPr>
          <w:fldChar w:fldCharType="end"/>
        </w:r>
      </w:p>
    </w:sdtContent>
  </w:sdt>
  <w:p w14:paraId="143BCC80" w14:textId="77777777" w:rsidR="00C22620" w:rsidRPr="00D23A28"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bCs/>
        <w:sz w:val="18"/>
        <w:szCs w:val="18"/>
      </w:rPr>
    </w:sdtEndPr>
    <w:sdtContent>
      <w:p w14:paraId="672B0C64" w14:textId="5AD0C5A4" w:rsidR="00C22620" w:rsidRPr="00D23A28" w:rsidRDefault="00C22620" w:rsidP="00867838">
        <w:pPr>
          <w:pStyle w:val="Footer"/>
          <w:framePr w:wrap="none" w:vAnchor="text" w:hAnchor="margin" w:xAlign="right" w:y="1"/>
          <w:spacing w:before="0" w:after="0" w:line="240" w:lineRule="auto"/>
          <w:rPr>
            <w:rStyle w:val="PageNumber"/>
            <w:b/>
          </w:rPr>
        </w:pPr>
        <w:r w:rsidRPr="00D23A28">
          <w:rPr>
            <w:rStyle w:val="PageNumber"/>
            <w:rFonts w:cstheme="minorHAnsi"/>
            <w:b/>
          </w:rPr>
          <w:fldChar w:fldCharType="begin"/>
        </w:r>
        <w:r w:rsidRPr="00D23A28">
          <w:rPr>
            <w:rStyle w:val="PageNumber"/>
            <w:rFonts w:cstheme="minorHAnsi"/>
            <w:b/>
          </w:rPr>
          <w:instrText xml:space="preserve"> PAGE </w:instrText>
        </w:r>
        <w:r w:rsidRPr="00D23A28">
          <w:rPr>
            <w:rStyle w:val="PageNumber"/>
            <w:rFonts w:cstheme="minorHAnsi"/>
            <w:b/>
          </w:rPr>
          <w:fldChar w:fldCharType="separate"/>
        </w:r>
        <w:r w:rsidR="00716898" w:rsidRPr="00D23A28">
          <w:rPr>
            <w:rStyle w:val="PageNumber"/>
            <w:rFonts w:cstheme="minorHAnsi"/>
            <w:b/>
            <w:noProof/>
          </w:rPr>
          <w:t>11</w:t>
        </w:r>
        <w:r w:rsidRPr="00D23A28">
          <w:rPr>
            <w:rStyle w:val="PageNumber"/>
            <w:rFonts w:cstheme="minorHAnsi"/>
            <w:b/>
          </w:rPr>
          <w:fldChar w:fldCharType="end"/>
        </w:r>
      </w:p>
    </w:sdtContent>
  </w:sdt>
  <w:p w14:paraId="16C35AB4" w14:textId="7C796679" w:rsidR="00C1314F" w:rsidRPr="00D23A28" w:rsidRDefault="00C1314F" w:rsidP="00C1314F">
    <w:pPr>
      <w:pStyle w:val="Footer"/>
      <w:tabs>
        <w:tab w:val="clear" w:pos="9360"/>
        <w:tab w:val="right" w:pos="8300"/>
      </w:tabs>
      <w:spacing w:before="0"/>
      <w:ind w:left="432" w:right="360"/>
      <w:rPr>
        <w:rFonts w:ascii="Calibri" w:hAnsi="Calibri"/>
        <w:spacing w:val="-2"/>
        <w:sz w:val="18"/>
        <w:szCs w:val="18"/>
        <w:lang w:val="en-US"/>
      </w:rPr>
    </w:pPr>
    <w:r w:rsidRPr="00D23A28">
      <w:rPr>
        <w:noProof/>
        <w:color w:val="FFC000"/>
        <w:sz w:val="18"/>
        <w:szCs w:val="18"/>
        <w:lang w:eastAsia="en-GB"/>
      </w:rPr>
      <mc:AlternateContent>
        <mc:Choice Requires="wps">
          <w:drawing>
            <wp:anchor distT="0" distB="0" distL="114300" distR="114300" simplePos="0" relativeHeight="251660288" behindDoc="1" locked="0" layoutInCell="1" allowOverlap="1" wp14:anchorId="5F7B79B0" wp14:editId="77A41802">
              <wp:simplePos x="0" y="0"/>
              <wp:positionH relativeFrom="column">
                <wp:posOffset>5316950</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5726E" id="Rounded Rectangle 4" o:spid="_x0000_s1026" alt="&quot;&quot;" style="position:absolute;margin-left:418.65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" fillcolor="#ffc000" stroked="f" strokeweight="1pt">
              <v:stroke joinstyle="miter"/>
              <w10:wrap type="through"/>
            </v:roundrect>
          </w:pict>
        </mc:Fallback>
      </mc:AlternateContent>
    </w:r>
    <w:r w:rsidRPr="00D23A28">
      <w:rPr>
        <w:noProof/>
        <w:sz w:val="18"/>
        <w:szCs w:val="18"/>
        <w:lang w:eastAsia="en-GB"/>
      </w:rPr>
      <w:drawing>
        <wp:anchor distT="0" distB="0" distL="114300" distR="114300" simplePos="0" relativeHeight="251659264" behindDoc="0" locked="0" layoutInCell="1" allowOverlap="1" wp14:anchorId="36D60409" wp14:editId="4B65AE87">
          <wp:simplePos x="0" y="0"/>
          <wp:positionH relativeFrom="column">
            <wp:posOffset>-3810</wp:posOffset>
          </wp:positionH>
          <wp:positionV relativeFrom="paragraph">
            <wp:posOffset>-6127</wp:posOffset>
          </wp:positionV>
          <wp:extent cx="287020" cy="148590"/>
          <wp:effectExtent l="0" t="0" r="0" b="3810"/>
          <wp:wrapNone/>
          <wp:docPr id="5" name="Picture 5"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A28">
      <w:rPr>
        <w:sz w:val="18"/>
        <w:szCs w:val="18"/>
        <w:lang w:val="en-US"/>
      </w:rPr>
      <w:t xml:space="preserve">  </w:t>
    </w:r>
    <w:r w:rsidRPr="00D23A28">
      <w:rPr>
        <w:rFonts w:ascii="Calibri" w:hAnsi="Calibri"/>
        <w:color w:val="7F7F7F" w:themeColor="text1" w:themeTint="80"/>
        <w:sz w:val="18"/>
        <w:szCs w:val="18"/>
        <w:lang w:val="en-US"/>
      </w:rPr>
      <w:t>+</w:t>
    </w:r>
    <w:r w:rsidRPr="00D23A28">
      <w:rPr>
        <w:rFonts w:ascii="Calibri" w:hAnsi="Calibri"/>
        <w:color w:val="7F7F7F" w:themeColor="text1" w:themeTint="80"/>
        <w:spacing w:val="-2"/>
        <w:sz w:val="18"/>
        <w:szCs w:val="18"/>
        <w:lang w:val="en-US"/>
      </w:rPr>
      <w:t xml:space="preserve"> Data Sources on Article 5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8CA23" w14:textId="77777777" w:rsidR="002E0E24" w:rsidRPr="00D23A28" w:rsidRDefault="002E0E24" w:rsidP="00461540">
      <w:r w:rsidRPr="00D23A28">
        <w:separator/>
      </w:r>
    </w:p>
  </w:footnote>
  <w:footnote w:type="continuationSeparator" w:id="0">
    <w:p w14:paraId="12401F9F" w14:textId="77777777" w:rsidR="002E0E24" w:rsidRPr="00D23A28" w:rsidRDefault="002E0E24" w:rsidP="00461540">
      <w:r w:rsidRPr="00D23A2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385E"/>
    <w:multiLevelType w:val="hybridMultilevel"/>
    <w:tmpl w:val="44C6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733AC"/>
    <w:multiLevelType w:val="hybridMultilevel"/>
    <w:tmpl w:val="0C32181E"/>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2482E"/>
    <w:multiLevelType w:val="hybridMultilevel"/>
    <w:tmpl w:val="AAFCF7B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9A10F2"/>
    <w:multiLevelType w:val="hybridMultilevel"/>
    <w:tmpl w:val="9F4CA6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81142"/>
    <w:multiLevelType w:val="hybridMultilevel"/>
    <w:tmpl w:val="9C864FFA"/>
    <w:lvl w:ilvl="0" w:tplc="9B4C629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136"/>
    <w:rsid w:val="00015BA0"/>
    <w:rsid w:val="000175F5"/>
    <w:rsid w:val="0002001C"/>
    <w:rsid w:val="0002187D"/>
    <w:rsid w:val="000255F1"/>
    <w:rsid w:val="00042BF0"/>
    <w:rsid w:val="00062C31"/>
    <w:rsid w:val="000764AF"/>
    <w:rsid w:val="00085AA9"/>
    <w:rsid w:val="00087BBD"/>
    <w:rsid w:val="0009093A"/>
    <w:rsid w:val="00090AA8"/>
    <w:rsid w:val="00093A76"/>
    <w:rsid w:val="0009526F"/>
    <w:rsid w:val="000A661C"/>
    <w:rsid w:val="000B1186"/>
    <w:rsid w:val="000B13D8"/>
    <w:rsid w:val="000B1723"/>
    <w:rsid w:val="000B476E"/>
    <w:rsid w:val="000B6A02"/>
    <w:rsid w:val="000C2F23"/>
    <w:rsid w:val="000D47E4"/>
    <w:rsid w:val="000D582A"/>
    <w:rsid w:val="000F5328"/>
    <w:rsid w:val="000F56DA"/>
    <w:rsid w:val="000F7583"/>
    <w:rsid w:val="00100987"/>
    <w:rsid w:val="00101E46"/>
    <w:rsid w:val="00102434"/>
    <w:rsid w:val="001049CB"/>
    <w:rsid w:val="00104C3F"/>
    <w:rsid w:val="0011247F"/>
    <w:rsid w:val="00112A3F"/>
    <w:rsid w:val="00113282"/>
    <w:rsid w:val="00113670"/>
    <w:rsid w:val="00116DE9"/>
    <w:rsid w:val="001243C1"/>
    <w:rsid w:val="00124491"/>
    <w:rsid w:val="00126273"/>
    <w:rsid w:val="00152FD1"/>
    <w:rsid w:val="00153899"/>
    <w:rsid w:val="001541E8"/>
    <w:rsid w:val="00163B0E"/>
    <w:rsid w:val="00165380"/>
    <w:rsid w:val="00166B8E"/>
    <w:rsid w:val="00173D86"/>
    <w:rsid w:val="00191D5C"/>
    <w:rsid w:val="00191DAC"/>
    <w:rsid w:val="001C2D74"/>
    <w:rsid w:val="001C65CC"/>
    <w:rsid w:val="001C76A8"/>
    <w:rsid w:val="001D54C9"/>
    <w:rsid w:val="001F4B1B"/>
    <w:rsid w:val="002004D2"/>
    <w:rsid w:val="0020421C"/>
    <w:rsid w:val="00210155"/>
    <w:rsid w:val="00213CD1"/>
    <w:rsid w:val="002148FC"/>
    <w:rsid w:val="0021621F"/>
    <w:rsid w:val="002218F7"/>
    <w:rsid w:val="00221E30"/>
    <w:rsid w:val="0022275D"/>
    <w:rsid w:val="00222C7E"/>
    <w:rsid w:val="0022595A"/>
    <w:rsid w:val="002268B4"/>
    <w:rsid w:val="00240B94"/>
    <w:rsid w:val="002416B0"/>
    <w:rsid w:val="00242D93"/>
    <w:rsid w:val="00250C18"/>
    <w:rsid w:val="00254373"/>
    <w:rsid w:val="0025640B"/>
    <w:rsid w:val="0026208F"/>
    <w:rsid w:val="0026364F"/>
    <w:rsid w:val="002670B0"/>
    <w:rsid w:val="00270A8A"/>
    <w:rsid w:val="00270BD0"/>
    <w:rsid w:val="0027734E"/>
    <w:rsid w:val="00286968"/>
    <w:rsid w:val="002949A8"/>
    <w:rsid w:val="00295DC3"/>
    <w:rsid w:val="002C350A"/>
    <w:rsid w:val="002C4B00"/>
    <w:rsid w:val="002E0E24"/>
    <w:rsid w:val="002E12D5"/>
    <w:rsid w:val="002E25CA"/>
    <w:rsid w:val="002E4EB8"/>
    <w:rsid w:val="002E7C72"/>
    <w:rsid w:val="00300ABD"/>
    <w:rsid w:val="0031097C"/>
    <w:rsid w:val="00311B6B"/>
    <w:rsid w:val="00312385"/>
    <w:rsid w:val="003126C7"/>
    <w:rsid w:val="00313B63"/>
    <w:rsid w:val="003215E0"/>
    <w:rsid w:val="00323FB0"/>
    <w:rsid w:val="00330969"/>
    <w:rsid w:val="00330FE4"/>
    <w:rsid w:val="0033262E"/>
    <w:rsid w:val="00335BA2"/>
    <w:rsid w:val="0034007F"/>
    <w:rsid w:val="003478B1"/>
    <w:rsid w:val="00353776"/>
    <w:rsid w:val="00355C6D"/>
    <w:rsid w:val="003616BB"/>
    <w:rsid w:val="003719E2"/>
    <w:rsid w:val="00371B61"/>
    <w:rsid w:val="00372815"/>
    <w:rsid w:val="00374A52"/>
    <w:rsid w:val="00382603"/>
    <w:rsid w:val="00382A3E"/>
    <w:rsid w:val="003871BF"/>
    <w:rsid w:val="00390D12"/>
    <w:rsid w:val="00396691"/>
    <w:rsid w:val="00396C8F"/>
    <w:rsid w:val="003A223E"/>
    <w:rsid w:val="003A2ADC"/>
    <w:rsid w:val="003B05FC"/>
    <w:rsid w:val="003B7A00"/>
    <w:rsid w:val="003C17EA"/>
    <w:rsid w:val="003E526D"/>
    <w:rsid w:val="003F1867"/>
    <w:rsid w:val="00401F19"/>
    <w:rsid w:val="00407C50"/>
    <w:rsid w:val="00416AA8"/>
    <w:rsid w:val="00432D6B"/>
    <w:rsid w:val="00435BA2"/>
    <w:rsid w:val="00435E14"/>
    <w:rsid w:val="00436405"/>
    <w:rsid w:val="00446E99"/>
    <w:rsid w:val="00450B91"/>
    <w:rsid w:val="00460C35"/>
    <w:rsid w:val="00461540"/>
    <w:rsid w:val="0046655B"/>
    <w:rsid w:val="0046658B"/>
    <w:rsid w:val="00467602"/>
    <w:rsid w:val="00474244"/>
    <w:rsid w:val="004777C6"/>
    <w:rsid w:val="00484B33"/>
    <w:rsid w:val="004857B0"/>
    <w:rsid w:val="004913CF"/>
    <w:rsid w:val="00492BA5"/>
    <w:rsid w:val="00494626"/>
    <w:rsid w:val="00494783"/>
    <w:rsid w:val="004954C4"/>
    <w:rsid w:val="004A0834"/>
    <w:rsid w:val="004A3269"/>
    <w:rsid w:val="004B375B"/>
    <w:rsid w:val="004B6FD7"/>
    <w:rsid w:val="004D2E9B"/>
    <w:rsid w:val="004D43D0"/>
    <w:rsid w:val="004D74F3"/>
    <w:rsid w:val="004E01BC"/>
    <w:rsid w:val="004E2537"/>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469A3"/>
    <w:rsid w:val="00551B15"/>
    <w:rsid w:val="00555658"/>
    <w:rsid w:val="005600A0"/>
    <w:rsid w:val="0056288A"/>
    <w:rsid w:val="00567F31"/>
    <w:rsid w:val="00570364"/>
    <w:rsid w:val="0057050A"/>
    <w:rsid w:val="00571EB5"/>
    <w:rsid w:val="00572828"/>
    <w:rsid w:val="00580E07"/>
    <w:rsid w:val="005935AC"/>
    <w:rsid w:val="00595CBC"/>
    <w:rsid w:val="005A094A"/>
    <w:rsid w:val="005A4346"/>
    <w:rsid w:val="005B5CFA"/>
    <w:rsid w:val="005B7F5E"/>
    <w:rsid w:val="005C1458"/>
    <w:rsid w:val="005C4C97"/>
    <w:rsid w:val="005C72F3"/>
    <w:rsid w:val="005D6174"/>
    <w:rsid w:val="005E0158"/>
    <w:rsid w:val="005E1A55"/>
    <w:rsid w:val="005E1AC6"/>
    <w:rsid w:val="005E6ED4"/>
    <w:rsid w:val="005E7B70"/>
    <w:rsid w:val="005F2806"/>
    <w:rsid w:val="005F281A"/>
    <w:rsid w:val="005F7463"/>
    <w:rsid w:val="00605A03"/>
    <w:rsid w:val="00610F97"/>
    <w:rsid w:val="0062437F"/>
    <w:rsid w:val="006301F6"/>
    <w:rsid w:val="00632C09"/>
    <w:rsid w:val="00644108"/>
    <w:rsid w:val="006566B6"/>
    <w:rsid w:val="00672636"/>
    <w:rsid w:val="00690066"/>
    <w:rsid w:val="00691370"/>
    <w:rsid w:val="00691D31"/>
    <w:rsid w:val="00694E7B"/>
    <w:rsid w:val="00695E96"/>
    <w:rsid w:val="006A74CF"/>
    <w:rsid w:val="006B12B9"/>
    <w:rsid w:val="006B280C"/>
    <w:rsid w:val="006B47CF"/>
    <w:rsid w:val="006B56A8"/>
    <w:rsid w:val="006C5357"/>
    <w:rsid w:val="006D0FAA"/>
    <w:rsid w:val="006D29F4"/>
    <w:rsid w:val="006D3971"/>
    <w:rsid w:val="006D3CE0"/>
    <w:rsid w:val="006D66A9"/>
    <w:rsid w:val="006E0C09"/>
    <w:rsid w:val="006E20BC"/>
    <w:rsid w:val="006F0DD2"/>
    <w:rsid w:val="0070044F"/>
    <w:rsid w:val="00712E8A"/>
    <w:rsid w:val="00715858"/>
    <w:rsid w:val="00716898"/>
    <w:rsid w:val="00725275"/>
    <w:rsid w:val="00737923"/>
    <w:rsid w:val="0074088C"/>
    <w:rsid w:val="00747288"/>
    <w:rsid w:val="007573A5"/>
    <w:rsid w:val="00762B52"/>
    <w:rsid w:val="0076508E"/>
    <w:rsid w:val="0076693D"/>
    <w:rsid w:val="00770763"/>
    <w:rsid w:val="00770A1F"/>
    <w:rsid w:val="007710EB"/>
    <w:rsid w:val="00784F2D"/>
    <w:rsid w:val="007869FC"/>
    <w:rsid w:val="00794C8A"/>
    <w:rsid w:val="007A5C39"/>
    <w:rsid w:val="007B79E5"/>
    <w:rsid w:val="007C2B91"/>
    <w:rsid w:val="007C2FCE"/>
    <w:rsid w:val="007C4FC3"/>
    <w:rsid w:val="007C726A"/>
    <w:rsid w:val="007C74C9"/>
    <w:rsid w:val="007D41E0"/>
    <w:rsid w:val="007D47A0"/>
    <w:rsid w:val="007E33D6"/>
    <w:rsid w:val="007E46EB"/>
    <w:rsid w:val="007E6363"/>
    <w:rsid w:val="0080218D"/>
    <w:rsid w:val="00811055"/>
    <w:rsid w:val="008153EF"/>
    <w:rsid w:val="00816E92"/>
    <w:rsid w:val="008649E4"/>
    <w:rsid w:val="00867838"/>
    <w:rsid w:val="00867F6C"/>
    <w:rsid w:val="00872115"/>
    <w:rsid w:val="00875EE6"/>
    <w:rsid w:val="0087632F"/>
    <w:rsid w:val="0088715F"/>
    <w:rsid w:val="008A1B56"/>
    <w:rsid w:val="008A44D4"/>
    <w:rsid w:val="008B1128"/>
    <w:rsid w:val="008B3379"/>
    <w:rsid w:val="008B4EDF"/>
    <w:rsid w:val="008B6276"/>
    <w:rsid w:val="008B7B78"/>
    <w:rsid w:val="008D4556"/>
    <w:rsid w:val="008D5C3A"/>
    <w:rsid w:val="008D5E40"/>
    <w:rsid w:val="008F099C"/>
    <w:rsid w:val="008F441F"/>
    <w:rsid w:val="00904290"/>
    <w:rsid w:val="00904C4A"/>
    <w:rsid w:val="00906D01"/>
    <w:rsid w:val="0091019C"/>
    <w:rsid w:val="00911D78"/>
    <w:rsid w:val="00916A3E"/>
    <w:rsid w:val="00923BE4"/>
    <w:rsid w:val="00923EF7"/>
    <w:rsid w:val="009347C8"/>
    <w:rsid w:val="00936EB2"/>
    <w:rsid w:val="00941EC9"/>
    <w:rsid w:val="00947954"/>
    <w:rsid w:val="0095111A"/>
    <w:rsid w:val="00951389"/>
    <w:rsid w:val="0096264B"/>
    <w:rsid w:val="00962922"/>
    <w:rsid w:val="00967DC8"/>
    <w:rsid w:val="00974C96"/>
    <w:rsid w:val="00983E6C"/>
    <w:rsid w:val="009842F6"/>
    <w:rsid w:val="009855D7"/>
    <w:rsid w:val="00990B7E"/>
    <w:rsid w:val="00993F16"/>
    <w:rsid w:val="0099485B"/>
    <w:rsid w:val="009A65EB"/>
    <w:rsid w:val="009B1276"/>
    <w:rsid w:val="009B25A1"/>
    <w:rsid w:val="009B2FC2"/>
    <w:rsid w:val="009C097E"/>
    <w:rsid w:val="009E3CD9"/>
    <w:rsid w:val="009E4615"/>
    <w:rsid w:val="00A00BFC"/>
    <w:rsid w:val="00A0426C"/>
    <w:rsid w:val="00A17830"/>
    <w:rsid w:val="00A222FB"/>
    <w:rsid w:val="00A31BB2"/>
    <w:rsid w:val="00A356AF"/>
    <w:rsid w:val="00A469D3"/>
    <w:rsid w:val="00A501CE"/>
    <w:rsid w:val="00A51989"/>
    <w:rsid w:val="00A528DF"/>
    <w:rsid w:val="00A531F2"/>
    <w:rsid w:val="00A542D3"/>
    <w:rsid w:val="00A6109E"/>
    <w:rsid w:val="00A62020"/>
    <w:rsid w:val="00A659DF"/>
    <w:rsid w:val="00A700CD"/>
    <w:rsid w:val="00A73A9D"/>
    <w:rsid w:val="00A843FE"/>
    <w:rsid w:val="00AA7A6C"/>
    <w:rsid w:val="00AB34D2"/>
    <w:rsid w:val="00AC0682"/>
    <w:rsid w:val="00AC538E"/>
    <w:rsid w:val="00AE4D60"/>
    <w:rsid w:val="00AE538C"/>
    <w:rsid w:val="00AF1E95"/>
    <w:rsid w:val="00AF2F2D"/>
    <w:rsid w:val="00AF48A4"/>
    <w:rsid w:val="00AF7866"/>
    <w:rsid w:val="00B111CA"/>
    <w:rsid w:val="00B12F41"/>
    <w:rsid w:val="00B153E6"/>
    <w:rsid w:val="00B2460D"/>
    <w:rsid w:val="00B24F18"/>
    <w:rsid w:val="00B33C39"/>
    <w:rsid w:val="00B37E01"/>
    <w:rsid w:val="00B56341"/>
    <w:rsid w:val="00B56BBB"/>
    <w:rsid w:val="00B60FD1"/>
    <w:rsid w:val="00B628C6"/>
    <w:rsid w:val="00B62EC4"/>
    <w:rsid w:val="00B63200"/>
    <w:rsid w:val="00B67975"/>
    <w:rsid w:val="00B71549"/>
    <w:rsid w:val="00B80E22"/>
    <w:rsid w:val="00B84E3B"/>
    <w:rsid w:val="00B90D1F"/>
    <w:rsid w:val="00B95136"/>
    <w:rsid w:val="00BA5172"/>
    <w:rsid w:val="00BB2EAF"/>
    <w:rsid w:val="00BC0974"/>
    <w:rsid w:val="00BD3EEF"/>
    <w:rsid w:val="00BE0072"/>
    <w:rsid w:val="00BE1BF0"/>
    <w:rsid w:val="00BE2C1A"/>
    <w:rsid w:val="00BE2E3C"/>
    <w:rsid w:val="00BE5EE4"/>
    <w:rsid w:val="00BF7A4D"/>
    <w:rsid w:val="00C028D2"/>
    <w:rsid w:val="00C0511A"/>
    <w:rsid w:val="00C1314F"/>
    <w:rsid w:val="00C1724C"/>
    <w:rsid w:val="00C22620"/>
    <w:rsid w:val="00C32387"/>
    <w:rsid w:val="00C36070"/>
    <w:rsid w:val="00C3673D"/>
    <w:rsid w:val="00C409D7"/>
    <w:rsid w:val="00C40D38"/>
    <w:rsid w:val="00C52338"/>
    <w:rsid w:val="00C653C1"/>
    <w:rsid w:val="00C67D67"/>
    <w:rsid w:val="00C702D7"/>
    <w:rsid w:val="00C7351A"/>
    <w:rsid w:val="00C74662"/>
    <w:rsid w:val="00C760DB"/>
    <w:rsid w:val="00C76959"/>
    <w:rsid w:val="00C77C48"/>
    <w:rsid w:val="00C81AF6"/>
    <w:rsid w:val="00C83B53"/>
    <w:rsid w:val="00C90A1D"/>
    <w:rsid w:val="00C90AC2"/>
    <w:rsid w:val="00CA12C3"/>
    <w:rsid w:val="00CA247C"/>
    <w:rsid w:val="00CA40B9"/>
    <w:rsid w:val="00CA76CA"/>
    <w:rsid w:val="00CB0525"/>
    <w:rsid w:val="00CB0ADB"/>
    <w:rsid w:val="00CB0E58"/>
    <w:rsid w:val="00CC175C"/>
    <w:rsid w:val="00CD0955"/>
    <w:rsid w:val="00CD3E5C"/>
    <w:rsid w:val="00CD60C6"/>
    <w:rsid w:val="00CD7ACC"/>
    <w:rsid w:val="00CE211D"/>
    <w:rsid w:val="00CE4D5E"/>
    <w:rsid w:val="00CE4EBE"/>
    <w:rsid w:val="00CE5058"/>
    <w:rsid w:val="00CE55C8"/>
    <w:rsid w:val="00CE5E74"/>
    <w:rsid w:val="00CF1DAA"/>
    <w:rsid w:val="00CF2ED4"/>
    <w:rsid w:val="00D01F87"/>
    <w:rsid w:val="00D115E7"/>
    <w:rsid w:val="00D177A9"/>
    <w:rsid w:val="00D23A28"/>
    <w:rsid w:val="00D31D30"/>
    <w:rsid w:val="00D36B30"/>
    <w:rsid w:val="00D4320F"/>
    <w:rsid w:val="00D45880"/>
    <w:rsid w:val="00D5098B"/>
    <w:rsid w:val="00D56CB0"/>
    <w:rsid w:val="00D57270"/>
    <w:rsid w:val="00D57DF3"/>
    <w:rsid w:val="00D61786"/>
    <w:rsid w:val="00D63A37"/>
    <w:rsid w:val="00D64947"/>
    <w:rsid w:val="00D72ED2"/>
    <w:rsid w:val="00D74CB7"/>
    <w:rsid w:val="00D808B3"/>
    <w:rsid w:val="00D80A5D"/>
    <w:rsid w:val="00D850DC"/>
    <w:rsid w:val="00D8658A"/>
    <w:rsid w:val="00D8781E"/>
    <w:rsid w:val="00D90A75"/>
    <w:rsid w:val="00D935C4"/>
    <w:rsid w:val="00DA0DF2"/>
    <w:rsid w:val="00DA5396"/>
    <w:rsid w:val="00DA62A0"/>
    <w:rsid w:val="00DA6682"/>
    <w:rsid w:val="00DB7C66"/>
    <w:rsid w:val="00DC0B5B"/>
    <w:rsid w:val="00DC14BD"/>
    <w:rsid w:val="00DC17B0"/>
    <w:rsid w:val="00DC1AE4"/>
    <w:rsid w:val="00DC3A3E"/>
    <w:rsid w:val="00DC7751"/>
    <w:rsid w:val="00DD32B3"/>
    <w:rsid w:val="00DE5C59"/>
    <w:rsid w:val="00DE79BC"/>
    <w:rsid w:val="00DF3B7D"/>
    <w:rsid w:val="00E0225B"/>
    <w:rsid w:val="00E04B4C"/>
    <w:rsid w:val="00E04BEA"/>
    <w:rsid w:val="00E10CD2"/>
    <w:rsid w:val="00E21209"/>
    <w:rsid w:val="00E2630B"/>
    <w:rsid w:val="00E26357"/>
    <w:rsid w:val="00E2656D"/>
    <w:rsid w:val="00E36789"/>
    <w:rsid w:val="00E42ED0"/>
    <w:rsid w:val="00E47893"/>
    <w:rsid w:val="00E47A39"/>
    <w:rsid w:val="00E5235D"/>
    <w:rsid w:val="00E564BE"/>
    <w:rsid w:val="00E606B1"/>
    <w:rsid w:val="00E6194F"/>
    <w:rsid w:val="00E62047"/>
    <w:rsid w:val="00E71AA5"/>
    <w:rsid w:val="00E80E83"/>
    <w:rsid w:val="00E95E18"/>
    <w:rsid w:val="00EA0FEF"/>
    <w:rsid w:val="00EB0073"/>
    <w:rsid w:val="00EB2381"/>
    <w:rsid w:val="00EB35B7"/>
    <w:rsid w:val="00EB3CDC"/>
    <w:rsid w:val="00EB5210"/>
    <w:rsid w:val="00EB695E"/>
    <w:rsid w:val="00EC3B99"/>
    <w:rsid w:val="00EC6659"/>
    <w:rsid w:val="00ED30FC"/>
    <w:rsid w:val="00ED37D0"/>
    <w:rsid w:val="00ED779D"/>
    <w:rsid w:val="00EE344D"/>
    <w:rsid w:val="00EE3C72"/>
    <w:rsid w:val="00EE51F9"/>
    <w:rsid w:val="00EE55CD"/>
    <w:rsid w:val="00EE5EE5"/>
    <w:rsid w:val="00EE5F74"/>
    <w:rsid w:val="00EF3A67"/>
    <w:rsid w:val="00EF586A"/>
    <w:rsid w:val="00EF5C91"/>
    <w:rsid w:val="00F02F9E"/>
    <w:rsid w:val="00F030AB"/>
    <w:rsid w:val="00F057E4"/>
    <w:rsid w:val="00F21128"/>
    <w:rsid w:val="00F25165"/>
    <w:rsid w:val="00F25654"/>
    <w:rsid w:val="00F33638"/>
    <w:rsid w:val="00F35443"/>
    <w:rsid w:val="00F46D10"/>
    <w:rsid w:val="00F70178"/>
    <w:rsid w:val="00F74F01"/>
    <w:rsid w:val="00F814CF"/>
    <w:rsid w:val="00F91C52"/>
    <w:rsid w:val="00FA3FE7"/>
    <w:rsid w:val="00FA4E53"/>
    <w:rsid w:val="00FA5E66"/>
    <w:rsid w:val="00FA77E9"/>
    <w:rsid w:val="00FB39CF"/>
    <w:rsid w:val="00FD2F83"/>
    <w:rsid w:val="00FD783F"/>
    <w:rsid w:val="00FE20B4"/>
    <w:rsid w:val="00FE42BF"/>
    <w:rsid w:val="00FE53AC"/>
    <w:rsid w:val="00FE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D37E2"/>
  <w15:docId w15:val="{97A35364-FA15-AC46-8D32-238415A9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28"/>
    <w:pPr>
      <w:spacing w:before="120" w:after="120" w:line="276" w:lineRule="auto"/>
    </w:pPr>
    <w:rPr>
      <w:rFonts w:eastAsia="Times New Roman" w:cs="Calibri"/>
      <w:kern w:val="21"/>
      <w:sz w:val="22"/>
      <w:szCs w:val="22"/>
      <w:lang w:val="en-GB"/>
    </w:rPr>
  </w:style>
  <w:style w:type="paragraph" w:styleId="Heading1">
    <w:name w:val="heading 1"/>
    <w:basedOn w:val="Normal"/>
    <w:next w:val="Normal"/>
    <w:link w:val="Heading1Char"/>
    <w:uiPriority w:val="9"/>
    <w:qFormat/>
    <w:rsid w:val="00D23A28"/>
    <w:pPr>
      <w:keepNext/>
      <w:keepLines/>
      <w:spacing w:before="360"/>
      <w:outlineLvl w:val="0"/>
    </w:pPr>
    <w:rPr>
      <w:rFonts w:ascii="Calibri" w:hAnsi="Calibri" w:cs="Times New Roman"/>
      <w:b/>
      <w:bCs/>
      <w:color w:val="000000" w:themeColor="text1"/>
      <w:sz w:val="48"/>
      <w:szCs w:val="48"/>
    </w:rPr>
  </w:style>
  <w:style w:type="paragraph" w:styleId="Heading2">
    <w:name w:val="heading 2"/>
    <w:basedOn w:val="Normal"/>
    <w:next w:val="Normal"/>
    <w:link w:val="Heading2Char"/>
    <w:uiPriority w:val="9"/>
    <w:unhideWhenUsed/>
    <w:qFormat/>
    <w:rsid w:val="00D23A28"/>
    <w:pPr>
      <w:keepNext/>
      <w:keepLines/>
      <w:spacing w:before="720"/>
      <w:outlineLvl w:val="1"/>
    </w:pPr>
    <w:rPr>
      <w:rFonts w:cs="Times New Roman"/>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7869FC"/>
    <w:pPr>
      <w:outlineLvl w:val="3"/>
    </w:pPr>
    <w:rPr>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D23A28"/>
    <w:rPr>
      <w:rFonts w:ascii="Calibri" w:eastAsia="Times New Roman" w:hAnsi="Calibri" w:cs="Times New Roman"/>
      <w:b/>
      <w:bCs/>
      <w:color w:val="000000" w:themeColor="text1"/>
      <w:kern w:val="21"/>
      <w:sz w:val="48"/>
      <w:szCs w:val="48"/>
      <w:lang w:val="en-GB"/>
    </w:rPr>
  </w:style>
  <w:style w:type="paragraph" w:customStyle="1" w:styleId="MIndHeader">
    <w:name w:val="M.Ind.Header"/>
    <w:basedOn w:val="Normal"/>
    <w:link w:val="MIndHeaderChar"/>
    <w:rsid w:val="005A094A"/>
    <w:pPr>
      <w:shd w:val="clear" w:color="auto" w:fill="F5F5F5"/>
      <w:outlineLvl w:val="1"/>
    </w:pPr>
    <w:rPr>
      <w:rFonts w:ascii="Calibri" w:hAnsi="Calibri"/>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1"/>
      </w:numPr>
      <w:ind w:left="1080"/>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rFonts w:ascii="Calibri" w:hAnsi="Calibri"/>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rFonts w:ascii="Calibri" w:hAnsi="Calibri"/>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D23A28"/>
    <w:rPr>
      <w:rFonts w:eastAsia="Times New Roman" w:cs="Times New Roman"/>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7869FC"/>
    <w:rPr>
      <w:rFonts w:ascii="Calibri" w:eastAsia="Times New Roman" w:hAnsi="Calibri" w:cs="Times New Roman"/>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D23A28"/>
    <w:rPr>
      <w:rFonts w:ascii="Times New Roman" w:hAnsi="Times New Roman"/>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152FD1"/>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paragraph" w:customStyle="1" w:styleId="Source">
    <w:name w:val="Source"/>
    <w:basedOn w:val="Normal"/>
    <w:qFormat/>
    <w:rsid w:val="00CE211D"/>
    <w:pPr>
      <w:spacing w:after="0"/>
    </w:pPr>
    <w:rPr>
      <w:i/>
      <w:iCs/>
      <w:sz w:val="18"/>
      <w:szCs w:val="18"/>
      <w:lang w:eastAsia="ja-JP"/>
    </w:rPr>
  </w:style>
  <w:style w:type="character" w:customStyle="1" w:styleId="UnresolvedMention4">
    <w:name w:val="Unresolved Mention4"/>
    <w:basedOn w:val="DefaultParagraphFont"/>
    <w:uiPriority w:val="99"/>
    <w:semiHidden/>
    <w:unhideWhenUsed/>
    <w:rsid w:val="005B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palgrave.com/gp/book/9781137536372" TargetMode="External"/><Relationship Id="rId26" Type="http://schemas.openxmlformats.org/officeDocument/2006/relationships/hyperlink" Target="https://unstats.un.org/sdgs/metadata/?Text=&amp;Goal=&amp;Target=8.5" TargetMode="External"/><Relationship Id="rId21" Type="http://schemas.openxmlformats.org/officeDocument/2006/relationships/hyperlink" Target="https://dhsprogram.com/publications/publication-FR333-DHS-Final-Reports.cf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unstats.un.org/sdgs/metadata/?Text=&amp;Goal=&amp;Target=1.1" TargetMode="External"/><Relationship Id="rId25" Type="http://schemas.openxmlformats.org/officeDocument/2006/relationships/hyperlink" Target="https://unstats.un.org/sdgs/metadata/?Text=&amp;Goal=&amp;Target=8.5"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eoc.gov/employers/summary-selected-recordkeeping-obligations-29-cfr-part-1602" TargetMode="External"/><Relationship Id="rId20" Type="http://schemas.openxmlformats.org/officeDocument/2006/relationships/hyperlink" Target="https://unstats.un.org/sdgs/metadata/?Text=&amp;Goal=&amp;Target=1.4" TargetMode="External"/><Relationship Id="rId29" Type="http://schemas.openxmlformats.org/officeDocument/2006/relationships/hyperlink" Target="https://unstats.un.org/sdgs/metadata/?Text=&amp;Goal=&amp;Target=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www.nsomalawi.mw/images/stories/data_on_line/demography/mdhs2015_16/MDHS%202015-16%20Final%20Report.pdf"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bmcpublichealth.biomedcentral.com/articles/10.1186/s12889-018-6234-7" TargetMode="External"/><Relationship Id="rId23" Type="http://schemas.openxmlformats.org/officeDocument/2006/relationships/hyperlink" Target="http://www.nsomalawi.mw/images/stories/data_on_line/demography/mdhs2015_16/MDHS%202015-16%20Final%20Report.pdf" TargetMode="External"/><Relationship Id="rId28" Type="http://schemas.openxmlformats.org/officeDocument/2006/relationships/hyperlink" Target="https://www.dhsprogram.com/pubs/pdf/FR317/FR317.pdf" TargetMode="External"/><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s://unstats.un.org/sdgs/metadata/?Text=&amp;Goal=&amp;Target=1.2" TargetMode="External"/><Relationship Id="rId31" Type="http://schemas.openxmlformats.org/officeDocument/2006/relationships/hyperlink" Target="https://data.ipu.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nstats.un.org/sdgs/metadata/?Text=&amp;Goal=&amp;Target=10.3" TargetMode="External"/><Relationship Id="rId22" Type="http://schemas.openxmlformats.org/officeDocument/2006/relationships/hyperlink" Target="https://unstats.un.org/sdgs/metadata/?Text=&amp;Goal=&amp;Target=1.4" TargetMode="External"/><Relationship Id="rId27" Type="http://schemas.openxmlformats.org/officeDocument/2006/relationships/hyperlink" Target="https://unstats.un.org/sdgs/metadata/?Text=&amp;Goal=&amp;Target=10.2" TargetMode="External"/><Relationship Id="rId30" Type="http://schemas.openxmlformats.org/officeDocument/2006/relationships/hyperlink" Target="https://unstats.un.org/sdgs/metadata/?Text=&amp;Goal=&amp;Target=16.7" TargetMode="Externa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C5901B-F56B-48B4-B642-E9853FE48E57}">
  <ds:schemaRefs>
    <ds:schemaRef ds:uri="http://schemas.openxmlformats.org/officeDocument/2006/bibliography"/>
  </ds:schemaRefs>
</ds:datastoreItem>
</file>

<file path=customXml/itemProps2.xml><?xml version="1.0" encoding="utf-8"?>
<ds:datastoreItem xmlns:ds="http://schemas.openxmlformats.org/officeDocument/2006/customXml" ds:itemID="{4CF0A6E6-2EBE-4A0A-85EB-029B2BDEBC4A}"/>
</file>

<file path=customXml/itemProps3.xml><?xml version="1.0" encoding="utf-8"?>
<ds:datastoreItem xmlns:ds="http://schemas.openxmlformats.org/officeDocument/2006/customXml" ds:itemID="{1584F22C-10AA-43E2-A870-1D62AA3E64F6}"/>
</file>

<file path=customXml/itemProps4.xml><?xml version="1.0" encoding="utf-8"?>
<ds:datastoreItem xmlns:ds="http://schemas.openxmlformats.org/officeDocument/2006/customXml" ds:itemID="{CAAD764D-E548-4284-A5C4-7F7CDE093E05}"/>
</file>

<file path=docProps/app.xml><?xml version="1.0" encoding="utf-8"?>
<Properties xmlns="http://schemas.openxmlformats.org/officeDocument/2006/extended-properties" xmlns:vt="http://schemas.openxmlformats.org/officeDocument/2006/docPropsVTypes">
  <Template>Normal</Template>
  <TotalTime>14</TotalTime>
  <Pages>14</Pages>
  <Words>4451</Words>
  <Characters>25372</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5 (outcome indicators)</dc:title>
  <dc:subject/>
  <dc:creator>Nanette Goodman</dc:creator>
  <cp:keywords/>
  <dc:description/>
  <cp:lastModifiedBy>Elias Constantopedos</cp:lastModifiedBy>
  <cp:revision>7</cp:revision>
  <cp:lastPrinted>2020-11-19T04:53:00Z</cp:lastPrinted>
  <dcterms:created xsi:type="dcterms:W3CDTF">2020-12-20T12:01:00Z</dcterms:created>
  <dcterms:modified xsi:type="dcterms:W3CDTF">2020-12-20T21:05:00Z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