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F715A" w14:textId="6926F2DA" w:rsidR="005A094A" w:rsidRPr="004F28A5" w:rsidRDefault="005458FD" w:rsidP="004E12D6">
      <w:pPr>
        <w:pStyle w:val="Heading1"/>
        <w:rPr>
          <w:rFonts w:eastAsiaTheme="majorEastAsia" w:cstheme="majorBidi"/>
          <w:color w:val="FFFFFF" w:themeColor="background1"/>
        </w:rPr>
      </w:pPr>
      <w:r w:rsidRPr="004F28A5">
        <w:rPr>
          <w:rFonts w:eastAsiaTheme="majorEastAsia" w:cstheme="majorBidi"/>
          <w:noProof/>
          <w:color w:val="FFFFFF" w:themeColor="background1"/>
          <w:lang w:eastAsia="en-GB"/>
        </w:rPr>
        <w:drawing>
          <wp:anchor distT="0" distB="0" distL="114300" distR="114300" simplePos="0" relativeHeight="251658240" behindDoc="1" locked="0" layoutInCell="1" allowOverlap="1" wp14:anchorId="45C2F5DD" wp14:editId="0DF731E1">
            <wp:simplePos x="0" y="0"/>
            <wp:positionH relativeFrom="column">
              <wp:posOffset>-970401</wp:posOffset>
            </wp:positionH>
            <wp:positionV relativeFrom="paragraph">
              <wp:posOffset>-960755</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1"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4F28A5">
        <w:rPr>
          <w:rFonts w:eastAsiaTheme="majorEastAsia" w:cstheme="majorBidi"/>
          <w:color w:val="FFFFFF" w:themeColor="background1"/>
        </w:rPr>
        <w:t>Data sources for outcome indicators on Article</w:t>
      </w:r>
      <w:r w:rsidR="00D364D5" w:rsidRPr="004F28A5">
        <w:rPr>
          <w:rFonts w:eastAsiaTheme="majorEastAsia" w:cstheme="majorBidi"/>
          <w:color w:val="FFFFFF" w:themeColor="background1"/>
        </w:rPr>
        <w:t>s</w:t>
      </w:r>
      <w:r w:rsidR="00527BE5" w:rsidRPr="004F28A5">
        <w:rPr>
          <w:rFonts w:eastAsiaTheme="majorEastAsia" w:cstheme="majorBidi"/>
          <w:color w:val="FFFFFF" w:themeColor="background1"/>
        </w:rPr>
        <w:t xml:space="preserve"> </w:t>
      </w:r>
      <w:r w:rsidR="00CA678D" w:rsidRPr="004F28A5">
        <w:rPr>
          <w:rFonts w:eastAsiaTheme="majorEastAsia" w:cstheme="majorBidi"/>
          <w:color w:val="FFFFFF" w:themeColor="background1"/>
        </w:rPr>
        <w:t>1-4</w:t>
      </w:r>
      <w:r w:rsidR="000A661C" w:rsidRPr="004F28A5">
        <w:rPr>
          <w:rFonts w:eastAsiaTheme="majorEastAsia" w:cstheme="majorBidi"/>
          <w:color w:val="FFFFFF" w:themeColor="background1"/>
        </w:rPr>
        <w:t>:</w:t>
      </w:r>
    </w:p>
    <w:p w14:paraId="5A518BF9" w14:textId="513F45D0" w:rsidR="00906D01" w:rsidRPr="004F28A5" w:rsidRDefault="00CA678D" w:rsidP="004E12D6">
      <w:pPr>
        <w:pStyle w:val="Heading1"/>
        <w:rPr>
          <w:rFonts w:eastAsiaTheme="majorEastAsia" w:cstheme="majorBidi"/>
          <w:color w:val="FFFFFF" w:themeColor="background1"/>
          <w:sz w:val="72"/>
          <w:szCs w:val="72"/>
        </w:rPr>
      </w:pPr>
      <w:r w:rsidRPr="004F28A5">
        <w:rPr>
          <w:rFonts w:eastAsiaTheme="majorEastAsia" w:cstheme="majorBidi"/>
          <w:color w:val="FFFFFF" w:themeColor="background1"/>
          <w:sz w:val="72"/>
          <w:szCs w:val="72"/>
        </w:rPr>
        <w:t xml:space="preserve">Purpose, </w:t>
      </w:r>
      <w:r w:rsidR="005C7CFF" w:rsidRPr="004F28A5">
        <w:rPr>
          <w:rFonts w:eastAsiaTheme="majorEastAsia" w:cstheme="majorBidi"/>
          <w:color w:val="FFFFFF" w:themeColor="background1"/>
          <w:sz w:val="72"/>
          <w:szCs w:val="72"/>
        </w:rPr>
        <w:t>definitions, general p</w:t>
      </w:r>
      <w:r w:rsidRPr="004F28A5">
        <w:rPr>
          <w:rFonts w:eastAsiaTheme="majorEastAsia" w:cstheme="majorBidi"/>
          <w:color w:val="FFFFFF" w:themeColor="background1"/>
          <w:sz w:val="72"/>
          <w:szCs w:val="72"/>
        </w:rPr>
        <w:t>rincip</w:t>
      </w:r>
      <w:r w:rsidR="005C7CFF" w:rsidRPr="004F28A5">
        <w:rPr>
          <w:rFonts w:eastAsiaTheme="majorEastAsia" w:cstheme="majorBidi"/>
          <w:color w:val="FFFFFF" w:themeColor="background1"/>
          <w:sz w:val="72"/>
          <w:szCs w:val="72"/>
        </w:rPr>
        <w:t>les,  general o</w:t>
      </w:r>
      <w:r w:rsidR="00642415" w:rsidRPr="004F28A5">
        <w:rPr>
          <w:rFonts w:eastAsiaTheme="majorEastAsia" w:cstheme="majorBidi"/>
          <w:color w:val="FFFFFF" w:themeColor="background1"/>
          <w:sz w:val="72"/>
          <w:szCs w:val="72"/>
        </w:rPr>
        <w:t>bligation</w:t>
      </w:r>
      <w:r w:rsidR="00863499" w:rsidRPr="004F28A5">
        <w:rPr>
          <w:rFonts w:eastAsiaTheme="majorEastAsia" w:cstheme="majorBidi"/>
          <w:color w:val="FFFFFF" w:themeColor="background1"/>
          <w:sz w:val="72"/>
          <w:szCs w:val="72"/>
        </w:rPr>
        <w:t>s</w:t>
      </w:r>
    </w:p>
    <w:p w14:paraId="3CBE4037" w14:textId="31EEE407" w:rsidR="00355C6D" w:rsidRPr="004F28A5" w:rsidRDefault="00162F7E" w:rsidP="00D850DC">
      <w:pPr>
        <w:spacing w:before="0" w:after="0" w:line="240" w:lineRule="auto"/>
        <w:rPr>
          <w:rFonts w:asciiTheme="minorHAnsi" w:hAnsiTheme="minorHAnsi" w:cstheme="minorHAnsi"/>
        </w:rPr>
      </w:pPr>
      <w:r w:rsidRPr="004F28A5">
        <w:rPr>
          <w:rFonts w:asciiTheme="minorHAnsi" w:hAnsiTheme="minorHAnsi"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6C7C4A8B">
            <wp:simplePos x="4362450" y="8967788"/>
            <wp:positionH relativeFrom="margin">
              <wp:align>right</wp:align>
            </wp:positionH>
            <wp:positionV relativeFrom="margin">
              <wp:align>bottom</wp:align>
            </wp:positionV>
            <wp:extent cx="2247900" cy="771525"/>
            <wp:effectExtent l="0" t="0" r="0" b="952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4F28A5">
        <w:rPr>
          <w:rFonts w:asciiTheme="minorHAnsi" w:hAnsiTheme="minorHAnsi" w:cstheme="minorHAnsi"/>
        </w:rPr>
        <w:br w:type="page"/>
      </w:r>
    </w:p>
    <w:p w14:paraId="779E1EF4" w14:textId="5C6FD04F" w:rsidR="00355C6D" w:rsidRPr="004F28A5" w:rsidRDefault="00570364" w:rsidP="00D850DC">
      <w:pPr>
        <w:spacing w:before="0" w:after="0" w:line="240" w:lineRule="auto"/>
        <w:rPr>
          <w:rFonts w:asciiTheme="minorHAnsi" w:hAnsiTheme="minorHAnsi" w:cstheme="minorHAnsi"/>
        </w:rPr>
      </w:pPr>
      <w:r w:rsidRPr="004F28A5">
        <w:rPr>
          <w:rFonts w:asciiTheme="minorHAnsi" w:hAnsiTheme="minorHAnsi" w:cstheme="minorHAnsi"/>
          <w:noProof/>
          <w:lang w:eastAsia="en-GB"/>
        </w:rPr>
        <w:lastRenderedPageBreak/>
        <w:drawing>
          <wp:inline distT="0" distB="0" distL="0" distR="0" wp14:anchorId="48975751" wp14:editId="10BB2A76">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249424" cy="557379"/>
                    </a:xfrm>
                    <a:prstGeom prst="rect">
                      <a:avLst/>
                    </a:prstGeom>
                  </pic:spPr>
                </pic:pic>
              </a:graphicData>
            </a:graphic>
          </wp:inline>
        </w:drawing>
      </w:r>
    </w:p>
    <w:p w14:paraId="6CF26065" w14:textId="77777777" w:rsidR="00CD6AC1" w:rsidRPr="004F28A5" w:rsidRDefault="00CD6AC1" w:rsidP="00CD6AC1">
      <w:pPr>
        <w:autoSpaceDE w:val="0"/>
        <w:autoSpaceDN w:val="0"/>
        <w:spacing w:before="7200" w:line="260" w:lineRule="exact"/>
        <w:rPr>
          <w:rFonts w:cs="Segoe UI"/>
          <w:color w:val="000000"/>
          <w:sz w:val="18"/>
          <w:lang w:eastAsia="en-GB"/>
        </w:rPr>
      </w:pPr>
      <w:r w:rsidRPr="004F28A5">
        <w:rPr>
          <w:rFonts w:cs="Segoe UI"/>
          <w:color w:val="000000"/>
          <w:sz w:val="18"/>
          <w:lang w:eastAsia="en-GB"/>
        </w:rPr>
        <w:t>ADVANCE VERSION</w:t>
      </w:r>
    </w:p>
    <w:p w14:paraId="2968F243" w14:textId="77777777" w:rsidR="00CD6AC1" w:rsidRPr="004F28A5" w:rsidRDefault="00CD6AC1" w:rsidP="00CD6AC1">
      <w:pPr>
        <w:autoSpaceDE w:val="0"/>
        <w:autoSpaceDN w:val="0"/>
        <w:spacing w:line="260" w:lineRule="exact"/>
        <w:rPr>
          <w:rFonts w:cs="Segoe UI"/>
          <w:color w:val="000000"/>
          <w:sz w:val="20"/>
          <w:szCs w:val="20"/>
          <w:lang w:eastAsia="en-GB"/>
        </w:rPr>
      </w:pPr>
      <w:r w:rsidRPr="004F28A5">
        <w:rPr>
          <w:rFonts w:cs="Segoe UI"/>
          <w:color w:val="000000"/>
          <w:sz w:val="20"/>
          <w:szCs w:val="20"/>
          <w:lang w:eastAsia="en-GB"/>
        </w:rPr>
        <w:t xml:space="preserve">© 2020 United Nations  </w:t>
      </w:r>
    </w:p>
    <w:p w14:paraId="3A22B9A6" w14:textId="77777777" w:rsidR="00CD6AC1" w:rsidRPr="004F28A5" w:rsidRDefault="00CD6AC1" w:rsidP="00CD6AC1">
      <w:pPr>
        <w:autoSpaceDE w:val="0"/>
        <w:autoSpaceDN w:val="0"/>
        <w:spacing w:line="260" w:lineRule="exact"/>
        <w:rPr>
          <w:rFonts w:cs="Segoe UI"/>
          <w:color w:val="000000"/>
          <w:sz w:val="20"/>
          <w:szCs w:val="20"/>
          <w:lang w:eastAsia="en-GB"/>
        </w:rPr>
      </w:pPr>
      <w:r w:rsidRPr="004F28A5">
        <w:rPr>
          <w:rFonts w:cs="Segoe UI"/>
          <w:color w:val="000000"/>
          <w:sz w:val="20"/>
          <w:szCs w:val="20"/>
          <w:lang w:eastAsia="en-GB"/>
        </w:rPr>
        <w:t xml:space="preserve">The </w:t>
      </w:r>
      <w:r w:rsidRPr="004F28A5">
        <w:rPr>
          <w:rFonts w:cs="Segoe UI"/>
          <w:i/>
          <w:color w:val="000000"/>
          <w:sz w:val="20"/>
          <w:szCs w:val="20"/>
          <w:lang w:eastAsia="en-GB"/>
        </w:rPr>
        <w:t>Data Sources Guidance</w:t>
      </w:r>
      <w:r w:rsidRPr="004F28A5">
        <w:rPr>
          <w:rFonts w:cs="Segoe UI"/>
          <w:color w:val="000000"/>
          <w:sz w:val="20"/>
          <w:szCs w:val="20"/>
          <w:lang w:eastAsia="en-GB"/>
        </w:rPr>
        <w:t xml:space="preserve"> is a component of the </w:t>
      </w:r>
      <w:hyperlink r:id="rId15" w:history="1">
        <w:r w:rsidRPr="004F28A5">
          <w:rPr>
            <w:rStyle w:val="Hyperlink"/>
            <w:rFonts w:cs="Segoe UI"/>
            <w:sz w:val="20"/>
            <w:szCs w:val="20"/>
            <w:lang w:eastAsia="en-GB"/>
          </w:rPr>
          <w:t>SDG-CRPD Resource Package</w:t>
        </w:r>
      </w:hyperlink>
      <w:r w:rsidRPr="004F28A5">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6138EFD1" w14:textId="11E308B1" w:rsidR="00CD6AC1" w:rsidRPr="004F28A5" w:rsidRDefault="00CD6AC1" w:rsidP="00CD6AC1">
      <w:pPr>
        <w:autoSpaceDE w:val="0"/>
        <w:autoSpaceDN w:val="0"/>
        <w:spacing w:line="260" w:lineRule="exact"/>
        <w:rPr>
          <w:rFonts w:cs="Segoe UI"/>
          <w:color w:val="000000"/>
          <w:sz w:val="20"/>
          <w:szCs w:val="20"/>
          <w:lang w:eastAsia="en-GB"/>
        </w:rPr>
      </w:pPr>
      <w:r w:rsidRPr="004F28A5">
        <w:rPr>
          <w:rFonts w:cs="Segoe UI"/>
          <w:color w:val="000000"/>
          <w:sz w:val="20"/>
          <w:szCs w:val="20"/>
          <w:lang w:eastAsia="en-GB"/>
        </w:rPr>
        <w:t xml:space="preserve">The designations employed and the presentation of the material </w:t>
      </w:r>
      <w:r w:rsidR="00F25197" w:rsidRPr="004F28A5">
        <w:rPr>
          <w:rFonts w:cs="Segoe UI"/>
          <w:color w:val="000000"/>
          <w:sz w:val="20"/>
          <w:szCs w:val="20"/>
          <w:lang w:eastAsia="en-GB"/>
        </w:rPr>
        <w:t>herein</w:t>
      </w:r>
      <w:r w:rsidRPr="004F28A5">
        <w:rPr>
          <w:rFonts w:cs="Segoe UI"/>
          <w:color w:val="000000"/>
          <w:sz w:val="20"/>
          <w:szCs w:val="20"/>
          <w:lang w:eastAsia="en-GB"/>
        </w:rPr>
        <w:t xml:space="preserve"> do not imply the expression of any opinion whatsoever on the part of the Secretariat of the United Nations concerning the legal status of any country, territory, city or area, or of its authorities, or concerning the delimitation of its frontiers or boundaries. </w:t>
      </w:r>
    </w:p>
    <w:p w14:paraId="60550EF3" w14:textId="77777777" w:rsidR="00CD6AC1" w:rsidRPr="004F28A5" w:rsidRDefault="00CD6AC1" w:rsidP="00CD6AC1">
      <w:pPr>
        <w:autoSpaceDE w:val="0"/>
        <w:autoSpaceDN w:val="0"/>
        <w:spacing w:line="260" w:lineRule="exact"/>
        <w:rPr>
          <w:rFonts w:cs="Segoe UI"/>
          <w:color w:val="000000"/>
          <w:sz w:val="20"/>
          <w:szCs w:val="20"/>
          <w:lang w:eastAsia="en-GB"/>
        </w:rPr>
      </w:pPr>
      <w:r w:rsidRPr="004F28A5">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3A2B5AF1" w14:textId="60B9F421" w:rsidR="00CD6AC1" w:rsidRPr="004F28A5" w:rsidRDefault="00CD6AC1" w:rsidP="00CD6AC1">
      <w:pPr>
        <w:autoSpaceDE w:val="0"/>
        <w:autoSpaceDN w:val="0"/>
        <w:spacing w:line="260" w:lineRule="exact"/>
        <w:rPr>
          <w:rFonts w:cs="Segoe UI"/>
          <w:color w:val="000000"/>
          <w:sz w:val="20"/>
          <w:szCs w:val="20"/>
          <w:lang w:eastAsia="en-GB"/>
        </w:rPr>
      </w:pPr>
      <w:r w:rsidRPr="004F28A5">
        <w:rPr>
          <w:rFonts w:cs="Segoe UI"/>
          <w:color w:val="000000"/>
          <w:sz w:val="20"/>
          <w:szCs w:val="20"/>
          <w:lang w:eastAsia="en-GB"/>
        </w:rPr>
        <w:t xml:space="preserve">The </w:t>
      </w:r>
      <w:r w:rsidRPr="004F28A5">
        <w:rPr>
          <w:rFonts w:cs="Segoe UI"/>
          <w:i/>
          <w:color w:val="000000"/>
          <w:sz w:val="20"/>
          <w:szCs w:val="20"/>
          <w:lang w:eastAsia="en-GB"/>
        </w:rPr>
        <w:t>Data Sources Guidance</w:t>
      </w:r>
      <w:r w:rsidRPr="004F28A5">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884866">
        <w:rPr>
          <w:rFonts w:cs="Segoe UI"/>
          <w:color w:val="000000"/>
          <w:sz w:val="20"/>
          <w:szCs w:val="20"/>
          <w:lang w:eastAsia="en-GB"/>
        </w:rPr>
        <w:br/>
      </w:r>
    </w:p>
    <w:p w14:paraId="2C4CA126" w14:textId="77777777" w:rsidR="00CD6AC1" w:rsidRPr="004F28A5" w:rsidRDefault="00CD6AC1" w:rsidP="00CD6AC1">
      <w:pPr>
        <w:autoSpaceDE w:val="0"/>
        <w:autoSpaceDN w:val="0"/>
        <w:rPr>
          <w:rFonts w:eastAsiaTheme="majorEastAsia" w:cstheme="minorHAnsi"/>
          <w:b/>
          <w:color w:val="0A59AB"/>
          <w:spacing w:val="4"/>
          <w:kern w:val="0"/>
          <w:sz w:val="20"/>
          <w:szCs w:val="30"/>
        </w:rPr>
      </w:pPr>
      <w:r w:rsidRPr="004F28A5">
        <w:rPr>
          <w:rFonts w:cstheme="minorHAnsi"/>
          <w:noProof/>
          <w:lang w:eastAsia="en-GB"/>
        </w:rPr>
        <w:drawing>
          <wp:inline distT="0" distB="0" distL="0" distR="0" wp14:anchorId="12CF013B" wp14:editId="2D74464E">
            <wp:extent cx="758678" cy="515664"/>
            <wp:effectExtent l="0" t="0" r="3810" b="0"/>
            <wp:docPr id="9" name="Picture 9"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Pr="004F28A5">
        <w:rPr>
          <w:rFonts w:eastAsiaTheme="majorEastAsia" w:cstheme="minorHAnsi"/>
          <w:b/>
          <w:color w:val="0A59AB"/>
          <w:spacing w:val="4"/>
          <w:kern w:val="0"/>
          <w:sz w:val="20"/>
          <w:szCs w:val="30"/>
        </w:rPr>
        <w:br w:type="page"/>
      </w:r>
    </w:p>
    <w:p w14:paraId="30D4CB5F" w14:textId="77777777" w:rsidR="00752271" w:rsidRPr="004F28A5" w:rsidRDefault="00752271" w:rsidP="004C2CAB">
      <w:pPr>
        <w:pStyle w:val="Heading2"/>
        <w:rPr>
          <w:rFonts w:eastAsiaTheme="majorEastAsia"/>
        </w:rPr>
      </w:pPr>
      <w:r w:rsidRPr="004F28A5">
        <w:rPr>
          <w:rFonts w:eastAsiaTheme="majorEastAsia"/>
        </w:rPr>
        <w:lastRenderedPageBreak/>
        <w:t>1-4.23 Number of remaining reservations and/or interpretative declarations to provisions of the CRPD.</w:t>
      </w:r>
    </w:p>
    <w:p w14:paraId="5C7B8E25" w14:textId="77777777" w:rsidR="00752271" w:rsidRPr="004F28A5" w:rsidRDefault="00752271" w:rsidP="004C2CAB">
      <w:pPr>
        <w:pStyle w:val="Heading4"/>
        <w:rPr>
          <w:rFonts w:eastAsiaTheme="majorEastAsia"/>
        </w:rPr>
      </w:pPr>
      <w:r w:rsidRPr="004F28A5">
        <w:rPr>
          <w:rFonts w:eastAsiaTheme="majorEastAsia"/>
        </w:rPr>
        <w:t>Level 1: Indicator for which data are already being produced and reported on in at least some countries</w:t>
      </w:r>
    </w:p>
    <w:p w14:paraId="75CD2619" w14:textId="77777777" w:rsidR="00752271" w:rsidRPr="004F28A5" w:rsidRDefault="00752271" w:rsidP="009A2453">
      <w:r w:rsidRPr="004F28A5">
        <w:t xml:space="preserve">The </w:t>
      </w:r>
      <w:hyperlink r:id="rId17" w:history="1">
        <w:r w:rsidRPr="004F28A5">
          <w:rPr>
            <w:rStyle w:val="Hyperlink"/>
          </w:rPr>
          <w:t>United Nations Treaty Collection</w:t>
        </w:r>
      </w:hyperlink>
      <w:r w:rsidRPr="004F28A5">
        <w:t xml:space="preserve"> provides a country by country list of the signature, formal confirmation/accession or ratification of the Conventions, and reservations and declarations. </w:t>
      </w:r>
    </w:p>
    <w:p w14:paraId="5A3B795A" w14:textId="77777777" w:rsidR="00752271" w:rsidRPr="004F28A5" w:rsidRDefault="00752271" w:rsidP="004C2CAB">
      <w:pPr>
        <w:pStyle w:val="Heading2"/>
        <w:rPr>
          <w:rFonts w:eastAsiaTheme="majorEastAsia"/>
        </w:rPr>
      </w:pPr>
      <w:r w:rsidRPr="004F28A5">
        <w:rPr>
          <w:rFonts w:eastAsiaTheme="majorEastAsia"/>
        </w:rPr>
        <w:t>1-4.24 Number of judicial decisions from national high courts on the rights of persons with disabilities in line with the principles and provisions of the CRPD per year.</w:t>
      </w:r>
    </w:p>
    <w:p w14:paraId="67353924" w14:textId="77777777" w:rsidR="00752271" w:rsidRPr="004F28A5" w:rsidRDefault="00752271" w:rsidP="004C2CAB">
      <w:pPr>
        <w:pStyle w:val="Heading4"/>
        <w:rPr>
          <w:rFonts w:eastAsiaTheme="majorEastAsia"/>
        </w:rPr>
      </w:pPr>
      <w:r w:rsidRPr="004F28A5">
        <w:rPr>
          <w:rFonts w:eastAsiaTheme="majorEastAsia"/>
        </w:rPr>
        <w:t>Level 2: Indicator that can be produced with existing data but has not been reported on</w:t>
      </w:r>
    </w:p>
    <w:p w14:paraId="06978E59" w14:textId="77777777" w:rsidR="00752271" w:rsidRPr="004F28A5" w:rsidRDefault="00752271" w:rsidP="009A2453">
      <w:r w:rsidRPr="004F28A5">
        <w:t>As all court decisions are filed, it is theoretically possible to review all such decisions and produce this indicator. Some national high courts’ databases of cases can be used to search the word “disability” or “CRPD” to ascertain, at a minimum, where decisions have been made, although a more detailed analysis would be required to determine compliance with the CRPD.</w:t>
      </w:r>
    </w:p>
    <w:p w14:paraId="5632BE32" w14:textId="77777777" w:rsidR="00752271" w:rsidRPr="004F28A5" w:rsidRDefault="00752271" w:rsidP="009A2453">
      <w:r w:rsidRPr="004F28A5">
        <w:t xml:space="preserve">Beyond case databases, there may be categories of cases or petitioners. For example, the </w:t>
      </w:r>
      <w:hyperlink r:id="rId18" w:history="1">
        <w:r w:rsidRPr="004F28A5">
          <w:rPr>
            <w:rStyle w:val="Hyperlink"/>
          </w:rPr>
          <w:t>Constitutional Court of Colombia</w:t>
        </w:r>
      </w:hyperlink>
      <w:r w:rsidRPr="004F28A5">
        <w:t xml:space="preserve"> allows searches for cases according to theme, including measures in favour of persons with disabilities, accessibility, etc</w:t>
      </w:r>
      <w:r w:rsidRPr="004F28A5">
        <w:rPr>
          <w:rStyle w:val="Hyperlink"/>
        </w:rPr>
        <w:t>.</w:t>
      </w:r>
    </w:p>
    <w:p w14:paraId="5C9E1E09" w14:textId="77777777" w:rsidR="00752271" w:rsidRPr="004F28A5" w:rsidRDefault="00752271" w:rsidP="009A2453">
      <w:pPr>
        <w:pStyle w:val="CommentText"/>
        <w:rPr>
          <w:sz w:val="22"/>
          <w:szCs w:val="22"/>
        </w:rPr>
      </w:pPr>
      <w:r w:rsidRPr="004F28A5">
        <w:rPr>
          <w:sz w:val="22"/>
          <w:szCs w:val="22"/>
        </w:rPr>
        <w:t>National Human Rights Institutions also commonly compile yearly jurisprudence, tracking the evolution of human rights standards with a qualitative assessment.</w:t>
      </w:r>
    </w:p>
    <w:p w14:paraId="6105D99E" w14:textId="77777777" w:rsidR="00752271" w:rsidRPr="004F28A5" w:rsidRDefault="00752271" w:rsidP="009A2453">
      <w:pPr>
        <w:pStyle w:val="CommentText"/>
        <w:rPr>
          <w:color w:val="212121"/>
        </w:rPr>
      </w:pPr>
      <w:r w:rsidRPr="004F28A5">
        <w:rPr>
          <w:color w:val="000000" w:themeColor="text1"/>
          <w:sz w:val="22"/>
          <w:szCs w:val="22"/>
        </w:rPr>
        <w:t xml:space="preserve">Arriving at comprehensive assessments of CRPD compliance may be difficult, but at least information on the extent to which high courts are considering these issues can be obtained. In Colombia, the Office of the Ombudsperson (Defensoría del Pueblo) </w:t>
      </w:r>
      <w:r w:rsidRPr="004F28A5">
        <w:rPr>
          <w:sz w:val="22"/>
          <w:szCs w:val="22"/>
        </w:rPr>
        <w:t xml:space="preserve">monitors court decisions specifically issued by the Constitutional Court concerning constitutional rights, including the rights of persons with disabilities. Information about the rights of persons with disabilities in Colombia can be found under </w:t>
      </w:r>
      <w:hyperlink r:id="rId19" w:history="1">
        <w:r w:rsidRPr="004F28A5">
          <w:rPr>
            <w:rStyle w:val="Hyperlink"/>
            <w:sz w:val="22"/>
            <w:szCs w:val="22"/>
          </w:rPr>
          <w:t>the Observatory of the Constitutional Justice</w:t>
        </w:r>
      </w:hyperlink>
      <w:r w:rsidRPr="004F28A5">
        <w:rPr>
          <w:rStyle w:val="Hyperlink"/>
        </w:rPr>
        <w:t>.</w:t>
      </w:r>
    </w:p>
    <w:p w14:paraId="387A7484" w14:textId="77777777" w:rsidR="00752271" w:rsidRPr="004F28A5" w:rsidRDefault="00752271" w:rsidP="004C2CAB">
      <w:pPr>
        <w:pStyle w:val="Heading2"/>
        <w:rPr>
          <w:rFonts w:eastAsiaTheme="majorEastAsia"/>
        </w:rPr>
      </w:pPr>
      <w:r w:rsidRPr="004F28A5">
        <w:rPr>
          <w:rFonts w:eastAsiaTheme="majorEastAsia"/>
        </w:rPr>
        <w:t>1-4.25 Number of relevant legislation reformed to be harmonized with the CRPD and its provisions, disaggregated by topic.</w:t>
      </w:r>
    </w:p>
    <w:p w14:paraId="17A10659" w14:textId="77777777" w:rsidR="00752271" w:rsidRPr="004F28A5" w:rsidRDefault="00752271" w:rsidP="004C2CAB">
      <w:pPr>
        <w:pStyle w:val="Heading4"/>
        <w:rPr>
          <w:rFonts w:eastAsiaTheme="majorEastAsia"/>
        </w:rPr>
      </w:pPr>
      <w:r w:rsidRPr="004F28A5">
        <w:rPr>
          <w:rFonts w:eastAsiaTheme="majorEastAsia"/>
        </w:rPr>
        <w:t>Level 2: Indicator that can be produced with existing data but has not been reported on</w:t>
      </w:r>
    </w:p>
    <w:p w14:paraId="3906BB0E" w14:textId="77777777" w:rsidR="00752271" w:rsidRPr="004F28A5" w:rsidRDefault="00752271" w:rsidP="009A2453">
      <w:r w:rsidRPr="004F28A5">
        <w:t>Disability focal points in several countries publish compendiums of relevant legislation with periodical updates on amendments.</w:t>
      </w:r>
    </w:p>
    <w:p w14:paraId="68ABCC3F" w14:textId="373D6FAE" w:rsidR="00752271" w:rsidRPr="004F28A5" w:rsidRDefault="00752271" w:rsidP="009A2453">
      <w:r w:rsidRPr="004F28A5">
        <w:t>As exa</w:t>
      </w:r>
      <w:r w:rsidR="009A2453" w:rsidRPr="004F28A5">
        <w:t>mples, consult information from</w:t>
      </w:r>
    </w:p>
    <w:p w14:paraId="21C76C7F" w14:textId="62FEBDDE" w:rsidR="00752271" w:rsidRPr="004F28A5" w:rsidRDefault="00752271" w:rsidP="00C94CF8">
      <w:pPr>
        <w:pStyle w:val="ListParagraph"/>
        <w:numPr>
          <w:ilvl w:val="0"/>
          <w:numId w:val="46"/>
        </w:numPr>
        <w:rPr>
          <w:rFonts w:eastAsiaTheme="minorEastAsia"/>
          <w:lang w:val="en-US"/>
        </w:rPr>
      </w:pPr>
      <w:r w:rsidRPr="004F28A5">
        <w:rPr>
          <w:rFonts w:eastAsiaTheme="minorEastAsia"/>
        </w:rPr>
        <w:lastRenderedPageBreak/>
        <w:t>Bolivia (Plurinational State of):</w:t>
      </w:r>
      <w:r w:rsidR="00C94CF8" w:rsidRPr="004F28A5">
        <w:rPr>
          <w:rFonts w:eastAsiaTheme="minorEastAsia"/>
        </w:rPr>
        <w:t xml:space="preserve"> available at</w:t>
      </w:r>
      <w:r w:rsidRPr="004F28A5">
        <w:rPr>
          <w:rFonts w:eastAsiaTheme="minorEastAsia"/>
        </w:rPr>
        <w:t xml:space="preserve"> </w:t>
      </w:r>
      <w:hyperlink r:id="rId20" w:history="1">
        <w:r w:rsidR="00C94CF8" w:rsidRPr="004F28A5">
          <w:rPr>
            <w:rStyle w:val="Hyperlink"/>
            <w:rFonts w:eastAsiaTheme="minorEastAsia"/>
          </w:rPr>
          <w:t>fnse.gob.bo</w:t>
        </w:r>
      </w:hyperlink>
    </w:p>
    <w:p w14:paraId="22A9AA5E" w14:textId="28FFB350" w:rsidR="00163F25" w:rsidRPr="004F28A5" w:rsidRDefault="00163F25" w:rsidP="00C94CF8">
      <w:pPr>
        <w:pStyle w:val="ListParagraph"/>
        <w:numPr>
          <w:ilvl w:val="0"/>
          <w:numId w:val="46"/>
        </w:numPr>
        <w:rPr>
          <w:rFonts w:eastAsiaTheme="minorEastAsia"/>
          <w:lang w:val="en-US"/>
        </w:rPr>
      </w:pPr>
      <w:r w:rsidRPr="004F28A5">
        <w:rPr>
          <w:rFonts w:eastAsiaTheme="minorEastAsia"/>
          <w:lang w:val="en-US"/>
        </w:rPr>
        <w:t>Spain:</w:t>
      </w:r>
      <w:r w:rsidR="00C94CF8" w:rsidRPr="004F28A5">
        <w:rPr>
          <w:rFonts w:eastAsiaTheme="minorEastAsia"/>
          <w:lang w:val="en-US"/>
        </w:rPr>
        <w:t xml:space="preserve"> available at</w:t>
      </w:r>
      <w:r w:rsidRPr="004F28A5">
        <w:rPr>
          <w:rFonts w:eastAsiaTheme="minorEastAsia"/>
          <w:lang w:val="en-US"/>
        </w:rPr>
        <w:t xml:space="preserve"> </w:t>
      </w:r>
      <w:hyperlink r:id="rId21" w:history="1">
        <w:r w:rsidR="00C94CF8" w:rsidRPr="004F28A5">
          <w:rPr>
            <w:rStyle w:val="Hyperlink"/>
            <w:rFonts w:eastAsiaTheme="minorEastAsia"/>
            <w:lang w:val="en-US"/>
          </w:rPr>
          <w:t>www.boe.es</w:t>
        </w:r>
      </w:hyperlink>
    </w:p>
    <w:p w14:paraId="042F607F" w14:textId="5749530C" w:rsidR="00752271" w:rsidRPr="004F28A5" w:rsidRDefault="00752271" w:rsidP="00C94CF8">
      <w:pPr>
        <w:pStyle w:val="ListParagraph"/>
        <w:numPr>
          <w:ilvl w:val="0"/>
          <w:numId w:val="46"/>
        </w:numPr>
        <w:rPr>
          <w:rFonts w:eastAsiaTheme="minorEastAsia"/>
          <w:lang w:val="da-DK"/>
        </w:rPr>
      </w:pPr>
      <w:r w:rsidRPr="004F28A5">
        <w:rPr>
          <w:rFonts w:eastAsiaTheme="minorEastAsia"/>
          <w:lang w:val="da-DK"/>
        </w:rPr>
        <w:t xml:space="preserve">France: </w:t>
      </w:r>
      <w:r w:rsidR="00C94CF8" w:rsidRPr="004F28A5">
        <w:rPr>
          <w:rFonts w:eastAsiaTheme="minorEastAsia"/>
          <w:lang w:val="da-DK"/>
        </w:rPr>
        <w:t xml:space="preserve">available at </w:t>
      </w:r>
      <w:hyperlink r:id="rId22" w:history="1">
        <w:r w:rsidR="00C94CF8" w:rsidRPr="004F28A5">
          <w:rPr>
            <w:rStyle w:val="Hyperlink"/>
            <w:rFonts w:eastAsiaTheme="minorEastAsia"/>
            <w:lang w:val="da-DK"/>
          </w:rPr>
          <w:t>www.gouvernement.fr</w:t>
        </w:r>
      </w:hyperlink>
    </w:p>
    <w:p w14:paraId="1114C9F7" w14:textId="77777777" w:rsidR="00752271" w:rsidRPr="004F28A5" w:rsidRDefault="00752271" w:rsidP="009A2453">
      <w:r w:rsidRPr="004F28A5">
        <w:t xml:space="preserve">Reports are sometimes available from National Human Rights Institutions or the United Nations. For example, the United Nations Development Programme (UNDP) Mexico published a </w:t>
      </w:r>
      <w:hyperlink r:id="rId23" w:history="1">
        <w:r w:rsidRPr="004F28A5">
          <w:rPr>
            <w:rStyle w:val="Hyperlink"/>
          </w:rPr>
          <w:t>compendium on disability-related legislation</w:t>
        </w:r>
      </w:hyperlink>
      <w:r w:rsidRPr="004F28A5">
        <w:t>.</w:t>
      </w:r>
    </w:p>
    <w:p w14:paraId="17A2FC4E" w14:textId="77777777" w:rsidR="00752271" w:rsidRPr="004F28A5" w:rsidRDefault="00752271" w:rsidP="009A2453">
      <w:r w:rsidRPr="004F28A5">
        <w:t>Information on legislation which has been aligned with the CRPD may also be found in state reports submitted to the CRPD Committee. For example, in Mexico’s State Party Report, submitted on 22 February 2018, it is reported that:</w:t>
      </w:r>
    </w:p>
    <w:p w14:paraId="62B603BE" w14:textId="28BE44BC" w:rsidR="00752271" w:rsidRPr="004F28A5" w:rsidRDefault="00163F25" w:rsidP="00163F25">
      <w:pPr>
        <w:ind w:left="360"/>
        <w:rPr>
          <w:i/>
          <w:iCs/>
        </w:rPr>
      </w:pPr>
      <w:r w:rsidRPr="004F28A5">
        <w:rPr>
          <w:i/>
          <w:iCs/>
        </w:rPr>
        <w:t>“</w:t>
      </w:r>
      <w:r w:rsidR="00752271" w:rsidRPr="004F28A5">
        <w:rPr>
          <w:i/>
          <w:iCs/>
        </w:rPr>
        <w:t>The 32 federative entities have passed legislation to protect the rights of persons with disabilities. Twenty-seven of those laws are in line with the content of the Convention, and the others are in the process of harmonization.</w:t>
      </w:r>
      <w:r w:rsidRPr="004F28A5">
        <w:rPr>
          <w:i/>
          <w:iCs/>
        </w:rPr>
        <w:t>”</w:t>
      </w:r>
    </w:p>
    <w:p w14:paraId="3A146E1A" w14:textId="1BDDBCA9" w:rsidR="00752271" w:rsidRPr="004F28A5" w:rsidRDefault="00752271" w:rsidP="009A2453">
      <w:pPr>
        <w:pStyle w:val="SingleTxtG"/>
        <w:ind w:left="0" w:right="4"/>
        <w:rPr>
          <w:rFonts w:ascii="Calibri" w:hAnsi="Calibri" w:cstheme="minorHAnsi"/>
          <w:sz w:val="22"/>
          <w:szCs w:val="22"/>
        </w:rPr>
      </w:pPr>
      <w:r w:rsidRPr="004F28A5">
        <w:rPr>
          <w:rFonts w:ascii="Calibri" w:hAnsi="Calibri" w:cstheme="minorHAnsi"/>
          <w:sz w:val="22"/>
          <w:szCs w:val="22"/>
        </w:rPr>
        <w:t xml:space="preserve">The Democratic People’s Republic of Korea also provided a list of relevant legislation. State reports to the CRPD Committee can be searched on the </w:t>
      </w:r>
      <w:hyperlink r:id="rId24" w:history="1">
        <w:r w:rsidRPr="004F28A5">
          <w:rPr>
            <w:rStyle w:val="Hyperlink"/>
            <w:rFonts w:ascii="Calibri" w:hAnsi="Calibri" w:cstheme="minorHAnsi"/>
            <w:sz w:val="22"/>
            <w:szCs w:val="22"/>
          </w:rPr>
          <w:t>CRPD Committee website</w:t>
        </w:r>
      </w:hyperlink>
      <w:r w:rsidRPr="004F28A5">
        <w:rPr>
          <w:rFonts w:ascii="Calibri" w:hAnsi="Calibri" w:cstheme="minorHAnsi"/>
          <w:sz w:val="22"/>
          <w:szCs w:val="22"/>
        </w:rPr>
        <w:t>.</w:t>
      </w:r>
    </w:p>
    <w:p w14:paraId="3CD0C0AD" w14:textId="77777777" w:rsidR="00752271" w:rsidRPr="004F28A5" w:rsidRDefault="00752271" w:rsidP="009A2453">
      <w:r w:rsidRPr="004F28A5">
        <w:t>It should be kept in mind that legal and policy reform related to the CRPD may not always be recognized as such or linked to the CRPD. It would be the role of the disability focal point, as well as of other stakeholders monitoring government actions (e.g. independent monitoring frameworks, organisations of persons with disabilities), to make those links and to track their progress in implementation of CRPD.</w:t>
      </w:r>
    </w:p>
    <w:p w14:paraId="2F7C6F89" w14:textId="77777777" w:rsidR="00752271" w:rsidRPr="004F28A5" w:rsidRDefault="00752271" w:rsidP="004C2CAB">
      <w:pPr>
        <w:pStyle w:val="Heading2"/>
        <w:rPr>
          <w:rFonts w:eastAsiaTheme="majorEastAsia"/>
        </w:rPr>
      </w:pPr>
      <w:r w:rsidRPr="004F28A5">
        <w:rPr>
          <w:rFonts w:eastAsiaTheme="majorEastAsia"/>
        </w:rPr>
        <w:t>1-4.26 Number of persons with disabilities who have undergone a disability assessment and are in possession of disability certification, compared to statistical estimations of the number of persons with disabilities.</w:t>
      </w:r>
    </w:p>
    <w:p w14:paraId="605C6CD8" w14:textId="77777777" w:rsidR="00752271" w:rsidRPr="004F28A5" w:rsidRDefault="00752271" w:rsidP="004C2CAB">
      <w:pPr>
        <w:pStyle w:val="Heading4"/>
        <w:rPr>
          <w:rFonts w:eastAsiaTheme="majorEastAsia"/>
        </w:rPr>
      </w:pPr>
      <w:r w:rsidRPr="004F28A5">
        <w:rPr>
          <w:rFonts w:eastAsiaTheme="majorEastAsia"/>
        </w:rPr>
        <w:t>Level 1: Indicator for which data are already being produced and reported on in at least some countries.</w:t>
      </w:r>
    </w:p>
    <w:p w14:paraId="2D0B1F5E" w14:textId="77777777" w:rsidR="00752271" w:rsidRPr="004F28A5" w:rsidRDefault="00752271" w:rsidP="009A2453">
      <w:r w:rsidRPr="004F28A5">
        <w:t>The number of people who have undergone a disability assessment and the number of people deemed to qualify for certification are captured in the administrative data of relevant government programs. The denominator (number of persons with disabilities) is captured by censuses or other survey data. Below, examples for Viet Nam and Australia are presented.</w:t>
      </w:r>
    </w:p>
    <w:p w14:paraId="25CF3FB5" w14:textId="0A8ED622" w:rsidR="00752271" w:rsidRPr="004F28A5" w:rsidRDefault="00752271" w:rsidP="00C94CF8">
      <w:pPr>
        <w:pStyle w:val="Heading3"/>
        <w:rPr>
          <w:rFonts w:eastAsiaTheme="majorEastAsia" w:cstheme="majorBidi"/>
        </w:rPr>
      </w:pPr>
      <w:r w:rsidRPr="004F28A5">
        <w:rPr>
          <w:rFonts w:eastAsiaTheme="majorEastAsia" w:cstheme="majorBidi"/>
        </w:rPr>
        <w:t>Viet Nam</w:t>
      </w:r>
    </w:p>
    <w:p w14:paraId="1ACBD09B" w14:textId="77777777" w:rsidR="00752271" w:rsidRPr="004F28A5" w:rsidRDefault="00752271" w:rsidP="009A2453">
      <w:r w:rsidRPr="004F28A5">
        <w:t>Viet Nam reported in its initial report to the CRPD Committee (received 4 April 2018) that:</w:t>
      </w:r>
    </w:p>
    <w:p w14:paraId="0326C9B7" w14:textId="1FABC1F5" w:rsidR="00752271" w:rsidRPr="004F28A5" w:rsidRDefault="00163F25" w:rsidP="00163F25">
      <w:pPr>
        <w:ind w:left="360"/>
        <w:rPr>
          <w:i/>
          <w:iCs/>
          <w:highlight w:val="yellow"/>
        </w:rPr>
      </w:pPr>
      <w:r w:rsidRPr="004F28A5">
        <w:rPr>
          <w:i/>
          <w:iCs/>
        </w:rPr>
        <w:t>“</w:t>
      </w:r>
      <w:r w:rsidR="00752271" w:rsidRPr="004F28A5">
        <w:rPr>
          <w:i/>
          <w:iCs/>
        </w:rPr>
        <w:t xml:space="preserve">Based on disability determination results, persons with disabilities are granted disability certificates, which indicate the degree and type of disability…To date, 63 provinces and cities have provided a social monthly allowance to 896,644 persons with severe and moderate </w:t>
      </w:r>
      <w:r w:rsidR="00752271" w:rsidRPr="004F28A5">
        <w:rPr>
          <w:i/>
          <w:iCs/>
        </w:rPr>
        <w:lastRenderedPageBreak/>
        <w:t>disability at least as specified in Decree 136/2013/ND-CP and Inter-Circular 29/2014/TTLT-BLĐTBXH-BTC.</w:t>
      </w:r>
      <w:r w:rsidRPr="004F28A5">
        <w:rPr>
          <w:i/>
          <w:iCs/>
        </w:rPr>
        <w:t>”</w:t>
      </w:r>
    </w:p>
    <w:p w14:paraId="00FDF3C2" w14:textId="18758B72" w:rsidR="00752271" w:rsidRPr="004F28A5" w:rsidRDefault="00752271" w:rsidP="009A2453">
      <w:pPr>
        <w:rPr>
          <w:rFonts w:cs="Times New Roman"/>
          <w:sz w:val="24"/>
          <w:szCs w:val="24"/>
        </w:rPr>
      </w:pPr>
      <w:r w:rsidRPr="004F28A5">
        <w:t>The number of persons with disabilities is available from the Viet Nam National Survey on People with Disabilities conducted by the General Statistics Office in 2016 and 2017. The survey found that, based on the WG Short Set on Disability, 7 per cent of the population aged 2 years and older, i.e. 6,225,519 persons, are persons with disabilities, of which 671,659 are children with disabilities aged 2-17 and 5,553,860 are persons with disabilities aged 18 years and older. Survey results are available at</w:t>
      </w:r>
      <w:r w:rsidR="00C94CF8" w:rsidRPr="004F28A5">
        <w:t xml:space="preserve"> </w:t>
      </w:r>
      <w:hyperlink r:id="rId25" w:history="1">
        <w:r w:rsidR="00C94CF8" w:rsidRPr="004F28A5">
          <w:rPr>
            <w:rStyle w:val="Hyperlink"/>
          </w:rPr>
          <w:t>www.gso.gov.vn</w:t>
        </w:r>
      </w:hyperlink>
      <w:r w:rsidR="00C94CF8" w:rsidRPr="004F28A5">
        <w:t>.</w:t>
      </w:r>
      <w:r w:rsidRPr="004F28A5">
        <w:t xml:space="preserve"> </w:t>
      </w:r>
    </w:p>
    <w:p w14:paraId="677CBB7F" w14:textId="77777777" w:rsidR="00752271" w:rsidRPr="004F28A5" w:rsidRDefault="00752271" w:rsidP="00C94CF8">
      <w:pPr>
        <w:pStyle w:val="Heading3"/>
        <w:rPr>
          <w:rFonts w:eastAsiaTheme="majorEastAsia" w:cstheme="majorBidi"/>
        </w:rPr>
      </w:pPr>
      <w:r w:rsidRPr="004F28A5">
        <w:rPr>
          <w:rFonts w:eastAsiaTheme="majorEastAsia" w:cstheme="majorBidi"/>
        </w:rPr>
        <w:t>Australia</w:t>
      </w:r>
    </w:p>
    <w:p w14:paraId="12609C7D" w14:textId="6A34C38C" w:rsidR="00752271" w:rsidRPr="004F28A5" w:rsidRDefault="00752271" w:rsidP="00AC64B6">
      <w:r w:rsidRPr="004F28A5">
        <w:t>Australia developed a</w:t>
      </w:r>
      <w:r w:rsidR="00C94CF8" w:rsidRPr="004F28A5">
        <w:t xml:space="preserve"> report,</w:t>
      </w:r>
      <w:r w:rsidRPr="004F28A5">
        <w:t xml:space="preserve"> </w:t>
      </w:r>
      <w:hyperlink r:id="rId26" w:history="1">
        <w:r w:rsidR="00C94CF8" w:rsidRPr="004F28A5">
          <w:rPr>
            <w:rStyle w:val="Hyperlink"/>
          </w:rPr>
          <w:t>People with disability in Australia</w:t>
        </w:r>
      </w:hyperlink>
      <w:r w:rsidR="00C94CF8" w:rsidRPr="004F28A5">
        <w:t>,</w:t>
      </w:r>
      <w:r w:rsidRPr="004F28A5">
        <w:t xml:space="preserve"> that brings together data from the 2018 Australian Bureau of Statistics’ (ABS) Survey of Disability, Ageing and Carers (SDAC)</w:t>
      </w:r>
      <w:r w:rsidR="00F25197" w:rsidRPr="004F28A5">
        <w:t xml:space="preserve"> with administrative data from </w:t>
      </w:r>
      <w:r w:rsidRPr="004F28A5">
        <w:t>the Department of Social Services and the National Disability Insurance Agency and other departments. The report estimates there are 4.4 million people with a disability in Australia. Of these, 750,000 have been deemed eligible and receive Disability Support Pension (DSP) and 500,000 participate in the National Disability Insurance Scheme (NDS).</w:t>
      </w:r>
    </w:p>
    <w:p w14:paraId="4ADADC03" w14:textId="1D0BEFD7" w:rsidR="00752271" w:rsidRPr="004F28A5" w:rsidRDefault="00752271" w:rsidP="00C94CF8">
      <w:pPr>
        <w:pStyle w:val="TableHeader"/>
        <w:rPr>
          <w:rFonts w:eastAsiaTheme="majorEastAsia" w:cstheme="majorBidi"/>
        </w:rPr>
      </w:pPr>
      <w:r w:rsidRPr="004F28A5">
        <w:rPr>
          <w:rFonts w:eastAsiaTheme="majorEastAsia" w:cstheme="majorBidi"/>
          <w:b/>
          <w:bCs w:val="0"/>
        </w:rPr>
        <w:t>Figure 1</w:t>
      </w:r>
      <w:r w:rsidR="007A33DA" w:rsidRPr="004F28A5">
        <w:rPr>
          <w:rFonts w:eastAsiaTheme="majorEastAsia" w:cstheme="majorBidi"/>
          <w:b/>
          <w:bCs w:val="0"/>
        </w:rPr>
        <w:t>:</w:t>
      </w:r>
      <w:r w:rsidR="007A33DA" w:rsidRPr="004F28A5">
        <w:rPr>
          <w:rFonts w:eastAsiaTheme="majorEastAsia" w:cstheme="majorBidi"/>
        </w:rPr>
        <w:t xml:space="preserve"> </w:t>
      </w:r>
      <w:r w:rsidRPr="004F28A5">
        <w:rPr>
          <w:rFonts w:eastAsiaTheme="majorEastAsia" w:cstheme="majorBidi"/>
        </w:rPr>
        <w:t>Key disability segments in the Australian population</w:t>
      </w:r>
    </w:p>
    <w:p w14:paraId="4937490A" w14:textId="5844A0C0" w:rsidR="00752271" w:rsidRPr="004F28A5" w:rsidRDefault="00163F25" w:rsidP="00752271">
      <w:pPr>
        <w:rPr>
          <w:rFonts w:asciiTheme="minorHAnsi" w:hAnsiTheme="minorHAnsi"/>
        </w:rPr>
      </w:pPr>
      <w:r w:rsidRPr="004F28A5">
        <w:rPr>
          <w:rFonts w:asciiTheme="minorHAnsi" w:hAnsiTheme="minorHAnsi"/>
          <w:noProof/>
          <w:lang w:eastAsia="en-GB"/>
        </w:rPr>
        <w:drawing>
          <wp:inline distT="0" distB="0" distL="0" distR="0" wp14:anchorId="5BD7C0F0" wp14:editId="554B0EE5">
            <wp:extent cx="4539049" cy="4971927"/>
            <wp:effectExtent l="0" t="0" r="0" b="0"/>
            <wp:docPr id="2" name="Picture 2" descr="A diagram showing the disability segments in the Australian population. The Diagram is made of nested circles showing segment size. In the center there are two smaller circles showing DSP recipients (approx 750,000 people) and NDIS participants (approc 500,000 people). Around these is a larger circle showing People with disabilitiy (approx 4.4 million people, 1.4 million of these with a severe or profound disability), while the other circle shows Australian Population of around 25 millio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showing the disability segments in the Australian population. The Diagram is made of nested circles showing segment size. In the center there are two smaller circles showing DSP recipients (approx 750,000 people) and NDIS participants (approc 500,000 people). Around these is a larger circle showing People with disabilitiy (approx 4.4 million people, 1.4 million of these with a severe or profound disability), while the other circle shows Australian Population of around 25 million people."/>
                    <pic:cNvPicPr/>
                  </pic:nvPicPr>
                  <pic:blipFill>
                    <a:blip r:embed="rId27">
                      <a:extLst>
                        <a:ext uri="{28A0092B-C50C-407E-A947-70E740481C1C}">
                          <a14:useLocalDpi xmlns:a14="http://schemas.microsoft.com/office/drawing/2010/main" val="0"/>
                        </a:ext>
                      </a:extLst>
                    </a:blip>
                    <a:stretch>
                      <a:fillRect/>
                    </a:stretch>
                  </pic:blipFill>
                  <pic:spPr>
                    <a:xfrm>
                      <a:off x="0" y="0"/>
                      <a:ext cx="4576140" cy="5012555"/>
                    </a:xfrm>
                    <a:prstGeom prst="rect">
                      <a:avLst/>
                    </a:prstGeom>
                  </pic:spPr>
                </pic:pic>
              </a:graphicData>
            </a:graphic>
          </wp:inline>
        </w:drawing>
      </w:r>
    </w:p>
    <w:p w14:paraId="68F9D853" w14:textId="77777777" w:rsidR="00752271" w:rsidRPr="004F28A5" w:rsidRDefault="00752271" w:rsidP="009A2453">
      <w:pPr>
        <w:rPr>
          <w:sz w:val="18"/>
          <w:szCs w:val="18"/>
        </w:rPr>
      </w:pPr>
      <w:r w:rsidRPr="004F28A5">
        <w:rPr>
          <w:sz w:val="18"/>
          <w:szCs w:val="18"/>
        </w:rPr>
        <w:lastRenderedPageBreak/>
        <w:t xml:space="preserve">Source: Australian Institute of Health and Welfare, </w:t>
      </w:r>
      <w:hyperlink r:id="rId28" w:history="1">
        <w:r w:rsidRPr="004F28A5">
          <w:rPr>
            <w:rStyle w:val="Hyperlink"/>
            <w:i/>
            <w:iCs/>
            <w:sz w:val="18"/>
            <w:szCs w:val="18"/>
          </w:rPr>
          <w:t>People with disability in Australia 2020</w:t>
        </w:r>
      </w:hyperlink>
      <w:r w:rsidRPr="004F28A5">
        <w:rPr>
          <w:sz w:val="18"/>
          <w:szCs w:val="18"/>
        </w:rPr>
        <w:t>, p.11.</w:t>
      </w:r>
    </w:p>
    <w:p w14:paraId="41FCA3D8" w14:textId="323B48DC" w:rsidR="00752271" w:rsidRPr="004F28A5" w:rsidRDefault="00752271" w:rsidP="004C2CAB">
      <w:pPr>
        <w:pStyle w:val="Heading2"/>
        <w:rPr>
          <w:rFonts w:eastAsiaTheme="majorEastAsia"/>
        </w:rPr>
      </w:pPr>
      <w:r w:rsidRPr="004F28A5">
        <w:rPr>
          <w:rFonts w:eastAsiaTheme="majorEastAsia"/>
        </w:rPr>
        <w:t>1-4.27 Number of concluded or on-going research projects fund</w:t>
      </w:r>
      <w:r w:rsidR="008950ED">
        <w:rPr>
          <w:rFonts w:eastAsiaTheme="majorEastAsia"/>
        </w:rPr>
        <w:t>ed by the State which feature</w:t>
      </w:r>
      <w:bookmarkStart w:id="0" w:name="_GoBack"/>
      <w:bookmarkEnd w:id="0"/>
      <w:r w:rsidR="008950ED">
        <w:rPr>
          <w:rFonts w:eastAsiaTheme="majorEastAsia"/>
        </w:rPr>
        <w:t>d</w:t>
      </w:r>
      <w:r w:rsidRPr="004F28A5">
        <w:rPr>
          <w:rFonts w:eastAsiaTheme="majorEastAsia"/>
        </w:rPr>
        <w:t xml:space="preserve"> participatory research, research co-led by persons with disabilities, or user led research on:- Universally designed goods, services, equipment and facilities; or- New technologies, including information and communication technologies, mobility aids, devices and assistive technologies</w:t>
      </w:r>
    </w:p>
    <w:p w14:paraId="20F0A23A" w14:textId="77777777" w:rsidR="00752271" w:rsidRPr="004F28A5" w:rsidRDefault="00752271" w:rsidP="004C2CAB">
      <w:pPr>
        <w:pStyle w:val="Heading4"/>
        <w:rPr>
          <w:rFonts w:eastAsiaTheme="majorEastAsia"/>
        </w:rPr>
      </w:pPr>
      <w:r w:rsidRPr="004F28A5">
        <w:rPr>
          <w:rFonts w:eastAsiaTheme="majorEastAsia"/>
        </w:rPr>
        <w:t>Level 3: Indicator for which acquiring data is more complex or requires the development of data collection mechanisms which are currently not in place.</w:t>
      </w:r>
    </w:p>
    <w:p w14:paraId="05338567" w14:textId="082E5E0E" w:rsidR="00752271" w:rsidRPr="004F28A5" w:rsidRDefault="00752271" w:rsidP="009A2453">
      <w:r w:rsidRPr="004F28A5">
        <w:rPr>
          <w:rFonts w:eastAsiaTheme="majorEastAsia"/>
        </w:rPr>
        <w:t xml:space="preserve">Administrative records listing all state-funded research projects exist, with documentation as to the nature of those projects and including line-item expenditures. However, no examples of countries reporting on this indicator could be found. It would require an administrative review of all contracts and grants. Though not covering all research grants, records from national research councils would provide a good indicator. See, for example, the research covered by the United States of America National Research Council at </w:t>
      </w:r>
      <w:hyperlink r:id="rId29" w:tooltip="https://www.nationalacademies.org/about" w:history="1">
        <w:r w:rsidR="00AC64B6" w:rsidRPr="004F28A5">
          <w:rPr>
            <w:rStyle w:val="Hyperlink"/>
          </w:rPr>
          <w:t>nationalacademies.org</w:t>
        </w:r>
      </w:hyperlink>
      <w:r w:rsidRPr="004F28A5">
        <w:rPr>
          <w:bCs/>
        </w:rPr>
        <w:t>.</w:t>
      </w:r>
    </w:p>
    <w:p w14:paraId="249160A4" w14:textId="77777777" w:rsidR="00752271" w:rsidRPr="004F28A5" w:rsidRDefault="00752271" w:rsidP="00752271">
      <w:r w:rsidRPr="004F28A5">
        <w:rPr>
          <w:bCs/>
        </w:rPr>
        <w:t>However, to be practical, grant and contract forms and budgets would have to be modified to report on this indicator. Currently, no examples of such forms could be found.</w:t>
      </w:r>
    </w:p>
    <w:p w14:paraId="78352B19" w14:textId="77777777" w:rsidR="00752271" w:rsidRPr="004F28A5" w:rsidRDefault="00752271" w:rsidP="004C2CAB">
      <w:pPr>
        <w:pStyle w:val="Heading2"/>
        <w:rPr>
          <w:rFonts w:eastAsiaTheme="majorEastAsia"/>
        </w:rPr>
      </w:pPr>
      <w:r w:rsidRPr="004F28A5">
        <w:rPr>
          <w:rFonts w:eastAsiaTheme="majorEastAsia"/>
        </w:rPr>
        <w:lastRenderedPageBreak/>
        <w:t>1-4.28 Number and proportion of organizations of persons with disabilities taking part in consultation processes for the implementation of the CRPD, disaggregated by kind of organization of persons with disability, constituency represented among persons with disabilities and geographical location.</w:t>
      </w:r>
    </w:p>
    <w:p w14:paraId="21B1E2F7" w14:textId="77777777" w:rsidR="00752271" w:rsidRPr="004F28A5" w:rsidRDefault="00752271" w:rsidP="00163F25">
      <w:pPr>
        <w:pStyle w:val="Heading2"/>
        <w:rPr>
          <w:rFonts w:eastAsiaTheme="majorEastAsia"/>
          <w:bCs/>
          <w:i/>
          <w:iCs/>
          <w:color w:val="000000" w:themeColor="text1"/>
        </w:rPr>
      </w:pPr>
      <w:r w:rsidRPr="004F28A5">
        <w:rPr>
          <w:rFonts w:eastAsiaTheme="majorEastAsia"/>
          <w:bCs/>
          <w:i/>
          <w:iCs/>
          <w:color w:val="000000" w:themeColor="text1"/>
        </w:rPr>
        <w:t>and</w:t>
      </w:r>
    </w:p>
    <w:p w14:paraId="405CD9D3" w14:textId="16A7D861" w:rsidR="00752271" w:rsidRPr="004F28A5" w:rsidRDefault="00752271" w:rsidP="004C2CAB">
      <w:pPr>
        <w:pStyle w:val="Heading2"/>
        <w:rPr>
          <w:rFonts w:eastAsiaTheme="majorEastAsia"/>
        </w:rPr>
      </w:pPr>
      <w:r w:rsidRPr="004F28A5">
        <w:rPr>
          <w:rFonts w:eastAsiaTheme="majorEastAsia"/>
        </w:rPr>
        <w:t>1-4.29 Number and proportion of consultation processes/activities which involved organizations of persons with disabilities, disaggregated by kind of organization and constituency represented a</w:t>
      </w:r>
      <w:r w:rsidR="00D170E8" w:rsidRPr="004F28A5">
        <w:rPr>
          <w:rFonts w:eastAsiaTheme="majorEastAsia"/>
        </w:rPr>
        <w:t>mong persons with disabilities.</w:t>
      </w:r>
    </w:p>
    <w:p w14:paraId="0E5581EB" w14:textId="77777777" w:rsidR="00752271" w:rsidRPr="004F28A5" w:rsidRDefault="00752271" w:rsidP="00163F25">
      <w:pPr>
        <w:pStyle w:val="Heading2"/>
        <w:rPr>
          <w:rFonts w:eastAsiaTheme="majorEastAsia"/>
          <w:bCs/>
          <w:i/>
          <w:iCs/>
          <w:color w:val="000000" w:themeColor="text1"/>
        </w:rPr>
      </w:pPr>
      <w:r w:rsidRPr="004F28A5">
        <w:rPr>
          <w:rFonts w:eastAsiaTheme="majorEastAsia"/>
          <w:bCs/>
          <w:i/>
          <w:iCs/>
          <w:color w:val="000000" w:themeColor="text1"/>
        </w:rPr>
        <w:t>and</w:t>
      </w:r>
    </w:p>
    <w:p w14:paraId="0165C0F5" w14:textId="77777777" w:rsidR="00752271" w:rsidRPr="004F28A5" w:rsidRDefault="00752271" w:rsidP="004C2CAB">
      <w:pPr>
        <w:pStyle w:val="Heading2"/>
        <w:rPr>
          <w:rFonts w:eastAsiaTheme="majorEastAsia"/>
        </w:rPr>
      </w:pPr>
      <w:r w:rsidRPr="004F28A5">
        <w:rPr>
          <w:rFonts w:eastAsiaTheme="majorEastAsia"/>
        </w:rPr>
        <w:t>1-4.30 Number of persons with disabilities and organizations benefitting from capacity building activities funded or provided by the State, disaggregated by sex, age, disability and geographical location.</w:t>
      </w:r>
    </w:p>
    <w:p w14:paraId="49E29D50" w14:textId="77777777" w:rsidR="00752271" w:rsidRPr="004F28A5" w:rsidRDefault="00752271" w:rsidP="004C2CAB">
      <w:pPr>
        <w:pStyle w:val="Heading4"/>
        <w:rPr>
          <w:rFonts w:eastAsiaTheme="majorEastAsia"/>
        </w:rPr>
      </w:pPr>
      <w:r w:rsidRPr="004F28A5">
        <w:rPr>
          <w:rFonts w:eastAsiaTheme="majorEastAsia"/>
        </w:rPr>
        <w:t>Level 3: Indicators for which acquiring data is more complex or requires the development of data collection mechanisms which are currently not in place.</w:t>
      </w:r>
    </w:p>
    <w:p w14:paraId="175F2C20" w14:textId="77777777" w:rsidR="00752271" w:rsidRPr="004F28A5" w:rsidRDefault="00752271" w:rsidP="009A2453">
      <w:r w:rsidRPr="004F28A5">
        <w:t>Consultation processes occur at many levels, from informal to formal, with a specific focus on the CRPD or, more broadly, on mainstream policy implementation. As the CRPD cuts across all sectors, in effect many policy consultation processes will have an impact on the implementation of the CRPD.</w:t>
      </w:r>
    </w:p>
    <w:p w14:paraId="7E07BD3F" w14:textId="77777777" w:rsidR="00752271" w:rsidRPr="004F28A5" w:rsidRDefault="00752271" w:rsidP="009A2453">
      <w:r w:rsidRPr="004F28A5">
        <w:t>To respond to these indicators, countries will have to:</w:t>
      </w:r>
    </w:p>
    <w:p w14:paraId="09F41BBE" w14:textId="69BC8304" w:rsidR="00752271" w:rsidRPr="004F28A5" w:rsidRDefault="00752271" w:rsidP="007E7B0D">
      <w:pPr>
        <w:pStyle w:val="ListParagraph"/>
        <w:numPr>
          <w:ilvl w:val="0"/>
          <w:numId w:val="43"/>
        </w:numPr>
        <w:ind w:left="1080"/>
        <w:rPr>
          <w:rFonts w:eastAsiaTheme="minorEastAsia"/>
        </w:rPr>
      </w:pPr>
      <w:r w:rsidRPr="004F28A5">
        <w:rPr>
          <w:rFonts w:eastAsiaTheme="minorEastAsia"/>
        </w:rPr>
        <w:t>maintain a database of all registered Organizations of Persons with Disabilities (OPDs) being consulted;</w:t>
      </w:r>
    </w:p>
    <w:p w14:paraId="74D8F341" w14:textId="0F89F7FD" w:rsidR="00752271" w:rsidRPr="004F28A5" w:rsidRDefault="00752271" w:rsidP="007E7B0D">
      <w:pPr>
        <w:pStyle w:val="ListParagraph"/>
        <w:numPr>
          <w:ilvl w:val="0"/>
          <w:numId w:val="43"/>
        </w:numPr>
        <w:ind w:left="1080"/>
        <w:rPr>
          <w:rFonts w:eastAsiaTheme="minorEastAsia"/>
        </w:rPr>
      </w:pPr>
      <w:r w:rsidRPr="004F28A5">
        <w:rPr>
          <w:rFonts w:eastAsiaTheme="minorEastAsia"/>
        </w:rPr>
        <w:t>record numbers of calls for consultation, numbers of consultation meetings and ca</w:t>
      </w:r>
      <w:r w:rsidR="007E7B0D" w:rsidRPr="004F28A5">
        <w:rPr>
          <w:rFonts w:eastAsiaTheme="minorEastAsia"/>
        </w:rPr>
        <w:t>pacity building activities; and</w:t>
      </w:r>
    </w:p>
    <w:p w14:paraId="41F8FD66" w14:textId="25822A1E" w:rsidR="00752271" w:rsidRPr="004F28A5" w:rsidRDefault="00752271" w:rsidP="007E7B0D">
      <w:pPr>
        <w:pStyle w:val="ListParagraph"/>
        <w:numPr>
          <w:ilvl w:val="0"/>
          <w:numId w:val="43"/>
        </w:numPr>
        <w:ind w:left="1080"/>
        <w:rPr>
          <w:rFonts w:eastAsiaTheme="minorEastAsia"/>
        </w:rPr>
      </w:pPr>
      <w:r w:rsidRPr="004F28A5">
        <w:rPr>
          <w:rFonts w:eastAsiaTheme="minorEastAsia"/>
        </w:rPr>
        <w:t xml:space="preserve">keep an attendance </w:t>
      </w:r>
      <w:r w:rsidR="007E7B0D" w:rsidRPr="004F28A5">
        <w:rPr>
          <w:rFonts w:eastAsiaTheme="minorEastAsia"/>
        </w:rPr>
        <w:t>record for all formal meetings.</w:t>
      </w:r>
    </w:p>
    <w:p w14:paraId="029BAECD" w14:textId="77777777" w:rsidR="00752271" w:rsidRPr="004F28A5" w:rsidRDefault="00752271" w:rsidP="009A2453">
      <w:r w:rsidRPr="004F28A5">
        <w:t xml:space="preserve">Some governments have disability focal points, which would be the natural place for such information to be collected, with a confidential registry of OPDs that have been consulted for policy </w:t>
      </w:r>
      <w:r w:rsidRPr="004F28A5">
        <w:lastRenderedPageBreak/>
        <w:t>purposes. Several countries mention selected capacity building activities in their reports to the CRPD Committee; it would be possible to count the number of participants (with appropriate disaggregation) who attended those activities.</w:t>
      </w:r>
    </w:p>
    <w:p w14:paraId="37FE0ACD" w14:textId="77777777" w:rsidR="00752271" w:rsidRPr="004F28A5" w:rsidRDefault="00752271" w:rsidP="009A2453">
      <w:r w:rsidRPr="004F28A5">
        <w:t>A centralized registry could help to support this effort. Online registries could do this automatically. Currently, South Africa asks individuals to identify as having a disability in attendance forms for all formal meetings, but not the name of any OPD that they might represent.</w:t>
      </w:r>
    </w:p>
    <w:p w14:paraId="680F79A9" w14:textId="77777777" w:rsidR="00752271" w:rsidRPr="004F28A5" w:rsidRDefault="00752271" w:rsidP="009A2453">
      <w:r w:rsidRPr="004F28A5">
        <w:t>In all cases, personal data of individuals and the organizations they represent should remain protected and confidentiality and privacy upheld. Information reported should be anonymised and presented in terms of numbers relating to sex, age, constituency represented and geographical location. Any registries developed to track participation in consultations and activities should not be limited to organizations which are officially registered.</w:t>
      </w:r>
    </w:p>
    <w:p w14:paraId="34BB2E99" w14:textId="77777777" w:rsidR="00752271" w:rsidRPr="004F28A5" w:rsidRDefault="00752271" w:rsidP="004C2CAB">
      <w:pPr>
        <w:pStyle w:val="Heading2"/>
        <w:rPr>
          <w:rFonts w:eastAsiaTheme="majorEastAsia"/>
        </w:rPr>
      </w:pPr>
      <w:r w:rsidRPr="004F28A5">
        <w:rPr>
          <w:rFonts w:eastAsiaTheme="majorEastAsia"/>
        </w:rPr>
        <w:t>1-4.31 Proportion of population who believe decision making is inclusive and responsive, by sex, age, disability and population group (SDG indicator 16.7.2) (Idem 29.32).</w:t>
      </w:r>
    </w:p>
    <w:p w14:paraId="2F2EF9F2" w14:textId="77777777" w:rsidR="00752271" w:rsidRPr="004F28A5" w:rsidRDefault="00752271" w:rsidP="004C2CAB">
      <w:pPr>
        <w:pStyle w:val="Heading4"/>
        <w:rPr>
          <w:rFonts w:eastAsiaTheme="majorEastAsia"/>
        </w:rPr>
      </w:pPr>
      <w:r w:rsidRPr="004F28A5">
        <w:rPr>
          <w:rFonts w:eastAsiaTheme="majorEastAsia"/>
        </w:rPr>
        <w:t>Level 2: Indicator could be produced with straightforward additions or modifications to existing data collection efforts</w:t>
      </w:r>
    </w:p>
    <w:p w14:paraId="3BD35B19" w14:textId="27AEFCB0" w:rsidR="007A33DA" w:rsidRPr="004F28A5" w:rsidRDefault="008950ED" w:rsidP="007A33DA">
      <w:hyperlink r:id="rId30" w:history="1">
        <w:r w:rsidR="007A33DA" w:rsidRPr="004F28A5">
          <w:rPr>
            <w:rStyle w:val="Hyperlink"/>
          </w:rPr>
          <w:t>Link to the metadata related to this SDG indicator</w:t>
        </w:r>
      </w:hyperlink>
    </w:p>
    <w:p w14:paraId="73B7972D" w14:textId="611A3D98" w:rsidR="00F25197" w:rsidRPr="004F28A5" w:rsidRDefault="00F25197" w:rsidP="00F25197">
      <w:r w:rsidRPr="004F28A5">
        <w:t>According to the metadata:</w:t>
      </w:r>
    </w:p>
    <w:p w14:paraId="4B75F997" w14:textId="14A608EF" w:rsidR="00752271" w:rsidRPr="004F28A5" w:rsidRDefault="00F25197" w:rsidP="00163F25">
      <w:pPr>
        <w:ind w:left="360"/>
      </w:pPr>
      <w:r w:rsidRPr="004F28A5">
        <w:t>“</w:t>
      </w:r>
      <w:r w:rsidR="00752271" w:rsidRPr="004F28A5">
        <w:rPr>
          <w:i/>
        </w:rPr>
        <w:t>There is no existing globally comparable official dataset on the “Proportion of population who believe decision-making is inclusive and responsive, by sex, age, disability and population group.” While a large number of countries have experience with measuring external political efficacy, there is large variability in the ways national statistics offices and government agencies in individual countries collect data on this concept, in terms of question wording and response formats, etc. This variability poses a significant challenge for cross-country comparability of such data</w:t>
      </w:r>
      <w:r w:rsidR="00752271" w:rsidRPr="004F28A5">
        <w:t>.</w:t>
      </w:r>
      <w:r w:rsidRPr="004F28A5">
        <w:t>”</w:t>
      </w:r>
    </w:p>
    <w:p w14:paraId="5B5A08CD" w14:textId="694E2F88" w:rsidR="00752271" w:rsidRPr="004F28A5" w:rsidRDefault="00752271" w:rsidP="009A2453">
      <w:r w:rsidRPr="004F28A5">
        <w:t xml:space="preserve">The </w:t>
      </w:r>
      <w:hyperlink r:id="rId31" w:history="1">
        <w:r w:rsidRPr="004F28A5">
          <w:rPr>
            <w:rStyle w:val="Hyperlink"/>
          </w:rPr>
          <w:t>European Social Survey</w:t>
        </w:r>
      </w:hyperlink>
      <w:r w:rsidRPr="004F28A5">
        <w:t xml:space="preserve"> included two questions to measure political efficacy in Round 8 of the survey:</w:t>
      </w:r>
    </w:p>
    <w:p w14:paraId="2810766B" w14:textId="77777777" w:rsidR="00752271" w:rsidRPr="004F28A5" w:rsidRDefault="00752271" w:rsidP="00AC64B6">
      <w:pPr>
        <w:pStyle w:val="ListParagraph"/>
        <w:numPr>
          <w:ilvl w:val="0"/>
          <w:numId w:val="47"/>
        </w:numPr>
        <w:spacing w:before="0" w:after="200"/>
        <w:contextualSpacing/>
        <w:rPr>
          <w:rFonts w:eastAsiaTheme="minorEastAsia" w:cstheme="minorHAnsi"/>
        </w:rPr>
      </w:pPr>
      <w:r w:rsidRPr="004F28A5">
        <w:rPr>
          <w:rFonts w:eastAsiaTheme="minorEastAsia" w:cstheme="minorHAnsi"/>
        </w:rPr>
        <w:t>How much would you say the political system in [country] allows people like you to have a say in what the government does?</w:t>
      </w:r>
    </w:p>
    <w:p w14:paraId="1A9BA776" w14:textId="77777777" w:rsidR="00752271" w:rsidRPr="004F28A5" w:rsidRDefault="00752271" w:rsidP="00AC64B6">
      <w:pPr>
        <w:pStyle w:val="ListParagraph"/>
        <w:numPr>
          <w:ilvl w:val="0"/>
          <w:numId w:val="47"/>
        </w:numPr>
        <w:spacing w:before="0" w:after="200"/>
        <w:contextualSpacing/>
        <w:rPr>
          <w:rFonts w:eastAsiaTheme="minorEastAsia" w:cstheme="minorHAnsi"/>
        </w:rPr>
      </w:pPr>
      <w:r w:rsidRPr="004F28A5">
        <w:rPr>
          <w:rFonts w:eastAsiaTheme="minorEastAsia" w:cstheme="minorHAnsi"/>
        </w:rPr>
        <w:t>And how much would you say that the political system in [country] allows people like you to have an influence on politics?</w:t>
      </w:r>
    </w:p>
    <w:p w14:paraId="10529AD3" w14:textId="77777777" w:rsidR="00752271" w:rsidRPr="004F28A5" w:rsidRDefault="00752271" w:rsidP="009A2453">
      <w:r w:rsidRPr="004F28A5">
        <w:t>Data is available for sex and age but the European Social Survey does not include questions about disability. A sample of Round 8 results can be found in Table 1.</w:t>
      </w:r>
    </w:p>
    <w:p w14:paraId="4C0A59EF" w14:textId="6AA6F295" w:rsidR="00752271" w:rsidRPr="004F28A5" w:rsidRDefault="00752271" w:rsidP="009A2453">
      <w:r w:rsidRPr="004F28A5">
        <w:t>Users can download de-identified individual-level data or create tables through an online analysis tool available</w:t>
      </w:r>
      <w:r w:rsidR="00AC64B6" w:rsidRPr="004F28A5">
        <w:t xml:space="preserve"> at</w:t>
      </w:r>
      <w:r w:rsidRPr="004F28A5">
        <w:t xml:space="preserve"> </w:t>
      </w:r>
      <w:hyperlink r:id="rId32" w:history="1">
        <w:r w:rsidR="00AC64B6" w:rsidRPr="004F28A5">
          <w:rPr>
            <w:rStyle w:val="Hyperlink"/>
          </w:rPr>
          <w:t>europeansocialsurvey.org</w:t>
        </w:r>
      </w:hyperlink>
      <w:r w:rsidRPr="004F28A5">
        <w:t>.</w:t>
      </w:r>
    </w:p>
    <w:p w14:paraId="4A8C8340" w14:textId="2F84CE32" w:rsidR="00752271" w:rsidRPr="004F28A5" w:rsidRDefault="00752271" w:rsidP="00163F25">
      <w:pPr>
        <w:pStyle w:val="TableHeader"/>
        <w:rPr>
          <w:rFonts w:eastAsiaTheme="majorEastAsia" w:cstheme="majorBidi"/>
        </w:rPr>
      </w:pPr>
      <w:r w:rsidRPr="004F28A5">
        <w:rPr>
          <w:rFonts w:eastAsiaTheme="majorEastAsia" w:cstheme="majorBidi"/>
          <w:b/>
          <w:bCs w:val="0"/>
        </w:rPr>
        <w:lastRenderedPageBreak/>
        <w:t xml:space="preserve">Table </w:t>
      </w:r>
      <w:r w:rsidRPr="004F28A5">
        <w:rPr>
          <w:rFonts w:eastAsiaTheme="majorEastAsia" w:cstheme="majorBidi"/>
          <w:b/>
          <w:bCs w:val="0"/>
        </w:rPr>
        <w:fldChar w:fldCharType="begin"/>
      </w:r>
      <w:r w:rsidRPr="004F28A5">
        <w:rPr>
          <w:rFonts w:eastAsiaTheme="majorEastAsia" w:cstheme="majorBidi"/>
          <w:b/>
          <w:bCs w:val="0"/>
        </w:rPr>
        <w:instrText xml:space="preserve"> SEQ Table \* ARABIC </w:instrText>
      </w:r>
      <w:r w:rsidRPr="004F28A5">
        <w:rPr>
          <w:rFonts w:eastAsiaTheme="majorEastAsia" w:cstheme="majorBidi"/>
          <w:b/>
          <w:bCs w:val="0"/>
        </w:rPr>
        <w:fldChar w:fldCharType="separate"/>
      </w:r>
      <w:r w:rsidRPr="004F28A5">
        <w:rPr>
          <w:rFonts w:eastAsiaTheme="majorEastAsia" w:cstheme="majorBidi"/>
          <w:b/>
          <w:bCs w:val="0"/>
        </w:rPr>
        <w:t>1</w:t>
      </w:r>
      <w:r w:rsidRPr="004F28A5">
        <w:rPr>
          <w:rFonts w:eastAsiaTheme="majorEastAsia" w:cstheme="majorBidi"/>
          <w:b/>
          <w:bCs w:val="0"/>
        </w:rPr>
        <w:fldChar w:fldCharType="end"/>
      </w:r>
      <w:r w:rsidR="0035654E" w:rsidRPr="004F28A5">
        <w:rPr>
          <w:rFonts w:eastAsiaTheme="majorEastAsia" w:cstheme="majorBidi"/>
          <w:b/>
          <w:bCs w:val="0"/>
        </w:rPr>
        <w:t>:</w:t>
      </w:r>
      <w:r w:rsidRPr="004F28A5">
        <w:rPr>
          <w:rFonts w:eastAsiaTheme="majorEastAsia" w:cstheme="majorBidi"/>
        </w:rPr>
        <w:t xml:space="preserve"> European Social Survey, Round 8</w:t>
      </w:r>
    </w:p>
    <w:tbl>
      <w:tblPr>
        <w:tblStyle w:val="TableGrid"/>
        <w:tblW w:w="9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European Social Survey, Round 8"/>
      </w:tblPr>
      <w:tblGrid>
        <w:gridCol w:w="1863"/>
        <w:gridCol w:w="110"/>
        <w:gridCol w:w="1077"/>
        <w:gridCol w:w="114"/>
        <w:gridCol w:w="1296"/>
        <w:gridCol w:w="118"/>
        <w:gridCol w:w="1014"/>
        <w:gridCol w:w="122"/>
        <w:gridCol w:w="911"/>
        <w:gridCol w:w="1175"/>
        <w:gridCol w:w="1300"/>
      </w:tblGrid>
      <w:tr w:rsidR="00752271" w:rsidRPr="004F28A5" w14:paraId="7830564E" w14:textId="77777777" w:rsidTr="004D0F8D">
        <w:trPr>
          <w:trHeight w:val="340"/>
          <w:tblHeader/>
        </w:trPr>
        <w:tc>
          <w:tcPr>
            <w:tcW w:w="7800" w:type="dxa"/>
            <w:gridSpan w:val="10"/>
            <w:tcBorders>
              <w:top w:val="single" w:sz="12" w:space="0" w:color="auto"/>
              <w:bottom w:val="single" w:sz="12" w:space="0" w:color="auto"/>
            </w:tcBorders>
            <w:shd w:val="clear" w:color="auto" w:fill="F5F5F1"/>
            <w:noWrap/>
            <w:vAlign w:val="center"/>
            <w:hideMark/>
          </w:tcPr>
          <w:p w14:paraId="0B940518" w14:textId="77777777" w:rsidR="00752271" w:rsidRPr="004F28A5" w:rsidRDefault="00752271" w:rsidP="00163F25">
            <w:pPr>
              <w:pStyle w:val="TableHeaderRow"/>
              <w:rPr>
                <w:i/>
                <w:iCs/>
              </w:rPr>
            </w:pPr>
            <w:r w:rsidRPr="004F28A5">
              <w:rPr>
                <w:i/>
                <w:iCs/>
              </w:rPr>
              <w:t>Political system allows people to have a say in what government does</w:t>
            </w:r>
          </w:p>
        </w:tc>
        <w:tc>
          <w:tcPr>
            <w:tcW w:w="1300" w:type="dxa"/>
            <w:tcBorders>
              <w:top w:val="single" w:sz="12" w:space="0" w:color="auto"/>
              <w:bottom w:val="single" w:sz="12" w:space="0" w:color="auto"/>
            </w:tcBorders>
            <w:shd w:val="clear" w:color="auto" w:fill="F5F5F1"/>
            <w:noWrap/>
            <w:hideMark/>
          </w:tcPr>
          <w:p w14:paraId="48943133" w14:textId="77777777" w:rsidR="00752271" w:rsidRPr="004F28A5" w:rsidRDefault="00752271" w:rsidP="00472E3A">
            <w:pPr>
              <w:pStyle w:val="TableHeaderRow"/>
              <w:rPr>
                <w:rFonts w:asciiTheme="minorHAnsi" w:hAnsiTheme="minorHAnsi"/>
              </w:rPr>
            </w:pPr>
          </w:p>
        </w:tc>
      </w:tr>
      <w:tr w:rsidR="00752271" w:rsidRPr="004F28A5" w14:paraId="0710CBEF" w14:textId="77777777" w:rsidTr="004D0F8D">
        <w:trPr>
          <w:trHeight w:val="340"/>
          <w:tblHeader/>
        </w:trPr>
        <w:tc>
          <w:tcPr>
            <w:tcW w:w="1973" w:type="dxa"/>
            <w:gridSpan w:val="2"/>
            <w:tcBorders>
              <w:top w:val="single" w:sz="12" w:space="0" w:color="auto"/>
              <w:bottom w:val="single" w:sz="12" w:space="0" w:color="auto"/>
            </w:tcBorders>
            <w:shd w:val="clear" w:color="auto" w:fill="F5F5F1"/>
            <w:noWrap/>
            <w:vAlign w:val="center"/>
            <w:hideMark/>
          </w:tcPr>
          <w:p w14:paraId="716BD3F0" w14:textId="77777777" w:rsidR="00752271" w:rsidRPr="004F28A5" w:rsidRDefault="00752271" w:rsidP="004D0F8D">
            <w:pPr>
              <w:pStyle w:val="TableHeaderRow"/>
            </w:pPr>
            <w:r w:rsidRPr="004F28A5">
              <w:t>Country</w:t>
            </w:r>
          </w:p>
        </w:tc>
        <w:tc>
          <w:tcPr>
            <w:tcW w:w="1191" w:type="dxa"/>
            <w:gridSpan w:val="2"/>
            <w:tcBorders>
              <w:top w:val="single" w:sz="12" w:space="0" w:color="auto"/>
              <w:bottom w:val="single" w:sz="12" w:space="0" w:color="auto"/>
            </w:tcBorders>
            <w:shd w:val="clear" w:color="auto" w:fill="F5F5F1"/>
            <w:noWrap/>
            <w:vAlign w:val="center"/>
            <w:hideMark/>
          </w:tcPr>
          <w:p w14:paraId="50AE83B7" w14:textId="77777777" w:rsidR="00752271" w:rsidRPr="004F28A5" w:rsidRDefault="00752271" w:rsidP="004D0F8D">
            <w:pPr>
              <w:pStyle w:val="TableHeaderRow"/>
            </w:pPr>
            <w:r w:rsidRPr="004F28A5">
              <w:t>Czechia</w:t>
            </w:r>
          </w:p>
        </w:tc>
        <w:tc>
          <w:tcPr>
            <w:tcW w:w="1414" w:type="dxa"/>
            <w:gridSpan w:val="2"/>
            <w:tcBorders>
              <w:top w:val="single" w:sz="12" w:space="0" w:color="auto"/>
              <w:bottom w:val="single" w:sz="12" w:space="0" w:color="auto"/>
            </w:tcBorders>
            <w:shd w:val="clear" w:color="auto" w:fill="F5F5F1"/>
            <w:noWrap/>
            <w:vAlign w:val="center"/>
            <w:hideMark/>
          </w:tcPr>
          <w:p w14:paraId="51FFE21D" w14:textId="77777777" w:rsidR="00752271" w:rsidRPr="004F28A5" w:rsidRDefault="00752271" w:rsidP="004D0F8D">
            <w:pPr>
              <w:pStyle w:val="TableHeaderRow"/>
            </w:pPr>
            <w:r w:rsidRPr="004F28A5">
              <w:t>Germany</w:t>
            </w:r>
          </w:p>
        </w:tc>
        <w:tc>
          <w:tcPr>
            <w:tcW w:w="1136" w:type="dxa"/>
            <w:gridSpan w:val="2"/>
            <w:tcBorders>
              <w:top w:val="single" w:sz="12" w:space="0" w:color="auto"/>
              <w:bottom w:val="single" w:sz="12" w:space="0" w:color="auto"/>
            </w:tcBorders>
            <w:shd w:val="clear" w:color="auto" w:fill="F5F5F1"/>
            <w:noWrap/>
            <w:vAlign w:val="center"/>
            <w:hideMark/>
          </w:tcPr>
          <w:p w14:paraId="60925C2F" w14:textId="77777777" w:rsidR="00752271" w:rsidRPr="004F28A5" w:rsidRDefault="00752271" w:rsidP="004D0F8D">
            <w:pPr>
              <w:pStyle w:val="TableHeaderRow"/>
            </w:pPr>
            <w:r w:rsidRPr="004F28A5">
              <w:t>Estonia</w:t>
            </w:r>
          </w:p>
        </w:tc>
        <w:tc>
          <w:tcPr>
            <w:tcW w:w="911" w:type="dxa"/>
            <w:tcBorders>
              <w:top w:val="single" w:sz="12" w:space="0" w:color="auto"/>
              <w:bottom w:val="single" w:sz="12" w:space="0" w:color="auto"/>
            </w:tcBorders>
            <w:shd w:val="clear" w:color="auto" w:fill="F5F5F1"/>
            <w:noWrap/>
            <w:vAlign w:val="center"/>
            <w:hideMark/>
          </w:tcPr>
          <w:p w14:paraId="69E75542" w14:textId="77777777" w:rsidR="00752271" w:rsidRPr="004F28A5" w:rsidRDefault="00752271" w:rsidP="004D0F8D">
            <w:pPr>
              <w:pStyle w:val="TableHeaderRow"/>
            </w:pPr>
            <w:r w:rsidRPr="004F28A5">
              <w:t>Italy</w:t>
            </w:r>
          </w:p>
        </w:tc>
        <w:tc>
          <w:tcPr>
            <w:tcW w:w="1175" w:type="dxa"/>
            <w:tcBorders>
              <w:top w:val="single" w:sz="12" w:space="0" w:color="auto"/>
              <w:bottom w:val="single" w:sz="12" w:space="0" w:color="auto"/>
            </w:tcBorders>
            <w:shd w:val="clear" w:color="auto" w:fill="F5F5F1"/>
            <w:noWrap/>
            <w:vAlign w:val="center"/>
            <w:hideMark/>
          </w:tcPr>
          <w:p w14:paraId="6ABEAB2D" w14:textId="77777777" w:rsidR="00752271" w:rsidRPr="004F28A5" w:rsidRDefault="00752271" w:rsidP="004D0F8D">
            <w:pPr>
              <w:pStyle w:val="TableHeaderRow"/>
            </w:pPr>
            <w:r w:rsidRPr="004F28A5">
              <w:t>Norway</w:t>
            </w:r>
          </w:p>
        </w:tc>
        <w:tc>
          <w:tcPr>
            <w:tcW w:w="1300" w:type="dxa"/>
            <w:tcBorders>
              <w:top w:val="single" w:sz="12" w:space="0" w:color="auto"/>
              <w:bottom w:val="single" w:sz="12" w:space="0" w:color="auto"/>
            </w:tcBorders>
            <w:shd w:val="clear" w:color="auto" w:fill="F5F5F1"/>
            <w:noWrap/>
            <w:vAlign w:val="center"/>
            <w:hideMark/>
          </w:tcPr>
          <w:p w14:paraId="2FB9D443" w14:textId="77777777" w:rsidR="00752271" w:rsidRPr="004F28A5" w:rsidRDefault="00752271" w:rsidP="004D0F8D">
            <w:pPr>
              <w:pStyle w:val="TableHeaderRow"/>
            </w:pPr>
            <w:r w:rsidRPr="004F28A5">
              <w:t>Poland</w:t>
            </w:r>
          </w:p>
        </w:tc>
      </w:tr>
      <w:tr w:rsidR="00752271" w:rsidRPr="004F28A5" w14:paraId="0CC32F93" w14:textId="77777777" w:rsidTr="007442B0">
        <w:trPr>
          <w:trHeight w:val="340"/>
          <w:tblHeader/>
        </w:trPr>
        <w:tc>
          <w:tcPr>
            <w:tcW w:w="1973" w:type="dxa"/>
            <w:gridSpan w:val="2"/>
            <w:tcBorders>
              <w:top w:val="single" w:sz="12" w:space="0" w:color="auto"/>
            </w:tcBorders>
            <w:shd w:val="clear" w:color="auto" w:fill="F5F5F1"/>
            <w:noWrap/>
            <w:hideMark/>
          </w:tcPr>
          <w:p w14:paraId="2A6C4F24" w14:textId="77777777" w:rsidR="00752271" w:rsidRPr="004F28A5" w:rsidRDefault="00752271" w:rsidP="00163F25">
            <w:r w:rsidRPr="004F28A5">
              <w:t>Not at all </w:t>
            </w:r>
          </w:p>
        </w:tc>
        <w:tc>
          <w:tcPr>
            <w:tcW w:w="1191" w:type="dxa"/>
            <w:gridSpan w:val="2"/>
            <w:tcBorders>
              <w:top w:val="single" w:sz="12" w:space="0" w:color="auto"/>
            </w:tcBorders>
            <w:shd w:val="clear" w:color="auto" w:fill="F5F5F1"/>
            <w:noWrap/>
            <w:hideMark/>
          </w:tcPr>
          <w:p w14:paraId="1824DE37" w14:textId="77777777" w:rsidR="00752271" w:rsidRPr="004F28A5" w:rsidRDefault="00752271" w:rsidP="00163F25">
            <w:r w:rsidRPr="004F28A5">
              <w:t>26.6</w:t>
            </w:r>
          </w:p>
        </w:tc>
        <w:tc>
          <w:tcPr>
            <w:tcW w:w="1414" w:type="dxa"/>
            <w:gridSpan w:val="2"/>
            <w:tcBorders>
              <w:top w:val="single" w:sz="12" w:space="0" w:color="auto"/>
            </w:tcBorders>
            <w:shd w:val="clear" w:color="auto" w:fill="F5F5F1"/>
            <w:noWrap/>
            <w:hideMark/>
          </w:tcPr>
          <w:p w14:paraId="596D980E" w14:textId="77777777" w:rsidR="00752271" w:rsidRPr="004F28A5" w:rsidRDefault="00752271" w:rsidP="00163F25">
            <w:r w:rsidRPr="004F28A5">
              <w:t>14.2</w:t>
            </w:r>
          </w:p>
        </w:tc>
        <w:tc>
          <w:tcPr>
            <w:tcW w:w="1136" w:type="dxa"/>
            <w:gridSpan w:val="2"/>
            <w:tcBorders>
              <w:top w:val="single" w:sz="12" w:space="0" w:color="auto"/>
            </w:tcBorders>
            <w:shd w:val="clear" w:color="auto" w:fill="F5F5F1"/>
            <w:noWrap/>
            <w:hideMark/>
          </w:tcPr>
          <w:p w14:paraId="5C6F3424" w14:textId="77777777" w:rsidR="00752271" w:rsidRPr="004F28A5" w:rsidRDefault="00752271" w:rsidP="00163F25">
            <w:r w:rsidRPr="004F28A5">
              <w:t>36.1</w:t>
            </w:r>
          </w:p>
        </w:tc>
        <w:tc>
          <w:tcPr>
            <w:tcW w:w="911" w:type="dxa"/>
            <w:tcBorders>
              <w:top w:val="single" w:sz="12" w:space="0" w:color="auto"/>
            </w:tcBorders>
            <w:shd w:val="clear" w:color="auto" w:fill="F5F5F1"/>
            <w:noWrap/>
            <w:hideMark/>
          </w:tcPr>
          <w:p w14:paraId="313027DD" w14:textId="77777777" w:rsidR="00752271" w:rsidRPr="004F28A5" w:rsidRDefault="00752271" w:rsidP="00163F25">
            <w:r w:rsidRPr="004F28A5">
              <w:t>47.3</w:t>
            </w:r>
          </w:p>
        </w:tc>
        <w:tc>
          <w:tcPr>
            <w:tcW w:w="1175" w:type="dxa"/>
            <w:tcBorders>
              <w:top w:val="single" w:sz="12" w:space="0" w:color="auto"/>
            </w:tcBorders>
            <w:shd w:val="clear" w:color="auto" w:fill="F5F5F1"/>
            <w:noWrap/>
            <w:hideMark/>
          </w:tcPr>
          <w:p w14:paraId="1F761A82" w14:textId="77777777" w:rsidR="00752271" w:rsidRPr="004F28A5" w:rsidRDefault="00752271" w:rsidP="00163F25">
            <w:r w:rsidRPr="004F28A5">
              <w:t>3.1</w:t>
            </w:r>
          </w:p>
        </w:tc>
        <w:tc>
          <w:tcPr>
            <w:tcW w:w="1300" w:type="dxa"/>
            <w:tcBorders>
              <w:top w:val="single" w:sz="12" w:space="0" w:color="auto"/>
            </w:tcBorders>
            <w:shd w:val="clear" w:color="auto" w:fill="F5F5F1"/>
            <w:noWrap/>
            <w:hideMark/>
          </w:tcPr>
          <w:p w14:paraId="10E3C32C" w14:textId="77777777" w:rsidR="00752271" w:rsidRPr="004F28A5" w:rsidRDefault="00752271" w:rsidP="00163F25">
            <w:r w:rsidRPr="004F28A5">
              <w:t>30.1</w:t>
            </w:r>
          </w:p>
        </w:tc>
      </w:tr>
      <w:tr w:rsidR="00752271" w:rsidRPr="004F28A5" w14:paraId="065E1742" w14:textId="77777777" w:rsidTr="007442B0">
        <w:trPr>
          <w:trHeight w:val="340"/>
          <w:tblHeader/>
        </w:trPr>
        <w:tc>
          <w:tcPr>
            <w:tcW w:w="1973" w:type="dxa"/>
            <w:gridSpan w:val="2"/>
            <w:shd w:val="clear" w:color="auto" w:fill="F5F5F1"/>
            <w:noWrap/>
            <w:hideMark/>
          </w:tcPr>
          <w:p w14:paraId="3704E3E8" w14:textId="77777777" w:rsidR="00752271" w:rsidRPr="004F28A5" w:rsidRDefault="00752271" w:rsidP="00163F25">
            <w:r w:rsidRPr="004F28A5">
              <w:t>Very little </w:t>
            </w:r>
          </w:p>
        </w:tc>
        <w:tc>
          <w:tcPr>
            <w:tcW w:w="1191" w:type="dxa"/>
            <w:gridSpan w:val="2"/>
            <w:shd w:val="clear" w:color="auto" w:fill="F5F5F1"/>
            <w:noWrap/>
            <w:hideMark/>
          </w:tcPr>
          <w:p w14:paraId="51A81C63" w14:textId="77777777" w:rsidR="00752271" w:rsidRPr="004F28A5" w:rsidRDefault="00752271" w:rsidP="00163F25">
            <w:r w:rsidRPr="004F28A5">
              <w:t>35.3</w:t>
            </w:r>
          </w:p>
        </w:tc>
        <w:tc>
          <w:tcPr>
            <w:tcW w:w="1414" w:type="dxa"/>
            <w:gridSpan w:val="2"/>
            <w:shd w:val="clear" w:color="auto" w:fill="F5F5F1"/>
            <w:noWrap/>
            <w:hideMark/>
          </w:tcPr>
          <w:p w14:paraId="3955EB64" w14:textId="77777777" w:rsidR="00752271" w:rsidRPr="004F28A5" w:rsidRDefault="00752271" w:rsidP="00163F25">
            <w:r w:rsidRPr="004F28A5">
              <w:t>35.4</w:t>
            </w:r>
          </w:p>
        </w:tc>
        <w:tc>
          <w:tcPr>
            <w:tcW w:w="1136" w:type="dxa"/>
            <w:gridSpan w:val="2"/>
            <w:shd w:val="clear" w:color="auto" w:fill="F5F5F1"/>
            <w:noWrap/>
            <w:hideMark/>
          </w:tcPr>
          <w:p w14:paraId="3034249C" w14:textId="77777777" w:rsidR="00752271" w:rsidRPr="004F28A5" w:rsidRDefault="00752271" w:rsidP="00163F25">
            <w:r w:rsidRPr="004F28A5">
              <w:t>38</w:t>
            </w:r>
          </w:p>
        </w:tc>
        <w:tc>
          <w:tcPr>
            <w:tcW w:w="911" w:type="dxa"/>
            <w:shd w:val="clear" w:color="auto" w:fill="F5F5F1"/>
            <w:noWrap/>
            <w:hideMark/>
          </w:tcPr>
          <w:p w14:paraId="5B6D40DF" w14:textId="77777777" w:rsidR="00752271" w:rsidRPr="004F28A5" w:rsidRDefault="00752271" w:rsidP="00163F25">
            <w:r w:rsidRPr="004F28A5">
              <w:t>42.5</w:t>
            </w:r>
          </w:p>
        </w:tc>
        <w:tc>
          <w:tcPr>
            <w:tcW w:w="1175" w:type="dxa"/>
            <w:shd w:val="clear" w:color="auto" w:fill="F5F5F1"/>
            <w:noWrap/>
            <w:hideMark/>
          </w:tcPr>
          <w:p w14:paraId="095EA0CD" w14:textId="77777777" w:rsidR="00752271" w:rsidRPr="004F28A5" w:rsidRDefault="00752271" w:rsidP="00163F25">
            <w:r w:rsidRPr="004F28A5">
              <w:t>28.3</w:t>
            </w:r>
          </w:p>
        </w:tc>
        <w:tc>
          <w:tcPr>
            <w:tcW w:w="1300" w:type="dxa"/>
            <w:shd w:val="clear" w:color="auto" w:fill="F5F5F1"/>
            <w:noWrap/>
            <w:hideMark/>
          </w:tcPr>
          <w:p w14:paraId="0E4BA0A2" w14:textId="77777777" w:rsidR="00752271" w:rsidRPr="004F28A5" w:rsidRDefault="00752271" w:rsidP="00163F25">
            <w:r w:rsidRPr="004F28A5">
              <w:t>39.6</w:t>
            </w:r>
          </w:p>
        </w:tc>
      </w:tr>
      <w:tr w:rsidR="00752271" w:rsidRPr="004F28A5" w14:paraId="48671CC8" w14:textId="77777777" w:rsidTr="007442B0">
        <w:trPr>
          <w:trHeight w:val="340"/>
          <w:tblHeader/>
        </w:trPr>
        <w:tc>
          <w:tcPr>
            <w:tcW w:w="1973" w:type="dxa"/>
            <w:gridSpan w:val="2"/>
            <w:shd w:val="clear" w:color="auto" w:fill="F5F5F1"/>
            <w:noWrap/>
            <w:hideMark/>
          </w:tcPr>
          <w:p w14:paraId="62AEFF7D" w14:textId="77777777" w:rsidR="00752271" w:rsidRPr="004F28A5" w:rsidRDefault="00752271" w:rsidP="00163F25">
            <w:r w:rsidRPr="004F28A5">
              <w:t>Some </w:t>
            </w:r>
          </w:p>
        </w:tc>
        <w:tc>
          <w:tcPr>
            <w:tcW w:w="1191" w:type="dxa"/>
            <w:gridSpan w:val="2"/>
            <w:shd w:val="clear" w:color="auto" w:fill="F5F5F1"/>
            <w:noWrap/>
            <w:hideMark/>
          </w:tcPr>
          <w:p w14:paraId="6E8C474F" w14:textId="77777777" w:rsidR="00752271" w:rsidRPr="004F28A5" w:rsidRDefault="00752271" w:rsidP="00163F25">
            <w:r w:rsidRPr="004F28A5">
              <w:t>29.6</w:t>
            </w:r>
          </w:p>
        </w:tc>
        <w:tc>
          <w:tcPr>
            <w:tcW w:w="1414" w:type="dxa"/>
            <w:gridSpan w:val="2"/>
            <w:shd w:val="clear" w:color="auto" w:fill="F5F5F1"/>
            <w:noWrap/>
            <w:hideMark/>
          </w:tcPr>
          <w:p w14:paraId="169886EE" w14:textId="77777777" w:rsidR="00752271" w:rsidRPr="004F28A5" w:rsidRDefault="00752271" w:rsidP="00163F25">
            <w:r w:rsidRPr="004F28A5">
              <w:t>38.0</w:t>
            </w:r>
          </w:p>
        </w:tc>
        <w:tc>
          <w:tcPr>
            <w:tcW w:w="1136" w:type="dxa"/>
            <w:gridSpan w:val="2"/>
            <w:shd w:val="clear" w:color="auto" w:fill="F5F5F1"/>
            <w:noWrap/>
            <w:hideMark/>
          </w:tcPr>
          <w:p w14:paraId="747D1B38" w14:textId="77777777" w:rsidR="00752271" w:rsidRPr="004F28A5" w:rsidRDefault="00752271" w:rsidP="00163F25">
            <w:r w:rsidRPr="004F28A5">
              <w:t>22.2</w:t>
            </w:r>
          </w:p>
        </w:tc>
        <w:tc>
          <w:tcPr>
            <w:tcW w:w="911" w:type="dxa"/>
            <w:shd w:val="clear" w:color="auto" w:fill="F5F5F1"/>
            <w:noWrap/>
            <w:hideMark/>
          </w:tcPr>
          <w:p w14:paraId="7E8A2D79" w14:textId="77777777" w:rsidR="00752271" w:rsidRPr="004F28A5" w:rsidRDefault="00752271" w:rsidP="00163F25">
            <w:r w:rsidRPr="004F28A5">
              <w:t>9.0</w:t>
            </w:r>
          </w:p>
        </w:tc>
        <w:tc>
          <w:tcPr>
            <w:tcW w:w="1175" w:type="dxa"/>
            <w:shd w:val="clear" w:color="auto" w:fill="F5F5F1"/>
            <w:noWrap/>
            <w:hideMark/>
          </w:tcPr>
          <w:p w14:paraId="15FF7E02" w14:textId="77777777" w:rsidR="00752271" w:rsidRPr="004F28A5" w:rsidRDefault="00752271" w:rsidP="00163F25">
            <w:r w:rsidRPr="004F28A5">
              <w:t>51.0</w:t>
            </w:r>
          </w:p>
        </w:tc>
        <w:tc>
          <w:tcPr>
            <w:tcW w:w="1300" w:type="dxa"/>
            <w:shd w:val="clear" w:color="auto" w:fill="F5F5F1"/>
            <w:noWrap/>
            <w:hideMark/>
          </w:tcPr>
          <w:p w14:paraId="0591E0BB" w14:textId="77777777" w:rsidR="00752271" w:rsidRPr="004F28A5" w:rsidRDefault="00752271" w:rsidP="00163F25">
            <w:r w:rsidRPr="004F28A5">
              <w:t>25.4</w:t>
            </w:r>
          </w:p>
        </w:tc>
      </w:tr>
      <w:tr w:rsidR="00752271" w:rsidRPr="004F28A5" w14:paraId="4927BC5D" w14:textId="77777777" w:rsidTr="007442B0">
        <w:trPr>
          <w:trHeight w:val="340"/>
          <w:tblHeader/>
        </w:trPr>
        <w:tc>
          <w:tcPr>
            <w:tcW w:w="1973" w:type="dxa"/>
            <w:gridSpan w:val="2"/>
            <w:shd w:val="clear" w:color="auto" w:fill="F5F5F1"/>
            <w:noWrap/>
            <w:hideMark/>
          </w:tcPr>
          <w:p w14:paraId="36C7FCFF" w14:textId="77777777" w:rsidR="00752271" w:rsidRPr="004F28A5" w:rsidRDefault="00752271" w:rsidP="00163F25">
            <w:r w:rsidRPr="004F28A5">
              <w:t>A lot </w:t>
            </w:r>
          </w:p>
        </w:tc>
        <w:tc>
          <w:tcPr>
            <w:tcW w:w="1191" w:type="dxa"/>
            <w:gridSpan w:val="2"/>
            <w:shd w:val="clear" w:color="auto" w:fill="F5F5F1"/>
            <w:noWrap/>
            <w:hideMark/>
          </w:tcPr>
          <w:p w14:paraId="3141A265" w14:textId="77777777" w:rsidR="00752271" w:rsidRPr="004F28A5" w:rsidRDefault="00752271" w:rsidP="00163F25">
            <w:r w:rsidRPr="004F28A5">
              <w:t>7.5</w:t>
            </w:r>
          </w:p>
        </w:tc>
        <w:tc>
          <w:tcPr>
            <w:tcW w:w="1414" w:type="dxa"/>
            <w:gridSpan w:val="2"/>
            <w:shd w:val="clear" w:color="auto" w:fill="F5F5F1"/>
            <w:noWrap/>
            <w:hideMark/>
          </w:tcPr>
          <w:p w14:paraId="3DFFDBC7" w14:textId="77777777" w:rsidR="00752271" w:rsidRPr="004F28A5" w:rsidRDefault="00752271" w:rsidP="00163F25">
            <w:r w:rsidRPr="004F28A5">
              <w:t>11.5</w:t>
            </w:r>
          </w:p>
        </w:tc>
        <w:tc>
          <w:tcPr>
            <w:tcW w:w="1136" w:type="dxa"/>
            <w:gridSpan w:val="2"/>
            <w:shd w:val="clear" w:color="auto" w:fill="F5F5F1"/>
            <w:noWrap/>
            <w:hideMark/>
          </w:tcPr>
          <w:p w14:paraId="1B9F2807" w14:textId="77777777" w:rsidR="00752271" w:rsidRPr="004F28A5" w:rsidRDefault="00752271" w:rsidP="00163F25">
            <w:r w:rsidRPr="004F28A5">
              <w:t>3.3</w:t>
            </w:r>
          </w:p>
        </w:tc>
        <w:tc>
          <w:tcPr>
            <w:tcW w:w="911" w:type="dxa"/>
            <w:shd w:val="clear" w:color="auto" w:fill="F5F5F1"/>
            <w:noWrap/>
            <w:hideMark/>
          </w:tcPr>
          <w:p w14:paraId="43CF5A00" w14:textId="77777777" w:rsidR="00752271" w:rsidRPr="004F28A5" w:rsidRDefault="00752271" w:rsidP="00163F25">
            <w:r w:rsidRPr="004F28A5">
              <w:t>1.1</w:t>
            </w:r>
          </w:p>
        </w:tc>
        <w:tc>
          <w:tcPr>
            <w:tcW w:w="1175" w:type="dxa"/>
            <w:shd w:val="clear" w:color="auto" w:fill="F5F5F1"/>
            <w:noWrap/>
            <w:hideMark/>
          </w:tcPr>
          <w:p w14:paraId="04BC9A74" w14:textId="77777777" w:rsidR="00752271" w:rsidRPr="004F28A5" w:rsidRDefault="00752271" w:rsidP="00163F25">
            <w:r w:rsidRPr="004F28A5">
              <w:t>16.1</w:t>
            </w:r>
          </w:p>
        </w:tc>
        <w:tc>
          <w:tcPr>
            <w:tcW w:w="1300" w:type="dxa"/>
            <w:shd w:val="clear" w:color="auto" w:fill="F5F5F1"/>
            <w:noWrap/>
            <w:hideMark/>
          </w:tcPr>
          <w:p w14:paraId="527E0F8F" w14:textId="77777777" w:rsidR="00752271" w:rsidRPr="004F28A5" w:rsidRDefault="00752271" w:rsidP="00163F25">
            <w:r w:rsidRPr="004F28A5">
              <w:t>4.1</w:t>
            </w:r>
          </w:p>
        </w:tc>
      </w:tr>
      <w:tr w:rsidR="00752271" w:rsidRPr="004F28A5" w14:paraId="6567AECA" w14:textId="77777777" w:rsidTr="007442B0">
        <w:trPr>
          <w:trHeight w:val="340"/>
          <w:tblHeader/>
        </w:trPr>
        <w:tc>
          <w:tcPr>
            <w:tcW w:w="1973" w:type="dxa"/>
            <w:gridSpan w:val="2"/>
            <w:shd w:val="clear" w:color="auto" w:fill="F5F5F1"/>
            <w:noWrap/>
            <w:hideMark/>
          </w:tcPr>
          <w:p w14:paraId="14720657" w14:textId="77777777" w:rsidR="00752271" w:rsidRPr="004F28A5" w:rsidRDefault="00752271" w:rsidP="00163F25">
            <w:r w:rsidRPr="004F28A5">
              <w:t>A great deal </w:t>
            </w:r>
          </w:p>
        </w:tc>
        <w:tc>
          <w:tcPr>
            <w:tcW w:w="1191" w:type="dxa"/>
            <w:gridSpan w:val="2"/>
            <w:shd w:val="clear" w:color="auto" w:fill="F5F5F1"/>
            <w:noWrap/>
            <w:hideMark/>
          </w:tcPr>
          <w:p w14:paraId="756A072D" w14:textId="77777777" w:rsidR="00752271" w:rsidRPr="004F28A5" w:rsidRDefault="00752271" w:rsidP="00163F25">
            <w:r w:rsidRPr="004F28A5">
              <w:t>1.0</w:t>
            </w:r>
          </w:p>
        </w:tc>
        <w:tc>
          <w:tcPr>
            <w:tcW w:w="1414" w:type="dxa"/>
            <w:gridSpan w:val="2"/>
            <w:shd w:val="clear" w:color="auto" w:fill="F5F5F1"/>
            <w:noWrap/>
            <w:hideMark/>
          </w:tcPr>
          <w:p w14:paraId="7FA245CD" w14:textId="77777777" w:rsidR="00752271" w:rsidRPr="004F28A5" w:rsidRDefault="00752271" w:rsidP="00163F25">
            <w:r w:rsidRPr="004F28A5">
              <w:t>0.9</w:t>
            </w:r>
          </w:p>
        </w:tc>
        <w:tc>
          <w:tcPr>
            <w:tcW w:w="1136" w:type="dxa"/>
            <w:gridSpan w:val="2"/>
            <w:shd w:val="clear" w:color="auto" w:fill="F5F5F1"/>
            <w:noWrap/>
            <w:hideMark/>
          </w:tcPr>
          <w:p w14:paraId="0F5CBE70" w14:textId="77777777" w:rsidR="00752271" w:rsidRPr="004F28A5" w:rsidRDefault="00752271" w:rsidP="00163F25">
            <w:r w:rsidRPr="004F28A5">
              <w:t>0.4</w:t>
            </w:r>
          </w:p>
        </w:tc>
        <w:tc>
          <w:tcPr>
            <w:tcW w:w="911" w:type="dxa"/>
            <w:shd w:val="clear" w:color="auto" w:fill="F5F5F1"/>
            <w:noWrap/>
            <w:hideMark/>
          </w:tcPr>
          <w:p w14:paraId="740296FE" w14:textId="77777777" w:rsidR="00752271" w:rsidRPr="004F28A5" w:rsidRDefault="00752271" w:rsidP="00163F25">
            <w:r w:rsidRPr="004F28A5">
              <w:t>0.2</w:t>
            </w:r>
          </w:p>
        </w:tc>
        <w:tc>
          <w:tcPr>
            <w:tcW w:w="1175" w:type="dxa"/>
            <w:shd w:val="clear" w:color="auto" w:fill="F5F5F1"/>
            <w:noWrap/>
            <w:hideMark/>
          </w:tcPr>
          <w:p w14:paraId="226772FB" w14:textId="77777777" w:rsidR="00752271" w:rsidRPr="004F28A5" w:rsidRDefault="00752271" w:rsidP="00163F25">
            <w:r w:rsidRPr="004F28A5">
              <w:t>1.6</w:t>
            </w:r>
          </w:p>
        </w:tc>
        <w:tc>
          <w:tcPr>
            <w:tcW w:w="1300" w:type="dxa"/>
            <w:shd w:val="clear" w:color="auto" w:fill="F5F5F1"/>
            <w:noWrap/>
            <w:hideMark/>
          </w:tcPr>
          <w:p w14:paraId="75B2BF74" w14:textId="77777777" w:rsidR="00752271" w:rsidRPr="004F28A5" w:rsidRDefault="00752271" w:rsidP="00163F25">
            <w:r w:rsidRPr="004F28A5">
              <w:t>0.8</w:t>
            </w:r>
          </w:p>
        </w:tc>
      </w:tr>
      <w:tr w:rsidR="00752271" w:rsidRPr="004F28A5" w14:paraId="4F745983" w14:textId="77777777" w:rsidTr="007442B0">
        <w:trPr>
          <w:trHeight w:val="340"/>
          <w:tblHeader/>
        </w:trPr>
        <w:tc>
          <w:tcPr>
            <w:tcW w:w="1973" w:type="dxa"/>
            <w:gridSpan w:val="2"/>
            <w:tcBorders>
              <w:bottom w:val="single" w:sz="12" w:space="0" w:color="auto"/>
            </w:tcBorders>
            <w:shd w:val="clear" w:color="auto" w:fill="F5F5F1"/>
            <w:noWrap/>
            <w:hideMark/>
          </w:tcPr>
          <w:p w14:paraId="55A95991" w14:textId="77777777" w:rsidR="00752271" w:rsidRPr="004F28A5" w:rsidRDefault="00752271" w:rsidP="00163F25">
            <w:r w:rsidRPr="004F28A5">
              <w:t>Total</w:t>
            </w:r>
          </w:p>
        </w:tc>
        <w:tc>
          <w:tcPr>
            <w:tcW w:w="1191" w:type="dxa"/>
            <w:gridSpan w:val="2"/>
            <w:tcBorders>
              <w:bottom w:val="single" w:sz="12" w:space="0" w:color="auto"/>
            </w:tcBorders>
            <w:shd w:val="clear" w:color="auto" w:fill="F5F5F1"/>
            <w:noWrap/>
            <w:hideMark/>
          </w:tcPr>
          <w:p w14:paraId="5CDDF5E0" w14:textId="77777777" w:rsidR="00752271" w:rsidRPr="004F28A5" w:rsidRDefault="00752271" w:rsidP="00163F25">
            <w:r w:rsidRPr="004F28A5">
              <w:t>100</w:t>
            </w:r>
          </w:p>
        </w:tc>
        <w:tc>
          <w:tcPr>
            <w:tcW w:w="1414" w:type="dxa"/>
            <w:gridSpan w:val="2"/>
            <w:tcBorders>
              <w:bottom w:val="single" w:sz="12" w:space="0" w:color="auto"/>
            </w:tcBorders>
            <w:shd w:val="clear" w:color="auto" w:fill="F5F5F1"/>
            <w:noWrap/>
            <w:hideMark/>
          </w:tcPr>
          <w:p w14:paraId="4A2E8949" w14:textId="77777777" w:rsidR="00752271" w:rsidRPr="004F28A5" w:rsidRDefault="00752271" w:rsidP="00163F25">
            <w:r w:rsidRPr="004F28A5">
              <w:t>100</w:t>
            </w:r>
          </w:p>
        </w:tc>
        <w:tc>
          <w:tcPr>
            <w:tcW w:w="1136" w:type="dxa"/>
            <w:gridSpan w:val="2"/>
            <w:tcBorders>
              <w:bottom w:val="single" w:sz="12" w:space="0" w:color="auto"/>
            </w:tcBorders>
            <w:shd w:val="clear" w:color="auto" w:fill="F5F5F1"/>
            <w:noWrap/>
            <w:hideMark/>
          </w:tcPr>
          <w:p w14:paraId="76559979" w14:textId="77777777" w:rsidR="00752271" w:rsidRPr="004F28A5" w:rsidRDefault="00752271" w:rsidP="00163F25">
            <w:r w:rsidRPr="004F28A5">
              <w:t>100</w:t>
            </w:r>
          </w:p>
        </w:tc>
        <w:tc>
          <w:tcPr>
            <w:tcW w:w="911" w:type="dxa"/>
            <w:tcBorders>
              <w:bottom w:val="single" w:sz="12" w:space="0" w:color="auto"/>
            </w:tcBorders>
            <w:shd w:val="clear" w:color="auto" w:fill="F5F5F1"/>
            <w:noWrap/>
            <w:hideMark/>
          </w:tcPr>
          <w:p w14:paraId="4CED9CA2" w14:textId="77777777" w:rsidR="00752271" w:rsidRPr="004F28A5" w:rsidRDefault="00752271" w:rsidP="00163F25">
            <w:r w:rsidRPr="004F28A5">
              <w:t>100</w:t>
            </w:r>
          </w:p>
        </w:tc>
        <w:tc>
          <w:tcPr>
            <w:tcW w:w="1175" w:type="dxa"/>
            <w:tcBorders>
              <w:bottom w:val="single" w:sz="12" w:space="0" w:color="auto"/>
            </w:tcBorders>
            <w:shd w:val="clear" w:color="auto" w:fill="F5F5F1"/>
            <w:noWrap/>
            <w:hideMark/>
          </w:tcPr>
          <w:p w14:paraId="529EDF6C" w14:textId="77777777" w:rsidR="00752271" w:rsidRPr="004F28A5" w:rsidRDefault="00752271" w:rsidP="00163F25">
            <w:r w:rsidRPr="004F28A5">
              <w:t>100</w:t>
            </w:r>
          </w:p>
        </w:tc>
        <w:tc>
          <w:tcPr>
            <w:tcW w:w="1300" w:type="dxa"/>
            <w:tcBorders>
              <w:bottom w:val="single" w:sz="12" w:space="0" w:color="auto"/>
            </w:tcBorders>
            <w:shd w:val="clear" w:color="auto" w:fill="F5F5F1"/>
            <w:noWrap/>
            <w:hideMark/>
          </w:tcPr>
          <w:p w14:paraId="33EE13A4" w14:textId="77777777" w:rsidR="00752271" w:rsidRPr="004F28A5" w:rsidRDefault="00752271" w:rsidP="00163F25">
            <w:r w:rsidRPr="004F28A5">
              <w:t>100</w:t>
            </w:r>
          </w:p>
        </w:tc>
      </w:tr>
      <w:tr w:rsidR="00752271" w:rsidRPr="004F28A5" w14:paraId="544E2DF8" w14:textId="77777777" w:rsidTr="007442B0">
        <w:trPr>
          <w:trHeight w:val="340"/>
          <w:tblHeader/>
        </w:trPr>
        <w:tc>
          <w:tcPr>
            <w:tcW w:w="1973" w:type="dxa"/>
            <w:gridSpan w:val="2"/>
            <w:tcBorders>
              <w:top w:val="single" w:sz="12" w:space="0" w:color="auto"/>
              <w:bottom w:val="single" w:sz="12" w:space="0" w:color="auto"/>
            </w:tcBorders>
            <w:shd w:val="clear" w:color="auto" w:fill="F5F5F1"/>
            <w:noWrap/>
            <w:hideMark/>
          </w:tcPr>
          <w:p w14:paraId="3D9AD5C0" w14:textId="77777777" w:rsidR="00752271" w:rsidRPr="004F28A5" w:rsidRDefault="00752271" w:rsidP="00163F25">
            <w:r w:rsidRPr="004F28A5">
              <w:t>N=</w:t>
            </w:r>
          </w:p>
        </w:tc>
        <w:tc>
          <w:tcPr>
            <w:tcW w:w="1191" w:type="dxa"/>
            <w:gridSpan w:val="2"/>
            <w:tcBorders>
              <w:top w:val="single" w:sz="12" w:space="0" w:color="auto"/>
              <w:bottom w:val="single" w:sz="12" w:space="0" w:color="auto"/>
            </w:tcBorders>
            <w:shd w:val="clear" w:color="auto" w:fill="F5F5F1"/>
            <w:noWrap/>
            <w:hideMark/>
          </w:tcPr>
          <w:p w14:paraId="7806F473" w14:textId="77777777" w:rsidR="00752271" w:rsidRPr="004F28A5" w:rsidRDefault="00752271" w:rsidP="00163F25">
            <w:r w:rsidRPr="004F28A5">
              <w:t>2,234</w:t>
            </w:r>
          </w:p>
        </w:tc>
        <w:tc>
          <w:tcPr>
            <w:tcW w:w="1414" w:type="dxa"/>
            <w:gridSpan w:val="2"/>
            <w:tcBorders>
              <w:top w:val="single" w:sz="12" w:space="0" w:color="auto"/>
              <w:bottom w:val="single" w:sz="12" w:space="0" w:color="auto"/>
            </w:tcBorders>
            <w:shd w:val="clear" w:color="auto" w:fill="F5F5F1"/>
            <w:noWrap/>
            <w:hideMark/>
          </w:tcPr>
          <w:p w14:paraId="3DDCC77B" w14:textId="77777777" w:rsidR="00752271" w:rsidRPr="004F28A5" w:rsidRDefault="00752271" w:rsidP="00163F25">
            <w:r w:rsidRPr="004F28A5">
              <w:t>2,841</w:t>
            </w:r>
          </w:p>
        </w:tc>
        <w:tc>
          <w:tcPr>
            <w:tcW w:w="1136" w:type="dxa"/>
            <w:gridSpan w:val="2"/>
            <w:tcBorders>
              <w:top w:val="single" w:sz="12" w:space="0" w:color="auto"/>
              <w:bottom w:val="single" w:sz="12" w:space="0" w:color="auto"/>
            </w:tcBorders>
            <w:shd w:val="clear" w:color="auto" w:fill="F5F5F1"/>
            <w:noWrap/>
            <w:hideMark/>
          </w:tcPr>
          <w:p w14:paraId="59DD7C25" w14:textId="77777777" w:rsidR="00752271" w:rsidRPr="004F28A5" w:rsidRDefault="00752271" w:rsidP="00163F25">
            <w:r w:rsidRPr="004F28A5">
              <w:t>1,996</w:t>
            </w:r>
          </w:p>
        </w:tc>
        <w:tc>
          <w:tcPr>
            <w:tcW w:w="911" w:type="dxa"/>
            <w:tcBorders>
              <w:top w:val="single" w:sz="12" w:space="0" w:color="auto"/>
              <w:bottom w:val="single" w:sz="12" w:space="0" w:color="auto"/>
            </w:tcBorders>
            <w:shd w:val="clear" w:color="auto" w:fill="F5F5F1"/>
            <w:noWrap/>
            <w:hideMark/>
          </w:tcPr>
          <w:p w14:paraId="20F075B4" w14:textId="77777777" w:rsidR="00752271" w:rsidRPr="004F28A5" w:rsidRDefault="00752271" w:rsidP="00163F25">
            <w:r w:rsidRPr="004F28A5">
              <w:t>2,518</w:t>
            </w:r>
          </w:p>
        </w:tc>
        <w:tc>
          <w:tcPr>
            <w:tcW w:w="1175" w:type="dxa"/>
            <w:tcBorders>
              <w:top w:val="single" w:sz="12" w:space="0" w:color="auto"/>
              <w:bottom w:val="single" w:sz="12" w:space="0" w:color="auto"/>
            </w:tcBorders>
            <w:shd w:val="clear" w:color="auto" w:fill="F5F5F1"/>
            <w:noWrap/>
            <w:hideMark/>
          </w:tcPr>
          <w:p w14:paraId="43E04133" w14:textId="77777777" w:rsidR="00752271" w:rsidRPr="004F28A5" w:rsidRDefault="00752271" w:rsidP="00163F25">
            <w:r w:rsidRPr="004F28A5">
              <w:t>1,534</w:t>
            </w:r>
          </w:p>
        </w:tc>
        <w:tc>
          <w:tcPr>
            <w:tcW w:w="1300" w:type="dxa"/>
            <w:tcBorders>
              <w:top w:val="single" w:sz="12" w:space="0" w:color="auto"/>
              <w:bottom w:val="single" w:sz="12" w:space="0" w:color="auto"/>
            </w:tcBorders>
            <w:shd w:val="clear" w:color="auto" w:fill="F5F5F1"/>
            <w:noWrap/>
            <w:hideMark/>
          </w:tcPr>
          <w:p w14:paraId="0D320DF5" w14:textId="77777777" w:rsidR="00752271" w:rsidRPr="004F28A5" w:rsidRDefault="00752271" w:rsidP="00163F25">
            <w:r w:rsidRPr="004F28A5">
              <w:t>1,620</w:t>
            </w:r>
          </w:p>
        </w:tc>
      </w:tr>
      <w:tr w:rsidR="00752271" w:rsidRPr="004F28A5" w14:paraId="393B8AC7" w14:textId="77777777" w:rsidTr="007442B0">
        <w:trPr>
          <w:trHeight w:val="340"/>
          <w:tblHeader/>
        </w:trPr>
        <w:tc>
          <w:tcPr>
            <w:tcW w:w="6625" w:type="dxa"/>
            <w:gridSpan w:val="9"/>
            <w:tcBorders>
              <w:top w:val="single" w:sz="12" w:space="0" w:color="auto"/>
              <w:bottom w:val="single" w:sz="12" w:space="0" w:color="auto"/>
            </w:tcBorders>
            <w:shd w:val="clear" w:color="auto" w:fill="F5F5F1"/>
            <w:noWrap/>
            <w:hideMark/>
          </w:tcPr>
          <w:p w14:paraId="56466540" w14:textId="77777777" w:rsidR="00752271" w:rsidRPr="004F28A5" w:rsidRDefault="00752271" w:rsidP="00163F25">
            <w:pPr>
              <w:rPr>
                <w:b/>
                <w:bCs/>
                <w:i/>
                <w:iCs/>
              </w:rPr>
            </w:pPr>
            <w:r w:rsidRPr="004F28A5">
              <w:rPr>
                <w:b/>
                <w:bCs/>
                <w:i/>
                <w:iCs/>
              </w:rPr>
              <w:t>Political system allows people to have influence on politics</w:t>
            </w:r>
          </w:p>
        </w:tc>
        <w:tc>
          <w:tcPr>
            <w:tcW w:w="1175" w:type="dxa"/>
            <w:tcBorders>
              <w:top w:val="single" w:sz="12" w:space="0" w:color="auto"/>
              <w:bottom w:val="single" w:sz="12" w:space="0" w:color="auto"/>
            </w:tcBorders>
            <w:shd w:val="clear" w:color="auto" w:fill="F5F5F1"/>
            <w:noWrap/>
            <w:hideMark/>
          </w:tcPr>
          <w:p w14:paraId="65A72024" w14:textId="77777777" w:rsidR="00752271" w:rsidRPr="004F28A5" w:rsidRDefault="00752271" w:rsidP="00163F25"/>
        </w:tc>
        <w:tc>
          <w:tcPr>
            <w:tcW w:w="1300" w:type="dxa"/>
            <w:tcBorders>
              <w:top w:val="single" w:sz="12" w:space="0" w:color="auto"/>
              <w:bottom w:val="single" w:sz="12" w:space="0" w:color="auto"/>
            </w:tcBorders>
            <w:shd w:val="clear" w:color="auto" w:fill="F5F5F1"/>
            <w:noWrap/>
            <w:hideMark/>
          </w:tcPr>
          <w:p w14:paraId="5788E163" w14:textId="77777777" w:rsidR="00752271" w:rsidRPr="004F28A5" w:rsidRDefault="00752271" w:rsidP="00163F25"/>
        </w:tc>
      </w:tr>
      <w:tr w:rsidR="00752271" w:rsidRPr="004F28A5" w14:paraId="66FD111C" w14:textId="77777777" w:rsidTr="007442B0">
        <w:trPr>
          <w:trHeight w:val="340"/>
          <w:tblHeader/>
        </w:trPr>
        <w:tc>
          <w:tcPr>
            <w:tcW w:w="1863" w:type="dxa"/>
            <w:tcBorders>
              <w:top w:val="single" w:sz="12" w:space="0" w:color="auto"/>
              <w:bottom w:val="single" w:sz="12" w:space="0" w:color="auto"/>
            </w:tcBorders>
            <w:shd w:val="clear" w:color="auto" w:fill="F5F5F1"/>
            <w:noWrap/>
            <w:hideMark/>
          </w:tcPr>
          <w:p w14:paraId="3C47B8C7" w14:textId="77777777" w:rsidR="00752271" w:rsidRPr="004F28A5" w:rsidRDefault="00752271" w:rsidP="00163F25">
            <w:r w:rsidRPr="004F28A5">
              <w:t>Country</w:t>
            </w:r>
          </w:p>
        </w:tc>
        <w:tc>
          <w:tcPr>
            <w:tcW w:w="1187" w:type="dxa"/>
            <w:gridSpan w:val="2"/>
            <w:tcBorders>
              <w:top w:val="single" w:sz="12" w:space="0" w:color="auto"/>
              <w:bottom w:val="single" w:sz="12" w:space="0" w:color="auto"/>
            </w:tcBorders>
            <w:shd w:val="clear" w:color="auto" w:fill="F5F5F1"/>
            <w:noWrap/>
            <w:hideMark/>
          </w:tcPr>
          <w:p w14:paraId="268884E2" w14:textId="77777777" w:rsidR="00752271" w:rsidRPr="004F28A5" w:rsidRDefault="00752271" w:rsidP="00163F25">
            <w:r w:rsidRPr="004F28A5">
              <w:t>Czechia</w:t>
            </w:r>
          </w:p>
        </w:tc>
        <w:tc>
          <w:tcPr>
            <w:tcW w:w="1410" w:type="dxa"/>
            <w:gridSpan w:val="2"/>
            <w:tcBorders>
              <w:top w:val="single" w:sz="12" w:space="0" w:color="auto"/>
              <w:bottom w:val="single" w:sz="12" w:space="0" w:color="auto"/>
            </w:tcBorders>
            <w:shd w:val="clear" w:color="auto" w:fill="F5F5F1"/>
            <w:noWrap/>
            <w:hideMark/>
          </w:tcPr>
          <w:p w14:paraId="5E5E9CBB" w14:textId="77777777" w:rsidR="00752271" w:rsidRPr="004F28A5" w:rsidRDefault="00752271" w:rsidP="00163F25">
            <w:r w:rsidRPr="004F28A5">
              <w:t>Germany</w:t>
            </w:r>
          </w:p>
        </w:tc>
        <w:tc>
          <w:tcPr>
            <w:tcW w:w="1132" w:type="dxa"/>
            <w:gridSpan w:val="2"/>
            <w:tcBorders>
              <w:top w:val="single" w:sz="12" w:space="0" w:color="auto"/>
              <w:bottom w:val="single" w:sz="12" w:space="0" w:color="auto"/>
            </w:tcBorders>
            <w:shd w:val="clear" w:color="auto" w:fill="F5F5F1"/>
            <w:noWrap/>
            <w:hideMark/>
          </w:tcPr>
          <w:p w14:paraId="6EAF8879" w14:textId="77777777" w:rsidR="00752271" w:rsidRPr="004F28A5" w:rsidRDefault="00752271" w:rsidP="00163F25">
            <w:r w:rsidRPr="004F28A5">
              <w:t>Estonia</w:t>
            </w:r>
          </w:p>
        </w:tc>
        <w:tc>
          <w:tcPr>
            <w:tcW w:w="1033" w:type="dxa"/>
            <w:gridSpan w:val="2"/>
            <w:tcBorders>
              <w:top w:val="single" w:sz="12" w:space="0" w:color="auto"/>
              <w:bottom w:val="single" w:sz="12" w:space="0" w:color="auto"/>
            </w:tcBorders>
            <w:shd w:val="clear" w:color="auto" w:fill="F5F5F1"/>
            <w:noWrap/>
            <w:hideMark/>
          </w:tcPr>
          <w:p w14:paraId="5F13824A" w14:textId="77777777" w:rsidR="00752271" w:rsidRPr="004F28A5" w:rsidRDefault="00752271" w:rsidP="00163F25">
            <w:r w:rsidRPr="004F28A5">
              <w:t>Italy</w:t>
            </w:r>
          </w:p>
        </w:tc>
        <w:tc>
          <w:tcPr>
            <w:tcW w:w="1175" w:type="dxa"/>
            <w:tcBorders>
              <w:top w:val="single" w:sz="12" w:space="0" w:color="auto"/>
              <w:bottom w:val="single" w:sz="12" w:space="0" w:color="auto"/>
            </w:tcBorders>
            <w:shd w:val="clear" w:color="auto" w:fill="F5F5F1"/>
            <w:noWrap/>
            <w:hideMark/>
          </w:tcPr>
          <w:p w14:paraId="0A7A4626" w14:textId="77777777" w:rsidR="00752271" w:rsidRPr="004F28A5" w:rsidRDefault="00752271" w:rsidP="00163F25">
            <w:r w:rsidRPr="004F28A5">
              <w:t>Norway</w:t>
            </w:r>
          </w:p>
        </w:tc>
        <w:tc>
          <w:tcPr>
            <w:tcW w:w="1300" w:type="dxa"/>
            <w:tcBorders>
              <w:top w:val="single" w:sz="12" w:space="0" w:color="auto"/>
              <w:bottom w:val="single" w:sz="12" w:space="0" w:color="auto"/>
            </w:tcBorders>
            <w:shd w:val="clear" w:color="auto" w:fill="F5F5F1"/>
            <w:noWrap/>
            <w:hideMark/>
          </w:tcPr>
          <w:p w14:paraId="0FE1DD8D" w14:textId="77777777" w:rsidR="00752271" w:rsidRPr="004F28A5" w:rsidRDefault="00752271" w:rsidP="00163F25">
            <w:r w:rsidRPr="004F28A5">
              <w:t>Poland</w:t>
            </w:r>
          </w:p>
        </w:tc>
      </w:tr>
      <w:tr w:rsidR="00752271" w:rsidRPr="004F28A5" w14:paraId="478DABF7" w14:textId="77777777" w:rsidTr="007442B0">
        <w:trPr>
          <w:trHeight w:val="340"/>
          <w:tblHeader/>
        </w:trPr>
        <w:tc>
          <w:tcPr>
            <w:tcW w:w="1863" w:type="dxa"/>
            <w:tcBorders>
              <w:top w:val="single" w:sz="12" w:space="0" w:color="auto"/>
            </w:tcBorders>
            <w:shd w:val="clear" w:color="auto" w:fill="F5F5F1"/>
            <w:noWrap/>
            <w:hideMark/>
          </w:tcPr>
          <w:p w14:paraId="1586436E" w14:textId="77777777" w:rsidR="00752271" w:rsidRPr="004F28A5" w:rsidRDefault="00752271" w:rsidP="00163F25">
            <w:r w:rsidRPr="004F28A5">
              <w:t>Not at all</w:t>
            </w:r>
          </w:p>
        </w:tc>
        <w:tc>
          <w:tcPr>
            <w:tcW w:w="1187" w:type="dxa"/>
            <w:gridSpan w:val="2"/>
            <w:tcBorders>
              <w:top w:val="single" w:sz="12" w:space="0" w:color="auto"/>
            </w:tcBorders>
            <w:shd w:val="clear" w:color="auto" w:fill="F5F5F1"/>
            <w:noWrap/>
            <w:hideMark/>
          </w:tcPr>
          <w:p w14:paraId="5AD587C9" w14:textId="77777777" w:rsidR="00752271" w:rsidRPr="004F28A5" w:rsidRDefault="00752271" w:rsidP="00163F25">
            <w:r w:rsidRPr="004F28A5">
              <w:t>33.5</w:t>
            </w:r>
          </w:p>
        </w:tc>
        <w:tc>
          <w:tcPr>
            <w:tcW w:w="1410" w:type="dxa"/>
            <w:gridSpan w:val="2"/>
            <w:tcBorders>
              <w:top w:val="single" w:sz="12" w:space="0" w:color="auto"/>
            </w:tcBorders>
            <w:shd w:val="clear" w:color="auto" w:fill="F5F5F1"/>
            <w:noWrap/>
            <w:hideMark/>
          </w:tcPr>
          <w:p w14:paraId="4CC70608" w14:textId="77777777" w:rsidR="00752271" w:rsidRPr="004F28A5" w:rsidRDefault="00752271" w:rsidP="00163F25">
            <w:r w:rsidRPr="004F28A5">
              <w:t>14.2</w:t>
            </w:r>
          </w:p>
        </w:tc>
        <w:tc>
          <w:tcPr>
            <w:tcW w:w="1132" w:type="dxa"/>
            <w:gridSpan w:val="2"/>
            <w:tcBorders>
              <w:top w:val="single" w:sz="12" w:space="0" w:color="auto"/>
            </w:tcBorders>
            <w:shd w:val="clear" w:color="auto" w:fill="F5F5F1"/>
            <w:noWrap/>
            <w:hideMark/>
          </w:tcPr>
          <w:p w14:paraId="0A3F3CD9" w14:textId="77777777" w:rsidR="00752271" w:rsidRPr="004F28A5" w:rsidRDefault="00752271" w:rsidP="00163F25">
            <w:r w:rsidRPr="004F28A5">
              <w:t>38.2</w:t>
            </w:r>
          </w:p>
        </w:tc>
        <w:tc>
          <w:tcPr>
            <w:tcW w:w="1033" w:type="dxa"/>
            <w:gridSpan w:val="2"/>
            <w:tcBorders>
              <w:top w:val="single" w:sz="12" w:space="0" w:color="auto"/>
            </w:tcBorders>
            <w:shd w:val="clear" w:color="auto" w:fill="F5F5F1"/>
            <w:noWrap/>
            <w:hideMark/>
          </w:tcPr>
          <w:p w14:paraId="370DFF70" w14:textId="77777777" w:rsidR="00752271" w:rsidRPr="004F28A5" w:rsidRDefault="00752271" w:rsidP="00163F25">
            <w:r w:rsidRPr="004F28A5">
              <w:t>47.1</w:t>
            </w:r>
          </w:p>
        </w:tc>
        <w:tc>
          <w:tcPr>
            <w:tcW w:w="1175" w:type="dxa"/>
            <w:tcBorders>
              <w:top w:val="single" w:sz="12" w:space="0" w:color="auto"/>
            </w:tcBorders>
            <w:shd w:val="clear" w:color="auto" w:fill="F5F5F1"/>
            <w:noWrap/>
            <w:hideMark/>
          </w:tcPr>
          <w:p w14:paraId="2F0D44C7" w14:textId="77777777" w:rsidR="00752271" w:rsidRPr="004F28A5" w:rsidRDefault="00752271" w:rsidP="00163F25">
            <w:r w:rsidRPr="004F28A5">
              <w:t>4.8</w:t>
            </w:r>
          </w:p>
        </w:tc>
        <w:tc>
          <w:tcPr>
            <w:tcW w:w="1300" w:type="dxa"/>
            <w:tcBorders>
              <w:top w:val="single" w:sz="12" w:space="0" w:color="auto"/>
            </w:tcBorders>
            <w:shd w:val="clear" w:color="auto" w:fill="F5F5F1"/>
            <w:noWrap/>
            <w:hideMark/>
          </w:tcPr>
          <w:p w14:paraId="2B145F02" w14:textId="77777777" w:rsidR="00752271" w:rsidRPr="004F28A5" w:rsidRDefault="00752271" w:rsidP="00163F25">
            <w:r w:rsidRPr="004F28A5">
              <w:t>33.7</w:t>
            </w:r>
          </w:p>
        </w:tc>
      </w:tr>
      <w:tr w:rsidR="00752271" w:rsidRPr="004F28A5" w14:paraId="033A7A26" w14:textId="77777777" w:rsidTr="007442B0">
        <w:trPr>
          <w:trHeight w:val="340"/>
          <w:tblHeader/>
        </w:trPr>
        <w:tc>
          <w:tcPr>
            <w:tcW w:w="1863" w:type="dxa"/>
            <w:shd w:val="clear" w:color="auto" w:fill="F5F5F1"/>
            <w:noWrap/>
            <w:hideMark/>
          </w:tcPr>
          <w:p w14:paraId="210AED36" w14:textId="77777777" w:rsidR="00752271" w:rsidRPr="004F28A5" w:rsidRDefault="00752271" w:rsidP="00163F25">
            <w:r w:rsidRPr="004F28A5">
              <w:t>Very little</w:t>
            </w:r>
          </w:p>
        </w:tc>
        <w:tc>
          <w:tcPr>
            <w:tcW w:w="1187" w:type="dxa"/>
            <w:gridSpan w:val="2"/>
            <w:shd w:val="clear" w:color="auto" w:fill="F5F5F1"/>
            <w:noWrap/>
            <w:hideMark/>
          </w:tcPr>
          <w:p w14:paraId="3B3AF939" w14:textId="77777777" w:rsidR="00752271" w:rsidRPr="004F28A5" w:rsidRDefault="00752271" w:rsidP="00163F25">
            <w:r w:rsidRPr="004F28A5">
              <w:t>41.5</w:t>
            </w:r>
          </w:p>
        </w:tc>
        <w:tc>
          <w:tcPr>
            <w:tcW w:w="1410" w:type="dxa"/>
            <w:gridSpan w:val="2"/>
            <w:shd w:val="clear" w:color="auto" w:fill="F5F5F1"/>
            <w:noWrap/>
            <w:hideMark/>
          </w:tcPr>
          <w:p w14:paraId="6077D9EB" w14:textId="77777777" w:rsidR="00752271" w:rsidRPr="004F28A5" w:rsidRDefault="00752271" w:rsidP="00163F25">
            <w:r w:rsidRPr="004F28A5">
              <w:t>35.0</w:t>
            </w:r>
          </w:p>
        </w:tc>
        <w:tc>
          <w:tcPr>
            <w:tcW w:w="1132" w:type="dxa"/>
            <w:gridSpan w:val="2"/>
            <w:shd w:val="clear" w:color="auto" w:fill="F5F5F1"/>
            <w:noWrap/>
            <w:hideMark/>
          </w:tcPr>
          <w:p w14:paraId="70F000E2" w14:textId="77777777" w:rsidR="00752271" w:rsidRPr="004F28A5" w:rsidRDefault="00752271" w:rsidP="00163F25">
            <w:r w:rsidRPr="004F28A5">
              <w:t>39.0</w:t>
            </w:r>
          </w:p>
        </w:tc>
        <w:tc>
          <w:tcPr>
            <w:tcW w:w="1033" w:type="dxa"/>
            <w:gridSpan w:val="2"/>
            <w:shd w:val="clear" w:color="auto" w:fill="F5F5F1"/>
            <w:noWrap/>
            <w:hideMark/>
          </w:tcPr>
          <w:p w14:paraId="425EC940" w14:textId="77777777" w:rsidR="00752271" w:rsidRPr="004F28A5" w:rsidRDefault="00752271" w:rsidP="00163F25">
            <w:r w:rsidRPr="004F28A5">
              <w:t>43.8</w:t>
            </w:r>
          </w:p>
        </w:tc>
        <w:tc>
          <w:tcPr>
            <w:tcW w:w="1175" w:type="dxa"/>
            <w:shd w:val="clear" w:color="auto" w:fill="F5F5F1"/>
            <w:noWrap/>
            <w:hideMark/>
          </w:tcPr>
          <w:p w14:paraId="495B6C59" w14:textId="77777777" w:rsidR="00752271" w:rsidRPr="004F28A5" w:rsidRDefault="00752271" w:rsidP="00163F25">
            <w:r w:rsidRPr="004F28A5">
              <w:t>23.5</w:t>
            </w:r>
          </w:p>
        </w:tc>
        <w:tc>
          <w:tcPr>
            <w:tcW w:w="1300" w:type="dxa"/>
            <w:shd w:val="clear" w:color="auto" w:fill="F5F5F1"/>
            <w:noWrap/>
            <w:hideMark/>
          </w:tcPr>
          <w:p w14:paraId="535872D7" w14:textId="77777777" w:rsidR="00752271" w:rsidRPr="004F28A5" w:rsidRDefault="00752271" w:rsidP="00163F25">
            <w:r w:rsidRPr="004F28A5">
              <w:t>40</w:t>
            </w:r>
          </w:p>
        </w:tc>
      </w:tr>
      <w:tr w:rsidR="00752271" w:rsidRPr="004F28A5" w14:paraId="3D7598C0" w14:textId="77777777" w:rsidTr="009A2453">
        <w:trPr>
          <w:trHeight w:val="340"/>
          <w:tblHeader/>
        </w:trPr>
        <w:tc>
          <w:tcPr>
            <w:tcW w:w="1863" w:type="dxa"/>
            <w:shd w:val="clear" w:color="auto" w:fill="F5F5F1"/>
            <w:noWrap/>
            <w:hideMark/>
          </w:tcPr>
          <w:p w14:paraId="756CC7B0" w14:textId="77777777" w:rsidR="00752271" w:rsidRPr="004F28A5" w:rsidRDefault="00752271" w:rsidP="00163F25">
            <w:r w:rsidRPr="004F28A5">
              <w:t>Some</w:t>
            </w:r>
          </w:p>
        </w:tc>
        <w:tc>
          <w:tcPr>
            <w:tcW w:w="1187" w:type="dxa"/>
            <w:gridSpan w:val="2"/>
            <w:shd w:val="clear" w:color="auto" w:fill="F5F5F1"/>
            <w:noWrap/>
            <w:hideMark/>
          </w:tcPr>
          <w:p w14:paraId="69359A82" w14:textId="77777777" w:rsidR="00752271" w:rsidRPr="004F28A5" w:rsidRDefault="00752271" w:rsidP="00163F25">
            <w:r w:rsidRPr="004F28A5">
              <w:t>21.9</w:t>
            </w:r>
          </w:p>
        </w:tc>
        <w:tc>
          <w:tcPr>
            <w:tcW w:w="1410" w:type="dxa"/>
            <w:gridSpan w:val="2"/>
            <w:shd w:val="clear" w:color="auto" w:fill="F5F5F1"/>
            <w:noWrap/>
            <w:hideMark/>
          </w:tcPr>
          <w:p w14:paraId="48754977" w14:textId="77777777" w:rsidR="00752271" w:rsidRPr="004F28A5" w:rsidRDefault="00752271" w:rsidP="00163F25">
            <w:r w:rsidRPr="004F28A5">
              <w:t>36.4</w:t>
            </w:r>
          </w:p>
        </w:tc>
        <w:tc>
          <w:tcPr>
            <w:tcW w:w="1132" w:type="dxa"/>
            <w:gridSpan w:val="2"/>
            <w:shd w:val="clear" w:color="auto" w:fill="F5F5F1"/>
            <w:noWrap/>
            <w:hideMark/>
          </w:tcPr>
          <w:p w14:paraId="569024B5" w14:textId="77777777" w:rsidR="00752271" w:rsidRPr="004F28A5" w:rsidRDefault="00752271" w:rsidP="00163F25">
            <w:r w:rsidRPr="004F28A5">
              <w:t>19</w:t>
            </w:r>
          </w:p>
        </w:tc>
        <w:tc>
          <w:tcPr>
            <w:tcW w:w="1033" w:type="dxa"/>
            <w:gridSpan w:val="2"/>
            <w:shd w:val="clear" w:color="auto" w:fill="F5F5F1"/>
            <w:noWrap/>
            <w:hideMark/>
          </w:tcPr>
          <w:p w14:paraId="72DD22B8" w14:textId="77777777" w:rsidR="00752271" w:rsidRPr="004F28A5" w:rsidRDefault="00752271" w:rsidP="00163F25">
            <w:r w:rsidRPr="004F28A5">
              <w:t>7.8</w:t>
            </w:r>
          </w:p>
        </w:tc>
        <w:tc>
          <w:tcPr>
            <w:tcW w:w="1175" w:type="dxa"/>
            <w:shd w:val="clear" w:color="auto" w:fill="F5F5F1"/>
            <w:noWrap/>
            <w:hideMark/>
          </w:tcPr>
          <w:p w14:paraId="2889ED6C" w14:textId="77777777" w:rsidR="00752271" w:rsidRPr="004F28A5" w:rsidRDefault="00752271" w:rsidP="00163F25">
            <w:r w:rsidRPr="004F28A5">
              <w:t>44.9</w:t>
            </w:r>
          </w:p>
        </w:tc>
        <w:tc>
          <w:tcPr>
            <w:tcW w:w="1300" w:type="dxa"/>
            <w:shd w:val="clear" w:color="auto" w:fill="F5F5F1"/>
            <w:noWrap/>
            <w:hideMark/>
          </w:tcPr>
          <w:p w14:paraId="4E661662" w14:textId="77777777" w:rsidR="00752271" w:rsidRPr="004F28A5" w:rsidRDefault="00752271" w:rsidP="00163F25">
            <w:r w:rsidRPr="004F28A5">
              <w:t>22.9</w:t>
            </w:r>
          </w:p>
        </w:tc>
      </w:tr>
      <w:tr w:rsidR="00752271" w:rsidRPr="004F28A5" w14:paraId="0058A5CB" w14:textId="77777777" w:rsidTr="00163F25">
        <w:trPr>
          <w:trHeight w:val="340"/>
          <w:tblHeader/>
        </w:trPr>
        <w:tc>
          <w:tcPr>
            <w:tcW w:w="1863" w:type="dxa"/>
            <w:shd w:val="clear" w:color="auto" w:fill="F5F5F1"/>
            <w:noWrap/>
            <w:hideMark/>
          </w:tcPr>
          <w:p w14:paraId="6371CDD9" w14:textId="77777777" w:rsidR="00752271" w:rsidRPr="004F28A5" w:rsidRDefault="00752271" w:rsidP="00163F25">
            <w:r w:rsidRPr="004F28A5">
              <w:t>A lot</w:t>
            </w:r>
          </w:p>
        </w:tc>
        <w:tc>
          <w:tcPr>
            <w:tcW w:w="1187" w:type="dxa"/>
            <w:gridSpan w:val="2"/>
            <w:shd w:val="clear" w:color="auto" w:fill="F5F5F1"/>
            <w:noWrap/>
            <w:hideMark/>
          </w:tcPr>
          <w:p w14:paraId="1FF2DE58" w14:textId="77777777" w:rsidR="00752271" w:rsidRPr="004F28A5" w:rsidRDefault="00752271" w:rsidP="00163F25">
            <w:r w:rsidRPr="004F28A5">
              <w:t>2.9</w:t>
            </w:r>
          </w:p>
        </w:tc>
        <w:tc>
          <w:tcPr>
            <w:tcW w:w="1410" w:type="dxa"/>
            <w:gridSpan w:val="2"/>
            <w:shd w:val="clear" w:color="auto" w:fill="F5F5F1"/>
            <w:noWrap/>
            <w:hideMark/>
          </w:tcPr>
          <w:p w14:paraId="434887A5" w14:textId="77777777" w:rsidR="00752271" w:rsidRPr="004F28A5" w:rsidRDefault="00752271" w:rsidP="00163F25">
            <w:r w:rsidRPr="004F28A5">
              <w:t>13.4</w:t>
            </w:r>
          </w:p>
        </w:tc>
        <w:tc>
          <w:tcPr>
            <w:tcW w:w="1132" w:type="dxa"/>
            <w:gridSpan w:val="2"/>
            <w:shd w:val="clear" w:color="auto" w:fill="F5F5F1"/>
            <w:noWrap/>
            <w:hideMark/>
          </w:tcPr>
          <w:p w14:paraId="5088AF30" w14:textId="77777777" w:rsidR="00752271" w:rsidRPr="004F28A5" w:rsidRDefault="00752271" w:rsidP="00163F25">
            <w:r w:rsidRPr="004F28A5">
              <w:t>3.3</w:t>
            </w:r>
          </w:p>
        </w:tc>
        <w:tc>
          <w:tcPr>
            <w:tcW w:w="1033" w:type="dxa"/>
            <w:gridSpan w:val="2"/>
            <w:shd w:val="clear" w:color="auto" w:fill="F5F5F1"/>
            <w:noWrap/>
            <w:hideMark/>
          </w:tcPr>
          <w:p w14:paraId="26B5B402" w14:textId="77777777" w:rsidR="00752271" w:rsidRPr="004F28A5" w:rsidRDefault="00752271" w:rsidP="00163F25">
            <w:r w:rsidRPr="004F28A5">
              <w:t>1.3</w:t>
            </w:r>
          </w:p>
        </w:tc>
        <w:tc>
          <w:tcPr>
            <w:tcW w:w="1175" w:type="dxa"/>
            <w:shd w:val="clear" w:color="auto" w:fill="F5F5F1"/>
            <w:noWrap/>
            <w:hideMark/>
          </w:tcPr>
          <w:p w14:paraId="23C775F6" w14:textId="77777777" w:rsidR="00752271" w:rsidRPr="004F28A5" w:rsidRDefault="00752271" w:rsidP="00163F25">
            <w:r w:rsidRPr="004F28A5">
              <w:t>23.5</w:t>
            </w:r>
          </w:p>
        </w:tc>
        <w:tc>
          <w:tcPr>
            <w:tcW w:w="1300" w:type="dxa"/>
            <w:shd w:val="clear" w:color="auto" w:fill="F5F5F1"/>
            <w:noWrap/>
            <w:hideMark/>
          </w:tcPr>
          <w:p w14:paraId="360531EA" w14:textId="77777777" w:rsidR="00752271" w:rsidRPr="004F28A5" w:rsidRDefault="00752271" w:rsidP="00163F25">
            <w:r w:rsidRPr="004F28A5">
              <w:t>2.9</w:t>
            </w:r>
          </w:p>
        </w:tc>
      </w:tr>
      <w:tr w:rsidR="00752271" w:rsidRPr="004F28A5" w14:paraId="0FA454A9" w14:textId="77777777" w:rsidTr="00163F25">
        <w:trPr>
          <w:trHeight w:val="340"/>
          <w:tblHeader/>
        </w:trPr>
        <w:tc>
          <w:tcPr>
            <w:tcW w:w="1863" w:type="dxa"/>
            <w:shd w:val="clear" w:color="auto" w:fill="F5F5F1"/>
            <w:noWrap/>
            <w:hideMark/>
          </w:tcPr>
          <w:p w14:paraId="63DD10AB" w14:textId="77777777" w:rsidR="00752271" w:rsidRPr="004F28A5" w:rsidRDefault="00752271" w:rsidP="00163F25">
            <w:r w:rsidRPr="004F28A5">
              <w:t>A great deal</w:t>
            </w:r>
          </w:p>
        </w:tc>
        <w:tc>
          <w:tcPr>
            <w:tcW w:w="1187" w:type="dxa"/>
            <w:gridSpan w:val="2"/>
            <w:shd w:val="clear" w:color="auto" w:fill="F5F5F1"/>
            <w:noWrap/>
            <w:hideMark/>
          </w:tcPr>
          <w:p w14:paraId="32D56B9B" w14:textId="77777777" w:rsidR="00752271" w:rsidRPr="004F28A5" w:rsidRDefault="00752271" w:rsidP="00163F25">
            <w:r w:rsidRPr="004F28A5">
              <w:t>0.2</w:t>
            </w:r>
          </w:p>
        </w:tc>
        <w:tc>
          <w:tcPr>
            <w:tcW w:w="1410" w:type="dxa"/>
            <w:gridSpan w:val="2"/>
            <w:shd w:val="clear" w:color="auto" w:fill="F5F5F1"/>
            <w:noWrap/>
            <w:hideMark/>
          </w:tcPr>
          <w:p w14:paraId="408DE85C" w14:textId="77777777" w:rsidR="00752271" w:rsidRPr="004F28A5" w:rsidRDefault="00752271" w:rsidP="00163F25">
            <w:r w:rsidRPr="004F28A5">
              <w:t>1</w:t>
            </w:r>
          </w:p>
        </w:tc>
        <w:tc>
          <w:tcPr>
            <w:tcW w:w="1132" w:type="dxa"/>
            <w:gridSpan w:val="2"/>
            <w:shd w:val="clear" w:color="auto" w:fill="F5F5F1"/>
            <w:noWrap/>
            <w:hideMark/>
          </w:tcPr>
          <w:p w14:paraId="1F17DD1A" w14:textId="77777777" w:rsidR="00752271" w:rsidRPr="004F28A5" w:rsidRDefault="00752271" w:rsidP="00163F25">
            <w:r w:rsidRPr="004F28A5">
              <w:t>0.5</w:t>
            </w:r>
          </w:p>
        </w:tc>
        <w:tc>
          <w:tcPr>
            <w:tcW w:w="1033" w:type="dxa"/>
            <w:gridSpan w:val="2"/>
            <w:shd w:val="clear" w:color="auto" w:fill="F5F5F1"/>
            <w:noWrap/>
            <w:hideMark/>
          </w:tcPr>
          <w:p w14:paraId="7189F374" w14:textId="77777777" w:rsidR="00752271" w:rsidRPr="004F28A5" w:rsidRDefault="00752271" w:rsidP="00163F25">
            <w:r w:rsidRPr="004F28A5">
              <w:t>0.1</w:t>
            </w:r>
          </w:p>
        </w:tc>
        <w:tc>
          <w:tcPr>
            <w:tcW w:w="1175" w:type="dxa"/>
            <w:shd w:val="clear" w:color="auto" w:fill="F5F5F1"/>
            <w:noWrap/>
            <w:hideMark/>
          </w:tcPr>
          <w:p w14:paraId="544D8E25" w14:textId="77777777" w:rsidR="00752271" w:rsidRPr="004F28A5" w:rsidRDefault="00752271" w:rsidP="00163F25">
            <w:r w:rsidRPr="004F28A5">
              <w:t>3.4</w:t>
            </w:r>
          </w:p>
        </w:tc>
        <w:tc>
          <w:tcPr>
            <w:tcW w:w="1300" w:type="dxa"/>
            <w:shd w:val="clear" w:color="auto" w:fill="F5F5F1"/>
            <w:noWrap/>
            <w:hideMark/>
          </w:tcPr>
          <w:p w14:paraId="3E52F596" w14:textId="77777777" w:rsidR="00752271" w:rsidRPr="004F28A5" w:rsidRDefault="00752271" w:rsidP="00163F25">
            <w:r w:rsidRPr="004F28A5">
              <w:t>0.4</w:t>
            </w:r>
          </w:p>
        </w:tc>
      </w:tr>
      <w:tr w:rsidR="00752271" w:rsidRPr="004F28A5" w14:paraId="06AD12C8" w14:textId="77777777" w:rsidTr="007442B0">
        <w:trPr>
          <w:trHeight w:val="340"/>
          <w:tblHeader/>
        </w:trPr>
        <w:tc>
          <w:tcPr>
            <w:tcW w:w="1863" w:type="dxa"/>
            <w:shd w:val="clear" w:color="auto" w:fill="F5F5F1"/>
            <w:noWrap/>
            <w:hideMark/>
          </w:tcPr>
          <w:p w14:paraId="2E5090B7" w14:textId="77777777" w:rsidR="00752271" w:rsidRPr="004F28A5" w:rsidRDefault="00752271" w:rsidP="00163F25">
            <w:r w:rsidRPr="004F28A5">
              <w:t>Total</w:t>
            </w:r>
          </w:p>
        </w:tc>
        <w:tc>
          <w:tcPr>
            <w:tcW w:w="1187" w:type="dxa"/>
            <w:gridSpan w:val="2"/>
            <w:shd w:val="clear" w:color="auto" w:fill="F5F5F1"/>
            <w:noWrap/>
            <w:hideMark/>
          </w:tcPr>
          <w:p w14:paraId="63CC9498" w14:textId="77777777" w:rsidR="00752271" w:rsidRPr="004F28A5" w:rsidRDefault="00752271" w:rsidP="00163F25">
            <w:r w:rsidRPr="004F28A5">
              <w:t>100</w:t>
            </w:r>
          </w:p>
        </w:tc>
        <w:tc>
          <w:tcPr>
            <w:tcW w:w="1410" w:type="dxa"/>
            <w:gridSpan w:val="2"/>
            <w:shd w:val="clear" w:color="auto" w:fill="F5F5F1"/>
            <w:noWrap/>
            <w:hideMark/>
          </w:tcPr>
          <w:p w14:paraId="3A6D7C70" w14:textId="77777777" w:rsidR="00752271" w:rsidRPr="004F28A5" w:rsidRDefault="00752271" w:rsidP="00163F25">
            <w:r w:rsidRPr="004F28A5">
              <w:t>100</w:t>
            </w:r>
          </w:p>
        </w:tc>
        <w:tc>
          <w:tcPr>
            <w:tcW w:w="1132" w:type="dxa"/>
            <w:gridSpan w:val="2"/>
            <w:shd w:val="clear" w:color="auto" w:fill="F5F5F1"/>
            <w:noWrap/>
            <w:hideMark/>
          </w:tcPr>
          <w:p w14:paraId="154B99C6" w14:textId="77777777" w:rsidR="00752271" w:rsidRPr="004F28A5" w:rsidRDefault="00752271" w:rsidP="00163F25">
            <w:r w:rsidRPr="004F28A5">
              <w:t>100</w:t>
            </w:r>
          </w:p>
        </w:tc>
        <w:tc>
          <w:tcPr>
            <w:tcW w:w="1033" w:type="dxa"/>
            <w:gridSpan w:val="2"/>
            <w:shd w:val="clear" w:color="auto" w:fill="F5F5F1"/>
            <w:noWrap/>
            <w:hideMark/>
          </w:tcPr>
          <w:p w14:paraId="1057068B" w14:textId="77777777" w:rsidR="00752271" w:rsidRPr="004F28A5" w:rsidRDefault="00752271" w:rsidP="00163F25">
            <w:r w:rsidRPr="004F28A5">
              <w:t>100</w:t>
            </w:r>
          </w:p>
        </w:tc>
        <w:tc>
          <w:tcPr>
            <w:tcW w:w="1175" w:type="dxa"/>
            <w:shd w:val="clear" w:color="auto" w:fill="F5F5F1"/>
            <w:noWrap/>
            <w:hideMark/>
          </w:tcPr>
          <w:p w14:paraId="75A2AC27" w14:textId="77777777" w:rsidR="00752271" w:rsidRPr="004F28A5" w:rsidRDefault="00752271" w:rsidP="00163F25">
            <w:r w:rsidRPr="004F28A5">
              <w:t>100</w:t>
            </w:r>
          </w:p>
        </w:tc>
        <w:tc>
          <w:tcPr>
            <w:tcW w:w="1300" w:type="dxa"/>
            <w:shd w:val="clear" w:color="auto" w:fill="F5F5F1"/>
            <w:noWrap/>
            <w:hideMark/>
          </w:tcPr>
          <w:p w14:paraId="7CB35411" w14:textId="77777777" w:rsidR="00752271" w:rsidRPr="004F28A5" w:rsidRDefault="00752271" w:rsidP="00163F25">
            <w:r w:rsidRPr="004F28A5">
              <w:t>100</w:t>
            </w:r>
          </w:p>
        </w:tc>
      </w:tr>
      <w:tr w:rsidR="00752271" w:rsidRPr="004F28A5" w14:paraId="6E194FE1" w14:textId="77777777" w:rsidTr="007442B0">
        <w:trPr>
          <w:trHeight w:val="340"/>
          <w:tblHeader/>
        </w:trPr>
        <w:tc>
          <w:tcPr>
            <w:tcW w:w="1863" w:type="dxa"/>
            <w:tcBorders>
              <w:bottom w:val="single" w:sz="12" w:space="0" w:color="auto"/>
            </w:tcBorders>
            <w:shd w:val="clear" w:color="auto" w:fill="F5F5F1"/>
            <w:noWrap/>
            <w:hideMark/>
          </w:tcPr>
          <w:p w14:paraId="38B626D9" w14:textId="77777777" w:rsidR="00752271" w:rsidRPr="004F28A5" w:rsidRDefault="00752271" w:rsidP="00163F25">
            <w:r w:rsidRPr="004F28A5">
              <w:t>N=</w:t>
            </w:r>
          </w:p>
        </w:tc>
        <w:tc>
          <w:tcPr>
            <w:tcW w:w="1187" w:type="dxa"/>
            <w:gridSpan w:val="2"/>
            <w:tcBorders>
              <w:bottom w:val="single" w:sz="12" w:space="0" w:color="auto"/>
            </w:tcBorders>
            <w:shd w:val="clear" w:color="auto" w:fill="F5F5F1"/>
            <w:noWrap/>
            <w:hideMark/>
          </w:tcPr>
          <w:p w14:paraId="3EFD2268" w14:textId="77777777" w:rsidR="00752271" w:rsidRPr="004F28A5" w:rsidRDefault="00752271" w:rsidP="00163F25">
            <w:r w:rsidRPr="004F28A5">
              <w:t>2,251</w:t>
            </w:r>
          </w:p>
        </w:tc>
        <w:tc>
          <w:tcPr>
            <w:tcW w:w="1410" w:type="dxa"/>
            <w:gridSpan w:val="2"/>
            <w:tcBorders>
              <w:bottom w:val="single" w:sz="12" w:space="0" w:color="auto"/>
            </w:tcBorders>
            <w:shd w:val="clear" w:color="auto" w:fill="F5F5F1"/>
            <w:noWrap/>
            <w:hideMark/>
          </w:tcPr>
          <w:p w14:paraId="101DC5E1" w14:textId="77777777" w:rsidR="00752271" w:rsidRPr="004F28A5" w:rsidRDefault="00752271" w:rsidP="00163F25">
            <w:r w:rsidRPr="004F28A5">
              <w:t>2,832</w:t>
            </w:r>
          </w:p>
        </w:tc>
        <w:tc>
          <w:tcPr>
            <w:tcW w:w="1132" w:type="dxa"/>
            <w:gridSpan w:val="2"/>
            <w:tcBorders>
              <w:bottom w:val="single" w:sz="12" w:space="0" w:color="auto"/>
            </w:tcBorders>
            <w:shd w:val="clear" w:color="auto" w:fill="F5F5F1"/>
            <w:noWrap/>
            <w:hideMark/>
          </w:tcPr>
          <w:p w14:paraId="613CF0E6" w14:textId="77777777" w:rsidR="00752271" w:rsidRPr="004F28A5" w:rsidRDefault="00752271" w:rsidP="00163F25">
            <w:r w:rsidRPr="004F28A5">
              <w:t>2,007</w:t>
            </w:r>
          </w:p>
        </w:tc>
        <w:tc>
          <w:tcPr>
            <w:tcW w:w="1033" w:type="dxa"/>
            <w:gridSpan w:val="2"/>
            <w:tcBorders>
              <w:bottom w:val="single" w:sz="12" w:space="0" w:color="auto"/>
            </w:tcBorders>
            <w:shd w:val="clear" w:color="auto" w:fill="F5F5F1"/>
            <w:noWrap/>
            <w:hideMark/>
          </w:tcPr>
          <w:p w14:paraId="79F28F2D" w14:textId="77777777" w:rsidR="00752271" w:rsidRPr="004F28A5" w:rsidRDefault="00752271" w:rsidP="00163F25">
            <w:r w:rsidRPr="004F28A5">
              <w:t>2,527</w:t>
            </w:r>
          </w:p>
        </w:tc>
        <w:tc>
          <w:tcPr>
            <w:tcW w:w="1175" w:type="dxa"/>
            <w:tcBorders>
              <w:bottom w:val="single" w:sz="12" w:space="0" w:color="auto"/>
            </w:tcBorders>
            <w:shd w:val="clear" w:color="auto" w:fill="F5F5F1"/>
            <w:noWrap/>
            <w:hideMark/>
          </w:tcPr>
          <w:p w14:paraId="696BB991" w14:textId="77777777" w:rsidR="00752271" w:rsidRPr="004F28A5" w:rsidRDefault="00752271" w:rsidP="00163F25">
            <w:r w:rsidRPr="004F28A5">
              <w:t>1,535</w:t>
            </w:r>
          </w:p>
        </w:tc>
        <w:tc>
          <w:tcPr>
            <w:tcW w:w="1300" w:type="dxa"/>
            <w:tcBorders>
              <w:bottom w:val="single" w:sz="12" w:space="0" w:color="auto"/>
            </w:tcBorders>
            <w:shd w:val="clear" w:color="auto" w:fill="F5F5F1"/>
            <w:noWrap/>
            <w:hideMark/>
          </w:tcPr>
          <w:p w14:paraId="64BAD20E" w14:textId="77777777" w:rsidR="00752271" w:rsidRPr="004F28A5" w:rsidRDefault="00752271" w:rsidP="00163F25">
            <w:r w:rsidRPr="004F28A5">
              <w:t>1,643</w:t>
            </w:r>
          </w:p>
        </w:tc>
      </w:tr>
      <w:tr w:rsidR="00752271" w:rsidRPr="004F28A5" w14:paraId="7B0A025E" w14:textId="77777777" w:rsidTr="007442B0">
        <w:trPr>
          <w:trHeight w:val="320"/>
        </w:trPr>
        <w:tc>
          <w:tcPr>
            <w:tcW w:w="9100" w:type="dxa"/>
            <w:gridSpan w:val="11"/>
            <w:tcBorders>
              <w:top w:val="single" w:sz="12" w:space="0" w:color="auto"/>
            </w:tcBorders>
            <w:noWrap/>
          </w:tcPr>
          <w:p w14:paraId="5C1A610C" w14:textId="21ABCAC1" w:rsidR="00752271" w:rsidRPr="004F28A5" w:rsidRDefault="00752271" w:rsidP="00356C15">
            <w:pPr>
              <w:rPr>
                <w:i/>
                <w:iCs/>
                <w:color w:val="000000"/>
                <w:sz w:val="18"/>
                <w:szCs w:val="18"/>
              </w:rPr>
            </w:pPr>
            <w:r w:rsidRPr="004F28A5">
              <w:rPr>
                <w:i/>
                <w:iCs/>
                <w:color w:val="000000"/>
                <w:sz w:val="18"/>
                <w:szCs w:val="18"/>
              </w:rPr>
              <w:t xml:space="preserve">Source: </w:t>
            </w:r>
            <w:r w:rsidRPr="004F28A5">
              <w:rPr>
                <w:color w:val="000000"/>
                <w:sz w:val="18"/>
                <w:szCs w:val="18"/>
              </w:rPr>
              <w:t>European Social Survey Round 8, ESS-ERIC; See http://dd.dgacm.org/editorialmanual/ed-guidelines/format/tables.htm</w:t>
            </w:r>
          </w:p>
        </w:tc>
      </w:tr>
    </w:tbl>
    <w:p w14:paraId="67278466" w14:textId="77777777" w:rsidR="00355C6D" w:rsidRPr="004F28A5" w:rsidRDefault="00355C6D" w:rsidP="005E1A55">
      <w:pPr>
        <w:spacing w:before="0" w:after="0" w:line="240" w:lineRule="auto"/>
        <w:rPr>
          <w:rFonts w:asciiTheme="minorHAnsi" w:eastAsiaTheme="majorEastAsia" w:hAnsiTheme="minorHAnsi" w:cstheme="minorHAnsi"/>
          <w:b/>
          <w:color w:val="0A59AB"/>
          <w:spacing w:val="4"/>
          <w:kern w:val="0"/>
          <w:sz w:val="30"/>
          <w:szCs w:val="30"/>
        </w:rPr>
      </w:pPr>
    </w:p>
    <w:sectPr w:rsidR="00355C6D" w:rsidRPr="004F28A5" w:rsidSect="004F28A5">
      <w:footerReference w:type="even" r:id="rId33"/>
      <w:footerReference w:type="default" r:id="rId34"/>
      <w:pgSz w:w="11900" w:h="16820"/>
      <w:pgMar w:top="1440" w:right="1460" w:bottom="143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2A632" w14:textId="77777777" w:rsidR="00560C0F" w:rsidRPr="004F28A5" w:rsidRDefault="00560C0F" w:rsidP="00461540">
      <w:r w:rsidRPr="004F28A5">
        <w:separator/>
      </w:r>
    </w:p>
  </w:endnote>
  <w:endnote w:type="continuationSeparator" w:id="0">
    <w:p w14:paraId="6740ACA1" w14:textId="77777777" w:rsidR="00560C0F" w:rsidRPr="004F28A5" w:rsidRDefault="00560C0F" w:rsidP="00461540">
      <w:r w:rsidRPr="004F28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E00002FF" w:usb1="4000001F" w:usb2="08000029" w:usb3="00000000" w:csb0="00000001" w:csb1="00000000"/>
  </w:font>
  <w:font w:name="Futura PT Medium">
    <w:altName w:val="Lucida Sans Unicode"/>
    <w:panose1 w:val="00000000000000000000"/>
    <w:charset w:val="4D"/>
    <w:family w:val="swiss"/>
    <w:notTrueType/>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78062727"/>
      <w:docPartObj>
        <w:docPartGallery w:val="Page Numbers (Bottom of Page)"/>
        <w:docPartUnique/>
      </w:docPartObj>
    </w:sdtPr>
    <w:sdtEndPr>
      <w:rPr>
        <w:rStyle w:val="PageNumber"/>
      </w:rPr>
    </w:sdtEndPr>
    <w:sdtContent>
      <w:p w14:paraId="72B7284F" w14:textId="45A8B1BB" w:rsidR="00C22620" w:rsidRPr="004F28A5" w:rsidRDefault="00C22620" w:rsidP="005935AC">
        <w:pPr>
          <w:pStyle w:val="Footer"/>
          <w:framePr w:wrap="none" w:vAnchor="text" w:hAnchor="margin" w:xAlign="right" w:y="1"/>
          <w:rPr>
            <w:rStyle w:val="PageNumber"/>
          </w:rPr>
        </w:pPr>
        <w:r w:rsidRPr="004F28A5">
          <w:rPr>
            <w:rStyle w:val="PageNumber"/>
          </w:rPr>
          <w:fldChar w:fldCharType="begin"/>
        </w:r>
        <w:r w:rsidRPr="004F28A5">
          <w:rPr>
            <w:rStyle w:val="PageNumber"/>
          </w:rPr>
          <w:instrText xml:space="preserve"> PAGE </w:instrText>
        </w:r>
        <w:r w:rsidRPr="004F28A5">
          <w:rPr>
            <w:rStyle w:val="PageNumber"/>
          </w:rPr>
          <w:fldChar w:fldCharType="end"/>
        </w:r>
      </w:p>
    </w:sdtContent>
  </w:sdt>
  <w:p w14:paraId="143BCC80" w14:textId="77777777" w:rsidR="00C22620" w:rsidRPr="004F28A5" w:rsidRDefault="00C22620"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3383959"/>
      <w:docPartObj>
        <w:docPartGallery w:val="Page Numbers (Bottom of Page)"/>
        <w:docPartUnique/>
      </w:docPartObj>
    </w:sdtPr>
    <w:sdtEndPr>
      <w:rPr>
        <w:rStyle w:val="PageNumber"/>
        <w:b/>
        <w:sz w:val="18"/>
        <w:szCs w:val="18"/>
      </w:rPr>
    </w:sdtEndPr>
    <w:sdtContent>
      <w:p w14:paraId="672B0C64" w14:textId="4F57E9B2" w:rsidR="00C22620" w:rsidRPr="004F28A5" w:rsidRDefault="00C22620" w:rsidP="00867838">
        <w:pPr>
          <w:pStyle w:val="Footer"/>
          <w:framePr w:wrap="none" w:vAnchor="text" w:hAnchor="margin" w:xAlign="right" w:y="1"/>
          <w:spacing w:before="0" w:after="0" w:line="240" w:lineRule="auto"/>
          <w:rPr>
            <w:rStyle w:val="PageNumber"/>
            <w:b/>
          </w:rPr>
        </w:pPr>
        <w:r w:rsidRPr="004F28A5">
          <w:rPr>
            <w:rStyle w:val="PageNumber"/>
            <w:rFonts w:cstheme="minorHAnsi"/>
            <w:b/>
          </w:rPr>
          <w:fldChar w:fldCharType="begin"/>
        </w:r>
        <w:r w:rsidRPr="004F28A5">
          <w:rPr>
            <w:rStyle w:val="PageNumber"/>
            <w:rFonts w:cstheme="minorHAnsi"/>
            <w:b/>
          </w:rPr>
          <w:instrText xml:space="preserve"> PAGE </w:instrText>
        </w:r>
        <w:r w:rsidRPr="004F28A5">
          <w:rPr>
            <w:rStyle w:val="PageNumber"/>
            <w:rFonts w:cstheme="minorHAnsi"/>
            <w:b/>
          </w:rPr>
          <w:fldChar w:fldCharType="separate"/>
        </w:r>
        <w:r w:rsidR="008950ED">
          <w:rPr>
            <w:rStyle w:val="PageNumber"/>
            <w:rFonts w:cstheme="minorHAnsi"/>
            <w:b/>
            <w:noProof/>
          </w:rPr>
          <w:t>5</w:t>
        </w:r>
        <w:r w:rsidRPr="004F28A5">
          <w:rPr>
            <w:rStyle w:val="PageNumber"/>
            <w:rFonts w:cstheme="minorHAnsi"/>
            <w:b/>
          </w:rPr>
          <w:fldChar w:fldCharType="end"/>
        </w:r>
      </w:p>
    </w:sdtContent>
  </w:sdt>
  <w:p w14:paraId="74790FA2" w14:textId="7AF6604F" w:rsidR="00017F46" w:rsidRPr="004F28A5" w:rsidRDefault="00017F46" w:rsidP="00017F46">
    <w:pPr>
      <w:pStyle w:val="Footer"/>
      <w:tabs>
        <w:tab w:val="clear" w:pos="9360"/>
        <w:tab w:val="right" w:pos="8300"/>
      </w:tabs>
      <w:spacing w:before="0"/>
      <w:ind w:left="432" w:right="360"/>
      <w:rPr>
        <w:spacing w:val="-2"/>
        <w:sz w:val="18"/>
        <w:szCs w:val="18"/>
        <w:lang w:val="en-US"/>
      </w:rPr>
    </w:pPr>
    <w:r w:rsidRPr="004F28A5">
      <w:rPr>
        <w:rFonts w:asciiTheme="minorHAnsi" w:hAnsiTheme="minorHAnsi"/>
        <w:noProof/>
        <w:color w:val="FFC000"/>
        <w:sz w:val="18"/>
        <w:szCs w:val="18"/>
        <w:lang w:eastAsia="en-GB"/>
      </w:rPr>
      <mc:AlternateContent>
        <mc:Choice Requires="wps">
          <w:drawing>
            <wp:anchor distT="0" distB="0" distL="114300" distR="114300" simplePos="0" relativeHeight="251660288" behindDoc="1" locked="0" layoutInCell="1" allowOverlap="1" wp14:anchorId="6359A359" wp14:editId="4C715307">
              <wp:simplePos x="0" y="0"/>
              <wp:positionH relativeFrom="column">
                <wp:posOffset>5328925</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72F64FF" id="Rounded Rectangle 4" o:spid="_x0000_s1026" alt="&quot;&quot;" style="position:absolute;margin-left:419.6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" fillcolor="#ffc000" stroked="f" strokeweight="1pt">
              <v:stroke joinstyle="miter"/>
              <w10:wrap type="through"/>
            </v:roundrect>
          </w:pict>
        </mc:Fallback>
      </mc:AlternateContent>
    </w:r>
    <w:r w:rsidRPr="004F28A5">
      <w:rPr>
        <w:rFonts w:asciiTheme="minorHAnsi" w:hAnsiTheme="minorHAnsi"/>
        <w:noProof/>
        <w:sz w:val="18"/>
        <w:szCs w:val="18"/>
        <w:lang w:eastAsia="en-GB"/>
      </w:rPr>
      <w:drawing>
        <wp:anchor distT="0" distB="0" distL="114300" distR="114300" simplePos="0" relativeHeight="251659264" behindDoc="0" locked="0" layoutInCell="1" allowOverlap="1" wp14:anchorId="26BEA2FF" wp14:editId="7A7FE06F">
          <wp:simplePos x="0" y="0"/>
          <wp:positionH relativeFrom="column">
            <wp:posOffset>-3810</wp:posOffset>
          </wp:positionH>
          <wp:positionV relativeFrom="paragraph">
            <wp:posOffset>-6127</wp:posOffset>
          </wp:positionV>
          <wp:extent cx="287020" cy="148590"/>
          <wp:effectExtent l="0" t="0" r="0" b="3810"/>
          <wp:wrapNone/>
          <wp:docPr id="10" name="Picture 10" title="Logo of CRPD(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8A5">
      <w:rPr>
        <w:rFonts w:asciiTheme="minorHAnsi" w:hAnsiTheme="minorHAnsi"/>
        <w:sz w:val="18"/>
        <w:szCs w:val="18"/>
        <w:lang w:val="en-US"/>
      </w:rPr>
      <w:t xml:space="preserve">  </w:t>
    </w:r>
    <w:r w:rsidRPr="004F28A5">
      <w:rPr>
        <w:color w:val="7F7F7F" w:themeColor="text1" w:themeTint="80"/>
        <w:sz w:val="18"/>
        <w:szCs w:val="18"/>
        <w:lang w:val="en-US"/>
      </w:rPr>
      <w:t>+</w:t>
    </w:r>
    <w:r w:rsidRPr="004F28A5">
      <w:rPr>
        <w:color w:val="7F7F7F" w:themeColor="text1" w:themeTint="80"/>
        <w:spacing w:val="-2"/>
        <w:sz w:val="18"/>
        <w:szCs w:val="18"/>
        <w:lang w:val="en-US"/>
      </w:rPr>
      <w:t xml:space="preserve"> Data Sources on Article</w:t>
    </w:r>
    <w:r w:rsidR="00D364D5" w:rsidRPr="004F28A5">
      <w:rPr>
        <w:color w:val="7F7F7F" w:themeColor="text1" w:themeTint="80"/>
        <w:spacing w:val="-2"/>
        <w:sz w:val="18"/>
        <w:szCs w:val="18"/>
        <w:lang w:val="en-US"/>
      </w:rPr>
      <w:t>s</w:t>
    </w:r>
    <w:r w:rsidRPr="004F28A5">
      <w:rPr>
        <w:color w:val="7F7F7F" w:themeColor="text1" w:themeTint="80"/>
        <w:spacing w:val="-2"/>
        <w:sz w:val="18"/>
        <w:szCs w:val="18"/>
        <w:lang w:val="en-US"/>
      </w:rPr>
      <w:t xml:space="preserve"> 1-4 (outcome indicators)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ECC8F" w14:textId="77777777" w:rsidR="00560C0F" w:rsidRPr="004F28A5" w:rsidRDefault="00560C0F" w:rsidP="00461540">
      <w:r w:rsidRPr="004F28A5">
        <w:separator/>
      </w:r>
    </w:p>
  </w:footnote>
  <w:footnote w:type="continuationSeparator" w:id="0">
    <w:p w14:paraId="199707CB" w14:textId="77777777" w:rsidR="00560C0F" w:rsidRPr="004F28A5" w:rsidRDefault="00560C0F" w:rsidP="00461540">
      <w:r w:rsidRPr="004F28A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7C23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2C65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72B1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527D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E06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A6D6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B847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24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09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20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8149D"/>
    <w:multiLevelType w:val="hybridMultilevel"/>
    <w:tmpl w:val="2BC81974"/>
    <w:lvl w:ilvl="0" w:tplc="16AC17F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61170AF"/>
    <w:multiLevelType w:val="hybridMultilevel"/>
    <w:tmpl w:val="8BB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7475E"/>
    <w:multiLevelType w:val="hybridMultilevel"/>
    <w:tmpl w:val="61D6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8F1C77"/>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19C5107"/>
    <w:multiLevelType w:val="hybridMultilevel"/>
    <w:tmpl w:val="680CF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F1332C"/>
    <w:multiLevelType w:val="hybridMultilevel"/>
    <w:tmpl w:val="0A362A8E"/>
    <w:lvl w:ilvl="0" w:tplc="21C03726">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6071F"/>
    <w:multiLevelType w:val="hybridMultilevel"/>
    <w:tmpl w:val="A7C25218"/>
    <w:lvl w:ilvl="0" w:tplc="04090003">
      <w:start w:val="1"/>
      <w:numFmt w:val="bullet"/>
      <w:lvlText w:val="o"/>
      <w:lvlJc w:val="left"/>
      <w:pPr>
        <w:ind w:left="360" w:hanging="360"/>
      </w:pPr>
      <w:rPr>
        <w:rFonts w:ascii="Courier New" w:hAnsi="Courier New" w:cs="Courier New"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AD361B"/>
    <w:multiLevelType w:val="hybridMultilevel"/>
    <w:tmpl w:val="CE76353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14225"/>
    <w:multiLevelType w:val="hybridMultilevel"/>
    <w:tmpl w:val="349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92884"/>
    <w:multiLevelType w:val="hybridMultilevel"/>
    <w:tmpl w:val="346A4E36"/>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6D35E5"/>
    <w:multiLevelType w:val="hybridMultilevel"/>
    <w:tmpl w:val="B5E0F6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12281F"/>
    <w:multiLevelType w:val="hybridMultilevel"/>
    <w:tmpl w:val="DEF6219E"/>
    <w:lvl w:ilvl="0" w:tplc="6B168F8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355B84"/>
    <w:multiLevelType w:val="hybridMultilevel"/>
    <w:tmpl w:val="560C8932"/>
    <w:lvl w:ilvl="0" w:tplc="9EF482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9171C6"/>
    <w:multiLevelType w:val="multilevel"/>
    <w:tmpl w:val="06D4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F37AB6"/>
    <w:multiLevelType w:val="hybridMultilevel"/>
    <w:tmpl w:val="C71AEB30"/>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B486A"/>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6743790"/>
    <w:multiLevelType w:val="hybridMultilevel"/>
    <w:tmpl w:val="B498BB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363AD"/>
    <w:multiLevelType w:val="hybridMultilevel"/>
    <w:tmpl w:val="80FC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D60F3C"/>
    <w:multiLevelType w:val="hybridMultilevel"/>
    <w:tmpl w:val="913AC3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C9652E"/>
    <w:multiLevelType w:val="hybridMultilevel"/>
    <w:tmpl w:val="B99AF69A"/>
    <w:lvl w:ilvl="0" w:tplc="E09C8312">
      <w:numFmt w:val="bullet"/>
      <w:lvlText w:val="-"/>
      <w:lvlJc w:val="left"/>
      <w:pPr>
        <w:ind w:left="360" w:hanging="360"/>
      </w:pPr>
      <w:rPr>
        <w:rFonts w:ascii="Calibri" w:eastAsiaTheme="minorHAnsi" w:hAnsi="Calibri" w:cstheme="minorHAnsi"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614D6E"/>
    <w:multiLevelType w:val="hybridMultilevel"/>
    <w:tmpl w:val="CD88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AA310F"/>
    <w:multiLevelType w:val="hybridMultilevel"/>
    <w:tmpl w:val="9DE28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223CE7"/>
    <w:multiLevelType w:val="hybridMultilevel"/>
    <w:tmpl w:val="363E6A1E"/>
    <w:lvl w:ilvl="0" w:tplc="04090001">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E6E01"/>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EA01FD7"/>
    <w:multiLevelType w:val="hybridMultilevel"/>
    <w:tmpl w:val="6302AAD0"/>
    <w:lvl w:ilvl="0" w:tplc="8A8C9DA0">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2D52EB"/>
    <w:multiLevelType w:val="hybridMultilevel"/>
    <w:tmpl w:val="87DC68C6"/>
    <w:lvl w:ilvl="0" w:tplc="04090011">
      <w:start w:val="1"/>
      <w:numFmt w:val="decimal"/>
      <w:lvlText w:val="%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6" w15:restartNumberingAfterBreak="0">
    <w:nsid w:val="648C1659"/>
    <w:multiLevelType w:val="hybridMultilevel"/>
    <w:tmpl w:val="317474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0237F"/>
    <w:multiLevelType w:val="hybridMultilevel"/>
    <w:tmpl w:val="CA8C0D02"/>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1008A"/>
    <w:multiLevelType w:val="hybridMultilevel"/>
    <w:tmpl w:val="B45831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A4D5889"/>
    <w:multiLevelType w:val="hybridMultilevel"/>
    <w:tmpl w:val="7A8A6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81142"/>
    <w:multiLevelType w:val="hybridMultilevel"/>
    <w:tmpl w:val="9C864FFA"/>
    <w:lvl w:ilvl="0" w:tplc="9B4C629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41" w15:restartNumberingAfterBreak="0">
    <w:nsid w:val="72EA5118"/>
    <w:multiLevelType w:val="hybridMultilevel"/>
    <w:tmpl w:val="9D485C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DD1A27"/>
    <w:multiLevelType w:val="hybridMultilevel"/>
    <w:tmpl w:val="DF2294B0"/>
    <w:lvl w:ilvl="0" w:tplc="04090017">
      <w:start w:val="1"/>
      <w:numFmt w:val="lowerLetter"/>
      <w:lvlText w:val="%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43" w15:restartNumberingAfterBreak="0">
    <w:nsid w:val="77A41191"/>
    <w:multiLevelType w:val="hybridMultilevel"/>
    <w:tmpl w:val="143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77DC7"/>
    <w:multiLevelType w:val="hybridMultilevel"/>
    <w:tmpl w:val="054A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D170D"/>
    <w:multiLevelType w:val="hybridMultilevel"/>
    <w:tmpl w:val="F7261B36"/>
    <w:lvl w:ilvl="0" w:tplc="9A5A01A2">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309A4"/>
    <w:multiLevelType w:val="hybridMultilevel"/>
    <w:tmpl w:val="38CC68A0"/>
    <w:lvl w:ilvl="0" w:tplc="D3F4B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38"/>
  </w:num>
  <w:num w:numId="4">
    <w:abstractNumId w:val="33"/>
  </w:num>
  <w:num w:numId="5">
    <w:abstractNumId w:val="23"/>
  </w:num>
  <w:num w:numId="6">
    <w:abstractNumId w:val="44"/>
  </w:num>
  <w:num w:numId="7">
    <w:abstractNumId w:val="27"/>
  </w:num>
  <w:num w:numId="8">
    <w:abstractNumId w:val="26"/>
  </w:num>
  <w:num w:numId="9">
    <w:abstractNumId w:val="34"/>
  </w:num>
  <w:num w:numId="10">
    <w:abstractNumId w:val="29"/>
  </w:num>
  <w:num w:numId="11">
    <w:abstractNumId w:val="16"/>
  </w:num>
  <w:num w:numId="12">
    <w:abstractNumId w:val="41"/>
  </w:num>
  <w:num w:numId="13">
    <w:abstractNumId w:val="25"/>
  </w:num>
  <w:num w:numId="14">
    <w:abstractNumId w:val="13"/>
  </w:num>
  <w:num w:numId="15">
    <w:abstractNumId w:val="39"/>
  </w:num>
  <w:num w:numId="16">
    <w:abstractNumId w:val="14"/>
  </w:num>
  <w:num w:numId="17">
    <w:abstractNumId w:val="11"/>
  </w:num>
  <w:num w:numId="18">
    <w:abstractNumId w:val="46"/>
  </w:num>
  <w:num w:numId="19">
    <w:abstractNumId w:val="17"/>
  </w:num>
  <w:num w:numId="20">
    <w:abstractNumId w:val="15"/>
  </w:num>
  <w:num w:numId="21">
    <w:abstractNumId w:val="32"/>
  </w:num>
  <w:num w:numId="22">
    <w:abstractNumId w:val="45"/>
  </w:num>
  <w:num w:numId="23">
    <w:abstractNumId w:val="24"/>
  </w:num>
  <w:num w:numId="24">
    <w:abstractNumId w:val="22"/>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19"/>
  </w:num>
  <w:num w:numId="36">
    <w:abstractNumId w:val="37"/>
  </w:num>
  <w:num w:numId="37">
    <w:abstractNumId w:val="30"/>
  </w:num>
  <w:num w:numId="38">
    <w:abstractNumId w:val="43"/>
  </w:num>
  <w:num w:numId="39">
    <w:abstractNumId w:val="12"/>
  </w:num>
  <w:num w:numId="40">
    <w:abstractNumId w:val="42"/>
  </w:num>
  <w:num w:numId="41">
    <w:abstractNumId w:val="31"/>
  </w:num>
  <w:num w:numId="42">
    <w:abstractNumId w:val="10"/>
  </w:num>
  <w:num w:numId="43">
    <w:abstractNumId w:val="35"/>
  </w:num>
  <w:num w:numId="44">
    <w:abstractNumId w:val="36"/>
  </w:num>
  <w:num w:numId="45">
    <w:abstractNumId w:val="28"/>
  </w:num>
  <w:num w:numId="46">
    <w:abstractNumId w:val="2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a-DK" w:vendorID="64" w:dllVersion="4096" w:nlCheck="1" w:checkStyle="0"/>
  <w:activeWritingStyle w:appName="MSWord" w:lang="en-GB" w:vendorID="64" w:dllVersion="0" w:nlCheck="1" w:checkStyle="0"/>
  <w:activeWritingStyle w:appName="MSWord" w:lang="en-GB" w:vendorID="64" w:dllVersion="131078" w:nlCheck="1" w:checkStyle="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70"/>
    <w:rsid w:val="000132FA"/>
    <w:rsid w:val="00015BA0"/>
    <w:rsid w:val="000175F5"/>
    <w:rsid w:val="00017F46"/>
    <w:rsid w:val="0002001C"/>
    <w:rsid w:val="000255F1"/>
    <w:rsid w:val="00034D7E"/>
    <w:rsid w:val="00053222"/>
    <w:rsid w:val="00062C31"/>
    <w:rsid w:val="000764AF"/>
    <w:rsid w:val="00085AA9"/>
    <w:rsid w:val="00087BBD"/>
    <w:rsid w:val="0009093A"/>
    <w:rsid w:val="000A661C"/>
    <w:rsid w:val="000B1186"/>
    <w:rsid w:val="000B13D8"/>
    <w:rsid w:val="000B1723"/>
    <w:rsid w:val="000B4117"/>
    <w:rsid w:val="000D47E4"/>
    <w:rsid w:val="000F5328"/>
    <w:rsid w:val="000F56DA"/>
    <w:rsid w:val="00101E46"/>
    <w:rsid w:val="00102434"/>
    <w:rsid w:val="00104C3F"/>
    <w:rsid w:val="0011247F"/>
    <w:rsid w:val="00113282"/>
    <w:rsid w:val="00113670"/>
    <w:rsid w:val="00116DE9"/>
    <w:rsid w:val="001243C1"/>
    <w:rsid w:val="00124491"/>
    <w:rsid w:val="001541E8"/>
    <w:rsid w:val="00162F7E"/>
    <w:rsid w:val="00163B0E"/>
    <w:rsid w:val="00163F25"/>
    <w:rsid w:val="00166B8E"/>
    <w:rsid w:val="00173D86"/>
    <w:rsid w:val="00191D5C"/>
    <w:rsid w:val="00191DAC"/>
    <w:rsid w:val="001C2D74"/>
    <w:rsid w:val="001C65CC"/>
    <w:rsid w:val="001C76A8"/>
    <w:rsid w:val="001D54C9"/>
    <w:rsid w:val="001D6AFA"/>
    <w:rsid w:val="001F4B1B"/>
    <w:rsid w:val="002004D2"/>
    <w:rsid w:val="0020421C"/>
    <w:rsid w:val="00213CD1"/>
    <w:rsid w:val="002148FC"/>
    <w:rsid w:val="0021621F"/>
    <w:rsid w:val="002218F7"/>
    <w:rsid w:val="0022275D"/>
    <w:rsid w:val="00222C7E"/>
    <w:rsid w:val="0022595A"/>
    <w:rsid w:val="002268B4"/>
    <w:rsid w:val="00242D93"/>
    <w:rsid w:val="0026208F"/>
    <w:rsid w:val="0026364F"/>
    <w:rsid w:val="00270A8A"/>
    <w:rsid w:val="00270BD0"/>
    <w:rsid w:val="0027734E"/>
    <w:rsid w:val="00285BE7"/>
    <w:rsid w:val="00286968"/>
    <w:rsid w:val="00291785"/>
    <w:rsid w:val="002949A8"/>
    <w:rsid w:val="002C350A"/>
    <w:rsid w:val="002C4B00"/>
    <w:rsid w:val="002C4F55"/>
    <w:rsid w:val="002E12D5"/>
    <w:rsid w:val="002E25CA"/>
    <w:rsid w:val="002E4EB8"/>
    <w:rsid w:val="002E7C72"/>
    <w:rsid w:val="0031097C"/>
    <w:rsid w:val="00311B6B"/>
    <w:rsid w:val="00312086"/>
    <w:rsid w:val="003126C7"/>
    <w:rsid w:val="00313B63"/>
    <w:rsid w:val="003238CF"/>
    <w:rsid w:val="00323FB0"/>
    <w:rsid w:val="003242CA"/>
    <w:rsid w:val="00330FE4"/>
    <w:rsid w:val="0033262E"/>
    <w:rsid w:val="0034007F"/>
    <w:rsid w:val="003478B1"/>
    <w:rsid w:val="00353776"/>
    <w:rsid w:val="00355C6D"/>
    <w:rsid w:val="0035654E"/>
    <w:rsid w:val="003616BB"/>
    <w:rsid w:val="00382A3E"/>
    <w:rsid w:val="00390D12"/>
    <w:rsid w:val="00396691"/>
    <w:rsid w:val="00396C8F"/>
    <w:rsid w:val="003A223E"/>
    <w:rsid w:val="003A2ADC"/>
    <w:rsid w:val="003B7A00"/>
    <w:rsid w:val="003D01E4"/>
    <w:rsid w:val="003F1867"/>
    <w:rsid w:val="00406DDC"/>
    <w:rsid w:val="00432D6B"/>
    <w:rsid w:val="00435BA2"/>
    <w:rsid w:val="00435E14"/>
    <w:rsid w:val="00436405"/>
    <w:rsid w:val="00436804"/>
    <w:rsid w:val="0044113D"/>
    <w:rsid w:val="00446E99"/>
    <w:rsid w:val="00450B91"/>
    <w:rsid w:val="00461540"/>
    <w:rsid w:val="0046655B"/>
    <w:rsid w:val="0046658B"/>
    <w:rsid w:val="00467602"/>
    <w:rsid w:val="00472E3A"/>
    <w:rsid w:val="00474244"/>
    <w:rsid w:val="004777C6"/>
    <w:rsid w:val="00484B33"/>
    <w:rsid w:val="00485C5C"/>
    <w:rsid w:val="004913CF"/>
    <w:rsid w:val="00494626"/>
    <w:rsid w:val="00494783"/>
    <w:rsid w:val="004954C4"/>
    <w:rsid w:val="004A3269"/>
    <w:rsid w:val="004B375B"/>
    <w:rsid w:val="004B6FD7"/>
    <w:rsid w:val="004C2CAB"/>
    <w:rsid w:val="004D0F8D"/>
    <w:rsid w:val="004D43D0"/>
    <w:rsid w:val="004D74F3"/>
    <w:rsid w:val="004E12D6"/>
    <w:rsid w:val="004E2537"/>
    <w:rsid w:val="004E35BC"/>
    <w:rsid w:val="004E6D50"/>
    <w:rsid w:val="004E73D8"/>
    <w:rsid w:val="004F049C"/>
    <w:rsid w:val="004F1539"/>
    <w:rsid w:val="004F28A5"/>
    <w:rsid w:val="004F2D5E"/>
    <w:rsid w:val="004F337D"/>
    <w:rsid w:val="004F3BD9"/>
    <w:rsid w:val="004F3DE2"/>
    <w:rsid w:val="004F7196"/>
    <w:rsid w:val="00511D23"/>
    <w:rsid w:val="00513598"/>
    <w:rsid w:val="005148BD"/>
    <w:rsid w:val="00525F57"/>
    <w:rsid w:val="00527BE5"/>
    <w:rsid w:val="00527D96"/>
    <w:rsid w:val="00532347"/>
    <w:rsid w:val="005458FD"/>
    <w:rsid w:val="00551B15"/>
    <w:rsid w:val="00555658"/>
    <w:rsid w:val="005600A0"/>
    <w:rsid w:val="00560C0F"/>
    <w:rsid w:val="00567F31"/>
    <w:rsid w:val="00570364"/>
    <w:rsid w:val="00572828"/>
    <w:rsid w:val="00572D40"/>
    <w:rsid w:val="0058290B"/>
    <w:rsid w:val="005935AC"/>
    <w:rsid w:val="00595CBC"/>
    <w:rsid w:val="005A094A"/>
    <w:rsid w:val="005B5CFA"/>
    <w:rsid w:val="005C1458"/>
    <w:rsid w:val="005C72F3"/>
    <w:rsid w:val="005C7CFF"/>
    <w:rsid w:val="005E0158"/>
    <w:rsid w:val="005E1A55"/>
    <w:rsid w:val="005E5E96"/>
    <w:rsid w:val="005E7B70"/>
    <w:rsid w:val="005F2806"/>
    <w:rsid w:val="005F281A"/>
    <w:rsid w:val="005F7463"/>
    <w:rsid w:val="00602ED6"/>
    <w:rsid w:val="00605A03"/>
    <w:rsid w:val="0062437F"/>
    <w:rsid w:val="006301F6"/>
    <w:rsid w:val="00632C09"/>
    <w:rsid w:val="00642415"/>
    <w:rsid w:val="00672636"/>
    <w:rsid w:val="00683289"/>
    <w:rsid w:val="006869DB"/>
    <w:rsid w:val="00690066"/>
    <w:rsid w:val="00691370"/>
    <w:rsid w:val="00691D31"/>
    <w:rsid w:val="00694E7B"/>
    <w:rsid w:val="00696468"/>
    <w:rsid w:val="006A74CF"/>
    <w:rsid w:val="006B12B9"/>
    <w:rsid w:val="006B56A8"/>
    <w:rsid w:val="006C7532"/>
    <w:rsid w:val="006D0FAA"/>
    <w:rsid w:val="006D3CE0"/>
    <w:rsid w:val="006E20BC"/>
    <w:rsid w:val="006F0DD2"/>
    <w:rsid w:val="0070044F"/>
    <w:rsid w:val="00715858"/>
    <w:rsid w:val="00725275"/>
    <w:rsid w:val="00737923"/>
    <w:rsid w:val="0074088C"/>
    <w:rsid w:val="007442B0"/>
    <w:rsid w:val="00747288"/>
    <w:rsid w:val="00752271"/>
    <w:rsid w:val="007573A5"/>
    <w:rsid w:val="00762B52"/>
    <w:rsid w:val="0076508E"/>
    <w:rsid w:val="0076693D"/>
    <w:rsid w:val="00770763"/>
    <w:rsid w:val="00770A1F"/>
    <w:rsid w:val="007710EB"/>
    <w:rsid w:val="00784F2D"/>
    <w:rsid w:val="007A2F99"/>
    <w:rsid w:val="007A33DA"/>
    <w:rsid w:val="007A5C39"/>
    <w:rsid w:val="007B79E5"/>
    <w:rsid w:val="007C2B91"/>
    <w:rsid w:val="007C2FCE"/>
    <w:rsid w:val="007C4FC3"/>
    <w:rsid w:val="007D41E0"/>
    <w:rsid w:val="007D47A0"/>
    <w:rsid w:val="007E33D6"/>
    <w:rsid w:val="007E46EB"/>
    <w:rsid w:val="007E6363"/>
    <w:rsid w:val="007E7B0D"/>
    <w:rsid w:val="0080218D"/>
    <w:rsid w:val="00811055"/>
    <w:rsid w:val="008153EF"/>
    <w:rsid w:val="00816E92"/>
    <w:rsid w:val="008524D7"/>
    <w:rsid w:val="00863499"/>
    <w:rsid w:val="008649E4"/>
    <w:rsid w:val="008655A6"/>
    <w:rsid w:val="00867838"/>
    <w:rsid w:val="00867F6C"/>
    <w:rsid w:val="00884866"/>
    <w:rsid w:val="008950ED"/>
    <w:rsid w:val="008A1B56"/>
    <w:rsid w:val="008A44D4"/>
    <w:rsid w:val="008B1A3F"/>
    <w:rsid w:val="008B4EDF"/>
    <w:rsid w:val="008B7B78"/>
    <w:rsid w:val="008D2245"/>
    <w:rsid w:val="008D4556"/>
    <w:rsid w:val="008D5C3A"/>
    <w:rsid w:val="008D5E40"/>
    <w:rsid w:val="008F099C"/>
    <w:rsid w:val="008F441F"/>
    <w:rsid w:val="008F44E1"/>
    <w:rsid w:val="00904290"/>
    <w:rsid w:val="00904C4A"/>
    <w:rsid w:val="00906D01"/>
    <w:rsid w:val="0091019C"/>
    <w:rsid w:val="00911D78"/>
    <w:rsid w:val="00916A3E"/>
    <w:rsid w:val="00923EF7"/>
    <w:rsid w:val="009347C8"/>
    <w:rsid w:val="00936EB2"/>
    <w:rsid w:val="00941EC9"/>
    <w:rsid w:val="0095111A"/>
    <w:rsid w:val="00951389"/>
    <w:rsid w:val="0096264B"/>
    <w:rsid w:val="00967DC8"/>
    <w:rsid w:val="00974C96"/>
    <w:rsid w:val="009842F6"/>
    <w:rsid w:val="009855D7"/>
    <w:rsid w:val="00986503"/>
    <w:rsid w:val="00990B7E"/>
    <w:rsid w:val="0099485B"/>
    <w:rsid w:val="009A2453"/>
    <w:rsid w:val="009A3A69"/>
    <w:rsid w:val="009A65EB"/>
    <w:rsid w:val="009B1276"/>
    <w:rsid w:val="009B25A1"/>
    <w:rsid w:val="009C097E"/>
    <w:rsid w:val="009E3CD9"/>
    <w:rsid w:val="00A00BFC"/>
    <w:rsid w:val="00A0426C"/>
    <w:rsid w:val="00A17830"/>
    <w:rsid w:val="00A222FB"/>
    <w:rsid w:val="00A31BB2"/>
    <w:rsid w:val="00A469D3"/>
    <w:rsid w:val="00A501CE"/>
    <w:rsid w:val="00A51989"/>
    <w:rsid w:val="00A528DF"/>
    <w:rsid w:val="00A531F2"/>
    <w:rsid w:val="00A542D3"/>
    <w:rsid w:val="00A62020"/>
    <w:rsid w:val="00A659DF"/>
    <w:rsid w:val="00A700CD"/>
    <w:rsid w:val="00A73A9D"/>
    <w:rsid w:val="00A92E31"/>
    <w:rsid w:val="00AA7A6C"/>
    <w:rsid w:val="00AB34D2"/>
    <w:rsid w:val="00AC0682"/>
    <w:rsid w:val="00AC538E"/>
    <w:rsid w:val="00AC64B6"/>
    <w:rsid w:val="00AF1E95"/>
    <w:rsid w:val="00AF48A4"/>
    <w:rsid w:val="00AF7866"/>
    <w:rsid w:val="00B0191D"/>
    <w:rsid w:val="00B111CA"/>
    <w:rsid w:val="00B153E6"/>
    <w:rsid w:val="00B17D33"/>
    <w:rsid w:val="00B2460D"/>
    <w:rsid w:val="00B24F18"/>
    <w:rsid w:val="00B33C39"/>
    <w:rsid w:val="00B37E01"/>
    <w:rsid w:val="00B56341"/>
    <w:rsid w:val="00B56BBB"/>
    <w:rsid w:val="00B60FD1"/>
    <w:rsid w:val="00B628C6"/>
    <w:rsid w:val="00B62EC4"/>
    <w:rsid w:val="00B67975"/>
    <w:rsid w:val="00B74B6C"/>
    <w:rsid w:val="00B90D1F"/>
    <w:rsid w:val="00B95136"/>
    <w:rsid w:val="00BA5172"/>
    <w:rsid w:val="00BD3EEF"/>
    <w:rsid w:val="00BE1BF0"/>
    <w:rsid w:val="00BE2C1A"/>
    <w:rsid w:val="00BE5EE4"/>
    <w:rsid w:val="00BF7A4D"/>
    <w:rsid w:val="00C01328"/>
    <w:rsid w:val="00C028D2"/>
    <w:rsid w:val="00C0511A"/>
    <w:rsid w:val="00C1724C"/>
    <w:rsid w:val="00C22620"/>
    <w:rsid w:val="00C36070"/>
    <w:rsid w:val="00C3673D"/>
    <w:rsid w:val="00C409D7"/>
    <w:rsid w:val="00C40D38"/>
    <w:rsid w:val="00C52338"/>
    <w:rsid w:val="00C7351A"/>
    <w:rsid w:val="00C74662"/>
    <w:rsid w:val="00C76959"/>
    <w:rsid w:val="00C77C48"/>
    <w:rsid w:val="00C77CD3"/>
    <w:rsid w:val="00C81AF6"/>
    <w:rsid w:val="00C83B53"/>
    <w:rsid w:val="00C90A1D"/>
    <w:rsid w:val="00C94CF8"/>
    <w:rsid w:val="00CA12C3"/>
    <w:rsid w:val="00CA247C"/>
    <w:rsid w:val="00CA40B9"/>
    <w:rsid w:val="00CA57EC"/>
    <w:rsid w:val="00CA678D"/>
    <w:rsid w:val="00CB0525"/>
    <w:rsid w:val="00CB0ADB"/>
    <w:rsid w:val="00CB0E58"/>
    <w:rsid w:val="00CD3E5C"/>
    <w:rsid w:val="00CD60C6"/>
    <w:rsid w:val="00CD6AC1"/>
    <w:rsid w:val="00CE4D5E"/>
    <w:rsid w:val="00CE4EBE"/>
    <w:rsid w:val="00CE55C8"/>
    <w:rsid w:val="00CE5E74"/>
    <w:rsid w:val="00CF1DAA"/>
    <w:rsid w:val="00D115E7"/>
    <w:rsid w:val="00D170E8"/>
    <w:rsid w:val="00D17431"/>
    <w:rsid w:val="00D177A9"/>
    <w:rsid w:val="00D364D5"/>
    <w:rsid w:val="00D5098B"/>
    <w:rsid w:val="00D57270"/>
    <w:rsid w:val="00D57DF3"/>
    <w:rsid w:val="00D61786"/>
    <w:rsid w:val="00D63A37"/>
    <w:rsid w:val="00D72ED2"/>
    <w:rsid w:val="00D808B3"/>
    <w:rsid w:val="00D80A5D"/>
    <w:rsid w:val="00D844E7"/>
    <w:rsid w:val="00D850DC"/>
    <w:rsid w:val="00D935C4"/>
    <w:rsid w:val="00DA5396"/>
    <w:rsid w:val="00DA62A0"/>
    <w:rsid w:val="00DB18FE"/>
    <w:rsid w:val="00DB7C66"/>
    <w:rsid w:val="00DC17B0"/>
    <w:rsid w:val="00DC1AE4"/>
    <w:rsid w:val="00DC3A3E"/>
    <w:rsid w:val="00DC7751"/>
    <w:rsid w:val="00DE5C59"/>
    <w:rsid w:val="00DE79BC"/>
    <w:rsid w:val="00DF3B7D"/>
    <w:rsid w:val="00E02ED9"/>
    <w:rsid w:val="00E04B4C"/>
    <w:rsid w:val="00E10CD2"/>
    <w:rsid w:val="00E21209"/>
    <w:rsid w:val="00E26357"/>
    <w:rsid w:val="00E42ED0"/>
    <w:rsid w:val="00E47893"/>
    <w:rsid w:val="00E47A39"/>
    <w:rsid w:val="00E5235D"/>
    <w:rsid w:val="00E564BE"/>
    <w:rsid w:val="00E606B1"/>
    <w:rsid w:val="00E6194F"/>
    <w:rsid w:val="00E71AA5"/>
    <w:rsid w:val="00EA0FEF"/>
    <w:rsid w:val="00EA3890"/>
    <w:rsid w:val="00EA3BC2"/>
    <w:rsid w:val="00EB35B7"/>
    <w:rsid w:val="00EB3CDC"/>
    <w:rsid w:val="00EB695E"/>
    <w:rsid w:val="00EC3B99"/>
    <w:rsid w:val="00EC6659"/>
    <w:rsid w:val="00ED30FC"/>
    <w:rsid w:val="00ED779D"/>
    <w:rsid w:val="00EE344D"/>
    <w:rsid w:val="00EE3C72"/>
    <w:rsid w:val="00EE51F9"/>
    <w:rsid w:val="00EE55CD"/>
    <w:rsid w:val="00EE5EE5"/>
    <w:rsid w:val="00EE5F74"/>
    <w:rsid w:val="00EF586A"/>
    <w:rsid w:val="00EF5C91"/>
    <w:rsid w:val="00F02F9E"/>
    <w:rsid w:val="00F21128"/>
    <w:rsid w:val="00F25165"/>
    <w:rsid w:val="00F25197"/>
    <w:rsid w:val="00F25654"/>
    <w:rsid w:val="00F35443"/>
    <w:rsid w:val="00F51FE3"/>
    <w:rsid w:val="00F74F01"/>
    <w:rsid w:val="00F814CF"/>
    <w:rsid w:val="00F838BF"/>
    <w:rsid w:val="00F91C52"/>
    <w:rsid w:val="00FA3FE7"/>
    <w:rsid w:val="00FA4E53"/>
    <w:rsid w:val="00FA5E66"/>
    <w:rsid w:val="00FA77E9"/>
    <w:rsid w:val="00FB39CF"/>
    <w:rsid w:val="00FC3105"/>
    <w:rsid w:val="00FD2F83"/>
    <w:rsid w:val="00FE42BF"/>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3D37E2"/>
  <w15:docId w15:val="{749492E3-A09F-4643-BFD2-9675E316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F25"/>
    <w:pPr>
      <w:spacing w:before="120" w:after="120" w:line="276" w:lineRule="auto"/>
    </w:pPr>
    <w:rPr>
      <w:rFonts w:ascii="Calibri" w:eastAsia="Times New Roman" w:hAnsi="Calibri" w:cs="Calibri"/>
      <w:kern w:val="21"/>
      <w:sz w:val="22"/>
      <w:szCs w:val="22"/>
      <w:lang w:val="en-GB"/>
    </w:rPr>
  </w:style>
  <w:style w:type="paragraph" w:styleId="Heading1">
    <w:name w:val="heading 1"/>
    <w:basedOn w:val="Normal"/>
    <w:next w:val="Normal"/>
    <w:link w:val="Heading1Char"/>
    <w:uiPriority w:val="9"/>
    <w:qFormat/>
    <w:rsid w:val="005A094A"/>
    <w:pPr>
      <w:keepNext/>
      <w:keepLines/>
      <w:spacing w:before="360"/>
      <w:outlineLvl w:val="0"/>
    </w:pPr>
    <w:rPr>
      <w:rFonts w:cs="Times New Roman"/>
      <w:b/>
      <w:bCs/>
      <w:color w:val="000000" w:themeColor="text1"/>
      <w:sz w:val="48"/>
      <w:szCs w:val="48"/>
    </w:rPr>
  </w:style>
  <w:style w:type="paragraph" w:styleId="Heading2">
    <w:name w:val="heading 2"/>
    <w:basedOn w:val="Normal"/>
    <w:next w:val="Normal"/>
    <w:link w:val="Heading2Char"/>
    <w:uiPriority w:val="9"/>
    <w:unhideWhenUsed/>
    <w:qFormat/>
    <w:rsid w:val="00163F25"/>
    <w:pPr>
      <w:keepNext/>
      <w:keepLines/>
      <w:spacing w:before="720"/>
      <w:outlineLvl w:val="1"/>
    </w:pPr>
    <w:rPr>
      <w:b/>
      <w:color w:val="0A59AB"/>
      <w:kern w:val="0"/>
      <w:sz w:val="30"/>
      <w:szCs w:val="30"/>
    </w:rPr>
  </w:style>
  <w:style w:type="paragraph" w:styleId="Heading3">
    <w:name w:val="heading 3"/>
    <w:basedOn w:val="Subtitle"/>
    <w:next w:val="Normal"/>
    <w:link w:val="Heading3Char"/>
    <w:uiPriority w:val="9"/>
    <w:unhideWhenUsed/>
    <w:qFormat/>
    <w:rsid w:val="00C94CF8"/>
    <w:pPr>
      <w:outlineLvl w:val="2"/>
    </w:pPr>
    <w:rPr>
      <w:bCs w:val="0"/>
      <w:iCs w:val="0"/>
    </w:rPr>
  </w:style>
  <w:style w:type="paragraph" w:styleId="Heading4">
    <w:name w:val="heading 4"/>
    <w:basedOn w:val="Subtitle"/>
    <w:next w:val="Normal"/>
    <w:link w:val="Heading4Char"/>
    <w:uiPriority w:val="9"/>
    <w:unhideWhenUsed/>
    <w:qFormat/>
    <w:rsid w:val="00163F25"/>
    <w:pPr>
      <w:outlineLvl w:val="3"/>
    </w:pPr>
    <w:rPr>
      <w:rFonts w:cs="Calibri"/>
      <w:bCs w:val="0"/>
      <w:color w:val="0A59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5A094A"/>
    <w:rPr>
      <w:rFonts w:ascii="Calibri" w:eastAsia="Times New Roman" w:hAnsi="Calibri" w:cs="Times New Roman"/>
      <w:b/>
      <w:bCs/>
      <w:color w:val="000000" w:themeColor="text1"/>
      <w:sz w:val="48"/>
      <w:szCs w:val="48"/>
      <w:lang w:val="en-GB"/>
    </w:rPr>
  </w:style>
  <w:style w:type="paragraph" w:customStyle="1" w:styleId="MIndHeader">
    <w:name w:val="M.Ind.Header"/>
    <w:basedOn w:val="Normal"/>
    <w:link w:val="MIndHeaderChar"/>
    <w:rsid w:val="005A094A"/>
    <w:pPr>
      <w:shd w:val="clear" w:color="auto" w:fill="F5F5F5"/>
      <w:outlineLvl w:val="1"/>
    </w:pPr>
    <w:rPr>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3,Issue Action POC"/>
    <w:basedOn w:val="Normal"/>
    <w:link w:val="ListParagraphChar"/>
    <w:uiPriority w:val="34"/>
    <w:qFormat/>
    <w:rsid w:val="009347C8"/>
    <w:pPr>
      <w:numPr>
        <w:numId w:val="1"/>
      </w:numPr>
      <w:ind w:left="1080"/>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5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rsid w:val="005A094A"/>
    <w:pPr>
      <w:pBdr>
        <w:bottom w:val="single" w:sz="12" w:space="4" w:color="DDDDDD"/>
      </w:pBdr>
      <w:shd w:val="clear" w:color="auto" w:fill="FFFFFF"/>
      <w:outlineLvl w:val="2"/>
    </w:pPr>
    <w:rPr>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rsid w:val="005A094A"/>
    <w:pPr>
      <w:shd w:val="clear" w:color="auto" w:fill="FFFFFF"/>
    </w:pPr>
    <w:rPr>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customStyle="1" w:styleId="Heading2Char">
    <w:name w:val="Heading 2 Char"/>
    <w:basedOn w:val="DefaultParagraphFont"/>
    <w:link w:val="Heading2"/>
    <w:uiPriority w:val="9"/>
    <w:rsid w:val="00163F25"/>
    <w:rPr>
      <w:rFonts w:ascii="Calibri" w:eastAsia="Times New Roman" w:hAnsi="Calibri" w:cs="Calibri"/>
      <w:b/>
      <w:color w:val="0A59AB"/>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styleId="SubtleEmphasis">
    <w:name w:val="Subtle Emphasis"/>
    <w:uiPriority w:val="19"/>
    <w:qFormat/>
    <w:rsid w:val="00EC3B99"/>
    <w:rPr>
      <w:rFonts w:ascii="Calibri" w:hAnsi="Calibri"/>
      <w:b/>
      <w:i/>
      <w:iCs/>
      <w:sz w:val="23"/>
      <w:szCs w:val="23"/>
      <w:lang w:eastAsia="en-GB"/>
    </w:rPr>
  </w:style>
  <w:style w:type="character" w:customStyle="1" w:styleId="Heading3Char">
    <w:name w:val="Heading 3 Char"/>
    <w:basedOn w:val="DefaultParagraphFont"/>
    <w:link w:val="Heading3"/>
    <w:uiPriority w:val="9"/>
    <w:rsid w:val="00C94CF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163F25"/>
    <w:rPr>
      <w:rFonts w:ascii="Calibri" w:eastAsia="Times New Roman" w:hAnsi="Calibri" w:cs="Calibri"/>
      <w:b/>
      <w:i/>
      <w:iCs/>
      <w:color w:val="0A59AB"/>
      <w:kern w:val="21"/>
      <w:sz w:val="23"/>
      <w:szCs w:val="23"/>
      <w:lang w:val="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163F25"/>
    <w:rPr>
      <w:b w:val="0"/>
      <w:bCs/>
      <w:i w:val="0"/>
      <w:iCs/>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163F25"/>
    <w:rPr>
      <w:b/>
      <w:bCs/>
      <w:sz w:val="21"/>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outlineLvl w:val="2"/>
    </w:pPr>
    <w:rPr>
      <w:rFonts w:ascii="Times New Roman" w:hAnsi="Times New Roman" w:cs="Times New Roman"/>
      <w:color w:val="1C75BC"/>
      <w:kern w:val="0"/>
      <w:sz w:val="36"/>
      <w:szCs w:val="36"/>
      <w:lang w:eastAsia="en-GB"/>
    </w:rPr>
  </w:style>
  <w:style w:type="paragraph" w:customStyle="1" w:styleId="MSubHeader0">
    <w:name w:val="M.SubHeader"/>
    <w:basedOn w:val="Normal"/>
    <w:link w:val="MSubHeaderChar0"/>
    <w:qFormat/>
    <w:rsid w:val="00FA5E66"/>
    <w:pPr>
      <w:shd w:val="clear" w:color="auto" w:fill="FFFFFF"/>
      <w:spacing w:before="0" w:after="0"/>
    </w:pPr>
    <w:rPr>
      <w:rFonts w:ascii="Times New Roman" w:hAnsi="Times New Roman" w:cs="Times New Roman"/>
      <w:b/>
      <w:bCs/>
      <w:color w:val="4A4A4A"/>
      <w:kern w:val="0"/>
      <w:sz w:val="21"/>
      <w:szCs w:val="21"/>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paragraph" w:customStyle="1" w:styleId="SingleTxtG">
    <w:name w:val="_ Single Txt_G"/>
    <w:basedOn w:val="Normal"/>
    <w:link w:val="SingleTxtGChar"/>
    <w:qFormat/>
    <w:rsid w:val="00752271"/>
    <w:pPr>
      <w:spacing w:before="0" w:line="240" w:lineRule="atLeast"/>
      <w:ind w:left="1134" w:right="1134"/>
    </w:pPr>
    <w:rPr>
      <w:rFonts w:ascii="Times New Roman" w:eastAsia="SimSun" w:hAnsi="Times New Roman" w:cs="Times New Roman"/>
      <w:kern w:val="0"/>
      <w:sz w:val="20"/>
      <w:szCs w:val="20"/>
      <w:lang w:eastAsia="zh-CN"/>
    </w:rPr>
  </w:style>
  <w:style w:type="character" w:customStyle="1" w:styleId="SingleTxtGChar">
    <w:name w:val="_ Single Txt_G Char"/>
    <w:basedOn w:val="DefaultParagraphFont"/>
    <w:link w:val="SingleTxtG"/>
    <w:rsid w:val="00752271"/>
    <w:rPr>
      <w:rFonts w:eastAsia="SimSun" w:cs="Times New Roman"/>
      <w:sz w:val="20"/>
      <w:szCs w:val="20"/>
      <w:lang w:val="en-GB"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752271"/>
    <w:rPr>
      <w:rFonts w:ascii="Calibri" w:eastAsia="Times New Roman" w:hAnsi="Calibri" w:cs="Calibri"/>
      <w:kern w:val="21"/>
      <w:sz w:val="22"/>
      <w:szCs w:val="22"/>
      <w:lang w:val="en-GB" w:eastAsia="zh-CN"/>
    </w:rPr>
  </w:style>
  <w:style w:type="paragraph" w:styleId="NoSpacing">
    <w:name w:val="No Spacing"/>
    <w:uiPriority w:val="1"/>
    <w:qFormat/>
    <w:rsid w:val="00752271"/>
    <w:pPr>
      <w:jc w:val="both"/>
    </w:pPr>
    <w:rPr>
      <w:rFonts w:eastAsia="Times New Roman" w:cs="Times New Roman"/>
      <w:sz w:val="22"/>
      <w:szCs w:val="22"/>
      <w:lang w:eastAsia="fr-FR"/>
    </w:rPr>
  </w:style>
  <w:style w:type="character" w:customStyle="1" w:styleId="UnresolvedMention4">
    <w:name w:val="Unresolved Mention4"/>
    <w:basedOn w:val="DefaultParagraphFont"/>
    <w:uiPriority w:val="99"/>
    <w:semiHidden/>
    <w:unhideWhenUsed/>
    <w:rsid w:val="0016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orteconstitucional.gov.co/lacorte/estadisticas.php" TargetMode="External"/><Relationship Id="rId26" Type="http://schemas.openxmlformats.org/officeDocument/2006/relationships/hyperlink" Target="https://www.aihw.gov.au/reports/disability/people-with-disability-in-australia/contents/people-with-disability" TargetMode="External"/><Relationship Id="rId3" Type="http://schemas.openxmlformats.org/officeDocument/2006/relationships/customXml" Target="../customXml/item3.xml"/><Relationship Id="rId21" Type="http://schemas.openxmlformats.org/officeDocument/2006/relationships/hyperlink" Target="https://www.boe.es/biblioteca_juridica/codigos/codigo.php?id=125&amp;modo=1&amp;nota=0&amp;tab=2"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treaties.un.org/Pages/ViewDetails.aspx?src=TREATY&amp;mtdsg_no=IV-15&amp;chapter=4&amp;clang=_en" TargetMode="External"/><Relationship Id="rId25" Type="http://schemas.openxmlformats.org/officeDocument/2006/relationships/hyperlink" Target="https://www.gso.gov.vn/wp-content/uploads/2019/04/Baocao-nguoikhuyet-tat.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fnse.gob.bo/wp-content/cache/wp-rocket/fnse.gob.bo/normativa-para-pcd/index.html_gzip" TargetMode="External"/><Relationship Id="rId29" Type="http://schemas.openxmlformats.org/officeDocument/2006/relationships/hyperlink" Target="https://www.nationalacademies.org/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binternet.ohchr.org/_layouts/15/treatybodyexternal/TBSearch.aspx?Lang=en&amp;TreatyID=4&amp;DocTypeID=29" TargetMode="External"/><Relationship Id="rId32" Type="http://schemas.openxmlformats.org/officeDocument/2006/relationships/hyperlink" Target="http://www.europeansocialsurvey.org/findings/topline.html" TargetMode="External"/><Relationship Id="rId5" Type="http://schemas.openxmlformats.org/officeDocument/2006/relationships/numbering" Target="numbering.xml"/><Relationship Id="rId15" Type="http://schemas.openxmlformats.org/officeDocument/2006/relationships/hyperlink" Target="https://www.ohchr.org/EN/Issues/Disability/Pages/sdg-crpd-resource.aspx" TargetMode="External"/><Relationship Id="rId23" Type="http://schemas.openxmlformats.org/officeDocument/2006/relationships/hyperlink" Target="http://intranet.dif.df.gob.mx/transparencia/new/art_15/10/_anexos/05%20COMP%20LEGIS%20DISCA%20MARCO%20NORMATIVO%20MEXICO.pdf" TargetMode="External"/><Relationship Id="rId28" Type="http://schemas.openxmlformats.org/officeDocument/2006/relationships/hyperlink" Target="https://www.aihw.gov.au/getmedia/ee5ee3c2-152d-4b5f-9901-71d483b47f03/aihw-dis-72.pdf.aspx?inline=tru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bservatorio.defensoria.gov.co/?_s=ojc&amp;_a=5&amp;_es=0" TargetMode="External"/><Relationship Id="rId31" Type="http://schemas.openxmlformats.org/officeDocument/2006/relationships/hyperlink" Target="http://www.europeansocialsurvey.org/docs/methodology/core_ess_questionnaire/ESS8_political_efficacy_final_templat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www.gouvernement.fr/handicap-ce-qui-change-en-2019-pour-les-personnes-handicapees" TargetMode="External"/><Relationship Id="rId27" Type="http://schemas.openxmlformats.org/officeDocument/2006/relationships/image" Target="media/image5.jpg"/><Relationship Id="rId30" Type="http://schemas.openxmlformats.org/officeDocument/2006/relationships/hyperlink" Target="https://unstats.un.org/sdgs/metadata/?Text=&amp;Goal=&amp;Target=16.7"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BBAF-29CD-4910-B853-4CFD451270AA}">
  <ds:schemaRefs>
    <ds:schemaRef ds:uri="http://schemas.microsoft.com/office/infopath/2007/PartnerControls"/>
    <ds:schemaRef ds:uri="http://schemas.microsoft.com/office/2006/documentManagement/types"/>
    <ds:schemaRef ds:uri="89040124-3724-453e-9e0f-d53a96d17322"/>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06E22F6-BE55-487B-A267-3F0DEE551030}">
  <ds:schemaRefs>
    <ds:schemaRef ds:uri="http://schemas.microsoft.com/sharepoint/v3/contenttype/forms"/>
  </ds:schemaRefs>
</ds:datastoreItem>
</file>

<file path=customXml/itemProps3.xml><?xml version="1.0" encoding="utf-8"?>
<ds:datastoreItem xmlns:ds="http://schemas.openxmlformats.org/officeDocument/2006/customXml" ds:itemID="{892338C7-00BE-4080-A370-32FD15DB83DC}"/>
</file>

<file path=customXml/itemProps4.xml><?xml version="1.0" encoding="utf-8"?>
<ds:datastoreItem xmlns:ds="http://schemas.openxmlformats.org/officeDocument/2006/customXml" ds:itemID="{A64DB0E8-791B-40A9-9AB0-4A00EB49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2310</Words>
  <Characters>13171</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Articles 1 to 4 (outcome indicators)</dc:title>
  <dc:subject/>
  <dc:creator>Nanette Goodman</dc:creator>
  <cp:keywords/>
  <dc:description/>
  <cp:lastModifiedBy>LEE Victoria</cp:lastModifiedBy>
  <cp:revision>8</cp:revision>
  <cp:lastPrinted>2020-11-19T04:53:00Z</cp:lastPrinted>
  <dcterms:created xsi:type="dcterms:W3CDTF">2020-12-20T13:27:00Z</dcterms:created>
  <dcterms:modified xsi:type="dcterms:W3CDTF">2021-02-01T11:35:00Z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