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5DF2AF4D" w:rsidR="005A094A" w:rsidRPr="00C27889" w:rsidRDefault="005458FD" w:rsidP="000D54E5">
      <w:pPr>
        <w:pStyle w:val="Heading1"/>
        <w:rPr>
          <w:rFonts w:eastAsiaTheme="majorEastAsia" w:cstheme="majorBidi"/>
          <w:color w:val="FFFFFF" w:themeColor="background1"/>
        </w:rPr>
      </w:pPr>
      <w:r w:rsidRPr="00C27889">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65D75DAF">
            <wp:simplePos x="0" y="0"/>
            <wp:positionH relativeFrom="column">
              <wp:posOffset>-970915</wp:posOffset>
            </wp:positionH>
            <wp:positionV relativeFrom="paragraph">
              <wp:posOffset>-932724</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C27889">
        <w:rPr>
          <w:rFonts w:eastAsiaTheme="majorEastAsia" w:cstheme="majorBidi"/>
          <w:color w:val="FFFFFF" w:themeColor="background1"/>
        </w:rPr>
        <w:t xml:space="preserve">Data sources for outcome indicators on Article </w:t>
      </w:r>
      <w:r w:rsidR="00747CF8" w:rsidRPr="00C27889">
        <w:rPr>
          <w:rFonts w:eastAsiaTheme="majorEastAsia" w:cstheme="majorBidi"/>
          <w:color w:val="FFFFFF" w:themeColor="background1"/>
        </w:rPr>
        <w:t>1</w:t>
      </w:r>
      <w:r w:rsidR="00FA5E66" w:rsidRPr="00C27889">
        <w:rPr>
          <w:rFonts w:eastAsiaTheme="majorEastAsia" w:cstheme="majorBidi"/>
          <w:color w:val="FFFFFF" w:themeColor="background1"/>
        </w:rPr>
        <w:t>5</w:t>
      </w:r>
      <w:r w:rsidR="00747CF8" w:rsidRPr="00C27889">
        <w:rPr>
          <w:rFonts w:eastAsiaTheme="majorEastAsia" w:cstheme="majorBidi"/>
          <w:color w:val="FFFFFF" w:themeColor="background1"/>
        </w:rPr>
        <w:t xml:space="preserve"> and 17</w:t>
      </w:r>
      <w:r w:rsidR="000A661C" w:rsidRPr="00C27889">
        <w:rPr>
          <w:rFonts w:eastAsiaTheme="majorEastAsia" w:cstheme="majorBidi"/>
          <w:color w:val="FFFFFF" w:themeColor="background1"/>
        </w:rPr>
        <w:t>:</w:t>
      </w:r>
    </w:p>
    <w:p w14:paraId="5A518BF9" w14:textId="00489A28" w:rsidR="00906D01" w:rsidRPr="00C27889" w:rsidRDefault="004B3A3D" w:rsidP="000D54E5">
      <w:pPr>
        <w:pStyle w:val="Heading1"/>
        <w:rPr>
          <w:rFonts w:eastAsiaTheme="majorEastAsia" w:cstheme="majorBidi"/>
          <w:color w:val="FFFFFF" w:themeColor="background1"/>
          <w:sz w:val="72"/>
          <w:szCs w:val="72"/>
        </w:rPr>
      </w:pPr>
      <w:r w:rsidRPr="00C27889">
        <w:rPr>
          <w:rFonts w:eastAsiaTheme="majorEastAsia" w:cstheme="majorBidi"/>
          <w:color w:val="FFFFFF" w:themeColor="background1"/>
          <w:sz w:val="72"/>
          <w:szCs w:val="72"/>
        </w:rPr>
        <w:t>F</w:t>
      </w:r>
      <w:r w:rsidR="00747CF8" w:rsidRPr="00C27889">
        <w:rPr>
          <w:rFonts w:eastAsiaTheme="majorEastAsia" w:cstheme="majorBidi"/>
          <w:color w:val="FFFFFF" w:themeColor="background1"/>
          <w:sz w:val="72"/>
          <w:szCs w:val="72"/>
        </w:rPr>
        <w:t>ree</w:t>
      </w:r>
      <w:r w:rsidRPr="00C27889">
        <w:rPr>
          <w:rFonts w:eastAsiaTheme="majorEastAsia" w:cstheme="majorBidi"/>
          <w:color w:val="FFFFFF" w:themeColor="background1"/>
          <w:sz w:val="72"/>
          <w:szCs w:val="72"/>
        </w:rPr>
        <w:t>dom</w:t>
      </w:r>
      <w:r w:rsidR="00747CF8" w:rsidRPr="00C27889">
        <w:rPr>
          <w:rFonts w:eastAsiaTheme="majorEastAsia" w:cstheme="majorBidi"/>
          <w:color w:val="FFFFFF" w:themeColor="background1"/>
          <w:sz w:val="72"/>
          <w:szCs w:val="72"/>
        </w:rPr>
        <w:t xml:space="preserve"> </w:t>
      </w:r>
      <w:r w:rsidR="000D54E5" w:rsidRPr="00C27889">
        <w:rPr>
          <w:rFonts w:eastAsiaTheme="majorEastAsia" w:cstheme="majorBidi"/>
          <w:color w:val="FFFFFF" w:themeColor="background1"/>
          <w:sz w:val="72"/>
          <w:szCs w:val="72"/>
        </w:rPr>
        <w:t xml:space="preserve">from torture or cruel, inhuman or degrading treatment or punishment and </w:t>
      </w:r>
      <w:r w:rsidRPr="00C27889">
        <w:rPr>
          <w:rFonts w:eastAsiaTheme="majorEastAsia" w:cstheme="majorBidi"/>
          <w:color w:val="FFFFFF" w:themeColor="background1"/>
          <w:sz w:val="72"/>
          <w:szCs w:val="72"/>
        </w:rPr>
        <w:t>protecting the</w:t>
      </w:r>
      <w:r w:rsidR="000D54E5" w:rsidRPr="00C27889">
        <w:rPr>
          <w:rFonts w:eastAsiaTheme="majorEastAsia" w:cstheme="majorBidi"/>
          <w:color w:val="FFFFFF" w:themeColor="background1"/>
          <w:sz w:val="72"/>
          <w:szCs w:val="72"/>
        </w:rPr>
        <w:t xml:space="preserve"> integrity</w:t>
      </w:r>
      <w:r w:rsidRPr="00C27889">
        <w:rPr>
          <w:rFonts w:eastAsiaTheme="majorEastAsia" w:cstheme="majorBidi"/>
          <w:color w:val="FFFFFF" w:themeColor="background1"/>
          <w:sz w:val="72"/>
          <w:szCs w:val="72"/>
        </w:rPr>
        <w:t xml:space="preserve"> of the person</w:t>
      </w:r>
    </w:p>
    <w:p w14:paraId="3CBE4037" w14:textId="7C3D59BF" w:rsidR="00355C6D" w:rsidRPr="00C27889" w:rsidRDefault="006A3B77" w:rsidP="00D850DC">
      <w:pPr>
        <w:spacing w:before="0" w:after="0" w:line="240" w:lineRule="auto"/>
        <w:rPr>
          <w:rFonts w:asciiTheme="minorHAnsi" w:hAnsiTheme="minorHAnsi" w:cstheme="minorHAnsi"/>
        </w:rPr>
      </w:pPr>
      <w:r w:rsidRPr="00C27889">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0C6A628A">
            <wp:simplePos x="4381500" y="9015413"/>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C27889">
        <w:rPr>
          <w:rFonts w:asciiTheme="minorHAnsi" w:hAnsiTheme="minorHAnsi" w:cstheme="minorHAnsi"/>
        </w:rPr>
        <w:br w:type="page"/>
      </w:r>
    </w:p>
    <w:p w14:paraId="779E1EF4" w14:textId="5C6FD04F" w:rsidR="00355C6D" w:rsidRPr="00C27889" w:rsidRDefault="00570364" w:rsidP="00D850DC">
      <w:pPr>
        <w:spacing w:before="0" w:after="0" w:line="240" w:lineRule="auto"/>
        <w:rPr>
          <w:rFonts w:asciiTheme="minorHAnsi" w:hAnsiTheme="minorHAnsi" w:cstheme="minorHAnsi"/>
        </w:rPr>
      </w:pPr>
      <w:r w:rsidRPr="00C27889">
        <w:rPr>
          <w:rFonts w:asciiTheme="minorHAnsi" w:hAnsiTheme="minorHAnsi" w:cstheme="minorHAnsi"/>
          <w:noProof/>
          <w:lang w:eastAsia="en-GB"/>
        </w:rPr>
        <w:lastRenderedPageBreak/>
        <w:drawing>
          <wp:inline distT="0" distB="0" distL="0" distR="0" wp14:anchorId="48975751" wp14:editId="4EC7C801">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495D2F94" w14:textId="77777777" w:rsidR="00213BA0" w:rsidRPr="00C27889" w:rsidRDefault="00213BA0" w:rsidP="00213BA0">
      <w:pPr>
        <w:autoSpaceDE w:val="0"/>
        <w:autoSpaceDN w:val="0"/>
        <w:spacing w:before="7200" w:line="260" w:lineRule="exact"/>
        <w:rPr>
          <w:rFonts w:cs="Segoe UI"/>
          <w:color w:val="000000"/>
          <w:sz w:val="18"/>
          <w:lang w:eastAsia="en-GB"/>
        </w:rPr>
      </w:pPr>
      <w:r w:rsidRPr="00C27889">
        <w:rPr>
          <w:rFonts w:cs="Segoe UI"/>
          <w:color w:val="000000"/>
          <w:sz w:val="18"/>
          <w:lang w:eastAsia="en-GB"/>
        </w:rPr>
        <w:t>ADVANCE VERSION</w:t>
      </w:r>
    </w:p>
    <w:p w14:paraId="16F72566" w14:textId="77777777" w:rsidR="00213BA0" w:rsidRPr="00C27889" w:rsidRDefault="00213BA0" w:rsidP="00213BA0">
      <w:pPr>
        <w:autoSpaceDE w:val="0"/>
        <w:autoSpaceDN w:val="0"/>
        <w:spacing w:line="260" w:lineRule="exact"/>
        <w:rPr>
          <w:rFonts w:cs="Segoe UI"/>
          <w:color w:val="000000"/>
          <w:sz w:val="20"/>
          <w:szCs w:val="20"/>
          <w:lang w:eastAsia="en-GB"/>
        </w:rPr>
      </w:pPr>
      <w:r w:rsidRPr="00C27889">
        <w:rPr>
          <w:rFonts w:cs="Segoe UI"/>
          <w:color w:val="000000"/>
          <w:sz w:val="20"/>
          <w:szCs w:val="20"/>
          <w:lang w:eastAsia="en-GB"/>
        </w:rPr>
        <w:t xml:space="preserve">© 2020 United Nations  </w:t>
      </w:r>
    </w:p>
    <w:p w14:paraId="22626B5C" w14:textId="77777777" w:rsidR="00213BA0" w:rsidRPr="00C27889" w:rsidRDefault="00213BA0" w:rsidP="00213BA0">
      <w:pPr>
        <w:autoSpaceDE w:val="0"/>
        <w:autoSpaceDN w:val="0"/>
        <w:spacing w:line="260" w:lineRule="exact"/>
        <w:rPr>
          <w:rFonts w:cs="Segoe UI"/>
          <w:color w:val="000000"/>
          <w:sz w:val="20"/>
          <w:szCs w:val="20"/>
          <w:lang w:eastAsia="en-GB"/>
        </w:rPr>
      </w:pPr>
      <w:r w:rsidRPr="00C27889">
        <w:rPr>
          <w:rFonts w:cs="Segoe UI"/>
          <w:color w:val="000000"/>
          <w:sz w:val="20"/>
          <w:szCs w:val="20"/>
          <w:lang w:eastAsia="en-GB"/>
        </w:rPr>
        <w:t xml:space="preserve">The </w:t>
      </w:r>
      <w:r w:rsidRPr="00C27889">
        <w:rPr>
          <w:rFonts w:cs="Segoe UI"/>
          <w:i/>
          <w:color w:val="000000"/>
          <w:sz w:val="20"/>
          <w:szCs w:val="20"/>
          <w:lang w:eastAsia="en-GB"/>
        </w:rPr>
        <w:t>Data Sources Guidance</w:t>
      </w:r>
      <w:r w:rsidRPr="00C27889">
        <w:rPr>
          <w:rFonts w:cs="Segoe UI"/>
          <w:color w:val="000000"/>
          <w:sz w:val="20"/>
          <w:szCs w:val="20"/>
          <w:lang w:eastAsia="en-GB"/>
        </w:rPr>
        <w:t xml:space="preserve"> is a component of the </w:t>
      </w:r>
      <w:hyperlink r:id="rId12" w:history="1">
        <w:r w:rsidRPr="00C27889">
          <w:rPr>
            <w:rStyle w:val="Hyperlink"/>
            <w:rFonts w:cs="Segoe UI"/>
            <w:sz w:val="20"/>
            <w:szCs w:val="20"/>
            <w:lang w:eastAsia="en-GB"/>
          </w:rPr>
          <w:t>SDG-CRPD Resource Package</w:t>
        </w:r>
      </w:hyperlink>
      <w:r w:rsidRPr="00C27889">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34BD6FD4" w14:textId="0C9BF315" w:rsidR="00213BA0" w:rsidRPr="00C27889" w:rsidRDefault="00213BA0" w:rsidP="00213BA0">
      <w:pPr>
        <w:autoSpaceDE w:val="0"/>
        <w:autoSpaceDN w:val="0"/>
        <w:spacing w:line="260" w:lineRule="exact"/>
        <w:rPr>
          <w:rFonts w:cs="Segoe UI"/>
          <w:color w:val="000000"/>
          <w:sz w:val="20"/>
          <w:szCs w:val="20"/>
          <w:lang w:eastAsia="en-GB"/>
        </w:rPr>
      </w:pPr>
      <w:r w:rsidRPr="00C27889">
        <w:rPr>
          <w:rFonts w:cs="Segoe UI"/>
          <w:color w:val="000000"/>
          <w:sz w:val="20"/>
          <w:szCs w:val="20"/>
          <w:lang w:eastAsia="en-GB"/>
        </w:rPr>
        <w:t xml:space="preserve">The designations employed and the presentation of the material </w:t>
      </w:r>
      <w:r w:rsidR="009B3866" w:rsidRPr="00C27889">
        <w:rPr>
          <w:rFonts w:cs="Segoe UI"/>
          <w:color w:val="000000"/>
          <w:sz w:val="20"/>
          <w:szCs w:val="20"/>
          <w:lang w:eastAsia="en-GB"/>
        </w:rPr>
        <w:t>herein</w:t>
      </w:r>
      <w:r w:rsidRPr="00C27889">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6277F5D3" w14:textId="77777777" w:rsidR="00213BA0" w:rsidRPr="00C27889" w:rsidRDefault="00213BA0" w:rsidP="00213BA0">
      <w:pPr>
        <w:autoSpaceDE w:val="0"/>
        <w:autoSpaceDN w:val="0"/>
        <w:spacing w:line="260" w:lineRule="exact"/>
        <w:rPr>
          <w:rFonts w:cs="Segoe UI"/>
          <w:color w:val="000000"/>
          <w:sz w:val="20"/>
          <w:szCs w:val="20"/>
          <w:lang w:eastAsia="en-GB"/>
        </w:rPr>
      </w:pPr>
      <w:r w:rsidRPr="00C27889">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2F1E8961" w14:textId="11404876" w:rsidR="00213BA0" w:rsidRPr="00C27889" w:rsidRDefault="00213BA0" w:rsidP="00213BA0">
      <w:pPr>
        <w:autoSpaceDE w:val="0"/>
        <w:autoSpaceDN w:val="0"/>
        <w:spacing w:line="260" w:lineRule="exact"/>
        <w:rPr>
          <w:rFonts w:cs="Segoe UI"/>
          <w:color w:val="000000"/>
          <w:sz w:val="20"/>
          <w:szCs w:val="20"/>
          <w:lang w:eastAsia="en-GB"/>
        </w:rPr>
      </w:pPr>
      <w:r w:rsidRPr="00C27889">
        <w:rPr>
          <w:rFonts w:cs="Segoe UI"/>
          <w:color w:val="000000"/>
          <w:sz w:val="20"/>
          <w:szCs w:val="20"/>
          <w:lang w:eastAsia="en-GB"/>
        </w:rPr>
        <w:t xml:space="preserve">The </w:t>
      </w:r>
      <w:r w:rsidRPr="00C27889">
        <w:rPr>
          <w:rFonts w:cs="Segoe UI"/>
          <w:i/>
          <w:color w:val="000000"/>
          <w:sz w:val="20"/>
          <w:szCs w:val="20"/>
          <w:lang w:eastAsia="en-GB"/>
        </w:rPr>
        <w:t>Data Sources Guidance</w:t>
      </w:r>
      <w:r w:rsidRPr="00C27889">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B960EC">
        <w:rPr>
          <w:rFonts w:cs="Segoe UI"/>
          <w:color w:val="000000"/>
          <w:sz w:val="20"/>
          <w:szCs w:val="20"/>
          <w:lang w:eastAsia="en-GB"/>
        </w:rPr>
        <w:br/>
      </w:r>
    </w:p>
    <w:p w14:paraId="41890D07" w14:textId="77777777" w:rsidR="00213BA0" w:rsidRPr="00C27889" w:rsidRDefault="00213BA0" w:rsidP="00213BA0">
      <w:pPr>
        <w:autoSpaceDE w:val="0"/>
        <w:autoSpaceDN w:val="0"/>
        <w:rPr>
          <w:rFonts w:eastAsiaTheme="majorEastAsia" w:cstheme="minorHAnsi"/>
          <w:b/>
          <w:color w:val="0A59AB"/>
          <w:spacing w:val="4"/>
          <w:kern w:val="0"/>
          <w:sz w:val="20"/>
          <w:szCs w:val="30"/>
        </w:rPr>
      </w:pPr>
      <w:r w:rsidRPr="00C27889">
        <w:rPr>
          <w:rFonts w:cstheme="minorHAnsi"/>
          <w:noProof/>
          <w:lang w:eastAsia="en-GB"/>
        </w:rPr>
        <w:drawing>
          <wp:inline distT="0" distB="0" distL="0" distR="0" wp14:anchorId="41C5A7A0" wp14:editId="253C3169">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C27889">
        <w:rPr>
          <w:rFonts w:eastAsiaTheme="majorEastAsia" w:cstheme="minorHAnsi"/>
          <w:b/>
          <w:color w:val="0A59AB"/>
          <w:spacing w:val="4"/>
          <w:kern w:val="0"/>
          <w:sz w:val="20"/>
          <w:szCs w:val="30"/>
        </w:rPr>
        <w:br w:type="page"/>
      </w:r>
    </w:p>
    <w:p w14:paraId="0EE9D9B9" w14:textId="77777777" w:rsidR="00747CF8" w:rsidRPr="00C27889" w:rsidRDefault="00747CF8" w:rsidP="00084415">
      <w:pPr>
        <w:pStyle w:val="Heading2"/>
        <w:rPr>
          <w:rFonts w:eastAsiaTheme="majorEastAsia"/>
        </w:rPr>
      </w:pPr>
      <w:r w:rsidRPr="00C27889">
        <w:rPr>
          <w:rFonts w:eastAsiaTheme="majorEastAsia"/>
        </w:rPr>
        <w:lastRenderedPageBreak/>
        <w:t>15/17.21 Number of reported cases of torture and ill-treatment against persons with disabilities, including the denial of reasonable accommodation in detention, disaggregated by sex, age disability, context of the violation.</w:t>
      </w:r>
    </w:p>
    <w:p w14:paraId="3AB467FD" w14:textId="77777777" w:rsidR="00747CF8" w:rsidRPr="00C27889" w:rsidRDefault="00747CF8" w:rsidP="00084415">
      <w:pPr>
        <w:pStyle w:val="Heading4"/>
        <w:rPr>
          <w:rFonts w:eastAsiaTheme="majorEastAsia"/>
        </w:rPr>
      </w:pPr>
      <w:r w:rsidRPr="00C27889">
        <w:rPr>
          <w:rFonts w:eastAsiaTheme="majorEastAsia"/>
        </w:rPr>
        <w:t>Level 3: Indicator for which acquiring data is more complex or requires the development of data collection mechanisms which are currently not in place.</w:t>
      </w:r>
    </w:p>
    <w:p w14:paraId="24EEDC6D" w14:textId="77777777" w:rsidR="00747CF8" w:rsidRPr="00C27889" w:rsidRDefault="00747CF8" w:rsidP="00CA02A9">
      <w:r w:rsidRPr="00C27889">
        <w:rPr>
          <w:color w:val="000000" w:themeColor="text1"/>
        </w:rPr>
        <w:t xml:space="preserve">Reported cases for this indicator should be understood as a collection </w:t>
      </w:r>
      <w:r w:rsidRPr="00C27889">
        <w:t>of a variety of potential sources. While assessment of ill-treatment and torture has many challenges, tendencies can be tracked. These sources include:</w:t>
      </w:r>
    </w:p>
    <w:p w14:paraId="7A8B064E" w14:textId="7F15B7A0" w:rsidR="00747CF8" w:rsidRPr="00C27889" w:rsidRDefault="00747CF8" w:rsidP="00F43D6B">
      <w:pPr>
        <w:pStyle w:val="ListParagraph"/>
        <w:numPr>
          <w:ilvl w:val="0"/>
          <w:numId w:val="43"/>
        </w:numPr>
        <w:rPr>
          <w:rFonts w:eastAsiaTheme="minorEastAsia"/>
        </w:rPr>
      </w:pPr>
      <w:r w:rsidRPr="00C27889">
        <w:rPr>
          <w:rFonts w:eastAsiaTheme="minorEastAsia"/>
        </w:rPr>
        <w:t>National Preventive Mechanisms: many countries have National Preventative Mechanisms that operate under the United Nations Optional Protocol to the Convention against Torture and other Cruel, Inhuman or Degrading Treatment or Punishment and the CRPD. A list can be found</w:t>
      </w:r>
      <w:r w:rsidR="00E02E01" w:rsidRPr="00C27889">
        <w:rPr>
          <w:rFonts w:eastAsiaTheme="minorEastAsia"/>
        </w:rPr>
        <w:t xml:space="preserve"> at</w:t>
      </w:r>
      <w:r w:rsidRPr="00C27889">
        <w:rPr>
          <w:rFonts w:eastAsiaTheme="minorEastAsia"/>
        </w:rPr>
        <w:t xml:space="preserve"> </w:t>
      </w:r>
      <w:hyperlink r:id="rId14" w:history="1">
        <w:r w:rsidR="00E02E01" w:rsidRPr="00C27889">
          <w:rPr>
            <w:rStyle w:val="Hyperlink"/>
            <w:rFonts w:eastAsiaTheme="minorEastAsia"/>
          </w:rPr>
          <w:t>www.ohchr.org</w:t>
        </w:r>
      </w:hyperlink>
      <w:r w:rsidRPr="00C27889">
        <w:rPr>
          <w:rFonts w:eastAsiaTheme="minorEastAsia"/>
        </w:rPr>
        <w:t>. They receive torture claims, and their monitoring mandates include institutions for persons with disabilities. The National Preventative Mechanisms can collect this information through monitoring but, unfortunately, torture is significantly underreported and there are many complexities to assessing torture and attributing it.</w:t>
      </w:r>
    </w:p>
    <w:p w14:paraId="427DCDD4" w14:textId="77777777" w:rsidR="00747CF8" w:rsidRPr="00C27889" w:rsidRDefault="00747CF8" w:rsidP="00F43D6B">
      <w:pPr>
        <w:pStyle w:val="ListParagraph"/>
        <w:numPr>
          <w:ilvl w:val="0"/>
          <w:numId w:val="43"/>
        </w:numPr>
        <w:rPr>
          <w:rFonts w:eastAsiaTheme="minorEastAsia"/>
        </w:rPr>
      </w:pPr>
      <w:r w:rsidRPr="00C27889">
        <w:rPr>
          <w:rFonts w:eastAsiaTheme="minorEastAsia"/>
        </w:rPr>
        <w:t>National Human Rights Institutions: in the absence of a National Preventative Mechanism, national human rights institutions can attempt to collect this information. Both institutions may categorize information on reported cases according to the place the alleged violation was committed, such as prison, psychiatric institution, residential institution, public or private hospital, etc.</w:t>
      </w:r>
    </w:p>
    <w:p w14:paraId="6F4E22A4" w14:textId="77777777" w:rsidR="00747CF8" w:rsidRPr="00C27889" w:rsidRDefault="00747CF8" w:rsidP="00F43D6B">
      <w:pPr>
        <w:pStyle w:val="ListParagraph"/>
        <w:numPr>
          <w:ilvl w:val="0"/>
          <w:numId w:val="43"/>
        </w:numPr>
        <w:rPr>
          <w:rFonts w:eastAsiaTheme="minorEastAsia"/>
        </w:rPr>
      </w:pPr>
      <w:r w:rsidRPr="00C27889">
        <w:rPr>
          <w:rFonts w:eastAsiaTheme="minorEastAsia"/>
        </w:rPr>
        <w:t>Media outlets: the media is another important source of information, both in press and broadcast.</w:t>
      </w:r>
    </w:p>
    <w:p w14:paraId="2393EB9C" w14:textId="77777777" w:rsidR="00747CF8" w:rsidRPr="00C27889" w:rsidRDefault="00747CF8" w:rsidP="00084415">
      <w:pPr>
        <w:pStyle w:val="Heading2"/>
        <w:rPr>
          <w:rFonts w:eastAsiaTheme="majorEastAsia"/>
        </w:rPr>
      </w:pPr>
      <w:r w:rsidRPr="00C27889">
        <w:rPr>
          <w:rFonts w:eastAsiaTheme="majorEastAsia"/>
        </w:rPr>
        <w:t>15/17.22 Number and proportion of victims of torture or ill-treatment with disabilities who received compensation, rehabilitation and support per year</w:t>
      </w:r>
    </w:p>
    <w:p w14:paraId="4DC4E813" w14:textId="77777777" w:rsidR="00747CF8" w:rsidRPr="00C27889" w:rsidRDefault="00747CF8" w:rsidP="00084415">
      <w:pPr>
        <w:pStyle w:val="Heading4"/>
        <w:rPr>
          <w:rFonts w:eastAsiaTheme="majorEastAsia"/>
        </w:rPr>
      </w:pPr>
      <w:r w:rsidRPr="00C27889">
        <w:rPr>
          <w:rFonts w:eastAsiaTheme="majorEastAsia"/>
        </w:rPr>
        <w:t>Level 3: Indicator for which acquiring data is more complex or requires the development of data collection mechanisms which are currently not in place</w:t>
      </w:r>
    </w:p>
    <w:p w14:paraId="4D8C8147" w14:textId="77777777" w:rsidR="00747CF8" w:rsidRPr="00C27889" w:rsidRDefault="00747CF8" w:rsidP="00CA02A9">
      <w:pPr>
        <w:rPr>
          <w:rFonts w:cstheme="minorHAnsi"/>
        </w:rPr>
      </w:pPr>
      <w:r w:rsidRPr="00C27889">
        <w:rPr>
          <w:rFonts w:cstheme="minorHAnsi"/>
        </w:rPr>
        <w:t>This indicator should be based on the number of reported cases (see indicator 15/17.21), as the true number of cases is unlikely to be known. This information can be obtained for victims with disabilities who receive compensation from court, or from administrative records.</w:t>
      </w:r>
    </w:p>
    <w:p w14:paraId="4E05FC4C" w14:textId="77777777" w:rsidR="00747CF8" w:rsidRPr="00C27889" w:rsidRDefault="00747CF8" w:rsidP="00CA02A9">
      <w:pPr>
        <w:rPr>
          <w:rFonts w:asciiTheme="minorHAnsi" w:hAnsiTheme="minorHAnsi" w:cstheme="minorHAnsi"/>
        </w:rPr>
      </w:pPr>
      <w:r w:rsidRPr="00C27889">
        <w:rPr>
          <w:rFonts w:cstheme="minorHAnsi"/>
        </w:rPr>
        <w:t>Assumptions such as injuries in institutions, unreported deaths, and others, help to have a proxy, although it lags far behind a real data collection process. Direct data collection, where persons with disabilities can be targeted, would be the best option.</w:t>
      </w:r>
      <w:r w:rsidRPr="00C27889">
        <w:rPr>
          <w:rFonts w:cstheme="minorHAnsi"/>
          <w:highlight w:val="yellow"/>
        </w:rPr>
        <w:t xml:space="preserve"> </w:t>
      </w:r>
    </w:p>
    <w:p w14:paraId="56ACD00B" w14:textId="3708D2A8" w:rsidR="00747CF8" w:rsidRPr="00C27889" w:rsidRDefault="00747CF8" w:rsidP="00084415">
      <w:pPr>
        <w:pStyle w:val="Heading2"/>
        <w:rPr>
          <w:rFonts w:eastAsiaTheme="majorEastAsia"/>
        </w:rPr>
      </w:pPr>
      <w:r w:rsidRPr="00C27889">
        <w:rPr>
          <w:rFonts w:eastAsiaTheme="majorEastAsia"/>
        </w:rPr>
        <w:lastRenderedPageBreak/>
        <w:t>15/17.23 Proportion of children aged 1-17 years who experienced any physical punishment and/or psychological aggression by caregivers in the past month, disaggregated by sex (SDG indicator 16.2.1) and disability.</w:t>
      </w:r>
    </w:p>
    <w:p w14:paraId="683A058B" w14:textId="77777777" w:rsidR="00747CF8" w:rsidRPr="00C27889" w:rsidRDefault="00747CF8" w:rsidP="00084415">
      <w:pPr>
        <w:pStyle w:val="Heading4"/>
        <w:rPr>
          <w:rFonts w:eastAsiaTheme="majorEastAsia"/>
        </w:rPr>
      </w:pPr>
      <w:r w:rsidRPr="00C27889">
        <w:rPr>
          <w:rFonts w:eastAsiaTheme="majorEastAsia"/>
        </w:rPr>
        <w:t>Level 2: Indicator that could be produced with straightforward additions or modifications to existing data collection efforts</w:t>
      </w:r>
    </w:p>
    <w:p w14:paraId="5F9C130E" w14:textId="6EE37441" w:rsidR="00747CF8" w:rsidRPr="00C27889" w:rsidRDefault="00B960EC" w:rsidP="00CA02A9">
      <w:pPr>
        <w:rPr>
          <w:lang w:eastAsia="en-GB"/>
        </w:rPr>
      </w:pPr>
      <w:hyperlink r:id="rId15" w:history="1">
        <w:r w:rsidR="00747CF8" w:rsidRPr="00C27889">
          <w:rPr>
            <w:rStyle w:val="Hyperlink"/>
            <w:lang w:eastAsia="en-GB"/>
          </w:rPr>
          <w:t>Link to the metadata related to this SDG indicator</w:t>
        </w:r>
      </w:hyperlink>
    </w:p>
    <w:p w14:paraId="3360D12C" w14:textId="5B0596D9" w:rsidR="009B3866" w:rsidRPr="00C27889" w:rsidRDefault="009B3866" w:rsidP="009B3866">
      <w:pPr>
        <w:rPr>
          <w:lang w:eastAsia="en-GB"/>
        </w:rPr>
      </w:pPr>
      <w:r w:rsidRPr="00C27889">
        <w:rPr>
          <w:lang w:eastAsia="en-GB"/>
        </w:rPr>
        <w:t>According to the metadata:</w:t>
      </w:r>
    </w:p>
    <w:p w14:paraId="0193E83E" w14:textId="588D5699" w:rsidR="00747CF8" w:rsidRPr="00C27889" w:rsidRDefault="009B3866" w:rsidP="00F43D6B">
      <w:pPr>
        <w:ind w:left="360"/>
        <w:rPr>
          <w:i/>
          <w:lang w:eastAsia="en-GB"/>
        </w:rPr>
      </w:pPr>
      <w:r w:rsidRPr="00C27889">
        <w:rPr>
          <w:lang w:eastAsia="en-GB"/>
        </w:rPr>
        <w:t>“</w:t>
      </w:r>
      <w:r w:rsidR="00747CF8" w:rsidRPr="00C27889">
        <w:rPr>
          <w:i/>
          <w:lang w:eastAsia="en-GB"/>
        </w:rPr>
        <w:t>Household surveys such as UNICEF-supported Multiple Indicator Cluster Surveys (MICS) and Demographic and Health Surveys (DHS) that have been collecting data on this indicator in low- and middle-income countries since around 2005. In some countries, such data are also collected through other national household surveys.</w:t>
      </w:r>
    </w:p>
    <w:p w14:paraId="22413212" w14:textId="20652724" w:rsidR="00747CF8" w:rsidRPr="00C27889" w:rsidRDefault="00747CF8" w:rsidP="00F43D6B">
      <w:pPr>
        <w:ind w:left="360"/>
        <w:rPr>
          <w:lang w:eastAsia="en-GB"/>
        </w:rPr>
      </w:pPr>
      <w:r w:rsidRPr="00C27889">
        <w:rPr>
          <w:i/>
          <w:lang w:eastAsia="en-GB"/>
        </w:rPr>
        <w:t>MICS, the source of the majority of comparable data, includes a module on disciplinary methods. The module, developed for use in MICS, is adapted from the parent-child version of the Conflict Tactics Scale (CTSPC), a standardized and validated epidemiological measurement tool that is widely accepted and has been implemented in a large number of countries, including high-income countries. The MICS module includes a standard set of questions covering non-violent forms of discipline, psychological aggression and physical means of punishing children. Data are collected for children ranging from age 1 to age 14. Some DHS have included the standard, or an adapted version of, the MICS module on child discipline.</w:t>
      </w:r>
      <w:r w:rsidR="009B3866" w:rsidRPr="00C27889">
        <w:rPr>
          <w:lang w:eastAsia="en-GB"/>
        </w:rPr>
        <w:t>”</w:t>
      </w:r>
    </w:p>
    <w:p w14:paraId="10988776" w14:textId="77777777" w:rsidR="00747CF8" w:rsidRPr="00C27889" w:rsidRDefault="00747CF8" w:rsidP="00CA02A9">
      <w:pPr>
        <w:rPr>
          <w:rFonts w:cstheme="minorHAnsi"/>
          <w:lang w:eastAsia="en-GB"/>
        </w:rPr>
      </w:pPr>
      <w:r w:rsidRPr="00C27889">
        <w:rPr>
          <w:rFonts w:cstheme="minorHAnsi"/>
          <w:lang w:eastAsia="en-GB"/>
        </w:rPr>
        <w:t xml:space="preserve">An example from the </w:t>
      </w:r>
      <w:hyperlink r:id="rId16" w:history="1">
        <w:r w:rsidRPr="00C27889">
          <w:rPr>
            <w:rStyle w:val="Hyperlink"/>
            <w:rFonts w:eastAsiaTheme="majorEastAsia" w:cstheme="minorHAnsi"/>
            <w:lang w:eastAsia="en-GB"/>
          </w:rPr>
          <w:t>MICs from Sierra Leone</w:t>
        </w:r>
      </w:hyperlink>
      <w:r w:rsidRPr="00C27889">
        <w:rPr>
          <w:rFonts w:cstheme="minorHAnsi"/>
          <w:lang w:eastAsia="en-GB"/>
        </w:rPr>
        <w:t xml:space="preserve"> is shown in table 1.</w:t>
      </w:r>
    </w:p>
    <w:p w14:paraId="4E5589F6" w14:textId="62994B0C" w:rsidR="00747CF8" w:rsidRPr="00C27889" w:rsidRDefault="00747CF8" w:rsidP="00F43D6B">
      <w:pPr>
        <w:pStyle w:val="TableHeader"/>
        <w:rPr>
          <w:rFonts w:eastAsiaTheme="majorEastAsia" w:cstheme="majorBidi"/>
        </w:rPr>
      </w:pPr>
      <w:r w:rsidRPr="00C27889">
        <w:rPr>
          <w:rFonts w:eastAsiaTheme="majorEastAsia" w:cstheme="majorBidi"/>
          <w:b/>
          <w:bCs w:val="0"/>
        </w:rPr>
        <w:lastRenderedPageBreak/>
        <w:t>Table 1:</w:t>
      </w:r>
      <w:r w:rsidRPr="00C27889">
        <w:rPr>
          <w:rFonts w:eastAsiaTheme="majorEastAsia" w:cstheme="majorBidi"/>
        </w:rPr>
        <w:t xml:space="preserve"> Percentage of Children age 1-14 years by Child Disciplining Methods Experience during the last one month, Sierra Leone, 2017</w:t>
      </w:r>
    </w:p>
    <w:tbl>
      <w:tblPr>
        <w:tblStyle w:val="TableGrid"/>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Percentage of Children age 1-14 years by Child Disciplining Methods Experience during the last one month, Sierra Leone, 2017"/>
      </w:tblPr>
      <w:tblGrid>
        <w:gridCol w:w="2689"/>
        <w:gridCol w:w="1054"/>
        <w:gridCol w:w="1410"/>
        <w:gridCol w:w="859"/>
        <w:gridCol w:w="900"/>
        <w:gridCol w:w="1054"/>
        <w:gridCol w:w="1260"/>
      </w:tblGrid>
      <w:tr w:rsidR="00747CF8" w:rsidRPr="00C27889" w14:paraId="6559BA5E" w14:textId="77777777" w:rsidTr="00F43D6B">
        <w:trPr>
          <w:trHeight w:val="320"/>
          <w:tblHeader/>
        </w:trPr>
        <w:tc>
          <w:tcPr>
            <w:tcW w:w="2689" w:type="dxa"/>
            <w:vMerge w:val="restart"/>
            <w:tcBorders>
              <w:top w:val="single" w:sz="12" w:space="0" w:color="auto"/>
            </w:tcBorders>
            <w:shd w:val="clear" w:color="auto" w:fill="F5F5F1"/>
            <w:noWrap/>
            <w:hideMark/>
          </w:tcPr>
          <w:p w14:paraId="429A8067" w14:textId="77777777" w:rsidR="00747CF8" w:rsidRPr="00C27889" w:rsidRDefault="00747CF8" w:rsidP="00D55257">
            <w:pPr>
              <w:contextualSpacing/>
              <w:rPr>
                <w:rFonts w:asciiTheme="minorHAnsi" w:hAnsiTheme="minorHAnsi" w:cstheme="minorHAnsi"/>
              </w:rPr>
            </w:pPr>
          </w:p>
        </w:tc>
        <w:tc>
          <w:tcPr>
            <w:tcW w:w="1054" w:type="dxa"/>
            <w:vMerge w:val="restart"/>
            <w:tcBorders>
              <w:top w:val="single" w:sz="12" w:space="0" w:color="auto"/>
            </w:tcBorders>
            <w:shd w:val="clear" w:color="auto" w:fill="F5F5F1"/>
            <w:noWrap/>
            <w:vAlign w:val="bottom"/>
            <w:hideMark/>
          </w:tcPr>
          <w:p w14:paraId="3C3CC7AF" w14:textId="77777777" w:rsidR="00747CF8" w:rsidRPr="00C27889" w:rsidRDefault="00747CF8" w:rsidP="00F43D6B">
            <w:pPr>
              <w:pStyle w:val="TableHeaderRow"/>
            </w:pPr>
            <w:r w:rsidRPr="00C27889">
              <w:t>Only non-violent discipline</w:t>
            </w:r>
          </w:p>
        </w:tc>
        <w:tc>
          <w:tcPr>
            <w:tcW w:w="1410" w:type="dxa"/>
            <w:vMerge w:val="restart"/>
            <w:tcBorders>
              <w:top w:val="single" w:sz="12" w:space="0" w:color="auto"/>
            </w:tcBorders>
            <w:shd w:val="clear" w:color="auto" w:fill="F5F5F1"/>
            <w:noWrap/>
            <w:vAlign w:val="bottom"/>
            <w:hideMark/>
          </w:tcPr>
          <w:p w14:paraId="02C55D5E" w14:textId="77777777" w:rsidR="00747CF8" w:rsidRPr="00C27889" w:rsidRDefault="00747CF8" w:rsidP="00F43D6B">
            <w:pPr>
              <w:pStyle w:val="TableHeaderRow"/>
            </w:pPr>
            <w:r w:rsidRPr="00C27889">
              <w:t>Psychological Aggression</w:t>
            </w:r>
          </w:p>
        </w:tc>
        <w:tc>
          <w:tcPr>
            <w:tcW w:w="1759" w:type="dxa"/>
            <w:gridSpan w:val="2"/>
            <w:tcBorders>
              <w:top w:val="single" w:sz="12" w:space="0" w:color="auto"/>
              <w:bottom w:val="single" w:sz="12" w:space="0" w:color="auto"/>
            </w:tcBorders>
            <w:shd w:val="clear" w:color="auto" w:fill="F5F5F1"/>
            <w:noWrap/>
            <w:vAlign w:val="bottom"/>
            <w:hideMark/>
          </w:tcPr>
          <w:p w14:paraId="689B9BFD" w14:textId="77777777" w:rsidR="00747CF8" w:rsidRPr="00C27889" w:rsidRDefault="00747CF8" w:rsidP="00F43D6B">
            <w:pPr>
              <w:pStyle w:val="TableHeaderRow"/>
              <w:rPr>
                <w:i/>
                <w:iCs/>
              </w:rPr>
            </w:pPr>
            <w:r w:rsidRPr="00C27889">
              <w:rPr>
                <w:i/>
                <w:iCs/>
              </w:rPr>
              <w:t>Physical punishment</w:t>
            </w:r>
          </w:p>
        </w:tc>
        <w:tc>
          <w:tcPr>
            <w:tcW w:w="1054" w:type="dxa"/>
            <w:vMerge w:val="restart"/>
            <w:tcBorders>
              <w:top w:val="single" w:sz="12" w:space="0" w:color="auto"/>
            </w:tcBorders>
            <w:shd w:val="clear" w:color="auto" w:fill="F5F5F1"/>
            <w:noWrap/>
            <w:vAlign w:val="bottom"/>
            <w:hideMark/>
          </w:tcPr>
          <w:p w14:paraId="34BC25A2" w14:textId="77777777" w:rsidR="00747CF8" w:rsidRPr="00C27889" w:rsidRDefault="00747CF8" w:rsidP="00F43D6B">
            <w:pPr>
              <w:pStyle w:val="TableHeaderRow"/>
            </w:pPr>
            <w:r w:rsidRPr="00C27889">
              <w:t>Any violent discipline method</w:t>
            </w:r>
          </w:p>
        </w:tc>
        <w:tc>
          <w:tcPr>
            <w:tcW w:w="1260" w:type="dxa"/>
            <w:vMerge w:val="restart"/>
            <w:tcBorders>
              <w:top w:val="single" w:sz="12" w:space="0" w:color="auto"/>
            </w:tcBorders>
            <w:shd w:val="clear" w:color="auto" w:fill="F5F5F1"/>
            <w:noWrap/>
            <w:vAlign w:val="bottom"/>
            <w:hideMark/>
          </w:tcPr>
          <w:p w14:paraId="30FC97D6" w14:textId="77777777" w:rsidR="00747CF8" w:rsidRPr="00C27889" w:rsidRDefault="00747CF8" w:rsidP="00F43D6B">
            <w:pPr>
              <w:pStyle w:val="TableHeaderRow"/>
            </w:pPr>
            <w:r w:rsidRPr="00C27889">
              <w:t>Number of children age 1-14 years</w:t>
            </w:r>
          </w:p>
        </w:tc>
      </w:tr>
      <w:tr w:rsidR="00747CF8" w:rsidRPr="00C27889" w14:paraId="3B260B85" w14:textId="77777777" w:rsidTr="003805DB">
        <w:trPr>
          <w:trHeight w:val="565"/>
          <w:tblHeader/>
        </w:trPr>
        <w:tc>
          <w:tcPr>
            <w:tcW w:w="2689" w:type="dxa"/>
            <w:vMerge/>
            <w:tcBorders>
              <w:bottom w:val="single" w:sz="12" w:space="0" w:color="auto"/>
            </w:tcBorders>
            <w:shd w:val="clear" w:color="auto" w:fill="F5F5F1"/>
            <w:noWrap/>
            <w:hideMark/>
          </w:tcPr>
          <w:p w14:paraId="3E4F88E2" w14:textId="77777777" w:rsidR="00747CF8" w:rsidRPr="00C27889" w:rsidRDefault="00747CF8" w:rsidP="00094557">
            <w:pPr>
              <w:contextualSpacing/>
              <w:rPr>
                <w:rFonts w:asciiTheme="minorHAnsi" w:hAnsiTheme="minorHAnsi" w:cstheme="minorHAnsi"/>
              </w:rPr>
            </w:pPr>
          </w:p>
        </w:tc>
        <w:tc>
          <w:tcPr>
            <w:tcW w:w="1054" w:type="dxa"/>
            <w:vMerge/>
            <w:tcBorders>
              <w:bottom w:val="single" w:sz="12" w:space="0" w:color="auto"/>
            </w:tcBorders>
            <w:shd w:val="clear" w:color="auto" w:fill="F5F5F1"/>
            <w:hideMark/>
          </w:tcPr>
          <w:p w14:paraId="0C430CB0" w14:textId="77777777" w:rsidR="00747CF8" w:rsidRPr="00C27889" w:rsidRDefault="00747CF8" w:rsidP="00094557">
            <w:pPr>
              <w:contextualSpacing/>
              <w:rPr>
                <w:rFonts w:asciiTheme="minorHAnsi" w:hAnsiTheme="minorHAnsi" w:cstheme="minorHAnsi"/>
                <w:color w:val="000000"/>
              </w:rPr>
            </w:pPr>
          </w:p>
        </w:tc>
        <w:tc>
          <w:tcPr>
            <w:tcW w:w="1410" w:type="dxa"/>
            <w:vMerge/>
            <w:tcBorders>
              <w:bottom w:val="single" w:sz="12" w:space="0" w:color="auto"/>
            </w:tcBorders>
            <w:shd w:val="clear" w:color="auto" w:fill="F5F5F1"/>
            <w:hideMark/>
          </w:tcPr>
          <w:p w14:paraId="034A7377" w14:textId="77777777" w:rsidR="00747CF8" w:rsidRPr="00C27889" w:rsidRDefault="00747CF8" w:rsidP="00094557">
            <w:pPr>
              <w:contextualSpacing/>
              <w:rPr>
                <w:rFonts w:asciiTheme="minorHAnsi" w:hAnsiTheme="minorHAnsi" w:cstheme="minorHAnsi"/>
                <w:color w:val="000000"/>
              </w:rPr>
            </w:pPr>
          </w:p>
        </w:tc>
        <w:tc>
          <w:tcPr>
            <w:tcW w:w="859" w:type="dxa"/>
            <w:tcBorders>
              <w:top w:val="single" w:sz="12" w:space="0" w:color="auto"/>
              <w:bottom w:val="single" w:sz="12" w:space="0" w:color="auto"/>
            </w:tcBorders>
            <w:shd w:val="clear" w:color="auto" w:fill="F5F5F1"/>
            <w:hideMark/>
          </w:tcPr>
          <w:p w14:paraId="5A3C4032" w14:textId="77777777" w:rsidR="00747CF8" w:rsidRPr="00C27889" w:rsidRDefault="00747CF8" w:rsidP="00084415">
            <w:pPr>
              <w:pStyle w:val="TableHeaderRow"/>
            </w:pPr>
            <w:r w:rsidRPr="00C27889">
              <w:t>Any</w:t>
            </w:r>
          </w:p>
        </w:tc>
        <w:tc>
          <w:tcPr>
            <w:tcW w:w="900" w:type="dxa"/>
            <w:tcBorders>
              <w:top w:val="single" w:sz="12" w:space="0" w:color="auto"/>
              <w:bottom w:val="single" w:sz="12" w:space="0" w:color="auto"/>
            </w:tcBorders>
            <w:shd w:val="clear" w:color="auto" w:fill="F5F5F1"/>
            <w:hideMark/>
          </w:tcPr>
          <w:p w14:paraId="54779F33" w14:textId="77777777" w:rsidR="00747CF8" w:rsidRPr="00C27889" w:rsidRDefault="00747CF8" w:rsidP="00084415">
            <w:pPr>
              <w:pStyle w:val="TableHeaderRow"/>
            </w:pPr>
            <w:r w:rsidRPr="00C27889">
              <w:t>Severe</w:t>
            </w:r>
          </w:p>
        </w:tc>
        <w:tc>
          <w:tcPr>
            <w:tcW w:w="1054" w:type="dxa"/>
            <w:vMerge/>
            <w:tcBorders>
              <w:bottom w:val="single" w:sz="12" w:space="0" w:color="auto"/>
            </w:tcBorders>
            <w:shd w:val="clear" w:color="auto" w:fill="F5F5F1"/>
            <w:hideMark/>
          </w:tcPr>
          <w:p w14:paraId="0C233AA0" w14:textId="77777777" w:rsidR="00747CF8" w:rsidRPr="00C27889" w:rsidRDefault="00747CF8" w:rsidP="00094557">
            <w:pPr>
              <w:contextualSpacing/>
              <w:rPr>
                <w:rFonts w:asciiTheme="minorHAnsi" w:hAnsiTheme="minorHAnsi" w:cstheme="minorHAnsi"/>
                <w:color w:val="000000"/>
              </w:rPr>
            </w:pPr>
          </w:p>
        </w:tc>
        <w:tc>
          <w:tcPr>
            <w:tcW w:w="1260" w:type="dxa"/>
            <w:vMerge/>
            <w:tcBorders>
              <w:bottom w:val="single" w:sz="12" w:space="0" w:color="auto"/>
            </w:tcBorders>
            <w:shd w:val="clear" w:color="auto" w:fill="F5F5F1"/>
            <w:hideMark/>
          </w:tcPr>
          <w:p w14:paraId="3E8CD076" w14:textId="77777777" w:rsidR="00747CF8" w:rsidRPr="00C27889" w:rsidRDefault="00747CF8" w:rsidP="00094557">
            <w:pPr>
              <w:contextualSpacing/>
              <w:rPr>
                <w:rFonts w:asciiTheme="minorHAnsi" w:hAnsiTheme="minorHAnsi" w:cstheme="minorHAnsi"/>
                <w:color w:val="000000"/>
              </w:rPr>
            </w:pPr>
          </w:p>
        </w:tc>
      </w:tr>
      <w:tr w:rsidR="00747CF8" w:rsidRPr="00C27889" w14:paraId="07E809D8" w14:textId="77777777" w:rsidTr="003805DB">
        <w:trPr>
          <w:trHeight w:val="320"/>
          <w:tblHeader/>
        </w:trPr>
        <w:tc>
          <w:tcPr>
            <w:tcW w:w="2689" w:type="dxa"/>
            <w:tcBorders>
              <w:top w:val="single" w:sz="12" w:space="0" w:color="auto"/>
              <w:bottom w:val="single" w:sz="12" w:space="0" w:color="auto"/>
            </w:tcBorders>
            <w:shd w:val="clear" w:color="auto" w:fill="F5F5F1"/>
            <w:noWrap/>
            <w:hideMark/>
          </w:tcPr>
          <w:p w14:paraId="3D94C030" w14:textId="77777777" w:rsidR="00747CF8" w:rsidRPr="00C27889" w:rsidRDefault="00747CF8" w:rsidP="00F43D6B">
            <w:r w:rsidRPr="00C27889">
              <w:t>Total</w:t>
            </w:r>
          </w:p>
        </w:tc>
        <w:tc>
          <w:tcPr>
            <w:tcW w:w="1054" w:type="dxa"/>
            <w:tcBorders>
              <w:top w:val="single" w:sz="12" w:space="0" w:color="auto"/>
              <w:bottom w:val="single" w:sz="12" w:space="0" w:color="auto"/>
            </w:tcBorders>
            <w:shd w:val="clear" w:color="auto" w:fill="F5F5F1"/>
            <w:noWrap/>
            <w:hideMark/>
          </w:tcPr>
          <w:p w14:paraId="0E9DC73C" w14:textId="77777777" w:rsidR="00747CF8" w:rsidRPr="00C27889" w:rsidRDefault="00747CF8" w:rsidP="00F43D6B">
            <w:r w:rsidRPr="00C27889">
              <w:t>5.0</w:t>
            </w:r>
          </w:p>
        </w:tc>
        <w:tc>
          <w:tcPr>
            <w:tcW w:w="1410" w:type="dxa"/>
            <w:tcBorders>
              <w:top w:val="single" w:sz="12" w:space="0" w:color="auto"/>
              <w:bottom w:val="single" w:sz="12" w:space="0" w:color="auto"/>
            </w:tcBorders>
            <w:shd w:val="clear" w:color="auto" w:fill="F5F5F1"/>
            <w:noWrap/>
            <w:hideMark/>
          </w:tcPr>
          <w:p w14:paraId="55F0FB73" w14:textId="77777777" w:rsidR="00747CF8" w:rsidRPr="00C27889" w:rsidRDefault="00747CF8" w:rsidP="00F43D6B">
            <w:r w:rsidRPr="00C27889">
              <w:t>80</w:t>
            </w:r>
          </w:p>
        </w:tc>
        <w:tc>
          <w:tcPr>
            <w:tcW w:w="859" w:type="dxa"/>
            <w:tcBorders>
              <w:top w:val="single" w:sz="12" w:space="0" w:color="auto"/>
              <w:bottom w:val="single" w:sz="12" w:space="0" w:color="auto"/>
            </w:tcBorders>
            <w:shd w:val="clear" w:color="auto" w:fill="F5F5F1"/>
            <w:noWrap/>
            <w:hideMark/>
          </w:tcPr>
          <w:p w14:paraId="18EB3C87" w14:textId="77777777" w:rsidR="00747CF8" w:rsidRPr="00C27889" w:rsidRDefault="00747CF8" w:rsidP="00F43D6B">
            <w:r w:rsidRPr="00C27889">
              <w:t>73.1</w:t>
            </w:r>
          </w:p>
        </w:tc>
        <w:tc>
          <w:tcPr>
            <w:tcW w:w="900" w:type="dxa"/>
            <w:tcBorders>
              <w:top w:val="single" w:sz="12" w:space="0" w:color="auto"/>
              <w:bottom w:val="single" w:sz="12" w:space="0" w:color="auto"/>
            </w:tcBorders>
            <w:shd w:val="clear" w:color="auto" w:fill="F5F5F1"/>
            <w:noWrap/>
            <w:hideMark/>
          </w:tcPr>
          <w:p w14:paraId="137DC10A" w14:textId="77777777" w:rsidR="00747CF8" w:rsidRPr="00C27889" w:rsidRDefault="00747CF8" w:rsidP="00F43D6B">
            <w:r w:rsidRPr="00C27889">
              <w:t>25.5</w:t>
            </w:r>
          </w:p>
        </w:tc>
        <w:tc>
          <w:tcPr>
            <w:tcW w:w="1054" w:type="dxa"/>
            <w:tcBorders>
              <w:top w:val="single" w:sz="12" w:space="0" w:color="auto"/>
              <w:bottom w:val="single" w:sz="12" w:space="0" w:color="auto"/>
            </w:tcBorders>
            <w:shd w:val="clear" w:color="auto" w:fill="F5F5F1"/>
            <w:noWrap/>
            <w:hideMark/>
          </w:tcPr>
          <w:p w14:paraId="5A6366BC" w14:textId="77777777" w:rsidR="00747CF8" w:rsidRPr="00C27889" w:rsidRDefault="00747CF8" w:rsidP="00F43D6B">
            <w:r w:rsidRPr="00C27889">
              <w:t>86.5</w:t>
            </w:r>
          </w:p>
        </w:tc>
        <w:tc>
          <w:tcPr>
            <w:tcW w:w="1260" w:type="dxa"/>
            <w:tcBorders>
              <w:top w:val="single" w:sz="12" w:space="0" w:color="auto"/>
              <w:bottom w:val="single" w:sz="12" w:space="0" w:color="auto"/>
            </w:tcBorders>
            <w:shd w:val="clear" w:color="auto" w:fill="F5F5F1"/>
            <w:noWrap/>
            <w:hideMark/>
          </w:tcPr>
          <w:p w14:paraId="32692CCA" w14:textId="77777777" w:rsidR="00747CF8" w:rsidRPr="00C27889" w:rsidRDefault="00747CF8" w:rsidP="00F43D6B">
            <w:r w:rsidRPr="00C27889">
              <w:t>30,076</w:t>
            </w:r>
          </w:p>
        </w:tc>
      </w:tr>
      <w:tr w:rsidR="00747CF8" w:rsidRPr="00C27889" w14:paraId="63E20AFE" w14:textId="77777777" w:rsidTr="00D55257">
        <w:trPr>
          <w:trHeight w:val="320"/>
          <w:tblHeader/>
        </w:trPr>
        <w:tc>
          <w:tcPr>
            <w:tcW w:w="9226" w:type="dxa"/>
            <w:gridSpan w:val="7"/>
            <w:tcBorders>
              <w:top w:val="single" w:sz="12" w:space="0" w:color="auto"/>
              <w:bottom w:val="single" w:sz="12" w:space="0" w:color="auto"/>
            </w:tcBorders>
            <w:shd w:val="clear" w:color="auto" w:fill="F5F5F1"/>
            <w:noWrap/>
            <w:hideMark/>
          </w:tcPr>
          <w:p w14:paraId="6BCE4961" w14:textId="77777777" w:rsidR="00747CF8" w:rsidRPr="00C27889" w:rsidRDefault="00747CF8" w:rsidP="00F43D6B">
            <w:pPr>
              <w:rPr>
                <w:b/>
                <w:bCs/>
                <w:i/>
                <w:iCs/>
              </w:rPr>
            </w:pPr>
            <w:r w:rsidRPr="00C27889">
              <w:rPr>
                <w:b/>
                <w:bCs/>
                <w:i/>
                <w:iCs/>
              </w:rPr>
              <w:t>Sex</w:t>
            </w:r>
          </w:p>
        </w:tc>
      </w:tr>
      <w:tr w:rsidR="00747CF8" w:rsidRPr="00C27889" w14:paraId="1A0C93B7" w14:textId="77777777" w:rsidTr="00F43D6B">
        <w:trPr>
          <w:trHeight w:val="320"/>
          <w:tblHeader/>
        </w:trPr>
        <w:tc>
          <w:tcPr>
            <w:tcW w:w="2689" w:type="dxa"/>
            <w:tcBorders>
              <w:top w:val="single" w:sz="12" w:space="0" w:color="auto"/>
            </w:tcBorders>
            <w:shd w:val="clear" w:color="auto" w:fill="F5F5F1"/>
            <w:noWrap/>
            <w:hideMark/>
          </w:tcPr>
          <w:p w14:paraId="71CC9CBE" w14:textId="77777777" w:rsidR="00747CF8" w:rsidRPr="00C27889" w:rsidRDefault="00747CF8" w:rsidP="00F43D6B">
            <w:r w:rsidRPr="00C27889">
              <w:t xml:space="preserve">Male </w:t>
            </w:r>
          </w:p>
        </w:tc>
        <w:tc>
          <w:tcPr>
            <w:tcW w:w="1054" w:type="dxa"/>
            <w:tcBorders>
              <w:top w:val="single" w:sz="12" w:space="0" w:color="auto"/>
            </w:tcBorders>
            <w:shd w:val="clear" w:color="auto" w:fill="F5F5F1"/>
            <w:noWrap/>
            <w:hideMark/>
          </w:tcPr>
          <w:p w14:paraId="51A6297F" w14:textId="77777777" w:rsidR="00747CF8" w:rsidRPr="00C27889" w:rsidRDefault="00747CF8" w:rsidP="00F43D6B">
            <w:r w:rsidRPr="00C27889">
              <w:t>4.5</w:t>
            </w:r>
          </w:p>
        </w:tc>
        <w:tc>
          <w:tcPr>
            <w:tcW w:w="1410" w:type="dxa"/>
            <w:tcBorders>
              <w:top w:val="single" w:sz="12" w:space="0" w:color="auto"/>
            </w:tcBorders>
            <w:shd w:val="clear" w:color="auto" w:fill="F5F5F1"/>
            <w:noWrap/>
            <w:hideMark/>
          </w:tcPr>
          <w:p w14:paraId="6E92CC5E" w14:textId="77777777" w:rsidR="00747CF8" w:rsidRPr="00C27889" w:rsidRDefault="00747CF8" w:rsidP="00F43D6B">
            <w:r w:rsidRPr="00C27889">
              <w:t>80.4</w:t>
            </w:r>
          </w:p>
        </w:tc>
        <w:tc>
          <w:tcPr>
            <w:tcW w:w="859" w:type="dxa"/>
            <w:tcBorders>
              <w:top w:val="single" w:sz="12" w:space="0" w:color="auto"/>
            </w:tcBorders>
            <w:shd w:val="clear" w:color="auto" w:fill="F5F5F1"/>
            <w:noWrap/>
            <w:hideMark/>
          </w:tcPr>
          <w:p w14:paraId="10B72D2F" w14:textId="77777777" w:rsidR="00747CF8" w:rsidRPr="00C27889" w:rsidRDefault="00747CF8" w:rsidP="00F43D6B">
            <w:r w:rsidRPr="00C27889">
              <w:t>74.1</w:t>
            </w:r>
          </w:p>
        </w:tc>
        <w:tc>
          <w:tcPr>
            <w:tcW w:w="900" w:type="dxa"/>
            <w:tcBorders>
              <w:top w:val="single" w:sz="12" w:space="0" w:color="auto"/>
            </w:tcBorders>
            <w:shd w:val="clear" w:color="auto" w:fill="F5F5F1"/>
            <w:noWrap/>
            <w:hideMark/>
          </w:tcPr>
          <w:p w14:paraId="5E4D214A" w14:textId="77777777" w:rsidR="00747CF8" w:rsidRPr="00C27889" w:rsidRDefault="00747CF8" w:rsidP="00F43D6B">
            <w:r w:rsidRPr="00C27889">
              <w:t>26.4</w:t>
            </w:r>
          </w:p>
        </w:tc>
        <w:tc>
          <w:tcPr>
            <w:tcW w:w="1054" w:type="dxa"/>
            <w:tcBorders>
              <w:top w:val="single" w:sz="12" w:space="0" w:color="auto"/>
            </w:tcBorders>
            <w:shd w:val="clear" w:color="auto" w:fill="F5F5F1"/>
            <w:noWrap/>
            <w:hideMark/>
          </w:tcPr>
          <w:p w14:paraId="5002FD15" w14:textId="77777777" w:rsidR="00747CF8" w:rsidRPr="00C27889" w:rsidRDefault="00747CF8" w:rsidP="00F43D6B">
            <w:r w:rsidRPr="00C27889">
              <w:t>87.0</w:t>
            </w:r>
          </w:p>
        </w:tc>
        <w:tc>
          <w:tcPr>
            <w:tcW w:w="1260" w:type="dxa"/>
            <w:tcBorders>
              <w:top w:val="single" w:sz="12" w:space="0" w:color="auto"/>
            </w:tcBorders>
            <w:shd w:val="clear" w:color="auto" w:fill="F5F5F1"/>
            <w:noWrap/>
            <w:hideMark/>
          </w:tcPr>
          <w:p w14:paraId="1DB3E95F" w14:textId="77777777" w:rsidR="00747CF8" w:rsidRPr="00C27889" w:rsidRDefault="00747CF8" w:rsidP="00F43D6B">
            <w:r w:rsidRPr="00C27889">
              <w:t>15,068</w:t>
            </w:r>
          </w:p>
        </w:tc>
      </w:tr>
      <w:tr w:rsidR="00747CF8" w:rsidRPr="00C27889" w14:paraId="3E73ACFA" w14:textId="77777777" w:rsidTr="00F43D6B">
        <w:trPr>
          <w:trHeight w:val="320"/>
          <w:tblHeader/>
        </w:trPr>
        <w:tc>
          <w:tcPr>
            <w:tcW w:w="2689" w:type="dxa"/>
            <w:tcBorders>
              <w:bottom w:val="single" w:sz="12" w:space="0" w:color="auto"/>
            </w:tcBorders>
            <w:shd w:val="clear" w:color="auto" w:fill="F5F5F1"/>
            <w:noWrap/>
            <w:hideMark/>
          </w:tcPr>
          <w:p w14:paraId="6F8BA1C7" w14:textId="77777777" w:rsidR="00747CF8" w:rsidRPr="00C27889" w:rsidRDefault="00747CF8" w:rsidP="00F43D6B">
            <w:r w:rsidRPr="00C27889">
              <w:t>Female</w:t>
            </w:r>
          </w:p>
        </w:tc>
        <w:tc>
          <w:tcPr>
            <w:tcW w:w="1054" w:type="dxa"/>
            <w:tcBorders>
              <w:bottom w:val="single" w:sz="12" w:space="0" w:color="auto"/>
            </w:tcBorders>
            <w:shd w:val="clear" w:color="auto" w:fill="F5F5F1"/>
            <w:noWrap/>
            <w:hideMark/>
          </w:tcPr>
          <w:p w14:paraId="5ACA4860" w14:textId="77777777" w:rsidR="00747CF8" w:rsidRPr="00C27889" w:rsidRDefault="00747CF8" w:rsidP="00F43D6B">
            <w:r w:rsidRPr="00C27889">
              <w:t>5.5</w:t>
            </w:r>
          </w:p>
        </w:tc>
        <w:tc>
          <w:tcPr>
            <w:tcW w:w="1410" w:type="dxa"/>
            <w:tcBorders>
              <w:bottom w:val="single" w:sz="12" w:space="0" w:color="auto"/>
            </w:tcBorders>
            <w:shd w:val="clear" w:color="auto" w:fill="F5F5F1"/>
            <w:noWrap/>
            <w:hideMark/>
          </w:tcPr>
          <w:p w14:paraId="1D477919" w14:textId="77777777" w:rsidR="00747CF8" w:rsidRPr="00C27889" w:rsidRDefault="00747CF8" w:rsidP="00F43D6B">
            <w:r w:rsidRPr="00C27889">
              <w:t>79.7</w:t>
            </w:r>
          </w:p>
        </w:tc>
        <w:tc>
          <w:tcPr>
            <w:tcW w:w="859" w:type="dxa"/>
            <w:tcBorders>
              <w:bottom w:val="single" w:sz="12" w:space="0" w:color="auto"/>
            </w:tcBorders>
            <w:shd w:val="clear" w:color="auto" w:fill="F5F5F1"/>
            <w:noWrap/>
            <w:hideMark/>
          </w:tcPr>
          <w:p w14:paraId="59FD6EF9" w14:textId="77777777" w:rsidR="00747CF8" w:rsidRPr="00C27889" w:rsidRDefault="00747CF8" w:rsidP="00F43D6B">
            <w:r w:rsidRPr="00C27889">
              <w:t>72.1</w:t>
            </w:r>
          </w:p>
        </w:tc>
        <w:tc>
          <w:tcPr>
            <w:tcW w:w="900" w:type="dxa"/>
            <w:tcBorders>
              <w:bottom w:val="single" w:sz="12" w:space="0" w:color="auto"/>
            </w:tcBorders>
            <w:shd w:val="clear" w:color="auto" w:fill="F5F5F1"/>
            <w:noWrap/>
            <w:hideMark/>
          </w:tcPr>
          <w:p w14:paraId="6A973DD1" w14:textId="77777777" w:rsidR="00747CF8" w:rsidRPr="00C27889" w:rsidRDefault="00747CF8" w:rsidP="00F43D6B">
            <w:r w:rsidRPr="00C27889">
              <w:t>24.6</w:t>
            </w:r>
          </w:p>
        </w:tc>
        <w:tc>
          <w:tcPr>
            <w:tcW w:w="1054" w:type="dxa"/>
            <w:tcBorders>
              <w:bottom w:val="single" w:sz="12" w:space="0" w:color="auto"/>
            </w:tcBorders>
            <w:shd w:val="clear" w:color="auto" w:fill="F5F5F1"/>
            <w:noWrap/>
            <w:hideMark/>
          </w:tcPr>
          <w:p w14:paraId="472B6254" w14:textId="77777777" w:rsidR="00747CF8" w:rsidRPr="00C27889" w:rsidRDefault="00747CF8" w:rsidP="00F43D6B">
            <w:r w:rsidRPr="00C27889">
              <w:t>86.0</w:t>
            </w:r>
          </w:p>
        </w:tc>
        <w:tc>
          <w:tcPr>
            <w:tcW w:w="1260" w:type="dxa"/>
            <w:tcBorders>
              <w:bottom w:val="single" w:sz="12" w:space="0" w:color="auto"/>
            </w:tcBorders>
            <w:shd w:val="clear" w:color="auto" w:fill="F5F5F1"/>
            <w:noWrap/>
            <w:hideMark/>
          </w:tcPr>
          <w:p w14:paraId="6667FD77" w14:textId="77777777" w:rsidR="00747CF8" w:rsidRPr="00C27889" w:rsidRDefault="00747CF8" w:rsidP="00F43D6B">
            <w:r w:rsidRPr="00C27889">
              <w:t>15,008</w:t>
            </w:r>
          </w:p>
        </w:tc>
      </w:tr>
      <w:tr w:rsidR="00747CF8" w:rsidRPr="00C27889" w14:paraId="3407A481" w14:textId="77777777" w:rsidTr="003805DB">
        <w:trPr>
          <w:trHeight w:val="320"/>
          <w:tblHeader/>
        </w:trPr>
        <w:tc>
          <w:tcPr>
            <w:tcW w:w="9226" w:type="dxa"/>
            <w:gridSpan w:val="7"/>
            <w:tcBorders>
              <w:top w:val="single" w:sz="12" w:space="0" w:color="auto"/>
              <w:bottom w:val="single" w:sz="12" w:space="0" w:color="auto"/>
            </w:tcBorders>
            <w:shd w:val="clear" w:color="auto" w:fill="F5F5F1"/>
            <w:noWrap/>
            <w:hideMark/>
          </w:tcPr>
          <w:p w14:paraId="76BFB820" w14:textId="77777777" w:rsidR="00747CF8" w:rsidRPr="00C27889" w:rsidRDefault="00747CF8" w:rsidP="00F43D6B">
            <w:pPr>
              <w:rPr>
                <w:b/>
                <w:bCs/>
                <w:i/>
                <w:iCs/>
              </w:rPr>
            </w:pPr>
            <w:r w:rsidRPr="00C27889">
              <w:rPr>
                <w:b/>
                <w:bCs/>
                <w:i/>
                <w:iCs/>
              </w:rPr>
              <w:t>Age</w:t>
            </w:r>
          </w:p>
        </w:tc>
      </w:tr>
      <w:tr w:rsidR="00747CF8" w:rsidRPr="00C27889" w14:paraId="150BC0F0" w14:textId="77777777" w:rsidTr="003805DB">
        <w:trPr>
          <w:trHeight w:val="320"/>
          <w:tblHeader/>
        </w:trPr>
        <w:tc>
          <w:tcPr>
            <w:tcW w:w="2689" w:type="dxa"/>
            <w:tcBorders>
              <w:top w:val="single" w:sz="12" w:space="0" w:color="auto"/>
            </w:tcBorders>
            <w:shd w:val="clear" w:color="auto" w:fill="F5F5F1"/>
            <w:noWrap/>
            <w:hideMark/>
          </w:tcPr>
          <w:p w14:paraId="243EAC87" w14:textId="77777777" w:rsidR="00747CF8" w:rsidRPr="00C27889" w:rsidRDefault="00747CF8" w:rsidP="00F43D6B">
            <w:r w:rsidRPr="00C27889">
              <w:t>1-2</w:t>
            </w:r>
          </w:p>
        </w:tc>
        <w:tc>
          <w:tcPr>
            <w:tcW w:w="1054" w:type="dxa"/>
            <w:tcBorders>
              <w:top w:val="single" w:sz="12" w:space="0" w:color="auto"/>
            </w:tcBorders>
            <w:shd w:val="clear" w:color="auto" w:fill="F5F5F1"/>
            <w:noWrap/>
            <w:hideMark/>
          </w:tcPr>
          <w:p w14:paraId="136D6B59" w14:textId="77777777" w:rsidR="00747CF8" w:rsidRPr="00C27889" w:rsidRDefault="00747CF8" w:rsidP="00F43D6B">
            <w:r w:rsidRPr="00C27889">
              <w:t>7.6</w:t>
            </w:r>
          </w:p>
        </w:tc>
        <w:tc>
          <w:tcPr>
            <w:tcW w:w="1410" w:type="dxa"/>
            <w:tcBorders>
              <w:top w:val="single" w:sz="12" w:space="0" w:color="auto"/>
            </w:tcBorders>
            <w:shd w:val="clear" w:color="auto" w:fill="F5F5F1"/>
            <w:noWrap/>
            <w:hideMark/>
          </w:tcPr>
          <w:p w14:paraId="67BBE090" w14:textId="77777777" w:rsidR="00747CF8" w:rsidRPr="00C27889" w:rsidRDefault="00747CF8" w:rsidP="00F43D6B">
            <w:r w:rsidRPr="00C27889">
              <w:t>59.3</w:t>
            </w:r>
          </w:p>
        </w:tc>
        <w:tc>
          <w:tcPr>
            <w:tcW w:w="859" w:type="dxa"/>
            <w:tcBorders>
              <w:top w:val="single" w:sz="12" w:space="0" w:color="auto"/>
            </w:tcBorders>
            <w:shd w:val="clear" w:color="auto" w:fill="F5F5F1"/>
            <w:noWrap/>
            <w:hideMark/>
          </w:tcPr>
          <w:p w14:paraId="2DA2ED19" w14:textId="77777777" w:rsidR="00747CF8" w:rsidRPr="00C27889" w:rsidRDefault="00747CF8" w:rsidP="00F43D6B">
            <w:r w:rsidRPr="00C27889">
              <w:t>53</w:t>
            </w:r>
          </w:p>
        </w:tc>
        <w:tc>
          <w:tcPr>
            <w:tcW w:w="900" w:type="dxa"/>
            <w:tcBorders>
              <w:top w:val="single" w:sz="12" w:space="0" w:color="auto"/>
            </w:tcBorders>
            <w:shd w:val="clear" w:color="auto" w:fill="F5F5F1"/>
            <w:noWrap/>
            <w:hideMark/>
          </w:tcPr>
          <w:p w14:paraId="5E6EAA6D" w14:textId="77777777" w:rsidR="00747CF8" w:rsidRPr="00C27889" w:rsidRDefault="00747CF8" w:rsidP="00F43D6B">
            <w:r w:rsidRPr="00C27889">
              <w:t>9.5</w:t>
            </w:r>
          </w:p>
        </w:tc>
        <w:tc>
          <w:tcPr>
            <w:tcW w:w="1054" w:type="dxa"/>
            <w:tcBorders>
              <w:top w:val="single" w:sz="12" w:space="0" w:color="auto"/>
            </w:tcBorders>
            <w:shd w:val="clear" w:color="auto" w:fill="F5F5F1"/>
            <w:noWrap/>
            <w:hideMark/>
          </w:tcPr>
          <w:p w14:paraId="568D0956" w14:textId="77777777" w:rsidR="00747CF8" w:rsidRPr="00C27889" w:rsidRDefault="00747CF8" w:rsidP="00F43D6B">
            <w:r w:rsidRPr="00C27889">
              <w:t>66.9</w:t>
            </w:r>
          </w:p>
        </w:tc>
        <w:tc>
          <w:tcPr>
            <w:tcW w:w="1260" w:type="dxa"/>
            <w:tcBorders>
              <w:top w:val="single" w:sz="12" w:space="0" w:color="auto"/>
            </w:tcBorders>
            <w:shd w:val="clear" w:color="auto" w:fill="F5F5F1"/>
            <w:noWrap/>
            <w:hideMark/>
          </w:tcPr>
          <w:p w14:paraId="7BAC1E1A" w14:textId="77777777" w:rsidR="00747CF8" w:rsidRPr="00C27889" w:rsidRDefault="00747CF8" w:rsidP="00F43D6B">
            <w:r w:rsidRPr="00C27889">
              <w:t>4,654</w:t>
            </w:r>
          </w:p>
        </w:tc>
      </w:tr>
      <w:tr w:rsidR="00747CF8" w:rsidRPr="00C27889" w14:paraId="691B8ABB" w14:textId="77777777" w:rsidTr="003805DB">
        <w:trPr>
          <w:trHeight w:val="320"/>
          <w:tblHeader/>
        </w:trPr>
        <w:tc>
          <w:tcPr>
            <w:tcW w:w="2689" w:type="dxa"/>
            <w:shd w:val="clear" w:color="auto" w:fill="F5F5F1"/>
            <w:noWrap/>
            <w:hideMark/>
          </w:tcPr>
          <w:p w14:paraId="7EF56377" w14:textId="77777777" w:rsidR="00747CF8" w:rsidRPr="00C27889" w:rsidRDefault="00747CF8" w:rsidP="00F43D6B">
            <w:r w:rsidRPr="00C27889">
              <w:t>3-4</w:t>
            </w:r>
          </w:p>
        </w:tc>
        <w:tc>
          <w:tcPr>
            <w:tcW w:w="1054" w:type="dxa"/>
            <w:shd w:val="clear" w:color="auto" w:fill="F5F5F1"/>
            <w:noWrap/>
            <w:hideMark/>
          </w:tcPr>
          <w:p w14:paraId="26F5D9D9" w14:textId="77777777" w:rsidR="00747CF8" w:rsidRPr="00C27889" w:rsidRDefault="00747CF8" w:rsidP="00F43D6B">
            <w:r w:rsidRPr="00C27889">
              <w:t>6.1</w:t>
            </w:r>
          </w:p>
        </w:tc>
        <w:tc>
          <w:tcPr>
            <w:tcW w:w="1410" w:type="dxa"/>
            <w:shd w:val="clear" w:color="auto" w:fill="F5F5F1"/>
            <w:noWrap/>
            <w:hideMark/>
          </w:tcPr>
          <w:p w14:paraId="40B318D9" w14:textId="77777777" w:rsidR="00747CF8" w:rsidRPr="00C27889" w:rsidRDefault="00747CF8" w:rsidP="00F43D6B">
            <w:r w:rsidRPr="00C27889">
              <w:t>77.9</w:t>
            </w:r>
          </w:p>
        </w:tc>
        <w:tc>
          <w:tcPr>
            <w:tcW w:w="859" w:type="dxa"/>
            <w:shd w:val="clear" w:color="auto" w:fill="F5F5F1"/>
            <w:noWrap/>
            <w:hideMark/>
          </w:tcPr>
          <w:p w14:paraId="31CD0D75" w14:textId="77777777" w:rsidR="00747CF8" w:rsidRPr="00C27889" w:rsidRDefault="00747CF8" w:rsidP="00F43D6B">
            <w:r w:rsidRPr="00C27889">
              <w:t>73.6</w:t>
            </w:r>
          </w:p>
        </w:tc>
        <w:tc>
          <w:tcPr>
            <w:tcW w:w="900" w:type="dxa"/>
            <w:shd w:val="clear" w:color="auto" w:fill="F5F5F1"/>
            <w:noWrap/>
            <w:hideMark/>
          </w:tcPr>
          <w:p w14:paraId="228A0611" w14:textId="77777777" w:rsidR="00747CF8" w:rsidRPr="00C27889" w:rsidRDefault="00747CF8" w:rsidP="00F43D6B">
            <w:r w:rsidRPr="00C27889">
              <w:t>20.4</w:t>
            </w:r>
          </w:p>
        </w:tc>
        <w:tc>
          <w:tcPr>
            <w:tcW w:w="1054" w:type="dxa"/>
            <w:shd w:val="clear" w:color="auto" w:fill="F5F5F1"/>
            <w:noWrap/>
            <w:hideMark/>
          </w:tcPr>
          <w:p w14:paraId="2417755F" w14:textId="77777777" w:rsidR="00747CF8" w:rsidRPr="00C27889" w:rsidRDefault="00747CF8" w:rsidP="00F43D6B">
            <w:r w:rsidRPr="00C27889">
              <w:t>85.2</w:t>
            </w:r>
          </w:p>
        </w:tc>
        <w:tc>
          <w:tcPr>
            <w:tcW w:w="1260" w:type="dxa"/>
            <w:shd w:val="clear" w:color="auto" w:fill="F5F5F1"/>
            <w:noWrap/>
            <w:hideMark/>
          </w:tcPr>
          <w:p w14:paraId="32FE8405" w14:textId="77777777" w:rsidR="00747CF8" w:rsidRPr="00C27889" w:rsidRDefault="00747CF8" w:rsidP="00F43D6B">
            <w:r w:rsidRPr="00C27889">
              <w:t>4,702</w:t>
            </w:r>
          </w:p>
        </w:tc>
      </w:tr>
      <w:tr w:rsidR="00747CF8" w:rsidRPr="00C27889" w14:paraId="292598F8" w14:textId="77777777" w:rsidTr="003805DB">
        <w:trPr>
          <w:trHeight w:val="320"/>
          <w:tblHeader/>
        </w:trPr>
        <w:tc>
          <w:tcPr>
            <w:tcW w:w="2689" w:type="dxa"/>
            <w:shd w:val="clear" w:color="auto" w:fill="F5F5F1"/>
            <w:noWrap/>
            <w:hideMark/>
          </w:tcPr>
          <w:p w14:paraId="60A61CBF" w14:textId="77777777" w:rsidR="00747CF8" w:rsidRPr="00C27889" w:rsidRDefault="00747CF8" w:rsidP="00F43D6B">
            <w:r w:rsidRPr="00C27889">
              <w:t>5-9</w:t>
            </w:r>
          </w:p>
        </w:tc>
        <w:tc>
          <w:tcPr>
            <w:tcW w:w="1054" w:type="dxa"/>
            <w:shd w:val="clear" w:color="auto" w:fill="F5F5F1"/>
            <w:noWrap/>
            <w:hideMark/>
          </w:tcPr>
          <w:p w14:paraId="5FA9AC0B" w14:textId="77777777" w:rsidR="00747CF8" w:rsidRPr="00C27889" w:rsidRDefault="00747CF8" w:rsidP="00F43D6B">
            <w:r w:rsidRPr="00C27889">
              <w:t>4.3</w:t>
            </w:r>
          </w:p>
        </w:tc>
        <w:tc>
          <w:tcPr>
            <w:tcW w:w="1410" w:type="dxa"/>
            <w:shd w:val="clear" w:color="auto" w:fill="F5F5F1"/>
            <w:noWrap/>
            <w:hideMark/>
          </w:tcPr>
          <w:p w14:paraId="0B3A07FA" w14:textId="77777777" w:rsidR="00747CF8" w:rsidRPr="00C27889" w:rsidRDefault="00747CF8" w:rsidP="00F43D6B">
            <w:r w:rsidRPr="00C27889">
              <w:t>83.9</w:t>
            </w:r>
          </w:p>
        </w:tc>
        <w:tc>
          <w:tcPr>
            <w:tcW w:w="859" w:type="dxa"/>
            <w:shd w:val="clear" w:color="auto" w:fill="F5F5F1"/>
            <w:noWrap/>
            <w:hideMark/>
          </w:tcPr>
          <w:p w14:paraId="4C50BD76" w14:textId="77777777" w:rsidR="00747CF8" w:rsidRPr="00C27889" w:rsidRDefault="00747CF8" w:rsidP="00F43D6B">
            <w:r w:rsidRPr="00C27889">
              <w:t>79.8</w:t>
            </w:r>
          </w:p>
        </w:tc>
        <w:tc>
          <w:tcPr>
            <w:tcW w:w="900" w:type="dxa"/>
            <w:shd w:val="clear" w:color="auto" w:fill="F5F5F1"/>
            <w:noWrap/>
            <w:hideMark/>
          </w:tcPr>
          <w:p w14:paraId="5081482F" w14:textId="77777777" w:rsidR="00747CF8" w:rsidRPr="00C27889" w:rsidRDefault="00747CF8" w:rsidP="00F43D6B">
            <w:r w:rsidRPr="00C27889">
              <w:t>27.3</w:t>
            </w:r>
          </w:p>
        </w:tc>
        <w:tc>
          <w:tcPr>
            <w:tcW w:w="1054" w:type="dxa"/>
            <w:shd w:val="clear" w:color="auto" w:fill="F5F5F1"/>
            <w:noWrap/>
            <w:hideMark/>
          </w:tcPr>
          <w:p w14:paraId="0ABB17A2" w14:textId="77777777" w:rsidR="00747CF8" w:rsidRPr="00C27889" w:rsidRDefault="00747CF8" w:rsidP="00F43D6B">
            <w:r w:rsidRPr="00C27889">
              <w:t>90.6</w:t>
            </w:r>
          </w:p>
        </w:tc>
        <w:tc>
          <w:tcPr>
            <w:tcW w:w="1260" w:type="dxa"/>
            <w:shd w:val="clear" w:color="auto" w:fill="F5F5F1"/>
            <w:noWrap/>
            <w:hideMark/>
          </w:tcPr>
          <w:p w14:paraId="46864C30" w14:textId="77777777" w:rsidR="00747CF8" w:rsidRPr="00C27889" w:rsidRDefault="00747CF8" w:rsidP="00F43D6B">
            <w:r w:rsidRPr="00C27889">
              <w:t>11,797</w:t>
            </w:r>
          </w:p>
        </w:tc>
      </w:tr>
      <w:tr w:rsidR="00747CF8" w:rsidRPr="00C27889" w14:paraId="273C6CC5" w14:textId="77777777" w:rsidTr="003805DB">
        <w:trPr>
          <w:trHeight w:val="320"/>
          <w:tblHeader/>
        </w:trPr>
        <w:tc>
          <w:tcPr>
            <w:tcW w:w="2689" w:type="dxa"/>
            <w:tcBorders>
              <w:bottom w:val="single" w:sz="12" w:space="0" w:color="auto"/>
            </w:tcBorders>
            <w:shd w:val="clear" w:color="auto" w:fill="F5F5F1"/>
            <w:noWrap/>
            <w:hideMark/>
          </w:tcPr>
          <w:p w14:paraId="226A192B" w14:textId="77777777" w:rsidR="00747CF8" w:rsidRPr="00C27889" w:rsidRDefault="00747CF8" w:rsidP="00F43D6B">
            <w:r w:rsidRPr="00C27889">
              <w:t>10 to 14</w:t>
            </w:r>
          </w:p>
        </w:tc>
        <w:tc>
          <w:tcPr>
            <w:tcW w:w="1054" w:type="dxa"/>
            <w:tcBorders>
              <w:bottom w:val="single" w:sz="12" w:space="0" w:color="auto"/>
            </w:tcBorders>
            <w:shd w:val="clear" w:color="auto" w:fill="F5F5F1"/>
            <w:noWrap/>
            <w:hideMark/>
          </w:tcPr>
          <w:p w14:paraId="5B544D80" w14:textId="77777777" w:rsidR="00747CF8" w:rsidRPr="00C27889" w:rsidRDefault="00747CF8" w:rsidP="00F43D6B">
            <w:r w:rsidRPr="00C27889">
              <w:t>4.1</w:t>
            </w:r>
          </w:p>
        </w:tc>
        <w:tc>
          <w:tcPr>
            <w:tcW w:w="1410" w:type="dxa"/>
            <w:tcBorders>
              <w:bottom w:val="single" w:sz="12" w:space="0" w:color="auto"/>
            </w:tcBorders>
            <w:shd w:val="clear" w:color="auto" w:fill="F5F5F1"/>
            <w:noWrap/>
            <w:hideMark/>
          </w:tcPr>
          <w:p w14:paraId="4C2E2142" w14:textId="77777777" w:rsidR="00747CF8" w:rsidRPr="00C27889" w:rsidRDefault="00747CF8" w:rsidP="00F43D6B">
            <w:r w:rsidRPr="00C27889">
              <w:t>86.8</w:t>
            </w:r>
          </w:p>
        </w:tc>
        <w:tc>
          <w:tcPr>
            <w:tcW w:w="859" w:type="dxa"/>
            <w:tcBorders>
              <w:bottom w:val="single" w:sz="12" w:space="0" w:color="auto"/>
            </w:tcBorders>
            <w:shd w:val="clear" w:color="auto" w:fill="F5F5F1"/>
            <w:noWrap/>
            <w:hideMark/>
          </w:tcPr>
          <w:p w14:paraId="20BEC130" w14:textId="77777777" w:rsidR="00747CF8" w:rsidRPr="00C27889" w:rsidRDefault="00747CF8" w:rsidP="00F43D6B">
            <w:r w:rsidRPr="00C27889">
              <w:t>74.5</w:t>
            </w:r>
          </w:p>
        </w:tc>
        <w:tc>
          <w:tcPr>
            <w:tcW w:w="900" w:type="dxa"/>
            <w:tcBorders>
              <w:bottom w:val="single" w:sz="12" w:space="0" w:color="auto"/>
            </w:tcBorders>
            <w:shd w:val="clear" w:color="auto" w:fill="F5F5F1"/>
            <w:noWrap/>
            <w:hideMark/>
          </w:tcPr>
          <w:p w14:paraId="51060A9B" w14:textId="77777777" w:rsidR="00747CF8" w:rsidRPr="00C27889" w:rsidRDefault="00747CF8" w:rsidP="00F43D6B">
            <w:r w:rsidRPr="00C27889">
              <w:t>34</w:t>
            </w:r>
          </w:p>
        </w:tc>
        <w:tc>
          <w:tcPr>
            <w:tcW w:w="1054" w:type="dxa"/>
            <w:tcBorders>
              <w:bottom w:val="single" w:sz="12" w:space="0" w:color="auto"/>
            </w:tcBorders>
            <w:shd w:val="clear" w:color="auto" w:fill="F5F5F1"/>
            <w:noWrap/>
            <w:hideMark/>
          </w:tcPr>
          <w:p w14:paraId="6FD1B0AD" w14:textId="77777777" w:rsidR="00747CF8" w:rsidRPr="00C27889" w:rsidRDefault="00747CF8" w:rsidP="00F43D6B">
            <w:r w:rsidRPr="00C27889">
              <w:t>92</w:t>
            </w:r>
          </w:p>
        </w:tc>
        <w:tc>
          <w:tcPr>
            <w:tcW w:w="1260" w:type="dxa"/>
            <w:tcBorders>
              <w:bottom w:val="single" w:sz="12" w:space="0" w:color="auto"/>
            </w:tcBorders>
            <w:shd w:val="clear" w:color="auto" w:fill="F5F5F1"/>
            <w:noWrap/>
            <w:hideMark/>
          </w:tcPr>
          <w:p w14:paraId="5A73CAEB" w14:textId="77777777" w:rsidR="00747CF8" w:rsidRPr="00C27889" w:rsidRDefault="00747CF8" w:rsidP="00F43D6B">
            <w:r w:rsidRPr="00C27889">
              <w:t>8,923</w:t>
            </w:r>
          </w:p>
        </w:tc>
      </w:tr>
      <w:tr w:rsidR="00747CF8" w:rsidRPr="00C27889" w14:paraId="3CFC4DAD" w14:textId="77777777" w:rsidTr="003805DB">
        <w:trPr>
          <w:trHeight w:val="320"/>
          <w:tblHeader/>
        </w:trPr>
        <w:tc>
          <w:tcPr>
            <w:tcW w:w="9226" w:type="dxa"/>
            <w:gridSpan w:val="7"/>
            <w:tcBorders>
              <w:top w:val="single" w:sz="12" w:space="0" w:color="auto"/>
              <w:bottom w:val="single" w:sz="12" w:space="0" w:color="auto"/>
            </w:tcBorders>
            <w:shd w:val="clear" w:color="auto" w:fill="F5F5F1"/>
            <w:noWrap/>
            <w:hideMark/>
          </w:tcPr>
          <w:p w14:paraId="54257B69" w14:textId="77777777" w:rsidR="00747CF8" w:rsidRPr="00C27889" w:rsidRDefault="00747CF8" w:rsidP="00F43D6B">
            <w:pPr>
              <w:rPr>
                <w:b/>
                <w:bCs/>
                <w:i/>
                <w:iCs/>
              </w:rPr>
            </w:pPr>
            <w:r w:rsidRPr="00C27889">
              <w:rPr>
                <w:b/>
                <w:bCs/>
                <w:i/>
                <w:iCs/>
              </w:rPr>
              <w:t>Child's functional difficulty (age 18-49 years)</w:t>
            </w:r>
          </w:p>
        </w:tc>
      </w:tr>
      <w:tr w:rsidR="00747CF8" w:rsidRPr="00C27889" w14:paraId="2C9AE775" w14:textId="77777777" w:rsidTr="003805DB">
        <w:trPr>
          <w:trHeight w:val="320"/>
          <w:tblHeader/>
        </w:trPr>
        <w:tc>
          <w:tcPr>
            <w:tcW w:w="2689" w:type="dxa"/>
            <w:tcBorders>
              <w:top w:val="single" w:sz="12" w:space="0" w:color="auto"/>
            </w:tcBorders>
            <w:shd w:val="clear" w:color="auto" w:fill="F5F5F1"/>
            <w:noWrap/>
            <w:hideMark/>
          </w:tcPr>
          <w:p w14:paraId="363CBA38" w14:textId="77777777" w:rsidR="00747CF8" w:rsidRPr="00C27889" w:rsidRDefault="00747CF8" w:rsidP="00F43D6B">
            <w:r w:rsidRPr="00C27889">
              <w:t>Has functional difficulty</w:t>
            </w:r>
          </w:p>
        </w:tc>
        <w:tc>
          <w:tcPr>
            <w:tcW w:w="1054" w:type="dxa"/>
            <w:tcBorders>
              <w:top w:val="single" w:sz="12" w:space="0" w:color="auto"/>
            </w:tcBorders>
            <w:shd w:val="clear" w:color="auto" w:fill="F5F5F1"/>
            <w:noWrap/>
            <w:hideMark/>
          </w:tcPr>
          <w:p w14:paraId="52C0BE0D" w14:textId="77777777" w:rsidR="00747CF8" w:rsidRPr="00C27889" w:rsidRDefault="00747CF8" w:rsidP="00F43D6B">
            <w:r w:rsidRPr="00C27889">
              <w:t>2.2</w:t>
            </w:r>
          </w:p>
        </w:tc>
        <w:tc>
          <w:tcPr>
            <w:tcW w:w="1410" w:type="dxa"/>
            <w:tcBorders>
              <w:top w:val="single" w:sz="12" w:space="0" w:color="auto"/>
            </w:tcBorders>
            <w:shd w:val="clear" w:color="auto" w:fill="F5F5F1"/>
            <w:noWrap/>
            <w:hideMark/>
          </w:tcPr>
          <w:p w14:paraId="4747CC0B" w14:textId="77777777" w:rsidR="00747CF8" w:rsidRPr="00C27889" w:rsidRDefault="00747CF8" w:rsidP="00F43D6B">
            <w:r w:rsidRPr="00C27889">
              <w:t>86.2</w:t>
            </w:r>
          </w:p>
        </w:tc>
        <w:tc>
          <w:tcPr>
            <w:tcW w:w="859" w:type="dxa"/>
            <w:tcBorders>
              <w:top w:val="single" w:sz="12" w:space="0" w:color="auto"/>
            </w:tcBorders>
            <w:shd w:val="clear" w:color="auto" w:fill="F5F5F1"/>
            <w:noWrap/>
            <w:hideMark/>
          </w:tcPr>
          <w:p w14:paraId="286B9B3D" w14:textId="77777777" w:rsidR="00747CF8" w:rsidRPr="00C27889" w:rsidRDefault="00747CF8" w:rsidP="00F43D6B">
            <w:r w:rsidRPr="00C27889">
              <w:t>81.3</w:t>
            </w:r>
          </w:p>
        </w:tc>
        <w:tc>
          <w:tcPr>
            <w:tcW w:w="900" w:type="dxa"/>
            <w:tcBorders>
              <w:top w:val="single" w:sz="12" w:space="0" w:color="auto"/>
            </w:tcBorders>
            <w:shd w:val="clear" w:color="auto" w:fill="F5F5F1"/>
            <w:noWrap/>
            <w:hideMark/>
          </w:tcPr>
          <w:p w14:paraId="432F3373" w14:textId="77777777" w:rsidR="00747CF8" w:rsidRPr="00C27889" w:rsidRDefault="00747CF8" w:rsidP="00F43D6B">
            <w:r w:rsidRPr="00C27889">
              <w:t>30</w:t>
            </w:r>
          </w:p>
        </w:tc>
        <w:tc>
          <w:tcPr>
            <w:tcW w:w="1054" w:type="dxa"/>
            <w:tcBorders>
              <w:top w:val="single" w:sz="12" w:space="0" w:color="auto"/>
            </w:tcBorders>
            <w:shd w:val="clear" w:color="auto" w:fill="F5F5F1"/>
            <w:noWrap/>
            <w:hideMark/>
          </w:tcPr>
          <w:p w14:paraId="04D596C7" w14:textId="77777777" w:rsidR="00747CF8" w:rsidRPr="00C27889" w:rsidRDefault="00747CF8" w:rsidP="00F43D6B">
            <w:r w:rsidRPr="00C27889">
              <w:t>91.8</w:t>
            </w:r>
          </w:p>
        </w:tc>
        <w:tc>
          <w:tcPr>
            <w:tcW w:w="1260" w:type="dxa"/>
            <w:tcBorders>
              <w:top w:val="single" w:sz="12" w:space="0" w:color="auto"/>
            </w:tcBorders>
            <w:shd w:val="clear" w:color="auto" w:fill="F5F5F1"/>
            <w:noWrap/>
            <w:hideMark/>
          </w:tcPr>
          <w:p w14:paraId="1105F529" w14:textId="77777777" w:rsidR="00747CF8" w:rsidRPr="00C27889" w:rsidRDefault="00747CF8" w:rsidP="00F43D6B">
            <w:r w:rsidRPr="00C27889">
              <w:t>5,471</w:t>
            </w:r>
          </w:p>
        </w:tc>
      </w:tr>
      <w:tr w:rsidR="00747CF8" w:rsidRPr="00C27889" w14:paraId="1A15632A" w14:textId="77777777" w:rsidTr="003805DB">
        <w:trPr>
          <w:trHeight w:val="320"/>
          <w:tblHeader/>
        </w:trPr>
        <w:tc>
          <w:tcPr>
            <w:tcW w:w="2689" w:type="dxa"/>
            <w:tcBorders>
              <w:bottom w:val="single" w:sz="12" w:space="0" w:color="auto"/>
            </w:tcBorders>
            <w:shd w:val="clear" w:color="auto" w:fill="F5F5F1"/>
            <w:noWrap/>
            <w:hideMark/>
          </w:tcPr>
          <w:p w14:paraId="4DAE4ADF" w14:textId="77777777" w:rsidR="00747CF8" w:rsidRPr="00C27889" w:rsidRDefault="00747CF8" w:rsidP="00F43D6B">
            <w:r w:rsidRPr="00C27889">
              <w:t>Has no functional difficulty</w:t>
            </w:r>
          </w:p>
        </w:tc>
        <w:tc>
          <w:tcPr>
            <w:tcW w:w="1054" w:type="dxa"/>
            <w:tcBorders>
              <w:bottom w:val="single" w:sz="12" w:space="0" w:color="auto"/>
            </w:tcBorders>
            <w:shd w:val="clear" w:color="auto" w:fill="F5F5F1"/>
            <w:noWrap/>
            <w:hideMark/>
          </w:tcPr>
          <w:p w14:paraId="327B1EE9" w14:textId="77777777" w:rsidR="00747CF8" w:rsidRPr="00C27889" w:rsidRDefault="00747CF8" w:rsidP="00F43D6B">
            <w:r w:rsidRPr="00C27889">
              <w:t>5.3</w:t>
            </w:r>
          </w:p>
        </w:tc>
        <w:tc>
          <w:tcPr>
            <w:tcW w:w="1410" w:type="dxa"/>
            <w:tcBorders>
              <w:bottom w:val="single" w:sz="12" w:space="0" w:color="auto"/>
            </w:tcBorders>
            <w:shd w:val="clear" w:color="auto" w:fill="F5F5F1"/>
            <w:noWrap/>
            <w:hideMark/>
          </w:tcPr>
          <w:p w14:paraId="385D9894" w14:textId="77777777" w:rsidR="00747CF8" w:rsidRPr="00C27889" w:rsidRDefault="00747CF8" w:rsidP="00F43D6B">
            <w:r w:rsidRPr="00C27889">
              <w:t>81.6</w:t>
            </w:r>
          </w:p>
        </w:tc>
        <w:tc>
          <w:tcPr>
            <w:tcW w:w="859" w:type="dxa"/>
            <w:tcBorders>
              <w:bottom w:val="single" w:sz="12" w:space="0" w:color="auto"/>
            </w:tcBorders>
            <w:shd w:val="clear" w:color="auto" w:fill="F5F5F1"/>
            <w:noWrap/>
            <w:hideMark/>
          </w:tcPr>
          <w:p w14:paraId="79B327A0" w14:textId="77777777" w:rsidR="00747CF8" w:rsidRPr="00C27889" w:rsidRDefault="00747CF8" w:rsidP="00F43D6B">
            <w:r w:rsidRPr="00C27889">
              <w:t>74.2</w:t>
            </w:r>
          </w:p>
        </w:tc>
        <w:tc>
          <w:tcPr>
            <w:tcW w:w="900" w:type="dxa"/>
            <w:tcBorders>
              <w:bottom w:val="single" w:sz="12" w:space="0" w:color="auto"/>
            </w:tcBorders>
            <w:shd w:val="clear" w:color="auto" w:fill="F5F5F1"/>
            <w:noWrap/>
            <w:hideMark/>
          </w:tcPr>
          <w:p w14:paraId="6904185D" w14:textId="77777777" w:rsidR="00747CF8" w:rsidRPr="00C27889" w:rsidRDefault="00747CF8" w:rsidP="00F43D6B">
            <w:r w:rsidRPr="00C27889">
              <w:t>26.3</w:t>
            </w:r>
          </w:p>
        </w:tc>
        <w:tc>
          <w:tcPr>
            <w:tcW w:w="1054" w:type="dxa"/>
            <w:tcBorders>
              <w:bottom w:val="single" w:sz="12" w:space="0" w:color="auto"/>
            </w:tcBorders>
            <w:shd w:val="clear" w:color="auto" w:fill="F5F5F1"/>
            <w:noWrap/>
            <w:hideMark/>
          </w:tcPr>
          <w:p w14:paraId="5D278F8F" w14:textId="77777777" w:rsidR="00747CF8" w:rsidRPr="00C27889" w:rsidRDefault="00747CF8" w:rsidP="00F43D6B">
            <w:r w:rsidRPr="00C27889">
              <w:t>88.2</w:t>
            </w:r>
          </w:p>
        </w:tc>
        <w:tc>
          <w:tcPr>
            <w:tcW w:w="1260" w:type="dxa"/>
            <w:tcBorders>
              <w:bottom w:val="single" w:sz="12" w:space="0" w:color="auto"/>
            </w:tcBorders>
            <w:shd w:val="clear" w:color="auto" w:fill="F5F5F1"/>
            <w:noWrap/>
            <w:hideMark/>
          </w:tcPr>
          <w:p w14:paraId="51BB50BE" w14:textId="77777777" w:rsidR="00747CF8" w:rsidRPr="00C27889" w:rsidRDefault="00747CF8" w:rsidP="00F43D6B">
            <w:r w:rsidRPr="00C27889">
              <w:t>22,339</w:t>
            </w:r>
          </w:p>
        </w:tc>
      </w:tr>
      <w:tr w:rsidR="00747CF8" w:rsidRPr="00C27889" w14:paraId="6798FCF4" w14:textId="77777777" w:rsidTr="003805DB">
        <w:trPr>
          <w:trHeight w:val="320"/>
          <w:tblHeader/>
        </w:trPr>
        <w:tc>
          <w:tcPr>
            <w:tcW w:w="9226" w:type="dxa"/>
            <w:gridSpan w:val="7"/>
            <w:tcBorders>
              <w:top w:val="single" w:sz="12" w:space="0" w:color="auto"/>
            </w:tcBorders>
            <w:noWrap/>
          </w:tcPr>
          <w:p w14:paraId="418A0971" w14:textId="12745269" w:rsidR="00747CF8" w:rsidRPr="00C27889" w:rsidDel="00B534F9" w:rsidRDefault="00747CF8" w:rsidP="00E02E01">
            <w:pPr>
              <w:rPr>
                <w:sz w:val="18"/>
                <w:szCs w:val="18"/>
              </w:rPr>
            </w:pPr>
            <w:r w:rsidRPr="00C27889">
              <w:rPr>
                <w:i/>
                <w:iCs/>
                <w:sz w:val="18"/>
                <w:szCs w:val="18"/>
              </w:rPr>
              <w:t>Source:</w:t>
            </w:r>
            <w:r w:rsidRPr="00C27889">
              <w:rPr>
                <w:sz w:val="18"/>
                <w:szCs w:val="18"/>
              </w:rPr>
              <w:t xml:space="preserve"> Statistics Sierra Leone, </w:t>
            </w:r>
            <w:r w:rsidRPr="00C27889">
              <w:rPr>
                <w:i/>
                <w:iCs/>
                <w:sz w:val="18"/>
                <w:szCs w:val="18"/>
              </w:rPr>
              <w:t>Sierra Leone Multiple Indicator Cluster Survey 2017, Survey Findings Report</w:t>
            </w:r>
            <w:r w:rsidRPr="00C27889">
              <w:rPr>
                <w:sz w:val="18"/>
                <w:szCs w:val="18"/>
              </w:rPr>
              <w:t xml:space="preserve"> (Freetown, Sierra Leone, Statistics Sierra Leone, 2018), p. 246</w:t>
            </w:r>
          </w:p>
        </w:tc>
      </w:tr>
    </w:tbl>
    <w:p w14:paraId="732D12BA" w14:textId="77777777" w:rsidR="00747CF8" w:rsidRPr="00C27889" w:rsidRDefault="00747CF8" w:rsidP="00084415">
      <w:pPr>
        <w:pStyle w:val="Heading2"/>
        <w:rPr>
          <w:rFonts w:eastAsiaTheme="majorEastAsia"/>
        </w:rPr>
      </w:pPr>
      <w:r w:rsidRPr="00C27889">
        <w:rPr>
          <w:rFonts w:eastAsiaTheme="majorEastAsia"/>
        </w:rPr>
        <w:t>15/17.24 Number and proportion of persons with disabilities subjected to forced medical experimentation who received compensation, rehabilitation and support per year.</w:t>
      </w:r>
    </w:p>
    <w:p w14:paraId="2891D34E" w14:textId="77777777" w:rsidR="00747CF8" w:rsidRPr="00C27889" w:rsidRDefault="00747CF8" w:rsidP="00084415">
      <w:pPr>
        <w:pStyle w:val="Heading4"/>
        <w:rPr>
          <w:rFonts w:eastAsiaTheme="majorEastAsia"/>
        </w:rPr>
      </w:pPr>
      <w:r w:rsidRPr="00C27889">
        <w:rPr>
          <w:rFonts w:eastAsiaTheme="majorEastAsia"/>
        </w:rPr>
        <w:t>Level 3: Indicator for which acquiring data is more complex or requires the development of data collection mechanisms which are currently not in place.</w:t>
      </w:r>
    </w:p>
    <w:p w14:paraId="79A04BD4" w14:textId="743292F9" w:rsidR="00355C6D" w:rsidRPr="00C27889" w:rsidRDefault="00747CF8" w:rsidP="00CA02A9">
      <w:pPr>
        <w:rPr>
          <w:rFonts w:cstheme="minorHAnsi"/>
        </w:rPr>
      </w:pPr>
      <w:r w:rsidRPr="00C27889">
        <w:rPr>
          <w:rFonts w:cstheme="minorHAnsi"/>
        </w:rPr>
        <w:t>This could be collected from court records or administrative data from national human rights commissions established to investigate these abuses, provided they ask about disability status.</w:t>
      </w:r>
    </w:p>
    <w:sectPr w:rsidR="00355C6D" w:rsidRPr="00C27889" w:rsidSect="00E713E6">
      <w:footerReference w:type="even" r:id="rId17"/>
      <w:footerReference w:type="default" r:id="rId18"/>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BE34D" w14:textId="77777777" w:rsidR="00277EBF" w:rsidRPr="00C27889" w:rsidRDefault="00277EBF" w:rsidP="00461540">
      <w:r w:rsidRPr="00C27889">
        <w:separator/>
      </w:r>
    </w:p>
  </w:endnote>
  <w:endnote w:type="continuationSeparator" w:id="0">
    <w:p w14:paraId="284B4D3D" w14:textId="77777777" w:rsidR="00277EBF" w:rsidRPr="00C27889" w:rsidRDefault="00277EBF" w:rsidP="00461540">
      <w:r w:rsidRPr="00C278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C27889" w:rsidRDefault="00C22620" w:rsidP="005935AC">
        <w:pPr>
          <w:pStyle w:val="Footer"/>
          <w:framePr w:wrap="none" w:vAnchor="text" w:hAnchor="margin" w:xAlign="right" w:y="1"/>
          <w:rPr>
            <w:rStyle w:val="PageNumber"/>
          </w:rPr>
        </w:pPr>
        <w:r w:rsidRPr="00C27889">
          <w:rPr>
            <w:rStyle w:val="PageNumber"/>
          </w:rPr>
          <w:fldChar w:fldCharType="begin"/>
        </w:r>
        <w:r w:rsidRPr="00C27889">
          <w:rPr>
            <w:rStyle w:val="PageNumber"/>
          </w:rPr>
          <w:instrText xml:space="preserve"> PAGE </w:instrText>
        </w:r>
        <w:r w:rsidRPr="00C27889">
          <w:rPr>
            <w:rStyle w:val="PageNumber"/>
          </w:rPr>
          <w:fldChar w:fldCharType="end"/>
        </w:r>
      </w:p>
    </w:sdtContent>
  </w:sdt>
  <w:p w14:paraId="143BCC80" w14:textId="77777777" w:rsidR="00C22620" w:rsidRPr="00C27889"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bCs/>
        <w:sz w:val="18"/>
        <w:szCs w:val="18"/>
      </w:rPr>
    </w:sdtEndPr>
    <w:sdtContent>
      <w:p w14:paraId="672B0C64" w14:textId="3254946E" w:rsidR="00C22620" w:rsidRPr="00C27889" w:rsidRDefault="00C22620" w:rsidP="00867838">
        <w:pPr>
          <w:pStyle w:val="Footer"/>
          <w:framePr w:wrap="none" w:vAnchor="text" w:hAnchor="margin" w:xAlign="right" w:y="1"/>
          <w:spacing w:before="0" w:after="0" w:line="240" w:lineRule="auto"/>
          <w:rPr>
            <w:rStyle w:val="PageNumber"/>
            <w:b/>
          </w:rPr>
        </w:pPr>
        <w:r w:rsidRPr="00C27889">
          <w:rPr>
            <w:rStyle w:val="PageNumber"/>
            <w:rFonts w:cstheme="minorHAnsi"/>
            <w:b/>
            <w:bCs/>
          </w:rPr>
          <w:fldChar w:fldCharType="begin"/>
        </w:r>
        <w:r w:rsidRPr="00C27889">
          <w:rPr>
            <w:rStyle w:val="PageNumber"/>
            <w:rFonts w:cstheme="minorHAnsi"/>
            <w:b/>
            <w:bCs/>
          </w:rPr>
          <w:instrText xml:space="preserve"> PAGE </w:instrText>
        </w:r>
        <w:r w:rsidRPr="00C27889">
          <w:rPr>
            <w:rStyle w:val="PageNumber"/>
            <w:rFonts w:cstheme="minorHAnsi"/>
            <w:b/>
            <w:bCs/>
          </w:rPr>
          <w:fldChar w:fldCharType="separate"/>
        </w:r>
        <w:r w:rsidR="003573F5" w:rsidRPr="00C27889">
          <w:rPr>
            <w:rStyle w:val="PageNumber"/>
            <w:rFonts w:cstheme="minorHAnsi"/>
            <w:b/>
            <w:bCs/>
            <w:noProof/>
          </w:rPr>
          <w:t>5</w:t>
        </w:r>
        <w:r w:rsidRPr="00C27889">
          <w:rPr>
            <w:rStyle w:val="PageNumber"/>
            <w:rFonts w:cstheme="minorHAnsi"/>
            <w:b/>
            <w:bCs/>
          </w:rPr>
          <w:fldChar w:fldCharType="end"/>
        </w:r>
      </w:p>
    </w:sdtContent>
  </w:sdt>
  <w:p w14:paraId="24EE9BB2" w14:textId="524F08E3" w:rsidR="00F029F1" w:rsidRPr="00C27889" w:rsidRDefault="00F029F1" w:rsidP="00F029F1">
    <w:pPr>
      <w:pStyle w:val="Footer"/>
      <w:tabs>
        <w:tab w:val="clear" w:pos="9360"/>
        <w:tab w:val="right" w:pos="8300"/>
      </w:tabs>
      <w:spacing w:before="0"/>
      <w:ind w:left="432" w:right="360"/>
      <w:rPr>
        <w:spacing w:val="-2"/>
        <w:sz w:val="18"/>
        <w:szCs w:val="18"/>
        <w:lang w:val="en-US"/>
      </w:rPr>
    </w:pPr>
    <w:r w:rsidRPr="00C27889">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70D7CBE9" wp14:editId="51DE2570">
              <wp:simplePos x="0" y="0"/>
              <wp:positionH relativeFrom="column">
                <wp:posOffset>5328920</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29D64" id="Rounded Rectangle 4" o:spid="_x0000_s1026" alt="&quot;&quot;" style="position:absolute;margin-left:419.6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" fillcolor="#ffc000" stroked="f" strokeweight="1pt">
              <v:stroke joinstyle="miter"/>
              <w10:wrap type="through"/>
            </v:roundrect>
          </w:pict>
        </mc:Fallback>
      </mc:AlternateContent>
    </w:r>
    <w:r w:rsidRPr="00C27889">
      <w:rPr>
        <w:rFonts w:asciiTheme="minorHAnsi" w:hAnsiTheme="minorHAnsi"/>
        <w:noProof/>
        <w:sz w:val="18"/>
        <w:szCs w:val="18"/>
        <w:lang w:eastAsia="en-GB"/>
      </w:rPr>
      <w:drawing>
        <wp:anchor distT="0" distB="0" distL="114300" distR="114300" simplePos="0" relativeHeight="251659264" behindDoc="0" locked="0" layoutInCell="1" allowOverlap="1" wp14:anchorId="74F57A27" wp14:editId="085C152B">
          <wp:simplePos x="0" y="0"/>
          <wp:positionH relativeFrom="column">
            <wp:posOffset>-3810</wp:posOffset>
          </wp:positionH>
          <wp:positionV relativeFrom="paragraph">
            <wp:posOffset>-6127</wp:posOffset>
          </wp:positionV>
          <wp:extent cx="287020" cy="148590"/>
          <wp:effectExtent l="0" t="0" r="0" b="3810"/>
          <wp:wrapNone/>
          <wp:docPr id="6" name="Picture 6"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889">
      <w:rPr>
        <w:rFonts w:asciiTheme="minorHAnsi" w:hAnsiTheme="minorHAnsi"/>
        <w:sz w:val="18"/>
        <w:szCs w:val="18"/>
        <w:lang w:val="en-US"/>
      </w:rPr>
      <w:t xml:space="preserve">  </w:t>
    </w:r>
    <w:r w:rsidRPr="00C27889">
      <w:rPr>
        <w:color w:val="7F7F7F" w:themeColor="text1" w:themeTint="80"/>
        <w:sz w:val="18"/>
        <w:szCs w:val="18"/>
        <w:lang w:val="en-US"/>
      </w:rPr>
      <w:t>+</w:t>
    </w:r>
    <w:r w:rsidRPr="00C27889">
      <w:rPr>
        <w:color w:val="7F7F7F" w:themeColor="text1" w:themeTint="80"/>
        <w:spacing w:val="-2"/>
        <w:sz w:val="18"/>
        <w:szCs w:val="18"/>
        <w:lang w:val="en-US"/>
      </w:rPr>
      <w:t xml:space="preserve"> Data Sources on Article</w:t>
    </w:r>
    <w:r w:rsidR="00275E0A" w:rsidRPr="00C27889">
      <w:rPr>
        <w:color w:val="7F7F7F" w:themeColor="text1" w:themeTint="80"/>
        <w:spacing w:val="-2"/>
        <w:sz w:val="18"/>
        <w:szCs w:val="18"/>
        <w:lang w:val="en-US"/>
      </w:rPr>
      <w:t>s</w:t>
    </w:r>
    <w:r w:rsidRPr="00C27889">
      <w:rPr>
        <w:color w:val="7F7F7F" w:themeColor="text1" w:themeTint="80"/>
        <w:spacing w:val="-2"/>
        <w:sz w:val="18"/>
        <w:szCs w:val="18"/>
        <w:lang w:val="en-US"/>
      </w:rPr>
      <w:t xml:space="preserve"> 15 and 17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E5D86" w14:textId="77777777" w:rsidR="00277EBF" w:rsidRPr="00C27889" w:rsidRDefault="00277EBF" w:rsidP="00461540">
      <w:r w:rsidRPr="00C27889">
        <w:separator/>
      </w:r>
    </w:p>
  </w:footnote>
  <w:footnote w:type="continuationSeparator" w:id="0">
    <w:p w14:paraId="1C34C8F5" w14:textId="77777777" w:rsidR="00277EBF" w:rsidRPr="00C27889" w:rsidRDefault="00277EBF" w:rsidP="00461540">
      <w:r w:rsidRPr="00C2788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40DDC"/>
    <w:multiLevelType w:val="hybridMultilevel"/>
    <w:tmpl w:val="BB4857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857F4"/>
    <w:multiLevelType w:val="hybridMultilevel"/>
    <w:tmpl w:val="F3E2BCFA"/>
    <w:lvl w:ilvl="0" w:tplc="55D2B838">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5"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5"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740059"/>
    <w:multiLevelType w:val="hybridMultilevel"/>
    <w:tmpl w:val="FBC8B5E6"/>
    <w:lvl w:ilvl="0" w:tplc="74EE311C">
      <w:start w:val="1"/>
      <w:numFmt w:val="bullet"/>
      <w:pStyle w:val="ListParagraph"/>
      <w:lvlText w:val="-"/>
      <w:lvlJc w:val="left"/>
      <w:pPr>
        <w:ind w:left="-1440" w:hanging="360"/>
      </w:pPr>
      <w:rPr>
        <w:rFonts w:ascii="Calibri" w:hAnsi="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0"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32"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1142"/>
    <w:multiLevelType w:val="hybridMultilevel"/>
    <w:tmpl w:val="D79ABBA2"/>
    <w:lvl w:ilvl="0" w:tplc="9B4C62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7"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4"/>
  </w:num>
  <w:num w:numId="4">
    <w:abstractNumId w:val="31"/>
  </w:num>
  <w:num w:numId="5">
    <w:abstractNumId w:val="22"/>
  </w:num>
  <w:num w:numId="6">
    <w:abstractNumId w:val="40"/>
  </w:num>
  <w:num w:numId="7">
    <w:abstractNumId w:val="26"/>
  </w:num>
  <w:num w:numId="8">
    <w:abstractNumId w:val="25"/>
  </w:num>
  <w:num w:numId="9">
    <w:abstractNumId w:val="32"/>
  </w:num>
  <w:num w:numId="10">
    <w:abstractNumId w:val="27"/>
  </w:num>
  <w:num w:numId="11">
    <w:abstractNumId w:val="17"/>
  </w:num>
  <w:num w:numId="12">
    <w:abstractNumId w:val="37"/>
  </w:num>
  <w:num w:numId="13">
    <w:abstractNumId w:val="24"/>
  </w:num>
  <w:num w:numId="14">
    <w:abstractNumId w:val="14"/>
  </w:num>
  <w:num w:numId="15">
    <w:abstractNumId w:val="35"/>
  </w:num>
  <w:num w:numId="16">
    <w:abstractNumId w:val="15"/>
  </w:num>
  <w:num w:numId="17">
    <w:abstractNumId w:val="12"/>
  </w:num>
  <w:num w:numId="18">
    <w:abstractNumId w:val="42"/>
  </w:num>
  <w:num w:numId="19">
    <w:abstractNumId w:val="18"/>
  </w:num>
  <w:num w:numId="20">
    <w:abstractNumId w:val="16"/>
  </w:num>
  <w:num w:numId="21">
    <w:abstractNumId w:val="30"/>
  </w:num>
  <w:num w:numId="22">
    <w:abstractNumId w:val="41"/>
  </w:num>
  <w:num w:numId="23">
    <w:abstractNumId w:val="23"/>
  </w:num>
  <w:num w:numId="24">
    <w:abstractNumId w:val="21"/>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0"/>
  </w:num>
  <w:num w:numId="36">
    <w:abstractNumId w:val="33"/>
  </w:num>
  <w:num w:numId="37">
    <w:abstractNumId w:val="28"/>
  </w:num>
  <w:num w:numId="38">
    <w:abstractNumId w:val="39"/>
  </w:num>
  <w:num w:numId="39">
    <w:abstractNumId w:val="13"/>
  </w:num>
  <w:num w:numId="40">
    <w:abstractNumId w:val="38"/>
  </w:num>
  <w:num w:numId="41">
    <w:abstractNumId w:val="11"/>
  </w:num>
  <w:num w:numId="42">
    <w:abstractNumId w:val="2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55F1"/>
    <w:rsid w:val="0002717C"/>
    <w:rsid w:val="00062C31"/>
    <w:rsid w:val="0006400F"/>
    <w:rsid w:val="000764AF"/>
    <w:rsid w:val="00084415"/>
    <w:rsid w:val="00085AA9"/>
    <w:rsid w:val="00087BBD"/>
    <w:rsid w:val="0009093A"/>
    <w:rsid w:val="000A1230"/>
    <w:rsid w:val="000A661C"/>
    <w:rsid w:val="000B1186"/>
    <w:rsid w:val="000B13D8"/>
    <w:rsid w:val="000B1723"/>
    <w:rsid w:val="000D47E4"/>
    <w:rsid w:val="000D54E5"/>
    <w:rsid w:val="000F5328"/>
    <w:rsid w:val="000F56DA"/>
    <w:rsid w:val="00101E46"/>
    <w:rsid w:val="00102434"/>
    <w:rsid w:val="00104C3F"/>
    <w:rsid w:val="0011247F"/>
    <w:rsid w:val="00113282"/>
    <w:rsid w:val="00113670"/>
    <w:rsid w:val="001148CA"/>
    <w:rsid w:val="00116DE9"/>
    <w:rsid w:val="001243C1"/>
    <w:rsid w:val="00124491"/>
    <w:rsid w:val="00143D69"/>
    <w:rsid w:val="001541E8"/>
    <w:rsid w:val="00163B0E"/>
    <w:rsid w:val="00166B8E"/>
    <w:rsid w:val="00173D86"/>
    <w:rsid w:val="00191D5C"/>
    <w:rsid w:val="00191DAC"/>
    <w:rsid w:val="001C2D74"/>
    <w:rsid w:val="001C65CC"/>
    <w:rsid w:val="001C76A8"/>
    <w:rsid w:val="001D54C9"/>
    <w:rsid w:val="001F4B1B"/>
    <w:rsid w:val="002004D2"/>
    <w:rsid w:val="0020421C"/>
    <w:rsid w:val="00213BA0"/>
    <w:rsid w:val="00213CD1"/>
    <w:rsid w:val="002148FC"/>
    <w:rsid w:val="0021621F"/>
    <w:rsid w:val="002218F7"/>
    <w:rsid w:val="0022275D"/>
    <w:rsid w:val="00222C7E"/>
    <w:rsid w:val="0022595A"/>
    <w:rsid w:val="002268B4"/>
    <w:rsid w:val="00242D93"/>
    <w:rsid w:val="00254EEF"/>
    <w:rsid w:val="0026208F"/>
    <w:rsid w:val="0026364F"/>
    <w:rsid w:val="00270A8A"/>
    <w:rsid w:val="00270BD0"/>
    <w:rsid w:val="00275E0A"/>
    <w:rsid w:val="0027734E"/>
    <w:rsid w:val="00277EBF"/>
    <w:rsid w:val="002851EF"/>
    <w:rsid w:val="00286968"/>
    <w:rsid w:val="002949A8"/>
    <w:rsid w:val="002C350A"/>
    <w:rsid w:val="002C4B00"/>
    <w:rsid w:val="002E12D5"/>
    <w:rsid w:val="002E25CA"/>
    <w:rsid w:val="002E4EB8"/>
    <w:rsid w:val="002E7C72"/>
    <w:rsid w:val="002F5068"/>
    <w:rsid w:val="0031097C"/>
    <w:rsid w:val="00311B6B"/>
    <w:rsid w:val="003126C7"/>
    <w:rsid w:val="00313B63"/>
    <w:rsid w:val="00323FB0"/>
    <w:rsid w:val="00330FE4"/>
    <w:rsid w:val="0033262E"/>
    <w:rsid w:val="0034007F"/>
    <w:rsid w:val="003478B1"/>
    <w:rsid w:val="00353776"/>
    <w:rsid w:val="00355C6D"/>
    <w:rsid w:val="003573F5"/>
    <w:rsid w:val="003616BB"/>
    <w:rsid w:val="003805DB"/>
    <w:rsid w:val="00382A3E"/>
    <w:rsid w:val="00390D12"/>
    <w:rsid w:val="00396691"/>
    <w:rsid w:val="00396C8F"/>
    <w:rsid w:val="003A223E"/>
    <w:rsid w:val="003A2ADC"/>
    <w:rsid w:val="003B7A00"/>
    <w:rsid w:val="003C76AC"/>
    <w:rsid w:val="003F1867"/>
    <w:rsid w:val="00432D6B"/>
    <w:rsid w:val="00435BA2"/>
    <w:rsid w:val="00435E14"/>
    <w:rsid w:val="00436405"/>
    <w:rsid w:val="00446E99"/>
    <w:rsid w:val="00450B91"/>
    <w:rsid w:val="00461540"/>
    <w:rsid w:val="0046655B"/>
    <w:rsid w:val="0046658B"/>
    <w:rsid w:val="00467602"/>
    <w:rsid w:val="004735DE"/>
    <w:rsid w:val="00474244"/>
    <w:rsid w:val="004777C6"/>
    <w:rsid w:val="00484B33"/>
    <w:rsid w:val="004913CF"/>
    <w:rsid w:val="00494626"/>
    <w:rsid w:val="00494783"/>
    <w:rsid w:val="004954C4"/>
    <w:rsid w:val="004A3269"/>
    <w:rsid w:val="004B375B"/>
    <w:rsid w:val="004B3A3D"/>
    <w:rsid w:val="004B6FD7"/>
    <w:rsid w:val="004D43D0"/>
    <w:rsid w:val="004D74F3"/>
    <w:rsid w:val="004E2537"/>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828"/>
    <w:rsid w:val="005935AC"/>
    <w:rsid w:val="00595CBC"/>
    <w:rsid w:val="005A094A"/>
    <w:rsid w:val="005B5CFA"/>
    <w:rsid w:val="005C1458"/>
    <w:rsid w:val="005C72F3"/>
    <w:rsid w:val="005E0158"/>
    <w:rsid w:val="005E1A55"/>
    <w:rsid w:val="005E7B70"/>
    <w:rsid w:val="005F2806"/>
    <w:rsid w:val="005F281A"/>
    <w:rsid w:val="005F7463"/>
    <w:rsid w:val="00605A03"/>
    <w:rsid w:val="0062437F"/>
    <w:rsid w:val="006301F6"/>
    <w:rsid w:val="00632C09"/>
    <w:rsid w:val="00672636"/>
    <w:rsid w:val="00690066"/>
    <w:rsid w:val="00691370"/>
    <w:rsid w:val="00691D31"/>
    <w:rsid w:val="00694E7B"/>
    <w:rsid w:val="006A3B77"/>
    <w:rsid w:val="006A74CF"/>
    <w:rsid w:val="006B12B9"/>
    <w:rsid w:val="006B56A8"/>
    <w:rsid w:val="006D0FAA"/>
    <w:rsid w:val="006D3CE0"/>
    <w:rsid w:val="006E20BC"/>
    <w:rsid w:val="006F0DD2"/>
    <w:rsid w:val="0070044F"/>
    <w:rsid w:val="00715858"/>
    <w:rsid w:val="00725275"/>
    <w:rsid w:val="00737923"/>
    <w:rsid w:val="0074088C"/>
    <w:rsid w:val="00747288"/>
    <w:rsid w:val="00747CF8"/>
    <w:rsid w:val="007573A5"/>
    <w:rsid w:val="00762B52"/>
    <w:rsid w:val="0076508E"/>
    <w:rsid w:val="0076693D"/>
    <w:rsid w:val="00770763"/>
    <w:rsid w:val="00770A1F"/>
    <w:rsid w:val="007710EB"/>
    <w:rsid w:val="00784F2D"/>
    <w:rsid w:val="007A5C39"/>
    <w:rsid w:val="007B79E5"/>
    <w:rsid w:val="007C2B91"/>
    <w:rsid w:val="007C2FCE"/>
    <w:rsid w:val="007C4FC3"/>
    <w:rsid w:val="007C755F"/>
    <w:rsid w:val="007D41E0"/>
    <w:rsid w:val="007D47A0"/>
    <w:rsid w:val="007E33D6"/>
    <w:rsid w:val="007E46EB"/>
    <w:rsid w:val="007E6363"/>
    <w:rsid w:val="0080218D"/>
    <w:rsid w:val="00811055"/>
    <w:rsid w:val="008144DC"/>
    <w:rsid w:val="008153EF"/>
    <w:rsid w:val="00816E92"/>
    <w:rsid w:val="008649E4"/>
    <w:rsid w:val="00867838"/>
    <w:rsid w:val="00867F6C"/>
    <w:rsid w:val="008A1B56"/>
    <w:rsid w:val="008A44D4"/>
    <w:rsid w:val="008B4EDF"/>
    <w:rsid w:val="008B7B78"/>
    <w:rsid w:val="008D26D4"/>
    <w:rsid w:val="008D4556"/>
    <w:rsid w:val="008D5C3A"/>
    <w:rsid w:val="008D5E40"/>
    <w:rsid w:val="008F099C"/>
    <w:rsid w:val="008F441F"/>
    <w:rsid w:val="00904290"/>
    <w:rsid w:val="00904C4A"/>
    <w:rsid w:val="00906D01"/>
    <w:rsid w:val="0091019C"/>
    <w:rsid w:val="00911D78"/>
    <w:rsid w:val="00916A3E"/>
    <w:rsid w:val="00923EF7"/>
    <w:rsid w:val="009347C8"/>
    <w:rsid w:val="00936EB2"/>
    <w:rsid w:val="00941EC9"/>
    <w:rsid w:val="009454C1"/>
    <w:rsid w:val="0095111A"/>
    <w:rsid w:val="00951389"/>
    <w:rsid w:val="0096264B"/>
    <w:rsid w:val="00967DC8"/>
    <w:rsid w:val="00974C96"/>
    <w:rsid w:val="009842F6"/>
    <w:rsid w:val="009855D7"/>
    <w:rsid w:val="00990B7E"/>
    <w:rsid w:val="0099485B"/>
    <w:rsid w:val="009A65EB"/>
    <w:rsid w:val="009B1276"/>
    <w:rsid w:val="009B25A1"/>
    <w:rsid w:val="009B3866"/>
    <w:rsid w:val="009C097E"/>
    <w:rsid w:val="009E3CD9"/>
    <w:rsid w:val="00A00BFC"/>
    <w:rsid w:val="00A0426C"/>
    <w:rsid w:val="00A17830"/>
    <w:rsid w:val="00A222FB"/>
    <w:rsid w:val="00A31BB2"/>
    <w:rsid w:val="00A469D3"/>
    <w:rsid w:val="00A501CE"/>
    <w:rsid w:val="00A51989"/>
    <w:rsid w:val="00A528DF"/>
    <w:rsid w:val="00A531F2"/>
    <w:rsid w:val="00A542D3"/>
    <w:rsid w:val="00A60BE6"/>
    <w:rsid w:val="00A62020"/>
    <w:rsid w:val="00A659DF"/>
    <w:rsid w:val="00A67053"/>
    <w:rsid w:val="00A700CD"/>
    <w:rsid w:val="00A73A9D"/>
    <w:rsid w:val="00AA7A6C"/>
    <w:rsid w:val="00AB34D2"/>
    <w:rsid w:val="00AC0682"/>
    <w:rsid w:val="00AC538E"/>
    <w:rsid w:val="00AD1A8E"/>
    <w:rsid w:val="00AF1E95"/>
    <w:rsid w:val="00AF48A4"/>
    <w:rsid w:val="00AF7866"/>
    <w:rsid w:val="00B111CA"/>
    <w:rsid w:val="00B11A62"/>
    <w:rsid w:val="00B153E6"/>
    <w:rsid w:val="00B2460D"/>
    <w:rsid w:val="00B24F18"/>
    <w:rsid w:val="00B33C39"/>
    <w:rsid w:val="00B37E01"/>
    <w:rsid w:val="00B56341"/>
    <w:rsid w:val="00B56BBB"/>
    <w:rsid w:val="00B60FD1"/>
    <w:rsid w:val="00B628C6"/>
    <w:rsid w:val="00B62EC4"/>
    <w:rsid w:val="00B67975"/>
    <w:rsid w:val="00B776C8"/>
    <w:rsid w:val="00B90D1F"/>
    <w:rsid w:val="00B95136"/>
    <w:rsid w:val="00B960EC"/>
    <w:rsid w:val="00BA5172"/>
    <w:rsid w:val="00BD3EEF"/>
    <w:rsid w:val="00BE1BF0"/>
    <w:rsid w:val="00BE2C1A"/>
    <w:rsid w:val="00BE5EE4"/>
    <w:rsid w:val="00BF7A4D"/>
    <w:rsid w:val="00C028D2"/>
    <w:rsid w:val="00C0511A"/>
    <w:rsid w:val="00C1724C"/>
    <w:rsid w:val="00C22620"/>
    <w:rsid w:val="00C27889"/>
    <w:rsid w:val="00C36070"/>
    <w:rsid w:val="00C3673D"/>
    <w:rsid w:val="00C409D7"/>
    <w:rsid w:val="00C40D38"/>
    <w:rsid w:val="00C52338"/>
    <w:rsid w:val="00C7351A"/>
    <w:rsid w:val="00C74662"/>
    <w:rsid w:val="00C76959"/>
    <w:rsid w:val="00C77C48"/>
    <w:rsid w:val="00C81AF6"/>
    <w:rsid w:val="00C83B53"/>
    <w:rsid w:val="00C90A1D"/>
    <w:rsid w:val="00CA02A9"/>
    <w:rsid w:val="00CA12C3"/>
    <w:rsid w:val="00CA247C"/>
    <w:rsid w:val="00CA40B9"/>
    <w:rsid w:val="00CB0525"/>
    <w:rsid w:val="00CB0ADB"/>
    <w:rsid w:val="00CB0E58"/>
    <w:rsid w:val="00CD3E5C"/>
    <w:rsid w:val="00CD60C6"/>
    <w:rsid w:val="00CE4D5E"/>
    <w:rsid w:val="00CE4EBE"/>
    <w:rsid w:val="00CE55C8"/>
    <w:rsid w:val="00CE5E74"/>
    <w:rsid w:val="00CF1DAA"/>
    <w:rsid w:val="00CF4493"/>
    <w:rsid w:val="00D07124"/>
    <w:rsid w:val="00D115E7"/>
    <w:rsid w:val="00D13C53"/>
    <w:rsid w:val="00D177A9"/>
    <w:rsid w:val="00D321DD"/>
    <w:rsid w:val="00D40186"/>
    <w:rsid w:val="00D5098B"/>
    <w:rsid w:val="00D55257"/>
    <w:rsid w:val="00D57270"/>
    <w:rsid w:val="00D57DF3"/>
    <w:rsid w:val="00D61786"/>
    <w:rsid w:val="00D63A37"/>
    <w:rsid w:val="00D72ED2"/>
    <w:rsid w:val="00D808B3"/>
    <w:rsid w:val="00D80A5D"/>
    <w:rsid w:val="00D850DC"/>
    <w:rsid w:val="00D935C4"/>
    <w:rsid w:val="00DA5396"/>
    <w:rsid w:val="00DA62A0"/>
    <w:rsid w:val="00DB7C66"/>
    <w:rsid w:val="00DC17B0"/>
    <w:rsid w:val="00DC1AE4"/>
    <w:rsid w:val="00DC3A3E"/>
    <w:rsid w:val="00DC7751"/>
    <w:rsid w:val="00DE5C59"/>
    <w:rsid w:val="00DE79BC"/>
    <w:rsid w:val="00DF3B7D"/>
    <w:rsid w:val="00E02E01"/>
    <w:rsid w:val="00E04B4C"/>
    <w:rsid w:val="00E10CD2"/>
    <w:rsid w:val="00E21209"/>
    <w:rsid w:val="00E26357"/>
    <w:rsid w:val="00E42ED0"/>
    <w:rsid w:val="00E47893"/>
    <w:rsid w:val="00E47A39"/>
    <w:rsid w:val="00E5235D"/>
    <w:rsid w:val="00E564BE"/>
    <w:rsid w:val="00E606B1"/>
    <w:rsid w:val="00E6194F"/>
    <w:rsid w:val="00E713E6"/>
    <w:rsid w:val="00E71AA5"/>
    <w:rsid w:val="00EA0FEF"/>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9F1"/>
    <w:rsid w:val="00F02F9E"/>
    <w:rsid w:val="00F21128"/>
    <w:rsid w:val="00F25165"/>
    <w:rsid w:val="00F25654"/>
    <w:rsid w:val="00F35443"/>
    <w:rsid w:val="00F43D6B"/>
    <w:rsid w:val="00F63FEA"/>
    <w:rsid w:val="00F74F01"/>
    <w:rsid w:val="00F814CF"/>
    <w:rsid w:val="00F91C52"/>
    <w:rsid w:val="00FA3FE7"/>
    <w:rsid w:val="00FA4E53"/>
    <w:rsid w:val="00FA5E66"/>
    <w:rsid w:val="00FA77E9"/>
    <w:rsid w:val="00FB39CF"/>
    <w:rsid w:val="00FD2F83"/>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E80ED2CB-8D12-4C61-A53E-CA6F5CD4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6B"/>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F43D6B"/>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F43D6B"/>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42"/>
      </w:numPr>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F43D6B"/>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F43D6B"/>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F43D6B"/>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F43D6B"/>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UnresolvedMention4">
    <w:name w:val="Unresolved Mention4"/>
    <w:basedOn w:val="DefaultParagraphFont"/>
    <w:uiPriority w:val="99"/>
    <w:semiHidden/>
    <w:unhideWhenUsed/>
    <w:rsid w:val="00F43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ics-surveys-prod.s3.amazonaws.com/MICS6/West%20and%20Central%20Africa/Sierra%20Leone/2017/Survey%20findings/Sierra%20Leone%202017%20MICS%20Survey%20Findings%20Report_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unstats.un.org/sdgs/metadata?Text=&amp;Goal=&amp;Target=16.2" TargetMode="Externa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ohchr.org/EN/HRBodies/OPCAT/Pages/NationalPreventiveMechanisms.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190244-64A7-451E-97A3-2BFF34E719EE}">
  <ds:schemaRefs>
    <ds:schemaRef ds:uri="http://schemas.openxmlformats.org/officeDocument/2006/bibliography"/>
  </ds:schemaRefs>
</ds:datastoreItem>
</file>

<file path=customXml/itemProps2.xml><?xml version="1.0" encoding="utf-8"?>
<ds:datastoreItem xmlns:ds="http://schemas.openxmlformats.org/officeDocument/2006/customXml" ds:itemID="{F45943DC-D5E3-4A79-9779-D4BA209E59C0}"/>
</file>

<file path=customXml/itemProps3.xml><?xml version="1.0" encoding="utf-8"?>
<ds:datastoreItem xmlns:ds="http://schemas.openxmlformats.org/officeDocument/2006/customXml" ds:itemID="{50BE2913-E78C-4682-BC27-06F46F25BBA7}"/>
</file>

<file path=customXml/itemProps4.xml><?xml version="1.0" encoding="utf-8"?>
<ds:datastoreItem xmlns:ds="http://schemas.openxmlformats.org/officeDocument/2006/customXml" ds:itemID="{EC04D800-9618-4D28-8028-75219C26F3C6}"/>
</file>

<file path=docProps/app.xml><?xml version="1.0" encoding="utf-8"?>
<Properties xmlns="http://schemas.openxmlformats.org/officeDocument/2006/extended-properties" xmlns:vt="http://schemas.openxmlformats.org/officeDocument/2006/docPropsVTypes">
  <Template>Normal</Template>
  <TotalTime>3</TotalTime>
  <Pages>5</Pages>
  <Words>1067</Words>
  <Characters>6084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Articles 15 and 17 (outcome indicators)</dc:title>
  <dc:subject/>
  <dc:creator>Nanette Goodman</dc:creator>
  <cp:keywords/>
  <dc:description/>
  <cp:lastModifiedBy>Elias Constantopedos</cp:lastModifiedBy>
  <cp:revision>8</cp:revision>
  <cp:lastPrinted>2020-11-19T04:53:00Z</cp:lastPrinted>
  <dcterms:created xsi:type="dcterms:W3CDTF">2020-12-20T13:29:00Z</dcterms:created>
  <dcterms:modified xsi:type="dcterms:W3CDTF">2020-12-20T21:28:00Z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