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B0BBB" w14:textId="77777777" w:rsidR="0004003B" w:rsidRPr="00975237" w:rsidRDefault="0004003B" w:rsidP="0004003B">
      <w:pPr>
        <w:spacing w:after="0" w:line="240" w:lineRule="auto"/>
        <w:jc w:val="center"/>
        <w:rPr>
          <w:rFonts w:cstheme="minorHAnsi"/>
          <w:b/>
          <w:bCs/>
          <w:sz w:val="18"/>
          <w:szCs w:val="18"/>
          <w:lang w:val="es-AR"/>
        </w:rPr>
      </w:pPr>
      <w:r w:rsidRPr="00975237">
        <w:rPr>
          <w:b/>
          <w:bCs/>
          <w:sz w:val="18"/>
          <w:szCs w:val="18"/>
          <w:lang w:val="es-AR"/>
        </w:rPr>
        <w:t>Artículo 11 - Indicadores sobre situaciones de riesgo y emergencias humanitarias</w:t>
      </w:r>
    </w:p>
    <w:p w14:paraId="44CDFFBE" w14:textId="77777777" w:rsidR="0004003B" w:rsidRPr="00975237" w:rsidRDefault="0004003B" w:rsidP="0004003B">
      <w:pPr>
        <w:spacing w:after="0" w:line="240" w:lineRule="auto"/>
        <w:jc w:val="center"/>
        <w:rPr>
          <w:rFonts w:cstheme="minorHAnsi"/>
          <w:b/>
          <w:bCs/>
          <w:sz w:val="18"/>
          <w:szCs w:val="18"/>
          <w:lang w:val="es-AR"/>
        </w:rPr>
      </w:pPr>
      <w:r w:rsidRPr="00975237">
        <w:rPr>
          <w:b/>
          <w:bCs/>
          <w:sz w:val="18"/>
          <w:szCs w:val="18"/>
          <w:lang w:val="es-AR"/>
        </w:rPr>
        <w:t>Protección y seguridad en situaciones de riesgo, incluidas las situaciones de conflicto armado, las emergencias humanitarias y los desastres naturales</w:t>
      </w:r>
    </w:p>
    <w:p w14:paraId="75B0A439" w14:textId="1CC9E599" w:rsidR="0004003B" w:rsidRPr="00975237" w:rsidRDefault="0004003B" w:rsidP="0004003B">
      <w:pPr>
        <w:spacing w:after="0" w:line="240" w:lineRule="auto"/>
        <w:jc w:val="both"/>
        <w:rPr>
          <w:rFonts w:cstheme="minorHAnsi"/>
          <w:b/>
          <w:bCs/>
          <w:sz w:val="18"/>
          <w:szCs w:val="18"/>
          <w:lang w:val="es-AR"/>
        </w:rPr>
      </w:pPr>
      <w:r>
        <w:rPr>
          <w:b/>
          <w:bCs/>
          <w:sz w:val="18"/>
          <w:szCs w:val="18"/>
          <w:lang w:val="es-AR"/>
        </w:rPr>
        <w:t>Atributos</w:t>
      </w:r>
    </w:p>
    <w:p w14:paraId="14991EB0" w14:textId="77777777" w:rsidR="0004003B" w:rsidRPr="0004003B" w:rsidRDefault="0004003B" w:rsidP="0004003B">
      <w:pPr>
        <w:pStyle w:val="Paragraphedeliste"/>
        <w:numPr>
          <w:ilvl w:val="0"/>
          <w:numId w:val="10"/>
        </w:numPr>
        <w:spacing w:after="0" w:line="240" w:lineRule="auto"/>
        <w:rPr>
          <w:rFonts w:cstheme="minorHAnsi"/>
          <w:b/>
          <w:bCs/>
          <w:sz w:val="18"/>
          <w:szCs w:val="18"/>
          <w:lang w:val="es-AR"/>
        </w:rPr>
      </w:pPr>
      <w:r w:rsidRPr="0004003B">
        <w:rPr>
          <w:b/>
          <w:bCs/>
          <w:sz w:val="18"/>
          <w:szCs w:val="18"/>
          <w:lang w:val="es-AR"/>
        </w:rPr>
        <w:t>Prevención y preparación</w:t>
      </w:r>
    </w:p>
    <w:p w14:paraId="513B02B4" w14:textId="77777777" w:rsidR="0004003B" w:rsidRPr="0004003B" w:rsidRDefault="0004003B" w:rsidP="0004003B">
      <w:pPr>
        <w:pStyle w:val="Paragraphedeliste"/>
        <w:numPr>
          <w:ilvl w:val="0"/>
          <w:numId w:val="10"/>
        </w:numPr>
        <w:spacing w:after="0" w:line="240" w:lineRule="auto"/>
        <w:rPr>
          <w:rFonts w:cstheme="minorHAnsi"/>
          <w:b/>
          <w:bCs/>
          <w:sz w:val="18"/>
          <w:szCs w:val="18"/>
          <w:lang w:val="es-AR"/>
        </w:rPr>
      </w:pPr>
      <w:r w:rsidRPr="0004003B">
        <w:rPr>
          <w:b/>
          <w:bCs/>
          <w:sz w:val="18"/>
          <w:szCs w:val="18"/>
          <w:lang w:val="es-AR"/>
        </w:rPr>
        <w:t>Rescate y respuesta</w:t>
      </w:r>
    </w:p>
    <w:p w14:paraId="5FE39924" w14:textId="77777777" w:rsidR="0004003B" w:rsidRPr="0004003B" w:rsidRDefault="0004003B" w:rsidP="0004003B">
      <w:pPr>
        <w:pStyle w:val="Paragraphedeliste"/>
        <w:numPr>
          <w:ilvl w:val="0"/>
          <w:numId w:val="10"/>
        </w:numPr>
        <w:spacing w:after="0" w:line="240" w:lineRule="auto"/>
        <w:rPr>
          <w:rFonts w:cstheme="minorHAnsi"/>
          <w:b/>
          <w:bCs/>
          <w:sz w:val="18"/>
          <w:szCs w:val="18"/>
          <w:lang w:val="es-AR"/>
        </w:rPr>
      </w:pPr>
      <w:r w:rsidRPr="0004003B">
        <w:rPr>
          <w:b/>
          <w:bCs/>
          <w:sz w:val="18"/>
          <w:szCs w:val="18"/>
          <w:lang w:val="es-AR"/>
        </w:rPr>
        <w:t>Recuperación, reconstrucción y reconciliación</w:t>
      </w:r>
    </w:p>
    <w:p w14:paraId="48E8E82B" w14:textId="77777777" w:rsidR="0004003B" w:rsidRDefault="0004003B" w:rsidP="0004003B">
      <w:pPr>
        <w:spacing w:after="0" w:line="240" w:lineRule="auto"/>
        <w:jc w:val="both"/>
        <w:rPr>
          <w:b/>
          <w:bCs/>
          <w:sz w:val="18"/>
          <w:szCs w:val="18"/>
          <w:lang w:val="es-AR"/>
        </w:rPr>
      </w:pPr>
    </w:p>
    <w:p w14:paraId="3976ED8B" w14:textId="167A7DC9" w:rsidR="0004003B" w:rsidRPr="00975237" w:rsidRDefault="0004003B" w:rsidP="0004003B">
      <w:pPr>
        <w:spacing w:after="0" w:line="240" w:lineRule="auto"/>
        <w:jc w:val="both"/>
        <w:rPr>
          <w:rFonts w:cstheme="minorHAnsi"/>
          <w:b/>
          <w:bCs/>
          <w:sz w:val="18"/>
          <w:szCs w:val="18"/>
          <w:lang w:val="es-AR"/>
        </w:rPr>
      </w:pPr>
      <w:r w:rsidRPr="00975237">
        <w:rPr>
          <w:b/>
          <w:bCs/>
          <w:sz w:val="18"/>
          <w:szCs w:val="18"/>
          <w:lang w:val="es-AR"/>
        </w:rPr>
        <w:t>Indicadores</w:t>
      </w:r>
      <w:r>
        <w:rPr>
          <w:b/>
          <w:bCs/>
          <w:sz w:val="18"/>
          <w:szCs w:val="18"/>
          <w:lang w:val="es-AR"/>
        </w:rPr>
        <w:t xml:space="preserve"> de</w:t>
      </w:r>
      <w:r w:rsidRPr="00975237">
        <w:rPr>
          <w:b/>
          <w:bCs/>
          <w:sz w:val="18"/>
          <w:szCs w:val="18"/>
          <w:lang w:val="es-AR"/>
        </w:rPr>
        <w:t xml:space="preserve"> Estructura</w:t>
      </w:r>
    </w:p>
    <w:p w14:paraId="2283C3D1" w14:textId="77777777" w:rsidR="0004003B" w:rsidRPr="00975237" w:rsidRDefault="0004003B" w:rsidP="0004003B">
      <w:pPr>
        <w:spacing w:after="0" w:line="240" w:lineRule="auto"/>
        <w:jc w:val="both"/>
        <w:rPr>
          <w:rFonts w:cstheme="minorHAnsi"/>
          <w:bCs/>
          <w:sz w:val="18"/>
          <w:szCs w:val="18"/>
          <w:lang w:val="es-AR"/>
        </w:rPr>
      </w:pPr>
      <w:r w:rsidRPr="00975237">
        <w:rPr>
          <w:bCs/>
          <w:sz w:val="18"/>
          <w:szCs w:val="18"/>
          <w:lang w:val="es-AR"/>
        </w:rPr>
        <w:t xml:space="preserve">11.1 Ratificación de tratados internacionales de </w:t>
      </w:r>
      <w:r>
        <w:rPr>
          <w:bCs/>
          <w:sz w:val="18"/>
          <w:szCs w:val="18"/>
          <w:lang w:val="es-AR"/>
        </w:rPr>
        <w:t>derechos humanos, humanitarios,</w:t>
      </w:r>
      <w:r w:rsidRPr="00975237">
        <w:rPr>
          <w:bCs/>
          <w:sz w:val="18"/>
          <w:szCs w:val="18"/>
          <w:lang w:val="es-AR"/>
        </w:rPr>
        <w:t xml:space="preserve"> de los refugiados y </w:t>
      </w:r>
      <w:r>
        <w:rPr>
          <w:bCs/>
          <w:sz w:val="18"/>
          <w:szCs w:val="18"/>
          <w:lang w:val="es-AR"/>
        </w:rPr>
        <w:t xml:space="preserve">del medio ambiente y </w:t>
      </w:r>
      <w:r w:rsidRPr="00975237">
        <w:rPr>
          <w:bCs/>
          <w:sz w:val="18"/>
          <w:szCs w:val="18"/>
          <w:lang w:val="es-AR"/>
        </w:rPr>
        <w:t>adopción/</w:t>
      </w:r>
      <w:r>
        <w:rPr>
          <w:bCs/>
          <w:sz w:val="18"/>
          <w:szCs w:val="18"/>
          <w:lang w:val="es-AR"/>
        </w:rPr>
        <w:t>adhesión</w:t>
      </w:r>
      <w:r w:rsidRPr="00975237">
        <w:rPr>
          <w:bCs/>
          <w:sz w:val="18"/>
          <w:szCs w:val="18"/>
          <w:lang w:val="es-AR"/>
        </w:rPr>
        <w:t xml:space="preserve"> de compromisos internacionales</w:t>
      </w:r>
      <w:r w:rsidRPr="00975237">
        <w:rPr>
          <w:rStyle w:val="Appeldenotedefin"/>
          <w:rFonts w:cstheme="minorHAnsi"/>
          <w:bCs/>
          <w:sz w:val="18"/>
          <w:szCs w:val="18"/>
          <w:lang w:val="es-AR"/>
        </w:rPr>
        <w:endnoteReference w:id="1"/>
      </w:r>
      <w:r w:rsidRPr="00975237">
        <w:rPr>
          <w:bCs/>
          <w:sz w:val="18"/>
          <w:szCs w:val="18"/>
          <w:lang w:val="es-AR"/>
        </w:rPr>
        <w:t xml:space="preserve"> rel</w:t>
      </w:r>
      <w:r>
        <w:rPr>
          <w:bCs/>
          <w:sz w:val="18"/>
          <w:szCs w:val="18"/>
          <w:lang w:val="es-AR"/>
        </w:rPr>
        <w:t xml:space="preserve">evantes para </w:t>
      </w:r>
      <w:r w:rsidRPr="00975237">
        <w:rPr>
          <w:bCs/>
          <w:sz w:val="18"/>
          <w:szCs w:val="18"/>
          <w:lang w:val="es-AR"/>
        </w:rPr>
        <w:t>la protección de las personas con discapacidad en situaciones de riesgo y emergencia.</w:t>
      </w:r>
    </w:p>
    <w:p w14:paraId="33FBE5FE" w14:textId="77777777" w:rsidR="0004003B" w:rsidRPr="00975237" w:rsidRDefault="0004003B" w:rsidP="0004003B">
      <w:pPr>
        <w:spacing w:after="0" w:line="240" w:lineRule="auto"/>
        <w:jc w:val="both"/>
        <w:rPr>
          <w:rFonts w:cstheme="minorHAnsi"/>
          <w:color w:val="000000"/>
          <w:sz w:val="18"/>
          <w:szCs w:val="18"/>
          <w:lang w:val="es-AR"/>
        </w:rPr>
      </w:pPr>
      <w:r w:rsidRPr="00975237">
        <w:rPr>
          <w:bCs/>
          <w:sz w:val="18"/>
          <w:szCs w:val="18"/>
          <w:lang w:val="es-AR"/>
        </w:rPr>
        <w:t xml:space="preserve">11.2 Legislación </w:t>
      </w:r>
      <w:r w:rsidRPr="00975237">
        <w:rPr>
          <w:sz w:val="18"/>
          <w:szCs w:val="18"/>
          <w:lang w:val="es-AR"/>
        </w:rPr>
        <w:t xml:space="preserve">promulgada </w:t>
      </w:r>
      <w:r w:rsidRPr="00975237">
        <w:rPr>
          <w:color w:val="000000"/>
          <w:sz w:val="18"/>
          <w:szCs w:val="18"/>
          <w:lang w:val="es-AR"/>
        </w:rPr>
        <w:t xml:space="preserve">que </w:t>
      </w:r>
      <w:r>
        <w:rPr>
          <w:color w:val="000000"/>
          <w:sz w:val="18"/>
          <w:szCs w:val="18"/>
          <w:lang w:val="es-AR"/>
        </w:rPr>
        <w:t>incluya</w:t>
      </w:r>
      <w:r w:rsidRPr="00975237">
        <w:rPr>
          <w:color w:val="000000"/>
          <w:sz w:val="18"/>
          <w:szCs w:val="18"/>
          <w:lang w:val="es-AR"/>
        </w:rPr>
        <w:t xml:space="preserve"> y ha</w:t>
      </w:r>
      <w:r>
        <w:rPr>
          <w:color w:val="000000"/>
          <w:sz w:val="18"/>
          <w:szCs w:val="18"/>
          <w:lang w:val="es-AR"/>
        </w:rPr>
        <w:t>ga</w:t>
      </w:r>
      <w:r w:rsidRPr="00975237">
        <w:rPr>
          <w:color w:val="000000"/>
          <w:sz w:val="18"/>
          <w:szCs w:val="18"/>
          <w:lang w:val="es-AR"/>
        </w:rPr>
        <w:t xml:space="preserve"> referencia explícita a las personas con discapacidad en la planificación </w:t>
      </w:r>
      <w:r>
        <w:rPr>
          <w:color w:val="000000"/>
          <w:sz w:val="18"/>
          <w:szCs w:val="18"/>
          <w:lang w:val="es-AR"/>
        </w:rPr>
        <w:t>y</w:t>
      </w:r>
      <w:r w:rsidRPr="00975237">
        <w:rPr>
          <w:color w:val="000000"/>
          <w:sz w:val="18"/>
          <w:szCs w:val="18"/>
          <w:lang w:val="es-AR"/>
        </w:rPr>
        <w:t xml:space="preserve"> prestación de servicios en situaciones de riesgo y emergencias humanitarias, </w:t>
      </w:r>
      <w:r>
        <w:rPr>
          <w:color w:val="000000"/>
          <w:sz w:val="18"/>
          <w:szCs w:val="18"/>
          <w:lang w:val="es-AR"/>
        </w:rPr>
        <w:t xml:space="preserve">incluyendo los riesgos climáticos, garantizando </w:t>
      </w:r>
      <w:r w:rsidRPr="00975237">
        <w:rPr>
          <w:color w:val="000000"/>
          <w:sz w:val="18"/>
          <w:szCs w:val="18"/>
          <w:lang w:val="es-AR"/>
        </w:rPr>
        <w:t xml:space="preserve">la accesibilidad de los entornos, las comunicaciones, la información y los servicios </w:t>
      </w:r>
      <w:r>
        <w:rPr>
          <w:color w:val="000000"/>
          <w:sz w:val="18"/>
          <w:szCs w:val="18"/>
          <w:lang w:val="es-AR"/>
        </w:rPr>
        <w:t xml:space="preserve">en todas las fases: </w:t>
      </w:r>
      <w:r w:rsidRPr="00975237">
        <w:rPr>
          <w:color w:val="000000"/>
          <w:sz w:val="18"/>
          <w:szCs w:val="18"/>
          <w:lang w:val="es-AR"/>
        </w:rPr>
        <w:t xml:space="preserve">prevención y preparación, rescate, recuperación, reconstrucción y reconciliación. </w:t>
      </w:r>
    </w:p>
    <w:p w14:paraId="61B31C89" w14:textId="77777777" w:rsidR="0004003B" w:rsidRPr="00975237" w:rsidRDefault="0004003B" w:rsidP="0004003B">
      <w:pPr>
        <w:spacing w:after="0" w:line="240" w:lineRule="auto"/>
        <w:jc w:val="both"/>
        <w:rPr>
          <w:rFonts w:cstheme="minorHAnsi"/>
          <w:color w:val="000000"/>
          <w:sz w:val="18"/>
          <w:szCs w:val="18"/>
          <w:lang w:val="es-AR"/>
        </w:rPr>
      </w:pPr>
      <w:r w:rsidRPr="00975237">
        <w:rPr>
          <w:sz w:val="18"/>
          <w:szCs w:val="18"/>
          <w:lang w:val="es-AR"/>
        </w:rPr>
        <w:t xml:space="preserve">11.3 </w:t>
      </w:r>
      <w:r>
        <w:rPr>
          <w:sz w:val="18"/>
          <w:szCs w:val="18"/>
          <w:lang w:val="es-AR"/>
        </w:rPr>
        <w:t>De ser el caso</w:t>
      </w:r>
      <w:r w:rsidRPr="00975237">
        <w:rPr>
          <w:sz w:val="18"/>
          <w:szCs w:val="18"/>
          <w:lang w:val="es-AR"/>
        </w:rPr>
        <w:t xml:space="preserve">, </w:t>
      </w:r>
      <w:r>
        <w:rPr>
          <w:sz w:val="18"/>
          <w:szCs w:val="18"/>
          <w:lang w:val="es-AR"/>
        </w:rPr>
        <w:t xml:space="preserve">los </w:t>
      </w:r>
      <w:r w:rsidRPr="00975237">
        <w:rPr>
          <w:sz w:val="18"/>
          <w:szCs w:val="18"/>
          <w:lang w:val="es-AR"/>
        </w:rPr>
        <w:t>acuerdos, legislaci</w:t>
      </w:r>
      <w:r>
        <w:rPr>
          <w:sz w:val="18"/>
          <w:szCs w:val="18"/>
          <w:lang w:val="es-AR"/>
        </w:rPr>
        <w:t>ón</w:t>
      </w:r>
      <w:r w:rsidRPr="00975237">
        <w:rPr>
          <w:sz w:val="18"/>
          <w:szCs w:val="18"/>
          <w:lang w:val="es-AR"/>
        </w:rPr>
        <w:t xml:space="preserve"> y políticas relacionadas con conflictos internos o internacionales hacen referencia explícita a las personas con discapacidad, incluidas las que se han convertido en víctimas, los refugiados, las personas internamente desplazadas o afectadas de </w:t>
      </w:r>
      <w:r>
        <w:rPr>
          <w:sz w:val="18"/>
          <w:szCs w:val="18"/>
          <w:lang w:val="es-AR"/>
        </w:rPr>
        <w:t>algún</w:t>
      </w:r>
      <w:r w:rsidRPr="00975237">
        <w:rPr>
          <w:sz w:val="18"/>
          <w:szCs w:val="18"/>
          <w:lang w:val="es-AR"/>
        </w:rPr>
        <w:t xml:space="preserve"> modo, y garantizan su participación activa como agentes de cambio en la elaboración y aplicación de las disposiciones y políticas </w:t>
      </w:r>
      <w:r>
        <w:rPr>
          <w:sz w:val="18"/>
          <w:szCs w:val="18"/>
          <w:lang w:val="es-AR"/>
        </w:rPr>
        <w:t>relacionadas con la respuesta ante conflictos, la recuperación, la reconstrucción y la reconciliación</w:t>
      </w:r>
      <w:r w:rsidRPr="00975237">
        <w:rPr>
          <w:sz w:val="18"/>
          <w:szCs w:val="18"/>
          <w:lang w:val="es-AR"/>
        </w:rPr>
        <w:t>.</w:t>
      </w:r>
    </w:p>
    <w:p w14:paraId="2F5A96C0" w14:textId="77777777" w:rsidR="0004003B" w:rsidRPr="00975237" w:rsidRDefault="0004003B" w:rsidP="0004003B">
      <w:pPr>
        <w:spacing w:after="0" w:line="240" w:lineRule="auto"/>
        <w:jc w:val="both"/>
        <w:rPr>
          <w:rFonts w:cstheme="minorHAnsi"/>
          <w:color w:val="000000"/>
          <w:sz w:val="18"/>
          <w:szCs w:val="18"/>
          <w:lang w:val="es-AR"/>
        </w:rPr>
      </w:pPr>
      <w:r w:rsidRPr="00975237">
        <w:rPr>
          <w:color w:val="000000"/>
          <w:sz w:val="18"/>
          <w:szCs w:val="18"/>
          <w:lang w:val="es-AR"/>
        </w:rPr>
        <w:t xml:space="preserve">11.4 </w:t>
      </w:r>
      <w:r>
        <w:rPr>
          <w:color w:val="000000"/>
          <w:sz w:val="18"/>
          <w:szCs w:val="18"/>
          <w:lang w:val="es-AR"/>
        </w:rPr>
        <w:t>Adopción de un requisito legal</w:t>
      </w:r>
      <w:r w:rsidRPr="00975237">
        <w:rPr>
          <w:color w:val="000000"/>
          <w:sz w:val="18"/>
          <w:szCs w:val="18"/>
          <w:lang w:val="es-AR"/>
        </w:rPr>
        <w:t xml:space="preserve"> que</w:t>
      </w:r>
      <w:r>
        <w:rPr>
          <w:color w:val="000000"/>
          <w:sz w:val="18"/>
          <w:szCs w:val="18"/>
          <w:lang w:val="es-AR"/>
        </w:rPr>
        <w:t xml:space="preserve"> garantice</w:t>
      </w:r>
      <w:r w:rsidRPr="00975237">
        <w:rPr>
          <w:color w:val="000000"/>
          <w:sz w:val="18"/>
          <w:szCs w:val="18"/>
          <w:lang w:val="es-AR"/>
        </w:rPr>
        <w:t xml:space="preserve"> la inclusión y participación de las personas con discapacidad en la evaluación de las necesidades humanitarias, los procesos de monitoreo </w:t>
      </w:r>
      <w:r>
        <w:rPr>
          <w:color w:val="000000"/>
          <w:sz w:val="18"/>
          <w:szCs w:val="18"/>
          <w:lang w:val="es-AR"/>
        </w:rPr>
        <w:t>relacionado</w:t>
      </w:r>
      <w:r w:rsidRPr="00975237">
        <w:rPr>
          <w:color w:val="000000"/>
          <w:sz w:val="18"/>
          <w:szCs w:val="18"/>
          <w:lang w:val="es-AR"/>
        </w:rPr>
        <w:t xml:space="preserve">s, </w:t>
      </w:r>
      <w:r>
        <w:rPr>
          <w:color w:val="000000"/>
          <w:sz w:val="18"/>
          <w:szCs w:val="18"/>
          <w:lang w:val="es-AR"/>
        </w:rPr>
        <w:t xml:space="preserve">en </w:t>
      </w:r>
      <w:r w:rsidRPr="00975237">
        <w:rPr>
          <w:color w:val="000000"/>
          <w:sz w:val="18"/>
          <w:szCs w:val="18"/>
          <w:lang w:val="es-AR"/>
        </w:rPr>
        <w:t>todos los programas y proyectos</w:t>
      </w:r>
      <w:r w:rsidRPr="00975237">
        <w:rPr>
          <w:rStyle w:val="Appeldenotedefin"/>
          <w:rFonts w:cstheme="minorHAnsi"/>
          <w:color w:val="000000"/>
          <w:sz w:val="18"/>
          <w:szCs w:val="18"/>
          <w:lang w:val="es-AR"/>
        </w:rPr>
        <w:endnoteReference w:id="2"/>
      </w:r>
      <w:r w:rsidRPr="00975237">
        <w:rPr>
          <w:color w:val="000000"/>
          <w:sz w:val="18"/>
          <w:szCs w:val="18"/>
          <w:lang w:val="es-AR"/>
        </w:rPr>
        <w:t xml:space="preserve"> relacionados con situaciones de riesgo y emergencias humanitarias</w:t>
      </w:r>
      <w:r>
        <w:rPr>
          <w:color w:val="000000"/>
          <w:sz w:val="18"/>
          <w:szCs w:val="18"/>
          <w:lang w:val="es-AR"/>
        </w:rPr>
        <w:t>, riesgos climáticos</w:t>
      </w:r>
      <w:r w:rsidRPr="00975237">
        <w:rPr>
          <w:color w:val="000000"/>
          <w:sz w:val="18"/>
          <w:szCs w:val="18"/>
          <w:lang w:val="es-AR"/>
        </w:rPr>
        <w:t xml:space="preserve"> y la reducción del riesgo de desastres</w:t>
      </w:r>
      <w:r>
        <w:rPr>
          <w:color w:val="000000"/>
          <w:sz w:val="18"/>
          <w:szCs w:val="18"/>
          <w:lang w:val="es-AR"/>
        </w:rPr>
        <w:t>.</w:t>
      </w:r>
    </w:p>
    <w:p w14:paraId="1F6C5F05" w14:textId="2EFB6A08" w:rsidR="0004003B" w:rsidRPr="0004003B" w:rsidRDefault="0004003B" w:rsidP="0004003B">
      <w:pPr>
        <w:spacing w:after="0" w:line="240" w:lineRule="auto"/>
        <w:contextualSpacing/>
        <w:jc w:val="both"/>
        <w:rPr>
          <w:rFonts w:cstheme="minorHAnsi"/>
          <w:sz w:val="18"/>
          <w:szCs w:val="18"/>
          <w:lang w:val="es-AR"/>
        </w:rPr>
      </w:pPr>
      <w:r w:rsidRPr="00975237">
        <w:rPr>
          <w:sz w:val="18"/>
          <w:szCs w:val="18"/>
          <w:lang w:val="es-AR"/>
        </w:rPr>
        <w:t xml:space="preserve">11.5 </w:t>
      </w:r>
      <w:r>
        <w:rPr>
          <w:sz w:val="18"/>
          <w:szCs w:val="18"/>
          <w:lang w:val="es-AR"/>
        </w:rPr>
        <w:t>Requisito legal para</w:t>
      </w:r>
      <w:r w:rsidRPr="00975237">
        <w:rPr>
          <w:sz w:val="18"/>
          <w:szCs w:val="18"/>
          <w:lang w:val="es-AR"/>
        </w:rPr>
        <w:t xml:space="preserve"> que todos los microdatos personales recogidos con fines humanitarios</w:t>
      </w:r>
      <w:r w:rsidRPr="00975237">
        <w:rPr>
          <w:rStyle w:val="Appeldenotedefin"/>
          <w:rFonts w:cstheme="minorHAnsi"/>
          <w:sz w:val="18"/>
          <w:szCs w:val="18"/>
          <w:lang w:val="es-AR"/>
        </w:rPr>
        <w:endnoteReference w:id="3"/>
      </w:r>
      <w:r w:rsidRPr="00975237">
        <w:rPr>
          <w:sz w:val="18"/>
          <w:szCs w:val="18"/>
          <w:lang w:val="es-AR"/>
        </w:rPr>
        <w:t xml:space="preserve"> estén </w:t>
      </w:r>
      <w:r>
        <w:rPr>
          <w:sz w:val="18"/>
          <w:szCs w:val="18"/>
          <w:lang w:val="es-AR"/>
        </w:rPr>
        <w:t>desagregados</w:t>
      </w:r>
      <w:r w:rsidRPr="00975237">
        <w:rPr>
          <w:sz w:val="18"/>
          <w:szCs w:val="18"/>
          <w:lang w:val="es-AR"/>
        </w:rPr>
        <w:t xml:space="preserve"> por edad, sexo y discapacidad.</w:t>
      </w:r>
      <w:r>
        <w:rPr>
          <w:rStyle w:val="Appeldenotedefin"/>
          <w:rFonts w:cstheme="minorHAnsi"/>
          <w:sz w:val="18"/>
          <w:szCs w:val="18"/>
        </w:rPr>
        <w:endnoteReference w:id="4"/>
      </w:r>
    </w:p>
    <w:p w14:paraId="1B861863" w14:textId="77777777" w:rsidR="0004003B" w:rsidRPr="00975237" w:rsidRDefault="0004003B" w:rsidP="0004003B">
      <w:pPr>
        <w:spacing w:after="0" w:line="240" w:lineRule="auto"/>
        <w:jc w:val="both"/>
        <w:rPr>
          <w:rFonts w:cstheme="minorHAnsi"/>
          <w:bCs/>
          <w:sz w:val="18"/>
          <w:szCs w:val="18"/>
          <w:lang w:val="es-AR"/>
        </w:rPr>
      </w:pPr>
      <w:r w:rsidRPr="00886F29">
        <w:rPr>
          <w:bCs/>
          <w:sz w:val="18"/>
          <w:szCs w:val="18"/>
          <w:lang w:val="es-AR"/>
        </w:rPr>
        <w:t xml:space="preserve">11.6 </w:t>
      </w:r>
      <w:r>
        <w:rPr>
          <w:bCs/>
          <w:sz w:val="18"/>
          <w:szCs w:val="18"/>
          <w:lang w:val="es-AR"/>
        </w:rPr>
        <w:t>(</w:t>
      </w:r>
      <w:r w:rsidRPr="00E469B0">
        <w:rPr>
          <w:bCs/>
          <w:i/>
          <w:sz w:val="18"/>
          <w:szCs w:val="18"/>
          <w:lang w:val="es-AR"/>
        </w:rPr>
        <w:t>Ibid</w:t>
      </w:r>
      <w:r>
        <w:rPr>
          <w:bCs/>
          <w:sz w:val="18"/>
          <w:szCs w:val="18"/>
          <w:lang w:val="es-AR"/>
        </w:rPr>
        <w:t xml:space="preserve">. 10.6) </w:t>
      </w:r>
      <w:r w:rsidRPr="00886F29">
        <w:rPr>
          <w:bCs/>
          <w:sz w:val="18"/>
          <w:szCs w:val="18"/>
          <w:lang w:val="es-AR"/>
        </w:rPr>
        <w:t xml:space="preserve">Adopción de un plan nacional inclusivo </w:t>
      </w:r>
      <w:r>
        <w:rPr>
          <w:bCs/>
          <w:sz w:val="18"/>
          <w:szCs w:val="18"/>
          <w:lang w:val="es-AR"/>
        </w:rPr>
        <w:t xml:space="preserve">para prepararse en </w:t>
      </w:r>
      <w:r w:rsidRPr="00886F29">
        <w:rPr>
          <w:bCs/>
          <w:sz w:val="18"/>
          <w:szCs w:val="18"/>
          <w:lang w:val="es-AR"/>
        </w:rPr>
        <w:t>casos de desastre</w:t>
      </w:r>
      <w:r>
        <w:rPr>
          <w:bCs/>
          <w:sz w:val="18"/>
          <w:szCs w:val="18"/>
          <w:lang w:val="es-AR"/>
        </w:rPr>
        <w:t xml:space="preserve"> </w:t>
      </w:r>
      <w:r w:rsidRPr="00975237">
        <w:rPr>
          <w:bCs/>
          <w:sz w:val="18"/>
          <w:szCs w:val="18"/>
          <w:lang w:val="es-AR"/>
        </w:rPr>
        <w:t xml:space="preserve">que </w:t>
      </w:r>
      <w:r>
        <w:rPr>
          <w:bCs/>
          <w:sz w:val="18"/>
          <w:szCs w:val="18"/>
          <w:lang w:val="es-AR"/>
        </w:rPr>
        <w:t>proporcione</w:t>
      </w:r>
      <w:r w:rsidRPr="00975237">
        <w:rPr>
          <w:bCs/>
          <w:sz w:val="18"/>
          <w:szCs w:val="18"/>
          <w:lang w:val="es-AR"/>
        </w:rPr>
        <w:t>:</w:t>
      </w:r>
    </w:p>
    <w:p w14:paraId="02625214" w14:textId="77777777" w:rsidR="0004003B" w:rsidRPr="00975237" w:rsidRDefault="0004003B" w:rsidP="0004003B">
      <w:pPr>
        <w:pStyle w:val="Paragraphedeliste"/>
        <w:numPr>
          <w:ilvl w:val="0"/>
          <w:numId w:val="8"/>
        </w:numPr>
        <w:spacing w:after="0" w:line="240" w:lineRule="auto"/>
        <w:jc w:val="both"/>
        <w:rPr>
          <w:rFonts w:cstheme="minorHAnsi"/>
          <w:bCs/>
          <w:sz w:val="18"/>
          <w:szCs w:val="18"/>
          <w:lang w:val="es-AR"/>
        </w:rPr>
      </w:pPr>
      <w:r w:rsidRPr="00975237">
        <w:rPr>
          <w:bCs/>
          <w:sz w:val="18"/>
          <w:szCs w:val="18"/>
          <w:lang w:val="es-AR"/>
        </w:rPr>
        <w:t>Sistemas de alerta y protocolos de evacuación inclusivos y accesibles;</w:t>
      </w:r>
      <w:r>
        <w:rPr>
          <w:rStyle w:val="Appeldenotedefin"/>
          <w:rFonts w:cstheme="minorHAnsi"/>
          <w:bCs/>
          <w:sz w:val="18"/>
          <w:szCs w:val="18"/>
          <w:lang w:val="en-US"/>
        </w:rPr>
        <w:endnoteReference w:id="5"/>
      </w:r>
    </w:p>
    <w:p w14:paraId="10F38104" w14:textId="77777777" w:rsidR="0004003B" w:rsidRPr="00975237" w:rsidRDefault="0004003B" w:rsidP="0004003B">
      <w:pPr>
        <w:pStyle w:val="Paragraphedeliste"/>
        <w:numPr>
          <w:ilvl w:val="0"/>
          <w:numId w:val="8"/>
        </w:numPr>
        <w:spacing w:after="0" w:line="240" w:lineRule="auto"/>
        <w:jc w:val="both"/>
        <w:rPr>
          <w:rFonts w:cstheme="minorHAnsi"/>
          <w:bCs/>
          <w:sz w:val="18"/>
          <w:szCs w:val="18"/>
          <w:lang w:val="es-AR"/>
        </w:rPr>
      </w:pPr>
      <w:r>
        <w:rPr>
          <w:sz w:val="18"/>
          <w:szCs w:val="18"/>
          <w:lang w:val="es-AR"/>
        </w:rPr>
        <w:t>Albergues</w:t>
      </w:r>
      <w:r w:rsidRPr="00975237">
        <w:rPr>
          <w:sz w:val="18"/>
          <w:szCs w:val="18"/>
          <w:lang w:val="es-AR"/>
        </w:rPr>
        <w:t xml:space="preserve"> inclusivo</w:t>
      </w:r>
      <w:r>
        <w:rPr>
          <w:sz w:val="18"/>
          <w:szCs w:val="18"/>
          <w:lang w:val="es-AR"/>
        </w:rPr>
        <w:t>s</w:t>
      </w:r>
      <w:r w:rsidRPr="00975237">
        <w:rPr>
          <w:sz w:val="18"/>
          <w:szCs w:val="18"/>
          <w:lang w:val="es-AR"/>
        </w:rPr>
        <w:t xml:space="preserve"> y accesible</w:t>
      </w:r>
      <w:r>
        <w:rPr>
          <w:sz w:val="18"/>
          <w:szCs w:val="18"/>
          <w:lang w:val="es-AR"/>
        </w:rPr>
        <w:t>s</w:t>
      </w:r>
      <w:r w:rsidRPr="00975237">
        <w:rPr>
          <w:sz w:val="18"/>
          <w:szCs w:val="18"/>
          <w:lang w:val="es-AR"/>
        </w:rPr>
        <w:t>, saneamiento, distribución de alimentos, acceso al agua, servicios de salud y rehabilitación, educación, generación de medios de vida y reunificación familiar;</w:t>
      </w:r>
    </w:p>
    <w:p w14:paraId="68A92F53" w14:textId="77777777" w:rsidR="0004003B" w:rsidRPr="00975237" w:rsidRDefault="0004003B" w:rsidP="0004003B">
      <w:pPr>
        <w:pStyle w:val="Paragraphedeliste"/>
        <w:numPr>
          <w:ilvl w:val="0"/>
          <w:numId w:val="8"/>
        </w:numPr>
        <w:spacing w:after="0" w:line="240" w:lineRule="auto"/>
        <w:jc w:val="both"/>
        <w:rPr>
          <w:rFonts w:cstheme="minorHAnsi"/>
          <w:bCs/>
          <w:sz w:val="18"/>
          <w:szCs w:val="18"/>
          <w:lang w:val="es-AR"/>
        </w:rPr>
      </w:pPr>
      <w:r w:rsidRPr="00975237">
        <w:rPr>
          <w:sz w:val="18"/>
          <w:szCs w:val="18"/>
          <w:lang w:val="es-AR"/>
        </w:rPr>
        <w:t>Medidas específicas para prevenir y proteger contra la violencia;</w:t>
      </w:r>
    </w:p>
    <w:p w14:paraId="3D896ED3" w14:textId="77777777" w:rsidR="0004003B" w:rsidRPr="00975237" w:rsidRDefault="0004003B" w:rsidP="0004003B">
      <w:pPr>
        <w:pStyle w:val="Paragraphedeliste"/>
        <w:numPr>
          <w:ilvl w:val="0"/>
          <w:numId w:val="8"/>
        </w:numPr>
        <w:spacing w:after="0" w:line="240" w:lineRule="auto"/>
        <w:jc w:val="both"/>
        <w:rPr>
          <w:rFonts w:cstheme="minorHAnsi"/>
          <w:bCs/>
          <w:sz w:val="18"/>
          <w:szCs w:val="18"/>
          <w:lang w:val="es-AR"/>
        </w:rPr>
      </w:pPr>
      <w:r>
        <w:rPr>
          <w:sz w:val="18"/>
          <w:szCs w:val="18"/>
          <w:lang w:val="es-AR"/>
        </w:rPr>
        <w:t>Apoyo</w:t>
      </w:r>
      <w:r w:rsidRPr="00975237">
        <w:rPr>
          <w:sz w:val="18"/>
          <w:szCs w:val="18"/>
          <w:lang w:val="es-AR"/>
        </w:rPr>
        <w:t xml:space="preserve"> para </w:t>
      </w:r>
      <w:r>
        <w:rPr>
          <w:sz w:val="18"/>
          <w:szCs w:val="18"/>
          <w:lang w:val="es-AR"/>
        </w:rPr>
        <w:t xml:space="preserve">la </w:t>
      </w:r>
      <w:r w:rsidRPr="00975237">
        <w:rPr>
          <w:sz w:val="18"/>
          <w:szCs w:val="18"/>
          <w:lang w:val="es-AR"/>
        </w:rPr>
        <w:t xml:space="preserve">asistencia </w:t>
      </w:r>
      <w:r>
        <w:rPr>
          <w:sz w:val="18"/>
          <w:szCs w:val="18"/>
          <w:lang w:val="es-AR"/>
        </w:rPr>
        <w:t>humana y animal</w:t>
      </w:r>
      <w:r w:rsidRPr="00975237">
        <w:rPr>
          <w:sz w:val="18"/>
          <w:szCs w:val="18"/>
          <w:lang w:val="es-AR"/>
        </w:rPr>
        <w:t xml:space="preserve"> y dispositivos y tecnologías </w:t>
      </w:r>
      <w:r>
        <w:rPr>
          <w:sz w:val="18"/>
          <w:szCs w:val="18"/>
          <w:lang w:val="es-AR"/>
        </w:rPr>
        <w:t>auxiliares</w:t>
      </w:r>
      <w:r w:rsidRPr="00975237">
        <w:rPr>
          <w:sz w:val="18"/>
          <w:szCs w:val="18"/>
          <w:lang w:val="es-AR"/>
        </w:rPr>
        <w:t>;</w:t>
      </w:r>
    </w:p>
    <w:p w14:paraId="5C6D6F2A" w14:textId="77777777" w:rsidR="0004003B" w:rsidRPr="00975237" w:rsidRDefault="0004003B" w:rsidP="0004003B">
      <w:pPr>
        <w:pStyle w:val="Paragraphedeliste"/>
        <w:numPr>
          <w:ilvl w:val="0"/>
          <w:numId w:val="8"/>
        </w:numPr>
        <w:spacing w:after="0" w:line="240" w:lineRule="auto"/>
        <w:jc w:val="both"/>
        <w:rPr>
          <w:rFonts w:cstheme="minorHAnsi"/>
          <w:bCs/>
          <w:sz w:val="18"/>
          <w:szCs w:val="18"/>
          <w:lang w:val="es-AR"/>
        </w:rPr>
      </w:pPr>
      <w:r w:rsidRPr="00975237">
        <w:rPr>
          <w:sz w:val="18"/>
          <w:szCs w:val="18"/>
          <w:lang w:val="es-AR"/>
        </w:rPr>
        <w:t>Medidas específicas relativas a mujeres, niños</w:t>
      </w:r>
      <w:r>
        <w:rPr>
          <w:sz w:val="18"/>
          <w:szCs w:val="18"/>
          <w:lang w:val="es-AR"/>
        </w:rPr>
        <w:t>,</w:t>
      </w:r>
      <w:r w:rsidRPr="00975237">
        <w:rPr>
          <w:sz w:val="18"/>
          <w:szCs w:val="18"/>
          <w:lang w:val="es-AR"/>
        </w:rPr>
        <w:t xml:space="preserve"> personas </w:t>
      </w:r>
      <w:r>
        <w:rPr>
          <w:sz w:val="18"/>
          <w:szCs w:val="18"/>
          <w:lang w:val="es-AR"/>
        </w:rPr>
        <w:t>de edad</w:t>
      </w:r>
      <w:r w:rsidRPr="00975237">
        <w:rPr>
          <w:sz w:val="18"/>
          <w:szCs w:val="18"/>
          <w:lang w:val="es-AR"/>
        </w:rPr>
        <w:t xml:space="preserve"> </w:t>
      </w:r>
      <w:r>
        <w:rPr>
          <w:sz w:val="18"/>
          <w:szCs w:val="18"/>
          <w:lang w:val="es-AR"/>
        </w:rPr>
        <w:t xml:space="preserve">y otras personas </w:t>
      </w:r>
      <w:r w:rsidRPr="00975237">
        <w:rPr>
          <w:sz w:val="18"/>
          <w:szCs w:val="18"/>
          <w:lang w:val="es-AR"/>
        </w:rPr>
        <w:t>con discapacidad</w:t>
      </w:r>
      <w:r>
        <w:rPr>
          <w:sz w:val="18"/>
          <w:szCs w:val="18"/>
          <w:lang w:val="es-AR"/>
        </w:rPr>
        <w:t xml:space="preserve"> que viven en zonas de riesgo, incluidas las personas indígenas con discapacidad</w:t>
      </w:r>
      <w:r w:rsidRPr="00975237">
        <w:rPr>
          <w:sz w:val="18"/>
          <w:szCs w:val="18"/>
          <w:lang w:val="es-AR"/>
        </w:rPr>
        <w:t>, entre otros grupos.</w:t>
      </w:r>
    </w:p>
    <w:p w14:paraId="6D4E8847" w14:textId="77777777" w:rsidR="0004003B" w:rsidRPr="00975237" w:rsidRDefault="0004003B" w:rsidP="0004003B">
      <w:pPr>
        <w:spacing w:after="0" w:line="240" w:lineRule="auto"/>
        <w:jc w:val="both"/>
        <w:rPr>
          <w:rFonts w:cstheme="minorHAnsi"/>
          <w:bCs/>
          <w:sz w:val="18"/>
          <w:szCs w:val="18"/>
          <w:lang w:val="es-AR"/>
        </w:rPr>
      </w:pPr>
      <w:r w:rsidRPr="00975237">
        <w:rPr>
          <w:bCs/>
          <w:sz w:val="18"/>
          <w:szCs w:val="18"/>
          <w:lang w:val="es-AR"/>
        </w:rPr>
        <w:t>11.7 Adopción de un plan nacional inclusivo para la recuperación y reconstrucción después de las crisis humanitarias y los desastres, aplicando el enfoque de "</w:t>
      </w:r>
      <w:r>
        <w:rPr>
          <w:bCs/>
          <w:sz w:val="18"/>
          <w:szCs w:val="18"/>
          <w:lang w:val="es-AR"/>
        </w:rPr>
        <w:t>construir mejor que antes</w:t>
      </w:r>
      <w:r w:rsidRPr="00975237">
        <w:rPr>
          <w:bCs/>
          <w:sz w:val="18"/>
          <w:szCs w:val="18"/>
          <w:lang w:val="es-AR"/>
        </w:rPr>
        <w:t>" para lograr servicios, comunicaciones y entornos inclusivos y accesibles</w:t>
      </w:r>
      <w:r>
        <w:rPr>
          <w:bCs/>
          <w:sz w:val="18"/>
          <w:szCs w:val="18"/>
          <w:lang w:val="es-AR"/>
        </w:rPr>
        <w:t xml:space="preserve"> culturalmente apropiados</w:t>
      </w:r>
      <w:r w:rsidRPr="00975237">
        <w:rPr>
          <w:rStyle w:val="Appeldenotedefin"/>
          <w:rFonts w:cstheme="minorHAnsi"/>
          <w:bCs/>
          <w:sz w:val="18"/>
          <w:szCs w:val="18"/>
          <w:lang w:val="es-AR"/>
        </w:rPr>
        <w:endnoteReference w:id="6"/>
      </w:r>
    </w:p>
    <w:p w14:paraId="18612D57" w14:textId="77777777" w:rsidR="0004003B" w:rsidRDefault="0004003B" w:rsidP="0004003B">
      <w:pPr>
        <w:spacing w:after="0" w:line="240" w:lineRule="auto"/>
        <w:jc w:val="both"/>
        <w:rPr>
          <w:b/>
          <w:bCs/>
          <w:sz w:val="18"/>
          <w:szCs w:val="18"/>
          <w:lang w:val="es-AR"/>
        </w:rPr>
      </w:pPr>
    </w:p>
    <w:p w14:paraId="78CF0CD1" w14:textId="3F86410E" w:rsidR="0004003B" w:rsidRPr="00975237" w:rsidRDefault="0004003B" w:rsidP="0004003B">
      <w:pPr>
        <w:spacing w:after="0" w:line="240" w:lineRule="auto"/>
        <w:jc w:val="both"/>
        <w:rPr>
          <w:rFonts w:cstheme="minorHAnsi"/>
          <w:b/>
          <w:bCs/>
          <w:sz w:val="18"/>
          <w:szCs w:val="18"/>
          <w:lang w:val="es-AR"/>
        </w:rPr>
      </w:pPr>
      <w:r w:rsidRPr="00975237">
        <w:rPr>
          <w:b/>
          <w:bCs/>
          <w:sz w:val="18"/>
          <w:szCs w:val="18"/>
          <w:lang w:val="es-AR"/>
        </w:rPr>
        <w:t>Indicadores</w:t>
      </w:r>
      <w:r>
        <w:rPr>
          <w:b/>
          <w:bCs/>
          <w:sz w:val="18"/>
          <w:szCs w:val="18"/>
          <w:lang w:val="es-AR"/>
        </w:rPr>
        <w:t xml:space="preserve"> de</w:t>
      </w:r>
      <w:r w:rsidRPr="00975237">
        <w:rPr>
          <w:b/>
          <w:bCs/>
          <w:sz w:val="18"/>
          <w:szCs w:val="18"/>
          <w:lang w:val="es-AR"/>
        </w:rPr>
        <w:t xml:space="preserve"> Proceso</w:t>
      </w:r>
    </w:p>
    <w:p w14:paraId="3A2BA609" w14:textId="77777777" w:rsidR="0004003B" w:rsidRPr="00975237" w:rsidRDefault="0004003B" w:rsidP="0004003B">
      <w:pPr>
        <w:spacing w:after="0" w:line="240" w:lineRule="auto"/>
        <w:jc w:val="both"/>
        <w:rPr>
          <w:rFonts w:cstheme="minorHAnsi"/>
          <w:bCs/>
          <w:sz w:val="18"/>
          <w:szCs w:val="18"/>
          <w:lang w:val="es-AR"/>
        </w:rPr>
      </w:pPr>
      <w:r w:rsidRPr="00975237">
        <w:rPr>
          <w:bCs/>
          <w:sz w:val="18"/>
          <w:szCs w:val="18"/>
          <w:lang w:val="es-AR"/>
        </w:rPr>
        <w:t xml:space="preserve">11.8 Proporción de </w:t>
      </w:r>
      <w:r>
        <w:rPr>
          <w:bCs/>
          <w:sz w:val="18"/>
          <w:szCs w:val="18"/>
          <w:lang w:val="es-AR"/>
        </w:rPr>
        <w:t xml:space="preserve">organismos públicos </w:t>
      </w:r>
      <w:r w:rsidRPr="00975237">
        <w:rPr>
          <w:bCs/>
          <w:sz w:val="18"/>
          <w:szCs w:val="18"/>
          <w:lang w:val="es-AR"/>
        </w:rPr>
        <w:t>encargad</w:t>
      </w:r>
      <w:r>
        <w:rPr>
          <w:bCs/>
          <w:sz w:val="18"/>
          <w:szCs w:val="18"/>
          <w:lang w:val="es-AR"/>
        </w:rPr>
        <w:t>o</w:t>
      </w:r>
      <w:r w:rsidRPr="00975237">
        <w:rPr>
          <w:bCs/>
          <w:sz w:val="18"/>
          <w:szCs w:val="18"/>
          <w:lang w:val="es-AR"/>
        </w:rPr>
        <w:t xml:space="preserve">s de prestar servicios básicos que han </w:t>
      </w:r>
      <w:r>
        <w:rPr>
          <w:bCs/>
          <w:sz w:val="18"/>
          <w:szCs w:val="18"/>
          <w:lang w:val="es-AR"/>
        </w:rPr>
        <w:t>elaborado planes de respuesta y preparación ante emergencias, incluidos los planes de evacuación.</w:t>
      </w:r>
      <w:r w:rsidRPr="00975237">
        <w:rPr>
          <w:bCs/>
          <w:sz w:val="18"/>
          <w:szCs w:val="18"/>
          <w:lang w:val="es-AR"/>
        </w:rPr>
        <w:t xml:space="preserve"> </w:t>
      </w:r>
    </w:p>
    <w:p w14:paraId="378D87B4" w14:textId="77777777" w:rsidR="0004003B" w:rsidRPr="00975237" w:rsidRDefault="0004003B" w:rsidP="0004003B">
      <w:pPr>
        <w:spacing w:after="0" w:line="240" w:lineRule="auto"/>
        <w:jc w:val="both"/>
        <w:rPr>
          <w:rFonts w:cstheme="minorHAnsi"/>
          <w:bCs/>
          <w:sz w:val="18"/>
          <w:szCs w:val="18"/>
          <w:lang w:val="es-AR"/>
        </w:rPr>
      </w:pPr>
      <w:r w:rsidRPr="00975237">
        <w:rPr>
          <w:bCs/>
          <w:sz w:val="18"/>
          <w:szCs w:val="18"/>
          <w:lang w:val="es-AR"/>
        </w:rPr>
        <w:t xml:space="preserve">11.9 </w:t>
      </w:r>
      <w:r>
        <w:rPr>
          <w:bCs/>
          <w:sz w:val="18"/>
          <w:szCs w:val="18"/>
          <w:lang w:val="es-AR"/>
        </w:rPr>
        <w:t>Proporción</w:t>
      </w:r>
      <w:r w:rsidRPr="00975237">
        <w:rPr>
          <w:bCs/>
          <w:sz w:val="18"/>
          <w:szCs w:val="18"/>
          <w:lang w:val="es-AR"/>
        </w:rPr>
        <w:t xml:space="preserve"> de campañas de </w:t>
      </w:r>
      <w:r>
        <w:rPr>
          <w:bCs/>
          <w:sz w:val="18"/>
          <w:szCs w:val="18"/>
          <w:lang w:val="es-AR"/>
        </w:rPr>
        <w:t>sensibilización, campañas</w:t>
      </w:r>
      <w:r w:rsidRPr="00975237">
        <w:rPr>
          <w:bCs/>
          <w:sz w:val="18"/>
          <w:szCs w:val="18"/>
          <w:lang w:val="es-AR"/>
        </w:rPr>
        <w:t xml:space="preserve"> preparatorias y materiales </w:t>
      </w:r>
      <w:r>
        <w:rPr>
          <w:bCs/>
          <w:sz w:val="18"/>
          <w:szCs w:val="18"/>
          <w:lang w:val="es-AR"/>
        </w:rPr>
        <w:t xml:space="preserve">para emergencias </w:t>
      </w:r>
      <w:r w:rsidRPr="00975237">
        <w:rPr>
          <w:bCs/>
          <w:sz w:val="18"/>
          <w:szCs w:val="18"/>
          <w:lang w:val="es-AR"/>
        </w:rPr>
        <w:t xml:space="preserve">que </w:t>
      </w:r>
      <w:r>
        <w:rPr>
          <w:bCs/>
          <w:sz w:val="18"/>
          <w:szCs w:val="18"/>
          <w:lang w:val="es-AR"/>
        </w:rPr>
        <w:t>sean</w:t>
      </w:r>
      <w:r w:rsidRPr="00975237">
        <w:rPr>
          <w:bCs/>
          <w:sz w:val="18"/>
          <w:szCs w:val="18"/>
          <w:lang w:val="es-AR"/>
        </w:rPr>
        <w:t xml:space="preserve"> accesibles a todas las personas con discapacidad.</w:t>
      </w:r>
    </w:p>
    <w:p w14:paraId="4B9BD576" w14:textId="77777777" w:rsidR="0004003B" w:rsidRPr="00975237" w:rsidRDefault="0004003B" w:rsidP="0004003B">
      <w:pPr>
        <w:spacing w:after="0" w:line="240" w:lineRule="auto"/>
        <w:jc w:val="both"/>
        <w:rPr>
          <w:rFonts w:cstheme="minorHAnsi"/>
          <w:bCs/>
          <w:sz w:val="18"/>
          <w:szCs w:val="18"/>
          <w:lang w:val="es-AR"/>
        </w:rPr>
      </w:pPr>
      <w:r w:rsidRPr="00975237">
        <w:rPr>
          <w:bCs/>
          <w:sz w:val="18"/>
          <w:szCs w:val="18"/>
          <w:lang w:val="es-AR"/>
        </w:rPr>
        <w:t xml:space="preserve">11.10 Proporción de personal de protección civil, rescate y emergencias, agentes humanitarios y miembros de las fuerzas de seguridad que </w:t>
      </w:r>
      <w:r>
        <w:rPr>
          <w:bCs/>
          <w:sz w:val="18"/>
          <w:szCs w:val="18"/>
          <w:lang w:val="es-AR"/>
        </w:rPr>
        <w:t>hayan</w:t>
      </w:r>
      <w:r w:rsidRPr="00975237">
        <w:rPr>
          <w:bCs/>
          <w:sz w:val="18"/>
          <w:szCs w:val="18"/>
          <w:lang w:val="es-AR"/>
        </w:rPr>
        <w:t xml:space="preserve"> recibido formación sobre sistemas inclusivos de evacuación y </w:t>
      </w:r>
      <w:r>
        <w:rPr>
          <w:bCs/>
          <w:sz w:val="18"/>
          <w:szCs w:val="18"/>
          <w:lang w:val="es-AR"/>
        </w:rPr>
        <w:t xml:space="preserve">de </w:t>
      </w:r>
      <w:r w:rsidRPr="00975237">
        <w:rPr>
          <w:bCs/>
          <w:sz w:val="18"/>
          <w:szCs w:val="18"/>
          <w:lang w:val="es-AR"/>
        </w:rPr>
        <w:t>alerta temprana.</w:t>
      </w:r>
    </w:p>
    <w:p w14:paraId="3458FE3D" w14:textId="77777777" w:rsidR="0004003B" w:rsidRPr="00975237" w:rsidRDefault="0004003B" w:rsidP="0004003B">
      <w:pPr>
        <w:spacing w:after="0" w:line="240" w:lineRule="auto"/>
        <w:jc w:val="both"/>
        <w:rPr>
          <w:rFonts w:cstheme="minorHAnsi"/>
          <w:bCs/>
          <w:sz w:val="18"/>
          <w:szCs w:val="18"/>
          <w:lang w:val="es-AR"/>
        </w:rPr>
      </w:pPr>
      <w:r w:rsidRPr="00975237">
        <w:rPr>
          <w:bCs/>
          <w:sz w:val="18"/>
          <w:szCs w:val="18"/>
          <w:lang w:val="es-AR"/>
        </w:rPr>
        <w:t>11.11 Pr</w:t>
      </w:r>
      <w:r>
        <w:rPr>
          <w:bCs/>
          <w:sz w:val="18"/>
          <w:szCs w:val="18"/>
          <w:lang w:val="es-AR"/>
        </w:rPr>
        <w:t>oporción del pr</w:t>
      </w:r>
      <w:r w:rsidRPr="00975237">
        <w:rPr>
          <w:bCs/>
          <w:sz w:val="18"/>
          <w:szCs w:val="18"/>
          <w:lang w:val="es-AR"/>
        </w:rPr>
        <w:t xml:space="preserve">esupuesto asignado </w:t>
      </w:r>
      <w:r>
        <w:rPr>
          <w:bCs/>
          <w:sz w:val="18"/>
          <w:szCs w:val="18"/>
          <w:lang w:val="es-AR"/>
        </w:rPr>
        <w:t>e invertido</w:t>
      </w:r>
      <w:r w:rsidRPr="00975237">
        <w:rPr>
          <w:bCs/>
          <w:sz w:val="18"/>
          <w:szCs w:val="18"/>
          <w:lang w:val="es-AR"/>
        </w:rPr>
        <w:t xml:space="preserve"> en el diseño e implementación de medidas de prevención y preparación inclusivas de las personas con discapacidad.</w:t>
      </w:r>
      <w:r w:rsidRPr="00975237">
        <w:rPr>
          <w:rStyle w:val="Appeldenotedefin"/>
          <w:rFonts w:cstheme="minorHAnsi"/>
          <w:bCs/>
          <w:sz w:val="18"/>
          <w:szCs w:val="18"/>
          <w:lang w:val="es-AR"/>
        </w:rPr>
        <w:endnoteReference w:id="7"/>
      </w:r>
      <w:r w:rsidRPr="00975237">
        <w:rPr>
          <w:bCs/>
          <w:sz w:val="18"/>
          <w:szCs w:val="18"/>
          <w:lang w:val="es-AR"/>
        </w:rPr>
        <w:t xml:space="preserve"> </w:t>
      </w:r>
    </w:p>
    <w:p w14:paraId="765C0BB1" w14:textId="3B61A9EB" w:rsidR="0004003B" w:rsidRPr="00886F29" w:rsidRDefault="0004003B" w:rsidP="0004003B">
      <w:pPr>
        <w:spacing w:after="0" w:line="240" w:lineRule="auto"/>
        <w:jc w:val="both"/>
        <w:rPr>
          <w:rFonts w:cstheme="minorHAnsi"/>
          <w:bCs/>
          <w:sz w:val="18"/>
          <w:szCs w:val="18"/>
          <w:lang w:val="es-AR"/>
        </w:rPr>
      </w:pPr>
      <w:r w:rsidRPr="00975237">
        <w:rPr>
          <w:bCs/>
          <w:sz w:val="18"/>
          <w:szCs w:val="18"/>
          <w:lang w:val="es-AR"/>
        </w:rPr>
        <w:t xml:space="preserve">11.12 Número y proporción de personas con discapacidad </w:t>
      </w:r>
      <w:r>
        <w:rPr>
          <w:bCs/>
          <w:sz w:val="18"/>
          <w:szCs w:val="18"/>
          <w:lang w:val="es-AR"/>
        </w:rPr>
        <w:t>beneficiadas por</w:t>
      </w:r>
      <w:r w:rsidRPr="00975237">
        <w:rPr>
          <w:bCs/>
          <w:sz w:val="18"/>
          <w:szCs w:val="18"/>
          <w:lang w:val="es-AR"/>
        </w:rPr>
        <w:t xml:space="preserve"> políticas y programas (por ejemplo, asistencia alimentaria, búsqueda y reunificación familiar, medios de subsistencia, programas e intervenciones de </w:t>
      </w:r>
      <w:r>
        <w:rPr>
          <w:bCs/>
          <w:sz w:val="18"/>
          <w:szCs w:val="18"/>
          <w:lang w:val="es-AR"/>
        </w:rPr>
        <w:t>agua, sanidad e higiene “</w:t>
      </w:r>
      <w:r w:rsidRPr="00975237">
        <w:rPr>
          <w:bCs/>
          <w:sz w:val="18"/>
          <w:szCs w:val="18"/>
          <w:lang w:val="es-AR"/>
        </w:rPr>
        <w:t>WASH</w:t>
      </w:r>
      <w:r>
        <w:rPr>
          <w:bCs/>
          <w:sz w:val="18"/>
          <w:szCs w:val="18"/>
          <w:lang w:val="es-AR"/>
        </w:rPr>
        <w:t>”</w:t>
      </w:r>
      <w:r w:rsidRPr="00975237">
        <w:rPr>
          <w:bCs/>
          <w:sz w:val="18"/>
          <w:szCs w:val="18"/>
          <w:lang w:val="es-AR"/>
        </w:rPr>
        <w:t xml:space="preserve">, apoyo psicosocial), </w:t>
      </w:r>
      <w:r>
        <w:rPr>
          <w:bCs/>
          <w:sz w:val="18"/>
          <w:szCs w:val="18"/>
          <w:lang w:val="es-AR"/>
        </w:rPr>
        <w:t>desagregados</w:t>
      </w:r>
      <w:r w:rsidRPr="00975237">
        <w:rPr>
          <w:bCs/>
          <w:sz w:val="18"/>
          <w:szCs w:val="18"/>
          <w:lang w:val="es-AR"/>
        </w:rPr>
        <w:t xml:space="preserve"> por edad, sexo, discapacidad y </w:t>
      </w:r>
      <w:r w:rsidRPr="00975237">
        <w:rPr>
          <w:color w:val="000000"/>
          <w:sz w:val="18"/>
          <w:szCs w:val="18"/>
          <w:lang w:val="es-AR"/>
        </w:rPr>
        <w:t>tipo de medida (general o específica de discapacidad).</w:t>
      </w:r>
      <w:r w:rsidRPr="00975237">
        <w:rPr>
          <w:bCs/>
          <w:sz w:val="18"/>
          <w:szCs w:val="18"/>
          <w:lang w:val="es-AR"/>
        </w:rPr>
        <w:t xml:space="preserve"> </w:t>
      </w:r>
    </w:p>
    <w:p w14:paraId="44397193" w14:textId="77777777" w:rsidR="0004003B" w:rsidRPr="00886F29" w:rsidRDefault="0004003B" w:rsidP="0004003B">
      <w:pPr>
        <w:spacing w:after="0" w:line="240" w:lineRule="auto"/>
        <w:jc w:val="both"/>
        <w:rPr>
          <w:rFonts w:cstheme="minorHAnsi"/>
          <w:bCs/>
          <w:sz w:val="18"/>
          <w:szCs w:val="18"/>
          <w:lang w:val="es-AR"/>
        </w:rPr>
      </w:pPr>
      <w:r w:rsidRPr="00886F29">
        <w:rPr>
          <w:bCs/>
          <w:sz w:val="18"/>
          <w:szCs w:val="18"/>
          <w:lang w:val="es-AR"/>
        </w:rPr>
        <w:t xml:space="preserve">11.13 </w:t>
      </w:r>
      <w:r>
        <w:rPr>
          <w:bCs/>
          <w:sz w:val="18"/>
          <w:szCs w:val="18"/>
          <w:lang w:val="es-AR"/>
        </w:rPr>
        <w:t>Número</w:t>
      </w:r>
      <w:r w:rsidRPr="00886F29">
        <w:rPr>
          <w:bCs/>
          <w:sz w:val="18"/>
          <w:szCs w:val="18"/>
          <w:lang w:val="es-AR"/>
        </w:rPr>
        <w:t xml:space="preserve"> de personas con discapacidad que </w:t>
      </w:r>
      <w:r>
        <w:rPr>
          <w:bCs/>
          <w:sz w:val="18"/>
          <w:szCs w:val="18"/>
          <w:lang w:val="es-AR"/>
        </w:rPr>
        <w:t>han tenido acceso a albergue en centros de evacuación, y proporción que representan del total de beneficiarios, desagregados por sexo, edad y discapacidad.</w:t>
      </w:r>
    </w:p>
    <w:p w14:paraId="6AC6F0F0" w14:textId="77777777" w:rsidR="0004003B" w:rsidRPr="00886F29" w:rsidRDefault="0004003B" w:rsidP="0004003B">
      <w:pPr>
        <w:spacing w:after="0" w:line="240" w:lineRule="auto"/>
        <w:jc w:val="both"/>
        <w:rPr>
          <w:rFonts w:cstheme="minorHAnsi"/>
          <w:bCs/>
          <w:sz w:val="18"/>
          <w:szCs w:val="18"/>
          <w:lang w:val="es-AR"/>
        </w:rPr>
      </w:pPr>
      <w:r w:rsidRPr="00886F29">
        <w:rPr>
          <w:bCs/>
          <w:sz w:val="18"/>
          <w:szCs w:val="18"/>
          <w:lang w:val="es-AR"/>
        </w:rPr>
        <w:t xml:space="preserve">11.14 Proporción de gasto </w:t>
      </w:r>
      <w:r>
        <w:rPr>
          <w:bCs/>
          <w:sz w:val="18"/>
          <w:szCs w:val="18"/>
          <w:lang w:val="es-AR"/>
        </w:rPr>
        <w:t>en ayuda humanitaria</w:t>
      </w:r>
      <w:r w:rsidRPr="00886F29">
        <w:rPr>
          <w:bCs/>
          <w:sz w:val="18"/>
          <w:szCs w:val="18"/>
          <w:lang w:val="es-AR"/>
        </w:rPr>
        <w:t xml:space="preserve"> y asistencia de emergencia asignad</w:t>
      </w:r>
      <w:r>
        <w:rPr>
          <w:bCs/>
          <w:sz w:val="18"/>
          <w:szCs w:val="18"/>
          <w:lang w:val="es-AR"/>
        </w:rPr>
        <w:t>o</w:t>
      </w:r>
      <w:r w:rsidRPr="00886F29">
        <w:rPr>
          <w:bCs/>
          <w:sz w:val="18"/>
          <w:szCs w:val="18"/>
          <w:lang w:val="es-AR"/>
        </w:rPr>
        <w:t xml:space="preserve"> </w:t>
      </w:r>
      <w:r>
        <w:rPr>
          <w:bCs/>
          <w:sz w:val="18"/>
          <w:szCs w:val="18"/>
          <w:lang w:val="es-AR"/>
        </w:rPr>
        <w:t xml:space="preserve">específicamente a garantizar </w:t>
      </w:r>
      <w:r w:rsidRPr="00886F29">
        <w:rPr>
          <w:bCs/>
          <w:sz w:val="18"/>
          <w:szCs w:val="18"/>
          <w:lang w:val="es-AR"/>
        </w:rPr>
        <w:t xml:space="preserve">programas y servicios inclusivos y accesibles para las personas con discapacidad. </w:t>
      </w:r>
    </w:p>
    <w:p w14:paraId="6D160D8A" w14:textId="77777777" w:rsidR="0004003B" w:rsidRPr="00886F29" w:rsidRDefault="0004003B" w:rsidP="0004003B">
      <w:pPr>
        <w:spacing w:after="0" w:line="240" w:lineRule="auto"/>
        <w:jc w:val="both"/>
        <w:rPr>
          <w:rFonts w:cstheme="minorHAnsi"/>
          <w:bCs/>
          <w:sz w:val="18"/>
          <w:szCs w:val="18"/>
          <w:lang w:val="es-AR"/>
        </w:rPr>
      </w:pPr>
      <w:r w:rsidRPr="00886F29">
        <w:rPr>
          <w:bCs/>
          <w:sz w:val="18"/>
          <w:szCs w:val="18"/>
          <w:lang w:val="es-AR"/>
        </w:rPr>
        <w:t xml:space="preserve">11.15 Proporción de supervivientes de violencia sexual y de </w:t>
      </w:r>
      <w:r>
        <w:rPr>
          <w:bCs/>
          <w:sz w:val="18"/>
          <w:szCs w:val="18"/>
          <w:lang w:val="es-AR"/>
        </w:rPr>
        <w:t>otras formas de violencia</w:t>
      </w:r>
      <w:r w:rsidRPr="00886F29">
        <w:rPr>
          <w:bCs/>
          <w:sz w:val="18"/>
          <w:szCs w:val="18"/>
          <w:lang w:val="es-AR"/>
        </w:rPr>
        <w:t xml:space="preserve"> que </w:t>
      </w:r>
      <w:r>
        <w:rPr>
          <w:bCs/>
          <w:sz w:val="18"/>
          <w:szCs w:val="18"/>
          <w:lang w:val="es-AR"/>
        </w:rPr>
        <w:t xml:space="preserve">hayan </w:t>
      </w:r>
      <w:r w:rsidRPr="00886F29">
        <w:rPr>
          <w:bCs/>
          <w:sz w:val="18"/>
          <w:szCs w:val="18"/>
          <w:lang w:val="es-AR"/>
        </w:rPr>
        <w:t>acced</w:t>
      </w:r>
      <w:r>
        <w:rPr>
          <w:bCs/>
          <w:sz w:val="18"/>
          <w:szCs w:val="18"/>
          <w:lang w:val="es-AR"/>
        </w:rPr>
        <w:t>ido</w:t>
      </w:r>
      <w:r w:rsidRPr="00886F29">
        <w:rPr>
          <w:bCs/>
          <w:sz w:val="18"/>
          <w:szCs w:val="18"/>
          <w:lang w:val="es-AR"/>
        </w:rPr>
        <w:t xml:space="preserve"> a servicios médicos, psicosociales y </w:t>
      </w:r>
      <w:r>
        <w:rPr>
          <w:bCs/>
          <w:sz w:val="18"/>
          <w:szCs w:val="18"/>
          <w:lang w:val="es-AR"/>
        </w:rPr>
        <w:t>legales</w:t>
      </w:r>
      <w:r w:rsidRPr="00886F29">
        <w:rPr>
          <w:bCs/>
          <w:sz w:val="18"/>
          <w:szCs w:val="18"/>
          <w:lang w:val="es-AR"/>
        </w:rPr>
        <w:t xml:space="preserve"> adecuados </w:t>
      </w:r>
      <w:r>
        <w:rPr>
          <w:bCs/>
          <w:sz w:val="18"/>
          <w:szCs w:val="18"/>
          <w:lang w:val="es-AR"/>
        </w:rPr>
        <w:t xml:space="preserve">desagregados </w:t>
      </w:r>
      <w:r w:rsidRPr="00886F29">
        <w:rPr>
          <w:bCs/>
          <w:sz w:val="18"/>
          <w:szCs w:val="18"/>
          <w:lang w:val="es-AR"/>
        </w:rPr>
        <w:t>por sexo, edad y discapacidad.</w:t>
      </w:r>
    </w:p>
    <w:p w14:paraId="021245C5" w14:textId="77777777" w:rsidR="0004003B" w:rsidRPr="00975237" w:rsidRDefault="0004003B" w:rsidP="0004003B">
      <w:pPr>
        <w:spacing w:after="0" w:line="240" w:lineRule="auto"/>
        <w:jc w:val="both"/>
        <w:rPr>
          <w:rFonts w:cstheme="minorHAnsi"/>
          <w:bCs/>
          <w:sz w:val="18"/>
          <w:szCs w:val="18"/>
          <w:lang w:val="es-AR"/>
        </w:rPr>
      </w:pPr>
      <w:r w:rsidRPr="00886F29">
        <w:rPr>
          <w:bCs/>
          <w:sz w:val="18"/>
          <w:szCs w:val="18"/>
          <w:lang w:val="es-AR"/>
        </w:rPr>
        <w:t xml:space="preserve">11.16 Proporción de personas con discapacidad que se </w:t>
      </w:r>
      <w:r>
        <w:rPr>
          <w:bCs/>
          <w:sz w:val="18"/>
          <w:szCs w:val="18"/>
          <w:lang w:val="es-AR"/>
        </w:rPr>
        <w:t>hayan</w:t>
      </w:r>
      <w:r w:rsidRPr="00886F29">
        <w:rPr>
          <w:bCs/>
          <w:sz w:val="18"/>
          <w:szCs w:val="18"/>
          <w:lang w:val="es-AR"/>
        </w:rPr>
        <w:t xml:space="preserve"> beneficiado de programas de empoderamiento económico</w:t>
      </w:r>
      <w:r w:rsidRPr="00975237">
        <w:rPr>
          <w:rStyle w:val="Appeldenotedefin"/>
          <w:rFonts w:cstheme="minorHAnsi"/>
          <w:bCs/>
          <w:sz w:val="18"/>
          <w:szCs w:val="18"/>
          <w:lang w:val="es-AR"/>
        </w:rPr>
        <w:endnoteReference w:id="8"/>
      </w:r>
      <w:r w:rsidRPr="00975237">
        <w:rPr>
          <w:bCs/>
          <w:sz w:val="18"/>
          <w:szCs w:val="18"/>
          <w:lang w:val="es-AR"/>
        </w:rPr>
        <w:t xml:space="preserve"> y </w:t>
      </w:r>
      <w:r>
        <w:rPr>
          <w:bCs/>
          <w:sz w:val="18"/>
          <w:szCs w:val="18"/>
          <w:lang w:val="es-AR"/>
        </w:rPr>
        <w:t xml:space="preserve">de programas de </w:t>
      </w:r>
      <w:r w:rsidRPr="00975237">
        <w:rPr>
          <w:bCs/>
          <w:sz w:val="18"/>
          <w:szCs w:val="18"/>
          <w:lang w:val="es-AR"/>
        </w:rPr>
        <w:t xml:space="preserve">educación en el contexto de una crisis prolongada. </w:t>
      </w:r>
    </w:p>
    <w:p w14:paraId="5885BE41" w14:textId="6C7B7EB2" w:rsidR="0004003B" w:rsidRPr="00975237" w:rsidRDefault="0004003B" w:rsidP="0004003B">
      <w:pPr>
        <w:spacing w:after="0" w:line="240" w:lineRule="auto"/>
        <w:jc w:val="both"/>
        <w:rPr>
          <w:rFonts w:cstheme="minorHAnsi"/>
          <w:bCs/>
          <w:sz w:val="18"/>
          <w:szCs w:val="18"/>
          <w:lang w:val="es-AR"/>
        </w:rPr>
      </w:pPr>
      <w:r w:rsidRPr="00975237">
        <w:rPr>
          <w:bCs/>
          <w:sz w:val="18"/>
          <w:szCs w:val="18"/>
          <w:lang w:val="es-AR"/>
        </w:rPr>
        <w:t>11.17 Número y proporción de mecanismos de rendición de cuentas vinculados a la resolución y recuperación de conflictos/emergencias/desastres y posconflictos/emergencias/desastres</w:t>
      </w:r>
      <w:r w:rsidRPr="00975237">
        <w:rPr>
          <w:rStyle w:val="Appeldenotedefin"/>
          <w:rFonts w:cstheme="minorHAnsi"/>
          <w:bCs/>
          <w:sz w:val="18"/>
          <w:szCs w:val="18"/>
          <w:lang w:val="es-AR"/>
        </w:rPr>
        <w:endnoteReference w:id="9"/>
      </w:r>
      <w:r w:rsidRPr="00975237">
        <w:rPr>
          <w:bCs/>
          <w:sz w:val="18"/>
          <w:szCs w:val="18"/>
          <w:lang w:val="es-AR"/>
        </w:rPr>
        <w:t xml:space="preserve"> </w:t>
      </w:r>
      <w:r>
        <w:rPr>
          <w:bCs/>
          <w:sz w:val="18"/>
          <w:szCs w:val="18"/>
          <w:lang w:val="es-AR"/>
        </w:rPr>
        <w:t xml:space="preserve">culturalmente apropiados e </w:t>
      </w:r>
      <w:r w:rsidRPr="00975237">
        <w:rPr>
          <w:bCs/>
          <w:sz w:val="18"/>
          <w:szCs w:val="18"/>
          <w:lang w:val="es-AR"/>
        </w:rPr>
        <w:t>inclusivos de las personas con discapacidad.</w:t>
      </w:r>
    </w:p>
    <w:p w14:paraId="4BF42919" w14:textId="33D705F5" w:rsidR="0004003B" w:rsidRPr="00975237" w:rsidRDefault="0004003B" w:rsidP="0004003B">
      <w:pPr>
        <w:spacing w:after="0" w:line="240" w:lineRule="auto"/>
        <w:jc w:val="both"/>
        <w:rPr>
          <w:rFonts w:cstheme="minorHAnsi"/>
          <w:bCs/>
          <w:sz w:val="18"/>
          <w:szCs w:val="18"/>
          <w:lang w:val="es-AR"/>
        </w:rPr>
      </w:pPr>
      <w:r w:rsidRPr="00975237">
        <w:rPr>
          <w:bCs/>
          <w:sz w:val="18"/>
          <w:szCs w:val="18"/>
          <w:lang w:val="es-AR"/>
        </w:rPr>
        <w:t>11.18 Proporción del gasto realizado en programas, servicios e infraestructuras en el contexto de la recuperación, reconstrucción y reconciliación inclusivos</w:t>
      </w:r>
      <w:r>
        <w:rPr>
          <w:bCs/>
          <w:sz w:val="18"/>
          <w:szCs w:val="18"/>
          <w:lang w:val="es-AR"/>
        </w:rPr>
        <w:t>, culturalmente apropiados</w:t>
      </w:r>
      <w:r w:rsidRPr="00975237">
        <w:rPr>
          <w:bCs/>
          <w:sz w:val="18"/>
          <w:szCs w:val="18"/>
          <w:lang w:val="es-AR"/>
        </w:rPr>
        <w:t xml:space="preserve"> y accesibles para las personas con discapacidad.</w:t>
      </w:r>
    </w:p>
    <w:p w14:paraId="70D98556" w14:textId="77777777" w:rsidR="0004003B" w:rsidRPr="00975237" w:rsidRDefault="0004003B" w:rsidP="0004003B">
      <w:pPr>
        <w:spacing w:after="0" w:line="240" w:lineRule="auto"/>
        <w:jc w:val="both"/>
        <w:rPr>
          <w:rFonts w:cstheme="minorHAnsi"/>
          <w:sz w:val="18"/>
          <w:szCs w:val="18"/>
          <w:lang w:val="es-AR"/>
        </w:rPr>
      </w:pPr>
      <w:r w:rsidRPr="00975237">
        <w:rPr>
          <w:sz w:val="18"/>
          <w:szCs w:val="18"/>
          <w:lang w:val="es-AR"/>
        </w:rPr>
        <w:t>11.</w:t>
      </w:r>
      <w:r w:rsidRPr="00005D72">
        <w:rPr>
          <w:bCs/>
          <w:sz w:val="18"/>
          <w:szCs w:val="18"/>
          <w:lang w:val="es-AR"/>
        </w:rPr>
        <w:t xml:space="preserve">19 </w:t>
      </w:r>
      <w:r w:rsidRPr="009F1E8A">
        <w:rPr>
          <w:sz w:val="18"/>
          <w:szCs w:val="18"/>
          <w:lang w:val="es-AR"/>
        </w:rPr>
        <w:t xml:space="preserve"> Número </w:t>
      </w:r>
      <w:r w:rsidRPr="00005D72">
        <w:rPr>
          <w:bCs/>
          <w:sz w:val="18"/>
          <w:szCs w:val="18"/>
          <w:lang w:val="es-AR"/>
        </w:rPr>
        <w:t xml:space="preserve">de cursos de </w:t>
      </w:r>
      <w:r>
        <w:rPr>
          <w:bCs/>
          <w:sz w:val="18"/>
          <w:szCs w:val="18"/>
          <w:lang w:val="es-AR"/>
        </w:rPr>
        <w:t>capacitación</w:t>
      </w:r>
      <w:r w:rsidRPr="00005D72">
        <w:rPr>
          <w:bCs/>
          <w:sz w:val="18"/>
          <w:szCs w:val="18"/>
          <w:lang w:val="es-AR"/>
        </w:rPr>
        <w:t xml:space="preserve"> para organizaciones, </w:t>
      </w:r>
      <w:r>
        <w:rPr>
          <w:bCs/>
          <w:sz w:val="18"/>
          <w:szCs w:val="18"/>
          <w:lang w:val="es-AR"/>
        </w:rPr>
        <w:t>agencias</w:t>
      </w:r>
      <w:r w:rsidRPr="00005D72">
        <w:rPr>
          <w:bCs/>
          <w:sz w:val="18"/>
          <w:szCs w:val="18"/>
          <w:lang w:val="es-AR"/>
        </w:rPr>
        <w:t xml:space="preserve"> y comunidades responsables de los servicios humanitarios</w:t>
      </w:r>
      <w:r w:rsidRPr="00975237">
        <w:rPr>
          <w:rStyle w:val="Appeldenotedefin"/>
          <w:rFonts w:cstheme="minorHAnsi"/>
          <w:bCs/>
          <w:sz w:val="18"/>
          <w:szCs w:val="18"/>
          <w:lang w:val="es-AR"/>
        </w:rPr>
        <w:endnoteReference w:id="10"/>
      </w:r>
      <w:r w:rsidRPr="00975237">
        <w:rPr>
          <w:sz w:val="18"/>
          <w:szCs w:val="18"/>
          <w:lang w:val="es-AR"/>
        </w:rPr>
        <w:t xml:space="preserve"> que intervienen en situaciones de emergencia sobre cómo garantizar servicios y programas accesibles e inclusivos, así como la inclusión y participación de las personas con discapacidad en todas las etapas de la planificación, preparación, respuesta y recuperación.</w:t>
      </w:r>
    </w:p>
    <w:p w14:paraId="63DD2B9A" w14:textId="77777777" w:rsidR="0004003B" w:rsidRPr="00975237" w:rsidRDefault="0004003B" w:rsidP="0004003B">
      <w:pPr>
        <w:spacing w:after="0" w:line="240" w:lineRule="auto"/>
        <w:jc w:val="both"/>
        <w:rPr>
          <w:rFonts w:cstheme="minorHAnsi"/>
          <w:sz w:val="18"/>
          <w:szCs w:val="18"/>
          <w:lang w:val="es-AR"/>
        </w:rPr>
      </w:pPr>
      <w:r w:rsidRPr="00975237">
        <w:rPr>
          <w:sz w:val="18"/>
          <w:szCs w:val="18"/>
          <w:lang w:val="es-AR"/>
        </w:rPr>
        <w:t xml:space="preserve">11.20 Procesos de consulta </w:t>
      </w:r>
      <w:r>
        <w:rPr>
          <w:sz w:val="18"/>
          <w:szCs w:val="18"/>
          <w:lang w:val="es-AR"/>
        </w:rPr>
        <w:t>llevados a cabo</w:t>
      </w:r>
      <w:r w:rsidRPr="00975237">
        <w:rPr>
          <w:sz w:val="18"/>
          <w:szCs w:val="18"/>
          <w:lang w:val="es-AR"/>
        </w:rPr>
        <w:t xml:space="preserve"> para asegurar la participación activa de las personas con discapacidad,</w:t>
      </w:r>
      <w:r>
        <w:rPr>
          <w:sz w:val="18"/>
          <w:szCs w:val="18"/>
          <w:lang w:val="es-AR"/>
        </w:rPr>
        <w:t xml:space="preserve"> particularmente en campos de refugiados y personas desplazadas de forma interna,</w:t>
      </w:r>
      <w:r w:rsidRPr="00975237">
        <w:rPr>
          <w:sz w:val="18"/>
          <w:szCs w:val="18"/>
          <w:lang w:val="es-AR"/>
        </w:rPr>
        <w:t xml:space="preserve"> </w:t>
      </w:r>
      <w:r>
        <w:rPr>
          <w:sz w:val="18"/>
          <w:szCs w:val="18"/>
          <w:lang w:val="es-AR"/>
        </w:rPr>
        <w:t>incluyendo las organizaciones que las representan</w:t>
      </w:r>
      <w:r w:rsidRPr="00975237">
        <w:rPr>
          <w:sz w:val="18"/>
          <w:szCs w:val="18"/>
          <w:lang w:val="es-AR"/>
        </w:rPr>
        <w:t xml:space="preserve">, en el diseño, la implementación y el monitoreo de leyes, reglamentos, políticas y programas, </w:t>
      </w:r>
      <w:r>
        <w:rPr>
          <w:sz w:val="18"/>
          <w:szCs w:val="18"/>
          <w:lang w:val="es-AR"/>
        </w:rPr>
        <w:t>relativos a cualquier</w:t>
      </w:r>
      <w:r w:rsidRPr="00975237">
        <w:rPr>
          <w:sz w:val="18"/>
          <w:szCs w:val="18"/>
          <w:lang w:val="es-AR"/>
        </w:rPr>
        <w:t xml:space="preserve"> planificación humanitaria y de emergencia, y</w:t>
      </w:r>
      <w:r>
        <w:rPr>
          <w:sz w:val="18"/>
          <w:szCs w:val="18"/>
          <w:lang w:val="es-AR"/>
        </w:rPr>
        <w:t xml:space="preserve"> a</w:t>
      </w:r>
      <w:r w:rsidRPr="00975237">
        <w:rPr>
          <w:sz w:val="18"/>
          <w:szCs w:val="18"/>
          <w:lang w:val="es-AR"/>
        </w:rPr>
        <w:t xml:space="preserve"> las iniciativas </w:t>
      </w:r>
      <w:r>
        <w:rPr>
          <w:sz w:val="18"/>
          <w:szCs w:val="18"/>
          <w:lang w:val="es-AR"/>
        </w:rPr>
        <w:t xml:space="preserve">y coordinaciones sobre la respuesta y la </w:t>
      </w:r>
      <w:r w:rsidRPr="00975237">
        <w:rPr>
          <w:sz w:val="18"/>
          <w:szCs w:val="18"/>
          <w:lang w:val="es-AR"/>
        </w:rPr>
        <w:t>recuperación.</w:t>
      </w:r>
      <w:r w:rsidRPr="00543071">
        <w:rPr>
          <w:rStyle w:val="Appeldenotedefin"/>
          <w:rFonts w:cstheme="minorHAnsi"/>
          <w:sz w:val="18"/>
          <w:szCs w:val="18"/>
        </w:rPr>
        <w:endnoteReference w:id="11"/>
      </w:r>
    </w:p>
    <w:p w14:paraId="36DE9A6C" w14:textId="77777777" w:rsidR="0004003B" w:rsidRPr="00975237" w:rsidRDefault="0004003B" w:rsidP="0004003B">
      <w:pPr>
        <w:spacing w:after="0" w:line="240" w:lineRule="auto"/>
        <w:jc w:val="both"/>
        <w:rPr>
          <w:rFonts w:cstheme="minorHAnsi"/>
          <w:bCs/>
          <w:sz w:val="18"/>
          <w:szCs w:val="18"/>
          <w:lang w:val="es-AR"/>
        </w:rPr>
      </w:pPr>
      <w:r w:rsidRPr="00975237">
        <w:rPr>
          <w:bCs/>
          <w:sz w:val="18"/>
          <w:szCs w:val="18"/>
          <w:lang w:val="es-AR"/>
        </w:rPr>
        <w:t xml:space="preserve">11.21 </w:t>
      </w:r>
      <w:r w:rsidRPr="009F1E8A">
        <w:rPr>
          <w:sz w:val="18"/>
          <w:szCs w:val="18"/>
          <w:lang w:val="es-AR"/>
        </w:rPr>
        <w:t xml:space="preserve">Número </w:t>
      </w:r>
      <w:r>
        <w:rPr>
          <w:bCs/>
          <w:sz w:val="18"/>
          <w:szCs w:val="18"/>
          <w:lang w:val="es-AR"/>
        </w:rPr>
        <w:t>y p</w:t>
      </w:r>
      <w:r w:rsidRPr="00975237">
        <w:rPr>
          <w:bCs/>
          <w:sz w:val="18"/>
          <w:szCs w:val="18"/>
          <w:lang w:val="es-AR"/>
        </w:rPr>
        <w:t xml:space="preserve">roporción de personas con discapacidad que </w:t>
      </w:r>
      <w:r>
        <w:rPr>
          <w:bCs/>
          <w:sz w:val="18"/>
          <w:szCs w:val="18"/>
          <w:lang w:val="es-AR"/>
        </w:rPr>
        <w:t>conforman</w:t>
      </w:r>
      <w:r w:rsidRPr="00975237">
        <w:rPr>
          <w:bCs/>
          <w:sz w:val="18"/>
          <w:szCs w:val="18"/>
          <w:lang w:val="es-AR"/>
        </w:rPr>
        <w:t xml:space="preserve"> mecanismos de coordinación y que participan en la toma de decisiones relativas a la preparación, respuesta y recuperación humanitaria, </w:t>
      </w:r>
      <w:r>
        <w:rPr>
          <w:bCs/>
          <w:sz w:val="18"/>
          <w:szCs w:val="18"/>
          <w:lang w:val="es-AR"/>
        </w:rPr>
        <w:t xml:space="preserve">desagregados </w:t>
      </w:r>
      <w:r w:rsidRPr="00975237">
        <w:rPr>
          <w:bCs/>
          <w:sz w:val="18"/>
          <w:szCs w:val="18"/>
          <w:lang w:val="es-AR"/>
        </w:rPr>
        <w:t xml:space="preserve">por </w:t>
      </w:r>
      <w:r>
        <w:rPr>
          <w:bCs/>
          <w:sz w:val="18"/>
          <w:szCs w:val="18"/>
          <w:lang w:val="es-AR"/>
        </w:rPr>
        <w:t xml:space="preserve">sexo, </w:t>
      </w:r>
      <w:r w:rsidRPr="00975237">
        <w:rPr>
          <w:bCs/>
          <w:sz w:val="18"/>
          <w:szCs w:val="18"/>
          <w:lang w:val="es-AR"/>
        </w:rPr>
        <w:t xml:space="preserve">edad y </w:t>
      </w:r>
      <w:r>
        <w:rPr>
          <w:bCs/>
          <w:sz w:val="18"/>
          <w:szCs w:val="18"/>
          <w:lang w:val="es-AR"/>
        </w:rPr>
        <w:t>discapacidad</w:t>
      </w:r>
      <w:r w:rsidRPr="00975237">
        <w:rPr>
          <w:bCs/>
          <w:sz w:val="18"/>
          <w:szCs w:val="18"/>
          <w:lang w:val="es-AR"/>
        </w:rPr>
        <w:t>.</w:t>
      </w:r>
    </w:p>
    <w:p w14:paraId="14D6F528" w14:textId="3E2EBBC1" w:rsidR="0004003B" w:rsidRDefault="0004003B" w:rsidP="0004003B">
      <w:pPr>
        <w:spacing w:after="0" w:line="240" w:lineRule="auto"/>
        <w:jc w:val="both"/>
        <w:rPr>
          <w:sz w:val="18"/>
          <w:szCs w:val="18"/>
          <w:lang w:val="es-AR"/>
        </w:rPr>
      </w:pPr>
      <w:r w:rsidRPr="00975237">
        <w:rPr>
          <w:sz w:val="18"/>
          <w:szCs w:val="18"/>
          <w:lang w:val="es-AR"/>
        </w:rPr>
        <w:lastRenderedPageBreak/>
        <w:t xml:space="preserve">11.22 </w:t>
      </w:r>
      <w:r>
        <w:rPr>
          <w:sz w:val="18"/>
          <w:szCs w:val="18"/>
          <w:lang w:val="es-AR"/>
        </w:rPr>
        <w:t>Proporción</w:t>
      </w:r>
      <w:r w:rsidRPr="00975237">
        <w:rPr>
          <w:sz w:val="18"/>
          <w:szCs w:val="18"/>
          <w:lang w:val="es-AR"/>
        </w:rPr>
        <w:t xml:space="preserve"> de </w:t>
      </w:r>
      <w:r>
        <w:rPr>
          <w:sz w:val="18"/>
          <w:szCs w:val="18"/>
          <w:lang w:val="es-AR"/>
        </w:rPr>
        <w:t>denuncias</w:t>
      </w:r>
      <w:r w:rsidRPr="00975237">
        <w:rPr>
          <w:sz w:val="18"/>
          <w:szCs w:val="18"/>
          <w:lang w:val="es-AR"/>
        </w:rPr>
        <w:t xml:space="preserve"> </w:t>
      </w:r>
      <w:r>
        <w:rPr>
          <w:sz w:val="18"/>
          <w:szCs w:val="18"/>
          <w:lang w:val="es-AR"/>
        </w:rPr>
        <w:t>recibidas sobre</w:t>
      </w:r>
      <w:r w:rsidRPr="00975237">
        <w:rPr>
          <w:sz w:val="18"/>
          <w:szCs w:val="18"/>
          <w:lang w:val="es-AR"/>
        </w:rPr>
        <w:t xml:space="preserve"> violencia contra personas con discapacidad, discriminación por discapacidad</w:t>
      </w:r>
      <w:r>
        <w:rPr>
          <w:sz w:val="18"/>
          <w:szCs w:val="18"/>
          <w:lang w:val="es-AR"/>
        </w:rPr>
        <w:t xml:space="preserve"> o</w:t>
      </w:r>
      <w:r w:rsidRPr="00975237">
        <w:rPr>
          <w:sz w:val="18"/>
          <w:szCs w:val="18"/>
          <w:lang w:val="es-AR"/>
        </w:rPr>
        <w:t xml:space="preserve"> relacionadas de alguna manera con niños y adultos con discapacidad en situaciones de conflicto o posconflicto que hayan</w:t>
      </w:r>
      <w:r>
        <w:rPr>
          <w:sz w:val="18"/>
          <w:szCs w:val="18"/>
          <w:lang w:val="es-AR"/>
        </w:rPr>
        <w:t xml:space="preserve"> sido</w:t>
      </w:r>
      <w:r w:rsidRPr="00975237">
        <w:rPr>
          <w:sz w:val="18"/>
          <w:szCs w:val="18"/>
          <w:lang w:val="es-AR"/>
        </w:rPr>
        <w:t xml:space="preserve"> investigad</w:t>
      </w:r>
      <w:r>
        <w:rPr>
          <w:sz w:val="18"/>
          <w:szCs w:val="18"/>
          <w:lang w:val="es-AR"/>
        </w:rPr>
        <w:t>as</w:t>
      </w:r>
      <w:r w:rsidRPr="00975237">
        <w:rPr>
          <w:sz w:val="18"/>
          <w:szCs w:val="18"/>
          <w:lang w:val="es-AR"/>
        </w:rPr>
        <w:t xml:space="preserve"> y resuelt</w:t>
      </w:r>
      <w:r>
        <w:rPr>
          <w:sz w:val="18"/>
          <w:szCs w:val="18"/>
          <w:lang w:val="es-AR"/>
        </w:rPr>
        <w:t>as; proporción de las mismas resueltas</w:t>
      </w:r>
      <w:r w:rsidRPr="00975237">
        <w:rPr>
          <w:sz w:val="18"/>
          <w:szCs w:val="18"/>
          <w:lang w:val="es-AR"/>
        </w:rPr>
        <w:t xml:space="preserve"> a favor del denunciante, </w:t>
      </w:r>
      <w:r>
        <w:rPr>
          <w:sz w:val="18"/>
          <w:szCs w:val="18"/>
          <w:lang w:val="es-AR"/>
        </w:rPr>
        <w:t>y proporción de estas últimas</w:t>
      </w:r>
      <w:r w:rsidRPr="00975237">
        <w:rPr>
          <w:sz w:val="18"/>
          <w:szCs w:val="18"/>
          <w:lang w:val="es-AR"/>
        </w:rPr>
        <w:t xml:space="preserve"> cumplidas por el gobierno o responsable</w:t>
      </w:r>
      <w:r>
        <w:rPr>
          <w:sz w:val="18"/>
          <w:szCs w:val="18"/>
          <w:lang w:val="es-AR"/>
        </w:rPr>
        <w:t>; todas ellas</w:t>
      </w:r>
      <w:r w:rsidRPr="00975237">
        <w:rPr>
          <w:sz w:val="18"/>
          <w:szCs w:val="18"/>
          <w:lang w:val="es-AR"/>
        </w:rPr>
        <w:t xml:space="preserve"> </w:t>
      </w:r>
      <w:r>
        <w:rPr>
          <w:sz w:val="18"/>
          <w:szCs w:val="18"/>
          <w:lang w:val="es-AR"/>
        </w:rPr>
        <w:t>desagregadas</w:t>
      </w:r>
      <w:r w:rsidRPr="00975237">
        <w:rPr>
          <w:sz w:val="18"/>
          <w:szCs w:val="18"/>
          <w:lang w:val="es-AR"/>
        </w:rPr>
        <w:t xml:space="preserve"> por tipo de mecanismo.</w:t>
      </w:r>
    </w:p>
    <w:p w14:paraId="191F46C2" w14:textId="77777777" w:rsidR="0004003B" w:rsidRPr="00975237" w:rsidRDefault="0004003B" w:rsidP="0004003B">
      <w:pPr>
        <w:spacing w:after="0" w:line="240" w:lineRule="auto"/>
        <w:jc w:val="both"/>
        <w:rPr>
          <w:rFonts w:cstheme="minorHAnsi"/>
          <w:sz w:val="18"/>
          <w:szCs w:val="18"/>
          <w:lang w:val="es-AR"/>
        </w:rPr>
      </w:pPr>
    </w:p>
    <w:p w14:paraId="1587C3CB" w14:textId="00BFBEEF" w:rsidR="0004003B" w:rsidRPr="00975237" w:rsidRDefault="0004003B" w:rsidP="0004003B">
      <w:pPr>
        <w:spacing w:after="0" w:line="240" w:lineRule="auto"/>
        <w:jc w:val="both"/>
        <w:rPr>
          <w:rFonts w:cstheme="minorHAnsi"/>
          <w:b/>
          <w:bCs/>
          <w:sz w:val="18"/>
          <w:szCs w:val="18"/>
          <w:lang w:val="es-AR"/>
        </w:rPr>
      </w:pPr>
      <w:r w:rsidRPr="00975237">
        <w:rPr>
          <w:b/>
          <w:bCs/>
          <w:sz w:val="18"/>
          <w:szCs w:val="18"/>
          <w:lang w:val="es-AR"/>
        </w:rPr>
        <w:t>Indicadores</w:t>
      </w:r>
      <w:r>
        <w:rPr>
          <w:b/>
          <w:bCs/>
          <w:sz w:val="18"/>
          <w:szCs w:val="18"/>
          <w:lang w:val="es-AR"/>
        </w:rPr>
        <w:t xml:space="preserve"> de</w:t>
      </w:r>
      <w:r w:rsidRPr="00975237">
        <w:rPr>
          <w:b/>
          <w:bCs/>
          <w:sz w:val="18"/>
          <w:szCs w:val="18"/>
          <w:lang w:val="es-AR"/>
        </w:rPr>
        <w:t xml:space="preserve"> Resultado</w:t>
      </w:r>
    </w:p>
    <w:p w14:paraId="146F086F" w14:textId="77777777" w:rsidR="0004003B" w:rsidRPr="00975237" w:rsidRDefault="0004003B" w:rsidP="0004003B">
      <w:pPr>
        <w:spacing w:after="0" w:line="240" w:lineRule="auto"/>
        <w:jc w:val="both"/>
        <w:rPr>
          <w:rFonts w:eastAsia="Times New Roman" w:cstheme="minorHAnsi"/>
          <w:sz w:val="18"/>
          <w:szCs w:val="18"/>
          <w:lang w:val="es-AR"/>
        </w:rPr>
      </w:pPr>
      <w:r w:rsidRPr="00975237">
        <w:rPr>
          <w:sz w:val="18"/>
          <w:szCs w:val="18"/>
          <w:lang w:val="es-AR"/>
        </w:rPr>
        <w:t xml:space="preserve">11.23 Número de </w:t>
      </w:r>
      <w:r>
        <w:rPr>
          <w:sz w:val="18"/>
          <w:szCs w:val="18"/>
          <w:lang w:val="es-AR"/>
        </w:rPr>
        <w:t>muertes</w:t>
      </w:r>
      <w:r w:rsidRPr="00975237">
        <w:rPr>
          <w:sz w:val="18"/>
          <w:szCs w:val="18"/>
          <w:lang w:val="es-AR"/>
        </w:rPr>
        <w:t xml:space="preserve">, </w:t>
      </w:r>
      <w:r>
        <w:rPr>
          <w:sz w:val="18"/>
          <w:szCs w:val="18"/>
          <w:lang w:val="es-AR"/>
        </w:rPr>
        <w:t xml:space="preserve">personas </w:t>
      </w:r>
      <w:r w:rsidRPr="00975237">
        <w:rPr>
          <w:sz w:val="18"/>
          <w:szCs w:val="18"/>
          <w:lang w:val="es-AR"/>
        </w:rPr>
        <w:t>desaparecidas y</w:t>
      </w:r>
      <w:r>
        <w:rPr>
          <w:sz w:val="18"/>
          <w:szCs w:val="18"/>
          <w:lang w:val="es-AR"/>
        </w:rPr>
        <w:t xml:space="preserve"> </w:t>
      </w:r>
      <w:r w:rsidRPr="00975237">
        <w:rPr>
          <w:sz w:val="18"/>
          <w:szCs w:val="18"/>
          <w:lang w:val="es-AR"/>
        </w:rPr>
        <w:t xml:space="preserve">afectadas directamente </w:t>
      </w:r>
      <w:r>
        <w:rPr>
          <w:sz w:val="18"/>
          <w:szCs w:val="18"/>
          <w:lang w:val="es-AR"/>
        </w:rPr>
        <w:t>por</w:t>
      </w:r>
      <w:r w:rsidRPr="00975237">
        <w:rPr>
          <w:sz w:val="18"/>
          <w:szCs w:val="18"/>
          <w:lang w:val="es-AR"/>
        </w:rPr>
        <w:t xml:space="preserve"> desastres por cada</w:t>
      </w:r>
      <w:r>
        <w:rPr>
          <w:sz w:val="18"/>
          <w:szCs w:val="18"/>
          <w:lang w:val="es-AR"/>
        </w:rPr>
        <w:t xml:space="preserve"> </w:t>
      </w:r>
      <w:r w:rsidRPr="00975237">
        <w:rPr>
          <w:sz w:val="18"/>
          <w:szCs w:val="18"/>
          <w:lang w:val="es-AR"/>
        </w:rPr>
        <w:t>100.000 personas</w:t>
      </w:r>
      <w:r w:rsidRPr="00975237" w:rsidDel="00975237">
        <w:rPr>
          <w:sz w:val="18"/>
          <w:szCs w:val="18"/>
          <w:lang w:val="es-AR"/>
        </w:rPr>
        <w:t xml:space="preserve"> </w:t>
      </w:r>
      <w:r w:rsidRPr="00975237">
        <w:rPr>
          <w:sz w:val="18"/>
          <w:szCs w:val="18"/>
          <w:lang w:val="es-AR"/>
        </w:rPr>
        <w:t>(indicador 1.5.1 de los ODS), desglosado por edad, sexo y discapacidad.</w:t>
      </w:r>
    </w:p>
    <w:p w14:paraId="02A33AF5" w14:textId="77777777" w:rsidR="0004003B" w:rsidRPr="00975237" w:rsidRDefault="0004003B" w:rsidP="0004003B">
      <w:pPr>
        <w:spacing w:after="0" w:line="240" w:lineRule="auto"/>
        <w:jc w:val="both"/>
        <w:rPr>
          <w:rFonts w:cstheme="minorHAnsi"/>
          <w:bCs/>
          <w:sz w:val="18"/>
          <w:szCs w:val="18"/>
          <w:lang w:val="es-AR"/>
        </w:rPr>
      </w:pPr>
      <w:r w:rsidRPr="00975237">
        <w:rPr>
          <w:bCs/>
          <w:sz w:val="18"/>
          <w:szCs w:val="18"/>
          <w:lang w:val="es-AR"/>
        </w:rPr>
        <w:t xml:space="preserve">11.24 Proporción de personas con discapacidad </w:t>
      </w:r>
      <w:r>
        <w:rPr>
          <w:bCs/>
          <w:sz w:val="18"/>
          <w:szCs w:val="18"/>
          <w:lang w:val="es-AR"/>
        </w:rPr>
        <w:t xml:space="preserve">beneficiarias </w:t>
      </w:r>
      <w:r w:rsidRPr="00975237">
        <w:rPr>
          <w:bCs/>
          <w:sz w:val="18"/>
          <w:szCs w:val="18"/>
          <w:lang w:val="es-AR"/>
        </w:rPr>
        <w:t>de ayudas, en comparación con la proporción de personas con discapacidad en la población, por edad y sexo.</w:t>
      </w:r>
    </w:p>
    <w:p w14:paraId="4B19780F" w14:textId="77777777" w:rsidR="0004003B" w:rsidRPr="00975237" w:rsidRDefault="0004003B" w:rsidP="0004003B">
      <w:pPr>
        <w:spacing w:after="0" w:line="240" w:lineRule="auto"/>
        <w:jc w:val="both"/>
        <w:rPr>
          <w:rFonts w:cstheme="minorHAnsi"/>
          <w:bCs/>
          <w:sz w:val="18"/>
          <w:szCs w:val="18"/>
          <w:lang w:val="es-AR"/>
        </w:rPr>
      </w:pPr>
      <w:r w:rsidRPr="00975237">
        <w:rPr>
          <w:bCs/>
          <w:sz w:val="18"/>
          <w:szCs w:val="18"/>
          <w:lang w:val="es-AR"/>
        </w:rPr>
        <w:t xml:space="preserve">11.25 Proporción de personas con discapacidad </w:t>
      </w:r>
      <w:r>
        <w:rPr>
          <w:bCs/>
          <w:sz w:val="18"/>
          <w:szCs w:val="18"/>
          <w:lang w:val="es-AR"/>
        </w:rPr>
        <w:t>que son parte de las</w:t>
      </w:r>
      <w:r w:rsidRPr="00975237">
        <w:rPr>
          <w:bCs/>
          <w:sz w:val="18"/>
          <w:szCs w:val="18"/>
          <w:lang w:val="es-AR"/>
        </w:rPr>
        <w:t xml:space="preserve"> poblaciones de refugiados y desplazados internos, en comparación con la proporción de personas con discapacidad en la población</w:t>
      </w:r>
      <w:r>
        <w:rPr>
          <w:bCs/>
          <w:sz w:val="18"/>
          <w:szCs w:val="18"/>
          <w:lang w:val="es-AR"/>
        </w:rPr>
        <w:t xml:space="preserve"> general</w:t>
      </w:r>
      <w:r w:rsidRPr="00975237">
        <w:rPr>
          <w:bCs/>
          <w:sz w:val="18"/>
          <w:szCs w:val="18"/>
          <w:lang w:val="es-AR"/>
        </w:rPr>
        <w:t>, por sexo</w:t>
      </w:r>
      <w:r>
        <w:rPr>
          <w:bCs/>
          <w:sz w:val="18"/>
          <w:szCs w:val="18"/>
          <w:lang w:val="es-AR"/>
        </w:rPr>
        <w:t>, edad y discapacidad</w:t>
      </w:r>
      <w:r w:rsidRPr="00975237">
        <w:rPr>
          <w:bCs/>
          <w:sz w:val="18"/>
          <w:szCs w:val="18"/>
          <w:lang w:val="es-AR"/>
        </w:rPr>
        <w:t>.</w:t>
      </w:r>
    </w:p>
    <w:p w14:paraId="386A5735" w14:textId="6B307870" w:rsidR="0004003B" w:rsidRPr="00AD1A71" w:rsidRDefault="0004003B" w:rsidP="00AD1A71">
      <w:pPr>
        <w:spacing w:after="0" w:line="240" w:lineRule="auto"/>
        <w:jc w:val="both"/>
        <w:rPr>
          <w:rFonts w:cstheme="minorHAnsi"/>
          <w:bCs/>
          <w:sz w:val="18"/>
          <w:szCs w:val="18"/>
          <w:lang w:val="es-AR"/>
        </w:rPr>
      </w:pPr>
      <w:r w:rsidRPr="00975237">
        <w:rPr>
          <w:bCs/>
          <w:sz w:val="18"/>
          <w:szCs w:val="18"/>
          <w:lang w:val="es-AR"/>
        </w:rPr>
        <w:t xml:space="preserve">11.26 Proporción de personas con discapacidad que </w:t>
      </w:r>
      <w:r>
        <w:rPr>
          <w:bCs/>
          <w:sz w:val="18"/>
          <w:szCs w:val="18"/>
          <w:lang w:val="es-AR"/>
        </w:rPr>
        <w:t>han tenido acceso a</w:t>
      </w:r>
      <w:r w:rsidRPr="00975237">
        <w:rPr>
          <w:bCs/>
          <w:sz w:val="18"/>
          <w:szCs w:val="18"/>
          <w:lang w:val="es-AR"/>
        </w:rPr>
        <w:t xml:space="preserve"> viviendas segur</w:t>
      </w:r>
      <w:r>
        <w:rPr>
          <w:bCs/>
          <w:sz w:val="18"/>
          <w:szCs w:val="18"/>
          <w:lang w:val="es-AR"/>
        </w:rPr>
        <w:t>as</w:t>
      </w:r>
      <w:r w:rsidRPr="00975237">
        <w:rPr>
          <w:bCs/>
          <w:sz w:val="18"/>
          <w:szCs w:val="18"/>
          <w:lang w:val="es-AR"/>
        </w:rPr>
        <w:t xml:space="preserve"> y dign</w:t>
      </w:r>
      <w:r>
        <w:rPr>
          <w:bCs/>
          <w:sz w:val="18"/>
          <w:szCs w:val="18"/>
          <w:lang w:val="es-AR"/>
        </w:rPr>
        <w:t>a</w:t>
      </w:r>
      <w:r w:rsidRPr="00975237">
        <w:rPr>
          <w:bCs/>
          <w:sz w:val="18"/>
          <w:szCs w:val="18"/>
          <w:lang w:val="es-AR"/>
        </w:rPr>
        <w:t>s</w:t>
      </w:r>
      <w:r>
        <w:rPr>
          <w:rStyle w:val="Appeldenotedefin"/>
          <w:rFonts w:cstheme="minorHAnsi"/>
          <w:bCs/>
          <w:sz w:val="18"/>
          <w:szCs w:val="18"/>
          <w:lang w:val="en-US"/>
        </w:rPr>
        <w:endnoteReference w:id="12"/>
      </w:r>
      <w:r w:rsidRPr="00975237">
        <w:rPr>
          <w:bCs/>
          <w:sz w:val="18"/>
          <w:szCs w:val="18"/>
          <w:lang w:val="es-AR"/>
        </w:rPr>
        <w:t xml:space="preserve"> </w:t>
      </w:r>
      <w:r>
        <w:rPr>
          <w:bCs/>
          <w:sz w:val="18"/>
          <w:szCs w:val="18"/>
          <w:lang w:val="es-AR"/>
        </w:rPr>
        <w:t>como respuesta a un desastre natural o emergencia humanitaria y proporción que representan del total de beneficiarios</w:t>
      </w:r>
      <w:r w:rsidRPr="00975237">
        <w:rPr>
          <w:bCs/>
          <w:sz w:val="18"/>
          <w:szCs w:val="18"/>
          <w:lang w:val="es-AR"/>
        </w:rPr>
        <w:t xml:space="preserve"> desglosa</w:t>
      </w:r>
      <w:r>
        <w:rPr>
          <w:bCs/>
          <w:sz w:val="18"/>
          <w:szCs w:val="18"/>
          <w:lang w:val="es-AR"/>
        </w:rPr>
        <w:t>das</w:t>
      </w:r>
      <w:r w:rsidRPr="00975237">
        <w:rPr>
          <w:bCs/>
          <w:sz w:val="18"/>
          <w:szCs w:val="18"/>
          <w:lang w:val="es-AR"/>
        </w:rPr>
        <w:t xml:space="preserve"> por sexo</w:t>
      </w:r>
      <w:r>
        <w:rPr>
          <w:bCs/>
          <w:sz w:val="18"/>
          <w:szCs w:val="18"/>
          <w:lang w:val="es-AR"/>
        </w:rPr>
        <w:t>,</w:t>
      </w:r>
      <w:r w:rsidRPr="00975237">
        <w:rPr>
          <w:bCs/>
          <w:sz w:val="18"/>
          <w:szCs w:val="18"/>
          <w:lang w:val="es-AR"/>
        </w:rPr>
        <w:t xml:space="preserve"> edad</w:t>
      </w:r>
      <w:r>
        <w:rPr>
          <w:bCs/>
          <w:sz w:val="18"/>
          <w:szCs w:val="18"/>
          <w:lang w:val="es-AR"/>
        </w:rPr>
        <w:t>, discapacidad, ubicación geográfica y naturaleza de la emergencia</w:t>
      </w:r>
      <w:r w:rsidRPr="00975237">
        <w:rPr>
          <w:bCs/>
          <w:sz w:val="18"/>
          <w:szCs w:val="18"/>
          <w:lang w:val="es-AR"/>
        </w:rPr>
        <w:t>.</w:t>
      </w:r>
    </w:p>
    <w:p w14:paraId="05BEE981" w14:textId="5FEA3E71" w:rsidR="005661D7" w:rsidRPr="00975237" w:rsidRDefault="004855ED" w:rsidP="0004003B">
      <w:pPr>
        <w:spacing w:after="0" w:line="240" w:lineRule="auto"/>
        <w:jc w:val="center"/>
        <w:rPr>
          <w:b/>
          <w:color w:val="000000"/>
          <w:sz w:val="18"/>
          <w:szCs w:val="18"/>
          <w:lang w:val="es-AR"/>
        </w:rPr>
      </w:pPr>
      <w:r w:rsidRPr="00975237">
        <w:rPr>
          <w:b/>
          <w:sz w:val="18"/>
          <w:szCs w:val="18"/>
          <w:lang w:val="es-AR"/>
        </w:rPr>
        <w:t>ANEXO</w:t>
      </w:r>
    </w:p>
    <w:sectPr w:rsidR="005661D7" w:rsidRPr="00975237" w:rsidSect="004827E1">
      <w:pgSz w:w="16838" w:h="11906" w:orient="landscape"/>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1285C" w14:textId="77777777" w:rsidR="000164E5" w:rsidRDefault="000164E5" w:rsidP="000757E5">
      <w:pPr>
        <w:spacing w:after="0" w:line="240" w:lineRule="auto"/>
      </w:pPr>
      <w:r>
        <w:separator/>
      </w:r>
    </w:p>
  </w:endnote>
  <w:endnote w:type="continuationSeparator" w:id="0">
    <w:p w14:paraId="75001361" w14:textId="77777777" w:rsidR="000164E5" w:rsidRDefault="000164E5" w:rsidP="000757E5">
      <w:pPr>
        <w:spacing w:after="0" w:line="240" w:lineRule="auto"/>
      </w:pPr>
      <w:r>
        <w:continuationSeparator/>
      </w:r>
    </w:p>
  </w:endnote>
  <w:endnote w:id="1">
    <w:p w14:paraId="5529BE56" w14:textId="77777777" w:rsidR="0004003B" w:rsidRPr="00975237" w:rsidRDefault="0004003B" w:rsidP="00EA79CC">
      <w:pPr>
        <w:pStyle w:val="Commentaire"/>
        <w:spacing w:after="0"/>
        <w:jc w:val="both"/>
        <w:rPr>
          <w:sz w:val="18"/>
          <w:szCs w:val="18"/>
        </w:rPr>
      </w:pPr>
      <w:r w:rsidRPr="00975237">
        <w:rPr>
          <w:rStyle w:val="Appeldenotedefin"/>
          <w:sz w:val="18"/>
          <w:szCs w:val="18"/>
        </w:rPr>
        <w:endnoteRef/>
      </w:r>
      <w:r w:rsidRPr="00975237">
        <w:rPr>
          <w:sz w:val="18"/>
          <w:szCs w:val="18"/>
        </w:rPr>
        <w:t xml:space="preserve"> Los compromisos internacionales incluyen, por ejemplo, la </w:t>
      </w:r>
      <w:hyperlink r:id="rId1" w:history="1">
        <w:r w:rsidRPr="00A75D9F">
          <w:rPr>
            <w:rStyle w:val="Lienhypertexte"/>
            <w:sz w:val="18"/>
            <w:szCs w:val="18"/>
          </w:rPr>
          <w:t>Carta sobre la Inclusión de Personas con Discapacidad en la Acción Humanitaria</w:t>
        </w:r>
      </w:hyperlink>
      <w:r w:rsidRPr="00975237">
        <w:rPr>
          <w:sz w:val="18"/>
          <w:szCs w:val="18"/>
        </w:rPr>
        <w:t xml:space="preserve"> (2016), </w:t>
      </w:r>
      <w:r>
        <w:rPr>
          <w:sz w:val="18"/>
          <w:szCs w:val="18"/>
        </w:rPr>
        <w:t xml:space="preserve">la </w:t>
      </w:r>
      <w:hyperlink r:id="rId2" w:history="1">
        <w:r w:rsidRPr="00A75D9F">
          <w:rPr>
            <w:rStyle w:val="Lienhypertexte"/>
            <w:sz w:val="18"/>
            <w:szCs w:val="18"/>
          </w:rPr>
          <w:t>Agenda por la Humanidad</w:t>
        </w:r>
      </w:hyperlink>
      <w:r>
        <w:rPr>
          <w:sz w:val="18"/>
          <w:szCs w:val="18"/>
        </w:rPr>
        <w:t xml:space="preserve">, </w:t>
      </w:r>
      <w:r w:rsidRPr="00975237">
        <w:rPr>
          <w:sz w:val="18"/>
          <w:szCs w:val="18"/>
        </w:rPr>
        <w:t xml:space="preserve">el </w:t>
      </w:r>
      <w:hyperlink r:id="rId3" w:history="1">
        <w:r w:rsidRPr="00A75D9F">
          <w:rPr>
            <w:rStyle w:val="Lienhypertexte"/>
            <w:sz w:val="18"/>
            <w:szCs w:val="18"/>
          </w:rPr>
          <w:t>Marco de Sendai para la reducción del riesgo de desastres 2015-2030</w:t>
        </w:r>
      </w:hyperlink>
      <w:r w:rsidRPr="00975237">
        <w:rPr>
          <w:sz w:val="18"/>
          <w:szCs w:val="18"/>
        </w:rPr>
        <w:t xml:space="preserve"> (2015)</w:t>
      </w:r>
      <w:r>
        <w:rPr>
          <w:sz w:val="18"/>
          <w:szCs w:val="18"/>
        </w:rPr>
        <w:t xml:space="preserve">, el </w:t>
      </w:r>
      <w:hyperlink r:id="rId4" w:history="1">
        <w:r w:rsidRPr="00A75D9F">
          <w:rPr>
            <w:rStyle w:val="Lienhypertexte"/>
            <w:sz w:val="18"/>
            <w:szCs w:val="18"/>
          </w:rPr>
          <w:t>Acuerdo de París</w:t>
        </w:r>
      </w:hyperlink>
      <w:r>
        <w:rPr>
          <w:sz w:val="18"/>
          <w:szCs w:val="18"/>
        </w:rPr>
        <w:t xml:space="preserve"> (2015)</w:t>
      </w:r>
      <w:r w:rsidRPr="00975237">
        <w:rPr>
          <w:sz w:val="18"/>
          <w:szCs w:val="18"/>
        </w:rPr>
        <w:t xml:space="preserve"> </w:t>
      </w:r>
      <w:r w:rsidRPr="00A75D9F">
        <w:rPr>
          <w:sz w:val="18"/>
          <w:szCs w:val="18"/>
        </w:rPr>
        <w:t>basado en la Convención Marco de las Naciones U</w:t>
      </w:r>
      <w:r>
        <w:rPr>
          <w:sz w:val="18"/>
          <w:szCs w:val="18"/>
        </w:rPr>
        <w:t>nidas sobre el Cambio Climático</w:t>
      </w:r>
      <w:r w:rsidRPr="00A75D9F">
        <w:rPr>
          <w:sz w:val="18"/>
          <w:szCs w:val="18"/>
        </w:rPr>
        <w:t xml:space="preserve"> y los compromisos asumidos</w:t>
      </w:r>
      <w:r>
        <w:rPr>
          <w:sz w:val="18"/>
          <w:szCs w:val="18"/>
        </w:rPr>
        <w:t xml:space="preserve"> en</w:t>
      </w:r>
      <w:r w:rsidRPr="00975237">
        <w:rPr>
          <w:sz w:val="18"/>
          <w:szCs w:val="18"/>
        </w:rPr>
        <w:t xml:space="preserve"> la </w:t>
      </w:r>
      <w:hyperlink r:id="rId5" w:history="1">
        <w:r w:rsidRPr="00A75D9F">
          <w:rPr>
            <w:rStyle w:val="Lienhypertexte"/>
            <w:sz w:val="18"/>
            <w:szCs w:val="18"/>
          </w:rPr>
          <w:t>Cumbre Mundial sobre la Discapacidad</w:t>
        </w:r>
        <w:r>
          <w:rPr>
            <w:rStyle w:val="Lienhypertexte"/>
            <w:sz w:val="18"/>
            <w:szCs w:val="18"/>
          </w:rPr>
          <w:t xml:space="preserve"> de</w:t>
        </w:r>
        <w:r w:rsidRPr="00A75D9F">
          <w:rPr>
            <w:rStyle w:val="Lienhypertexte"/>
            <w:sz w:val="18"/>
            <w:szCs w:val="18"/>
          </w:rPr>
          <w:t xml:space="preserve"> 2018</w:t>
        </w:r>
      </w:hyperlink>
      <w:r w:rsidRPr="00975237">
        <w:rPr>
          <w:sz w:val="18"/>
          <w:szCs w:val="18"/>
        </w:rPr>
        <w:t>.</w:t>
      </w:r>
    </w:p>
  </w:endnote>
  <w:endnote w:id="2">
    <w:p w14:paraId="3D77C5C7" w14:textId="77777777" w:rsidR="0004003B" w:rsidRPr="00975237" w:rsidRDefault="0004003B" w:rsidP="009F4A00">
      <w:pPr>
        <w:pStyle w:val="Notedefin"/>
        <w:rPr>
          <w:color w:val="000000"/>
          <w:sz w:val="18"/>
          <w:szCs w:val="18"/>
        </w:rPr>
      </w:pPr>
      <w:r w:rsidRPr="00975237">
        <w:rPr>
          <w:rStyle w:val="Appeldenotedefin"/>
          <w:sz w:val="18"/>
          <w:szCs w:val="18"/>
        </w:rPr>
        <w:endnoteRef/>
      </w:r>
      <w:r w:rsidRPr="00975237">
        <w:rPr>
          <w:sz w:val="18"/>
          <w:szCs w:val="18"/>
        </w:rPr>
        <w:t xml:space="preserve"> </w:t>
      </w:r>
      <w:r w:rsidRPr="00975237">
        <w:rPr>
          <w:color w:val="000000"/>
          <w:sz w:val="18"/>
          <w:szCs w:val="18"/>
        </w:rPr>
        <w:t xml:space="preserve">incluyendo </w:t>
      </w:r>
      <w:r>
        <w:rPr>
          <w:color w:val="000000"/>
          <w:sz w:val="18"/>
          <w:szCs w:val="18"/>
        </w:rPr>
        <w:t>aquellas</w:t>
      </w:r>
      <w:r w:rsidRPr="00975237">
        <w:rPr>
          <w:color w:val="000000"/>
          <w:sz w:val="18"/>
          <w:szCs w:val="18"/>
        </w:rPr>
        <w:t xml:space="preserve"> realizadas </w:t>
      </w:r>
      <w:r>
        <w:rPr>
          <w:color w:val="000000"/>
          <w:sz w:val="18"/>
          <w:szCs w:val="18"/>
        </w:rPr>
        <w:t>conjuntamente con</w:t>
      </w:r>
      <w:r w:rsidRPr="00975237">
        <w:rPr>
          <w:color w:val="000000"/>
          <w:sz w:val="18"/>
          <w:szCs w:val="18"/>
        </w:rPr>
        <w:t xml:space="preserve"> agencias de cooperación internacional, agencias de ayuda bilateral y entidades privadas.</w:t>
      </w:r>
    </w:p>
  </w:endnote>
  <w:endnote w:id="3">
    <w:p w14:paraId="36EB49A5" w14:textId="77777777" w:rsidR="0004003B" w:rsidRPr="00886F29" w:rsidRDefault="0004003B" w:rsidP="000A139F">
      <w:pPr>
        <w:pStyle w:val="Notedefin"/>
        <w:rPr>
          <w:sz w:val="18"/>
          <w:szCs w:val="18"/>
        </w:rPr>
      </w:pPr>
      <w:r w:rsidRPr="00975237">
        <w:rPr>
          <w:rStyle w:val="Appeldenotedefin"/>
          <w:sz w:val="18"/>
          <w:szCs w:val="18"/>
        </w:rPr>
        <w:endnoteRef/>
      </w:r>
      <w:r w:rsidRPr="00975237">
        <w:rPr>
          <w:sz w:val="18"/>
          <w:szCs w:val="18"/>
        </w:rPr>
        <w:t xml:space="preserve"> </w:t>
      </w:r>
      <w:r w:rsidRPr="00A75D9F">
        <w:rPr>
          <w:sz w:val="18"/>
          <w:szCs w:val="18"/>
        </w:rPr>
        <w:t xml:space="preserve">Con </w:t>
      </w:r>
      <w:r>
        <w:rPr>
          <w:sz w:val="18"/>
          <w:szCs w:val="18"/>
        </w:rPr>
        <w:t>la visión</w:t>
      </w:r>
      <w:r w:rsidRPr="00A75D9F">
        <w:rPr>
          <w:sz w:val="18"/>
          <w:szCs w:val="18"/>
        </w:rPr>
        <w:t xml:space="preserve"> de identificar el número de personas con discapacidad y los hogares</w:t>
      </w:r>
      <w:r>
        <w:rPr>
          <w:sz w:val="18"/>
          <w:szCs w:val="18"/>
        </w:rPr>
        <w:t xml:space="preserve"> con </w:t>
      </w:r>
      <w:r w:rsidRPr="00A75D9F">
        <w:rPr>
          <w:sz w:val="18"/>
          <w:szCs w:val="18"/>
        </w:rPr>
        <w:t xml:space="preserve">personas con discapacidad, a fin de localizar y </w:t>
      </w:r>
      <w:r>
        <w:rPr>
          <w:sz w:val="18"/>
          <w:szCs w:val="18"/>
        </w:rPr>
        <w:t>monitorear</w:t>
      </w:r>
      <w:r w:rsidRPr="00A75D9F">
        <w:rPr>
          <w:sz w:val="18"/>
          <w:szCs w:val="18"/>
        </w:rPr>
        <w:t xml:space="preserve"> el número de víctimas durante una crisis, las víctimas/supervivientes de la violencia física, sexual y psicológica, la explotación, el abuso y la trata, el acceso a la asistencia, los servicios, las instalaciones y los obstáculos a su acceso. Para ello es necesario desglosar todos los sistemas de gestión de la información, incluido el sistema de gestión de la información sobre la violencia de género, el sistema de gestión de la protección de los niños y la base de datos de </w:t>
      </w:r>
      <w:r>
        <w:rPr>
          <w:sz w:val="18"/>
          <w:szCs w:val="18"/>
        </w:rPr>
        <w:t>denuncias</w:t>
      </w:r>
      <w:r w:rsidRPr="00A75D9F">
        <w:rPr>
          <w:sz w:val="18"/>
          <w:szCs w:val="18"/>
        </w:rPr>
        <w:t xml:space="preserve"> nacional. (La gestión de la información se refiere a la re</w:t>
      </w:r>
      <w:r>
        <w:rPr>
          <w:sz w:val="18"/>
          <w:szCs w:val="18"/>
        </w:rPr>
        <w:t>copilación</w:t>
      </w:r>
      <w:r w:rsidRPr="00A75D9F">
        <w:rPr>
          <w:sz w:val="18"/>
          <w:szCs w:val="18"/>
        </w:rPr>
        <w:t>, el análisis y la gestión de datos e información en todo el ciclo del programa humanitario).</w:t>
      </w:r>
    </w:p>
  </w:endnote>
  <w:endnote w:id="4">
    <w:p w14:paraId="7B751D6C" w14:textId="77777777" w:rsidR="0004003B" w:rsidRPr="00A75D9F" w:rsidRDefault="0004003B" w:rsidP="009F4A00">
      <w:pPr>
        <w:pStyle w:val="Notedefin"/>
        <w:rPr>
          <w:sz w:val="18"/>
          <w:szCs w:val="18"/>
        </w:rPr>
      </w:pPr>
      <w:r w:rsidRPr="005F6411">
        <w:rPr>
          <w:rStyle w:val="Appeldenotedefin"/>
          <w:sz w:val="18"/>
          <w:szCs w:val="18"/>
        </w:rPr>
        <w:endnoteRef/>
      </w:r>
      <w:r w:rsidRPr="00A75D9F">
        <w:rPr>
          <w:sz w:val="18"/>
          <w:szCs w:val="18"/>
        </w:rPr>
        <w:t xml:space="preserve"> </w:t>
      </w:r>
      <w:r w:rsidRPr="00E469B0">
        <w:rPr>
          <w:sz w:val="18"/>
          <w:szCs w:val="18"/>
        </w:rPr>
        <w:t>Véase las Directrices del Comité Permanente entre Organismos sobre la inclusión de personas con discapacidad en la acción humanitaria, capítulo 5, Gestión de datos e información</w:t>
      </w:r>
      <w:r w:rsidRPr="00A75D9F">
        <w:rPr>
          <w:sz w:val="18"/>
          <w:szCs w:val="18"/>
        </w:rPr>
        <w:t>.</w:t>
      </w:r>
    </w:p>
  </w:endnote>
  <w:endnote w:id="5">
    <w:p w14:paraId="56F6BA4F" w14:textId="77777777" w:rsidR="0004003B" w:rsidRPr="00E469B0" w:rsidRDefault="0004003B" w:rsidP="009F4A00">
      <w:pPr>
        <w:pStyle w:val="Notedefin"/>
        <w:rPr>
          <w:sz w:val="18"/>
          <w:szCs w:val="18"/>
        </w:rPr>
      </w:pPr>
      <w:r w:rsidRPr="005F6411">
        <w:rPr>
          <w:rStyle w:val="Appeldenotedefin"/>
          <w:sz w:val="18"/>
          <w:szCs w:val="18"/>
        </w:rPr>
        <w:endnoteRef/>
      </w:r>
      <w:r w:rsidRPr="00A75D9F">
        <w:rPr>
          <w:sz w:val="18"/>
          <w:szCs w:val="18"/>
        </w:rPr>
        <w:t xml:space="preserve"> </w:t>
      </w:r>
      <w:r w:rsidRPr="00E469B0">
        <w:rPr>
          <w:sz w:val="18"/>
          <w:szCs w:val="18"/>
        </w:rPr>
        <w:t xml:space="preserve">Esto debería incluir sistemas de alerta y protocolos de evacuación de las instituciones e instalaciones en las que actualmente se encuentran detenidos o residen niños y adultos con discapacidad. </w:t>
      </w:r>
    </w:p>
  </w:endnote>
  <w:endnote w:id="6">
    <w:p w14:paraId="52564F20" w14:textId="77777777" w:rsidR="0004003B" w:rsidRPr="00975237" w:rsidRDefault="0004003B" w:rsidP="000A139F">
      <w:pPr>
        <w:pStyle w:val="Notedefin"/>
        <w:rPr>
          <w:sz w:val="18"/>
          <w:szCs w:val="18"/>
        </w:rPr>
      </w:pPr>
      <w:r w:rsidRPr="00975237">
        <w:rPr>
          <w:rStyle w:val="Appeldenotedefin"/>
          <w:sz w:val="18"/>
          <w:szCs w:val="18"/>
        </w:rPr>
        <w:endnoteRef/>
      </w:r>
      <w:r w:rsidRPr="00975237">
        <w:rPr>
          <w:sz w:val="18"/>
          <w:szCs w:val="18"/>
        </w:rPr>
        <w:t xml:space="preserve"> </w:t>
      </w:r>
      <w:r w:rsidRPr="00975237">
        <w:rPr>
          <w:bCs/>
          <w:sz w:val="18"/>
          <w:szCs w:val="18"/>
        </w:rPr>
        <w:t>En relación con la educación, la salud, la vivienda, el agua y el saneamiento, la protección social, el trabajo y el empleo, la participación política, el acceso a la justicia y la prevención y la protección contra la violencia.</w:t>
      </w:r>
    </w:p>
  </w:endnote>
  <w:endnote w:id="7">
    <w:p w14:paraId="54266414" w14:textId="77777777" w:rsidR="0004003B" w:rsidRPr="00886F29" w:rsidRDefault="0004003B">
      <w:pPr>
        <w:pStyle w:val="Notedefin"/>
        <w:rPr>
          <w:sz w:val="18"/>
          <w:szCs w:val="18"/>
        </w:rPr>
      </w:pPr>
      <w:r w:rsidRPr="00886F29">
        <w:rPr>
          <w:rStyle w:val="Appeldenotedefin"/>
          <w:sz w:val="18"/>
          <w:szCs w:val="18"/>
        </w:rPr>
        <w:endnoteRef/>
      </w:r>
      <w:r w:rsidRPr="00886F29">
        <w:rPr>
          <w:sz w:val="18"/>
          <w:szCs w:val="18"/>
        </w:rPr>
        <w:t xml:space="preserve"> Esto incluye, por ejemplo, recursos para </w:t>
      </w:r>
      <w:r>
        <w:rPr>
          <w:sz w:val="18"/>
          <w:szCs w:val="18"/>
        </w:rPr>
        <w:t>mantener</w:t>
      </w:r>
      <w:r w:rsidRPr="00886F29">
        <w:rPr>
          <w:sz w:val="18"/>
          <w:szCs w:val="18"/>
        </w:rPr>
        <w:t xml:space="preserve"> procesos de consulta, asegurar que </w:t>
      </w:r>
      <w:r>
        <w:rPr>
          <w:sz w:val="18"/>
          <w:szCs w:val="18"/>
        </w:rPr>
        <w:t xml:space="preserve">las instalaciones, </w:t>
      </w:r>
      <w:r w:rsidRPr="00886F29">
        <w:rPr>
          <w:sz w:val="18"/>
          <w:szCs w:val="18"/>
        </w:rPr>
        <w:t>los equipos</w:t>
      </w:r>
      <w:r>
        <w:rPr>
          <w:sz w:val="18"/>
          <w:szCs w:val="18"/>
        </w:rPr>
        <w:t>, los servicios</w:t>
      </w:r>
      <w:r w:rsidRPr="00886F29">
        <w:rPr>
          <w:sz w:val="18"/>
          <w:szCs w:val="18"/>
        </w:rPr>
        <w:t xml:space="preserve"> y las comunicaciones estén diseñados universalmente</w:t>
      </w:r>
      <w:r>
        <w:rPr>
          <w:sz w:val="18"/>
          <w:szCs w:val="18"/>
        </w:rPr>
        <w:t xml:space="preserve"> y sean accesibles</w:t>
      </w:r>
      <w:r w:rsidRPr="00886F29">
        <w:rPr>
          <w:sz w:val="18"/>
          <w:szCs w:val="18"/>
        </w:rPr>
        <w:t xml:space="preserve">, </w:t>
      </w:r>
      <w:r w:rsidRPr="00A75D9F">
        <w:rPr>
          <w:sz w:val="18"/>
          <w:szCs w:val="18"/>
        </w:rPr>
        <w:t>y deben considerarse todas las fuentes de financiación, incluidos los recursos procedentes de fuentes externas como los programas y proyectos internacionales de desarrollo y cooperación.</w:t>
      </w:r>
    </w:p>
  </w:endnote>
  <w:endnote w:id="8">
    <w:p w14:paraId="5FDA2ADB" w14:textId="77777777" w:rsidR="0004003B" w:rsidRPr="00975237" w:rsidRDefault="0004003B" w:rsidP="00E12649">
      <w:pPr>
        <w:pStyle w:val="Notedefin"/>
        <w:rPr>
          <w:sz w:val="18"/>
          <w:szCs w:val="18"/>
        </w:rPr>
      </w:pPr>
      <w:r w:rsidRPr="00975237">
        <w:rPr>
          <w:rStyle w:val="Appeldenotedefin"/>
          <w:sz w:val="18"/>
          <w:szCs w:val="18"/>
        </w:rPr>
        <w:endnoteRef/>
      </w:r>
      <w:r w:rsidRPr="00975237">
        <w:rPr>
          <w:sz w:val="18"/>
          <w:szCs w:val="18"/>
        </w:rPr>
        <w:t xml:space="preserve"> </w:t>
      </w:r>
      <w:r w:rsidRPr="00A75D9F">
        <w:rPr>
          <w:sz w:val="18"/>
          <w:szCs w:val="18"/>
        </w:rPr>
        <w:t xml:space="preserve">Esto puede incluir programas como los de educación acelerada, formación profesional y otros programas de </w:t>
      </w:r>
      <w:r>
        <w:rPr>
          <w:sz w:val="18"/>
          <w:szCs w:val="18"/>
        </w:rPr>
        <w:t>educación formal y</w:t>
      </w:r>
      <w:r w:rsidRPr="00A75D9F">
        <w:rPr>
          <w:sz w:val="18"/>
          <w:szCs w:val="18"/>
        </w:rPr>
        <w:t xml:space="preserve"> no formal.</w:t>
      </w:r>
    </w:p>
  </w:endnote>
  <w:endnote w:id="9">
    <w:p w14:paraId="4FAAFA5C" w14:textId="77777777" w:rsidR="0004003B" w:rsidRPr="00975237" w:rsidRDefault="0004003B" w:rsidP="00E12649">
      <w:pPr>
        <w:pStyle w:val="Notedefin"/>
        <w:rPr>
          <w:sz w:val="18"/>
          <w:szCs w:val="18"/>
        </w:rPr>
      </w:pPr>
      <w:r w:rsidRPr="00975237">
        <w:rPr>
          <w:rStyle w:val="Appeldenotedefin"/>
          <w:sz w:val="18"/>
          <w:szCs w:val="18"/>
        </w:rPr>
        <w:endnoteRef/>
      </w:r>
      <w:r w:rsidRPr="00975237">
        <w:rPr>
          <w:sz w:val="18"/>
          <w:szCs w:val="18"/>
        </w:rPr>
        <w:t xml:space="preserve"> </w:t>
      </w:r>
      <w:r w:rsidRPr="00975237">
        <w:rPr>
          <w:bCs/>
          <w:sz w:val="18"/>
          <w:szCs w:val="18"/>
        </w:rPr>
        <w:t>Judicial o consuetudinario/informal</w:t>
      </w:r>
    </w:p>
  </w:endnote>
  <w:endnote w:id="10">
    <w:p w14:paraId="6D537D5A" w14:textId="77777777" w:rsidR="0004003B" w:rsidRPr="00975237" w:rsidRDefault="0004003B" w:rsidP="000A139F">
      <w:pPr>
        <w:pStyle w:val="Notedefin"/>
        <w:rPr>
          <w:sz w:val="18"/>
          <w:szCs w:val="18"/>
        </w:rPr>
      </w:pPr>
      <w:r w:rsidRPr="00975237">
        <w:rPr>
          <w:rStyle w:val="Appeldenotedefin"/>
          <w:sz w:val="18"/>
          <w:szCs w:val="18"/>
        </w:rPr>
        <w:endnoteRef/>
      </w:r>
      <w:r w:rsidRPr="00975237">
        <w:rPr>
          <w:sz w:val="18"/>
          <w:szCs w:val="18"/>
        </w:rPr>
        <w:t xml:space="preserve"> incluyendo personal militar y civil, personal de mantenimiento de la paz</w:t>
      </w:r>
      <w:r>
        <w:rPr>
          <w:sz w:val="18"/>
          <w:szCs w:val="18"/>
        </w:rPr>
        <w:t>,</w:t>
      </w:r>
      <w:r w:rsidRPr="00975237">
        <w:rPr>
          <w:sz w:val="18"/>
          <w:szCs w:val="18"/>
        </w:rPr>
        <w:t xml:space="preserve"> </w:t>
      </w:r>
      <w:r w:rsidRPr="00A75D9F">
        <w:rPr>
          <w:sz w:val="18"/>
          <w:szCs w:val="18"/>
        </w:rPr>
        <w:t>administradores de emergencias, personal de primeros auxilios, personal de los mecanismos de coordinación y otros trabajadores sobre el terreno.</w:t>
      </w:r>
    </w:p>
  </w:endnote>
  <w:endnote w:id="11">
    <w:p w14:paraId="36FCCF0C" w14:textId="77777777" w:rsidR="0004003B" w:rsidRPr="00A75D9F" w:rsidRDefault="0004003B" w:rsidP="00A75D9F">
      <w:pPr>
        <w:pStyle w:val="Notedefin"/>
        <w:jc w:val="both"/>
        <w:rPr>
          <w:sz w:val="18"/>
          <w:szCs w:val="18"/>
        </w:rPr>
      </w:pPr>
      <w:r w:rsidRPr="005F6411">
        <w:rPr>
          <w:rStyle w:val="Appeldenotedefin"/>
          <w:sz w:val="18"/>
          <w:szCs w:val="18"/>
        </w:rPr>
        <w:endnoteRef/>
      </w:r>
      <w:r w:rsidRPr="00A75D9F">
        <w:rPr>
          <w:sz w:val="18"/>
          <w:szCs w:val="18"/>
        </w:rPr>
        <w:t xml:space="preserve"> </w:t>
      </w:r>
      <w:r w:rsidRPr="00E469B0">
        <w:rPr>
          <w:sz w:val="18"/>
          <w:szCs w:val="18"/>
        </w:rPr>
        <w:t xml:space="preserve">Este indicador requiere verificar las actividades concretas emprendidas por las autoridades públicas para </w:t>
      </w:r>
      <w:r>
        <w:rPr>
          <w:sz w:val="18"/>
          <w:szCs w:val="18"/>
        </w:rPr>
        <w:t>involucrar</w:t>
      </w:r>
      <w:r w:rsidRPr="00E469B0">
        <w:rPr>
          <w:sz w:val="18"/>
          <w:szCs w:val="18"/>
        </w:rPr>
        <w:t xml:space="preserve"> a las personas con discapacidad en los procesos de adopción de decisiones relacionadas con cuestiones que les afectan directa o indirectamente, de conformidad con el párrafo 3 del artículo 4 de la CDPD y la </w:t>
      </w:r>
      <w:hyperlink r:id="rId6" w:history="1">
        <w:r w:rsidRPr="00882024">
          <w:rPr>
            <w:rStyle w:val="Lienhypertexte"/>
            <w:sz w:val="18"/>
            <w:szCs w:val="18"/>
          </w:rPr>
          <w:t>Observación general Nº 7</w:t>
        </w:r>
      </w:hyperlink>
      <w:r w:rsidRPr="00E469B0">
        <w:rPr>
          <w:sz w:val="18"/>
          <w:szCs w:val="18"/>
        </w:rPr>
        <w:t xml:space="preserve"> del Comité de la CDPD, incluidas las reuniones de consulta, las sesiones informativas técnicas, las encuestas de consulta en línea y las peticiones de observaciones sobre proyectos de legislación y políticas, entre otros métodos y mecanismos de participación. A este respecto, los Estados deben</w:t>
      </w:r>
      <w:r>
        <w:rPr>
          <w:sz w:val="18"/>
          <w:szCs w:val="18"/>
        </w:rPr>
        <w:t>:</w:t>
      </w:r>
    </w:p>
    <w:p w14:paraId="1B9FC1D3" w14:textId="77777777" w:rsidR="0004003B" w:rsidRPr="00E469B0" w:rsidRDefault="0004003B" w:rsidP="00A75D9F">
      <w:pPr>
        <w:pStyle w:val="Notedefin"/>
        <w:numPr>
          <w:ilvl w:val="0"/>
          <w:numId w:val="7"/>
        </w:numPr>
        <w:contextualSpacing/>
        <w:rPr>
          <w:sz w:val="18"/>
          <w:szCs w:val="18"/>
        </w:rPr>
      </w:pPr>
      <w:r w:rsidRPr="00E469B0">
        <w:rPr>
          <w:sz w:val="18"/>
          <w:szCs w:val="18"/>
        </w:rPr>
        <w:t>- garantizar que los procesos de consulta sean transparentes y accesibles;</w:t>
      </w:r>
    </w:p>
    <w:p w14:paraId="5ADB738C" w14:textId="77777777" w:rsidR="0004003B" w:rsidRPr="00E469B0" w:rsidRDefault="0004003B" w:rsidP="00A75D9F">
      <w:pPr>
        <w:pStyle w:val="Notedefin"/>
        <w:numPr>
          <w:ilvl w:val="0"/>
          <w:numId w:val="7"/>
        </w:numPr>
        <w:contextualSpacing/>
        <w:rPr>
          <w:sz w:val="18"/>
          <w:szCs w:val="18"/>
        </w:rPr>
      </w:pPr>
      <w:r w:rsidRPr="00E469B0">
        <w:rPr>
          <w:sz w:val="18"/>
          <w:szCs w:val="18"/>
        </w:rPr>
        <w:t>- asegurar el suministro de información apropiada y accesible;</w:t>
      </w:r>
    </w:p>
    <w:p w14:paraId="2FECAF08" w14:textId="77777777" w:rsidR="0004003B" w:rsidRPr="00E469B0" w:rsidRDefault="0004003B" w:rsidP="00A75D9F">
      <w:pPr>
        <w:pStyle w:val="Notedefin"/>
        <w:numPr>
          <w:ilvl w:val="0"/>
          <w:numId w:val="7"/>
        </w:numPr>
        <w:contextualSpacing/>
        <w:rPr>
          <w:sz w:val="18"/>
          <w:szCs w:val="18"/>
        </w:rPr>
      </w:pPr>
      <w:r w:rsidRPr="00E469B0">
        <w:rPr>
          <w:sz w:val="18"/>
          <w:szCs w:val="18"/>
        </w:rPr>
        <w:t xml:space="preserve">- no </w:t>
      </w:r>
      <w:r>
        <w:rPr>
          <w:sz w:val="18"/>
          <w:szCs w:val="18"/>
        </w:rPr>
        <w:t>retener</w:t>
      </w:r>
      <w:r w:rsidRPr="00E469B0">
        <w:rPr>
          <w:sz w:val="18"/>
          <w:szCs w:val="18"/>
        </w:rPr>
        <w:t xml:space="preserve"> información, condicionar o impedir que las organizaciones de personas con discapacidad expresen libremente sus opiniones;</w:t>
      </w:r>
    </w:p>
    <w:p w14:paraId="26039256" w14:textId="77777777" w:rsidR="0004003B" w:rsidRPr="00E469B0" w:rsidRDefault="0004003B" w:rsidP="00A75D9F">
      <w:pPr>
        <w:pStyle w:val="Notedefin"/>
        <w:numPr>
          <w:ilvl w:val="0"/>
          <w:numId w:val="7"/>
        </w:numPr>
        <w:contextualSpacing/>
        <w:rPr>
          <w:sz w:val="18"/>
          <w:szCs w:val="18"/>
        </w:rPr>
      </w:pPr>
      <w:r w:rsidRPr="00E469B0">
        <w:rPr>
          <w:sz w:val="18"/>
          <w:szCs w:val="18"/>
        </w:rPr>
        <w:t>- incluir tanto a las organizaciones registradas como a las no registradas;</w:t>
      </w:r>
    </w:p>
    <w:p w14:paraId="7211AB35" w14:textId="77777777" w:rsidR="0004003B" w:rsidRPr="00E469B0" w:rsidRDefault="0004003B" w:rsidP="00A75D9F">
      <w:pPr>
        <w:pStyle w:val="Notedefin"/>
        <w:numPr>
          <w:ilvl w:val="0"/>
          <w:numId w:val="7"/>
        </w:numPr>
        <w:contextualSpacing/>
        <w:rPr>
          <w:sz w:val="18"/>
          <w:szCs w:val="18"/>
        </w:rPr>
      </w:pPr>
      <w:r w:rsidRPr="00E469B0">
        <w:rPr>
          <w:sz w:val="18"/>
          <w:szCs w:val="18"/>
        </w:rPr>
        <w:t>- asegurar la participación temprana y continua;</w:t>
      </w:r>
    </w:p>
    <w:p w14:paraId="2AE1F269" w14:textId="77777777" w:rsidR="0004003B" w:rsidRPr="00A75D9F" w:rsidRDefault="0004003B" w:rsidP="00A75D9F">
      <w:pPr>
        <w:pStyle w:val="Notedefin"/>
        <w:numPr>
          <w:ilvl w:val="0"/>
          <w:numId w:val="7"/>
        </w:numPr>
        <w:contextualSpacing/>
        <w:rPr>
          <w:sz w:val="18"/>
          <w:szCs w:val="18"/>
        </w:rPr>
      </w:pPr>
      <w:r w:rsidRPr="00E469B0">
        <w:rPr>
          <w:sz w:val="18"/>
          <w:szCs w:val="18"/>
        </w:rPr>
        <w:t>- cubrir los gastos conexos de los participantes.</w:t>
      </w:r>
    </w:p>
  </w:endnote>
  <w:endnote w:id="12">
    <w:p w14:paraId="391D7E30" w14:textId="77777777" w:rsidR="0004003B" w:rsidRPr="00E469B0" w:rsidRDefault="0004003B" w:rsidP="00A75D9F">
      <w:pPr>
        <w:pStyle w:val="Notedefin"/>
        <w:rPr>
          <w:sz w:val="18"/>
          <w:szCs w:val="18"/>
        </w:rPr>
      </w:pPr>
      <w:r w:rsidRPr="005F6411">
        <w:rPr>
          <w:rStyle w:val="Appeldenotedefin"/>
          <w:sz w:val="18"/>
          <w:szCs w:val="18"/>
        </w:rPr>
        <w:endnoteRef/>
      </w:r>
      <w:r w:rsidRPr="00A75D9F">
        <w:rPr>
          <w:sz w:val="18"/>
          <w:szCs w:val="18"/>
        </w:rPr>
        <w:t xml:space="preserve"> </w:t>
      </w:r>
      <w:r w:rsidRPr="00E469B0">
        <w:rPr>
          <w:sz w:val="18"/>
          <w:szCs w:val="18"/>
        </w:rPr>
        <w:t xml:space="preserve">Véase el sitio web de la Dependencia de Vivienda para Refugiados del ACNUR en https://www.unhcr.org/refugee-housing-unit.html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0C61A" w14:textId="77777777" w:rsidR="000164E5" w:rsidRDefault="000164E5" w:rsidP="000757E5">
      <w:pPr>
        <w:spacing w:after="0" w:line="240" w:lineRule="auto"/>
      </w:pPr>
      <w:r>
        <w:separator/>
      </w:r>
    </w:p>
  </w:footnote>
  <w:footnote w:type="continuationSeparator" w:id="0">
    <w:p w14:paraId="162C0E73" w14:textId="77777777" w:rsidR="000164E5" w:rsidRDefault="000164E5" w:rsidP="00075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72C4D"/>
    <w:multiLevelType w:val="hybridMultilevel"/>
    <w:tmpl w:val="1A36F92C"/>
    <w:lvl w:ilvl="0" w:tplc="9C7E35D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7CA33E2"/>
    <w:multiLevelType w:val="multilevel"/>
    <w:tmpl w:val="30A0F42C"/>
    <w:lvl w:ilvl="0">
      <w:start w:val="11"/>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CA5218"/>
    <w:multiLevelType w:val="hybridMultilevel"/>
    <w:tmpl w:val="1A36F92C"/>
    <w:lvl w:ilvl="0" w:tplc="9C7E35D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D714D93"/>
    <w:multiLevelType w:val="hybridMultilevel"/>
    <w:tmpl w:val="3208BD32"/>
    <w:lvl w:ilvl="0" w:tplc="6A22FA1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21EB4"/>
    <w:multiLevelType w:val="hybridMultilevel"/>
    <w:tmpl w:val="1A36F92C"/>
    <w:lvl w:ilvl="0" w:tplc="9C7E35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6644D2"/>
    <w:multiLevelType w:val="hybridMultilevel"/>
    <w:tmpl w:val="98F0DE14"/>
    <w:lvl w:ilvl="0" w:tplc="3842AB1A">
      <w:start w:val="1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491E53"/>
    <w:multiLevelType w:val="hybridMultilevel"/>
    <w:tmpl w:val="2EB4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0"/>
  </w:num>
  <w:num w:numId="6">
    <w:abstractNumId w:val="3"/>
  </w:num>
  <w:num w:numId="7">
    <w:abstractNumId w:val="6"/>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4D"/>
    <w:rsid w:val="00003141"/>
    <w:rsid w:val="00005D72"/>
    <w:rsid w:val="000164E5"/>
    <w:rsid w:val="00036DE8"/>
    <w:rsid w:val="0004003B"/>
    <w:rsid w:val="00041854"/>
    <w:rsid w:val="00050457"/>
    <w:rsid w:val="000757E5"/>
    <w:rsid w:val="00081BB6"/>
    <w:rsid w:val="00083D92"/>
    <w:rsid w:val="000863FC"/>
    <w:rsid w:val="00093346"/>
    <w:rsid w:val="00093973"/>
    <w:rsid w:val="000A139F"/>
    <w:rsid w:val="000B5832"/>
    <w:rsid w:val="000C2309"/>
    <w:rsid w:val="000E0404"/>
    <w:rsid w:val="000F4778"/>
    <w:rsid w:val="0011088C"/>
    <w:rsid w:val="0011680F"/>
    <w:rsid w:val="00123B49"/>
    <w:rsid w:val="001508CF"/>
    <w:rsid w:val="001618BB"/>
    <w:rsid w:val="0017456C"/>
    <w:rsid w:val="00184586"/>
    <w:rsid w:val="00195369"/>
    <w:rsid w:val="001A15F2"/>
    <w:rsid w:val="001B131F"/>
    <w:rsid w:val="001B7C8B"/>
    <w:rsid w:val="001D019B"/>
    <w:rsid w:val="001D3344"/>
    <w:rsid w:val="001E77B2"/>
    <w:rsid w:val="00213EC0"/>
    <w:rsid w:val="00232ACE"/>
    <w:rsid w:val="002402B7"/>
    <w:rsid w:val="002528A7"/>
    <w:rsid w:val="002560DB"/>
    <w:rsid w:val="0026250B"/>
    <w:rsid w:val="00265B41"/>
    <w:rsid w:val="002661B3"/>
    <w:rsid w:val="00267165"/>
    <w:rsid w:val="00274A29"/>
    <w:rsid w:val="00275CE2"/>
    <w:rsid w:val="002807C1"/>
    <w:rsid w:val="0028662B"/>
    <w:rsid w:val="00290AA4"/>
    <w:rsid w:val="00292CC6"/>
    <w:rsid w:val="00292E97"/>
    <w:rsid w:val="0029329E"/>
    <w:rsid w:val="002952D0"/>
    <w:rsid w:val="00297397"/>
    <w:rsid w:val="002A674D"/>
    <w:rsid w:val="002C43BC"/>
    <w:rsid w:val="002C61DB"/>
    <w:rsid w:val="002D3AB3"/>
    <w:rsid w:val="00315C4F"/>
    <w:rsid w:val="003248FE"/>
    <w:rsid w:val="003423B3"/>
    <w:rsid w:val="00343C40"/>
    <w:rsid w:val="0034416E"/>
    <w:rsid w:val="003476FF"/>
    <w:rsid w:val="00352ED1"/>
    <w:rsid w:val="00364ED1"/>
    <w:rsid w:val="003804A1"/>
    <w:rsid w:val="00391152"/>
    <w:rsid w:val="003A4C08"/>
    <w:rsid w:val="003A7BC7"/>
    <w:rsid w:val="003B38D2"/>
    <w:rsid w:val="003C1A92"/>
    <w:rsid w:val="003C61FC"/>
    <w:rsid w:val="003F2D20"/>
    <w:rsid w:val="00414FF8"/>
    <w:rsid w:val="004210DB"/>
    <w:rsid w:val="00432E56"/>
    <w:rsid w:val="00445C75"/>
    <w:rsid w:val="00452B3F"/>
    <w:rsid w:val="00454AED"/>
    <w:rsid w:val="004573B7"/>
    <w:rsid w:val="00461929"/>
    <w:rsid w:val="00463B49"/>
    <w:rsid w:val="004767B6"/>
    <w:rsid w:val="004827E1"/>
    <w:rsid w:val="00484E1A"/>
    <w:rsid w:val="004855ED"/>
    <w:rsid w:val="004A4E0F"/>
    <w:rsid w:val="004B06AD"/>
    <w:rsid w:val="004C4AAB"/>
    <w:rsid w:val="004C633E"/>
    <w:rsid w:val="004F347D"/>
    <w:rsid w:val="004F6681"/>
    <w:rsid w:val="0050235A"/>
    <w:rsid w:val="005107B3"/>
    <w:rsid w:val="0051282C"/>
    <w:rsid w:val="005245A4"/>
    <w:rsid w:val="005324F8"/>
    <w:rsid w:val="00543071"/>
    <w:rsid w:val="00564D10"/>
    <w:rsid w:val="005661D7"/>
    <w:rsid w:val="005711C2"/>
    <w:rsid w:val="005711C8"/>
    <w:rsid w:val="0057256E"/>
    <w:rsid w:val="005746E5"/>
    <w:rsid w:val="005B7C7B"/>
    <w:rsid w:val="005F08FA"/>
    <w:rsid w:val="005F0A72"/>
    <w:rsid w:val="005F7B04"/>
    <w:rsid w:val="00624640"/>
    <w:rsid w:val="00630640"/>
    <w:rsid w:val="00630F9C"/>
    <w:rsid w:val="0065128E"/>
    <w:rsid w:val="00672BD2"/>
    <w:rsid w:val="00676E16"/>
    <w:rsid w:val="00682908"/>
    <w:rsid w:val="00683C18"/>
    <w:rsid w:val="006862A6"/>
    <w:rsid w:val="0069510C"/>
    <w:rsid w:val="006961E9"/>
    <w:rsid w:val="006C486F"/>
    <w:rsid w:val="006D7A7F"/>
    <w:rsid w:val="00707215"/>
    <w:rsid w:val="00713236"/>
    <w:rsid w:val="00720ED6"/>
    <w:rsid w:val="00721779"/>
    <w:rsid w:val="00722558"/>
    <w:rsid w:val="00725B84"/>
    <w:rsid w:val="00744552"/>
    <w:rsid w:val="0075465E"/>
    <w:rsid w:val="0075514D"/>
    <w:rsid w:val="00774187"/>
    <w:rsid w:val="0078353A"/>
    <w:rsid w:val="007844C8"/>
    <w:rsid w:val="007849A0"/>
    <w:rsid w:val="007A1437"/>
    <w:rsid w:val="007C0C83"/>
    <w:rsid w:val="007D242C"/>
    <w:rsid w:val="007F74FA"/>
    <w:rsid w:val="008025DA"/>
    <w:rsid w:val="00817989"/>
    <w:rsid w:val="0084215C"/>
    <w:rsid w:val="00855643"/>
    <w:rsid w:val="00867574"/>
    <w:rsid w:val="00877C0A"/>
    <w:rsid w:val="00882024"/>
    <w:rsid w:val="00886F29"/>
    <w:rsid w:val="008930FC"/>
    <w:rsid w:val="008966DC"/>
    <w:rsid w:val="008B0995"/>
    <w:rsid w:val="008C22A0"/>
    <w:rsid w:val="008C2BB8"/>
    <w:rsid w:val="008C3B6D"/>
    <w:rsid w:val="008E5155"/>
    <w:rsid w:val="008F08B7"/>
    <w:rsid w:val="00914436"/>
    <w:rsid w:val="00936D07"/>
    <w:rsid w:val="00936F40"/>
    <w:rsid w:val="00975237"/>
    <w:rsid w:val="009801E8"/>
    <w:rsid w:val="00986393"/>
    <w:rsid w:val="009A0233"/>
    <w:rsid w:val="009E054F"/>
    <w:rsid w:val="009F4A00"/>
    <w:rsid w:val="00A26075"/>
    <w:rsid w:val="00A32118"/>
    <w:rsid w:val="00A32722"/>
    <w:rsid w:val="00A5462B"/>
    <w:rsid w:val="00A62CC2"/>
    <w:rsid w:val="00A75D9F"/>
    <w:rsid w:val="00A77CD8"/>
    <w:rsid w:val="00A8547C"/>
    <w:rsid w:val="00AA27A9"/>
    <w:rsid w:val="00AA499B"/>
    <w:rsid w:val="00AD1A71"/>
    <w:rsid w:val="00AD68DD"/>
    <w:rsid w:val="00AE3A8D"/>
    <w:rsid w:val="00AE5FD9"/>
    <w:rsid w:val="00AF5E51"/>
    <w:rsid w:val="00B076B7"/>
    <w:rsid w:val="00B103F5"/>
    <w:rsid w:val="00B15309"/>
    <w:rsid w:val="00B173C2"/>
    <w:rsid w:val="00B204F4"/>
    <w:rsid w:val="00B3623D"/>
    <w:rsid w:val="00B544E7"/>
    <w:rsid w:val="00B60F6C"/>
    <w:rsid w:val="00B639BF"/>
    <w:rsid w:val="00BA5470"/>
    <w:rsid w:val="00BB19AB"/>
    <w:rsid w:val="00BD05E8"/>
    <w:rsid w:val="00BD5737"/>
    <w:rsid w:val="00BE46A0"/>
    <w:rsid w:val="00BE7281"/>
    <w:rsid w:val="00BF2F89"/>
    <w:rsid w:val="00BF4EB8"/>
    <w:rsid w:val="00C021A4"/>
    <w:rsid w:val="00C074E4"/>
    <w:rsid w:val="00C16CDA"/>
    <w:rsid w:val="00C44D51"/>
    <w:rsid w:val="00C47FC6"/>
    <w:rsid w:val="00C50798"/>
    <w:rsid w:val="00C57507"/>
    <w:rsid w:val="00C778EC"/>
    <w:rsid w:val="00C837B7"/>
    <w:rsid w:val="00C85C2D"/>
    <w:rsid w:val="00CA4292"/>
    <w:rsid w:val="00CA7F6A"/>
    <w:rsid w:val="00CB3521"/>
    <w:rsid w:val="00CC37D3"/>
    <w:rsid w:val="00CC4B47"/>
    <w:rsid w:val="00CC5DA0"/>
    <w:rsid w:val="00CC7932"/>
    <w:rsid w:val="00CD1D4D"/>
    <w:rsid w:val="00CD1F54"/>
    <w:rsid w:val="00CD66CA"/>
    <w:rsid w:val="00D14C44"/>
    <w:rsid w:val="00D1627E"/>
    <w:rsid w:val="00D17776"/>
    <w:rsid w:val="00D206B7"/>
    <w:rsid w:val="00D402DD"/>
    <w:rsid w:val="00D40FCF"/>
    <w:rsid w:val="00D463B2"/>
    <w:rsid w:val="00D623A7"/>
    <w:rsid w:val="00D627F0"/>
    <w:rsid w:val="00D67D93"/>
    <w:rsid w:val="00D7107D"/>
    <w:rsid w:val="00DB44A8"/>
    <w:rsid w:val="00DC5283"/>
    <w:rsid w:val="00E051AC"/>
    <w:rsid w:val="00E06036"/>
    <w:rsid w:val="00E12649"/>
    <w:rsid w:val="00E24F39"/>
    <w:rsid w:val="00E465E1"/>
    <w:rsid w:val="00E469B0"/>
    <w:rsid w:val="00E50C73"/>
    <w:rsid w:val="00E559C4"/>
    <w:rsid w:val="00E55FD9"/>
    <w:rsid w:val="00E707A4"/>
    <w:rsid w:val="00E70E47"/>
    <w:rsid w:val="00E741AB"/>
    <w:rsid w:val="00E76DDC"/>
    <w:rsid w:val="00E94C21"/>
    <w:rsid w:val="00EA0704"/>
    <w:rsid w:val="00EA2415"/>
    <w:rsid w:val="00EA79CC"/>
    <w:rsid w:val="00EB5F81"/>
    <w:rsid w:val="00EB7ACB"/>
    <w:rsid w:val="00ED2213"/>
    <w:rsid w:val="00ED4BEB"/>
    <w:rsid w:val="00ED7C26"/>
    <w:rsid w:val="00EE2127"/>
    <w:rsid w:val="00EE49FC"/>
    <w:rsid w:val="00EF60F2"/>
    <w:rsid w:val="00EF7449"/>
    <w:rsid w:val="00F32414"/>
    <w:rsid w:val="00F345E3"/>
    <w:rsid w:val="00F5179B"/>
    <w:rsid w:val="00F61AFC"/>
    <w:rsid w:val="00F93114"/>
    <w:rsid w:val="00F9338B"/>
    <w:rsid w:val="00F96FA8"/>
    <w:rsid w:val="00FD0C47"/>
    <w:rsid w:val="00FE0D27"/>
    <w:rsid w:val="00FE1895"/>
    <w:rsid w:val="00FF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6EA9"/>
  <w15:docId w15:val="{1E8BC245-D600-435B-A76A-341C7A01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60F2"/>
    <w:pPr>
      <w:ind w:left="720"/>
      <w:contextualSpacing/>
    </w:pPr>
  </w:style>
  <w:style w:type="character" w:styleId="Lienhypertexte">
    <w:name w:val="Hyperlink"/>
    <w:basedOn w:val="Policepardfaut"/>
    <w:uiPriority w:val="99"/>
    <w:unhideWhenUsed/>
    <w:rsid w:val="008C22A0"/>
    <w:rPr>
      <w:color w:val="0000FF" w:themeColor="hyperlink"/>
      <w:u w:val="single"/>
    </w:rPr>
  </w:style>
  <w:style w:type="character" w:styleId="Lienhypertextesuivivisit">
    <w:name w:val="FollowedHyperlink"/>
    <w:basedOn w:val="Policepardfaut"/>
    <w:uiPriority w:val="99"/>
    <w:semiHidden/>
    <w:unhideWhenUsed/>
    <w:rsid w:val="003A7BC7"/>
    <w:rPr>
      <w:color w:val="800080" w:themeColor="followedHyperlink"/>
      <w:u w:val="single"/>
    </w:rPr>
  </w:style>
  <w:style w:type="paragraph" w:styleId="En-tte">
    <w:name w:val="header"/>
    <w:basedOn w:val="Normal"/>
    <w:link w:val="En-tteCar"/>
    <w:uiPriority w:val="99"/>
    <w:unhideWhenUsed/>
    <w:rsid w:val="000757E5"/>
    <w:pPr>
      <w:tabs>
        <w:tab w:val="center" w:pos="4513"/>
        <w:tab w:val="right" w:pos="9026"/>
      </w:tabs>
      <w:spacing w:after="0" w:line="240" w:lineRule="auto"/>
    </w:pPr>
  </w:style>
  <w:style w:type="character" w:customStyle="1" w:styleId="En-tteCar">
    <w:name w:val="En-tête Car"/>
    <w:basedOn w:val="Policepardfaut"/>
    <w:link w:val="En-tte"/>
    <w:uiPriority w:val="99"/>
    <w:rsid w:val="000757E5"/>
  </w:style>
  <w:style w:type="paragraph" w:styleId="Pieddepage">
    <w:name w:val="footer"/>
    <w:basedOn w:val="Normal"/>
    <w:link w:val="PieddepageCar"/>
    <w:uiPriority w:val="99"/>
    <w:unhideWhenUsed/>
    <w:rsid w:val="000757E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757E5"/>
  </w:style>
  <w:style w:type="paragraph" w:styleId="Textedebulles">
    <w:name w:val="Balloon Text"/>
    <w:basedOn w:val="Normal"/>
    <w:link w:val="TextedebullesCar"/>
    <w:uiPriority w:val="99"/>
    <w:semiHidden/>
    <w:unhideWhenUsed/>
    <w:rsid w:val="00D162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627E"/>
    <w:rPr>
      <w:rFonts w:ascii="Tahoma" w:hAnsi="Tahoma" w:cs="Tahoma"/>
      <w:sz w:val="16"/>
      <w:szCs w:val="16"/>
    </w:rPr>
  </w:style>
  <w:style w:type="character" w:styleId="Marquedecommentaire">
    <w:name w:val="annotation reference"/>
    <w:basedOn w:val="Policepardfaut"/>
    <w:uiPriority w:val="99"/>
    <w:semiHidden/>
    <w:unhideWhenUsed/>
    <w:rsid w:val="00D1627E"/>
    <w:rPr>
      <w:sz w:val="16"/>
      <w:szCs w:val="16"/>
    </w:rPr>
  </w:style>
  <w:style w:type="paragraph" w:styleId="Commentaire">
    <w:name w:val="annotation text"/>
    <w:basedOn w:val="Normal"/>
    <w:link w:val="CommentaireCar"/>
    <w:uiPriority w:val="99"/>
    <w:unhideWhenUsed/>
    <w:rsid w:val="00D1627E"/>
    <w:pPr>
      <w:spacing w:line="240" w:lineRule="auto"/>
    </w:pPr>
    <w:rPr>
      <w:sz w:val="20"/>
      <w:szCs w:val="20"/>
    </w:rPr>
  </w:style>
  <w:style w:type="character" w:customStyle="1" w:styleId="CommentaireCar">
    <w:name w:val="Commentaire Car"/>
    <w:basedOn w:val="Policepardfaut"/>
    <w:link w:val="Commentaire"/>
    <w:uiPriority w:val="99"/>
    <w:rsid w:val="00D1627E"/>
    <w:rPr>
      <w:sz w:val="20"/>
      <w:szCs w:val="20"/>
    </w:rPr>
  </w:style>
  <w:style w:type="paragraph" w:styleId="Objetducommentaire">
    <w:name w:val="annotation subject"/>
    <w:basedOn w:val="Commentaire"/>
    <w:next w:val="Commentaire"/>
    <w:link w:val="ObjetducommentaireCar"/>
    <w:uiPriority w:val="99"/>
    <w:semiHidden/>
    <w:unhideWhenUsed/>
    <w:rsid w:val="00D1627E"/>
    <w:rPr>
      <w:b/>
      <w:bCs/>
    </w:rPr>
  </w:style>
  <w:style w:type="character" w:customStyle="1" w:styleId="ObjetducommentaireCar">
    <w:name w:val="Objet du commentaire Car"/>
    <w:basedOn w:val="CommentaireCar"/>
    <w:link w:val="Objetducommentaire"/>
    <w:uiPriority w:val="99"/>
    <w:semiHidden/>
    <w:rsid w:val="00D1627E"/>
    <w:rPr>
      <w:b/>
      <w:bCs/>
      <w:sz w:val="20"/>
      <w:szCs w:val="20"/>
    </w:rPr>
  </w:style>
  <w:style w:type="table" w:styleId="Grilledutableau">
    <w:name w:val="Table Grid"/>
    <w:basedOn w:val="TableauNormal"/>
    <w:uiPriority w:val="59"/>
    <w:rsid w:val="00A26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unhideWhenUsed/>
    <w:rsid w:val="00454AED"/>
    <w:pPr>
      <w:spacing w:after="0" w:line="240" w:lineRule="auto"/>
    </w:pPr>
    <w:rPr>
      <w:sz w:val="20"/>
      <w:szCs w:val="20"/>
    </w:rPr>
  </w:style>
  <w:style w:type="character" w:customStyle="1" w:styleId="NotedefinCar">
    <w:name w:val="Note de fin Car"/>
    <w:basedOn w:val="Policepardfaut"/>
    <w:link w:val="Notedefin"/>
    <w:uiPriority w:val="99"/>
    <w:rsid w:val="00454AED"/>
    <w:rPr>
      <w:sz w:val="20"/>
      <w:szCs w:val="20"/>
    </w:rPr>
  </w:style>
  <w:style w:type="character" w:styleId="Appeldenotedefin">
    <w:name w:val="endnote reference"/>
    <w:basedOn w:val="Policepardfaut"/>
    <w:uiPriority w:val="99"/>
    <w:unhideWhenUsed/>
    <w:rsid w:val="00454AED"/>
    <w:rPr>
      <w:vertAlign w:val="superscript"/>
    </w:rPr>
  </w:style>
  <w:style w:type="paragraph" w:styleId="Rvision">
    <w:name w:val="Revision"/>
    <w:hidden/>
    <w:uiPriority w:val="99"/>
    <w:semiHidden/>
    <w:rsid w:val="00F96FA8"/>
    <w:pPr>
      <w:spacing w:after="0" w:line="240" w:lineRule="auto"/>
    </w:pPr>
  </w:style>
  <w:style w:type="paragraph" w:styleId="Notedebasdepage">
    <w:name w:val="footnote text"/>
    <w:basedOn w:val="Normal"/>
    <w:link w:val="NotedebasdepageCar"/>
    <w:uiPriority w:val="99"/>
    <w:semiHidden/>
    <w:unhideWhenUsed/>
    <w:rsid w:val="00D463B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63B2"/>
    <w:rPr>
      <w:sz w:val="20"/>
      <w:szCs w:val="20"/>
    </w:rPr>
  </w:style>
  <w:style w:type="character" w:styleId="Appelnotedebasdep">
    <w:name w:val="footnote reference"/>
    <w:basedOn w:val="Policepardfaut"/>
    <w:uiPriority w:val="99"/>
    <w:semiHidden/>
    <w:unhideWhenUsed/>
    <w:rsid w:val="00D463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2423">
      <w:bodyDiv w:val="1"/>
      <w:marLeft w:val="0"/>
      <w:marRight w:val="0"/>
      <w:marTop w:val="0"/>
      <w:marBottom w:val="0"/>
      <w:divBdr>
        <w:top w:val="none" w:sz="0" w:space="0" w:color="auto"/>
        <w:left w:val="none" w:sz="0" w:space="0" w:color="auto"/>
        <w:bottom w:val="none" w:sz="0" w:space="0" w:color="auto"/>
        <w:right w:val="none" w:sz="0" w:space="0" w:color="auto"/>
      </w:divBdr>
      <w:divsChild>
        <w:div w:id="619990587">
          <w:marLeft w:val="0"/>
          <w:marRight w:val="0"/>
          <w:marTop w:val="0"/>
          <w:marBottom w:val="0"/>
          <w:divBdr>
            <w:top w:val="none" w:sz="0" w:space="0" w:color="auto"/>
            <w:left w:val="none" w:sz="0" w:space="0" w:color="auto"/>
            <w:bottom w:val="none" w:sz="0" w:space="0" w:color="auto"/>
            <w:right w:val="none" w:sz="0" w:space="0" w:color="auto"/>
          </w:divBdr>
        </w:div>
        <w:div w:id="1137719105">
          <w:marLeft w:val="0"/>
          <w:marRight w:val="0"/>
          <w:marTop w:val="0"/>
          <w:marBottom w:val="0"/>
          <w:divBdr>
            <w:top w:val="none" w:sz="0" w:space="0" w:color="auto"/>
            <w:left w:val="none" w:sz="0" w:space="0" w:color="auto"/>
            <w:bottom w:val="none" w:sz="0" w:space="0" w:color="auto"/>
            <w:right w:val="none" w:sz="0" w:space="0" w:color="auto"/>
          </w:divBdr>
        </w:div>
        <w:div w:id="1644697902">
          <w:marLeft w:val="0"/>
          <w:marRight w:val="0"/>
          <w:marTop w:val="0"/>
          <w:marBottom w:val="0"/>
          <w:divBdr>
            <w:top w:val="none" w:sz="0" w:space="0" w:color="auto"/>
            <w:left w:val="none" w:sz="0" w:space="0" w:color="auto"/>
            <w:bottom w:val="none" w:sz="0" w:space="0" w:color="auto"/>
            <w:right w:val="none" w:sz="0" w:space="0" w:color="auto"/>
          </w:divBdr>
        </w:div>
        <w:div w:id="66807368">
          <w:marLeft w:val="0"/>
          <w:marRight w:val="0"/>
          <w:marTop w:val="0"/>
          <w:marBottom w:val="0"/>
          <w:divBdr>
            <w:top w:val="none" w:sz="0" w:space="0" w:color="auto"/>
            <w:left w:val="none" w:sz="0" w:space="0" w:color="auto"/>
            <w:bottom w:val="none" w:sz="0" w:space="0" w:color="auto"/>
            <w:right w:val="none" w:sz="0" w:space="0" w:color="auto"/>
          </w:divBdr>
        </w:div>
        <w:div w:id="156577772">
          <w:marLeft w:val="0"/>
          <w:marRight w:val="0"/>
          <w:marTop w:val="0"/>
          <w:marBottom w:val="0"/>
          <w:divBdr>
            <w:top w:val="none" w:sz="0" w:space="0" w:color="auto"/>
            <w:left w:val="none" w:sz="0" w:space="0" w:color="auto"/>
            <w:bottom w:val="none" w:sz="0" w:space="0" w:color="auto"/>
            <w:right w:val="none" w:sz="0" w:space="0" w:color="auto"/>
          </w:divBdr>
        </w:div>
        <w:div w:id="2085104526">
          <w:marLeft w:val="0"/>
          <w:marRight w:val="0"/>
          <w:marTop w:val="0"/>
          <w:marBottom w:val="0"/>
          <w:divBdr>
            <w:top w:val="none" w:sz="0" w:space="0" w:color="auto"/>
            <w:left w:val="none" w:sz="0" w:space="0" w:color="auto"/>
            <w:bottom w:val="none" w:sz="0" w:space="0" w:color="auto"/>
            <w:right w:val="none" w:sz="0" w:space="0" w:color="auto"/>
          </w:divBdr>
        </w:div>
        <w:div w:id="84159640">
          <w:marLeft w:val="0"/>
          <w:marRight w:val="0"/>
          <w:marTop w:val="0"/>
          <w:marBottom w:val="0"/>
          <w:divBdr>
            <w:top w:val="none" w:sz="0" w:space="0" w:color="auto"/>
            <w:left w:val="none" w:sz="0" w:space="0" w:color="auto"/>
            <w:bottom w:val="none" w:sz="0" w:space="0" w:color="auto"/>
            <w:right w:val="none" w:sz="0" w:space="0" w:color="auto"/>
          </w:divBdr>
        </w:div>
        <w:div w:id="1657609582">
          <w:marLeft w:val="0"/>
          <w:marRight w:val="0"/>
          <w:marTop w:val="0"/>
          <w:marBottom w:val="0"/>
          <w:divBdr>
            <w:top w:val="none" w:sz="0" w:space="0" w:color="auto"/>
            <w:left w:val="none" w:sz="0" w:space="0" w:color="auto"/>
            <w:bottom w:val="none" w:sz="0" w:space="0" w:color="auto"/>
            <w:right w:val="none" w:sz="0" w:space="0" w:color="auto"/>
          </w:divBdr>
        </w:div>
        <w:div w:id="88476028">
          <w:marLeft w:val="0"/>
          <w:marRight w:val="0"/>
          <w:marTop w:val="0"/>
          <w:marBottom w:val="0"/>
          <w:divBdr>
            <w:top w:val="none" w:sz="0" w:space="0" w:color="auto"/>
            <w:left w:val="none" w:sz="0" w:space="0" w:color="auto"/>
            <w:bottom w:val="none" w:sz="0" w:space="0" w:color="auto"/>
            <w:right w:val="none" w:sz="0" w:space="0" w:color="auto"/>
          </w:divBdr>
        </w:div>
        <w:div w:id="1553269240">
          <w:marLeft w:val="0"/>
          <w:marRight w:val="0"/>
          <w:marTop w:val="0"/>
          <w:marBottom w:val="0"/>
          <w:divBdr>
            <w:top w:val="none" w:sz="0" w:space="0" w:color="auto"/>
            <w:left w:val="none" w:sz="0" w:space="0" w:color="auto"/>
            <w:bottom w:val="none" w:sz="0" w:space="0" w:color="auto"/>
            <w:right w:val="none" w:sz="0" w:space="0" w:color="auto"/>
          </w:divBdr>
        </w:div>
        <w:div w:id="388967225">
          <w:marLeft w:val="0"/>
          <w:marRight w:val="0"/>
          <w:marTop w:val="0"/>
          <w:marBottom w:val="0"/>
          <w:divBdr>
            <w:top w:val="none" w:sz="0" w:space="0" w:color="auto"/>
            <w:left w:val="none" w:sz="0" w:space="0" w:color="auto"/>
            <w:bottom w:val="none" w:sz="0" w:space="0" w:color="auto"/>
            <w:right w:val="none" w:sz="0" w:space="0" w:color="auto"/>
          </w:divBdr>
        </w:div>
        <w:div w:id="1225413334">
          <w:marLeft w:val="0"/>
          <w:marRight w:val="0"/>
          <w:marTop w:val="0"/>
          <w:marBottom w:val="0"/>
          <w:divBdr>
            <w:top w:val="none" w:sz="0" w:space="0" w:color="auto"/>
            <w:left w:val="none" w:sz="0" w:space="0" w:color="auto"/>
            <w:bottom w:val="none" w:sz="0" w:space="0" w:color="auto"/>
            <w:right w:val="none" w:sz="0" w:space="0" w:color="auto"/>
          </w:divBdr>
        </w:div>
        <w:div w:id="3627570">
          <w:marLeft w:val="0"/>
          <w:marRight w:val="0"/>
          <w:marTop w:val="0"/>
          <w:marBottom w:val="0"/>
          <w:divBdr>
            <w:top w:val="none" w:sz="0" w:space="0" w:color="auto"/>
            <w:left w:val="none" w:sz="0" w:space="0" w:color="auto"/>
            <w:bottom w:val="none" w:sz="0" w:space="0" w:color="auto"/>
            <w:right w:val="none" w:sz="0" w:space="0" w:color="auto"/>
          </w:divBdr>
        </w:div>
        <w:div w:id="1155532995">
          <w:marLeft w:val="0"/>
          <w:marRight w:val="0"/>
          <w:marTop w:val="0"/>
          <w:marBottom w:val="0"/>
          <w:divBdr>
            <w:top w:val="none" w:sz="0" w:space="0" w:color="auto"/>
            <w:left w:val="none" w:sz="0" w:space="0" w:color="auto"/>
            <w:bottom w:val="none" w:sz="0" w:space="0" w:color="auto"/>
            <w:right w:val="none" w:sz="0" w:space="0" w:color="auto"/>
          </w:divBdr>
        </w:div>
        <w:div w:id="534849740">
          <w:marLeft w:val="0"/>
          <w:marRight w:val="0"/>
          <w:marTop w:val="0"/>
          <w:marBottom w:val="0"/>
          <w:divBdr>
            <w:top w:val="none" w:sz="0" w:space="0" w:color="auto"/>
            <w:left w:val="none" w:sz="0" w:space="0" w:color="auto"/>
            <w:bottom w:val="none" w:sz="0" w:space="0" w:color="auto"/>
            <w:right w:val="none" w:sz="0" w:space="0" w:color="auto"/>
          </w:divBdr>
        </w:div>
        <w:div w:id="727873393">
          <w:marLeft w:val="0"/>
          <w:marRight w:val="0"/>
          <w:marTop w:val="0"/>
          <w:marBottom w:val="0"/>
          <w:divBdr>
            <w:top w:val="none" w:sz="0" w:space="0" w:color="auto"/>
            <w:left w:val="none" w:sz="0" w:space="0" w:color="auto"/>
            <w:bottom w:val="none" w:sz="0" w:space="0" w:color="auto"/>
            <w:right w:val="none" w:sz="0" w:space="0" w:color="auto"/>
          </w:divBdr>
        </w:div>
        <w:div w:id="1663657671">
          <w:marLeft w:val="0"/>
          <w:marRight w:val="0"/>
          <w:marTop w:val="0"/>
          <w:marBottom w:val="0"/>
          <w:divBdr>
            <w:top w:val="none" w:sz="0" w:space="0" w:color="auto"/>
            <w:left w:val="none" w:sz="0" w:space="0" w:color="auto"/>
            <w:bottom w:val="none" w:sz="0" w:space="0" w:color="auto"/>
            <w:right w:val="none" w:sz="0" w:space="0" w:color="auto"/>
          </w:divBdr>
        </w:div>
        <w:div w:id="116147374">
          <w:marLeft w:val="0"/>
          <w:marRight w:val="0"/>
          <w:marTop w:val="0"/>
          <w:marBottom w:val="0"/>
          <w:divBdr>
            <w:top w:val="none" w:sz="0" w:space="0" w:color="auto"/>
            <w:left w:val="none" w:sz="0" w:space="0" w:color="auto"/>
            <w:bottom w:val="none" w:sz="0" w:space="0" w:color="auto"/>
            <w:right w:val="none" w:sz="0" w:space="0" w:color="auto"/>
          </w:divBdr>
        </w:div>
        <w:div w:id="1354267558">
          <w:marLeft w:val="0"/>
          <w:marRight w:val="0"/>
          <w:marTop w:val="0"/>
          <w:marBottom w:val="0"/>
          <w:divBdr>
            <w:top w:val="none" w:sz="0" w:space="0" w:color="auto"/>
            <w:left w:val="none" w:sz="0" w:space="0" w:color="auto"/>
            <w:bottom w:val="none" w:sz="0" w:space="0" w:color="auto"/>
            <w:right w:val="none" w:sz="0" w:space="0" w:color="auto"/>
          </w:divBdr>
        </w:div>
        <w:div w:id="809982085">
          <w:marLeft w:val="0"/>
          <w:marRight w:val="0"/>
          <w:marTop w:val="0"/>
          <w:marBottom w:val="0"/>
          <w:divBdr>
            <w:top w:val="none" w:sz="0" w:space="0" w:color="auto"/>
            <w:left w:val="none" w:sz="0" w:space="0" w:color="auto"/>
            <w:bottom w:val="none" w:sz="0" w:space="0" w:color="auto"/>
            <w:right w:val="none" w:sz="0" w:space="0" w:color="auto"/>
          </w:divBdr>
        </w:div>
        <w:div w:id="2012373648">
          <w:marLeft w:val="0"/>
          <w:marRight w:val="0"/>
          <w:marTop w:val="0"/>
          <w:marBottom w:val="0"/>
          <w:divBdr>
            <w:top w:val="none" w:sz="0" w:space="0" w:color="auto"/>
            <w:left w:val="none" w:sz="0" w:space="0" w:color="auto"/>
            <w:bottom w:val="none" w:sz="0" w:space="0" w:color="auto"/>
            <w:right w:val="none" w:sz="0" w:space="0" w:color="auto"/>
          </w:divBdr>
        </w:div>
        <w:div w:id="1599097642">
          <w:marLeft w:val="0"/>
          <w:marRight w:val="0"/>
          <w:marTop w:val="0"/>
          <w:marBottom w:val="0"/>
          <w:divBdr>
            <w:top w:val="none" w:sz="0" w:space="0" w:color="auto"/>
            <w:left w:val="none" w:sz="0" w:space="0" w:color="auto"/>
            <w:bottom w:val="none" w:sz="0" w:space="0" w:color="auto"/>
            <w:right w:val="none" w:sz="0" w:space="0" w:color="auto"/>
          </w:divBdr>
        </w:div>
        <w:div w:id="518664453">
          <w:marLeft w:val="0"/>
          <w:marRight w:val="0"/>
          <w:marTop w:val="0"/>
          <w:marBottom w:val="0"/>
          <w:divBdr>
            <w:top w:val="none" w:sz="0" w:space="0" w:color="auto"/>
            <w:left w:val="none" w:sz="0" w:space="0" w:color="auto"/>
            <w:bottom w:val="none" w:sz="0" w:space="0" w:color="auto"/>
            <w:right w:val="none" w:sz="0" w:space="0" w:color="auto"/>
          </w:divBdr>
        </w:div>
        <w:div w:id="780958177">
          <w:marLeft w:val="0"/>
          <w:marRight w:val="0"/>
          <w:marTop w:val="0"/>
          <w:marBottom w:val="0"/>
          <w:divBdr>
            <w:top w:val="none" w:sz="0" w:space="0" w:color="auto"/>
            <w:left w:val="none" w:sz="0" w:space="0" w:color="auto"/>
            <w:bottom w:val="none" w:sz="0" w:space="0" w:color="auto"/>
            <w:right w:val="none" w:sz="0" w:space="0" w:color="auto"/>
          </w:divBdr>
        </w:div>
        <w:div w:id="1424916118">
          <w:marLeft w:val="0"/>
          <w:marRight w:val="0"/>
          <w:marTop w:val="0"/>
          <w:marBottom w:val="0"/>
          <w:divBdr>
            <w:top w:val="none" w:sz="0" w:space="0" w:color="auto"/>
            <w:left w:val="none" w:sz="0" w:space="0" w:color="auto"/>
            <w:bottom w:val="none" w:sz="0" w:space="0" w:color="auto"/>
            <w:right w:val="none" w:sz="0" w:space="0" w:color="auto"/>
          </w:divBdr>
        </w:div>
      </w:divsChild>
    </w:div>
    <w:div w:id="290988560">
      <w:bodyDiv w:val="1"/>
      <w:marLeft w:val="0"/>
      <w:marRight w:val="0"/>
      <w:marTop w:val="0"/>
      <w:marBottom w:val="0"/>
      <w:divBdr>
        <w:top w:val="none" w:sz="0" w:space="0" w:color="auto"/>
        <w:left w:val="none" w:sz="0" w:space="0" w:color="auto"/>
        <w:bottom w:val="none" w:sz="0" w:space="0" w:color="auto"/>
        <w:right w:val="none" w:sz="0" w:space="0" w:color="auto"/>
      </w:divBdr>
      <w:divsChild>
        <w:div w:id="210508122">
          <w:marLeft w:val="0"/>
          <w:marRight w:val="0"/>
          <w:marTop w:val="0"/>
          <w:marBottom w:val="0"/>
          <w:divBdr>
            <w:top w:val="none" w:sz="0" w:space="0" w:color="auto"/>
            <w:left w:val="none" w:sz="0" w:space="0" w:color="auto"/>
            <w:bottom w:val="none" w:sz="0" w:space="0" w:color="auto"/>
            <w:right w:val="none" w:sz="0" w:space="0" w:color="auto"/>
          </w:divBdr>
          <w:divsChild>
            <w:div w:id="11776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5005">
      <w:bodyDiv w:val="1"/>
      <w:marLeft w:val="0"/>
      <w:marRight w:val="0"/>
      <w:marTop w:val="0"/>
      <w:marBottom w:val="0"/>
      <w:divBdr>
        <w:top w:val="none" w:sz="0" w:space="0" w:color="auto"/>
        <w:left w:val="none" w:sz="0" w:space="0" w:color="auto"/>
        <w:bottom w:val="none" w:sz="0" w:space="0" w:color="auto"/>
        <w:right w:val="none" w:sz="0" w:space="0" w:color="auto"/>
      </w:divBdr>
      <w:divsChild>
        <w:div w:id="1757628724">
          <w:marLeft w:val="0"/>
          <w:marRight w:val="0"/>
          <w:marTop w:val="0"/>
          <w:marBottom w:val="0"/>
          <w:divBdr>
            <w:top w:val="none" w:sz="0" w:space="0" w:color="auto"/>
            <w:left w:val="none" w:sz="0" w:space="0" w:color="auto"/>
            <w:bottom w:val="none" w:sz="0" w:space="0" w:color="auto"/>
            <w:right w:val="none" w:sz="0" w:space="0" w:color="auto"/>
          </w:divBdr>
        </w:div>
        <w:div w:id="1706443809">
          <w:marLeft w:val="0"/>
          <w:marRight w:val="0"/>
          <w:marTop w:val="0"/>
          <w:marBottom w:val="0"/>
          <w:divBdr>
            <w:top w:val="none" w:sz="0" w:space="0" w:color="auto"/>
            <w:left w:val="none" w:sz="0" w:space="0" w:color="auto"/>
            <w:bottom w:val="none" w:sz="0" w:space="0" w:color="auto"/>
            <w:right w:val="none" w:sz="0" w:space="0" w:color="auto"/>
          </w:divBdr>
        </w:div>
        <w:div w:id="1154101203">
          <w:marLeft w:val="0"/>
          <w:marRight w:val="0"/>
          <w:marTop w:val="0"/>
          <w:marBottom w:val="0"/>
          <w:divBdr>
            <w:top w:val="none" w:sz="0" w:space="0" w:color="auto"/>
            <w:left w:val="none" w:sz="0" w:space="0" w:color="auto"/>
            <w:bottom w:val="none" w:sz="0" w:space="0" w:color="auto"/>
            <w:right w:val="none" w:sz="0" w:space="0" w:color="auto"/>
          </w:divBdr>
        </w:div>
        <w:div w:id="1158184149">
          <w:marLeft w:val="0"/>
          <w:marRight w:val="0"/>
          <w:marTop w:val="0"/>
          <w:marBottom w:val="0"/>
          <w:divBdr>
            <w:top w:val="none" w:sz="0" w:space="0" w:color="auto"/>
            <w:left w:val="none" w:sz="0" w:space="0" w:color="auto"/>
            <w:bottom w:val="none" w:sz="0" w:space="0" w:color="auto"/>
            <w:right w:val="none" w:sz="0" w:space="0" w:color="auto"/>
          </w:divBdr>
        </w:div>
      </w:divsChild>
    </w:div>
    <w:div w:id="499082134">
      <w:bodyDiv w:val="1"/>
      <w:marLeft w:val="0"/>
      <w:marRight w:val="0"/>
      <w:marTop w:val="0"/>
      <w:marBottom w:val="0"/>
      <w:divBdr>
        <w:top w:val="none" w:sz="0" w:space="0" w:color="auto"/>
        <w:left w:val="none" w:sz="0" w:space="0" w:color="auto"/>
        <w:bottom w:val="none" w:sz="0" w:space="0" w:color="auto"/>
        <w:right w:val="none" w:sz="0" w:space="0" w:color="auto"/>
      </w:divBdr>
      <w:divsChild>
        <w:div w:id="83041780">
          <w:marLeft w:val="0"/>
          <w:marRight w:val="0"/>
          <w:marTop w:val="0"/>
          <w:marBottom w:val="0"/>
          <w:divBdr>
            <w:top w:val="none" w:sz="0" w:space="0" w:color="auto"/>
            <w:left w:val="none" w:sz="0" w:space="0" w:color="auto"/>
            <w:bottom w:val="none" w:sz="0" w:space="0" w:color="auto"/>
            <w:right w:val="none" w:sz="0" w:space="0" w:color="auto"/>
          </w:divBdr>
        </w:div>
      </w:divsChild>
    </w:div>
    <w:div w:id="583299578">
      <w:bodyDiv w:val="1"/>
      <w:marLeft w:val="0"/>
      <w:marRight w:val="0"/>
      <w:marTop w:val="0"/>
      <w:marBottom w:val="0"/>
      <w:divBdr>
        <w:top w:val="none" w:sz="0" w:space="0" w:color="auto"/>
        <w:left w:val="none" w:sz="0" w:space="0" w:color="auto"/>
        <w:bottom w:val="none" w:sz="0" w:space="0" w:color="auto"/>
        <w:right w:val="none" w:sz="0" w:space="0" w:color="auto"/>
      </w:divBdr>
    </w:div>
    <w:div w:id="795414232">
      <w:bodyDiv w:val="1"/>
      <w:marLeft w:val="0"/>
      <w:marRight w:val="0"/>
      <w:marTop w:val="0"/>
      <w:marBottom w:val="0"/>
      <w:divBdr>
        <w:top w:val="none" w:sz="0" w:space="0" w:color="auto"/>
        <w:left w:val="none" w:sz="0" w:space="0" w:color="auto"/>
        <w:bottom w:val="none" w:sz="0" w:space="0" w:color="auto"/>
        <w:right w:val="none" w:sz="0" w:space="0" w:color="auto"/>
      </w:divBdr>
      <w:divsChild>
        <w:div w:id="2105832325">
          <w:marLeft w:val="0"/>
          <w:marRight w:val="0"/>
          <w:marTop w:val="0"/>
          <w:marBottom w:val="0"/>
          <w:divBdr>
            <w:top w:val="none" w:sz="0" w:space="0" w:color="auto"/>
            <w:left w:val="none" w:sz="0" w:space="0" w:color="auto"/>
            <w:bottom w:val="none" w:sz="0" w:space="0" w:color="auto"/>
            <w:right w:val="none" w:sz="0" w:space="0" w:color="auto"/>
          </w:divBdr>
        </w:div>
        <w:div w:id="1614939291">
          <w:marLeft w:val="0"/>
          <w:marRight w:val="0"/>
          <w:marTop w:val="0"/>
          <w:marBottom w:val="0"/>
          <w:divBdr>
            <w:top w:val="none" w:sz="0" w:space="0" w:color="auto"/>
            <w:left w:val="none" w:sz="0" w:space="0" w:color="auto"/>
            <w:bottom w:val="none" w:sz="0" w:space="0" w:color="auto"/>
            <w:right w:val="none" w:sz="0" w:space="0" w:color="auto"/>
          </w:divBdr>
        </w:div>
      </w:divsChild>
    </w:div>
    <w:div w:id="962543903">
      <w:bodyDiv w:val="1"/>
      <w:marLeft w:val="0"/>
      <w:marRight w:val="0"/>
      <w:marTop w:val="0"/>
      <w:marBottom w:val="0"/>
      <w:divBdr>
        <w:top w:val="none" w:sz="0" w:space="0" w:color="auto"/>
        <w:left w:val="none" w:sz="0" w:space="0" w:color="auto"/>
        <w:bottom w:val="none" w:sz="0" w:space="0" w:color="auto"/>
        <w:right w:val="none" w:sz="0" w:space="0" w:color="auto"/>
      </w:divBdr>
      <w:divsChild>
        <w:div w:id="2043549381">
          <w:marLeft w:val="0"/>
          <w:marRight w:val="0"/>
          <w:marTop w:val="0"/>
          <w:marBottom w:val="0"/>
          <w:divBdr>
            <w:top w:val="none" w:sz="0" w:space="0" w:color="auto"/>
            <w:left w:val="none" w:sz="0" w:space="0" w:color="auto"/>
            <w:bottom w:val="none" w:sz="0" w:space="0" w:color="auto"/>
            <w:right w:val="none" w:sz="0" w:space="0" w:color="auto"/>
          </w:divBdr>
        </w:div>
        <w:div w:id="292713041">
          <w:marLeft w:val="0"/>
          <w:marRight w:val="0"/>
          <w:marTop w:val="0"/>
          <w:marBottom w:val="0"/>
          <w:divBdr>
            <w:top w:val="none" w:sz="0" w:space="0" w:color="auto"/>
            <w:left w:val="none" w:sz="0" w:space="0" w:color="auto"/>
            <w:bottom w:val="none" w:sz="0" w:space="0" w:color="auto"/>
            <w:right w:val="none" w:sz="0" w:space="0" w:color="auto"/>
          </w:divBdr>
        </w:div>
        <w:div w:id="666790781">
          <w:marLeft w:val="0"/>
          <w:marRight w:val="0"/>
          <w:marTop w:val="0"/>
          <w:marBottom w:val="0"/>
          <w:divBdr>
            <w:top w:val="none" w:sz="0" w:space="0" w:color="auto"/>
            <w:left w:val="none" w:sz="0" w:space="0" w:color="auto"/>
            <w:bottom w:val="none" w:sz="0" w:space="0" w:color="auto"/>
            <w:right w:val="none" w:sz="0" w:space="0" w:color="auto"/>
          </w:divBdr>
        </w:div>
      </w:divsChild>
    </w:div>
    <w:div w:id="1015494597">
      <w:bodyDiv w:val="1"/>
      <w:marLeft w:val="0"/>
      <w:marRight w:val="0"/>
      <w:marTop w:val="0"/>
      <w:marBottom w:val="0"/>
      <w:divBdr>
        <w:top w:val="none" w:sz="0" w:space="0" w:color="auto"/>
        <w:left w:val="none" w:sz="0" w:space="0" w:color="auto"/>
        <w:bottom w:val="none" w:sz="0" w:space="0" w:color="auto"/>
        <w:right w:val="none" w:sz="0" w:space="0" w:color="auto"/>
      </w:divBdr>
    </w:div>
    <w:div w:id="1045255543">
      <w:bodyDiv w:val="1"/>
      <w:marLeft w:val="0"/>
      <w:marRight w:val="0"/>
      <w:marTop w:val="0"/>
      <w:marBottom w:val="0"/>
      <w:divBdr>
        <w:top w:val="none" w:sz="0" w:space="0" w:color="auto"/>
        <w:left w:val="none" w:sz="0" w:space="0" w:color="auto"/>
        <w:bottom w:val="none" w:sz="0" w:space="0" w:color="auto"/>
        <w:right w:val="none" w:sz="0" w:space="0" w:color="auto"/>
      </w:divBdr>
      <w:divsChild>
        <w:div w:id="1394887920">
          <w:marLeft w:val="0"/>
          <w:marRight w:val="0"/>
          <w:marTop w:val="0"/>
          <w:marBottom w:val="0"/>
          <w:divBdr>
            <w:top w:val="none" w:sz="0" w:space="0" w:color="auto"/>
            <w:left w:val="none" w:sz="0" w:space="0" w:color="auto"/>
            <w:bottom w:val="none" w:sz="0" w:space="0" w:color="auto"/>
            <w:right w:val="none" w:sz="0" w:space="0" w:color="auto"/>
          </w:divBdr>
          <w:divsChild>
            <w:div w:id="19349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6352">
      <w:bodyDiv w:val="1"/>
      <w:marLeft w:val="0"/>
      <w:marRight w:val="0"/>
      <w:marTop w:val="0"/>
      <w:marBottom w:val="0"/>
      <w:divBdr>
        <w:top w:val="none" w:sz="0" w:space="0" w:color="auto"/>
        <w:left w:val="none" w:sz="0" w:space="0" w:color="auto"/>
        <w:bottom w:val="none" w:sz="0" w:space="0" w:color="auto"/>
        <w:right w:val="none" w:sz="0" w:space="0" w:color="auto"/>
      </w:divBdr>
    </w:div>
    <w:div w:id="1175807394">
      <w:bodyDiv w:val="1"/>
      <w:marLeft w:val="0"/>
      <w:marRight w:val="0"/>
      <w:marTop w:val="0"/>
      <w:marBottom w:val="0"/>
      <w:divBdr>
        <w:top w:val="none" w:sz="0" w:space="0" w:color="auto"/>
        <w:left w:val="none" w:sz="0" w:space="0" w:color="auto"/>
        <w:bottom w:val="none" w:sz="0" w:space="0" w:color="auto"/>
        <w:right w:val="none" w:sz="0" w:space="0" w:color="auto"/>
      </w:divBdr>
    </w:div>
    <w:div w:id="1628311170">
      <w:bodyDiv w:val="1"/>
      <w:marLeft w:val="0"/>
      <w:marRight w:val="0"/>
      <w:marTop w:val="0"/>
      <w:marBottom w:val="0"/>
      <w:divBdr>
        <w:top w:val="none" w:sz="0" w:space="0" w:color="auto"/>
        <w:left w:val="none" w:sz="0" w:space="0" w:color="auto"/>
        <w:bottom w:val="none" w:sz="0" w:space="0" w:color="auto"/>
        <w:right w:val="none" w:sz="0" w:space="0" w:color="auto"/>
      </w:divBdr>
      <w:divsChild>
        <w:div w:id="1712920433">
          <w:marLeft w:val="0"/>
          <w:marRight w:val="0"/>
          <w:marTop w:val="0"/>
          <w:marBottom w:val="0"/>
          <w:divBdr>
            <w:top w:val="none" w:sz="0" w:space="0" w:color="auto"/>
            <w:left w:val="none" w:sz="0" w:space="0" w:color="auto"/>
            <w:bottom w:val="none" w:sz="0" w:space="0" w:color="auto"/>
            <w:right w:val="none" w:sz="0" w:space="0" w:color="auto"/>
          </w:divBdr>
        </w:div>
      </w:divsChild>
    </w:div>
    <w:div w:id="1661344424">
      <w:bodyDiv w:val="1"/>
      <w:marLeft w:val="0"/>
      <w:marRight w:val="0"/>
      <w:marTop w:val="0"/>
      <w:marBottom w:val="0"/>
      <w:divBdr>
        <w:top w:val="none" w:sz="0" w:space="0" w:color="auto"/>
        <w:left w:val="none" w:sz="0" w:space="0" w:color="auto"/>
        <w:bottom w:val="none" w:sz="0" w:space="0" w:color="auto"/>
        <w:right w:val="none" w:sz="0" w:space="0" w:color="auto"/>
      </w:divBdr>
    </w:div>
    <w:div w:id="1672028169">
      <w:bodyDiv w:val="1"/>
      <w:marLeft w:val="0"/>
      <w:marRight w:val="0"/>
      <w:marTop w:val="0"/>
      <w:marBottom w:val="0"/>
      <w:divBdr>
        <w:top w:val="none" w:sz="0" w:space="0" w:color="auto"/>
        <w:left w:val="none" w:sz="0" w:space="0" w:color="auto"/>
        <w:bottom w:val="none" w:sz="0" w:space="0" w:color="auto"/>
        <w:right w:val="none" w:sz="0" w:space="0" w:color="auto"/>
      </w:divBdr>
    </w:div>
    <w:div w:id="1708020666">
      <w:bodyDiv w:val="1"/>
      <w:marLeft w:val="0"/>
      <w:marRight w:val="0"/>
      <w:marTop w:val="0"/>
      <w:marBottom w:val="0"/>
      <w:divBdr>
        <w:top w:val="none" w:sz="0" w:space="0" w:color="auto"/>
        <w:left w:val="none" w:sz="0" w:space="0" w:color="auto"/>
        <w:bottom w:val="none" w:sz="0" w:space="0" w:color="auto"/>
        <w:right w:val="none" w:sz="0" w:space="0" w:color="auto"/>
      </w:divBdr>
    </w:div>
    <w:div w:id="1931110977">
      <w:bodyDiv w:val="1"/>
      <w:marLeft w:val="0"/>
      <w:marRight w:val="0"/>
      <w:marTop w:val="0"/>
      <w:marBottom w:val="0"/>
      <w:divBdr>
        <w:top w:val="none" w:sz="0" w:space="0" w:color="auto"/>
        <w:left w:val="none" w:sz="0" w:space="0" w:color="auto"/>
        <w:bottom w:val="none" w:sz="0" w:space="0" w:color="auto"/>
        <w:right w:val="none" w:sz="0" w:space="0" w:color="auto"/>
      </w:divBdr>
      <w:divsChild>
        <w:div w:id="1942489030">
          <w:marLeft w:val="0"/>
          <w:marRight w:val="0"/>
          <w:marTop w:val="0"/>
          <w:marBottom w:val="0"/>
          <w:divBdr>
            <w:top w:val="none" w:sz="0" w:space="0" w:color="auto"/>
            <w:left w:val="none" w:sz="0" w:space="0" w:color="auto"/>
            <w:bottom w:val="none" w:sz="0" w:space="0" w:color="auto"/>
            <w:right w:val="none" w:sz="0" w:space="0" w:color="auto"/>
          </w:divBdr>
        </w:div>
        <w:div w:id="1287850345">
          <w:marLeft w:val="0"/>
          <w:marRight w:val="0"/>
          <w:marTop w:val="0"/>
          <w:marBottom w:val="0"/>
          <w:divBdr>
            <w:top w:val="none" w:sz="0" w:space="0" w:color="auto"/>
            <w:left w:val="none" w:sz="0" w:space="0" w:color="auto"/>
            <w:bottom w:val="none" w:sz="0" w:space="0" w:color="auto"/>
            <w:right w:val="none" w:sz="0" w:space="0" w:color="auto"/>
          </w:divBdr>
        </w:div>
        <w:div w:id="405079186">
          <w:marLeft w:val="0"/>
          <w:marRight w:val="0"/>
          <w:marTop w:val="0"/>
          <w:marBottom w:val="0"/>
          <w:divBdr>
            <w:top w:val="none" w:sz="0" w:space="0" w:color="auto"/>
            <w:left w:val="none" w:sz="0" w:space="0" w:color="auto"/>
            <w:bottom w:val="none" w:sz="0" w:space="0" w:color="auto"/>
            <w:right w:val="none" w:sz="0" w:space="0" w:color="auto"/>
          </w:divBdr>
        </w:div>
        <w:div w:id="1884903915">
          <w:marLeft w:val="0"/>
          <w:marRight w:val="0"/>
          <w:marTop w:val="0"/>
          <w:marBottom w:val="0"/>
          <w:divBdr>
            <w:top w:val="none" w:sz="0" w:space="0" w:color="auto"/>
            <w:left w:val="none" w:sz="0" w:space="0" w:color="auto"/>
            <w:bottom w:val="none" w:sz="0" w:space="0" w:color="auto"/>
            <w:right w:val="none" w:sz="0" w:space="0" w:color="auto"/>
          </w:divBdr>
        </w:div>
        <w:div w:id="760220106">
          <w:marLeft w:val="0"/>
          <w:marRight w:val="0"/>
          <w:marTop w:val="0"/>
          <w:marBottom w:val="0"/>
          <w:divBdr>
            <w:top w:val="none" w:sz="0" w:space="0" w:color="auto"/>
            <w:left w:val="none" w:sz="0" w:space="0" w:color="auto"/>
            <w:bottom w:val="none" w:sz="0" w:space="0" w:color="auto"/>
            <w:right w:val="none" w:sz="0" w:space="0" w:color="auto"/>
          </w:divBdr>
        </w:div>
        <w:div w:id="114301719">
          <w:marLeft w:val="0"/>
          <w:marRight w:val="0"/>
          <w:marTop w:val="0"/>
          <w:marBottom w:val="0"/>
          <w:divBdr>
            <w:top w:val="none" w:sz="0" w:space="0" w:color="auto"/>
            <w:left w:val="none" w:sz="0" w:space="0" w:color="auto"/>
            <w:bottom w:val="none" w:sz="0" w:space="0" w:color="auto"/>
            <w:right w:val="none" w:sz="0" w:space="0" w:color="auto"/>
          </w:divBdr>
        </w:div>
        <w:div w:id="1684817781">
          <w:marLeft w:val="0"/>
          <w:marRight w:val="0"/>
          <w:marTop w:val="0"/>
          <w:marBottom w:val="0"/>
          <w:divBdr>
            <w:top w:val="none" w:sz="0" w:space="0" w:color="auto"/>
            <w:left w:val="none" w:sz="0" w:space="0" w:color="auto"/>
            <w:bottom w:val="none" w:sz="0" w:space="0" w:color="auto"/>
            <w:right w:val="none" w:sz="0" w:space="0" w:color="auto"/>
          </w:divBdr>
        </w:div>
        <w:div w:id="1866403222">
          <w:marLeft w:val="0"/>
          <w:marRight w:val="0"/>
          <w:marTop w:val="0"/>
          <w:marBottom w:val="0"/>
          <w:divBdr>
            <w:top w:val="none" w:sz="0" w:space="0" w:color="auto"/>
            <w:left w:val="none" w:sz="0" w:space="0" w:color="auto"/>
            <w:bottom w:val="none" w:sz="0" w:space="0" w:color="auto"/>
            <w:right w:val="none" w:sz="0" w:space="0" w:color="auto"/>
          </w:divBdr>
        </w:div>
        <w:div w:id="1165196632">
          <w:marLeft w:val="0"/>
          <w:marRight w:val="0"/>
          <w:marTop w:val="0"/>
          <w:marBottom w:val="0"/>
          <w:divBdr>
            <w:top w:val="none" w:sz="0" w:space="0" w:color="auto"/>
            <w:left w:val="none" w:sz="0" w:space="0" w:color="auto"/>
            <w:bottom w:val="none" w:sz="0" w:space="0" w:color="auto"/>
            <w:right w:val="none" w:sz="0" w:space="0" w:color="auto"/>
          </w:divBdr>
        </w:div>
        <w:div w:id="1041318028">
          <w:marLeft w:val="0"/>
          <w:marRight w:val="0"/>
          <w:marTop w:val="0"/>
          <w:marBottom w:val="0"/>
          <w:divBdr>
            <w:top w:val="none" w:sz="0" w:space="0" w:color="auto"/>
            <w:left w:val="none" w:sz="0" w:space="0" w:color="auto"/>
            <w:bottom w:val="none" w:sz="0" w:space="0" w:color="auto"/>
            <w:right w:val="none" w:sz="0" w:space="0" w:color="auto"/>
          </w:divBdr>
        </w:div>
        <w:div w:id="1270119344">
          <w:marLeft w:val="0"/>
          <w:marRight w:val="0"/>
          <w:marTop w:val="0"/>
          <w:marBottom w:val="0"/>
          <w:divBdr>
            <w:top w:val="none" w:sz="0" w:space="0" w:color="auto"/>
            <w:left w:val="none" w:sz="0" w:space="0" w:color="auto"/>
            <w:bottom w:val="none" w:sz="0" w:space="0" w:color="auto"/>
            <w:right w:val="none" w:sz="0" w:space="0" w:color="auto"/>
          </w:divBdr>
        </w:div>
        <w:div w:id="834997651">
          <w:marLeft w:val="0"/>
          <w:marRight w:val="0"/>
          <w:marTop w:val="0"/>
          <w:marBottom w:val="0"/>
          <w:divBdr>
            <w:top w:val="none" w:sz="0" w:space="0" w:color="auto"/>
            <w:left w:val="none" w:sz="0" w:space="0" w:color="auto"/>
            <w:bottom w:val="none" w:sz="0" w:space="0" w:color="auto"/>
            <w:right w:val="none" w:sz="0" w:space="0" w:color="auto"/>
          </w:divBdr>
        </w:div>
        <w:div w:id="966738239">
          <w:marLeft w:val="0"/>
          <w:marRight w:val="0"/>
          <w:marTop w:val="0"/>
          <w:marBottom w:val="0"/>
          <w:divBdr>
            <w:top w:val="none" w:sz="0" w:space="0" w:color="auto"/>
            <w:left w:val="none" w:sz="0" w:space="0" w:color="auto"/>
            <w:bottom w:val="none" w:sz="0" w:space="0" w:color="auto"/>
            <w:right w:val="none" w:sz="0" w:space="0" w:color="auto"/>
          </w:divBdr>
        </w:div>
        <w:div w:id="531765814">
          <w:marLeft w:val="0"/>
          <w:marRight w:val="0"/>
          <w:marTop w:val="0"/>
          <w:marBottom w:val="0"/>
          <w:divBdr>
            <w:top w:val="none" w:sz="0" w:space="0" w:color="auto"/>
            <w:left w:val="none" w:sz="0" w:space="0" w:color="auto"/>
            <w:bottom w:val="none" w:sz="0" w:space="0" w:color="auto"/>
            <w:right w:val="none" w:sz="0" w:space="0" w:color="auto"/>
          </w:divBdr>
        </w:div>
        <w:div w:id="612327750">
          <w:marLeft w:val="0"/>
          <w:marRight w:val="0"/>
          <w:marTop w:val="0"/>
          <w:marBottom w:val="0"/>
          <w:divBdr>
            <w:top w:val="none" w:sz="0" w:space="0" w:color="auto"/>
            <w:left w:val="none" w:sz="0" w:space="0" w:color="auto"/>
            <w:bottom w:val="none" w:sz="0" w:space="0" w:color="auto"/>
            <w:right w:val="none" w:sz="0" w:space="0" w:color="auto"/>
          </w:divBdr>
        </w:div>
        <w:div w:id="1297761465">
          <w:marLeft w:val="0"/>
          <w:marRight w:val="0"/>
          <w:marTop w:val="0"/>
          <w:marBottom w:val="0"/>
          <w:divBdr>
            <w:top w:val="none" w:sz="0" w:space="0" w:color="auto"/>
            <w:left w:val="none" w:sz="0" w:space="0" w:color="auto"/>
            <w:bottom w:val="none" w:sz="0" w:space="0" w:color="auto"/>
            <w:right w:val="none" w:sz="0" w:space="0" w:color="auto"/>
          </w:divBdr>
        </w:div>
        <w:div w:id="103577740">
          <w:marLeft w:val="0"/>
          <w:marRight w:val="0"/>
          <w:marTop w:val="0"/>
          <w:marBottom w:val="0"/>
          <w:divBdr>
            <w:top w:val="none" w:sz="0" w:space="0" w:color="auto"/>
            <w:left w:val="none" w:sz="0" w:space="0" w:color="auto"/>
            <w:bottom w:val="none" w:sz="0" w:space="0" w:color="auto"/>
            <w:right w:val="none" w:sz="0" w:space="0" w:color="auto"/>
          </w:divBdr>
        </w:div>
        <w:div w:id="1324624969">
          <w:marLeft w:val="0"/>
          <w:marRight w:val="0"/>
          <w:marTop w:val="0"/>
          <w:marBottom w:val="0"/>
          <w:divBdr>
            <w:top w:val="none" w:sz="0" w:space="0" w:color="auto"/>
            <w:left w:val="none" w:sz="0" w:space="0" w:color="auto"/>
            <w:bottom w:val="none" w:sz="0" w:space="0" w:color="auto"/>
            <w:right w:val="none" w:sz="0" w:space="0" w:color="auto"/>
          </w:divBdr>
        </w:div>
        <w:div w:id="47992763">
          <w:marLeft w:val="0"/>
          <w:marRight w:val="0"/>
          <w:marTop w:val="0"/>
          <w:marBottom w:val="0"/>
          <w:divBdr>
            <w:top w:val="none" w:sz="0" w:space="0" w:color="auto"/>
            <w:left w:val="none" w:sz="0" w:space="0" w:color="auto"/>
            <w:bottom w:val="none" w:sz="0" w:space="0" w:color="auto"/>
            <w:right w:val="none" w:sz="0" w:space="0" w:color="auto"/>
          </w:divBdr>
        </w:div>
        <w:div w:id="1514608702">
          <w:marLeft w:val="0"/>
          <w:marRight w:val="0"/>
          <w:marTop w:val="0"/>
          <w:marBottom w:val="0"/>
          <w:divBdr>
            <w:top w:val="none" w:sz="0" w:space="0" w:color="auto"/>
            <w:left w:val="none" w:sz="0" w:space="0" w:color="auto"/>
            <w:bottom w:val="none" w:sz="0" w:space="0" w:color="auto"/>
            <w:right w:val="none" w:sz="0" w:space="0" w:color="auto"/>
          </w:divBdr>
        </w:div>
        <w:div w:id="2145998361">
          <w:marLeft w:val="0"/>
          <w:marRight w:val="0"/>
          <w:marTop w:val="0"/>
          <w:marBottom w:val="0"/>
          <w:divBdr>
            <w:top w:val="none" w:sz="0" w:space="0" w:color="auto"/>
            <w:left w:val="none" w:sz="0" w:space="0" w:color="auto"/>
            <w:bottom w:val="none" w:sz="0" w:space="0" w:color="auto"/>
            <w:right w:val="none" w:sz="0" w:space="0" w:color="auto"/>
          </w:divBdr>
        </w:div>
        <w:div w:id="745032897">
          <w:marLeft w:val="0"/>
          <w:marRight w:val="0"/>
          <w:marTop w:val="0"/>
          <w:marBottom w:val="0"/>
          <w:divBdr>
            <w:top w:val="none" w:sz="0" w:space="0" w:color="auto"/>
            <w:left w:val="none" w:sz="0" w:space="0" w:color="auto"/>
            <w:bottom w:val="none" w:sz="0" w:space="0" w:color="auto"/>
            <w:right w:val="none" w:sz="0" w:space="0" w:color="auto"/>
          </w:divBdr>
        </w:div>
        <w:div w:id="436171477">
          <w:marLeft w:val="0"/>
          <w:marRight w:val="0"/>
          <w:marTop w:val="0"/>
          <w:marBottom w:val="0"/>
          <w:divBdr>
            <w:top w:val="none" w:sz="0" w:space="0" w:color="auto"/>
            <w:left w:val="none" w:sz="0" w:space="0" w:color="auto"/>
            <w:bottom w:val="none" w:sz="0" w:space="0" w:color="auto"/>
            <w:right w:val="none" w:sz="0" w:space="0" w:color="auto"/>
          </w:divBdr>
        </w:div>
        <w:div w:id="2032602536">
          <w:marLeft w:val="0"/>
          <w:marRight w:val="0"/>
          <w:marTop w:val="0"/>
          <w:marBottom w:val="0"/>
          <w:divBdr>
            <w:top w:val="none" w:sz="0" w:space="0" w:color="auto"/>
            <w:left w:val="none" w:sz="0" w:space="0" w:color="auto"/>
            <w:bottom w:val="none" w:sz="0" w:space="0" w:color="auto"/>
            <w:right w:val="none" w:sz="0" w:space="0" w:color="auto"/>
          </w:divBdr>
        </w:div>
        <w:div w:id="2024820354">
          <w:marLeft w:val="0"/>
          <w:marRight w:val="0"/>
          <w:marTop w:val="0"/>
          <w:marBottom w:val="0"/>
          <w:divBdr>
            <w:top w:val="none" w:sz="0" w:space="0" w:color="auto"/>
            <w:left w:val="none" w:sz="0" w:space="0" w:color="auto"/>
            <w:bottom w:val="none" w:sz="0" w:space="0" w:color="auto"/>
            <w:right w:val="none" w:sz="0" w:space="0" w:color="auto"/>
          </w:divBdr>
        </w:div>
        <w:div w:id="1880237801">
          <w:marLeft w:val="0"/>
          <w:marRight w:val="0"/>
          <w:marTop w:val="0"/>
          <w:marBottom w:val="0"/>
          <w:divBdr>
            <w:top w:val="none" w:sz="0" w:space="0" w:color="auto"/>
            <w:left w:val="none" w:sz="0" w:space="0" w:color="auto"/>
            <w:bottom w:val="none" w:sz="0" w:space="0" w:color="auto"/>
            <w:right w:val="none" w:sz="0" w:space="0" w:color="auto"/>
          </w:divBdr>
        </w:div>
        <w:div w:id="961619747">
          <w:marLeft w:val="0"/>
          <w:marRight w:val="0"/>
          <w:marTop w:val="0"/>
          <w:marBottom w:val="0"/>
          <w:divBdr>
            <w:top w:val="none" w:sz="0" w:space="0" w:color="auto"/>
            <w:left w:val="none" w:sz="0" w:space="0" w:color="auto"/>
            <w:bottom w:val="none" w:sz="0" w:space="0" w:color="auto"/>
            <w:right w:val="none" w:sz="0" w:space="0" w:color="auto"/>
          </w:divBdr>
        </w:div>
        <w:div w:id="38163675">
          <w:marLeft w:val="0"/>
          <w:marRight w:val="0"/>
          <w:marTop w:val="0"/>
          <w:marBottom w:val="0"/>
          <w:divBdr>
            <w:top w:val="none" w:sz="0" w:space="0" w:color="auto"/>
            <w:left w:val="none" w:sz="0" w:space="0" w:color="auto"/>
            <w:bottom w:val="none" w:sz="0" w:space="0" w:color="auto"/>
            <w:right w:val="none" w:sz="0" w:space="0" w:color="auto"/>
          </w:divBdr>
        </w:div>
        <w:div w:id="25570368">
          <w:marLeft w:val="0"/>
          <w:marRight w:val="0"/>
          <w:marTop w:val="0"/>
          <w:marBottom w:val="0"/>
          <w:divBdr>
            <w:top w:val="none" w:sz="0" w:space="0" w:color="auto"/>
            <w:left w:val="none" w:sz="0" w:space="0" w:color="auto"/>
            <w:bottom w:val="none" w:sz="0" w:space="0" w:color="auto"/>
            <w:right w:val="none" w:sz="0" w:space="0" w:color="auto"/>
          </w:divBdr>
        </w:div>
        <w:div w:id="921526370">
          <w:marLeft w:val="0"/>
          <w:marRight w:val="0"/>
          <w:marTop w:val="0"/>
          <w:marBottom w:val="0"/>
          <w:divBdr>
            <w:top w:val="none" w:sz="0" w:space="0" w:color="auto"/>
            <w:left w:val="none" w:sz="0" w:space="0" w:color="auto"/>
            <w:bottom w:val="none" w:sz="0" w:space="0" w:color="auto"/>
            <w:right w:val="none" w:sz="0" w:space="0" w:color="auto"/>
          </w:divBdr>
        </w:div>
        <w:div w:id="1005091652">
          <w:marLeft w:val="0"/>
          <w:marRight w:val="0"/>
          <w:marTop w:val="0"/>
          <w:marBottom w:val="0"/>
          <w:divBdr>
            <w:top w:val="none" w:sz="0" w:space="0" w:color="auto"/>
            <w:left w:val="none" w:sz="0" w:space="0" w:color="auto"/>
            <w:bottom w:val="none" w:sz="0" w:space="0" w:color="auto"/>
            <w:right w:val="none" w:sz="0" w:space="0" w:color="auto"/>
          </w:divBdr>
        </w:div>
        <w:div w:id="230503799">
          <w:marLeft w:val="0"/>
          <w:marRight w:val="0"/>
          <w:marTop w:val="0"/>
          <w:marBottom w:val="0"/>
          <w:divBdr>
            <w:top w:val="none" w:sz="0" w:space="0" w:color="auto"/>
            <w:left w:val="none" w:sz="0" w:space="0" w:color="auto"/>
            <w:bottom w:val="none" w:sz="0" w:space="0" w:color="auto"/>
            <w:right w:val="none" w:sz="0" w:space="0" w:color="auto"/>
          </w:divBdr>
        </w:div>
        <w:div w:id="818306895">
          <w:marLeft w:val="0"/>
          <w:marRight w:val="0"/>
          <w:marTop w:val="0"/>
          <w:marBottom w:val="0"/>
          <w:divBdr>
            <w:top w:val="none" w:sz="0" w:space="0" w:color="auto"/>
            <w:left w:val="none" w:sz="0" w:space="0" w:color="auto"/>
            <w:bottom w:val="none" w:sz="0" w:space="0" w:color="auto"/>
            <w:right w:val="none" w:sz="0" w:space="0" w:color="auto"/>
          </w:divBdr>
        </w:div>
        <w:div w:id="6174595">
          <w:marLeft w:val="0"/>
          <w:marRight w:val="0"/>
          <w:marTop w:val="0"/>
          <w:marBottom w:val="0"/>
          <w:divBdr>
            <w:top w:val="none" w:sz="0" w:space="0" w:color="auto"/>
            <w:left w:val="none" w:sz="0" w:space="0" w:color="auto"/>
            <w:bottom w:val="none" w:sz="0" w:space="0" w:color="auto"/>
            <w:right w:val="none" w:sz="0" w:space="0" w:color="auto"/>
          </w:divBdr>
        </w:div>
        <w:div w:id="993802116">
          <w:marLeft w:val="0"/>
          <w:marRight w:val="0"/>
          <w:marTop w:val="0"/>
          <w:marBottom w:val="0"/>
          <w:divBdr>
            <w:top w:val="none" w:sz="0" w:space="0" w:color="auto"/>
            <w:left w:val="none" w:sz="0" w:space="0" w:color="auto"/>
            <w:bottom w:val="none" w:sz="0" w:space="0" w:color="auto"/>
            <w:right w:val="none" w:sz="0" w:space="0" w:color="auto"/>
          </w:divBdr>
        </w:div>
        <w:div w:id="1727490980">
          <w:marLeft w:val="0"/>
          <w:marRight w:val="0"/>
          <w:marTop w:val="0"/>
          <w:marBottom w:val="0"/>
          <w:divBdr>
            <w:top w:val="none" w:sz="0" w:space="0" w:color="auto"/>
            <w:left w:val="none" w:sz="0" w:space="0" w:color="auto"/>
            <w:bottom w:val="none" w:sz="0" w:space="0" w:color="auto"/>
            <w:right w:val="none" w:sz="0" w:space="0" w:color="auto"/>
          </w:divBdr>
        </w:div>
        <w:div w:id="696126888">
          <w:marLeft w:val="0"/>
          <w:marRight w:val="0"/>
          <w:marTop w:val="0"/>
          <w:marBottom w:val="0"/>
          <w:divBdr>
            <w:top w:val="none" w:sz="0" w:space="0" w:color="auto"/>
            <w:left w:val="none" w:sz="0" w:space="0" w:color="auto"/>
            <w:bottom w:val="none" w:sz="0" w:space="0" w:color="auto"/>
            <w:right w:val="none" w:sz="0" w:space="0" w:color="auto"/>
          </w:divBdr>
        </w:div>
        <w:div w:id="1677656909">
          <w:marLeft w:val="0"/>
          <w:marRight w:val="0"/>
          <w:marTop w:val="0"/>
          <w:marBottom w:val="0"/>
          <w:divBdr>
            <w:top w:val="none" w:sz="0" w:space="0" w:color="auto"/>
            <w:left w:val="none" w:sz="0" w:space="0" w:color="auto"/>
            <w:bottom w:val="none" w:sz="0" w:space="0" w:color="auto"/>
            <w:right w:val="none" w:sz="0" w:space="0" w:color="auto"/>
          </w:divBdr>
        </w:div>
        <w:div w:id="596406169">
          <w:marLeft w:val="0"/>
          <w:marRight w:val="0"/>
          <w:marTop w:val="0"/>
          <w:marBottom w:val="0"/>
          <w:divBdr>
            <w:top w:val="none" w:sz="0" w:space="0" w:color="auto"/>
            <w:left w:val="none" w:sz="0" w:space="0" w:color="auto"/>
            <w:bottom w:val="none" w:sz="0" w:space="0" w:color="auto"/>
            <w:right w:val="none" w:sz="0" w:space="0" w:color="auto"/>
          </w:divBdr>
        </w:div>
        <w:div w:id="1867984982">
          <w:marLeft w:val="0"/>
          <w:marRight w:val="0"/>
          <w:marTop w:val="0"/>
          <w:marBottom w:val="0"/>
          <w:divBdr>
            <w:top w:val="none" w:sz="0" w:space="0" w:color="auto"/>
            <w:left w:val="none" w:sz="0" w:space="0" w:color="auto"/>
            <w:bottom w:val="none" w:sz="0" w:space="0" w:color="auto"/>
            <w:right w:val="none" w:sz="0" w:space="0" w:color="auto"/>
          </w:divBdr>
        </w:div>
        <w:div w:id="1957637554">
          <w:marLeft w:val="0"/>
          <w:marRight w:val="0"/>
          <w:marTop w:val="0"/>
          <w:marBottom w:val="0"/>
          <w:divBdr>
            <w:top w:val="none" w:sz="0" w:space="0" w:color="auto"/>
            <w:left w:val="none" w:sz="0" w:space="0" w:color="auto"/>
            <w:bottom w:val="none" w:sz="0" w:space="0" w:color="auto"/>
            <w:right w:val="none" w:sz="0" w:space="0" w:color="auto"/>
          </w:divBdr>
        </w:div>
        <w:div w:id="707686245">
          <w:marLeft w:val="0"/>
          <w:marRight w:val="0"/>
          <w:marTop w:val="0"/>
          <w:marBottom w:val="0"/>
          <w:divBdr>
            <w:top w:val="none" w:sz="0" w:space="0" w:color="auto"/>
            <w:left w:val="none" w:sz="0" w:space="0" w:color="auto"/>
            <w:bottom w:val="none" w:sz="0" w:space="0" w:color="auto"/>
            <w:right w:val="none" w:sz="0" w:space="0" w:color="auto"/>
          </w:divBdr>
        </w:div>
        <w:div w:id="263614281">
          <w:marLeft w:val="0"/>
          <w:marRight w:val="0"/>
          <w:marTop w:val="0"/>
          <w:marBottom w:val="0"/>
          <w:divBdr>
            <w:top w:val="none" w:sz="0" w:space="0" w:color="auto"/>
            <w:left w:val="none" w:sz="0" w:space="0" w:color="auto"/>
            <w:bottom w:val="none" w:sz="0" w:space="0" w:color="auto"/>
            <w:right w:val="none" w:sz="0" w:space="0" w:color="auto"/>
          </w:divBdr>
        </w:div>
        <w:div w:id="1783450738">
          <w:marLeft w:val="0"/>
          <w:marRight w:val="0"/>
          <w:marTop w:val="0"/>
          <w:marBottom w:val="0"/>
          <w:divBdr>
            <w:top w:val="none" w:sz="0" w:space="0" w:color="auto"/>
            <w:left w:val="none" w:sz="0" w:space="0" w:color="auto"/>
            <w:bottom w:val="none" w:sz="0" w:space="0" w:color="auto"/>
            <w:right w:val="none" w:sz="0" w:space="0" w:color="auto"/>
          </w:divBdr>
        </w:div>
        <w:div w:id="1373111956">
          <w:marLeft w:val="0"/>
          <w:marRight w:val="0"/>
          <w:marTop w:val="0"/>
          <w:marBottom w:val="0"/>
          <w:divBdr>
            <w:top w:val="none" w:sz="0" w:space="0" w:color="auto"/>
            <w:left w:val="none" w:sz="0" w:space="0" w:color="auto"/>
            <w:bottom w:val="none" w:sz="0" w:space="0" w:color="auto"/>
            <w:right w:val="none" w:sz="0" w:space="0" w:color="auto"/>
          </w:divBdr>
        </w:div>
        <w:div w:id="1735930851">
          <w:marLeft w:val="0"/>
          <w:marRight w:val="0"/>
          <w:marTop w:val="0"/>
          <w:marBottom w:val="0"/>
          <w:divBdr>
            <w:top w:val="none" w:sz="0" w:space="0" w:color="auto"/>
            <w:left w:val="none" w:sz="0" w:space="0" w:color="auto"/>
            <w:bottom w:val="none" w:sz="0" w:space="0" w:color="auto"/>
            <w:right w:val="none" w:sz="0" w:space="0" w:color="auto"/>
          </w:divBdr>
        </w:div>
        <w:div w:id="429351395">
          <w:marLeft w:val="0"/>
          <w:marRight w:val="0"/>
          <w:marTop w:val="0"/>
          <w:marBottom w:val="0"/>
          <w:divBdr>
            <w:top w:val="none" w:sz="0" w:space="0" w:color="auto"/>
            <w:left w:val="none" w:sz="0" w:space="0" w:color="auto"/>
            <w:bottom w:val="none" w:sz="0" w:space="0" w:color="auto"/>
            <w:right w:val="none" w:sz="0" w:space="0" w:color="auto"/>
          </w:divBdr>
        </w:div>
        <w:div w:id="1418551222">
          <w:marLeft w:val="0"/>
          <w:marRight w:val="0"/>
          <w:marTop w:val="0"/>
          <w:marBottom w:val="0"/>
          <w:divBdr>
            <w:top w:val="none" w:sz="0" w:space="0" w:color="auto"/>
            <w:left w:val="none" w:sz="0" w:space="0" w:color="auto"/>
            <w:bottom w:val="none" w:sz="0" w:space="0" w:color="auto"/>
            <w:right w:val="none" w:sz="0" w:space="0" w:color="auto"/>
          </w:divBdr>
        </w:div>
        <w:div w:id="1601914569">
          <w:marLeft w:val="0"/>
          <w:marRight w:val="0"/>
          <w:marTop w:val="0"/>
          <w:marBottom w:val="0"/>
          <w:divBdr>
            <w:top w:val="none" w:sz="0" w:space="0" w:color="auto"/>
            <w:left w:val="none" w:sz="0" w:space="0" w:color="auto"/>
            <w:bottom w:val="none" w:sz="0" w:space="0" w:color="auto"/>
            <w:right w:val="none" w:sz="0" w:space="0" w:color="auto"/>
          </w:divBdr>
        </w:div>
        <w:div w:id="878475799">
          <w:marLeft w:val="0"/>
          <w:marRight w:val="0"/>
          <w:marTop w:val="0"/>
          <w:marBottom w:val="0"/>
          <w:divBdr>
            <w:top w:val="none" w:sz="0" w:space="0" w:color="auto"/>
            <w:left w:val="none" w:sz="0" w:space="0" w:color="auto"/>
            <w:bottom w:val="none" w:sz="0" w:space="0" w:color="auto"/>
            <w:right w:val="none" w:sz="0" w:space="0" w:color="auto"/>
          </w:divBdr>
        </w:div>
        <w:div w:id="1777096994">
          <w:marLeft w:val="0"/>
          <w:marRight w:val="0"/>
          <w:marTop w:val="0"/>
          <w:marBottom w:val="0"/>
          <w:divBdr>
            <w:top w:val="none" w:sz="0" w:space="0" w:color="auto"/>
            <w:left w:val="none" w:sz="0" w:space="0" w:color="auto"/>
            <w:bottom w:val="none" w:sz="0" w:space="0" w:color="auto"/>
            <w:right w:val="none" w:sz="0" w:space="0" w:color="auto"/>
          </w:divBdr>
        </w:div>
        <w:div w:id="262539966">
          <w:marLeft w:val="0"/>
          <w:marRight w:val="0"/>
          <w:marTop w:val="0"/>
          <w:marBottom w:val="0"/>
          <w:divBdr>
            <w:top w:val="none" w:sz="0" w:space="0" w:color="auto"/>
            <w:left w:val="none" w:sz="0" w:space="0" w:color="auto"/>
            <w:bottom w:val="none" w:sz="0" w:space="0" w:color="auto"/>
            <w:right w:val="none" w:sz="0" w:space="0" w:color="auto"/>
          </w:divBdr>
        </w:div>
        <w:div w:id="739518893">
          <w:marLeft w:val="0"/>
          <w:marRight w:val="0"/>
          <w:marTop w:val="0"/>
          <w:marBottom w:val="0"/>
          <w:divBdr>
            <w:top w:val="none" w:sz="0" w:space="0" w:color="auto"/>
            <w:left w:val="none" w:sz="0" w:space="0" w:color="auto"/>
            <w:bottom w:val="none" w:sz="0" w:space="0" w:color="auto"/>
            <w:right w:val="none" w:sz="0" w:space="0" w:color="auto"/>
          </w:divBdr>
        </w:div>
        <w:div w:id="1465855479">
          <w:marLeft w:val="0"/>
          <w:marRight w:val="0"/>
          <w:marTop w:val="0"/>
          <w:marBottom w:val="0"/>
          <w:divBdr>
            <w:top w:val="none" w:sz="0" w:space="0" w:color="auto"/>
            <w:left w:val="none" w:sz="0" w:space="0" w:color="auto"/>
            <w:bottom w:val="none" w:sz="0" w:space="0" w:color="auto"/>
            <w:right w:val="none" w:sz="0" w:space="0" w:color="auto"/>
          </w:divBdr>
        </w:div>
        <w:div w:id="1704206097">
          <w:marLeft w:val="0"/>
          <w:marRight w:val="0"/>
          <w:marTop w:val="0"/>
          <w:marBottom w:val="0"/>
          <w:divBdr>
            <w:top w:val="none" w:sz="0" w:space="0" w:color="auto"/>
            <w:left w:val="none" w:sz="0" w:space="0" w:color="auto"/>
            <w:bottom w:val="none" w:sz="0" w:space="0" w:color="auto"/>
            <w:right w:val="none" w:sz="0" w:space="0" w:color="auto"/>
          </w:divBdr>
        </w:div>
        <w:div w:id="1428306337">
          <w:marLeft w:val="0"/>
          <w:marRight w:val="0"/>
          <w:marTop w:val="0"/>
          <w:marBottom w:val="0"/>
          <w:divBdr>
            <w:top w:val="none" w:sz="0" w:space="0" w:color="auto"/>
            <w:left w:val="none" w:sz="0" w:space="0" w:color="auto"/>
            <w:bottom w:val="none" w:sz="0" w:space="0" w:color="auto"/>
            <w:right w:val="none" w:sz="0" w:space="0" w:color="auto"/>
          </w:divBdr>
        </w:div>
        <w:div w:id="22289624">
          <w:marLeft w:val="0"/>
          <w:marRight w:val="0"/>
          <w:marTop w:val="0"/>
          <w:marBottom w:val="0"/>
          <w:divBdr>
            <w:top w:val="none" w:sz="0" w:space="0" w:color="auto"/>
            <w:left w:val="none" w:sz="0" w:space="0" w:color="auto"/>
            <w:bottom w:val="none" w:sz="0" w:space="0" w:color="auto"/>
            <w:right w:val="none" w:sz="0" w:space="0" w:color="auto"/>
          </w:divBdr>
        </w:div>
        <w:div w:id="319045446">
          <w:marLeft w:val="0"/>
          <w:marRight w:val="0"/>
          <w:marTop w:val="0"/>
          <w:marBottom w:val="0"/>
          <w:divBdr>
            <w:top w:val="none" w:sz="0" w:space="0" w:color="auto"/>
            <w:left w:val="none" w:sz="0" w:space="0" w:color="auto"/>
            <w:bottom w:val="none" w:sz="0" w:space="0" w:color="auto"/>
            <w:right w:val="none" w:sz="0" w:space="0" w:color="auto"/>
          </w:divBdr>
        </w:div>
        <w:div w:id="1887135989">
          <w:marLeft w:val="0"/>
          <w:marRight w:val="0"/>
          <w:marTop w:val="0"/>
          <w:marBottom w:val="0"/>
          <w:divBdr>
            <w:top w:val="none" w:sz="0" w:space="0" w:color="auto"/>
            <w:left w:val="none" w:sz="0" w:space="0" w:color="auto"/>
            <w:bottom w:val="none" w:sz="0" w:space="0" w:color="auto"/>
            <w:right w:val="none" w:sz="0" w:space="0" w:color="auto"/>
          </w:divBdr>
        </w:div>
        <w:div w:id="648510891">
          <w:marLeft w:val="0"/>
          <w:marRight w:val="0"/>
          <w:marTop w:val="0"/>
          <w:marBottom w:val="0"/>
          <w:divBdr>
            <w:top w:val="none" w:sz="0" w:space="0" w:color="auto"/>
            <w:left w:val="none" w:sz="0" w:space="0" w:color="auto"/>
            <w:bottom w:val="none" w:sz="0" w:space="0" w:color="auto"/>
            <w:right w:val="none" w:sz="0" w:space="0" w:color="auto"/>
          </w:divBdr>
        </w:div>
        <w:div w:id="1025399152">
          <w:marLeft w:val="0"/>
          <w:marRight w:val="0"/>
          <w:marTop w:val="0"/>
          <w:marBottom w:val="0"/>
          <w:divBdr>
            <w:top w:val="none" w:sz="0" w:space="0" w:color="auto"/>
            <w:left w:val="none" w:sz="0" w:space="0" w:color="auto"/>
            <w:bottom w:val="none" w:sz="0" w:space="0" w:color="auto"/>
            <w:right w:val="none" w:sz="0" w:space="0" w:color="auto"/>
          </w:divBdr>
        </w:div>
        <w:div w:id="1045373006">
          <w:marLeft w:val="0"/>
          <w:marRight w:val="0"/>
          <w:marTop w:val="0"/>
          <w:marBottom w:val="0"/>
          <w:divBdr>
            <w:top w:val="none" w:sz="0" w:space="0" w:color="auto"/>
            <w:left w:val="none" w:sz="0" w:space="0" w:color="auto"/>
            <w:bottom w:val="none" w:sz="0" w:space="0" w:color="auto"/>
            <w:right w:val="none" w:sz="0" w:space="0" w:color="auto"/>
          </w:divBdr>
        </w:div>
        <w:div w:id="1411584647">
          <w:marLeft w:val="0"/>
          <w:marRight w:val="0"/>
          <w:marTop w:val="0"/>
          <w:marBottom w:val="0"/>
          <w:divBdr>
            <w:top w:val="none" w:sz="0" w:space="0" w:color="auto"/>
            <w:left w:val="none" w:sz="0" w:space="0" w:color="auto"/>
            <w:bottom w:val="none" w:sz="0" w:space="0" w:color="auto"/>
            <w:right w:val="none" w:sz="0" w:space="0" w:color="auto"/>
          </w:divBdr>
        </w:div>
        <w:div w:id="1604534173">
          <w:marLeft w:val="0"/>
          <w:marRight w:val="0"/>
          <w:marTop w:val="0"/>
          <w:marBottom w:val="0"/>
          <w:divBdr>
            <w:top w:val="none" w:sz="0" w:space="0" w:color="auto"/>
            <w:left w:val="none" w:sz="0" w:space="0" w:color="auto"/>
            <w:bottom w:val="none" w:sz="0" w:space="0" w:color="auto"/>
            <w:right w:val="none" w:sz="0" w:space="0" w:color="auto"/>
          </w:divBdr>
        </w:div>
        <w:div w:id="1958683366">
          <w:marLeft w:val="0"/>
          <w:marRight w:val="0"/>
          <w:marTop w:val="0"/>
          <w:marBottom w:val="0"/>
          <w:divBdr>
            <w:top w:val="none" w:sz="0" w:space="0" w:color="auto"/>
            <w:left w:val="none" w:sz="0" w:space="0" w:color="auto"/>
            <w:bottom w:val="none" w:sz="0" w:space="0" w:color="auto"/>
            <w:right w:val="none" w:sz="0" w:space="0" w:color="auto"/>
          </w:divBdr>
        </w:div>
        <w:div w:id="1497839579">
          <w:marLeft w:val="0"/>
          <w:marRight w:val="0"/>
          <w:marTop w:val="0"/>
          <w:marBottom w:val="0"/>
          <w:divBdr>
            <w:top w:val="none" w:sz="0" w:space="0" w:color="auto"/>
            <w:left w:val="none" w:sz="0" w:space="0" w:color="auto"/>
            <w:bottom w:val="none" w:sz="0" w:space="0" w:color="auto"/>
            <w:right w:val="none" w:sz="0" w:space="0" w:color="auto"/>
          </w:divBdr>
        </w:div>
        <w:div w:id="1717312617">
          <w:marLeft w:val="0"/>
          <w:marRight w:val="0"/>
          <w:marTop w:val="0"/>
          <w:marBottom w:val="0"/>
          <w:divBdr>
            <w:top w:val="none" w:sz="0" w:space="0" w:color="auto"/>
            <w:left w:val="none" w:sz="0" w:space="0" w:color="auto"/>
            <w:bottom w:val="none" w:sz="0" w:space="0" w:color="auto"/>
            <w:right w:val="none" w:sz="0" w:space="0" w:color="auto"/>
          </w:divBdr>
        </w:div>
        <w:div w:id="1907953857">
          <w:marLeft w:val="0"/>
          <w:marRight w:val="0"/>
          <w:marTop w:val="0"/>
          <w:marBottom w:val="0"/>
          <w:divBdr>
            <w:top w:val="none" w:sz="0" w:space="0" w:color="auto"/>
            <w:left w:val="none" w:sz="0" w:space="0" w:color="auto"/>
            <w:bottom w:val="none" w:sz="0" w:space="0" w:color="auto"/>
            <w:right w:val="none" w:sz="0" w:space="0" w:color="auto"/>
          </w:divBdr>
        </w:div>
        <w:div w:id="1528637025">
          <w:marLeft w:val="0"/>
          <w:marRight w:val="0"/>
          <w:marTop w:val="0"/>
          <w:marBottom w:val="0"/>
          <w:divBdr>
            <w:top w:val="none" w:sz="0" w:space="0" w:color="auto"/>
            <w:left w:val="none" w:sz="0" w:space="0" w:color="auto"/>
            <w:bottom w:val="none" w:sz="0" w:space="0" w:color="auto"/>
            <w:right w:val="none" w:sz="0" w:space="0" w:color="auto"/>
          </w:divBdr>
        </w:div>
      </w:divsChild>
    </w:div>
    <w:div w:id="1956787595">
      <w:bodyDiv w:val="1"/>
      <w:marLeft w:val="0"/>
      <w:marRight w:val="0"/>
      <w:marTop w:val="0"/>
      <w:marBottom w:val="0"/>
      <w:divBdr>
        <w:top w:val="none" w:sz="0" w:space="0" w:color="auto"/>
        <w:left w:val="none" w:sz="0" w:space="0" w:color="auto"/>
        <w:bottom w:val="none" w:sz="0" w:space="0" w:color="auto"/>
        <w:right w:val="none" w:sz="0" w:space="0" w:color="auto"/>
      </w:divBdr>
      <w:divsChild>
        <w:div w:id="255747273">
          <w:marLeft w:val="0"/>
          <w:marRight w:val="0"/>
          <w:marTop w:val="0"/>
          <w:marBottom w:val="0"/>
          <w:divBdr>
            <w:top w:val="none" w:sz="0" w:space="0" w:color="auto"/>
            <w:left w:val="none" w:sz="0" w:space="0" w:color="auto"/>
            <w:bottom w:val="none" w:sz="0" w:space="0" w:color="auto"/>
            <w:right w:val="none" w:sz="0" w:space="0" w:color="auto"/>
          </w:divBdr>
        </w:div>
        <w:div w:id="150172259">
          <w:marLeft w:val="0"/>
          <w:marRight w:val="0"/>
          <w:marTop w:val="0"/>
          <w:marBottom w:val="0"/>
          <w:divBdr>
            <w:top w:val="none" w:sz="0" w:space="0" w:color="auto"/>
            <w:left w:val="none" w:sz="0" w:space="0" w:color="auto"/>
            <w:bottom w:val="none" w:sz="0" w:space="0" w:color="auto"/>
            <w:right w:val="none" w:sz="0" w:space="0" w:color="auto"/>
          </w:divBdr>
        </w:div>
        <w:div w:id="1874533118">
          <w:marLeft w:val="0"/>
          <w:marRight w:val="0"/>
          <w:marTop w:val="0"/>
          <w:marBottom w:val="0"/>
          <w:divBdr>
            <w:top w:val="none" w:sz="0" w:space="0" w:color="auto"/>
            <w:left w:val="none" w:sz="0" w:space="0" w:color="auto"/>
            <w:bottom w:val="none" w:sz="0" w:space="0" w:color="auto"/>
            <w:right w:val="none" w:sz="0" w:space="0" w:color="auto"/>
          </w:divBdr>
        </w:div>
        <w:div w:id="511072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www.unisdr.org/we/coordinate/sendai-framework" TargetMode="External"/><Relationship Id="rId2" Type="http://schemas.openxmlformats.org/officeDocument/2006/relationships/hyperlink" Target="https://www.agendaforhumanity.org/explore-commitments/indv-commitments?referer=home" TargetMode="External"/><Relationship Id="rId1" Type="http://schemas.openxmlformats.org/officeDocument/2006/relationships/hyperlink" Target="http://humanitariandisabilitycharter.org/" TargetMode="External"/><Relationship Id="rId6" Type="http://schemas.openxmlformats.org/officeDocument/2006/relationships/hyperlink" Target="https://tbinternet.ohchr.org/_layouts/treatybodyexternal/Download.aspx?symbolno=CRPD/C/GC/7&amp;Lang=en" TargetMode="External"/><Relationship Id="rId5" Type="http://schemas.openxmlformats.org/officeDocument/2006/relationships/hyperlink" Target="https://www.gov.uk/government/publications/global-disability-summit-2018-summary-of-commitments" TargetMode="External"/><Relationship Id="rId4" Type="http://schemas.openxmlformats.org/officeDocument/2006/relationships/hyperlink" Target="https://unfccc.int/process-and-meetings/the-paris-agreement/what-is-the-paris-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19444-1AE2-42BC-80F3-6A8D507760A1}"/>
</file>

<file path=customXml/itemProps2.xml><?xml version="1.0" encoding="utf-8"?>
<ds:datastoreItem xmlns:ds="http://schemas.openxmlformats.org/officeDocument/2006/customXml" ds:itemID="{D2D34F4A-AAC0-4362-9E10-92328ACC57D4}">
  <ds:schemaRefs>
    <ds:schemaRef ds:uri="http://schemas.microsoft.com/sharepoint/v3/contenttype/forms"/>
  </ds:schemaRefs>
</ds:datastoreItem>
</file>

<file path=customXml/itemProps3.xml><?xml version="1.0" encoding="utf-8"?>
<ds:datastoreItem xmlns:ds="http://schemas.openxmlformats.org/officeDocument/2006/customXml" ds:itemID="{1A99D625-8F50-41B8-8AEA-B4B1679CF0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2300236-FDCA-AC4C-B15F-F0BAB027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1235</Words>
  <Characters>6798</Characters>
  <Application>Microsoft Office Word</Application>
  <DocSecurity>0</DocSecurity>
  <Lines>56</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Lee</dc:creator>
  <cp:lastModifiedBy>victoria lee</cp:lastModifiedBy>
  <cp:revision>3</cp:revision>
  <cp:lastPrinted>2017-10-16T08:01:00Z</cp:lastPrinted>
  <dcterms:created xsi:type="dcterms:W3CDTF">2020-06-30T13:45:00Z</dcterms:created>
  <dcterms:modified xsi:type="dcterms:W3CDTF">2020-10-26T20:17:00Z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