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80" w:rightFromText="180" w:vertAnchor="text" w:horzAnchor="margin" w:tblpX="-147" w:tblpY="-117"/>
        <w:tblW w:w="16580" w:type="dxa"/>
        <w:tblLook w:val="04A0" w:firstRow="1" w:lastRow="0" w:firstColumn="1" w:lastColumn="0" w:noHBand="0" w:noVBand="1"/>
      </w:tblPr>
      <w:tblGrid>
        <w:gridCol w:w="1054"/>
        <w:gridCol w:w="4618"/>
        <w:gridCol w:w="6663"/>
        <w:gridCol w:w="4245"/>
      </w:tblGrid>
      <w:tr w:rsidR="004827E1" w:rsidRPr="009801E8" w14:paraId="3DE843D9" w14:textId="77777777" w:rsidTr="0075465E">
        <w:tc>
          <w:tcPr>
            <w:tcW w:w="16580" w:type="dxa"/>
            <w:gridSpan w:val="4"/>
            <w:shd w:val="clear" w:color="auto" w:fill="BFBFBF" w:themeFill="background1" w:themeFillShade="BF"/>
          </w:tcPr>
          <w:p w14:paraId="5BF76B9D" w14:textId="04EE3DC9" w:rsidR="004827E1" w:rsidRPr="000A139F" w:rsidRDefault="00E559C4" w:rsidP="00CC37D3">
            <w:pPr>
              <w:jc w:val="center"/>
              <w:rPr>
                <w:rFonts w:cstheme="minorHAnsi"/>
                <w:b/>
                <w:bCs/>
                <w:sz w:val="18"/>
                <w:szCs w:val="18"/>
              </w:rPr>
            </w:pPr>
            <w:r>
              <w:rPr>
                <w:b/>
                <w:bCs/>
                <w:sz w:val="18"/>
                <w:szCs w:val="18"/>
              </w:rPr>
              <w:t>Article 11 – Indicateurs illustratifs sur les situations de risque et les urgences humanitaires</w:t>
            </w:r>
          </w:p>
        </w:tc>
      </w:tr>
      <w:tr w:rsidR="004827E1" w:rsidRPr="009801E8" w14:paraId="450AFFF4" w14:textId="77777777" w:rsidTr="0075465E">
        <w:tc>
          <w:tcPr>
            <w:tcW w:w="16580" w:type="dxa"/>
            <w:gridSpan w:val="4"/>
            <w:shd w:val="clear" w:color="auto" w:fill="auto"/>
          </w:tcPr>
          <w:p w14:paraId="127F9F32" w14:textId="25610F22" w:rsidR="004827E1" w:rsidRPr="00543071" w:rsidRDefault="00E559C4" w:rsidP="000A139F">
            <w:pPr>
              <w:jc w:val="center"/>
              <w:rPr>
                <w:rFonts w:cstheme="minorHAnsi"/>
                <w:b/>
                <w:bCs/>
                <w:sz w:val="18"/>
                <w:szCs w:val="18"/>
              </w:rPr>
            </w:pPr>
            <w:r>
              <w:rPr>
                <w:b/>
                <w:bCs/>
                <w:sz w:val="18"/>
                <w:szCs w:val="18"/>
              </w:rPr>
              <w:t>Protection et sécurité dans les situations à risque, y compris les situations de conflit armé, les urgences humanitaires et les catastrophes naturelles</w:t>
            </w:r>
          </w:p>
        </w:tc>
      </w:tr>
      <w:tr w:rsidR="005F6411" w:rsidRPr="009801E8" w14:paraId="331B8396" w14:textId="77777777" w:rsidTr="005F6411">
        <w:tc>
          <w:tcPr>
            <w:tcW w:w="1054" w:type="dxa"/>
          </w:tcPr>
          <w:p w14:paraId="67F02B21" w14:textId="00C7CC89" w:rsidR="004827E1" w:rsidRPr="000A139F" w:rsidRDefault="004827E1" w:rsidP="009740A9">
            <w:pPr>
              <w:jc w:val="both"/>
              <w:rPr>
                <w:rFonts w:cstheme="minorHAnsi"/>
                <w:b/>
                <w:bCs/>
                <w:sz w:val="18"/>
                <w:szCs w:val="18"/>
              </w:rPr>
            </w:pPr>
            <w:r>
              <w:rPr>
                <w:b/>
                <w:bCs/>
                <w:sz w:val="18"/>
                <w:szCs w:val="18"/>
              </w:rPr>
              <w:t>Attributs/</w:t>
            </w:r>
            <w:r>
              <w:rPr>
                <w:b/>
                <w:bCs/>
                <w:sz w:val="18"/>
                <w:szCs w:val="18"/>
              </w:rPr>
              <w:br/>
              <w:t>Indicateurs</w:t>
            </w:r>
          </w:p>
        </w:tc>
        <w:tc>
          <w:tcPr>
            <w:tcW w:w="4618" w:type="dxa"/>
          </w:tcPr>
          <w:p w14:paraId="03B3716D" w14:textId="77777777" w:rsidR="004827E1" w:rsidRPr="00543071" w:rsidRDefault="004827E1" w:rsidP="000A139F">
            <w:pPr>
              <w:jc w:val="center"/>
              <w:rPr>
                <w:rFonts w:cstheme="minorHAnsi"/>
                <w:b/>
                <w:bCs/>
                <w:sz w:val="18"/>
                <w:szCs w:val="18"/>
              </w:rPr>
            </w:pPr>
            <w:r>
              <w:rPr>
                <w:b/>
                <w:bCs/>
                <w:sz w:val="18"/>
                <w:szCs w:val="18"/>
              </w:rPr>
              <w:t>Prévention et préparation</w:t>
            </w:r>
          </w:p>
        </w:tc>
        <w:tc>
          <w:tcPr>
            <w:tcW w:w="6663" w:type="dxa"/>
          </w:tcPr>
          <w:p w14:paraId="16130D4F" w14:textId="77777777" w:rsidR="004827E1" w:rsidRPr="000A139F" w:rsidRDefault="004827E1" w:rsidP="000A139F">
            <w:pPr>
              <w:jc w:val="center"/>
              <w:rPr>
                <w:rFonts w:cstheme="minorHAnsi"/>
                <w:b/>
                <w:bCs/>
                <w:sz w:val="18"/>
                <w:szCs w:val="18"/>
              </w:rPr>
            </w:pPr>
            <w:r>
              <w:rPr>
                <w:b/>
                <w:bCs/>
                <w:sz w:val="18"/>
                <w:szCs w:val="18"/>
              </w:rPr>
              <w:t>Sauvetage et intervention</w:t>
            </w:r>
          </w:p>
        </w:tc>
        <w:tc>
          <w:tcPr>
            <w:tcW w:w="4245" w:type="dxa"/>
          </w:tcPr>
          <w:p w14:paraId="73F257B4" w14:textId="49F14A8B" w:rsidR="004827E1" w:rsidRPr="000A139F" w:rsidRDefault="004827E1" w:rsidP="000A139F">
            <w:pPr>
              <w:jc w:val="center"/>
              <w:rPr>
                <w:rFonts w:cstheme="minorHAnsi"/>
                <w:b/>
                <w:bCs/>
                <w:sz w:val="18"/>
                <w:szCs w:val="18"/>
              </w:rPr>
            </w:pPr>
            <w:r>
              <w:rPr>
                <w:b/>
                <w:bCs/>
                <w:sz w:val="18"/>
                <w:szCs w:val="18"/>
              </w:rPr>
              <w:t>Rétablissement, reconstruction et réconciliation</w:t>
            </w:r>
          </w:p>
        </w:tc>
      </w:tr>
      <w:tr w:rsidR="004827E1" w:rsidRPr="009801E8" w14:paraId="41D1A807" w14:textId="77777777" w:rsidTr="005F6411">
        <w:tc>
          <w:tcPr>
            <w:tcW w:w="1054" w:type="dxa"/>
            <w:vMerge w:val="restart"/>
          </w:tcPr>
          <w:p w14:paraId="4193DA3F" w14:textId="77777777" w:rsidR="004827E1" w:rsidRPr="000A139F" w:rsidRDefault="004827E1" w:rsidP="000A139F">
            <w:pPr>
              <w:jc w:val="both"/>
              <w:rPr>
                <w:rFonts w:cstheme="minorHAnsi"/>
                <w:b/>
                <w:bCs/>
                <w:sz w:val="18"/>
                <w:szCs w:val="18"/>
              </w:rPr>
            </w:pPr>
            <w:r>
              <w:rPr>
                <w:b/>
                <w:bCs/>
                <w:sz w:val="18"/>
                <w:szCs w:val="18"/>
              </w:rPr>
              <w:t>Structure</w:t>
            </w:r>
          </w:p>
        </w:tc>
        <w:tc>
          <w:tcPr>
            <w:tcW w:w="15526" w:type="dxa"/>
            <w:gridSpan w:val="3"/>
          </w:tcPr>
          <w:p w14:paraId="60288B09" w14:textId="3F8D0B4F" w:rsidR="004827E1" w:rsidRPr="00543071" w:rsidRDefault="004827E1" w:rsidP="00936F40">
            <w:pPr>
              <w:jc w:val="both"/>
              <w:rPr>
                <w:rFonts w:cstheme="minorHAnsi"/>
                <w:bCs/>
                <w:sz w:val="18"/>
                <w:szCs w:val="18"/>
              </w:rPr>
            </w:pPr>
            <w:r>
              <w:rPr>
                <w:bCs/>
                <w:sz w:val="18"/>
                <w:szCs w:val="18"/>
              </w:rPr>
              <w:t>11.1 Ratification des traités internationaux relatifs aux droits de l'homme, au droit humanitaire, au droit des réfugiés et à l'environnement et adoption/approbation des engagements internationaux</w:t>
            </w:r>
            <w:r w:rsidR="000A139F" w:rsidRPr="00543071">
              <w:rPr>
                <w:rStyle w:val="Appeldenotedefin"/>
                <w:rFonts w:cstheme="minorHAnsi"/>
                <w:bCs/>
                <w:sz w:val="18"/>
                <w:szCs w:val="18"/>
              </w:rPr>
              <w:endnoteReference w:id="1"/>
            </w:r>
            <w:r>
              <w:rPr>
                <w:bCs/>
                <w:sz w:val="18"/>
                <w:szCs w:val="18"/>
              </w:rPr>
              <w:t xml:space="preserve"> pertinents pour la protection des </w:t>
            </w:r>
            <w:r w:rsidR="00C431D0">
              <w:rPr>
                <w:bCs/>
                <w:sz w:val="18"/>
                <w:szCs w:val="18"/>
              </w:rPr>
              <w:t>personnes handicapées</w:t>
            </w:r>
            <w:r>
              <w:rPr>
                <w:bCs/>
                <w:sz w:val="18"/>
                <w:szCs w:val="18"/>
              </w:rPr>
              <w:t xml:space="preserve"> dans les situations de risque et d'urgence.</w:t>
            </w:r>
          </w:p>
          <w:p w14:paraId="0E6AC48B" w14:textId="20F7B3BD" w:rsidR="004827E1" w:rsidRPr="00543071" w:rsidRDefault="004827E1" w:rsidP="00936F40">
            <w:pPr>
              <w:jc w:val="both"/>
              <w:rPr>
                <w:rFonts w:cstheme="minorHAnsi"/>
                <w:color w:val="000000"/>
                <w:sz w:val="18"/>
                <w:szCs w:val="18"/>
              </w:rPr>
            </w:pPr>
            <w:r>
              <w:rPr>
                <w:bCs/>
                <w:sz w:val="18"/>
                <w:szCs w:val="18"/>
              </w:rPr>
              <w:t>11.2 Législation</w:t>
            </w:r>
            <w:r>
              <w:rPr>
                <w:sz w:val="18"/>
                <w:szCs w:val="18"/>
              </w:rPr>
              <w:t xml:space="preserve"> </w:t>
            </w:r>
            <w:r>
              <w:rPr>
                <w:color w:val="000000"/>
                <w:sz w:val="18"/>
                <w:szCs w:val="18"/>
              </w:rPr>
              <w:t xml:space="preserve">adoptée incluant et faisant explicitement référence aux </w:t>
            </w:r>
            <w:r w:rsidR="00C431D0">
              <w:rPr>
                <w:color w:val="000000"/>
                <w:sz w:val="18"/>
                <w:szCs w:val="18"/>
              </w:rPr>
              <w:t>personnes handicapées</w:t>
            </w:r>
            <w:r>
              <w:rPr>
                <w:color w:val="000000"/>
                <w:sz w:val="18"/>
                <w:szCs w:val="18"/>
              </w:rPr>
              <w:t xml:space="preserve"> dans la planification et la fourniture de services dans les situations de risque et d'urgence humanitaire, y compris les risques liés au climat, garantissant l'accessibilité des environnements, des communications, des informations et des services à toutes les phases : prévention et préparation, sauvetage, rétablissement, reconstruction et réconciliation. </w:t>
            </w:r>
          </w:p>
          <w:p w14:paraId="6F0DA05A" w14:textId="5E436C1A" w:rsidR="007C0C83" w:rsidRPr="00543071" w:rsidRDefault="007C0C83" w:rsidP="00936F40">
            <w:pPr>
              <w:jc w:val="both"/>
              <w:rPr>
                <w:rFonts w:cstheme="minorHAnsi"/>
                <w:color w:val="000000"/>
                <w:sz w:val="18"/>
                <w:szCs w:val="18"/>
              </w:rPr>
            </w:pPr>
            <w:r>
              <w:rPr>
                <w:sz w:val="18"/>
                <w:szCs w:val="18"/>
              </w:rPr>
              <w:t xml:space="preserve">11.3 Le cas échéant, les accords, la législation et les politiques liés aux conflits internes ou internationaux faisant explicitement référence aux </w:t>
            </w:r>
            <w:r w:rsidR="00C431D0">
              <w:rPr>
                <w:sz w:val="18"/>
                <w:szCs w:val="18"/>
              </w:rPr>
              <w:t>personnes handicapées</w:t>
            </w:r>
            <w:r>
              <w:rPr>
                <w:sz w:val="18"/>
                <w:szCs w:val="18"/>
              </w:rPr>
              <w:t>, y compris celles qui sont devenues des victimes, des réfugiés, des personnes déplacées ou qui ont été autrement touchées, et garantissent leur implication active en tant qu'agents du changement dans l'élaboration et la mise en œuvre de dispositions et de politiques de réponse aux conflits, de rétablissement, de reconstruction et de réconciliation.</w:t>
            </w:r>
          </w:p>
          <w:p w14:paraId="3102CE08" w14:textId="4B9A4106" w:rsidR="004827E1" w:rsidRPr="00543071" w:rsidRDefault="00720ED6" w:rsidP="00936F40">
            <w:pPr>
              <w:jc w:val="both"/>
              <w:rPr>
                <w:rFonts w:cstheme="minorHAnsi"/>
                <w:color w:val="000000"/>
                <w:sz w:val="18"/>
                <w:szCs w:val="18"/>
              </w:rPr>
            </w:pPr>
            <w:r>
              <w:rPr>
                <w:color w:val="000000"/>
                <w:sz w:val="18"/>
                <w:szCs w:val="18"/>
              </w:rPr>
              <w:t xml:space="preserve">11.4 Adoption d'une exigence légale pour garantir l'inclusion et la participation des </w:t>
            </w:r>
            <w:r w:rsidR="00C431D0">
              <w:rPr>
                <w:color w:val="000000"/>
                <w:sz w:val="18"/>
                <w:szCs w:val="18"/>
              </w:rPr>
              <w:t>personnes handicapées</w:t>
            </w:r>
            <w:r>
              <w:rPr>
                <w:color w:val="000000"/>
                <w:sz w:val="18"/>
                <w:szCs w:val="18"/>
              </w:rPr>
              <w:t xml:space="preserve"> dans les évaluations des besoins humanitaires, les processus de suivi associés et dans tous les programmes et projets</w:t>
            </w:r>
            <w:r w:rsidR="00D65CA6" w:rsidRPr="00543071">
              <w:rPr>
                <w:rStyle w:val="Appeldenotedefin"/>
                <w:rFonts w:cstheme="minorHAnsi"/>
                <w:color w:val="000000"/>
                <w:sz w:val="18"/>
                <w:szCs w:val="18"/>
              </w:rPr>
              <w:endnoteReference w:id="2"/>
            </w:r>
            <w:r>
              <w:rPr>
                <w:color w:val="000000"/>
                <w:sz w:val="18"/>
                <w:szCs w:val="18"/>
              </w:rPr>
              <w:t xml:space="preserve"> liés aux situations de risque et aux urgences humanitaires, aux risques climatiques et à la réduction des risques de catastrophe.</w:t>
            </w:r>
          </w:p>
          <w:p w14:paraId="53A6D1F6" w14:textId="1CF70633" w:rsidR="00C9317A" w:rsidRPr="00543071" w:rsidRDefault="00720ED6" w:rsidP="00D62D3E">
            <w:pPr>
              <w:contextualSpacing/>
              <w:jc w:val="both"/>
              <w:rPr>
                <w:rFonts w:cstheme="minorHAnsi"/>
                <w:sz w:val="18"/>
                <w:szCs w:val="18"/>
              </w:rPr>
            </w:pPr>
            <w:r>
              <w:rPr>
                <w:sz w:val="18"/>
                <w:szCs w:val="18"/>
              </w:rPr>
              <w:t xml:space="preserve">11.5 Exigence légale selon laquelle toutes les </w:t>
            </w:r>
            <w:proofErr w:type="spellStart"/>
            <w:r>
              <w:rPr>
                <w:sz w:val="18"/>
                <w:szCs w:val="18"/>
              </w:rPr>
              <w:t>microdonnées</w:t>
            </w:r>
            <w:proofErr w:type="spellEnd"/>
            <w:r>
              <w:rPr>
                <w:sz w:val="18"/>
                <w:szCs w:val="18"/>
              </w:rPr>
              <w:t xml:space="preserve"> personnelles collectées à des fins humanitaires</w:t>
            </w:r>
            <w:r w:rsidR="004827E1" w:rsidRPr="00543071">
              <w:rPr>
                <w:rStyle w:val="Appeldenotedefin"/>
                <w:rFonts w:cstheme="minorHAnsi"/>
                <w:sz w:val="18"/>
                <w:szCs w:val="18"/>
              </w:rPr>
              <w:endnoteReference w:id="3"/>
            </w:r>
            <w:r>
              <w:rPr>
                <w:sz w:val="18"/>
                <w:szCs w:val="18"/>
              </w:rPr>
              <w:t xml:space="preserve"> doivent être ventilées par sexe, âge et handicap.</w:t>
            </w:r>
            <w:r w:rsidR="00741262">
              <w:rPr>
                <w:rStyle w:val="Appeldenotedefin"/>
                <w:rFonts w:cstheme="minorHAnsi"/>
                <w:sz w:val="18"/>
                <w:szCs w:val="18"/>
              </w:rPr>
              <w:endnoteReference w:id="4"/>
            </w:r>
          </w:p>
        </w:tc>
      </w:tr>
      <w:tr w:rsidR="005F6411" w:rsidRPr="009801E8" w14:paraId="72CE96BE" w14:textId="77777777" w:rsidTr="005F6411">
        <w:tc>
          <w:tcPr>
            <w:tcW w:w="1054" w:type="dxa"/>
            <w:vMerge/>
          </w:tcPr>
          <w:p w14:paraId="2327F055" w14:textId="77777777" w:rsidR="004827E1" w:rsidRPr="00F35350" w:rsidRDefault="004827E1" w:rsidP="000A139F">
            <w:pPr>
              <w:jc w:val="both"/>
              <w:rPr>
                <w:rFonts w:cstheme="minorHAnsi"/>
                <w:b/>
                <w:bCs/>
                <w:sz w:val="18"/>
                <w:szCs w:val="18"/>
              </w:rPr>
            </w:pPr>
          </w:p>
        </w:tc>
        <w:tc>
          <w:tcPr>
            <w:tcW w:w="11281" w:type="dxa"/>
            <w:gridSpan w:val="2"/>
          </w:tcPr>
          <w:p w14:paraId="4E3BB3E9" w14:textId="2EE4E6BA" w:rsidR="004827E1" w:rsidRPr="00543071" w:rsidRDefault="00720ED6" w:rsidP="00936F40">
            <w:pPr>
              <w:jc w:val="both"/>
              <w:rPr>
                <w:rFonts w:cstheme="minorHAnsi"/>
                <w:bCs/>
                <w:sz w:val="18"/>
                <w:szCs w:val="18"/>
              </w:rPr>
            </w:pPr>
            <w:r>
              <w:rPr>
                <w:bCs/>
                <w:sz w:val="18"/>
                <w:szCs w:val="18"/>
              </w:rPr>
              <w:t>11.6 (idem 10.6) Adoption d'un plan national inclusif de préparation aux catastrophes qui prévoit :</w:t>
            </w:r>
          </w:p>
          <w:p w14:paraId="6371D2F9" w14:textId="775F7CF8" w:rsidR="004827E1" w:rsidRPr="00543071" w:rsidRDefault="004827E1" w:rsidP="007A4B20">
            <w:pPr>
              <w:pStyle w:val="Paragraphedeliste"/>
              <w:numPr>
                <w:ilvl w:val="0"/>
                <w:numId w:val="8"/>
              </w:numPr>
              <w:ind w:left="259" w:hanging="142"/>
              <w:jc w:val="both"/>
              <w:rPr>
                <w:rFonts w:cstheme="minorHAnsi"/>
                <w:bCs/>
                <w:sz w:val="18"/>
                <w:szCs w:val="18"/>
              </w:rPr>
            </w:pPr>
            <w:r>
              <w:rPr>
                <w:bCs/>
                <w:sz w:val="18"/>
                <w:szCs w:val="18"/>
              </w:rPr>
              <w:t>Systèmes d'alerte et protocoles d'évacuation inclusifs et accessibles ;</w:t>
            </w:r>
            <w:r w:rsidR="00037531">
              <w:rPr>
                <w:rStyle w:val="Appeldenotedefin"/>
                <w:rFonts w:cstheme="minorHAnsi"/>
                <w:bCs/>
                <w:sz w:val="18"/>
                <w:szCs w:val="18"/>
                <w:lang w:val="en-US"/>
              </w:rPr>
              <w:endnoteReference w:id="5"/>
            </w:r>
          </w:p>
          <w:p w14:paraId="20B798CA" w14:textId="1AE43AAC" w:rsidR="004827E1" w:rsidRPr="00543071" w:rsidRDefault="004827E1" w:rsidP="007A4B20">
            <w:pPr>
              <w:pStyle w:val="Paragraphedeliste"/>
              <w:numPr>
                <w:ilvl w:val="0"/>
                <w:numId w:val="8"/>
              </w:numPr>
              <w:ind w:left="259" w:hanging="142"/>
              <w:jc w:val="both"/>
              <w:rPr>
                <w:rFonts w:cstheme="minorHAnsi"/>
                <w:bCs/>
                <w:sz w:val="18"/>
                <w:szCs w:val="18"/>
              </w:rPr>
            </w:pPr>
            <w:r>
              <w:rPr>
                <w:sz w:val="18"/>
                <w:szCs w:val="18"/>
              </w:rPr>
              <w:t>Abri, distribution de nourriture et de vêtements, hygiène, accès à l'eau, services de santé et de réadaptation, éducation, création de moyens de subsistance, regroupement familial inclusifs et accessibles ;</w:t>
            </w:r>
          </w:p>
          <w:p w14:paraId="3E6D3A4D" w14:textId="0913ADB1" w:rsidR="004827E1" w:rsidRPr="00543071" w:rsidRDefault="004827E1" w:rsidP="007A4B20">
            <w:pPr>
              <w:pStyle w:val="Paragraphedeliste"/>
              <w:numPr>
                <w:ilvl w:val="0"/>
                <w:numId w:val="8"/>
              </w:numPr>
              <w:ind w:left="259" w:hanging="142"/>
              <w:jc w:val="both"/>
              <w:rPr>
                <w:rFonts w:cstheme="minorHAnsi"/>
                <w:bCs/>
                <w:sz w:val="18"/>
                <w:szCs w:val="18"/>
              </w:rPr>
            </w:pPr>
            <w:r>
              <w:rPr>
                <w:sz w:val="18"/>
                <w:szCs w:val="18"/>
              </w:rPr>
              <w:t>Mesures spécifiques de prévention et de protection contre la violence ;</w:t>
            </w:r>
          </w:p>
          <w:p w14:paraId="7F62694C" w14:textId="74F7C082" w:rsidR="004827E1" w:rsidRPr="00543071" w:rsidRDefault="004827E1" w:rsidP="007A4B20">
            <w:pPr>
              <w:pStyle w:val="Paragraphedeliste"/>
              <w:numPr>
                <w:ilvl w:val="0"/>
                <w:numId w:val="8"/>
              </w:numPr>
              <w:ind w:left="259" w:hanging="142"/>
              <w:jc w:val="both"/>
              <w:rPr>
                <w:rFonts w:cstheme="minorHAnsi"/>
                <w:bCs/>
                <w:sz w:val="18"/>
                <w:szCs w:val="18"/>
              </w:rPr>
            </w:pPr>
            <w:r>
              <w:rPr>
                <w:sz w:val="18"/>
                <w:szCs w:val="18"/>
              </w:rPr>
              <w:t>Prise en charge de l'assistance en direct, des appareils et technologies d'assistance ;</w:t>
            </w:r>
          </w:p>
          <w:p w14:paraId="7D6E73D4" w14:textId="6D9B1597" w:rsidR="004827E1" w:rsidRPr="00543071" w:rsidRDefault="004827E1" w:rsidP="007A4B20">
            <w:pPr>
              <w:pStyle w:val="Paragraphedeliste"/>
              <w:numPr>
                <w:ilvl w:val="0"/>
                <w:numId w:val="8"/>
              </w:numPr>
              <w:ind w:left="259" w:hanging="142"/>
              <w:jc w:val="both"/>
              <w:rPr>
                <w:rFonts w:cstheme="minorHAnsi"/>
                <w:bCs/>
                <w:sz w:val="18"/>
                <w:szCs w:val="18"/>
              </w:rPr>
            </w:pPr>
            <w:r>
              <w:rPr>
                <w:sz w:val="18"/>
                <w:szCs w:val="18"/>
              </w:rPr>
              <w:t xml:space="preserve">Mesures spécifiques concernant les femmes, les enfants, les personnes âgées et les autres </w:t>
            </w:r>
            <w:r w:rsidR="00C431D0">
              <w:rPr>
                <w:sz w:val="18"/>
                <w:szCs w:val="18"/>
              </w:rPr>
              <w:t>personnes handicapées</w:t>
            </w:r>
            <w:r>
              <w:rPr>
                <w:sz w:val="18"/>
                <w:szCs w:val="18"/>
              </w:rPr>
              <w:t xml:space="preserve"> vivant dans des zones à risque, y compris les </w:t>
            </w:r>
            <w:r w:rsidR="00C431D0">
              <w:rPr>
                <w:sz w:val="18"/>
                <w:szCs w:val="18"/>
              </w:rPr>
              <w:t xml:space="preserve">personnes </w:t>
            </w:r>
            <w:r>
              <w:rPr>
                <w:sz w:val="18"/>
                <w:szCs w:val="18"/>
              </w:rPr>
              <w:t>autochtones handicap</w:t>
            </w:r>
            <w:r w:rsidR="00C431D0">
              <w:rPr>
                <w:sz w:val="18"/>
                <w:szCs w:val="18"/>
              </w:rPr>
              <w:t>ées</w:t>
            </w:r>
            <w:r>
              <w:rPr>
                <w:sz w:val="18"/>
                <w:szCs w:val="18"/>
              </w:rPr>
              <w:t>, entre autres groupes.</w:t>
            </w:r>
          </w:p>
        </w:tc>
        <w:tc>
          <w:tcPr>
            <w:tcW w:w="4245" w:type="dxa"/>
          </w:tcPr>
          <w:p w14:paraId="115E8986" w14:textId="4873958E" w:rsidR="004827E1" w:rsidRPr="000A139F" w:rsidRDefault="00720ED6" w:rsidP="00A02F57">
            <w:pPr>
              <w:jc w:val="both"/>
              <w:rPr>
                <w:rFonts w:cstheme="minorHAnsi"/>
                <w:bCs/>
                <w:sz w:val="18"/>
                <w:szCs w:val="18"/>
              </w:rPr>
            </w:pPr>
            <w:r>
              <w:rPr>
                <w:bCs/>
                <w:sz w:val="18"/>
                <w:szCs w:val="18"/>
              </w:rPr>
              <w:t>11.7 Adoption d'un plan national inclusif pour la crise post-humanitaire et le rétablissement et la reconstruction post-catastrophe, mettant en œuvre l'approche « reconstruire en mieux » pour des services, des communications et des environnements inclusifs, culturellement appropriés et accessibles.</w:t>
            </w:r>
            <w:r w:rsidR="004827E1" w:rsidRPr="000A139F">
              <w:rPr>
                <w:rStyle w:val="Appeldenotedefin"/>
                <w:rFonts w:cstheme="minorHAnsi"/>
                <w:bCs/>
                <w:sz w:val="18"/>
                <w:szCs w:val="18"/>
                <w:lang w:val="en-US"/>
              </w:rPr>
              <w:endnoteReference w:id="6"/>
            </w:r>
          </w:p>
        </w:tc>
      </w:tr>
      <w:tr w:rsidR="005F6411" w:rsidRPr="009801E8" w14:paraId="008E218D" w14:textId="77777777" w:rsidTr="005F6411">
        <w:trPr>
          <w:trHeight w:val="512"/>
        </w:trPr>
        <w:tc>
          <w:tcPr>
            <w:tcW w:w="1054" w:type="dxa"/>
            <w:vMerge w:val="restart"/>
          </w:tcPr>
          <w:p w14:paraId="7A79F8A5" w14:textId="77777777" w:rsidR="00E12649" w:rsidRPr="000A139F" w:rsidRDefault="00E12649" w:rsidP="000A139F">
            <w:pPr>
              <w:jc w:val="both"/>
              <w:rPr>
                <w:rFonts w:cstheme="minorHAnsi"/>
                <w:b/>
                <w:bCs/>
                <w:sz w:val="18"/>
                <w:szCs w:val="18"/>
              </w:rPr>
            </w:pPr>
            <w:r>
              <w:rPr>
                <w:b/>
                <w:bCs/>
                <w:sz w:val="18"/>
                <w:szCs w:val="18"/>
              </w:rPr>
              <w:t>Processus</w:t>
            </w:r>
          </w:p>
        </w:tc>
        <w:tc>
          <w:tcPr>
            <w:tcW w:w="4618" w:type="dxa"/>
            <w:vMerge w:val="restart"/>
          </w:tcPr>
          <w:p w14:paraId="050F7BE6" w14:textId="749FB7FE" w:rsidR="00AF79DE" w:rsidRDefault="00E12649" w:rsidP="007F74FA">
            <w:pPr>
              <w:jc w:val="both"/>
              <w:rPr>
                <w:rFonts w:cstheme="minorHAnsi"/>
                <w:bCs/>
                <w:sz w:val="18"/>
                <w:szCs w:val="18"/>
              </w:rPr>
            </w:pPr>
            <w:r>
              <w:rPr>
                <w:bCs/>
                <w:sz w:val="18"/>
                <w:szCs w:val="18"/>
              </w:rPr>
              <w:t xml:space="preserve">11.8 Proportion d'organismes publics chargés de fournir des services de base qui ont élaboré des plans de préparation et d'intervention en cas d'urgence, y compris des plans d'évacuation. </w:t>
            </w:r>
          </w:p>
          <w:p w14:paraId="50A31727" w14:textId="719820C9" w:rsidR="00E12649" w:rsidRPr="00543071" w:rsidRDefault="00E12649" w:rsidP="007F74FA">
            <w:pPr>
              <w:jc w:val="both"/>
              <w:rPr>
                <w:rFonts w:cstheme="minorHAnsi"/>
                <w:bCs/>
                <w:sz w:val="18"/>
                <w:szCs w:val="18"/>
              </w:rPr>
            </w:pPr>
            <w:r>
              <w:rPr>
                <w:bCs/>
                <w:sz w:val="18"/>
                <w:szCs w:val="18"/>
              </w:rPr>
              <w:t xml:space="preserve">11.9 Proportion de documents et de campagnes de sensibilisation et de préparation aux situations d'urgence accessibles à toutes les </w:t>
            </w:r>
            <w:r w:rsidR="00C431D0">
              <w:rPr>
                <w:bCs/>
                <w:sz w:val="18"/>
                <w:szCs w:val="18"/>
              </w:rPr>
              <w:t>personnes handicapées</w:t>
            </w:r>
            <w:r>
              <w:rPr>
                <w:bCs/>
                <w:sz w:val="18"/>
                <w:szCs w:val="18"/>
              </w:rPr>
              <w:t>.</w:t>
            </w:r>
          </w:p>
          <w:p w14:paraId="1BBC073D" w14:textId="005CBB29" w:rsidR="00E12649" w:rsidRDefault="00E12649" w:rsidP="007F74FA">
            <w:pPr>
              <w:jc w:val="both"/>
              <w:rPr>
                <w:rFonts w:cstheme="minorHAnsi"/>
                <w:bCs/>
                <w:sz w:val="18"/>
                <w:szCs w:val="18"/>
              </w:rPr>
            </w:pPr>
            <w:r>
              <w:rPr>
                <w:bCs/>
                <w:sz w:val="18"/>
                <w:szCs w:val="18"/>
              </w:rPr>
              <w:t>11.10 Proportion de personnel de protection civile, de sauvetage et d'urgence, d'acteurs humanitaires et de membres des forces de sécurité formés aux systèmes d'évacuation et d'alerte précoce inclusifs.</w:t>
            </w:r>
          </w:p>
          <w:p w14:paraId="176E815C" w14:textId="742EC49D" w:rsidR="00775B3A" w:rsidRPr="00ED2213" w:rsidRDefault="007844C8" w:rsidP="001E1536">
            <w:pPr>
              <w:jc w:val="both"/>
              <w:rPr>
                <w:rFonts w:cstheme="minorHAnsi"/>
                <w:bCs/>
                <w:sz w:val="18"/>
                <w:szCs w:val="18"/>
              </w:rPr>
            </w:pPr>
            <w:r>
              <w:rPr>
                <w:bCs/>
                <w:sz w:val="18"/>
                <w:szCs w:val="18"/>
              </w:rPr>
              <w:t xml:space="preserve">11.11 Proportion du budget alloué et engagé pour la conception et la mise en œuvre de mesures de prévention et de préparation incluant les </w:t>
            </w:r>
            <w:r w:rsidR="00C431D0">
              <w:rPr>
                <w:bCs/>
                <w:sz w:val="18"/>
                <w:szCs w:val="18"/>
              </w:rPr>
              <w:t>personnes handicapées</w:t>
            </w:r>
            <w:r>
              <w:rPr>
                <w:bCs/>
                <w:sz w:val="18"/>
                <w:szCs w:val="18"/>
              </w:rPr>
              <w:t>.</w:t>
            </w:r>
            <w:r w:rsidR="001D3344">
              <w:rPr>
                <w:rStyle w:val="Appeldenotedefin"/>
                <w:rFonts w:cstheme="minorHAnsi"/>
                <w:bCs/>
                <w:sz w:val="18"/>
                <w:szCs w:val="18"/>
              </w:rPr>
              <w:endnoteReference w:id="7"/>
            </w:r>
            <w:r>
              <w:rPr>
                <w:bCs/>
                <w:sz w:val="18"/>
                <w:szCs w:val="18"/>
              </w:rPr>
              <w:t xml:space="preserve"> </w:t>
            </w:r>
          </w:p>
        </w:tc>
        <w:tc>
          <w:tcPr>
            <w:tcW w:w="10908" w:type="dxa"/>
            <w:gridSpan w:val="2"/>
          </w:tcPr>
          <w:p w14:paraId="369B5810" w14:textId="4139B625" w:rsidR="00E12649" w:rsidRPr="000A139F" w:rsidRDefault="00720ED6" w:rsidP="00D62D3E">
            <w:pPr>
              <w:jc w:val="both"/>
              <w:rPr>
                <w:rFonts w:cstheme="minorHAnsi"/>
                <w:bCs/>
                <w:sz w:val="18"/>
                <w:szCs w:val="18"/>
              </w:rPr>
            </w:pPr>
            <w:r>
              <w:rPr>
                <w:bCs/>
                <w:sz w:val="18"/>
                <w:szCs w:val="18"/>
              </w:rPr>
              <w:t xml:space="preserve">11.12 Nombre et proportion de </w:t>
            </w:r>
            <w:r w:rsidR="00C431D0">
              <w:rPr>
                <w:bCs/>
                <w:sz w:val="18"/>
                <w:szCs w:val="18"/>
              </w:rPr>
              <w:t>personnes handicapées</w:t>
            </w:r>
            <w:r>
              <w:rPr>
                <w:bCs/>
                <w:sz w:val="18"/>
                <w:szCs w:val="18"/>
              </w:rPr>
              <w:t xml:space="preserve"> bénéficiant de politiques et de programmes (par exemple, assistance alimentaire, recherche et réunification des familles, moyens de subsistance, programmes et interventions WASH, soutien psychosocial), ventilés par sexe, âge, handicap et</w:t>
            </w:r>
            <w:r>
              <w:rPr>
                <w:sz w:val="18"/>
                <w:szCs w:val="18"/>
              </w:rPr>
              <w:t xml:space="preserve"> </w:t>
            </w:r>
            <w:r>
              <w:rPr>
                <w:color w:val="000000"/>
                <w:sz w:val="18"/>
                <w:szCs w:val="18"/>
              </w:rPr>
              <w:t>type de mesure (générale ou spécifique au handicap).</w:t>
            </w:r>
            <w:r>
              <w:rPr>
                <w:bCs/>
                <w:sz w:val="18"/>
                <w:szCs w:val="18"/>
              </w:rPr>
              <w:t xml:space="preserve"> </w:t>
            </w:r>
          </w:p>
        </w:tc>
      </w:tr>
      <w:tr w:rsidR="005F6411" w:rsidRPr="009801E8" w14:paraId="2800C6AC" w14:textId="77777777" w:rsidTr="005F6411">
        <w:trPr>
          <w:trHeight w:val="1494"/>
        </w:trPr>
        <w:tc>
          <w:tcPr>
            <w:tcW w:w="1054" w:type="dxa"/>
            <w:vMerge/>
          </w:tcPr>
          <w:p w14:paraId="4E1291D0" w14:textId="77777777" w:rsidR="00E12649" w:rsidRPr="00F35350" w:rsidRDefault="00E12649" w:rsidP="000A139F">
            <w:pPr>
              <w:jc w:val="both"/>
              <w:rPr>
                <w:rFonts w:cstheme="minorHAnsi"/>
                <w:b/>
                <w:bCs/>
                <w:sz w:val="18"/>
                <w:szCs w:val="18"/>
              </w:rPr>
            </w:pPr>
          </w:p>
        </w:tc>
        <w:tc>
          <w:tcPr>
            <w:tcW w:w="4618" w:type="dxa"/>
            <w:vMerge/>
          </w:tcPr>
          <w:p w14:paraId="3970B780" w14:textId="77777777" w:rsidR="00E12649" w:rsidRPr="00F35350" w:rsidRDefault="00E12649" w:rsidP="00936F40">
            <w:pPr>
              <w:jc w:val="both"/>
              <w:rPr>
                <w:rFonts w:cstheme="minorHAnsi"/>
                <w:bCs/>
                <w:sz w:val="18"/>
                <w:szCs w:val="18"/>
              </w:rPr>
            </w:pPr>
          </w:p>
        </w:tc>
        <w:tc>
          <w:tcPr>
            <w:tcW w:w="6663" w:type="dxa"/>
          </w:tcPr>
          <w:p w14:paraId="5BC541D2" w14:textId="5E0D6DB3" w:rsidR="00E12649" w:rsidRDefault="00720ED6" w:rsidP="00E12649">
            <w:pPr>
              <w:jc w:val="both"/>
              <w:rPr>
                <w:rFonts w:cstheme="minorHAnsi"/>
                <w:bCs/>
                <w:sz w:val="18"/>
                <w:szCs w:val="18"/>
              </w:rPr>
            </w:pPr>
            <w:r>
              <w:rPr>
                <w:bCs/>
                <w:sz w:val="18"/>
                <w:szCs w:val="18"/>
              </w:rPr>
              <w:t xml:space="preserve">11.13 Nombre de </w:t>
            </w:r>
            <w:r w:rsidR="00C431D0">
              <w:rPr>
                <w:bCs/>
                <w:sz w:val="18"/>
                <w:szCs w:val="18"/>
              </w:rPr>
              <w:t>personnes handicapées</w:t>
            </w:r>
            <w:r>
              <w:rPr>
                <w:bCs/>
                <w:sz w:val="18"/>
                <w:szCs w:val="18"/>
              </w:rPr>
              <w:t xml:space="preserve"> qui avaient accès à un abri dans les centres d'évacuation et proportion qu'elles représentent du total des bénéficiaires, ventilées par sexe, âge et handicap. </w:t>
            </w:r>
          </w:p>
          <w:p w14:paraId="397B0DD9" w14:textId="44365813" w:rsidR="00E12649" w:rsidRDefault="00720ED6" w:rsidP="00E12649">
            <w:pPr>
              <w:jc w:val="both"/>
              <w:rPr>
                <w:rFonts w:cstheme="minorHAnsi"/>
                <w:bCs/>
                <w:sz w:val="18"/>
                <w:szCs w:val="18"/>
              </w:rPr>
            </w:pPr>
            <w:r>
              <w:rPr>
                <w:bCs/>
                <w:sz w:val="18"/>
                <w:szCs w:val="18"/>
              </w:rPr>
              <w:t xml:space="preserve">11.14 Proportion des dépenses de secours et d'aide d'urgence affectées spécifiquement à assurer des programmes et des services inclusifs et accessibles aux </w:t>
            </w:r>
            <w:r w:rsidR="00C431D0">
              <w:rPr>
                <w:bCs/>
                <w:sz w:val="18"/>
                <w:szCs w:val="18"/>
              </w:rPr>
              <w:t>personnes handicapées</w:t>
            </w:r>
            <w:r>
              <w:rPr>
                <w:bCs/>
                <w:sz w:val="18"/>
                <w:szCs w:val="18"/>
              </w:rPr>
              <w:t xml:space="preserve">. </w:t>
            </w:r>
          </w:p>
          <w:p w14:paraId="40CF21A3" w14:textId="73CD3883" w:rsidR="00E12649" w:rsidRDefault="00720ED6" w:rsidP="00E12649">
            <w:pPr>
              <w:jc w:val="both"/>
              <w:rPr>
                <w:rFonts w:cstheme="minorHAnsi"/>
                <w:bCs/>
                <w:sz w:val="18"/>
                <w:szCs w:val="18"/>
              </w:rPr>
            </w:pPr>
            <w:r>
              <w:rPr>
                <w:bCs/>
                <w:sz w:val="18"/>
                <w:szCs w:val="18"/>
              </w:rPr>
              <w:t>11.15 Proportion de victimes de violences sexuelles et autres qui ont accédé à des services médicaux, psychosociaux et juridiques appropriés par sexe, âge et handicap.</w:t>
            </w:r>
          </w:p>
          <w:p w14:paraId="343C6DC3" w14:textId="73DDA7E4" w:rsidR="00E12649" w:rsidRDefault="00720ED6" w:rsidP="009624A1">
            <w:pPr>
              <w:jc w:val="both"/>
              <w:rPr>
                <w:rFonts w:cstheme="minorHAnsi"/>
                <w:bCs/>
                <w:sz w:val="18"/>
                <w:szCs w:val="18"/>
              </w:rPr>
            </w:pPr>
            <w:r>
              <w:rPr>
                <w:bCs/>
                <w:sz w:val="18"/>
                <w:szCs w:val="18"/>
              </w:rPr>
              <w:t xml:space="preserve">11.16 Proportion de </w:t>
            </w:r>
            <w:r w:rsidR="00C431D0">
              <w:rPr>
                <w:bCs/>
                <w:sz w:val="18"/>
                <w:szCs w:val="18"/>
              </w:rPr>
              <w:t>personnes handicapées</w:t>
            </w:r>
            <w:r>
              <w:rPr>
                <w:bCs/>
                <w:sz w:val="18"/>
                <w:szCs w:val="18"/>
              </w:rPr>
              <w:t xml:space="preserve"> qui ont bénéficié de programmes d'autonomisation économique et d'éducation</w:t>
            </w:r>
            <w:r w:rsidR="002F071E" w:rsidRPr="000A139F">
              <w:rPr>
                <w:rStyle w:val="Appeldenotedefin"/>
                <w:rFonts w:cstheme="minorHAnsi"/>
                <w:bCs/>
                <w:sz w:val="18"/>
                <w:szCs w:val="18"/>
                <w:lang w:val="en-US"/>
              </w:rPr>
              <w:endnoteReference w:id="8"/>
            </w:r>
            <w:r>
              <w:rPr>
                <w:bCs/>
                <w:sz w:val="18"/>
                <w:szCs w:val="18"/>
              </w:rPr>
              <w:t xml:space="preserve"> dans le contexte d'une crise prolongée. </w:t>
            </w:r>
          </w:p>
        </w:tc>
        <w:tc>
          <w:tcPr>
            <w:tcW w:w="4245" w:type="dxa"/>
          </w:tcPr>
          <w:p w14:paraId="33337712" w14:textId="197ED19D" w:rsidR="00E70E47" w:rsidRDefault="00E12649" w:rsidP="00E12649">
            <w:pPr>
              <w:jc w:val="both"/>
              <w:rPr>
                <w:rFonts w:cstheme="minorHAnsi"/>
                <w:bCs/>
                <w:sz w:val="18"/>
                <w:szCs w:val="18"/>
              </w:rPr>
            </w:pPr>
            <w:r>
              <w:rPr>
                <w:bCs/>
                <w:sz w:val="18"/>
                <w:szCs w:val="18"/>
              </w:rPr>
              <w:t xml:space="preserve">11.17 Nombre et proportion de mécanismes de responsabilisation liés à la résolution et au rétablissement des conflits/situations d'urgence/catastrophes et post-conflit/situations d'urgence/catastrophes </w:t>
            </w:r>
            <w:r w:rsidRPr="000A139F">
              <w:rPr>
                <w:rStyle w:val="Appeldenotedefin"/>
                <w:rFonts w:cstheme="minorHAnsi"/>
                <w:bCs/>
                <w:sz w:val="18"/>
                <w:szCs w:val="18"/>
                <w:lang w:val="en-US"/>
              </w:rPr>
              <w:endnoteReference w:id="9"/>
            </w:r>
            <w:r>
              <w:rPr>
                <w:bCs/>
                <w:sz w:val="18"/>
                <w:szCs w:val="18"/>
              </w:rPr>
              <w:t xml:space="preserve"> accessibles, culturellement appropriés et inclusifs des </w:t>
            </w:r>
            <w:r w:rsidR="00C431D0">
              <w:rPr>
                <w:bCs/>
                <w:sz w:val="18"/>
                <w:szCs w:val="18"/>
              </w:rPr>
              <w:t>personnes handicapées</w:t>
            </w:r>
            <w:r>
              <w:rPr>
                <w:bCs/>
                <w:sz w:val="18"/>
                <w:szCs w:val="18"/>
              </w:rPr>
              <w:t>.</w:t>
            </w:r>
          </w:p>
          <w:p w14:paraId="0D4B9787" w14:textId="313C2A36" w:rsidR="00E12649" w:rsidRDefault="00E70E47" w:rsidP="00720ED6">
            <w:pPr>
              <w:jc w:val="both"/>
              <w:rPr>
                <w:rFonts w:cstheme="minorHAnsi"/>
                <w:bCs/>
                <w:sz w:val="18"/>
                <w:szCs w:val="18"/>
              </w:rPr>
            </w:pPr>
            <w:r>
              <w:rPr>
                <w:bCs/>
                <w:sz w:val="18"/>
                <w:szCs w:val="18"/>
              </w:rPr>
              <w:t xml:space="preserve">11.18 Proportion des dépenses consacrées aux programmes, services et infrastructures dans le contexte du rétablissement, de la reconstruction et de la réconciliation inclusifs, culturellement appropriés et accessibles aux </w:t>
            </w:r>
            <w:r w:rsidR="00C431D0">
              <w:rPr>
                <w:bCs/>
                <w:sz w:val="18"/>
                <w:szCs w:val="18"/>
              </w:rPr>
              <w:t>personnes handicapées</w:t>
            </w:r>
            <w:r>
              <w:rPr>
                <w:bCs/>
                <w:sz w:val="18"/>
                <w:szCs w:val="18"/>
              </w:rPr>
              <w:t>.</w:t>
            </w:r>
          </w:p>
        </w:tc>
      </w:tr>
      <w:tr w:rsidR="00E12649" w:rsidRPr="009801E8" w14:paraId="44F07CCB" w14:textId="77777777" w:rsidTr="005F6411">
        <w:trPr>
          <w:trHeight w:val="841"/>
        </w:trPr>
        <w:tc>
          <w:tcPr>
            <w:tcW w:w="1054" w:type="dxa"/>
            <w:vMerge/>
          </w:tcPr>
          <w:p w14:paraId="67A9D97D" w14:textId="77777777" w:rsidR="00E12649" w:rsidRPr="00F35350" w:rsidRDefault="00E12649" w:rsidP="000A139F">
            <w:pPr>
              <w:jc w:val="both"/>
              <w:rPr>
                <w:rFonts w:cstheme="minorHAnsi"/>
                <w:bCs/>
                <w:sz w:val="18"/>
                <w:szCs w:val="18"/>
              </w:rPr>
            </w:pPr>
          </w:p>
        </w:tc>
        <w:tc>
          <w:tcPr>
            <w:tcW w:w="15526" w:type="dxa"/>
            <w:gridSpan w:val="3"/>
          </w:tcPr>
          <w:p w14:paraId="7A09843F" w14:textId="6C2C199B" w:rsidR="00E12649" w:rsidRPr="00543071" w:rsidRDefault="00E12649" w:rsidP="00936F40">
            <w:pPr>
              <w:jc w:val="both"/>
              <w:rPr>
                <w:rFonts w:cstheme="minorHAnsi"/>
                <w:sz w:val="18"/>
                <w:szCs w:val="18"/>
              </w:rPr>
            </w:pPr>
            <w:r>
              <w:rPr>
                <w:bCs/>
                <w:sz w:val="18"/>
                <w:szCs w:val="18"/>
              </w:rPr>
              <w:t>11.19 Nombre de formations pour les organisations, agences, communautés responsables des services humanitaires</w:t>
            </w:r>
            <w:r w:rsidRPr="00543071">
              <w:rPr>
                <w:rStyle w:val="Appeldenotedefin"/>
                <w:rFonts w:cstheme="minorHAnsi"/>
                <w:bCs/>
                <w:sz w:val="18"/>
                <w:szCs w:val="18"/>
                <w:lang w:val="en-US"/>
              </w:rPr>
              <w:endnoteReference w:id="10"/>
            </w:r>
            <w:r>
              <w:rPr>
                <w:sz w:val="18"/>
                <w:szCs w:val="18"/>
              </w:rPr>
              <w:t xml:space="preserve"> intervenant dans les situations d'urgence afin d'assurer des services et des programmes accessibles et inclusifs et l'inclusion et la participation des </w:t>
            </w:r>
            <w:r w:rsidR="00C431D0">
              <w:rPr>
                <w:sz w:val="18"/>
                <w:szCs w:val="18"/>
              </w:rPr>
              <w:t>personnes handicapées</w:t>
            </w:r>
            <w:r>
              <w:rPr>
                <w:sz w:val="18"/>
                <w:szCs w:val="18"/>
              </w:rPr>
              <w:t xml:space="preserve"> à toutes les étapes de la planification, de la préparation, de l'intervention et du rétablissement.</w:t>
            </w:r>
          </w:p>
          <w:p w14:paraId="5A236982" w14:textId="59C56FC0" w:rsidR="00E12649" w:rsidRPr="00543071" w:rsidRDefault="00EE49FC" w:rsidP="00936F40">
            <w:pPr>
              <w:jc w:val="both"/>
              <w:rPr>
                <w:rFonts w:cstheme="minorHAnsi"/>
                <w:sz w:val="18"/>
                <w:szCs w:val="18"/>
              </w:rPr>
            </w:pPr>
            <w:r>
              <w:rPr>
                <w:sz w:val="18"/>
                <w:szCs w:val="18"/>
              </w:rPr>
              <w:t xml:space="preserve">11.20 Processus de consultation entrepris pour assurer la participation active des </w:t>
            </w:r>
            <w:r w:rsidR="00C431D0">
              <w:rPr>
                <w:sz w:val="18"/>
                <w:szCs w:val="18"/>
              </w:rPr>
              <w:t>personnes handicapées</w:t>
            </w:r>
            <w:r>
              <w:rPr>
                <w:sz w:val="18"/>
                <w:szCs w:val="18"/>
              </w:rPr>
              <w:t xml:space="preserve">, en particulier dans les camps de réfugiés et de personnes déplacées, </w:t>
            </w:r>
            <w:r>
              <w:rPr>
                <w:color w:val="444444"/>
                <w:sz w:val="18"/>
                <w:szCs w:val="18"/>
              </w:rPr>
              <w:t>notamment</w:t>
            </w:r>
            <w:r>
              <w:rPr>
                <w:sz w:val="18"/>
                <w:szCs w:val="18"/>
              </w:rPr>
              <w:t xml:space="preserve"> par l</w:t>
            </w:r>
            <w:r w:rsidR="00C431D0">
              <w:rPr>
                <w:sz w:val="18"/>
                <w:szCs w:val="18"/>
              </w:rPr>
              <w:t xml:space="preserve">’intermédiaire </w:t>
            </w:r>
            <w:r>
              <w:rPr>
                <w:sz w:val="18"/>
                <w:szCs w:val="18"/>
              </w:rPr>
              <w:t>de</w:t>
            </w:r>
            <w:r w:rsidR="00C431D0">
              <w:rPr>
                <w:sz w:val="18"/>
                <w:szCs w:val="18"/>
              </w:rPr>
              <w:t>s</w:t>
            </w:r>
            <w:r>
              <w:rPr>
                <w:sz w:val="18"/>
                <w:szCs w:val="18"/>
              </w:rPr>
              <w:t xml:space="preserve"> organisations </w:t>
            </w:r>
            <w:r w:rsidR="00C431D0">
              <w:rPr>
                <w:sz w:val="18"/>
                <w:szCs w:val="18"/>
              </w:rPr>
              <w:t xml:space="preserve">qui les </w:t>
            </w:r>
            <w:r>
              <w:rPr>
                <w:sz w:val="18"/>
                <w:szCs w:val="18"/>
              </w:rPr>
              <w:t>représent</w:t>
            </w:r>
            <w:r w:rsidR="00C431D0">
              <w:rPr>
                <w:sz w:val="18"/>
                <w:szCs w:val="18"/>
              </w:rPr>
              <w:t>ent</w:t>
            </w:r>
            <w:r>
              <w:rPr>
                <w:sz w:val="18"/>
                <w:szCs w:val="18"/>
              </w:rPr>
              <w:t>, dans la conception, la mise en œuvre et le suivi des lois, règlements, politiques et programmes, liés à la planification et la coordination des initiatives humanitaires et d'urgence, d'intervention et de rétablissement.</w:t>
            </w:r>
            <w:r w:rsidR="00E12649" w:rsidRPr="00543071">
              <w:rPr>
                <w:rStyle w:val="Appeldenotedefin"/>
                <w:rFonts w:cstheme="minorHAnsi"/>
                <w:sz w:val="18"/>
                <w:szCs w:val="18"/>
              </w:rPr>
              <w:endnoteReference w:id="11"/>
            </w:r>
          </w:p>
          <w:p w14:paraId="1B938D8D" w14:textId="065CF3A4" w:rsidR="00E12649" w:rsidRPr="00543071" w:rsidRDefault="00EE49FC" w:rsidP="00936F40">
            <w:pPr>
              <w:jc w:val="both"/>
              <w:rPr>
                <w:rFonts w:cstheme="minorHAnsi"/>
                <w:bCs/>
                <w:sz w:val="18"/>
                <w:szCs w:val="18"/>
              </w:rPr>
            </w:pPr>
            <w:r>
              <w:rPr>
                <w:bCs/>
                <w:sz w:val="18"/>
                <w:szCs w:val="18"/>
              </w:rPr>
              <w:t xml:space="preserve">11.21 Nombre et proportion de </w:t>
            </w:r>
            <w:r w:rsidR="00C431D0">
              <w:rPr>
                <w:bCs/>
                <w:sz w:val="18"/>
                <w:szCs w:val="18"/>
              </w:rPr>
              <w:t>personnes handicapées</w:t>
            </w:r>
            <w:r>
              <w:rPr>
                <w:bCs/>
                <w:sz w:val="18"/>
                <w:szCs w:val="18"/>
              </w:rPr>
              <w:t xml:space="preserve"> au sein des mécanismes de coordination et qui participent à la prise de décisions concernant la préparation, l’intervention et le rétablissement humanitaires, ventilées par sexe, âge et handicap.</w:t>
            </w:r>
          </w:p>
          <w:p w14:paraId="06AA0E3A" w14:textId="6D6B4AE6" w:rsidR="00E12649" w:rsidRPr="00543071" w:rsidRDefault="00EE49FC" w:rsidP="00560CAC">
            <w:pPr>
              <w:jc w:val="both"/>
              <w:rPr>
                <w:rFonts w:cstheme="minorHAnsi"/>
                <w:sz w:val="18"/>
                <w:szCs w:val="18"/>
              </w:rPr>
            </w:pPr>
            <w:r>
              <w:rPr>
                <w:sz w:val="18"/>
                <w:szCs w:val="18"/>
              </w:rPr>
              <w:t xml:space="preserve">11.22 Proportion de plaintes reçues alléguant des violences contre des </w:t>
            </w:r>
            <w:r w:rsidR="00C431D0">
              <w:rPr>
                <w:sz w:val="18"/>
                <w:szCs w:val="18"/>
              </w:rPr>
              <w:t>personnes handicapées</w:t>
            </w:r>
            <w:r>
              <w:rPr>
                <w:sz w:val="18"/>
                <w:szCs w:val="18"/>
              </w:rPr>
              <w:t>, de la discrimination fondée sur le handicap ou impliquant autrement enfants et adultes handicap</w:t>
            </w:r>
            <w:r w:rsidR="00C431D0">
              <w:rPr>
                <w:sz w:val="18"/>
                <w:szCs w:val="18"/>
              </w:rPr>
              <w:t>és</w:t>
            </w:r>
            <w:r>
              <w:rPr>
                <w:sz w:val="18"/>
                <w:szCs w:val="18"/>
              </w:rPr>
              <w:t xml:space="preserve"> dans des situations de conflit et post-conflit ou d'urgence qui ont fait l'objet d'une enquête et d'une décision ; proportion de celles jugées en faveur du plaignant ; et proportion de ces dernières qui ont été respectées par le gouvernement et/ou le détenteur d'obligations ; à chaque fois ventilée par type de mécanisme.</w:t>
            </w:r>
          </w:p>
        </w:tc>
      </w:tr>
      <w:tr w:rsidR="004827E1" w:rsidRPr="009801E8" w14:paraId="38C42AE2" w14:textId="77777777" w:rsidTr="005F6411">
        <w:tc>
          <w:tcPr>
            <w:tcW w:w="1054" w:type="dxa"/>
          </w:tcPr>
          <w:p w14:paraId="58F05AA6" w14:textId="77777777" w:rsidR="004827E1" w:rsidRPr="000A139F" w:rsidRDefault="004827E1" w:rsidP="000A139F">
            <w:pPr>
              <w:jc w:val="both"/>
              <w:rPr>
                <w:rFonts w:cstheme="minorHAnsi"/>
                <w:b/>
                <w:bCs/>
                <w:sz w:val="18"/>
                <w:szCs w:val="18"/>
              </w:rPr>
            </w:pPr>
            <w:r>
              <w:rPr>
                <w:b/>
                <w:bCs/>
                <w:sz w:val="18"/>
                <w:szCs w:val="18"/>
              </w:rPr>
              <w:t>Résultats</w:t>
            </w:r>
          </w:p>
        </w:tc>
        <w:tc>
          <w:tcPr>
            <w:tcW w:w="15526" w:type="dxa"/>
            <w:gridSpan w:val="3"/>
          </w:tcPr>
          <w:p w14:paraId="17D28985" w14:textId="5AFCE44A" w:rsidR="004827E1" w:rsidRPr="00543071" w:rsidRDefault="00EE49FC" w:rsidP="00936F40">
            <w:pPr>
              <w:jc w:val="both"/>
              <w:rPr>
                <w:rFonts w:eastAsia="Times New Roman" w:cstheme="minorHAnsi"/>
                <w:sz w:val="18"/>
                <w:szCs w:val="18"/>
              </w:rPr>
            </w:pPr>
            <w:r>
              <w:rPr>
                <w:sz w:val="18"/>
                <w:szCs w:val="18"/>
              </w:rPr>
              <w:t xml:space="preserve">11.23 </w:t>
            </w:r>
            <w:r w:rsidR="00C63377" w:rsidRPr="00C63377">
              <w:rPr>
                <w:sz w:val="18"/>
                <w:szCs w:val="18"/>
              </w:rPr>
              <w:t xml:space="preserve">Nombre de personnes décédées, disparues ou directement touchées lors de catastrophes, pour 100 000 personnes </w:t>
            </w:r>
            <w:r>
              <w:rPr>
                <w:sz w:val="18"/>
                <w:szCs w:val="18"/>
              </w:rPr>
              <w:t>(indicateur ODD 1.5.1), ventilé par sexe, âge et handicap.</w:t>
            </w:r>
          </w:p>
          <w:p w14:paraId="02F2666C" w14:textId="4423BEEF" w:rsidR="004827E1" w:rsidRPr="00543071" w:rsidRDefault="00EE49FC" w:rsidP="00D01193">
            <w:pPr>
              <w:ind w:left="3600" w:hanging="3600"/>
              <w:jc w:val="both"/>
              <w:rPr>
                <w:rFonts w:cstheme="minorHAnsi"/>
                <w:bCs/>
                <w:sz w:val="18"/>
                <w:szCs w:val="18"/>
              </w:rPr>
            </w:pPr>
            <w:r>
              <w:rPr>
                <w:bCs/>
                <w:sz w:val="18"/>
                <w:szCs w:val="18"/>
              </w:rPr>
              <w:t>11.24 Proportion de bénéficiaires d'aide handicap</w:t>
            </w:r>
            <w:r w:rsidR="00C431D0">
              <w:rPr>
                <w:bCs/>
                <w:sz w:val="18"/>
                <w:szCs w:val="18"/>
              </w:rPr>
              <w:t>és</w:t>
            </w:r>
            <w:r>
              <w:rPr>
                <w:bCs/>
                <w:sz w:val="18"/>
                <w:szCs w:val="18"/>
              </w:rPr>
              <w:t xml:space="preserve">, par rapport à la proportion de </w:t>
            </w:r>
            <w:r w:rsidR="00C431D0">
              <w:rPr>
                <w:bCs/>
                <w:sz w:val="18"/>
                <w:szCs w:val="18"/>
              </w:rPr>
              <w:t>personnes handicapées</w:t>
            </w:r>
            <w:r>
              <w:rPr>
                <w:bCs/>
                <w:sz w:val="18"/>
                <w:szCs w:val="18"/>
              </w:rPr>
              <w:t xml:space="preserve"> dans la population, par sexe, âge et handicap.</w:t>
            </w:r>
          </w:p>
          <w:p w14:paraId="284FEC11" w14:textId="5D03FD4C" w:rsidR="004827E1" w:rsidRPr="00543071" w:rsidRDefault="00EE49FC" w:rsidP="00D01193">
            <w:pPr>
              <w:ind w:left="3600" w:hanging="3600"/>
              <w:jc w:val="both"/>
              <w:rPr>
                <w:rFonts w:cstheme="minorHAnsi"/>
                <w:bCs/>
                <w:sz w:val="18"/>
                <w:szCs w:val="18"/>
              </w:rPr>
            </w:pPr>
            <w:r>
              <w:rPr>
                <w:bCs/>
                <w:sz w:val="18"/>
                <w:szCs w:val="18"/>
              </w:rPr>
              <w:t xml:space="preserve">11.25 Proportion de </w:t>
            </w:r>
            <w:r w:rsidR="00C431D0">
              <w:rPr>
                <w:bCs/>
                <w:sz w:val="18"/>
                <w:szCs w:val="18"/>
              </w:rPr>
              <w:t>personnes handicapées</w:t>
            </w:r>
            <w:r>
              <w:rPr>
                <w:bCs/>
                <w:sz w:val="18"/>
                <w:szCs w:val="18"/>
              </w:rPr>
              <w:t xml:space="preserve"> dans les populations de réfugiés et de personnes déplacées, par rapport à la proportion de </w:t>
            </w:r>
            <w:r w:rsidR="00C431D0">
              <w:rPr>
                <w:bCs/>
                <w:sz w:val="18"/>
                <w:szCs w:val="18"/>
              </w:rPr>
              <w:t>personnes handicapées</w:t>
            </w:r>
            <w:r>
              <w:rPr>
                <w:bCs/>
                <w:sz w:val="18"/>
                <w:szCs w:val="18"/>
              </w:rPr>
              <w:t xml:space="preserve"> dans la population, par sexe, âge et handicap.</w:t>
            </w:r>
          </w:p>
          <w:p w14:paraId="720B5B8D" w14:textId="421FC4CC" w:rsidR="004827E1" w:rsidRPr="00543071" w:rsidRDefault="00EE49FC" w:rsidP="00F602D7">
            <w:pPr>
              <w:rPr>
                <w:rFonts w:cstheme="minorHAnsi"/>
                <w:bCs/>
                <w:sz w:val="18"/>
                <w:szCs w:val="18"/>
              </w:rPr>
            </w:pPr>
            <w:r>
              <w:rPr>
                <w:bCs/>
                <w:sz w:val="18"/>
                <w:szCs w:val="18"/>
              </w:rPr>
              <w:lastRenderedPageBreak/>
              <w:t xml:space="preserve">11.26 Proportion de </w:t>
            </w:r>
            <w:r w:rsidR="00C431D0">
              <w:rPr>
                <w:bCs/>
                <w:sz w:val="18"/>
                <w:szCs w:val="18"/>
              </w:rPr>
              <w:t>personnes handicapées</w:t>
            </w:r>
            <w:r>
              <w:rPr>
                <w:bCs/>
                <w:sz w:val="18"/>
                <w:szCs w:val="18"/>
              </w:rPr>
              <w:t xml:space="preserve"> ayant eu accès à un logement sûr et digne</w:t>
            </w:r>
            <w:r w:rsidR="00142E85">
              <w:rPr>
                <w:rStyle w:val="Appeldenotedefin"/>
                <w:rFonts w:cstheme="minorHAnsi"/>
                <w:bCs/>
                <w:sz w:val="18"/>
                <w:szCs w:val="18"/>
                <w:lang w:val="en-US"/>
              </w:rPr>
              <w:endnoteReference w:id="12"/>
            </w:r>
            <w:r>
              <w:rPr>
                <w:bCs/>
                <w:sz w:val="18"/>
                <w:szCs w:val="18"/>
              </w:rPr>
              <w:t xml:space="preserve"> en réponse à une catastrophe naturelle ou à une urgence humanitaire et proportion qu'ils représentent du total des bénéficiaires, ventilées par sexe, âge et handicap, situation géographique et nature de l'urgence.</w:t>
            </w:r>
          </w:p>
        </w:tc>
      </w:tr>
    </w:tbl>
    <w:p w14:paraId="65148509" w14:textId="77777777" w:rsidR="003B38D2" w:rsidRPr="009801E8" w:rsidRDefault="003B38D2" w:rsidP="007A4B20">
      <w:pPr>
        <w:spacing w:before="240" w:after="0"/>
        <w:rPr>
          <w:rFonts w:cstheme="minorHAnsi"/>
          <w:b/>
          <w:sz w:val="18"/>
          <w:szCs w:val="18"/>
          <w:u w:val="single"/>
        </w:rPr>
      </w:pPr>
    </w:p>
    <w:sectPr w:rsidR="003B38D2" w:rsidRPr="009801E8" w:rsidSect="004827E1">
      <w:pgSz w:w="16838" w:h="11906" w:orient="landscape"/>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C1A4F" w14:textId="77777777" w:rsidR="00BC1EAD" w:rsidRDefault="00BC1EAD" w:rsidP="000757E5">
      <w:pPr>
        <w:spacing w:after="0" w:line="240" w:lineRule="auto"/>
      </w:pPr>
      <w:r>
        <w:separator/>
      </w:r>
    </w:p>
  </w:endnote>
  <w:endnote w:type="continuationSeparator" w:id="0">
    <w:p w14:paraId="2E68520C" w14:textId="77777777" w:rsidR="00BC1EAD" w:rsidRDefault="00BC1EAD" w:rsidP="000757E5">
      <w:pPr>
        <w:spacing w:after="0" w:line="240" w:lineRule="auto"/>
      </w:pPr>
      <w:r>
        <w:continuationSeparator/>
      </w:r>
    </w:p>
  </w:endnote>
  <w:endnote w:id="1">
    <w:p w14:paraId="5276EAD7" w14:textId="48A87E2A" w:rsidR="000A139F" w:rsidRPr="005F6411" w:rsidRDefault="000A139F" w:rsidP="00EA79CC">
      <w:pPr>
        <w:pStyle w:val="Commentaire"/>
        <w:spacing w:after="0"/>
        <w:jc w:val="both"/>
        <w:rPr>
          <w:sz w:val="18"/>
          <w:szCs w:val="18"/>
        </w:rPr>
      </w:pPr>
      <w:r>
        <w:rPr>
          <w:rStyle w:val="Appeldenotedefin"/>
          <w:sz w:val="18"/>
          <w:szCs w:val="18"/>
        </w:rPr>
        <w:endnoteRef/>
      </w:r>
      <w:r>
        <w:t xml:space="preserve"> </w:t>
      </w:r>
      <w:r>
        <w:rPr>
          <w:sz w:val="18"/>
          <w:szCs w:val="18"/>
        </w:rPr>
        <w:t>Les engagements internationaux comprennent, par exemple, la</w:t>
      </w:r>
      <w:r>
        <w:t xml:space="preserve"> </w:t>
      </w:r>
      <w:hyperlink r:id="rId1" w:history="1">
        <w:r>
          <w:rPr>
            <w:rStyle w:val="Lienhypertexte"/>
            <w:sz w:val="18"/>
            <w:szCs w:val="18"/>
          </w:rPr>
          <w:t>Charte sur l'inclusion des personnes handicap</w:t>
        </w:r>
        <w:r w:rsidR="00C431D0">
          <w:rPr>
            <w:rStyle w:val="Lienhypertexte"/>
            <w:sz w:val="18"/>
            <w:szCs w:val="18"/>
          </w:rPr>
          <w:t>ées</w:t>
        </w:r>
        <w:r>
          <w:rPr>
            <w:rStyle w:val="Lienhypertexte"/>
            <w:sz w:val="18"/>
            <w:szCs w:val="18"/>
          </w:rPr>
          <w:t xml:space="preserve"> dans l'action humanitaire</w:t>
        </w:r>
      </w:hyperlink>
      <w:r>
        <w:t xml:space="preserve"> </w:t>
      </w:r>
      <w:r>
        <w:rPr>
          <w:sz w:val="18"/>
          <w:szCs w:val="18"/>
        </w:rPr>
        <w:t>(2016), l'</w:t>
      </w:r>
      <w:hyperlink r:id="rId2" w:history="1">
        <w:r>
          <w:rPr>
            <w:rStyle w:val="Lienhypertexte"/>
            <w:sz w:val="18"/>
            <w:szCs w:val="18"/>
          </w:rPr>
          <w:t>Agenda pour l'humanité</w:t>
        </w:r>
      </w:hyperlink>
      <w:r>
        <w:rPr>
          <w:sz w:val="18"/>
          <w:szCs w:val="18"/>
        </w:rPr>
        <w:t>, le</w:t>
      </w:r>
      <w:r>
        <w:t xml:space="preserve"> </w:t>
      </w:r>
      <w:hyperlink r:id="rId3" w:history="1">
        <w:r>
          <w:rPr>
            <w:rStyle w:val="Lienhypertexte"/>
            <w:sz w:val="18"/>
            <w:szCs w:val="18"/>
          </w:rPr>
          <w:t>Cadre de Sendai pour la réduction des risques de catastrophe 2015-2030</w:t>
        </w:r>
      </w:hyperlink>
      <w:r>
        <w:t xml:space="preserve"> </w:t>
      </w:r>
      <w:r>
        <w:rPr>
          <w:sz w:val="18"/>
          <w:szCs w:val="18"/>
        </w:rPr>
        <w:t>(2015), l'</w:t>
      </w:r>
      <w:hyperlink r:id="rId4" w:history="1">
        <w:r>
          <w:rPr>
            <w:rStyle w:val="Lienhypertexte"/>
            <w:sz w:val="18"/>
            <w:szCs w:val="18"/>
          </w:rPr>
          <w:t>Accord de Paris</w:t>
        </w:r>
      </w:hyperlink>
      <w:r>
        <w:t xml:space="preserve"> </w:t>
      </w:r>
      <w:r>
        <w:rPr>
          <w:sz w:val="18"/>
          <w:szCs w:val="18"/>
        </w:rPr>
        <w:t>(2015) s'appuyant sur la Convention cadre des Nations Unies sur les changements climatiques et engagements pris lors du</w:t>
      </w:r>
      <w:r>
        <w:t xml:space="preserve"> </w:t>
      </w:r>
      <w:hyperlink r:id="rId5" w:history="1">
        <w:r>
          <w:rPr>
            <w:rStyle w:val="Lienhypertexte"/>
            <w:sz w:val="18"/>
            <w:szCs w:val="18"/>
          </w:rPr>
          <w:t>Sommet mondial sur le handicap 2018</w:t>
        </w:r>
      </w:hyperlink>
      <w:r>
        <w:rPr>
          <w:sz w:val="18"/>
          <w:szCs w:val="18"/>
        </w:rPr>
        <w:t>.</w:t>
      </w:r>
    </w:p>
  </w:endnote>
  <w:endnote w:id="2">
    <w:p w14:paraId="67BE0E86" w14:textId="0C617F74" w:rsidR="00D65CA6" w:rsidRPr="005F6411" w:rsidRDefault="00D65CA6" w:rsidP="00D65CA6">
      <w:pPr>
        <w:pStyle w:val="Notedefin"/>
        <w:rPr>
          <w:color w:val="000000"/>
          <w:sz w:val="18"/>
          <w:szCs w:val="18"/>
        </w:rPr>
      </w:pPr>
      <w:r>
        <w:rPr>
          <w:rStyle w:val="Appeldenotedefin"/>
          <w:sz w:val="18"/>
          <w:szCs w:val="18"/>
        </w:rPr>
        <w:endnoteRef/>
      </w:r>
      <w:r>
        <w:t xml:space="preserve"> </w:t>
      </w:r>
      <w:r w:rsidR="00F35350">
        <w:rPr>
          <w:color w:val="000000"/>
          <w:sz w:val="18"/>
          <w:szCs w:val="18"/>
        </w:rPr>
        <w:t>Y</w:t>
      </w:r>
      <w:r>
        <w:rPr>
          <w:color w:val="000000"/>
          <w:sz w:val="18"/>
          <w:szCs w:val="18"/>
        </w:rPr>
        <w:t xml:space="preserve"> compris celles menées en collaboration avec des agences de coopération internationale, des agences d'aide bilatérale et des entités privées.</w:t>
      </w:r>
    </w:p>
  </w:endnote>
  <w:endnote w:id="3">
    <w:p w14:paraId="7286432C" w14:textId="3D3E1F76" w:rsidR="00C9317A" w:rsidRPr="005F6411" w:rsidRDefault="004827E1" w:rsidP="000A139F">
      <w:pPr>
        <w:pStyle w:val="Notedefin"/>
        <w:rPr>
          <w:rFonts w:cs="Arial"/>
          <w:sz w:val="18"/>
          <w:szCs w:val="18"/>
        </w:rPr>
      </w:pPr>
      <w:r>
        <w:rPr>
          <w:rStyle w:val="Appeldenotedefin"/>
          <w:sz w:val="18"/>
          <w:szCs w:val="18"/>
        </w:rPr>
        <w:endnoteRef/>
      </w:r>
      <w:r>
        <w:t xml:space="preserve"> </w:t>
      </w:r>
      <w:r>
        <w:rPr>
          <w:sz w:val="18"/>
          <w:szCs w:val="18"/>
        </w:rPr>
        <w:t xml:space="preserve">En vue d'identifier le nombre de personnes </w:t>
      </w:r>
      <w:r w:rsidR="00C431D0">
        <w:rPr>
          <w:sz w:val="18"/>
          <w:szCs w:val="18"/>
        </w:rPr>
        <w:t>h</w:t>
      </w:r>
      <w:r>
        <w:rPr>
          <w:sz w:val="18"/>
          <w:szCs w:val="18"/>
        </w:rPr>
        <w:t>andicap</w:t>
      </w:r>
      <w:r w:rsidR="00C431D0">
        <w:rPr>
          <w:sz w:val="18"/>
          <w:szCs w:val="18"/>
        </w:rPr>
        <w:t>ées</w:t>
      </w:r>
      <w:r>
        <w:rPr>
          <w:sz w:val="18"/>
          <w:szCs w:val="18"/>
        </w:rPr>
        <w:t xml:space="preserve"> et de ménages comprenant des personnes handicap</w:t>
      </w:r>
      <w:r w:rsidR="00C431D0">
        <w:rPr>
          <w:sz w:val="18"/>
          <w:szCs w:val="18"/>
        </w:rPr>
        <w:t>ées</w:t>
      </w:r>
      <w:r>
        <w:rPr>
          <w:sz w:val="18"/>
          <w:szCs w:val="18"/>
        </w:rPr>
        <w:t>, afin de cartographier et de surveiller le nombre de victimes pendant une crise, les victimes/survivants de violences physiques, sexuelles et psychologiques, d'exploitation, d’abus et de traite, l'accès à l'assistance, aux services, aux installations et les obstacles à leur accès. Cela nécessite une ventilation entre tous les systèmes de gestion de l'information, y compris le système de gestion de l'information sur la violence sexiste, le système de gestion de la protection de l'enfance et la base de données des rapports nationaux. (La gestion de l'information fait référence à la collecte, l'analyse et la gestion de données et d’informations tout au long du cycle du programme humanitaire).</w:t>
      </w:r>
    </w:p>
  </w:endnote>
  <w:endnote w:id="4">
    <w:p w14:paraId="40DEA32B" w14:textId="7343914D" w:rsidR="00741262" w:rsidRPr="005F6411" w:rsidRDefault="00741262">
      <w:pPr>
        <w:pStyle w:val="Notedefin"/>
        <w:rPr>
          <w:sz w:val="18"/>
          <w:szCs w:val="18"/>
        </w:rPr>
      </w:pPr>
      <w:r>
        <w:rPr>
          <w:rStyle w:val="Appeldenotedefin"/>
          <w:sz w:val="18"/>
          <w:szCs w:val="18"/>
        </w:rPr>
        <w:endnoteRef/>
      </w:r>
      <w:r>
        <w:t xml:space="preserve"> </w:t>
      </w:r>
      <w:r>
        <w:rPr>
          <w:sz w:val="18"/>
          <w:szCs w:val="18"/>
        </w:rPr>
        <w:t xml:space="preserve">Voir les </w:t>
      </w:r>
      <w:hyperlink r:id="rId6" w:history="1">
        <w:r w:rsidRPr="007E2584">
          <w:rPr>
            <w:rStyle w:val="Lienhypertexte"/>
            <w:i/>
            <w:sz w:val="18"/>
            <w:szCs w:val="18"/>
          </w:rPr>
          <w:t xml:space="preserve">Lignes directrices du Comité permanent </w:t>
        </w:r>
        <w:proofErr w:type="spellStart"/>
        <w:r w:rsidRPr="007E2584">
          <w:rPr>
            <w:rStyle w:val="Lienhypertexte"/>
            <w:i/>
            <w:sz w:val="18"/>
            <w:szCs w:val="18"/>
          </w:rPr>
          <w:t>interorganisations</w:t>
        </w:r>
        <w:proofErr w:type="spellEnd"/>
        <w:r w:rsidRPr="007E2584">
          <w:rPr>
            <w:rStyle w:val="Lienhypertexte"/>
            <w:i/>
            <w:sz w:val="18"/>
            <w:szCs w:val="18"/>
          </w:rPr>
          <w:t xml:space="preserve"> sur l'inclusion des personnes handicap</w:t>
        </w:r>
        <w:r w:rsidR="00C431D0" w:rsidRPr="007E2584">
          <w:rPr>
            <w:rStyle w:val="Lienhypertexte"/>
            <w:i/>
            <w:sz w:val="18"/>
            <w:szCs w:val="18"/>
          </w:rPr>
          <w:t>ées</w:t>
        </w:r>
        <w:r w:rsidRPr="007E2584">
          <w:rPr>
            <w:rStyle w:val="Lienhypertexte"/>
            <w:i/>
            <w:sz w:val="18"/>
            <w:szCs w:val="18"/>
          </w:rPr>
          <w:t xml:space="preserve"> dans l'action humanitaire</w:t>
        </w:r>
      </w:hyperlink>
      <w:r>
        <w:rPr>
          <w:sz w:val="18"/>
          <w:szCs w:val="18"/>
        </w:rPr>
        <w:t>, chapitre 5, Gestion des données et de l'information.</w:t>
      </w:r>
    </w:p>
  </w:endnote>
  <w:endnote w:id="5">
    <w:p w14:paraId="254A3194" w14:textId="0DF3EBA5" w:rsidR="00037531" w:rsidRPr="005F6411" w:rsidRDefault="00037531">
      <w:pPr>
        <w:pStyle w:val="Notedefin"/>
        <w:rPr>
          <w:sz w:val="18"/>
          <w:szCs w:val="18"/>
        </w:rPr>
      </w:pPr>
      <w:r>
        <w:rPr>
          <w:rStyle w:val="Appeldenotedefin"/>
          <w:sz w:val="18"/>
          <w:szCs w:val="18"/>
        </w:rPr>
        <w:endnoteRef/>
      </w:r>
      <w:r>
        <w:t xml:space="preserve"> </w:t>
      </w:r>
      <w:r>
        <w:rPr>
          <w:sz w:val="18"/>
          <w:szCs w:val="18"/>
        </w:rPr>
        <w:t>Cela devrait inclure des systèmes d'alerte et des protocoles d'évacuation des institutions et des établissements où des enfants et des adultes handicap</w:t>
      </w:r>
      <w:r w:rsidR="00C431D0">
        <w:rPr>
          <w:sz w:val="18"/>
          <w:szCs w:val="18"/>
        </w:rPr>
        <w:t>és</w:t>
      </w:r>
      <w:r>
        <w:rPr>
          <w:sz w:val="18"/>
          <w:szCs w:val="18"/>
        </w:rPr>
        <w:t xml:space="preserve"> sont actuellement détenus ou résident. </w:t>
      </w:r>
    </w:p>
  </w:endnote>
  <w:endnote w:id="6">
    <w:p w14:paraId="337680C1" w14:textId="77777777" w:rsidR="004827E1" w:rsidRPr="005F6411" w:rsidRDefault="004827E1" w:rsidP="000A139F">
      <w:pPr>
        <w:pStyle w:val="Notedefin"/>
        <w:rPr>
          <w:sz w:val="18"/>
          <w:szCs w:val="18"/>
        </w:rPr>
      </w:pPr>
      <w:r>
        <w:rPr>
          <w:rStyle w:val="Appeldenotedefin"/>
          <w:sz w:val="18"/>
          <w:szCs w:val="18"/>
        </w:rPr>
        <w:endnoteRef/>
      </w:r>
      <w:r>
        <w:t xml:space="preserve"> </w:t>
      </w:r>
      <w:r>
        <w:rPr>
          <w:bCs/>
          <w:sz w:val="18"/>
          <w:szCs w:val="18"/>
        </w:rPr>
        <w:t>Concernant l'éducation, la santé, le logement, l'eau et l'hygiène, la protection sociale, le travail et l'emploi, la participation politique, l'accès à la justice et la prévention et la protection contre la violence.</w:t>
      </w:r>
    </w:p>
  </w:endnote>
  <w:endnote w:id="7">
    <w:p w14:paraId="50CED0A7" w14:textId="76B06358" w:rsidR="001D3344" w:rsidRPr="005F6411" w:rsidRDefault="001D3344">
      <w:pPr>
        <w:pStyle w:val="Notedefin"/>
        <w:rPr>
          <w:sz w:val="18"/>
          <w:szCs w:val="18"/>
        </w:rPr>
      </w:pPr>
      <w:r>
        <w:rPr>
          <w:rStyle w:val="Appeldenotedefin"/>
          <w:sz w:val="18"/>
          <w:szCs w:val="18"/>
        </w:rPr>
        <w:endnoteRef/>
      </w:r>
      <w:r>
        <w:t xml:space="preserve"> </w:t>
      </w:r>
      <w:r>
        <w:rPr>
          <w:sz w:val="18"/>
          <w:szCs w:val="18"/>
        </w:rPr>
        <w:t>Cela comprend, par exemple, les ressources nécessaires pour organiser des processus de consultation, garantir que les installations, l'équipement, les services et les communications sont universellement conçus et accessibles ; et toutes les sources de financement devraient être prises en compte, y compris les ressources provenant de sources externes telles que les programmes et projets de développement et de coopération internationaux.</w:t>
      </w:r>
    </w:p>
  </w:endnote>
  <w:endnote w:id="8">
    <w:p w14:paraId="1734434F" w14:textId="2B538C33" w:rsidR="002F071E" w:rsidRPr="005F6411" w:rsidRDefault="002F071E" w:rsidP="002F071E">
      <w:pPr>
        <w:pStyle w:val="Notedefin"/>
        <w:rPr>
          <w:sz w:val="18"/>
          <w:szCs w:val="18"/>
        </w:rPr>
      </w:pPr>
      <w:r>
        <w:rPr>
          <w:rStyle w:val="Appeldenotedefin"/>
          <w:sz w:val="18"/>
          <w:szCs w:val="18"/>
        </w:rPr>
        <w:endnoteRef/>
      </w:r>
      <w:r>
        <w:t xml:space="preserve"> </w:t>
      </w:r>
      <w:r>
        <w:rPr>
          <w:sz w:val="18"/>
          <w:szCs w:val="18"/>
        </w:rPr>
        <w:t>Cela peut inclure des programmes tels que des programmes d'éducation accélérée, une formation professionnelle et d'autres programmes d'apprentissage non formels et formels.</w:t>
      </w:r>
    </w:p>
  </w:endnote>
  <w:endnote w:id="9">
    <w:p w14:paraId="6EE3BAFF" w14:textId="77777777" w:rsidR="00E12649" w:rsidRPr="005F6411" w:rsidRDefault="00E12649" w:rsidP="00E12649">
      <w:pPr>
        <w:pStyle w:val="Notedefin"/>
        <w:rPr>
          <w:sz w:val="18"/>
          <w:szCs w:val="18"/>
        </w:rPr>
      </w:pPr>
      <w:r>
        <w:rPr>
          <w:rStyle w:val="Appeldenotedefin"/>
          <w:sz w:val="18"/>
          <w:szCs w:val="18"/>
        </w:rPr>
        <w:endnoteRef/>
      </w:r>
      <w:r>
        <w:t xml:space="preserve"> </w:t>
      </w:r>
      <w:r>
        <w:rPr>
          <w:bCs/>
          <w:sz w:val="18"/>
          <w:szCs w:val="18"/>
        </w:rPr>
        <w:t>Judiciaire ou coutumier/informel</w:t>
      </w:r>
    </w:p>
  </w:endnote>
  <w:endnote w:id="10">
    <w:p w14:paraId="44999C56" w14:textId="63EF6F7F" w:rsidR="00E12649" w:rsidRPr="005F6411" w:rsidRDefault="00E12649" w:rsidP="000A139F">
      <w:pPr>
        <w:pStyle w:val="Notedefin"/>
        <w:rPr>
          <w:sz w:val="18"/>
          <w:szCs w:val="18"/>
        </w:rPr>
      </w:pPr>
      <w:r>
        <w:rPr>
          <w:rStyle w:val="Appeldenotedefin"/>
          <w:sz w:val="18"/>
          <w:szCs w:val="18"/>
        </w:rPr>
        <w:endnoteRef/>
      </w:r>
      <w:r>
        <w:t xml:space="preserve"> </w:t>
      </w:r>
      <w:r w:rsidR="00F35350">
        <w:rPr>
          <w:sz w:val="18"/>
          <w:szCs w:val="18"/>
        </w:rPr>
        <w:t>Y</w:t>
      </w:r>
      <w:r>
        <w:rPr>
          <w:sz w:val="18"/>
          <w:szCs w:val="18"/>
        </w:rPr>
        <w:t xml:space="preserve"> compris le personnel militaire et civil de maintien de la paix, les gestionnaires des urgences, les premiers intervenants, le personnel des mécanismes de coordination et d'autres agents de terrain.</w:t>
      </w:r>
    </w:p>
  </w:endnote>
  <w:endnote w:id="11">
    <w:p w14:paraId="6BA739EC" w14:textId="61CE1FEF" w:rsidR="00916F19" w:rsidRPr="005F6411" w:rsidRDefault="00E12649" w:rsidP="00916F19">
      <w:pPr>
        <w:pStyle w:val="Notedefin"/>
        <w:jc w:val="both"/>
        <w:rPr>
          <w:sz w:val="18"/>
          <w:szCs w:val="18"/>
        </w:rPr>
      </w:pPr>
      <w:r>
        <w:rPr>
          <w:rStyle w:val="Appeldenotedefin"/>
          <w:sz w:val="18"/>
          <w:szCs w:val="18"/>
        </w:rPr>
        <w:endnoteRef/>
      </w:r>
      <w:r>
        <w:t xml:space="preserve"> </w:t>
      </w:r>
      <w:r>
        <w:rPr>
          <w:sz w:val="18"/>
          <w:szCs w:val="18"/>
        </w:rPr>
        <w:t xml:space="preserve">Cet indicateur nécessite de vérifier les activités concrètes entreprises par les autorités publiques pour </w:t>
      </w:r>
      <w:r w:rsidR="00C431D0">
        <w:rPr>
          <w:sz w:val="18"/>
          <w:szCs w:val="18"/>
        </w:rPr>
        <w:t>faire participer</w:t>
      </w:r>
      <w:r>
        <w:rPr>
          <w:sz w:val="18"/>
          <w:szCs w:val="18"/>
        </w:rPr>
        <w:t xml:space="preserve"> les personnes handicap</w:t>
      </w:r>
      <w:r w:rsidR="00C431D0">
        <w:rPr>
          <w:sz w:val="18"/>
          <w:szCs w:val="18"/>
        </w:rPr>
        <w:t>ées</w:t>
      </w:r>
      <w:r>
        <w:rPr>
          <w:sz w:val="18"/>
          <w:szCs w:val="18"/>
        </w:rPr>
        <w:t xml:space="preserve"> dans les processus décisionnels liés aux questions qui les affectent directement ou indirectement conformément à l'article 4 (3) de la CDPH et à </w:t>
      </w:r>
      <w:hyperlink r:id="rId7" w:history="1">
        <w:r w:rsidRPr="00A80441">
          <w:rPr>
            <w:rStyle w:val="Lienhypertexte"/>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0965FC76" w14:textId="77777777" w:rsidR="00916F19" w:rsidRPr="005F6411" w:rsidRDefault="00916F19" w:rsidP="00916F19">
      <w:pPr>
        <w:pStyle w:val="Notedefin"/>
        <w:numPr>
          <w:ilvl w:val="0"/>
          <w:numId w:val="7"/>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2892F9BC" w14:textId="77777777" w:rsidR="00916F19" w:rsidRPr="005F6411" w:rsidRDefault="00916F19" w:rsidP="00916F19">
      <w:pPr>
        <w:pStyle w:val="Notedefin"/>
        <w:numPr>
          <w:ilvl w:val="0"/>
          <w:numId w:val="7"/>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298363FC" w14:textId="1755900D" w:rsidR="00916F19" w:rsidRPr="005F6411" w:rsidRDefault="00916F19" w:rsidP="00916F19">
      <w:pPr>
        <w:pStyle w:val="Notedefin"/>
        <w:numPr>
          <w:ilvl w:val="0"/>
          <w:numId w:val="7"/>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personnes </w:t>
      </w:r>
      <w:r w:rsidR="00C431D0">
        <w:rPr>
          <w:sz w:val="18"/>
          <w:szCs w:val="18"/>
        </w:rPr>
        <w:t>ha</w:t>
      </w:r>
      <w:r>
        <w:rPr>
          <w:sz w:val="18"/>
          <w:szCs w:val="18"/>
        </w:rPr>
        <w:t>ndicap</w:t>
      </w:r>
      <w:r w:rsidR="00C431D0">
        <w:rPr>
          <w:sz w:val="18"/>
          <w:szCs w:val="18"/>
        </w:rPr>
        <w:t>ées</w:t>
      </w:r>
      <w:r>
        <w:rPr>
          <w:sz w:val="18"/>
          <w:szCs w:val="18"/>
        </w:rPr>
        <w:t xml:space="preserve"> d'exprimer librement leurs opinions ;</w:t>
      </w:r>
    </w:p>
    <w:p w14:paraId="309F875A" w14:textId="77777777" w:rsidR="00916F19" w:rsidRPr="005F6411" w:rsidRDefault="00916F19" w:rsidP="00916F19">
      <w:pPr>
        <w:pStyle w:val="Notedefin"/>
        <w:numPr>
          <w:ilvl w:val="0"/>
          <w:numId w:val="7"/>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302438D3" w14:textId="48840DF3" w:rsidR="00916F19" w:rsidRPr="005F6411" w:rsidRDefault="00916F19" w:rsidP="00916F19">
      <w:pPr>
        <w:pStyle w:val="Notedefin"/>
        <w:numPr>
          <w:ilvl w:val="0"/>
          <w:numId w:val="7"/>
        </w:numPr>
        <w:ind w:left="714" w:hanging="357"/>
        <w:contextualSpacing/>
        <w:rPr>
          <w:sz w:val="18"/>
          <w:szCs w:val="18"/>
        </w:rPr>
      </w:pPr>
      <w:proofErr w:type="gramStart"/>
      <w:r>
        <w:rPr>
          <w:sz w:val="18"/>
          <w:szCs w:val="18"/>
        </w:rPr>
        <w:t>assurer</w:t>
      </w:r>
      <w:proofErr w:type="gramEnd"/>
      <w:r>
        <w:rPr>
          <w:sz w:val="18"/>
          <w:szCs w:val="18"/>
        </w:rPr>
        <w:t xml:space="preserve"> une </w:t>
      </w:r>
      <w:r w:rsidR="00C431D0">
        <w:rPr>
          <w:sz w:val="18"/>
          <w:szCs w:val="18"/>
        </w:rPr>
        <w:t xml:space="preserve">participation </w:t>
      </w:r>
      <w:r>
        <w:rPr>
          <w:sz w:val="18"/>
          <w:szCs w:val="18"/>
        </w:rPr>
        <w:t>précoce et continue ;</w:t>
      </w:r>
    </w:p>
    <w:p w14:paraId="347D5FF3" w14:textId="162BE1F8" w:rsidR="00E12649" w:rsidRPr="005F6411" w:rsidRDefault="00916F19" w:rsidP="00916F19">
      <w:pPr>
        <w:pStyle w:val="Notedefin"/>
        <w:numPr>
          <w:ilvl w:val="0"/>
          <w:numId w:val="7"/>
        </w:numPr>
        <w:ind w:left="714" w:hanging="357"/>
        <w:contextualSpacing/>
        <w:rPr>
          <w:sz w:val="18"/>
          <w:szCs w:val="18"/>
        </w:rPr>
      </w:pPr>
      <w:proofErr w:type="gramStart"/>
      <w:r>
        <w:rPr>
          <w:sz w:val="18"/>
          <w:szCs w:val="18"/>
        </w:rPr>
        <w:t>couvrir</w:t>
      </w:r>
      <w:proofErr w:type="gramEnd"/>
      <w:r>
        <w:rPr>
          <w:sz w:val="18"/>
          <w:szCs w:val="18"/>
        </w:rPr>
        <w:t xml:space="preserve"> les dépenses connexes des participants. </w:t>
      </w:r>
    </w:p>
  </w:endnote>
  <w:endnote w:id="12">
    <w:p w14:paraId="2579A5E2" w14:textId="086AB4F0" w:rsidR="00142E85" w:rsidRPr="005F6411" w:rsidRDefault="00142E85">
      <w:pPr>
        <w:pStyle w:val="Notedefin"/>
        <w:rPr>
          <w:sz w:val="18"/>
          <w:szCs w:val="18"/>
        </w:rPr>
      </w:pPr>
      <w:r>
        <w:rPr>
          <w:rStyle w:val="Appeldenotedefin"/>
          <w:sz w:val="18"/>
          <w:szCs w:val="18"/>
        </w:rPr>
        <w:endnoteRef/>
      </w:r>
      <w:r>
        <w:t xml:space="preserve"> </w:t>
      </w:r>
      <w:r>
        <w:rPr>
          <w:sz w:val="18"/>
          <w:szCs w:val="18"/>
        </w:rPr>
        <w:t>Voir le site Web de l'UNHCR pour le logement des réfugiés à</w:t>
      </w:r>
      <w:r>
        <w:t xml:space="preserve"> </w:t>
      </w:r>
      <w:hyperlink r:id="rId8" w:history="1">
        <w:r>
          <w:rPr>
            <w:rStyle w:val="Lienhypertexte"/>
            <w:sz w:val="18"/>
            <w:szCs w:val="18"/>
          </w:rPr>
          <w:t>https://www.unhcr.org/refugee-housing-unit.html</w:t>
        </w:r>
      </w:hyperlink>
      <w:r>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A6B37" w14:textId="77777777" w:rsidR="00BC1EAD" w:rsidRDefault="00BC1EAD" w:rsidP="000757E5">
      <w:pPr>
        <w:spacing w:after="0" w:line="240" w:lineRule="auto"/>
      </w:pPr>
      <w:r>
        <w:separator/>
      </w:r>
    </w:p>
  </w:footnote>
  <w:footnote w:type="continuationSeparator" w:id="0">
    <w:p w14:paraId="2555FBC4" w14:textId="77777777" w:rsidR="00BC1EAD" w:rsidRDefault="00BC1EAD" w:rsidP="00075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72C4D"/>
    <w:multiLevelType w:val="hybridMultilevel"/>
    <w:tmpl w:val="1A36F92C"/>
    <w:lvl w:ilvl="0" w:tplc="9C7E35D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3287153"/>
    <w:multiLevelType w:val="hybridMultilevel"/>
    <w:tmpl w:val="8C0AEC86"/>
    <w:lvl w:ilvl="0" w:tplc="00000C1D">
      <w:start w:val="1"/>
      <w:numFmt w:val="bullet"/>
      <w:lvlText w:val="•"/>
      <w:lvlJc w:val="left"/>
      <w:pPr>
        <w:ind w:left="720" w:hanging="360"/>
      </w:pPr>
      <w:rPr>
        <w:rFonts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A33E2"/>
    <w:multiLevelType w:val="multilevel"/>
    <w:tmpl w:val="30A0F42C"/>
    <w:lvl w:ilvl="0">
      <w:start w:val="11"/>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A5218"/>
    <w:multiLevelType w:val="hybridMultilevel"/>
    <w:tmpl w:val="1A36F92C"/>
    <w:lvl w:ilvl="0" w:tplc="9C7E35D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714D93"/>
    <w:multiLevelType w:val="hybridMultilevel"/>
    <w:tmpl w:val="3208BD32"/>
    <w:lvl w:ilvl="0" w:tplc="6A22FA1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43FF4"/>
    <w:multiLevelType w:val="hybridMultilevel"/>
    <w:tmpl w:val="1E4CA49E"/>
    <w:lvl w:ilvl="0" w:tplc="56546B3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A21EB4"/>
    <w:multiLevelType w:val="hybridMultilevel"/>
    <w:tmpl w:val="1A36F92C"/>
    <w:lvl w:ilvl="0" w:tplc="9C7E35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6644D2"/>
    <w:multiLevelType w:val="hybridMultilevel"/>
    <w:tmpl w:val="98F0DE14"/>
    <w:lvl w:ilvl="0" w:tplc="3842AB1A">
      <w:start w:val="1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7"/>
  </w:num>
  <w:num w:numId="5">
    <w:abstractNumId w:val="0"/>
  </w:num>
  <w:num w:numId="6">
    <w:abstractNumId w:val="4"/>
  </w:num>
  <w:num w:numId="7">
    <w:abstractNumId w:val="8"/>
  </w:num>
  <w:num w:numId="8">
    <w:abstractNumId w:val="10"/>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4D"/>
    <w:rsid w:val="00003141"/>
    <w:rsid w:val="0003272A"/>
    <w:rsid w:val="00036DE8"/>
    <w:rsid w:val="00037531"/>
    <w:rsid w:val="00041854"/>
    <w:rsid w:val="00050457"/>
    <w:rsid w:val="000757E5"/>
    <w:rsid w:val="00081BB6"/>
    <w:rsid w:val="00083D92"/>
    <w:rsid w:val="000863FC"/>
    <w:rsid w:val="00093346"/>
    <w:rsid w:val="00093973"/>
    <w:rsid w:val="000A139F"/>
    <w:rsid w:val="000C2309"/>
    <w:rsid w:val="000C2EE6"/>
    <w:rsid w:val="000E0404"/>
    <w:rsid w:val="000E3658"/>
    <w:rsid w:val="000F4BBD"/>
    <w:rsid w:val="0010340A"/>
    <w:rsid w:val="0011088C"/>
    <w:rsid w:val="0011680F"/>
    <w:rsid w:val="00123B49"/>
    <w:rsid w:val="00142E85"/>
    <w:rsid w:val="001508CF"/>
    <w:rsid w:val="001618BB"/>
    <w:rsid w:val="00167AA8"/>
    <w:rsid w:val="0017456C"/>
    <w:rsid w:val="00184586"/>
    <w:rsid w:val="00195369"/>
    <w:rsid w:val="001A15F2"/>
    <w:rsid w:val="001B131F"/>
    <w:rsid w:val="001B7C8B"/>
    <w:rsid w:val="001D019B"/>
    <w:rsid w:val="001D3344"/>
    <w:rsid w:val="001E1536"/>
    <w:rsid w:val="001E77B2"/>
    <w:rsid w:val="00213EC0"/>
    <w:rsid w:val="00235673"/>
    <w:rsid w:val="002402B7"/>
    <w:rsid w:val="002447FE"/>
    <w:rsid w:val="002528A7"/>
    <w:rsid w:val="002560DB"/>
    <w:rsid w:val="0026250B"/>
    <w:rsid w:val="00265B41"/>
    <w:rsid w:val="00267165"/>
    <w:rsid w:val="00274A29"/>
    <w:rsid w:val="00275CE2"/>
    <w:rsid w:val="0028662B"/>
    <w:rsid w:val="00290AA4"/>
    <w:rsid w:val="00292CC6"/>
    <w:rsid w:val="0029329E"/>
    <w:rsid w:val="002952D0"/>
    <w:rsid w:val="00297397"/>
    <w:rsid w:val="002A3D86"/>
    <w:rsid w:val="002A674D"/>
    <w:rsid w:val="002C43BC"/>
    <w:rsid w:val="002C61DB"/>
    <w:rsid w:val="002D3AB3"/>
    <w:rsid w:val="002E4F48"/>
    <w:rsid w:val="002F071E"/>
    <w:rsid w:val="00312E3F"/>
    <w:rsid w:val="00315C4F"/>
    <w:rsid w:val="003248FE"/>
    <w:rsid w:val="00331BFE"/>
    <w:rsid w:val="003423B3"/>
    <w:rsid w:val="00343C40"/>
    <w:rsid w:val="0034416E"/>
    <w:rsid w:val="003476FF"/>
    <w:rsid w:val="00352ED1"/>
    <w:rsid w:val="00364ED1"/>
    <w:rsid w:val="00370B4C"/>
    <w:rsid w:val="003804A1"/>
    <w:rsid w:val="003A4C08"/>
    <w:rsid w:val="003A7BC7"/>
    <w:rsid w:val="003B38D2"/>
    <w:rsid w:val="003C1064"/>
    <w:rsid w:val="003C1A92"/>
    <w:rsid w:val="003C61FC"/>
    <w:rsid w:val="003F2D20"/>
    <w:rsid w:val="004051A4"/>
    <w:rsid w:val="00414FF8"/>
    <w:rsid w:val="004210DB"/>
    <w:rsid w:val="00432E56"/>
    <w:rsid w:val="00445C75"/>
    <w:rsid w:val="00452B3F"/>
    <w:rsid w:val="00454AED"/>
    <w:rsid w:val="004573B7"/>
    <w:rsid w:val="00461929"/>
    <w:rsid w:val="00463B49"/>
    <w:rsid w:val="004767B6"/>
    <w:rsid w:val="004827E1"/>
    <w:rsid w:val="00483927"/>
    <w:rsid w:val="00484E1A"/>
    <w:rsid w:val="004855ED"/>
    <w:rsid w:val="004970DB"/>
    <w:rsid w:val="004A3E20"/>
    <w:rsid w:val="004A4E0F"/>
    <w:rsid w:val="004B06AD"/>
    <w:rsid w:val="004C4AAB"/>
    <w:rsid w:val="004D23C1"/>
    <w:rsid w:val="004E2BFE"/>
    <w:rsid w:val="004F347D"/>
    <w:rsid w:val="0050235A"/>
    <w:rsid w:val="005107B3"/>
    <w:rsid w:val="005245A4"/>
    <w:rsid w:val="005324F8"/>
    <w:rsid w:val="00543071"/>
    <w:rsid w:val="00550CC8"/>
    <w:rsid w:val="00560CAC"/>
    <w:rsid w:val="00564D10"/>
    <w:rsid w:val="005661D7"/>
    <w:rsid w:val="005711C2"/>
    <w:rsid w:val="005711C8"/>
    <w:rsid w:val="0057256E"/>
    <w:rsid w:val="005746E5"/>
    <w:rsid w:val="005A5E25"/>
    <w:rsid w:val="005B01AF"/>
    <w:rsid w:val="005B7C7B"/>
    <w:rsid w:val="005D165B"/>
    <w:rsid w:val="005F08FA"/>
    <w:rsid w:val="005F0A72"/>
    <w:rsid w:val="005F6411"/>
    <w:rsid w:val="005F7B04"/>
    <w:rsid w:val="00624640"/>
    <w:rsid w:val="00630640"/>
    <w:rsid w:val="00630F9C"/>
    <w:rsid w:val="00672BD2"/>
    <w:rsid w:val="00682908"/>
    <w:rsid w:val="00683C18"/>
    <w:rsid w:val="006862A6"/>
    <w:rsid w:val="00693634"/>
    <w:rsid w:val="0069510C"/>
    <w:rsid w:val="006961E9"/>
    <w:rsid w:val="006C486F"/>
    <w:rsid w:val="006D7A7F"/>
    <w:rsid w:val="006F2C96"/>
    <w:rsid w:val="00707215"/>
    <w:rsid w:val="00711507"/>
    <w:rsid w:val="00711D59"/>
    <w:rsid w:val="00713236"/>
    <w:rsid w:val="00720ED6"/>
    <w:rsid w:val="00721779"/>
    <w:rsid w:val="00722558"/>
    <w:rsid w:val="00725B84"/>
    <w:rsid w:val="0074053A"/>
    <w:rsid w:val="00741262"/>
    <w:rsid w:val="00744552"/>
    <w:rsid w:val="0075465E"/>
    <w:rsid w:val="0075514D"/>
    <w:rsid w:val="00774187"/>
    <w:rsid w:val="00775B3A"/>
    <w:rsid w:val="0078353A"/>
    <w:rsid w:val="007844C8"/>
    <w:rsid w:val="007849A0"/>
    <w:rsid w:val="007A1437"/>
    <w:rsid w:val="007A4B20"/>
    <w:rsid w:val="007C0C83"/>
    <w:rsid w:val="007D242C"/>
    <w:rsid w:val="007E2584"/>
    <w:rsid w:val="007F0442"/>
    <w:rsid w:val="007F74FA"/>
    <w:rsid w:val="008025DA"/>
    <w:rsid w:val="0081376F"/>
    <w:rsid w:val="00817989"/>
    <w:rsid w:val="0083723C"/>
    <w:rsid w:val="00840FA8"/>
    <w:rsid w:val="0084215C"/>
    <w:rsid w:val="00846B12"/>
    <w:rsid w:val="00855643"/>
    <w:rsid w:val="00867574"/>
    <w:rsid w:val="00877C0A"/>
    <w:rsid w:val="008930FC"/>
    <w:rsid w:val="008966DC"/>
    <w:rsid w:val="008B0995"/>
    <w:rsid w:val="008C22A0"/>
    <w:rsid w:val="008C2BB8"/>
    <w:rsid w:val="008C3B6D"/>
    <w:rsid w:val="008E1DD5"/>
    <w:rsid w:val="008E5155"/>
    <w:rsid w:val="008E5F5E"/>
    <w:rsid w:val="008F08B7"/>
    <w:rsid w:val="008F427C"/>
    <w:rsid w:val="00914436"/>
    <w:rsid w:val="00916F19"/>
    <w:rsid w:val="00936F40"/>
    <w:rsid w:val="009624A1"/>
    <w:rsid w:val="009740A9"/>
    <w:rsid w:val="009801E8"/>
    <w:rsid w:val="00986393"/>
    <w:rsid w:val="009A0233"/>
    <w:rsid w:val="009E054F"/>
    <w:rsid w:val="009F4C34"/>
    <w:rsid w:val="00A02F57"/>
    <w:rsid w:val="00A26075"/>
    <w:rsid w:val="00A32118"/>
    <w:rsid w:val="00A32722"/>
    <w:rsid w:val="00A5462B"/>
    <w:rsid w:val="00A7496A"/>
    <w:rsid w:val="00A77CD8"/>
    <w:rsid w:val="00A80441"/>
    <w:rsid w:val="00AA27A9"/>
    <w:rsid w:val="00AA499B"/>
    <w:rsid w:val="00AD5BFC"/>
    <w:rsid w:val="00AD68DD"/>
    <w:rsid w:val="00AE3A8D"/>
    <w:rsid w:val="00AE5FD9"/>
    <w:rsid w:val="00AF5E51"/>
    <w:rsid w:val="00AF79DE"/>
    <w:rsid w:val="00B076B7"/>
    <w:rsid w:val="00B103F5"/>
    <w:rsid w:val="00B15309"/>
    <w:rsid w:val="00B173C2"/>
    <w:rsid w:val="00B204F4"/>
    <w:rsid w:val="00B3623D"/>
    <w:rsid w:val="00B52AF3"/>
    <w:rsid w:val="00B544E7"/>
    <w:rsid w:val="00B60F6C"/>
    <w:rsid w:val="00B639BF"/>
    <w:rsid w:val="00BA5470"/>
    <w:rsid w:val="00BB19AB"/>
    <w:rsid w:val="00BC1EAD"/>
    <w:rsid w:val="00BD05E8"/>
    <w:rsid w:val="00BD5737"/>
    <w:rsid w:val="00BE46A0"/>
    <w:rsid w:val="00BE7281"/>
    <w:rsid w:val="00BF2F89"/>
    <w:rsid w:val="00BF4EB8"/>
    <w:rsid w:val="00C021A4"/>
    <w:rsid w:val="00C074E4"/>
    <w:rsid w:val="00C16CDA"/>
    <w:rsid w:val="00C431D0"/>
    <w:rsid w:val="00C44D51"/>
    <w:rsid w:val="00C47FC6"/>
    <w:rsid w:val="00C50798"/>
    <w:rsid w:val="00C57B93"/>
    <w:rsid w:val="00C63377"/>
    <w:rsid w:val="00C754CD"/>
    <w:rsid w:val="00C778EC"/>
    <w:rsid w:val="00C837B7"/>
    <w:rsid w:val="00C85C2D"/>
    <w:rsid w:val="00C90B93"/>
    <w:rsid w:val="00C9317A"/>
    <w:rsid w:val="00CA7F6A"/>
    <w:rsid w:val="00CB3521"/>
    <w:rsid w:val="00CC0C2A"/>
    <w:rsid w:val="00CC37D3"/>
    <w:rsid w:val="00CC4B47"/>
    <w:rsid w:val="00CC5DA0"/>
    <w:rsid w:val="00CC7932"/>
    <w:rsid w:val="00CD1D4D"/>
    <w:rsid w:val="00CD1F54"/>
    <w:rsid w:val="00CD66CA"/>
    <w:rsid w:val="00CF6E5F"/>
    <w:rsid w:val="00D01193"/>
    <w:rsid w:val="00D1627E"/>
    <w:rsid w:val="00D17776"/>
    <w:rsid w:val="00D206B7"/>
    <w:rsid w:val="00D35B3D"/>
    <w:rsid w:val="00D402DD"/>
    <w:rsid w:val="00D40FCF"/>
    <w:rsid w:val="00D463B2"/>
    <w:rsid w:val="00D623A7"/>
    <w:rsid w:val="00D627F0"/>
    <w:rsid w:val="00D62D3E"/>
    <w:rsid w:val="00D65CA6"/>
    <w:rsid w:val="00D66FE1"/>
    <w:rsid w:val="00D67D93"/>
    <w:rsid w:val="00D7107D"/>
    <w:rsid w:val="00DB44A8"/>
    <w:rsid w:val="00DC5283"/>
    <w:rsid w:val="00DF540E"/>
    <w:rsid w:val="00E051AC"/>
    <w:rsid w:val="00E06036"/>
    <w:rsid w:val="00E119F3"/>
    <w:rsid w:val="00E12649"/>
    <w:rsid w:val="00E12A89"/>
    <w:rsid w:val="00E20847"/>
    <w:rsid w:val="00E24F39"/>
    <w:rsid w:val="00E465E1"/>
    <w:rsid w:val="00E50C73"/>
    <w:rsid w:val="00E536CC"/>
    <w:rsid w:val="00E559C4"/>
    <w:rsid w:val="00E55FD9"/>
    <w:rsid w:val="00E603AA"/>
    <w:rsid w:val="00E70E47"/>
    <w:rsid w:val="00E741AB"/>
    <w:rsid w:val="00E76DDC"/>
    <w:rsid w:val="00E94C21"/>
    <w:rsid w:val="00EA0704"/>
    <w:rsid w:val="00EA2415"/>
    <w:rsid w:val="00EA79CC"/>
    <w:rsid w:val="00EB5F81"/>
    <w:rsid w:val="00EB7ACB"/>
    <w:rsid w:val="00ED2213"/>
    <w:rsid w:val="00ED4BEB"/>
    <w:rsid w:val="00ED7C26"/>
    <w:rsid w:val="00EE1F45"/>
    <w:rsid w:val="00EE2127"/>
    <w:rsid w:val="00EE49FC"/>
    <w:rsid w:val="00EF60F2"/>
    <w:rsid w:val="00F32414"/>
    <w:rsid w:val="00F345E3"/>
    <w:rsid w:val="00F35350"/>
    <w:rsid w:val="00F5179B"/>
    <w:rsid w:val="00F560C9"/>
    <w:rsid w:val="00F602D7"/>
    <w:rsid w:val="00F61AFC"/>
    <w:rsid w:val="00F81A7C"/>
    <w:rsid w:val="00F93114"/>
    <w:rsid w:val="00F9338B"/>
    <w:rsid w:val="00F96FA8"/>
    <w:rsid w:val="00FD0C47"/>
    <w:rsid w:val="00FE0D27"/>
    <w:rsid w:val="00FE1895"/>
    <w:rsid w:val="00FF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6EA9"/>
  <w15:docId w15:val="{1E8BC245-D600-435B-A76A-341C7A01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Recommendation,List Paragraph11,Corps Text Inc,Indent Paragraph,Heading3,Numbered List Paragraph,Proposal Heading 1.1,small normal,Bullets,Evidence on Demand bullet points,CEIL PEAKS bullet points,Scriptoria bullet points"/>
    <w:basedOn w:val="Normal"/>
    <w:link w:val="ParagraphedelisteCar"/>
    <w:uiPriority w:val="34"/>
    <w:qFormat/>
    <w:rsid w:val="00EF60F2"/>
    <w:pPr>
      <w:ind w:left="720"/>
      <w:contextualSpacing/>
    </w:pPr>
  </w:style>
  <w:style w:type="character" w:styleId="Lienhypertexte">
    <w:name w:val="Hyperlink"/>
    <w:basedOn w:val="Policepardfaut"/>
    <w:uiPriority w:val="99"/>
    <w:unhideWhenUsed/>
    <w:rsid w:val="008C22A0"/>
    <w:rPr>
      <w:color w:val="0000FF" w:themeColor="hyperlink"/>
      <w:u w:val="single"/>
    </w:rPr>
  </w:style>
  <w:style w:type="character" w:styleId="Lienhypertextesuivivisit">
    <w:name w:val="FollowedHyperlink"/>
    <w:basedOn w:val="Policepardfaut"/>
    <w:uiPriority w:val="99"/>
    <w:semiHidden/>
    <w:unhideWhenUsed/>
    <w:rsid w:val="003A7BC7"/>
    <w:rPr>
      <w:color w:val="800080" w:themeColor="followedHyperlink"/>
      <w:u w:val="single"/>
    </w:rPr>
  </w:style>
  <w:style w:type="paragraph" w:styleId="En-tte">
    <w:name w:val="header"/>
    <w:basedOn w:val="Normal"/>
    <w:link w:val="En-tteCar"/>
    <w:uiPriority w:val="99"/>
    <w:unhideWhenUsed/>
    <w:rsid w:val="000757E5"/>
    <w:pPr>
      <w:tabs>
        <w:tab w:val="center" w:pos="4513"/>
        <w:tab w:val="right" w:pos="9026"/>
      </w:tabs>
      <w:spacing w:after="0" w:line="240" w:lineRule="auto"/>
    </w:pPr>
  </w:style>
  <w:style w:type="character" w:customStyle="1" w:styleId="En-tteCar">
    <w:name w:val="En-tête Car"/>
    <w:basedOn w:val="Policepardfaut"/>
    <w:link w:val="En-tte"/>
    <w:uiPriority w:val="99"/>
    <w:rsid w:val="000757E5"/>
  </w:style>
  <w:style w:type="paragraph" w:styleId="Pieddepage">
    <w:name w:val="footer"/>
    <w:basedOn w:val="Normal"/>
    <w:link w:val="PieddepageCar"/>
    <w:uiPriority w:val="99"/>
    <w:unhideWhenUsed/>
    <w:rsid w:val="000757E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757E5"/>
  </w:style>
  <w:style w:type="paragraph" w:styleId="Textedebulles">
    <w:name w:val="Balloon Text"/>
    <w:basedOn w:val="Normal"/>
    <w:link w:val="TextedebullesCar"/>
    <w:uiPriority w:val="99"/>
    <w:semiHidden/>
    <w:unhideWhenUsed/>
    <w:rsid w:val="00D162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627E"/>
    <w:rPr>
      <w:rFonts w:ascii="Tahoma" w:hAnsi="Tahoma" w:cs="Tahoma"/>
      <w:sz w:val="16"/>
      <w:szCs w:val="16"/>
    </w:rPr>
  </w:style>
  <w:style w:type="character" w:styleId="Marquedecommentaire">
    <w:name w:val="annotation reference"/>
    <w:basedOn w:val="Policepardfaut"/>
    <w:uiPriority w:val="99"/>
    <w:semiHidden/>
    <w:unhideWhenUsed/>
    <w:rsid w:val="00D1627E"/>
    <w:rPr>
      <w:sz w:val="16"/>
      <w:szCs w:val="16"/>
    </w:rPr>
  </w:style>
  <w:style w:type="paragraph" w:styleId="Commentaire">
    <w:name w:val="annotation text"/>
    <w:basedOn w:val="Normal"/>
    <w:link w:val="CommentaireCar"/>
    <w:uiPriority w:val="99"/>
    <w:unhideWhenUsed/>
    <w:rsid w:val="00D1627E"/>
    <w:pPr>
      <w:spacing w:line="240" w:lineRule="auto"/>
    </w:pPr>
    <w:rPr>
      <w:sz w:val="20"/>
      <w:szCs w:val="20"/>
    </w:rPr>
  </w:style>
  <w:style w:type="character" w:customStyle="1" w:styleId="CommentaireCar">
    <w:name w:val="Commentaire Car"/>
    <w:basedOn w:val="Policepardfaut"/>
    <w:link w:val="Commentaire"/>
    <w:uiPriority w:val="99"/>
    <w:rsid w:val="00D1627E"/>
    <w:rPr>
      <w:sz w:val="20"/>
      <w:szCs w:val="20"/>
    </w:rPr>
  </w:style>
  <w:style w:type="paragraph" w:styleId="Objetducommentaire">
    <w:name w:val="annotation subject"/>
    <w:basedOn w:val="Commentaire"/>
    <w:next w:val="Commentaire"/>
    <w:link w:val="ObjetducommentaireCar"/>
    <w:uiPriority w:val="99"/>
    <w:semiHidden/>
    <w:unhideWhenUsed/>
    <w:rsid w:val="00D1627E"/>
    <w:rPr>
      <w:b/>
      <w:bCs/>
    </w:rPr>
  </w:style>
  <w:style w:type="character" w:customStyle="1" w:styleId="ObjetducommentaireCar">
    <w:name w:val="Objet du commentaire Car"/>
    <w:basedOn w:val="CommentaireCar"/>
    <w:link w:val="Objetducommentaire"/>
    <w:uiPriority w:val="99"/>
    <w:semiHidden/>
    <w:rsid w:val="00D1627E"/>
    <w:rPr>
      <w:b/>
      <w:bCs/>
      <w:sz w:val="20"/>
      <w:szCs w:val="20"/>
    </w:rPr>
  </w:style>
  <w:style w:type="table" w:styleId="Grilledutableau">
    <w:name w:val="Table Grid"/>
    <w:basedOn w:val="TableauNormal"/>
    <w:uiPriority w:val="59"/>
    <w:rsid w:val="00A26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unhideWhenUsed/>
    <w:rsid w:val="00454AED"/>
    <w:pPr>
      <w:spacing w:after="0" w:line="240" w:lineRule="auto"/>
    </w:pPr>
    <w:rPr>
      <w:sz w:val="20"/>
      <w:szCs w:val="20"/>
    </w:rPr>
  </w:style>
  <w:style w:type="character" w:customStyle="1" w:styleId="NotedefinCar">
    <w:name w:val="Note de fin Car"/>
    <w:basedOn w:val="Policepardfaut"/>
    <w:link w:val="Notedefin"/>
    <w:uiPriority w:val="99"/>
    <w:rsid w:val="00454AED"/>
    <w:rPr>
      <w:sz w:val="20"/>
      <w:szCs w:val="20"/>
    </w:rPr>
  </w:style>
  <w:style w:type="character" w:styleId="Appeldenotedefin">
    <w:name w:val="endnote reference"/>
    <w:basedOn w:val="Policepardfaut"/>
    <w:uiPriority w:val="99"/>
    <w:unhideWhenUsed/>
    <w:rsid w:val="00454AED"/>
    <w:rPr>
      <w:vertAlign w:val="superscript"/>
    </w:rPr>
  </w:style>
  <w:style w:type="paragraph" w:styleId="Rvision">
    <w:name w:val="Revision"/>
    <w:hidden/>
    <w:uiPriority w:val="99"/>
    <w:semiHidden/>
    <w:rsid w:val="00F96FA8"/>
    <w:pPr>
      <w:spacing w:after="0" w:line="240" w:lineRule="auto"/>
    </w:pPr>
  </w:style>
  <w:style w:type="paragraph" w:styleId="Notedebasdepage">
    <w:name w:val="footnote text"/>
    <w:aliases w:val="Footnote Text Char Char,Footnote Text Char1 Char Char,Footnote Text Char Char Char Char,Footnote Text Char1 Char Char Char Char,Footnote Char Char Char Char Char,Footnote Text Char Char Char Char Char Char,Footnotes, Ch,5,Ch,5_G"/>
    <w:basedOn w:val="Normal"/>
    <w:link w:val="NotedebasdepageCar"/>
    <w:uiPriority w:val="99"/>
    <w:unhideWhenUsed/>
    <w:qFormat/>
    <w:rsid w:val="00D463B2"/>
    <w:pPr>
      <w:spacing w:after="0" w:line="240" w:lineRule="auto"/>
    </w:pPr>
    <w:rPr>
      <w:sz w:val="20"/>
      <w:szCs w:val="20"/>
    </w:rPr>
  </w:style>
  <w:style w:type="character" w:customStyle="1" w:styleId="NotedebasdepageCar">
    <w:name w:val="Note de bas de page Car"/>
    <w:aliases w:val="Footnote Text Char Char Car,Footnote Text Char1 Char Char Car,Footnote Text Char Char Char Char Car,Footnote Text Char1 Char Char Char Char Car,Footnote Char Char Char Char Char Car,Footnote Text Char Char Char Char Char Char Car"/>
    <w:basedOn w:val="Policepardfaut"/>
    <w:link w:val="Notedebasdepage"/>
    <w:uiPriority w:val="99"/>
    <w:rsid w:val="00D463B2"/>
    <w:rPr>
      <w:sz w:val="20"/>
      <w:szCs w:val="20"/>
    </w:rPr>
  </w:style>
  <w:style w:type="character" w:styleId="Appelnotedebasdep">
    <w:name w:val="footnote reference"/>
    <w:aliases w:val="Footnote Ref,16 Point,Superscript 6 Point,Footnote symbol,Footnote,Voetnootverwijzing,Times 10 Point,Exposant 3 Point,Ref,de nota al pie,4_G,ftref, BVI fnr,BVI fnr,Footnote number,4_G Char Char Char Char,ftref Char Char Char Char"/>
    <w:basedOn w:val="Policepardfaut"/>
    <w:link w:val="4GCharCharChar"/>
    <w:uiPriority w:val="99"/>
    <w:unhideWhenUsed/>
    <w:qFormat/>
    <w:rsid w:val="00D463B2"/>
    <w:rPr>
      <w:vertAlign w:val="superscript"/>
    </w:rPr>
  </w:style>
  <w:style w:type="character" w:customStyle="1" w:styleId="ParagraphedelisteCar">
    <w:name w:val="Paragraphe de liste Car"/>
    <w:aliases w:val="References Car,Recommendation Car,List Paragraph11 Car,Corps Text Inc Car,Indent Paragraph Car,Heading3 Car,Numbered List Paragraph Car,Proposal Heading 1.1 Car,small normal Car,Bullets Car,Evidence on Demand bullet points Car"/>
    <w:link w:val="Paragraphedeliste"/>
    <w:uiPriority w:val="34"/>
    <w:qFormat/>
    <w:locked/>
    <w:rsid w:val="002E4F48"/>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Appelnotedebasdep"/>
    <w:uiPriority w:val="99"/>
    <w:rsid w:val="00C9317A"/>
    <w:pPr>
      <w:spacing w:after="160" w:line="240" w:lineRule="exact"/>
      <w:jc w:val="both"/>
    </w:pPr>
    <w:rPr>
      <w:vertAlign w:val="superscript"/>
    </w:rPr>
  </w:style>
  <w:style w:type="character" w:customStyle="1" w:styleId="Mentionnonrsolue1">
    <w:name w:val="Mention non résolue1"/>
    <w:basedOn w:val="Policepardfaut"/>
    <w:uiPriority w:val="99"/>
    <w:semiHidden/>
    <w:unhideWhenUsed/>
    <w:rsid w:val="00A80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2423">
      <w:bodyDiv w:val="1"/>
      <w:marLeft w:val="0"/>
      <w:marRight w:val="0"/>
      <w:marTop w:val="0"/>
      <w:marBottom w:val="0"/>
      <w:divBdr>
        <w:top w:val="none" w:sz="0" w:space="0" w:color="auto"/>
        <w:left w:val="none" w:sz="0" w:space="0" w:color="auto"/>
        <w:bottom w:val="none" w:sz="0" w:space="0" w:color="auto"/>
        <w:right w:val="none" w:sz="0" w:space="0" w:color="auto"/>
      </w:divBdr>
      <w:divsChild>
        <w:div w:id="619990587">
          <w:marLeft w:val="0"/>
          <w:marRight w:val="0"/>
          <w:marTop w:val="0"/>
          <w:marBottom w:val="0"/>
          <w:divBdr>
            <w:top w:val="none" w:sz="0" w:space="0" w:color="auto"/>
            <w:left w:val="none" w:sz="0" w:space="0" w:color="auto"/>
            <w:bottom w:val="none" w:sz="0" w:space="0" w:color="auto"/>
            <w:right w:val="none" w:sz="0" w:space="0" w:color="auto"/>
          </w:divBdr>
        </w:div>
        <w:div w:id="1137719105">
          <w:marLeft w:val="0"/>
          <w:marRight w:val="0"/>
          <w:marTop w:val="0"/>
          <w:marBottom w:val="0"/>
          <w:divBdr>
            <w:top w:val="none" w:sz="0" w:space="0" w:color="auto"/>
            <w:left w:val="none" w:sz="0" w:space="0" w:color="auto"/>
            <w:bottom w:val="none" w:sz="0" w:space="0" w:color="auto"/>
            <w:right w:val="none" w:sz="0" w:space="0" w:color="auto"/>
          </w:divBdr>
        </w:div>
        <w:div w:id="1644697902">
          <w:marLeft w:val="0"/>
          <w:marRight w:val="0"/>
          <w:marTop w:val="0"/>
          <w:marBottom w:val="0"/>
          <w:divBdr>
            <w:top w:val="none" w:sz="0" w:space="0" w:color="auto"/>
            <w:left w:val="none" w:sz="0" w:space="0" w:color="auto"/>
            <w:bottom w:val="none" w:sz="0" w:space="0" w:color="auto"/>
            <w:right w:val="none" w:sz="0" w:space="0" w:color="auto"/>
          </w:divBdr>
        </w:div>
        <w:div w:id="66807368">
          <w:marLeft w:val="0"/>
          <w:marRight w:val="0"/>
          <w:marTop w:val="0"/>
          <w:marBottom w:val="0"/>
          <w:divBdr>
            <w:top w:val="none" w:sz="0" w:space="0" w:color="auto"/>
            <w:left w:val="none" w:sz="0" w:space="0" w:color="auto"/>
            <w:bottom w:val="none" w:sz="0" w:space="0" w:color="auto"/>
            <w:right w:val="none" w:sz="0" w:space="0" w:color="auto"/>
          </w:divBdr>
        </w:div>
        <w:div w:id="156577772">
          <w:marLeft w:val="0"/>
          <w:marRight w:val="0"/>
          <w:marTop w:val="0"/>
          <w:marBottom w:val="0"/>
          <w:divBdr>
            <w:top w:val="none" w:sz="0" w:space="0" w:color="auto"/>
            <w:left w:val="none" w:sz="0" w:space="0" w:color="auto"/>
            <w:bottom w:val="none" w:sz="0" w:space="0" w:color="auto"/>
            <w:right w:val="none" w:sz="0" w:space="0" w:color="auto"/>
          </w:divBdr>
        </w:div>
        <w:div w:id="2085104526">
          <w:marLeft w:val="0"/>
          <w:marRight w:val="0"/>
          <w:marTop w:val="0"/>
          <w:marBottom w:val="0"/>
          <w:divBdr>
            <w:top w:val="none" w:sz="0" w:space="0" w:color="auto"/>
            <w:left w:val="none" w:sz="0" w:space="0" w:color="auto"/>
            <w:bottom w:val="none" w:sz="0" w:space="0" w:color="auto"/>
            <w:right w:val="none" w:sz="0" w:space="0" w:color="auto"/>
          </w:divBdr>
        </w:div>
        <w:div w:id="84159640">
          <w:marLeft w:val="0"/>
          <w:marRight w:val="0"/>
          <w:marTop w:val="0"/>
          <w:marBottom w:val="0"/>
          <w:divBdr>
            <w:top w:val="none" w:sz="0" w:space="0" w:color="auto"/>
            <w:left w:val="none" w:sz="0" w:space="0" w:color="auto"/>
            <w:bottom w:val="none" w:sz="0" w:space="0" w:color="auto"/>
            <w:right w:val="none" w:sz="0" w:space="0" w:color="auto"/>
          </w:divBdr>
        </w:div>
        <w:div w:id="1657609582">
          <w:marLeft w:val="0"/>
          <w:marRight w:val="0"/>
          <w:marTop w:val="0"/>
          <w:marBottom w:val="0"/>
          <w:divBdr>
            <w:top w:val="none" w:sz="0" w:space="0" w:color="auto"/>
            <w:left w:val="none" w:sz="0" w:space="0" w:color="auto"/>
            <w:bottom w:val="none" w:sz="0" w:space="0" w:color="auto"/>
            <w:right w:val="none" w:sz="0" w:space="0" w:color="auto"/>
          </w:divBdr>
        </w:div>
        <w:div w:id="88476028">
          <w:marLeft w:val="0"/>
          <w:marRight w:val="0"/>
          <w:marTop w:val="0"/>
          <w:marBottom w:val="0"/>
          <w:divBdr>
            <w:top w:val="none" w:sz="0" w:space="0" w:color="auto"/>
            <w:left w:val="none" w:sz="0" w:space="0" w:color="auto"/>
            <w:bottom w:val="none" w:sz="0" w:space="0" w:color="auto"/>
            <w:right w:val="none" w:sz="0" w:space="0" w:color="auto"/>
          </w:divBdr>
        </w:div>
        <w:div w:id="1553269240">
          <w:marLeft w:val="0"/>
          <w:marRight w:val="0"/>
          <w:marTop w:val="0"/>
          <w:marBottom w:val="0"/>
          <w:divBdr>
            <w:top w:val="none" w:sz="0" w:space="0" w:color="auto"/>
            <w:left w:val="none" w:sz="0" w:space="0" w:color="auto"/>
            <w:bottom w:val="none" w:sz="0" w:space="0" w:color="auto"/>
            <w:right w:val="none" w:sz="0" w:space="0" w:color="auto"/>
          </w:divBdr>
        </w:div>
        <w:div w:id="388967225">
          <w:marLeft w:val="0"/>
          <w:marRight w:val="0"/>
          <w:marTop w:val="0"/>
          <w:marBottom w:val="0"/>
          <w:divBdr>
            <w:top w:val="none" w:sz="0" w:space="0" w:color="auto"/>
            <w:left w:val="none" w:sz="0" w:space="0" w:color="auto"/>
            <w:bottom w:val="none" w:sz="0" w:space="0" w:color="auto"/>
            <w:right w:val="none" w:sz="0" w:space="0" w:color="auto"/>
          </w:divBdr>
        </w:div>
        <w:div w:id="1225413334">
          <w:marLeft w:val="0"/>
          <w:marRight w:val="0"/>
          <w:marTop w:val="0"/>
          <w:marBottom w:val="0"/>
          <w:divBdr>
            <w:top w:val="none" w:sz="0" w:space="0" w:color="auto"/>
            <w:left w:val="none" w:sz="0" w:space="0" w:color="auto"/>
            <w:bottom w:val="none" w:sz="0" w:space="0" w:color="auto"/>
            <w:right w:val="none" w:sz="0" w:space="0" w:color="auto"/>
          </w:divBdr>
        </w:div>
        <w:div w:id="3627570">
          <w:marLeft w:val="0"/>
          <w:marRight w:val="0"/>
          <w:marTop w:val="0"/>
          <w:marBottom w:val="0"/>
          <w:divBdr>
            <w:top w:val="none" w:sz="0" w:space="0" w:color="auto"/>
            <w:left w:val="none" w:sz="0" w:space="0" w:color="auto"/>
            <w:bottom w:val="none" w:sz="0" w:space="0" w:color="auto"/>
            <w:right w:val="none" w:sz="0" w:space="0" w:color="auto"/>
          </w:divBdr>
        </w:div>
        <w:div w:id="1155532995">
          <w:marLeft w:val="0"/>
          <w:marRight w:val="0"/>
          <w:marTop w:val="0"/>
          <w:marBottom w:val="0"/>
          <w:divBdr>
            <w:top w:val="none" w:sz="0" w:space="0" w:color="auto"/>
            <w:left w:val="none" w:sz="0" w:space="0" w:color="auto"/>
            <w:bottom w:val="none" w:sz="0" w:space="0" w:color="auto"/>
            <w:right w:val="none" w:sz="0" w:space="0" w:color="auto"/>
          </w:divBdr>
        </w:div>
        <w:div w:id="534849740">
          <w:marLeft w:val="0"/>
          <w:marRight w:val="0"/>
          <w:marTop w:val="0"/>
          <w:marBottom w:val="0"/>
          <w:divBdr>
            <w:top w:val="none" w:sz="0" w:space="0" w:color="auto"/>
            <w:left w:val="none" w:sz="0" w:space="0" w:color="auto"/>
            <w:bottom w:val="none" w:sz="0" w:space="0" w:color="auto"/>
            <w:right w:val="none" w:sz="0" w:space="0" w:color="auto"/>
          </w:divBdr>
        </w:div>
        <w:div w:id="727873393">
          <w:marLeft w:val="0"/>
          <w:marRight w:val="0"/>
          <w:marTop w:val="0"/>
          <w:marBottom w:val="0"/>
          <w:divBdr>
            <w:top w:val="none" w:sz="0" w:space="0" w:color="auto"/>
            <w:left w:val="none" w:sz="0" w:space="0" w:color="auto"/>
            <w:bottom w:val="none" w:sz="0" w:space="0" w:color="auto"/>
            <w:right w:val="none" w:sz="0" w:space="0" w:color="auto"/>
          </w:divBdr>
        </w:div>
        <w:div w:id="1663657671">
          <w:marLeft w:val="0"/>
          <w:marRight w:val="0"/>
          <w:marTop w:val="0"/>
          <w:marBottom w:val="0"/>
          <w:divBdr>
            <w:top w:val="none" w:sz="0" w:space="0" w:color="auto"/>
            <w:left w:val="none" w:sz="0" w:space="0" w:color="auto"/>
            <w:bottom w:val="none" w:sz="0" w:space="0" w:color="auto"/>
            <w:right w:val="none" w:sz="0" w:space="0" w:color="auto"/>
          </w:divBdr>
        </w:div>
        <w:div w:id="116147374">
          <w:marLeft w:val="0"/>
          <w:marRight w:val="0"/>
          <w:marTop w:val="0"/>
          <w:marBottom w:val="0"/>
          <w:divBdr>
            <w:top w:val="none" w:sz="0" w:space="0" w:color="auto"/>
            <w:left w:val="none" w:sz="0" w:space="0" w:color="auto"/>
            <w:bottom w:val="none" w:sz="0" w:space="0" w:color="auto"/>
            <w:right w:val="none" w:sz="0" w:space="0" w:color="auto"/>
          </w:divBdr>
        </w:div>
        <w:div w:id="1354267558">
          <w:marLeft w:val="0"/>
          <w:marRight w:val="0"/>
          <w:marTop w:val="0"/>
          <w:marBottom w:val="0"/>
          <w:divBdr>
            <w:top w:val="none" w:sz="0" w:space="0" w:color="auto"/>
            <w:left w:val="none" w:sz="0" w:space="0" w:color="auto"/>
            <w:bottom w:val="none" w:sz="0" w:space="0" w:color="auto"/>
            <w:right w:val="none" w:sz="0" w:space="0" w:color="auto"/>
          </w:divBdr>
        </w:div>
        <w:div w:id="809982085">
          <w:marLeft w:val="0"/>
          <w:marRight w:val="0"/>
          <w:marTop w:val="0"/>
          <w:marBottom w:val="0"/>
          <w:divBdr>
            <w:top w:val="none" w:sz="0" w:space="0" w:color="auto"/>
            <w:left w:val="none" w:sz="0" w:space="0" w:color="auto"/>
            <w:bottom w:val="none" w:sz="0" w:space="0" w:color="auto"/>
            <w:right w:val="none" w:sz="0" w:space="0" w:color="auto"/>
          </w:divBdr>
        </w:div>
        <w:div w:id="2012373648">
          <w:marLeft w:val="0"/>
          <w:marRight w:val="0"/>
          <w:marTop w:val="0"/>
          <w:marBottom w:val="0"/>
          <w:divBdr>
            <w:top w:val="none" w:sz="0" w:space="0" w:color="auto"/>
            <w:left w:val="none" w:sz="0" w:space="0" w:color="auto"/>
            <w:bottom w:val="none" w:sz="0" w:space="0" w:color="auto"/>
            <w:right w:val="none" w:sz="0" w:space="0" w:color="auto"/>
          </w:divBdr>
        </w:div>
        <w:div w:id="1599097642">
          <w:marLeft w:val="0"/>
          <w:marRight w:val="0"/>
          <w:marTop w:val="0"/>
          <w:marBottom w:val="0"/>
          <w:divBdr>
            <w:top w:val="none" w:sz="0" w:space="0" w:color="auto"/>
            <w:left w:val="none" w:sz="0" w:space="0" w:color="auto"/>
            <w:bottom w:val="none" w:sz="0" w:space="0" w:color="auto"/>
            <w:right w:val="none" w:sz="0" w:space="0" w:color="auto"/>
          </w:divBdr>
        </w:div>
        <w:div w:id="518664453">
          <w:marLeft w:val="0"/>
          <w:marRight w:val="0"/>
          <w:marTop w:val="0"/>
          <w:marBottom w:val="0"/>
          <w:divBdr>
            <w:top w:val="none" w:sz="0" w:space="0" w:color="auto"/>
            <w:left w:val="none" w:sz="0" w:space="0" w:color="auto"/>
            <w:bottom w:val="none" w:sz="0" w:space="0" w:color="auto"/>
            <w:right w:val="none" w:sz="0" w:space="0" w:color="auto"/>
          </w:divBdr>
        </w:div>
        <w:div w:id="780958177">
          <w:marLeft w:val="0"/>
          <w:marRight w:val="0"/>
          <w:marTop w:val="0"/>
          <w:marBottom w:val="0"/>
          <w:divBdr>
            <w:top w:val="none" w:sz="0" w:space="0" w:color="auto"/>
            <w:left w:val="none" w:sz="0" w:space="0" w:color="auto"/>
            <w:bottom w:val="none" w:sz="0" w:space="0" w:color="auto"/>
            <w:right w:val="none" w:sz="0" w:space="0" w:color="auto"/>
          </w:divBdr>
        </w:div>
        <w:div w:id="1424916118">
          <w:marLeft w:val="0"/>
          <w:marRight w:val="0"/>
          <w:marTop w:val="0"/>
          <w:marBottom w:val="0"/>
          <w:divBdr>
            <w:top w:val="none" w:sz="0" w:space="0" w:color="auto"/>
            <w:left w:val="none" w:sz="0" w:space="0" w:color="auto"/>
            <w:bottom w:val="none" w:sz="0" w:space="0" w:color="auto"/>
            <w:right w:val="none" w:sz="0" w:space="0" w:color="auto"/>
          </w:divBdr>
        </w:div>
      </w:divsChild>
    </w:div>
    <w:div w:id="290988560">
      <w:bodyDiv w:val="1"/>
      <w:marLeft w:val="0"/>
      <w:marRight w:val="0"/>
      <w:marTop w:val="0"/>
      <w:marBottom w:val="0"/>
      <w:divBdr>
        <w:top w:val="none" w:sz="0" w:space="0" w:color="auto"/>
        <w:left w:val="none" w:sz="0" w:space="0" w:color="auto"/>
        <w:bottom w:val="none" w:sz="0" w:space="0" w:color="auto"/>
        <w:right w:val="none" w:sz="0" w:space="0" w:color="auto"/>
      </w:divBdr>
      <w:divsChild>
        <w:div w:id="210508122">
          <w:marLeft w:val="0"/>
          <w:marRight w:val="0"/>
          <w:marTop w:val="0"/>
          <w:marBottom w:val="0"/>
          <w:divBdr>
            <w:top w:val="none" w:sz="0" w:space="0" w:color="auto"/>
            <w:left w:val="none" w:sz="0" w:space="0" w:color="auto"/>
            <w:bottom w:val="none" w:sz="0" w:space="0" w:color="auto"/>
            <w:right w:val="none" w:sz="0" w:space="0" w:color="auto"/>
          </w:divBdr>
          <w:divsChild>
            <w:div w:id="11776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5005">
      <w:bodyDiv w:val="1"/>
      <w:marLeft w:val="0"/>
      <w:marRight w:val="0"/>
      <w:marTop w:val="0"/>
      <w:marBottom w:val="0"/>
      <w:divBdr>
        <w:top w:val="none" w:sz="0" w:space="0" w:color="auto"/>
        <w:left w:val="none" w:sz="0" w:space="0" w:color="auto"/>
        <w:bottom w:val="none" w:sz="0" w:space="0" w:color="auto"/>
        <w:right w:val="none" w:sz="0" w:space="0" w:color="auto"/>
      </w:divBdr>
      <w:divsChild>
        <w:div w:id="1757628724">
          <w:marLeft w:val="0"/>
          <w:marRight w:val="0"/>
          <w:marTop w:val="0"/>
          <w:marBottom w:val="0"/>
          <w:divBdr>
            <w:top w:val="none" w:sz="0" w:space="0" w:color="auto"/>
            <w:left w:val="none" w:sz="0" w:space="0" w:color="auto"/>
            <w:bottom w:val="none" w:sz="0" w:space="0" w:color="auto"/>
            <w:right w:val="none" w:sz="0" w:space="0" w:color="auto"/>
          </w:divBdr>
        </w:div>
        <w:div w:id="1706443809">
          <w:marLeft w:val="0"/>
          <w:marRight w:val="0"/>
          <w:marTop w:val="0"/>
          <w:marBottom w:val="0"/>
          <w:divBdr>
            <w:top w:val="none" w:sz="0" w:space="0" w:color="auto"/>
            <w:left w:val="none" w:sz="0" w:space="0" w:color="auto"/>
            <w:bottom w:val="none" w:sz="0" w:space="0" w:color="auto"/>
            <w:right w:val="none" w:sz="0" w:space="0" w:color="auto"/>
          </w:divBdr>
        </w:div>
        <w:div w:id="1154101203">
          <w:marLeft w:val="0"/>
          <w:marRight w:val="0"/>
          <w:marTop w:val="0"/>
          <w:marBottom w:val="0"/>
          <w:divBdr>
            <w:top w:val="none" w:sz="0" w:space="0" w:color="auto"/>
            <w:left w:val="none" w:sz="0" w:space="0" w:color="auto"/>
            <w:bottom w:val="none" w:sz="0" w:space="0" w:color="auto"/>
            <w:right w:val="none" w:sz="0" w:space="0" w:color="auto"/>
          </w:divBdr>
        </w:div>
        <w:div w:id="1158184149">
          <w:marLeft w:val="0"/>
          <w:marRight w:val="0"/>
          <w:marTop w:val="0"/>
          <w:marBottom w:val="0"/>
          <w:divBdr>
            <w:top w:val="none" w:sz="0" w:space="0" w:color="auto"/>
            <w:left w:val="none" w:sz="0" w:space="0" w:color="auto"/>
            <w:bottom w:val="none" w:sz="0" w:space="0" w:color="auto"/>
            <w:right w:val="none" w:sz="0" w:space="0" w:color="auto"/>
          </w:divBdr>
        </w:div>
      </w:divsChild>
    </w:div>
    <w:div w:id="499082134">
      <w:bodyDiv w:val="1"/>
      <w:marLeft w:val="0"/>
      <w:marRight w:val="0"/>
      <w:marTop w:val="0"/>
      <w:marBottom w:val="0"/>
      <w:divBdr>
        <w:top w:val="none" w:sz="0" w:space="0" w:color="auto"/>
        <w:left w:val="none" w:sz="0" w:space="0" w:color="auto"/>
        <w:bottom w:val="none" w:sz="0" w:space="0" w:color="auto"/>
        <w:right w:val="none" w:sz="0" w:space="0" w:color="auto"/>
      </w:divBdr>
      <w:divsChild>
        <w:div w:id="83041780">
          <w:marLeft w:val="0"/>
          <w:marRight w:val="0"/>
          <w:marTop w:val="0"/>
          <w:marBottom w:val="0"/>
          <w:divBdr>
            <w:top w:val="none" w:sz="0" w:space="0" w:color="auto"/>
            <w:left w:val="none" w:sz="0" w:space="0" w:color="auto"/>
            <w:bottom w:val="none" w:sz="0" w:space="0" w:color="auto"/>
            <w:right w:val="none" w:sz="0" w:space="0" w:color="auto"/>
          </w:divBdr>
        </w:div>
      </w:divsChild>
    </w:div>
    <w:div w:id="583299578">
      <w:bodyDiv w:val="1"/>
      <w:marLeft w:val="0"/>
      <w:marRight w:val="0"/>
      <w:marTop w:val="0"/>
      <w:marBottom w:val="0"/>
      <w:divBdr>
        <w:top w:val="none" w:sz="0" w:space="0" w:color="auto"/>
        <w:left w:val="none" w:sz="0" w:space="0" w:color="auto"/>
        <w:bottom w:val="none" w:sz="0" w:space="0" w:color="auto"/>
        <w:right w:val="none" w:sz="0" w:space="0" w:color="auto"/>
      </w:divBdr>
    </w:div>
    <w:div w:id="795414232">
      <w:bodyDiv w:val="1"/>
      <w:marLeft w:val="0"/>
      <w:marRight w:val="0"/>
      <w:marTop w:val="0"/>
      <w:marBottom w:val="0"/>
      <w:divBdr>
        <w:top w:val="none" w:sz="0" w:space="0" w:color="auto"/>
        <w:left w:val="none" w:sz="0" w:space="0" w:color="auto"/>
        <w:bottom w:val="none" w:sz="0" w:space="0" w:color="auto"/>
        <w:right w:val="none" w:sz="0" w:space="0" w:color="auto"/>
      </w:divBdr>
      <w:divsChild>
        <w:div w:id="2105832325">
          <w:marLeft w:val="0"/>
          <w:marRight w:val="0"/>
          <w:marTop w:val="0"/>
          <w:marBottom w:val="0"/>
          <w:divBdr>
            <w:top w:val="none" w:sz="0" w:space="0" w:color="auto"/>
            <w:left w:val="none" w:sz="0" w:space="0" w:color="auto"/>
            <w:bottom w:val="none" w:sz="0" w:space="0" w:color="auto"/>
            <w:right w:val="none" w:sz="0" w:space="0" w:color="auto"/>
          </w:divBdr>
        </w:div>
        <w:div w:id="1614939291">
          <w:marLeft w:val="0"/>
          <w:marRight w:val="0"/>
          <w:marTop w:val="0"/>
          <w:marBottom w:val="0"/>
          <w:divBdr>
            <w:top w:val="none" w:sz="0" w:space="0" w:color="auto"/>
            <w:left w:val="none" w:sz="0" w:space="0" w:color="auto"/>
            <w:bottom w:val="none" w:sz="0" w:space="0" w:color="auto"/>
            <w:right w:val="none" w:sz="0" w:space="0" w:color="auto"/>
          </w:divBdr>
        </w:div>
      </w:divsChild>
    </w:div>
    <w:div w:id="962543903">
      <w:bodyDiv w:val="1"/>
      <w:marLeft w:val="0"/>
      <w:marRight w:val="0"/>
      <w:marTop w:val="0"/>
      <w:marBottom w:val="0"/>
      <w:divBdr>
        <w:top w:val="none" w:sz="0" w:space="0" w:color="auto"/>
        <w:left w:val="none" w:sz="0" w:space="0" w:color="auto"/>
        <w:bottom w:val="none" w:sz="0" w:space="0" w:color="auto"/>
        <w:right w:val="none" w:sz="0" w:space="0" w:color="auto"/>
      </w:divBdr>
      <w:divsChild>
        <w:div w:id="2043549381">
          <w:marLeft w:val="0"/>
          <w:marRight w:val="0"/>
          <w:marTop w:val="0"/>
          <w:marBottom w:val="0"/>
          <w:divBdr>
            <w:top w:val="none" w:sz="0" w:space="0" w:color="auto"/>
            <w:left w:val="none" w:sz="0" w:space="0" w:color="auto"/>
            <w:bottom w:val="none" w:sz="0" w:space="0" w:color="auto"/>
            <w:right w:val="none" w:sz="0" w:space="0" w:color="auto"/>
          </w:divBdr>
        </w:div>
        <w:div w:id="292713041">
          <w:marLeft w:val="0"/>
          <w:marRight w:val="0"/>
          <w:marTop w:val="0"/>
          <w:marBottom w:val="0"/>
          <w:divBdr>
            <w:top w:val="none" w:sz="0" w:space="0" w:color="auto"/>
            <w:left w:val="none" w:sz="0" w:space="0" w:color="auto"/>
            <w:bottom w:val="none" w:sz="0" w:space="0" w:color="auto"/>
            <w:right w:val="none" w:sz="0" w:space="0" w:color="auto"/>
          </w:divBdr>
        </w:div>
        <w:div w:id="666790781">
          <w:marLeft w:val="0"/>
          <w:marRight w:val="0"/>
          <w:marTop w:val="0"/>
          <w:marBottom w:val="0"/>
          <w:divBdr>
            <w:top w:val="none" w:sz="0" w:space="0" w:color="auto"/>
            <w:left w:val="none" w:sz="0" w:space="0" w:color="auto"/>
            <w:bottom w:val="none" w:sz="0" w:space="0" w:color="auto"/>
            <w:right w:val="none" w:sz="0" w:space="0" w:color="auto"/>
          </w:divBdr>
        </w:div>
      </w:divsChild>
    </w:div>
    <w:div w:id="1015494597">
      <w:bodyDiv w:val="1"/>
      <w:marLeft w:val="0"/>
      <w:marRight w:val="0"/>
      <w:marTop w:val="0"/>
      <w:marBottom w:val="0"/>
      <w:divBdr>
        <w:top w:val="none" w:sz="0" w:space="0" w:color="auto"/>
        <w:left w:val="none" w:sz="0" w:space="0" w:color="auto"/>
        <w:bottom w:val="none" w:sz="0" w:space="0" w:color="auto"/>
        <w:right w:val="none" w:sz="0" w:space="0" w:color="auto"/>
      </w:divBdr>
    </w:div>
    <w:div w:id="1045255543">
      <w:bodyDiv w:val="1"/>
      <w:marLeft w:val="0"/>
      <w:marRight w:val="0"/>
      <w:marTop w:val="0"/>
      <w:marBottom w:val="0"/>
      <w:divBdr>
        <w:top w:val="none" w:sz="0" w:space="0" w:color="auto"/>
        <w:left w:val="none" w:sz="0" w:space="0" w:color="auto"/>
        <w:bottom w:val="none" w:sz="0" w:space="0" w:color="auto"/>
        <w:right w:val="none" w:sz="0" w:space="0" w:color="auto"/>
      </w:divBdr>
      <w:divsChild>
        <w:div w:id="1394887920">
          <w:marLeft w:val="0"/>
          <w:marRight w:val="0"/>
          <w:marTop w:val="0"/>
          <w:marBottom w:val="0"/>
          <w:divBdr>
            <w:top w:val="none" w:sz="0" w:space="0" w:color="auto"/>
            <w:left w:val="none" w:sz="0" w:space="0" w:color="auto"/>
            <w:bottom w:val="none" w:sz="0" w:space="0" w:color="auto"/>
            <w:right w:val="none" w:sz="0" w:space="0" w:color="auto"/>
          </w:divBdr>
          <w:divsChild>
            <w:div w:id="19349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6352">
      <w:bodyDiv w:val="1"/>
      <w:marLeft w:val="0"/>
      <w:marRight w:val="0"/>
      <w:marTop w:val="0"/>
      <w:marBottom w:val="0"/>
      <w:divBdr>
        <w:top w:val="none" w:sz="0" w:space="0" w:color="auto"/>
        <w:left w:val="none" w:sz="0" w:space="0" w:color="auto"/>
        <w:bottom w:val="none" w:sz="0" w:space="0" w:color="auto"/>
        <w:right w:val="none" w:sz="0" w:space="0" w:color="auto"/>
      </w:divBdr>
    </w:div>
    <w:div w:id="1175807394">
      <w:bodyDiv w:val="1"/>
      <w:marLeft w:val="0"/>
      <w:marRight w:val="0"/>
      <w:marTop w:val="0"/>
      <w:marBottom w:val="0"/>
      <w:divBdr>
        <w:top w:val="none" w:sz="0" w:space="0" w:color="auto"/>
        <w:left w:val="none" w:sz="0" w:space="0" w:color="auto"/>
        <w:bottom w:val="none" w:sz="0" w:space="0" w:color="auto"/>
        <w:right w:val="none" w:sz="0" w:space="0" w:color="auto"/>
      </w:divBdr>
    </w:div>
    <w:div w:id="1628311170">
      <w:bodyDiv w:val="1"/>
      <w:marLeft w:val="0"/>
      <w:marRight w:val="0"/>
      <w:marTop w:val="0"/>
      <w:marBottom w:val="0"/>
      <w:divBdr>
        <w:top w:val="none" w:sz="0" w:space="0" w:color="auto"/>
        <w:left w:val="none" w:sz="0" w:space="0" w:color="auto"/>
        <w:bottom w:val="none" w:sz="0" w:space="0" w:color="auto"/>
        <w:right w:val="none" w:sz="0" w:space="0" w:color="auto"/>
      </w:divBdr>
      <w:divsChild>
        <w:div w:id="1712920433">
          <w:marLeft w:val="0"/>
          <w:marRight w:val="0"/>
          <w:marTop w:val="0"/>
          <w:marBottom w:val="0"/>
          <w:divBdr>
            <w:top w:val="none" w:sz="0" w:space="0" w:color="auto"/>
            <w:left w:val="none" w:sz="0" w:space="0" w:color="auto"/>
            <w:bottom w:val="none" w:sz="0" w:space="0" w:color="auto"/>
            <w:right w:val="none" w:sz="0" w:space="0" w:color="auto"/>
          </w:divBdr>
        </w:div>
      </w:divsChild>
    </w:div>
    <w:div w:id="1661344424">
      <w:bodyDiv w:val="1"/>
      <w:marLeft w:val="0"/>
      <w:marRight w:val="0"/>
      <w:marTop w:val="0"/>
      <w:marBottom w:val="0"/>
      <w:divBdr>
        <w:top w:val="none" w:sz="0" w:space="0" w:color="auto"/>
        <w:left w:val="none" w:sz="0" w:space="0" w:color="auto"/>
        <w:bottom w:val="none" w:sz="0" w:space="0" w:color="auto"/>
        <w:right w:val="none" w:sz="0" w:space="0" w:color="auto"/>
      </w:divBdr>
    </w:div>
    <w:div w:id="1672028169">
      <w:bodyDiv w:val="1"/>
      <w:marLeft w:val="0"/>
      <w:marRight w:val="0"/>
      <w:marTop w:val="0"/>
      <w:marBottom w:val="0"/>
      <w:divBdr>
        <w:top w:val="none" w:sz="0" w:space="0" w:color="auto"/>
        <w:left w:val="none" w:sz="0" w:space="0" w:color="auto"/>
        <w:bottom w:val="none" w:sz="0" w:space="0" w:color="auto"/>
        <w:right w:val="none" w:sz="0" w:space="0" w:color="auto"/>
      </w:divBdr>
    </w:div>
    <w:div w:id="1708020666">
      <w:bodyDiv w:val="1"/>
      <w:marLeft w:val="0"/>
      <w:marRight w:val="0"/>
      <w:marTop w:val="0"/>
      <w:marBottom w:val="0"/>
      <w:divBdr>
        <w:top w:val="none" w:sz="0" w:space="0" w:color="auto"/>
        <w:left w:val="none" w:sz="0" w:space="0" w:color="auto"/>
        <w:bottom w:val="none" w:sz="0" w:space="0" w:color="auto"/>
        <w:right w:val="none" w:sz="0" w:space="0" w:color="auto"/>
      </w:divBdr>
    </w:div>
    <w:div w:id="1931110977">
      <w:bodyDiv w:val="1"/>
      <w:marLeft w:val="0"/>
      <w:marRight w:val="0"/>
      <w:marTop w:val="0"/>
      <w:marBottom w:val="0"/>
      <w:divBdr>
        <w:top w:val="none" w:sz="0" w:space="0" w:color="auto"/>
        <w:left w:val="none" w:sz="0" w:space="0" w:color="auto"/>
        <w:bottom w:val="none" w:sz="0" w:space="0" w:color="auto"/>
        <w:right w:val="none" w:sz="0" w:space="0" w:color="auto"/>
      </w:divBdr>
      <w:divsChild>
        <w:div w:id="1942489030">
          <w:marLeft w:val="0"/>
          <w:marRight w:val="0"/>
          <w:marTop w:val="0"/>
          <w:marBottom w:val="0"/>
          <w:divBdr>
            <w:top w:val="none" w:sz="0" w:space="0" w:color="auto"/>
            <w:left w:val="none" w:sz="0" w:space="0" w:color="auto"/>
            <w:bottom w:val="none" w:sz="0" w:space="0" w:color="auto"/>
            <w:right w:val="none" w:sz="0" w:space="0" w:color="auto"/>
          </w:divBdr>
        </w:div>
        <w:div w:id="1287850345">
          <w:marLeft w:val="0"/>
          <w:marRight w:val="0"/>
          <w:marTop w:val="0"/>
          <w:marBottom w:val="0"/>
          <w:divBdr>
            <w:top w:val="none" w:sz="0" w:space="0" w:color="auto"/>
            <w:left w:val="none" w:sz="0" w:space="0" w:color="auto"/>
            <w:bottom w:val="none" w:sz="0" w:space="0" w:color="auto"/>
            <w:right w:val="none" w:sz="0" w:space="0" w:color="auto"/>
          </w:divBdr>
        </w:div>
        <w:div w:id="405079186">
          <w:marLeft w:val="0"/>
          <w:marRight w:val="0"/>
          <w:marTop w:val="0"/>
          <w:marBottom w:val="0"/>
          <w:divBdr>
            <w:top w:val="none" w:sz="0" w:space="0" w:color="auto"/>
            <w:left w:val="none" w:sz="0" w:space="0" w:color="auto"/>
            <w:bottom w:val="none" w:sz="0" w:space="0" w:color="auto"/>
            <w:right w:val="none" w:sz="0" w:space="0" w:color="auto"/>
          </w:divBdr>
        </w:div>
        <w:div w:id="1884903915">
          <w:marLeft w:val="0"/>
          <w:marRight w:val="0"/>
          <w:marTop w:val="0"/>
          <w:marBottom w:val="0"/>
          <w:divBdr>
            <w:top w:val="none" w:sz="0" w:space="0" w:color="auto"/>
            <w:left w:val="none" w:sz="0" w:space="0" w:color="auto"/>
            <w:bottom w:val="none" w:sz="0" w:space="0" w:color="auto"/>
            <w:right w:val="none" w:sz="0" w:space="0" w:color="auto"/>
          </w:divBdr>
        </w:div>
        <w:div w:id="760220106">
          <w:marLeft w:val="0"/>
          <w:marRight w:val="0"/>
          <w:marTop w:val="0"/>
          <w:marBottom w:val="0"/>
          <w:divBdr>
            <w:top w:val="none" w:sz="0" w:space="0" w:color="auto"/>
            <w:left w:val="none" w:sz="0" w:space="0" w:color="auto"/>
            <w:bottom w:val="none" w:sz="0" w:space="0" w:color="auto"/>
            <w:right w:val="none" w:sz="0" w:space="0" w:color="auto"/>
          </w:divBdr>
        </w:div>
        <w:div w:id="114301719">
          <w:marLeft w:val="0"/>
          <w:marRight w:val="0"/>
          <w:marTop w:val="0"/>
          <w:marBottom w:val="0"/>
          <w:divBdr>
            <w:top w:val="none" w:sz="0" w:space="0" w:color="auto"/>
            <w:left w:val="none" w:sz="0" w:space="0" w:color="auto"/>
            <w:bottom w:val="none" w:sz="0" w:space="0" w:color="auto"/>
            <w:right w:val="none" w:sz="0" w:space="0" w:color="auto"/>
          </w:divBdr>
        </w:div>
        <w:div w:id="1684817781">
          <w:marLeft w:val="0"/>
          <w:marRight w:val="0"/>
          <w:marTop w:val="0"/>
          <w:marBottom w:val="0"/>
          <w:divBdr>
            <w:top w:val="none" w:sz="0" w:space="0" w:color="auto"/>
            <w:left w:val="none" w:sz="0" w:space="0" w:color="auto"/>
            <w:bottom w:val="none" w:sz="0" w:space="0" w:color="auto"/>
            <w:right w:val="none" w:sz="0" w:space="0" w:color="auto"/>
          </w:divBdr>
        </w:div>
        <w:div w:id="1866403222">
          <w:marLeft w:val="0"/>
          <w:marRight w:val="0"/>
          <w:marTop w:val="0"/>
          <w:marBottom w:val="0"/>
          <w:divBdr>
            <w:top w:val="none" w:sz="0" w:space="0" w:color="auto"/>
            <w:left w:val="none" w:sz="0" w:space="0" w:color="auto"/>
            <w:bottom w:val="none" w:sz="0" w:space="0" w:color="auto"/>
            <w:right w:val="none" w:sz="0" w:space="0" w:color="auto"/>
          </w:divBdr>
        </w:div>
        <w:div w:id="1165196632">
          <w:marLeft w:val="0"/>
          <w:marRight w:val="0"/>
          <w:marTop w:val="0"/>
          <w:marBottom w:val="0"/>
          <w:divBdr>
            <w:top w:val="none" w:sz="0" w:space="0" w:color="auto"/>
            <w:left w:val="none" w:sz="0" w:space="0" w:color="auto"/>
            <w:bottom w:val="none" w:sz="0" w:space="0" w:color="auto"/>
            <w:right w:val="none" w:sz="0" w:space="0" w:color="auto"/>
          </w:divBdr>
        </w:div>
        <w:div w:id="1041318028">
          <w:marLeft w:val="0"/>
          <w:marRight w:val="0"/>
          <w:marTop w:val="0"/>
          <w:marBottom w:val="0"/>
          <w:divBdr>
            <w:top w:val="none" w:sz="0" w:space="0" w:color="auto"/>
            <w:left w:val="none" w:sz="0" w:space="0" w:color="auto"/>
            <w:bottom w:val="none" w:sz="0" w:space="0" w:color="auto"/>
            <w:right w:val="none" w:sz="0" w:space="0" w:color="auto"/>
          </w:divBdr>
        </w:div>
        <w:div w:id="1270119344">
          <w:marLeft w:val="0"/>
          <w:marRight w:val="0"/>
          <w:marTop w:val="0"/>
          <w:marBottom w:val="0"/>
          <w:divBdr>
            <w:top w:val="none" w:sz="0" w:space="0" w:color="auto"/>
            <w:left w:val="none" w:sz="0" w:space="0" w:color="auto"/>
            <w:bottom w:val="none" w:sz="0" w:space="0" w:color="auto"/>
            <w:right w:val="none" w:sz="0" w:space="0" w:color="auto"/>
          </w:divBdr>
        </w:div>
        <w:div w:id="834997651">
          <w:marLeft w:val="0"/>
          <w:marRight w:val="0"/>
          <w:marTop w:val="0"/>
          <w:marBottom w:val="0"/>
          <w:divBdr>
            <w:top w:val="none" w:sz="0" w:space="0" w:color="auto"/>
            <w:left w:val="none" w:sz="0" w:space="0" w:color="auto"/>
            <w:bottom w:val="none" w:sz="0" w:space="0" w:color="auto"/>
            <w:right w:val="none" w:sz="0" w:space="0" w:color="auto"/>
          </w:divBdr>
        </w:div>
        <w:div w:id="966738239">
          <w:marLeft w:val="0"/>
          <w:marRight w:val="0"/>
          <w:marTop w:val="0"/>
          <w:marBottom w:val="0"/>
          <w:divBdr>
            <w:top w:val="none" w:sz="0" w:space="0" w:color="auto"/>
            <w:left w:val="none" w:sz="0" w:space="0" w:color="auto"/>
            <w:bottom w:val="none" w:sz="0" w:space="0" w:color="auto"/>
            <w:right w:val="none" w:sz="0" w:space="0" w:color="auto"/>
          </w:divBdr>
        </w:div>
        <w:div w:id="531765814">
          <w:marLeft w:val="0"/>
          <w:marRight w:val="0"/>
          <w:marTop w:val="0"/>
          <w:marBottom w:val="0"/>
          <w:divBdr>
            <w:top w:val="none" w:sz="0" w:space="0" w:color="auto"/>
            <w:left w:val="none" w:sz="0" w:space="0" w:color="auto"/>
            <w:bottom w:val="none" w:sz="0" w:space="0" w:color="auto"/>
            <w:right w:val="none" w:sz="0" w:space="0" w:color="auto"/>
          </w:divBdr>
        </w:div>
        <w:div w:id="612327750">
          <w:marLeft w:val="0"/>
          <w:marRight w:val="0"/>
          <w:marTop w:val="0"/>
          <w:marBottom w:val="0"/>
          <w:divBdr>
            <w:top w:val="none" w:sz="0" w:space="0" w:color="auto"/>
            <w:left w:val="none" w:sz="0" w:space="0" w:color="auto"/>
            <w:bottom w:val="none" w:sz="0" w:space="0" w:color="auto"/>
            <w:right w:val="none" w:sz="0" w:space="0" w:color="auto"/>
          </w:divBdr>
        </w:div>
        <w:div w:id="1297761465">
          <w:marLeft w:val="0"/>
          <w:marRight w:val="0"/>
          <w:marTop w:val="0"/>
          <w:marBottom w:val="0"/>
          <w:divBdr>
            <w:top w:val="none" w:sz="0" w:space="0" w:color="auto"/>
            <w:left w:val="none" w:sz="0" w:space="0" w:color="auto"/>
            <w:bottom w:val="none" w:sz="0" w:space="0" w:color="auto"/>
            <w:right w:val="none" w:sz="0" w:space="0" w:color="auto"/>
          </w:divBdr>
        </w:div>
        <w:div w:id="103577740">
          <w:marLeft w:val="0"/>
          <w:marRight w:val="0"/>
          <w:marTop w:val="0"/>
          <w:marBottom w:val="0"/>
          <w:divBdr>
            <w:top w:val="none" w:sz="0" w:space="0" w:color="auto"/>
            <w:left w:val="none" w:sz="0" w:space="0" w:color="auto"/>
            <w:bottom w:val="none" w:sz="0" w:space="0" w:color="auto"/>
            <w:right w:val="none" w:sz="0" w:space="0" w:color="auto"/>
          </w:divBdr>
        </w:div>
        <w:div w:id="1324624969">
          <w:marLeft w:val="0"/>
          <w:marRight w:val="0"/>
          <w:marTop w:val="0"/>
          <w:marBottom w:val="0"/>
          <w:divBdr>
            <w:top w:val="none" w:sz="0" w:space="0" w:color="auto"/>
            <w:left w:val="none" w:sz="0" w:space="0" w:color="auto"/>
            <w:bottom w:val="none" w:sz="0" w:space="0" w:color="auto"/>
            <w:right w:val="none" w:sz="0" w:space="0" w:color="auto"/>
          </w:divBdr>
        </w:div>
        <w:div w:id="47992763">
          <w:marLeft w:val="0"/>
          <w:marRight w:val="0"/>
          <w:marTop w:val="0"/>
          <w:marBottom w:val="0"/>
          <w:divBdr>
            <w:top w:val="none" w:sz="0" w:space="0" w:color="auto"/>
            <w:left w:val="none" w:sz="0" w:space="0" w:color="auto"/>
            <w:bottom w:val="none" w:sz="0" w:space="0" w:color="auto"/>
            <w:right w:val="none" w:sz="0" w:space="0" w:color="auto"/>
          </w:divBdr>
        </w:div>
        <w:div w:id="1514608702">
          <w:marLeft w:val="0"/>
          <w:marRight w:val="0"/>
          <w:marTop w:val="0"/>
          <w:marBottom w:val="0"/>
          <w:divBdr>
            <w:top w:val="none" w:sz="0" w:space="0" w:color="auto"/>
            <w:left w:val="none" w:sz="0" w:space="0" w:color="auto"/>
            <w:bottom w:val="none" w:sz="0" w:space="0" w:color="auto"/>
            <w:right w:val="none" w:sz="0" w:space="0" w:color="auto"/>
          </w:divBdr>
        </w:div>
        <w:div w:id="2145998361">
          <w:marLeft w:val="0"/>
          <w:marRight w:val="0"/>
          <w:marTop w:val="0"/>
          <w:marBottom w:val="0"/>
          <w:divBdr>
            <w:top w:val="none" w:sz="0" w:space="0" w:color="auto"/>
            <w:left w:val="none" w:sz="0" w:space="0" w:color="auto"/>
            <w:bottom w:val="none" w:sz="0" w:space="0" w:color="auto"/>
            <w:right w:val="none" w:sz="0" w:space="0" w:color="auto"/>
          </w:divBdr>
        </w:div>
        <w:div w:id="745032897">
          <w:marLeft w:val="0"/>
          <w:marRight w:val="0"/>
          <w:marTop w:val="0"/>
          <w:marBottom w:val="0"/>
          <w:divBdr>
            <w:top w:val="none" w:sz="0" w:space="0" w:color="auto"/>
            <w:left w:val="none" w:sz="0" w:space="0" w:color="auto"/>
            <w:bottom w:val="none" w:sz="0" w:space="0" w:color="auto"/>
            <w:right w:val="none" w:sz="0" w:space="0" w:color="auto"/>
          </w:divBdr>
        </w:div>
        <w:div w:id="436171477">
          <w:marLeft w:val="0"/>
          <w:marRight w:val="0"/>
          <w:marTop w:val="0"/>
          <w:marBottom w:val="0"/>
          <w:divBdr>
            <w:top w:val="none" w:sz="0" w:space="0" w:color="auto"/>
            <w:left w:val="none" w:sz="0" w:space="0" w:color="auto"/>
            <w:bottom w:val="none" w:sz="0" w:space="0" w:color="auto"/>
            <w:right w:val="none" w:sz="0" w:space="0" w:color="auto"/>
          </w:divBdr>
        </w:div>
        <w:div w:id="2032602536">
          <w:marLeft w:val="0"/>
          <w:marRight w:val="0"/>
          <w:marTop w:val="0"/>
          <w:marBottom w:val="0"/>
          <w:divBdr>
            <w:top w:val="none" w:sz="0" w:space="0" w:color="auto"/>
            <w:left w:val="none" w:sz="0" w:space="0" w:color="auto"/>
            <w:bottom w:val="none" w:sz="0" w:space="0" w:color="auto"/>
            <w:right w:val="none" w:sz="0" w:space="0" w:color="auto"/>
          </w:divBdr>
        </w:div>
        <w:div w:id="2024820354">
          <w:marLeft w:val="0"/>
          <w:marRight w:val="0"/>
          <w:marTop w:val="0"/>
          <w:marBottom w:val="0"/>
          <w:divBdr>
            <w:top w:val="none" w:sz="0" w:space="0" w:color="auto"/>
            <w:left w:val="none" w:sz="0" w:space="0" w:color="auto"/>
            <w:bottom w:val="none" w:sz="0" w:space="0" w:color="auto"/>
            <w:right w:val="none" w:sz="0" w:space="0" w:color="auto"/>
          </w:divBdr>
        </w:div>
        <w:div w:id="1880237801">
          <w:marLeft w:val="0"/>
          <w:marRight w:val="0"/>
          <w:marTop w:val="0"/>
          <w:marBottom w:val="0"/>
          <w:divBdr>
            <w:top w:val="none" w:sz="0" w:space="0" w:color="auto"/>
            <w:left w:val="none" w:sz="0" w:space="0" w:color="auto"/>
            <w:bottom w:val="none" w:sz="0" w:space="0" w:color="auto"/>
            <w:right w:val="none" w:sz="0" w:space="0" w:color="auto"/>
          </w:divBdr>
        </w:div>
        <w:div w:id="961619747">
          <w:marLeft w:val="0"/>
          <w:marRight w:val="0"/>
          <w:marTop w:val="0"/>
          <w:marBottom w:val="0"/>
          <w:divBdr>
            <w:top w:val="none" w:sz="0" w:space="0" w:color="auto"/>
            <w:left w:val="none" w:sz="0" w:space="0" w:color="auto"/>
            <w:bottom w:val="none" w:sz="0" w:space="0" w:color="auto"/>
            <w:right w:val="none" w:sz="0" w:space="0" w:color="auto"/>
          </w:divBdr>
        </w:div>
        <w:div w:id="38163675">
          <w:marLeft w:val="0"/>
          <w:marRight w:val="0"/>
          <w:marTop w:val="0"/>
          <w:marBottom w:val="0"/>
          <w:divBdr>
            <w:top w:val="none" w:sz="0" w:space="0" w:color="auto"/>
            <w:left w:val="none" w:sz="0" w:space="0" w:color="auto"/>
            <w:bottom w:val="none" w:sz="0" w:space="0" w:color="auto"/>
            <w:right w:val="none" w:sz="0" w:space="0" w:color="auto"/>
          </w:divBdr>
        </w:div>
        <w:div w:id="25570368">
          <w:marLeft w:val="0"/>
          <w:marRight w:val="0"/>
          <w:marTop w:val="0"/>
          <w:marBottom w:val="0"/>
          <w:divBdr>
            <w:top w:val="none" w:sz="0" w:space="0" w:color="auto"/>
            <w:left w:val="none" w:sz="0" w:space="0" w:color="auto"/>
            <w:bottom w:val="none" w:sz="0" w:space="0" w:color="auto"/>
            <w:right w:val="none" w:sz="0" w:space="0" w:color="auto"/>
          </w:divBdr>
        </w:div>
        <w:div w:id="921526370">
          <w:marLeft w:val="0"/>
          <w:marRight w:val="0"/>
          <w:marTop w:val="0"/>
          <w:marBottom w:val="0"/>
          <w:divBdr>
            <w:top w:val="none" w:sz="0" w:space="0" w:color="auto"/>
            <w:left w:val="none" w:sz="0" w:space="0" w:color="auto"/>
            <w:bottom w:val="none" w:sz="0" w:space="0" w:color="auto"/>
            <w:right w:val="none" w:sz="0" w:space="0" w:color="auto"/>
          </w:divBdr>
        </w:div>
        <w:div w:id="1005091652">
          <w:marLeft w:val="0"/>
          <w:marRight w:val="0"/>
          <w:marTop w:val="0"/>
          <w:marBottom w:val="0"/>
          <w:divBdr>
            <w:top w:val="none" w:sz="0" w:space="0" w:color="auto"/>
            <w:left w:val="none" w:sz="0" w:space="0" w:color="auto"/>
            <w:bottom w:val="none" w:sz="0" w:space="0" w:color="auto"/>
            <w:right w:val="none" w:sz="0" w:space="0" w:color="auto"/>
          </w:divBdr>
        </w:div>
        <w:div w:id="230503799">
          <w:marLeft w:val="0"/>
          <w:marRight w:val="0"/>
          <w:marTop w:val="0"/>
          <w:marBottom w:val="0"/>
          <w:divBdr>
            <w:top w:val="none" w:sz="0" w:space="0" w:color="auto"/>
            <w:left w:val="none" w:sz="0" w:space="0" w:color="auto"/>
            <w:bottom w:val="none" w:sz="0" w:space="0" w:color="auto"/>
            <w:right w:val="none" w:sz="0" w:space="0" w:color="auto"/>
          </w:divBdr>
        </w:div>
        <w:div w:id="818306895">
          <w:marLeft w:val="0"/>
          <w:marRight w:val="0"/>
          <w:marTop w:val="0"/>
          <w:marBottom w:val="0"/>
          <w:divBdr>
            <w:top w:val="none" w:sz="0" w:space="0" w:color="auto"/>
            <w:left w:val="none" w:sz="0" w:space="0" w:color="auto"/>
            <w:bottom w:val="none" w:sz="0" w:space="0" w:color="auto"/>
            <w:right w:val="none" w:sz="0" w:space="0" w:color="auto"/>
          </w:divBdr>
        </w:div>
        <w:div w:id="6174595">
          <w:marLeft w:val="0"/>
          <w:marRight w:val="0"/>
          <w:marTop w:val="0"/>
          <w:marBottom w:val="0"/>
          <w:divBdr>
            <w:top w:val="none" w:sz="0" w:space="0" w:color="auto"/>
            <w:left w:val="none" w:sz="0" w:space="0" w:color="auto"/>
            <w:bottom w:val="none" w:sz="0" w:space="0" w:color="auto"/>
            <w:right w:val="none" w:sz="0" w:space="0" w:color="auto"/>
          </w:divBdr>
        </w:div>
        <w:div w:id="993802116">
          <w:marLeft w:val="0"/>
          <w:marRight w:val="0"/>
          <w:marTop w:val="0"/>
          <w:marBottom w:val="0"/>
          <w:divBdr>
            <w:top w:val="none" w:sz="0" w:space="0" w:color="auto"/>
            <w:left w:val="none" w:sz="0" w:space="0" w:color="auto"/>
            <w:bottom w:val="none" w:sz="0" w:space="0" w:color="auto"/>
            <w:right w:val="none" w:sz="0" w:space="0" w:color="auto"/>
          </w:divBdr>
        </w:div>
        <w:div w:id="1727490980">
          <w:marLeft w:val="0"/>
          <w:marRight w:val="0"/>
          <w:marTop w:val="0"/>
          <w:marBottom w:val="0"/>
          <w:divBdr>
            <w:top w:val="none" w:sz="0" w:space="0" w:color="auto"/>
            <w:left w:val="none" w:sz="0" w:space="0" w:color="auto"/>
            <w:bottom w:val="none" w:sz="0" w:space="0" w:color="auto"/>
            <w:right w:val="none" w:sz="0" w:space="0" w:color="auto"/>
          </w:divBdr>
        </w:div>
        <w:div w:id="696126888">
          <w:marLeft w:val="0"/>
          <w:marRight w:val="0"/>
          <w:marTop w:val="0"/>
          <w:marBottom w:val="0"/>
          <w:divBdr>
            <w:top w:val="none" w:sz="0" w:space="0" w:color="auto"/>
            <w:left w:val="none" w:sz="0" w:space="0" w:color="auto"/>
            <w:bottom w:val="none" w:sz="0" w:space="0" w:color="auto"/>
            <w:right w:val="none" w:sz="0" w:space="0" w:color="auto"/>
          </w:divBdr>
        </w:div>
        <w:div w:id="1677656909">
          <w:marLeft w:val="0"/>
          <w:marRight w:val="0"/>
          <w:marTop w:val="0"/>
          <w:marBottom w:val="0"/>
          <w:divBdr>
            <w:top w:val="none" w:sz="0" w:space="0" w:color="auto"/>
            <w:left w:val="none" w:sz="0" w:space="0" w:color="auto"/>
            <w:bottom w:val="none" w:sz="0" w:space="0" w:color="auto"/>
            <w:right w:val="none" w:sz="0" w:space="0" w:color="auto"/>
          </w:divBdr>
        </w:div>
        <w:div w:id="596406169">
          <w:marLeft w:val="0"/>
          <w:marRight w:val="0"/>
          <w:marTop w:val="0"/>
          <w:marBottom w:val="0"/>
          <w:divBdr>
            <w:top w:val="none" w:sz="0" w:space="0" w:color="auto"/>
            <w:left w:val="none" w:sz="0" w:space="0" w:color="auto"/>
            <w:bottom w:val="none" w:sz="0" w:space="0" w:color="auto"/>
            <w:right w:val="none" w:sz="0" w:space="0" w:color="auto"/>
          </w:divBdr>
        </w:div>
        <w:div w:id="1867984982">
          <w:marLeft w:val="0"/>
          <w:marRight w:val="0"/>
          <w:marTop w:val="0"/>
          <w:marBottom w:val="0"/>
          <w:divBdr>
            <w:top w:val="none" w:sz="0" w:space="0" w:color="auto"/>
            <w:left w:val="none" w:sz="0" w:space="0" w:color="auto"/>
            <w:bottom w:val="none" w:sz="0" w:space="0" w:color="auto"/>
            <w:right w:val="none" w:sz="0" w:space="0" w:color="auto"/>
          </w:divBdr>
        </w:div>
        <w:div w:id="1957637554">
          <w:marLeft w:val="0"/>
          <w:marRight w:val="0"/>
          <w:marTop w:val="0"/>
          <w:marBottom w:val="0"/>
          <w:divBdr>
            <w:top w:val="none" w:sz="0" w:space="0" w:color="auto"/>
            <w:left w:val="none" w:sz="0" w:space="0" w:color="auto"/>
            <w:bottom w:val="none" w:sz="0" w:space="0" w:color="auto"/>
            <w:right w:val="none" w:sz="0" w:space="0" w:color="auto"/>
          </w:divBdr>
        </w:div>
        <w:div w:id="707686245">
          <w:marLeft w:val="0"/>
          <w:marRight w:val="0"/>
          <w:marTop w:val="0"/>
          <w:marBottom w:val="0"/>
          <w:divBdr>
            <w:top w:val="none" w:sz="0" w:space="0" w:color="auto"/>
            <w:left w:val="none" w:sz="0" w:space="0" w:color="auto"/>
            <w:bottom w:val="none" w:sz="0" w:space="0" w:color="auto"/>
            <w:right w:val="none" w:sz="0" w:space="0" w:color="auto"/>
          </w:divBdr>
        </w:div>
        <w:div w:id="263614281">
          <w:marLeft w:val="0"/>
          <w:marRight w:val="0"/>
          <w:marTop w:val="0"/>
          <w:marBottom w:val="0"/>
          <w:divBdr>
            <w:top w:val="none" w:sz="0" w:space="0" w:color="auto"/>
            <w:left w:val="none" w:sz="0" w:space="0" w:color="auto"/>
            <w:bottom w:val="none" w:sz="0" w:space="0" w:color="auto"/>
            <w:right w:val="none" w:sz="0" w:space="0" w:color="auto"/>
          </w:divBdr>
        </w:div>
        <w:div w:id="1783450738">
          <w:marLeft w:val="0"/>
          <w:marRight w:val="0"/>
          <w:marTop w:val="0"/>
          <w:marBottom w:val="0"/>
          <w:divBdr>
            <w:top w:val="none" w:sz="0" w:space="0" w:color="auto"/>
            <w:left w:val="none" w:sz="0" w:space="0" w:color="auto"/>
            <w:bottom w:val="none" w:sz="0" w:space="0" w:color="auto"/>
            <w:right w:val="none" w:sz="0" w:space="0" w:color="auto"/>
          </w:divBdr>
        </w:div>
        <w:div w:id="1373111956">
          <w:marLeft w:val="0"/>
          <w:marRight w:val="0"/>
          <w:marTop w:val="0"/>
          <w:marBottom w:val="0"/>
          <w:divBdr>
            <w:top w:val="none" w:sz="0" w:space="0" w:color="auto"/>
            <w:left w:val="none" w:sz="0" w:space="0" w:color="auto"/>
            <w:bottom w:val="none" w:sz="0" w:space="0" w:color="auto"/>
            <w:right w:val="none" w:sz="0" w:space="0" w:color="auto"/>
          </w:divBdr>
        </w:div>
        <w:div w:id="1735930851">
          <w:marLeft w:val="0"/>
          <w:marRight w:val="0"/>
          <w:marTop w:val="0"/>
          <w:marBottom w:val="0"/>
          <w:divBdr>
            <w:top w:val="none" w:sz="0" w:space="0" w:color="auto"/>
            <w:left w:val="none" w:sz="0" w:space="0" w:color="auto"/>
            <w:bottom w:val="none" w:sz="0" w:space="0" w:color="auto"/>
            <w:right w:val="none" w:sz="0" w:space="0" w:color="auto"/>
          </w:divBdr>
        </w:div>
        <w:div w:id="429351395">
          <w:marLeft w:val="0"/>
          <w:marRight w:val="0"/>
          <w:marTop w:val="0"/>
          <w:marBottom w:val="0"/>
          <w:divBdr>
            <w:top w:val="none" w:sz="0" w:space="0" w:color="auto"/>
            <w:left w:val="none" w:sz="0" w:space="0" w:color="auto"/>
            <w:bottom w:val="none" w:sz="0" w:space="0" w:color="auto"/>
            <w:right w:val="none" w:sz="0" w:space="0" w:color="auto"/>
          </w:divBdr>
        </w:div>
        <w:div w:id="1418551222">
          <w:marLeft w:val="0"/>
          <w:marRight w:val="0"/>
          <w:marTop w:val="0"/>
          <w:marBottom w:val="0"/>
          <w:divBdr>
            <w:top w:val="none" w:sz="0" w:space="0" w:color="auto"/>
            <w:left w:val="none" w:sz="0" w:space="0" w:color="auto"/>
            <w:bottom w:val="none" w:sz="0" w:space="0" w:color="auto"/>
            <w:right w:val="none" w:sz="0" w:space="0" w:color="auto"/>
          </w:divBdr>
        </w:div>
        <w:div w:id="1601914569">
          <w:marLeft w:val="0"/>
          <w:marRight w:val="0"/>
          <w:marTop w:val="0"/>
          <w:marBottom w:val="0"/>
          <w:divBdr>
            <w:top w:val="none" w:sz="0" w:space="0" w:color="auto"/>
            <w:left w:val="none" w:sz="0" w:space="0" w:color="auto"/>
            <w:bottom w:val="none" w:sz="0" w:space="0" w:color="auto"/>
            <w:right w:val="none" w:sz="0" w:space="0" w:color="auto"/>
          </w:divBdr>
        </w:div>
        <w:div w:id="878475799">
          <w:marLeft w:val="0"/>
          <w:marRight w:val="0"/>
          <w:marTop w:val="0"/>
          <w:marBottom w:val="0"/>
          <w:divBdr>
            <w:top w:val="none" w:sz="0" w:space="0" w:color="auto"/>
            <w:left w:val="none" w:sz="0" w:space="0" w:color="auto"/>
            <w:bottom w:val="none" w:sz="0" w:space="0" w:color="auto"/>
            <w:right w:val="none" w:sz="0" w:space="0" w:color="auto"/>
          </w:divBdr>
        </w:div>
        <w:div w:id="1777096994">
          <w:marLeft w:val="0"/>
          <w:marRight w:val="0"/>
          <w:marTop w:val="0"/>
          <w:marBottom w:val="0"/>
          <w:divBdr>
            <w:top w:val="none" w:sz="0" w:space="0" w:color="auto"/>
            <w:left w:val="none" w:sz="0" w:space="0" w:color="auto"/>
            <w:bottom w:val="none" w:sz="0" w:space="0" w:color="auto"/>
            <w:right w:val="none" w:sz="0" w:space="0" w:color="auto"/>
          </w:divBdr>
        </w:div>
        <w:div w:id="262539966">
          <w:marLeft w:val="0"/>
          <w:marRight w:val="0"/>
          <w:marTop w:val="0"/>
          <w:marBottom w:val="0"/>
          <w:divBdr>
            <w:top w:val="none" w:sz="0" w:space="0" w:color="auto"/>
            <w:left w:val="none" w:sz="0" w:space="0" w:color="auto"/>
            <w:bottom w:val="none" w:sz="0" w:space="0" w:color="auto"/>
            <w:right w:val="none" w:sz="0" w:space="0" w:color="auto"/>
          </w:divBdr>
        </w:div>
        <w:div w:id="739518893">
          <w:marLeft w:val="0"/>
          <w:marRight w:val="0"/>
          <w:marTop w:val="0"/>
          <w:marBottom w:val="0"/>
          <w:divBdr>
            <w:top w:val="none" w:sz="0" w:space="0" w:color="auto"/>
            <w:left w:val="none" w:sz="0" w:space="0" w:color="auto"/>
            <w:bottom w:val="none" w:sz="0" w:space="0" w:color="auto"/>
            <w:right w:val="none" w:sz="0" w:space="0" w:color="auto"/>
          </w:divBdr>
        </w:div>
        <w:div w:id="1465855479">
          <w:marLeft w:val="0"/>
          <w:marRight w:val="0"/>
          <w:marTop w:val="0"/>
          <w:marBottom w:val="0"/>
          <w:divBdr>
            <w:top w:val="none" w:sz="0" w:space="0" w:color="auto"/>
            <w:left w:val="none" w:sz="0" w:space="0" w:color="auto"/>
            <w:bottom w:val="none" w:sz="0" w:space="0" w:color="auto"/>
            <w:right w:val="none" w:sz="0" w:space="0" w:color="auto"/>
          </w:divBdr>
        </w:div>
        <w:div w:id="1704206097">
          <w:marLeft w:val="0"/>
          <w:marRight w:val="0"/>
          <w:marTop w:val="0"/>
          <w:marBottom w:val="0"/>
          <w:divBdr>
            <w:top w:val="none" w:sz="0" w:space="0" w:color="auto"/>
            <w:left w:val="none" w:sz="0" w:space="0" w:color="auto"/>
            <w:bottom w:val="none" w:sz="0" w:space="0" w:color="auto"/>
            <w:right w:val="none" w:sz="0" w:space="0" w:color="auto"/>
          </w:divBdr>
        </w:div>
        <w:div w:id="1428306337">
          <w:marLeft w:val="0"/>
          <w:marRight w:val="0"/>
          <w:marTop w:val="0"/>
          <w:marBottom w:val="0"/>
          <w:divBdr>
            <w:top w:val="none" w:sz="0" w:space="0" w:color="auto"/>
            <w:left w:val="none" w:sz="0" w:space="0" w:color="auto"/>
            <w:bottom w:val="none" w:sz="0" w:space="0" w:color="auto"/>
            <w:right w:val="none" w:sz="0" w:space="0" w:color="auto"/>
          </w:divBdr>
        </w:div>
        <w:div w:id="22289624">
          <w:marLeft w:val="0"/>
          <w:marRight w:val="0"/>
          <w:marTop w:val="0"/>
          <w:marBottom w:val="0"/>
          <w:divBdr>
            <w:top w:val="none" w:sz="0" w:space="0" w:color="auto"/>
            <w:left w:val="none" w:sz="0" w:space="0" w:color="auto"/>
            <w:bottom w:val="none" w:sz="0" w:space="0" w:color="auto"/>
            <w:right w:val="none" w:sz="0" w:space="0" w:color="auto"/>
          </w:divBdr>
        </w:div>
        <w:div w:id="319045446">
          <w:marLeft w:val="0"/>
          <w:marRight w:val="0"/>
          <w:marTop w:val="0"/>
          <w:marBottom w:val="0"/>
          <w:divBdr>
            <w:top w:val="none" w:sz="0" w:space="0" w:color="auto"/>
            <w:left w:val="none" w:sz="0" w:space="0" w:color="auto"/>
            <w:bottom w:val="none" w:sz="0" w:space="0" w:color="auto"/>
            <w:right w:val="none" w:sz="0" w:space="0" w:color="auto"/>
          </w:divBdr>
        </w:div>
        <w:div w:id="1887135989">
          <w:marLeft w:val="0"/>
          <w:marRight w:val="0"/>
          <w:marTop w:val="0"/>
          <w:marBottom w:val="0"/>
          <w:divBdr>
            <w:top w:val="none" w:sz="0" w:space="0" w:color="auto"/>
            <w:left w:val="none" w:sz="0" w:space="0" w:color="auto"/>
            <w:bottom w:val="none" w:sz="0" w:space="0" w:color="auto"/>
            <w:right w:val="none" w:sz="0" w:space="0" w:color="auto"/>
          </w:divBdr>
        </w:div>
        <w:div w:id="648510891">
          <w:marLeft w:val="0"/>
          <w:marRight w:val="0"/>
          <w:marTop w:val="0"/>
          <w:marBottom w:val="0"/>
          <w:divBdr>
            <w:top w:val="none" w:sz="0" w:space="0" w:color="auto"/>
            <w:left w:val="none" w:sz="0" w:space="0" w:color="auto"/>
            <w:bottom w:val="none" w:sz="0" w:space="0" w:color="auto"/>
            <w:right w:val="none" w:sz="0" w:space="0" w:color="auto"/>
          </w:divBdr>
        </w:div>
        <w:div w:id="1025399152">
          <w:marLeft w:val="0"/>
          <w:marRight w:val="0"/>
          <w:marTop w:val="0"/>
          <w:marBottom w:val="0"/>
          <w:divBdr>
            <w:top w:val="none" w:sz="0" w:space="0" w:color="auto"/>
            <w:left w:val="none" w:sz="0" w:space="0" w:color="auto"/>
            <w:bottom w:val="none" w:sz="0" w:space="0" w:color="auto"/>
            <w:right w:val="none" w:sz="0" w:space="0" w:color="auto"/>
          </w:divBdr>
        </w:div>
        <w:div w:id="1045373006">
          <w:marLeft w:val="0"/>
          <w:marRight w:val="0"/>
          <w:marTop w:val="0"/>
          <w:marBottom w:val="0"/>
          <w:divBdr>
            <w:top w:val="none" w:sz="0" w:space="0" w:color="auto"/>
            <w:left w:val="none" w:sz="0" w:space="0" w:color="auto"/>
            <w:bottom w:val="none" w:sz="0" w:space="0" w:color="auto"/>
            <w:right w:val="none" w:sz="0" w:space="0" w:color="auto"/>
          </w:divBdr>
        </w:div>
        <w:div w:id="1411584647">
          <w:marLeft w:val="0"/>
          <w:marRight w:val="0"/>
          <w:marTop w:val="0"/>
          <w:marBottom w:val="0"/>
          <w:divBdr>
            <w:top w:val="none" w:sz="0" w:space="0" w:color="auto"/>
            <w:left w:val="none" w:sz="0" w:space="0" w:color="auto"/>
            <w:bottom w:val="none" w:sz="0" w:space="0" w:color="auto"/>
            <w:right w:val="none" w:sz="0" w:space="0" w:color="auto"/>
          </w:divBdr>
        </w:div>
        <w:div w:id="1604534173">
          <w:marLeft w:val="0"/>
          <w:marRight w:val="0"/>
          <w:marTop w:val="0"/>
          <w:marBottom w:val="0"/>
          <w:divBdr>
            <w:top w:val="none" w:sz="0" w:space="0" w:color="auto"/>
            <w:left w:val="none" w:sz="0" w:space="0" w:color="auto"/>
            <w:bottom w:val="none" w:sz="0" w:space="0" w:color="auto"/>
            <w:right w:val="none" w:sz="0" w:space="0" w:color="auto"/>
          </w:divBdr>
        </w:div>
        <w:div w:id="1958683366">
          <w:marLeft w:val="0"/>
          <w:marRight w:val="0"/>
          <w:marTop w:val="0"/>
          <w:marBottom w:val="0"/>
          <w:divBdr>
            <w:top w:val="none" w:sz="0" w:space="0" w:color="auto"/>
            <w:left w:val="none" w:sz="0" w:space="0" w:color="auto"/>
            <w:bottom w:val="none" w:sz="0" w:space="0" w:color="auto"/>
            <w:right w:val="none" w:sz="0" w:space="0" w:color="auto"/>
          </w:divBdr>
        </w:div>
        <w:div w:id="1497839579">
          <w:marLeft w:val="0"/>
          <w:marRight w:val="0"/>
          <w:marTop w:val="0"/>
          <w:marBottom w:val="0"/>
          <w:divBdr>
            <w:top w:val="none" w:sz="0" w:space="0" w:color="auto"/>
            <w:left w:val="none" w:sz="0" w:space="0" w:color="auto"/>
            <w:bottom w:val="none" w:sz="0" w:space="0" w:color="auto"/>
            <w:right w:val="none" w:sz="0" w:space="0" w:color="auto"/>
          </w:divBdr>
        </w:div>
        <w:div w:id="1717312617">
          <w:marLeft w:val="0"/>
          <w:marRight w:val="0"/>
          <w:marTop w:val="0"/>
          <w:marBottom w:val="0"/>
          <w:divBdr>
            <w:top w:val="none" w:sz="0" w:space="0" w:color="auto"/>
            <w:left w:val="none" w:sz="0" w:space="0" w:color="auto"/>
            <w:bottom w:val="none" w:sz="0" w:space="0" w:color="auto"/>
            <w:right w:val="none" w:sz="0" w:space="0" w:color="auto"/>
          </w:divBdr>
        </w:div>
        <w:div w:id="1907953857">
          <w:marLeft w:val="0"/>
          <w:marRight w:val="0"/>
          <w:marTop w:val="0"/>
          <w:marBottom w:val="0"/>
          <w:divBdr>
            <w:top w:val="none" w:sz="0" w:space="0" w:color="auto"/>
            <w:left w:val="none" w:sz="0" w:space="0" w:color="auto"/>
            <w:bottom w:val="none" w:sz="0" w:space="0" w:color="auto"/>
            <w:right w:val="none" w:sz="0" w:space="0" w:color="auto"/>
          </w:divBdr>
        </w:div>
        <w:div w:id="1528637025">
          <w:marLeft w:val="0"/>
          <w:marRight w:val="0"/>
          <w:marTop w:val="0"/>
          <w:marBottom w:val="0"/>
          <w:divBdr>
            <w:top w:val="none" w:sz="0" w:space="0" w:color="auto"/>
            <w:left w:val="none" w:sz="0" w:space="0" w:color="auto"/>
            <w:bottom w:val="none" w:sz="0" w:space="0" w:color="auto"/>
            <w:right w:val="none" w:sz="0" w:space="0" w:color="auto"/>
          </w:divBdr>
        </w:div>
      </w:divsChild>
    </w:div>
    <w:div w:id="1956787595">
      <w:bodyDiv w:val="1"/>
      <w:marLeft w:val="0"/>
      <w:marRight w:val="0"/>
      <w:marTop w:val="0"/>
      <w:marBottom w:val="0"/>
      <w:divBdr>
        <w:top w:val="none" w:sz="0" w:space="0" w:color="auto"/>
        <w:left w:val="none" w:sz="0" w:space="0" w:color="auto"/>
        <w:bottom w:val="none" w:sz="0" w:space="0" w:color="auto"/>
        <w:right w:val="none" w:sz="0" w:space="0" w:color="auto"/>
      </w:divBdr>
      <w:divsChild>
        <w:div w:id="255747273">
          <w:marLeft w:val="0"/>
          <w:marRight w:val="0"/>
          <w:marTop w:val="0"/>
          <w:marBottom w:val="0"/>
          <w:divBdr>
            <w:top w:val="none" w:sz="0" w:space="0" w:color="auto"/>
            <w:left w:val="none" w:sz="0" w:space="0" w:color="auto"/>
            <w:bottom w:val="none" w:sz="0" w:space="0" w:color="auto"/>
            <w:right w:val="none" w:sz="0" w:space="0" w:color="auto"/>
          </w:divBdr>
        </w:div>
        <w:div w:id="150172259">
          <w:marLeft w:val="0"/>
          <w:marRight w:val="0"/>
          <w:marTop w:val="0"/>
          <w:marBottom w:val="0"/>
          <w:divBdr>
            <w:top w:val="none" w:sz="0" w:space="0" w:color="auto"/>
            <w:left w:val="none" w:sz="0" w:space="0" w:color="auto"/>
            <w:bottom w:val="none" w:sz="0" w:space="0" w:color="auto"/>
            <w:right w:val="none" w:sz="0" w:space="0" w:color="auto"/>
          </w:divBdr>
        </w:div>
        <w:div w:id="1874533118">
          <w:marLeft w:val="0"/>
          <w:marRight w:val="0"/>
          <w:marTop w:val="0"/>
          <w:marBottom w:val="0"/>
          <w:divBdr>
            <w:top w:val="none" w:sz="0" w:space="0" w:color="auto"/>
            <w:left w:val="none" w:sz="0" w:space="0" w:color="auto"/>
            <w:bottom w:val="none" w:sz="0" w:space="0" w:color="auto"/>
            <w:right w:val="none" w:sz="0" w:space="0" w:color="auto"/>
          </w:divBdr>
        </w:div>
        <w:div w:id="511072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openxmlformats.org/officeDocument/2006/relationships/hyperlink" Target="https://www.unhcr.org/refugee-housing-unit.html" TargetMode="External"/><Relationship Id="rId3" Type="http://schemas.openxmlformats.org/officeDocument/2006/relationships/hyperlink" Target="https://www.unisdr.org/we/coordinate/sendai-framework" TargetMode="External"/><Relationship Id="rId7" Type="http://schemas.openxmlformats.org/officeDocument/2006/relationships/hyperlink" Target="https://tbinternet.ohchr.org/_layouts/treatybodyexternal/Download.aspx?symbolno=CRPD/C/GC/7&amp;Lang=fr" TargetMode="External"/><Relationship Id="rId2" Type="http://schemas.openxmlformats.org/officeDocument/2006/relationships/hyperlink" Target="https://www.agendaforhumanity.org/explore-commitments/indv-commitments?referer=home" TargetMode="External"/><Relationship Id="rId1" Type="http://schemas.openxmlformats.org/officeDocument/2006/relationships/hyperlink" Target="http://humanitariandisabilitycharter.org/" TargetMode="External"/><Relationship Id="rId6" Type="http://schemas.openxmlformats.org/officeDocument/2006/relationships/hyperlink" Target="https://interagencystandingcommittee.org/iasc-task-team-inclusion-persons-disabilities-humanitarian-action/documents/iasc-guidelines" TargetMode="External"/><Relationship Id="rId5" Type="http://schemas.openxmlformats.org/officeDocument/2006/relationships/hyperlink" Target="https://www.gov.uk/government/publications/global-disability-summit-2018-summary-of-commitments" TargetMode="External"/><Relationship Id="rId4" Type="http://schemas.openxmlformats.org/officeDocument/2006/relationships/hyperlink" Target="https://unfccc.int/process-and-meetings/the-paris-agreement/what-is-the-paris-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B983D-BB56-466E-A7B2-A663FEEEC209}"/>
</file>

<file path=customXml/itemProps2.xml><?xml version="1.0" encoding="utf-8"?>
<ds:datastoreItem xmlns:ds="http://schemas.openxmlformats.org/officeDocument/2006/customXml" ds:itemID="{2511674A-DF43-4500-9E36-B66BE09384DD}">
  <ds:schemaRefs>
    <ds:schemaRef ds:uri="http://schemas.microsoft.com/sharepoint/v3/contenttype/forms"/>
  </ds:schemaRefs>
</ds:datastoreItem>
</file>

<file path=customXml/itemProps3.xml><?xml version="1.0" encoding="utf-8"?>
<ds:datastoreItem xmlns:ds="http://schemas.openxmlformats.org/officeDocument/2006/customXml" ds:itemID="{71CB27FA-33C7-4737-8A71-C87309DA036F}">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4.xml><?xml version="1.0" encoding="utf-8"?>
<ds:datastoreItem xmlns:ds="http://schemas.openxmlformats.org/officeDocument/2006/customXml" ds:itemID="{6C523F54-576D-0D4D-80BE-91C68191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1229</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Lee</dc:creator>
  <cp:lastModifiedBy>victoria lee</cp:lastModifiedBy>
  <cp:revision>5</cp:revision>
  <cp:lastPrinted>2017-10-16T08:01:00Z</cp:lastPrinted>
  <dcterms:created xsi:type="dcterms:W3CDTF">2020-02-27T15:00:00Z</dcterms:created>
  <dcterms:modified xsi:type="dcterms:W3CDTF">2020-10-26T20:14:00Z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