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670" w:type="dxa"/>
        <w:tblInd w:w="265" w:type="dxa"/>
        <w:tblLayout w:type="fixed"/>
        <w:tblLook w:val="04A0" w:firstRow="1" w:lastRow="0" w:firstColumn="1" w:lastColumn="0" w:noHBand="0" w:noVBand="1"/>
      </w:tblPr>
      <w:tblGrid>
        <w:gridCol w:w="1170"/>
        <w:gridCol w:w="4797"/>
        <w:gridCol w:w="5463"/>
        <w:gridCol w:w="3240"/>
      </w:tblGrid>
      <w:tr w:rsidR="00B8540A" w:rsidRPr="008A2523" w14:paraId="6D833422" w14:textId="77777777" w:rsidTr="001A4CCD">
        <w:trPr>
          <w:trHeight w:val="132"/>
          <w:tblHeader/>
        </w:trPr>
        <w:tc>
          <w:tcPr>
            <w:tcW w:w="14670" w:type="dxa"/>
            <w:gridSpan w:val="4"/>
            <w:shd w:val="clear" w:color="auto" w:fill="BFBFBF" w:themeFill="background1" w:themeFillShade="BF"/>
          </w:tcPr>
          <w:p w14:paraId="3FCAB5D6" w14:textId="1B79E9AB" w:rsidR="00B8540A" w:rsidRPr="008A2523" w:rsidRDefault="00B8540A" w:rsidP="005C0DD7">
            <w:pPr>
              <w:pStyle w:val="NoSpacing"/>
              <w:jc w:val="center"/>
              <w:rPr>
                <w:rFonts w:cstheme="minorHAnsi"/>
                <w:b/>
                <w:sz w:val="18"/>
                <w:szCs w:val="18"/>
              </w:rPr>
            </w:pPr>
            <w:bookmarkStart w:id="0" w:name="_Hlk62915999"/>
            <w:r w:rsidRPr="008A2523">
              <w:rPr>
                <w:rFonts w:cstheme="minorHAnsi"/>
                <w:b/>
                <w:sz w:val="18"/>
                <w:szCs w:val="18"/>
              </w:rPr>
              <w:t>Article 12</w:t>
            </w:r>
            <w:r w:rsidR="00457217" w:rsidRPr="008A2523">
              <w:rPr>
                <w:rFonts w:cstheme="minorHAnsi"/>
                <w:b/>
                <w:sz w:val="18"/>
                <w:szCs w:val="18"/>
              </w:rPr>
              <w:t xml:space="preserve"> – Illustrative indicators on equal recognition before the law</w:t>
            </w:r>
          </w:p>
        </w:tc>
      </w:tr>
      <w:bookmarkEnd w:id="0"/>
      <w:tr w:rsidR="00457217" w:rsidRPr="008A2523" w14:paraId="625F5162" w14:textId="77777777" w:rsidTr="001A4CCD">
        <w:trPr>
          <w:trHeight w:val="191"/>
          <w:tblHeader/>
        </w:trPr>
        <w:tc>
          <w:tcPr>
            <w:tcW w:w="14670" w:type="dxa"/>
            <w:gridSpan w:val="4"/>
            <w:shd w:val="clear" w:color="auto" w:fill="E7E6E6" w:themeFill="background2"/>
          </w:tcPr>
          <w:p w14:paraId="0F80FC64" w14:textId="5B96C8B4" w:rsidR="00457217" w:rsidRPr="008A2523" w:rsidRDefault="00457217" w:rsidP="00C46EFC">
            <w:pPr>
              <w:pStyle w:val="NoSpacing"/>
              <w:jc w:val="center"/>
              <w:rPr>
                <w:rFonts w:cstheme="minorHAnsi"/>
                <w:b/>
                <w:sz w:val="18"/>
                <w:szCs w:val="18"/>
              </w:rPr>
            </w:pPr>
            <w:r w:rsidRPr="008A2523">
              <w:rPr>
                <w:rFonts w:cstheme="minorHAnsi"/>
                <w:b/>
                <w:sz w:val="18"/>
                <w:szCs w:val="18"/>
              </w:rPr>
              <w:t xml:space="preserve">Right to recognition everywhere as </w:t>
            </w:r>
            <w:r w:rsidR="00C46EFC">
              <w:rPr>
                <w:rFonts w:cstheme="minorHAnsi"/>
                <w:b/>
                <w:sz w:val="18"/>
                <w:szCs w:val="18"/>
              </w:rPr>
              <w:t>equal</w:t>
            </w:r>
            <w:r w:rsidRPr="008A2523">
              <w:rPr>
                <w:rFonts w:cstheme="minorHAnsi"/>
                <w:b/>
                <w:sz w:val="18"/>
                <w:szCs w:val="18"/>
              </w:rPr>
              <w:t xml:space="preserve"> before the law</w:t>
            </w:r>
          </w:p>
        </w:tc>
      </w:tr>
      <w:tr w:rsidR="00A8477D" w:rsidRPr="008A2523" w14:paraId="315F5DFB" w14:textId="77777777" w:rsidTr="001A4CCD">
        <w:trPr>
          <w:trHeight w:val="364"/>
          <w:tblHeader/>
        </w:trPr>
        <w:tc>
          <w:tcPr>
            <w:tcW w:w="1170" w:type="dxa"/>
          </w:tcPr>
          <w:p w14:paraId="5D73F73C" w14:textId="1020E683" w:rsidR="00A8477D" w:rsidRPr="008A2523" w:rsidRDefault="00A8477D" w:rsidP="00397A75">
            <w:pPr>
              <w:pStyle w:val="NoSpacing"/>
              <w:jc w:val="both"/>
              <w:rPr>
                <w:rFonts w:cstheme="minorHAnsi"/>
                <w:b/>
                <w:sz w:val="18"/>
                <w:szCs w:val="18"/>
              </w:rPr>
            </w:pPr>
            <w:r w:rsidRPr="008A2523">
              <w:rPr>
                <w:rFonts w:cstheme="minorHAnsi"/>
                <w:b/>
                <w:sz w:val="18"/>
                <w:szCs w:val="18"/>
              </w:rPr>
              <w:t>Attributes/ Indicators</w:t>
            </w:r>
          </w:p>
        </w:tc>
        <w:tc>
          <w:tcPr>
            <w:tcW w:w="4797" w:type="dxa"/>
          </w:tcPr>
          <w:p w14:paraId="049826D7" w14:textId="2DC323C3" w:rsidR="00A8477D" w:rsidRPr="005C0DD7" w:rsidRDefault="00A8477D" w:rsidP="00437BDE">
            <w:pPr>
              <w:pStyle w:val="NoSpacing"/>
              <w:jc w:val="center"/>
              <w:rPr>
                <w:rFonts w:cstheme="minorHAnsi"/>
                <w:b/>
                <w:sz w:val="18"/>
                <w:szCs w:val="18"/>
              </w:rPr>
            </w:pPr>
            <w:r w:rsidRPr="005C0DD7">
              <w:rPr>
                <w:rFonts w:cstheme="minorHAnsi"/>
                <w:b/>
                <w:sz w:val="18"/>
                <w:szCs w:val="18"/>
              </w:rPr>
              <w:t>Universal legal capacity</w:t>
            </w:r>
            <w:r w:rsidR="00130758">
              <w:rPr>
                <w:rFonts w:cstheme="minorHAnsi"/>
                <w:b/>
                <w:sz w:val="18"/>
                <w:szCs w:val="18"/>
              </w:rPr>
              <w:t>*</w:t>
            </w:r>
          </w:p>
        </w:tc>
        <w:tc>
          <w:tcPr>
            <w:tcW w:w="5463" w:type="dxa"/>
          </w:tcPr>
          <w:p w14:paraId="75C55020" w14:textId="028320C1" w:rsidR="00A8477D" w:rsidRPr="008A2523" w:rsidRDefault="00A8477D" w:rsidP="00437BDE">
            <w:pPr>
              <w:pStyle w:val="NoSpacing"/>
              <w:jc w:val="center"/>
              <w:rPr>
                <w:rFonts w:cstheme="minorHAnsi"/>
                <w:b/>
                <w:sz w:val="18"/>
                <w:szCs w:val="18"/>
              </w:rPr>
            </w:pPr>
            <w:r w:rsidRPr="008A2523">
              <w:rPr>
                <w:rFonts w:cstheme="minorHAnsi"/>
                <w:b/>
                <w:sz w:val="18"/>
                <w:szCs w:val="18"/>
              </w:rPr>
              <w:t>Supported decision-making</w:t>
            </w:r>
            <w:r w:rsidR="00DC39D7">
              <w:rPr>
                <w:rFonts w:cstheme="minorHAnsi"/>
                <w:b/>
                <w:sz w:val="18"/>
                <w:szCs w:val="18"/>
              </w:rPr>
              <w:t>**</w:t>
            </w:r>
          </w:p>
        </w:tc>
        <w:tc>
          <w:tcPr>
            <w:tcW w:w="3240" w:type="dxa"/>
          </w:tcPr>
          <w:p w14:paraId="2D9FDBFB" w14:textId="1BF82806" w:rsidR="00A8477D" w:rsidRPr="008A2523" w:rsidRDefault="00A8477D" w:rsidP="00437BDE">
            <w:pPr>
              <w:pStyle w:val="NoSpacing"/>
              <w:jc w:val="center"/>
              <w:rPr>
                <w:rFonts w:cstheme="minorHAnsi"/>
                <w:b/>
                <w:sz w:val="18"/>
                <w:szCs w:val="18"/>
              </w:rPr>
            </w:pPr>
            <w:r w:rsidRPr="008A2523">
              <w:rPr>
                <w:rFonts w:cstheme="minorHAnsi"/>
                <w:b/>
                <w:sz w:val="18"/>
                <w:szCs w:val="18"/>
              </w:rPr>
              <w:t>Safeguards on the provision of support</w:t>
            </w:r>
          </w:p>
        </w:tc>
      </w:tr>
      <w:tr w:rsidR="00AB7119" w:rsidRPr="008A2523" w14:paraId="158C5D46" w14:textId="77777777" w:rsidTr="001A4CCD">
        <w:trPr>
          <w:trHeight w:val="4209"/>
        </w:trPr>
        <w:tc>
          <w:tcPr>
            <w:tcW w:w="1170" w:type="dxa"/>
            <w:vMerge w:val="restart"/>
          </w:tcPr>
          <w:p w14:paraId="32A5310A" w14:textId="040BEE5C" w:rsidR="00AB7119" w:rsidRPr="008A2523" w:rsidRDefault="00AB7119" w:rsidP="00397A75">
            <w:pPr>
              <w:spacing w:after="0" w:line="240" w:lineRule="auto"/>
              <w:jc w:val="both"/>
              <w:rPr>
                <w:rFonts w:cstheme="minorHAnsi"/>
                <w:b/>
                <w:sz w:val="18"/>
                <w:szCs w:val="18"/>
              </w:rPr>
            </w:pPr>
            <w:r w:rsidRPr="008A2523">
              <w:rPr>
                <w:rFonts w:cstheme="minorHAnsi"/>
                <w:b/>
                <w:sz w:val="18"/>
                <w:szCs w:val="18"/>
              </w:rPr>
              <w:t>Structure</w:t>
            </w:r>
          </w:p>
        </w:tc>
        <w:tc>
          <w:tcPr>
            <w:tcW w:w="4797" w:type="dxa"/>
          </w:tcPr>
          <w:p w14:paraId="7B52E119" w14:textId="29C8DA6D" w:rsidR="00AB7119" w:rsidRPr="005C0DD7" w:rsidRDefault="00457217" w:rsidP="00397A75">
            <w:pPr>
              <w:spacing w:after="0" w:line="240" w:lineRule="auto"/>
              <w:jc w:val="both"/>
              <w:rPr>
                <w:rFonts w:cstheme="minorHAnsi"/>
                <w:sz w:val="18"/>
                <w:szCs w:val="18"/>
              </w:rPr>
            </w:pPr>
            <w:r w:rsidRPr="005C0DD7">
              <w:rPr>
                <w:rFonts w:cstheme="minorHAnsi"/>
                <w:sz w:val="18"/>
                <w:szCs w:val="18"/>
              </w:rPr>
              <w:t xml:space="preserve">12.1 </w:t>
            </w:r>
            <w:r w:rsidR="00DF1F2C" w:rsidRPr="005C0DD7">
              <w:rPr>
                <w:rFonts w:cstheme="minorHAnsi"/>
                <w:sz w:val="18"/>
                <w:szCs w:val="18"/>
              </w:rPr>
              <w:t>Legislation enacted</w:t>
            </w:r>
            <w:r w:rsidR="00AB7119" w:rsidRPr="005C0DD7">
              <w:rPr>
                <w:rFonts w:cstheme="minorHAnsi"/>
                <w:sz w:val="18"/>
                <w:szCs w:val="18"/>
              </w:rPr>
              <w:t xml:space="preserve"> that:</w:t>
            </w:r>
          </w:p>
          <w:p w14:paraId="4FF32B7A" w14:textId="51E63D5C" w:rsidR="00AB7119" w:rsidRPr="005C0DD7" w:rsidRDefault="00AB7119" w:rsidP="00397A75">
            <w:pPr>
              <w:pStyle w:val="ListParagraph"/>
              <w:numPr>
                <w:ilvl w:val="0"/>
                <w:numId w:val="5"/>
              </w:numPr>
              <w:spacing w:after="0" w:line="240" w:lineRule="auto"/>
              <w:ind w:left="357" w:hanging="357"/>
              <w:contextualSpacing w:val="0"/>
              <w:jc w:val="both"/>
              <w:rPr>
                <w:rFonts w:cstheme="minorHAnsi"/>
                <w:sz w:val="18"/>
                <w:szCs w:val="18"/>
              </w:rPr>
            </w:pPr>
            <w:r w:rsidRPr="005C0DD7">
              <w:rPr>
                <w:rFonts w:cstheme="minorHAnsi"/>
                <w:sz w:val="18"/>
                <w:szCs w:val="18"/>
              </w:rPr>
              <w:t xml:space="preserve">recognises the capacity of persons with disabilities to create, modify </w:t>
            </w:r>
            <w:r w:rsidR="00884CC0">
              <w:rPr>
                <w:rFonts w:cstheme="minorHAnsi"/>
                <w:sz w:val="18"/>
                <w:szCs w:val="18"/>
              </w:rPr>
              <w:t>and</w:t>
            </w:r>
            <w:r w:rsidRPr="005C0DD7">
              <w:rPr>
                <w:rFonts w:cstheme="minorHAnsi"/>
                <w:sz w:val="18"/>
                <w:szCs w:val="18"/>
              </w:rPr>
              <w:t xml:space="preserve"> end legal relationships</w:t>
            </w:r>
            <w:r w:rsidR="00884CC0">
              <w:rPr>
                <w:rFonts w:cstheme="minorHAnsi"/>
                <w:sz w:val="18"/>
                <w:szCs w:val="18"/>
              </w:rPr>
              <w:t xml:space="preserve"> on an equal basis with others</w:t>
            </w:r>
            <w:r w:rsidR="00BE17BD" w:rsidRPr="005C0DD7">
              <w:rPr>
                <w:rFonts w:cstheme="minorHAnsi"/>
                <w:sz w:val="18"/>
                <w:szCs w:val="18"/>
              </w:rPr>
              <w:t>;</w:t>
            </w:r>
          </w:p>
          <w:p w14:paraId="3ED7B6E5" w14:textId="110AB0F7" w:rsidR="00AB7119" w:rsidRPr="005C0DD7" w:rsidRDefault="00682ADB" w:rsidP="00397A75">
            <w:pPr>
              <w:pStyle w:val="ListParagraph"/>
              <w:numPr>
                <w:ilvl w:val="0"/>
                <w:numId w:val="5"/>
              </w:numPr>
              <w:spacing w:after="0" w:line="240" w:lineRule="auto"/>
              <w:ind w:left="357" w:hanging="357"/>
              <w:contextualSpacing w:val="0"/>
              <w:jc w:val="both"/>
              <w:rPr>
                <w:rFonts w:cstheme="minorHAnsi"/>
                <w:sz w:val="18"/>
                <w:szCs w:val="18"/>
              </w:rPr>
            </w:pPr>
            <w:r w:rsidRPr="005C0DD7">
              <w:rPr>
                <w:rFonts w:cstheme="minorHAnsi"/>
                <w:sz w:val="18"/>
                <w:szCs w:val="18"/>
              </w:rPr>
              <w:t>p</w:t>
            </w:r>
            <w:r w:rsidR="00AB7119" w:rsidRPr="005C0DD7">
              <w:rPr>
                <w:rFonts w:cstheme="minorHAnsi"/>
                <w:sz w:val="18"/>
                <w:szCs w:val="18"/>
              </w:rPr>
              <w:t>rotects</w:t>
            </w:r>
            <w:r w:rsidR="00FD2237" w:rsidRPr="005C0DD7">
              <w:rPr>
                <w:rFonts w:cstheme="minorHAnsi"/>
                <w:sz w:val="18"/>
                <w:szCs w:val="18"/>
              </w:rPr>
              <w:t xml:space="preserve"> the right and exercise</w:t>
            </w:r>
            <w:r w:rsidR="00BE17BD" w:rsidRPr="005C0DD7">
              <w:rPr>
                <w:rFonts w:cstheme="minorHAnsi"/>
                <w:sz w:val="18"/>
                <w:szCs w:val="18"/>
              </w:rPr>
              <w:t xml:space="preserve"> of</w:t>
            </w:r>
            <w:r w:rsidR="00AB7119" w:rsidRPr="005C0DD7">
              <w:rPr>
                <w:rFonts w:cstheme="minorHAnsi"/>
                <w:sz w:val="18"/>
                <w:szCs w:val="18"/>
              </w:rPr>
              <w:t xml:space="preserve"> legal capacity of persons with disabilities against interference in all aspects of life;</w:t>
            </w:r>
          </w:p>
          <w:p w14:paraId="586B11AC" w14:textId="4C239ADF" w:rsidR="008E6798" w:rsidRPr="005C0DD7" w:rsidRDefault="00682ADB" w:rsidP="00397A75">
            <w:pPr>
              <w:pStyle w:val="ListParagraph"/>
              <w:numPr>
                <w:ilvl w:val="0"/>
                <w:numId w:val="5"/>
              </w:numPr>
              <w:spacing w:after="0" w:line="240" w:lineRule="auto"/>
              <w:ind w:left="357" w:hanging="357"/>
              <w:contextualSpacing w:val="0"/>
              <w:jc w:val="both"/>
              <w:rPr>
                <w:rFonts w:cstheme="minorHAnsi"/>
                <w:sz w:val="18"/>
                <w:szCs w:val="18"/>
              </w:rPr>
            </w:pPr>
            <w:r w:rsidRPr="005C0DD7">
              <w:rPr>
                <w:rFonts w:cstheme="minorHAnsi"/>
                <w:sz w:val="18"/>
                <w:szCs w:val="18"/>
              </w:rPr>
              <w:t>a</w:t>
            </w:r>
            <w:r w:rsidR="00AB7119" w:rsidRPr="005C0DD7">
              <w:rPr>
                <w:rFonts w:cstheme="minorHAnsi"/>
                <w:sz w:val="18"/>
                <w:szCs w:val="18"/>
              </w:rPr>
              <w:t>bolishes all forms of substitute decision-making</w:t>
            </w:r>
            <w:r w:rsidR="008A2523" w:rsidRPr="005C0DD7">
              <w:rPr>
                <w:rFonts w:cstheme="minorHAnsi"/>
                <w:sz w:val="18"/>
                <w:szCs w:val="18"/>
              </w:rPr>
              <w:t>;</w:t>
            </w:r>
            <w:r w:rsidR="00AE40EE" w:rsidRPr="005C0DD7">
              <w:rPr>
                <w:rStyle w:val="EndnoteReference"/>
                <w:rFonts w:cstheme="minorHAnsi"/>
                <w:sz w:val="18"/>
                <w:szCs w:val="18"/>
              </w:rPr>
              <w:endnoteReference w:id="1"/>
            </w:r>
          </w:p>
          <w:p w14:paraId="4118F1CE" w14:textId="217E87F8" w:rsidR="008E6798" w:rsidRPr="006E1F4E" w:rsidRDefault="00682ADB" w:rsidP="00397A75">
            <w:pPr>
              <w:pStyle w:val="ListParagraph"/>
              <w:numPr>
                <w:ilvl w:val="0"/>
                <w:numId w:val="5"/>
              </w:numPr>
              <w:spacing w:after="0" w:line="240" w:lineRule="auto"/>
              <w:ind w:left="357" w:hanging="357"/>
              <w:contextualSpacing w:val="0"/>
              <w:jc w:val="both"/>
              <w:rPr>
                <w:rFonts w:cstheme="minorHAnsi"/>
                <w:sz w:val="18"/>
                <w:szCs w:val="18"/>
              </w:rPr>
            </w:pPr>
            <w:r w:rsidRPr="005C0DD7">
              <w:rPr>
                <w:rFonts w:cstheme="minorHAnsi"/>
                <w:sz w:val="18"/>
                <w:szCs w:val="18"/>
              </w:rPr>
              <w:t>r</w:t>
            </w:r>
            <w:r w:rsidR="008E6798" w:rsidRPr="005C0DD7">
              <w:rPr>
                <w:rFonts w:cstheme="minorHAnsi"/>
                <w:sz w:val="18"/>
                <w:szCs w:val="18"/>
              </w:rPr>
              <w:t xml:space="preserve">equires public and private actors to respect the individual’s exercise of legal </w:t>
            </w:r>
            <w:r w:rsidR="008E6798" w:rsidRPr="006E1F4E">
              <w:rPr>
                <w:rFonts w:cstheme="minorHAnsi"/>
                <w:sz w:val="18"/>
                <w:szCs w:val="18"/>
              </w:rPr>
              <w:t>capacity at all times</w:t>
            </w:r>
            <w:r w:rsidRPr="006E1F4E">
              <w:rPr>
                <w:rFonts w:cstheme="minorHAnsi"/>
                <w:sz w:val="18"/>
                <w:szCs w:val="18"/>
              </w:rPr>
              <w:t>;</w:t>
            </w:r>
            <w:r w:rsidR="008E6798" w:rsidRPr="006E1F4E">
              <w:rPr>
                <w:rStyle w:val="EndnoteReference"/>
                <w:rFonts w:cstheme="minorHAnsi"/>
                <w:sz w:val="18"/>
                <w:szCs w:val="18"/>
              </w:rPr>
              <w:endnoteReference w:id="2"/>
            </w:r>
          </w:p>
          <w:p w14:paraId="57FB6036" w14:textId="03E3D5DF" w:rsidR="006E1F4E" w:rsidRPr="00884CC0" w:rsidRDefault="00682ADB" w:rsidP="006021FE">
            <w:pPr>
              <w:pStyle w:val="ListParagraph"/>
              <w:numPr>
                <w:ilvl w:val="0"/>
                <w:numId w:val="5"/>
              </w:numPr>
              <w:spacing w:after="0" w:line="240" w:lineRule="auto"/>
              <w:ind w:left="357" w:hanging="357"/>
              <w:jc w:val="both"/>
              <w:rPr>
                <w:rFonts w:cstheme="minorHAnsi"/>
                <w:sz w:val="18"/>
                <w:szCs w:val="18"/>
              </w:rPr>
            </w:pPr>
            <w:r w:rsidRPr="006E1F4E">
              <w:rPr>
                <w:rFonts w:cstheme="minorHAnsi"/>
                <w:sz w:val="18"/>
                <w:szCs w:val="18"/>
              </w:rPr>
              <w:t>p</w:t>
            </w:r>
            <w:r w:rsidR="008E6798" w:rsidRPr="006E1F4E">
              <w:rPr>
                <w:rFonts w:cstheme="minorHAnsi"/>
                <w:sz w:val="18"/>
                <w:szCs w:val="18"/>
              </w:rPr>
              <w:t xml:space="preserve">rovides prompt and effective remedies to overturn and redress any restriction </w:t>
            </w:r>
            <w:r w:rsidR="0028493E" w:rsidRPr="006E1F4E">
              <w:rPr>
                <w:rFonts w:cstheme="minorHAnsi"/>
                <w:sz w:val="18"/>
                <w:szCs w:val="18"/>
              </w:rPr>
              <w:t>in law or in practice</w:t>
            </w:r>
            <w:r w:rsidR="003A7EF8" w:rsidRPr="006E1F4E">
              <w:rPr>
                <w:rFonts w:cstheme="minorHAnsi"/>
                <w:sz w:val="18"/>
                <w:szCs w:val="18"/>
              </w:rPr>
              <w:t xml:space="preserve"> </w:t>
            </w:r>
            <w:r w:rsidR="008E6798" w:rsidRPr="006E1F4E">
              <w:rPr>
                <w:rFonts w:cstheme="minorHAnsi"/>
                <w:sz w:val="18"/>
                <w:szCs w:val="18"/>
              </w:rPr>
              <w:t>of an individual’s legal capacity or failure to respect their decision-making</w:t>
            </w:r>
            <w:r w:rsidR="003A7EF8" w:rsidRPr="006E1F4E">
              <w:rPr>
                <w:rFonts w:cstheme="minorHAnsi"/>
                <w:sz w:val="18"/>
                <w:szCs w:val="18"/>
              </w:rPr>
              <w:t xml:space="preserve"> on the basis of actual or perceived impairment</w:t>
            </w:r>
            <w:r w:rsidR="00FE0511">
              <w:rPr>
                <w:rFonts w:cstheme="minorHAnsi"/>
                <w:sz w:val="18"/>
                <w:szCs w:val="18"/>
              </w:rPr>
              <w:t>.</w:t>
            </w:r>
          </w:p>
          <w:p w14:paraId="5DBED00B" w14:textId="337B2C8B" w:rsidR="00AB7119" w:rsidRPr="006E1F4E" w:rsidRDefault="006E1F4E" w:rsidP="00397A75">
            <w:pPr>
              <w:spacing w:after="0" w:line="240" w:lineRule="auto"/>
              <w:jc w:val="both"/>
              <w:rPr>
                <w:rFonts w:cstheme="minorHAnsi"/>
                <w:sz w:val="18"/>
                <w:szCs w:val="18"/>
              </w:rPr>
            </w:pPr>
            <w:r>
              <w:rPr>
                <w:rFonts w:cstheme="minorHAnsi"/>
                <w:sz w:val="18"/>
                <w:szCs w:val="18"/>
              </w:rPr>
              <w:t xml:space="preserve">12.2 </w:t>
            </w:r>
            <w:r w:rsidR="003A7EF8" w:rsidRPr="006E1F4E">
              <w:rPr>
                <w:rFonts w:cstheme="minorHAnsi"/>
                <w:sz w:val="18"/>
                <w:szCs w:val="18"/>
              </w:rPr>
              <w:t>No provision in</w:t>
            </w:r>
            <w:r w:rsidR="00AB7119" w:rsidRPr="006E1F4E">
              <w:rPr>
                <w:rFonts w:cstheme="minorHAnsi"/>
                <w:sz w:val="18"/>
                <w:szCs w:val="18"/>
              </w:rPr>
              <w:t xml:space="preserve"> legislation</w:t>
            </w:r>
            <w:r w:rsidR="003A7EF8" w:rsidRPr="006E1F4E">
              <w:rPr>
                <w:rFonts w:cstheme="minorHAnsi"/>
                <w:sz w:val="18"/>
                <w:szCs w:val="18"/>
              </w:rPr>
              <w:t xml:space="preserve"> or regulations that</w:t>
            </w:r>
            <w:r w:rsidR="00AB7119" w:rsidRPr="006E1F4E">
              <w:rPr>
                <w:rFonts w:cstheme="minorHAnsi"/>
                <w:sz w:val="18"/>
                <w:szCs w:val="18"/>
              </w:rPr>
              <w:t>:</w:t>
            </w:r>
          </w:p>
          <w:p w14:paraId="2E88C7E1" w14:textId="69E0EF66" w:rsidR="00850565" w:rsidRPr="005C0DD7" w:rsidRDefault="00FE0511" w:rsidP="00397A75">
            <w:pPr>
              <w:pStyle w:val="ListParagraph"/>
              <w:numPr>
                <w:ilvl w:val="0"/>
                <w:numId w:val="5"/>
              </w:numPr>
              <w:spacing w:after="0" w:line="240" w:lineRule="auto"/>
              <w:ind w:left="357" w:hanging="357"/>
              <w:jc w:val="both"/>
              <w:rPr>
                <w:rFonts w:cstheme="minorHAnsi"/>
                <w:sz w:val="18"/>
                <w:szCs w:val="18"/>
              </w:rPr>
            </w:pPr>
            <w:r>
              <w:rPr>
                <w:rFonts w:cstheme="minorHAnsi"/>
                <w:sz w:val="18"/>
                <w:szCs w:val="18"/>
              </w:rPr>
              <w:t>r</w:t>
            </w:r>
            <w:r w:rsidR="00AB7119" w:rsidRPr="005C0DD7">
              <w:rPr>
                <w:rFonts w:cstheme="minorHAnsi"/>
                <w:sz w:val="18"/>
                <w:szCs w:val="18"/>
              </w:rPr>
              <w:t xml:space="preserve">estrict the legal capacity of persons with disabilities on the basis of </w:t>
            </w:r>
            <w:r w:rsidR="008A3B24" w:rsidRPr="005C0DD7">
              <w:rPr>
                <w:rFonts w:cstheme="minorHAnsi"/>
                <w:sz w:val="18"/>
                <w:szCs w:val="18"/>
              </w:rPr>
              <w:t xml:space="preserve">actual or perceived </w:t>
            </w:r>
            <w:r w:rsidR="00AB7119" w:rsidRPr="005C0DD7">
              <w:rPr>
                <w:rFonts w:cstheme="minorHAnsi"/>
                <w:sz w:val="18"/>
                <w:szCs w:val="18"/>
              </w:rPr>
              <w:t>impairment</w:t>
            </w:r>
            <w:r w:rsidR="00BE17BD" w:rsidRPr="005C0DD7">
              <w:rPr>
                <w:rFonts w:cstheme="minorHAnsi"/>
                <w:sz w:val="18"/>
                <w:szCs w:val="18"/>
              </w:rPr>
              <w:t>;</w:t>
            </w:r>
            <w:r w:rsidR="00AE40EE" w:rsidRPr="005C0DD7">
              <w:rPr>
                <w:rStyle w:val="EndnoteReference"/>
                <w:rFonts w:cstheme="minorHAnsi"/>
                <w:sz w:val="18"/>
                <w:szCs w:val="18"/>
              </w:rPr>
              <w:endnoteReference w:id="3"/>
            </w:r>
          </w:p>
          <w:p w14:paraId="2EE134B8" w14:textId="5E131DCE" w:rsidR="00850565" w:rsidRPr="005C0DD7" w:rsidRDefault="00BE17BD" w:rsidP="00397A75">
            <w:pPr>
              <w:pStyle w:val="ListParagraph"/>
              <w:numPr>
                <w:ilvl w:val="0"/>
                <w:numId w:val="5"/>
              </w:numPr>
              <w:spacing w:after="0" w:line="240" w:lineRule="auto"/>
              <w:ind w:left="357" w:hanging="357"/>
              <w:jc w:val="both"/>
              <w:rPr>
                <w:rFonts w:cstheme="minorHAnsi"/>
                <w:sz w:val="18"/>
                <w:szCs w:val="18"/>
              </w:rPr>
            </w:pPr>
            <w:r w:rsidRPr="005C0DD7">
              <w:rPr>
                <w:rFonts w:cstheme="minorHAnsi"/>
                <w:sz w:val="18"/>
                <w:szCs w:val="18"/>
              </w:rPr>
              <w:t xml:space="preserve">restrict the enjoyment and exercise of legal capacity on the basis of </w:t>
            </w:r>
            <w:r w:rsidR="008A3B24" w:rsidRPr="005C0DD7">
              <w:rPr>
                <w:rFonts w:cstheme="minorHAnsi"/>
                <w:sz w:val="18"/>
                <w:szCs w:val="18"/>
              </w:rPr>
              <w:t xml:space="preserve">actual or perceived </w:t>
            </w:r>
            <w:r w:rsidRPr="005C0DD7">
              <w:rPr>
                <w:rFonts w:cstheme="minorHAnsi"/>
                <w:sz w:val="18"/>
                <w:szCs w:val="18"/>
              </w:rPr>
              <w:t>impairment with respect to any right;</w:t>
            </w:r>
            <w:r w:rsidRPr="005C0DD7">
              <w:rPr>
                <w:rStyle w:val="EndnoteReference"/>
                <w:rFonts w:cstheme="minorHAnsi"/>
                <w:sz w:val="18"/>
                <w:szCs w:val="18"/>
              </w:rPr>
              <w:endnoteReference w:id="4"/>
            </w:r>
          </w:p>
          <w:p w14:paraId="6CDD91B0" w14:textId="1E2C91C7" w:rsidR="0095048A" w:rsidRPr="005C0DD7" w:rsidRDefault="0095048A" w:rsidP="00397A75">
            <w:pPr>
              <w:pStyle w:val="ListParagraph"/>
              <w:numPr>
                <w:ilvl w:val="0"/>
                <w:numId w:val="5"/>
              </w:numPr>
              <w:spacing w:after="0" w:line="240" w:lineRule="auto"/>
              <w:ind w:left="357" w:hanging="357"/>
              <w:jc w:val="both"/>
              <w:rPr>
                <w:rFonts w:cstheme="minorHAnsi"/>
                <w:sz w:val="18"/>
                <w:szCs w:val="18"/>
              </w:rPr>
            </w:pPr>
            <w:r w:rsidRPr="005C0DD7">
              <w:rPr>
                <w:rFonts w:cstheme="minorHAnsi"/>
                <w:sz w:val="18"/>
                <w:szCs w:val="18"/>
              </w:rPr>
              <w:t>Limit or deny access to court of persons with disabilities including for the purposes of invoking restoration of legal capacity.</w:t>
            </w:r>
          </w:p>
        </w:tc>
        <w:tc>
          <w:tcPr>
            <w:tcW w:w="8703" w:type="dxa"/>
            <w:gridSpan w:val="2"/>
          </w:tcPr>
          <w:p w14:paraId="2C583249" w14:textId="61D3607E" w:rsidR="00AB7119" w:rsidRPr="008A2523" w:rsidRDefault="00457217" w:rsidP="00397A75">
            <w:pPr>
              <w:spacing w:after="0" w:line="240" w:lineRule="auto"/>
              <w:contextualSpacing/>
              <w:jc w:val="both"/>
              <w:rPr>
                <w:rFonts w:cstheme="minorHAnsi"/>
                <w:sz w:val="18"/>
                <w:szCs w:val="18"/>
              </w:rPr>
            </w:pPr>
            <w:r w:rsidRPr="008A2523">
              <w:rPr>
                <w:rFonts w:cstheme="minorHAnsi"/>
                <w:sz w:val="18"/>
                <w:szCs w:val="18"/>
              </w:rPr>
              <w:t xml:space="preserve">12.3 </w:t>
            </w:r>
            <w:r w:rsidR="00DF1F2C" w:rsidRPr="008A2523">
              <w:rPr>
                <w:rFonts w:cstheme="minorHAnsi"/>
                <w:sz w:val="18"/>
                <w:szCs w:val="18"/>
              </w:rPr>
              <w:t>Legislation enacted</w:t>
            </w:r>
            <w:r w:rsidR="00AB7119" w:rsidRPr="008A2523">
              <w:rPr>
                <w:rFonts w:cstheme="minorHAnsi"/>
                <w:sz w:val="18"/>
                <w:szCs w:val="18"/>
              </w:rPr>
              <w:t xml:space="preserve"> that:</w:t>
            </w:r>
          </w:p>
          <w:p w14:paraId="27478E8A" w14:textId="5C2F1A19" w:rsidR="00AB7119" w:rsidRPr="008A2523" w:rsidRDefault="00AB7119" w:rsidP="00397A75">
            <w:pPr>
              <w:pStyle w:val="ListParagraph"/>
              <w:numPr>
                <w:ilvl w:val="0"/>
                <w:numId w:val="5"/>
              </w:numPr>
              <w:spacing w:after="0" w:line="240" w:lineRule="auto"/>
              <w:ind w:left="357" w:hanging="357"/>
              <w:contextualSpacing w:val="0"/>
              <w:jc w:val="both"/>
              <w:rPr>
                <w:rFonts w:cstheme="minorHAnsi"/>
                <w:sz w:val="18"/>
                <w:szCs w:val="18"/>
              </w:rPr>
            </w:pPr>
            <w:r w:rsidRPr="008A2523">
              <w:rPr>
                <w:rFonts w:cstheme="minorHAnsi"/>
                <w:sz w:val="18"/>
                <w:szCs w:val="18"/>
              </w:rPr>
              <w:t>recognises supported decision-making arrangements and ensures that they respect the person’s autonomy, will and preferences and is made available to all persons;</w:t>
            </w:r>
          </w:p>
          <w:p w14:paraId="22196FDF" w14:textId="474C7ED6" w:rsidR="00AB7119" w:rsidRPr="008A2523" w:rsidRDefault="00AB7119" w:rsidP="00397A75">
            <w:pPr>
              <w:pStyle w:val="ListParagraph"/>
              <w:numPr>
                <w:ilvl w:val="0"/>
                <w:numId w:val="5"/>
              </w:numPr>
              <w:spacing w:after="0" w:line="240" w:lineRule="auto"/>
              <w:ind w:left="357" w:hanging="357"/>
              <w:contextualSpacing w:val="0"/>
              <w:jc w:val="both"/>
              <w:rPr>
                <w:rFonts w:cstheme="minorHAnsi"/>
                <w:sz w:val="18"/>
                <w:szCs w:val="18"/>
              </w:rPr>
            </w:pPr>
            <w:r w:rsidRPr="008A2523">
              <w:rPr>
                <w:rFonts w:cstheme="minorHAnsi"/>
                <w:sz w:val="18"/>
                <w:szCs w:val="18"/>
              </w:rPr>
              <w:t>ensure</w:t>
            </w:r>
            <w:r w:rsidR="008D0AB1" w:rsidRPr="008A2523">
              <w:rPr>
                <w:rFonts w:cstheme="minorHAnsi"/>
                <w:sz w:val="18"/>
                <w:szCs w:val="18"/>
              </w:rPr>
              <w:t>s</w:t>
            </w:r>
            <w:r w:rsidR="008E6798" w:rsidRPr="008A2523">
              <w:rPr>
                <w:rFonts w:cstheme="minorHAnsi"/>
                <w:sz w:val="18"/>
                <w:szCs w:val="18"/>
              </w:rPr>
              <w:t xml:space="preserve"> that</w:t>
            </w:r>
            <w:r w:rsidRPr="008A2523">
              <w:rPr>
                <w:rFonts w:cstheme="minorHAnsi"/>
                <w:sz w:val="18"/>
                <w:szCs w:val="18"/>
              </w:rPr>
              <w:t xml:space="preserve"> </w:t>
            </w:r>
            <w:r w:rsidR="008E6798" w:rsidRPr="008A2523">
              <w:rPr>
                <w:rFonts w:cstheme="minorHAnsi"/>
                <w:sz w:val="18"/>
                <w:szCs w:val="18"/>
              </w:rPr>
              <w:t xml:space="preserve">informal and formal </w:t>
            </w:r>
            <w:r w:rsidRPr="008A2523">
              <w:rPr>
                <w:rFonts w:cstheme="minorHAnsi"/>
                <w:sz w:val="18"/>
                <w:szCs w:val="18"/>
              </w:rPr>
              <w:t>support arrangements are available, accessible, adequate and permit the creation and implementation of various supported decision-making schemes</w:t>
            </w:r>
            <w:r w:rsidR="00682ADB" w:rsidRPr="008A2523">
              <w:rPr>
                <w:rFonts w:cstheme="minorHAnsi"/>
                <w:sz w:val="18"/>
                <w:szCs w:val="18"/>
              </w:rPr>
              <w:t>;</w:t>
            </w:r>
          </w:p>
          <w:p w14:paraId="5EDD4697" w14:textId="70243F82" w:rsidR="007F776E" w:rsidRPr="008A2523" w:rsidRDefault="00AB7119" w:rsidP="00397A75">
            <w:pPr>
              <w:pStyle w:val="ListParagraph"/>
              <w:numPr>
                <w:ilvl w:val="0"/>
                <w:numId w:val="5"/>
              </w:numPr>
              <w:spacing w:after="0" w:line="240" w:lineRule="auto"/>
              <w:ind w:left="357" w:hanging="357"/>
              <w:contextualSpacing w:val="0"/>
              <w:jc w:val="both"/>
              <w:rPr>
                <w:rFonts w:cstheme="minorHAnsi"/>
                <w:sz w:val="18"/>
                <w:szCs w:val="18"/>
              </w:rPr>
            </w:pPr>
            <w:r w:rsidRPr="008A2523">
              <w:rPr>
                <w:rFonts w:cstheme="minorHAnsi"/>
                <w:sz w:val="18"/>
                <w:szCs w:val="18"/>
              </w:rPr>
              <w:t>recognises the support person(s) and</w:t>
            </w:r>
            <w:r w:rsidR="00DC39D7">
              <w:rPr>
                <w:rFonts w:cstheme="minorHAnsi"/>
                <w:sz w:val="18"/>
                <w:szCs w:val="18"/>
              </w:rPr>
              <w:t xml:space="preserve"> support</w:t>
            </w:r>
            <w:r w:rsidRPr="008A2523">
              <w:rPr>
                <w:rFonts w:cstheme="minorHAnsi"/>
                <w:sz w:val="18"/>
                <w:szCs w:val="18"/>
              </w:rPr>
              <w:t xml:space="preserve"> arrangement by the </w:t>
            </w:r>
            <w:r w:rsidR="00682ADB" w:rsidRPr="008A2523">
              <w:rPr>
                <w:rFonts w:cstheme="minorHAnsi"/>
                <w:sz w:val="18"/>
                <w:szCs w:val="18"/>
              </w:rPr>
              <w:t xml:space="preserve">individual </w:t>
            </w:r>
            <w:r w:rsidRPr="008A2523">
              <w:rPr>
                <w:rFonts w:cstheme="minorHAnsi"/>
                <w:sz w:val="18"/>
                <w:szCs w:val="18"/>
              </w:rPr>
              <w:t>requesting support</w:t>
            </w:r>
            <w:r w:rsidR="007F776E" w:rsidRPr="008A2523">
              <w:rPr>
                <w:rFonts w:cstheme="minorHAnsi"/>
                <w:sz w:val="18"/>
                <w:szCs w:val="18"/>
              </w:rPr>
              <w:t>;</w:t>
            </w:r>
            <w:r w:rsidR="00682ADB" w:rsidRPr="008A2523">
              <w:rPr>
                <w:rFonts w:cstheme="minorHAnsi"/>
                <w:sz w:val="18"/>
                <w:szCs w:val="18"/>
              </w:rPr>
              <w:t xml:space="preserve"> </w:t>
            </w:r>
          </w:p>
          <w:p w14:paraId="68C67A18" w14:textId="502E8834" w:rsidR="00AB7119" w:rsidRPr="008A2523" w:rsidRDefault="00682ADB" w:rsidP="00397A75">
            <w:pPr>
              <w:pStyle w:val="ListParagraph"/>
              <w:numPr>
                <w:ilvl w:val="0"/>
                <w:numId w:val="5"/>
              </w:numPr>
              <w:spacing w:after="0" w:line="240" w:lineRule="auto"/>
              <w:ind w:left="357" w:hanging="357"/>
              <w:contextualSpacing w:val="0"/>
              <w:jc w:val="both"/>
              <w:rPr>
                <w:rFonts w:cstheme="minorHAnsi"/>
                <w:sz w:val="18"/>
                <w:szCs w:val="18"/>
              </w:rPr>
            </w:pPr>
            <w:r w:rsidRPr="008A2523">
              <w:rPr>
                <w:rFonts w:cstheme="minorHAnsi"/>
                <w:sz w:val="18"/>
                <w:szCs w:val="18"/>
              </w:rPr>
              <w:t>for formal arrangements,</w:t>
            </w:r>
            <w:r w:rsidR="007F776E" w:rsidRPr="008A2523">
              <w:rPr>
                <w:rFonts w:cstheme="minorHAnsi"/>
                <w:sz w:val="18"/>
                <w:szCs w:val="18"/>
              </w:rPr>
              <w:t xml:space="preserve"> </w:t>
            </w:r>
            <w:r w:rsidR="00AB7119" w:rsidRPr="008A2523">
              <w:rPr>
                <w:rFonts w:cstheme="minorHAnsi"/>
                <w:sz w:val="18"/>
                <w:szCs w:val="18"/>
              </w:rPr>
              <w:t>establishes a mechanism to verify the identity of the support person</w:t>
            </w:r>
            <w:r w:rsidR="00BE17BD" w:rsidRPr="008A2523">
              <w:rPr>
                <w:rFonts w:cstheme="minorHAnsi"/>
                <w:sz w:val="18"/>
                <w:szCs w:val="18"/>
              </w:rPr>
              <w:t>(s)</w:t>
            </w:r>
            <w:r w:rsidR="00AB7119" w:rsidRPr="008A2523">
              <w:rPr>
                <w:rFonts w:cstheme="minorHAnsi"/>
                <w:sz w:val="18"/>
                <w:szCs w:val="18"/>
              </w:rPr>
              <w:t xml:space="preserve"> to challenge the actions of support person</w:t>
            </w:r>
            <w:r w:rsidR="00BE17BD" w:rsidRPr="008A2523">
              <w:rPr>
                <w:rFonts w:cstheme="minorHAnsi"/>
                <w:sz w:val="18"/>
                <w:szCs w:val="18"/>
              </w:rPr>
              <w:t>(</w:t>
            </w:r>
            <w:r w:rsidR="00AB7119" w:rsidRPr="008A2523">
              <w:rPr>
                <w:rFonts w:cstheme="minorHAnsi"/>
                <w:sz w:val="18"/>
                <w:szCs w:val="18"/>
              </w:rPr>
              <w:t>s</w:t>
            </w:r>
            <w:r w:rsidR="00BE17BD" w:rsidRPr="008A2523">
              <w:rPr>
                <w:rFonts w:cstheme="minorHAnsi"/>
                <w:sz w:val="18"/>
                <w:szCs w:val="18"/>
              </w:rPr>
              <w:t>)</w:t>
            </w:r>
            <w:r w:rsidR="00AB7119" w:rsidRPr="008A2523">
              <w:rPr>
                <w:rFonts w:cstheme="minorHAnsi"/>
                <w:sz w:val="18"/>
                <w:szCs w:val="18"/>
              </w:rPr>
              <w:t xml:space="preserve"> if alleged not to be in accordance with the individual’s will </w:t>
            </w:r>
            <w:r w:rsidR="00AE40EE" w:rsidRPr="008A2523">
              <w:rPr>
                <w:rFonts w:cstheme="minorHAnsi"/>
                <w:sz w:val="18"/>
                <w:szCs w:val="18"/>
              </w:rPr>
              <w:t>&amp;</w:t>
            </w:r>
            <w:r w:rsidR="00AB7119" w:rsidRPr="008A2523">
              <w:rPr>
                <w:rFonts w:cstheme="minorHAnsi"/>
                <w:sz w:val="18"/>
                <w:szCs w:val="18"/>
              </w:rPr>
              <w:t xml:space="preserve"> preferences;</w:t>
            </w:r>
            <w:r w:rsidR="008A3B24" w:rsidRPr="008A2523">
              <w:rPr>
                <w:rStyle w:val="EndnoteReference"/>
                <w:rFonts w:cstheme="minorHAnsi"/>
                <w:sz w:val="18"/>
                <w:szCs w:val="18"/>
              </w:rPr>
              <w:endnoteReference w:id="5"/>
            </w:r>
          </w:p>
          <w:p w14:paraId="272D3F56" w14:textId="00EC6E89" w:rsidR="009E0C33" w:rsidRPr="008A2523" w:rsidRDefault="008E6798" w:rsidP="00437BDE">
            <w:pPr>
              <w:pStyle w:val="ListParagraph"/>
              <w:numPr>
                <w:ilvl w:val="0"/>
                <w:numId w:val="5"/>
              </w:numPr>
              <w:spacing w:after="0" w:line="240" w:lineRule="auto"/>
              <w:ind w:left="357" w:hanging="357"/>
              <w:contextualSpacing w:val="0"/>
              <w:jc w:val="both"/>
              <w:rPr>
                <w:rFonts w:cstheme="minorHAnsi"/>
                <w:sz w:val="18"/>
                <w:szCs w:val="18"/>
              </w:rPr>
            </w:pPr>
            <w:r w:rsidRPr="008A2523">
              <w:rPr>
                <w:rFonts w:cstheme="minorHAnsi"/>
                <w:sz w:val="18"/>
                <w:szCs w:val="18"/>
              </w:rPr>
              <w:t>includes advance planning for support and decision-making,</w:t>
            </w:r>
            <w:r w:rsidR="005A0C26">
              <w:rPr>
                <w:rFonts w:cstheme="minorHAnsi"/>
                <w:sz w:val="18"/>
                <w:szCs w:val="18"/>
              </w:rPr>
              <w:t xml:space="preserve"> in which the individual concerned</w:t>
            </w:r>
            <w:r w:rsidR="00426145">
              <w:rPr>
                <w:rFonts w:cstheme="minorHAnsi"/>
                <w:sz w:val="18"/>
                <w:szCs w:val="18"/>
              </w:rPr>
              <w:t xml:space="preserve"> </w:t>
            </w:r>
            <w:r w:rsidR="005A0C26">
              <w:rPr>
                <w:rFonts w:cstheme="minorHAnsi"/>
                <w:sz w:val="18"/>
                <w:szCs w:val="18"/>
              </w:rPr>
              <w:t>defines the moment in which an advance directive enters into force and ceases to have effect;</w:t>
            </w:r>
            <w:r w:rsidR="005A0C26">
              <w:rPr>
                <w:rStyle w:val="EndnoteReference"/>
                <w:rFonts w:cstheme="minorHAnsi"/>
                <w:sz w:val="18"/>
                <w:szCs w:val="18"/>
              </w:rPr>
              <w:endnoteReference w:id="6"/>
            </w:r>
            <w:r w:rsidR="005A0C26">
              <w:rPr>
                <w:rFonts w:cstheme="minorHAnsi"/>
                <w:sz w:val="18"/>
                <w:szCs w:val="18"/>
              </w:rPr>
              <w:t xml:space="preserve"> </w:t>
            </w:r>
          </w:p>
          <w:p w14:paraId="0069C8DF" w14:textId="4CFCB5DA" w:rsidR="00AB7119" w:rsidRPr="008A2523" w:rsidRDefault="00AB7119" w:rsidP="00397A75">
            <w:pPr>
              <w:pStyle w:val="ListParagraph"/>
              <w:numPr>
                <w:ilvl w:val="0"/>
                <w:numId w:val="5"/>
              </w:numPr>
              <w:spacing w:after="0" w:line="240" w:lineRule="auto"/>
              <w:ind w:left="357" w:hanging="357"/>
              <w:contextualSpacing w:val="0"/>
              <w:jc w:val="both"/>
              <w:rPr>
                <w:rFonts w:cstheme="minorHAnsi"/>
                <w:sz w:val="18"/>
                <w:szCs w:val="18"/>
              </w:rPr>
            </w:pPr>
            <w:r w:rsidRPr="008A2523">
              <w:rPr>
                <w:rFonts w:cstheme="minorHAnsi"/>
                <w:sz w:val="18"/>
                <w:szCs w:val="18"/>
              </w:rPr>
              <w:t xml:space="preserve">provides for the right to refuse/modify </w:t>
            </w:r>
            <w:r w:rsidR="008E6798" w:rsidRPr="008A2523">
              <w:rPr>
                <w:rFonts w:cstheme="minorHAnsi"/>
                <w:sz w:val="18"/>
                <w:szCs w:val="18"/>
              </w:rPr>
              <w:t>a</w:t>
            </w:r>
            <w:r w:rsidRPr="008A2523">
              <w:rPr>
                <w:rFonts w:cstheme="minorHAnsi"/>
                <w:sz w:val="18"/>
                <w:szCs w:val="18"/>
              </w:rPr>
              <w:t xml:space="preserve"> support relationship;</w:t>
            </w:r>
          </w:p>
          <w:p w14:paraId="5A42681F" w14:textId="1456A974" w:rsidR="00176450" w:rsidRPr="008A2523" w:rsidRDefault="00AB7119" w:rsidP="00397A75">
            <w:pPr>
              <w:pStyle w:val="ListParagraph"/>
              <w:numPr>
                <w:ilvl w:val="0"/>
                <w:numId w:val="5"/>
              </w:numPr>
              <w:spacing w:after="0" w:line="240" w:lineRule="auto"/>
              <w:ind w:left="357" w:hanging="357"/>
              <w:contextualSpacing w:val="0"/>
              <w:jc w:val="both"/>
              <w:rPr>
                <w:rFonts w:cstheme="minorHAnsi"/>
                <w:sz w:val="18"/>
                <w:szCs w:val="18"/>
              </w:rPr>
            </w:pPr>
            <w:r w:rsidRPr="008A2523">
              <w:rPr>
                <w:rFonts w:cstheme="minorHAnsi"/>
                <w:sz w:val="18"/>
                <w:szCs w:val="18"/>
              </w:rPr>
              <w:t>provides safeguards against conflicts of interest, undue influence and abuse of support arrangements and ensures that the support provided respects the rights, autonomy, will and preferences</w:t>
            </w:r>
            <w:r w:rsidR="001F23C6">
              <w:rPr>
                <w:rFonts w:cstheme="minorHAnsi"/>
                <w:sz w:val="18"/>
                <w:szCs w:val="18"/>
              </w:rPr>
              <w:t xml:space="preserve"> of the individual requesting support</w:t>
            </w:r>
            <w:r w:rsidR="006E1F4E">
              <w:rPr>
                <w:rFonts w:cstheme="minorHAnsi"/>
                <w:sz w:val="18"/>
                <w:szCs w:val="18"/>
              </w:rPr>
              <w:t>, with remedies for violations and regular reporting and evaluation of support mechanisms in consultation with concerned groups</w:t>
            </w:r>
            <w:r w:rsidRPr="008A2523">
              <w:rPr>
                <w:rFonts w:cstheme="minorHAnsi"/>
                <w:sz w:val="18"/>
                <w:szCs w:val="18"/>
              </w:rPr>
              <w:t xml:space="preserve">; </w:t>
            </w:r>
          </w:p>
          <w:p w14:paraId="22844971" w14:textId="4A923562" w:rsidR="00AB7119" w:rsidRPr="008A2523" w:rsidRDefault="00AB7119" w:rsidP="00397A75">
            <w:pPr>
              <w:pStyle w:val="ListParagraph"/>
              <w:numPr>
                <w:ilvl w:val="0"/>
                <w:numId w:val="5"/>
              </w:numPr>
              <w:spacing w:after="0" w:line="240" w:lineRule="auto"/>
              <w:ind w:left="357" w:hanging="357"/>
              <w:contextualSpacing w:val="0"/>
              <w:jc w:val="both"/>
              <w:rPr>
                <w:rFonts w:cstheme="minorHAnsi"/>
                <w:sz w:val="18"/>
                <w:szCs w:val="18"/>
              </w:rPr>
            </w:pPr>
            <w:r w:rsidRPr="008A2523">
              <w:rPr>
                <w:rFonts w:cstheme="minorHAnsi"/>
                <w:sz w:val="18"/>
                <w:szCs w:val="18"/>
              </w:rPr>
              <w:t>abolishes the concept of “best interests” in the determination of the type and extent of support provided to persons with disabilities;</w:t>
            </w:r>
          </w:p>
          <w:p w14:paraId="6616D394" w14:textId="18683D4C" w:rsidR="008E6798" w:rsidRPr="008A2523" w:rsidRDefault="008E6798" w:rsidP="00397A75">
            <w:pPr>
              <w:pStyle w:val="ListParagraph"/>
              <w:numPr>
                <w:ilvl w:val="0"/>
                <w:numId w:val="5"/>
              </w:numPr>
              <w:spacing w:after="0" w:line="240" w:lineRule="auto"/>
              <w:ind w:left="357" w:hanging="357"/>
              <w:contextualSpacing w:val="0"/>
              <w:jc w:val="both"/>
              <w:rPr>
                <w:rFonts w:cstheme="minorHAnsi"/>
                <w:sz w:val="18"/>
                <w:szCs w:val="18"/>
              </w:rPr>
            </w:pPr>
            <w:r w:rsidRPr="008A2523">
              <w:rPr>
                <w:rFonts w:cstheme="minorHAnsi"/>
                <w:sz w:val="18"/>
                <w:szCs w:val="18"/>
              </w:rPr>
              <w:t>ensures accessibility and the duty to accommodate in all contexts requiring an exercise of legal capacity</w:t>
            </w:r>
            <w:r w:rsidR="007F776E" w:rsidRPr="008A2523">
              <w:rPr>
                <w:rFonts w:cstheme="minorHAnsi"/>
                <w:sz w:val="18"/>
                <w:szCs w:val="18"/>
              </w:rPr>
              <w:t>;</w:t>
            </w:r>
            <w:r w:rsidRPr="008A2523">
              <w:rPr>
                <w:rStyle w:val="EndnoteReference"/>
                <w:rFonts w:cstheme="minorHAnsi"/>
                <w:sz w:val="18"/>
                <w:szCs w:val="18"/>
              </w:rPr>
              <w:endnoteReference w:id="7"/>
            </w:r>
          </w:p>
          <w:p w14:paraId="66BF8329" w14:textId="45D1AD8D" w:rsidR="00AB7119" w:rsidRPr="00884CC0" w:rsidRDefault="00AB7119" w:rsidP="00437BDE">
            <w:pPr>
              <w:pStyle w:val="ListParagraph"/>
              <w:numPr>
                <w:ilvl w:val="0"/>
                <w:numId w:val="5"/>
              </w:numPr>
              <w:spacing w:after="0" w:line="240" w:lineRule="auto"/>
              <w:ind w:left="357" w:hanging="357"/>
              <w:contextualSpacing w:val="0"/>
              <w:jc w:val="both"/>
              <w:rPr>
                <w:rFonts w:cstheme="minorHAnsi"/>
                <w:sz w:val="18"/>
                <w:szCs w:val="18"/>
              </w:rPr>
            </w:pPr>
            <w:r w:rsidRPr="008A2523">
              <w:rPr>
                <w:rFonts w:cstheme="minorHAnsi"/>
                <w:sz w:val="18"/>
                <w:szCs w:val="18"/>
              </w:rPr>
              <w:t xml:space="preserve">allows for interpretation of the person’s will and preferences </w:t>
            </w:r>
            <w:r w:rsidR="00772DF3">
              <w:rPr>
                <w:rFonts w:cstheme="minorHAnsi"/>
                <w:sz w:val="18"/>
                <w:szCs w:val="18"/>
              </w:rPr>
              <w:t>exclusively</w:t>
            </w:r>
            <w:r w:rsidRPr="008A2523">
              <w:rPr>
                <w:rFonts w:cstheme="minorHAnsi"/>
                <w:sz w:val="18"/>
                <w:szCs w:val="18"/>
              </w:rPr>
              <w:t xml:space="preserve"> in cases when it has not been possible, following significant effort</w:t>
            </w:r>
            <w:r w:rsidR="00772DF3">
              <w:rPr>
                <w:rFonts w:cstheme="minorHAnsi"/>
                <w:sz w:val="18"/>
                <w:szCs w:val="18"/>
              </w:rPr>
              <w:t>s</w:t>
            </w:r>
            <w:r w:rsidRPr="008A2523">
              <w:rPr>
                <w:rFonts w:cstheme="minorHAnsi"/>
                <w:sz w:val="18"/>
                <w:szCs w:val="18"/>
              </w:rPr>
              <w:t xml:space="preserve"> to determine </w:t>
            </w:r>
            <w:r w:rsidR="00772DF3">
              <w:rPr>
                <w:rFonts w:cstheme="minorHAnsi"/>
                <w:sz w:val="18"/>
                <w:szCs w:val="18"/>
              </w:rPr>
              <w:t>them</w:t>
            </w:r>
            <w:r w:rsidR="00772DF3" w:rsidRPr="008A2523">
              <w:rPr>
                <w:rFonts w:cstheme="minorHAnsi"/>
                <w:sz w:val="18"/>
                <w:szCs w:val="18"/>
              </w:rPr>
              <w:t xml:space="preserve"> </w:t>
            </w:r>
            <w:r w:rsidRPr="008A2523">
              <w:rPr>
                <w:rFonts w:cstheme="minorHAnsi"/>
                <w:sz w:val="18"/>
                <w:szCs w:val="18"/>
              </w:rPr>
              <w:t>using diverse methods of communication</w:t>
            </w:r>
            <w:r w:rsidR="007F776E" w:rsidRPr="008A2523">
              <w:rPr>
                <w:rFonts w:cstheme="minorHAnsi"/>
                <w:sz w:val="18"/>
                <w:szCs w:val="18"/>
              </w:rPr>
              <w:t>.</w:t>
            </w:r>
            <w:r w:rsidR="00AE40EE" w:rsidRPr="008A2523">
              <w:rPr>
                <w:rStyle w:val="EndnoteReference"/>
                <w:rFonts w:cstheme="minorHAnsi"/>
                <w:sz w:val="18"/>
                <w:szCs w:val="18"/>
              </w:rPr>
              <w:endnoteReference w:id="8"/>
            </w:r>
          </w:p>
        </w:tc>
      </w:tr>
      <w:tr w:rsidR="00AB7119" w:rsidRPr="008A2523" w14:paraId="1B9D59F5" w14:textId="77777777" w:rsidTr="001A4CCD">
        <w:tc>
          <w:tcPr>
            <w:tcW w:w="1170" w:type="dxa"/>
            <w:vMerge/>
          </w:tcPr>
          <w:p w14:paraId="5E2EF57E" w14:textId="77777777" w:rsidR="00AB7119" w:rsidRPr="008A2523" w:rsidRDefault="00AB7119" w:rsidP="00397A75">
            <w:pPr>
              <w:spacing w:after="0" w:line="240" w:lineRule="auto"/>
              <w:jc w:val="both"/>
              <w:rPr>
                <w:rFonts w:cstheme="minorHAnsi"/>
                <w:b/>
                <w:sz w:val="18"/>
                <w:szCs w:val="18"/>
              </w:rPr>
            </w:pPr>
          </w:p>
        </w:tc>
        <w:tc>
          <w:tcPr>
            <w:tcW w:w="13500" w:type="dxa"/>
            <w:gridSpan w:val="3"/>
          </w:tcPr>
          <w:p w14:paraId="44CE413E" w14:textId="17FBE48C" w:rsidR="00AB7119" w:rsidRPr="005C0DD7" w:rsidRDefault="00E91922" w:rsidP="00397A75">
            <w:pPr>
              <w:spacing w:after="0" w:line="240" w:lineRule="auto"/>
              <w:jc w:val="both"/>
              <w:rPr>
                <w:rFonts w:cstheme="minorHAnsi"/>
                <w:sz w:val="18"/>
                <w:szCs w:val="18"/>
              </w:rPr>
            </w:pPr>
            <w:r w:rsidRPr="005C0DD7">
              <w:rPr>
                <w:rFonts w:cstheme="minorHAnsi"/>
                <w:sz w:val="18"/>
                <w:szCs w:val="18"/>
              </w:rPr>
              <w:t>12.</w:t>
            </w:r>
            <w:r w:rsidR="00DE0972" w:rsidRPr="005C0DD7">
              <w:rPr>
                <w:rFonts w:cstheme="minorHAnsi"/>
                <w:sz w:val="18"/>
                <w:szCs w:val="18"/>
              </w:rPr>
              <w:t>4</w:t>
            </w:r>
            <w:r w:rsidRPr="005C0DD7">
              <w:rPr>
                <w:rFonts w:cstheme="minorHAnsi"/>
                <w:sz w:val="18"/>
                <w:szCs w:val="18"/>
              </w:rPr>
              <w:t xml:space="preserve"> </w:t>
            </w:r>
            <w:r w:rsidR="00AB7119" w:rsidRPr="005C0DD7">
              <w:rPr>
                <w:rFonts w:cstheme="minorHAnsi"/>
                <w:sz w:val="18"/>
                <w:szCs w:val="18"/>
              </w:rPr>
              <w:t xml:space="preserve">Statutory requirement to collect data </w:t>
            </w:r>
            <w:r w:rsidR="00ED6ECC" w:rsidRPr="005C0DD7">
              <w:rPr>
                <w:rFonts w:cstheme="minorHAnsi"/>
                <w:sz w:val="18"/>
                <w:szCs w:val="18"/>
              </w:rPr>
              <w:t>on</w:t>
            </w:r>
            <w:r w:rsidR="00AB7119" w:rsidRPr="005C0DD7">
              <w:rPr>
                <w:rFonts w:cstheme="minorHAnsi"/>
                <w:sz w:val="18"/>
                <w:szCs w:val="18"/>
              </w:rPr>
              <w:t xml:space="preserve"> </w:t>
            </w:r>
            <w:r w:rsidR="00B03DB9" w:rsidRPr="005C0DD7">
              <w:rPr>
                <w:rFonts w:cstheme="minorHAnsi"/>
                <w:sz w:val="18"/>
                <w:szCs w:val="18"/>
              </w:rPr>
              <w:t xml:space="preserve">persons being restricted of </w:t>
            </w:r>
            <w:r w:rsidR="005C0DD7">
              <w:rPr>
                <w:rFonts w:cstheme="minorHAnsi"/>
                <w:sz w:val="18"/>
                <w:szCs w:val="18"/>
              </w:rPr>
              <w:t>l</w:t>
            </w:r>
            <w:r w:rsidR="004E257C" w:rsidRPr="005C0DD7">
              <w:rPr>
                <w:rFonts w:cstheme="minorHAnsi"/>
                <w:sz w:val="18"/>
                <w:szCs w:val="18"/>
              </w:rPr>
              <w:t xml:space="preserve">egal capacity </w:t>
            </w:r>
            <w:r w:rsidR="00B03DB9" w:rsidRPr="005C0DD7">
              <w:rPr>
                <w:rFonts w:cstheme="minorHAnsi"/>
                <w:sz w:val="18"/>
                <w:szCs w:val="18"/>
              </w:rPr>
              <w:t xml:space="preserve">and restoration of legal capacity, disaggregated by sex, age, </w:t>
            </w:r>
            <w:r w:rsidR="00772DF3">
              <w:rPr>
                <w:rFonts w:cstheme="minorHAnsi"/>
                <w:sz w:val="18"/>
                <w:szCs w:val="18"/>
              </w:rPr>
              <w:t>disability</w:t>
            </w:r>
            <w:r w:rsidR="00B03DB9" w:rsidRPr="005C0DD7">
              <w:rPr>
                <w:rFonts w:cstheme="minorHAnsi"/>
                <w:sz w:val="18"/>
                <w:szCs w:val="18"/>
              </w:rPr>
              <w:t xml:space="preserve">, </w:t>
            </w:r>
            <w:r w:rsidR="00772DF3">
              <w:rPr>
                <w:rFonts w:cstheme="minorHAnsi"/>
                <w:sz w:val="18"/>
                <w:szCs w:val="18"/>
              </w:rPr>
              <w:t xml:space="preserve">place of </w:t>
            </w:r>
            <w:r w:rsidR="00B03DB9" w:rsidRPr="005C0DD7">
              <w:rPr>
                <w:rFonts w:cstheme="minorHAnsi"/>
                <w:sz w:val="18"/>
                <w:szCs w:val="18"/>
              </w:rPr>
              <w:t>residence</w:t>
            </w:r>
            <w:r w:rsidR="00ED6ECC" w:rsidRPr="005C0DD7">
              <w:rPr>
                <w:rFonts w:cstheme="minorHAnsi"/>
                <w:sz w:val="18"/>
                <w:szCs w:val="18"/>
              </w:rPr>
              <w:t>,</w:t>
            </w:r>
            <w:r w:rsidR="00F96E01" w:rsidRPr="005C0DD7">
              <w:rPr>
                <w:rStyle w:val="EndnoteReference"/>
                <w:rFonts w:cstheme="minorHAnsi"/>
                <w:sz w:val="18"/>
                <w:szCs w:val="18"/>
              </w:rPr>
              <w:endnoteReference w:id="9"/>
            </w:r>
            <w:r w:rsidR="00B03DB9" w:rsidRPr="005C0DD7">
              <w:rPr>
                <w:rFonts w:cstheme="minorHAnsi"/>
                <w:sz w:val="18"/>
                <w:szCs w:val="18"/>
              </w:rPr>
              <w:t xml:space="preserve"> geographical location, </w:t>
            </w:r>
            <w:r w:rsidR="00ED6ECC" w:rsidRPr="005C0DD7">
              <w:rPr>
                <w:rFonts w:cstheme="minorHAnsi"/>
                <w:sz w:val="18"/>
                <w:szCs w:val="18"/>
              </w:rPr>
              <w:t xml:space="preserve">migrant status, </w:t>
            </w:r>
            <w:r w:rsidR="00772DF3">
              <w:rPr>
                <w:rFonts w:cstheme="minorHAnsi"/>
                <w:sz w:val="18"/>
                <w:szCs w:val="18"/>
              </w:rPr>
              <w:t>minority/indigenous background</w:t>
            </w:r>
            <w:r w:rsidR="00ED6ECC" w:rsidRPr="005C0DD7">
              <w:rPr>
                <w:rFonts w:cstheme="minorHAnsi"/>
                <w:sz w:val="18"/>
                <w:szCs w:val="18"/>
              </w:rPr>
              <w:t>,</w:t>
            </w:r>
            <w:r w:rsidR="00B03DB9" w:rsidRPr="005C0DD7">
              <w:rPr>
                <w:rFonts w:cstheme="minorHAnsi"/>
                <w:sz w:val="18"/>
                <w:szCs w:val="18"/>
              </w:rPr>
              <w:t xml:space="preserve"> etc</w:t>
            </w:r>
            <w:r w:rsidR="00995C4E" w:rsidRPr="005C0DD7">
              <w:rPr>
                <w:rFonts w:cstheme="minorHAnsi"/>
                <w:sz w:val="18"/>
                <w:szCs w:val="18"/>
              </w:rPr>
              <w:t>.</w:t>
            </w:r>
          </w:p>
          <w:p w14:paraId="13AE2A66" w14:textId="4841BE92" w:rsidR="00D067D3" w:rsidRPr="005C0DD7" w:rsidRDefault="00D067D3" w:rsidP="00397A75">
            <w:pPr>
              <w:pStyle w:val="ListParagraph"/>
              <w:numPr>
                <w:ilvl w:val="1"/>
                <w:numId w:val="15"/>
              </w:numPr>
              <w:spacing w:after="0" w:line="240" w:lineRule="auto"/>
              <w:jc w:val="both"/>
              <w:rPr>
                <w:rFonts w:cstheme="minorHAnsi"/>
                <w:sz w:val="18"/>
                <w:szCs w:val="18"/>
              </w:rPr>
            </w:pPr>
            <w:r w:rsidRPr="005C0DD7">
              <w:rPr>
                <w:rFonts w:cstheme="minorHAnsi"/>
                <w:sz w:val="18"/>
                <w:szCs w:val="18"/>
              </w:rPr>
              <w:t xml:space="preserve">Mandatory courses within legal education (in universities and other educational institutions) on the right to legal capacity of persons with disabilities and right to support for </w:t>
            </w:r>
            <w:r w:rsidR="00FE0511" w:rsidRPr="005C0DD7">
              <w:rPr>
                <w:rFonts w:cstheme="minorHAnsi"/>
                <w:sz w:val="18"/>
                <w:szCs w:val="18"/>
              </w:rPr>
              <w:t>decision-making</w:t>
            </w:r>
            <w:r w:rsidRPr="005C0DD7">
              <w:rPr>
                <w:rFonts w:cstheme="minorHAnsi"/>
                <w:sz w:val="18"/>
                <w:szCs w:val="18"/>
              </w:rPr>
              <w:t>.</w:t>
            </w:r>
          </w:p>
        </w:tc>
      </w:tr>
      <w:tr w:rsidR="00A8477D" w:rsidRPr="008A2523" w14:paraId="1C2F9EC4" w14:textId="77777777" w:rsidTr="001A4CCD">
        <w:trPr>
          <w:trHeight w:val="3314"/>
        </w:trPr>
        <w:tc>
          <w:tcPr>
            <w:tcW w:w="1170" w:type="dxa"/>
            <w:vMerge w:val="restart"/>
          </w:tcPr>
          <w:p w14:paraId="44E309F1" w14:textId="6B44E5DC" w:rsidR="00A8477D" w:rsidRPr="008A2523" w:rsidRDefault="00A8477D" w:rsidP="00397A75">
            <w:pPr>
              <w:spacing w:after="0" w:line="240" w:lineRule="auto"/>
              <w:jc w:val="both"/>
              <w:rPr>
                <w:rFonts w:cstheme="minorHAnsi"/>
                <w:b/>
                <w:sz w:val="18"/>
                <w:szCs w:val="18"/>
              </w:rPr>
            </w:pPr>
            <w:r w:rsidRPr="008A2523">
              <w:rPr>
                <w:rFonts w:cstheme="minorHAnsi"/>
                <w:b/>
                <w:sz w:val="18"/>
                <w:szCs w:val="18"/>
              </w:rPr>
              <w:lastRenderedPageBreak/>
              <w:t>Process</w:t>
            </w:r>
          </w:p>
        </w:tc>
        <w:tc>
          <w:tcPr>
            <w:tcW w:w="4797" w:type="dxa"/>
          </w:tcPr>
          <w:p w14:paraId="2A0DD076" w14:textId="28B020B4" w:rsidR="00F9090A" w:rsidRPr="005C0DD7" w:rsidRDefault="0092753B" w:rsidP="00397A75">
            <w:pPr>
              <w:pStyle w:val="NoSpacing"/>
              <w:jc w:val="both"/>
              <w:rPr>
                <w:rFonts w:cstheme="minorHAnsi"/>
                <w:sz w:val="18"/>
                <w:szCs w:val="18"/>
              </w:rPr>
            </w:pPr>
            <w:r w:rsidRPr="005C0DD7">
              <w:rPr>
                <w:rFonts w:cstheme="minorHAnsi"/>
                <w:sz w:val="18"/>
                <w:szCs w:val="18"/>
              </w:rPr>
              <w:t>12.</w:t>
            </w:r>
            <w:r w:rsidR="00DE0972" w:rsidRPr="005C0DD7">
              <w:rPr>
                <w:rFonts w:cstheme="minorHAnsi"/>
                <w:sz w:val="18"/>
                <w:szCs w:val="18"/>
              </w:rPr>
              <w:t>6</w:t>
            </w:r>
            <w:r w:rsidRPr="005C0DD7">
              <w:rPr>
                <w:rFonts w:cstheme="minorHAnsi"/>
                <w:sz w:val="18"/>
                <w:szCs w:val="18"/>
              </w:rPr>
              <w:t xml:space="preserve"> </w:t>
            </w:r>
            <w:r w:rsidR="00F9090A" w:rsidRPr="005C0DD7">
              <w:rPr>
                <w:rFonts w:cstheme="minorHAnsi"/>
                <w:sz w:val="18"/>
                <w:szCs w:val="18"/>
              </w:rPr>
              <w:t xml:space="preserve">Number of requests of procedural and age-appropriate accommodations </w:t>
            </w:r>
            <w:r w:rsidRPr="005C0DD7">
              <w:rPr>
                <w:rFonts w:cstheme="minorHAnsi"/>
                <w:sz w:val="18"/>
                <w:szCs w:val="18"/>
              </w:rPr>
              <w:t>in processes seeking restoration of legal capacity</w:t>
            </w:r>
            <w:r w:rsidR="00F9090A" w:rsidRPr="005C0DD7">
              <w:rPr>
                <w:rFonts w:cstheme="minorHAnsi"/>
                <w:sz w:val="18"/>
                <w:szCs w:val="18"/>
              </w:rPr>
              <w:t xml:space="preserve"> and proportion of the</w:t>
            </w:r>
            <w:r w:rsidR="00772DF3">
              <w:rPr>
                <w:rFonts w:cstheme="minorHAnsi"/>
                <w:sz w:val="18"/>
                <w:szCs w:val="18"/>
              </w:rPr>
              <w:t>m</w:t>
            </w:r>
            <w:r w:rsidR="00F9090A" w:rsidRPr="005C0DD7">
              <w:rPr>
                <w:rFonts w:cstheme="minorHAnsi"/>
                <w:sz w:val="18"/>
                <w:szCs w:val="18"/>
              </w:rPr>
              <w:t xml:space="preserve"> that have been granted and provided.</w:t>
            </w:r>
          </w:p>
          <w:p w14:paraId="5A5D1CFE" w14:textId="77777777" w:rsidR="00C6422D" w:rsidRPr="005C0DD7" w:rsidRDefault="00C6422D" w:rsidP="00397A75">
            <w:pPr>
              <w:pStyle w:val="NoSpacing"/>
              <w:jc w:val="both"/>
              <w:rPr>
                <w:rFonts w:cstheme="minorHAnsi"/>
                <w:sz w:val="18"/>
                <w:szCs w:val="18"/>
              </w:rPr>
            </w:pPr>
          </w:p>
          <w:p w14:paraId="3840ED82" w14:textId="11C42004" w:rsidR="00C6422D" w:rsidRPr="005C0DD7" w:rsidRDefault="00DE0972" w:rsidP="00397A75">
            <w:pPr>
              <w:pStyle w:val="NoSpacing"/>
              <w:jc w:val="both"/>
              <w:rPr>
                <w:rFonts w:cstheme="minorHAnsi"/>
                <w:sz w:val="18"/>
                <w:szCs w:val="18"/>
              </w:rPr>
            </w:pPr>
            <w:r w:rsidRPr="005C0DD7">
              <w:rPr>
                <w:rFonts w:cstheme="minorHAnsi"/>
                <w:sz w:val="18"/>
                <w:szCs w:val="18"/>
              </w:rPr>
              <w:t>12.7</w:t>
            </w:r>
            <w:r w:rsidR="00C6422D" w:rsidRPr="005C0DD7">
              <w:rPr>
                <w:rFonts w:cstheme="minorHAnsi"/>
                <w:sz w:val="18"/>
                <w:szCs w:val="18"/>
              </w:rPr>
              <w:t xml:space="preserve"> Numbe</w:t>
            </w:r>
            <w:r w:rsidR="00340CA5" w:rsidRPr="005C0DD7">
              <w:rPr>
                <w:rFonts w:cstheme="minorHAnsi"/>
                <w:sz w:val="18"/>
                <w:szCs w:val="18"/>
              </w:rPr>
              <w:t>r and proportion of persons with disabilities</w:t>
            </w:r>
            <w:r w:rsidR="00C6422D" w:rsidRPr="005C0DD7">
              <w:rPr>
                <w:rFonts w:cstheme="minorHAnsi"/>
                <w:sz w:val="18"/>
                <w:szCs w:val="18"/>
              </w:rPr>
              <w:t xml:space="preserve"> </w:t>
            </w:r>
            <w:r w:rsidR="00340CA5" w:rsidRPr="005C0DD7">
              <w:rPr>
                <w:rFonts w:cstheme="minorHAnsi"/>
                <w:sz w:val="18"/>
                <w:szCs w:val="18"/>
              </w:rPr>
              <w:t>restricted of their legal capacity</w:t>
            </w:r>
            <w:r w:rsidR="00340CA5" w:rsidRPr="005C0DD7">
              <w:rPr>
                <w:rStyle w:val="EndnoteReference"/>
                <w:rFonts w:cstheme="minorHAnsi"/>
                <w:sz w:val="18"/>
                <w:szCs w:val="18"/>
              </w:rPr>
              <w:endnoteReference w:id="10"/>
            </w:r>
            <w:r w:rsidR="00340CA5" w:rsidRPr="005C0DD7">
              <w:rPr>
                <w:rFonts w:cstheme="minorHAnsi"/>
                <w:sz w:val="18"/>
                <w:szCs w:val="18"/>
              </w:rPr>
              <w:t xml:space="preserve"> </w:t>
            </w:r>
            <w:r w:rsidR="00C6422D" w:rsidRPr="005C0DD7">
              <w:rPr>
                <w:rFonts w:cstheme="minorHAnsi"/>
                <w:sz w:val="18"/>
                <w:szCs w:val="18"/>
              </w:rPr>
              <w:t xml:space="preserve">who have been </w:t>
            </w:r>
            <w:r w:rsidR="00340CA5" w:rsidRPr="005C0DD7">
              <w:rPr>
                <w:rFonts w:cstheme="minorHAnsi"/>
                <w:sz w:val="18"/>
                <w:szCs w:val="18"/>
              </w:rPr>
              <w:t>informed by public authorities</w:t>
            </w:r>
            <w:r w:rsidR="00C6422D" w:rsidRPr="005C0DD7">
              <w:rPr>
                <w:rFonts w:cstheme="minorHAnsi"/>
                <w:sz w:val="18"/>
                <w:szCs w:val="18"/>
              </w:rPr>
              <w:t xml:space="preserve"> that their legal capacity has been</w:t>
            </w:r>
            <w:r w:rsidR="00340CA5" w:rsidRPr="005C0DD7">
              <w:rPr>
                <w:rFonts w:cstheme="minorHAnsi"/>
                <w:sz w:val="18"/>
                <w:szCs w:val="18"/>
              </w:rPr>
              <w:t>/can be restored.</w:t>
            </w:r>
          </w:p>
        </w:tc>
        <w:tc>
          <w:tcPr>
            <w:tcW w:w="8703" w:type="dxa"/>
            <w:gridSpan w:val="2"/>
          </w:tcPr>
          <w:p w14:paraId="1675FB53" w14:textId="675B97F5" w:rsidR="00754291" w:rsidRPr="008A2523" w:rsidRDefault="00007AE0" w:rsidP="00397A75">
            <w:pPr>
              <w:pStyle w:val="NoSpacing"/>
              <w:jc w:val="both"/>
              <w:rPr>
                <w:rFonts w:cstheme="minorHAnsi"/>
                <w:sz w:val="18"/>
                <w:szCs w:val="18"/>
              </w:rPr>
            </w:pPr>
            <w:r w:rsidRPr="008A2523">
              <w:rPr>
                <w:rFonts w:cstheme="minorHAnsi"/>
                <w:sz w:val="18"/>
                <w:szCs w:val="18"/>
              </w:rPr>
              <w:t>12.</w:t>
            </w:r>
            <w:r w:rsidR="00DE0972">
              <w:rPr>
                <w:rFonts w:cstheme="minorHAnsi"/>
                <w:sz w:val="18"/>
                <w:szCs w:val="18"/>
              </w:rPr>
              <w:t>8</w:t>
            </w:r>
            <w:r w:rsidRPr="008A2523">
              <w:rPr>
                <w:rFonts w:cstheme="minorHAnsi"/>
                <w:sz w:val="18"/>
                <w:szCs w:val="18"/>
              </w:rPr>
              <w:t xml:space="preserve"> </w:t>
            </w:r>
            <w:r w:rsidR="00C97BE0" w:rsidRPr="008A2523">
              <w:rPr>
                <w:rFonts w:cstheme="minorHAnsi"/>
                <w:sz w:val="18"/>
                <w:szCs w:val="18"/>
              </w:rPr>
              <w:t>Q</w:t>
            </w:r>
            <w:r w:rsidR="00A8477D" w:rsidRPr="008A2523">
              <w:rPr>
                <w:rFonts w:cstheme="minorHAnsi"/>
                <w:sz w:val="18"/>
                <w:szCs w:val="18"/>
              </w:rPr>
              <w:t>uality standards for supported decision-making adopted cover</w:t>
            </w:r>
            <w:r w:rsidR="00772DF3">
              <w:rPr>
                <w:rFonts w:cstheme="minorHAnsi"/>
                <w:sz w:val="18"/>
                <w:szCs w:val="18"/>
              </w:rPr>
              <w:t>ing</w:t>
            </w:r>
            <w:r w:rsidR="00A8477D" w:rsidRPr="008A2523">
              <w:rPr>
                <w:rFonts w:cstheme="minorHAnsi"/>
                <w:sz w:val="18"/>
                <w:szCs w:val="18"/>
              </w:rPr>
              <w:t xml:space="preserve"> formal and informal support arrangements, modification/</w:t>
            </w:r>
            <w:r w:rsidR="00754291" w:rsidRPr="008A2523">
              <w:rPr>
                <w:rFonts w:cstheme="minorHAnsi"/>
                <w:sz w:val="18"/>
                <w:szCs w:val="18"/>
              </w:rPr>
              <w:t>termination</w:t>
            </w:r>
            <w:r w:rsidR="00A8477D" w:rsidRPr="008A2523">
              <w:rPr>
                <w:rFonts w:cstheme="minorHAnsi"/>
                <w:sz w:val="18"/>
                <w:szCs w:val="18"/>
              </w:rPr>
              <w:t xml:space="preserve"> of support</w:t>
            </w:r>
            <w:r w:rsidR="00772DF3">
              <w:rPr>
                <w:rFonts w:cstheme="minorHAnsi"/>
                <w:sz w:val="18"/>
                <w:szCs w:val="18"/>
              </w:rPr>
              <w:t xml:space="preserve"> in accordance with the individual’s will and preferences</w:t>
            </w:r>
            <w:r w:rsidR="00474195">
              <w:rPr>
                <w:rFonts w:cstheme="minorHAnsi"/>
                <w:sz w:val="18"/>
                <w:szCs w:val="18"/>
              </w:rPr>
              <w:t>,</w:t>
            </w:r>
            <w:r w:rsidR="00A8477D" w:rsidRPr="008A2523">
              <w:rPr>
                <w:rFonts w:cstheme="minorHAnsi"/>
                <w:sz w:val="18"/>
                <w:szCs w:val="18"/>
              </w:rPr>
              <w:t xml:space="preserve"> and the right to refuse support</w:t>
            </w:r>
            <w:r w:rsidR="00995C4E" w:rsidRPr="008A2523">
              <w:rPr>
                <w:rFonts w:cstheme="minorHAnsi"/>
                <w:sz w:val="18"/>
                <w:szCs w:val="18"/>
              </w:rPr>
              <w:t>.</w:t>
            </w:r>
            <w:r w:rsidR="00995C4E" w:rsidRPr="008A2523">
              <w:rPr>
                <w:rStyle w:val="EndnoteReference"/>
                <w:rFonts w:cstheme="minorHAnsi"/>
                <w:sz w:val="18"/>
                <w:szCs w:val="18"/>
              </w:rPr>
              <w:endnoteReference w:id="11"/>
            </w:r>
            <w:r w:rsidR="00A8477D" w:rsidRPr="008A2523">
              <w:rPr>
                <w:rFonts w:cstheme="minorHAnsi"/>
                <w:sz w:val="18"/>
                <w:szCs w:val="18"/>
              </w:rPr>
              <w:t xml:space="preserve"> </w:t>
            </w:r>
          </w:p>
          <w:p w14:paraId="441FB018" w14:textId="3FE171FD" w:rsidR="00850565" w:rsidRPr="008A2523" w:rsidRDefault="00DE0972" w:rsidP="00397A75">
            <w:pPr>
              <w:pStyle w:val="NoSpacing"/>
              <w:jc w:val="both"/>
              <w:rPr>
                <w:rFonts w:cstheme="minorHAnsi"/>
                <w:sz w:val="18"/>
                <w:szCs w:val="18"/>
              </w:rPr>
            </w:pPr>
            <w:r>
              <w:rPr>
                <w:rFonts w:cstheme="minorHAnsi"/>
                <w:sz w:val="18"/>
                <w:szCs w:val="18"/>
              </w:rPr>
              <w:t xml:space="preserve">12.9 </w:t>
            </w:r>
            <w:r w:rsidR="00850565" w:rsidRPr="008A2523">
              <w:rPr>
                <w:rFonts w:cstheme="minorHAnsi"/>
                <w:sz w:val="18"/>
                <w:szCs w:val="18"/>
              </w:rPr>
              <w:t>Budget allocate</w:t>
            </w:r>
            <w:r w:rsidR="00CA2DFE" w:rsidRPr="008A2523">
              <w:rPr>
                <w:rFonts w:cstheme="minorHAnsi"/>
                <w:sz w:val="18"/>
                <w:szCs w:val="18"/>
              </w:rPr>
              <w:t xml:space="preserve">d and </w:t>
            </w:r>
            <w:r w:rsidR="00850565" w:rsidRPr="008A2523">
              <w:rPr>
                <w:rFonts w:cstheme="minorHAnsi"/>
                <w:sz w:val="18"/>
                <w:szCs w:val="18"/>
              </w:rPr>
              <w:t xml:space="preserve">spent </w:t>
            </w:r>
            <w:r w:rsidR="00B05F54">
              <w:rPr>
                <w:rFonts w:cstheme="minorHAnsi"/>
                <w:sz w:val="18"/>
                <w:szCs w:val="18"/>
              </w:rPr>
              <w:t>o</w:t>
            </w:r>
            <w:r w:rsidR="00CA2DFE" w:rsidRPr="008A2523">
              <w:rPr>
                <w:rFonts w:cstheme="minorHAnsi"/>
                <w:sz w:val="18"/>
                <w:szCs w:val="18"/>
              </w:rPr>
              <w:t xml:space="preserve">n programmes to provide </w:t>
            </w:r>
            <w:r w:rsidR="00850565" w:rsidRPr="008A2523">
              <w:rPr>
                <w:rFonts w:cstheme="minorHAnsi"/>
                <w:sz w:val="18"/>
                <w:szCs w:val="18"/>
              </w:rPr>
              <w:t>supported decision-making</w:t>
            </w:r>
            <w:r w:rsidR="00CA2DFE" w:rsidRPr="008A2523">
              <w:rPr>
                <w:rFonts w:cstheme="minorHAnsi"/>
                <w:sz w:val="18"/>
                <w:szCs w:val="18"/>
              </w:rPr>
              <w:t xml:space="preserve"> for the exercise of legal capacity of persons with disabilities.</w:t>
            </w:r>
            <w:r w:rsidR="00850565" w:rsidRPr="008A2523">
              <w:rPr>
                <w:rFonts w:cstheme="minorHAnsi"/>
                <w:sz w:val="18"/>
                <w:szCs w:val="18"/>
                <w:vertAlign w:val="superscript"/>
              </w:rPr>
              <w:endnoteReference w:id="12"/>
            </w:r>
          </w:p>
          <w:p w14:paraId="2BF4EDE1" w14:textId="46DEC489" w:rsidR="00754291" w:rsidRPr="008A2523" w:rsidRDefault="00DE0972" w:rsidP="00397A75">
            <w:pPr>
              <w:pStyle w:val="NoSpacing"/>
              <w:jc w:val="both"/>
              <w:rPr>
                <w:rFonts w:cstheme="minorHAnsi"/>
                <w:sz w:val="18"/>
                <w:szCs w:val="18"/>
              </w:rPr>
            </w:pPr>
            <w:r>
              <w:rPr>
                <w:rFonts w:cstheme="minorHAnsi"/>
                <w:sz w:val="18"/>
                <w:szCs w:val="18"/>
              </w:rPr>
              <w:t>12.10</w:t>
            </w:r>
            <w:r w:rsidR="00754291" w:rsidRPr="008A2523">
              <w:rPr>
                <w:rFonts w:cstheme="minorHAnsi"/>
                <w:sz w:val="18"/>
                <w:szCs w:val="18"/>
              </w:rPr>
              <w:t xml:space="preserve"> Research and development is undertaken</w:t>
            </w:r>
            <w:r w:rsidR="0067078A">
              <w:rPr>
                <w:rFonts w:cstheme="minorHAnsi"/>
                <w:sz w:val="18"/>
                <w:szCs w:val="18"/>
              </w:rPr>
              <w:t>,</w:t>
            </w:r>
            <w:r w:rsidR="00754291" w:rsidRPr="008A2523">
              <w:rPr>
                <w:rStyle w:val="EndnoteReference"/>
                <w:rFonts w:cstheme="minorHAnsi"/>
                <w:sz w:val="18"/>
                <w:szCs w:val="18"/>
              </w:rPr>
              <w:endnoteReference w:id="13"/>
            </w:r>
            <w:r w:rsidR="00754291" w:rsidRPr="008A2523">
              <w:rPr>
                <w:rFonts w:cstheme="minorHAnsi"/>
                <w:sz w:val="18"/>
                <w:szCs w:val="18"/>
              </w:rPr>
              <w:t xml:space="preserve"> to explore, define and meet the needs of diverse impairment groups and constituencies, in close consultation with that population and their representative organizations in all stages of the activity.</w:t>
            </w:r>
          </w:p>
          <w:p w14:paraId="1DE70C71" w14:textId="000A5D76" w:rsidR="00007AE0" w:rsidRPr="00474195" w:rsidRDefault="00007AE0" w:rsidP="00397A75">
            <w:pPr>
              <w:pStyle w:val="NoSpacing"/>
              <w:jc w:val="both"/>
              <w:rPr>
                <w:rFonts w:cstheme="minorHAnsi"/>
                <w:sz w:val="18"/>
                <w:szCs w:val="18"/>
              </w:rPr>
            </w:pPr>
            <w:r w:rsidRPr="008A2523">
              <w:rPr>
                <w:rFonts w:cstheme="minorHAnsi"/>
                <w:sz w:val="18"/>
                <w:szCs w:val="18"/>
              </w:rPr>
              <w:t>12.</w:t>
            </w:r>
            <w:r w:rsidR="00754291" w:rsidRPr="008A2523">
              <w:rPr>
                <w:rFonts w:cstheme="minorHAnsi"/>
                <w:sz w:val="18"/>
                <w:szCs w:val="18"/>
              </w:rPr>
              <w:t>1</w:t>
            </w:r>
            <w:r w:rsidR="00DE0972">
              <w:rPr>
                <w:rFonts w:cstheme="minorHAnsi"/>
                <w:sz w:val="18"/>
                <w:szCs w:val="18"/>
              </w:rPr>
              <w:t>1</w:t>
            </w:r>
            <w:r w:rsidRPr="008A2523">
              <w:rPr>
                <w:rFonts w:cstheme="minorHAnsi"/>
                <w:sz w:val="18"/>
                <w:szCs w:val="18"/>
              </w:rPr>
              <w:t xml:space="preserve"> </w:t>
            </w:r>
            <w:r w:rsidR="00A8477D" w:rsidRPr="008A2523">
              <w:rPr>
                <w:rFonts w:cstheme="minorHAnsi"/>
                <w:sz w:val="18"/>
                <w:szCs w:val="18"/>
              </w:rPr>
              <w:t>Number of functioning programmes and services provid</w:t>
            </w:r>
            <w:r w:rsidR="00B876C0">
              <w:rPr>
                <w:rFonts w:cstheme="minorHAnsi"/>
                <w:sz w:val="18"/>
                <w:szCs w:val="18"/>
              </w:rPr>
              <w:t>ing a</w:t>
            </w:r>
            <w:r w:rsidR="00A8477D" w:rsidRPr="008A2523">
              <w:rPr>
                <w:rFonts w:cstheme="minorHAnsi"/>
                <w:sz w:val="18"/>
                <w:szCs w:val="18"/>
              </w:rPr>
              <w:t xml:space="preserve"> broad range of person-centric support</w:t>
            </w:r>
            <w:r w:rsidR="00E04BFB" w:rsidRPr="008A2523">
              <w:rPr>
                <w:rFonts w:cstheme="minorHAnsi"/>
                <w:sz w:val="18"/>
                <w:szCs w:val="18"/>
              </w:rPr>
              <w:t xml:space="preserve"> </w:t>
            </w:r>
            <w:r w:rsidR="00B876C0">
              <w:rPr>
                <w:rFonts w:cstheme="minorHAnsi"/>
                <w:sz w:val="18"/>
                <w:szCs w:val="18"/>
              </w:rPr>
              <w:t xml:space="preserve">with disaggregated by </w:t>
            </w:r>
            <w:r w:rsidR="00B876C0" w:rsidRPr="00397A75">
              <w:rPr>
                <w:rFonts w:cstheme="minorHAnsi"/>
                <w:sz w:val="18"/>
                <w:szCs w:val="18"/>
              </w:rPr>
              <w:t xml:space="preserve">the type and intensity of support, </w:t>
            </w:r>
            <w:r w:rsidR="00B876C0">
              <w:rPr>
                <w:rFonts w:cstheme="minorHAnsi"/>
                <w:sz w:val="18"/>
                <w:szCs w:val="18"/>
              </w:rPr>
              <w:t xml:space="preserve">and number of beneficiaries disaggregated by sex, </w:t>
            </w:r>
            <w:r w:rsidR="00B876C0" w:rsidRPr="00397A75">
              <w:rPr>
                <w:rFonts w:cstheme="minorHAnsi"/>
                <w:sz w:val="18"/>
                <w:szCs w:val="18"/>
              </w:rPr>
              <w:t xml:space="preserve">age, </w:t>
            </w:r>
            <w:r w:rsidR="00B876C0">
              <w:rPr>
                <w:rFonts w:cstheme="minorHAnsi"/>
                <w:sz w:val="18"/>
                <w:szCs w:val="18"/>
              </w:rPr>
              <w:t>disability, place of residence</w:t>
            </w:r>
            <w:r w:rsidR="00B876C0">
              <w:rPr>
                <w:rStyle w:val="EndnoteReference"/>
                <w:rFonts w:cstheme="minorHAnsi"/>
                <w:sz w:val="18"/>
                <w:szCs w:val="18"/>
              </w:rPr>
              <w:endnoteReference w:id="14"/>
            </w:r>
            <w:r w:rsidR="00B876C0">
              <w:rPr>
                <w:rFonts w:cstheme="minorHAnsi"/>
                <w:sz w:val="18"/>
                <w:szCs w:val="18"/>
              </w:rPr>
              <w:t xml:space="preserve"> and geographic location</w:t>
            </w:r>
            <w:r w:rsidR="00474195">
              <w:rPr>
                <w:rFonts w:cstheme="minorHAnsi"/>
                <w:sz w:val="18"/>
                <w:szCs w:val="18"/>
              </w:rPr>
              <w:t>.</w:t>
            </w:r>
            <w:r w:rsidR="00E04BFB" w:rsidRPr="008A2523">
              <w:rPr>
                <w:rStyle w:val="EndnoteReference"/>
                <w:rFonts w:cstheme="minorHAnsi"/>
                <w:sz w:val="18"/>
                <w:szCs w:val="18"/>
              </w:rPr>
              <w:endnoteReference w:id="15"/>
            </w:r>
          </w:p>
          <w:p w14:paraId="2FF58BDF" w14:textId="638E0C61" w:rsidR="00007AE0" w:rsidRPr="008A2523" w:rsidRDefault="00007AE0" w:rsidP="00397A75">
            <w:pPr>
              <w:pStyle w:val="NoSpacing"/>
              <w:jc w:val="both"/>
              <w:rPr>
                <w:rFonts w:cstheme="minorHAnsi"/>
                <w:sz w:val="18"/>
                <w:szCs w:val="18"/>
              </w:rPr>
            </w:pPr>
            <w:r w:rsidRPr="008A2523">
              <w:rPr>
                <w:rFonts w:cstheme="minorHAnsi"/>
                <w:sz w:val="18"/>
                <w:szCs w:val="18"/>
              </w:rPr>
              <w:t>12.1</w:t>
            </w:r>
            <w:r w:rsidR="00DE0972">
              <w:rPr>
                <w:rFonts w:cstheme="minorHAnsi"/>
                <w:sz w:val="18"/>
                <w:szCs w:val="18"/>
              </w:rPr>
              <w:t>2</w:t>
            </w:r>
            <w:r w:rsidRPr="008A2523">
              <w:rPr>
                <w:rFonts w:cstheme="minorHAnsi"/>
                <w:sz w:val="18"/>
                <w:szCs w:val="18"/>
              </w:rPr>
              <w:t xml:space="preserve"> </w:t>
            </w:r>
            <w:r w:rsidR="00457D86">
              <w:rPr>
                <w:rFonts w:cstheme="minorHAnsi"/>
                <w:sz w:val="18"/>
                <w:szCs w:val="18"/>
              </w:rPr>
              <w:t>Number of persons trained</w:t>
            </w:r>
            <w:r w:rsidR="00A8477D" w:rsidRPr="008A2523">
              <w:rPr>
                <w:rFonts w:cstheme="minorHAnsi"/>
                <w:sz w:val="18"/>
                <w:szCs w:val="18"/>
              </w:rPr>
              <w:t xml:space="preserve"> to </w:t>
            </w:r>
            <w:r w:rsidR="00457D86">
              <w:rPr>
                <w:rFonts w:cstheme="minorHAnsi"/>
                <w:sz w:val="18"/>
                <w:szCs w:val="18"/>
              </w:rPr>
              <w:t xml:space="preserve">provide </w:t>
            </w:r>
            <w:r w:rsidR="00A509D7" w:rsidRPr="008A2523">
              <w:rPr>
                <w:rFonts w:cstheme="minorHAnsi"/>
                <w:sz w:val="18"/>
                <w:szCs w:val="18"/>
              </w:rPr>
              <w:t>support</w:t>
            </w:r>
            <w:r w:rsidR="00457D86">
              <w:rPr>
                <w:rFonts w:cstheme="minorHAnsi"/>
                <w:sz w:val="18"/>
                <w:szCs w:val="18"/>
              </w:rPr>
              <w:t xml:space="preserve"> in</w:t>
            </w:r>
            <w:r w:rsidR="00A509D7" w:rsidRPr="008A2523">
              <w:rPr>
                <w:rFonts w:cstheme="minorHAnsi"/>
                <w:sz w:val="18"/>
                <w:szCs w:val="18"/>
              </w:rPr>
              <w:t xml:space="preserve"> decision-making </w:t>
            </w:r>
            <w:r w:rsidR="00457D86">
              <w:rPr>
                <w:rFonts w:cstheme="minorHAnsi"/>
                <w:sz w:val="18"/>
                <w:szCs w:val="18"/>
              </w:rPr>
              <w:t xml:space="preserve">for persons with disabilities </w:t>
            </w:r>
            <w:r w:rsidR="00457D86" w:rsidRPr="00457D86">
              <w:rPr>
                <w:rFonts w:cstheme="minorHAnsi"/>
                <w:sz w:val="18"/>
                <w:szCs w:val="18"/>
              </w:rPr>
              <w:t>respect</w:t>
            </w:r>
            <w:r w:rsidR="00457D86">
              <w:rPr>
                <w:rFonts w:cstheme="minorHAnsi"/>
                <w:sz w:val="18"/>
                <w:szCs w:val="18"/>
              </w:rPr>
              <w:t>ing</w:t>
            </w:r>
            <w:r w:rsidR="00457D86" w:rsidRPr="00457D86">
              <w:rPr>
                <w:rFonts w:cstheme="minorHAnsi"/>
                <w:sz w:val="18"/>
                <w:szCs w:val="18"/>
              </w:rPr>
              <w:t xml:space="preserve"> the in</w:t>
            </w:r>
            <w:r w:rsidR="00457D86">
              <w:rPr>
                <w:rFonts w:cstheme="minorHAnsi"/>
                <w:sz w:val="18"/>
                <w:szCs w:val="18"/>
              </w:rPr>
              <w:t xml:space="preserve">dividual’s will and preferences, including on </w:t>
            </w:r>
            <w:r w:rsidR="00A8477D" w:rsidRPr="008A2523">
              <w:rPr>
                <w:rFonts w:cstheme="minorHAnsi"/>
                <w:sz w:val="18"/>
                <w:szCs w:val="18"/>
              </w:rPr>
              <w:t>advance planning</w:t>
            </w:r>
            <w:r w:rsidR="00ED5E5A" w:rsidRPr="008A2523">
              <w:rPr>
                <w:rFonts w:cstheme="minorHAnsi"/>
                <w:sz w:val="18"/>
                <w:szCs w:val="18"/>
              </w:rPr>
              <w:t>.</w:t>
            </w:r>
          </w:p>
          <w:p w14:paraId="290EB7FC" w14:textId="6087DE69" w:rsidR="00BC5617" w:rsidRDefault="00007AE0" w:rsidP="00397A75">
            <w:pPr>
              <w:pStyle w:val="NoSpacing"/>
              <w:jc w:val="both"/>
              <w:rPr>
                <w:rFonts w:cstheme="minorHAnsi"/>
                <w:sz w:val="18"/>
                <w:szCs w:val="18"/>
              </w:rPr>
            </w:pPr>
            <w:r w:rsidRPr="008A2523">
              <w:rPr>
                <w:rFonts w:cstheme="minorHAnsi"/>
                <w:sz w:val="18"/>
                <w:szCs w:val="18"/>
              </w:rPr>
              <w:t>12.1</w:t>
            </w:r>
            <w:r w:rsidR="00DE0972">
              <w:rPr>
                <w:rFonts w:cstheme="minorHAnsi"/>
                <w:sz w:val="18"/>
                <w:szCs w:val="18"/>
              </w:rPr>
              <w:t>3</w:t>
            </w:r>
            <w:r w:rsidRPr="008A2523">
              <w:rPr>
                <w:rFonts w:cstheme="minorHAnsi"/>
                <w:sz w:val="18"/>
                <w:szCs w:val="18"/>
              </w:rPr>
              <w:t xml:space="preserve"> </w:t>
            </w:r>
            <w:r w:rsidR="00392615" w:rsidRPr="008A2523">
              <w:rPr>
                <w:rFonts w:cstheme="minorHAnsi"/>
                <w:sz w:val="18"/>
                <w:szCs w:val="18"/>
              </w:rPr>
              <w:t xml:space="preserve">Number of persons having made advance </w:t>
            </w:r>
            <w:r w:rsidR="00754291" w:rsidRPr="008A2523">
              <w:rPr>
                <w:rFonts w:cstheme="minorHAnsi"/>
                <w:sz w:val="18"/>
                <w:szCs w:val="18"/>
              </w:rPr>
              <w:t xml:space="preserve">plans </w:t>
            </w:r>
            <w:r w:rsidR="00392615" w:rsidRPr="008A2523">
              <w:rPr>
                <w:rFonts w:cstheme="minorHAnsi"/>
                <w:sz w:val="18"/>
                <w:szCs w:val="18"/>
              </w:rPr>
              <w:t>in accordance wi</w:t>
            </w:r>
            <w:r w:rsidR="00DF1F2C" w:rsidRPr="008A2523">
              <w:rPr>
                <w:rFonts w:cstheme="minorHAnsi"/>
                <w:sz w:val="18"/>
                <w:szCs w:val="18"/>
              </w:rPr>
              <w:t xml:space="preserve">th their </w:t>
            </w:r>
            <w:r w:rsidR="00A509D7" w:rsidRPr="008A2523">
              <w:rPr>
                <w:rFonts w:cstheme="minorHAnsi"/>
                <w:sz w:val="18"/>
                <w:szCs w:val="18"/>
              </w:rPr>
              <w:t xml:space="preserve">will </w:t>
            </w:r>
            <w:r w:rsidR="00DF1F2C" w:rsidRPr="008A2523">
              <w:rPr>
                <w:rFonts w:cstheme="minorHAnsi"/>
                <w:sz w:val="18"/>
                <w:szCs w:val="18"/>
              </w:rPr>
              <w:t xml:space="preserve">and preferences, disaggregated by </w:t>
            </w:r>
            <w:r w:rsidR="0089521E">
              <w:rPr>
                <w:rFonts w:cstheme="minorHAnsi"/>
                <w:sz w:val="18"/>
                <w:szCs w:val="18"/>
              </w:rPr>
              <w:t xml:space="preserve">sex, </w:t>
            </w:r>
            <w:r w:rsidR="00DF1F2C" w:rsidRPr="008A2523">
              <w:rPr>
                <w:rFonts w:cstheme="minorHAnsi"/>
                <w:sz w:val="18"/>
                <w:szCs w:val="18"/>
              </w:rPr>
              <w:t xml:space="preserve">age, </w:t>
            </w:r>
            <w:r w:rsidR="0089521E">
              <w:rPr>
                <w:rFonts w:cstheme="minorHAnsi"/>
                <w:sz w:val="18"/>
                <w:szCs w:val="18"/>
              </w:rPr>
              <w:t>disability</w:t>
            </w:r>
            <w:r w:rsidR="00992DD6" w:rsidRPr="008A2523">
              <w:rPr>
                <w:rFonts w:cstheme="minorHAnsi"/>
                <w:sz w:val="18"/>
                <w:szCs w:val="18"/>
              </w:rPr>
              <w:t xml:space="preserve">, </w:t>
            </w:r>
            <w:r w:rsidR="004071AA">
              <w:rPr>
                <w:rFonts w:cstheme="minorHAnsi"/>
                <w:sz w:val="18"/>
                <w:szCs w:val="18"/>
              </w:rPr>
              <w:t xml:space="preserve">and </w:t>
            </w:r>
            <w:r w:rsidR="00992DD6" w:rsidRPr="008A2523">
              <w:rPr>
                <w:rFonts w:cstheme="minorHAnsi"/>
                <w:sz w:val="18"/>
                <w:szCs w:val="18"/>
              </w:rPr>
              <w:t>matters covered by the advance plan.</w:t>
            </w:r>
            <w:r w:rsidR="00437BDE">
              <w:rPr>
                <w:rStyle w:val="EndnoteReference"/>
                <w:rFonts w:cstheme="minorHAnsi"/>
                <w:sz w:val="18"/>
                <w:szCs w:val="18"/>
              </w:rPr>
              <w:endnoteReference w:id="16"/>
            </w:r>
          </w:p>
          <w:p w14:paraId="1DDC6887" w14:textId="038B341D" w:rsidR="00BC5617" w:rsidRPr="005C0DD7" w:rsidRDefault="003F701F" w:rsidP="00397A75">
            <w:pPr>
              <w:pStyle w:val="NoSpacing"/>
              <w:jc w:val="both"/>
              <w:rPr>
                <w:rFonts w:cstheme="minorHAnsi"/>
                <w:sz w:val="18"/>
                <w:szCs w:val="18"/>
              </w:rPr>
            </w:pPr>
            <w:r w:rsidRPr="002A2AF7">
              <w:rPr>
                <w:rFonts w:cstheme="minorHAnsi"/>
                <w:sz w:val="18"/>
                <w:szCs w:val="18"/>
              </w:rPr>
              <w:t>12.</w:t>
            </w:r>
            <w:r w:rsidR="006E1F4E">
              <w:rPr>
                <w:rFonts w:cstheme="minorHAnsi"/>
                <w:sz w:val="18"/>
                <w:szCs w:val="18"/>
              </w:rPr>
              <w:t>14</w:t>
            </w:r>
            <w:r w:rsidRPr="002A2AF7">
              <w:rPr>
                <w:rFonts w:cstheme="minorHAnsi"/>
                <w:sz w:val="18"/>
                <w:szCs w:val="18"/>
              </w:rPr>
              <w:t xml:space="preserve"> Existence of mechanisms and procedures for the monitoring of formal or informal su</w:t>
            </w:r>
            <w:r w:rsidR="002A2AF7" w:rsidRPr="002A2AF7">
              <w:rPr>
                <w:rFonts w:cstheme="minorHAnsi"/>
                <w:sz w:val="18"/>
                <w:szCs w:val="18"/>
              </w:rPr>
              <w:t xml:space="preserve">pport </w:t>
            </w:r>
            <w:r w:rsidR="006F7801" w:rsidRPr="002A2AF7">
              <w:rPr>
                <w:rFonts w:cstheme="minorHAnsi"/>
                <w:sz w:val="18"/>
                <w:szCs w:val="18"/>
              </w:rPr>
              <w:t>arrangements that</w:t>
            </w:r>
            <w:r w:rsidR="002A2AF7" w:rsidRPr="002A2AF7">
              <w:rPr>
                <w:rFonts w:cstheme="minorHAnsi"/>
                <w:sz w:val="18"/>
                <w:szCs w:val="18"/>
              </w:rPr>
              <w:t xml:space="preserve"> ensure</w:t>
            </w:r>
            <w:r w:rsidRPr="002A2AF7">
              <w:rPr>
                <w:rFonts w:cstheme="minorHAnsi"/>
                <w:sz w:val="18"/>
                <w:szCs w:val="18"/>
              </w:rPr>
              <w:t xml:space="preserve"> the participation of persons with disabilities, including thro</w:t>
            </w:r>
            <w:r w:rsidR="006021FE">
              <w:rPr>
                <w:rFonts w:cstheme="minorHAnsi"/>
                <w:sz w:val="18"/>
                <w:szCs w:val="18"/>
              </w:rPr>
              <w:t>ugh their representative organiz</w:t>
            </w:r>
            <w:r w:rsidRPr="002A2AF7">
              <w:rPr>
                <w:rFonts w:cstheme="minorHAnsi"/>
                <w:sz w:val="18"/>
                <w:szCs w:val="18"/>
              </w:rPr>
              <w:t>ations, in the monitoring process.</w:t>
            </w:r>
          </w:p>
        </w:tc>
      </w:tr>
      <w:tr w:rsidR="00FD7231" w:rsidRPr="008A2523" w14:paraId="5A8108F7" w14:textId="77777777" w:rsidTr="001A4CCD">
        <w:trPr>
          <w:trHeight w:val="488"/>
        </w:trPr>
        <w:tc>
          <w:tcPr>
            <w:tcW w:w="1170" w:type="dxa"/>
            <w:vMerge/>
          </w:tcPr>
          <w:p w14:paraId="757B462D" w14:textId="77777777" w:rsidR="00FD7231" w:rsidRPr="008A2523" w:rsidRDefault="00FD7231" w:rsidP="00397A75">
            <w:pPr>
              <w:spacing w:after="0" w:line="240" w:lineRule="auto"/>
              <w:jc w:val="both"/>
              <w:rPr>
                <w:rFonts w:cstheme="minorHAnsi"/>
                <w:b/>
                <w:sz w:val="18"/>
                <w:szCs w:val="18"/>
              </w:rPr>
            </w:pPr>
          </w:p>
        </w:tc>
        <w:tc>
          <w:tcPr>
            <w:tcW w:w="13500" w:type="dxa"/>
            <w:gridSpan w:val="3"/>
          </w:tcPr>
          <w:p w14:paraId="502E66D0" w14:textId="20D21686" w:rsidR="0026110C" w:rsidRPr="005C0DD7" w:rsidRDefault="006E1F4E" w:rsidP="00397A75">
            <w:pPr>
              <w:spacing w:after="0" w:line="240" w:lineRule="auto"/>
              <w:jc w:val="both"/>
              <w:rPr>
                <w:sz w:val="18"/>
                <w:szCs w:val="18"/>
              </w:rPr>
            </w:pPr>
            <w:r>
              <w:rPr>
                <w:rFonts w:cstheme="minorHAnsi"/>
                <w:sz w:val="18"/>
                <w:szCs w:val="18"/>
              </w:rPr>
              <w:t>12.15</w:t>
            </w:r>
            <w:r w:rsidR="00BC132A" w:rsidRPr="002A2AF7">
              <w:rPr>
                <w:rFonts w:cstheme="minorHAnsi"/>
                <w:sz w:val="18"/>
                <w:szCs w:val="18"/>
              </w:rPr>
              <w:t xml:space="preserve"> </w:t>
            </w:r>
            <w:r w:rsidR="00BC5617" w:rsidRPr="002A2AF7">
              <w:rPr>
                <w:rFonts w:cstheme="minorHAnsi"/>
                <w:sz w:val="18"/>
                <w:szCs w:val="18"/>
              </w:rPr>
              <w:t>Awareness raising campaign</w:t>
            </w:r>
            <w:r w:rsidR="00ED38BF">
              <w:rPr>
                <w:rFonts w:cstheme="minorHAnsi"/>
                <w:sz w:val="18"/>
                <w:szCs w:val="18"/>
              </w:rPr>
              <w:t>s</w:t>
            </w:r>
            <w:r w:rsidR="00BC5617" w:rsidRPr="002A2AF7">
              <w:rPr>
                <w:rFonts w:cstheme="minorHAnsi"/>
                <w:sz w:val="18"/>
                <w:szCs w:val="18"/>
              </w:rPr>
              <w:t xml:space="preserve"> and activities </w:t>
            </w:r>
            <w:r w:rsidR="008002C1" w:rsidRPr="002A2AF7">
              <w:rPr>
                <w:rFonts w:cstheme="minorHAnsi"/>
                <w:sz w:val="18"/>
                <w:szCs w:val="18"/>
              </w:rPr>
              <w:t>targeting</w:t>
            </w:r>
            <w:r w:rsidR="00ED38BF">
              <w:rPr>
                <w:rFonts w:cstheme="minorHAnsi"/>
                <w:sz w:val="18"/>
                <w:szCs w:val="18"/>
              </w:rPr>
              <w:t xml:space="preserve"> </w:t>
            </w:r>
            <w:r w:rsidR="008002C1" w:rsidRPr="002A2AF7">
              <w:rPr>
                <w:rFonts w:cstheme="minorHAnsi"/>
                <w:sz w:val="18"/>
                <w:szCs w:val="18"/>
              </w:rPr>
              <w:t xml:space="preserve"> </w:t>
            </w:r>
            <w:r w:rsidR="00BC132A" w:rsidRPr="002A2AF7">
              <w:rPr>
                <w:sz w:val="18"/>
                <w:szCs w:val="18"/>
              </w:rPr>
              <w:t>persons with disabilities</w:t>
            </w:r>
            <w:r w:rsidR="00182F24" w:rsidRPr="002A2AF7">
              <w:rPr>
                <w:sz w:val="18"/>
                <w:szCs w:val="18"/>
              </w:rPr>
              <w:t>,</w:t>
            </w:r>
            <w:r w:rsidR="0026110C" w:rsidRPr="002A2AF7">
              <w:rPr>
                <w:sz w:val="18"/>
                <w:szCs w:val="18"/>
              </w:rPr>
              <w:t xml:space="preserve"> notaries, </w:t>
            </w:r>
            <w:r w:rsidR="00ED38BF">
              <w:rPr>
                <w:sz w:val="18"/>
                <w:szCs w:val="18"/>
              </w:rPr>
              <w:t>judges and court staff</w:t>
            </w:r>
            <w:r w:rsidR="0026110C" w:rsidRPr="002A2AF7">
              <w:rPr>
                <w:sz w:val="18"/>
                <w:szCs w:val="18"/>
              </w:rPr>
              <w:t xml:space="preserve">, health care </w:t>
            </w:r>
            <w:r w:rsidR="002A2AF7" w:rsidRPr="002A2AF7">
              <w:rPr>
                <w:sz w:val="18"/>
                <w:szCs w:val="18"/>
              </w:rPr>
              <w:t>providers</w:t>
            </w:r>
            <w:r w:rsidR="0026110C" w:rsidRPr="002A2AF7">
              <w:rPr>
                <w:sz w:val="18"/>
                <w:szCs w:val="18"/>
              </w:rPr>
              <w:t>, financial service</w:t>
            </w:r>
            <w:r w:rsidR="00ED38BF">
              <w:rPr>
                <w:sz w:val="18"/>
                <w:szCs w:val="18"/>
              </w:rPr>
              <w:t xml:space="preserve"> providers</w:t>
            </w:r>
            <w:r w:rsidR="0026110C" w:rsidRPr="002A2AF7">
              <w:rPr>
                <w:sz w:val="18"/>
                <w:szCs w:val="18"/>
              </w:rPr>
              <w:t xml:space="preserve"> and other actors involved i</w:t>
            </w:r>
            <w:r w:rsidR="00182F24" w:rsidRPr="002A2AF7">
              <w:rPr>
                <w:sz w:val="18"/>
                <w:szCs w:val="18"/>
              </w:rPr>
              <w:t>n the exercise of legal capacity</w:t>
            </w:r>
            <w:r w:rsidR="0026110C" w:rsidRPr="002A2AF7">
              <w:rPr>
                <w:sz w:val="18"/>
                <w:szCs w:val="18"/>
              </w:rPr>
              <w:t xml:space="preserve"> </w:t>
            </w:r>
            <w:r w:rsidR="00182F24" w:rsidRPr="002A2AF7">
              <w:rPr>
                <w:sz w:val="18"/>
                <w:szCs w:val="18"/>
              </w:rPr>
              <w:t>(</w:t>
            </w:r>
            <w:r w:rsidR="0026110C" w:rsidRPr="002A2AF7">
              <w:rPr>
                <w:sz w:val="18"/>
                <w:szCs w:val="18"/>
              </w:rPr>
              <w:t xml:space="preserve">supporters, family members and communities) about </w:t>
            </w:r>
            <w:r w:rsidR="00D934EF" w:rsidRPr="002A2AF7">
              <w:rPr>
                <w:sz w:val="18"/>
                <w:szCs w:val="18"/>
              </w:rPr>
              <w:t xml:space="preserve">the right to </w:t>
            </w:r>
            <w:r w:rsidR="0026110C" w:rsidRPr="002A2AF7">
              <w:rPr>
                <w:sz w:val="18"/>
                <w:szCs w:val="18"/>
              </w:rPr>
              <w:t>legal capacity of persons with disabilities</w:t>
            </w:r>
            <w:r w:rsidR="005C0DD7" w:rsidRPr="002A2AF7">
              <w:rPr>
                <w:sz w:val="18"/>
                <w:szCs w:val="18"/>
              </w:rPr>
              <w:t xml:space="preserve"> and </w:t>
            </w:r>
            <w:r>
              <w:rPr>
                <w:sz w:val="18"/>
                <w:szCs w:val="18"/>
              </w:rPr>
              <w:t xml:space="preserve">right </w:t>
            </w:r>
            <w:r w:rsidR="005C0DD7" w:rsidRPr="002A2AF7">
              <w:rPr>
                <w:sz w:val="18"/>
                <w:szCs w:val="18"/>
              </w:rPr>
              <w:t xml:space="preserve">to request support for </w:t>
            </w:r>
            <w:r w:rsidR="00CE7B1E" w:rsidRPr="002A2AF7">
              <w:rPr>
                <w:sz w:val="18"/>
                <w:szCs w:val="18"/>
              </w:rPr>
              <w:t>decision-making</w:t>
            </w:r>
            <w:r w:rsidR="00D934EF" w:rsidRPr="002A2AF7">
              <w:rPr>
                <w:sz w:val="18"/>
                <w:szCs w:val="18"/>
              </w:rPr>
              <w:t>.</w:t>
            </w:r>
            <w:r w:rsidR="005C0DD7" w:rsidRPr="002A2AF7">
              <w:rPr>
                <w:rStyle w:val="EndnoteReference"/>
                <w:sz w:val="18"/>
                <w:szCs w:val="18"/>
              </w:rPr>
              <w:endnoteReference w:id="17"/>
            </w:r>
            <w:r w:rsidR="0026110C" w:rsidRPr="002A2AF7">
              <w:rPr>
                <w:sz w:val="18"/>
                <w:szCs w:val="18"/>
              </w:rPr>
              <w:t xml:space="preserve"> </w:t>
            </w:r>
          </w:p>
          <w:p w14:paraId="2B5B667D" w14:textId="49342673" w:rsidR="00457D86" w:rsidRPr="005C0DD7" w:rsidRDefault="00457D86" w:rsidP="00397A75">
            <w:pPr>
              <w:spacing w:after="0" w:line="240" w:lineRule="auto"/>
              <w:jc w:val="both"/>
              <w:rPr>
                <w:rFonts w:cstheme="minorHAnsi"/>
                <w:sz w:val="18"/>
                <w:szCs w:val="18"/>
              </w:rPr>
            </w:pPr>
            <w:r w:rsidRPr="005C0DD7">
              <w:rPr>
                <w:rFonts w:cstheme="minorHAnsi"/>
                <w:sz w:val="18"/>
                <w:szCs w:val="18"/>
              </w:rPr>
              <w:t>12.</w:t>
            </w:r>
            <w:r w:rsidR="006E1F4E">
              <w:rPr>
                <w:rFonts w:cstheme="minorHAnsi"/>
                <w:sz w:val="18"/>
                <w:szCs w:val="18"/>
              </w:rPr>
              <w:t>16</w:t>
            </w:r>
            <w:r w:rsidR="0092753B" w:rsidRPr="005C0DD7">
              <w:rPr>
                <w:rFonts w:cstheme="minorHAnsi"/>
                <w:sz w:val="18"/>
                <w:szCs w:val="18"/>
              </w:rPr>
              <w:t xml:space="preserve"> Number and proportion of judges, notaries and other legal professionals trained on the right to legal capacity of persons with disabilities and right to support for </w:t>
            </w:r>
            <w:r w:rsidR="00124295" w:rsidRPr="005C0DD7">
              <w:rPr>
                <w:rFonts w:cstheme="minorHAnsi"/>
                <w:sz w:val="18"/>
                <w:szCs w:val="18"/>
              </w:rPr>
              <w:t>decision-making</w:t>
            </w:r>
            <w:r w:rsidR="00E95E22">
              <w:rPr>
                <w:rFonts w:cstheme="minorHAnsi"/>
                <w:sz w:val="18"/>
                <w:szCs w:val="18"/>
              </w:rPr>
              <w:t>, disaggregated by profession</w:t>
            </w:r>
            <w:r w:rsidR="0092753B" w:rsidRPr="005C0DD7">
              <w:rPr>
                <w:rFonts w:cstheme="minorHAnsi"/>
                <w:sz w:val="18"/>
                <w:szCs w:val="18"/>
              </w:rPr>
              <w:t>.</w:t>
            </w:r>
          </w:p>
          <w:p w14:paraId="486465EF" w14:textId="3E4E4DD7" w:rsidR="0028493E" w:rsidRPr="005C0DD7" w:rsidRDefault="005644B3" w:rsidP="00397A75">
            <w:pPr>
              <w:spacing w:after="0" w:line="240" w:lineRule="auto"/>
              <w:jc w:val="both"/>
              <w:rPr>
                <w:rFonts w:cstheme="minorHAnsi"/>
                <w:sz w:val="18"/>
                <w:szCs w:val="18"/>
              </w:rPr>
            </w:pPr>
            <w:r w:rsidRPr="005C0DD7">
              <w:rPr>
                <w:rFonts w:cstheme="minorHAnsi"/>
                <w:sz w:val="18"/>
                <w:szCs w:val="18"/>
              </w:rPr>
              <w:t>12</w:t>
            </w:r>
            <w:r w:rsidR="006E1F4E">
              <w:rPr>
                <w:rFonts w:cstheme="minorHAnsi"/>
                <w:sz w:val="18"/>
                <w:szCs w:val="18"/>
              </w:rPr>
              <w:t>.17</w:t>
            </w:r>
            <w:r w:rsidR="00A533FD" w:rsidRPr="005C0DD7">
              <w:rPr>
                <w:rFonts w:cstheme="minorHAnsi"/>
                <w:sz w:val="18"/>
                <w:szCs w:val="18"/>
              </w:rPr>
              <w:t xml:space="preserve"> Consultation processes undertaken to ensure</w:t>
            </w:r>
            <w:r w:rsidR="00E95E22">
              <w:rPr>
                <w:rFonts w:cstheme="minorHAnsi"/>
                <w:sz w:val="18"/>
                <w:szCs w:val="18"/>
              </w:rPr>
              <w:t xml:space="preserve"> the</w:t>
            </w:r>
            <w:r w:rsidR="00A533FD" w:rsidRPr="005C0DD7">
              <w:rPr>
                <w:rFonts w:cstheme="minorHAnsi"/>
                <w:sz w:val="18"/>
                <w:szCs w:val="18"/>
              </w:rPr>
              <w:t xml:space="preserve"> active involvement of persons with disabilities, </w:t>
            </w:r>
            <w:r w:rsidR="00A533FD" w:rsidRPr="00437BDE">
              <w:rPr>
                <w:rFonts w:cstheme="minorHAnsi"/>
                <w:sz w:val="18"/>
                <w:szCs w:val="18"/>
              </w:rPr>
              <w:t>including</w:t>
            </w:r>
            <w:r w:rsidR="00A533FD" w:rsidRPr="005C0DD7">
              <w:rPr>
                <w:rFonts w:cstheme="minorHAnsi"/>
                <w:sz w:val="18"/>
                <w:szCs w:val="18"/>
              </w:rPr>
              <w:t xml:space="preserve"> through their</w:t>
            </w:r>
            <w:r w:rsidR="00E95E22">
              <w:rPr>
                <w:rFonts w:cstheme="minorHAnsi"/>
                <w:sz w:val="18"/>
                <w:szCs w:val="18"/>
              </w:rPr>
              <w:t xml:space="preserve"> representative</w:t>
            </w:r>
            <w:r w:rsidR="00A533FD" w:rsidRPr="005C0DD7">
              <w:rPr>
                <w:rFonts w:cstheme="minorHAnsi"/>
                <w:sz w:val="18"/>
                <w:szCs w:val="18"/>
              </w:rPr>
              <w:t xml:space="preserve"> organizations, in the design, implementation and monitoring of laws, regulations, policies and program</w:t>
            </w:r>
            <w:r w:rsidR="006021FE">
              <w:rPr>
                <w:rFonts w:cstheme="minorHAnsi"/>
                <w:sz w:val="18"/>
                <w:szCs w:val="18"/>
              </w:rPr>
              <w:t>me</w:t>
            </w:r>
            <w:r w:rsidR="00A533FD" w:rsidRPr="005C0DD7">
              <w:rPr>
                <w:rFonts w:cstheme="minorHAnsi"/>
                <w:sz w:val="18"/>
                <w:szCs w:val="18"/>
              </w:rPr>
              <w:t>s, related to equal recognition before the law, and supported decision making and safeguards for the exercise of legal capacity.</w:t>
            </w:r>
            <w:r w:rsidR="00A533FD" w:rsidRPr="005C0DD7">
              <w:rPr>
                <w:rStyle w:val="EndnoteReference"/>
                <w:rFonts w:cstheme="minorHAnsi"/>
                <w:sz w:val="18"/>
                <w:szCs w:val="18"/>
              </w:rPr>
              <w:endnoteReference w:id="18"/>
            </w:r>
          </w:p>
          <w:p w14:paraId="15403013" w14:textId="20AA8171" w:rsidR="00437BDE" w:rsidRPr="005C0DD7" w:rsidRDefault="005644B3" w:rsidP="00437BDE">
            <w:pPr>
              <w:spacing w:after="0" w:line="240" w:lineRule="auto"/>
              <w:jc w:val="both"/>
              <w:rPr>
                <w:rFonts w:cstheme="minorHAnsi"/>
                <w:sz w:val="18"/>
                <w:szCs w:val="18"/>
              </w:rPr>
            </w:pPr>
            <w:r w:rsidRPr="005C0DD7">
              <w:rPr>
                <w:rFonts w:cstheme="minorHAnsi"/>
                <w:sz w:val="18"/>
                <w:szCs w:val="18"/>
              </w:rPr>
              <w:t>12</w:t>
            </w:r>
            <w:r w:rsidR="006E1F4E">
              <w:rPr>
                <w:rFonts w:cstheme="minorHAnsi"/>
                <w:sz w:val="18"/>
                <w:szCs w:val="18"/>
              </w:rPr>
              <w:t>.18</w:t>
            </w:r>
            <w:r w:rsidR="0028493E" w:rsidRPr="005C0DD7">
              <w:rPr>
                <w:rFonts w:cstheme="minorHAnsi"/>
                <w:sz w:val="18"/>
                <w:szCs w:val="18"/>
              </w:rPr>
              <w:t xml:space="preserve"> </w:t>
            </w:r>
            <w:r w:rsidR="00437BDE" w:rsidRPr="004E036F">
              <w:rPr>
                <w:rFonts w:cstheme="minorHAnsi"/>
                <w:sz w:val="18"/>
                <w:szCs w:val="18"/>
              </w:rPr>
              <w:t xml:space="preserve">Proportion of received complaints </w:t>
            </w:r>
            <w:r w:rsidR="00437BDE" w:rsidRPr="00437BDE">
              <w:rPr>
                <w:rFonts w:cstheme="minorHAnsi"/>
                <w:sz w:val="18"/>
                <w:szCs w:val="18"/>
              </w:rPr>
              <w:t>alleging restrictions to the exercise of legal capacity, either in law or in practice, or other violations of Article 12 of the CRPD that</w:t>
            </w:r>
            <w:r w:rsidR="00437BDE" w:rsidRPr="004E036F">
              <w:rPr>
                <w:rFonts w:cstheme="minorHAnsi"/>
                <w:sz w:val="18"/>
                <w:szCs w:val="18"/>
              </w:rPr>
              <w:t xml:space="preserve"> have been investigated and adjudica</w:t>
            </w:r>
            <w:r w:rsidR="00437BDE">
              <w:rPr>
                <w:rFonts w:cstheme="minorHAnsi"/>
                <w:sz w:val="18"/>
                <w:szCs w:val="18"/>
              </w:rPr>
              <w:t xml:space="preserve">ted; proportion of those found </w:t>
            </w:r>
            <w:r w:rsidR="00437BDE" w:rsidRPr="004E036F">
              <w:rPr>
                <w:rFonts w:cstheme="minorHAnsi"/>
                <w:sz w:val="18"/>
                <w:szCs w:val="18"/>
              </w:rPr>
              <w:t>in favour of the complainant; and proportion of the latter that have been complied with by the government and/or duty bearer (</w:t>
            </w:r>
            <w:proofErr w:type="gramStart"/>
            <w:r w:rsidR="00437BDE" w:rsidRPr="004E036F">
              <w:rPr>
                <w:rFonts w:cstheme="minorHAnsi"/>
                <w:sz w:val="18"/>
                <w:szCs w:val="18"/>
              </w:rPr>
              <w:t>e.g.</w:t>
            </w:r>
            <w:proofErr w:type="gramEnd"/>
            <w:r w:rsidR="00437BDE" w:rsidRPr="004E036F">
              <w:rPr>
                <w:rFonts w:cstheme="minorHAnsi"/>
                <w:sz w:val="18"/>
                <w:szCs w:val="18"/>
              </w:rPr>
              <w:t xml:space="preserve"> private school); each disaggregated by kind of mechanism.</w:t>
            </w:r>
          </w:p>
        </w:tc>
      </w:tr>
      <w:tr w:rsidR="00DF1F2C" w:rsidRPr="008A2523" w14:paraId="71BE23C6" w14:textId="77777777" w:rsidTr="001A4CCD">
        <w:trPr>
          <w:trHeight w:val="840"/>
        </w:trPr>
        <w:tc>
          <w:tcPr>
            <w:tcW w:w="1170" w:type="dxa"/>
          </w:tcPr>
          <w:p w14:paraId="69EA90F4" w14:textId="2DB41FEA" w:rsidR="00DF1F2C" w:rsidRPr="008A2523" w:rsidRDefault="00E11797" w:rsidP="00397A75">
            <w:pPr>
              <w:spacing w:after="0" w:line="240" w:lineRule="auto"/>
              <w:jc w:val="both"/>
              <w:rPr>
                <w:rFonts w:cstheme="minorHAnsi"/>
                <w:b/>
                <w:sz w:val="18"/>
                <w:szCs w:val="18"/>
              </w:rPr>
            </w:pPr>
            <w:r>
              <w:rPr>
                <w:rFonts w:cstheme="minorHAnsi"/>
                <w:b/>
                <w:sz w:val="18"/>
                <w:szCs w:val="18"/>
              </w:rPr>
              <w:t>Outcome</w:t>
            </w:r>
          </w:p>
        </w:tc>
        <w:tc>
          <w:tcPr>
            <w:tcW w:w="13500" w:type="dxa"/>
            <w:gridSpan w:val="3"/>
          </w:tcPr>
          <w:p w14:paraId="176AC79F" w14:textId="3B73811E" w:rsidR="00007AE0" w:rsidRPr="005C0DD7" w:rsidRDefault="00007AE0" w:rsidP="00397A75">
            <w:pPr>
              <w:pStyle w:val="CommentText"/>
              <w:spacing w:after="0"/>
              <w:jc w:val="both"/>
              <w:rPr>
                <w:rFonts w:cstheme="minorHAnsi"/>
                <w:sz w:val="18"/>
                <w:szCs w:val="18"/>
              </w:rPr>
            </w:pPr>
            <w:r w:rsidRPr="005C0DD7">
              <w:rPr>
                <w:rFonts w:cstheme="minorHAnsi"/>
                <w:sz w:val="18"/>
                <w:szCs w:val="18"/>
              </w:rPr>
              <w:t>12.</w:t>
            </w:r>
            <w:r w:rsidR="006E1F4E">
              <w:rPr>
                <w:rFonts w:cstheme="minorHAnsi"/>
                <w:sz w:val="18"/>
                <w:szCs w:val="18"/>
              </w:rPr>
              <w:t>19</w:t>
            </w:r>
            <w:r w:rsidRPr="005C0DD7">
              <w:rPr>
                <w:rFonts w:cstheme="minorHAnsi"/>
                <w:sz w:val="18"/>
                <w:szCs w:val="18"/>
              </w:rPr>
              <w:t xml:space="preserve"> </w:t>
            </w:r>
            <w:r w:rsidR="007121C2" w:rsidRPr="005C0DD7">
              <w:rPr>
                <w:rFonts w:cstheme="minorHAnsi"/>
                <w:sz w:val="18"/>
                <w:szCs w:val="18"/>
              </w:rPr>
              <w:t>Number of persons with disabilities formally deprived of their legal capacity (either fully or partially),</w:t>
            </w:r>
            <w:r w:rsidR="007121C2" w:rsidRPr="005C0DD7">
              <w:rPr>
                <w:rStyle w:val="EndnoteReference"/>
                <w:rFonts w:cstheme="minorHAnsi"/>
                <w:sz w:val="18"/>
                <w:szCs w:val="18"/>
              </w:rPr>
              <w:endnoteReference w:id="19"/>
            </w:r>
            <w:r w:rsidR="007121C2" w:rsidRPr="005C0DD7">
              <w:rPr>
                <w:rFonts w:cstheme="minorHAnsi"/>
                <w:sz w:val="18"/>
                <w:szCs w:val="18"/>
              </w:rPr>
              <w:t xml:space="preserve"> disaggregated by </w:t>
            </w:r>
            <w:r w:rsidR="00E95E22">
              <w:rPr>
                <w:rFonts w:cstheme="minorHAnsi"/>
                <w:sz w:val="18"/>
                <w:szCs w:val="18"/>
              </w:rPr>
              <w:t xml:space="preserve">sex, </w:t>
            </w:r>
            <w:r w:rsidR="007121C2" w:rsidRPr="005C0DD7">
              <w:rPr>
                <w:rFonts w:cstheme="minorHAnsi"/>
                <w:sz w:val="18"/>
                <w:szCs w:val="18"/>
              </w:rPr>
              <w:t>age, and disability.</w:t>
            </w:r>
          </w:p>
          <w:p w14:paraId="4003A381" w14:textId="33A426DB" w:rsidR="007F776E" w:rsidRPr="005C0DD7" w:rsidRDefault="006E1F4E" w:rsidP="00397A75">
            <w:pPr>
              <w:spacing w:after="0" w:line="240" w:lineRule="auto"/>
              <w:jc w:val="both"/>
              <w:rPr>
                <w:rFonts w:cstheme="minorHAnsi"/>
                <w:sz w:val="18"/>
                <w:szCs w:val="18"/>
              </w:rPr>
            </w:pPr>
            <w:r>
              <w:rPr>
                <w:rFonts w:cstheme="minorHAnsi"/>
                <w:sz w:val="18"/>
                <w:szCs w:val="18"/>
              </w:rPr>
              <w:t>12.20</w:t>
            </w:r>
            <w:r w:rsidR="00007AE0" w:rsidRPr="005C0DD7">
              <w:rPr>
                <w:rFonts w:cstheme="minorHAnsi"/>
                <w:sz w:val="18"/>
                <w:szCs w:val="18"/>
              </w:rPr>
              <w:t xml:space="preserve"> </w:t>
            </w:r>
            <w:r w:rsidR="00DF1F2C" w:rsidRPr="005C0DD7">
              <w:rPr>
                <w:rFonts w:cstheme="minorHAnsi"/>
                <w:sz w:val="18"/>
                <w:szCs w:val="18"/>
              </w:rPr>
              <w:t xml:space="preserve">Number of </w:t>
            </w:r>
            <w:r w:rsidR="007F776E" w:rsidRPr="005C0DD7">
              <w:rPr>
                <w:rFonts w:cstheme="minorHAnsi"/>
                <w:sz w:val="18"/>
                <w:szCs w:val="18"/>
              </w:rPr>
              <w:t>persons with disabilities whose</w:t>
            </w:r>
            <w:r w:rsidR="00DF1F2C" w:rsidRPr="005C0DD7">
              <w:rPr>
                <w:rFonts w:cstheme="minorHAnsi"/>
                <w:sz w:val="18"/>
                <w:szCs w:val="18"/>
              </w:rPr>
              <w:t xml:space="preserve"> full legal capacity </w:t>
            </w:r>
            <w:r w:rsidR="007F776E" w:rsidRPr="005C0DD7">
              <w:rPr>
                <w:rFonts w:cstheme="minorHAnsi"/>
                <w:sz w:val="18"/>
                <w:szCs w:val="18"/>
              </w:rPr>
              <w:t>has been</w:t>
            </w:r>
            <w:r w:rsidR="00DF1F2C" w:rsidRPr="005C0DD7">
              <w:rPr>
                <w:rFonts w:cstheme="minorHAnsi"/>
                <w:sz w:val="18"/>
                <w:szCs w:val="18"/>
              </w:rPr>
              <w:t xml:space="preserve"> restored, disaggregated by </w:t>
            </w:r>
            <w:r w:rsidR="007F776E" w:rsidRPr="005C0DD7">
              <w:rPr>
                <w:rFonts w:cstheme="minorHAnsi"/>
                <w:sz w:val="18"/>
                <w:szCs w:val="18"/>
              </w:rPr>
              <w:t>sex</w:t>
            </w:r>
            <w:r w:rsidR="00E95E22">
              <w:rPr>
                <w:rFonts w:cstheme="minorHAnsi"/>
                <w:sz w:val="18"/>
                <w:szCs w:val="18"/>
              </w:rPr>
              <w:t>, age</w:t>
            </w:r>
            <w:r w:rsidR="007F776E" w:rsidRPr="005C0DD7">
              <w:rPr>
                <w:rFonts w:cstheme="minorHAnsi"/>
                <w:sz w:val="18"/>
                <w:szCs w:val="18"/>
              </w:rPr>
              <w:t xml:space="preserve"> and disability.</w:t>
            </w:r>
            <w:r w:rsidR="00690348" w:rsidRPr="005C0DD7">
              <w:rPr>
                <w:rFonts w:cstheme="minorHAnsi"/>
                <w:sz w:val="18"/>
                <w:szCs w:val="18"/>
              </w:rPr>
              <w:t xml:space="preserve"> </w:t>
            </w:r>
          </w:p>
          <w:p w14:paraId="6A2782F3" w14:textId="7D515F5D" w:rsidR="005644B3" w:rsidRDefault="006E1F4E" w:rsidP="00397A75">
            <w:pPr>
              <w:pStyle w:val="NoSpacing"/>
              <w:jc w:val="both"/>
              <w:rPr>
                <w:rFonts w:cstheme="minorHAnsi"/>
                <w:sz w:val="18"/>
                <w:szCs w:val="18"/>
              </w:rPr>
            </w:pPr>
            <w:r>
              <w:rPr>
                <w:rFonts w:cstheme="minorHAnsi"/>
                <w:sz w:val="18"/>
                <w:szCs w:val="18"/>
              </w:rPr>
              <w:t>12.21</w:t>
            </w:r>
            <w:r w:rsidR="00CA1BA3" w:rsidRPr="005C0DD7">
              <w:rPr>
                <w:rFonts w:cstheme="minorHAnsi"/>
                <w:sz w:val="18"/>
                <w:szCs w:val="18"/>
              </w:rPr>
              <w:t xml:space="preserve"> Number of persons </w:t>
            </w:r>
            <w:r w:rsidR="00DE22C3" w:rsidRPr="005C0DD7">
              <w:rPr>
                <w:rFonts w:cstheme="minorHAnsi"/>
                <w:sz w:val="18"/>
                <w:szCs w:val="18"/>
              </w:rPr>
              <w:t xml:space="preserve">who </w:t>
            </w:r>
            <w:r w:rsidR="00124295">
              <w:rPr>
                <w:rFonts w:cstheme="minorHAnsi"/>
                <w:sz w:val="18"/>
                <w:szCs w:val="18"/>
              </w:rPr>
              <w:t xml:space="preserve">formally </w:t>
            </w:r>
            <w:r w:rsidR="00A06035" w:rsidRPr="005C0DD7">
              <w:rPr>
                <w:rFonts w:cstheme="minorHAnsi"/>
                <w:sz w:val="18"/>
                <w:szCs w:val="18"/>
              </w:rPr>
              <w:t>requested</w:t>
            </w:r>
            <w:r w:rsidR="00DE22C3" w:rsidRPr="005C0DD7">
              <w:rPr>
                <w:rFonts w:cstheme="minorHAnsi"/>
                <w:sz w:val="18"/>
                <w:szCs w:val="18"/>
              </w:rPr>
              <w:t xml:space="preserve"> support for decision</w:t>
            </w:r>
            <w:r w:rsidR="00A06035" w:rsidRPr="005C0DD7">
              <w:rPr>
                <w:rFonts w:cstheme="minorHAnsi"/>
                <w:sz w:val="18"/>
                <w:szCs w:val="18"/>
              </w:rPr>
              <w:t>-</w:t>
            </w:r>
            <w:r w:rsidR="00DE22C3" w:rsidRPr="005C0DD7">
              <w:rPr>
                <w:rFonts w:cstheme="minorHAnsi"/>
                <w:sz w:val="18"/>
                <w:szCs w:val="18"/>
              </w:rPr>
              <w:t>making and</w:t>
            </w:r>
            <w:r w:rsidR="007121C2" w:rsidRPr="005C0DD7">
              <w:rPr>
                <w:rFonts w:cstheme="minorHAnsi"/>
                <w:sz w:val="18"/>
                <w:szCs w:val="18"/>
              </w:rPr>
              <w:t xml:space="preserve"> the </w:t>
            </w:r>
            <w:r w:rsidR="00DE22C3" w:rsidRPr="005C0DD7">
              <w:rPr>
                <w:rFonts w:cstheme="minorHAnsi"/>
                <w:sz w:val="18"/>
                <w:szCs w:val="18"/>
              </w:rPr>
              <w:t xml:space="preserve">proportion </w:t>
            </w:r>
            <w:r w:rsidR="00CA1BA3" w:rsidRPr="005C0DD7">
              <w:rPr>
                <w:rFonts w:cstheme="minorHAnsi"/>
                <w:sz w:val="18"/>
                <w:szCs w:val="18"/>
              </w:rPr>
              <w:t>who receive</w:t>
            </w:r>
            <w:r w:rsidR="00A06035" w:rsidRPr="005C0DD7">
              <w:rPr>
                <w:rFonts w:cstheme="minorHAnsi"/>
                <w:sz w:val="18"/>
                <w:szCs w:val="18"/>
              </w:rPr>
              <w:t>d</w:t>
            </w:r>
            <w:r w:rsidR="00CA1BA3" w:rsidRPr="005C0DD7">
              <w:rPr>
                <w:rFonts w:cstheme="minorHAnsi"/>
                <w:sz w:val="18"/>
                <w:szCs w:val="18"/>
              </w:rPr>
              <w:t xml:space="preserve"> it,</w:t>
            </w:r>
            <w:r w:rsidR="005644B3" w:rsidRPr="005C0DD7">
              <w:rPr>
                <w:rFonts w:cstheme="minorHAnsi"/>
                <w:sz w:val="18"/>
                <w:szCs w:val="18"/>
              </w:rPr>
              <w:t xml:space="preserve"> disaggregated by </w:t>
            </w:r>
            <w:r w:rsidR="00E95E22">
              <w:rPr>
                <w:rFonts w:cstheme="minorHAnsi"/>
                <w:sz w:val="18"/>
                <w:szCs w:val="18"/>
              </w:rPr>
              <w:t xml:space="preserve">sex, </w:t>
            </w:r>
            <w:r w:rsidR="00437BDE">
              <w:rPr>
                <w:rFonts w:cstheme="minorHAnsi"/>
                <w:sz w:val="18"/>
                <w:szCs w:val="18"/>
              </w:rPr>
              <w:t>age,</w:t>
            </w:r>
            <w:r w:rsidR="008A2523" w:rsidRPr="005C0DD7">
              <w:rPr>
                <w:rFonts w:cstheme="minorHAnsi"/>
                <w:sz w:val="18"/>
                <w:szCs w:val="18"/>
              </w:rPr>
              <w:t xml:space="preserve"> disability, </w:t>
            </w:r>
            <w:r w:rsidR="005644B3" w:rsidRPr="005C0DD7">
              <w:rPr>
                <w:rFonts w:cstheme="minorHAnsi"/>
                <w:sz w:val="18"/>
                <w:szCs w:val="18"/>
              </w:rPr>
              <w:t>and type/duration of support received.</w:t>
            </w:r>
          </w:p>
          <w:p w14:paraId="620908B1" w14:textId="35E71F71" w:rsidR="00C07F34" w:rsidRPr="00D36661" w:rsidRDefault="006A2687" w:rsidP="006443D4">
            <w:pPr>
              <w:pStyle w:val="NoSpacing"/>
              <w:jc w:val="both"/>
              <w:rPr>
                <w:rFonts w:cstheme="minorHAnsi"/>
                <w:sz w:val="18"/>
                <w:szCs w:val="18"/>
              </w:rPr>
            </w:pPr>
            <w:r>
              <w:rPr>
                <w:rFonts w:cstheme="minorHAnsi"/>
                <w:sz w:val="18"/>
                <w:szCs w:val="18"/>
              </w:rPr>
              <w:t>12.22 Number and proportion of persons with disabilities reporting that their requirements for supported decision-making have been met, disaggregated by sex, age, disa</w:t>
            </w:r>
            <w:r w:rsidR="006443D4">
              <w:rPr>
                <w:rFonts w:cstheme="minorHAnsi"/>
                <w:sz w:val="18"/>
                <w:szCs w:val="18"/>
              </w:rPr>
              <w:t>bility.</w:t>
            </w:r>
            <w:r>
              <w:rPr>
                <w:rFonts w:cstheme="minorHAnsi"/>
                <w:sz w:val="18"/>
                <w:szCs w:val="18"/>
              </w:rPr>
              <w:t xml:space="preserve"> </w:t>
            </w:r>
          </w:p>
        </w:tc>
      </w:tr>
    </w:tbl>
    <w:p w14:paraId="2C9775FF" w14:textId="77777777" w:rsidR="001A4CCD" w:rsidRDefault="001A4CCD" w:rsidP="006021FE">
      <w:pPr>
        <w:spacing w:after="0" w:line="240" w:lineRule="auto"/>
        <w:rPr>
          <w:rFonts w:cstheme="minorHAnsi"/>
          <w:b/>
          <w:sz w:val="18"/>
          <w:szCs w:val="18"/>
        </w:rPr>
      </w:pPr>
    </w:p>
    <w:p w14:paraId="440729A9" w14:textId="188A28AB" w:rsidR="00130758" w:rsidRPr="001A4CCD" w:rsidRDefault="00730333" w:rsidP="001A4CCD">
      <w:pPr>
        <w:pStyle w:val="Heading2"/>
      </w:pPr>
      <w:r w:rsidRPr="001A4CCD">
        <w:t>ANNEX</w:t>
      </w:r>
    </w:p>
    <w:p w14:paraId="6DEDA94D" w14:textId="70F1A089" w:rsidR="00130758" w:rsidRDefault="00130758" w:rsidP="00C45B8E">
      <w:pPr>
        <w:spacing w:after="0" w:line="240" w:lineRule="auto"/>
        <w:jc w:val="both"/>
        <w:rPr>
          <w:rFonts w:cstheme="minorHAnsi"/>
          <w:sz w:val="18"/>
          <w:szCs w:val="18"/>
        </w:rPr>
      </w:pPr>
      <w:r w:rsidRPr="00437BDE">
        <w:rPr>
          <w:rFonts w:cstheme="minorHAnsi"/>
          <w:sz w:val="18"/>
          <w:szCs w:val="18"/>
        </w:rPr>
        <w:t xml:space="preserve">*Universal legal capacity encompasses the </w:t>
      </w:r>
      <w:r w:rsidRPr="00397A75">
        <w:rPr>
          <w:rFonts w:cstheme="minorHAnsi"/>
          <w:sz w:val="18"/>
          <w:szCs w:val="18"/>
        </w:rPr>
        <w:t xml:space="preserve">enjoyment </w:t>
      </w:r>
      <w:r w:rsidRPr="00397A75">
        <w:rPr>
          <w:rFonts w:cstheme="minorHAnsi"/>
          <w:i/>
          <w:sz w:val="18"/>
          <w:szCs w:val="18"/>
        </w:rPr>
        <w:t>and</w:t>
      </w:r>
      <w:r w:rsidRPr="00397A75">
        <w:rPr>
          <w:rFonts w:cstheme="minorHAnsi"/>
          <w:sz w:val="18"/>
          <w:szCs w:val="18"/>
        </w:rPr>
        <w:t xml:space="preserve"> exercise of legal capacity on an equal basis with others</w:t>
      </w:r>
      <w:r>
        <w:rPr>
          <w:rFonts w:cstheme="minorHAnsi"/>
          <w:sz w:val="18"/>
          <w:szCs w:val="18"/>
        </w:rPr>
        <w:t>.</w:t>
      </w:r>
      <w:r w:rsidR="005F5533">
        <w:rPr>
          <w:rFonts w:cstheme="minorHAnsi"/>
          <w:sz w:val="18"/>
          <w:szCs w:val="18"/>
        </w:rPr>
        <w:t xml:space="preserve"> See</w:t>
      </w:r>
      <w:r w:rsidR="005F5533" w:rsidRPr="005F5533">
        <w:t xml:space="preserve"> </w:t>
      </w:r>
      <w:hyperlink r:id="rId8" w:history="1">
        <w:r w:rsidR="00C45B8E" w:rsidRPr="003A2233">
          <w:rPr>
            <w:rStyle w:val="Hyperlink"/>
            <w:sz w:val="18"/>
            <w:szCs w:val="18"/>
          </w:rPr>
          <w:t>CRPD Committee’s General Comment no</w:t>
        </w:r>
        <w:r w:rsidR="006021FE" w:rsidRPr="003A2233">
          <w:rPr>
            <w:rStyle w:val="Hyperlink"/>
            <w:sz w:val="18"/>
            <w:szCs w:val="18"/>
          </w:rPr>
          <w:t>.</w:t>
        </w:r>
        <w:r w:rsidR="00C45B8E" w:rsidRPr="003A2233">
          <w:rPr>
            <w:rStyle w:val="Hyperlink"/>
            <w:sz w:val="18"/>
            <w:szCs w:val="18"/>
          </w:rPr>
          <w:t xml:space="preserve"> 1</w:t>
        </w:r>
      </w:hyperlink>
      <w:r w:rsidR="00C45B8E">
        <w:rPr>
          <w:sz w:val="18"/>
          <w:szCs w:val="18"/>
        </w:rPr>
        <w:t xml:space="preserve">, </w:t>
      </w:r>
      <w:r w:rsidR="00C45B8E">
        <w:rPr>
          <w:rFonts w:cstheme="minorHAnsi"/>
          <w:sz w:val="18"/>
          <w:szCs w:val="18"/>
        </w:rPr>
        <w:t>r</w:t>
      </w:r>
      <w:r w:rsidR="005F5533" w:rsidRPr="005F5533">
        <w:rPr>
          <w:rFonts w:cstheme="minorHAnsi"/>
          <w:sz w:val="18"/>
          <w:szCs w:val="18"/>
        </w:rPr>
        <w:t>eport of the Special Rapporteur on the rights of persons with disabilities</w:t>
      </w:r>
      <w:r w:rsidR="005F5533">
        <w:rPr>
          <w:rFonts w:cstheme="minorHAnsi"/>
          <w:sz w:val="18"/>
          <w:szCs w:val="18"/>
        </w:rPr>
        <w:t xml:space="preserve">, </w:t>
      </w:r>
      <w:hyperlink r:id="rId9" w:history="1">
        <w:r w:rsidR="005F5533" w:rsidRPr="005C12FF">
          <w:rPr>
            <w:rStyle w:val="Hyperlink"/>
            <w:rFonts w:cstheme="minorHAnsi"/>
            <w:sz w:val="18"/>
            <w:szCs w:val="18"/>
          </w:rPr>
          <w:t>A/HRC/37/56</w:t>
        </w:r>
      </w:hyperlink>
      <w:r w:rsidR="005F5533">
        <w:rPr>
          <w:rFonts w:cstheme="minorHAnsi"/>
          <w:sz w:val="18"/>
          <w:szCs w:val="18"/>
        </w:rPr>
        <w:t xml:space="preserve">, paras. 13-22.  </w:t>
      </w:r>
    </w:p>
    <w:p w14:paraId="4D0345F4" w14:textId="4617A2FB" w:rsidR="00DC39D7" w:rsidRPr="00437BDE" w:rsidRDefault="00DC39D7" w:rsidP="00C45B8E">
      <w:pPr>
        <w:spacing w:after="0" w:line="240" w:lineRule="auto"/>
        <w:jc w:val="both"/>
        <w:rPr>
          <w:rFonts w:cstheme="minorHAnsi"/>
          <w:sz w:val="18"/>
          <w:szCs w:val="18"/>
        </w:rPr>
      </w:pPr>
      <w:r>
        <w:rPr>
          <w:rFonts w:cstheme="minorHAnsi"/>
          <w:sz w:val="18"/>
          <w:szCs w:val="18"/>
        </w:rPr>
        <w:t>**</w:t>
      </w:r>
      <w:r w:rsidRPr="00397A75">
        <w:rPr>
          <w:sz w:val="18"/>
          <w:szCs w:val="18"/>
        </w:rPr>
        <w:t xml:space="preserve">“Support” is a broad term  that  encompasses  both  informal  and  formal  support  arrangements,  of  varying  types  and  intensity. </w:t>
      </w:r>
      <w:r w:rsidRPr="00397A75">
        <w:rPr>
          <w:rFonts w:cstheme="minorHAnsi"/>
          <w:sz w:val="18"/>
          <w:szCs w:val="18"/>
        </w:rPr>
        <w:t xml:space="preserve">It should encompass a range of measures which respond to different situations and the choices of different individuals. One individual may choose to make use of several different support arrangements which work in complementarity. Support arrangements may consist of </w:t>
      </w:r>
      <w:r w:rsidRPr="00397A75">
        <w:rPr>
          <w:rFonts w:cstheme="minorHAnsi"/>
          <w:sz w:val="18"/>
          <w:szCs w:val="18"/>
        </w:rPr>
        <w:lastRenderedPageBreak/>
        <w:t>choosing one or more trusted support persons to assist in the exercise of legal capacity for certain types of decisions (e.g. peer support, self-advocacy support); it may include measures relating to universal design and accessibility to enable persons with disabilities to perform legal acts or conduct social transactions; it may involve advance planning (e.g. advance directive); it may constitute the development and recognition of diverse non-conventional methods of communication, including non-verbal forms and that they are made available in the languages/forms best understood by them.</w:t>
      </w:r>
      <w:r w:rsidRPr="00397A75">
        <w:rPr>
          <w:rFonts w:eastAsia="Times New Roman" w:cstheme="minorHAnsi"/>
          <w:sz w:val="18"/>
          <w:szCs w:val="18"/>
          <w:lang w:eastAsia="en-GB"/>
        </w:rPr>
        <w:t xml:space="preserve"> </w:t>
      </w:r>
      <w:r w:rsidRPr="00397A75">
        <w:rPr>
          <w:sz w:val="18"/>
          <w:szCs w:val="18"/>
        </w:rPr>
        <w:t xml:space="preserve">See CRPD Committee’s </w:t>
      </w:r>
      <w:hyperlink r:id="rId10" w:history="1">
        <w:r w:rsidRPr="005C12FF">
          <w:rPr>
            <w:rStyle w:val="Hyperlink"/>
            <w:sz w:val="18"/>
            <w:szCs w:val="18"/>
          </w:rPr>
          <w:t>General Comment no</w:t>
        </w:r>
        <w:r w:rsidR="006021FE" w:rsidRPr="005C12FF">
          <w:rPr>
            <w:rStyle w:val="Hyperlink"/>
            <w:sz w:val="18"/>
            <w:szCs w:val="18"/>
          </w:rPr>
          <w:t>.</w:t>
        </w:r>
        <w:r w:rsidRPr="005C12FF">
          <w:rPr>
            <w:rStyle w:val="Hyperlink"/>
            <w:sz w:val="18"/>
            <w:szCs w:val="18"/>
          </w:rPr>
          <w:t xml:space="preserve"> 1</w:t>
        </w:r>
      </w:hyperlink>
      <w:r w:rsidR="00C45B8E">
        <w:rPr>
          <w:sz w:val="18"/>
          <w:szCs w:val="18"/>
        </w:rPr>
        <w:t xml:space="preserve">, </w:t>
      </w:r>
      <w:r w:rsidR="005F5533">
        <w:rPr>
          <w:sz w:val="18"/>
          <w:szCs w:val="18"/>
        </w:rPr>
        <w:t xml:space="preserve">and </w:t>
      </w:r>
      <w:r w:rsidR="00C45B8E">
        <w:rPr>
          <w:rFonts w:cstheme="minorHAnsi"/>
          <w:sz w:val="18"/>
          <w:szCs w:val="18"/>
        </w:rPr>
        <w:t>r</w:t>
      </w:r>
      <w:r w:rsidR="005F5533" w:rsidRPr="005F5533">
        <w:rPr>
          <w:rFonts w:cstheme="minorHAnsi"/>
          <w:sz w:val="18"/>
          <w:szCs w:val="18"/>
        </w:rPr>
        <w:t>eport of the Special Rapporteur on the rights of persons with disabilities</w:t>
      </w:r>
      <w:r w:rsidR="005F5533">
        <w:rPr>
          <w:rFonts w:cstheme="minorHAnsi"/>
          <w:sz w:val="18"/>
          <w:szCs w:val="18"/>
        </w:rPr>
        <w:t xml:space="preserve">, </w:t>
      </w:r>
      <w:hyperlink r:id="rId11" w:history="1">
        <w:r w:rsidR="005F5533" w:rsidRPr="00F368F9">
          <w:rPr>
            <w:rStyle w:val="Hyperlink"/>
            <w:rFonts w:cstheme="minorHAnsi"/>
            <w:sz w:val="18"/>
            <w:szCs w:val="18"/>
          </w:rPr>
          <w:t>A/HRC/34/58</w:t>
        </w:r>
      </w:hyperlink>
      <w:r w:rsidR="005F5533">
        <w:rPr>
          <w:rFonts w:cstheme="minorHAnsi"/>
          <w:sz w:val="18"/>
          <w:szCs w:val="18"/>
        </w:rPr>
        <w:t>.</w:t>
      </w:r>
    </w:p>
    <w:sectPr w:rsidR="00DC39D7" w:rsidRPr="00437BDE" w:rsidSect="009F07E0">
      <w:headerReference w:type="default" r:id="rId12"/>
      <w:footerReference w:type="default" r:id="rId13"/>
      <w:pgSz w:w="15840" w:h="12240" w:orient="landscape"/>
      <w:pgMar w:top="113" w:right="284" w:bottom="113"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52079" w14:textId="77777777" w:rsidR="005C34AD" w:rsidRDefault="005C34AD" w:rsidP="00AE40EE">
      <w:pPr>
        <w:spacing w:after="0" w:line="240" w:lineRule="auto"/>
      </w:pPr>
      <w:r>
        <w:separator/>
      </w:r>
    </w:p>
  </w:endnote>
  <w:endnote w:type="continuationSeparator" w:id="0">
    <w:p w14:paraId="22AA8154" w14:textId="77777777" w:rsidR="005C34AD" w:rsidRDefault="005C34AD" w:rsidP="00AE40EE">
      <w:pPr>
        <w:spacing w:after="0" w:line="240" w:lineRule="auto"/>
      </w:pPr>
      <w:r>
        <w:continuationSeparator/>
      </w:r>
    </w:p>
  </w:endnote>
  <w:endnote w:id="1">
    <w:p w14:paraId="208BFD9A" w14:textId="41737EF9" w:rsidR="00AE40EE" w:rsidRPr="00124295" w:rsidRDefault="00AE40EE" w:rsidP="005C0DD7">
      <w:pPr>
        <w:pStyle w:val="EndnoteText"/>
        <w:jc w:val="both"/>
        <w:rPr>
          <w:sz w:val="18"/>
          <w:szCs w:val="18"/>
        </w:rPr>
      </w:pPr>
      <w:r w:rsidRPr="00124295">
        <w:rPr>
          <w:rStyle w:val="EndnoteReference"/>
          <w:sz w:val="18"/>
          <w:szCs w:val="18"/>
        </w:rPr>
        <w:endnoteRef/>
      </w:r>
      <w:r w:rsidRPr="00124295">
        <w:rPr>
          <w:sz w:val="18"/>
          <w:szCs w:val="18"/>
        </w:rPr>
        <w:t xml:space="preserve"> </w:t>
      </w:r>
      <w:r w:rsidRPr="00124295">
        <w:rPr>
          <w:rFonts w:cstheme="minorHAnsi"/>
          <w:sz w:val="18"/>
          <w:szCs w:val="18"/>
        </w:rPr>
        <w:t>including those made on the assessment of mental capacity skills</w:t>
      </w:r>
      <w:r w:rsidR="00ED5E5A" w:rsidRPr="00124295">
        <w:rPr>
          <w:rFonts w:cstheme="minorHAnsi"/>
          <w:sz w:val="18"/>
          <w:szCs w:val="18"/>
        </w:rPr>
        <w:t>.</w:t>
      </w:r>
    </w:p>
  </w:endnote>
  <w:endnote w:id="2">
    <w:p w14:paraId="03076A46" w14:textId="36040648" w:rsidR="008E6798" w:rsidRPr="00124295" w:rsidRDefault="008E6798" w:rsidP="005C0DD7">
      <w:pPr>
        <w:pStyle w:val="EndnoteText"/>
        <w:jc w:val="both"/>
        <w:rPr>
          <w:sz w:val="18"/>
          <w:szCs w:val="18"/>
        </w:rPr>
      </w:pPr>
      <w:r w:rsidRPr="00124295">
        <w:rPr>
          <w:rStyle w:val="EndnoteReference"/>
          <w:sz w:val="18"/>
          <w:szCs w:val="18"/>
        </w:rPr>
        <w:endnoteRef/>
      </w:r>
      <w:r w:rsidRPr="00124295">
        <w:rPr>
          <w:sz w:val="18"/>
          <w:szCs w:val="18"/>
        </w:rPr>
        <w:t xml:space="preserve"> Including </w:t>
      </w:r>
      <w:r w:rsidR="003A7EF8" w:rsidRPr="00124295">
        <w:rPr>
          <w:sz w:val="18"/>
          <w:szCs w:val="18"/>
        </w:rPr>
        <w:t>in situations</w:t>
      </w:r>
      <w:r w:rsidR="00FD2237" w:rsidRPr="00124295">
        <w:rPr>
          <w:sz w:val="18"/>
          <w:szCs w:val="18"/>
        </w:rPr>
        <w:t xml:space="preserve"> of mental distress</w:t>
      </w:r>
      <w:r w:rsidRPr="00124295">
        <w:rPr>
          <w:sz w:val="18"/>
          <w:szCs w:val="18"/>
        </w:rPr>
        <w:t>.</w:t>
      </w:r>
    </w:p>
  </w:endnote>
  <w:endnote w:id="3">
    <w:p w14:paraId="0B82D41B" w14:textId="4013C32A" w:rsidR="00AE40EE" w:rsidRPr="00124295" w:rsidRDefault="00AE40EE" w:rsidP="005C0DD7">
      <w:pPr>
        <w:pStyle w:val="EndnoteText"/>
        <w:jc w:val="both"/>
        <w:rPr>
          <w:sz w:val="18"/>
          <w:szCs w:val="18"/>
        </w:rPr>
      </w:pPr>
      <w:r w:rsidRPr="00124295">
        <w:rPr>
          <w:rStyle w:val="EndnoteReference"/>
          <w:sz w:val="18"/>
          <w:szCs w:val="18"/>
        </w:rPr>
        <w:endnoteRef/>
      </w:r>
      <w:r w:rsidRPr="00124295">
        <w:rPr>
          <w:sz w:val="18"/>
          <w:szCs w:val="18"/>
        </w:rPr>
        <w:t xml:space="preserve"> </w:t>
      </w:r>
      <w:r w:rsidR="004B24CC" w:rsidRPr="00124295">
        <w:rPr>
          <w:rFonts w:cstheme="minorHAnsi"/>
          <w:sz w:val="18"/>
          <w:szCs w:val="18"/>
        </w:rPr>
        <w:t>I</w:t>
      </w:r>
      <w:r w:rsidRPr="00124295">
        <w:rPr>
          <w:rFonts w:cstheme="minorHAnsi"/>
          <w:sz w:val="18"/>
          <w:szCs w:val="18"/>
        </w:rPr>
        <w:t>ncluding plenary or partial guardianship, judicial interdiction, curatorship, conservatorship and other</w:t>
      </w:r>
      <w:r w:rsidR="004B24CC" w:rsidRPr="00124295">
        <w:rPr>
          <w:rFonts w:cstheme="minorHAnsi"/>
          <w:sz w:val="18"/>
          <w:szCs w:val="18"/>
        </w:rPr>
        <w:t xml:space="preserve"> substitute decision-making regimes</w:t>
      </w:r>
      <w:r w:rsidR="00ED5E5A" w:rsidRPr="00124295">
        <w:rPr>
          <w:rFonts w:cstheme="minorHAnsi"/>
          <w:sz w:val="18"/>
          <w:szCs w:val="18"/>
        </w:rPr>
        <w:t>.</w:t>
      </w:r>
    </w:p>
  </w:endnote>
  <w:endnote w:id="4">
    <w:p w14:paraId="4DBD2AAC" w14:textId="5CC1B322" w:rsidR="0095048A" w:rsidRPr="00124295" w:rsidRDefault="00BE17BD" w:rsidP="005C0DD7">
      <w:pPr>
        <w:pStyle w:val="EndnoteText"/>
        <w:jc w:val="both"/>
        <w:rPr>
          <w:sz w:val="18"/>
          <w:szCs w:val="18"/>
        </w:rPr>
      </w:pPr>
      <w:r w:rsidRPr="00124295">
        <w:rPr>
          <w:rStyle w:val="EndnoteReference"/>
          <w:sz w:val="18"/>
          <w:szCs w:val="18"/>
        </w:rPr>
        <w:endnoteRef/>
      </w:r>
      <w:r w:rsidRPr="00124295">
        <w:rPr>
          <w:sz w:val="18"/>
          <w:szCs w:val="18"/>
        </w:rPr>
        <w:t xml:space="preserve"> </w:t>
      </w:r>
      <w:r w:rsidR="00C45B8E" w:rsidRPr="00124295">
        <w:rPr>
          <w:rFonts w:cstheme="minorHAnsi"/>
          <w:sz w:val="18"/>
          <w:szCs w:val="18"/>
        </w:rPr>
        <w:t>including: the right to marry, to family, to exercise parental rights, sexual and reproductive health and rights, right to vote, stand for election and hold public office, to give/withdraw informed consent in healthcare and rehabilitation services, to access justice, to enter into a contract, to own or inherit property, to control their own financial affairs including having equal access to bank loans, mortgages and other forms of financial credit</w:t>
      </w:r>
      <w:r w:rsidR="00C45B8E">
        <w:rPr>
          <w:sz w:val="18"/>
          <w:szCs w:val="18"/>
        </w:rPr>
        <w:t>,</w:t>
      </w:r>
      <w:r w:rsidR="0095048A" w:rsidRPr="00124295">
        <w:rPr>
          <w:sz w:val="18"/>
          <w:szCs w:val="18"/>
        </w:rPr>
        <w:t xml:space="preserve"> </w:t>
      </w:r>
      <w:r w:rsidR="008D0AB1" w:rsidRPr="00124295">
        <w:rPr>
          <w:sz w:val="18"/>
          <w:szCs w:val="18"/>
        </w:rPr>
        <w:t xml:space="preserve">for example </w:t>
      </w:r>
      <w:r w:rsidR="0095048A" w:rsidRPr="00124295">
        <w:rPr>
          <w:sz w:val="18"/>
          <w:szCs w:val="18"/>
        </w:rPr>
        <w:t>through :</w:t>
      </w:r>
    </w:p>
    <w:p w14:paraId="78D59C73" w14:textId="533B2256" w:rsidR="0095048A" w:rsidRPr="00124295" w:rsidRDefault="0095048A" w:rsidP="005C0DD7">
      <w:pPr>
        <w:pStyle w:val="EndnoteText"/>
        <w:jc w:val="both"/>
        <w:rPr>
          <w:rFonts w:cstheme="minorHAnsi"/>
          <w:sz w:val="18"/>
          <w:szCs w:val="18"/>
        </w:rPr>
      </w:pPr>
      <w:r w:rsidRPr="00124295">
        <w:rPr>
          <w:sz w:val="18"/>
          <w:szCs w:val="18"/>
        </w:rPr>
        <w:t xml:space="preserve">- </w:t>
      </w:r>
      <w:r w:rsidRPr="00124295">
        <w:rPr>
          <w:rFonts w:cstheme="minorHAnsi"/>
          <w:sz w:val="18"/>
          <w:szCs w:val="18"/>
        </w:rPr>
        <w:t>establishing exceptions to the full enjoyment</w:t>
      </w:r>
      <w:r w:rsidR="008D0AB1" w:rsidRPr="00124295">
        <w:rPr>
          <w:rFonts w:cstheme="minorHAnsi"/>
          <w:sz w:val="18"/>
          <w:szCs w:val="18"/>
        </w:rPr>
        <w:t xml:space="preserve"> and exercise</w:t>
      </w:r>
      <w:r w:rsidRPr="00124295">
        <w:rPr>
          <w:rFonts w:cstheme="minorHAnsi"/>
          <w:sz w:val="18"/>
          <w:szCs w:val="18"/>
        </w:rPr>
        <w:t xml:space="preserve"> of </w:t>
      </w:r>
      <w:r w:rsidR="008D0AB1" w:rsidRPr="00124295">
        <w:rPr>
          <w:rFonts w:cstheme="minorHAnsi"/>
          <w:sz w:val="18"/>
          <w:szCs w:val="18"/>
        </w:rPr>
        <w:t>legal capacity or specific r</w:t>
      </w:r>
      <w:r w:rsidRPr="00124295">
        <w:rPr>
          <w:rFonts w:cstheme="minorHAnsi"/>
          <w:sz w:val="18"/>
          <w:szCs w:val="18"/>
        </w:rPr>
        <w:t>ight</w:t>
      </w:r>
      <w:r w:rsidR="008D0AB1" w:rsidRPr="00124295">
        <w:rPr>
          <w:rFonts w:cstheme="minorHAnsi"/>
          <w:sz w:val="18"/>
          <w:szCs w:val="18"/>
        </w:rPr>
        <w:t>(s)</w:t>
      </w:r>
      <w:r w:rsidRPr="00124295">
        <w:rPr>
          <w:rFonts w:cstheme="minorHAnsi"/>
          <w:sz w:val="18"/>
          <w:szCs w:val="18"/>
        </w:rPr>
        <w:t xml:space="preserve"> </w:t>
      </w:r>
      <w:r w:rsidR="008D0AB1" w:rsidRPr="00124295">
        <w:rPr>
          <w:rFonts w:cstheme="minorHAnsi"/>
          <w:sz w:val="18"/>
          <w:szCs w:val="18"/>
        </w:rPr>
        <w:t>for</w:t>
      </w:r>
      <w:r w:rsidR="00C45B8E">
        <w:rPr>
          <w:rFonts w:cstheme="minorHAnsi"/>
          <w:sz w:val="18"/>
          <w:szCs w:val="18"/>
        </w:rPr>
        <w:t xml:space="preserve"> persons with disabilities; and/or</w:t>
      </w:r>
    </w:p>
    <w:p w14:paraId="3188FD2A" w14:textId="4335BCA1" w:rsidR="0095048A" w:rsidRPr="00124295" w:rsidRDefault="0095048A" w:rsidP="005C0DD7">
      <w:pPr>
        <w:pStyle w:val="EndnoteText"/>
        <w:jc w:val="both"/>
        <w:rPr>
          <w:rFonts w:cstheme="minorHAnsi"/>
          <w:sz w:val="18"/>
          <w:szCs w:val="18"/>
        </w:rPr>
      </w:pPr>
      <w:r w:rsidRPr="00124295">
        <w:rPr>
          <w:rFonts w:cstheme="minorHAnsi"/>
          <w:sz w:val="18"/>
          <w:szCs w:val="18"/>
        </w:rPr>
        <w:t xml:space="preserve">- creating disability-neutral responses that disproportionately and adversely impact the exercise of </w:t>
      </w:r>
      <w:r w:rsidR="008D0AB1" w:rsidRPr="00124295">
        <w:rPr>
          <w:rFonts w:cstheme="minorHAnsi"/>
          <w:sz w:val="18"/>
          <w:szCs w:val="18"/>
        </w:rPr>
        <w:t>legal capacity or specific right(s) by</w:t>
      </w:r>
      <w:r w:rsidRPr="00124295">
        <w:rPr>
          <w:rFonts w:cstheme="minorHAnsi"/>
          <w:sz w:val="18"/>
          <w:szCs w:val="18"/>
        </w:rPr>
        <w:t xml:space="preserve"> persons with disabilities</w:t>
      </w:r>
      <w:r w:rsidR="004B24CC" w:rsidRPr="00124295">
        <w:rPr>
          <w:rFonts w:cstheme="minorHAnsi"/>
          <w:sz w:val="18"/>
          <w:szCs w:val="18"/>
        </w:rPr>
        <w:t>.</w:t>
      </w:r>
    </w:p>
  </w:endnote>
  <w:endnote w:id="5">
    <w:p w14:paraId="1DDF5FDE" w14:textId="6556AE34" w:rsidR="008A3B24" w:rsidRPr="00124295" w:rsidRDefault="008A3B24" w:rsidP="005C0DD7">
      <w:pPr>
        <w:spacing w:after="0" w:line="240" w:lineRule="auto"/>
        <w:jc w:val="both"/>
        <w:rPr>
          <w:sz w:val="18"/>
          <w:szCs w:val="18"/>
        </w:rPr>
      </w:pPr>
      <w:r w:rsidRPr="00124295">
        <w:rPr>
          <w:rStyle w:val="EndnoteReference"/>
          <w:sz w:val="18"/>
          <w:szCs w:val="18"/>
        </w:rPr>
        <w:endnoteRef/>
      </w:r>
      <w:r w:rsidRPr="00124295">
        <w:rPr>
          <w:sz w:val="18"/>
          <w:szCs w:val="18"/>
        </w:rPr>
        <w:t xml:space="preserve"> </w:t>
      </w:r>
      <w:r w:rsidR="00457D86" w:rsidRPr="00124295">
        <w:rPr>
          <w:rFonts w:eastAsia="Times New Roman" w:cstheme="minorHAnsi"/>
          <w:sz w:val="18"/>
          <w:szCs w:val="18"/>
          <w:lang w:eastAsia="en-GB"/>
        </w:rPr>
        <w:t xml:space="preserve">Legal recognition of the support person(s) formally chosen by a person must be available and accessible, and States have an obligation to facilitate the creation of support, particularly for people who are isolated and may not have access to naturally occurring support in the community. This must include a mechanism for third parties to verify the identity of a support person as well as a mechanism for third parties to challenge the action of a support person if they believe that the support person is not acting in accordance with the will and preferences of the person concerned. </w:t>
      </w:r>
      <w:r w:rsidR="00457D86" w:rsidRPr="00124295">
        <w:rPr>
          <w:sz w:val="18"/>
          <w:szCs w:val="18"/>
        </w:rPr>
        <w:t xml:space="preserve">See CRPD Committee’s </w:t>
      </w:r>
      <w:hyperlink r:id="rId1" w:history="1">
        <w:r w:rsidR="00457D86" w:rsidRPr="003A2233">
          <w:rPr>
            <w:rStyle w:val="Hyperlink"/>
            <w:sz w:val="18"/>
            <w:szCs w:val="18"/>
          </w:rPr>
          <w:t>General Comment no</w:t>
        </w:r>
        <w:r w:rsidR="005B4717" w:rsidRPr="003A2233">
          <w:rPr>
            <w:rStyle w:val="Hyperlink"/>
            <w:sz w:val="18"/>
            <w:szCs w:val="18"/>
          </w:rPr>
          <w:t>.</w:t>
        </w:r>
        <w:r w:rsidR="00457D86" w:rsidRPr="003A2233">
          <w:rPr>
            <w:rStyle w:val="Hyperlink"/>
            <w:sz w:val="18"/>
            <w:szCs w:val="18"/>
          </w:rPr>
          <w:t xml:space="preserve"> 1</w:t>
        </w:r>
      </w:hyperlink>
      <w:r w:rsidR="00457D86" w:rsidRPr="00124295">
        <w:rPr>
          <w:sz w:val="18"/>
          <w:szCs w:val="18"/>
        </w:rPr>
        <w:t>, para. 29.</w:t>
      </w:r>
    </w:p>
  </w:endnote>
  <w:endnote w:id="6">
    <w:p w14:paraId="3FF0B79E" w14:textId="14B1AE42" w:rsidR="005A0C26" w:rsidRPr="00124295" w:rsidRDefault="005A0C26">
      <w:pPr>
        <w:pStyle w:val="EndnoteText"/>
        <w:rPr>
          <w:sz w:val="18"/>
          <w:szCs w:val="18"/>
        </w:rPr>
      </w:pPr>
      <w:r w:rsidRPr="00124295">
        <w:rPr>
          <w:rStyle w:val="EndnoteReference"/>
          <w:sz w:val="18"/>
          <w:szCs w:val="18"/>
        </w:rPr>
        <w:endnoteRef/>
      </w:r>
      <w:r w:rsidRPr="00124295">
        <w:rPr>
          <w:sz w:val="18"/>
          <w:szCs w:val="18"/>
        </w:rPr>
        <w:t xml:space="preserve"> See CRPD Committee’s </w:t>
      </w:r>
      <w:hyperlink r:id="rId2" w:history="1">
        <w:r w:rsidRPr="003A2233">
          <w:rPr>
            <w:rStyle w:val="Hyperlink"/>
            <w:sz w:val="18"/>
            <w:szCs w:val="18"/>
          </w:rPr>
          <w:t>G</w:t>
        </w:r>
        <w:r w:rsidR="006021FE" w:rsidRPr="003A2233">
          <w:rPr>
            <w:rStyle w:val="Hyperlink"/>
            <w:rFonts w:cstheme="minorHAnsi"/>
            <w:sz w:val="18"/>
            <w:szCs w:val="18"/>
          </w:rPr>
          <w:t>eneral C</w:t>
        </w:r>
        <w:r w:rsidRPr="003A2233">
          <w:rPr>
            <w:rStyle w:val="Hyperlink"/>
            <w:rFonts w:cstheme="minorHAnsi"/>
            <w:sz w:val="18"/>
            <w:szCs w:val="18"/>
          </w:rPr>
          <w:t>omment No. 1</w:t>
        </w:r>
      </w:hyperlink>
      <w:r w:rsidRPr="00124295">
        <w:rPr>
          <w:rFonts w:cstheme="minorHAnsi"/>
          <w:sz w:val="18"/>
          <w:szCs w:val="18"/>
        </w:rPr>
        <w:t>, para. 17</w:t>
      </w:r>
      <w:r w:rsidR="00124295" w:rsidRPr="00124295">
        <w:rPr>
          <w:rFonts w:cstheme="minorHAnsi"/>
          <w:sz w:val="18"/>
          <w:szCs w:val="18"/>
        </w:rPr>
        <w:t>.</w:t>
      </w:r>
    </w:p>
  </w:endnote>
  <w:endnote w:id="7">
    <w:p w14:paraId="2F691C3F" w14:textId="75FAC9D6" w:rsidR="008E6798" w:rsidRPr="00124295" w:rsidRDefault="008E6798" w:rsidP="005C0DD7">
      <w:pPr>
        <w:pStyle w:val="EndnoteText"/>
        <w:jc w:val="both"/>
        <w:rPr>
          <w:sz w:val="18"/>
          <w:szCs w:val="18"/>
        </w:rPr>
      </w:pPr>
      <w:r w:rsidRPr="00124295">
        <w:rPr>
          <w:rStyle w:val="EndnoteReference"/>
          <w:sz w:val="18"/>
          <w:szCs w:val="18"/>
        </w:rPr>
        <w:endnoteRef/>
      </w:r>
      <w:r w:rsidRPr="00124295">
        <w:rPr>
          <w:sz w:val="18"/>
          <w:szCs w:val="18"/>
        </w:rPr>
        <w:t xml:space="preserve"> such as legal proceedings, health care and financial transactions;</w:t>
      </w:r>
    </w:p>
  </w:endnote>
  <w:endnote w:id="8">
    <w:p w14:paraId="2903A405" w14:textId="69CE7333" w:rsidR="00AE40EE" w:rsidRPr="00124295" w:rsidRDefault="00AE40EE" w:rsidP="005C0DD7">
      <w:pPr>
        <w:pStyle w:val="EndnoteText"/>
        <w:jc w:val="both"/>
        <w:rPr>
          <w:sz w:val="18"/>
          <w:szCs w:val="18"/>
        </w:rPr>
      </w:pPr>
      <w:r w:rsidRPr="00124295">
        <w:rPr>
          <w:rStyle w:val="EndnoteReference"/>
          <w:sz w:val="18"/>
          <w:szCs w:val="18"/>
        </w:rPr>
        <w:endnoteRef/>
      </w:r>
      <w:r w:rsidRPr="00124295">
        <w:rPr>
          <w:sz w:val="18"/>
          <w:szCs w:val="18"/>
        </w:rPr>
        <w:t xml:space="preserve"> </w:t>
      </w:r>
      <w:r w:rsidRPr="00124295">
        <w:rPr>
          <w:rFonts w:cstheme="minorHAnsi"/>
          <w:sz w:val="18"/>
          <w:szCs w:val="18"/>
        </w:rPr>
        <w:t>including non-verbal forms</w:t>
      </w:r>
      <w:r w:rsidR="00772DF3" w:rsidRPr="00124295">
        <w:rPr>
          <w:rFonts w:cstheme="minorHAnsi"/>
          <w:sz w:val="18"/>
          <w:szCs w:val="18"/>
        </w:rPr>
        <w:t xml:space="preserve"> of communication</w:t>
      </w:r>
      <w:r w:rsidR="00ED5E5A" w:rsidRPr="00124295">
        <w:rPr>
          <w:rFonts w:cstheme="minorHAnsi"/>
          <w:sz w:val="18"/>
          <w:szCs w:val="18"/>
        </w:rPr>
        <w:t>.</w:t>
      </w:r>
    </w:p>
  </w:endnote>
  <w:endnote w:id="9">
    <w:p w14:paraId="754E97FE" w14:textId="59B81831" w:rsidR="00F96E01" w:rsidRPr="00124295" w:rsidRDefault="00F96E01" w:rsidP="005C0DD7">
      <w:pPr>
        <w:pStyle w:val="EndnoteText"/>
        <w:jc w:val="both"/>
        <w:rPr>
          <w:sz w:val="18"/>
          <w:szCs w:val="18"/>
        </w:rPr>
      </w:pPr>
      <w:r w:rsidRPr="00124295">
        <w:rPr>
          <w:rStyle w:val="EndnoteReference"/>
          <w:sz w:val="18"/>
          <w:szCs w:val="18"/>
        </w:rPr>
        <w:endnoteRef/>
      </w:r>
      <w:r w:rsidRPr="00124295">
        <w:rPr>
          <w:sz w:val="18"/>
          <w:szCs w:val="18"/>
        </w:rPr>
        <w:t xml:space="preserve"> </w:t>
      </w:r>
      <w:r w:rsidR="00772DF3" w:rsidRPr="00124295">
        <w:rPr>
          <w:rFonts w:cstheme="minorHAnsi"/>
          <w:sz w:val="18"/>
          <w:szCs w:val="18"/>
        </w:rPr>
        <w:t>r</w:t>
      </w:r>
      <w:r w:rsidRPr="00124295">
        <w:rPr>
          <w:rFonts w:cstheme="minorHAnsi"/>
          <w:sz w:val="18"/>
          <w:szCs w:val="18"/>
        </w:rPr>
        <w:t>esiding</w:t>
      </w:r>
      <w:r w:rsidR="00772DF3" w:rsidRPr="00124295">
        <w:rPr>
          <w:rFonts w:cstheme="minorHAnsi"/>
          <w:sz w:val="18"/>
          <w:szCs w:val="18"/>
        </w:rPr>
        <w:t xml:space="preserve"> in</w:t>
      </w:r>
      <w:r w:rsidRPr="00124295">
        <w:rPr>
          <w:rFonts w:cstheme="minorHAnsi"/>
          <w:sz w:val="18"/>
          <w:szCs w:val="18"/>
        </w:rPr>
        <w:t xml:space="preserve"> </w:t>
      </w:r>
      <w:r w:rsidR="00B876C0" w:rsidRPr="00124295">
        <w:rPr>
          <w:rFonts w:cstheme="minorHAnsi"/>
          <w:sz w:val="18"/>
          <w:szCs w:val="18"/>
        </w:rPr>
        <w:t xml:space="preserve">an </w:t>
      </w:r>
      <w:r w:rsidRPr="00124295">
        <w:rPr>
          <w:rFonts w:cstheme="minorHAnsi"/>
          <w:sz w:val="18"/>
          <w:szCs w:val="18"/>
        </w:rPr>
        <w:t>institution, in the community, within a family, etc.</w:t>
      </w:r>
    </w:p>
  </w:endnote>
  <w:endnote w:id="10">
    <w:p w14:paraId="51E7A918" w14:textId="3DC3C940" w:rsidR="00340CA5" w:rsidRPr="00124295" w:rsidRDefault="00340CA5" w:rsidP="005C0DD7">
      <w:pPr>
        <w:pStyle w:val="EndnoteText"/>
        <w:jc w:val="both"/>
        <w:rPr>
          <w:sz w:val="18"/>
          <w:szCs w:val="18"/>
        </w:rPr>
      </w:pPr>
      <w:r w:rsidRPr="00124295">
        <w:rPr>
          <w:rStyle w:val="EndnoteReference"/>
          <w:sz w:val="18"/>
          <w:szCs w:val="18"/>
        </w:rPr>
        <w:endnoteRef/>
      </w:r>
      <w:r w:rsidRPr="00124295">
        <w:rPr>
          <w:sz w:val="18"/>
          <w:szCs w:val="18"/>
        </w:rPr>
        <w:t xml:space="preserve"> </w:t>
      </w:r>
      <w:r w:rsidRPr="00124295">
        <w:rPr>
          <w:rFonts w:cstheme="minorHAnsi"/>
          <w:sz w:val="18"/>
          <w:szCs w:val="18"/>
        </w:rPr>
        <w:t xml:space="preserve">under plenary or partial guardianship, judicial interdiction, curatorship, conservatorship or other substituted </w:t>
      </w:r>
      <w:proofErr w:type="gramStart"/>
      <w:r w:rsidRPr="00124295">
        <w:rPr>
          <w:rFonts w:cstheme="minorHAnsi"/>
          <w:sz w:val="18"/>
          <w:szCs w:val="18"/>
        </w:rPr>
        <w:t>decision making</w:t>
      </w:r>
      <w:proofErr w:type="gramEnd"/>
      <w:r w:rsidRPr="00124295">
        <w:rPr>
          <w:rFonts w:cstheme="minorHAnsi"/>
          <w:sz w:val="18"/>
          <w:szCs w:val="18"/>
        </w:rPr>
        <w:t xml:space="preserve"> regimes.</w:t>
      </w:r>
    </w:p>
  </w:endnote>
  <w:endnote w:id="11">
    <w:p w14:paraId="18C18021" w14:textId="428D2E40" w:rsidR="00995C4E" w:rsidRPr="00124295" w:rsidRDefault="00995C4E" w:rsidP="005C0DD7">
      <w:pPr>
        <w:pStyle w:val="EndnoteText"/>
        <w:jc w:val="both"/>
        <w:rPr>
          <w:sz w:val="18"/>
          <w:szCs w:val="18"/>
        </w:rPr>
      </w:pPr>
      <w:r w:rsidRPr="00124295">
        <w:rPr>
          <w:rStyle w:val="EndnoteReference"/>
          <w:sz w:val="18"/>
          <w:szCs w:val="18"/>
        </w:rPr>
        <w:endnoteRef/>
      </w:r>
      <w:r w:rsidRPr="00124295">
        <w:rPr>
          <w:sz w:val="18"/>
          <w:szCs w:val="18"/>
        </w:rPr>
        <w:t xml:space="preserve"> </w:t>
      </w:r>
      <w:r w:rsidRPr="00124295">
        <w:rPr>
          <w:rFonts w:cstheme="minorHAnsi"/>
          <w:sz w:val="18"/>
          <w:szCs w:val="18"/>
        </w:rPr>
        <w:t>quality standards are applicable regardless of the type of support</w:t>
      </w:r>
      <w:r w:rsidR="00ED5E5A" w:rsidRPr="00124295">
        <w:rPr>
          <w:rFonts w:cstheme="minorHAnsi"/>
          <w:sz w:val="18"/>
          <w:szCs w:val="18"/>
        </w:rPr>
        <w:t>.</w:t>
      </w:r>
    </w:p>
  </w:endnote>
  <w:endnote w:id="12">
    <w:p w14:paraId="1F5F150F" w14:textId="72D5A34F" w:rsidR="00850565" w:rsidRPr="00124295" w:rsidRDefault="00850565" w:rsidP="005C0DD7">
      <w:pPr>
        <w:pStyle w:val="EndnoteText"/>
        <w:jc w:val="both"/>
        <w:rPr>
          <w:sz w:val="18"/>
          <w:szCs w:val="18"/>
        </w:rPr>
      </w:pPr>
      <w:r w:rsidRPr="00124295">
        <w:rPr>
          <w:rStyle w:val="EndnoteReference"/>
          <w:sz w:val="18"/>
          <w:szCs w:val="18"/>
        </w:rPr>
        <w:endnoteRef/>
      </w:r>
      <w:r w:rsidRPr="00124295">
        <w:rPr>
          <w:sz w:val="18"/>
          <w:szCs w:val="18"/>
        </w:rPr>
        <w:t xml:space="preserve"> </w:t>
      </w:r>
      <w:r w:rsidRPr="00124295">
        <w:rPr>
          <w:rFonts w:cstheme="minorHAnsi"/>
          <w:sz w:val="18"/>
          <w:szCs w:val="18"/>
        </w:rPr>
        <w:t xml:space="preserve">including the provision of financial and technical assistance to civil society organizations to enable </w:t>
      </w:r>
      <w:r w:rsidR="00772DF3" w:rsidRPr="00124295">
        <w:rPr>
          <w:rFonts w:cstheme="minorHAnsi"/>
          <w:sz w:val="18"/>
          <w:szCs w:val="18"/>
        </w:rPr>
        <w:t xml:space="preserve">the </w:t>
      </w:r>
      <w:r w:rsidRPr="00124295">
        <w:rPr>
          <w:rFonts w:cstheme="minorHAnsi"/>
          <w:sz w:val="18"/>
          <w:szCs w:val="18"/>
        </w:rPr>
        <w:t>creation and implementation of various supported decision-making schemes that address the needs of diverse impairment groups and constituencies in ways that are appropriate and acceptable from their own point of view.</w:t>
      </w:r>
    </w:p>
  </w:endnote>
  <w:endnote w:id="13">
    <w:p w14:paraId="57289DBA" w14:textId="2C116D53" w:rsidR="00754291" w:rsidRPr="00C45B8E" w:rsidRDefault="00754291" w:rsidP="005C0DD7">
      <w:pPr>
        <w:pStyle w:val="EndnoteText"/>
        <w:jc w:val="both"/>
        <w:rPr>
          <w:sz w:val="18"/>
          <w:szCs w:val="18"/>
        </w:rPr>
      </w:pPr>
      <w:r w:rsidRPr="00124295">
        <w:rPr>
          <w:rStyle w:val="EndnoteReference"/>
          <w:sz w:val="18"/>
          <w:szCs w:val="18"/>
        </w:rPr>
        <w:endnoteRef/>
      </w:r>
      <w:r w:rsidRPr="00124295">
        <w:rPr>
          <w:sz w:val="18"/>
          <w:szCs w:val="18"/>
        </w:rPr>
        <w:t xml:space="preserve"> including pilot projects</w:t>
      </w:r>
      <w:r w:rsidR="0026110C" w:rsidRPr="00124295">
        <w:rPr>
          <w:sz w:val="18"/>
          <w:szCs w:val="18"/>
        </w:rPr>
        <w:t xml:space="preserve"> on formal and informal forms of support in decision-</w:t>
      </w:r>
      <w:r w:rsidR="0026110C" w:rsidRPr="00C45B8E">
        <w:rPr>
          <w:sz w:val="18"/>
          <w:szCs w:val="18"/>
        </w:rPr>
        <w:t>making and peer support networks, inclusive of researchers with disabilities and organisations of persons with disabilities.</w:t>
      </w:r>
    </w:p>
  </w:endnote>
  <w:endnote w:id="14">
    <w:p w14:paraId="70CDE5B9" w14:textId="093DF34B" w:rsidR="00B876C0" w:rsidRPr="00C45B8E" w:rsidRDefault="00B876C0">
      <w:pPr>
        <w:pStyle w:val="EndnoteText"/>
        <w:rPr>
          <w:sz w:val="18"/>
          <w:szCs w:val="18"/>
        </w:rPr>
      </w:pPr>
      <w:r w:rsidRPr="00C45B8E">
        <w:rPr>
          <w:rStyle w:val="EndnoteReference"/>
          <w:sz w:val="18"/>
          <w:szCs w:val="18"/>
        </w:rPr>
        <w:endnoteRef/>
      </w:r>
      <w:r w:rsidRPr="00C45B8E">
        <w:rPr>
          <w:sz w:val="18"/>
          <w:szCs w:val="18"/>
        </w:rPr>
        <w:t xml:space="preserve"> </w:t>
      </w:r>
      <w:r w:rsidRPr="00C45B8E">
        <w:rPr>
          <w:rFonts w:cstheme="minorHAnsi"/>
          <w:sz w:val="18"/>
          <w:szCs w:val="18"/>
        </w:rPr>
        <w:t>residing in an institution, in the community, within a family, etc.</w:t>
      </w:r>
    </w:p>
  </w:endnote>
  <w:endnote w:id="15">
    <w:p w14:paraId="1BCDFC8D" w14:textId="19C634A5" w:rsidR="00E04BFB" w:rsidRPr="00C45B8E" w:rsidRDefault="00E04BFB" w:rsidP="005C0DD7">
      <w:pPr>
        <w:pStyle w:val="EndnoteText"/>
        <w:jc w:val="both"/>
        <w:rPr>
          <w:sz w:val="18"/>
          <w:szCs w:val="18"/>
        </w:rPr>
      </w:pPr>
      <w:r w:rsidRPr="00C45B8E">
        <w:rPr>
          <w:rStyle w:val="EndnoteReference"/>
          <w:sz w:val="18"/>
          <w:szCs w:val="18"/>
        </w:rPr>
        <w:endnoteRef/>
      </w:r>
      <w:r w:rsidRPr="00C45B8E">
        <w:rPr>
          <w:sz w:val="18"/>
          <w:szCs w:val="18"/>
        </w:rPr>
        <w:t xml:space="preserve"> </w:t>
      </w:r>
      <w:r w:rsidRPr="00C45B8E">
        <w:rPr>
          <w:rFonts w:cstheme="minorHAnsi"/>
          <w:sz w:val="18"/>
          <w:szCs w:val="18"/>
        </w:rPr>
        <w:t>by the type and intensity of support, age, gender and type of impairment, as well as geographic location of benefic</w:t>
      </w:r>
      <w:r w:rsidR="00ED5E5A" w:rsidRPr="00C45B8E">
        <w:rPr>
          <w:rFonts w:cstheme="minorHAnsi"/>
          <w:sz w:val="18"/>
          <w:szCs w:val="18"/>
        </w:rPr>
        <w:t>iaries, including</w:t>
      </w:r>
      <w:r w:rsidR="006543D0">
        <w:rPr>
          <w:rFonts w:cstheme="minorHAnsi"/>
          <w:sz w:val="18"/>
          <w:szCs w:val="18"/>
        </w:rPr>
        <w:t xml:space="preserve"> within</w:t>
      </w:r>
      <w:r w:rsidR="00ED5E5A" w:rsidRPr="00C45B8E">
        <w:rPr>
          <w:rFonts w:cstheme="minorHAnsi"/>
          <w:sz w:val="18"/>
          <w:szCs w:val="18"/>
        </w:rPr>
        <w:t xml:space="preserve"> institutions.</w:t>
      </w:r>
    </w:p>
  </w:endnote>
  <w:endnote w:id="16">
    <w:p w14:paraId="3E865FE4" w14:textId="566295F4" w:rsidR="00C45B8E" w:rsidRPr="00C45B8E" w:rsidRDefault="00437BDE">
      <w:pPr>
        <w:pStyle w:val="EndnoteText"/>
        <w:rPr>
          <w:b/>
        </w:rPr>
      </w:pPr>
      <w:r w:rsidRPr="00C45B8E">
        <w:rPr>
          <w:rStyle w:val="EndnoteReference"/>
          <w:sz w:val="18"/>
          <w:szCs w:val="18"/>
        </w:rPr>
        <w:endnoteRef/>
      </w:r>
      <w:r w:rsidR="00122162">
        <w:rPr>
          <w:sz w:val="18"/>
          <w:szCs w:val="18"/>
        </w:rPr>
        <w:t xml:space="preserve"> E.g.</w:t>
      </w:r>
      <w:r w:rsidRPr="00C45B8E">
        <w:rPr>
          <w:sz w:val="18"/>
          <w:szCs w:val="18"/>
        </w:rPr>
        <w:t xml:space="preserve"> advance directives can include instructions on how to deal with future emotional crises and/or to appoint a person to support them in those particular circumstances,</w:t>
      </w:r>
      <w:r w:rsidR="00C45B8E" w:rsidRPr="00C45B8E">
        <w:rPr>
          <w:sz w:val="18"/>
          <w:szCs w:val="18"/>
        </w:rPr>
        <w:t xml:space="preserve"> and/or on</w:t>
      </w:r>
      <w:r w:rsidRPr="00C45B8E">
        <w:rPr>
          <w:sz w:val="18"/>
          <w:szCs w:val="18"/>
        </w:rPr>
        <w:t xml:space="preserve"> personal, patrimonial or finance matters (</w:t>
      </w:r>
      <w:r w:rsidR="00C45B8E" w:rsidRPr="00C45B8E">
        <w:rPr>
          <w:sz w:val="18"/>
          <w:szCs w:val="18"/>
        </w:rPr>
        <w:t xml:space="preserve">See CRPD Committee’s </w:t>
      </w:r>
      <w:hyperlink r:id="rId3" w:history="1">
        <w:r w:rsidR="00C45B8E" w:rsidRPr="003A2233">
          <w:rPr>
            <w:rStyle w:val="Hyperlink"/>
            <w:sz w:val="18"/>
            <w:szCs w:val="18"/>
          </w:rPr>
          <w:t>General Comment no</w:t>
        </w:r>
        <w:r w:rsidR="006021FE" w:rsidRPr="003A2233">
          <w:rPr>
            <w:rStyle w:val="Hyperlink"/>
            <w:sz w:val="18"/>
            <w:szCs w:val="18"/>
          </w:rPr>
          <w:t>.</w:t>
        </w:r>
        <w:r w:rsidR="00C45B8E" w:rsidRPr="003A2233">
          <w:rPr>
            <w:rStyle w:val="Hyperlink"/>
            <w:sz w:val="18"/>
            <w:szCs w:val="18"/>
          </w:rPr>
          <w:t xml:space="preserve"> 1</w:t>
        </w:r>
      </w:hyperlink>
      <w:r w:rsidRPr="00C45B8E">
        <w:rPr>
          <w:sz w:val="18"/>
          <w:szCs w:val="18"/>
        </w:rPr>
        <w:t>, para 17</w:t>
      </w:r>
      <w:hyperlink r:id="rId4" w:history="1">
        <w:r w:rsidRPr="00CA7520">
          <w:rPr>
            <w:rStyle w:val="Hyperlink"/>
            <w:sz w:val="18"/>
            <w:szCs w:val="18"/>
          </w:rPr>
          <w:t>; A/HRC/37/56</w:t>
        </w:r>
      </w:hyperlink>
      <w:r w:rsidRPr="00C45B8E">
        <w:rPr>
          <w:sz w:val="18"/>
          <w:szCs w:val="18"/>
        </w:rPr>
        <w:t>, para 32)</w:t>
      </w:r>
    </w:p>
  </w:endnote>
  <w:endnote w:id="17">
    <w:p w14:paraId="1F8061E1" w14:textId="3550C3E1" w:rsidR="005C0DD7" w:rsidRPr="00124295" w:rsidRDefault="005C0DD7" w:rsidP="005C0DD7">
      <w:pPr>
        <w:pStyle w:val="EndnoteText"/>
        <w:jc w:val="both"/>
        <w:rPr>
          <w:sz w:val="18"/>
          <w:szCs w:val="18"/>
          <w:lang w:val="en-US"/>
        </w:rPr>
      </w:pPr>
      <w:r w:rsidRPr="00C45B8E">
        <w:rPr>
          <w:rStyle w:val="EndnoteReference"/>
          <w:sz w:val="18"/>
          <w:szCs w:val="18"/>
        </w:rPr>
        <w:endnoteRef/>
      </w:r>
      <w:r w:rsidRPr="00C45B8E">
        <w:rPr>
          <w:sz w:val="18"/>
          <w:szCs w:val="18"/>
        </w:rPr>
        <w:t xml:space="preserve"> </w:t>
      </w:r>
      <w:r w:rsidR="0050253B" w:rsidRPr="00C45B8E">
        <w:rPr>
          <w:sz w:val="18"/>
          <w:szCs w:val="18"/>
          <w:lang w:val="en-US"/>
        </w:rPr>
        <w:t>Awareness raising campaign</w:t>
      </w:r>
      <w:r w:rsidR="00ED38BF" w:rsidRPr="00C45B8E">
        <w:rPr>
          <w:sz w:val="18"/>
          <w:szCs w:val="18"/>
          <w:lang w:val="en-US"/>
        </w:rPr>
        <w:t>s</w:t>
      </w:r>
      <w:r w:rsidR="0050253B" w:rsidRPr="00C45B8E">
        <w:rPr>
          <w:sz w:val="18"/>
          <w:szCs w:val="18"/>
          <w:lang w:val="en-US"/>
        </w:rPr>
        <w:t xml:space="preserve"> and activ</w:t>
      </w:r>
      <w:r w:rsidR="00ED181A" w:rsidRPr="00C45B8E">
        <w:rPr>
          <w:sz w:val="18"/>
          <w:szCs w:val="18"/>
          <w:lang w:val="en-US"/>
        </w:rPr>
        <w:t>ities should include</w:t>
      </w:r>
      <w:r w:rsidR="00ED38BF" w:rsidRPr="00C45B8E">
        <w:rPr>
          <w:sz w:val="18"/>
          <w:szCs w:val="18"/>
          <w:lang w:val="en-US"/>
        </w:rPr>
        <w:t xml:space="preserve"> information on:</w:t>
      </w:r>
      <w:r w:rsidRPr="00C45B8E">
        <w:rPr>
          <w:sz w:val="18"/>
          <w:szCs w:val="18"/>
          <w:lang w:val="en-US"/>
        </w:rPr>
        <w:t xml:space="preserve"> </w:t>
      </w:r>
      <w:r w:rsidRPr="00C45B8E">
        <w:rPr>
          <w:sz w:val="18"/>
          <w:szCs w:val="18"/>
        </w:rPr>
        <w:t xml:space="preserve">the right to have decision-making respected at all times including in </w:t>
      </w:r>
      <w:r w:rsidR="002A2AF7" w:rsidRPr="00C45B8E">
        <w:rPr>
          <w:sz w:val="18"/>
          <w:szCs w:val="18"/>
        </w:rPr>
        <w:t>situations of distress</w:t>
      </w:r>
      <w:r w:rsidR="00ED38BF" w:rsidRPr="00C45B8E">
        <w:rPr>
          <w:sz w:val="18"/>
          <w:szCs w:val="18"/>
        </w:rPr>
        <w:t>; the right to</w:t>
      </w:r>
      <w:r w:rsidRPr="00C45B8E">
        <w:rPr>
          <w:sz w:val="18"/>
          <w:szCs w:val="18"/>
        </w:rPr>
        <w:t xml:space="preserve"> free and informed consent, strategies for supported decision-mak</w:t>
      </w:r>
      <w:r w:rsidR="00401B5E" w:rsidRPr="00C45B8E">
        <w:rPr>
          <w:sz w:val="18"/>
          <w:szCs w:val="18"/>
        </w:rPr>
        <w:t>ing, safeguards against abuse;</w:t>
      </w:r>
      <w:r w:rsidRPr="00C45B8E">
        <w:rPr>
          <w:sz w:val="18"/>
          <w:szCs w:val="18"/>
        </w:rPr>
        <w:t xml:space="preserve"> non-discrimination in legal capacity, including</w:t>
      </w:r>
      <w:r w:rsidRPr="00124295">
        <w:rPr>
          <w:sz w:val="18"/>
          <w:szCs w:val="18"/>
        </w:rPr>
        <w:t xml:space="preserve"> ensuring </w:t>
      </w:r>
      <w:r w:rsidR="00ED38BF" w:rsidRPr="00124295">
        <w:rPr>
          <w:sz w:val="18"/>
          <w:szCs w:val="18"/>
        </w:rPr>
        <w:t xml:space="preserve">the </w:t>
      </w:r>
      <w:r w:rsidR="00ED181A" w:rsidRPr="00124295">
        <w:rPr>
          <w:sz w:val="18"/>
          <w:szCs w:val="18"/>
        </w:rPr>
        <w:t>provision of reasonable accommodation;</w:t>
      </w:r>
      <w:r w:rsidRPr="00124295">
        <w:rPr>
          <w:sz w:val="18"/>
          <w:szCs w:val="18"/>
        </w:rPr>
        <w:t xml:space="preserve"> the prevention </w:t>
      </w:r>
      <w:r w:rsidR="00ED38BF" w:rsidRPr="00124295">
        <w:rPr>
          <w:sz w:val="18"/>
          <w:szCs w:val="18"/>
        </w:rPr>
        <w:t xml:space="preserve">and elimination </w:t>
      </w:r>
      <w:r w:rsidRPr="00124295">
        <w:rPr>
          <w:sz w:val="18"/>
          <w:szCs w:val="18"/>
        </w:rPr>
        <w:t>of informal substitute decision-making or coercive interventions in family and community settings.</w:t>
      </w:r>
    </w:p>
  </w:endnote>
  <w:endnote w:id="18">
    <w:p w14:paraId="7B355439" w14:textId="067825B6" w:rsidR="00437BDE" w:rsidRPr="00124295" w:rsidRDefault="00A533FD" w:rsidP="00437BDE">
      <w:pPr>
        <w:pStyle w:val="EndnoteText"/>
        <w:jc w:val="both"/>
        <w:rPr>
          <w:sz w:val="18"/>
          <w:szCs w:val="18"/>
        </w:rPr>
      </w:pPr>
      <w:r w:rsidRPr="00124295">
        <w:rPr>
          <w:rStyle w:val="EndnoteReference"/>
          <w:sz w:val="18"/>
          <w:szCs w:val="18"/>
        </w:rPr>
        <w:endnoteRef/>
      </w:r>
      <w:r w:rsidRPr="00124295">
        <w:rPr>
          <w:sz w:val="18"/>
          <w:szCs w:val="18"/>
        </w:rPr>
        <w:t xml:space="preserve"> </w:t>
      </w:r>
      <w:r w:rsidR="00437BDE" w:rsidRPr="00124295">
        <w:rPr>
          <w:sz w:val="18"/>
          <w:szCs w:val="18"/>
        </w:rPr>
        <w:t>This indicator requires verifying concrete activities undertaken by public authorities to involve persons with disabilities in decision-making processes related to issues that directly or indirectly aff</w:t>
      </w:r>
      <w:r w:rsidR="006021FE">
        <w:rPr>
          <w:sz w:val="18"/>
          <w:szCs w:val="18"/>
        </w:rPr>
        <w:t>ect them in line with article 4(</w:t>
      </w:r>
      <w:r w:rsidR="00437BDE" w:rsidRPr="00124295">
        <w:rPr>
          <w:sz w:val="18"/>
          <w:szCs w:val="18"/>
        </w:rPr>
        <w:t>3</w:t>
      </w:r>
      <w:r w:rsidR="006021FE">
        <w:rPr>
          <w:sz w:val="18"/>
          <w:szCs w:val="18"/>
        </w:rPr>
        <w:t xml:space="preserve">) of the CRPD and </w:t>
      </w:r>
      <w:hyperlink r:id="rId5" w:history="1">
        <w:r w:rsidR="006021FE" w:rsidRPr="002770D5">
          <w:rPr>
            <w:rStyle w:val="Hyperlink"/>
            <w:sz w:val="18"/>
            <w:szCs w:val="18"/>
          </w:rPr>
          <w:t>General C</w:t>
        </w:r>
        <w:r w:rsidR="00437BDE" w:rsidRPr="002770D5">
          <w:rPr>
            <w:rStyle w:val="Hyperlink"/>
            <w:sz w:val="18"/>
            <w:szCs w:val="18"/>
          </w:rPr>
          <w:t>omment no. 7</w:t>
        </w:r>
      </w:hyperlink>
      <w:r w:rsidR="00437BDE" w:rsidRPr="00124295">
        <w:rPr>
          <w:sz w:val="18"/>
          <w:szCs w:val="18"/>
        </w:rPr>
        <w:t xml:space="preserve"> of the CRPD Committee, including consultation meetings, technical briefings, online consultation surveys, calls for comments on draft legislation and policies, among other methods and mechanisms of participation. In this regard, States must</w:t>
      </w:r>
    </w:p>
    <w:p w14:paraId="47ED0AF0" w14:textId="77777777" w:rsidR="00437BDE" w:rsidRPr="00124295" w:rsidRDefault="00437BDE" w:rsidP="006021FE">
      <w:pPr>
        <w:pStyle w:val="EndnoteText"/>
        <w:numPr>
          <w:ilvl w:val="0"/>
          <w:numId w:val="11"/>
        </w:numPr>
        <w:ind w:left="714" w:hanging="357"/>
        <w:contextualSpacing/>
        <w:rPr>
          <w:sz w:val="18"/>
          <w:szCs w:val="18"/>
        </w:rPr>
      </w:pPr>
      <w:r w:rsidRPr="00124295">
        <w:rPr>
          <w:sz w:val="18"/>
          <w:szCs w:val="18"/>
        </w:rPr>
        <w:t>ensure that consultation processes are transparent</w:t>
      </w:r>
      <w:r w:rsidRPr="00124295">
        <w:rPr>
          <w:rFonts w:cstheme="minorHAnsi"/>
          <w:sz w:val="18"/>
          <w:szCs w:val="18"/>
        </w:rPr>
        <w:t xml:space="preserve"> and accessible;</w:t>
      </w:r>
    </w:p>
    <w:p w14:paraId="6BC97951" w14:textId="77777777" w:rsidR="00437BDE" w:rsidRPr="00124295" w:rsidRDefault="00437BDE" w:rsidP="006021FE">
      <w:pPr>
        <w:pStyle w:val="EndnoteText"/>
        <w:numPr>
          <w:ilvl w:val="0"/>
          <w:numId w:val="11"/>
        </w:numPr>
        <w:ind w:left="714" w:hanging="357"/>
        <w:contextualSpacing/>
        <w:rPr>
          <w:sz w:val="18"/>
          <w:szCs w:val="18"/>
        </w:rPr>
      </w:pPr>
      <w:r w:rsidRPr="00124295">
        <w:rPr>
          <w:sz w:val="18"/>
          <w:szCs w:val="18"/>
        </w:rPr>
        <w:t>ensure provision of appropriate and accessible information;</w:t>
      </w:r>
    </w:p>
    <w:p w14:paraId="2B401A5A" w14:textId="77777777" w:rsidR="00437BDE" w:rsidRPr="00124295" w:rsidRDefault="00437BDE" w:rsidP="006021FE">
      <w:pPr>
        <w:pStyle w:val="EndnoteText"/>
        <w:numPr>
          <w:ilvl w:val="0"/>
          <w:numId w:val="11"/>
        </w:numPr>
        <w:ind w:left="714" w:hanging="357"/>
        <w:contextualSpacing/>
        <w:rPr>
          <w:sz w:val="18"/>
          <w:szCs w:val="18"/>
        </w:rPr>
      </w:pPr>
      <w:r w:rsidRPr="00124295">
        <w:rPr>
          <w:sz w:val="18"/>
          <w:szCs w:val="18"/>
        </w:rPr>
        <w:t>not withhold information, condition or prevent organizations of persons with disabilities from freely expressing their opinions;</w:t>
      </w:r>
    </w:p>
    <w:p w14:paraId="553FC756" w14:textId="77777777" w:rsidR="00437BDE" w:rsidRPr="00124295" w:rsidRDefault="00437BDE" w:rsidP="006021FE">
      <w:pPr>
        <w:pStyle w:val="EndnoteText"/>
        <w:numPr>
          <w:ilvl w:val="0"/>
          <w:numId w:val="11"/>
        </w:numPr>
        <w:ind w:left="714" w:hanging="357"/>
        <w:contextualSpacing/>
        <w:rPr>
          <w:sz w:val="18"/>
          <w:szCs w:val="18"/>
        </w:rPr>
      </w:pPr>
      <w:r w:rsidRPr="00124295">
        <w:rPr>
          <w:sz w:val="18"/>
          <w:szCs w:val="18"/>
        </w:rPr>
        <w:t>include both registered and unregistered organizations;</w:t>
      </w:r>
    </w:p>
    <w:p w14:paraId="3D40D797" w14:textId="77777777" w:rsidR="00437BDE" w:rsidRPr="00124295" w:rsidRDefault="00437BDE" w:rsidP="006021FE">
      <w:pPr>
        <w:pStyle w:val="EndnoteText"/>
        <w:numPr>
          <w:ilvl w:val="0"/>
          <w:numId w:val="11"/>
        </w:numPr>
        <w:ind w:left="714" w:hanging="357"/>
        <w:contextualSpacing/>
        <w:jc w:val="both"/>
        <w:rPr>
          <w:sz w:val="18"/>
          <w:szCs w:val="18"/>
          <w:lang w:val="en-US"/>
        </w:rPr>
      </w:pPr>
      <w:r w:rsidRPr="00124295">
        <w:rPr>
          <w:sz w:val="18"/>
          <w:szCs w:val="18"/>
        </w:rPr>
        <w:t>ensure early and continuous involvement;</w:t>
      </w:r>
    </w:p>
    <w:p w14:paraId="2E12820F" w14:textId="22D76B6C" w:rsidR="00A533FD" w:rsidRPr="00124295" w:rsidRDefault="00437BDE" w:rsidP="006021FE">
      <w:pPr>
        <w:pStyle w:val="EndnoteText"/>
        <w:numPr>
          <w:ilvl w:val="0"/>
          <w:numId w:val="11"/>
        </w:numPr>
        <w:ind w:left="714" w:hanging="357"/>
        <w:contextualSpacing/>
        <w:jc w:val="both"/>
        <w:rPr>
          <w:sz w:val="18"/>
          <w:szCs w:val="18"/>
          <w:lang w:val="en-US"/>
        </w:rPr>
      </w:pPr>
      <w:r w:rsidRPr="00124295">
        <w:rPr>
          <w:rFonts w:cstheme="minorHAnsi"/>
          <w:sz w:val="18"/>
          <w:szCs w:val="18"/>
        </w:rPr>
        <w:t>cover related expenses of participants.</w:t>
      </w:r>
    </w:p>
  </w:endnote>
  <w:endnote w:id="19">
    <w:p w14:paraId="4CC66E2F" w14:textId="0B6D534F" w:rsidR="007121C2" w:rsidRPr="00124295" w:rsidRDefault="007121C2" w:rsidP="005C0DD7">
      <w:pPr>
        <w:pStyle w:val="EndnoteText"/>
        <w:jc w:val="both"/>
        <w:rPr>
          <w:sz w:val="18"/>
          <w:szCs w:val="18"/>
        </w:rPr>
      </w:pPr>
      <w:r w:rsidRPr="00124295">
        <w:rPr>
          <w:rStyle w:val="EndnoteReference"/>
          <w:sz w:val="18"/>
          <w:szCs w:val="18"/>
        </w:rPr>
        <w:endnoteRef/>
      </w:r>
      <w:r w:rsidRPr="00124295">
        <w:rPr>
          <w:sz w:val="18"/>
          <w:szCs w:val="18"/>
        </w:rPr>
        <w:t xml:space="preserve"> </w:t>
      </w:r>
      <w:r w:rsidR="007F776E" w:rsidRPr="00124295">
        <w:rPr>
          <w:sz w:val="18"/>
          <w:szCs w:val="18"/>
        </w:rPr>
        <w:t>including through substitute decision-making regimes such as</w:t>
      </w:r>
      <w:r w:rsidRPr="00124295">
        <w:rPr>
          <w:sz w:val="18"/>
          <w:szCs w:val="18"/>
        </w:rPr>
        <w:t xml:space="preserve"> plenary or partial guardianship, interdiction,</w:t>
      </w:r>
      <w:r w:rsidR="00474195" w:rsidRPr="00124295">
        <w:rPr>
          <w:sz w:val="18"/>
          <w:szCs w:val="18"/>
        </w:rPr>
        <w:t xml:space="preserve"> </w:t>
      </w:r>
      <w:r w:rsidRPr="00124295">
        <w:rPr>
          <w:sz w:val="18"/>
          <w:szCs w:val="18"/>
        </w:rPr>
        <w:t>curatorship, conservatorship.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BD0F1" w14:textId="377D3FAF" w:rsidR="001A4CCD" w:rsidRPr="001A4CCD" w:rsidRDefault="001A4CCD">
    <w:pPr>
      <w:pStyle w:val="Footer"/>
      <w:rPr>
        <w:lang w:val="en-US"/>
      </w:rPr>
    </w:pPr>
    <w:r>
      <w:rPr>
        <w:lang w:val="en-US"/>
      </w:rPr>
      <w:t>CRPD + Article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47182" w14:textId="77777777" w:rsidR="005C34AD" w:rsidRDefault="005C34AD" w:rsidP="00AE40EE">
      <w:pPr>
        <w:spacing w:after="0" w:line="240" w:lineRule="auto"/>
      </w:pPr>
      <w:r>
        <w:separator/>
      </w:r>
    </w:p>
  </w:footnote>
  <w:footnote w:type="continuationSeparator" w:id="0">
    <w:p w14:paraId="33792457" w14:textId="77777777" w:rsidR="005C34AD" w:rsidRDefault="005C34AD" w:rsidP="00AE4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8C196" w14:textId="77777777" w:rsidR="001A4CCD" w:rsidRPr="001A4CCD" w:rsidRDefault="001A4CCD" w:rsidP="001A4CCD">
    <w:pPr>
      <w:pStyle w:val="Heading1"/>
    </w:pPr>
    <w:r w:rsidRPr="001A4CCD">
      <w:t>Article 12 – Illustrative indicators on equal recognition before the law</w:t>
    </w:r>
  </w:p>
  <w:p w14:paraId="044A408A" w14:textId="77777777" w:rsidR="001A4CCD" w:rsidRDefault="001A4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D6A48"/>
    <w:multiLevelType w:val="multilevel"/>
    <w:tmpl w:val="2AE62D28"/>
    <w:lvl w:ilvl="0">
      <w:start w:val="1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644D5C"/>
    <w:multiLevelType w:val="hybridMultilevel"/>
    <w:tmpl w:val="09AC8202"/>
    <w:lvl w:ilvl="0" w:tplc="657E2BE0">
      <w:start w:val="15"/>
      <w:numFmt w:val="bullet"/>
      <w:lvlText w:val="-"/>
      <w:lvlJc w:val="left"/>
      <w:pPr>
        <w:ind w:left="643"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137E37"/>
    <w:multiLevelType w:val="hybridMultilevel"/>
    <w:tmpl w:val="A4C47FF8"/>
    <w:lvl w:ilvl="0" w:tplc="657E2BE0">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EB69B1"/>
    <w:multiLevelType w:val="multilevel"/>
    <w:tmpl w:val="E5CA06D8"/>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7DD5AFF"/>
    <w:multiLevelType w:val="hybridMultilevel"/>
    <w:tmpl w:val="EF8EC62A"/>
    <w:lvl w:ilvl="0" w:tplc="397E12D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06620"/>
    <w:multiLevelType w:val="multilevel"/>
    <w:tmpl w:val="3760BAF4"/>
    <w:lvl w:ilvl="0">
      <w:start w:val="1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04C5674"/>
    <w:multiLevelType w:val="multilevel"/>
    <w:tmpl w:val="E63AF662"/>
    <w:lvl w:ilvl="0">
      <w:start w:val="12"/>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1D41C2"/>
    <w:multiLevelType w:val="hybridMultilevel"/>
    <w:tmpl w:val="00B683D8"/>
    <w:lvl w:ilvl="0" w:tplc="D43C944E">
      <w:start w:val="12"/>
      <w:numFmt w:val="decimal"/>
      <w:lvlText w:val="%1."/>
      <w:lvlJc w:val="left"/>
      <w:pPr>
        <w:ind w:left="392"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0" w15:restartNumberingAfterBreak="0">
    <w:nsid w:val="4CFC2631"/>
    <w:multiLevelType w:val="hybridMultilevel"/>
    <w:tmpl w:val="A21A375C"/>
    <w:lvl w:ilvl="0" w:tplc="0C2C370E">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34427"/>
    <w:multiLevelType w:val="hybridMultilevel"/>
    <w:tmpl w:val="195C1C6C"/>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1B039D6"/>
    <w:multiLevelType w:val="multilevel"/>
    <w:tmpl w:val="26D62582"/>
    <w:lvl w:ilvl="0">
      <w:start w:val="12"/>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5F62A2F"/>
    <w:multiLevelType w:val="multilevel"/>
    <w:tmpl w:val="1F7E9E5C"/>
    <w:lvl w:ilvl="0">
      <w:start w:val="12"/>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7F958B1"/>
    <w:multiLevelType w:val="hybridMultilevel"/>
    <w:tmpl w:val="179035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3"/>
  </w:num>
  <w:num w:numId="5">
    <w:abstractNumId w:val="1"/>
  </w:num>
  <w:num w:numId="6">
    <w:abstractNumId w:val="5"/>
  </w:num>
  <w:num w:numId="7">
    <w:abstractNumId w:val="0"/>
  </w:num>
  <w:num w:numId="8">
    <w:abstractNumId w:val="8"/>
  </w:num>
  <w:num w:numId="9">
    <w:abstractNumId w:val="14"/>
  </w:num>
  <w:num w:numId="10">
    <w:abstractNumId w:val="13"/>
  </w:num>
  <w:num w:numId="11">
    <w:abstractNumId w:val="11"/>
  </w:num>
  <w:num w:numId="12">
    <w:abstractNumId w:val="15"/>
  </w:num>
  <w:num w:numId="13">
    <w:abstractNumId w:val="10"/>
  </w:num>
  <w:num w:numId="14">
    <w:abstractNumId w:val="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B1"/>
    <w:rsid w:val="00007AE0"/>
    <w:rsid w:val="00027FAC"/>
    <w:rsid w:val="00046966"/>
    <w:rsid w:val="0005511C"/>
    <w:rsid w:val="000663BC"/>
    <w:rsid w:val="00080EE3"/>
    <w:rsid w:val="00090ECE"/>
    <w:rsid w:val="000A23ED"/>
    <w:rsid w:val="000A6DA8"/>
    <w:rsid w:val="000B5F42"/>
    <w:rsid w:val="000B7BAF"/>
    <w:rsid w:val="000B7C11"/>
    <w:rsid w:val="000D4293"/>
    <w:rsid w:val="000E35A6"/>
    <w:rsid w:val="000F2475"/>
    <w:rsid w:val="0011183A"/>
    <w:rsid w:val="00122162"/>
    <w:rsid w:val="00124295"/>
    <w:rsid w:val="00130758"/>
    <w:rsid w:val="001347CC"/>
    <w:rsid w:val="00151C86"/>
    <w:rsid w:val="00152741"/>
    <w:rsid w:val="00164221"/>
    <w:rsid w:val="001668BD"/>
    <w:rsid w:val="00176450"/>
    <w:rsid w:val="00182F24"/>
    <w:rsid w:val="00196D6D"/>
    <w:rsid w:val="001A40E9"/>
    <w:rsid w:val="001A4CCD"/>
    <w:rsid w:val="001A614E"/>
    <w:rsid w:val="001F23C6"/>
    <w:rsid w:val="001F7E51"/>
    <w:rsid w:val="0020481F"/>
    <w:rsid w:val="00220B40"/>
    <w:rsid w:val="0025495F"/>
    <w:rsid w:val="00256DA4"/>
    <w:rsid w:val="0026110C"/>
    <w:rsid w:val="002770D5"/>
    <w:rsid w:val="0028493E"/>
    <w:rsid w:val="002868C1"/>
    <w:rsid w:val="002A2AF7"/>
    <w:rsid w:val="002A6F7B"/>
    <w:rsid w:val="002E3CE4"/>
    <w:rsid w:val="002E5AA6"/>
    <w:rsid w:val="002E74D3"/>
    <w:rsid w:val="002F1FEA"/>
    <w:rsid w:val="002F2B55"/>
    <w:rsid w:val="002F4059"/>
    <w:rsid w:val="00302C07"/>
    <w:rsid w:val="00327A88"/>
    <w:rsid w:val="00335061"/>
    <w:rsid w:val="00340CA5"/>
    <w:rsid w:val="003579BF"/>
    <w:rsid w:val="00360675"/>
    <w:rsid w:val="00360BE2"/>
    <w:rsid w:val="00360C14"/>
    <w:rsid w:val="00364B92"/>
    <w:rsid w:val="003739B7"/>
    <w:rsid w:val="003759C9"/>
    <w:rsid w:val="00383FE2"/>
    <w:rsid w:val="00392615"/>
    <w:rsid w:val="00397A75"/>
    <w:rsid w:val="003A1F77"/>
    <w:rsid w:val="003A2233"/>
    <w:rsid w:val="003A7EF8"/>
    <w:rsid w:val="003B1FB1"/>
    <w:rsid w:val="003D1EAB"/>
    <w:rsid w:val="003E0B4C"/>
    <w:rsid w:val="003F701F"/>
    <w:rsid w:val="00401B5E"/>
    <w:rsid w:val="004071AA"/>
    <w:rsid w:val="0042470E"/>
    <w:rsid w:val="00425A30"/>
    <w:rsid w:val="00426145"/>
    <w:rsid w:val="004265CF"/>
    <w:rsid w:val="00437BDE"/>
    <w:rsid w:val="00443337"/>
    <w:rsid w:val="00457217"/>
    <w:rsid w:val="00457D86"/>
    <w:rsid w:val="00472CC6"/>
    <w:rsid w:val="00474195"/>
    <w:rsid w:val="004B24CC"/>
    <w:rsid w:val="004C245F"/>
    <w:rsid w:val="004D013A"/>
    <w:rsid w:val="004D32B7"/>
    <w:rsid w:val="004E257C"/>
    <w:rsid w:val="0050253B"/>
    <w:rsid w:val="00510237"/>
    <w:rsid w:val="00514DC0"/>
    <w:rsid w:val="005276DC"/>
    <w:rsid w:val="00552550"/>
    <w:rsid w:val="005644B3"/>
    <w:rsid w:val="00575413"/>
    <w:rsid w:val="00594885"/>
    <w:rsid w:val="005A0C26"/>
    <w:rsid w:val="005A66AD"/>
    <w:rsid w:val="005B4717"/>
    <w:rsid w:val="005B7210"/>
    <w:rsid w:val="005C0DD7"/>
    <w:rsid w:val="005C12FF"/>
    <w:rsid w:val="005C34AD"/>
    <w:rsid w:val="005C7D4B"/>
    <w:rsid w:val="005E1D7B"/>
    <w:rsid w:val="005E64BD"/>
    <w:rsid w:val="005F5533"/>
    <w:rsid w:val="006021FE"/>
    <w:rsid w:val="00626DA4"/>
    <w:rsid w:val="00640E38"/>
    <w:rsid w:val="006443D4"/>
    <w:rsid w:val="006543D0"/>
    <w:rsid w:val="00655D67"/>
    <w:rsid w:val="0066330C"/>
    <w:rsid w:val="0067078A"/>
    <w:rsid w:val="00677432"/>
    <w:rsid w:val="00677B55"/>
    <w:rsid w:val="00682ADB"/>
    <w:rsid w:val="00687F8E"/>
    <w:rsid w:val="00690348"/>
    <w:rsid w:val="006A2687"/>
    <w:rsid w:val="006A5067"/>
    <w:rsid w:val="006A5F49"/>
    <w:rsid w:val="006B5CDD"/>
    <w:rsid w:val="006E1F4E"/>
    <w:rsid w:val="006E6873"/>
    <w:rsid w:val="006F7801"/>
    <w:rsid w:val="007121C2"/>
    <w:rsid w:val="00730333"/>
    <w:rsid w:val="007359E0"/>
    <w:rsid w:val="007466B2"/>
    <w:rsid w:val="00747051"/>
    <w:rsid w:val="00754291"/>
    <w:rsid w:val="00772DF3"/>
    <w:rsid w:val="00776EB7"/>
    <w:rsid w:val="00786018"/>
    <w:rsid w:val="007925E3"/>
    <w:rsid w:val="007B3EF4"/>
    <w:rsid w:val="007B5E3A"/>
    <w:rsid w:val="007B7BA9"/>
    <w:rsid w:val="007C2FF6"/>
    <w:rsid w:val="007C3CF5"/>
    <w:rsid w:val="007D57A8"/>
    <w:rsid w:val="007E6FB3"/>
    <w:rsid w:val="007F00DC"/>
    <w:rsid w:val="007F0432"/>
    <w:rsid w:val="007F776E"/>
    <w:rsid w:val="007F78DD"/>
    <w:rsid w:val="008002C1"/>
    <w:rsid w:val="00802353"/>
    <w:rsid w:val="00803A47"/>
    <w:rsid w:val="00814911"/>
    <w:rsid w:val="00826F06"/>
    <w:rsid w:val="00833CED"/>
    <w:rsid w:val="00850565"/>
    <w:rsid w:val="00870F8F"/>
    <w:rsid w:val="00884CC0"/>
    <w:rsid w:val="00884F21"/>
    <w:rsid w:val="00894B73"/>
    <w:rsid w:val="0089521E"/>
    <w:rsid w:val="008A2523"/>
    <w:rsid w:val="008A294F"/>
    <w:rsid w:val="008A3B24"/>
    <w:rsid w:val="008A7F0E"/>
    <w:rsid w:val="008B76BA"/>
    <w:rsid w:val="008B77BA"/>
    <w:rsid w:val="008C60C9"/>
    <w:rsid w:val="008D0AB1"/>
    <w:rsid w:val="008E6798"/>
    <w:rsid w:val="008F4FBA"/>
    <w:rsid w:val="009026D6"/>
    <w:rsid w:val="00912835"/>
    <w:rsid w:val="0092753B"/>
    <w:rsid w:val="0095048A"/>
    <w:rsid w:val="00957171"/>
    <w:rsid w:val="009579F9"/>
    <w:rsid w:val="00992DD6"/>
    <w:rsid w:val="00995C4E"/>
    <w:rsid w:val="00996733"/>
    <w:rsid w:val="009B586D"/>
    <w:rsid w:val="009B69FF"/>
    <w:rsid w:val="009C50A2"/>
    <w:rsid w:val="009C78EC"/>
    <w:rsid w:val="009E0C33"/>
    <w:rsid w:val="009E76DB"/>
    <w:rsid w:val="009F07E0"/>
    <w:rsid w:val="009F2720"/>
    <w:rsid w:val="009F49BC"/>
    <w:rsid w:val="009F5176"/>
    <w:rsid w:val="009F6E73"/>
    <w:rsid w:val="00A06035"/>
    <w:rsid w:val="00A43C15"/>
    <w:rsid w:val="00A47A6D"/>
    <w:rsid w:val="00A509D7"/>
    <w:rsid w:val="00A533FD"/>
    <w:rsid w:val="00A66436"/>
    <w:rsid w:val="00A81785"/>
    <w:rsid w:val="00A8382C"/>
    <w:rsid w:val="00A84459"/>
    <w:rsid w:val="00A8477D"/>
    <w:rsid w:val="00A97099"/>
    <w:rsid w:val="00AB7119"/>
    <w:rsid w:val="00AC3D83"/>
    <w:rsid w:val="00AD51A0"/>
    <w:rsid w:val="00AD6994"/>
    <w:rsid w:val="00AD735B"/>
    <w:rsid w:val="00AE40EE"/>
    <w:rsid w:val="00AE57D3"/>
    <w:rsid w:val="00AF7433"/>
    <w:rsid w:val="00B03DB9"/>
    <w:rsid w:val="00B05F54"/>
    <w:rsid w:val="00B06810"/>
    <w:rsid w:val="00B23CDF"/>
    <w:rsid w:val="00B43E17"/>
    <w:rsid w:val="00B5567F"/>
    <w:rsid w:val="00B7661C"/>
    <w:rsid w:val="00B8540A"/>
    <w:rsid w:val="00B876C0"/>
    <w:rsid w:val="00BA2D96"/>
    <w:rsid w:val="00BC132A"/>
    <w:rsid w:val="00BC3888"/>
    <w:rsid w:val="00BC5617"/>
    <w:rsid w:val="00BE0028"/>
    <w:rsid w:val="00BE17BD"/>
    <w:rsid w:val="00BF042C"/>
    <w:rsid w:val="00C07878"/>
    <w:rsid w:val="00C07F34"/>
    <w:rsid w:val="00C15903"/>
    <w:rsid w:val="00C24B5C"/>
    <w:rsid w:val="00C24BAB"/>
    <w:rsid w:val="00C3414F"/>
    <w:rsid w:val="00C45B8E"/>
    <w:rsid w:val="00C46EFC"/>
    <w:rsid w:val="00C6422D"/>
    <w:rsid w:val="00C72D6A"/>
    <w:rsid w:val="00C76D1B"/>
    <w:rsid w:val="00C9546D"/>
    <w:rsid w:val="00C97BE0"/>
    <w:rsid w:val="00CA1BA3"/>
    <w:rsid w:val="00CA2DFE"/>
    <w:rsid w:val="00CA7520"/>
    <w:rsid w:val="00CA7DE8"/>
    <w:rsid w:val="00CE2004"/>
    <w:rsid w:val="00CE6FC3"/>
    <w:rsid w:val="00CE7B1E"/>
    <w:rsid w:val="00D03DAA"/>
    <w:rsid w:val="00D067D3"/>
    <w:rsid w:val="00D06ED9"/>
    <w:rsid w:val="00D30DC4"/>
    <w:rsid w:val="00D35E44"/>
    <w:rsid w:val="00D36661"/>
    <w:rsid w:val="00D603D4"/>
    <w:rsid w:val="00D850D5"/>
    <w:rsid w:val="00D934EF"/>
    <w:rsid w:val="00D97311"/>
    <w:rsid w:val="00DB5D2D"/>
    <w:rsid w:val="00DC39D7"/>
    <w:rsid w:val="00DE0972"/>
    <w:rsid w:val="00DE1794"/>
    <w:rsid w:val="00DE22C3"/>
    <w:rsid w:val="00DF138B"/>
    <w:rsid w:val="00DF1F2C"/>
    <w:rsid w:val="00DF74A9"/>
    <w:rsid w:val="00E04BFB"/>
    <w:rsid w:val="00E113BD"/>
    <w:rsid w:val="00E11797"/>
    <w:rsid w:val="00E13D23"/>
    <w:rsid w:val="00E209B6"/>
    <w:rsid w:val="00E2413D"/>
    <w:rsid w:val="00E46D56"/>
    <w:rsid w:val="00E47B09"/>
    <w:rsid w:val="00E50ABF"/>
    <w:rsid w:val="00E72B46"/>
    <w:rsid w:val="00E87883"/>
    <w:rsid w:val="00E91922"/>
    <w:rsid w:val="00E95E22"/>
    <w:rsid w:val="00EC228E"/>
    <w:rsid w:val="00ED181A"/>
    <w:rsid w:val="00ED2762"/>
    <w:rsid w:val="00ED38BF"/>
    <w:rsid w:val="00ED5E5A"/>
    <w:rsid w:val="00ED6ECC"/>
    <w:rsid w:val="00F05BE5"/>
    <w:rsid w:val="00F22E89"/>
    <w:rsid w:val="00F31EC3"/>
    <w:rsid w:val="00F32183"/>
    <w:rsid w:val="00F368F9"/>
    <w:rsid w:val="00F371EF"/>
    <w:rsid w:val="00F63625"/>
    <w:rsid w:val="00F9090A"/>
    <w:rsid w:val="00F96E01"/>
    <w:rsid w:val="00FA688E"/>
    <w:rsid w:val="00FC3E16"/>
    <w:rsid w:val="00FD2152"/>
    <w:rsid w:val="00FD2237"/>
    <w:rsid w:val="00FD7231"/>
    <w:rsid w:val="00FE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4F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B1"/>
    <w:pPr>
      <w:spacing w:after="200" w:line="276" w:lineRule="auto"/>
    </w:pPr>
    <w:rPr>
      <w:sz w:val="22"/>
      <w:szCs w:val="22"/>
      <w:lang w:val="en-GB"/>
    </w:rPr>
  </w:style>
  <w:style w:type="paragraph" w:styleId="Heading1">
    <w:name w:val="heading 1"/>
    <w:basedOn w:val="NoSpacing"/>
    <w:next w:val="Normal"/>
    <w:link w:val="Heading1Char"/>
    <w:uiPriority w:val="9"/>
    <w:qFormat/>
    <w:rsid w:val="001A4CCD"/>
    <w:pPr>
      <w:jc w:val="center"/>
      <w:outlineLvl w:val="0"/>
    </w:pPr>
    <w:rPr>
      <w:rFonts w:cstheme="minorHAnsi"/>
      <w:b/>
      <w:sz w:val="20"/>
      <w:szCs w:val="20"/>
    </w:rPr>
  </w:style>
  <w:style w:type="paragraph" w:styleId="Heading2">
    <w:name w:val="heading 2"/>
    <w:basedOn w:val="Normal"/>
    <w:next w:val="Normal"/>
    <w:link w:val="Heading2Char"/>
    <w:uiPriority w:val="9"/>
    <w:unhideWhenUsed/>
    <w:qFormat/>
    <w:rsid w:val="001A4CCD"/>
    <w:pPr>
      <w:spacing w:after="80" w:line="240" w:lineRule="auto"/>
      <w:jc w:val="center"/>
      <w:outlineLvl w:val="1"/>
    </w:pPr>
    <w:rPr>
      <w:rFonts w:cstheme="minorHAnsi"/>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221"/>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164221"/>
    <w:rPr>
      <w:rFonts w:ascii="Times New Roman" w:hAnsi="Times New Roman" w:cs="Times New Roman"/>
      <w:sz w:val="26"/>
      <w:szCs w:val="26"/>
      <w:lang w:val="en-GB"/>
    </w:rPr>
  </w:style>
  <w:style w:type="character" w:styleId="CommentReference">
    <w:name w:val="annotation reference"/>
    <w:basedOn w:val="DefaultParagraphFont"/>
    <w:uiPriority w:val="99"/>
    <w:semiHidden/>
    <w:unhideWhenUsed/>
    <w:rsid w:val="00A84459"/>
    <w:rPr>
      <w:sz w:val="16"/>
      <w:szCs w:val="16"/>
    </w:rPr>
  </w:style>
  <w:style w:type="paragraph" w:styleId="CommentText">
    <w:name w:val="annotation text"/>
    <w:basedOn w:val="Normal"/>
    <w:link w:val="CommentTextChar"/>
    <w:uiPriority w:val="99"/>
    <w:unhideWhenUsed/>
    <w:rsid w:val="00A84459"/>
    <w:pPr>
      <w:spacing w:line="240" w:lineRule="auto"/>
    </w:pPr>
    <w:rPr>
      <w:sz w:val="20"/>
      <w:szCs w:val="20"/>
    </w:rPr>
  </w:style>
  <w:style w:type="character" w:customStyle="1" w:styleId="CommentTextChar">
    <w:name w:val="Comment Text Char"/>
    <w:basedOn w:val="DefaultParagraphFont"/>
    <w:link w:val="CommentText"/>
    <w:uiPriority w:val="99"/>
    <w:rsid w:val="00A84459"/>
    <w:rPr>
      <w:sz w:val="20"/>
      <w:szCs w:val="20"/>
      <w:lang w:val="en-GB"/>
    </w:rPr>
  </w:style>
  <w:style w:type="paragraph" w:styleId="CommentSubject">
    <w:name w:val="annotation subject"/>
    <w:basedOn w:val="CommentText"/>
    <w:next w:val="CommentText"/>
    <w:link w:val="CommentSubjectChar"/>
    <w:uiPriority w:val="99"/>
    <w:semiHidden/>
    <w:unhideWhenUsed/>
    <w:rsid w:val="00A84459"/>
    <w:rPr>
      <w:b/>
      <w:bCs/>
    </w:rPr>
  </w:style>
  <w:style w:type="character" w:customStyle="1" w:styleId="CommentSubjectChar">
    <w:name w:val="Comment Subject Char"/>
    <w:basedOn w:val="CommentTextChar"/>
    <w:link w:val="CommentSubject"/>
    <w:uiPriority w:val="99"/>
    <w:semiHidden/>
    <w:rsid w:val="00A84459"/>
    <w:rPr>
      <w:b/>
      <w:bCs/>
      <w:sz w:val="20"/>
      <w:szCs w:val="20"/>
      <w:lang w:val="en-GB"/>
    </w:rPr>
  </w:style>
  <w:style w:type="paragraph" w:customStyle="1" w:styleId="SingleTxtG">
    <w:name w:val="_ Single Txt_G"/>
    <w:basedOn w:val="Normal"/>
    <w:qFormat/>
    <w:rsid w:val="00F371EF"/>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rPr>
  </w:style>
  <w:style w:type="paragraph" w:styleId="NoSpacing">
    <w:name w:val="No Spacing"/>
    <w:uiPriority w:val="1"/>
    <w:qFormat/>
    <w:rsid w:val="00457217"/>
    <w:rPr>
      <w:sz w:val="22"/>
      <w:szCs w:val="22"/>
      <w:lang w:val="en-GB"/>
    </w:rPr>
  </w:style>
  <w:style w:type="paragraph" w:styleId="EndnoteText">
    <w:name w:val="endnote text"/>
    <w:basedOn w:val="Normal"/>
    <w:link w:val="EndnoteTextChar"/>
    <w:uiPriority w:val="99"/>
    <w:unhideWhenUsed/>
    <w:rsid w:val="00AE40EE"/>
    <w:pPr>
      <w:spacing w:after="0" w:line="240" w:lineRule="auto"/>
    </w:pPr>
    <w:rPr>
      <w:sz w:val="20"/>
      <w:szCs w:val="20"/>
    </w:rPr>
  </w:style>
  <w:style w:type="character" w:customStyle="1" w:styleId="EndnoteTextChar">
    <w:name w:val="Endnote Text Char"/>
    <w:basedOn w:val="DefaultParagraphFont"/>
    <w:link w:val="EndnoteText"/>
    <w:uiPriority w:val="99"/>
    <w:rsid w:val="00AE40EE"/>
    <w:rPr>
      <w:sz w:val="20"/>
      <w:szCs w:val="20"/>
      <w:lang w:val="en-GB"/>
    </w:rPr>
  </w:style>
  <w:style w:type="character" w:styleId="EndnoteReference">
    <w:name w:val="endnote reference"/>
    <w:basedOn w:val="DefaultParagraphFont"/>
    <w:uiPriority w:val="99"/>
    <w:unhideWhenUsed/>
    <w:rsid w:val="00AE40EE"/>
    <w:rPr>
      <w:vertAlign w:val="superscript"/>
    </w:rPr>
  </w:style>
  <w:style w:type="character" w:styleId="Hyperlink">
    <w:name w:val="Hyperlink"/>
    <w:basedOn w:val="DefaultParagraphFont"/>
    <w:uiPriority w:val="99"/>
    <w:unhideWhenUsed/>
    <w:rsid w:val="00E04BFB"/>
    <w:rPr>
      <w:color w:val="0563C1" w:themeColor="hyperlink"/>
      <w:u w:val="single"/>
    </w:rPr>
  </w:style>
  <w:style w:type="paragraph" w:styleId="Revision">
    <w:name w:val="Revision"/>
    <w:hidden/>
    <w:uiPriority w:val="99"/>
    <w:semiHidden/>
    <w:rsid w:val="00E50ABF"/>
    <w:rPr>
      <w:sz w:val="22"/>
      <w:szCs w:val="22"/>
      <w:lang w:val="en-GB"/>
    </w:rPr>
  </w:style>
  <w:style w:type="paragraph" w:styleId="FootnoteText">
    <w:name w:val="footnote text"/>
    <w:basedOn w:val="Normal"/>
    <w:link w:val="FootnoteTextChar"/>
    <w:uiPriority w:val="99"/>
    <w:semiHidden/>
    <w:unhideWhenUsed/>
    <w:rsid w:val="008A3B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B24"/>
    <w:rPr>
      <w:sz w:val="20"/>
      <w:szCs w:val="20"/>
      <w:lang w:val="en-GB"/>
    </w:rPr>
  </w:style>
  <w:style w:type="character" w:styleId="FootnoteReference">
    <w:name w:val="footnote reference"/>
    <w:basedOn w:val="DefaultParagraphFont"/>
    <w:uiPriority w:val="99"/>
    <w:semiHidden/>
    <w:unhideWhenUsed/>
    <w:rsid w:val="008A3B24"/>
    <w:rPr>
      <w:vertAlign w:val="superscript"/>
    </w:rPr>
  </w:style>
  <w:style w:type="character" w:customStyle="1" w:styleId="highlight">
    <w:name w:val="highlight"/>
    <w:basedOn w:val="DefaultParagraphFont"/>
    <w:rsid w:val="00360675"/>
  </w:style>
  <w:style w:type="paragraph" w:styleId="Header">
    <w:name w:val="header"/>
    <w:aliases w:val="6_G"/>
    <w:basedOn w:val="Normal"/>
    <w:link w:val="HeaderChar"/>
    <w:qFormat/>
    <w:rsid w:val="00472CC6"/>
    <w:pPr>
      <w:pBdr>
        <w:bottom w:val="single" w:sz="4" w:space="4" w:color="auto"/>
      </w:pBdr>
      <w:suppressAutoHyphens/>
      <w:kinsoku w:val="0"/>
      <w:overflowPunct w:val="0"/>
      <w:autoSpaceDE w:val="0"/>
      <w:autoSpaceDN w:val="0"/>
      <w:adjustRightInd w:val="0"/>
      <w:snapToGrid w:val="0"/>
      <w:spacing w:after="0" w:line="240" w:lineRule="auto"/>
    </w:pPr>
    <w:rPr>
      <w:rFonts w:ascii="Times New Roman" w:hAnsi="Times New Roman" w:cs="Times New Roman"/>
      <w:b/>
      <w:sz w:val="18"/>
      <w:szCs w:val="20"/>
    </w:rPr>
  </w:style>
  <w:style w:type="character" w:customStyle="1" w:styleId="HeaderChar">
    <w:name w:val="Header Char"/>
    <w:aliases w:val="6_G Char"/>
    <w:basedOn w:val="DefaultParagraphFont"/>
    <w:link w:val="Header"/>
    <w:rsid w:val="00472CC6"/>
    <w:rPr>
      <w:rFonts w:ascii="Times New Roman" w:hAnsi="Times New Roman" w:cs="Times New Roman"/>
      <w:b/>
      <w:sz w:val="18"/>
      <w:szCs w:val="20"/>
      <w:lang w:val="en-GB"/>
    </w:rPr>
  </w:style>
  <w:style w:type="character" w:customStyle="1" w:styleId="UnresolvedMention1">
    <w:name w:val="Unresolved Mention1"/>
    <w:basedOn w:val="DefaultParagraphFont"/>
    <w:uiPriority w:val="99"/>
    <w:semiHidden/>
    <w:unhideWhenUsed/>
    <w:rsid w:val="002770D5"/>
    <w:rPr>
      <w:color w:val="605E5C"/>
      <w:shd w:val="clear" w:color="auto" w:fill="E1DFDD"/>
    </w:rPr>
  </w:style>
  <w:style w:type="character" w:styleId="FollowedHyperlink">
    <w:name w:val="FollowedHyperlink"/>
    <w:basedOn w:val="DefaultParagraphFont"/>
    <w:uiPriority w:val="99"/>
    <w:semiHidden/>
    <w:unhideWhenUsed/>
    <w:rsid w:val="00F368F9"/>
    <w:rPr>
      <w:color w:val="954F72" w:themeColor="followedHyperlink"/>
      <w:u w:val="single"/>
    </w:rPr>
  </w:style>
  <w:style w:type="paragraph" w:styleId="Footer">
    <w:name w:val="footer"/>
    <w:basedOn w:val="Normal"/>
    <w:link w:val="FooterChar"/>
    <w:uiPriority w:val="99"/>
    <w:unhideWhenUsed/>
    <w:rsid w:val="001A4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CCD"/>
    <w:rPr>
      <w:sz w:val="22"/>
      <w:szCs w:val="22"/>
      <w:lang w:val="en-GB"/>
    </w:rPr>
  </w:style>
  <w:style w:type="character" w:customStyle="1" w:styleId="Heading1Char">
    <w:name w:val="Heading 1 Char"/>
    <w:basedOn w:val="DefaultParagraphFont"/>
    <w:link w:val="Heading1"/>
    <w:uiPriority w:val="9"/>
    <w:rsid w:val="001A4CCD"/>
    <w:rPr>
      <w:rFonts w:cstheme="minorHAnsi"/>
      <w:b/>
      <w:sz w:val="20"/>
      <w:szCs w:val="20"/>
      <w:lang w:val="en-GB"/>
    </w:rPr>
  </w:style>
  <w:style w:type="character" w:customStyle="1" w:styleId="Heading2Char">
    <w:name w:val="Heading 2 Char"/>
    <w:basedOn w:val="DefaultParagraphFont"/>
    <w:link w:val="Heading2"/>
    <w:uiPriority w:val="9"/>
    <w:rsid w:val="001A4CCD"/>
    <w:rPr>
      <w:rFonts w:cstheme="minorHAnsi"/>
      <w:b/>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31664">
      <w:bodyDiv w:val="1"/>
      <w:marLeft w:val="0"/>
      <w:marRight w:val="0"/>
      <w:marTop w:val="0"/>
      <w:marBottom w:val="0"/>
      <w:divBdr>
        <w:top w:val="none" w:sz="0" w:space="0" w:color="auto"/>
        <w:left w:val="none" w:sz="0" w:space="0" w:color="auto"/>
        <w:bottom w:val="none" w:sz="0" w:space="0" w:color="auto"/>
        <w:right w:val="none" w:sz="0" w:space="0" w:color="auto"/>
      </w:divBdr>
      <w:divsChild>
        <w:div w:id="27949551">
          <w:marLeft w:val="0"/>
          <w:marRight w:val="0"/>
          <w:marTop w:val="0"/>
          <w:marBottom w:val="0"/>
          <w:divBdr>
            <w:top w:val="none" w:sz="0" w:space="0" w:color="auto"/>
            <w:left w:val="none" w:sz="0" w:space="0" w:color="auto"/>
            <w:bottom w:val="none" w:sz="0" w:space="0" w:color="auto"/>
            <w:right w:val="none" w:sz="0" w:space="0" w:color="auto"/>
          </w:divBdr>
        </w:div>
        <w:div w:id="1381711660">
          <w:marLeft w:val="0"/>
          <w:marRight w:val="0"/>
          <w:marTop w:val="0"/>
          <w:marBottom w:val="0"/>
          <w:divBdr>
            <w:top w:val="none" w:sz="0" w:space="0" w:color="auto"/>
            <w:left w:val="none" w:sz="0" w:space="0" w:color="auto"/>
            <w:bottom w:val="none" w:sz="0" w:space="0" w:color="auto"/>
            <w:right w:val="none" w:sz="0" w:space="0" w:color="auto"/>
          </w:divBdr>
        </w:div>
        <w:div w:id="1641962227">
          <w:marLeft w:val="0"/>
          <w:marRight w:val="0"/>
          <w:marTop w:val="0"/>
          <w:marBottom w:val="0"/>
          <w:divBdr>
            <w:top w:val="none" w:sz="0" w:space="0" w:color="auto"/>
            <w:left w:val="none" w:sz="0" w:space="0" w:color="auto"/>
            <w:bottom w:val="none" w:sz="0" w:space="0" w:color="auto"/>
            <w:right w:val="none" w:sz="0" w:space="0" w:color="auto"/>
          </w:divBdr>
        </w:div>
      </w:divsChild>
    </w:div>
    <w:div w:id="864637492">
      <w:bodyDiv w:val="1"/>
      <w:marLeft w:val="0"/>
      <w:marRight w:val="0"/>
      <w:marTop w:val="0"/>
      <w:marBottom w:val="0"/>
      <w:divBdr>
        <w:top w:val="none" w:sz="0" w:space="0" w:color="auto"/>
        <w:left w:val="none" w:sz="0" w:space="0" w:color="auto"/>
        <w:bottom w:val="none" w:sz="0" w:space="0" w:color="auto"/>
        <w:right w:val="none" w:sz="0" w:space="0" w:color="auto"/>
      </w:divBdr>
      <w:divsChild>
        <w:div w:id="184952867">
          <w:marLeft w:val="0"/>
          <w:marRight w:val="0"/>
          <w:marTop w:val="0"/>
          <w:marBottom w:val="0"/>
          <w:divBdr>
            <w:top w:val="none" w:sz="0" w:space="0" w:color="auto"/>
            <w:left w:val="none" w:sz="0" w:space="0" w:color="auto"/>
            <w:bottom w:val="none" w:sz="0" w:space="0" w:color="auto"/>
            <w:right w:val="none" w:sz="0" w:space="0" w:color="auto"/>
          </w:divBdr>
        </w:div>
        <w:div w:id="579021322">
          <w:marLeft w:val="0"/>
          <w:marRight w:val="0"/>
          <w:marTop w:val="0"/>
          <w:marBottom w:val="0"/>
          <w:divBdr>
            <w:top w:val="none" w:sz="0" w:space="0" w:color="auto"/>
            <w:left w:val="none" w:sz="0" w:space="0" w:color="auto"/>
            <w:bottom w:val="none" w:sz="0" w:space="0" w:color="auto"/>
            <w:right w:val="none" w:sz="0" w:space="0" w:color="auto"/>
          </w:divBdr>
        </w:div>
        <w:div w:id="581792059">
          <w:marLeft w:val="0"/>
          <w:marRight w:val="0"/>
          <w:marTop w:val="0"/>
          <w:marBottom w:val="0"/>
          <w:divBdr>
            <w:top w:val="none" w:sz="0" w:space="0" w:color="auto"/>
            <w:left w:val="none" w:sz="0" w:space="0" w:color="auto"/>
            <w:bottom w:val="none" w:sz="0" w:space="0" w:color="auto"/>
            <w:right w:val="none" w:sz="0" w:space="0" w:color="auto"/>
          </w:divBdr>
        </w:div>
        <w:div w:id="935942699">
          <w:marLeft w:val="0"/>
          <w:marRight w:val="0"/>
          <w:marTop w:val="0"/>
          <w:marBottom w:val="0"/>
          <w:divBdr>
            <w:top w:val="none" w:sz="0" w:space="0" w:color="auto"/>
            <w:left w:val="none" w:sz="0" w:space="0" w:color="auto"/>
            <w:bottom w:val="none" w:sz="0" w:space="0" w:color="auto"/>
            <w:right w:val="none" w:sz="0" w:space="0" w:color="auto"/>
          </w:divBdr>
        </w:div>
        <w:div w:id="1195732570">
          <w:marLeft w:val="0"/>
          <w:marRight w:val="0"/>
          <w:marTop w:val="0"/>
          <w:marBottom w:val="0"/>
          <w:divBdr>
            <w:top w:val="none" w:sz="0" w:space="0" w:color="auto"/>
            <w:left w:val="none" w:sz="0" w:space="0" w:color="auto"/>
            <w:bottom w:val="none" w:sz="0" w:space="0" w:color="auto"/>
            <w:right w:val="none" w:sz="0" w:space="0" w:color="auto"/>
          </w:divBdr>
        </w:div>
        <w:div w:id="1214387486">
          <w:marLeft w:val="0"/>
          <w:marRight w:val="0"/>
          <w:marTop w:val="0"/>
          <w:marBottom w:val="0"/>
          <w:divBdr>
            <w:top w:val="none" w:sz="0" w:space="0" w:color="auto"/>
            <w:left w:val="none" w:sz="0" w:space="0" w:color="auto"/>
            <w:bottom w:val="none" w:sz="0" w:space="0" w:color="auto"/>
            <w:right w:val="none" w:sz="0" w:space="0" w:color="auto"/>
          </w:divBdr>
        </w:div>
        <w:div w:id="1372539616">
          <w:marLeft w:val="0"/>
          <w:marRight w:val="0"/>
          <w:marTop w:val="0"/>
          <w:marBottom w:val="0"/>
          <w:divBdr>
            <w:top w:val="none" w:sz="0" w:space="0" w:color="auto"/>
            <w:left w:val="none" w:sz="0" w:space="0" w:color="auto"/>
            <w:bottom w:val="none" w:sz="0" w:space="0" w:color="auto"/>
            <w:right w:val="none" w:sz="0" w:space="0" w:color="auto"/>
          </w:divBdr>
        </w:div>
        <w:div w:id="1564440193">
          <w:marLeft w:val="0"/>
          <w:marRight w:val="0"/>
          <w:marTop w:val="0"/>
          <w:marBottom w:val="0"/>
          <w:divBdr>
            <w:top w:val="none" w:sz="0" w:space="0" w:color="auto"/>
            <w:left w:val="none" w:sz="0" w:space="0" w:color="auto"/>
            <w:bottom w:val="none" w:sz="0" w:space="0" w:color="auto"/>
            <w:right w:val="none" w:sz="0" w:space="0" w:color="auto"/>
          </w:divBdr>
        </w:div>
        <w:div w:id="1604024460">
          <w:marLeft w:val="0"/>
          <w:marRight w:val="0"/>
          <w:marTop w:val="0"/>
          <w:marBottom w:val="0"/>
          <w:divBdr>
            <w:top w:val="none" w:sz="0" w:space="0" w:color="auto"/>
            <w:left w:val="none" w:sz="0" w:space="0" w:color="auto"/>
            <w:bottom w:val="none" w:sz="0" w:space="0" w:color="auto"/>
            <w:right w:val="none" w:sz="0" w:space="0" w:color="auto"/>
          </w:divBdr>
        </w:div>
        <w:div w:id="1776092146">
          <w:marLeft w:val="0"/>
          <w:marRight w:val="0"/>
          <w:marTop w:val="0"/>
          <w:marBottom w:val="0"/>
          <w:divBdr>
            <w:top w:val="none" w:sz="0" w:space="0" w:color="auto"/>
            <w:left w:val="none" w:sz="0" w:space="0" w:color="auto"/>
            <w:bottom w:val="none" w:sz="0" w:space="0" w:color="auto"/>
            <w:right w:val="none" w:sz="0" w:space="0" w:color="auto"/>
          </w:divBdr>
        </w:div>
        <w:div w:id="2131245051">
          <w:marLeft w:val="0"/>
          <w:marRight w:val="0"/>
          <w:marTop w:val="0"/>
          <w:marBottom w:val="0"/>
          <w:divBdr>
            <w:top w:val="none" w:sz="0" w:space="0" w:color="auto"/>
            <w:left w:val="none" w:sz="0" w:space="0" w:color="auto"/>
            <w:bottom w:val="none" w:sz="0" w:space="0" w:color="auto"/>
            <w:right w:val="none" w:sz="0" w:space="0" w:color="auto"/>
          </w:divBdr>
        </w:div>
      </w:divsChild>
    </w:div>
    <w:div w:id="1342664200">
      <w:bodyDiv w:val="1"/>
      <w:marLeft w:val="0"/>
      <w:marRight w:val="0"/>
      <w:marTop w:val="0"/>
      <w:marBottom w:val="0"/>
      <w:divBdr>
        <w:top w:val="none" w:sz="0" w:space="0" w:color="auto"/>
        <w:left w:val="none" w:sz="0" w:space="0" w:color="auto"/>
        <w:bottom w:val="none" w:sz="0" w:space="0" w:color="auto"/>
        <w:right w:val="none" w:sz="0" w:space="0" w:color="auto"/>
      </w:divBdr>
    </w:div>
    <w:div w:id="1355375925">
      <w:bodyDiv w:val="1"/>
      <w:marLeft w:val="0"/>
      <w:marRight w:val="0"/>
      <w:marTop w:val="0"/>
      <w:marBottom w:val="0"/>
      <w:divBdr>
        <w:top w:val="none" w:sz="0" w:space="0" w:color="auto"/>
        <w:left w:val="none" w:sz="0" w:space="0" w:color="auto"/>
        <w:bottom w:val="none" w:sz="0" w:space="0" w:color="auto"/>
        <w:right w:val="none" w:sz="0" w:space="0" w:color="auto"/>
      </w:divBdr>
      <w:divsChild>
        <w:div w:id="53895947">
          <w:marLeft w:val="720"/>
          <w:marRight w:val="0"/>
          <w:marTop w:val="0"/>
          <w:marBottom w:val="0"/>
          <w:divBdr>
            <w:top w:val="none" w:sz="0" w:space="0" w:color="auto"/>
            <w:left w:val="none" w:sz="0" w:space="0" w:color="auto"/>
            <w:bottom w:val="none" w:sz="0" w:space="0" w:color="auto"/>
            <w:right w:val="none" w:sz="0" w:space="0" w:color="auto"/>
          </w:divBdr>
        </w:div>
        <w:div w:id="876164028">
          <w:marLeft w:val="720"/>
          <w:marRight w:val="0"/>
          <w:marTop w:val="0"/>
          <w:marBottom w:val="0"/>
          <w:divBdr>
            <w:top w:val="none" w:sz="0" w:space="0" w:color="auto"/>
            <w:left w:val="none" w:sz="0" w:space="0" w:color="auto"/>
            <w:bottom w:val="none" w:sz="0" w:space="0" w:color="auto"/>
            <w:right w:val="none" w:sz="0" w:space="0" w:color="auto"/>
          </w:divBdr>
        </w:div>
      </w:divsChild>
    </w:div>
    <w:div w:id="1865485117">
      <w:bodyDiv w:val="1"/>
      <w:marLeft w:val="0"/>
      <w:marRight w:val="0"/>
      <w:marTop w:val="0"/>
      <w:marBottom w:val="0"/>
      <w:divBdr>
        <w:top w:val="none" w:sz="0" w:space="0" w:color="auto"/>
        <w:left w:val="none" w:sz="0" w:space="0" w:color="auto"/>
        <w:bottom w:val="none" w:sz="0" w:space="0" w:color="auto"/>
        <w:right w:val="none" w:sz="0" w:space="0" w:color="auto"/>
      </w:divBdr>
      <w:divsChild>
        <w:div w:id="83307556">
          <w:marLeft w:val="0"/>
          <w:marRight w:val="0"/>
          <w:marTop w:val="0"/>
          <w:marBottom w:val="0"/>
          <w:divBdr>
            <w:top w:val="none" w:sz="0" w:space="0" w:color="auto"/>
            <w:left w:val="none" w:sz="0" w:space="0" w:color="auto"/>
            <w:bottom w:val="none" w:sz="0" w:space="0" w:color="auto"/>
            <w:right w:val="none" w:sz="0" w:space="0" w:color="auto"/>
          </w:divBdr>
        </w:div>
        <w:div w:id="113330314">
          <w:marLeft w:val="0"/>
          <w:marRight w:val="0"/>
          <w:marTop w:val="0"/>
          <w:marBottom w:val="0"/>
          <w:divBdr>
            <w:top w:val="none" w:sz="0" w:space="0" w:color="auto"/>
            <w:left w:val="none" w:sz="0" w:space="0" w:color="auto"/>
            <w:bottom w:val="none" w:sz="0" w:space="0" w:color="auto"/>
            <w:right w:val="none" w:sz="0" w:space="0" w:color="auto"/>
          </w:divBdr>
        </w:div>
        <w:div w:id="171073352">
          <w:marLeft w:val="0"/>
          <w:marRight w:val="0"/>
          <w:marTop w:val="0"/>
          <w:marBottom w:val="0"/>
          <w:divBdr>
            <w:top w:val="none" w:sz="0" w:space="0" w:color="auto"/>
            <w:left w:val="none" w:sz="0" w:space="0" w:color="auto"/>
            <w:bottom w:val="none" w:sz="0" w:space="0" w:color="auto"/>
            <w:right w:val="none" w:sz="0" w:space="0" w:color="auto"/>
          </w:divBdr>
        </w:div>
        <w:div w:id="413287874">
          <w:marLeft w:val="0"/>
          <w:marRight w:val="0"/>
          <w:marTop w:val="0"/>
          <w:marBottom w:val="0"/>
          <w:divBdr>
            <w:top w:val="none" w:sz="0" w:space="0" w:color="auto"/>
            <w:left w:val="none" w:sz="0" w:space="0" w:color="auto"/>
            <w:bottom w:val="none" w:sz="0" w:space="0" w:color="auto"/>
            <w:right w:val="none" w:sz="0" w:space="0" w:color="auto"/>
          </w:divBdr>
        </w:div>
        <w:div w:id="825510270">
          <w:marLeft w:val="0"/>
          <w:marRight w:val="0"/>
          <w:marTop w:val="0"/>
          <w:marBottom w:val="0"/>
          <w:divBdr>
            <w:top w:val="none" w:sz="0" w:space="0" w:color="auto"/>
            <w:left w:val="none" w:sz="0" w:space="0" w:color="auto"/>
            <w:bottom w:val="none" w:sz="0" w:space="0" w:color="auto"/>
            <w:right w:val="none" w:sz="0" w:space="0" w:color="auto"/>
          </w:divBdr>
        </w:div>
        <w:div w:id="1484662780">
          <w:marLeft w:val="0"/>
          <w:marRight w:val="0"/>
          <w:marTop w:val="0"/>
          <w:marBottom w:val="0"/>
          <w:divBdr>
            <w:top w:val="none" w:sz="0" w:space="0" w:color="auto"/>
            <w:left w:val="none" w:sz="0" w:space="0" w:color="auto"/>
            <w:bottom w:val="none" w:sz="0" w:space="0" w:color="auto"/>
            <w:right w:val="none" w:sz="0" w:space="0" w:color="auto"/>
          </w:divBdr>
        </w:div>
        <w:div w:id="2102867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RPD/C/GC/1&amp;Lang=en"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en/A/HRC/34/5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binternet.ohchr.org/_layouts/15/treatybodyexternal/Download.aspx?symbolno=CRPD/C/GC/1&amp;Lang=en" TargetMode="External"/><Relationship Id="rId4" Type="http://schemas.openxmlformats.org/officeDocument/2006/relationships/settings" Target="settings.xml"/><Relationship Id="rId9" Type="http://schemas.openxmlformats.org/officeDocument/2006/relationships/hyperlink" Target="https://undocs.org/en/A/HRC/37/56"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15/treatybodyexternal/Download.aspx?symbolno=CRPD/C/GC/1&amp;Lang=en" TargetMode="External"/><Relationship Id="rId2" Type="http://schemas.openxmlformats.org/officeDocument/2006/relationships/hyperlink" Target="https://tbinternet.ohchr.org/_layouts/15/treatybodyexternal/Download.aspx?symbolno=CRPD/C/GC/1&amp;Lang=en" TargetMode="External"/><Relationship Id="rId1" Type="http://schemas.openxmlformats.org/officeDocument/2006/relationships/hyperlink" Target="https://tbinternet.ohchr.org/_layouts/15/treatybodyexternal/Download.aspx?symbolno=CRPD/C/GC/1&amp;Lang=en" TargetMode="External"/><Relationship Id="rId5" Type="http://schemas.openxmlformats.org/officeDocument/2006/relationships/hyperlink" Target="https://tbinternet.ohchr.org/_layouts/treatybodyexternal/Download.aspx?symbolno=CRPD/C/GC/7&amp;Lang=en" TargetMode="External"/><Relationship Id="rId4" Type="http://schemas.openxmlformats.org/officeDocument/2006/relationships/hyperlink" Target="https://undocs.org/en/A/HRC/3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2B63B1-93F4-4D48-A289-0A4A3F70D856}">
  <ds:schemaRefs>
    <ds:schemaRef ds:uri="http://schemas.openxmlformats.org/officeDocument/2006/bibliography"/>
  </ds:schemaRefs>
</ds:datastoreItem>
</file>

<file path=customXml/itemProps2.xml><?xml version="1.0" encoding="utf-8"?>
<ds:datastoreItem xmlns:ds="http://schemas.openxmlformats.org/officeDocument/2006/customXml" ds:itemID="{57456B0E-44B0-4F52-8C39-B28EF2BA838C}"/>
</file>

<file path=customXml/itemProps3.xml><?xml version="1.0" encoding="utf-8"?>
<ds:datastoreItem xmlns:ds="http://schemas.openxmlformats.org/officeDocument/2006/customXml" ds:itemID="{67D57F61-BC03-43A4-BA33-05CABC323A8F}"/>
</file>

<file path=customXml/itemProps4.xml><?xml version="1.0" encoding="utf-8"?>
<ds:datastoreItem xmlns:ds="http://schemas.openxmlformats.org/officeDocument/2006/customXml" ds:itemID="{2EA9D2E4-ABDA-4C21-879A-2EEAEE313346}"/>
</file>

<file path=docProps/app.xml><?xml version="1.0" encoding="utf-8"?>
<Properties xmlns="http://schemas.openxmlformats.org/officeDocument/2006/extended-properties" xmlns:vt="http://schemas.openxmlformats.org/officeDocument/2006/docPropsVTypes">
  <Template>Normal.dotm</Template>
  <TotalTime>21</TotalTime>
  <Pages>3</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15</cp:revision>
  <cp:lastPrinted>2018-07-17T14:35:00Z</cp:lastPrinted>
  <dcterms:created xsi:type="dcterms:W3CDTF">2019-11-01T15:45:00Z</dcterms:created>
  <dcterms:modified xsi:type="dcterms:W3CDTF">2021-01-30T21:20:00Z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