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33D7D" w14:textId="77777777" w:rsidR="00BB0F7C" w:rsidRPr="00814D07" w:rsidRDefault="00BB0F7C" w:rsidP="002074D0">
      <w:pPr>
        <w:pStyle w:val="Heading1"/>
      </w:pPr>
      <w:r w:rsidRPr="00814D07">
        <w:t>Article 13 - List of illustrative indicators on access to justice by persons with disabilities</w:t>
      </w:r>
    </w:p>
    <w:p w14:paraId="797A9DA7" w14:textId="60A6800A" w:rsidR="00BB0F7C" w:rsidRPr="00364DDC" w:rsidRDefault="00BB0F7C" w:rsidP="002074D0">
      <w:pPr>
        <w:pStyle w:val="Heading1"/>
      </w:pPr>
      <w:r w:rsidRPr="00364DDC">
        <w:t>Right to access to justice</w:t>
      </w:r>
      <w:r w:rsidR="00721576">
        <w:t>*</w:t>
      </w:r>
    </w:p>
    <w:p w14:paraId="25C33EC3" w14:textId="7C634C1D" w:rsidR="00BB0F7C" w:rsidRPr="00364DDC" w:rsidRDefault="00BB0F7C" w:rsidP="002074D0">
      <w:pPr>
        <w:pStyle w:val="Heading2"/>
      </w:pPr>
      <w:r w:rsidRPr="002074D0">
        <w:t>Attributes</w:t>
      </w:r>
    </w:p>
    <w:p w14:paraId="4E4B8A98" w14:textId="77777777" w:rsidR="00BB0F7C" w:rsidRPr="00BB0F7C" w:rsidRDefault="00BB0F7C" w:rsidP="00BB0F7C">
      <w:pPr>
        <w:pStyle w:val="ListParagraph"/>
        <w:numPr>
          <w:ilvl w:val="0"/>
          <w:numId w:val="18"/>
        </w:numPr>
        <w:rPr>
          <w:rFonts w:cstheme="minorHAnsi"/>
          <w:b/>
          <w:sz w:val="18"/>
          <w:szCs w:val="18"/>
        </w:rPr>
      </w:pPr>
      <w:r w:rsidRPr="00BB0F7C">
        <w:rPr>
          <w:rFonts w:cstheme="minorHAnsi"/>
          <w:b/>
          <w:sz w:val="18"/>
          <w:szCs w:val="18"/>
        </w:rPr>
        <w:t>Equal access to and equality before the justice system</w:t>
      </w:r>
    </w:p>
    <w:p w14:paraId="4310B532" w14:textId="77777777" w:rsidR="00BB0F7C" w:rsidRPr="00BB0F7C" w:rsidRDefault="00BB0F7C" w:rsidP="00BB0F7C">
      <w:pPr>
        <w:pStyle w:val="ListParagraph"/>
        <w:numPr>
          <w:ilvl w:val="0"/>
          <w:numId w:val="18"/>
        </w:numPr>
        <w:rPr>
          <w:rFonts w:cstheme="minorHAnsi"/>
          <w:b/>
          <w:sz w:val="18"/>
          <w:szCs w:val="18"/>
        </w:rPr>
      </w:pPr>
      <w:r w:rsidRPr="00BB0F7C">
        <w:rPr>
          <w:rFonts w:cstheme="minorHAnsi"/>
          <w:b/>
          <w:sz w:val="18"/>
          <w:szCs w:val="18"/>
        </w:rPr>
        <w:t>Participation of persons with disabilities in the justice system</w:t>
      </w:r>
    </w:p>
    <w:p w14:paraId="2E933642" w14:textId="77777777" w:rsidR="00BB0F7C" w:rsidRDefault="00BB0F7C" w:rsidP="00BB0F7C">
      <w:pPr>
        <w:pStyle w:val="ListParagraph"/>
        <w:ind w:left="0"/>
        <w:rPr>
          <w:rFonts w:cstheme="minorHAnsi"/>
          <w:b/>
          <w:sz w:val="18"/>
          <w:szCs w:val="18"/>
        </w:rPr>
      </w:pPr>
    </w:p>
    <w:p w14:paraId="7304200B" w14:textId="7C11BAB4" w:rsidR="00BB0F7C" w:rsidRPr="00364DDC" w:rsidRDefault="00BB0F7C" w:rsidP="002074D0">
      <w:pPr>
        <w:pStyle w:val="Heading2"/>
      </w:pPr>
      <w:r w:rsidRPr="00364DDC">
        <w:t>Structure</w:t>
      </w:r>
      <w:r w:rsidR="00316DF7">
        <w:t xml:space="preserve"> </w:t>
      </w:r>
      <w:r w:rsidR="00316DF7" w:rsidRPr="001C26EF">
        <w:rPr>
          <w:rFonts w:cs="Arial"/>
        </w:rPr>
        <w:t>Indicators</w:t>
      </w:r>
    </w:p>
    <w:p w14:paraId="004E40E2" w14:textId="77777777" w:rsidR="00BB0F7C" w:rsidRPr="00364DDC" w:rsidRDefault="00BB0F7C" w:rsidP="00BB0F7C">
      <w:pPr>
        <w:jc w:val="both"/>
        <w:rPr>
          <w:rFonts w:cstheme="minorHAnsi"/>
          <w:sz w:val="18"/>
          <w:szCs w:val="18"/>
        </w:rPr>
      </w:pPr>
      <w:r w:rsidRPr="00364DDC">
        <w:rPr>
          <w:rFonts w:cstheme="minorHAnsi"/>
          <w:sz w:val="18"/>
          <w:szCs w:val="18"/>
        </w:rPr>
        <w:t>13.1 Legislation enacted relat</w:t>
      </w:r>
      <w:r>
        <w:rPr>
          <w:rFonts w:cstheme="minorHAnsi"/>
          <w:sz w:val="18"/>
          <w:szCs w:val="18"/>
        </w:rPr>
        <w:t>ing</w:t>
      </w:r>
      <w:r w:rsidRPr="00364DDC">
        <w:rPr>
          <w:rFonts w:cstheme="minorHAnsi"/>
          <w:sz w:val="18"/>
          <w:szCs w:val="18"/>
        </w:rPr>
        <w:t xml:space="preserve"> to the justice system</w:t>
      </w:r>
      <w:r>
        <w:rPr>
          <w:rFonts w:cstheme="minorHAnsi"/>
          <w:sz w:val="18"/>
          <w:szCs w:val="18"/>
        </w:rPr>
        <w:t xml:space="preserve"> which is inclusive of persons with disabilities,</w:t>
      </w:r>
      <w:r w:rsidRPr="00364DDC">
        <w:rPr>
          <w:rFonts w:cstheme="minorHAnsi"/>
          <w:sz w:val="18"/>
          <w:szCs w:val="18"/>
        </w:rPr>
        <w:t xml:space="preserve"> </w:t>
      </w:r>
      <w:r>
        <w:rPr>
          <w:rFonts w:cstheme="minorHAnsi"/>
          <w:sz w:val="18"/>
          <w:szCs w:val="18"/>
        </w:rPr>
        <w:t>concerning</w:t>
      </w:r>
      <w:r w:rsidRPr="00364DDC">
        <w:rPr>
          <w:rFonts w:cstheme="minorHAnsi"/>
          <w:sz w:val="18"/>
          <w:szCs w:val="18"/>
        </w:rPr>
        <w:t xml:space="preserve"> its structure/</w:t>
      </w:r>
      <w:proofErr w:type="spellStart"/>
      <w:r w:rsidRPr="00364DDC">
        <w:rPr>
          <w:rFonts w:cstheme="minorHAnsi"/>
          <w:sz w:val="18"/>
          <w:szCs w:val="18"/>
        </w:rPr>
        <w:t>organisation</w:t>
      </w:r>
      <w:proofErr w:type="spellEnd"/>
      <w:r w:rsidRPr="00364DDC">
        <w:rPr>
          <w:rFonts w:cstheme="minorHAnsi"/>
          <w:sz w:val="18"/>
          <w:szCs w:val="18"/>
        </w:rPr>
        <w:t>/administration and procedures, and</w:t>
      </w:r>
      <w:r>
        <w:rPr>
          <w:rFonts w:cstheme="minorHAnsi"/>
          <w:sz w:val="18"/>
          <w:szCs w:val="18"/>
        </w:rPr>
        <w:t xml:space="preserve"> across civil and criminal sectors</w:t>
      </w:r>
      <w:r w:rsidRPr="00364DDC">
        <w:rPr>
          <w:rFonts w:cstheme="minorHAnsi"/>
          <w:sz w:val="18"/>
          <w:szCs w:val="18"/>
        </w:rPr>
        <w:t>.</w:t>
      </w:r>
      <w:r w:rsidRPr="00364DDC">
        <w:rPr>
          <w:rStyle w:val="EndnoteReference"/>
          <w:rFonts w:cstheme="minorHAnsi"/>
          <w:sz w:val="18"/>
          <w:szCs w:val="18"/>
        </w:rPr>
        <w:endnoteReference w:id="1"/>
      </w:r>
    </w:p>
    <w:p w14:paraId="551BCD61" w14:textId="77777777" w:rsidR="00BB0F7C" w:rsidRPr="00364DDC" w:rsidRDefault="00BB0F7C" w:rsidP="00BB0F7C">
      <w:pPr>
        <w:jc w:val="both"/>
        <w:rPr>
          <w:rFonts w:cstheme="minorHAnsi"/>
          <w:sz w:val="18"/>
          <w:szCs w:val="18"/>
        </w:rPr>
      </w:pPr>
      <w:r w:rsidRPr="00364DDC">
        <w:rPr>
          <w:rFonts w:cstheme="minorHAnsi"/>
          <w:sz w:val="18"/>
          <w:szCs w:val="18"/>
        </w:rPr>
        <w:t xml:space="preserve">13.2 No provision in the constitution, legislation or regulations that restricts access to justice or </w:t>
      </w:r>
      <w:r>
        <w:rPr>
          <w:rFonts w:cstheme="minorHAnsi"/>
          <w:sz w:val="18"/>
          <w:szCs w:val="18"/>
        </w:rPr>
        <w:t>restricts</w:t>
      </w:r>
      <w:r w:rsidRPr="00364DDC">
        <w:rPr>
          <w:rFonts w:cstheme="minorHAnsi"/>
          <w:sz w:val="18"/>
          <w:szCs w:val="18"/>
        </w:rPr>
        <w:t xml:space="preserve"> participation in the justice system on the basis of disability.</w:t>
      </w:r>
      <w:r w:rsidRPr="00364DDC">
        <w:rPr>
          <w:rStyle w:val="EndnoteReference"/>
          <w:rFonts w:cstheme="minorHAnsi"/>
          <w:sz w:val="18"/>
          <w:szCs w:val="18"/>
        </w:rPr>
        <w:endnoteReference w:id="2"/>
      </w:r>
    </w:p>
    <w:p w14:paraId="26A2F3AF" w14:textId="77777777" w:rsidR="00BB0F7C" w:rsidRPr="00364DDC" w:rsidRDefault="00BB0F7C" w:rsidP="00BB0F7C">
      <w:pPr>
        <w:jc w:val="both"/>
        <w:rPr>
          <w:rFonts w:cstheme="minorHAnsi"/>
          <w:sz w:val="18"/>
          <w:szCs w:val="18"/>
        </w:rPr>
      </w:pPr>
      <w:r w:rsidRPr="00364DDC">
        <w:rPr>
          <w:rFonts w:cstheme="minorHAnsi"/>
          <w:sz w:val="18"/>
          <w:szCs w:val="18"/>
        </w:rPr>
        <w:t>13.3 Substantive and procedural criminal legislation enacted that ensures</w:t>
      </w:r>
      <w:r>
        <w:rPr>
          <w:rFonts w:cstheme="minorHAnsi"/>
          <w:sz w:val="18"/>
          <w:szCs w:val="18"/>
        </w:rPr>
        <w:t xml:space="preserve"> </w:t>
      </w:r>
      <w:r w:rsidRPr="00364DDC">
        <w:rPr>
          <w:rFonts w:cstheme="minorHAnsi"/>
          <w:sz w:val="18"/>
          <w:szCs w:val="18"/>
        </w:rPr>
        <w:t xml:space="preserve">substantive and procedural guarantees </w:t>
      </w:r>
      <w:r>
        <w:rPr>
          <w:rFonts w:cstheme="minorHAnsi"/>
          <w:sz w:val="18"/>
          <w:szCs w:val="18"/>
        </w:rPr>
        <w:t xml:space="preserve">for </w:t>
      </w:r>
      <w:r w:rsidRPr="00364DDC">
        <w:rPr>
          <w:rFonts w:cstheme="minorHAnsi"/>
          <w:sz w:val="18"/>
          <w:szCs w:val="18"/>
        </w:rPr>
        <w:t>persons with disabilities</w:t>
      </w:r>
      <w:r>
        <w:rPr>
          <w:rFonts w:cstheme="minorHAnsi"/>
          <w:sz w:val="18"/>
          <w:szCs w:val="18"/>
        </w:rPr>
        <w:t xml:space="preserve"> on an equal basis with others </w:t>
      </w:r>
      <w:r w:rsidRPr="00364DDC">
        <w:rPr>
          <w:rFonts w:cstheme="minorHAnsi"/>
          <w:sz w:val="18"/>
          <w:szCs w:val="18"/>
        </w:rPr>
        <w:t>and prohibits diversion from proceedings on the basis of impairment</w:t>
      </w:r>
      <w:r>
        <w:rPr>
          <w:rFonts w:cstheme="minorHAnsi"/>
          <w:sz w:val="18"/>
          <w:szCs w:val="18"/>
        </w:rPr>
        <w:t xml:space="preserve">, </w:t>
      </w:r>
      <w:r w:rsidRPr="00364DDC">
        <w:rPr>
          <w:rFonts w:cstheme="minorHAnsi"/>
          <w:sz w:val="18"/>
          <w:szCs w:val="18"/>
        </w:rPr>
        <w:t>notably</w:t>
      </w:r>
      <w:r>
        <w:rPr>
          <w:rFonts w:cstheme="minorHAnsi"/>
          <w:sz w:val="18"/>
          <w:szCs w:val="18"/>
        </w:rPr>
        <w:t xml:space="preserve"> for persons with intellectual disabilities and persons with psychosocial disabilities.</w:t>
      </w:r>
      <w:r w:rsidRPr="00364DDC">
        <w:rPr>
          <w:rStyle w:val="EndnoteReference"/>
          <w:rFonts w:cstheme="minorHAnsi"/>
          <w:sz w:val="18"/>
          <w:szCs w:val="18"/>
        </w:rPr>
        <w:endnoteReference w:id="3"/>
      </w:r>
      <w:r w:rsidRPr="00364DDC">
        <w:rPr>
          <w:rFonts w:cstheme="minorHAnsi"/>
          <w:sz w:val="18"/>
          <w:szCs w:val="18"/>
        </w:rPr>
        <w:t xml:space="preserve"> </w:t>
      </w:r>
    </w:p>
    <w:p w14:paraId="57BC5ED4" w14:textId="77777777" w:rsidR="00BB0F7C" w:rsidRDefault="00BB0F7C" w:rsidP="00BB0F7C">
      <w:pPr>
        <w:rPr>
          <w:rFonts w:cstheme="minorHAnsi"/>
          <w:b/>
          <w:sz w:val="18"/>
          <w:szCs w:val="18"/>
        </w:rPr>
      </w:pPr>
    </w:p>
    <w:p w14:paraId="31E64F4E" w14:textId="2ED62CCA" w:rsidR="00BB0F7C" w:rsidRPr="00BB0F7C" w:rsidRDefault="00BB0F7C" w:rsidP="002074D0">
      <w:pPr>
        <w:pStyle w:val="Heading2"/>
      </w:pPr>
      <w:r w:rsidRPr="00364DDC">
        <w:t>Process</w:t>
      </w:r>
      <w:r w:rsidR="00316DF7">
        <w:t xml:space="preserve"> </w:t>
      </w:r>
      <w:r w:rsidR="00316DF7" w:rsidRPr="001C26EF">
        <w:t>Indicators</w:t>
      </w:r>
    </w:p>
    <w:p w14:paraId="6B7D42DE" w14:textId="77777777" w:rsidR="00BB0F7C" w:rsidRDefault="00BB0F7C" w:rsidP="00BB0F7C">
      <w:pPr>
        <w:jc w:val="both"/>
        <w:rPr>
          <w:rFonts w:cstheme="minorHAnsi"/>
          <w:sz w:val="18"/>
          <w:szCs w:val="18"/>
        </w:rPr>
      </w:pPr>
      <w:r w:rsidRPr="00364DDC">
        <w:rPr>
          <w:rFonts w:cstheme="minorHAnsi"/>
          <w:sz w:val="18"/>
          <w:szCs w:val="18"/>
        </w:rPr>
        <w:t xml:space="preserve">13.4 Measures </w:t>
      </w:r>
      <w:r>
        <w:rPr>
          <w:rFonts w:cstheme="minorHAnsi"/>
          <w:sz w:val="18"/>
          <w:szCs w:val="18"/>
        </w:rPr>
        <w:t xml:space="preserve">adopted </w:t>
      </w:r>
      <w:r w:rsidRPr="00364DDC">
        <w:rPr>
          <w:rFonts w:cstheme="minorHAnsi"/>
          <w:sz w:val="18"/>
          <w:szCs w:val="18"/>
        </w:rPr>
        <w:t xml:space="preserve">to ensure access to free legal aid for persons with disabilities in all </w:t>
      </w:r>
      <w:r>
        <w:rPr>
          <w:rFonts w:cstheme="minorHAnsi"/>
          <w:sz w:val="18"/>
          <w:szCs w:val="18"/>
        </w:rPr>
        <w:t>legal proceedings</w:t>
      </w:r>
      <w:r w:rsidRPr="00364DDC">
        <w:rPr>
          <w:rFonts w:cstheme="minorHAnsi"/>
          <w:sz w:val="18"/>
          <w:szCs w:val="18"/>
        </w:rPr>
        <w:t>.</w:t>
      </w:r>
      <w:r w:rsidRPr="00364DDC">
        <w:rPr>
          <w:rStyle w:val="EndnoteReference"/>
          <w:rFonts w:cstheme="minorHAnsi"/>
          <w:sz w:val="18"/>
          <w:szCs w:val="18"/>
        </w:rPr>
        <w:endnoteReference w:id="4"/>
      </w:r>
    </w:p>
    <w:p w14:paraId="3F7B2F31" w14:textId="77777777" w:rsidR="00BB0F7C" w:rsidRDefault="00BB0F7C" w:rsidP="00BB0F7C">
      <w:pPr>
        <w:jc w:val="both"/>
        <w:rPr>
          <w:rFonts w:cstheme="minorHAnsi"/>
          <w:sz w:val="18"/>
          <w:szCs w:val="18"/>
        </w:rPr>
      </w:pPr>
      <w:r>
        <w:rPr>
          <w:rFonts w:cstheme="minorHAnsi"/>
          <w:sz w:val="18"/>
          <w:szCs w:val="18"/>
        </w:rPr>
        <w:t xml:space="preserve">13.5 </w:t>
      </w:r>
      <w:r w:rsidRPr="00492D7F">
        <w:rPr>
          <w:rFonts w:cstheme="minorHAnsi"/>
          <w:sz w:val="18"/>
          <w:szCs w:val="18"/>
        </w:rPr>
        <w:t>Proportion of requests</w:t>
      </w:r>
      <w:r>
        <w:rPr>
          <w:rFonts w:cstheme="minorHAnsi"/>
          <w:sz w:val="18"/>
          <w:szCs w:val="18"/>
        </w:rPr>
        <w:t xml:space="preserve"> by persons with disabilities</w:t>
      </w:r>
      <w:r w:rsidRPr="00492D7F">
        <w:rPr>
          <w:rFonts w:cstheme="minorHAnsi"/>
          <w:sz w:val="18"/>
          <w:szCs w:val="18"/>
        </w:rPr>
        <w:t xml:space="preserve"> for legal assistance and free interpreters being met (criminal and civil proceedings) annually</w:t>
      </w:r>
    </w:p>
    <w:p w14:paraId="73CE3E0B" w14:textId="77777777" w:rsidR="00BB0F7C" w:rsidRDefault="00BB0F7C" w:rsidP="00BB0F7C">
      <w:pPr>
        <w:jc w:val="both"/>
        <w:rPr>
          <w:rFonts w:cstheme="minorHAnsi"/>
          <w:sz w:val="18"/>
          <w:szCs w:val="18"/>
          <w:lang w:val="en"/>
        </w:rPr>
      </w:pPr>
      <w:r>
        <w:rPr>
          <w:rFonts w:cstheme="minorHAnsi"/>
          <w:sz w:val="18"/>
          <w:szCs w:val="18"/>
          <w:lang w:val="en"/>
        </w:rPr>
        <w:t xml:space="preserve">13.6 </w:t>
      </w:r>
      <w:r w:rsidRPr="000C25AB">
        <w:rPr>
          <w:rFonts w:cstheme="minorHAnsi"/>
          <w:sz w:val="18"/>
          <w:szCs w:val="18"/>
          <w:lang w:val="en"/>
        </w:rPr>
        <w:t>Measures</w:t>
      </w:r>
      <w:r>
        <w:rPr>
          <w:rFonts w:cstheme="minorHAnsi"/>
          <w:sz w:val="18"/>
          <w:szCs w:val="18"/>
          <w:lang w:val="en"/>
        </w:rPr>
        <w:t xml:space="preserve"> adopted</w:t>
      </w:r>
      <w:r w:rsidRPr="000C25AB">
        <w:rPr>
          <w:rFonts w:cstheme="minorHAnsi"/>
          <w:sz w:val="18"/>
          <w:szCs w:val="18"/>
          <w:lang w:val="en"/>
        </w:rPr>
        <w:t xml:space="preserve"> </w:t>
      </w:r>
      <w:r>
        <w:rPr>
          <w:rFonts w:cstheme="minorHAnsi"/>
          <w:sz w:val="18"/>
          <w:szCs w:val="18"/>
          <w:lang w:val="en"/>
        </w:rPr>
        <w:t xml:space="preserve">to </w:t>
      </w:r>
      <w:r w:rsidRPr="000C25AB">
        <w:rPr>
          <w:rFonts w:cstheme="minorHAnsi"/>
          <w:sz w:val="18"/>
          <w:szCs w:val="18"/>
          <w:lang w:val="en"/>
        </w:rPr>
        <w:t xml:space="preserve">ensure </w:t>
      </w:r>
      <w:r>
        <w:rPr>
          <w:rFonts w:cstheme="minorHAnsi"/>
          <w:sz w:val="18"/>
          <w:szCs w:val="18"/>
          <w:lang w:val="en"/>
        </w:rPr>
        <w:t>the provision of</w:t>
      </w:r>
      <w:r w:rsidRPr="00364DDC">
        <w:rPr>
          <w:rFonts w:cstheme="minorHAnsi"/>
          <w:sz w:val="18"/>
          <w:szCs w:val="18"/>
        </w:rPr>
        <w:t xml:space="preserve"> procedural and gender- and age-appropriate accommodations</w:t>
      </w:r>
      <w:r>
        <w:rPr>
          <w:rFonts w:cstheme="minorHAnsi"/>
          <w:sz w:val="18"/>
          <w:szCs w:val="18"/>
          <w:lang w:val="en"/>
        </w:rPr>
        <w:t>.</w:t>
      </w:r>
      <w:r w:rsidRPr="00364DDC">
        <w:rPr>
          <w:rStyle w:val="EndnoteReference"/>
          <w:rFonts w:cstheme="minorHAnsi"/>
          <w:sz w:val="18"/>
          <w:szCs w:val="18"/>
        </w:rPr>
        <w:endnoteReference w:id="5"/>
      </w:r>
    </w:p>
    <w:p w14:paraId="4A2F24A1" w14:textId="77777777" w:rsidR="00BB0F7C" w:rsidRDefault="00BB0F7C" w:rsidP="00BB0F7C">
      <w:pPr>
        <w:jc w:val="both"/>
        <w:rPr>
          <w:rFonts w:cstheme="minorHAnsi"/>
          <w:sz w:val="18"/>
          <w:szCs w:val="18"/>
        </w:rPr>
      </w:pPr>
      <w:r>
        <w:rPr>
          <w:rFonts w:cstheme="minorHAnsi"/>
          <w:sz w:val="18"/>
          <w:szCs w:val="18"/>
        </w:rPr>
        <w:t xml:space="preserve">13.7 </w:t>
      </w:r>
      <w:r w:rsidRPr="007B111F">
        <w:rPr>
          <w:rFonts w:cstheme="minorHAnsi"/>
          <w:sz w:val="18"/>
          <w:szCs w:val="18"/>
        </w:rPr>
        <w:t>Proportion of cases where the time for arrested persons before receiving notice of the charge (in a legal sense and in language they understand) exceeded statutory or mandated limit, disaggregated by disability.</w:t>
      </w:r>
    </w:p>
    <w:p w14:paraId="0D9D1F6A" w14:textId="77777777" w:rsidR="00BB0F7C" w:rsidRPr="000A07E5" w:rsidRDefault="00BB0F7C" w:rsidP="00BB0F7C">
      <w:pPr>
        <w:jc w:val="both"/>
        <w:rPr>
          <w:rFonts w:cstheme="minorHAnsi"/>
          <w:sz w:val="18"/>
          <w:szCs w:val="18"/>
          <w:lang w:val="en-GB"/>
        </w:rPr>
      </w:pPr>
      <w:r>
        <w:rPr>
          <w:rFonts w:cstheme="minorHAnsi"/>
          <w:sz w:val="18"/>
          <w:szCs w:val="18"/>
        </w:rPr>
        <w:t xml:space="preserve">13.8 </w:t>
      </w:r>
      <w:r w:rsidRPr="00B3309B">
        <w:rPr>
          <w:rFonts w:cstheme="minorHAnsi"/>
          <w:sz w:val="18"/>
          <w:szCs w:val="18"/>
        </w:rPr>
        <w:t>Number and proportion of court facilities, legal aid centers, police stations, etc., which are accessible to persons with disabilities, disaggregated by geographical location.</w:t>
      </w:r>
    </w:p>
    <w:p w14:paraId="5FCAE0B3" w14:textId="77777777" w:rsidR="00BB0F7C" w:rsidRPr="00364DDC" w:rsidRDefault="00BB0F7C" w:rsidP="00BB0F7C">
      <w:pPr>
        <w:jc w:val="both"/>
        <w:rPr>
          <w:rFonts w:cstheme="minorHAnsi"/>
          <w:sz w:val="18"/>
          <w:szCs w:val="18"/>
        </w:rPr>
      </w:pPr>
      <w:r w:rsidRPr="00364DDC">
        <w:rPr>
          <w:rFonts w:cstheme="minorHAnsi"/>
          <w:sz w:val="18"/>
          <w:szCs w:val="18"/>
        </w:rPr>
        <w:t>13.</w:t>
      </w:r>
      <w:r>
        <w:rPr>
          <w:rFonts w:cstheme="minorHAnsi"/>
          <w:sz w:val="18"/>
          <w:szCs w:val="18"/>
        </w:rPr>
        <w:t>9</w:t>
      </w:r>
      <w:r w:rsidRPr="00364DDC">
        <w:rPr>
          <w:rFonts w:cstheme="minorHAnsi"/>
          <w:sz w:val="18"/>
          <w:szCs w:val="18"/>
        </w:rPr>
        <w:t xml:space="preserve"> </w:t>
      </w:r>
      <w:r>
        <w:rPr>
          <w:rFonts w:cstheme="minorHAnsi"/>
          <w:sz w:val="18"/>
          <w:szCs w:val="18"/>
        </w:rPr>
        <w:t>Adoption</w:t>
      </w:r>
      <w:r w:rsidRPr="00364DDC">
        <w:rPr>
          <w:rFonts w:cstheme="minorHAnsi"/>
          <w:sz w:val="18"/>
          <w:szCs w:val="18"/>
        </w:rPr>
        <w:t xml:space="preserve"> of specific measures to promote the inclusion of persons with disabilities within the justice system and related institutions, as judges, prosecutors, </w:t>
      </w:r>
      <w:r>
        <w:rPr>
          <w:rFonts w:cstheme="minorHAnsi"/>
          <w:sz w:val="18"/>
          <w:szCs w:val="18"/>
        </w:rPr>
        <w:t xml:space="preserve">police, </w:t>
      </w:r>
      <w:r w:rsidRPr="00364DDC">
        <w:rPr>
          <w:rFonts w:cstheme="minorHAnsi"/>
          <w:sz w:val="18"/>
          <w:szCs w:val="18"/>
        </w:rPr>
        <w:t>staff, etc.</w:t>
      </w:r>
    </w:p>
    <w:p w14:paraId="7CA39178" w14:textId="31D7C393" w:rsidR="00BB0F7C" w:rsidRPr="00BB0F7C" w:rsidRDefault="00BB0F7C" w:rsidP="00BB0F7C">
      <w:pPr>
        <w:jc w:val="both"/>
        <w:rPr>
          <w:rFonts w:cstheme="minorHAnsi"/>
          <w:sz w:val="18"/>
          <w:szCs w:val="18"/>
        </w:rPr>
      </w:pPr>
      <w:r w:rsidRPr="00364DDC">
        <w:rPr>
          <w:rFonts w:cstheme="minorHAnsi"/>
          <w:sz w:val="18"/>
          <w:szCs w:val="18"/>
        </w:rPr>
        <w:t>13.</w:t>
      </w:r>
      <w:r>
        <w:rPr>
          <w:rFonts w:cstheme="minorHAnsi"/>
          <w:sz w:val="18"/>
          <w:szCs w:val="18"/>
        </w:rPr>
        <w:t>10</w:t>
      </w:r>
      <w:r w:rsidRPr="00364DDC">
        <w:rPr>
          <w:rFonts w:cstheme="minorHAnsi"/>
          <w:sz w:val="18"/>
          <w:szCs w:val="18"/>
        </w:rPr>
        <w:t xml:space="preserve"> Number of requests of reasonable accommodations and proportion of those provided to persons with disabilities in recruitment processes</w:t>
      </w:r>
      <w:r>
        <w:rPr>
          <w:rFonts w:cstheme="minorHAnsi"/>
          <w:sz w:val="18"/>
          <w:szCs w:val="18"/>
        </w:rPr>
        <w:t>,</w:t>
      </w:r>
      <w:r w:rsidRPr="00364DDC">
        <w:rPr>
          <w:rFonts w:cstheme="minorHAnsi"/>
          <w:sz w:val="18"/>
          <w:szCs w:val="18"/>
        </w:rPr>
        <w:t xml:space="preserve"> and/or to perform duties as</w:t>
      </w:r>
      <w:r>
        <w:rPr>
          <w:rFonts w:cstheme="minorHAnsi"/>
          <w:sz w:val="18"/>
          <w:szCs w:val="18"/>
        </w:rPr>
        <w:t xml:space="preserve"> an employee of the justice sector (judiciary, law enforcement, State legal services, etc)</w:t>
      </w:r>
      <w:r w:rsidRPr="00364DDC">
        <w:rPr>
          <w:rFonts w:cstheme="minorHAnsi"/>
          <w:sz w:val="18"/>
          <w:szCs w:val="18"/>
        </w:rPr>
        <w:t>.</w:t>
      </w:r>
    </w:p>
    <w:p w14:paraId="2A109D69" w14:textId="77777777" w:rsidR="00BB0F7C" w:rsidRPr="00364DDC" w:rsidRDefault="00BB0F7C" w:rsidP="00BB0F7C">
      <w:pPr>
        <w:jc w:val="both"/>
        <w:rPr>
          <w:rFonts w:cstheme="minorHAnsi"/>
          <w:sz w:val="18"/>
          <w:szCs w:val="18"/>
        </w:rPr>
      </w:pPr>
      <w:r w:rsidRPr="00364DDC">
        <w:rPr>
          <w:rFonts w:cstheme="minorHAnsi"/>
          <w:sz w:val="18"/>
          <w:szCs w:val="18"/>
        </w:rPr>
        <w:t>13.</w:t>
      </w:r>
      <w:r>
        <w:rPr>
          <w:rFonts w:cstheme="minorHAnsi"/>
          <w:sz w:val="18"/>
          <w:szCs w:val="18"/>
        </w:rPr>
        <w:t>11</w:t>
      </w:r>
      <w:r w:rsidRPr="00364DDC">
        <w:rPr>
          <w:rFonts w:cstheme="minorHAnsi"/>
          <w:sz w:val="18"/>
          <w:szCs w:val="18"/>
        </w:rPr>
        <w:t xml:space="preserve"> Accessibility standards </w:t>
      </w:r>
      <w:r>
        <w:rPr>
          <w:rFonts w:cstheme="minorHAnsi"/>
          <w:sz w:val="18"/>
          <w:szCs w:val="18"/>
        </w:rPr>
        <w:t xml:space="preserve">adopted and </w:t>
      </w:r>
      <w:r w:rsidRPr="00364DDC">
        <w:rPr>
          <w:rFonts w:cstheme="minorHAnsi"/>
          <w:sz w:val="18"/>
          <w:szCs w:val="18"/>
        </w:rPr>
        <w:t>appli</w:t>
      </w:r>
      <w:r>
        <w:rPr>
          <w:rFonts w:cstheme="minorHAnsi"/>
          <w:sz w:val="18"/>
          <w:szCs w:val="18"/>
        </w:rPr>
        <w:t>ed</w:t>
      </w:r>
      <w:r w:rsidRPr="00364DDC">
        <w:rPr>
          <w:rFonts w:cstheme="minorHAnsi"/>
          <w:sz w:val="18"/>
          <w:szCs w:val="18"/>
        </w:rPr>
        <w:t xml:space="preserve"> to the built environment, transportation, and information and communication systems related to the justice system.</w:t>
      </w:r>
      <w:r w:rsidRPr="00364DDC">
        <w:rPr>
          <w:rStyle w:val="EndnoteReference"/>
          <w:rFonts w:cstheme="minorHAnsi"/>
          <w:sz w:val="18"/>
          <w:szCs w:val="18"/>
        </w:rPr>
        <w:endnoteReference w:id="6"/>
      </w:r>
    </w:p>
    <w:p w14:paraId="5A737F83" w14:textId="77777777" w:rsidR="00BB0F7C" w:rsidRPr="00364DDC" w:rsidRDefault="00BB0F7C" w:rsidP="00BB0F7C">
      <w:pPr>
        <w:jc w:val="both"/>
        <w:rPr>
          <w:rFonts w:cstheme="minorHAnsi"/>
          <w:sz w:val="18"/>
          <w:szCs w:val="18"/>
        </w:rPr>
      </w:pPr>
      <w:r w:rsidRPr="00364DDC">
        <w:rPr>
          <w:rFonts w:cstheme="minorHAnsi"/>
          <w:sz w:val="18"/>
          <w:szCs w:val="18"/>
        </w:rPr>
        <w:t>13.</w:t>
      </w:r>
      <w:r>
        <w:rPr>
          <w:rFonts w:cstheme="minorHAnsi"/>
          <w:sz w:val="18"/>
          <w:szCs w:val="18"/>
        </w:rPr>
        <w:t>12</w:t>
      </w:r>
      <w:r w:rsidRPr="00364DDC">
        <w:rPr>
          <w:rFonts w:cstheme="minorHAnsi"/>
          <w:sz w:val="18"/>
          <w:szCs w:val="18"/>
        </w:rPr>
        <w:t xml:space="preserve"> Number of requests for procedural and gender- and age-appropriate accommodations and proportion of those provided to persons with disabilities to enable their participation in legal proceedings, disaggregated by sex,</w:t>
      </w:r>
      <w:r>
        <w:rPr>
          <w:rFonts w:cstheme="minorHAnsi"/>
          <w:sz w:val="18"/>
          <w:szCs w:val="18"/>
        </w:rPr>
        <w:t xml:space="preserve"> age,</w:t>
      </w:r>
      <w:r w:rsidRPr="00364DDC">
        <w:rPr>
          <w:rFonts w:cstheme="minorHAnsi"/>
          <w:sz w:val="18"/>
          <w:szCs w:val="18"/>
        </w:rPr>
        <w:t xml:space="preserve"> disability, area of law/type of procedure (civil, criminal, etc.), and role of the person concerned (</w:t>
      </w:r>
      <w:r>
        <w:rPr>
          <w:rFonts w:cstheme="minorHAnsi"/>
          <w:sz w:val="18"/>
          <w:szCs w:val="18"/>
        </w:rPr>
        <w:t>applicant</w:t>
      </w:r>
      <w:r w:rsidRPr="00364DDC">
        <w:rPr>
          <w:rFonts w:cstheme="minorHAnsi"/>
          <w:sz w:val="18"/>
          <w:szCs w:val="18"/>
        </w:rPr>
        <w:t>,</w:t>
      </w:r>
      <w:r>
        <w:rPr>
          <w:rFonts w:cstheme="minorHAnsi"/>
          <w:sz w:val="18"/>
          <w:szCs w:val="18"/>
        </w:rPr>
        <w:t xml:space="preserve"> defendant,</w:t>
      </w:r>
      <w:r w:rsidRPr="00364DDC">
        <w:rPr>
          <w:rFonts w:cstheme="minorHAnsi"/>
          <w:sz w:val="18"/>
          <w:szCs w:val="18"/>
        </w:rPr>
        <w:t xml:space="preserve"> witness,</w:t>
      </w:r>
      <w:r>
        <w:rPr>
          <w:rFonts w:cstheme="minorHAnsi"/>
          <w:sz w:val="18"/>
          <w:szCs w:val="18"/>
        </w:rPr>
        <w:t xml:space="preserve"> juror,</w:t>
      </w:r>
      <w:r w:rsidRPr="00364DDC">
        <w:rPr>
          <w:rFonts w:cstheme="minorHAnsi"/>
          <w:sz w:val="18"/>
          <w:szCs w:val="18"/>
        </w:rPr>
        <w:t xml:space="preserve"> etc.). </w:t>
      </w:r>
    </w:p>
    <w:p w14:paraId="1BEFB18A" w14:textId="77777777" w:rsidR="00BB0F7C" w:rsidRPr="00364DDC" w:rsidRDefault="00BB0F7C" w:rsidP="00BB0F7C">
      <w:pPr>
        <w:jc w:val="both"/>
        <w:rPr>
          <w:rFonts w:cstheme="minorHAnsi"/>
          <w:sz w:val="18"/>
          <w:szCs w:val="18"/>
        </w:rPr>
      </w:pPr>
      <w:r w:rsidRPr="00364DDC">
        <w:rPr>
          <w:rFonts w:cstheme="minorHAnsi"/>
          <w:sz w:val="18"/>
          <w:szCs w:val="18"/>
        </w:rPr>
        <w:t>13</w:t>
      </w:r>
      <w:r>
        <w:rPr>
          <w:rFonts w:cstheme="minorHAnsi"/>
          <w:sz w:val="18"/>
          <w:szCs w:val="18"/>
        </w:rPr>
        <w:t>.13</w:t>
      </w:r>
      <w:r w:rsidRPr="00364DDC">
        <w:rPr>
          <w:rFonts w:cstheme="minorHAnsi"/>
          <w:sz w:val="18"/>
          <w:szCs w:val="18"/>
        </w:rPr>
        <w:t xml:space="preserve"> Awareness raising campaign </w:t>
      </w:r>
      <w:r>
        <w:rPr>
          <w:rFonts w:cstheme="minorHAnsi"/>
          <w:sz w:val="18"/>
          <w:szCs w:val="18"/>
        </w:rPr>
        <w:t xml:space="preserve">and activities </w:t>
      </w:r>
      <w:r w:rsidRPr="00364DDC">
        <w:rPr>
          <w:rFonts w:cstheme="minorHAnsi"/>
          <w:sz w:val="18"/>
          <w:szCs w:val="18"/>
        </w:rPr>
        <w:t>on the</w:t>
      </w:r>
      <w:r>
        <w:rPr>
          <w:rFonts w:cstheme="minorHAnsi"/>
          <w:sz w:val="18"/>
          <w:szCs w:val="18"/>
        </w:rPr>
        <w:t xml:space="preserve"> rights of persons with disabilities</w:t>
      </w:r>
      <w:r w:rsidRPr="00364DDC">
        <w:rPr>
          <w:rFonts w:cstheme="minorHAnsi"/>
          <w:sz w:val="18"/>
          <w:szCs w:val="18"/>
        </w:rPr>
        <w:t xml:space="preserve"> to access to justice, including </w:t>
      </w:r>
      <w:r>
        <w:rPr>
          <w:rFonts w:cstheme="minorHAnsi"/>
          <w:sz w:val="18"/>
          <w:szCs w:val="18"/>
        </w:rPr>
        <w:t xml:space="preserve">access to </w:t>
      </w:r>
      <w:r w:rsidRPr="00364DDC">
        <w:rPr>
          <w:rFonts w:cstheme="minorHAnsi"/>
          <w:sz w:val="18"/>
          <w:szCs w:val="18"/>
        </w:rPr>
        <w:t>legal aid, victim support,</w:t>
      </w:r>
      <w:r>
        <w:rPr>
          <w:rFonts w:cstheme="minorHAnsi"/>
          <w:sz w:val="18"/>
          <w:szCs w:val="18"/>
        </w:rPr>
        <w:t xml:space="preserve"> available and effective</w:t>
      </w:r>
      <w:r w:rsidRPr="00364DDC">
        <w:rPr>
          <w:rFonts w:cstheme="minorHAnsi"/>
          <w:sz w:val="18"/>
          <w:szCs w:val="18"/>
        </w:rPr>
        <w:t xml:space="preserve"> remed</w:t>
      </w:r>
      <w:r>
        <w:rPr>
          <w:rFonts w:cstheme="minorHAnsi"/>
          <w:sz w:val="18"/>
          <w:szCs w:val="18"/>
        </w:rPr>
        <w:t>ies</w:t>
      </w:r>
      <w:r w:rsidRPr="00364DDC">
        <w:rPr>
          <w:rFonts w:cstheme="minorHAnsi"/>
          <w:sz w:val="18"/>
          <w:szCs w:val="18"/>
        </w:rPr>
        <w:t xml:space="preserve"> and redress, targeting persons with disabilities</w:t>
      </w:r>
      <w:r w:rsidRPr="00364DDC">
        <w:rPr>
          <w:rStyle w:val="EndnoteReference"/>
          <w:rFonts w:cstheme="minorHAnsi"/>
          <w:sz w:val="18"/>
          <w:szCs w:val="18"/>
        </w:rPr>
        <w:endnoteReference w:id="7"/>
      </w:r>
      <w:r>
        <w:rPr>
          <w:rFonts w:cstheme="minorHAnsi"/>
          <w:sz w:val="18"/>
          <w:szCs w:val="18"/>
        </w:rPr>
        <w:t xml:space="preserve"> and others, such as</w:t>
      </w:r>
      <w:r w:rsidRPr="00364DDC">
        <w:rPr>
          <w:rFonts w:cstheme="minorHAnsi"/>
          <w:sz w:val="18"/>
          <w:szCs w:val="18"/>
        </w:rPr>
        <w:t xml:space="preserve"> relatives of persons with disabilities, public officials and the general public.</w:t>
      </w:r>
    </w:p>
    <w:p w14:paraId="557AB2A7" w14:textId="031388E5" w:rsidR="00BB0F7C" w:rsidRPr="00593662" w:rsidRDefault="00BB0F7C" w:rsidP="00BB0F7C">
      <w:pPr>
        <w:jc w:val="both"/>
        <w:rPr>
          <w:rFonts w:cstheme="minorHAnsi"/>
          <w:sz w:val="18"/>
          <w:szCs w:val="18"/>
        </w:rPr>
      </w:pPr>
      <w:r w:rsidRPr="00364DDC">
        <w:rPr>
          <w:rFonts w:cstheme="minorHAnsi"/>
          <w:sz w:val="18"/>
          <w:szCs w:val="18"/>
        </w:rPr>
        <w:t>13.1</w:t>
      </w:r>
      <w:r>
        <w:rPr>
          <w:rFonts w:cstheme="minorHAnsi"/>
          <w:sz w:val="18"/>
          <w:szCs w:val="18"/>
        </w:rPr>
        <w:t>4</w:t>
      </w:r>
      <w:r w:rsidRPr="00364DDC">
        <w:rPr>
          <w:rFonts w:cstheme="minorHAnsi"/>
          <w:sz w:val="18"/>
          <w:szCs w:val="18"/>
        </w:rPr>
        <w:t xml:space="preserve"> Number and proportion of members of the judiciary, members of the legal profession and law enforcement officials trained on the CRPD, including on the human rights based approach to disability</w:t>
      </w:r>
      <w:r>
        <w:rPr>
          <w:rFonts w:cstheme="minorHAnsi"/>
          <w:sz w:val="18"/>
          <w:szCs w:val="18"/>
        </w:rPr>
        <w:t>,</w:t>
      </w:r>
      <w:r w:rsidR="006B029F">
        <w:rPr>
          <w:rFonts w:cstheme="minorHAnsi"/>
          <w:sz w:val="18"/>
          <w:szCs w:val="18"/>
        </w:rPr>
        <w:t xml:space="preserve"> </w:t>
      </w:r>
      <w:r w:rsidR="00B03586">
        <w:rPr>
          <w:rFonts w:cstheme="minorHAnsi"/>
          <w:sz w:val="18"/>
          <w:szCs w:val="18"/>
        </w:rPr>
        <w:t>universal legal capacity for all persons with disabilities</w:t>
      </w:r>
      <w:r w:rsidR="006B029F">
        <w:rPr>
          <w:rFonts w:cstheme="minorHAnsi"/>
          <w:sz w:val="18"/>
          <w:szCs w:val="18"/>
        </w:rPr>
        <w:t xml:space="preserve">, combating harmful gender and disability stereotypes and prejudices, </w:t>
      </w:r>
      <w:r w:rsidRPr="00364DDC">
        <w:rPr>
          <w:rFonts w:cstheme="minorHAnsi"/>
          <w:sz w:val="18"/>
          <w:szCs w:val="18"/>
        </w:rPr>
        <w:t>the</w:t>
      </w:r>
      <w:r>
        <w:rPr>
          <w:rFonts w:cstheme="minorHAnsi"/>
          <w:sz w:val="18"/>
          <w:szCs w:val="18"/>
        </w:rPr>
        <w:t xml:space="preserve"> obligation to ensure</w:t>
      </w:r>
      <w:r w:rsidRPr="00364DDC">
        <w:rPr>
          <w:rFonts w:cstheme="minorHAnsi"/>
          <w:sz w:val="18"/>
          <w:szCs w:val="18"/>
        </w:rPr>
        <w:t xml:space="preserve"> procedural accommodation</w:t>
      </w:r>
      <w:r>
        <w:rPr>
          <w:rFonts w:cstheme="minorHAnsi"/>
          <w:sz w:val="18"/>
          <w:szCs w:val="18"/>
        </w:rPr>
        <w:t xml:space="preserve">s, and on communication with persons </w:t>
      </w:r>
      <w:r w:rsidRPr="00593662">
        <w:rPr>
          <w:rFonts w:cstheme="minorHAnsi"/>
          <w:sz w:val="18"/>
          <w:szCs w:val="18"/>
        </w:rPr>
        <w:t>with disabilities, including on alternative means and modes of communication.</w:t>
      </w:r>
    </w:p>
    <w:p w14:paraId="5F24A15C" w14:textId="77777777" w:rsidR="00BB0F7C" w:rsidRPr="00364DDC" w:rsidRDefault="00BB0F7C" w:rsidP="00BB0F7C">
      <w:pPr>
        <w:jc w:val="both"/>
        <w:rPr>
          <w:rFonts w:cstheme="minorHAnsi"/>
          <w:color w:val="000000"/>
          <w:sz w:val="18"/>
          <w:szCs w:val="18"/>
        </w:rPr>
      </w:pPr>
      <w:r w:rsidRPr="00593662">
        <w:rPr>
          <w:rFonts w:cstheme="minorHAnsi"/>
          <w:sz w:val="18"/>
          <w:szCs w:val="18"/>
        </w:rPr>
        <w:t xml:space="preserve">13.15 Consultation processes undertaken to ensure the active involvement of persons with disabilities, including through </w:t>
      </w:r>
      <w:r w:rsidRPr="00364DDC">
        <w:rPr>
          <w:rFonts w:cstheme="minorHAnsi"/>
          <w:sz w:val="18"/>
          <w:szCs w:val="18"/>
        </w:rPr>
        <w:t xml:space="preserve">their representative organizations, in the design, implementation and monitoring of laws, regulations, policies and </w:t>
      </w:r>
      <w:proofErr w:type="spellStart"/>
      <w:r w:rsidRPr="00364DDC">
        <w:rPr>
          <w:rFonts w:cstheme="minorHAnsi"/>
          <w:sz w:val="18"/>
          <w:szCs w:val="18"/>
        </w:rPr>
        <w:t>program</w:t>
      </w:r>
      <w:r>
        <w:rPr>
          <w:rFonts w:cstheme="minorHAnsi"/>
          <w:sz w:val="18"/>
          <w:szCs w:val="18"/>
        </w:rPr>
        <w:t>me</w:t>
      </w:r>
      <w:r w:rsidRPr="00364DDC">
        <w:rPr>
          <w:rFonts w:cstheme="minorHAnsi"/>
          <w:sz w:val="18"/>
          <w:szCs w:val="18"/>
        </w:rPr>
        <w:t>s</w:t>
      </w:r>
      <w:proofErr w:type="spellEnd"/>
      <w:r w:rsidRPr="00364DDC">
        <w:rPr>
          <w:rFonts w:cstheme="minorHAnsi"/>
          <w:color w:val="000000"/>
          <w:sz w:val="18"/>
          <w:szCs w:val="18"/>
        </w:rPr>
        <w:t xml:space="preserve"> related to the right to access to justice of persons with disabilities.</w:t>
      </w:r>
      <w:r w:rsidRPr="00364DDC">
        <w:rPr>
          <w:rStyle w:val="EndnoteReference"/>
          <w:rFonts w:cstheme="minorHAnsi"/>
          <w:sz w:val="18"/>
          <w:szCs w:val="18"/>
        </w:rPr>
        <w:endnoteReference w:id="8"/>
      </w:r>
    </w:p>
    <w:p w14:paraId="1B4F2775" w14:textId="77777777" w:rsidR="00BB0F7C" w:rsidRPr="00364DDC" w:rsidDel="00110663" w:rsidRDefault="00BB0F7C" w:rsidP="00BB0F7C">
      <w:pPr>
        <w:jc w:val="both"/>
        <w:rPr>
          <w:rFonts w:cstheme="minorHAnsi"/>
          <w:color w:val="000000"/>
          <w:sz w:val="18"/>
          <w:szCs w:val="18"/>
        </w:rPr>
      </w:pPr>
      <w:r w:rsidRPr="00364DDC">
        <w:rPr>
          <w:rFonts w:cstheme="minorHAnsi"/>
          <w:color w:val="000000"/>
          <w:sz w:val="18"/>
          <w:szCs w:val="18"/>
        </w:rPr>
        <w:t>13.1</w:t>
      </w:r>
      <w:r>
        <w:rPr>
          <w:rFonts w:cstheme="minorHAnsi"/>
          <w:color w:val="000000"/>
          <w:sz w:val="18"/>
          <w:szCs w:val="18"/>
        </w:rPr>
        <w:t>6</w:t>
      </w:r>
      <w:r w:rsidRPr="00364DDC">
        <w:rPr>
          <w:rFonts w:cstheme="minorHAnsi"/>
          <w:color w:val="000000"/>
          <w:sz w:val="18"/>
          <w:szCs w:val="18"/>
        </w:rPr>
        <w:t xml:space="preserve"> Budget allocated and spent on measures to promote access to justice </w:t>
      </w:r>
      <w:r>
        <w:rPr>
          <w:rFonts w:cstheme="minorHAnsi"/>
          <w:color w:val="000000"/>
          <w:sz w:val="18"/>
          <w:szCs w:val="18"/>
        </w:rPr>
        <w:t>for</w:t>
      </w:r>
      <w:r w:rsidRPr="00364DDC">
        <w:rPr>
          <w:rFonts w:cstheme="minorHAnsi"/>
          <w:color w:val="000000"/>
          <w:sz w:val="18"/>
          <w:szCs w:val="18"/>
        </w:rPr>
        <w:t xml:space="preserve"> persons with disabilities and their participation within the justice system, including explicitly </w:t>
      </w:r>
      <w:r>
        <w:rPr>
          <w:rFonts w:cstheme="minorHAnsi"/>
          <w:color w:val="000000"/>
          <w:sz w:val="18"/>
          <w:szCs w:val="18"/>
        </w:rPr>
        <w:t>on:</w:t>
      </w:r>
      <w:r w:rsidRPr="00364DDC">
        <w:rPr>
          <w:rFonts w:cstheme="minorHAnsi"/>
          <w:color w:val="000000"/>
          <w:sz w:val="18"/>
          <w:szCs w:val="18"/>
        </w:rPr>
        <w:t xml:space="preserve"> a) legal aid for persons with disabilities; b) training of judges, prosecutors, etc.; and c) provision of procedural accommodation for persons with disabilities . </w:t>
      </w:r>
    </w:p>
    <w:p w14:paraId="0C988A71" w14:textId="77777777" w:rsidR="00BB0F7C" w:rsidRDefault="00BB0F7C" w:rsidP="00BB0F7C">
      <w:pPr>
        <w:rPr>
          <w:rFonts w:cstheme="minorHAnsi"/>
          <w:b/>
          <w:sz w:val="18"/>
          <w:szCs w:val="18"/>
        </w:rPr>
      </w:pPr>
    </w:p>
    <w:p w14:paraId="46A96F99" w14:textId="1906CAFE" w:rsidR="00BB0F7C" w:rsidRPr="00364DDC" w:rsidRDefault="00BB0F7C" w:rsidP="002074D0">
      <w:pPr>
        <w:pStyle w:val="Heading2"/>
      </w:pPr>
      <w:r w:rsidRPr="00364DDC">
        <w:t>Outcome</w:t>
      </w:r>
      <w:r w:rsidR="00316DF7">
        <w:t xml:space="preserve"> </w:t>
      </w:r>
      <w:r w:rsidR="00316DF7" w:rsidRPr="001C26EF">
        <w:t>Indicators</w:t>
      </w:r>
    </w:p>
    <w:p w14:paraId="6D2B0DFB" w14:textId="77777777" w:rsidR="00BB0F7C" w:rsidRPr="00492D7F" w:rsidRDefault="00BB0F7C" w:rsidP="00BB0F7C">
      <w:pPr>
        <w:autoSpaceDE w:val="0"/>
        <w:autoSpaceDN w:val="0"/>
        <w:adjustRightInd w:val="0"/>
        <w:jc w:val="both"/>
        <w:rPr>
          <w:rFonts w:cstheme="minorHAnsi"/>
          <w:sz w:val="18"/>
          <w:szCs w:val="18"/>
          <w:lang w:val="en-GB"/>
        </w:rPr>
      </w:pPr>
      <w:r>
        <w:rPr>
          <w:rFonts w:cstheme="minorHAnsi"/>
          <w:sz w:val="18"/>
          <w:szCs w:val="18"/>
          <w:lang w:val="en-GB"/>
        </w:rPr>
        <w:t xml:space="preserve">13.17 </w:t>
      </w:r>
      <w:r w:rsidRPr="00492D7F">
        <w:rPr>
          <w:rFonts w:cstheme="minorHAnsi"/>
          <w:sz w:val="18"/>
          <w:szCs w:val="18"/>
          <w:lang w:val="en-GB"/>
        </w:rPr>
        <w:t>Proportion of public attendees at court who rate services and court as highly accessible in their own language</w:t>
      </w:r>
      <w:r>
        <w:rPr>
          <w:rFonts w:cstheme="minorHAnsi"/>
          <w:sz w:val="18"/>
          <w:szCs w:val="18"/>
          <w:lang w:val="en-GB"/>
        </w:rPr>
        <w:t>, including sign language</w:t>
      </w:r>
      <w:r w:rsidRPr="00492D7F">
        <w:rPr>
          <w:rFonts w:cstheme="minorHAnsi"/>
          <w:sz w:val="18"/>
          <w:szCs w:val="18"/>
          <w:lang w:val="en-GB"/>
        </w:rPr>
        <w:t xml:space="preserve"> (court survey)</w:t>
      </w:r>
    </w:p>
    <w:p w14:paraId="27C44860" w14:textId="77777777" w:rsidR="00BB0F7C" w:rsidRPr="00B3309B" w:rsidRDefault="00BB0F7C" w:rsidP="00BB0F7C">
      <w:pPr>
        <w:autoSpaceDE w:val="0"/>
        <w:autoSpaceDN w:val="0"/>
        <w:adjustRightInd w:val="0"/>
        <w:jc w:val="both"/>
        <w:rPr>
          <w:rFonts w:cstheme="minorHAnsi"/>
          <w:sz w:val="18"/>
          <w:szCs w:val="18"/>
        </w:rPr>
      </w:pPr>
      <w:r>
        <w:rPr>
          <w:rFonts w:cstheme="minorHAnsi"/>
          <w:sz w:val="18"/>
          <w:szCs w:val="18"/>
        </w:rPr>
        <w:t>13.18</w:t>
      </w:r>
      <w:r w:rsidRPr="00B3309B">
        <w:rPr>
          <w:rFonts w:cstheme="minorHAnsi"/>
          <w:sz w:val="18"/>
          <w:szCs w:val="18"/>
        </w:rPr>
        <w:t xml:space="preserve"> Number of complaints submitted to the justice system by persons with disabilities, </w:t>
      </w:r>
      <w:r>
        <w:rPr>
          <w:rFonts w:cstheme="minorHAnsi"/>
          <w:sz w:val="18"/>
          <w:szCs w:val="18"/>
        </w:rPr>
        <w:t xml:space="preserve">that have been investigated and adjudicated; proportion of those found in </w:t>
      </w:r>
      <w:proofErr w:type="spellStart"/>
      <w:r>
        <w:rPr>
          <w:rFonts w:cstheme="minorHAnsi"/>
          <w:sz w:val="18"/>
          <w:szCs w:val="18"/>
        </w:rPr>
        <w:t>favour</w:t>
      </w:r>
      <w:proofErr w:type="spellEnd"/>
      <w:r>
        <w:rPr>
          <w:rFonts w:cstheme="minorHAnsi"/>
          <w:sz w:val="18"/>
          <w:szCs w:val="18"/>
        </w:rPr>
        <w:t xml:space="preserve"> of the complainant; and proportion of the latter that have been complied with by the government and/or duty bearer; each disaggregated by kind of mechanism</w:t>
      </w:r>
      <w:r w:rsidRPr="00B3309B">
        <w:rPr>
          <w:rFonts w:cstheme="minorHAnsi"/>
          <w:sz w:val="18"/>
          <w:szCs w:val="18"/>
        </w:rPr>
        <w:t>, area of law/type of procedure (civil, criminal, etc</w:t>
      </w:r>
      <w:r>
        <w:rPr>
          <w:rFonts w:cstheme="minorHAnsi"/>
          <w:sz w:val="18"/>
          <w:szCs w:val="18"/>
        </w:rPr>
        <w:t>.), substantive rights involved and</w:t>
      </w:r>
      <w:r w:rsidRPr="00B3309B">
        <w:rPr>
          <w:rFonts w:cstheme="minorHAnsi"/>
          <w:sz w:val="18"/>
          <w:szCs w:val="18"/>
        </w:rPr>
        <w:t xml:space="preserve"> remedies granted.</w:t>
      </w:r>
    </w:p>
    <w:p w14:paraId="30195DD2" w14:textId="77777777" w:rsidR="00BB0F7C" w:rsidRPr="00B3309B" w:rsidRDefault="00BB0F7C" w:rsidP="00BB0F7C">
      <w:pPr>
        <w:autoSpaceDE w:val="0"/>
        <w:autoSpaceDN w:val="0"/>
        <w:adjustRightInd w:val="0"/>
        <w:jc w:val="both"/>
        <w:rPr>
          <w:rFonts w:cstheme="minorHAnsi"/>
          <w:sz w:val="18"/>
          <w:szCs w:val="18"/>
        </w:rPr>
      </w:pPr>
      <w:r>
        <w:rPr>
          <w:rFonts w:cstheme="minorHAnsi"/>
          <w:sz w:val="18"/>
          <w:szCs w:val="18"/>
        </w:rPr>
        <w:t>13.19</w:t>
      </w:r>
      <w:r w:rsidRPr="00B3309B">
        <w:rPr>
          <w:rFonts w:cstheme="minorHAnsi"/>
          <w:sz w:val="18"/>
          <w:szCs w:val="18"/>
        </w:rPr>
        <w:t xml:space="preserve"> Proportion of crimes against persons with disabilities brought before judicial authorities</w:t>
      </w:r>
      <w:r>
        <w:rPr>
          <w:rFonts w:cstheme="minorHAnsi"/>
          <w:sz w:val="18"/>
          <w:szCs w:val="18"/>
        </w:rPr>
        <w:t xml:space="preserve"> out of total number of crimes, disaggregated by sex, age and disability of the victim.</w:t>
      </w:r>
    </w:p>
    <w:p w14:paraId="58311E0D" w14:textId="77777777" w:rsidR="00BB0F7C" w:rsidRPr="00B3309B" w:rsidRDefault="00BB0F7C" w:rsidP="00BB0F7C">
      <w:pPr>
        <w:autoSpaceDE w:val="0"/>
        <w:autoSpaceDN w:val="0"/>
        <w:adjustRightInd w:val="0"/>
        <w:jc w:val="both"/>
        <w:rPr>
          <w:rFonts w:cstheme="minorHAnsi"/>
          <w:sz w:val="18"/>
          <w:szCs w:val="18"/>
        </w:rPr>
      </w:pPr>
      <w:r>
        <w:rPr>
          <w:rFonts w:cstheme="minorHAnsi"/>
          <w:sz w:val="18"/>
          <w:szCs w:val="18"/>
        </w:rPr>
        <w:t>13.20</w:t>
      </w:r>
      <w:r w:rsidRPr="00B3309B">
        <w:rPr>
          <w:rFonts w:cstheme="minorHAnsi"/>
          <w:sz w:val="18"/>
          <w:szCs w:val="18"/>
        </w:rPr>
        <w:t xml:space="preserve"> Number and proportion of persons with disabilities who access victim support services, as compared to others</w:t>
      </w:r>
      <w:r>
        <w:rPr>
          <w:rFonts w:cstheme="minorHAnsi"/>
          <w:sz w:val="18"/>
          <w:szCs w:val="18"/>
        </w:rPr>
        <w:t xml:space="preserve">, disaggregated by sex, age, </w:t>
      </w:r>
      <w:r w:rsidRPr="00B3309B">
        <w:rPr>
          <w:rFonts w:cstheme="minorHAnsi"/>
          <w:sz w:val="18"/>
          <w:szCs w:val="18"/>
        </w:rPr>
        <w:t>disability and kind of service.</w:t>
      </w:r>
    </w:p>
    <w:p w14:paraId="6F5AAD9D" w14:textId="77777777" w:rsidR="00BB0F7C" w:rsidRPr="00B3309B" w:rsidRDefault="00BB0F7C" w:rsidP="00BB0F7C">
      <w:pPr>
        <w:autoSpaceDE w:val="0"/>
        <w:autoSpaceDN w:val="0"/>
        <w:adjustRightInd w:val="0"/>
        <w:jc w:val="both"/>
        <w:rPr>
          <w:rFonts w:cstheme="minorHAnsi"/>
          <w:sz w:val="18"/>
          <w:szCs w:val="18"/>
        </w:rPr>
      </w:pPr>
      <w:r>
        <w:rPr>
          <w:rFonts w:cstheme="minorHAnsi"/>
          <w:sz w:val="18"/>
          <w:szCs w:val="18"/>
        </w:rPr>
        <w:t>13.21</w:t>
      </w:r>
      <w:r w:rsidRPr="00B3309B">
        <w:rPr>
          <w:rFonts w:cstheme="minorHAnsi"/>
          <w:sz w:val="18"/>
          <w:szCs w:val="18"/>
        </w:rPr>
        <w:t xml:space="preserve"> </w:t>
      </w:r>
      <w:r w:rsidRPr="00B3309B">
        <w:rPr>
          <w:rFonts w:cstheme="minorHAnsi"/>
          <w:sz w:val="18"/>
          <w:szCs w:val="18"/>
          <w:lang w:val="en-GB"/>
        </w:rPr>
        <w:t>Unsentenced detainees as a proportion of overall prison population</w:t>
      </w:r>
      <w:r w:rsidRPr="00B3309B">
        <w:rPr>
          <w:rFonts w:cstheme="minorHAnsi"/>
          <w:sz w:val="18"/>
          <w:szCs w:val="18"/>
        </w:rPr>
        <w:t xml:space="preserve"> (SDG indicator </w:t>
      </w:r>
      <w:r w:rsidRPr="00B3309B">
        <w:rPr>
          <w:rFonts w:cstheme="minorHAnsi"/>
          <w:sz w:val="18"/>
          <w:szCs w:val="18"/>
          <w:lang w:val="en-GB"/>
        </w:rPr>
        <w:t>16.3.2</w:t>
      </w:r>
      <w:r w:rsidRPr="00B3309B">
        <w:rPr>
          <w:rFonts w:cstheme="minorHAnsi"/>
          <w:sz w:val="18"/>
          <w:szCs w:val="18"/>
        </w:rPr>
        <w:t>)</w:t>
      </w:r>
      <w:r>
        <w:rPr>
          <w:rFonts w:cstheme="minorHAnsi"/>
          <w:sz w:val="18"/>
          <w:szCs w:val="18"/>
        </w:rPr>
        <w:t>, disaggregated by</w:t>
      </w:r>
      <w:r w:rsidRPr="00B3309B">
        <w:rPr>
          <w:rFonts w:cstheme="minorHAnsi"/>
          <w:sz w:val="18"/>
          <w:szCs w:val="18"/>
        </w:rPr>
        <w:t xml:space="preserve"> sex</w:t>
      </w:r>
      <w:r>
        <w:rPr>
          <w:rFonts w:cstheme="minorHAnsi"/>
          <w:sz w:val="18"/>
          <w:szCs w:val="18"/>
        </w:rPr>
        <w:t>, age</w:t>
      </w:r>
      <w:r w:rsidRPr="00B3309B">
        <w:rPr>
          <w:rFonts w:cstheme="minorHAnsi"/>
          <w:sz w:val="18"/>
          <w:szCs w:val="18"/>
        </w:rPr>
        <w:t xml:space="preserve"> and disability.</w:t>
      </w:r>
    </w:p>
    <w:p w14:paraId="04C35886" w14:textId="77777777" w:rsidR="00BB0F7C" w:rsidRPr="00B3309B" w:rsidRDefault="00BB0F7C" w:rsidP="00BB0F7C">
      <w:pPr>
        <w:jc w:val="both"/>
        <w:rPr>
          <w:rFonts w:cstheme="minorHAnsi"/>
          <w:sz w:val="18"/>
          <w:szCs w:val="18"/>
        </w:rPr>
      </w:pPr>
      <w:r w:rsidRPr="00B3309B">
        <w:rPr>
          <w:rFonts w:cstheme="minorHAnsi"/>
          <w:sz w:val="18"/>
          <w:szCs w:val="18"/>
        </w:rPr>
        <w:t>13.</w:t>
      </w:r>
      <w:r>
        <w:rPr>
          <w:rFonts w:cstheme="minorHAnsi"/>
          <w:sz w:val="18"/>
          <w:szCs w:val="18"/>
        </w:rPr>
        <w:t>22</w:t>
      </w:r>
      <w:r w:rsidRPr="00B3309B">
        <w:rPr>
          <w:rFonts w:cstheme="minorHAnsi"/>
          <w:sz w:val="18"/>
          <w:szCs w:val="18"/>
        </w:rPr>
        <w:t xml:space="preserve"> Number and proportion of persons with disabilities who hold positions as judges, prosecutors, etc., within the justice system and related institutions, disaggregated by</w:t>
      </w:r>
      <w:r>
        <w:rPr>
          <w:rFonts w:cstheme="minorHAnsi"/>
          <w:sz w:val="18"/>
          <w:szCs w:val="18"/>
        </w:rPr>
        <w:t xml:space="preserve"> </w:t>
      </w:r>
      <w:r w:rsidRPr="00B3309B">
        <w:rPr>
          <w:rFonts w:cstheme="minorHAnsi"/>
          <w:sz w:val="18"/>
          <w:szCs w:val="18"/>
        </w:rPr>
        <w:t>sex,</w:t>
      </w:r>
      <w:r>
        <w:rPr>
          <w:rFonts w:cstheme="minorHAnsi"/>
          <w:sz w:val="18"/>
          <w:szCs w:val="18"/>
        </w:rPr>
        <w:t xml:space="preserve"> age, </w:t>
      </w:r>
      <w:r w:rsidRPr="00B3309B">
        <w:rPr>
          <w:rFonts w:cstheme="minorHAnsi"/>
          <w:sz w:val="18"/>
          <w:szCs w:val="18"/>
        </w:rPr>
        <w:t xml:space="preserve"> disability, position and sector of the judiciary/</w:t>
      </w:r>
      <w:r>
        <w:rPr>
          <w:rFonts w:cstheme="minorHAnsi"/>
          <w:sz w:val="18"/>
          <w:szCs w:val="18"/>
        </w:rPr>
        <w:t>justice system</w:t>
      </w:r>
      <w:r w:rsidRPr="00B3309B">
        <w:rPr>
          <w:rFonts w:cstheme="minorHAnsi"/>
          <w:sz w:val="18"/>
          <w:szCs w:val="18"/>
        </w:rPr>
        <w:t xml:space="preserve">. </w:t>
      </w:r>
    </w:p>
    <w:p w14:paraId="5527C327" w14:textId="77777777" w:rsidR="00BB0F7C" w:rsidRPr="00B3309B" w:rsidRDefault="00BB0F7C" w:rsidP="00BB0F7C">
      <w:pPr>
        <w:jc w:val="both"/>
        <w:rPr>
          <w:rFonts w:cstheme="minorHAnsi"/>
          <w:sz w:val="18"/>
          <w:szCs w:val="18"/>
        </w:rPr>
      </w:pPr>
      <w:r>
        <w:rPr>
          <w:rFonts w:cstheme="minorHAnsi"/>
          <w:sz w:val="18"/>
          <w:szCs w:val="18"/>
        </w:rPr>
        <w:t>13.23</w:t>
      </w:r>
      <w:r w:rsidRPr="00B3309B">
        <w:rPr>
          <w:rFonts w:cstheme="minorHAnsi"/>
          <w:sz w:val="18"/>
          <w:szCs w:val="18"/>
        </w:rPr>
        <w:t xml:space="preserve"> Number and proportion of persons with disabilities who participate </w:t>
      </w:r>
      <w:r>
        <w:rPr>
          <w:rFonts w:cstheme="minorHAnsi"/>
          <w:sz w:val="18"/>
          <w:szCs w:val="18"/>
        </w:rPr>
        <w:t xml:space="preserve">in </w:t>
      </w:r>
      <w:r w:rsidRPr="00B3309B">
        <w:rPr>
          <w:rFonts w:cstheme="minorHAnsi"/>
          <w:sz w:val="18"/>
          <w:szCs w:val="18"/>
        </w:rPr>
        <w:t>legal proceedings, within the justice system and related institutions as indirect participants (witnesses, expert witnesses, jurors, etc.) disaggregated by sex,</w:t>
      </w:r>
      <w:r>
        <w:rPr>
          <w:rFonts w:cstheme="minorHAnsi"/>
          <w:sz w:val="18"/>
          <w:szCs w:val="18"/>
        </w:rPr>
        <w:t xml:space="preserve"> age,</w:t>
      </w:r>
      <w:r w:rsidRPr="00B3309B">
        <w:rPr>
          <w:rFonts w:cstheme="minorHAnsi"/>
          <w:sz w:val="18"/>
          <w:szCs w:val="18"/>
        </w:rPr>
        <w:t xml:space="preserve"> disability, kind of role and sector of the judiciary</w:t>
      </w:r>
      <w:r>
        <w:rPr>
          <w:rFonts w:cstheme="minorHAnsi"/>
          <w:sz w:val="18"/>
          <w:szCs w:val="18"/>
        </w:rPr>
        <w:t>/justice system</w:t>
      </w:r>
      <w:r w:rsidRPr="00B3309B">
        <w:rPr>
          <w:rFonts w:cstheme="minorHAnsi"/>
          <w:sz w:val="18"/>
          <w:szCs w:val="18"/>
        </w:rPr>
        <w:t>.</w:t>
      </w:r>
    </w:p>
    <w:p w14:paraId="71768B07" w14:textId="77777777" w:rsidR="00BB0F7C" w:rsidRPr="00B3309B" w:rsidRDefault="00BB0F7C" w:rsidP="00BB0F7C">
      <w:pPr>
        <w:jc w:val="both"/>
        <w:rPr>
          <w:rFonts w:cstheme="minorHAnsi"/>
          <w:sz w:val="18"/>
          <w:szCs w:val="18"/>
        </w:rPr>
      </w:pPr>
    </w:p>
    <w:p w14:paraId="78AF1730" w14:textId="545DBD16" w:rsidR="00DE431B" w:rsidRDefault="00DE431B" w:rsidP="00B0552A">
      <w:pPr>
        <w:spacing w:after="120"/>
        <w:rPr>
          <w:rFonts w:cstheme="minorHAnsi"/>
          <w:sz w:val="20"/>
          <w:szCs w:val="20"/>
        </w:rPr>
      </w:pPr>
    </w:p>
    <w:p w14:paraId="621F95D5" w14:textId="77777777" w:rsidR="00151F7E" w:rsidRDefault="00151F7E">
      <w:pPr>
        <w:rPr>
          <w:rFonts w:cstheme="minorHAnsi"/>
          <w:b/>
          <w:sz w:val="22"/>
          <w:szCs w:val="22"/>
        </w:rPr>
      </w:pPr>
      <w:r>
        <w:rPr>
          <w:rFonts w:cstheme="minorHAnsi"/>
          <w:b/>
          <w:sz w:val="22"/>
          <w:szCs w:val="22"/>
        </w:rPr>
        <w:br w:type="page"/>
      </w:r>
    </w:p>
    <w:p w14:paraId="607D1763" w14:textId="77777777" w:rsidR="00AA3E6F" w:rsidRDefault="00AA3E6F" w:rsidP="00151F7E">
      <w:pPr>
        <w:spacing w:before="60"/>
        <w:jc w:val="center"/>
        <w:rPr>
          <w:rFonts w:cstheme="minorHAnsi"/>
          <w:b/>
          <w:sz w:val="22"/>
          <w:szCs w:val="22"/>
        </w:rPr>
      </w:pPr>
    </w:p>
    <w:p w14:paraId="0514151F" w14:textId="0CA74360" w:rsidR="007A4591" w:rsidRPr="00364DDC" w:rsidRDefault="0065051C" w:rsidP="002074D0">
      <w:pPr>
        <w:pStyle w:val="Heading1"/>
        <w:rPr>
          <w:sz w:val="20"/>
          <w:szCs w:val="20"/>
        </w:rPr>
      </w:pPr>
      <w:r w:rsidRPr="00BA22F4">
        <w:t>ANNEX</w:t>
      </w:r>
    </w:p>
    <w:sectPr w:rsidR="007A4591" w:rsidRPr="00364DDC"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9422F" w14:textId="77777777" w:rsidR="00D653BF" w:rsidRDefault="00D653BF" w:rsidP="00CA591E"/>
  </w:endnote>
  <w:endnote w:type="continuationSeparator" w:id="0">
    <w:p w14:paraId="768E1F1C" w14:textId="77777777" w:rsidR="00D653BF" w:rsidRDefault="00D653BF" w:rsidP="00CA591E">
      <w:r>
        <w:continuationSeparator/>
      </w:r>
    </w:p>
  </w:endnote>
  <w:endnote w:id="1">
    <w:p w14:paraId="63777E14" w14:textId="7C9A5E53" w:rsidR="00721576" w:rsidRDefault="00D31255">
      <w:pPr>
        <w:pStyle w:val="EndnoteText"/>
      </w:pPr>
      <w:r>
        <w:t>*</w:t>
      </w:r>
      <w:r w:rsidR="00721576">
        <w:t xml:space="preserve">For more guidance, see the </w:t>
      </w:r>
      <w:hyperlink r:id="rId1" w:history="1">
        <w:r w:rsidR="00721576" w:rsidRPr="00721576">
          <w:rPr>
            <w:rStyle w:val="Hyperlink"/>
          </w:rPr>
          <w:t>International Principles and Guidelines on Access to Justice for Persons with Disabilities</w:t>
        </w:r>
      </w:hyperlink>
      <w:r w:rsidR="00721576">
        <w:t xml:space="preserve"> developed under the initiative of the Special Rapporteur on the rights of persons with disabilities.</w:t>
      </w:r>
    </w:p>
    <w:p w14:paraId="6BC07FE7" w14:textId="6E8AF21F" w:rsidR="00BB0F7C" w:rsidRPr="000C3B24" w:rsidRDefault="00BB0F7C">
      <w:pPr>
        <w:pStyle w:val="EndnoteText"/>
        <w:rPr>
          <w:sz w:val="18"/>
          <w:szCs w:val="18"/>
        </w:rPr>
      </w:pPr>
      <w:r w:rsidRPr="00703A86">
        <w:rPr>
          <w:rStyle w:val="EndnoteReference"/>
        </w:rPr>
        <w:endnoteRef/>
      </w:r>
      <w:r w:rsidRPr="00703A86">
        <w:t xml:space="preserve"> </w:t>
      </w:r>
      <w:r w:rsidRPr="00703A86">
        <w:rPr>
          <w:sz w:val="18"/>
          <w:szCs w:val="18"/>
        </w:rPr>
        <w:t xml:space="preserve">Such </w:t>
      </w:r>
      <w:r w:rsidRPr="000C3B24">
        <w:rPr>
          <w:sz w:val="18"/>
          <w:szCs w:val="18"/>
        </w:rPr>
        <w:t xml:space="preserve">legislation must include: </w:t>
      </w:r>
    </w:p>
    <w:p w14:paraId="52F7C491" w14:textId="77777777" w:rsidR="00BB0F7C" w:rsidRPr="000C3B24" w:rsidRDefault="00BB0F7C" w:rsidP="00CD1C65">
      <w:pPr>
        <w:pStyle w:val="EndnoteText"/>
        <w:numPr>
          <w:ilvl w:val="0"/>
          <w:numId w:val="17"/>
        </w:numPr>
        <w:rPr>
          <w:sz w:val="18"/>
          <w:szCs w:val="18"/>
        </w:rPr>
      </w:pPr>
      <w:r w:rsidRPr="000C3B24">
        <w:rPr>
          <w:sz w:val="18"/>
          <w:szCs w:val="18"/>
        </w:rPr>
        <w:t>the provision of procedural, gender and age appropriate accommodations to persons with disabilities in all legal proceedings to ensure their access to justice on an equal basis with others.</w:t>
      </w:r>
    </w:p>
    <w:p w14:paraId="063CCE10" w14:textId="77777777" w:rsidR="00BB0F7C" w:rsidRPr="000C3B24" w:rsidRDefault="00BB0F7C" w:rsidP="00CD1C65">
      <w:pPr>
        <w:pStyle w:val="EndnoteText"/>
        <w:numPr>
          <w:ilvl w:val="0"/>
          <w:numId w:val="17"/>
        </w:numPr>
        <w:rPr>
          <w:sz w:val="18"/>
          <w:szCs w:val="18"/>
        </w:rPr>
      </w:pPr>
      <w:r w:rsidRPr="000C3B24">
        <w:rPr>
          <w:sz w:val="18"/>
          <w:szCs w:val="18"/>
        </w:rPr>
        <w:t>provisions to ensure that persons with disabilities exercise their right to legal capacity, including through the provision of supported decision making (Article 12 of the CRPD).</w:t>
      </w:r>
    </w:p>
    <w:p w14:paraId="65B9F80E" w14:textId="77777777" w:rsidR="00BB0F7C" w:rsidRPr="009D73C2" w:rsidRDefault="00BB0F7C" w:rsidP="00CD1C65">
      <w:pPr>
        <w:pStyle w:val="EndnoteText"/>
        <w:numPr>
          <w:ilvl w:val="0"/>
          <w:numId w:val="17"/>
        </w:numPr>
        <w:rPr>
          <w:sz w:val="18"/>
          <w:szCs w:val="18"/>
        </w:rPr>
      </w:pPr>
      <w:r w:rsidRPr="000C3B24">
        <w:rPr>
          <w:sz w:val="18"/>
          <w:szCs w:val="18"/>
        </w:rPr>
        <w:t>in line</w:t>
      </w:r>
      <w:r w:rsidRPr="009D73C2">
        <w:rPr>
          <w:sz w:val="18"/>
          <w:szCs w:val="18"/>
        </w:rPr>
        <w:t xml:space="preserve"> with Article 5 (indicators 5.1 and 5.6)</w:t>
      </w:r>
      <w:r>
        <w:rPr>
          <w:sz w:val="18"/>
          <w:szCs w:val="18"/>
        </w:rPr>
        <w:t xml:space="preserve"> of the CRPD</w:t>
      </w:r>
      <w:r w:rsidRPr="009D73C2">
        <w:rPr>
          <w:sz w:val="18"/>
          <w:szCs w:val="18"/>
        </w:rPr>
        <w:t>, provisions allow</w:t>
      </w:r>
      <w:r>
        <w:rPr>
          <w:sz w:val="18"/>
          <w:szCs w:val="18"/>
        </w:rPr>
        <w:t>ing the</w:t>
      </w:r>
      <w:r w:rsidRPr="009D73C2">
        <w:rPr>
          <w:sz w:val="18"/>
          <w:szCs w:val="18"/>
        </w:rPr>
        <w:t xml:space="preserve"> submi</w:t>
      </w:r>
      <w:r>
        <w:rPr>
          <w:sz w:val="18"/>
          <w:szCs w:val="18"/>
        </w:rPr>
        <w:t>ssion of</w:t>
      </w:r>
      <w:r w:rsidRPr="009D73C2">
        <w:rPr>
          <w:sz w:val="18"/>
          <w:szCs w:val="18"/>
        </w:rPr>
        <w:t xml:space="preserve"> claims alleging multiple and intersectional discrimination on various grounds</w:t>
      </w:r>
      <w:r>
        <w:rPr>
          <w:sz w:val="18"/>
          <w:szCs w:val="18"/>
        </w:rPr>
        <w:t>, as well as provisions to strengthen access to justice of persons with disabilities at higher risk of marginalization, such as</w:t>
      </w:r>
      <w:r w:rsidRPr="00CC6EC6">
        <w:rPr>
          <w:sz w:val="18"/>
          <w:szCs w:val="18"/>
        </w:rPr>
        <w:t xml:space="preserve"> women</w:t>
      </w:r>
      <w:r>
        <w:rPr>
          <w:sz w:val="18"/>
          <w:szCs w:val="18"/>
        </w:rPr>
        <w:t xml:space="preserve"> with disabilities</w:t>
      </w:r>
      <w:r w:rsidRPr="00CC6EC6">
        <w:rPr>
          <w:sz w:val="18"/>
          <w:szCs w:val="18"/>
        </w:rPr>
        <w:t>, children</w:t>
      </w:r>
      <w:r>
        <w:rPr>
          <w:sz w:val="18"/>
          <w:szCs w:val="18"/>
        </w:rPr>
        <w:t xml:space="preserve"> with disabilities</w:t>
      </w:r>
      <w:r w:rsidRPr="00CC6EC6">
        <w:rPr>
          <w:sz w:val="18"/>
          <w:szCs w:val="18"/>
        </w:rPr>
        <w:t xml:space="preserve"> and indigenous persons</w:t>
      </w:r>
      <w:r>
        <w:rPr>
          <w:sz w:val="18"/>
          <w:szCs w:val="18"/>
        </w:rPr>
        <w:t xml:space="preserve"> with disabilities.</w:t>
      </w:r>
      <w:r w:rsidRPr="009D73C2">
        <w:rPr>
          <w:sz w:val="18"/>
          <w:szCs w:val="18"/>
        </w:rPr>
        <w:t xml:space="preserve"> </w:t>
      </w:r>
    </w:p>
    <w:p w14:paraId="2A6E0C6D" w14:textId="77777777" w:rsidR="00BB0F7C" w:rsidRDefault="00BB0F7C" w:rsidP="00CD1C65">
      <w:pPr>
        <w:pStyle w:val="EndnoteText"/>
        <w:numPr>
          <w:ilvl w:val="0"/>
          <w:numId w:val="17"/>
        </w:numPr>
        <w:rPr>
          <w:sz w:val="18"/>
          <w:szCs w:val="18"/>
        </w:rPr>
      </w:pPr>
      <w:r w:rsidRPr="009D73C2">
        <w:rPr>
          <w:sz w:val="18"/>
          <w:szCs w:val="18"/>
        </w:rPr>
        <w:t xml:space="preserve">provisions to ensure adequate, proportionate and effective remedies and sanctions.  </w:t>
      </w:r>
    </w:p>
    <w:p w14:paraId="5ADF752F" w14:textId="77777777" w:rsidR="00BB0F7C" w:rsidRPr="006C21B3" w:rsidRDefault="00BB0F7C" w:rsidP="006C21B3">
      <w:pPr>
        <w:pStyle w:val="EndnoteText"/>
        <w:numPr>
          <w:ilvl w:val="0"/>
          <w:numId w:val="17"/>
        </w:numPr>
        <w:rPr>
          <w:sz w:val="18"/>
          <w:szCs w:val="18"/>
        </w:rPr>
      </w:pPr>
      <w:r w:rsidRPr="009D73C2">
        <w:rPr>
          <w:sz w:val="18"/>
          <w:szCs w:val="18"/>
        </w:rPr>
        <w:t xml:space="preserve">the provision of reasonable accommodation and support to persons with disabilities to be eligible </w:t>
      </w:r>
      <w:r>
        <w:rPr>
          <w:sz w:val="18"/>
          <w:szCs w:val="18"/>
        </w:rPr>
        <w:t xml:space="preserve">to participate and work </w:t>
      </w:r>
      <w:r w:rsidRPr="009D73C2">
        <w:rPr>
          <w:sz w:val="18"/>
          <w:szCs w:val="18"/>
        </w:rPr>
        <w:t xml:space="preserve">in </w:t>
      </w:r>
      <w:r>
        <w:rPr>
          <w:sz w:val="18"/>
          <w:szCs w:val="18"/>
        </w:rPr>
        <w:t xml:space="preserve">judicial proceedings and within </w:t>
      </w:r>
      <w:r w:rsidRPr="009D73C2">
        <w:rPr>
          <w:sz w:val="18"/>
          <w:szCs w:val="18"/>
        </w:rPr>
        <w:t xml:space="preserve">the judiciary on </w:t>
      </w:r>
      <w:r>
        <w:rPr>
          <w:sz w:val="18"/>
          <w:szCs w:val="18"/>
        </w:rPr>
        <w:t xml:space="preserve">an </w:t>
      </w:r>
      <w:r w:rsidRPr="009D73C2">
        <w:rPr>
          <w:sz w:val="18"/>
          <w:szCs w:val="18"/>
        </w:rPr>
        <w:t xml:space="preserve">equal basis with others. </w:t>
      </w:r>
    </w:p>
  </w:endnote>
  <w:endnote w:id="2">
    <w:p w14:paraId="499F5FC5" w14:textId="77777777" w:rsidR="00BB0F7C" w:rsidRPr="009D73C2" w:rsidRDefault="00BB0F7C" w:rsidP="00183BD1">
      <w:pPr>
        <w:jc w:val="both"/>
        <w:rPr>
          <w:rFonts w:cstheme="minorHAnsi"/>
          <w:sz w:val="18"/>
          <w:szCs w:val="18"/>
        </w:rPr>
      </w:pPr>
      <w:r w:rsidRPr="009D73C2">
        <w:rPr>
          <w:rStyle w:val="EndnoteReference"/>
          <w:sz w:val="18"/>
          <w:szCs w:val="18"/>
        </w:rPr>
        <w:endnoteRef/>
      </w:r>
      <w:r w:rsidRPr="009D73C2">
        <w:rPr>
          <w:sz w:val="18"/>
          <w:szCs w:val="18"/>
        </w:rPr>
        <w:t xml:space="preserve"> </w:t>
      </w:r>
      <w:r w:rsidRPr="009D73C2">
        <w:rPr>
          <w:rFonts w:cstheme="minorHAnsi"/>
          <w:sz w:val="18"/>
          <w:szCs w:val="18"/>
        </w:rPr>
        <w:t xml:space="preserve">This includes no denial nor restriction in </w:t>
      </w:r>
      <w:r>
        <w:rPr>
          <w:rFonts w:cstheme="minorHAnsi"/>
          <w:sz w:val="18"/>
          <w:szCs w:val="18"/>
        </w:rPr>
        <w:t xml:space="preserve">the </w:t>
      </w:r>
      <w:r w:rsidRPr="009D73C2">
        <w:rPr>
          <w:rFonts w:cstheme="minorHAnsi"/>
          <w:sz w:val="18"/>
          <w:szCs w:val="18"/>
        </w:rPr>
        <w:t xml:space="preserve">law to access justice or </w:t>
      </w:r>
      <w:r>
        <w:rPr>
          <w:rFonts w:cstheme="minorHAnsi"/>
          <w:sz w:val="18"/>
          <w:szCs w:val="18"/>
        </w:rPr>
        <w:t>to</w:t>
      </w:r>
      <w:r w:rsidRPr="009D73C2">
        <w:rPr>
          <w:rFonts w:cstheme="minorHAnsi"/>
          <w:sz w:val="18"/>
          <w:szCs w:val="18"/>
        </w:rPr>
        <w:t xml:space="preserve"> participat</w:t>
      </w:r>
      <w:r>
        <w:rPr>
          <w:rFonts w:cstheme="minorHAnsi"/>
          <w:sz w:val="18"/>
          <w:szCs w:val="18"/>
        </w:rPr>
        <w:t>e</w:t>
      </w:r>
      <w:r w:rsidRPr="009D73C2">
        <w:rPr>
          <w:rFonts w:cstheme="minorHAnsi"/>
          <w:sz w:val="18"/>
          <w:szCs w:val="18"/>
        </w:rPr>
        <w:t xml:space="preserve"> in the justice system on the basis of disability, such as:</w:t>
      </w:r>
    </w:p>
    <w:p w14:paraId="0229DE4A" w14:textId="77777777" w:rsidR="00BB0F7C" w:rsidRPr="009D73C2" w:rsidRDefault="00BB0F7C" w:rsidP="00183BD1">
      <w:pPr>
        <w:pStyle w:val="ListParagraph"/>
        <w:numPr>
          <w:ilvl w:val="0"/>
          <w:numId w:val="5"/>
        </w:numPr>
        <w:jc w:val="both"/>
        <w:rPr>
          <w:rFonts w:cstheme="minorHAnsi"/>
          <w:sz w:val="18"/>
          <w:szCs w:val="18"/>
        </w:rPr>
      </w:pPr>
      <w:r w:rsidRPr="009D73C2">
        <w:rPr>
          <w:rFonts w:cstheme="minorHAnsi"/>
          <w:sz w:val="18"/>
          <w:szCs w:val="18"/>
        </w:rPr>
        <w:t xml:space="preserve">Denial of legal standing </w:t>
      </w:r>
      <w:r>
        <w:rPr>
          <w:rFonts w:cstheme="minorHAnsi"/>
          <w:sz w:val="18"/>
          <w:szCs w:val="18"/>
        </w:rPr>
        <w:t xml:space="preserve">on the basis of disability (including through formal </w:t>
      </w:r>
      <w:r w:rsidRPr="009D73C2">
        <w:rPr>
          <w:rFonts w:cstheme="minorHAnsi"/>
          <w:sz w:val="18"/>
          <w:szCs w:val="18"/>
        </w:rPr>
        <w:t>depriv</w:t>
      </w:r>
      <w:r>
        <w:rPr>
          <w:rFonts w:cstheme="minorHAnsi"/>
          <w:sz w:val="18"/>
          <w:szCs w:val="18"/>
        </w:rPr>
        <w:t>ation or restriction of</w:t>
      </w:r>
      <w:r w:rsidRPr="009D73C2">
        <w:rPr>
          <w:rFonts w:cstheme="minorHAnsi"/>
          <w:sz w:val="18"/>
          <w:szCs w:val="18"/>
        </w:rPr>
        <w:t xml:space="preserve"> legal capacity</w:t>
      </w:r>
      <w:r>
        <w:rPr>
          <w:rFonts w:cstheme="minorHAnsi"/>
          <w:sz w:val="18"/>
          <w:szCs w:val="18"/>
        </w:rPr>
        <w:t>)</w:t>
      </w:r>
      <w:r w:rsidRPr="009D73C2">
        <w:rPr>
          <w:rFonts w:cstheme="minorHAnsi"/>
          <w:sz w:val="18"/>
          <w:szCs w:val="18"/>
        </w:rPr>
        <w:t xml:space="preserve"> in contradiction with Article 12 of the CRPD.</w:t>
      </w:r>
    </w:p>
    <w:p w14:paraId="1B416892" w14:textId="77777777" w:rsidR="00BB0F7C" w:rsidRPr="00BE4B26" w:rsidRDefault="00BB0F7C">
      <w:pPr>
        <w:pStyle w:val="ListParagraph"/>
        <w:numPr>
          <w:ilvl w:val="0"/>
          <w:numId w:val="5"/>
        </w:numPr>
        <w:jc w:val="both"/>
        <w:rPr>
          <w:rFonts w:cstheme="minorHAnsi"/>
          <w:sz w:val="18"/>
          <w:szCs w:val="18"/>
        </w:rPr>
      </w:pPr>
      <w:r w:rsidRPr="009D73C2">
        <w:rPr>
          <w:rFonts w:cstheme="minorHAnsi"/>
          <w:sz w:val="18"/>
          <w:szCs w:val="18"/>
        </w:rPr>
        <w:t>Denial of</w:t>
      </w:r>
      <w:r>
        <w:rPr>
          <w:rFonts w:cstheme="minorHAnsi"/>
          <w:sz w:val="18"/>
          <w:szCs w:val="18"/>
        </w:rPr>
        <w:t xml:space="preserve"> the opportunity </w:t>
      </w:r>
      <w:r w:rsidRPr="009D73C2">
        <w:rPr>
          <w:rFonts w:cstheme="minorHAnsi"/>
          <w:sz w:val="18"/>
          <w:szCs w:val="18"/>
        </w:rPr>
        <w:t xml:space="preserve">to present evidence or </w:t>
      </w:r>
      <w:r>
        <w:rPr>
          <w:rFonts w:cstheme="minorHAnsi"/>
          <w:sz w:val="18"/>
          <w:szCs w:val="18"/>
        </w:rPr>
        <w:t>to testify</w:t>
      </w:r>
      <w:r w:rsidRPr="009D73C2">
        <w:rPr>
          <w:rFonts w:cstheme="minorHAnsi"/>
          <w:sz w:val="18"/>
          <w:szCs w:val="18"/>
        </w:rPr>
        <w:t xml:space="preserve"> as a witness </w:t>
      </w:r>
      <w:r>
        <w:rPr>
          <w:rFonts w:cstheme="minorHAnsi"/>
          <w:sz w:val="18"/>
          <w:szCs w:val="18"/>
        </w:rPr>
        <w:t>on the basis</w:t>
      </w:r>
      <w:r w:rsidRPr="009D73C2">
        <w:rPr>
          <w:rFonts w:cstheme="minorHAnsi"/>
          <w:sz w:val="18"/>
          <w:szCs w:val="18"/>
        </w:rPr>
        <w:t xml:space="preserve"> of disability and related stigmas (e.g. </w:t>
      </w:r>
      <w:r>
        <w:rPr>
          <w:rFonts w:cstheme="minorHAnsi"/>
          <w:sz w:val="18"/>
          <w:szCs w:val="18"/>
        </w:rPr>
        <w:t xml:space="preserve">legal capacity status, </w:t>
      </w:r>
      <w:r w:rsidRPr="009D73C2">
        <w:rPr>
          <w:rFonts w:cstheme="minorHAnsi"/>
          <w:sz w:val="18"/>
          <w:szCs w:val="18"/>
        </w:rPr>
        <w:t>being deemed not credible</w:t>
      </w:r>
      <w:r>
        <w:rPr>
          <w:rFonts w:cstheme="minorHAnsi"/>
          <w:sz w:val="18"/>
          <w:szCs w:val="18"/>
        </w:rPr>
        <w:t>, etc.</w:t>
      </w:r>
      <w:r w:rsidRPr="009D73C2">
        <w:rPr>
          <w:rFonts w:cstheme="minorHAnsi"/>
          <w:sz w:val="18"/>
          <w:szCs w:val="18"/>
        </w:rPr>
        <w:t>).</w:t>
      </w:r>
    </w:p>
    <w:p w14:paraId="3755588C" w14:textId="77777777" w:rsidR="00BB0F7C" w:rsidRPr="009D73C2" w:rsidRDefault="00BB0F7C" w:rsidP="00183BD1">
      <w:pPr>
        <w:pStyle w:val="ListParagraph"/>
        <w:numPr>
          <w:ilvl w:val="0"/>
          <w:numId w:val="5"/>
        </w:numPr>
        <w:jc w:val="both"/>
        <w:rPr>
          <w:sz w:val="18"/>
          <w:szCs w:val="18"/>
          <w:lang w:val="en-GB"/>
        </w:rPr>
      </w:pPr>
      <w:r w:rsidRPr="009D73C2">
        <w:rPr>
          <w:rFonts w:cstheme="minorHAnsi"/>
          <w:sz w:val="18"/>
          <w:szCs w:val="18"/>
        </w:rPr>
        <w:t xml:space="preserve">Requirement of mandatory legal representation by </w:t>
      </w:r>
      <w:r>
        <w:rPr>
          <w:rFonts w:cstheme="minorHAnsi"/>
          <w:sz w:val="18"/>
          <w:szCs w:val="18"/>
        </w:rPr>
        <w:t>a</w:t>
      </w:r>
      <w:r w:rsidRPr="009D73C2">
        <w:rPr>
          <w:rFonts w:cstheme="minorHAnsi"/>
          <w:sz w:val="18"/>
          <w:szCs w:val="18"/>
        </w:rPr>
        <w:t xml:space="preserve"> guardian or institution</w:t>
      </w:r>
      <w:r w:rsidRPr="009D73C2">
        <w:rPr>
          <w:rFonts w:cstheme="minorHAnsi"/>
          <w:sz w:val="18"/>
          <w:szCs w:val="18"/>
          <w:lang w:val="en-GB"/>
        </w:rPr>
        <w:t xml:space="preserve"> for those persons with disabilities currently residing in institutions in contradiction with Article</w:t>
      </w:r>
      <w:r>
        <w:rPr>
          <w:rFonts w:cstheme="minorHAnsi"/>
          <w:sz w:val="18"/>
          <w:szCs w:val="18"/>
          <w:lang w:val="en-GB"/>
        </w:rPr>
        <w:t>s 12 and</w:t>
      </w:r>
      <w:r w:rsidRPr="009D73C2">
        <w:rPr>
          <w:rFonts w:cstheme="minorHAnsi"/>
          <w:sz w:val="18"/>
          <w:szCs w:val="18"/>
          <w:lang w:val="en-GB"/>
        </w:rPr>
        <w:t xml:space="preserve"> 19 of the CRPD.</w:t>
      </w:r>
    </w:p>
    <w:p w14:paraId="6032C37B" w14:textId="77777777" w:rsidR="00BB0F7C" w:rsidRPr="009D73C2" w:rsidRDefault="00BB0F7C" w:rsidP="009D73C2">
      <w:pPr>
        <w:pStyle w:val="ListParagraph"/>
        <w:numPr>
          <w:ilvl w:val="0"/>
          <w:numId w:val="5"/>
        </w:numPr>
        <w:jc w:val="both"/>
        <w:rPr>
          <w:sz w:val="18"/>
          <w:szCs w:val="18"/>
          <w:lang w:val="en-GB"/>
        </w:rPr>
      </w:pPr>
      <w:r w:rsidRPr="009D73C2">
        <w:rPr>
          <w:sz w:val="18"/>
          <w:szCs w:val="18"/>
          <w:lang w:val="en-GB"/>
        </w:rPr>
        <w:t>Requirements that prevent persons with disabilities from applying for</w:t>
      </w:r>
      <w:r>
        <w:rPr>
          <w:sz w:val="18"/>
          <w:szCs w:val="18"/>
          <w:lang w:val="en-GB"/>
        </w:rPr>
        <w:t>,</w:t>
      </w:r>
      <w:r w:rsidRPr="009D73C2">
        <w:rPr>
          <w:sz w:val="18"/>
          <w:szCs w:val="18"/>
          <w:lang w:val="en-GB"/>
        </w:rPr>
        <w:t xml:space="preserve"> and being admitted to faculties of law or </w:t>
      </w:r>
      <w:r>
        <w:rPr>
          <w:sz w:val="18"/>
          <w:szCs w:val="18"/>
          <w:lang w:val="en-GB"/>
        </w:rPr>
        <w:t>judicial training institutions</w:t>
      </w:r>
      <w:r w:rsidRPr="009D73C2">
        <w:rPr>
          <w:sz w:val="18"/>
          <w:szCs w:val="18"/>
          <w:lang w:val="en-GB"/>
        </w:rPr>
        <w:t>, and from practicing law and holding judgeships.</w:t>
      </w:r>
    </w:p>
  </w:endnote>
  <w:endnote w:id="3">
    <w:p w14:paraId="1682309C" w14:textId="77777777" w:rsidR="00BB0F7C" w:rsidRPr="009D73C2" w:rsidRDefault="00BB0F7C" w:rsidP="008F6E12">
      <w:pPr>
        <w:pStyle w:val="EndnoteText"/>
        <w:jc w:val="both"/>
        <w:rPr>
          <w:sz w:val="18"/>
          <w:szCs w:val="18"/>
        </w:rPr>
      </w:pPr>
      <w:r w:rsidRPr="009D73C2">
        <w:rPr>
          <w:rStyle w:val="EndnoteReference"/>
          <w:sz w:val="18"/>
          <w:szCs w:val="18"/>
        </w:rPr>
        <w:endnoteRef/>
      </w:r>
      <w:r w:rsidRPr="009D73C2">
        <w:rPr>
          <w:sz w:val="18"/>
          <w:szCs w:val="18"/>
        </w:rPr>
        <w:t xml:space="preserve"> Diversion from criminal proceedings based on legal </w:t>
      </w:r>
      <w:r>
        <w:rPr>
          <w:sz w:val="18"/>
          <w:szCs w:val="18"/>
        </w:rPr>
        <w:t>premises</w:t>
      </w:r>
      <w:r w:rsidRPr="009D73C2">
        <w:rPr>
          <w:sz w:val="18"/>
          <w:szCs w:val="18"/>
        </w:rPr>
        <w:t xml:space="preserve"> such as “unfitness to stand trial”, “insanity </w:t>
      </w:r>
      <w:proofErr w:type="spellStart"/>
      <w:r w:rsidRPr="009D73C2">
        <w:rPr>
          <w:sz w:val="18"/>
          <w:szCs w:val="18"/>
        </w:rPr>
        <w:t>defence</w:t>
      </w:r>
      <w:proofErr w:type="spellEnd"/>
      <w:r w:rsidRPr="009D73C2">
        <w:rPr>
          <w:sz w:val="18"/>
          <w:szCs w:val="18"/>
        </w:rPr>
        <w:t>”, “</w:t>
      </w:r>
      <w:proofErr w:type="spellStart"/>
      <w:r w:rsidRPr="009D73C2">
        <w:rPr>
          <w:sz w:val="18"/>
          <w:szCs w:val="18"/>
        </w:rPr>
        <w:t>inimputabilidad</w:t>
      </w:r>
      <w:proofErr w:type="spellEnd"/>
      <w:r w:rsidRPr="009D73C2">
        <w:rPr>
          <w:sz w:val="18"/>
          <w:szCs w:val="18"/>
        </w:rPr>
        <w:t xml:space="preserve">” and “non-criminally liable”, excludes persons with disabilities from substantive and procedural guarantees on the basis of impairment contrary to Article 13 and leads to deprivation of liberty on the basis of impairment contrary to Article 14 of the CRPD. </w:t>
      </w:r>
    </w:p>
  </w:endnote>
  <w:endnote w:id="4">
    <w:p w14:paraId="1B8F8BDE" w14:textId="77777777" w:rsidR="00BB0F7C" w:rsidRPr="009D73C2" w:rsidRDefault="00BB0F7C" w:rsidP="005509F7">
      <w:pPr>
        <w:pStyle w:val="EndnoteText"/>
        <w:jc w:val="both"/>
        <w:rPr>
          <w:sz w:val="18"/>
          <w:szCs w:val="18"/>
        </w:rPr>
      </w:pPr>
      <w:r w:rsidRPr="009D73C2">
        <w:rPr>
          <w:rStyle w:val="EndnoteReference"/>
          <w:sz w:val="18"/>
          <w:szCs w:val="18"/>
        </w:rPr>
        <w:endnoteRef/>
      </w:r>
      <w:r w:rsidRPr="009D73C2">
        <w:rPr>
          <w:sz w:val="18"/>
          <w:szCs w:val="18"/>
        </w:rPr>
        <w:t xml:space="preserve"> Particular attention should be given in this regard to women with disabilities, children with </w:t>
      </w:r>
      <w:r>
        <w:rPr>
          <w:sz w:val="18"/>
          <w:szCs w:val="18"/>
        </w:rPr>
        <w:t xml:space="preserve">disabilities, deaf persons, </w:t>
      </w:r>
      <w:r w:rsidRPr="009D73C2">
        <w:rPr>
          <w:sz w:val="18"/>
          <w:szCs w:val="18"/>
        </w:rPr>
        <w:t xml:space="preserve">persons with psychosocial </w:t>
      </w:r>
      <w:r>
        <w:rPr>
          <w:sz w:val="18"/>
          <w:szCs w:val="18"/>
        </w:rPr>
        <w:t>disabilities, persons with</w:t>
      </w:r>
      <w:r w:rsidRPr="009D73C2">
        <w:rPr>
          <w:sz w:val="18"/>
          <w:szCs w:val="18"/>
        </w:rPr>
        <w:t xml:space="preserve"> intellectual disabilities, persons with disabilities living in residential institutions</w:t>
      </w:r>
      <w:r>
        <w:rPr>
          <w:sz w:val="18"/>
          <w:szCs w:val="18"/>
        </w:rPr>
        <w:t>, and persons with disabilities with indigenous background or belonging to minorities, and to ensuring that information and communications are accessible and in languages understood by them, including the provision of interpretation in sign languages and indigenous/minority languages</w:t>
      </w:r>
      <w:r w:rsidRPr="009D73C2">
        <w:rPr>
          <w:sz w:val="18"/>
          <w:szCs w:val="18"/>
        </w:rPr>
        <w:t>.</w:t>
      </w:r>
    </w:p>
  </w:endnote>
  <w:endnote w:id="5">
    <w:p w14:paraId="6CF58A27" w14:textId="44166E6E" w:rsidR="00BB0F7C" w:rsidRPr="009D73C2" w:rsidRDefault="00BB0F7C" w:rsidP="000C25AB">
      <w:pPr>
        <w:pStyle w:val="EndnoteText"/>
        <w:jc w:val="both"/>
        <w:rPr>
          <w:sz w:val="18"/>
          <w:szCs w:val="18"/>
        </w:rPr>
      </w:pPr>
      <w:r w:rsidRPr="009D73C2">
        <w:rPr>
          <w:rStyle w:val="EndnoteReference"/>
          <w:sz w:val="18"/>
          <w:szCs w:val="18"/>
        </w:rPr>
        <w:endnoteRef/>
      </w:r>
      <w:r w:rsidRPr="009D73C2">
        <w:rPr>
          <w:sz w:val="18"/>
          <w:szCs w:val="18"/>
        </w:rPr>
        <w:t xml:space="preserve"> When requested, the provision of procedural accommodation is due in “all judicial and administrative proceedings” and must be based on the free choice and preference of the person concerned. Examples of procedural accommodation are the provision of sign language interpretation, the availability of legal and judicial information in accessible formats, multiple means of communication, easy read versions of documents, Braille and remote participation and video link testimony, provision of </w:t>
      </w:r>
      <w:r w:rsidRPr="009D73C2">
        <w:rPr>
          <w:bCs/>
          <w:sz w:val="18"/>
          <w:szCs w:val="18"/>
        </w:rPr>
        <w:t>assistive technologies</w:t>
      </w:r>
      <w:r w:rsidRPr="009D73C2">
        <w:rPr>
          <w:sz w:val="18"/>
          <w:szCs w:val="18"/>
        </w:rPr>
        <w:t xml:space="preserve">, personal assistance; procedural flexibility to accommodate specific requirements for participation, for example changing a court venue, allowing sign language interpreters to participate in confidential jury debates, extending or adjusting procedural deadlines and </w:t>
      </w:r>
      <w:r>
        <w:rPr>
          <w:sz w:val="18"/>
          <w:szCs w:val="18"/>
        </w:rPr>
        <w:t>other</w:t>
      </w:r>
      <w:r w:rsidRPr="009D73C2">
        <w:rPr>
          <w:sz w:val="18"/>
          <w:szCs w:val="18"/>
        </w:rPr>
        <w:t xml:space="preserve"> procedural formalities and timeframes</w:t>
      </w:r>
      <w:r>
        <w:rPr>
          <w:sz w:val="18"/>
          <w:szCs w:val="18"/>
        </w:rPr>
        <w:t xml:space="preserve"> </w:t>
      </w:r>
      <w:r w:rsidRPr="009D73C2">
        <w:rPr>
          <w:sz w:val="18"/>
          <w:szCs w:val="18"/>
        </w:rPr>
        <w:t xml:space="preserve">(See OHCHR, </w:t>
      </w:r>
      <w:hyperlink r:id="rId2" w:history="1">
        <w:r w:rsidRPr="009D73C2">
          <w:rPr>
            <w:rStyle w:val="Hyperlink"/>
            <w:sz w:val="18"/>
            <w:szCs w:val="18"/>
          </w:rPr>
          <w:t>A/HRC/37/25</w:t>
        </w:r>
      </w:hyperlink>
      <w:r w:rsidRPr="009D73C2">
        <w:rPr>
          <w:sz w:val="18"/>
          <w:szCs w:val="18"/>
        </w:rPr>
        <w:t>, para. 24).</w:t>
      </w:r>
    </w:p>
  </w:endnote>
  <w:endnote w:id="6">
    <w:p w14:paraId="22C1F773" w14:textId="77777777" w:rsidR="00BB0F7C" w:rsidRPr="009D73C2" w:rsidRDefault="00BB0F7C" w:rsidP="00183BD1">
      <w:pPr>
        <w:pStyle w:val="EndnoteText"/>
        <w:jc w:val="both"/>
        <w:rPr>
          <w:sz w:val="18"/>
          <w:szCs w:val="18"/>
          <w:highlight w:val="yellow"/>
        </w:rPr>
      </w:pPr>
      <w:r w:rsidRPr="009D73C2">
        <w:rPr>
          <w:rStyle w:val="EndnoteReference"/>
          <w:sz w:val="18"/>
          <w:szCs w:val="18"/>
        </w:rPr>
        <w:endnoteRef/>
      </w:r>
      <w:r w:rsidRPr="009D73C2">
        <w:rPr>
          <w:sz w:val="18"/>
          <w:szCs w:val="18"/>
        </w:rPr>
        <w:t xml:space="preserve"> This includes courts and tribunals, police stations, </w:t>
      </w:r>
      <w:r w:rsidRPr="009D73C2">
        <w:rPr>
          <w:rFonts w:cstheme="minorHAnsi"/>
          <w:sz w:val="18"/>
          <w:szCs w:val="18"/>
        </w:rPr>
        <w:t>victim support services and shelters,</w:t>
      </w:r>
      <w:r w:rsidRPr="009D73C2">
        <w:rPr>
          <w:sz w:val="18"/>
          <w:szCs w:val="18"/>
        </w:rPr>
        <w:t xml:space="preserve"> the provision free of charge of</w:t>
      </w:r>
      <w:r>
        <w:rPr>
          <w:sz w:val="18"/>
          <w:szCs w:val="18"/>
        </w:rPr>
        <w:t xml:space="preserve"> </w:t>
      </w:r>
      <w:r w:rsidRPr="009D73C2">
        <w:rPr>
          <w:sz w:val="18"/>
          <w:szCs w:val="18"/>
        </w:rPr>
        <w:t>Easy-Read, Braille, accessible digital formats</w:t>
      </w:r>
      <w:r>
        <w:rPr>
          <w:sz w:val="18"/>
          <w:szCs w:val="18"/>
        </w:rPr>
        <w:t xml:space="preserve"> and interpretation into a language understood by parties and participants including </w:t>
      </w:r>
      <w:r w:rsidRPr="009D73C2">
        <w:rPr>
          <w:sz w:val="18"/>
          <w:szCs w:val="18"/>
        </w:rPr>
        <w:t>sign language</w:t>
      </w:r>
      <w:r>
        <w:rPr>
          <w:sz w:val="18"/>
          <w:szCs w:val="18"/>
        </w:rPr>
        <w:t xml:space="preserve"> and indigenous/minority languages</w:t>
      </w:r>
      <w:r w:rsidRPr="009D73C2">
        <w:rPr>
          <w:sz w:val="18"/>
          <w:szCs w:val="18"/>
        </w:rPr>
        <w:t>. In particular, current trends on digitalization of court procedures and other uses of new technologies aimed at increasing efficiency of the administration of justice must neither create new barriers to persons with disabilities nor prevent the provision of age-appropriate procedural accommodations</w:t>
      </w:r>
      <w:r>
        <w:rPr>
          <w:sz w:val="18"/>
          <w:szCs w:val="18"/>
        </w:rPr>
        <w:t>,</w:t>
      </w:r>
      <w:r w:rsidRPr="009D73C2">
        <w:rPr>
          <w:sz w:val="18"/>
          <w:szCs w:val="18"/>
        </w:rPr>
        <w:t xml:space="preserve"> </w:t>
      </w:r>
      <w:r>
        <w:rPr>
          <w:sz w:val="18"/>
          <w:szCs w:val="18"/>
        </w:rPr>
        <w:t>n</w:t>
      </w:r>
      <w:r w:rsidRPr="009D73C2">
        <w:rPr>
          <w:sz w:val="18"/>
          <w:szCs w:val="18"/>
        </w:rPr>
        <w:t xml:space="preserve">or the required flexibility of proceedings. </w:t>
      </w:r>
      <w:r>
        <w:rPr>
          <w:sz w:val="18"/>
          <w:szCs w:val="18"/>
        </w:rPr>
        <w:t>Accessibility of courts in terms of geographical location and distance and available transportation must also be considered.</w:t>
      </w:r>
    </w:p>
  </w:endnote>
  <w:endnote w:id="7">
    <w:p w14:paraId="063EC53B" w14:textId="77777777" w:rsidR="00BB0F7C" w:rsidRPr="009D73C2" w:rsidRDefault="00BB0F7C" w:rsidP="00C240B7">
      <w:pPr>
        <w:pStyle w:val="EndnoteText"/>
        <w:rPr>
          <w:sz w:val="18"/>
          <w:szCs w:val="18"/>
        </w:rPr>
      </w:pPr>
      <w:r w:rsidRPr="009D73C2">
        <w:rPr>
          <w:rStyle w:val="EndnoteReference"/>
          <w:sz w:val="18"/>
          <w:szCs w:val="18"/>
        </w:rPr>
        <w:endnoteRef/>
      </w:r>
      <w:r w:rsidRPr="009D73C2">
        <w:rPr>
          <w:sz w:val="18"/>
          <w:szCs w:val="18"/>
        </w:rPr>
        <w:t xml:space="preserve"> </w:t>
      </w:r>
      <w:r>
        <w:rPr>
          <w:sz w:val="18"/>
          <w:szCs w:val="18"/>
        </w:rPr>
        <w:t>Particularly, those who face significant barriers including</w:t>
      </w:r>
      <w:r w:rsidRPr="009D73C2">
        <w:rPr>
          <w:rFonts w:cstheme="minorHAnsi"/>
          <w:sz w:val="18"/>
          <w:szCs w:val="18"/>
        </w:rPr>
        <w:t xml:space="preserve"> persons with psychosocial</w:t>
      </w:r>
      <w:r>
        <w:rPr>
          <w:rFonts w:cstheme="minorHAnsi"/>
          <w:sz w:val="18"/>
          <w:szCs w:val="18"/>
        </w:rPr>
        <w:t xml:space="preserve"> disabilities, persons with </w:t>
      </w:r>
      <w:r w:rsidRPr="009D73C2">
        <w:rPr>
          <w:rFonts w:cstheme="minorHAnsi"/>
          <w:sz w:val="18"/>
          <w:szCs w:val="18"/>
        </w:rPr>
        <w:t>intellectual disabilities including those living in institutions, women with disabilities</w:t>
      </w:r>
      <w:r>
        <w:rPr>
          <w:rFonts w:cstheme="minorHAnsi"/>
          <w:sz w:val="18"/>
          <w:szCs w:val="18"/>
        </w:rPr>
        <w:t xml:space="preserve">, </w:t>
      </w:r>
      <w:r w:rsidRPr="009D73C2">
        <w:rPr>
          <w:rFonts w:cstheme="minorHAnsi"/>
          <w:sz w:val="18"/>
          <w:szCs w:val="18"/>
        </w:rPr>
        <w:t>children with disabilities</w:t>
      </w:r>
      <w:r>
        <w:rPr>
          <w:rFonts w:cstheme="minorHAnsi"/>
          <w:sz w:val="18"/>
          <w:szCs w:val="18"/>
        </w:rPr>
        <w:t xml:space="preserve">, deaf persons, and </w:t>
      </w:r>
      <w:r>
        <w:rPr>
          <w:sz w:val="18"/>
          <w:szCs w:val="18"/>
        </w:rPr>
        <w:t>persons with disabilities with indigenous background or belonging to minorities</w:t>
      </w:r>
      <w:r>
        <w:rPr>
          <w:rFonts w:cstheme="minorHAnsi"/>
          <w:sz w:val="18"/>
          <w:szCs w:val="18"/>
        </w:rPr>
        <w:t>.</w:t>
      </w:r>
    </w:p>
  </w:endnote>
  <w:endnote w:id="8">
    <w:p w14:paraId="312122BB" w14:textId="3D55408F" w:rsidR="00BB0F7C" w:rsidRPr="00DD35DD" w:rsidRDefault="00BB0F7C" w:rsidP="005509F7">
      <w:pPr>
        <w:pStyle w:val="EndnoteText"/>
        <w:jc w:val="both"/>
        <w:rPr>
          <w:sz w:val="18"/>
          <w:szCs w:val="18"/>
        </w:rPr>
      </w:pPr>
      <w:r w:rsidRPr="009D73C2">
        <w:rPr>
          <w:rStyle w:val="EndnoteReference"/>
          <w:rFonts w:cstheme="minorHAnsi"/>
          <w:sz w:val="18"/>
          <w:szCs w:val="18"/>
        </w:rPr>
        <w:endnoteRef/>
      </w:r>
      <w:r w:rsidRPr="009D73C2">
        <w:rPr>
          <w:rFonts w:cstheme="minorHAnsi"/>
          <w:sz w:val="18"/>
          <w:szCs w:val="18"/>
        </w:rP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w:t>
      </w:r>
      <w:r>
        <w:rPr>
          <w:sz w:val="18"/>
          <w:szCs w:val="18"/>
        </w:rPr>
        <w:t>(</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3" w:history="1">
        <w:r w:rsidRPr="003D2CBE">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5F3E1F8C" w14:textId="77777777" w:rsidR="00BB0F7C" w:rsidRPr="00DD35DD" w:rsidRDefault="00BB0F7C" w:rsidP="005509F7">
      <w:pPr>
        <w:pStyle w:val="EndnoteText"/>
        <w:numPr>
          <w:ilvl w:val="0"/>
          <w:numId w:val="3"/>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6D4D1FDD" w14:textId="77777777" w:rsidR="00BB0F7C" w:rsidRPr="00DD35DD" w:rsidRDefault="00BB0F7C" w:rsidP="005509F7">
      <w:pPr>
        <w:pStyle w:val="EndnoteText"/>
        <w:numPr>
          <w:ilvl w:val="0"/>
          <w:numId w:val="3"/>
        </w:numPr>
        <w:ind w:left="714" w:hanging="357"/>
        <w:contextualSpacing/>
        <w:rPr>
          <w:sz w:val="18"/>
          <w:szCs w:val="18"/>
        </w:rPr>
      </w:pPr>
      <w:r w:rsidRPr="00DD35DD">
        <w:rPr>
          <w:sz w:val="18"/>
          <w:szCs w:val="18"/>
        </w:rPr>
        <w:t>ensure provision of appropriate and accessible information</w:t>
      </w:r>
      <w:r>
        <w:rPr>
          <w:sz w:val="18"/>
          <w:szCs w:val="18"/>
        </w:rPr>
        <w:t>;</w:t>
      </w:r>
    </w:p>
    <w:p w14:paraId="42CC519A" w14:textId="77777777" w:rsidR="00BB0F7C" w:rsidRPr="00DD35DD" w:rsidRDefault="00BB0F7C" w:rsidP="005509F7">
      <w:pPr>
        <w:pStyle w:val="EndnoteText"/>
        <w:numPr>
          <w:ilvl w:val="0"/>
          <w:numId w:val="3"/>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33636593" w14:textId="77777777" w:rsidR="00BB0F7C" w:rsidRPr="00DD35DD" w:rsidRDefault="00BB0F7C" w:rsidP="005509F7">
      <w:pPr>
        <w:pStyle w:val="EndnoteText"/>
        <w:numPr>
          <w:ilvl w:val="0"/>
          <w:numId w:val="3"/>
        </w:numPr>
        <w:ind w:left="714" w:hanging="357"/>
        <w:contextualSpacing/>
        <w:rPr>
          <w:sz w:val="18"/>
          <w:szCs w:val="18"/>
        </w:rPr>
      </w:pPr>
      <w:r w:rsidRPr="00DD35DD">
        <w:rPr>
          <w:sz w:val="18"/>
          <w:szCs w:val="18"/>
        </w:rPr>
        <w:t>include both registered and unregistered organ</w:t>
      </w:r>
      <w:r>
        <w:rPr>
          <w:sz w:val="18"/>
          <w:szCs w:val="18"/>
        </w:rPr>
        <w:t>izations;</w:t>
      </w:r>
    </w:p>
    <w:p w14:paraId="073C9012" w14:textId="77777777" w:rsidR="00BB0F7C" w:rsidRDefault="00BB0F7C" w:rsidP="005509F7">
      <w:pPr>
        <w:pStyle w:val="EndnoteText"/>
        <w:numPr>
          <w:ilvl w:val="0"/>
          <w:numId w:val="3"/>
        </w:numPr>
        <w:ind w:left="714" w:hanging="357"/>
        <w:contextualSpacing/>
        <w:rPr>
          <w:sz w:val="18"/>
          <w:szCs w:val="18"/>
        </w:rPr>
      </w:pPr>
      <w:r w:rsidRPr="00DD35DD">
        <w:rPr>
          <w:sz w:val="18"/>
          <w:szCs w:val="18"/>
        </w:rPr>
        <w:t>ensure ea</w:t>
      </w:r>
      <w:r>
        <w:rPr>
          <w:sz w:val="18"/>
          <w:szCs w:val="18"/>
        </w:rPr>
        <w:t>rly and continuous involvement;</w:t>
      </w:r>
    </w:p>
    <w:p w14:paraId="396FC9F2" w14:textId="77777777" w:rsidR="00BB0F7C" w:rsidRPr="005509F7" w:rsidRDefault="00BB0F7C" w:rsidP="005509F7">
      <w:pPr>
        <w:pStyle w:val="EndnoteText"/>
        <w:numPr>
          <w:ilvl w:val="0"/>
          <w:numId w:val="3"/>
        </w:numPr>
        <w:ind w:left="714" w:hanging="357"/>
        <w:contextualSpacing/>
        <w:rPr>
          <w:sz w:val="18"/>
          <w:szCs w:val="18"/>
        </w:rPr>
      </w:pPr>
      <w:r w:rsidRPr="005509F7">
        <w:rPr>
          <w:rFonts w:cstheme="minorHAnsi"/>
          <w:sz w:val="18"/>
          <w:szCs w:val="18"/>
        </w:rPr>
        <w:t>cover related expenses of participants.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11DF8" w14:textId="77777777" w:rsidR="00D653BF" w:rsidRDefault="00D653BF" w:rsidP="00CA591E">
      <w:r>
        <w:separator/>
      </w:r>
    </w:p>
  </w:footnote>
  <w:footnote w:type="continuationSeparator" w:id="0">
    <w:p w14:paraId="59DF8E2F" w14:textId="77777777" w:rsidR="00D653BF" w:rsidRDefault="00D653BF"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B2F42"/>
    <w:multiLevelType w:val="hybridMultilevel"/>
    <w:tmpl w:val="5B1C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352ED"/>
    <w:multiLevelType w:val="hybridMultilevel"/>
    <w:tmpl w:val="92E293B2"/>
    <w:lvl w:ilvl="0" w:tplc="27F64E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0D73"/>
    <w:multiLevelType w:val="hybridMultilevel"/>
    <w:tmpl w:val="66460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85D3404"/>
    <w:multiLevelType w:val="hybridMultilevel"/>
    <w:tmpl w:val="5A6E993E"/>
    <w:lvl w:ilvl="0" w:tplc="452400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A5B1A"/>
    <w:multiLevelType w:val="hybridMultilevel"/>
    <w:tmpl w:val="85E8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2"/>
  </w:num>
  <w:num w:numId="4">
    <w:abstractNumId w:val="10"/>
  </w:num>
  <w:num w:numId="5">
    <w:abstractNumId w:val="11"/>
  </w:num>
  <w:num w:numId="6">
    <w:abstractNumId w:val="17"/>
  </w:num>
  <w:num w:numId="7">
    <w:abstractNumId w:val="15"/>
  </w:num>
  <w:num w:numId="8">
    <w:abstractNumId w:val="6"/>
  </w:num>
  <w:num w:numId="9">
    <w:abstractNumId w:val="0"/>
  </w:num>
  <w:num w:numId="10">
    <w:abstractNumId w:val="16"/>
  </w:num>
  <w:num w:numId="11">
    <w:abstractNumId w:val="5"/>
  </w:num>
  <w:num w:numId="12">
    <w:abstractNumId w:val="14"/>
  </w:num>
  <w:num w:numId="13">
    <w:abstractNumId w:val="8"/>
  </w:num>
  <w:num w:numId="14">
    <w:abstractNumId w:val="9"/>
  </w:num>
  <w:num w:numId="15">
    <w:abstractNumId w:val="7"/>
  </w:num>
  <w:num w:numId="16">
    <w:abstractNumId w:val="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3F9"/>
    <w:rsid w:val="00006D33"/>
    <w:rsid w:val="000134AA"/>
    <w:rsid w:val="00026CE2"/>
    <w:rsid w:val="0003120F"/>
    <w:rsid w:val="00046F85"/>
    <w:rsid w:val="00050711"/>
    <w:rsid w:val="0005219A"/>
    <w:rsid w:val="00057593"/>
    <w:rsid w:val="00063173"/>
    <w:rsid w:val="00065C3E"/>
    <w:rsid w:val="000707C9"/>
    <w:rsid w:val="00073208"/>
    <w:rsid w:val="000868CC"/>
    <w:rsid w:val="00091529"/>
    <w:rsid w:val="0009463C"/>
    <w:rsid w:val="000948CB"/>
    <w:rsid w:val="000A07E5"/>
    <w:rsid w:val="000A25BC"/>
    <w:rsid w:val="000A76BA"/>
    <w:rsid w:val="000A7972"/>
    <w:rsid w:val="000B0B17"/>
    <w:rsid w:val="000B0C3E"/>
    <w:rsid w:val="000B119E"/>
    <w:rsid w:val="000B1E56"/>
    <w:rsid w:val="000B3868"/>
    <w:rsid w:val="000B5BA6"/>
    <w:rsid w:val="000B663D"/>
    <w:rsid w:val="000C0781"/>
    <w:rsid w:val="000C154A"/>
    <w:rsid w:val="000C25AB"/>
    <w:rsid w:val="000C3B24"/>
    <w:rsid w:val="000C5832"/>
    <w:rsid w:val="000C6768"/>
    <w:rsid w:val="000E288D"/>
    <w:rsid w:val="000F2D2A"/>
    <w:rsid w:val="001013A2"/>
    <w:rsid w:val="00101BAD"/>
    <w:rsid w:val="001030AE"/>
    <w:rsid w:val="00110663"/>
    <w:rsid w:val="00113D6A"/>
    <w:rsid w:val="001143E6"/>
    <w:rsid w:val="00121ED4"/>
    <w:rsid w:val="00122590"/>
    <w:rsid w:val="001344AD"/>
    <w:rsid w:val="001361C3"/>
    <w:rsid w:val="001464D0"/>
    <w:rsid w:val="001515E5"/>
    <w:rsid w:val="00151F7E"/>
    <w:rsid w:val="001607CA"/>
    <w:rsid w:val="00167016"/>
    <w:rsid w:val="00167E3A"/>
    <w:rsid w:val="00173134"/>
    <w:rsid w:val="0017378D"/>
    <w:rsid w:val="0017443D"/>
    <w:rsid w:val="00175BEC"/>
    <w:rsid w:val="00175EC2"/>
    <w:rsid w:val="001820F8"/>
    <w:rsid w:val="0018313C"/>
    <w:rsid w:val="00183BD1"/>
    <w:rsid w:val="00185B50"/>
    <w:rsid w:val="00195062"/>
    <w:rsid w:val="001B3B7F"/>
    <w:rsid w:val="001C5249"/>
    <w:rsid w:val="001C627B"/>
    <w:rsid w:val="001E7EA3"/>
    <w:rsid w:val="002020D5"/>
    <w:rsid w:val="002020F9"/>
    <w:rsid w:val="00203E7D"/>
    <w:rsid w:val="002074D0"/>
    <w:rsid w:val="00215679"/>
    <w:rsid w:val="00215ACE"/>
    <w:rsid w:val="00221004"/>
    <w:rsid w:val="002253E4"/>
    <w:rsid w:val="00226CBE"/>
    <w:rsid w:val="00230DC8"/>
    <w:rsid w:val="00232652"/>
    <w:rsid w:val="00234DE0"/>
    <w:rsid w:val="00237688"/>
    <w:rsid w:val="00240F47"/>
    <w:rsid w:val="00256861"/>
    <w:rsid w:val="0026266A"/>
    <w:rsid w:val="00263FAE"/>
    <w:rsid w:val="00264909"/>
    <w:rsid w:val="002671D8"/>
    <w:rsid w:val="00270D68"/>
    <w:rsid w:val="0027486C"/>
    <w:rsid w:val="002773AC"/>
    <w:rsid w:val="002836A9"/>
    <w:rsid w:val="00293512"/>
    <w:rsid w:val="002964F3"/>
    <w:rsid w:val="002A656B"/>
    <w:rsid w:val="002A72B1"/>
    <w:rsid w:val="002C3801"/>
    <w:rsid w:val="002C4C1E"/>
    <w:rsid w:val="002D3D29"/>
    <w:rsid w:val="002D7F12"/>
    <w:rsid w:val="002E387E"/>
    <w:rsid w:val="002E6663"/>
    <w:rsid w:val="002F07DC"/>
    <w:rsid w:val="002F204E"/>
    <w:rsid w:val="002F45D6"/>
    <w:rsid w:val="00307F27"/>
    <w:rsid w:val="00314EDA"/>
    <w:rsid w:val="00316DF7"/>
    <w:rsid w:val="00320E55"/>
    <w:rsid w:val="00323CF5"/>
    <w:rsid w:val="00327E08"/>
    <w:rsid w:val="003301F5"/>
    <w:rsid w:val="00330660"/>
    <w:rsid w:val="00335FE8"/>
    <w:rsid w:val="003409A3"/>
    <w:rsid w:val="00345E96"/>
    <w:rsid w:val="00346DAD"/>
    <w:rsid w:val="00351733"/>
    <w:rsid w:val="00362315"/>
    <w:rsid w:val="00364DDC"/>
    <w:rsid w:val="00370EFA"/>
    <w:rsid w:val="003718CF"/>
    <w:rsid w:val="00372234"/>
    <w:rsid w:val="003759C9"/>
    <w:rsid w:val="00376BCC"/>
    <w:rsid w:val="00381918"/>
    <w:rsid w:val="00391E18"/>
    <w:rsid w:val="003921D2"/>
    <w:rsid w:val="003A2D7B"/>
    <w:rsid w:val="003A712F"/>
    <w:rsid w:val="003C326C"/>
    <w:rsid w:val="003C4316"/>
    <w:rsid w:val="003D2CBE"/>
    <w:rsid w:val="003D3523"/>
    <w:rsid w:val="003E7407"/>
    <w:rsid w:val="003F3FA7"/>
    <w:rsid w:val="003F568C"/>
    <w:rsid w:val="00405CA3"/>
    <w:rsid w:val="00407B38"/>
    <w:rsid w:val="004149FE"/>
    <w:rsid w:val="00416EC8"/>
    <w:rsid w:val="00420937"/>
    <w:rsid w:val="00427F4A"/>
    <w:rsid w:val="00432B8A"/>
    <w:rsid w:val="00436906"/>
    <w:rsid w:val="00445BB6"/>
    <w:rsid w:val="004471F8"/>
    <w:rsid w:val="00453FBD"/>
    <w:rsid w:val="00461CF2"/>
    <w:rsid w:val="004643E4"/>
    <w:rsid w:val="00470A68"/>
    <w:rsid w:val="0047409D"/>
    <w:rsid w:val="0047455C"/>
    <w:rsid w:val="00474A0E"/>
    <w:rsid w:val="00485ED7"/>
    <w:rsid w:val="0049003A"/>
    <w:rsid w:val="00492D7F"/>
    <w:rsid w:val="00493244"/>
    <w:rsid w:val="004934A4"/>
    <w:rsid w:val="004967AF"/>
    <w:rsid w:val="0049767B"/>
    <w:rsid w:val="004A11E8"/>
    <w:rsid w:val="004A22A0"/>
    <w:rsid w:val="004A42A4"/>
    <w:rsid w:val="004A516F"/>
    <w:rsid w:val="004A58ED"/>
    <w:rsid w:val="004B1DF3"/>
    <w:rsid w:val="004B7622"/>
    <w:rsid w:val="004C3801"/>
    <w:rsid w:val="004C47F0"/>
    <w:rsid w:val="004D332C"/>
    <w:rsid w:val="004E534A"/>
    <w:rsid w:val="004F49F7"/>
    <w:rsid w:val="004F538D"/>
    <w:rsid w:val="0051360A"/>
    <w:rsid w:val="005136D8"/>
    <w:rsid w:val="00516C6C"/>
    <w:rsid w:val="00533AA4"/>
    <w:rsid w:val="00534A78"/>
    <w:rsid w:val="00534C92"/>
    <w:rsid w:val="00542B3C"/>
    <w:rsid w:val="00544D10"/>
    <w:rsid w:val="005509F7"/>
    <w:rsid w:val="005622B9"/>
    <w:rsid w:val="005676AC"/>
    <w:rsid w:val="00571036"/>
    <w:rsid w:val="0057267D"/>
    <w:rsid w:val="0058098B"/>
    <w:rsid w:val="005843A5"/>
    <w:rsid w:val="00591379"/>
    <w:rsid w:val="00593662"/>
    <w:rsid w:val="00595F54"/>
    <w:rsid w:val="005970C3"/>
    <w:rsid w:val="005A1B54"/>
    <w:rsid w:val="005B0200"/>
    <w:rsid w:val="005B3669"/>
    <w:rsid w:val="005B5EFD"/>
    <w:rsid w:val="005E57DF"/>
    <w:rsid w:val="005F1F6D"/>
    <w:rsid w:val="005F266C"/>
    <w:rsid w:val="005F4EC8"/>
    <w:rsid w:val="005F7C6D"/>
    <w:rsid w:val="00611DF2"/>
    <w:rsid w:val="006174CE"/>
    <w:rsid w:val="00621413"/>
    <w:rsid w:val="00634785"/>
    <w:rsid w:val="006347B1"/>
    <w:rsid w:val="00634DC7"/>
    <w:rsid w:val="006362B7"/>
    <w:rsid w:val="00640C11"/>
    <w:rsid w:val="00642078"/>
    <w:rsid w:val="00643BF2"/>
    <w:rsid w:val="0065051C"/>
    <w:rsid w:val="00652E13"/>
    <w:rsid w:val="006564B2"/>
    <w:rsid w:val="00660E71"/>
    <w:rsid w:val="00663600"/>
    <w:rsid w:val="006644EA"/>
    <w:rsid w:val="006671F0"/>
    <w:rsid w:val="00672036"/>
    <w:rsid w:val="0067779C"/>
    <w:rsid w:val="00681265"/>
    <w:rsid w:val="0068399E"/>
    <w:rsid w:val="00685485"/>
    <w:rsid w:val="00685CF4"/>
    <w:rsid w:val="00695474"/>
    <w:rsid w:val="00696FC9"/>
    <w:rsid w:val="006A5178"/>
    <w:rsid w:val="006A6805"/>
    <w:rsid w:val="006B029F"/>
    <w:rsid w:val="006B3FE4"/>
    <w:rsid w:val="006B5CDD"/>
    <w:rsid w:val="006C21B3"/>
    <w:rsid w:val="006C5832"/>
    <w:rsid w:val="006C6E21"/>
    <w:rsid w:val="006E10B8"/>
    <w:rsid w:val="006E39EB"/>
    <w:rsid w:val="006E3E31"/>
    <w:rsid w:val="006E5599"/>
    <w:rsid w:val="006F7AAC"/>
    <w:rsid w:val="0070160D"/>
    <w:rsid w:val="00702448"/>
    <w:rsid w:val="00703A86"/>
    <w:rsid w:val="00705361"/>
    <w:rsid w:val="007065A4"/>
    <w:rsid w:val="007070D2"/>
    <w:rsid w:val="0072068D"/>
    <w:rsid w:val="00721576"/>
    <w:rsid w:val="007221DC"/>
    <w:rsid w:val="00736A44"/>
    <w:rsid w:val="00737D13"/>
    <w:rsid w:val="00745639"/>
    <w:rsid w:val="007457D0"/>
    <w:rsid w:val="007472F1"/>
    <w:rsid w:val="00747A50"/>
    <w:rsid w:val="00747CD2"/>
    <w:rsid w:val="00773555"/>
    <w:rsid w:val="00776B8D"/>
    <w:rsid w:val="00784A18"/>
    <w:rsid w:val="00785B3A"/>
    <w:rsid w:val="00792C5D"/>
    <w:rsid w:val="00794F8E"/>
    <w:rsid w:val="00797584"/>
    <w:rsid w:val="007A4591"/>
    <w:rsid w:val="007A7DF0"/>
    <w:rsid w:val="007B0DA2"/>
    <w:rsid w:val="007B111F"/>
    <w:rsid w:val="007B3E9E"/>
    <w:rsid w:val="007B6324"/>
    <w:rsid w:val="007C13D6"/>
    <w:rsid w:val="007C2DCA"/>
    <w:rsid w:val="007C4B64"/>
    <w:rsid w:val="007E6C19"/>
    <w:rsid w:val="0080004D"/>
    <w:rsid w:val="00803B86"/>
    <w:rsid w:val="0081135F"/>
    <w:rsid w:val="00813049"/>
    <w:rsid w:val="0081422B"/>
    <w:rsid w:val="00814D07"/>
    <w:rsid w:val="00823FA2"/>
    <w:rsid w:val="00836C1D"/>
    <w:rsid w:val="00841566"/>
    <w:rsid w:val="00847DCC"/>
    <w:rsid w:val="00851498"/>
    <w:rsid w:val="008563CA"/>
    <w:rsid w:val="00856B6E"/>
    <w:rsid w:val="0088018F"/>
    <w:rsid w:val="00884F8C"/>
    <w:rsid w:val="008858A7"/>
    <w:rsid w:val="0089365A"/>
    <w:rsid w:val="00893A92"/>
    <w:rsid w:val="00894E34"/>
    <w:rsid w:val="00895469"/>
    <w:rsid w:val="00897637"/>
    <w:rsid w:val="008A0D34"/>
    <w:rsid w:val="008B19D3"/>
    <w:rsid w:val="008B298C"/>
    <w:rsid w:val="008C4208"/>
    <w:rsid w:val="008C76C6"/>
    <w:rsid w:val="008D2892"/>
    <w:rsid w:val="008E15CB"/>
    <w:rsid w:val="008F136C"/>
    <w:rsid w:val="008F3148"/>
    <w:rsid w:val="008F6E12"/>
    <w:rsid w:val="00905637"/>
    <w:rsid w:val="00911B07"/>
    <w:rsid w:val="009159FD"/>
    <w:rsid w:val="0092368C"/>
    <w:rsid w:val="00926F81"/>
    <w:rsid w:val="00940AFD"/>
    <w:rsid w:val="009421AF"/>
    <w:rsid w:val="00945C70"/>
    <w:rsid w:val="00947F5E"/>
    <w:rsid w:val="00964A5B"/>
    <w:rsid w:val="00964B94"/>
    <w:rsid w:val="0096663D"/>
    <w:rsid w:val="009733F4"/>
    <w:rsid w:val="0098270C"/>
    <w:rsid w:val="00982DDB"/>
    <w:rsid w:val="00984AC7"/>
    <w:rsid w:val="009A4374"/>
    <w:rsid w:val="009A6799"/>
    <w:rsid w:val="009B0C95"/>
    <w:rsid w:val="009C0779"/>
    <w:rsid w:val="009D221D"/>
    <w:rsid w:val="009D4F22"/>
    <w:rsid w:val="009D6367"/>
    <w:rsid w:val="009D73C2"/>
    <w:rsid w:val="009E1074"/>
    <w:rsid w:val="009E5527"/>
    <w:rsid w:val="009E737E"/>
    <w:rsid w:val="009F6E73"/>
    <w:rsid w:val="009F7D61"/>
    <w:rsid w:val="00A01319"/>
    <w:rsid w:val="00A11619"/>
    <w:rsid w:val="00A21E81"/>
    <w:rsid w:val="00A252DA"/>
    <w:rsid w:val="00A42C44"/>
    <w:rsid w:val="00A45A5A"/>
    <w:rsid w:val="00A52406"/>
    <w:rsid w:val="00A66A34"/>
    <w:rsid w:val="00A778DE"/>
    <w:rsid w:val="00A83E75"/>
    <w:rsid w:val="00A87C64"/>
    <w:rsid w:val="00A96B68"/>
    <w:rsid w:val="00AA3E6F"/>
    <w:rsid w:val="00AB2047"/>
    <w:rsid w:val="00AB3FD1"/>
    <w:rsid w:val="00AB4A39"/>
    <w:rsid w:val="00AB5C79"/>
    <w:rsid w:val="00AC03AB"/>
    <w:rsid w:val="00AD3349"/>
    <w:rsid w:val="00AE00B9"/>
    <w:rsid w:val="00B00E73"/>
    <w:rsid w:val="00B03486"/>
    <w:rsid w:val="00B03586"/>
    <w:rsid w:val="00B0552A"/>
    <w:rsid w:val="00B21AFF"/>
    <w:rsid w:val="00B2353B"/>
    <w:rsid w:val="00B27442"/>
    <w:rsid w:val="00B31C98"/>
    <w:rsid w:val="00B3309B"/>
    <w:rsid w:val="00B37FD5"/>
    <w:rsid w:val="00B4198C"/>
    <w:rsid w:val="00B42C7B"/>
    <w:rsid w:val="00B43139"/>
    <w:rsid w:val="00B5447C"/>
    <w:rsid w:val="00B553A7"/>
    <w:rsid w:val="00B64B40"/>
    <w:rsid w:val="00B71249"/>
    <w:rsid w:val="00B74665"/>
    <w:rsid w:val="00B74E4F"/>
    <w:rsid w:val="00B7564A"/>
    <w:rsid w:val="00B952F5"/>
    <w:rsid w:val="00BA22F4"/>
    <w:rsid w:val="00BA6BAA"/>
    <w:rsid w:val="00BB0F7C"/>
    <w:rsid w:val="00BB4CB4"/>
    <w:rsid w:val="00BC022E"/>
    <w:rsid w:val="00BC0719"/>
    <w:rsid w:val="00BE2712"/>
    <w:rsid w:val="00BE346D"/>
    <w:rsid w:val="00BE4B26"/>
    <w:rsid w:val="00BE733A"/>
    <w:rsid w:val="00BF276B"/>
    <w:rsid w:val="00BF7530"/>
    <w:rsid w:val="00C00627"/>
    <w:rsid w:val="00C009C5"/>
    <w:rsid w:val="00C17189"/>
    <w:rsid w:val="00C2143C"/>
    <w:rsid w:val="00C233C1"/>
    <w:rsid w:val="00C240B7"/>
    <w:rsid w:val="00C24776"/>
    <w:rsid w:val="00C32059"/>
    <w:rsid w:val="00C322CE"/>
    <w:rsid w:val="00C37D76"/>
    <w:rsid w:val="00C410CA"/>
    <w:rsid w:val="00C4598B"/>
    <w:rsid w:val="00C51F20"/>
    <w:rsid w:val="00C541CC"/>
    <w:rsid w:val="00C65C53"/>
    <w:rsid w:val="00C6703E"/>
    <w:rsid w:val="00C679D1"/>
    <w:rsid w:val="00C84B31"/>
    <w:rsid w:val="00C8554B"/>
    <w:rsid w:val="00C92A6B"/>
    <w:rsid w:val="00CA0ACC"/>
    <w:rsid w:val="00CA1855"/>
    <w:rsid w:val="00CA591E"/>
    <w:rsid w:val="00CB63C5"/>
    <w:rsid w:val="00CC11B9"/>
    <w:rsid w:val="00CC346D"/>
    <w:rsid w:val="00CC6EC6"/>
    <w:rsid w:val="00CD1C65"/>
    <w:rsid w:val="00CE7FF4"/>
    <w:rsid w:val="00CF20D7"/>
    <w:rsid w:val="00D01F95"/>
    <w:rsid w:val="00D068EF"/>
    <w:rsid w:val="00D12E6A"/>
    <w:rsid w:val="00D137A0"/>
    <w:rsid w:val="00D13F5B"/>
    <w:rsid w:val="00D14BD4"/>
    <w:rsid w:val="00D167E3"/>
    <w:rsid w:val="00D21F1D"/>
    <w:rsid w:val="00D232D8"/>
    <w:rsid w:val="00D31255"/>
    <w:rsid w:val="00D5651C"/>
    <w:rsid w:val="00D61368"/>
    <w:rsid w:val="00D653BF"/>
    <w:rsid w:val="00D67CB0"/>
    <w:rsid w:val="00D70AF4"/>
    <w:rsid w:val="00D77931"/>
    <w:rsid w:val="00D80803"/>
    <w:rsid w:val="00D911DD"/>
    <w:rsid w:val="00D91568"/>
    <w:rsid w:val="00D94DC4"/>
    <w:rsid w:val="00D94FFA"/>
    <w:rsid w:val="00DB3954"/>
    <w:rsid w:val="00DB4C6E"/>
    <w:rsid w:val="00DB5B52"/>
    <w:rsid w:val="00DB66ED"/>
    <w:rsid w:val="00DC0924"/>
    <w:rsid w:val="00DD079B"/>
    <w:rsid w:val="00DD2A83"/>
    <w:rsid w:val="00DD4746"/>
    <w:rsid w:val="00DE28C7"/>
    <w:rsid w:val="00DE431B"/>
    <w:rsid w:val="00DE4B64"/>
    <w:rsid w:val="00DE691F"/>
    <w:rsid w:val="00DF2B93"/>
    <w:rsid w:val="00E15075"/>
    <w:rsid w:val="00E232CB"/>
    <w:rsid w:val="00E24957"/>
    <w:rsid w:val="00E27296"/>
    <w:rsid w:val="00E27806"/>
    <w:rsid w:val="00E31AF2"/>
    <w:rsid w:val="00E32612"/>
    <w:rsid w:val="00E363AE"/>
    <w:rsid w:val="00E41ADB"/>
    <w:rsid w:val="00E608B7"/>
    <w:rsid w:val="00E61136"/>
    <w:rsid w:val="00E64E57"/>
    <w:rsid w:val="00E8709D"/>
    <w:rsid w:val="00E87705"/>
    <w:rsid w:val="00E91336"/>
    <w:rsid w:val="00E936BF"/>
    <w:rsid w:val="00E96C21"/>
    <w:rsid w:val="00E97952"/>
    <w:rsid w:val="00EB0175"/>
    <w:rsid w:val="00EB4202"/>
    <w:rsid w:val="00EC0D4A"/>
    <w:rsid w:val="00EC2427"/>
    <w:rsid w:val="00ED0E57"/>
    <w:rsid w:val="00ED2C1C"/>
    <w:rsid w:val="00ED3786"/>
    <w:rsid w:val="00ED42B0"/>
    <w:rsid w:val="00ED642C"/>
    <w:rsid w:val="00EE1131"/>
    <w:rsid w:val="00EE4AB0"/>
    <w:rsid w:val="00EE56DD"/>
    <w:rsid w:val="00EE5CFE"/>
    <w:rsid w:val="00F04C4B"/>
    <w:rsid w:val="00F05557"/>
    <w:rsid w:val="00F11C7E"/>
    <w:rsid w:val="00F230F3"/>
    <w:rsid w:val="00F434A2"/>
    <w:rsid w:val="00F46D3B"/>
    <w:rsid w:val="00F63625"/>
    <w:rsid w:val="00F63CBD"/>
    <w:rsid w:val="00F76645"/>
    <w:rsid w:val="00F77890"/>
    <w:rsid w:val="00F77E96"/>
    <w:rsid w:val="00F80CCF"/>
    <w:rsid w:val="00F9606C"/>
    <w:rsid w:val="00F962EB"/>
    <w:rsid w:val="00F97690"/>
    <w:rsid w:val="00FA30F9"/>
    <w:rsid w:val="00FB072B"/>
    <w:rsid w:val="00FB33D1"/>
    <w:rsid w:val="00FC43B6"/>
    <w:rsid w:val="00FD14CF"/>
    <w:rsid w:val="00FD39D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D0"/>
    <w:pPr>
      <w:jc w:val="center"/>
      <w:outlineLvl w:val="0"/>
    </w:pPr>
    <w:rPr>
      <w:rFonts w:cstheme="minorHAnsi"/>
      <w:b/>
      <w:sz w:val="18"/>
      <w:szCs w:val="18"/>
    </w:rPr>
  </w:style>
  <w:style w:type="paragraph" w:styleId="Heading2">
    <w:name w:val="heading 2"/>
    <w:basedOn w:val="Normal"/>
    <w:next w:val="Normal"/>
    <w:link w:val="Heading2Char"/>
    <w:uiPriority w:val="9"/>
    <w:unhideWhenUsed/>
    <w:qFormat/>
    <w:rsid w:val="002074D0"/>
    <w:pPr>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character" w:customStyle="1" w:styleId="Heading2Char">
    <w:name w:val="Heading 2 Char"/>
    <w:basedOn w:val="DefaultParagraphFont"/>
    <w:link w:val="Heading2"/>
    <w:uiPriority w:val="9"/>
    <w:rsid w:val="002074D0"/>
    <w:rPr>
      <w:rFonts w:cstheme="minorHAnsi"/>
      <w:b/>
      <w:sz w:val="18"/>
      <w:szCs w:val="18"/>
    </w:rPr>
  </w:style>
  <w:style w:type="character" w:customStyle="1" w:styleId="highlight">
    <w:name w:val="highlight"/>
    <w:basedOn w:val="DefaultParagraphFont"/>
    <w:rsid w:val="00B42C7B"/>
  </w:style>
  <w:style w:type="character" w:customStyle="1" w:styleId="Mentionnonrsolue1">
    <w:name w:val="Mention non résolue1"/>
    <w:basedOn w:val="DefaultParagraphFont"/>
    <w:uiPriority w:val="99"/>
    <w:semiHidden/>
    <w:unhideWhenUsed/>
    <w:rsid w:val="003D2CBE"/>
    <w:rPr>
      <w:color w:val="605E5C"/>
      <w:shd w:val="clear" w:color="auto" w:fill="E1DFDD"/>
    </w:rPr>
  </w:style>
  <w:style w:type="character" w:customStyle="1" w:styleId="Heading1Char">
    <w:name w:val="Heading 1 Char"/>
    <w:basedOn w:val="DefaultParagraphFont"/>
    <w:link w:val="Heading1"/>
    <w:uiPriority w:val="9"/>
    <w:rsid w:val="002074D0"/>
    <w:rPr>
      <w:rFonts w:cstheme="minorHAns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521821">
      <w:bodyDiv w:val="1"/>
      <w:marLeft w:val="0"/>
      <w:marRight w:val="0"/>
      <w:marTop w:val="0"/>
      <w:marBottom w:val="0"/>
      <w:divBdr>
        <w:top w:val="none" w:sz="0" w:space="0" w:color="auto"/>
        <w:left w:val="none" w:sz="0" w:space="0" w:color="auto"/>
        <w:bottom w:val="none" w:sz="0" w:space="0" w:color="auto"/>
        <w:right w:val="none" w:sz="0" w:space="0" w:color="auto"/>
      </w:divBdr>
      <w:divsChild>
        <w:div w:id="2038038628">
          <w:marLeft w:val="0"/>
          <w:marRight w:val="0"/>
          <w:marTop w:val="0"/>
          <w:marBottom w:val="0"/>
          <w:divBdr>
            <w:top w:val="none" w:sz="0" w:space="0" w:color="auto"/>
            <w:left w:val="none" w:sz="0" w:space="0" w:color="auto"/>
            <w:bottom w:val="none" w:sz="0" w:space="0" w:color="auto"/>
            <w:right w:val="none" w:sz="0" w:space="0" w:color="auto"/>
          </w:divBdr>
        </w:div>
        <w:div w:id="182524939">
          <w:marLeft w:val="0"/>
          <w:marRight w:val="0"/>
          <w:marTop w:val="0"/>
          <w:marBottom w:val="0"/>
          <w:divBdr>
            <w:top w:val="none" w:sz="0" w:space="0" w:color="auto"/>
            <w:left w:val="none" w:sz="0" w:space="0" w:color="auto"/>
            <w:bottom w:val="none" w:sz="0" w:space="0" w:color="auto"/>
            <w:right w:val="none" w:sz="0" w:space="0" w:color="auto"/>
          </w:divBdr>
        </w:div>
        <w:div w:id="1528176457">
          <w:marLeft w:val="0"/>
          <w:marRight w:val="0"/>
          <w:marTop w:val="0"/>
          <w:marBottom w:val="0"/>
          <w:divBdr>
            <w:top w:val="none" w:sz="0" w:space="0" w:color="auto"/>
            <w:left w:val="none" w:sz="0" w:space="0" w:color="auto"/>
            <w:bottom w:val="none" w:sz="0" w:space="0" w:color="auto"/>
            <w:right w:val="none" w:sz="0" w:space="0" w:color="auto"/>
          </w:divBdr>
        </w:div>
        <w:div w:id="1173028975">
          <w:marLeft w:val="0"/>
          <w:marRight w:val="0"/>
          <w:marTop w:val="0"/>
          <w:marBottom w:val="0"/>
          <w:divBdr>
            <w:top w:val="none" w:sz="0" w:space="0" w:color="auto"/>
            <w:left w:val="none" w:sz="0" w:space="0" w:color="auto"/>
            <w:bottom w:val="none" w:sz="0" w:space="0" w:color="auto"/>
            <w:right w:val="none" w:sz="0" w:space="0" w:color="auto"/>
          </w:divBdr>
        </w:div>
        <w:div w:id="394016078">
          <w:marLeft w:val="0"/>
          <w:marRight w:val="0"/>
          <w:marTop w:val="0"/>
          <w:marBottom w:val="0"/>
          <w:divBdr>
            <w:top w:val="none" w:sz="0" w:space="0" w:color="auto"/>
            <w:left w:val="none" w:sz="0" w:space="0" w:color="auto"/>
            <w:bottom w:val="none" w:sz="0" w:space="0" w:color="auto"/>
            <w:right w:val="none" w:sz="0" w:space="0" w:color="auto"/>
          </w:divBdr>
        </w:div>
      </w:divsChild>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A/HRC/37/25" TargetMode="External"/><Relationship Id="rId1" Type="http://schemas.openxmlformats.org/officeDocument/2006/relationships/hyperlink" Target="https://www.ohchr.org/EN/Issues/Disability/SRDisabilities/Pages/GoodPracticesEffectiveAccessJusticePersonsDisabil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C046E2-38EC-6144-97D3-B84A587F09E9}">
  <ds:schemaRefs>
    <ds:schemaRef ds:uri="http://schemas.openxmlformats.org/officeDocument/2006/bibliography"/>
  </ds:schemaRefs>
</ds:datastoreItem>
</file>

<file path=customXml/itemProps2.xml><?xml version="1.0" encoding="utf-8"?>
<ds:datastoreItem xmlns:ds="http://schemas.openxmlformats.org/officeDocument/2006/customXml" ds:itemID="{0F4ADAC0-A4E0-44D1-80E2-28DEF4C9AA8C}"/>
</file>

<file path=customXml/itemProps3.xml><?xml version="1.0" encoding="utf-8"?>
<ds:datastoreItem xmlns:ds="http://schemas.openxmlformats.org/officeDocument/2006/customXml" ds:itemID="{F53011F5-8958-4953-8DC3-FD860D6A8CF2}"/>
</file>

<file path=customXml/itemProps4.xml><?xml version="1.0" encoding="utf-8"?>
<ds:datastoreItem xmlns:ds="http://schemas.openxmlformats.org/officeDocument/2006/customXml" ds:itemID="{08D0F08C-56DB-4FBC-8FF5-652DC70E8117}"/>
</file>

<file path=docProps/app.xml><?xml version="1.0" encoding="utf-8"?>
<Properties xmlns="http://schemas.openxmlformats.org/officeDocument/2006/extended-properties" xmlns:vt="http://schemas.openxmlformats.org/officeDocument/2006/docPropsVTypes">
  <Template>Normal.dotm</Template>
  <TotalTime>14</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15</cp:revision>
  <cp:lastPrinted>2018-11-12T09:21:00Z</cp:lastPrinted>
  <dcterms:created xsi:type="dcterms:W3CDTF">2019-10-29T11:44:00Z</dcterms:created>
  <dcterms:modified xsi:type="dcterms:W3CDTF">2021-01-30T20:33:00Z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